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0"/>
        </w:tabs>
        <w:autoSpaceDE w:val="0"/>
        <w:autoSpaceDN w:val="0"/>
        <w:adjustRightInd w:val="0"/>
        <w:spacing w:line="360" w:lineRule="auto"/>
        <w:jc w:val="right"/>
        <w:rPr>
          <w:rFonts w:ascii="仿宋_GB2312" w:eastAsia="仿宋_GB2312"/>
          <w:b/>
          <w:bCs/>
          <w:sz w:val="32"/>
          <w:szCs w:val="32"/>
          <w:lang w:val="zh-CN"/>
        </w:rPr>
      </w:pPr>
      <w:bookmarkStart w:id="0" w:name="_Toc217446030"/>
      <w:bookmarkStart w:id="1" w:name="_Toc183682338"/>
      <w:r>
        <w:rPr>
          <w:rFonts w:hint="eastAsia"/>
          <w:b/>
          <w:bCs/>
          <w:sz w:val="32"/>
          <w:szCs w:val="32"/>
        </w:rPr>
        <w:t xml:space="preserve"> </w:t>
      </w:r>
      <w:r>
        <w:rPr>
          <w:rFonts w:hint="eastAsia"/>
          <w:b/>
          <w:bCs/>
          <w:sz w:val="32"/>
          <w:szCs w:val="32"/>
          <w:lang w:val="zh-CN"/>
        </w:rPr>
        <w:t xml:space="preserve">    </w:t>
      </w:r>
      <w:r>
        <w:rPr>
          <w:rFonts w:hint="eastAsia" w:ascii="仿宋_GB2312" w:eastAsia="仿宋_GB2312"/>
          <w:b/>
          <w:bCs/>
          <w:sz w:val="32"/>
          <w:szCs w:val="32"/>
          <w:bdr w:val="single" w:color="auto" w:sz="4" w:space="0"/>
          <w:lang w:val="zh-CN"/>
        </w:rPr>
        <w:t>政府采购项目</w:t>
      </w:r>
    </w:p>
    <w:p>
      <w:pPr>
        <w:tabs>
          <w:tab w:val="left" w:pos="5670"/>
        </w:tabs>
        <w:autoSpaceDE w:val="0"/>
        <w:autoSpaceDN w:val="0"/>
        <w:adjustRightInd w:val="0"/>
        <w:spacing w:line="360" w:lineRule="auto"/>
        <w:ind w:firstLine="300"/>
        <w:rPr>
          <w:rFonts w:ascii="仿宋_GB2312" w:eastAsia="仿宋_GB2312"/>
          <w:b/>
          <w:bCs/>
          <w:sz w:val="32"/>
          <w:szCs w:val="32"/>
          <w:lang w:val="zh-CN"/>
        </w:rPr>
      </w:pPr>
    </w:p>
    <w:p>
      <w:pPr>
        <w:tabs>
          <w:tab w:val="left" w:pos="5670"/>
        </w:tabs>
        <w:autoSpaceDE w:val="0"/>
        <w:autoSpaceDN w:val="0"/>
        <w:adjustRightInd w:val="0"/>
        <w:spacing w:line="360" w:lineRule="auto"/>
        <w:rPr>
          <w:b/>
          <w:bCs/>
          <w:sz w:val="32"/>
          <w:szCs w:val="32"/>
          <w:lang w:val="zh-CN"/>
        </w:rPr>
      </w:pPr>
    </w:p>
    <w:p>
      <w:pPr>
        <w:tabs>
          <w:tab w:val="left" w:pos="5670"/>
          <w:tab w:val="left" w:pos="6663"/>
        </w:tabs>
        <w:autoSpaceDE w:val="0"/>
        <w:autoSpaceDN w:val="0"/>
        <w:adjustRightInd w:val="0"/>
        <w:snapToGrid w:val="0"/>
        <w:spacing w:line="360" w:lineRule="auto"/>
        <w:jc w:val="center"/>
        <w:rPr>
          <w:rFonts w:asciiTheme="minorEastAsia" w:hAnsiTheme="minorEastAsia" w:eastAsiaTheme="minorEastAsia" w:cstheme="minorEastAsia"/>
          <w:b/>
          <w:sz w:val="56"/>
          <w:szCs w:val="56"/>
        </w:rPr>
      </w:pPr>
      <w:r>
        <w:rPr>
          <w:rFonts w:hint="eastAsia" w:asciiTheme="minorEastAsia" w:hAnsiTheme="minorEastAsia" w:eastAsiaTheme="minorEastAsia" w:cstheme="minorEastAsia"/>
          <w:b/>
          <w:sz w:val="56"/>
          <w:szCs w:val="56"/>
        </w:rPr>
        <w:t>2022期刊购置</w:t>
      </w:r>
    </w:p>
    <w:p>
      <w:pPr>
        <w:tabs>
          <w:tab w:val="left" w:pos="5670"/>
          <w:tab w:val="left" w:pos="6663"/>
        </w:tabs>
        <w:autoSpaceDE w:val="0"/>
        <w:autoSpaceDN w:val="0"/>
        <w:adjustRightInd w:val="0"/>
        <w:snapToGrid w:val="0"/>
        <w:spacing w:line="360" w:lineRule="auto"/>
        <w:jc w:val="center"/>
        <w:rPr>
          <w:rFonts w:asciiTheme="minorEastAsia" w:hAnsiTheme="minorEastAsia" w:eastAsiaTheme="minorEastAsia" w:cstheme="minorEastAsia"/>
          <w:sz w:val="40"/>
          <w:szCs w:val="40"/>
        </w:rPr>
      </w:pPr>
      <w:r>
        <w:rPr>
          <w:rFonts w:hint="eastAsia" w:asciiTheme="minorEastAsia" w:hAnsiTheme="minorEastAsia" w:eastAsiaTheme="minorEastAsia" w:cstheme="minorEastAsia"/>
          <w:b/>
          <w:sz w:val="40"/>
          <w:szCs w:val="40"/>
        </w:rPr>
        <w:t>（项目编号：TZZB-2022179C）</w:t>
      </w:r>
    </w:p>
    <w:p>
      <w:pPr>
        <w:pStyle w:val="74"/>
      </w:pPr>
      <w:bookmarkStart w:id="2" w:name="_Toc532549500"/>
      <w:r>
        <w:rPr>
          <w:rFonts w:hint="eastAsia"/>
        </w:rPr>
        <w:t xml:space="preserve"> </w:t>
      </w:r>
    </w:p>
    <w:p>
      <w:pPr>
        <w:jc w:val="center"/>
        <w:rPr>
          <w:b/>
          <w:kern w:val="0"/>
          <w:sz w:val="44"/>
          <w:szCs w:val="44"/>
        </w:rPr>
      </w:pPr>
      <w:r>
        <w:rPr>
          <w:rFonts w:hint="eastAsia"/>
          <w:b/>
          <w:kern w:val="0"/>
          <w:sz w:val="44"/>
          <w:szCs w:val="44"/>
        </w:rPr>
        <w:t xml:space="preserve"> </w:t>
      </w:r>
    </w:p>
    <w:p>
      <w:pPr>
        <w:pStyle w:val="2"/>
        <w:ind w:firstLine="0"/>
        <w:rPr>
          <w:b/>
          <w:kern w:val="0"/>
          <w:sz w:val="44"/>
          <w:szCs w:val="44"/>
        </w:rPr>
      </w:pPr>
      <w:r>
        <w:rPr>
          <w:rFonts w:hint="eastAsia"/>
          <w:b/>
          <w:kern w:val="0"/>
          <w:sz w:val="44"/>
          <w:szCs w:val="44"/>
        </w:rPr>
        <w:t xml:space="preserve"> </w:t>
      </w:r>
    </w:p>
    <w:p>
      <w:pPr>
        <w:pStyle w:val="2"/>
        <w:rPr>
          <w:b/>
          <w:kern w:val="0"/>
          <w:sz w:val="44"/>
          <w:szCs w:val="44"/>
        </w:rPr>
      </w:pPr>
    </w:p>
    <w:bookmarkEnd w:id="2"/>
    <w:p>
      <w:pPr>
        <w:tabs>
          <w:tab w:val="left" w:pos="5670"/>
          <w:tab w:val="left" w:pos="6663"/>
        </w:tabs>
        <w:autoSpaceDE w:val="0"/>
        <w:autoSpaceDN w:val="0"/>
        <w:adjustRightInd w:val="0"/>
        <w:snapToGrid w:val="0"/>
        <w:spacing w:line="360" w:lineRule="auto"/>
        <w:jc w:val="center"/>
        <w:rPr>
          <w:b/>
          <w:spacing w:val="-6"/>
          <w:sz w:val="72"/>
          <w:szCs w:val="72"/>
          <w:lang w:val="zh-CN"/>
        </w:rPr>
      </w:pPr>
      <w:r>
        <w:rPr>
          <w:rFonts w:hint="eastAsia"/>
          <w:b/>
          <w:spacing w:val="-6"/>
          <w:sz w:val="72"/>
          <w:szCs w:val="72"/>
          <w:lang w:val="zh-CN"/>
        </w:rPr>
        <w:t>招</w:t>
      </w:r>
      <w:r>
        <w:rPr>
          <w:rFonts w:hint="eastAsia"/>
          <w:b/>
          <w:spacing w:val="-6"/>
          <w:sz w:val="72"/>
          <w:szCs w:val="72"/>
        </w:rPr>
        <w:t xml:space="preserve"> </w:t>
      </w:r>
      <w:r>
        <w:rPr>
          <w:rFonts w:hint="eastAsia"/>
          <w:b/>
          <w:spacing w:val="-6"/>
          <w:sz w:val="72"/>
          <w:szCs w:val="72"/>
          <w:lang w:val="zh-CN"/>
        </w:rPr>
        <w:t>标</w:t>
      </w:r>
      <w:r>
        <w:rPr>
          <w:rFonts w:hint="eastAsia"/>
          <w:b/>
          <w:spacing w:val="-6"/>
          <w:sz w:val="72"/>
          <w:szCs w:val="72"/>
        </w:rPr>
        <w:t xml:space="preserve"> </w:t>
      </w:r>
      <w:r>
        <w:rPr>
          <w:rFonts w:hint="eastAsia"/>
          <w:b/>
          <w:spacing w:val="-6"/>
          <w:sz w:val="72"/>
          <w:szCs w:val="72"/>
          <w:lang w:val="zh-CN"/>
        </w:rPr>
        <w:t>文</w:t>
      </w:r>
      <w:r>
        <w:rPr>
          <w:rFonts w:hint="eastAsia"/>
          <w:b/>
          <w:spacing w:val="-6"/>
          <w:sz w:val="72"/>
          <w:szCs w:val="72"/>
        </w:rPr>
        <w:t xml:space="preserve"> </w:t>
      </w:r>
      <w:r>
        <w:rPr>
          <w:rFonts w:hint="eastAsia"/>
          <w:b/>
          <w:spacing w:val="-6"/>
          <w:sz w:val="72"/>
          <w:szCs w:val="72"/>
          <w:lang w:val="zh-CN"/>
        </w:rPr>
        <w:t>件</w:t>
      </w:r>
    </w:p>
    <w:p>
      <w:pPr>
        <w:autoSpaceDE w:val="0"/>
        <w:autoSpaceDN w:val="0"/>
        <w:adjustRightInd w:val="0"/>
        <w:snapToGrid w:val="0"/>
        <w:spacing w:line="360" w:lineRule="auto"/>
        <w:jc w:val="center"/>
        <w:rPr>
          <w:rFonts w:ascii="仿宋_GB2312" w:eastAsia="仿宋_GB2312"/>
          <w:b/>
          <w:bCs/>
          <w:sz w:val="32"/>
          <w:szCs w:val="32"/>
          <w:lang w:val="zh-CN"/>
        </w:rPr>
      </w:pPr>
    </w:p>
    <w:p>
      <w:pPr>
        <w:pStyle w:val="2"/>
        <w:rPr>
          <w:rFonts w:ascii="仿宋_GB2312" w:eastAsia="仿宋_GB2312"/>
          <w:b/>
          <w:bCs/>
          <w:sz w:val="32"/>
          <w:szCs w:val="32"/>
          <w:lang w:val="zh-CN"/>
        </w:rPr>
      </w:pPr>
    </w:p>
    <w:p>
      <w:pPr>
        <w:pStyle w:val="2"/>
        <w:rPr>
          <w:rFonts w:ascii="仿宋_GB2312" w:eastAsia="仿宋_GB2312"/>
          <w:b/>
          <w:bCs/>
          <w:sz w:val="32"/>
          <w:szCs w:val="32"/>
          <w:lang w:val="zh-CN"/>
        </w:rPr>
      </w:pPr>
    </w:p>
    <w:p>
      <w:pPr>
        <w:pStyle w:val="2"/>
        <w:rPr>
          <w:rFonts w:ascii="仿宋_GB2312" w:eastAsia="仿宋_GB2312"/>
          <w:b/>
          <w:bCs/>
          <w:sz w:val="32"/>
          <w:szCs w:val="32"/>
          <w:lang w:val="zh-CN"/>
        </w:rPr>
      </w:pPr>
    </w:p>
    <w:p>
      <w:pPr>
        <w:pStyle w:val="2"/>
        <w:rPr>
          <w:rFonts w:ascii="仿宋_GB2312" w:eastAsia="仿宋_GB2312"/>
          <w:b/>
          <w:bCs/>
          <w:sz w:val="32"/>
          <w:szCs w:val="32"/>
          <w:lang w:val="zh-CN"/>
        </w:rPr>
      </w:pPr>
    </w:p>
    <w:p>
      <w:pPr>
        <w:pStyle w:val="2"/>
        <w:rPr>
          <w:rFonts w:ascii="仿宋_GB2312" w:eastAsia="仿宋_GB2312"/>
          <w:b/>
          <w:bCs/>
          <w:sz w:val="32"/>
          <w:szCs w:val="32"/>
          <w:lang w:val="zh-CN"/>
        </w:rPr>
      </w:pPr>
    </w:p>
    <w:p>
      <w:pPr>
        <w:widowControl/>
        <w:spacing w:line="360" w:lineRule="auto"/>
        <w:ind w:firstLine="1285" w:firstLineChars="400"/>
        <w:rPr>
          <w:rFonts w:ascii="宋体" w:hAnsi="宋体" w:cs="宋体"/>
          <w:b/>
          <w:sz w:val="32"/>
          <w:szCs w:val="32"/>
        </w:rPr>
      </w:pPr>
      <w:r>
        <w:rPr>
          <w:rFonts w:hint="eastAsia" w:ascii="宋体" w:hAnsi="宋体" w:cs="宋体"/>
          <w:b/>
          <w:sz w:val="32"/>
          <w:szCs w:val="32"/>
        </w:rPr>
        <w:t>采   购   人：</w:t>
      </w:r>
      <w:r>
        <w:rPr>
          <w:rStyle w:val="98"/>
          <w:rFonts w:hint="eastAsia"/>
        </w:rPr>
        <w:t>西安图书馆</w:t>
      </w:r>
    </w:p>
    <w:p>
      <w:pPr>
        <w:spacing w:line="840" w:lineRule="exact"/>
        <w:ind w:firstLine="1285" w:firstLineChars="400"/>
        <w:rPr>
          <w:rFonts w:ascii="宋体" w:hAnsi="宋体" w:cs="宋体"/>
          <w:b/>
          <w:sz w:val="32"/>
          <w:szCs w:val="32"/>
        </w:rPr>
      </w:pPr>
      <w:r>
        <w:rPr>
          <w:rFonts w:hint="eastAsia" w:ascii="宋体" w:hAnsi="宋体" w:cs="宋体"/>
          <w:b/>
          <w:sz w:val="32"/>
          <w:szCs w:val="32"/>
        </w:rPr>
        <w:t>采购代理机构：同正项目管理有限公司</w:t>
      </w:r>
    </w:p>
    <w:p>
      <w:pPr>
        <w:autoSpaceDE w:val="0"/>
        <w:autoSpaceDN w:val="0"/>
        <w:adjustRightInd w:val="0"/>
        <w:snapToGrid w:val="0"/>
        <w:spacing w:line="360" w:lineRule="auto"/>
        <w:ind w:firstLine="2168" w:firstLineChars="600"/>
        <w:rPr>
          <w:rFonts w:ascii="仿宋_GB2312" w:eastAsia="仿宋_GB2312"/>
          <w:b/>
          <w:bCs/>
          <w:sz w:val="36"/>
          <w:szCs w:val="36"/>
          <w:lang w:val="zh-CN"/>
        </w:rPr>
      </w:pPr>
    </w:p>
    <w:p>
      <w:pPr>
        <w:autoSpaceDE w:val="0"/>
        <w:autoSpaceDN w:val="0"/>
        <w:adjustRightInd w:val="0"/>
        <w:snapToGrid w:val="0"/>
        <w:spacing w:line="360" w:lineRule="auto"/>
        <w:ind w:firstLine="2891" w:firstLineChars="900"/>
        <w:rPr>
          <w:rFonts w:ascii="宋体" w:hAnsi="宋体" w:cs="宋体"/>
          <w:b/>
          <w:bCs/>
          <w:sz w:val="36"/>
          <w:szCs w:val="36"/>
          <w:lang w:val="zh-CN"/>
        </w:rPr>
      </w:pPr>
      <w:r>
        <w:rPr>
          <w:rFonts w:hint="eastAsia" w:ascii="宋体" w:hAnsi="宋体" w:cs="宋体"/>
          <w:b/>
          <w:bCs/>
          <w:sz w:val="32"/>
          <w:szCs w:val="32"/>
          <w:lang w:val="zh-CN"/>
        </w:rPr>
        <w:t>二零二</w:t>
      </w:r>
      <w:r>
        <w:rPr>
          <w:rFonts w:hint="eastAsia" w:ascii="宋体" w:hAnsi="宋体" w:cs="宋体"/>
          <w:b/>
          <w:bCs/>
          <w:sz w:val="32"/>
          <w:szCs w:val="32"/>
        </w:rPr>
        <w:t>二</w:t>
      </w:r>
      <w:r>
        <w:rPr>
          <w:rFonts w:hint="eastAsia" w:ascii="宋体" w:hAnsi="宋体" w:cs="宋体"/>
          <w:b/>
          <w:bCs/>
          <w:sz w:val="32"/>
          <w:szCs w:val="32"/>
          <w:lang w:val="zh-CN"/>
        </w:rPr>
        <w:t>年</w:t>
      </w:r>
      <w:r>
        <w:rPr>
          <w:rFonts w:hint="eastAsia" w:ascii="宋体" w:hAnsi="宋体" w:cs="宋体"/>
          <w:b/>
          <w:bCs/>
          <w:sz w:val="32"/>
          <w:szCs w:val="32"/>
        </w:rPr>
        <w:t>七</w:t>
      </w:r>
      <w:r>
        <w:rPr>
          <w:rFonts w:hint="eastAsia" w:ascii="宋体" w:hAnsi="宋体" w:cs="宋体"/>
          <w:b/>
          <w:bCs/>
          <w:sz w:val="32"/>
          <w:szCs w:val="32"/>
          <w:lang w:val="zh-CN"/>
        </w:rPr>
        <w:t>月</w:t>
      </w:r>
    </w:p>
    <w:bookmarkEnd w:id="0"/>
    <w:bookmarkEnd w:id="1"/>
    <w:p>
      <w:pPr>
        <w:rPr>
          <w:rFonts w:ascii="宋体" w:hAnsi="宋体"/>
          <w:color w:val="FF0000"/>
          <w:sz w:val="44"/>
          <w:szCs w:val="44"/>
        </w:rPr>
      </w:pPr>
    </w:p>
    <w:p>
      <w:pPr>
        <w:pStyle w:val="4"/>
        <w:spacing w:line="276" w:lineRule="auto"/>
        <w:jc w:val="center"/>
        <w:sectPr>
          <w:headerReference r:id="rId4" w:type="first"/>
          <w:headerReference r:id="rId3" w:type="default"/>
          <w:footerReference r:id="rId5" w:type="default"/>
          <w:pgSz w:w="11906" w:h="16838"/>
          <w:pgMar w:top="1418" w:right="1418" w:bottom="1418" w:left="1418" w:header="851" w:footer="992" w:gutter="0"/>
          <w:pgNumType w:start="1"/>
          <w:cols w:space="720" w:num="1"/>
          <w:titlePg/>
          <w:docGrid w:linePitch="312" w:charSpace="0"/>
        </w:sectPr>
      </w:pPr>
      <w:bookmarkStart w:id="3" w:name="_Toc25986"/>
      <w:bookmarkStart w:id="4" w:name="_Toc531256389"/>
      <w:bookmarkStart w:id="5" w:name="_Toc8308120"/>
      <w:bookmarkStart w:id="6" w:name="_Toc17828"/>
      <w:bookmarkStart w:id="7" w:name="_Toc9950"/>
    </w:p>
    <w:p>
      <w:pPr>
        <w:spacing w:line="360" w:lineRule="auto"/>
        <w:ind w:firstLine="203" w:firstLineChars="46"/>
        <w:jc w:val="center"/>
        <w:rPr>
          <w:rFonts w:ascii="宋体" w:hAnsi="宋体"/>
          <w:b/>
          <w:bCs/>
          <w:sz w:val="44"/>
          <w:szCs w:val="44"/>
          <w:lang w:val="zh-CN"/>
        </w:rPr>
      </w:pPr>
      <w:bookmarkStart w:id="8" w:name="_Toc20079"/>
      <w:bookmarkStart w:id="9" w:name="_Toc5836"/>
      <w:bookmarkStart w:id="10" w:name="_Toc12549"/>
      <w:bookmarkStart w:id="11" w:name="_Toc7533"/>
      <w:bookmarkStart w:id="12" w:name="_Toc23859"/>
      <w:bookmarkStart w:id="13" w:name="_Toc10416"/>
      <w:bookmarkStart w:id="14" w:name="_Toc27452"/>
      <w:bookmarkStart w:id="15" w:name="_Toc4832"/>
      <w:bookmarkStart w:id="16" w:name="_Toc8325"/>
      <w:r>
        <w:rPr>
          <w:rFonts w:hint="eastAsia" w:ascii="宋体" w:hAnsi="宋体"/>
          <w:b/>
          <w:bCs/>
          <w:sz w:val="44"/>
          <w:szCs w:val="44"/>
          <w:lang w:val="zh-CN"/>
        </w:rPr>
        <w:t>温馨提示</w:t>
      </w:r>
    </w:p>
    <w:p>
      <w:pPr>
        <w:spacing w:line="360" w:lineRule="auto"/>
        <w:ind w:firstLine="623" w:firstLineChars="194"/>
        <w:rPr>
          <w:rFonts w:ascii="仿宋_GB2312" w:hAnsi="宋体" w:eastAsia="仿宋_GB2312"/>
          <w:b/>
          <w:bCs/>
          <w:sz w:val="32"/>
          <w:szCs w:val="32"/>
          <w:lang w:val="zh-CN"/>
        </w:rPr>
      </w:pPr>
    </w:p>
    <w:p>
      <w:pPr>
        <w:spacing w:line="360" w:lineRule="auto"/>
        <w:ind w:firstLine="620" w:firstLineChars="194"/>
        <w:rPr>
          <w:rFonts w:ascii="宋体" w:hAnsi="宋体"/>
          <w:bCs/>
          <w:color w:val="000000"/>
          <w:sz w:val="32"/>
          <w:szCs w:val="32"/>
        </w:rPr>
      </w:pPr>
      <w:r>
        <w:rPr>
          <w:rFonts w:hint="eastAsia" w:ascii="宋体" w:hAnsi="宋体"/>
          <w:bCs/>
          <w:color w:val="000000"/>
          <w:sz w:val="32"/>
          <w:szCs w:val="32"/>
          <w:lang w:val="zh-CN"/>
        </w:rPr>
        <w:t>购买招标文件后，请仔细阅读，如有疑问，请来电咨询。电话：029-86522030</w:t>
      </w:r>
      <w:r>
        <w:rPr>
          <w:rFonts w:hint="eastAsia" w:ascii="宋体" w:hAnsi="宋体"/>
          <w:bCs/>
          <w:color w:val="000000"/>
          <w:sz w:val="32"/>
          <w:szCs w:val="32"/>
        </w:rPr>
        <w:t>转806。</w:t>
      </w:r>
    </w:p>
    <w:p>
      <w:pPr>
        <w:spacing w:line="360" w:lineRule="auto"/>
        <w:ind w:firstLine="420"/>
        <w:rPr>
          <w:rFonts w:ascii="宋体" w:hAnsi="宋体" w:cs="宋体"/>
          <w:sz w:val="30"/>
          <w:szCs w:val="30"/>
        </w:rPr>
      </w:pPr>
    </w:p>
    <w:p>
      <w:pPr>
        <w:spacing w:line="360" w:lineRule="auto"/>
        <w:ind w:firstLine="420"/>
        <w:rPr>
          <w:rFonts w:ascii="宋体" w:hAnsi="宋体" w:cs="宋体"/>
          <w:sz w:val="30"/>
          <w:szCs w:val="30"/>
        </w:rPr>
      </w:pPr>
      <w:r>
        <w:rPr>
          <w:rFonts w:hint="eastAsia" w:ascii="宋体" w:hAnsi="宋体" w:cs="宋体"/>
          <w:sz w:val="30"/>
          <w:szCs w:val="30"/>
        </w:rPr>
        <w:t>请将招标代理服务费汇至下列指定账户：</w:t>
      </w:r>
    </w:p>
    <w:p>
      <w:pPr>
        <w:spacing w:line="360" w:lineRule="auto"/>
        <w:ind w:firstLine="420"/>
        <w:rPr>
          <w:rFonts w:ascii="宋体" w:hAnsi="宋体" w:cs="宋体"/>
          <w:sz w:val="30"/>
          <w:szCs w:val="30"/>
        </w:rPr>
      </w:pPr>
      <w:r>
        <w:rPr>
          <w:rFonts w:hint="eastAsia" w:ascii="宋体" w:hAnsi="宋体" w:cs="宋体"/>
          <w:sz w:val="30"/>
          <w:szCs w:val="30"/>
        </w:rPr>
        <w:t>开户名称：同正项目管理有限公司</w:t>
      </w:r>
    </w:p>
    <w:p>
      <w:pPr>
        <w:spacing w:line="360" w:lineRule="auto"/>
        <w:ind w:firstLine="420"/>
        <w:rPr>
          <w:rFonts w:ascii="宋体" w:hAnsi="宋体" w:cs="宋体"/>
          <w:sz w:val="30"/>
          <w:szCs w:val="30"/>
        </w:rPr>
      </w:pPr>
      <w:r>
        <w:rPr>
          <w:rFonts w:hint="eastAsia" w:ascii="宋体" w:hAnsi="宋体" w:cs="宋体"/>
          <w:sz w:val="30"/>
          <w:szCs w:val="30"/>
        </w:rPr>
        <w:t>开户银行：中信银行股份有限公司西安经济技术开发区支行</w:t>
      </w:r>
    </w:p>
    <w:p>
      <w:pPr>
        <w:spacing w:line="360" w:lineRule="auto"/>
        <w:ind w:firstLine="420"/>
        <w:rPr>
          <w:rFonts w:ascii="宋体" w:hAnsi="宋体" w:cs="宋体"/>
          <w:sz w:val="30"/>
          <w:szCs w:val="30"/>
        </w:rPr>
      </w:pPr>
      <w:r>
        <w:rPr>
          <w:rFonts w:hint="eastAsia" w:ascii="宋体" w:hAnsi="宋体" w:cs="宋体"/>
          <w:sz w:val="30"/>
          <w:szCs w:val="30"/>
        </w:rPr>
        <w:t>账    号：725121018260013131</w:t>
      </w:r>
    </w:p>
    <w:p>
      <w:pPr>
        <w:pStyle w:val="2"/>
        <w:rPr>
          <w:rFonts w:ascii="宋体" w:hAnsi="宋体" w:cs="宋体"/>
          <w:sz w:val="30"/>
          <w:szCs w:val="30"/>
        </w:rPr>
      </w:pPr>
    </w:p>
    <w:p>
      <w:pPr>
        <w:pStyle w:val="3"/>
        <w:sectPr>
          <w:pgSz w:w="11906" w:h="16838"/>
          <w:pgMar w:top="1418" w:right="1418" w:bottom="1418" w:left="1418" w:header="851" w:footer="992" w:gutter="0"/>
          <w:pgNumType w:start="1"/>
          <w:cols w:space="720" w:num="1"/>
          <w:titlePg/>
          <w:docGrid w:linePitch="312" w:charSpace="0"/>
        </w:sectPr>
      </w:pPr>
    </w:p>
    <w:p>
      <w:pPr>
        <w:pStyle w:val="15"/>
        <w:rPr>
          <w:lang w:val="zh-CN"/>
        </w:rPr>
      </w:pPr>
    </w:p>
    <w:p>
      <w:pPr>
        <w:pStyle w:val="4"/>
        <w:spacing w:line="600" w:lineRule="auto"/>
        <w:jc w:val="center"/>
        <w:rPr>
          <w:rFonts w:asciiTheme="minorEastAsia" w:hAnsiTheme="minorEastAsia" w:eastAsiaTheme="minorEastAsia" w:cstheme="minorEastAsia"/>
          <w:sz w:val="44"/>
          <w:szCs w:val="24"/>
        </w:rPr>
      </w:pPr>
      <w:bookmarkStart w:id="17" w:name="_Toc6302"/>
      <w:r>
        <w:rPr>
          <w:rFonts w:hint="eastAsia" w:asciiTheme="minorEastAsia" w:hAnsiTheme="minorEastAsia" w:eastAsiaTheme="minorEastAsia" w:cstheme="minorEastAsia"/>
          <w:sz w:val="48"/>
          <w:szCs w:val="28"/>
        </w:rPr>
        <w:t>目    录</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Theme="minorEastAsia" w:hAnsiTheme="minorEastAsia" w:eastAsiaTheme="minorEastAsia" w:cstheme="minorEastAsia"/>
          <w:sz w:val="44"/>
          <w:szCs w:val="24"/>
        </w:rPr>
        <w:fldChar w:fldCharType="begin"/>
      </w:r>
      <w:r>
        <w:rPr>
          <w:rFonts w:hint="eastAsia" w:asciiTheme="minorEastAsia" w:hAnsiTheme="minorEastAsia" w:eastAsiaTheme="minorEastAsia" w:cstheme="minorEastAsia"/>
          <w:sz w:val="44"/>
          <w:szCs w:val="24"/>
        </w:rPr>
        <w:instrText xml:space="preserve"> TOC \o "1-2" \h \z \u </w:instrText>
      </w:r>
      <w:r>
        <w:rPr>
          <w:rFonts w:hint="eastAsia" w:asciiTheme="minorEastAsia" w:hAnsiTheme="minorEastAsia" w:eastAsiaTheme="minorEastAsia" w:cstheme="minorEastAsia"/>
          <w:sz w:val="44"/>
          <w:szCs w:val="24"/>
        </w:rPr>
        <w:fldChar w:fldCharType="separate"/>
      </w:r>
    </w:p>
    <w:p>
      <w:pPr>
        <w:pStyle w:val="24"/>
        <w:tabs>
          <w:tab w:val="right" w:leader="dot" w:pos="9070"/>
          <w:tab w:val="clear" w:pos="9060"/>
        </w:tabs>
        <w:spacing w:line="720" w:lineRule="auto"/>
        <w:rPr>
          <w:rFonts w:asciiTheme="minorEastAsia" w:hAnsiTheme="minorEastAsia" w:eastAsiaTheme="minorEastAsia" w:cstheme="minorEastAsia"/>
          <w:b w:val="0"/>
          <w:bCs/>
          <w:sz w:val="30"/>
          <w:szCs w:val="30"/>
        </w:rPr>
      </w:pPr>
      <w:r>
        <w:fldChar w:fldCharType="begin"/>
      </w:r>
      <w:r>
        <w:instrText xml:space="preserve"> HYPERLINK \l "_Toc6221" </w:instrText>
      </w:r>
      <w:r>
        <w:fldChar w:fldCharType="separate"/>
      </w:r>
      <w:r>
        <w:rPr>
          <w:rFonts w:hint="eastAsia" w:asciiTheme="minorEastAsia" w:hAnsiTheme="minorEastAsia" w:eastAsiaTheme="minorEastAsia" w:cstheme="minorEastAsia"/>
          <w:b w:val="0"/>
          <w:bCs/>
          <w:sz w:val="30"/>
          <w:szCs w:val="30"/>
        </w:rPr>
        <w:t>第一章 招标公告</w:t>
      </w:r>
      <w:r>
        <w:rPr>
          <w:rFonts w:hint="eastAsia" w:asciiTheme="minorEastAsia" w:hAnsiTheme="minorEastAsia" w:eastAsiaTheme="minorEastAsia" w:cstheme="minorEastAsia"/>
          <w:b w:val="0"/>
          <w:bCs/>
          <w:sz w:val="30"/>
          <w:szCs w:val="30"/>
        </w:rPr>
        <w:tab/>
      </w:r>
      <w:r>
        <w:rPr>
          <w:rFonts w:hint="eastAsia" w:asciiTheme="minorEastAsia" w:hAnsiTheme="minorEastAsia" w:eastAsiaTheme="minorEastAsia" w:cstheme="minorEastAsia"/>
          <w:b w:val="0"/>
          <w:bCs/>
          <w:sz w:val="30"/>
          <w:szCs w:val="30"/>
        </w:rPr>
        <w:fldChar w:fldCharType="begin"/>
      </w:r>
      <w:r>
        <w:rPr>
          <w:rFonts w:hint="eastAsia" w:asciiTheme="minorEastAsia" w:hAnsiTheme="minorEastAsia" w:eastAsiaTheme="minorEastAsia" w:cstheme="minorEastAsia"/>
          <w:b w:val="0"/>
          <w:bCs/>
          <w:sz w:val="30"/>
          <w:szCs w:val="30"/>
        </w:rPr>
        <w:instrText xml:space="preserve"> PAGEREF _Toc6221 \h </w:instrText>
      </w:r>
      <w:r>
        <w:rPr>
          <w:rFonts w:hint="eastAsia" w:asciiTheme="minorEastAsia" w:hAnsiTheme="minorEastAsia" w:eastAsiaTheme="minorEastAsia" w:cstheme="minorEastAsia"/>
          <w:b w:val="0"/>
          <w:bCs/>
          <w:sz w:val="30"/>
          <w:szCs w:val="30"/>
        </w:rPr>
        <w:fldChar w:fldCharType="separate"/>
      </w:r>
      <w:r>
        <w:rPr>
          <w:rFonts w:hint="eastAsia" w:asciiTheme="minorEastAsia" w:hAnsiTheme="minorEastAsia" w:eastAsiaTheme="minorEastAsia" w:cstheme="minorEastAsia"/>
          <w:b w:val="0"/>
          <w:bCs/>
          <w:sz w:val="30"/>
          <w:szCs w:val="30"/>
        </w:rPr>
        <w:t>1</w:t>
      </w:r>
      <w:r>
        <w:rPr>
          <w:rFonts w:hint="eastAsia" w:asciiTheme="minorEastAsia" w:hAnsiTheme="minorEastAsia" w:eastAsiaTheme="minorEastAsia" w:cstheme="minorEastAsia"/>
          <w:b w:val="0"/>
          <w:bCs/>
          <w:sz w:val="30"/>
          <w:szCs w:val="30"/>
        </w:rPr>
        <w:fldChar w:fldCharType="end"/>
      </w:r>
      <w:r>
        <w:rPr>
          <w:rFonts w:hint="eastAsia" w:asciiTheme="minorEastAsia" w:hAnsiTheme="minorEastAsia" w:eastAsiaTheme="minorEastAsia" w:cstheme="minorEastAsia"/>
          <w:b w:val="0"/>
          <w:bCs/>
          <w:sz w:val="30"/>
          <w:szCs w:val="30"/>
        </w:rPr>
        <w:fldChar w:fldCharType="end"/>
      </w:r>
    </w:p>
    <w:p>
      <w:pPr>
        <w:pStyle w:val="24"/>
        <w:tabs>
          <w:tab w:val="right" w:leader="dot" w:pos="9070"/>
          <w:tab w:val="clear" w:pos="9060"/>
        </w:tabs>
        <w:spacing w:line="720" w:lineRule="auto"/>
        <w:rPr>
          <w:rFonts w:asciiTheme="minorEastAsia" w:hAnsiTheme="minorEastAsia" w:eastAsiaTheme="minorEastAsia" w:cstheme="minorEastAsia"/>
          <w:b w:val="0"/>
          <w:bCs/>
          <w:sz w:val="30"/>
          <w:szCs w:val="30"/>
        </w:rPr>
      </w:pPr>
      <w:r>
        <w:fldChar w:fldCharType="begin"/>
      </w:r>
      <w:r>
        <w:instrText xml:space="preserve"> HYPERLINK \l "_Toc4878" </w:instrText>
      </w:r>
      <w:r>
        <w:fldChar w:fldCharType="separate"/>
      </w:r>
      <w:r>
        <w:rPr>
          <w:rFonts w:hint="eastAsia" w:asciiTheme="minorEastAsia" w:hAnsiTheme="minorEastAsia" w:eastAsiaTheme="minorEastAsia" w:cstheme="minorEastAsia"/>
          <w:b w:val="0"/>
          <w:bCs/>
          <w:sz w:val="30"/>
          <w:szCs w:val="30"/>
        </w:rPr>
        <w:t>第二章 投标人须知前附表</w:t>
      </w:r>
      <w:r>
        <w:rPr>
          <w:rFonts w:hint="eastAsia" w:asciiTheme="minorEastAsia" w:hAnsiTheme="minorEastAsia" w:eastAsiaTheme="minorEastAsia" w:cstheme="minorEastAsia"/>
          <w:b w:val="0"/>
          <w:bCs/>
          <w:sz w:val="30"/>
          <w:szCs w:val="30"/>
        </w:rPr>
        <w:tab/>
      </w:r>
      <w:r>
        <w:rPr>
          <w:rFonts w:hint="eastAsia" w:asciiTheme="minorEastAsia" w:hAnsiTheme="minorEastAsia" w:eastAsiaTheme="minorEastAsia" w:cstheme="minorEastAsia"/>
          <w:b w:val="0"/>
          <w:bCs/>
          <w:sz w:val="30"/>
          <w:szCs w:val="30"/>
        </w:rPr>
        <w:fldChar w:fldCharType="begin"/>
      </w:r>
      <w:r>
        <w:rPr>
          <w:rFonts w:hint="eastAsia" w:asciiTheme="minorEastAsia" w:hAnsiTheme="minorEastAsia" w:eastAsiaTheme="minorEastAsia" w:cstheme="minorEastAsia"/>
          <w:b w:val="0"/>
          <w:bCs/>
          <w:sz w:val="30"/>
          <w:szCs w:val="30"/>
        </w:rPr>
        <w:instrText xml:space="preserve"> PAGEREF _Toc4878 \h </w:instrText>
      </w:r>
      <w:r>
        <w:rPr>
          <w:rFonts w:hint="eastAsia" w:asciiTheme="minorEastAsia" w:hAnsiTheme="minorEastAsia" w:eastAsiaTheme="minorEastAsia" w:cstheme="minorEastAsia"/>
          <w:b w:val="0"/>
          <w:bCs/>
          <w:sz w:val="30"/>
          <w:szCs w:val="30"/>
        </w:rPr>
        <w:fldChar w:fldCharType="separate"/>
      </w:r>
      <w:r>
        <w:rPr>
          <w:rFonts w:hint="eastAsia" w:asciiTheme="minorEastAsia" w:hAnsiTheme="minorEastAsia" w:eastAsiaTheme="minorEastAsia" w:cstheme="minorEastAsia"/>
          <w:b w:val="0"/>
          <w:bCs/>
          <w:sz w:val="30"/>
          <w:szCs w:val="30"/>
        </w:rPr>
        <w:t>4</w:t>
      </w:r>
      <w:r>
        <w:rPr>
          <w:rFonts w:hint="eastAsia" w:asciiTheme="minorEastAsia" w:hAnsiTheme="minorEastAsia" w:eastAsiaTheme="minorEastAsia" w:cstheme="minorEastAsia"/>
          <w:b w:val="0"/>
          <w:bCs/>
          <w:sz w:val="30"/>
          <w:szCs w:val="30"/>
        </w:rPr>
        <w:fldChar w:fldCharType="end"/>
      </w:r>
      <w:r>
        <w:rPr>
          <w:rFonts w:hint="eastAsia" w:asciiTheme="minorEastAsia" w:hAnsiTheme="minorEastAsia" w:eastAsiaTheme="minorEastAsia" w:cstheme="minorEastAsia"/>
          <w:b w:val="0"/>
          <w:bCs/>
          <w:sz w:val="30"/>
          <w:szCs w:val="30"/>
        </w:rPr>
        <w:fldChar w:fldCharType="end"/>
      </w:r>
    </w:p>
    <w:p>
      <w:pPr>
        <w:pStyle w:val="24"/>
        <w:tabs>
          <w:tab w:val="right" w:leader="dot" w:pos="9070"/>
          <w:tab w:val="clear" w:pos="9060"/>
        </w:tabs>
        <w:spacing w:line="720" w:lineRule="auto"/>
        <w:rPr>
          <w:rFonts w:asciiTheme="minorEastAsia" w:hAnsiTheme="minorEastAsia" w:eastAsiaTheme="minorEastAsia" w:cstheme="minorEastAsia"/>
          <w:b w:val="0"/>
          <w:bCs/>
          <w:sz w:val="30"/>
          <w:szCs w:val="30"/>
        </w:rPr>
      </w:pPr>
      <w:r>
        <w:fldChar w:fldCharType="begin"/>
      </w:r>
      <w:r>
        <w:instrText xml:space="preserve"> HYPERLINK \l "_Toc4621" </w:instrText>
      </w:r>
      <w:r>
        <w:fldChar w:fldCharType="separate"/>
      </w:r>
      <w:r>
        <w:rPr>
          <w:rFonts w:hint="eastAsia" w:asciiTheme="minorEastAsia" w:hAnsiTheme="minorEastAsia" w:eastAsiaTheme="minorEastAsia" w:cstheme="minorEastAsia"/>
          <w:b w:val="0"/>
          <w:bCs/>
          <w:sz w:val="30"/>
          <w:szCs w:val="30"/>
        </w:rPr>
        <w:t>第三章 投标人须知</w:t>
      </w:r>
      <w:r>
        <w:rPr>
          <w:rFonts w:hint="eastAsia" w:asciiTheme="minorEastAsia" w:hAnsiTheme="minorEastAsia" w:eastAsiaTheme="minorEastAsia" w:cstheme="minorEastAsia"/>
          <w:b w:val="0"/>
          <w:bCs/>
          <w:sz w:val="30"/>
          <w:szCs w:val="30"/>
        </w:rPr>
        <w:tab/>
      </w:r>
      <w:r>
        <w:rPr>
          <w:rFonts w:hint="eastAsia" w:asciiTheme="minorEastAsia" w:hAnsiTheme="minorEastAsia" w:eastAsiaTheme="minorEastAsia" w:cstheme="minorEastAsia"/>
          <w:b w:val="0"/>
          <w:bCs/>
          <w:sz w:val="30"/>
          <w:szCs w:val="30"/>
        </w:rPr>
        <w:fldChar w:fldCharType="begin"/>
      </w:r>
      <w:r>
        <w:rPr>
          <w:rFonts w:hint="eastAsia" w:asciiTheme="minorEastAsia" w:hAnsiTheme="minorEastAsia" w:eastAsiaTheme="minorEastAsia" w:cstheme="minorEastAsia"/>
          <w:b w:val="0"/>
          <w:bCs/>
          <w:sz w:val="30"/>
          <w:szCs w:val="30"/>
        </w:rPr>
        <w:instrText xml:space="preserve"> PAGEREF _Toc4621 \h </w:instrText>
      </w:r>
      <w:r>
        <w:rPr>
          <w:rFonts w:hint="eastAsia" w:asciiTheme="minorEastAsia" w:hAnsiTheme="minorEastAsia" w:eastAsiaTheme="minorEastAsia" w:cstheme="minorEastAsia"/>
          <w:b w:val="0"/>
          <w:bCs/>
          <w:sz w:val="30"/>
          <w:szCs w:val="30"/>
        </w:rPr>
        <w:fldChar w:fldCharType="separate"/>
      </w:r>
      <w:r>
        <w:rPr>
          <w:rFonts w:hint="eastAsia" w:asciiTheme="minorEastAsia" w:hAnsiTheme="minorEastAsia" w:eastAsiaTheme="minorEastAsia" w:cstheme="minorEastAsia"/>
          <w:b w:val="0"/>
          <w:bCs/>
          <w:sz w:val="30"/>
          <w:szCs w:val="30"/>
        </w:rPr>
        <w:t>7</w:t>
      </w:r>
      <w:r>
        <w:rPr>
          <w:rFonts w:hint="eastAsia" w:asciiTheme="minorEastAsia" w:hAnsiTheme="minorEastAsia" w:eastAsiaTheme="minorEastAsia" w:cstheme="minorEastAsia"/>
          <w:b w:val="0"/>
          <w:bCs/>
          <w:sz w:val="30"/>
          <w:szCs w:val="30"/>
        </w:rPr>
        <w:fldChar w:fldCharType="end"/>
      </w:r>
      <w:r>
        <w:rPr>
          <w:rFonts w:hint="eastAsia" w:asciiTheme="minorEastAsia" w:hAnsiTheme="minorEastAsia" w:eastAsiaTheme="minorEastAsia" w:cstheme="minorEastAsia"/>
          <w:b w:val="0"/>
          <w:bCs/>
          <w:sz w:val="30"/>
          <w:szCs w:val="30"/>
        </w:rPr>
        <w:fldChar w:fldCharType="end"/>
      </w:r>
    </w:p>
    <w:p>
      <w:pPr>
        <w:pStyle w:val="24"/>
        <w:tabs>
          <w:tab w:val="right" w:leader="dot" w:pos="9070"/>
          <w:tab w:val="clear" w:pos="9060"/>
        </w:tabs>
        <w:spacing w:line="720" w:lineRule="auto"/>
        <w:rPr>
          <w:rFonts w:asciiTheme="minorEastAsia" w:hAnsiTheme="minorEastAsia" w:eastAsiaTheme="minorEastAsia" w:cstheme="minorEastAsia"/>
          <w:b w:val="0"/>
          <w:bCs/>
          <w:sz w:val="30"/>
          <w:szCs w:val="30"/>
        </w:rPr>
      </w:pPr>
      <w:r>
        <w:fldChar w:fldCharType="begin"/>
      </w:r>
      <w:r>
        <w:instrText xml:space="preserve"> HYPERLINK \l "_Toc28100" </w:instrText>
      </w:r>
      <w:r>
        <w:fldChar w:fldCharType="separate"/>
      </w:r>
      <w:r>
        <w:rPr>
          <w:rFonts w:hint="eastAsia" w:asciiTheme="minorEastAsia" w:hAnsiTheme="minorEastAsia" w:eastAsiaTheme="minorEastAsia" w:cstheme="minorEastAsia"/>
          <w:b w:val="0"/>
          <w:bCs/>
          <w:sz w:val="30"/>
          <w:szCs w:val="30"/>
        </w:rPr>
        <w:t>第四章 评标办法</w:t>
      </w:r>
      <w:r>
        <w:rPr>
          <w:rFonts w:hint="eastAsia" w:asciiTheme="minorEastAsia" w:hAnsiTheme="minorEastAsia" w:eastAsiaTheme="minorEastAsia" w:cstheme="minorEastAsia"/>
          <w:b w:val="0"/>
          <w:bCs/>
          <w:sz w:val="30"/>
          <w:szCs w:val="30"/>
        </w:rPr>
        <w:tab/>
      </w:r>
      <w:r>
        <w:rPr>
          <w:rFonts w:hint="eastAsia" w:asciiTheme="minorEastAsia" w:hAnsiTheme="minorEastAsia" w:eastAsiaTheme="minorEastAsia" w:cstheme="minorEastAsia"/>
          <w:b w:val="0"/>
          <w:bCs/>
          <w:sz w:val="30"/>
          <w:szCs w:val="30"/>
        </w:rPr>
        <w:fldChar w:fldCharType="begin"/>
      </w:r>
      <w:r>
        <w:rPr>
          <w:rFonts w:hint="eastAsia" w:asciiTheme="minorEastAsia" w:hAnsiTheme="minorEastAsia" w:eastAsiaTheme="minorEastAsia" w:cstheme="minorEastAsia"/>
          <w:b w:val="0"/>
          <w:bCs/>
          <w:sz w:val="30"/>
          <w:szCs w:val="30"/>
        </w:rPr>
        <w:instrText xml:space="preserve"> PAGEREF _Toc28100 \h </w:instrText>
      </w:r>
      <w:r>
        <w:rPr>
          <w:rFonts w:hint="eastAsia" w:asciiTheme="minorEastAsia" w:hAnsiTheme="minorEastAsia" w:eastAsiaTheme="minorEastAsia" w:cstheme="minorEastAsia"/>
          <w:b w:val="0"/>
          <w:bCs/>
          <w:sz w:val="30"/>
          <w:szCs w:val="30"/>
        </w:rPr>
        <w:fldChar w:fldCharType="separate"/>
      </w:r>
      <w:r>
        <w:rPr>
          <w:rFonts w:hint="eastAsia" w:asciiTheme="minorEastAsia" w:hAnsiTheme="minorEastAsia" w:eastAsiaTheme="minorEastAsia" w:cstheme="minorEastAsia"/>
          <w:b w:val="0"/>
          <w:bCs/>
          <w:sz w:val="30"/>
          <w:szCs w:val="30"/>
        </w:rPr>
        <w:t>29</w:t>
      </w:r>
      <w:r>
        <w:rPr>
          <w:rFonts w:hint="eastAsia" w:asciiTheme="minorEastAsia" w:hAnsiTheme="minorEastAsia" w:eastAsiaTheme="minorEastAsia" w:cstheme="minorEastAsia"/>
          <w:b w:val="0"/>
          <w:bCs/>
          <w:sz w:val="30"/>
          <w:szCs w:val="30"/>
        </w:rPr>
        <w:fldChar w:fldCharType="end"/>
      </w:r>
      <w:r>
        <w:rPr>
          <w:rFonts w:hint="eastAsia" w:asciiTheme="minorEastAsia" w:hAnsiTheme="minorEastAsia" w:eastAsiaTheme="minorEastAsia" w:cstheme="minorEastAsia"/>
          <w:b w:val="0"/>
          <w:bCs/>
          <w:sz w:val="30"/>
          <w:szCs w:val="30"/>
        </w:rPr>
        <w:fldChar w:fldCharType="end"/>
      </w:r>
    </w:p>
    <w:p>
      <w:pPr>
        <w:pStyle w:val="24"/>
        <w:tabs>
          <w:tab w:val="right" w:leader="dot" w:pos="9070"/>
          <w:tab w:val="clear" w:pos="9060"/>
        </w:tabs>
        <w:spacing w:line="720" w:lineRule="auto"/>
        <w:rPr>
          <w:rFonts w:asciiTheme="minorEastAsia" w:hAnsiTheme="minorEastAsia" w:eastAsiaTheme="minorEastAsia" w:cstheme="minorEastAsia"/>
          <w:b w:val="0"/>
          <w:bCs/>
          <w:sz w:val="30"/>
          <w:szCs w:val="30"/>
        </w:rPr>
      </w:pPr>
      <w:r>
        <w:fldChar w:fldCharType="begin"/>
      </w:r>
      <w:r>
        <w:instrText xml:space="preserve"> HYPERLINK \l "_Toc451" </w:instrText>
      </w:r>
      <w:r>
        <w:fldChar w:fldCharType="separate"/>
      </w:r>
      <w:r>
        <w:rPr>
          <w:rFonts w:hint="eastAsia" w:asciiTheme="minorEastAsia" w:hAnsiTheme="minorEastAsia" w:eastAsiaTheme="minorEastAsia" w:cstheme="minorEastAsia"/>
          <w:b w:val="0"/>
          <w:bCs/>
          <w:kern w:val="44"/>
          <w:sz w:val="30"/>
          <w:szCs w:val="30"/>
        </w:rPr>
        <w:t>第五章 采购内容及要求</w:t>
      </w:r>
      <w:r>
        <w:rPr>
          <w:rFonts w:hint="eastAsia" w:asciiTheme="minorEastAsia" w:hAnsiTheme="minorEastAsia" w:eastAsiaTheme="minorEastAsia" w:cstheme="minorEastAsia"/>
          <w:b w:val="0"/>
          <w:bCs/>
          <w:sz w:val="30"/>
          <w:szCs w:val="30"/>
        </w:rPr>
        <w:tab/>
      </w:r>
      <w:r>
        <w:rPr>
          <w:rFonts w:hint="eastAsia" w:asciiTheme="minorEastAsia" w:hAnsiTheme="minorEastAsia" w:eastAsiaTheme="minorEastAsia" w:cstheme="minorEastAsia"/>
          <w:b w:val="0"/>
          <w:bCs/>
          <w:sz w:val="30"/>
          <w:szCs w:val="30"/>
        </w:rPr>
        <w:fldChar w:fldCharType="begin"/>
      </w:r>
      <w:r>
        <w:rPr>
          <w:rFonts w:hint="eastAsia" w:asciiTheme="minorEastAsia" w:hAnsiTheme="minorEastAsia" w:eastAsiaTheme="minorEastAsia" w:cstheme="minorEastAsia"/>
          <w:b w:val="0"/>
          <w:bCs/>
          <w:sz w:val="30"/>
          <w:szCs w:val="30"/>
        </w:rPr>
        <w:instrText xml:space="preserve"> PAGEREF _Toc451 \h </w:instrText>
      </w:r>
      <w:r>
        <w:rPr>
          <w:rFonts w:hint="eastAsia" w:asciiTheme="minorEastAsia" w:hAnsiTheme="minorEastAsia" w:eastAsiaTheme="minorEastAsia" w:cstheme="minorEastAsia"/>
          <w:b w:val="0"/>
          <w:bCs/>
          <w:sz w:val="30"/>
          <w:szCs w:val="30"/>
        </w:rPr>
        <w:fldChar w:fldCharType="separate"/>
      </w:r>
      <w:r>
        <w:rPr>
          <w:rFonts w:hint="eastAsia" w:asciiTheme="minorEastAsia" w:hAnsiTheme="minorEastAsia" w:eastAsiaTheme="minorEastAsia" w:cstheme="minorEastAsia"/>
          <w:b w:val="0"/>
          <w:bCs/>
          <w:sz w:val="30"/>
          <w:szCs w:val="30"/>
        </w:rPr>
        <w:t>38</w:t>
      </w:r>
      <w:r>
        <w:rPr>
          <w:rFonts w:hint="eastAsia" w:asciiTheme="minorEastAsia" w:hAnsiTheme="minorEastAsia" w:eastAsiaTheme="minorEastAsia" w:cstheme="minorEastAsia"/>
          <w:b w:val="0"/>
          <w:bCs/>
          <w:sz w:val="30"/>
          <w:szCs w:val="30"/>
        </w:rPr>
        <w:fldChar w:fldCharType="end"/>
      </w:r>
      <w:r>
        <w:rPr>
          <w:rFonts w:hint="eastAsia" w:asciiTheme="minorEastAsia" w:hAnsiTheme="minorEastAsia" w:eastAsiaTheme="minorEastAsia" w:cstheme="minorEastAsia"/>
          <w:b w:val="0"/>
          <w:bCs/>
          <w:sz w:val="30"/>
          <w:szCs w:val="30"/>
        </w:rPr>
        <w:fldChar w:fldCharType="end"/>
      </w:r>
    </w:p>
    <w:p>
      <w:pPr>
        <w:pStyle w:val="24"/>
        <w:tabs>
          <w:tab w:val="right" w:leader="dot" w:pos="9070"/>
          <w:tab w:val="clear" w:pos="9060"/>
        </w:tabs>
        <w:spacing w:line="720" w:lineRule="auto"/>
        <w:rPr>
          <w:rFonts w:asciiTheme="minorEastAsia" w:hAnsiTheme="minorEastAsia" w:eastAsiaTheme="minorEastAsia" w:cstheme="minorEastAsia"/>
          <w:b w:val="0"/>
          <w:bCs/>
          <w:sz w:val="30"/>
          <w:szCs w:val="30"/>
        </w:rPr>
      </w:pPr>
      <w:r>
        <w:fldChar w:fldCharType="begin"/>
      </w:r>
      <w:r>
        <w:instrText xml:space="preserve"> HYPERLINK \l "_Toc22953" </w:instrText>
      </w:r>
      <w:r>
        <w:fldChar w:fldCharType="separate"/>
      </w:r>
      <w:r>
        <w:rPr>
          <w:rFonts w:hint="eastAsia" w:asciiTheme="minorEastAsia" w:hAnsiTheme="minorEastAsia" w:eastAsiaTheme="minorEastAsia" w:cstheme="minorEastAsia"/>
          <w:b w:val="0"/>
          <w:bCs/>
          <w:kern w:val="44"/>
          <w:sz w:val="30"/>
          <w:szCs w:val="30"/>
        </w:rPr>
        <w:t>第六章 合同草案条款</w:t>
      </w:r>
      <w:r>
        <w:rPr>
          <w:rFonts w:hint="eastAsia" w:asciiTheme="minorEastAsia" w:hAnsiTheme="minorEastAsia" w:eastAsiaTheme="minorEastAsia" w:cstheme="minorEastAsia"/>
          <w:b w:val="0"/>
          <w:bCs/>
          <w:sz w:val="30"/>
          <w:szCs w:val="30"/>
        </w:rPr>
        <w:tab/>
      </w:r>
      <w:r>
        <w:rPr>
          <w:rFonts w:hint="eastAsia" w:asciiTheme="minorEastAsia" w:hAnsiTheme="minorEastAsia" w:eastAsiaTheme="minorEastAsia" w:cstheme="minorEastAsia"/>
          <w:b w:val="0"/>
          <w:bCs/>
          <w:sz w:val="30"/>
          <w:szCs w:val="30"/>
        </w:rPr>
        <w:fldChar w:fldCharType="begin"/>
      </w:r>
      <w:r>
        <w:rPr>
          <w:rFonts w:hint="eastAsia" w:asciiTheme="minorEastAsia" w:hAnsiTheme="minorEastAsia" w:eastAsiaTheme="minorEastAsia" w:cstheme="minorEastAsia"/>
          <w:b w:val="0"/>
          <w:bCs/>
          <w:sz w:val="30"/>
          <w:szCs w:val="30"/>
        </w:rPr>
        <w:instrText xml:space="preserve"> PAGEREF _Toc22953 \h </w:instrText>
      </w:r>
      <w:r>
        <w:rPr>
          <w:rFonts w:hint="eastAsia" w:asciiTheme="minorEastAsia" w:hAnsiTheme="minorEastAsia" w:eastAsiaTheme="minorEastAsia" w:cstheme="minorEastAsia"/>
          <w:b w:val="0"/>
          <w:bCs/>
          <w:sz w:val="30"/>
          <w:szCs w:val="30"/>
        </w:rPr>
        <w:fldChar w:fldCharType="separate"/>
      </w:r>
      <w:r>
        <w:rPr>
          <w:rFonts w:hint="eastAsia" w:asciiTheme="minorEastAsia" w:hAnsiTheme="minorEastAsia" w:eastAsiaTheme="minorEastAsia" w:cstheme="minorEastAsia"/>
          <w:b w:val="0"/>
          <w:bCs/>
          <w:sz w:val="30"/>
          <w:szCs w:val="30"/>
        </w:rPr>
        <w:t>41</w:t>
      </w:r>
      <w:r>
        <w:rPr>
          <w:rFonts w:hint="eastAsia" w:asciiTheme="minorEastAsia" w:hAnsiTheme="minorEastAsia" w:eastAsiaTheme="minorEastAsia" w:cstheme="minorEastAsia"/>
          <w:b w:val="0"/>
          <w:bCs/>
          <w:sz w:val="30"/>
          <w:szCs w:val="30"/>
        </w:rPr>
        <w:fldChar w:fldCharType="end"/>
      </w:r>
      <w:r>
        <w:rPr>
          <w:rFonts w:hint="eastAsia" w:asciiTheme="minorEastAsia" w:hAnsiTheme="minorEastAsia" w:eastAsiaTheme="minorEastAsia" w:cstheme="minorEastAsia"/>
          <w:b w:val="0"/>
          <w:bCs/>
          <w:sz w:val="30"/>
          <w:szCs w:val="30"/>
        </w:rPr>
        <w:fldChar w:fldCharType="end"/>
      </w:r>
    </w:p>
    <w:p>
      <w:pPr>
        <w:pStyle w:val="24"/>
        <w:tabs>
          <w:tab w:val="right" w:leader="dot" w:pos="9070"/>
          <w:tab w:val="clear" w:pos="9060"/>
        </w:tabs>
        <w:spacing w:line="720" w:lineRule="auto"/>
        <w:rPr>
          <w:rFonts w:asciiTheme="minorEastAsia" w:hAnsiTheme="minorEastAsia" w:eastAsiaTheme="minorEastAsia" w:cstheme="minorEastAsia"/>
          <w:b w:val="0"/>
          <w:bCs/>
          <w:sz w:val="30"/>
          <w:szCs w:val="30"/>
        </w:rPr>
      </w:pPr>
      <w:r>
        <w:fldChar w:fldCharType="begin"/>
      </w:r>
      <w:r>
        <w:instrText xml:space="preserve"> HYPERLINK \l "_Toc19575" </w:instrText>
      </w:r>
      <w:r>
        <w:fldChar w:fldCharType="separate"/>
      </w:r>
      <w:r>
        <w:rPr>
          <w:rFonts w:hint="eastAsia" w:asciiTheme="minorEastAsia" w:hAnsiTheme="minorEastAsia" w:eastAsiaTheme="minorEastAsia" w:cstheme="minorEastAsia"/>
          <w:b w:val="0"/>
          <w:bCs/>
          <w:sz w:val="30"/>
          <w:szCs w:val="30"/>
        </w:rPr>
        <w:t>第七章 投标文件格式</w:t>
      </w:r>
      <w:r>
        <w:rPr>
          <w:rFonts w:hint="eastAsia" w:asciiTheme="minorEastAsia" w:hAnsiTheme="minorEastAsia" w:eastAsiaTheme="minorEastAsia" w:cstheme="minorEastAsia"/>
          <w:b w:val="0"/>
          <w:bCs/>
          <w:sz w:val="30"/>
          <w:szCs w:val="30"/>
        </w:rPr>
        <w:tab/>
      </w:r>
      <w:r>
        <w:rPr>
          <w:rFonts w:hint="eastAsia" w:asciiTheme="minorEastAsia" w:hAnsiTheme="minorEastAsia" w:eastAsiaTheme="minorEastAsia" w:cstheme="minorEastAsia"/>
          <w:b w:val="0"/>
          <w:bCs/>
          <w:sz w:val="30"/>
          <w:szCs w:val="30"/>
        </w:rPr>
        <w:t>4</w:t>
      </w:r>
      <w:r>
        <w:rPr>
          <w:rFonts w:hint="eastAsia" w:asciiTheme="minorEastAsia" w:hAnsiTheme="minorEastAsia" w:eastAsiaTheme="minorEastAsia" w:cstheme="minorEastAsia"/>
          <w:b w:val="0"/>
          <w:bCs/>
          <w:sz w:val="30"/>
          <w:szCs w:val="30"/>
        </w:rPr>
        <w:fldChar w:fldCharType="end"/>
      </w:r>
      <w:r>
        <w:rPr>
          <w:rFonts w:hint="eastAsia" w:asciiTheme="minorEastAsia" w:hAnsiTheme="minorEastAsia" w:eastAsiaTheme="minorEastAsia" w:cstheme="minorEastAsia"/>
          <w:b w:val="0"/>
          <w:bCs/>
          <w:sz w:val="30"/>
          <w:szCs w:val="30"/>
        </w:rPr>
        <w:t>3</w:t>
      </w:r>
    </w:p>
    <w:p>
      <w:pPr>
        <w:pStyle w:val="4"/>
        <w:spacing w:line="600" w:lineRule="auto"/>
        <w:ind w:firstLine="3092" w:firstLineChars="700"/>
        <w:rPr>
          <w:rFonts w:asciiTheme="minorEastAsia" w:hAnsiTheme="minorEastAsia" w:eastAsiaTheme="minorEastAsia" w:cstheme="minorEastAsia"/>
          <w:sz w:val="44"/>
          <w:szCs w:val="24"/>
        </w:rPr>
        <w:sectPr>
          <w:footerReference r:id="rId7" w:type="first"/>
          <w:footerReference r:id="rId6" w:type="default"/>
          <w:pgSz w:w="11906" w:h="16838"/>
          <w:pgMar w:top="1418" w:right="1418" w:bottom="1418" w:left="1418" w:header="851" w:footer="992" w:gutter="0"/>
          <w:cols w:space="720" w:num="1"/>
          <w:titlePg/>
          <w:docGrid w:linePitch="312" w:charSpace="0"/>
        </w:sectPr>
      </w:pPr>
      <w:r>
        <w:rPr>
          <w:rFonts w:hint="eastAsia" w:asciiTheme="minorEastAsia" w:hAnsiTheme="minorEastAsia" w:eastAsiaTheme="minorEastAsia" w:cstheme="minorEastAsia"/>
          <w:sz w:val="44"/>
          <w:szCs w:val="24"/>
        </w:rPr>
        <w:fldChar w:fldCharType="end"/>
      </w:r>
    </w:p>
    <w:p>
      <w:pPr>
        <w:pStyle w:val="9"/>
        <w:keepNext w:val="0"/>
        <w:keepLines w:val="0"/>
        <w:widowControl/>
        <w:shd w:val="clear" w:color="auto" w:fill="FFFFFF"/>
        <w:spacing w:before="0" w:after="0" w:line="30" w:lineRule="atLeast"/>
        <w:jc w:val="center"/>
        <w:textAlignment w:val="baseline"/>
        <w:rPr>
          <w:rFonts w:ascii="微软雅黑" w:hAnsi="微软雅黑" w:eastAsia="微软雅黑" w:cs="微软雅黑"/>
          <w:b w:val="0"/>
          <w:color w:val="333333"/>
          <w:sz w:val="21"/>
          <w:szCs w:val="21"/>
        </w:rPr>
      </w:pPr>
      <w:bookmarkStart w:id="18" w:name="_Toc6221"/>
      <w:r>
        <w:rPr>
          <w:rFonts w:hint="eastAsia"/>
          <w:sz w:val="44"/>
          <w:szCs w:val="44"/>
        </w:rPr>
        <w:t>第一章 招标公告</w:t>
      </w:r>
      <w:bookmarkEnd w:id="18"/>
    </w:p>
    <w:p>
      <w:pPr>
        <w:pStyle w:val="9"/>
        <w:keepNext w:val="0"/>
        <w:keepLines w:val="0"/>
        <w:widowControl/>
        <w:shd w:val="clear" w:color="auto" w:fill="FFFFFF"/>
        <w:spacing w:before="0" w:after="0" w:line="30" w:lineRule="atLeast"/>
        <w:jc w:val="left"/>
        <w:textAlignment w:val="baseline"/>
        <w:rPr>
          <w:rFonts w:ascii="微软雅黑" w:hAnsi="微软雅黑" w:eastAsia="微软雅黑" w:cs="微软雅黑"/>
          <w:b w:val="0"/>
          <w:color w:val="333333"/>
          <w:sz w:val="21"/>
          <w:szCs w:val="21"/>
        </w:rPr>
      </w:pPr>
    </w:p>
    <w:p>
      <w:pPr>
        <w:pStyle w:val="9"/>
        <w:keepNext w:val="0"/>
        <w:keepLines w:val="0"/>
        <w:widowControl/>
        <w:shd w:val="clear" w:color="auto" w:fill="FFFFFF"/>
        <w:spacing w:before="0" w:after="0" w:line="30" w:lineRule="atLeast"/>
        <w:jc w:val="left"/>
        <w:textAlignment w:val="baseline"/>
        <w:rPr>
          <w:rFonts w:ascii="微软雅黑" w:hAnsi="微软雅黑" w:eastAsia="微软雅黑" w:cs="微软雅黑"/>
          <w:b w:val="0"/>
          <w:color w:val="333333"/>
          <w:sz w:val="22"/>
          <w:szCs w:val="22"/>
        </w:rPr>
      </w:pPr>
      <w:r>
        <w:rPr>
          <w:rStyle w:val="34"/>
          <w:rFonts w:hint="eastAsia" w:ascii="微软雅黑" w:hAnsi="微软雅黑" w:eastAsia="微软雅黑" w:cs="微软雅黑"/>
          <w:b/>
          <w:bCs/>
          <w:color w:val="333333"/>
          <w:sz w:val="22"/>
          <w:szCs w:val="22"/>
          <w:shd w:val="clear" w:color="auto" w:fill="FFFFFF"/>
        </w:rPr>
        <w:t>项目概况</w:t>
      </w:r>
    </w:p>
    <w:p>
      <w:pPr>
        <w:adjustRightInd w:val="0"/>
        <w:snapToGrid w:val="0"/>
        <w:spacing w:line="360" w:lineRule="auto"/>
        <w:ind w:firstLine="480" w:firstLineChars="200"/>
        <w:rPr>
          <w:rFonts w:ascii="宋体" w:hAnsi="宋体" w:cs="宋体"/>
          <w:kern w:val="0"/>
          <w:sz w:val="24"/>
        </w:rPr>
      </w:pPr>
      <w:r>
        <w:rPr>
          <w:rFonts w:hint="eastAsia" w:ascii="宋体" w:hAnsi="宋体"/>
          <w:sz w:val="24"/>
        </w:rPr>
        <w:t>2022期刊购置</w:t>
      </w:r>
      <w:r>
        <w:rPr>
          <w:rFonts w:hint="eastAsia" w:ascii="宋体" w:hAnsi="宋体" w:cs="宋体"/>
          <w:kern w:val="0"/>
          <w:sz w:val="24"/>
        </w:rPr>
        <w:t>招标项目潜在的投标人可在同正项目管理有限公司（陕西省西安市经济技术开发区凤城八路180号长和国际F座22层）获取招标文件，并于2022年</w:t>
      </w:r>
      <w:r>
        <w:rPr>
          <w:rFonts w:hint="eastAsia" w:ascii="宋体" w:hAnsi="宋体" w:cs="宋体"/>
          <w:kern w:val="0"/>
          <w:sz w:val="24"/>
          <w:lang w:val="en-US" w:eastAsia="zh-CN"/>
        </w:rPr>
        <w:t>08</w:t>
      </w:r>
      <w:r>
        <w:rPr>
          <w:rFonts w:hint="eastAsia" w:ascii="宋体" w:hAnsi="宋体" w:cs="宋体"/>
          <w:kern w:val="0"/>
          <w:sz w:val="24"/>
        </w:rPr>
        <w:t>月</w:t>
      </w:r>
      <w:r>
        <w:rPr>
          <w:rFonts w:hint="eastAsia" w:ascii="宋体" w:hAnsi="宋体" w:cs="宋体"/>
          <w:kern w:val="0"/>
          <w:sz w:val="24"/>
          <w:lang w:val="en-US" w:eastAsia="zh-CN"/>
        </w:rPr>
        <w:t>02</w:t>
      </w:r>
      <w:r>
        <w:rPr>
          <w:rFonts w:hint="eastAsia" w:ascii="宋体" w:hAnsi="宋体" w:cs="宋体"/>
          <w:kern w:val="0"/>
          <w:sz w:val="24"/>
        </w:rPr>
        <w:t xml:space="preserve">日 09时30分 （北京时间）前递交投标文件。 </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一、项目基本情况：</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项目编号：TZZB-2022179C</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项目名称：2022期刊购置</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采购方式：公开招标</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预算金额：850000.00元</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采购需求：2022期刊购置，1批， 采购预算：850000.00元， 项目概况：2022期刊购置(具体采购内容详见招标文件第五章采购内容及要求)， 简要技术要求、用途：自用。 </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二、 申请人的资格要求 </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1、满足《中华人民共和国政府采购法》第二十二条规定</w:t>
      </w:r>
    </w:p>
    <w:p>
      <w:pPr>
        <w:pStyle w:val="27"/>
        <w:spacing w:beforeAutospacing="0" w:afterAutospacing="0" w:line="360" w:lineRule="auto"/>
        <w:ind w:firstLine="480" w:firstLineChars="200"/>
        <w:rPr>
          <w:rFonts w:cs="宋体"/>
          <w:sz w:val="24"/>
        </w:rPr>
      </w:pPr>
      <w:r>
        <w:rPr>
          <w:rFonts w:hint="eastAsia" w:cs="宋体"/>
          <w:sz w:val="24"/>
        </w:rPr>
        <w:t>合同包1(2022期刊购置)落实政府采购政策需满足的资格要求如下:</w:t>
      </w:r>
    </w:p>
    <w:p>
      <w:pPr>
        <w:pStyle w:val="27"/>
        <w:spacing w:beforeAutospacing="0" w:afterAutospacing="0" w:line="360" w:lineRule="auto"/>
        <w:ind w:firstLine="480" w:firstLineChars="200"/>
        <w:rPr>
          <w:rFonts w:cs="宋体"/>
          <w:sz w:val="24"/>
        </w:rPr>
      </w:pPr>
      <w:r>
        <w:rPr>
          <w:rFonts w:hint="eastAsia" w:cs="宋体"/>
          <w:sz w:val="24"/>
        </w:rPr>
        <w:t>1、</w:t>
      </w:r>
      <w:r>
        <w:rPr>
          <w:rFonts w:hint="eastAsia" w:cs="宋体"/>
          <w:color w:val="000000"/>
          <w:sz w:val="24"/>
          <w:szCs w:val="24"/>
        </w:rPr>
        <w:t>《政府采购促进中小企业发展管理办法》（财库〔2020〕46号）；2、《财政部、司法部关于政府采购支持监狱企业发展有关问题的通知》（财库〔2014〕68号）；3、《民政部、财政部、中国残疾人联合会关于促进残疾人就业政府采购政策的通知》（财库〔2017〕141号）；4、《国务院办公厅关于建立政府强制采购节能产品制度的通知》（国办发〔2007〕51号）；5、《财政部、国家环保总局关于环境标志产品政府采购实施的意见》（财库[2006]90号）；6、《财政部办公厅关于政府采购进口产品管理有关问题的通知》（财办库[2008]248号）；7、陕西省财政厅关于印发《陕西省中小企业政府采购信用融资办法》（陕财办采〔2018〕23号）；8、《关于运用政府采购政策支持乡村产业振兴的通知》（财库〔2021〕19号）；9、其他需要落实的政府采购政策。</w:t>
      </w:r>
    </w:p>
    <w:p>
      <w:pPr>
        <w:spacing w:line="360" w:lineRule="auto"/>
        <w:ind w:firstLine="480" w:firstLineChars="200"/>
        <w:jc w:val="left"/>
        <w:rPr>
          <w:rFonts w:ascii="宋体" w:hAnsi="宋体" w:cs="宋体"/>
          <w:color w:val="000000"/>
          <w:kern w:val="0"/>
          <w:sz w:val="24"/>
        </w:rPr>
      </w:pPr>
      <w:r>
        <w:rPr>
          <w:rFonts w:hint="eastAsia" w:ascii="宋体" w:hAnsi="宋体" w:cs="宋体"/>
          <w:kern w:val="0"/>
          <w:sz w:val="24"/>
        </w:rPr>
        <w:t>3、</w:t>
      </w:r>
      <w:r>
        <w:rPr>
          <w:rFonts w:hint="eastAsia" w:ascii="宋体" w:hAnsi="宋体" w:cs="宋体"/>
          <w:color w:val="000000"/>
          <w:kern w:val="0"/>
          <w:sz w:val="24"/>
        </w:rPr>
        <w:t>本项目的特定资格要求：</w:t>
      </w:r>
    </w:p>
    <w:p>
      <w:pPr>
        <w:pStyle w:val="2"/>
        <w:spacing w:line="360" w:lineRule="auto"/>
        <w:rPr>
          <w:rFonts w:ascii="宋体" w:hAnsi="宋体" w:cs="宋体"/>
          <w:color w:val="000000"/>
          <w:kern w:val="0"/>
          <w:sz w:val="24"/>
          <w:szCs w:val="24"/>
        </w:rPr>
      </w:pPr>
      <w:r>
        <w:rPr>
          <w:rFonts w:hint="eastAsia" w:ascii="宋体" w:hAnsi="宋体" w:cs="宋体"/>
          <w:color w:val="000000"/>
          <w:kern w:val="0"/>
          <w:sz w:val="24"/>
          <w:szCs w:val="24"/>
        </w:rPr>
        <w:t>合同包1(</w:t>
      </w:r>
      <w:r>
        <w:rPr>
          <w:rFonts w:hint="eastAsia" w:ascii="宋体" w:hAnsi="宋体" w:cs="宋体"/>
          <w:kern w:val="0"/>
          <w:sz w:val="24"/>
        </w:rPr>
        <w:t>2022期刊购置</w:t>
      </w:r>
      <w:r>
        <w:rPr>
          <w:rFonts w:hint="eastAsia" w:ascii="宋体" w:hAnsi="宋体" w:cs="宋体"/>
          <w:color w:val="000000"/>
          <w:kern w:val="0"/>
          <w:sz w:val="24"/>
          <w:szCs w:val="24"/>
        </w:rPr>
        <w:t>)特定资格要求如下:</w:t>
      </w:r>
    </w:p>
    <w:p>
      <w:pPr>
        <w:numPr>
          <w:ilvl w:val="0"/>
          <w:numId w:val="2"/>
        </w:numPr>
        <w:spacing w:line="360" w:lineRule="auto"/>
        <w:ind w:firstLine="480" w:firstLineChars="200"/>
        <w:jc w:val="left"/>
        <w:rPr>
          <w:rFonts w:ascii="宋体" w:hAnsi="宋体" w:cs="宋体"/>
          <w:kern w:val="0"/>
          <w:sz w:val="24"/>
        </w:rPr>
      </w:pPr>
      <w:r>
        <w:rPr>
          <w:rFonts w:hint="eastAsia" w:ascii="宋体" w:hAnsi="宋体" w:cs="宋体"/>
          <w:color w:val="000000"/>
          <w:kern w:val="0"/>
          <w:sz w:val="24"/>
        </w:rPr>
        <w:t>具有独立承担民事责任能力的</w:t>
      </w:r>
      <w:r>
        <w:rPr>
          <w:rFonts w:hint="eastAsia" w:ascii="宋体" w:hAnsi="宋体" w:cs="宋体"/>
          <w:kern w:val="0"/>
          <w:sz w:val="24"/>
        </w:rPr>
        <w:t>法人、其他组织或自然人，营业执照、组织机构代码证、税务登记证（三证合一只提供营业执照，事业单位提供事业单位法人证书，自然人应提供身份证）合法有效； 2、法定代表人参加投标时，提供本人身份证；授权代表参加投标时，提供法定代表人授权书和被授权人身份证；非法人单位参照执行；3、</w:t>
      </w:r>
      <w:r>
        <w:rPr>
          <w:rFonts w:hint="eastAsia" w:ascii="宋体" w:hAnsi="宋体"/>
          <w:kern w:val="0"/>
          <w:sz w:val="24"/>
        </w:rPr>
        <w:t>投标人须具有行政主管部门颁发的合格有效的《出版物经营许可证》</w:t>
      </w:r>
      <w:r>
        <w:rPr>
          <w:rFonts w:hint="eastAsia" w:ascii="宋体" w:hAnsi="宋体" w:cs="宋体"/>
          <w:kern w:val="0"/>
          <w:sz w:val="24"/>
        </w:rPr>
        <w:t>；4、投标单位负责人为同一人或者存在控股、管理关系的不同单位不得同时进行投标；5、具有履行本合同所必需的设备和专业技术能力；6、参加政府采购活动前三年内，在经营活动中没有重大违法记录的书面声明；7、税收缴纳证明：提供投标单位2022年1月至今已缴纳任意一个月完税凭证或税务机关开具的完税证明（任意税种）；依法免税的应提供相关文件证明；8、社会保障资金缴纳证明：提供投标单位2022年1月至今已缴存的任意一个月的社会保障资金缴存证明或社保机构开具的社会保险参保缴费情况证明；依法不需要缴纳社会保障资金的应提供相关文件证明；9、财务状况报告：提供2021年经审计的财务报告或开标前三个月内开户银行开具的资信证明；10、投标人不得为“信用中国”网站（www.creditchina.gov.cn）（中国执行信息公开网）和中国政府采购网（www.ccgp.gov.cn）中被列入失信被执行人、重大税收违法失信主体、政府采购严重违法失信行为记录名单的单位。</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注：本项目不允许联合体投标。</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三、 获取招标文件 </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时间： 2022年</w:t>
      </w:r>
      <w:r>
        <w:rPr>
          <w:rFonts w:hint="eastAsia" w:ascii="宋体" w:hAnsi="宋体" w:cs="宋体"/>
          <w:kern w:val="0"/>
          <w:sz w:val="24"/>
          <w:lang w:val="en-US" w:eastAsia="zh-CN"/>
        </w:rPr>
        <w:t>07</w:t>
      </w:r>
      <w:r>
        <w:rPr>
          <w:rFonts w:hint="eastAsia" w:ascii="宋体" w:hAnsi="宋体" w:cs="宋体"/>
          <w:kern w:val="0"/>
          <w:sz w:val="24"/>
        </w:rPr>
        <w:t>月</w:t>
      </w:r>
      <w:r>
        <w:rPr>
          <w:rFonts w:hint="eastAsia" w:ascii="宋体" w:hAnsi="宋体" w:cs="宋体"/>
          <w:kern w:val="0"/>
          <w:sz w:val="24"/>
          <w:lang w:val="en-US" w:eastAsia="zh-CN"/>
        </w:rPr>
        <w:t>13</w:t>
      </w:r>
      <w:r>
        <w:rPr>
          <w:rFonts w:hint="eastAsia" w:ascii="宋体" w:hAnsi="宋体" w:cs="宋体"/>
          <w:kern w:val="0"/>
          <w:sz w:val="24"/>
        </w:rPr>
        <w:t>日 至 2022年</w:t>
      </w:r>
      <w:r>
        <w:rPr>
          <w:rFonts w:hint="eastAsia" w:ascii="宋体" w:hAnsi="宋体" w:cs="宋体"/>
          <w:kern w:val="0"/>
          <w:sz w:val="24"/>
          <w:lang w:val="en-US" w:eastAsia="zh-CN"/>
        </w:rPr>
        <w:t>07</w:t>
      </w:r>
      <w:r>
        <w:rPr>
          <w:rFonts w:hint="eastAsia" w:ascii="宋体" w:hAnsi="宋体" w:cs="宋体"/>
          <w:kern w:val="0"/>
          <w:sz w:val="24"/>
        </w:rPr>
        <w:t>月</w:t>
      </w:r>
      <w:r>
        <w:rPr>
          <w:rFonts w:hint="eastAsia" w:ascii="宋体" w:hAnsi="宋体" w:cs="宋体"/>
          <w:kern w:val="0"/>
          <w:sz w:val="24"/>
          <w:lang w:val="en-US" w:eastAsia="zh-CN"/>
        </w:rPr>
        <w:t>19</w:t>
      </w:r>
      <w:r>
        <w:rPr>
          <w:rFonts w:hint="eastAsia" w:ascii="宋体" w:hAnsi="宋体" w:cs="宋体"/>
          <w:kern w:val="0"/>
          <w:sz w:val="24"/>
        </w:rPr>
        <w:t>日 ，每天上午 09:00:00 至 12:00:00 ，下午 14:00:00 至 17:00:00 （北京时间,法定节假日除外）</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地点：同正项目管理有限公司（陕西省西安市经济技术开发区凤城八路180号长和国际F座22层）</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方式：现场获取</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售价：免费获取</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四、 提交投标文件截止时间、开标时间和地点 </w:t>
      </w:r>
    </w:p>
    <w:p>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2022年08月02日 09时30分00秒 （北京时间）</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地点：陕西省西安市经济技术开发区凤城八路180号长和国际F座22层 </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五、公告期限</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六、</w:t>
      </w:r>
      <w:r>
        <w:rPr>
          <w:rFonts w:hint="eastAsia" w:ascii="宋体" w:hAnsi="宋体" w:cs="宋体"/>
          <w:kern w:val="0"/>
          <w:sz w:val="24"/>
        </w:rPr>
        <w:t>其他补充事宜：</w:t>
      </w:r>
      <w:r>
        <w:rPr>
          <w:rFonts w:hint="eastAsia" w:ascii="宋体" w:hAnsi="宋体" w:cs="宋体"/>
          <w:kern w:val="0"/>
          <w:sz w:val="24"/>
          <w:lang w:val="en-US" w:eastAsia="zh-CN"/>
        </w:rPr>
        <w:tab/>
      </w:r>
    </w:p>
    <w:p>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本项目开标地点：陕西省西安市经济技术开发区凤城八路180号长和国际F座22层</w:t>
      </w:r>
    </w:p>
    <w:p>
      <w:pPr>
        <w:adjustRightInd w:val="0"/>
        <w:snapToGrid w:val="0"/>
        <w:spacing w:line="360" w:lineRule="auto"/>
        <w:ind w:firstLine="480" w:firstLineChars="200"/>
      </w:pPr>
      <w:r>
        <w:rPr>
          <w:rFonts w:hint="eastAsia" w:ascii="宋体" w:hAnsi="宋体" w:cs="宋体"/>
          <w:kern w:val="0"/>
          <w:sz w:val="24"/>
        </w:rPr>
        <w:t>注：报名时需携带单位介绍信原件、本人身份证原件及身份证复印件加盖鲜章。</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七、对本次招标提出询问，请按以下方式联系。 </w:t>
      </w:r>
    </w:p>
    <w:p>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1、采购人信息：</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kern w:val="0"/>
          <w:sz w:val="24"/>
          <w:lang w:val="en-US" w:eastAsia="zh-CN"/>
        </w:rPr>
        <w:t>名称：</w:t>
      </w:r>
      <w:r>
        <w:rPr>
          <w:rFonts w:hint="eastAsia" w:ascii="宋体" w:hAnsi="宋体" w:cs="宋体"/>
          <w:color w:val="000000"/>
          <w:sz w:val="24"/>
        </w:rPr>
        <w:t>西安图书馆</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地址：</w:t>
      </w:r>
      <w:r>
        <w:rPr>
          <w:rFonts w:hint="eastAsia" w:ascii="宋体" w:hAnsi="宋体" w:cs="宋体"/>
          <w:color w:val="000000"/>
          <w:sz w:val="24"/>
        </w:rPr>
        <w:t>西安市未央路145号</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电话：</w:t>
      </w:r>
      <w:r>
        <w:rPr>
          <w:rFonts w:hint="eastAsia" w:ascii="宋体" w:hAnsi="宋体" w:cs="宋体"/>
          <w:sz w:val="24"/>
        </w:rPr>
        <w:t>029-86517652</w:t>
      </w:r>
    </w:p>
    <w:p>
      <w:pPr>
        <w:numPr>
          <w:ilvl w:val="0"/>
          <w:numId w:val="2"/>
        </w:numPr>
        <w:adjustRightInd w:val="0"/>
        <w:snapToGrid w:val="0"/>
        <w:spacing w:line="360" w:lineRule="auto"/>
        <w:ind w:left="0" w:leftChars="0" w:firstLine="480" w:firstLineChars="200"/>
        <w:rPr>
          <w:rFonts w:hint="eastAsia" w:ascii="宋体" w:hAnsi="宋体" w:cs="宋体"/>
          <w:kern w:val="0"/>
          <w:sz w:val="24"/>
        </w:rPr>
      </w:pPr>
      <w:r>
        <w:rPr>
          <w:rFonts w:hint="eastAsia" w:ascii="宋体" w:hAnsi="宋体" w:cs="宋体"/>
          <w:kern w:val="0"/>
          <w:sz w:val="24"/>
        </w:rPr>
        <w:t>采购代理机构信息</w:t>
      </w:r>
    </w:p>
    <w:p>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名称：同正项目管理有限公司</w:t>
      </w:r>
    </w:p>
    <w:p>
      <w:pPr>
        <w:adjustRightInd w:val="0"/>
        <w:snapToGrid w:val="0"/>
        <w:spacing w:line="360" w:lineRule="auto"/>
        <w:ind w:firstLine="480" w:firstLineChars="200"/>
      </w:pPr>
      <w:r>
        <w:rPr>
          <w:rFonts w:hint="eastAsia" w:ascii="宋体" w:hAnsi="宋体" w:cs="宋体"/>
          <w:kern w:val="0"/>
          <w:sz w:val="24"/>
        </w:rPr>
        <w:t>地址：陕西省西安市经济技术开发区凤城八路180号长和国际F座22层</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电 话：029-86522030转806</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3、项目联系方式</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项目联系人：常维竞</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电 话：029-86522030转806</w:t>
      </w:r>
    </w:p>
    <w:p>
      <w:pPr>
        <w:spacing w:line="360" w:lineRule="auto"/>
        <w:rPr>
          <w:rFonts w:ascii="宋体" w:hAnsi="宋体"/>
          <w:kern w:val="0"/>
          <w:sz w:val="24"/>
        </w:rPr>
      </w:pPr>
    </w:p>
    <w:p>
      <w:pPr>
        <w:pStyle w:val="2"/>
      </w:pPr>
    </w:p>
    <w:p>
      <w:pPr>
        <w:spacing w:line="360" w:lineRule="auto"/>
        <w:ind w:firstLine="480" w:firstLineChars="200"/>
        <w:jc w:val="right"/>
        <w:rPr>
          <w:rFonts w:ascii="宋体" w:hAnsi="宋体"/>
          <w:kern w:val="0"/>
          <w:sz w:val="24"/>
        </w:rPr>
      </w:pPr>
      <w:r>
        <w:rPr>
          <w:rFonts w:hint="eastAsia" w:ascii="宋体" w:hAnsi="宋体"/>
          <w:kern w:val="0"/>
          <w:sz w:val="24"/>
        </w:rPr>
        <w:t>同正项目管理有限公司</w:t>
      </w:r>
    </w:p>
    <w:p>
      <w:pPr>
        <w:spacing w:line="360" w:lineRule="auto"/>
        <w:ind w:right="240" w:firstLine="480" w:firstLineChars="200"/>
        <w:jc w:val="right"/>
        <w:rPr>
          <w:rFonts w:ascii="宋体" w:hAnsi="宋体"/>
          <w:kern w:val="0"/>
          <w:sz w:val="24"/>
        </w:rPr>
      </w:pPr>
      <w:r>
        <w:rPr>
          <w:rFonts w:hint="eastAsia" w:ascii="宋体" w:hAnsi="宋体"/>
          <w:kern w:val="0"/>
          <w:sz w:val="24"/>
        </w:rPr>
        <w:t>2022年</w:t>
      </w:r>
      <w:r>
        <w:rPr>
          <w:rFonts w:hint="eastAsia" w:ascii="宋体" w:hAnsi="宋体"/>
          <w:kern w:val="0"/>
          <w:sz w:val="24"/>
          <w:lang w:val="en-US" w:eastAsia="zh-CN"/>
        </w:rPr>
        <w:t>07</w:t>
      </w:r>
      <w:r>
        <w:rPr>
          <w:rFonts w:hint="eastAsia" w:ascii="宋体" w:hAnsi="宋体"/>
          <w:kern w:val="0"/>
          <w:sz w:val="24"/>
        </w:rPr>
        <w:t xml:space="preserve">月 </w:t>
      </w:r>
      <w:r>
        <w:rPr>
          <w:rFonts w:hint="eastAsia" w:ascii="宋体" w:hAnsi="宋体"/>
          <w:kern w:val="0"/>
          <w:sz w:val="24"/>
          <w:lang w:val="en-US" w:eastAsia="zh-CN"/>
        </w:rPr>
        <w:t>12</w:t>
      </w:r>
      <w:r>
        <w:rPr>
          <w:rFonts w:hint="eastAsia" w:ascii="宋体" w:hAnsi="宋体"/>
          <w:kern w:val="0"/>
          <w:sz w:val="24"/>
        </w:rPr>
        <w:t>日</w:t>
      </w:r>
    </w:p>
    <w:p>
      <w:pPr>
        <w:pStyle w:val="4"/>
        <w:spacing w:line="240" w:lineRule="auto"/>
        <w:ind w:firstLine="420"/>
        <w:jc w:val="center"/>
        <w:rPr>
          <w:rFonts w:ascii="宋体" w:hAnsi="宋体"/>
          <w:b w:val="0"/>
          <w:sz w:val="44"/>
          <w:szCs w:val="44"/>
        </w:rPr>
      </w:pPr>
      <w:bookmarkStart w:id="19" w:name="_Toc213397009"/>
      <w:bookmarkStart w:id="20" w:name="_Toc213396945"/>
      <w:bookmarkStart w:id="21" w:name="_Toc217446031"/>
      <w:bookmarkStart w:id="22" w:name="_Toc213396759"/>
      <w:bookmarkStart w:id="23" w:name="_Toc213496267"/>
      <w:bookmarkStart w:id="24" w:name="_Toc77400776"/>
      <w:bookmarkStart w:id="25" w:name="_Toc183582202"/>
      <w:bookmarkStart w:id="26" w:name="_Toc183682339"/>
      <w:bookmarkStart w:id="27" w:name="_Toc89075871"/>
      <w:r>
        <w:rPr>
          <w:rFonts w:ascii="宋体" w:hAnsi="宋体"/>
          <w:b w:val="0"/>
          <w:sz w:val="44"/>
          <w:szCs w:val="44"/>
        </w:rPr>
        <w:br w:type="page"/>
      </w:r>
      <w:bookmarkStart w:id="28" w:name="_Toc4878"/>
      <w:r>
        <w:rPr>
          <w:rFonts w:hint="eastAsia"/>
          <w:sz w:val="44"/>
          <w:szCs w:val="44"/>
        </w:rPr>
        <w:t>第二章  投标人须知</w:t>
      </w:r>
      <w:bookmarkEnd w:id="19"/>
      <w:bookmarkEnd w:id="20"/>
      <w:bookmarkEnd w:id="21"/>
      <w:bookmarkEnd w:id="22"/>
      <w:bookmarkEnd w:id="23"/>
      <w:bookmarkStart w:id="29" w:name="_Toc184283909"/>
      <w:bookmarkStart w:id="30" w:name="_Toc184274915"/>
      <w:r>
        <w:rPr>
          <w:rFonts w:hint="eastAsia"/>
          <w:sz w:val="44"/>
          <w:szCs w:val="44"/>
        </w:rPr>
        <w:t>前附表</w:t>
      </w:r>
      <w:bookmarkEnd w:id="28"/>
      <w:bookmarkEnd w:id="29"/>
      <w:bookmarkEnd w:id="30"/>
    </w:p>
    <w:tbl>
      <w:tblPr>
        <w:tblStyle w:val="31"/>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1"/>
        <w:gridCol w:w="2559"/>
        <w:gridCol w:w="6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blHeader/>
          <w:jc w:val="center"/>
        </w:trPr>
        <w:tc>
          <w:tcPr>
            <w:tcW w:w="811" w:type="dxa"/>
            <w:vAlign w:val="center"/>
          </w:tcPr>
          <w:p>
            <w:pPr>
              <w:pStyle w:val="83"/>
              <w:ind w:left="9"/>
              <w:jc w:val="center"/>
              <w:rPr>
                <w:lang w:val="zh-CN"/>
              </w:rPr>
            </w:pPr>
            <w:r>
              <w:rPr>
                <w:rFonts w:hint="eastAsia"/>
                <w:lang w:val="zh-CN"/>
              </w:rPr>
              <w:t xml:space="preserve">序号 </w:t>
            </w:r>
          </w:p>
        </w:tc>
        <w:tc>
          <w:tcPr>
            <w:tcW w:w="2559" w:type="dxa"/>
            <w:vAlign w:val="center"/>
          </w:tcPr>
          <w:p>
            <w:pPr>
              <w:pStyle w:val="83"/>
              <w:ind w:left="38"/>
              <w:jc w:val="center"/>
              <w:rPr>
                <w:lang w:val="zh-CN"/>
              </w:rPr>
            </w:pPr>
            <w:r>
              <w:rPr>
                <w:rFonts w:hint="eastAsia"/>
                <w:lang w:val="zh-CN"/>
              </w:rPr>
              <w:t>内容</w:t>
            </w:r>
          </w:p>
        </w:tc>
        <w:tc>
          <w:tcPr>
            <w:tcW w:w="6355" w:type="dxa"/>
            <w:vAlign w:val="center"/>
          </w:tcPr>
          <w:p>
            <w:pPr>
              <w:pStyle w:val="83"/>
              <w:jc w:val="center"/>
              <w:rPr>
                <w:lang w:val="zh-CN"/>
              </w:rPr>
            </w:pPr>
            <w:r>
              <w:rPr>
                <w:rFonts w:hint="eastAsia"/>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atLeast"/>
          <w:jc w:val="center"/>
        </w:trPr>
        <w:tc>
          <w:tcPr>
            <w:tcW w:w="811" w:type="dxa"/>
            <w:vAlign w:val="center"/>
          </w:tcPr>
          <w:p>
            <w:pPr>
              <w:pStyle w:val="83"/>
              <w:ind w:right="230"/>
              <w:jc w:val="center"/>
              <w:rPr>
                <w:rFonts w:cs="Courier New"/>
                <w:lang w:val="zh-CN"/>
              </w:rPr>
            </w:pPr>
            <w:r>
              <w:rPr>
                <w:rFonts w:hint="eastAsia" w:cs="Courier New"/>
                <w:lang w:val="zh-CN"/>
              </w:rPr>
              <w:t>1</w:t>
            </w:r>
          </w:p>
        </w:tc>
        <w:tc>
          <w:tcPr>
            <w:tcW w:w="2559" w:type="dxa"/>
            <w:vAlign w:val="center"/>
          </w:tcPr>
          <w:p>
            <w:pPr>
              <w:pStyle w:val="83"/>
              <w:jc w:val="center"/>
              <w:rPr>
                <w:lang w:val="zh-CN"/>
              </w:rPr>
            </w:pPr>
            <w:r>
              <w:rPr>
                <w:rFonts w:hint="eastAsia"/>
                <w:lang w:val="zh-CN"/>
              </w:rPr>
              <w:t>采购人</w:t>
            </w:r>
          </w:p>
        </w:tc>
        <w:tc>
          <w:tcPr>
            <w:tcW w:w="6355" w:type="dxa"/>
            <w:vAlign w:val="center"/>
          </w:tcPr>
          <w:p>
            <w:pPr>
              <w:pStyle w:val="83"/>
              <w:spacing w:line="360" w:lineRule="auto"/>
              <w:rPr>
                <w:rFonts w:cs="Times New Roman"/>
                <w:kern w:val="2"/>
              </w:rPr>
            </w:pPr>
            <w:r>
              <w:rPr>
                <w:rFonts w:hint="eastAsia"/>
              </w:rPr>
              <w:t>名称</w:t>
            </w:r>
            <w:r>
              <w:rPr>
                <w:rFonts w:hint="eastAsia" w:cs="Times New Roman"/>
                <w:kern w:val="2"/>
              </w:rPr>
              <w:t>：西安图书馆</w:t>
            </w:r>
          </w:p>
          <w:p>
            <w:pPr>
              <w:pStyle w:val="83"/>
              <w:spacing w:line="360" w:lineRule="auto"/>
              <w:rPr>
                <w:rFonts w:cs="Times New Roman"/>
                <w:kern w:val="2"/>
              </w:rPr>
            </w:pPr>
            <w:r>
              <w:rPr>
                <w:rFonts w:hint="eastAsia" w:cs="Times New Roman"/>
                <w:kern w:val="2"/>
              </w:rPr>
              <w:t>地址：</w:t>
            </w:r>
            <w:r>
              <w:rPr>
                <w:rFonts w:hint="eastAsia"/>
                <w:color w:val="000000"/>
              </w:rPr>
              <w:t>西安市未央路145号</w:t>
            </w:r>
          </w:p>
          <w:p>
            <w:pPr>
              <w:pStyle w:val="83"/>
              <w:spacing w:line="360" w:lineRule="auto"/>
              <w:rPr>
                <w:rFonts w:cs="Times New Roman"/>
                <w:kern w:val="2"/>
              </w:rPr>
            </w:pPr>
            <w:r>
              <w:rPr>
                <w:rFonts w:hint="eastAsia" w:cs="Times New Roman"/>
                <w:kern w:val="2"/>
              </w:rPr>
              <w:t>联系人：杨老师</w:t>
            </w:r>
          </w:p>
          <w:p>
            <w:pPr>
              <w:pStyle w:val="83"/>
              <w:spacing w:line="360" w:lineRule="auto"/>
            </w:pPr>
            <w:r>
              <w:rPr>
                <w:rFonts w:hint="eastAsia" w:cs="Times New Roman"/>
                <w:kern w:val="2"/>
              </w:rPr>
              <w:t>联系电话：029-86517652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6" w:hRule="atLeast"/>
          <w:jc w:val="center"/>
        </w:trPr>
        <w:tc>
          <w:tcPr>
            <w:tcW w:w="811" w:type="dxa"/>
            <w:vAlign w:val="center"/>
          </w:tcPr>
          <w:p>
            <w:pPr>
              <w:pStyle w:val="83"/>
              <w:ind w:right="230"/>
              <w:jc w:val="center"/>
              <w:rPr>
                <w:rFonts w:cs="Courier New"/>
                <w:lang w:val="zh-CN"/>
              </w:rPr>
            </w:pPr>
            <w:r>
              <w:rPr>
                <w:rFonts w:hint="eastAsia" w:cs="Courier New"/>
                <w:lang w:val="zh-CN"/>
              </w:rPr>
              <w:t>2</w:t>
            </w:r>
          </w:p>
        </w:tc>
        <w:tc>
          <w:tcPr>
            <w:tcW w:w="2559" w:type="dxa"/>
            <w:vAlign w:val="center"/>
          </w:tcPr>
          <w:p>
            <w:pPr>
              <w:pStyle w:val="83"/>
              <w:ind w:left="38"/>
              <w:jc w:val="center"/>
              <w:rPr>
                <w:lang w:val="zh-CN"/>
              </w:rPr>
            </w:pPr>
            <w:r>
              <w:rPr>
                <w:rFonts w:hint="eastAsia"/>
                <w:lang w:val="zh-CN"/>
              </w:rPr>
              <w:t>采购代理机构</w:t>
            </w:r>
          </w:p>
        </w:tc>
        <w:tc>
          <w:tcPr>
            <w:tcW w:w="6355" w:type="dxa"/>
            <w:vAlign w:val="center"/>
          </w:tcPr>
          <w:p>
            <w:pPr>
              <w:pStyle w:val="83"/>
              <w:spacing w:line="360" w:lineRule="auto"/>
              <w:rPr>
                <w:rFonts w:cs="Times New Roman"/>
                <w:kern w:val="2"/>
                <w:lang w:val="zh-CN"/>
              </w:rPr>
            </w:pPr>
            <w:r>
              <w:rPr>
                <w:rFonts w:hint="eastAsia" w:cs="Times New Roman"/>
                <w:kern w:val="2"/>
                <w:lang w:val="zh-CN"/>
              </w:rPr>
              <w:t>名  称: 同正项目管理有限公司</w:t>
            </w:r>
          </w:p>
          <w:p>
            <w:pPr>
              <w:pStyle w:val="83"/>
              <w:spacing w:line="360" w:lineRule="auto"/>
              <w:rPr>
                <w:rFonts w:cs="Times New Roman"/>
                <w:kern w:val="2"/>
              </w:rPr>
            </w:pPr>
            <w:r>
              <w:rPr>
                <w:rFonts w:hint="eastAsia" w:cs="Times New Roman"/>
                <w:kern w:val="2"/>
                <w:lang w:val="zh-CN"/>
              </w:rPr>
              <w:t>地  址:</w:t>
            </w:r>
            <w:r>
              <w:rPr>
                <w:rFonts w:hint="eastAsia" w:cs="Times New Roman"/>
                <w:kern w:val="2"/>
              </w:rPr>
              <w:t xml:space="preserve"> 陕西省西安市经济技术开发区凤城八路180号长和国际F座22层</w:t>
            </w:r>
          </w:p>
          <w:p>
            <w:pPr>
              <w:pStyle w:val="83"/>
              <w:spacing w:line="360" w:lineRule="auto"/>
              <w:rPr>
                <w:rFonts w:cs="Times New Roman"/>
                <w:kern w:val="2"/>
                <w:lang w:val="zh-CN"/>
              </w:rPr>
            </w:pPr>
            <w:r>
              <w:rPr>
                <w:rFonts w:hint="eastAsia" w:cs="Times New Roman"/>
                <w:kern w:val="2"/>
                <w:lang w:val="zh-CN"/>
              </w:rPr>
              <w:t>联系人:</w:t>
            </w:r>
            <w:r>
              <w:rPr>
                <w:rFonts w:hint="eastAsia" w:cs="Times New Roman"/>
                <w:kern w:val="2"/>
              </w:rPr>
              <w:t xml:space="preserve"> </w:t>
            </w:r>
            <w:r>
              <w:rPr>
                <w:rFonts w:hint="eastAsia"/>
              </w:rPr>
              <w:t>常维竞</w:t>
            </w:r>
          </w:p>
          <w:p>
            <w:pPr>
              <w:pStyle w:val="83"/>
              <w:spacing w:line="360" w:lineRule="auto"/>
            </w:pPr>
            <w:r>
              <w:rPr>
                <w:rFonts w:hint="eastAsia" w:cs="Times New Roman"/>
                <w:kern w:val="2"/>
                <w:lang w:val="zh-CN"/>
              </w:rPr>
              <w:t>联系</w:t>
            </w:r>
            <w:r>
              <w:rPr>
                <w:rFonts w:hint="eastAsia" w:cs="Times New Roman"/>
                <w:kern w:val="2"/>
              </w:rPr>
              <w:t>电话</w:t>
            </w:r>
            <w:r>
              <w:rPr>
                <w:rFonts w:hint="eastAsia" w:cs="Times New Roman"/>
                <w:kern w:val="2"/>
                <w:lang w:val="zh-CN"/>
              </w:rPr>
              <w:t>：</w:t>
            </w:r>
            <w:r>
              <w:rPr>
                <w:rFonts w:hint="eastAsia" w:cs="Times New Roman"/>
                <w:kern w:val="2"/>
              </w:rPr>
              <w:t>029-86522030转806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811" w:type="dxa"/>
            <w:vAlign w:val="center"/>
          </w:tcPr>
          <w:p>
            <w:pPr>
              <w:pStyle w:val="83"/>
              <w:ind w:right="230"/>
              <w:jc w:val="center"/>
              <w:rPr>
                <w:rFonts w:cs="Courier New"/>
                <w:lang w:val="zh-CN"/>
              </w:rPr>
            </w:pPr>
            <w:r>
              <w:rPr>
                <w:rFonts w:hint="eastAsia" w:cs="Courier New"/>
                <w:lang w:val="zh-CN"/>
              </w:rPr>
              <w:t>2-1</w:t>
            </w:r>
          </w:p>
        </w:tc>
        <w:tc>
          <w:tcPr>
            <w:tcW w:w="2559" w:type="dxa"/>
            <w:vAlign w:val="center"/>
          </w:tcPr>
          <w:p>
            <w:pPr>
              <w:pStyle w:val="83"/>
              <w:ind w:left="38"/>
              <w:jc w:val="center"/>
              <w:rPr>
                <w:lang w:val="zh-CN"/>
              </w:rPr>
            </w:pPr>
            <w:r>
              <w:rPr>
                <w:rFonts w:hint="eastAsia"/>
                <w:lang w:val="zh-CN"/>
              </w:rPr>
              <w:t>监督机构</w:t>
            </w:r>
          </w:p>
        </w:tc>
        <w:tc>
          <w:tcPr>
            <w:tcW w:w="6355" w:type="dxa"/>
            <w:vAlign w:val="center"/>
          </w:tcPr>
          <w:p>
            <w:pPr>
              <w:pStyle w:val="83"/>
              <w:rPr>
                <w:rFonts w:cs="Times New Roman"/>
                <w:lang w:val="zh-CN"/>
              </w:rPr>
            </w:pPr>
            <w:r>
              <w:rPr>
                <w:rFonts w:hint="eastAsia" w:cs="Times New Roman"/>
                <w:kern w:val="2"/>
              </w:rPr>
              <w:t>西安市财政局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exact"/>
          <w:jc w:val="center"/>
        </w:trPr>
        <w:tc>
          <w:tcPr>
            <w:tcW w:w="811" w:type="dxa"/>
            <w:vAlign w:val="center"/>
          </w:tcPr>
          <w:p>
            <w:pPr>
              <w:pStyle w:val="83"/>
              <w:ind w:right="230"/>
              <w:jc w:val="center"/>
              <w:rPr>
                <w:rFonts w:cs="Courier New"/>
                <w:lang w:val="zh-CN"/>
              </w:rPr>
            </w:pPr>
            <w:r>
              <w:rPr>
                <w:rFonts w:hint="eastAsia" w:cs="Courier New"/>
                <w:lang w:val="zh-CN"/>
              </w:rPr>
              <w:t>3</w:t>
            </w:r>
          </w:p>
        </w:tc>
        <w:tc>
          <w:tcPr>
            <w:tcW w:w="2559" w:type="dxa"/>
            <w:vAlign w:val="center"/>
          </w:tcPr>
          <w:p>
            <w:pPr>
              <w:pStyle w:val="83"/>
              <w:ind w:left="38"/>
              <w:jc w:val="center"/>
              <w:rPr>
                <w:lang w:val="zh-CN"/>
              </w:rPr>
            </w:pPr>
            <w:r>
              <w:rPr>
                <w:rFonts w:hint="eastAsia"/>
                <w:lang w:val="zh-CN"/>
              </w:rPr>
              <w:t>采购项目名称</w:t>
            </w:r>
          </w:p>
        </w:tc>
        <w:tc>
          <w:tcPr>
            <w:tcW w:w="6355" w:type="dxa"/>
            <w:vAlign w:val="center"/>
          </w:tcPr>
          <w:p>
            <w:pPr>
              <w:jc w:val="left"/>
              <w:rPr>
                <w:rFonts w:ascii="宋体" w:hAnsi="宋体"/>
                <w:sz w:val="24"/>
              </w:rPr>
            </w:pPr>
            <w:r>
              <w:rPr>
                <w:rFonts w:hint="eastAsia" w:ascii="宋体" w:hAnsi="宋体"/>
                <w:sz w:val="24"/>
              </w:rPr>
              <w:t>2022期刊购置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811" w:type="dxa"/>
            <w:vAlign w:val="center"/>
          </w:tcPr>
          <w:p>
            <w:pPr>
              <w:pStyle w:val="83"/>
              <w:ind w:right="230"/>
              <w:jc w:val="center"/>
              <w:rPr>
                <w:rFonts w:cs="Courier New"/>
                <w:lang w:val="zh-CN"/>
              </w:rPr>
            </w:pPr>
            <w:r>
              <w:rPr>
                <w:rFonts w:hint="eastAsia" w:cs="Courier New"/>
                <w:lang w:val="zh-CN"/>
              </w:rPr>
              <w:t>4</w:t>
            </w:r>
          </w:p>
        </w:tc>
        <w:tc>
          <w:tcPr>
            <w:tcW w:w="2559" w:type="dxa"/>
            <w:vAlign w:val="center"/>
          </w:tcPr>
          <w:p>
            <w:pPr>
              <w:pStyle w:val="83"/>
              <w:ind w:left="38"/>
              <w:jc w:val="center"/>
              <w:rPr>
                <w:lang w:val="zh-CN"/>
              </w:rPr>
            </w:pPr>
            <w:r>
              <w:rPr>
                <w:rFonts w:hint="eastAsia"/>
                <w:lang w:val="zh-CN"/>
              </w:rPr>
              <w:t>采购项目编号</w:t>
            </w:r>
          </w:p>
        </w:tc>
        <w:tc>
          <w:tcPr>
            <w:tcW w:w="6355" w:type="dxa"/>
            <w:vAlign w:val="center"/>
          </w:tcPr>
          <w:p>
            <w:pPr>
              <w:jc w:val="left"/>
              <w:rPr>
                <w:rFonts w:ascii="宋体" w:hAnsi="宋体"/>
                <w:sz w:val="24"/>
              </w:rPr>
            </w:pPr>
            <w:r>
              <w:rPr>
                <w:rFonts w:hint="eastAsia" w:ascii="宋体" w:hAnsi="宋体"/>
                <w:sz w:val="24"/>
              </w:rPr>
              <w:t>TZZB-2022179C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exact"/>
          <w:jc w:val="center"/>
        </w:trPr>
        <w:tc>
          <w:tcPr>
            <w:tcW w:w="811" w:type="dxa"/>
            <w:vAlign w:val="center"/>
          </w:tcPr>
          <w:p>
            <w:pPr>
              <w:pStyle w:val="83"/>
              <w:ind w:right="230"/>
              <w:jc w:val="center"/>
              <w:rPr>
                <w:rFonts w:cs="Courier New"/>
                <w:lang w:val="zh-CN"/>
              </w:rPr>
            </w:pPr>
            <w:r>
              <w:rPr>
                <w:rFonts w:hint="eastAsia" w:cs="Courier New"/>
                <w:lang w:val="zh-CN"/>
              </w:rPr>
              <w:t>5</w:t>
            </w:r>
          </w:p>
        </w:tc>
        <w:tc>
          <w:tcPr>
            <w:tcW w:w="2559" w:type="dxa"/>
            <w:vAlign w:val="center"/>
          </w:tcPr>
          <w:p>
            <w:pPr>
              <w:pStyle w:val="83"/>
              <w:ind w:left="38"/>
              <w:jc w:val="center"/>
              <w:rPr>
                <w:lang w:val="zh-CN"/>
              </w:rPr>
            </w:pPr>
            <w:r>
              <w:rPr>
                <w:rFonts w:hint="eastAsia"/>
              </w:rPr>
              <w:t>资金性质</w:t>
            </w:r>
          </w:p>
        </w:tc>
        <w:tc>
          <w:tcPr>
            <w:tcW w:w="6355" w:type="dxa"/>
            <w:vAlign w:val="center"/>
          </w:tcPr>
          <w:p>
            <w:pPr>
              <w:widowControl/>
              <w:tabs>
                <w:tab w:val="left" w:pos="1620"/>
              </w:tabs>
              <w:spacing w:line="360" w:lineRule="auto"/>
              <w:ind w:right="-197" w:rightChars="-94"/>
              <w:jc w:val="left"/>
              <w:rPr>
                <w:rFonts w:ascii="宋体" w:hAnsi="宋体"/>
                <w:sz w:val="24"/>
              </w:rPr>
            </w:pPr>
            <w:r>
              <w:rPr>
                <w:rFonts w:hint="eastAsia" w:ascii="宋体" w:hAnsi="宋体"/>
                <w:kern w:val="0"/>
                <w:sz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jc w:val="center"/>
        </w:trPr>
        <w:tc>
          <w:tcPr>
            <w:tcW w:w="811" w:type="dxa"/>
            <w:vAlign w:val="center"/>
          </w:tcPr>
          <w:p>
            <w:pPr>
              <w:pStyle w:val="83"/>
              <w:ind w:right="230"/>
              <w:jc w:val="center"/>
              <w:rPr>
                <w:rFonts w:cs="Courier New"/>
                <w:lang w:val="zh-CN"/>
              </w:rPr>
            </w:pPr>
            <w:r>
              <w:rPr>
                <w:rFonts w:hint="eastAsia" w:cs="Courier New"/>
                <w:lang w:val="zh-CN"/>
              </w:rPr>
              <w:t>6</w:t>
            </w:r>
          </w:p>
        </w:tc>
        <w:tc>
          <w:tcPr>
            <w:tcW w:w="2559" w:type="dxa"/>
            <w:vAlign w:val="center"/>
          </w:tcPr>
          <w:p>
            <w:pPr>
              <w:pStyle w:val="83"/>
              <w:ind w:left="38"/>
              <w:jc w:val="center"/>
              <w:rPr>
                <w:lang w:val="zh-CN"/>
              </w:rPr>
            </w:pPr>
            <w:r>
              <w:rPr>
                <w:rFonts w:hint="eastAsia"/>
                <w:lang w:val="zh-CN"/>
              </w:rPr>
              <w:t>项目预算</w:t>
            </w:r>
          </w:p>
        </w:tc>
        <w:tc>
          <w:tcPr>
            <w:tcW w:w="6355" w:type="dxa"/>
            <w:vAlign w:val="center"/>
          </w:tcPr>
          <w:p>
            <w:pPr>
              <w:pStyle w:val="83"/>
              <w:spacing w:line="360" w:lineRule="auto"/>
            </w:pPr>
            <w:r>
              <w:rPr>
                <w:rFonts w:hint="eastAsia"/>
              </w:rPr>
              <w:t>本项目预算金额为：850000.00元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811" w:type="dxa"/>
            <w:vAlign w:val="center"/>
          </w:tcPr>
          <w:p>
            <w:pPr>
              <w:pStyle w:val="83"/>
              <w:ind w:right="230"/>
              <w:jc w:val="center"/>
              <w:rPr>
                <w:rFonts w:cs="Courier New"/>
              </w:rPr>
            </w:pPr>
            <w:r>
              <w:rPr>
                <w:rFonts w:hint="eastAsia" w:cs="Courier New"/>
              </w:rPr>
              <w:t>7</w:t>
            </w:r>
          </w:p>
        </w:tc>
        <w:tc>
          <w:tcPr>
            <w:tcW w:w="2559" w:type="dxa"/>
            <w:vAlign w:val="center"/>
          </w:tcPr>
          <w:p>
            <w:pPr>
              <w:pStyle w:val="83"/>
              <w:ind w:left="38"/>
              <w:jc w:val="center"/>
            </w:pPr>
            <w:r>
              <w:rPr>
                <w:rFonts w:hint="eastAsia"/>
              </w:rPr>
              <w:t>投标报价</w:t>
            </w:r>
          </w:p>
        </w:tc>
        <w:tc>
          <w:tcPr>
            <w:tcW w:w="6355" w:type="dxa"/>
            <w:vAlign w:val="center"/>
          </w:tcPr>
          <w:p>
            <w:pPr>
              <w:pStyle w:val="83"/>
              <w:spacing w:line="360" w:lineRule="auto"/>
            </w:pPr>
            <w:r>
              <w:rPr>
                <w:rFonts w:hint="eastAsia" w:cs="Times New Roman"/>
                <w:kern w:val="2"/>
              </w:rPr>
              <w:t>本次招标按照折扣率报价。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exact"/>
          <w:jc w:val="center"/>
        </w:trPr>
        <w:tc>
          <w:tcPr>
            <w:tcW w:w="811" w:type="dxa"/>
            <w:vAlign w:val="center"/>
          </w:tcPr>
          <w:p>
            <w:pPr>
              <w:pStyle w:val="83"/>
              <w:ind w:right="230"/>
              <w:jc w:val="center"/>
              <w:rPr>
                <w:rFonts w:cs="Courier New"/>
                <w:lang w:val="zh-CN"/>
              </w:rPr>
            </w:pPr>
            <w:r>
              <w:rPr>
                <w:rFonts w:hint="eastAsia" w:cs="Courier New"/>
              </w:rPr>
              <w:t>8</w:t>
            </w:r>
          </w:p>
        </w:tc>
        <w:tc>
          <w:tcPr>
            <w:tcW w:w="2559" w:type="dxa"/>
            <w:vAlign w:val="center"/>
          </w:tcPr>
          <w:p>
            <w:pPr>
              <w:widowControl/>
              <w:tabs>
                <w:tab w:val="left" w:pos="1620"/>
              </w:tabs>
              <w:spacing w:line="360" w:lineRule="auto"/>
              <w:ind w:right="-197" w:rightChars="-94" w:firstLine="840" w:firstLineChars="350"/>
              <w:jc w:val="left"/>
              <w:rPr>
                <w:lang w:val="zh-CN"/>
              </w:rPr>
            </w:pPr>
            <w:r>
              <w:rPr>
                <w:rFonts w:hint="eastAsia" w:ascii="宋体" w:hAnsi="宋体"/>
                <w:kern w:val="0"/>
                <w:sz w:val="24"/>
              </w:rPr>
              <w:t>项目用途</w:t>
            </w:r>
            <w:r>
              <w:rPr>
                <w:rFonts w:hint="eastAsia"/>
                <w:lang w:val="zh-CN"/>
              </w:rPr>
              <w:t xml:space="preserve"> </w:t>
            </w:r>
          </w:p>
        </w:tc>
        <w:tc>
          <w:tcPr>
            <w:tcW w:w="6355" w:type="dxa"/>
            <w:vAlign w:val="center"/>
          </w:tcPr>
          <w:p>
            <w:pPr>
              <w:pStyle w:val="83"/>
              <w:rPr>
                <w:lang w:val="zh-CN"/>
              </w:rPr>
            </w:pPr>
            <w:r>
              <w:rPr>
                <w:rFonts w:hint="eastAsia"/>
              </w:rPr>
              <w:t>自用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811" w:type="dxa"/>
            <w:vAlign w:val="center"/>
          </w:tcPr>
          <w:p>
            <w:pPr>
              <w:pStyle w:val="83"/>
              <w:ind w:right="230"/>
              <w:jc w:val="center"/>
              <w:rPr>
                <w:rFonts w:cs="Courier New"/>
                <w:lang w:val="zh-CN"/>
              </w:rPr>
            </w:pPr>
            <w:r>
              <w:rPr>
                <w:rFonts w:hint="eastAsia" w:cs="Courier New"/>
              </w:rPr>
              <w:t>9</w:t>
            </w:r>
          </w:p>
        </w:tc>
        <w:tc>
          <w:tcPr>
            <w:tcW w:w="2559" w:type="dxa"/>
            <w:vAlign w:val="center"/>
          </w:tcPr>
          <w:p>
            <w:pPr>
              <w:pStyle w:val="83"/>
              <w:ind w:left="38"/>
              <w:jc w:val="center"/>
              <w:rPr>
                <w:lang w:val="zh-CN"/>
              </w:rPr>
            </w:pPr>
            <w:r>
              <w:rPr>
                <w:rFonts w:hint="eastAsia"/>
                <w:lang w:val="zh-CN"/>
              </w:rPr>
              <w:t>采购方式</w:t>
            </w:r>
          </w:p>
        </w:tc>
        <w:tc>
          <w:tcPr>
            <w:tcW w:w="6355" w:type="dxa"/>
            <w:vAlign w:val="center"/>
          </w:tcPr>
          <w:p>
            <w:pPr>
              <w:pStyle w:val="83"/>
              <w:rPr>
                <w:lang w:val="zh-CN"/>
              </w:rPr>
            </w:pPr>
            <w:r>
              <w:rPr>
                <w:rFonts w:hint="eastAsia"/>
                <w:lang w:val="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811" w:type="dxa"/>
            <w:vAlign w:val="center"/>
          </w:tcPr>
          <w:p>
            <w:pPr>
              <w:pStyle w:val="83"/>
              <w:ind w:right="230"/>
              <w:jc w:val="center"/>
              <w:rPr>
                <w:rFonts w:cs="Courier New"/>
              </w:rPr>
            </w:pPr>
            <w:r>
              <w:rPr>
                <w:rFonts w:hint="eastAsia" w:cs="Courier New"/>
              </w:rPr>
              <w:t>10</w:t>
            </w:r>
          </w:p>
        </w:tc>
        <w:tc>
          <w:tcPr>
            <w:tcW w:w="2559" w:type="dxa"/>
            <w:vAlign w:val="center"/>
          </w:tcPr>
          <w:p>
            <w:pPr>
              <w:pStyle w:val="83"/>
              <w:ind w:left="38"/>
              <w:jc w:val="center"/>
              <w:rPr>
                <w:lang w:val="zh-CN"/>
              </w:rPr>
            </w:pPr>
            <w:r>
              <w:rPr>
                <w:rFonts w:hint="eastAsia"/>
                <w:lang w:val="zh-CN"/>
              </w:rPr>
              <w:t>采购内容</w:t>
            </w:r>
          </w:p>
        </w:tc>
        <w:tc>
          <w:tcPr>
            <w:tcW w:w="6355" w:type="dxa"/>
            <w:vAlign w:val="center"/>
          </w:tcPr>
          <w:p>
            <w:pPr>
              <w:pStyle w:val="83"/>
              <w:rPr>
                <w:lang w:val="zh-CN"/>
              </w:rPr>
            </w:pPr>
            <w:r>
              <w:rPr>
                <w:rFonts w:hint="eastAsia"/>
                <w:lang w:val="zh-CN"/>
              </w:rPr>
              <w:t>详见第5章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811" w:type="dxa"/>
            <w:vAlign w:val="center"/>
          </w:tcPr>
          <w:p>
            <w:pPr>
              <w:pStyle w:val="83"/>
              <w:ind w:right="230"/>
              <w:jc w:val="center"/>
              <w:rPr>
                <w:rFonts w:cs="Courier New"/>
                <w:lang w:val="zh-CN"/>
              </w:rPr>
            </w:pPr>
            <w:r>
              <w:rPr>
                <w:rFonts w:hint="eastAsia" w:cs="Courier New"/>
                <w:lang w:val="zh-CN"/>
              </w:rPr>
              <w:t>1</w:t>
            </w:r>
            <w:r>
              <w:rPr>
                <w:rFonts w:hint="eastAsia" w:cs="Courier New"/>
              </w:rPr>
              <w:t>1</w:t>
            </w:r>
          </w:p>
        </w:tc>
        <w:tc>
          <w:tcPr>
            <w:tcW w:w="2559" w:type="dxa"/>
            <w:vAlign w:val="center"/>
          </w:tcPr>
          <w:p>
            <w:pPr>
              <w:pStyle w:val="83"/>
              <w:ind w:left="96"/>
              <w:jc w:val="center"/>
              <w:rPr>
                <w:lang w:val="zh-CN"/>
              </w:rPr>
            </w:pPr>
            <w:r>
              <w:rPr>
                <w:rFonts w:hint="eastAsia"/>
                <w:lang w:val="zh-CN"/>
              </w:rPr>
              <w:t>交货期</w:t>
            </w:r>
          </w:p>
        </w:tc>
        <w:tc>
          <w:tcPr>
            <w:tcW w:w="6355" w:type="dxa"/>
            <w:vAlign w:val="center"/>
          </w:tcPr>
          <w:p>
            <w:pPr>
              <w:pStyle w:val="83"/>
            </w:pPr>
            <w:r>
              <w:rPr>
                <w:rFonts w:hint="eastAsia"/>
              </w:rPr>
              <w:t>期刊出版日期后30个日历日内供货到位</w:t>
            </w:r>
            <w:r>
              <w:rPr>
                <w:rFonts w:hint="eastAsia" w:cs="Times New Roman"/>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811" w:type="dxa"/>
            <w:vAlign w:val="center"/>
          </w:tcPr>
          <w:p>
            <w:pPr>
              <w:pStyle w:val="83"/>
              <w:ind w:right="230"/>
              <w:jc w:val="center"/>
              <w:rPr>
                <w:rFonts w:cs="Courier New"/>
                <w:lang w:val="zh-CN"/>
              </w:rPr>
            </w:pPr>
            <w:r>
              <w:rPr>
                <w:rFonts w:hint="eastAsia" w:cs="Courier New"/>
                <w:lang w:val="zh-CN"/>
              </w:rPr>
              <w:t>1</w:t>
            </w:r>
            <w:r>
              <w:rPr>
                <w:rFonts w:hint="eastAsia" w:cs="Courier New"/>
              </w:rPr>
              <w:t>2</w:t>
            </w:r>
          </w:p>
        </w:tc>
        <w:tc>
          <w:tcPr>
            <w:tcW w:w="2559" w:type="dxa"/>
            <w:vAlign w:val="center"/>
          </w:tcPr>
          <w:p>
            <w:pPr>
              <w:pStyle w:val="83"/>
              <w:ind w:left="96"/>
              <w:jc w:val="center"/>
              <w:rPr>
                <w:lang w:val="zh-CN"/>
              </w:rPr>
            </w:pPr>
            <w:r>
              <w:rPr>
                <w:rFonts w:hint="eastAsia"/>
                <w:lang w:val="zh-CN"/>
              </w:rPr>
              <w:t>交货地点</w:t>
            </w:r>
          </w:p>
        </w:tc>
        <w:tc>
          <w:tcPr>
            <w:tcW w:w="6355" w:type="dxa"/>
            <w:vAlign w:val="center"/>
          </w:tcPr>
          <w:p>
            <w:pPr>
              <w:pStyle w:val="83"/>
              <w:rPr>
                <w:rFonts w:cs="Times New Roman"/>
                <w:lang w:val="zh-CN"/>
              </w:rPr>
            </w:pPr>
            <w:r>
              <w:rPr>
                <w:rFonts w:hint="eastAsia" w:cs="Times New Roman"/>
                <w:lang w:val="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811" w:type="dxa"/>
            <w:vAlign w:val="center"/>
          </w:tcPr>
          <w:p>
            <w:pPr>
              <w:pStyle w:val="83"/>
              <w:ind w:right="230"/>
              <w:jc w:val="center"/>
              <w:rPr>
                <w:rFonts w:cs="Courier New"/>
              </w:rPr>
            </w:pPr>
            <w:r>
              <w:rPr>
                <w:rFonts w:hint="eastAsia" w:cs="Courier New"/>
              </w:rPr>
              <w:t>13</w:t>
            </w:r>
          </w:p>
        </w:tc>
        <w:tc>
          <w:tcPr>
            <w:tcW w:w="2559" w:type="dxa"/>
            <w:vAlign w:val="center"/>
          </w:tcPr>
          <w:p>
            <w:pPr>
              <w:pStyle w:val="83"/>
              <w:ind w:left="96"/>
              <w:jc w:val="center"/>
              <w:rPr>
                <w:lang w:val="zh-CN"/>
              </w:rPr>
            </w:pPr>
            <w:r>
              <w:rPr>
                <w:rFonts w:hint="eastAsia"/>
                <w:lang w:val="zh-CN"/>
              </w:rPr>
              <w:t>质保期</w:t>
            </w:r>
          </w:p>
        </w:tc>
        <w:tc>
          <w:tcPr>
            <w:tcW w:w="6355" w:type="dxa"/>
            <w:vAlign w:val="center"/>
          </w:tcPr>
          <w:p>
            <w:pPr>
              <w:pStyle w:val="83"/>
              <w:rPr>
                <w:rFonts w:cs="Times New Roman"/>
              </w:rPr>
            </w:pPr>
            <w:r>
              <w:rPr>
                <w:rFonts w:hint="eastAsia"/>
              </w:rPr>
              <w:t>十八个月</w:t>
            </w:r>
            <w:r>
              <w:t>，以双方签订合同时约定的起止时间为准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811" w:type="dxa"/>
            <w:vAlign w:val="center"/>
          </w:tcPr>
          <w:p>
            <w:pPr>
              <w:pStyle w:val="83"/>
              <w:ind w:right="230"/>
              <w:jc w:val="center"/>
              <w:rPr>
                <w:rFonts w:cs="Courier New"/>
                <w:lang w:val="zh-CN"/>
              </w:rPr>
            </w:pPr>
            <w:r>
              <w:rPr>
                <w:rFonts w:hint="eastAsia" w:cs="Courier New"/>
                <w:lang w:val="zh-CN"/>
              </w:rPr>
              <w:t>1</w:t>
            </w:r>
            <w:r>
              <w:rPr>
                <w:rFonts w:hint="eastAsia" w:cs="Courier New"/>
              </w:rPr>
              <w:t>4</w:t>
            </w:r>
          </w:p>
        </w:tc>
        <w:tc>
          <w:tcPr>
            <w:tcW w:w="2559" w:type="dxa"/>
            <w:vAlign w:val="center"/>
          </w:tcPr>
          <w:p>
            <w:pPr>
              <w:pStyle w:val="83"/>
              <w:ind w:left="96"/>
              <w:jc w:val="center"/>
              <w:rPr>
                <w:lang w:val="zh-CN"/>
              </w:rPr>
            </w:pPr>
            <w:r>
              <w:rPr>
                <w:rFonts w:hint="eastAsia"/>
                <w:lang w:val="zh-CN"/>
              </w:rPr>
              <w:t>质量要求、验收标准</w:t>
            </w:r>
          </w:p>
        </w:tc>
        <w:tc>
          <w:tcPr>
            <w:tcW w:w="6355" w:type="dxa"/>
            <w:vAlign w:val="center"/>
          </w:tcPr>
          <w:p>
            <w:pPr>
              <w:pStyle w:val="83"/>
              <w:spacing w:line="360" w:lineRule="auto"/>
              <w:rPr>
                <w:rFonts w:cs="Times New Roman"/>
                <w:kern w:val="2"/>
              </w:rPr>
            </w:pPr>
            <w:r>
              <w:rPr>
                <w:rFonts w:hint="eastAsia" w:cs="Times New Roman"/>
                <w:kern w:val="2"/>
                <w:lang w:val="zh-CN"/>
              </w:rPr>
              <w:t>质量要求：达到国家现行</w:t>
            </w:r>
            <w:r>
              <w:rPr>
                <w:rFonts w:hint="eastAsia" w:cs="Times New Roman"/>
                <w:kern w:val="2"/>
              </w:rPr>
              <w:t>技术标准合格标准。</w:t>
            </w:r>
          </w:p>
          <w:p>
            <w:pPr>
              <w:pStyle w:val="83"/>
              <w:spacing w:line="360" w:lineRule="auto"/>
            </w:pPr>
            <w:r>
              <w:rPr>
                <w:rFonts w:hint="eastAsia" w:cs="Times New Roman"/>
                <w:kern w:val="2"/>
              </w:rPr>
              <w:t>验收标准：国家标准、行业标准、企业标准。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811" w:type="dxa"/>
            <w:vAlign w:val="center"/>
          </w:tcPr>
          <w:p>
            <w:pPr>
              <w:pStyle w:val="83"/>
              <w:ind w:right="230"/>
              <w:jc w:val="center"/>
              <w:rPr>
                <w:rFonts w:cs="Courier New"/>
              </w:rPr>
            </w:pPr>
            <w:r>
              <w:rPr>
                <w:rFonts w:hint="eastAsia" w:cs="Courier New"/>
              </w:rPr>
              <w:t xml:space="preserve">        15</w:t>
            </w:r>
          </w:p>
        </w:tc>
        <w:tc>
          <w:tcPr>
            <w:tcW w:w="2559" w:type="dxa"/>
            <w:vAlign w:val="center"/>
          </w:tcPr>
          <w:p>
            <w:pPr>
              <w:pStyle w:val="83"/>
              <w:jc w:val="center"/>
              <w:rPr>
                <w:lang w:val="zh-CN"/>
              </w:rPr>
            </w:pPr>
            <w:r>
              <w:rPr>
                <w:rFonts w:hint="eastAsia"/>
                <w:lang w:val="zh-CN"/>
              </w:rPr>
              <w:t>货款支付方式、时间</w:t>
            </w:r>
          </w:p>
          <w:p>
            <w:pPr>
              <w:pStyle w:val="83"/>
              <w:jc w:val="center"/>
              <w:rPr>
                <w:lang w:val="zh-CN"/>
              </w:rPr>
            </w:pPr>
            <w:r>
              <w:rPr>
                <w:rFonts w:hint="eastAsia"/>
                <w:lang w:val="zh-CN"/>
              </w:rPr>
              <w:t>和条件</w:t>
            </w:r>
          </w:p>
        </w:tc>
        <w:tc>
          <w:tcPr>
            <w:tcW w:w="6355" w:type="dxa"/>
            <w:vAlign w:val="center"/>
          </w:tcPr>
          <w:p>
            <w:pPr>
              <w:ind w:right="105" w:rightChars="50"/>
              <w:jc w:val="left"/>
              <w:rPr>
                <w:rFonts w:ascii="宋体" w:hAnsi="宋体"/>
                <w:sz w:val="24"/>
              </w:rPr>
            </w:pPr>
            <w:r>
              <w:rPr>
                <w:rFonts w:hint="eastAsia" w:ascii="宋体" w:hAnsi="宋体"/>
                <w:sz w:val="24"/>
              </w:rPr>
              <w:t>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811" w:type="dxa"/>
            <w:vAlign w:val="center"/>
          </w:tcPr>
          <w:p>
            <w:pPr>
              <w:pStyle w:val="83"/>
              <w:ind w:right="232"/>
              <w:jc w:val="center"/>
              <w:rPr>
                <w:rFonts w:cs="Courier New"/>
                <w:lang w:val="zh-CN"/>
              </w:rPr>
            </w:pPr>
            <w:r>
              <w:rPr>
                <w:rFonts w:hint="eastAsia" w:cs="Courier New"/>
                <w:lang w:val="zh-CN"/>
              </w:rPr>
              <w:t>1</w:t>
            </w:r>
            <w:r>
              <w:rPr>
                <w:rFonts w:hint="eastAsia" w:cs="Courier New"/>
              </w:rPr>
              <w:t>6</w:t>
            </w:r>
          </w:p>
        </w:tc>
        <w:tc>
          <w:tcPr>
            <w:tcW w:w="2559" w:type="dxa"/>
            <w:vAlign w:val="center"/>
          </w:tcPr>
          <w:p>
            <w:pPr>
              <w:pStyle w:val="83"/>
              <w:jc w:val="center"/>
              <w:rPr>
                <w:lang w:val="zh-CN"/>
              </w:rPr>
            </w:pPr>
            <w:r>
              <w:rPr>
                <w:rFonts w:hint="eastAsia"/>
                <w:lang w:val="zh-CN"/>
              </w:rPr>
              <w:t>联合体投标</w:t>
            </w:r>
          </w:p>
        </w:tc>
        <w:tc>
          <w:tcPr>
            <w:tcW w:w="6355" w:type="dxa"/>
            <w:vAlign w:val="center"/>
          </w:tcPr>
          <w:p>
            <w:pPr>
              <w:ind w:right="105" w:rightChars="50"/>
              <w:jc w:val="left"/>
              <w:rPr>
                <w:rFonts w:ascii="宋体" w:hAnsi="宋体"/>
                <w:sz w:val="24"/>
              </w:rPr>
            </w:pPr>
            <w:r>
              <w:rPr>
                <w:rFonts w:hint="eastAsia" w:ascii="宋体" w:hAnsi="宋体"/>
                <w:sz w:val="24"/>
              </w:rPr>
              <w:fldChar w:fldCharType="begin"/>
            </w:r>
            <w:r>
              <w:rPr>
                <w:rFonts w:hint="eastAsia" w:ascii="宋体" w:hAnsi="宋体"/>
                <w:sz w:val="24"/>
              </w:rPr>
              <w:instrText xml:space="preserve"> eq \o\ac(□,√)</w:instrText>
            </w:r>
            <w:r>
              <w:rPr>
                <w:rFonts w:hint="eastAsia" w:ascii="宋体" w:hAnsi="宋体"/>
                <w:sz w:val="24"/>
              </w:rPr>
              <w:fldChar w:fldCharType="end"/>
            </w:r>
            <w:r>
              <w:rPr>
                <w:rFonts w:hint="eastAsia" w:ascii="宋体" w:hAnsi="宋体"/>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811" w:type="dxa"/>
            <w:vAlign w:val="center"/>
          </w:tcPr>
          <w:p>
            <w:pPr>
              <w:pStyle w:val="83"/>
              <w:ind w:right="230"/>
              <w:jc w:val="center"/>
              <w:rPr>
                <w:rFonts w:cs="Courier New"/>
                <w:lang w:val="zh-CN"/>
              </w:rPr>
            </w:pPr>
            <w:r>
              <w:rPr>
                <w:rFonts w:hint="eastAsia" w:cs="Courier New"/>
                <w:lang w:val="zh-CN"/>
              </w:rPr>
              <w:t>1</w:t>
            </w:r>
            <w:r>
              <w:rPr>
                <w:rFonts w:hint="eastAsia" w:cs="Courier New"/>
              </w:rPr>
              <w:t>7</w:t>
            </w:r>
          </w:p>
        </w:tc>
        <w:tc>
          <w:tcPr>
            <w:tcW w:w="2559" w:type="dxa"/>
            <w:vAlign w:val="center"/>
          </w:tcPr>
          <w:p>
            <w:pPr>
              <w:pStyle w:val="83"/>
              <w:jc w:val="center"/>
              <w:rPr>
                <w:lang w:val="zh-CN"/>
              </w:rPr>
            </w:pPr>
            <w:r>
              <w:rPr>
                <w:rFonts w:hint="eastAsia"/>
                <w:lang w:val="zh-CN"/>
              </w:rPr>
              <w:t>招标文件发售</w:t>
            </w:r>
          </w:p>
        </w:tc>
        <w:tc>
          <w:tcPr>
            <w:tcW w:w="6355" w:type="dxa"/>
            <w:vAlign w:val="center"/>
          </w:tcPr>
          <w:p>
            <w:pPr>
              <w:ind w:right="105" w:rightChars="50"/>
              <w:jc w:val="left"/>
              <w:rPr>
                <w:rFonts w:ascii="宋体" w:hAnsi="宋体"/>
                <w:sz w:val="24"/>
              </w:rPr>
            </w:pPr>
            <w:r>
              <w:rPr>
                <w:rFonts w:hint="eastAsia" w:ascii="宋体" w:hAnsi="宋体"/>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811" w:type="dxa"/>
            <w:vAlign w:val="center"/>
          </w:tcPr>
          <w:p>
            <w:pPr>
              <w:pStyle w:val="83"/>
              <w:ind w:right="230"/>
              <w:jc w:val="center"/>
              <w:rPr>
                <w:rFonts w:cs="Courier New"/>
                <w:lang w:val="zh-CN"/>
              </w:rPr>
            </w:pPr>
            <w:r>
              <w:rPr>
                <w:rFonts w:hint="eastAsia" w:cs="Courier New"/>
                <w:lang w:val="zh-CN"/>
              </w:rPr>
              <w:t>1</w:t>
            </w:r>
            <w:r>
              <w:rPr>
                <w:rFonts w:hint="eastAsia" w:cs="Courier New"/>
              </w:rPr>
              <w:t>8</w:t>
            </w:r>
          </w:p>
        </w:tc>
        <w:tc>
          <w:tcPr>
            <w:tcW w:w="2559" w:type="dxa"/>
            <w:vAlign w:val="center"/>
          </w:tcPr>
          <w:p>
            <w:pPr>
              <w:pStyle w:val="83"/>
              <w:ind w:firstLine="720" w:firstLineChars="300"/>
              <w:rPr>
                <w:lang w:val="zh-CN"/>
              </w:rPr>
            </w:pPr>
            <w:r>
              <w:rPr>
                <w:rFonts w:hint="eastAsia"/>
                <w:lang w:val="zh-CN"/>
              </w:rPr>
              <w:t>现场勘察</w:t>
            </w:r>
          </w:p>
        </w:tc>
        <w:tc>
          <w:tcPr>
            <w:tcW w:w="6355" w:type="dxa"/>
            <w:vAlign w:val="center"/>
          </w:tcPr>
          <w:p>
            <w:pPr>
              <w:pStyle w:val="83"/>
              <w:spacing w:line="360" w:lineRule="auto"/>
            </w:pPr>
            <w:r>
              <w:rPr>
                <w:rFonts w:hint="eastAsia"/>
              </w:rPr>
              <w:t>不统一组织，投标单位认为有必要，自行踏勘。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811" w:type="dxa"/>
            <w:vAlign w:val="center"/>
          </w:tcPr>
          <w:p>
            <w:pPr>
              <w:pStyle w:val="83"/>
              <w:ind w:right="230"/>
              <w:jc w:val="center"/>
              <w:rPr>
                <w:rFonts w:cs="Courier New"/>
                <w:lang w:val="zh-CN"/>
              </w:rPr>
            </w:pPr>
            <w:r>
              <w:rPr>
                <w:rFonts w:hint="eastAsia" w:cs="Courier New"/>
                <w:lang w:val="zh-CN"/>
              </w:rPr>
              <w:t>1</w:t>
            </w:r>
            <w:r>
              <w:rPr>
                <w:rFonts w:hint="eastAsia" w:cs="Courier New"/>
              </w:rPr>
              <w:t>9</w:t>
            </w:r>
          </w:p>
        </w:tc>
        <w:tc>
          <w:tcPr>
            <w:tcW w:w="2559" w:type="dxa"/>
            <w:vAlign w:val="center"/>
          </w:tcPr>
          <w:p>
            <w:pPr>
              <w:pStyle w:val="83"/>
              <w:jc w:val="center"/>
              <w:rPr>
                <w:lang w:val="zh-CN"/>
              </w:rPr>
            </w:pPr>
            <w:r>
              <w:rPr>
                <w:rFonts w:hint="eastAsia"/>
                <w:lang w:val="zh-CN"/>
              </w:rPr>
              <w:t>转包与分包履约</w:t>
            </w:r>
          </w:p>
        </w:tc>
        <w:tc>
          <w:tcPr>
            <w:tcW w:w="6355" w:type="dxa"/>
            <w:vAlign w:val="center"/>
          </w:tcPr>
          <w:p>
            <w:pPr>
              <w:pStyle w:val="83"/>
              <w:rPr>
                <w:lang w:val="zh-CN"/>
              </w:rPr>
            </w:pPr>
            <w:r>
              <w:rPr>
                <w:rFonts w:hint="eastAsia" w:cs="Times New Roman"/>
                <w:kern w:val="2"/>
                <w:lang w:val="zh-CN"/>
              </w:rPr>
              <w:t>不转包。若分包中标人在合同签订之前必须征得采购人同意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11" w:type="dxa"/>
            <w:vAlign w:val="center"/>
          </w:tcPr>
          <w:p>
            <w:pPr>
              <w:pStyle w:val="83"/>
              <w:ind w:right="230"/>
              <w:jc w:val="center"/>
              <w:rPr>
                <w:rFonts w:cs="Courier New"/>
              </w:rPr>
            </w:pPr>
            <w:r>
              <w:rPr>
                <w:rFonts w:hint="eastAsia" w:cs="Courier New"/>
              </w:rPr>
              <w:t>20</w:t>
            </w:r>
          </w:p>
        </w:tc>
        <w:tc>
          <w:tcPr>
            <w:tcW w:w="2559" w:type="dxa"/>
            <w:vAlign w:val="center"/>
          </w:tcPr>
          <w:p>
            <w:pPr>
              <w:pStyle w:val="83"/>
              <w:ind w:left="52"/>
              <w:jc w:val="center"/>
              <w:rPr>
                <w:lang w:val="zh-CN"/>
              </w:rPr>
            </w:pPr>
            <w:r>
              <w:rPr>
                <w:rFonts w:hint="eastAsia"/>
                <w:lang w:val="zh-CN"/>
              </w:rPr>
              <w:t>构成招标文件的</w:t>
            </w:r>
          </w:p>
          <w:p>
            <w:pPr>
              <w:pStyle w:val="83"/>
              <w:jc w:val="center"/>
              <w:rPr>
                <w:lang w:val="zh-CN"/>
              </w:rPr>
            </w:pPr>
            <w:r>
              <w:rPr>
                <w:rFonts w:hint="eastAsia"/>
                <w:lang w:val="zh-CN"/>
              </w:rPr>
              <w:t>其他文件</w:t>
            </w:r>
          </w:p>
        </w:tc>
        <w:tc>
          <w:tcPr>
            <w:tcW w:w="6355" w:type="dxa"/>
            <w:vAlign w:val="center"/>
          </w:tcPr>
          <w:p>
            <w:pPr>
              <w:pStyle w:val="83"/>
              <w:rPr>
                <w:lang w:val="zh-CN"/>
              </w:rPr>
            </w:pPr>
            <w:r>
              <w:rPr>
                <w:rFonts w:hint="eastAsia" w:cs="Times New Roman"/>
                <w:kern w:val="2"/>
                <w:lang w:val="zh-CN"/>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811" w:type="dxa"/>
            <w:vAlign w:val="center"/>
          </w:tcPr>
          <w:p>
            <w:pPr>
              <w:pStyle w:val="83"/>
              <w:ind w:right="230"/>
              <w:jc w:val="center"/>
              <w:rPr>
                <w:rFonts w:cs="Courier New"/>
              </w:rPr>
            </w:pPr>
            <w:r>
              <w:rPr>
                <w:rFonts w:hint="eastAsia" w:cs="Courier New"/>
              </w:rPr>
              <w:t>21</w:t>
            </w:r>
          </w:p>
        </w:tc>
        <w:tc>
          <w:tcPr>
            <w:tcW w:w="2559" w:type="dxa"/>
            <w:vAlign w:val="center"/>
          </w:tcPr>
          <w:p>
            <w:pPr>
              <w:pStyle w:val="83"/>
              <w:jc w:val="center"/>
              <w:rPr>
                <w:lang w:val="zh-CN"/>
              </w:rPr>
            </w:pPr>
            <w:r>
              <w:rPr>
                <w:rFonts w:hint="eastAsia"/>
                <w:lang w:val="zh-CN"/>
              </w:rPr>
              <w:t>投标人对招标文件</w:t>
            </w:r>
          </w:p>
          <w:p>
            <w:pPr>
              <w:pStyle w:val="83"/>
              <w:jc w:val="center"/>
              <w:rPr>
                <w:lang w:val="zh-CN"/>
              </w:rPr>
            </w:pPr>
            <w:r>
              <w:rPr>
                <w:rFonts w:hint="eastAsia"/>
                <w:lang w:val="zh-CN"/>
              </w:rPr>
              <w:t>提出质疑的时间、形式</w:t>
            </w:r>
          </w:p>
        </w:tc>
        <w:tc>
          <w:tcPr>
            <w:tcW w:w="6355" w:type="dxa"/>
            <w:vAlign w:val="center"/>
          </w:tcPr>
          <w:p>
            <w:pPr>
              <w:pStyle w:val="83"/>
              <w:spacing w:line="360" w:lineRule="auto"/>
              <w:rPr>
                <w:rFonts w:cs="Times New Roman"/>
                <w:kern w:val="2"/>
                <w:lang w:val="zh-CN"/>
              </w:rPr>
            </w:pPr>
            <w:r>
              <w:rPr>
                <w:rFonts w:hint="eastAsia" w:cs="Times New Roman"/>
                <w:kern w:val="2"/>
                <w:lang w:val="zh-CN"/>
              </w:rPr>
              <w:t>时间：自投标人收到招标文件之日起7个工作日内</w:t>
            </w:r>
          </w:p>
          <w:p>
            <w:pPr>
              <w:pStyle w:val="83"/>
              <w:spacing w:line="360" w:lineRule="auto"/>
              <w:rPr>
                <w:lang w:val="zh-CN"/>
              </w:rPr>
            </w:pPr>
            <w:r>
              <w:rPr>
                <w:rFonts w:hint="eastAsia" w:cs="Times New Roman"/>
                <w:kern w:val="2"/>
                <w:lang w:val="zh-CN"/>
              </w:rPr>
              <w:t>形式：书面形式（详见投标人须知第4</w:t>
            </w:r>
            <w:r>
              <w:rPr>
                <w:rFonts w:hint="eastAsia" w:cs="Times New Roman"/>
                <w:kern w:val="2"/>
              </w:rPr>
              <w:t>3</w:t>
            </w:r>
            <w:r>
              <w:rPr>
                <w:rFonts w:hint="eastAsia" w:cs="Times New Roman"/>
                <w:kern w:val="2"/>
                <w:lang w:val="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11" w:type="dxa"/>
            <w:vAlign w:val="center"/>
          </w:tcPr>
          <w:p>
            <w:pPr>
              <w:pStyle w:val="83"/>
              <w:ind w:right="230"/>
              <w:jc w:val="center"/>
              <w:rPr>
                <w:rFonts w:cs="Courier New"/>
              </w:rPr>
            </w:pPr>
            <w:r>
              <w:rPr>
                <w:rFonts w:hint="eastAsia" w:cs="Courier New"/>
              </w:rPr>
              <w:t>22</w:t>
            </w:r>
          </w:p>
        </w:tc>
        <w:tc>
          <w:tcPr>
            <w:tcW w:w="2559" w:type="dxa"/>
            <w:vAlign w:val="center"/>
          </w:tcPr>
          <w:p>
            <w:pPr>
              <w:pStyle w:val="83"/>
              <w:jc w:val="center"/>
              <w:rPr>
                <w:lang w:val="zh-CN"/>
              </w:rPr>
            </w:pPr>
            <w:r>
              <w:rPr>
                <w:rFonts w:hint="eastAsia"/>
                <w:lang w:val="zh-CN"/>
              </w:rPr>
              <w:t>对投标人提出质疑</w:t>
            </w:r>
          </w:p>
          <w:p>
            <w:pPr>
              <w:pStyle w:val="83"/>
              <w:jc w:val="center"/>
              <w:rPr>
                <w:lang w:val="zh-CN"/>
              </w:rPr>
            </w:pPr>
            <w:r>
              <w:rPr>
                <w:rFonts w:hint="eastAsia"/>
                <w:lang w:val="zh-CN"/>
              </w:rPr>
              <w:t>答复时间、形式</w:t>
            </w:r>
          </w:p>
        </w:tc>
        <w:tc>
          <w:tcPr>
            <w:tcW w:w="6355" w:type="dxa"/>
            <w:vAlign w:val="center"/>
          </w:tcPr>
          <w:p>
            <w:pPr>
              <w:pStyle w:val="83"/>
              <w:spacing w:line="360" w:lineRule="auto"/>
              <w:rPr>
                <w:rFonts w:cs="Times New Roman"/>
                <w:kern w:val="2"/>
                <w:lang w:val="zh-CN"/>
              </w:rPr>
            </w:pPr>
            <w:r>
              <w:rPr>
                <w:rFonts w:hint="eastAsia" w:cs="Times New Roman"/>
                <w:kern w:val="2"/>
                <w:lang w:val="zh-CN"/>
              </w:rPr>
              <w:t>时间：自收到投标人质疑函之日起7个工作日内</w:t>
            </w:r>
          </w:p>
          <w:p>
            <w:pPr>
              <w:pStyle w:val="83"/>
              <w:spacing w:line="360" w:lineRule="auto"/>
            </w:pPr>
            <w:r>
              <w:rPr>
                <w:rFonts w:hint="eastAsia" w:cs="Times New Roman"/>
                <w:kern w:val="2"/>
                <w:lang w:val="zh-CN"/>
              </w:rPr>
              <w:t>形式：书面形式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exact"/>
          <w:jc w:val="center"/>
        </w:trPr>
        <w:tc>
          <w:tcPr>
            <w:tcW w:w="811" w:type="dxa"/>
            <w:vAlign w:val="center"/>
          </w:tcPr>
          <w:p>
            <w:pPr>
              <w:pStyle w:val="83"/>
              <w:ind w:right="230"/>
              <w:jc w:val="center"/>
              <w:rPr>
                <w:rFonts w:cs="Courier New"/>
                <w:lang w:val="zh-CN"/>
              </w:rPr>
            </w:pPr>
            <w:r>
              <w:rPr>
                <w:rFonts w:hint="eastAsia" w:cs="Courier New"/>
                <w:lang w:val="zh-CN"/>
              </w:rPr>
              <w:t>2</w:t>
            </w:r>
            <w:r>
              <w:rPr>
                <w:rFonts w:hint="eastAsia" w:cs="Courier New"/>
              </w:rPr>
              <w:t>3</w:t>
            </w:r>
          </w:p>
        </w:tc>
        <w:tc>
          <w:tcPr>
            <w:tcW w:w="2559" w:type="dxa"/>
            <w:vAlign w:val="center"/>
          </w:tcPr>
          <w:p>
            <w:pPr>
              <w:pStyle w:val="83"/>
              <w:ind w:left="33"/>
              <w:jc w:val="center"/>
              <w:rPr>
                <w:lang w:val="zh-CN"/>
              </w:rPr>
            </w:pPr>
            <w:r>
              <w:rPr>
                <w:rFonts w:hint="eastAsia"/>
                <w:lang w:val="zh-CN"/>
              </w:rPr>
              <w:t>投标有效期</w:t>
            </w:r>
          </w:p>
        </w:tc>
        <w:tc>
          <w:tcPr>
            <w:tcW w:w="6355" w:type="dxa"/>
            <w:vAlign w:val="center"/>
          </w:tcPr>
          <w:p>
            <w:pPr>
              <w:pStyle w:val="83"/>
              <w:rPr>
                <w:lang w:val="zh-CN"/>
              </w:rPr>
            </w:pPr>
            <w:r>
              <w:rPr>
                <w:rFonts w:hint="eastAsia"/>
                <w:lang w:val="zh-CN"/>
              </w:rPr>
              <w:t>从投标截止日起</w:t>
            </w:r>
            <w:r>
              <w:rPr>
                <w:rFonts w:hint="eastAsia"/>
              </w:rPr>
              <w:t>90</w:t>
            </w:r>
            <w:r>
              <w:rPr>
                <w:rFonts w:hint="eastAsia"/>
                <w:lang w:val="zh-CN"/>
              </w:rPr>
              <w:t>日历</w:t>
            </w:r>
            <w:r>
              <w:rPr>
                <w:rFonts w:hint="eastAsia"/>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811" w:type="dxa"/>
            <w:vAlign w:val="center"/>
          </w:tcPr>
          <w:p>
            <w:pPr>
              <w:pStyle w:val="83"/>
              <w:ind w:right="230"/>
              <w:jc w:val="center"/>
              <w:rPr>
                <w:rFonts w:cs="Courier New"/>
                <w:lang w:val="zh-CN"/>
              </w:rPr>
            </w:pPr>
            <w:r>
              <w:rPr>
                <w:rFonts w:hint="eastAsia" w:cs="Courier New"/>
                <w:lang w:val="zh-CN"/>
              </w:rPr>
              <w:t>2</w:t>
            </w:r>
            <w:r>
              <w:rPr>
                <w:rFonts w:hint="eastAsia" w:cs="Courier New"/>
              </w:rPr>
              <w:t>4</w:t>
            </w:r>
          </w:p>
        </w:tc>
        <w:tc>
          <w:tcPr>
            <w:tcW w:w="2559" w:type="dxa"/>
            <w:vAlign w:val="center"/>
          </w:tcPr>
          <w:p>
            <w:pPr>
              <w:pStyle w:val="83"/>
              <w:ind w:left="33"/>
              <w:jc w:val="center"/>
              <w:rPr>
                <w:lang w:val="zh-CN"/>
              </w:rPr>
            </w:pPr>
            <w:r>
              <w:rPr>
                <w:rFonts w:hint="eastAsia"/>
                <w:lang w:val="zh-CN"/>
              </w:rPr>
              <w:t>是否允许递交多个</w:t>
            </w:r>
          </w:p>
          <w:p>
            <w:pPr>
              <w:pStyle w:val="83"/>
              <w:ind w:left="33"/>
              <w:jc w:val="center"/>
              <w:rPr>
                <w:lang w:val="zh-CN"/>
              </w:rPr>
            </w:pPr>
            <w:r>
              <w:rPr>
                <w:rFonts w:hint="eastAsia"/>
                <w:lang w:val="zh-CN"/>
              </w:rPr>
              <w:t>备选投标方案</w:t>
            </w:r>
          </w:p>
        </w:tc>
        <w:tc>
          <w:tcPr>
            <w:tcW w:w="6355" w:type="dxa"/>
            <w:vAlign w:val="center"/>
          </w:tcPr>
          <w:p>
            <w:pPr>
              <w:pStyle w:val="83"/>
              <w:rPr>
                <w:lang w:val="zh-CN"/>
              </w:rPr>
            </w:pPr>
            <w:r>
              <w:rPr>
                <w:rFonts w:hint="eastAsia"/>
                <w:lang w:val="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exact"/>
          <w:jc w:val="center"/>
        </w:trPr>
        <w:tc>
          <w:tcPr>
            <w:tcW w:w="811" w:type="dxa"/>
            <w:vAlign w:val="center"/>
          </w:tcPr>
          <w:p>
            <w:pPr>
              <w:pStyle w:val="83"/>
              <w:ind w:right="230"/>
              <w:jc w:val="center"/>
              <w:rPr>
                <w:rFonts w:cs="Courier New"/>
                <w:lang w:val="zh-CN"/>
              </w:rPr>
            </w:pPr>
            <w:r>
              <w:rPr>
                <w:rFonts w:hint="eastAsia" w:cs="Courier New"/>
              </w:rPr>
              <w:t xml:space="preserve"> </w:t>
            </w:r>
            <w:r>
              <w:rPr>
                <w:rFonts w:hint="eastAsia" w:cs="Courier New"/>
                <w:lang w:val="zh-CN"/>
              </w:rPr>
              <w:t>2</w:t>
            </w:r>
            <w:r>
              <w:rPr>
                <w:rFonts w:hint="eastAsia" w:cs="Courier New"/>
              </w:rPr>
              <w:t>5</w:t>
            </w:r>
          </w:p>
        </w:tc>
        <w:tc>
          <w:tcPr>
            <w:tcW w:w="2559" w:type="dxa"/>
            <w:vAlign w:val="center"/>
          </w:tcPr>
          <w:p>
            <w:pPr>
              <w:pStyle w:val="83"/>
              <w:ind w:left="33"/>
              <w:jc w:val="center"/>
            </w:pPr>
            <w:r>
              <w:rPr>
                <w:rFonts w:hint="eastAsia"/>
              </w:rPr>
              <w:t>投标保证金</w:t>
            </w:r>
          </w:p>
        </w:tc>
        <w:tc>
          <w:tcPr>
            <w:tcW w:w="6355" w:type="dxa"/>
            <w:vAlign w:val="center"/>
          </w:tcPr>
          <w:p>
            <w:pPr>
              <w:widowControl/>
              <w:spacing w:line="360" w:lineRule="auto"/>
              <w:jc w:val="left"/>
            </w:pPr>
            <w:r>
              <w:rPr>
                <w:rFonts w:hint="eastAsia" w:ascii="宋体" w:hAnsi="宋体" w:cs="宋体"/>
                <w:kern w:val="0"/>
                <w:sz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exact"/>
          <w:jc w:val="center"/>
        </w:trPr>
        <w:tc>
          <w:tcPr>
            <w:tcW w:w="811" w:type="dxa"/>
            <w:vAlign w:val="center"/>
          </w:tcPr>
          <w:p>
            <w:pPr>
              <w:pStyle w:val="83"/>
              <w:ind w:right="264"/>
              <w:jc w:val="center"/>
              <w:rPr>
                <w:rFonts w:cs="Courier New"/>
                <w:lang w:val="zh-CN"/>
              </w:rPr>
            </w:pPr>
            <w:r>
              <w:rPr>
                <w:rFonts w:hint="eastAsia" w:cs="Courier New"/>
              </w:rPr>
              <w:t xml:space="preserve"> </w:t>
            </w:r>
            <w:r>
              <w:rPr>
                <w:rFonts w:hint="eastAsia" w:cs="Courier New"/>
                <w:lang w:val="zh-CN"/>
              </w:rPr>
              <w:t>2</w:t>
            </w:r>
            <w:r>
              <w:rPr>
                <w:rFonts w:hint="eastAsia" w:cs="Courier New"/>
              </w:rPr>
              <w:t>6</w:t>
            </w:r>
          </w:p>
        </w:tc>
        <w:tc>
          <w:tcPr>
            <w:tcW w:w="2559" w:type="dxa"/>
            <w:vAlign w:val="center"/>
          </w:tcPr>
          <w:p>
            <w:pPr>
              <w:pStyle w:val="83"/>
              <w:jc w:val="center"/>
              <w:rPr>
                <w:lang w:val="zh-CN"/>
              </w:rPr>
            </w:pPr>
            <w:r>
              <w:rPr>
                <w:rFonts w:hint="eastAsia"/>
                <w:lang w:val="zh-CN"/>
              </w:rPr>
              <w:t>投标文件份数</w:t>
            </w:r>
          </w:p>
        </w:tc>
        <w:tc>
          <w:tcPr>
            <w:tcW w:w="6355" w:type="dxa"/>
            <w:vAlign w:val="center"/>
          </w:tcPr>
          <w:p>
            <w:pPr>
              <w:pStyle w:val="83"/>
              <w:ind w:firstLine="480" w:firstLineChars="200"/>
              <w:rPr>
                <w:lang w:val="zh-CN"/>
              </w:rPr>
            </w:pPr>
            <w:r>
              <w:rPr>
                <w:rFonts w:hint="eastAsia" w:cs="仿宋_GB2312"/>
              </w:rPr>
              <w:t>正本1份；副本2份；电子版（U盘）1份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exact"/>
          <w:jc w:val="center"/>
        </w:trPr>
        <w:tc>
          <w:tcPr>
            <w:tcW w:w="811" w:type="dxa"/>
            <w:vAlign w:val="center"/>
          </w:tcPr>
          <w:p>
            <w:pPr>
              <w:pStyle w:val="83"/>
              <w:ind w:right="264"/>
              <w:jc w:val="center"/>
              <w:rPr>
                <w:rFonts w:cs="Courier New"/>
              </w:rPr>
            </w:pPr>
            <w:r>
              <w:rPr>
                <w:rFonts w:hint="eastAsia" w:cs="Courier New"/>
              </w:rPr>
              <w:t xml:space="preserve"> 27</w:t>
            </w:r>
          </w:p>
        </w:tc>
        <w:tc>
          <w:tcPr>
            <w:tcW w:w="2559" w:type="dxa"/>
            <w:vAlign w:val="center"/>
          </w:tcPr>
          <w:p>
            <w:pPr>
              <w:pStyle w:val="83"/>
              <w:jc w:val="center"/>
              <w:rPr>
                <w:lang w:val="zh-CN"/>
              </w:rPr>
            </w:pPr>
            <w:r>
              <w:rPr>
                <w:rFonts w:hint="eastAsia"/>
                <w:lang w:val="zh-CN"/>
              </w:rPr>
              <w:t>签字盖章</w:t>
            </w:r>
          </w:p>
        </w:tc>
        <w:tc>
          <w:tcPr>
            <w:tcW w:w="6355" w:type="dxa"/>
            <w:vAlign w:val="center"/>
          </w:tcPr>
          <w:p>
            <w:pPr>
              <w:pStyle w:val="83"/>
              <w:spacing w:line="360" w:lineRule="auto"/>
              <w:rPr>
                <w:lang w:val="zh-CN"/>
              </w:rPr>
            </w:pPr>
            <w:r>
              <w:rPr>
                <w:rFonts w:hint="eastAsia"/>
                <w:lang w:val="zh-CN"/>
              </w:rPr>
              <w:t>投标人必须按照招标文件中第七章投标文件格式的规定和要求签字、盖章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exact"/>
          <w:jc w:val="center"/>
        </w:trPr>
        <w:tc>
          <w:tcPr>
            <w:tcW w:w="811" w:type="dxa"/>
            <w:vAlign w:val="center"/>
          </w:tcPr>
          <w:p>
            <w:pPr>
              <w:pStyle w:val="83"/>
              <w:ind w:right="264"/>
              <w:jc w:val="center"/>
              <w:rPr>
                <w:rFonts w:cs="Courier New"/>
              </w:rPr>
            </w:pPr>
            <w:r>
              <w:rPr>
                <w:rFonts w:hint="eastAsia" w:cs="Courier New"/>
              </w:rPr>
              <w:t>28</w:t>
            </w:r>
          </w:p>
        </w:tc>
        <w:tc>
          <w:tcPr>
            <w:tcW w:w="2559" w:type="dxa"/>
            <w:vAlign w:val="center"/>
          </w:tcPr>
          <w:p>
            <w:pPr>
              <w:pStyle w:val="83"/>
              <w:jc w:val="center"/>
              <w:rPr>
                <w:lang w:val="zh-CN"/>
              </w:rPr>
            </w:pPr>
            <w:r>
              <w:rPr>
                <w:rFonts w:hint="eastAsia"/>
                <w:lang w:val="zh-CN"/>
              </w:rPr>
              <w:t>投标文件装订</w:t>
            </w:r>
          </w:p>
        </w:tc>
        <w:tc>
          <w:tcPr>
            <w:tcW w:w="6355" w:type="dxa"/>
            <w:vAlign w:val="center"/>
          </w:tcPr>
          <w:p>
            <w:pPr>
              <w:pStyle w:val="83"/>
            </w:pPr>
            <w:r>
              <w:rPr>
                <w:rFonts w:hint="eastAsia"/>
              </w:rPr>
              <w:t>投标文件装订要求：</w:t>
            </w:r>
          </w:p>
          <w:p>
            <w:pPr>
              <w:pStyle w:val="83"/>
            </w:pPr>
            <w:r>
              <w:rPr>
                <w:rFonts w:hint="eastAsia"/>
              </w:rPr>
              <w:t>投标文件分开装订，采用A4页幅、推荐双面打印、左侧胶装方式装订，装订应牢固、不易拆散和换页，活页装订的投标文件按无效投标文件处理。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exact"/>
          <w:jc w:val="center"/>
        </w:trPr>
        <w:tc>
          <w:tcPr>
            <w:tcW w:w="811" w:type="dxa"/>
            <w:vAlign w:val="center"/>
          </w:tcPr>
          <w:p>
            <w:pPr>
              <w:pStyle w:val="83"/>
              <w:ind w:right="264"/>
              <w:jc w:val="center"/>
              <w:rPr>
                <w:rFonts w:cs="Courier New"/>
              </w:rPr>
            </w:pPr>
            <w:r>
              <w:rPr>
                <w:rFonts w:hint="eastAsia" w:cs="Courier New"/>
                <w:lang w:val="zh-CN"/>
              </w:rPr>
              <w:t xml:space="preserve"> </w:t>
            </w:r>
            <w:r>
              <w:rPr>
                <w:rFonts w:hint="eastAsia" w:cs="Courier New"/>
              </w:rPr>
              <w:t>29</w:t>
            </w:r>
          </w:p>
        </w:tc>
        <w:tc>
          <w:tcPr>
            <w:tcW w:w="2559" w:type="dxa"/>
            <w:vAlign w:val="center"/>
          </w:tcPr>
          <w:p>
            <w:pPr>
              <w:pStyle w:val="83"/>
              <w:ind w:left="351" w:leftChars="167"/>
              <w:rPr>
                <w:lang w:val="zh-CN"/>
              </w:rPr>
            </w:pPr>
            <w:r>
              <w:rPr>
                <w:rFonts w:hint="eastAsia"/>
                <w:lang w:val="zh-CN"/>
              </w:rPr>
              <w:t>投标文件封面</w:t>
            </w:r>
          </w:p>
          <w:p>
            <w:pPr>
              <w:pStyle w:val="83"/>
              <w:ind w:left="351" w:leftChars="167" w:firstLine="480" w:firstLineChars="200"/>
              <w:rPr>
                <w:rFonts w:cs="Arial"/>
                <w:lang w:val="zh-CN"/>
              </w:rPr>
            </w:pPr>
            <w:r>
              <w:rPr>
                <w:rFonts w:hint="eastAsia"/>
                <w:lang w:val="zh-CN"/>
              </w:rPr>
              <w:t>标注</w:t>
            </w:r>
          </w:p>
        </w:tc>
        <w:tc>
          <w:tcPr>
            <w:tcW w:w="6355" w:type="dxa"/>
            <w:vAlign w:val="center"/>
          </w:tcPr>
          <w:p>
            <w:pPr>
              <w:pStyle w:val="83"/>
              <w:rPr>
                <w:lang w:val="zh-CN"/>
              </w:rPr>
            </w:pPr>
            <w:r>
              <w:rPr>
                <w:rFonts w:hint="eastAsia"/>
                <w:lang w:val="zh-CN"/>
              </w:rPr>
              <w:t>投标文件正本和副本的封面上均应标明：采购项目名称、采购项目编号、投标人名称、年月日；并分别在右上角标明“正本”、 “副本”、“电子版”字样。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811" w:type="dxa"/>
            <w:vAlign w:val="center"/>
          </w:tcPr>
          <w:p>
            <w:pPr>
              <w:pStyle w:val="83"/>
              <w:ind w:right="264"/>
              <w:jc w:val="center"/>
              <w:rPr>
                <w:rFonts w:cs="Arial"/>
                <w:lang w:val="zh-CN"/>
              </w:rPr>
            </w:pPr>
            <w:r>
              <w:rPr>
                <w:rFonts w:hint="eastAsia" w:cs="Courier New"/>
                <w:lang w:val="zh-CN"/>
              </w:rPr>
              <w:t xml:space="preserve">  3</w:t>
            </w:r>
            <w:r>
              <w:rPr>
                <w:rFonts w:hint="eastAsia" w:cs="Courier New"/>
              </w:rPr>
              <w:t>0</w:t>
            </w:r>
          </w:p>
        </w:tc>
        <w:tc>
          <w:tcPr>
            <w:tcW w:w="2559" w:type="dxa"/>
            <w:vAlign w:val="center"/>
          </w:tcPr>
          <w:p>
            <w:pPr>
              <w:pStyle w:val="83"/>
              <w:jc w:val="center"/>
              <w:rPr>
                <w:lang w:val="zh-CN"/>
              </w:rPr>
            </w:pPr>
            <w:r>
              <w:rPr>
                <w:rFonts w:hint="eastAsia"/>
                <w:lang w:val="zh-CN"/>
              </w:rPr>
              <w:t>投标文件外层</w:t>
            </w:r>
          </w:p>
          <w:p>
            <w:pPr>
              <w:pStyle w:val="83"/>
              <w:jc w:val="center"/>
              <w:rPr>
                <w:lang w:val="zh-CN"/>
              </w:rPr>
            </w:pPr>
            <w:r>
              <w:rPr>
                <w:rFonts w:hint="eastAsia"/>
                <w:lang w:val="zh-CN"/>
              </w:rPr>
              <w:t>密封袋的标注</w:t>
            </w:r>
          </w:p>
        </w:tc>
        <w:tc>
          <w:tcPr>
            <w:tcW w:w="6355" w:type="dxa"/>
            <w:vAlign w:val="center"/>
          </w:tcPr>
          <w:p>
            <w:pPr>
              <w:pStyle w:val="83"/>
              <w:rPr>
                <w:lang w:val="zh-CN"/>
              </w:rPr>
            </w:pPr>
            <w:r>
              <w:rPr>
                <w:rFonts w:hint="eastAsia"/>
                <w:lang w:val="zh-CN"/>
              </w:rPr>
              <w:t>采购项目名称、采购项目编号、包号（如有分包）、投标人名称、年月日、“正本”、 “副本”、“电子版”字样</w:t>
            </w:r>
          </w:p>
          <w:p>
            <w:pPr>
              <w:pStyle w:val="83"/>
              <w:rPr>
                <w:lang w:val="zh-CN"/>
              </w:rPr>
            </w:pPr>
            <w:r>
              <w:rPr>
                <w:rFonts w:hint="eastAsia"/>
              </w:rPr>
              <w:t>装袋要求：正本装一袋、两副本装一袋、电子版单独装一袋。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811" w:type="dxa"/>
            <w:vAlign w:val="center"/>
          </w:tcPr>
          <w:p>
            <w:pPr>
              <w:pStyle w:val="83"/>
              <w:ind w:right="264"/>
              <w:jc w:val="center"/>
              <w:rPr>
                <w:rFonts w:cs="Courier New"/>
                <w:lang w:val="zh-CN"/>
              </w:rPr>
            </w:pPr>
            <w:r>
              <w:rPr>
                <w:rFonts w:hint="eastAsia" w:cs="Courier New"/>
                <w:lang w:val="zh-CN"/>
              </w:rPr>
              <w:t xml:space="preserve">  3</w:t>
            </w:r>
            <w:r>
              <w:rPr>
                <w:rFonts w:hint="eastAsia" w:cs="Courier New"/>
              </w:rPr>
              <w:t>1</w:t>
            </w:r>
          </w:p>
        </w:tc>
        <w:tc>
          <w:tcPr>
            <w:tcW w:w="2559" w:type="dxa"/>
            <w:vAlign w:val="center"/>
          </w:tcPr>
          <w:p>
            <w:pPr>
              <w:pStyle w:val="83"/>
              <w:ind w:left="352"/>
            </w:pPr>
            <w:r>
              <w:rPr>
                <w:rFonts w:hint="eastAsia"/>
              </w:rPr>
              <w:t>投标截至时间</w:t>
            </w:r>
          </w:p>
        </w:tc>
        <w:tc>
          <w:tcPr>
            <w:tcW w:w="6355" w:type="dxa"/>
            <w:vAlign w:val="center"/>
          </w:tcPr>
          <w:p>
            <w:pPr>
              <w:pStyle w:val="83"/>
            </w:pPr>
            <w:r>
              <w:rPr>
                <w:rFonts w:hint="eastAsia"/>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exact"/>
          <w:jc w:val="center"/>
        </w:trPr>
        <w:tc>
          <w:tcPr>
            <w:tcW w:w="811" w:type="dxa"/>
            <w:vAlign w:val="center"/>
          </w:tcPr>
          <w:p>
            <w:pPr>
              <w:pStyle w:val="83"/>
              <w:ind w:right="264"/>
              <w:jc w:val="center"/>
              <w:rPr>
                <w:rFonts w:cs="Courier New"/>
                <w:lang w:val="zh-CN"/>
              </w:rPr>
            </w:pPr>
            <w:r>
              <w:rPr>
                <w:rFonts w:hint="eastAsia" w:cs="Courier New"/>
                <w:lang w:val="zh-CN"/>
              </w:rPr>
              <w:t xml:space="preserve"> 3</w:t>
            </w:r>
            <w:r>
              <w:rPr>
                <w:rFonts w:hint="eastAsia" w:cs="Courier New"/>
              </w:rPr>
              <w:t>2</w:t>
            </w:r>
          </w:p>
        </w:tc>
        <w:tc>
          <w:tcPr>
            <w:tcW w:w="2559" w:type="dxa"/>
            <w:vAlign w:val="center"/>
          </w:tcPr>
          <w:p>
            <w:pPr>
              <w:pStyle w:val="83"/>
              <w:ind w:left="352"/>
            </w:pPr>
            <w:r>
              <w:rPr>
                <w:rFonts w:hint="eastAsia"/>
              </w:rPr>
              <w:t>递交投标文件地点</w:t>
            </w:r>
          </w:p>
        </w:tc>
        <w:tc>
          <w:tcPr>
            <w:tcW w:w="6355" w:type="dxa"/>
            <w:vAlign w:val="center"/>
          </w:tcPr>
          <w:p>
            <w:pPr>
              <w:pStyle w:val="83"/>
            </w:pPr>
            <w:r>
              <w:rPr>
                <w:rFonts w:hint="eastAsia"/>
              </w:rPr>
              <w:t>陕西省西安市经济技术开发区凤城八路180号长和国际F座22层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exact"/>
          <w:jc w:val="center"/>
        </w:trPr>
        <w:tc>
          <w:tcPr>
            <w:tcW w:w="811" w:type="dxa"/>
            <w:vAlign w:val="center"/>
          </w:tcPr>
          <w:p>
            <w:pPr>
              <w:pStyle w:val="83"/>
              <w:ind w:right="264"/>
              <w:jc w:val="center"/>
              <w:rPr>
                <w:rFonts w:cs="Courier New"/>
                <w:lang w:val="zh-CN"/>
              </w:rPr>
            </w:pPr>
            <w:r>
              <w:rPr>
                <w:rFonts w:hint="eastAsia" w:cs="Courier New"/>
                <w:lang w:val="zh-CN"/>
              </w:rPr>
              <w:t xml:space="preserve"> 3</w:t>
            </w:r>
            <w:r>
              <w:rPr>
                <w:rFonts w:hint="eastAsia" w:cs="Courier New"/>
              </w:rPr>
              <w:t>3</w:t>
            </w:r>
          </w:p>
        </w:tc>
        <w:tc>
          <w:tcPr>
            <w:tcW w:w="2559" w:type="dxa"/>
            <w:vAlign w:val="center"/>
          </w:tcPr>
          <w:p>
            <w:pPr>
              <w:pStyle w:val="83"/>
              <w:ind w:left="350"/>
              <w:rPr>
                <w:lang w:val="zh-CN"/>
              </w:rPr>
            </w:pPr>
            <w:r>
              <w:rPr>
                <w:rFonts w:hint="eastAsia"/>
                <w:lang w:val="zh-CN"/>
              </w:rPr>
              <w:t>投标文件是否退还</w:t>
            </w:r>
          </w:p>
        </w:tc>
        <w:tc>
          <w:tcPr>
            <w:tcW w:w="6355" w:type="dxa"/>
            <w:vAlign w:val="center"/>
          </w:tcPr>
          <w:p>
            <w:pPr>
              <w:autoSpaceDE w:val="0"/>
              <w:autoSpaceDN w:val="0"/>
              <w:adjustRightInd w:val="0"/>
              <w:jc w:val="left"/>
              <w:rPr>
                <w:rFonts w:ascii="宋体" w:hAnsi="宋体"/>
                <w:sz w:val="24"/>
              </w:rPr>
            </w:pPr>
            <w:r>
              <w:rPr>
                <w:rFonts w:hint="eastAsia"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exact"/>
          <w:jc w:val="center"/>
        </w:trPr>
        <w:tc>
          <w:tcPr>
            <w:tcW w:w="811" w:type="dxa"/>
            <w:vAlign w:val="center"/>
          </w:tcPr>
          <w:p>
            <w:pPr>
              <w:pStyle w:val="83"/>
              <w:ind w:right="264"/>
              <w:jc w:val="center"/>
              <w:rPr>
                <w:rFonts w:cs="Courier New"/>
                <w:lang w:val="zh-CN"/>
              </w:rPr>
            </w:pPr>
            <w:r>
              <w:rPr>
                <w:rFonts w:hint="eastAsia" w:cs="Courier New"/>
                <w:lang w:val="zh-CN"/>
              </w:rPr>
              <w:t xml:space="preserve"> 3</w:t>
            </w:r>
            <w:r>
              <w:rPr>
                <w:rFonts w:hint="eastAsia" w:cs="Courier New"/>
              </w:rPr>
              <w:t>4</w:t>
            </w:r>
          </w:p>
        </w:tc>
        <w:tc>
          <w:tcPr>
            <w:tcW w:w="2559" w:type="dxa"/>
            <w:vAlign w:val="center"/>
          </w:tcPr>
          <w:p>
            <w:pPr>
              <w:pStyle w:val="83"/>
              <w:jc w:val="center"/>
              <w:rPr>
                <w:rFonts w:cs="Arial"/>
                <w:lang w:val="zh-CN"/>
              </w:rPr>
            </w:pPr>
            <w:r>
              <w:rPr>
                <w:rFonts w:hint="eastAsia"/>
                <w:lang w:val="zh-CN"/>
              </w:rPr>
              <w:t>开标时间和地点</w:t>
            </w:r>
          </w:p>
        </w:tc>
        <w:tc>
          <w:tcPr>
            <w:tcW w:w="6355" w:type="dxa"/>
            <w:vAlign w:val="center"/>
          </w:tcPr>
          <w:p>
            <w:pPr>
              <w:pStyle w:val="83"/>
              <w:rPr>
                <w:lang w:val="zh-CN"/>
              </w:rPr>
            </w:pPr>
            <w:r>
              <w:rPr>
                <w:rFonts w:hint="eastAsia"/>
                <w:lang w:val="zh-CN"/>
              </w:rPr>
              <w:t>开标时间：同投标截至时间</w:t>
            </w:r>
          </w:p>
          <w:p>
            <w:pPr>
              <w:pStyle w:val="83"/>
              <w:rPr>
                <w:lang w:val="zh-CN"/>
              </w:rPr>
            </w:pPr>
            <w:r>
              <w:rPr>
                <w:rFonts w:hint="eastAsia"/>
                <w:lang w:val="zh-CN"/>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11" w:type="dxa"/>
            <w:vAlign w:val="center"/>
          </w:tcPr>
          <w:p>
            <w:pPr>
              <w:pStyle w:val="83"/>
              <w:ind w:firstLine="240" w:firstLineChars="100"/>
              <w:rPr>
                <w:rFonts w:cs="Arial"/>
                <w:lang w:val="zh-CN"/>
              </w:rPr>
            </w:pPr>
            <w:r>
              <w:rPr>
                <w:rFonts w:hint="eastAsia" w:cs="Courier New"/>
                <w:lang w:val="zh-CN"/>
              </w:rPr>
              <w:t>3</w:t>
            </w:r>
            <w:r>
              <w:rPr>
                <w:rFonts w:hint="eastAsia" w:cs="Courier New"/>
              </w:rPr>
              <w:t>5</w:t>
            </w:r>
          </w:p>
        </w:tc>
        <w:tc>
          <w:tcPr>
            <w:tcW w:w="2559" w:type="dxa"/>
            <w:vAlign w:val="center"/>
          </w:tcPr>
          <w:p>
            <w:pPr>
              <w:pStyle w:val="83"/>
              <w:ind w:left="96"/>
              <w:jc w:val="center"/>
              <w:rPr>
                <w:lang w:val="zh-CN"/>
              </w:rPr>
            </w:pPr>
            <w:r>
              <w:rPr>
                <w:rFonts w:hint="eastAsia"/>
                <w:lang w:val="zh-CN"/>
              </w:rPr>
              <w:t>评标委员会的组成</w:t>
            </w:r>
          </w:p>
        </w:tc>
        <w:tc>
          <w:tcPr>
            <w:tcW w:w="6355" w:type="dxa"/>
            <w:vAlign w:val="center"/>
          </w:tcPr>
          <w:p>
            <w:pPr>
              <w:pStyle w:val="83"/>
              <w:rPr>
                <w:lang w:val="zh-CN"/>
              </w:rPr>
            </w:pPr>
            <w:r>
              <w:rPr>
                <w:rFonts w:hint="eastAsia"/>
                <w:lang w:val="zh-CN"/>
              </w:rPr>
              <w:t>本项目评标委员会由5人组成，其中采购人代表1人，评审专家4人。</w:t>
            </w:r>
          </w:p>
          <w:p>
            <w:pPr>
              <w:pStyle w:val="83"/>
              <w:rPr>
                <w:lang w:val="zh-CN"/>
              </w:rPr>
            </w:pPr>
            <w:r>
              <w:rPr>
                <w:rFonts w:hint="eastAsia"/>
                <w:lang w:val="zh-CN"/>
              </w:rPr>
              <w:t>具体详见投标人须知第3</w:t>
            </w:r>
            <w:r>
              <w:rPr>
                <w:rFonts w:hint="eastAsia"/>
              </w:rPr>
              <w:t>1</w:t>
            </w:r>
            <w:r>
              <w:rPr>
                <w:rFonts w:hint="eastAsia"/>
                <w:lang w:val="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811" w:type="dxa"/>
            <w:vAlign w:val="center"/>
          </w:tcPr>
          <w:p>
            <w:pPr>
              <w:pStyle w:val="83"/>
              <w:ind w:firstLine="240" w:firstLineChars="100"/>
              <w:jc w:val="both"/>
              <w:rPr>
                <w:rFonts w:cs="Courier New"/>
              </w:rPr>
            </w:pPr>
            <w:r>
              <w:rPr>
                <w:rFonts w:hint="eastAsia" w:cs="Courier New"/>
                <w:lang w:val="zh-CN"/>
              </w:rPr>
              <w:t>3</w:t>
            </w:r>
            <w:r>
              <w:rPr>
                <w:rFonts w:hint="eastAsia" w:cs="Courier New"/>
              </w:rPr>
              <w:t>6</w:t>
            </w:r>
          </w:p>
        </w:tc>
        <w:tc>
          <w:tcPr>
            <w:tcW w:w="2559" w:type="dxa"/>
            <w:vAlign w:val="center"/>
          </w:tcPr>
          <w:p>
            <w:pPr>
              <w:pStyle w:val="83"/>
              <w:ind w:left="96"/>
              <w:jc w:val="center"/>
              <w:rPr>
                <w:lang w:val="zh-CN"/>
              </w:rPr>
            </w:pPr>
            <w:r>
              <w:rPr>
                <w:rFonts w:hint="eastAsia"/>
                <w:lang w:val="zh-CN"/>
              </w:rPr>
              <w:t>评标方法及标准</w:t>
            </w:r>
          </w:p>
        </w:tc>
        <w:tc>
          <w:tcPr>
            <w:tcW w:w="6355" w:type="dxa"/>
            <w:vAlign w:val="center"/>
          </w:tcPr>
          <w:p>
            <w:pPr>
              <w:pStyle w:val="83"/>
              <w:rPr>
                <w:lang w:val="zh-CN"/>
              </w:rPr>
            </w:pPr>
            <w:r>
              <w:rPr>
                <w:rFonts w:hint="eastAsia"/>
                <w:lang w:val="zh-CN"/>
              </w:rPr>
              <w:t>详见第四章评标方法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811" w:type="dxa"/>
            <w:vAlign w:val="center"/>
          </w:tcPr>
          <w:p>
            <w:pPr>
              <w:pStyle w:val="83"/>
              <w:ind w:firstLine="240" w:firstLineChars="100"/>
              <w:jc w:val="both"/>
              <w:rPr>
                <w:rFonts w:cs="Courier New"/>
                <w:lang w:val="zh-CN"/>
              </w:rPr>
            </w:pPr>
            <w:r>
              <w:rPr>
                <w:rFonts w:hint="eastAsia" w:cs="Courier New"/>
                <w:lang w:val="zh-CN"/>
              </w:rPr>
              <w:t>3</w:t>
            </w:r>
            <w:r>
              <w:rPr>
                <w:rFonts w:hint="eastAsia" w:cs="Courier New"/>
              </w:rPr>
              <w:t>7</w:t>
            </w:r>
          </w:p>
        </w:tc>
        <w:tc>
          <w:tcPr>
            <w:tcW w:w="2559" w:type="dxa"/>
            <w:vAlign w:val="center"/>
          </w:tcPr>
          <w:p>
            <w:pPr>
              <w:pStyle w:val="83"/>
              <w:ind w:left="96"/>
              <w:jc w:val="center"/>
              <w:rPr>
                <w:lang w:val="zh-CN"/>
              </w:rPr>
            </w:pPr>
            <w:r>
              <w:rPr>
                <w:rFonts w:hint="eastAsia"/>
                <w:lang w:val="zh-CN"/>
              </w:rPr>
              <w:t>是否授权评标委员会确定中标人</w:t>
            </w:r>
          </w:p>
        </w:tc>
        <w:tc>
          <w:tcPr>
            <w:tcW w:w="6355" w:type="dxa"/>
            <w:vAlign w:val="center"/>
          </w:tcPr>
          <w:p>
            <w:pPr>
              <w:pStyle w:val="83"/>
              <w:rPr>
                <w:lang w:val="zh-CN"/>
              </w:rPr>
            </w:pPr>
            <w:r>
              <w:rPr>
                <w:rFonts w:hint="eastAsia"/>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811" w:type="dxa"/>
            <w:vAlign w:val="center"/>
          </w:tcPr>
          <w:p>
            <w:pPr>
              <w:pStyle w:val="83"/>
              <w:ind w:right="264"/>
              <w:jc w:val="center"/>
              <w:rPr>
                <w:rFonts w:cs="Courier New"/>
                <w:lang w:val="zh-CN"/>
              </w:rPr>
            </w:pPr>
            <w:r>
              <w:rPr>
                <w:rFonts w:hint="eastAsia" w:cs="Courier New"/>
              </w:rPr>
              <w:t xml:space="preserve"> </w:t>
            </w:r>
            <w:r>
              <w:rPr>
                <w:rFonts w:hint="eastAsia" w:cs="Courier New"/>
                <w:lang w:val="zh-CN"/>
              </w:rPr>
              <w:t>3</w:t>
            </w:r>
            <w:r>
              <w:rPr>
                <w:rFonts w:hint="eastAsia" w:cs="Courier New"/>
              </w:rPr>
              <w:t>8</w:t>
            </w:r>
          </w:p>
        </w:tc>
        <w:tc>
          <w:tcPr>
            <w:tcW w:w="2559" w:type="dxa"/>
            <w:vAlign w:val="center"/>
          </w:tcPr>
          <w:p>
            <w:pPr>
              <w:pStyle w:val="83"/>
              <w:ind w:left="96"/>
              <w:jc w:val="center"/>
              <w:rPr>
                <w:lang w:val="zh-CN"/>
              </w:rPr>
            </w:pPr>
            <w:r>
              <w:rPr>
                <w:rFonts w:hint="eastAsia"/>
                <w:lang w:val="zh-CN"/>
              </w:rPr>
              <w:t>中标公告</w:t>
            </w:r>
          </w:p>
          <w:p>
            <w:pPr>
              <w:pStyle w:val="83"/>
              <w:ind w:left="96"/>
              <w:jc w:val="center"/>
              <w:rPr>
                <w:lang w:val="zh-CN"/>
              </w:rPr>
            </w:pPr>
            <w:r>
              <w:rPr>
                <w:rFonts w:hint="eastAsia"/>
                <w:lang w:val="zh-CN"/>
              </w:rPr>
              <w:t>媒介、期限</w:t>
            </w:r>
          </w:p>
        </w:tc>
        <w:tc>
          <w:tcPr>
            <w:tcW w:w="6355" w:type="dxa"/>
            <w:vAlign w:val="center"/>
          </w:tcPr>
          <w:p>
            <w:pPr>
              <w:pStyle w:val="83"/>
              <w:rPr>
                <w:lang w:val="zh-CN"/>
              </w:rPr>
            </w:pPr>
            <w:r>
              <w:rPr>
                <w:rFonts w:hint="eastAsia"/>
                <w:lang w:val="zh-CN"/>
              </w:rPr>
              <w:t>公告媒介：陕西省政府采购网</w:t>
            </w:r>
          </w:p>
          <w:p>
            <w:pPr>
              <w:pStyle w:val="83"/>
              <w:rPr>
                <w:lang w:val="zh-CN"/>
              </w:rPr>
            </w:pPr>
            <w:r>
              <w:rPr>
                <w:rFonts w:hint="eastAsia"/>
                <w:lang w:val="zh-CN"/>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811" w:type="dxa"/>
            <w:vAlign w:val="center"/>
          </w:tcPr>
          <w:p>
            <w:pPr>
              <w:pStyle w:val="83"/>
              <w:ind w:right="264"/>
              <w:jc w:val="center"/>
              <w:rPr>
                <w:rFonts w:cs="Courier New"/>
              </w:rPr>
            </w:pPr>
            <w:r>
              <w:rPr>
                <w:rFonts w:hint="eastAsia" w:cs="Courier New"/>
              </w:rPr>
              <w:t xml:space="preserve"> 39</w:t>
            </w:r>
          </w:p>
        </w:tc>
        <w:tc>
          <w:tcPr>
            <w:tcW w:w="2559" w:type="dxa"/>
            <w:vAlign w:val="center"/>
          </w:tcPr>
          <w:p>
            <w:pPr>
              <w:pStyle w:val="83"/>
              <w:ind w:left="96"/>
              <w:jc w:val="center"/>
              <w:rPr>
                <w:lang w:val="zh-CN"/>
              </w:rPr>
            </w:pPr>
            <w:r>
              <w:rPr>
                <w:rFonts w:hint="eastAsia"/>
                <w:lang w:val="zh-CN"/>
              </w:rPr>
              <w:t>履约保证金</w:t>
            </w:r>
          </w:p>
        </w:tc>
        <w:tc>
          <w:tcPr>
            <w:tcW w:w="6355" w:type="dxa"/>
            <w:vAlign w:val="center"/>
          </w:tcPr>
          <w:p>
            <w:pPr>
              <w:pStyle w:val="83"/>
              <w:rPr>
                <w:lang w:val="zh-CN"/>
              </w:rPr>
            </w:pPr>
            <w:r>
              <w:rPr>
                <w:rFonts w:hint="eastAsia"/>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1" w:type="dxa"/>
            <w:vAlign w:val="center"/>
          </w:tcPr>
          <w:p>
            <w:pPr>
              <w:pStyle w:val="83"/>
              <w:ind w:right="264"/>
              <w:jc w:val="center"/>
              <w:rPr>
                <w:rFonts w:cs="Courier New"/>
                <w:lang w:val="zh-CN"/>
              </w:rPr>
            </w:pPr>
            <w:r>
              <w:rPr>
                <w:rFonts w:hint="eastAsia" w:cs="Courier New"/>
              </w:rPr>
              <w:t xml:space="preserve"> </w:t>
            </w:r>
            <w:r>
              <w:rPr>
                <w:rFonts w:hint="eastAsia" w:cs="Courier New"/>
                <w:lang w:val="zh-CN"/>
              </w:rPr>
              <w:t>4</w:t>
            </w:r>
            <w:r>
              <w:rPr>
                <w:rFonts w:hint="eastAsia" w:cs="Courier New"/>
              </w:rPr>
              <w:t>0</w:t>
            </w:r>
          </w:p>
        </w:tc>
        <w:tc>
          <w:tcPr>
            <w:tcW w:w="2559" w:type="dxa"/>
            <w:vAlign w:val="center"/>
          </w:tcPr>
          <w:p>
            <w:pPr>
              <w:pStyle w:val="83"/>
              <w:jc w:val="center"/>
              <w:rPr>
                <w:lang w:val="zh-CN"/>
              </w:rPr>
            </w:pPr>
            <w:r>
              <w:rPr>
                <w:rFonts w:hint="eastAsia"/>
                <w:lang w:val="zh-CN"/>
              </w:rPr>
              <w:t>投标人信用信息</w:t>
            </w:r>
          </w:p>
          <w:p>
            <w:pPr>
              <w:pStyle w:val="83"/>
              <w:jc w:val="center"/>
              <w:rPr>
                <w:lang w:val="zh-CN"/>
              </w:rPr>
            </w:pPr>
            <w:r>
              <w:rPr>
                <w:rFonts w:hint="eastAsia"/>
                <w:lang w:val="zh-CN"/>
              </w:rPr>
              <w:t>查询截至时点</w:t>
            </w:r>
          </w:p>
        </w:tc>
        <w:tc>
          <w:tcPr>
            <w:tcW w:w="6355" w:type="dxa"/>
            <w:vAlign w:val="center"/>
          </w:tcPr>
          <w:p>
            <w:pPr>
              <w:ind w:right="105" w:rightChars="50"/>
              <w:jc w:val="left"/>
              <w:rPr>
                <w:rFonts w:ascii="宋体" w:hAnsi="宋体"/>
                <w:sz w:val="24"/>
              </w:rPr>
            </w:pPr>
            <w:r>
              <w:rPr>
                <w:rFonts w:hint="eastAsia" w:ascii="宋体" w:hAnsi="宋体"/>
                <w:sz w:val="24"/>
              </w:rPr>
              <w:t>招标公告发布之日起至开标当日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811" w:type="dxa"/>
            <w:vAlign w:val="center"/>
          </w:tcPr>
          <w:p>
            <w:pPr>
              <w:pStyle w:val="83"/>
              <w:ind w:right="264"/>
              <w:jc w:val="center"/>
              <w:rPr>
                <w:rFonts w:cs="Courier New"/>
                <w:lang w:val="zh-CN"/>
              </w:rPr>
            </w:pPr>
            <w:r>
              <w:rPr>
                <w:rFonts w:hint="eastAsia" w:cs="Courier New"/>
              </w:rPr>
              <w:t xml:space="preserve"> </w:t>
            </w:r>
            <w:r>
              <w:rPr>
                <w:rFonts w:hint="eastAsia" w:cs="Courier New"/>
                <w:lang w:val="zh-CN"/>
              </w:rPr>
              <w:t>4</w:t>
            </w:r>
            <w:r>
              <w:rPr>
                <w:rFonts w:hint="eastAsia" w:cs="Courier New"/>
              </w:rPr>
              <w:t>1</w:t>
            </w:r>
          </w:p>
        </w:tc>
        <w:tc>
          <w:tcPr>
            <w:tcW w:w="2559" w:type="dxa"/>
            <w:vAlign w:val="center"/>
          </w:tcPr>
          <w:p>
            <w:pPr>
              <w:pStyle w:val="83"/>
              <w:jc w:val="center"/>
              <w:rPr>
                <w:lang w:val="zh-CN"/>
              </w:rPr>
            </w:pPr>
            <w:r>
              <w:rPr>
                <w:rFonts w:hint="eastAsia"/>
                <w:lang w:val="zh-CN"/>
              </w:rPr>
              <w:t>开标现场是否</w:t>
            </w:r>
          </w:p>
          <w:p>
            <w:pPr>
              <w:pStyle w:val="83"/>
              <w:jc w:val="center"/>
              <w:rPr>
                <w:lang w:val="zh-CN"/>
              </w:rPr>
            </w:pPr>
            <w:r>
              <w:rPr>
                <w:rFonts w:hint="eastAsia"/>
                <w:lang w:val="zh-CN"/>
              </w:rPr>
              <w:t xml:space="preserve">演示与述标 </w:t>
            </w:r>
          </w:p>
        </w:tc>
        <w:tc>
          <w:tcPr>
            <w:tcW w:w="6355" w:type="dxa"/>
            <w:vAlign w:val="center"/>
          </w:tcPr>
          <w:p>
            <w:pPr>
              <w:ind w:right="105" w:rightChars="50"/>
              <w:jc w:val="left"/>
              <w:rPr>
                <w:rFonts w:ascii="宋体" w:hAnsi="宋体"/>
                <w:sz w:val="24"/>
              </w:rPr>
            </w:pPr>
            <w:r>
              <w:rPr>
                <w:rFonts w:hint="eastAsia" w:ascii="宋体" w:hAnsi="宋体"/>
                <w:sz w:val="24"/>
              </w:rPr>
              <w:t>☑不需要</w:t>
            </w:r>
          </w:p>
          <w:p>
            <w:pPr>
              <w:ind w:right="105" w:rightChars="50"/>
              <w:jc w:val="left"/>
              <w:rPr>
                <w:rFonts w:ascii="宋体" w:hAnsi="宋体"/>
                <w:sz w:val="24"/>
              </w:rPr>
            </w:pPr>
            <w:r>
              <w:rPr>
                <w:rFonts w:hint="eastAsia" w:ascii="宋体" w:hAnsi="宋体"/>
                <w:sz w:val="24"/>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811" w:type="dxa"/>
            <w:vAlign w:val="center"/>
          </w:tcPr>
          <w:p>
            <w:pPr>
              <w:pStyle w:val="83"/>
              <w:ind w:right="264"/>
              <w:jc w:val="center"/>
              <w:rPr>
                <w:rFonts w:cs="Arial"/>
                <w:lang w:val="zh-CN"/>
              </w:rPr>
            </w:pPr>
            <w:r>
              <w:rPr>
                <w:rFonts w:hint="eastAsia" w:cs="Courier New"/>
              </w:rPr>
              <w:t xml:space="preserve"> </w:t>
            </w:r>
            <w:r>
              <w:rPr>
                <w:rFonts w:hint="eastAsia" w:cs="Courier New"/>
                <w:lang w:val="zh-CN"/>
              </w:rPr>
              <w:t>4</w:t>
            </w:r>
            <w:r>
              <w:rPr>
                <w:rFonts w:hint="eastAsia" w:cs="Courier New"/>
              </w:rPr>
              <w:t>2</w:t>
            </w:r>
          </w:p>
        </w:tc>
        <w:tc>
          <w:tcPr>
            <w:tcW w:w="2559" w:type="dxa"/>
            <w:vAlign w:val="center"/>
          </w:tcPr>
          <w:p>
            <w:pPr>
              <w:pStyle w:val="83"/>
              <w:jc w:val="center"/>
              <w:rPr>
                <w:lang w:val="zh-CN"/>
              </w:rPr>
            </w:pPr>
            <w:r>
              <w:rPr>
                <w:rFonts w:hint="eastAsia"/>
                <w:lang w:val="zh-CN"/>
              </w:rPr>
              <w:t>开标现场是否</w:t>
            </w:r>
          </w:p>
          <w:p>
            <w:pPr>
              <w:pStyle w:val="83"/>
              <w:jc w:val="center"/>
              <w:rPr>
                <w:lang w:val="zh-CN"/>
              </w:rPr>
            </w:pPr>
            <w:r>
              <w:rPr>
                <w:rFonts w:hint="eastAsia"/>
                <w:lang w:val="zh-CN"/>
              </w:rPr>
              <w:t>提供样品</w:t>
            </w:r>
          </w:p>
        </w:tc>
        <w:tc>
          <w:tcPr>
            <w:tcW w:w="6355" w:type="dxa"/>
            <w:vAlign w:val="center"/>
          </w:tcPr>
          <w:p>
            <w:pPr>
              <w:ind w:right="105" w:rightChars="50"/>
              <w:jc w:val="left"/>
              <w:rPr>
                <w:rFonts w:ascii="宋体" w:hAnsi="宋体"/>
                <w:sz w:val="24"/>
              </w:rPr>
            </w:pPr>
            <w:r>
              <w:rPr>
                <w:rFonts w:hint="eastAsia" w:ascii="宋体" w:hAnsi="宋体"/>
                <w:sz w:val="24"/>
              </w:rPr>
              <w:t>☑不需要</w:t>
            </w:r>
          </w:p>
          <w:p>
            <w:pPr>
              <w:ind w:right="105" w:rightChars="50"/>
              <w:jc w:val="left"/>
              <w:rPr>
                <w:rFonts w:ascii="宋体" w:hAnsi="宋体"/>
                <w:sz w:val="24"/>
              </w:rPr>
            </w:pPr>
            <w:r>
              <w:rPr>
                <w:rFonts w:hint="eastAsia" w:ascii="宋体" w:hAnsi="宋体"/>
                <w:sz w:val="24"/>
              </w:rPr>
              <w:t>□需要</w:t>
            </w:r>
          </w:p>
        </w:tc>
      </w:tr>
    </w:tbl>
    <w:p>
      <w:pPr>
        <w:pStyle w:val="4"/>
        <w:spacing w:line="240" w:lineRule="auto"/>
        <w:jc w:val="center"/>
        <w:rPr>
          <w:rFonts w:ascii="宋体" w:hAnsi="宋体"/>
        </w:rPr>
      </w:pPr>
      <w:r>
        <w:br w:type="page"/>
      </w:r>
      <w:bookmarkEnd w:id="24"/>
      <w:bookmarkEnd w:id="25"/>
      <w:bookmarkEnd w:id="26"/>
      <w:bookmarkEnd w:id="27"/>
      <w:bookmarkStart w:id="31" w:name="_Toc4621"/>
      <w:bookmarkStart w:id="32" w:name="_Toc183582204"/>
      <w:bookmarkStart w:id="33" w:name="_Toc217446033"/>
      <w:bookmarkStart w:id="34" w:name="_Toc77400778"/>
      <w:bookmarkStart w:id="35" w:name="_Toc183682341"/>
      <w:bookmarkStart w:id="36" w:name="_Toc89075873"/>
      <w:r>
        <w:rPr>
          <w:rFonts w:hint="eastAsia"/>
          <w:sz w:val="44"/>
          <w:szCs w:val="44"/>
        </w:rPr>
        <w:t>第三章  投标人须知</w:t>
      </w:r>
      <w:bookmarkEnd w:id="31"/>
    </w:p>
    <w:p>
      <w:pPr>
        <w:pStyle w:val="5"/>
        <w:spacing w:before="0" w:after="120" w:afterLines="50" w:line="240" w:lineRule="auto"/>
        <w:rPr>
          <w:rFonts w:ascii="宋体" w:hAnsi="宋体" w:eastAsia="宋体"/>
          <w:bCs/>
        </w:rPr>
      </w:pPr>
      <w:bookmarkStart w:id="37" w:name="_Toc531253632"/>
      <w:bookmarkStart w:id="38" w:name="_Toc27133"/>
      <w:bookmarkStart w:id="39" w:name="_Toc31844"/>
      <w:bookmarkStart w:id="40" w:name="_Toc28988"/>
      <w:r>
        <w:rPr>
          <w:rFonts w:hint="eastAsia" w:ascii="宋体" w:hAnsi="宋体" w:eastAsia="宋体"/>
          <w:bCs/>
        </w:rPr>
        <w:t>一、总  则</w:t>
      </w:r>
      <w:bookmarkEnd w:id="32"/>
      <w:bookmarkEnd w:id="33"/>
      <w:bookmarkEnd w:id="34"/>
      <w:bookmarkEnd w:id="35"/>
      <w:bookmarkEnd w:id="36"/>
      <w:bookmarkEnd w:id="37"/>
      <w:bookmarkEnd w:id="38"/>
      <w:bookmarkEnd w:id="39"/>
      <w:bookmarkEnd w:id="40"/>
      <w:bookmarkStart w:id="41" w:name="_Toc183582205"/>
      <w:bookmarkStart w:id="42" w:name="_Toc183682342"/>
      <w:bookmarkStart w:id="43" w:name="_Toc217446034"/>
    </w:p>
    <w:p>
      <w:pPr>
        <w:pStyle w:val="8"/>
        <w:spacing w:line="240" w:lineRule="auto"/>
      </w:pPr>
      <w:bookmarkStart w:id="44" w:name="_Toc531253633"/>
      <w:r>
        <w:rPr>
          <w:rFonts w:hint="eastAsia"/>
        </w:rPr>
        <w:t>1.</w:t>
      </w:r>
      <w:bookmarkEnd w:id="41"/>
      <w:bookmarkEnd w:id="42"/>
      <w:r>
        <w:rPr>
          <w:rFonts w:hint="eastAsia"/>
        </w:rPr>
        <w:t>适用范围</w:t>
      </w:r>
      <w:bookmarkEnd w:id="43"/>
      <w:bookmarkEnd w:id="44"/>
    </w:p>
    <w:p>
      <w:pPr>
        <w:tabs>
          <w:tab w:val="left" w:pos="7665"/>
        </w:tabs>
        <w:ind w:firstLine="480" w:firstLineChars="200"/>
        <w:rPr>
          <w:sz w:val="24"/>
        </w:rPr>
      </w:pPr>
      <w:r>
        <w:rPr>
          <w:rFonts w:hint="eastAsia" w:ascii="宋体" w:hAnsi="宋体"/>
          <w:sz w:val="24"/>
        </w:rPr>
        <w:t>1.1</w:t>
      </w:r>
      <w:r>
        <w:rPr>
          <w:rFonts w:hint="eastAsia"/>
          <w:sz w:val="24"/>
        </w:rPr>
        <w:t>本招标文件仅适用于本次公开招标所叙述的货物（产品）或服务项目采购活动。</w:t>
      </w:r>
    </w:p>
    <w:p>
      <w:pPr>
        <w:pStyle w:val="8"/>
        <w:numPr>
          <w:ilvl w:val="0"/>
          <w:numId w:val="0"/>
        </w:numPr>
        <w:spacing w:line="240" w:lineRule="auto"/>
      </w:pPr>
      <w:bookmarkStart w:id="45" w:name="_Toc217446035"/>
      <w:bookmarkStart w:id="46" w:name="_Toc183582206"/>
      <w:bookmarkStart w:id="47" w:name="_Toc183682343"/>
      <w:r>
        <w:rPr>
          <w:rFonts w:hint="eastAsia"/>
        </w:rPr>
        <w:t>2.</w:t>
      </w:r>
      <w:bookmarkEnd w:id="45"/>
      <w:bookmarkEnd w:id="46"/>
      <w:bookmarkEnd w:id="47"/>
      <w:r>
        <w:rPr>
          <w:rFonts w:hint="eastAsia"/>
        </w:rPr>
        <w:t>名词解释</w:t>
      </w:r>
    </w:p>
    <w:p>
      <w:pPr>
        <w:adjustRightInd w:val="0"/>
        <w:snapToGrid w:val="0"/>
        <w:spacing w:line="360" w:lineRule="auto"/>
        <w:ind w:firstLine="480" w:firstLineChars="200"/>
        <w:rPr>
          <w:rFonts w:ascii="宋体" w:hAnsi="宋体"/>
          <w:sz w:val="24"/>
        </w:rPr>
      </w:pPr>
      <w:bookmarkStart w:id="48" w:name="_Toc217390843"/>
      <w:bookmarkStart w:id="49" w:name="_Toc217446036"/>
      <w:bookmarkStart w:id="50" w:name="_Toc183682344"/>
      <w:bookmarkStart w:id="51" w:name="_Toc183582207"/>
      <w:r>
        <w:rPr>
          <w:rFonts w:hint="eastAsia" w:ascii="宋体" w:hAnsi="宋体"/>
          <w:sz w:val="24"/>
        </w:rPr>
        <w:t>2.1采购人：西安图书馆</w:t>
      </w:r>
    </w:p>
    <w:p>
      <w:pPr>
        <w:adjustRightInd w:val="0"/>
        <w:snapToGrid w:val="0"/>
        <w:spacing w:line="360" w:lineRule="auto"/>
        <w:ind w:firstLine="480" w:firstLineChars="200"/>
        <w:rPr>
          <w:rFonts w:ascii="宋体" w:hAnsi="宋体"/>
          <w:sz w:val="24"/>
        </w:rPr>
      </w:pPr>
      <w:r>
        <w:rPr>
          <w:rFonts w:hint="eastAsia" w:ascii="宋体" w:hAnsi="宋体"/>
          <w:sz w:val="24"/>
        </w:rPr>
        <w:t>2.2监督机构：西安市财政局</w:t>
      </w:r>
    </w:p>
    <w:p>
      <w:pPr>
        <w:adjustRightInd w:val="0"/>
        <w:snapToGrid w:val="0"/>
        <w:spacing w:line="360" w:lineRule="auto"/>
        <w:ind w:firstLine="480" w:firstLineChars="200"/>
        <w:rPr>
          <w:rFonts w:ascii="宋体" w:hAnsi="宋体"/>
          <w:sz w:val="24"/>
        </w:rPr>
      </w:pPr>
      <w:r>
        <w:rPr>
          <w:rFonts w:hint="eastAsia" w:ascii="宋体" w:hAnsi="宋体"/>
          <w:sz w:val="24"/>
        </w:rPr>
        <w:t>2.3采购代理机构：同正项目管理有限公司</w:t>
      </w:r>
    </w:p>
    <w:p>
      <w:pPr>
        <w:tabs>
          <w:tab w:val="left" w:pos="7665"/>
        </w:tabs>
        <w:spacing w:line="360" w:lineRule="auto"/>
        <w:ind w:firstLine="480" w:firstLineChars="200"/>
        <w:rPr>
          <w:rFonts w:ascii="宋体" w:hAnsi="宋体"/>
          <w:sz w:val="24"/>
        </w:rPr>
      </w:pPr>
      <w:r>
        <w:rPr>
          <w:rFonts w:hint="eastAsia" w:ascii="宋体" w:hAnsi="宋体"/>
          <w:sz w:val="24"/>
        </w:rPr>
        <w:t>2.4投标人：是指响应招标，参加投标竞争的法人或其他组织或个人。</w:t>
      </w:r>
    </w:p>
    <w:p>
      <w:pPr>
        <w:adjustRightInd w:val="0"/>
        <w:snapToGrid w:val="0"/>
        <w:spacing w:line="360" w:lineRule="auto"/>
        <w:ind w:firstLine="480" w:firstLineChars="200"/>
        <w:rPr>
          <w:rFonts w:ascii="宋体" w:hAnsi="宋体"/>
          <w:sz w:val="24"/>
        </w:rPr>
      </w:pPr>
      <w:r>
        <w:rPr>
          <w:rFonts w:hint="eastAsia" w:ascii="宋体" w:hAnsi="宋体"/>
          <w:sz w:val="24"/>
        </w:rPr>
        <w:t>2.5</w:t>
      </w:r>
      <w:r>
        <w:rPr>
          <w:rFonts w:hint="eastAsia"/>
          <w:sz w:val="24"/>
        </w:rPr>
        <w:t>货物是指本招标</w:t>
      </w:r>
      <w:r>
        <w:rPr>
          <w:rFonts w:hint="eastAsia" w:ascii="宋体" w:hAnsi="宋体"/>
          <w:sz w:val="24"/>
        </w:rPr>
        <w:t>文件中第五章所述所有货物。</w:t>
      </w:r>
    </w:p>
    <w:p>
      <w:pPr>
        <w:adjustRightInd w:val="0"/>
        <w:snapToGrid w:val="0"/>
        <w:spacing w:line="360" w:lineRule="auto"/>
        <w:ind w:firstLine="480" w:firstLineChars="200"/>
        <w:rPr>
          <w:rFonts w:ascii="宋体" w:hAnsi="宋体"/>
          <w:sz w:val="24"/>
        </w:rPr>
      </w:pPr>
      <w:r>
        <w:rPr>
          <w:rFonts w:hint="eastAsia" w:ascii="宋体" w:hAnsi="宋体"/>
          <w:sz w:val="24"/>
        </w:rPr>
        <w:t>2.6服务是指人为满足招标文件要求而提供的服务。</w:t>
      </w:r>
    </w:p>
    <w:p>
      <w:pPr>
        <w:adjustRightInd w:val="0"/>
        <w:snapToGrid w:val="0"/>
        <w:spacing w:line="360" w:lineRule="auto"/>
        <w:ind w:firstLine="480" w:firstLineChars="200"/>
        <w:rPr>
          <w:rFonts w:ascii="宋体" w:hAnsi="宋体"/>
          <w:sz w:val="24"/>
        </w:rPr>
      </w:pPr>
      <w:r>
        <w:rPr>
          <w:rFonts w:hint="eastAsia" w:ascii="宋体" w:hAnsi="宋体"/>
          <w:sz w:val="24"/>
        </w:rPr>
        <w:t>2.7节能产品或者环保产品是指财政部发布的《节能产品政府采购清单》或者《环境标志产品政府采购清单》的产品。</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2.8进口产品是指通过中国海关报关验放进入中国境内且产自关境外的产品，详见《</w:t>
      </w:r>
      <w:r>
        <w:rPr>
          <w:rFonts w:ascii="宋体" w:hAnsi="宋体" w:cs="宋体"/>
          <w:kern w:val="0"/>
          <w:sz w:val="24"/>
        </w:rPr>
        <w:t>关于政府采购进口产品管理有关问题的通知</w:t>
      </w:r>
      <w:r>
        <w:rPr>
          <w:rFonts w:hint="eastAsia" w:ascii="宋体" w:hAnsi="宋体" w:cs="宋体"/>
          <w:kern w:val="0"/>
          <w:sz w:val="24"/>
        </w:rPr>
        <w:t>》(财库[2007]119号)。</w:t>
      </w:r>
    </w:p>
    <w:p>
      <w:pPr>
        <w:adjustRightInd w:val="0"/>
        <w:snapToGrid w:val="0"/>
        <w:spacing w:line="360" w:lineRule="auto"/>
        <w:ind w:firstLine="480" w:firstLineChars="200"/>
        <w:rPr>
          <w:rFonts w:ascii="宋体" w:hAnsi="宋体"/>
          <w:sz w:val="24"/>
        </w:rPr>
      </w:pPr>
      <w:r>
        <w:rPr>
          <w:rFonts w:hint="eastAsia" w:ascii="宋体" w:hAnsi="宋体" w:cs="宋体"/>
          <w:kern w:val="0"/>
          <w:sz w:val="24"/>
        </w:rPr>
        <w:t>2.9</w:t>
      </w:r>
      <w:r>
        <w:rPr>
          <w:rFonts w:hint="eastAsia" w:ascii="宋体" w:hAnsi="宋体"/>
          <w:sz w:val="24"/>
        </w:rPr>
        <w:t>中小企业应符合工信部联企业[2011]300号文件规定，采购活动执行《政府采购促进中小企业发展管理办法》（财库〔2020〕46号)的规定，并出具《中小企业声明函》。</w:t>
      </w:r>
    </w:p>
    <w:p>
      <w:pPr>
        <w:adjustRightInd w:val="0"/>
        <w:snapToGrid w:val="0"/>
        <w:spacing w:line="360" w:lineRule="auto"/>
        <w:ind w:firstLine="480" w:firstLineChars="200"/>
        <w:rPr>
          <w:rFonts w:ascii="宋体" w:hAnsi="宋体"/>
          <w:sz w:val="24"/>
        </w:rPr>
      </w:pPr>
      <w:r>
        <w:rPr>
          <w:rFonts w:hint="eastAsia" w:ascii="宋体" w:hAnsi="宋体"/>
          <w:sz w:val="24"/>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ascii="宋体" w:hAnsi="宋体"/>
          <w:sz w:val="24"/>
        </w:rPr>
      </w:pPr>
      <w:r>
        <w:rPr>
          <w:rFonts w:hint="eastAsia" w:ascii="宋体" w:hAnsi="宋体"/>
          <w:sz w:val="24"/>
        </w:rPr>
        <w:t>2.11</w:t>
      </w:r>
      <w:r>
        <w:rPr>
          <w:rFonts w:hint="eastAsia" w:ascii="宋体" w:hAnsi="宋体" w:cs="宋体"/>
          <w:kern w:val="0"/>
          <w:sz w:val="24"/>
        </w:rPr>
        <w:t>残疾人福利性单位是指符合《民政部 财政部 中国残疾人联合会关于促进残疾人就业政府采购政策的通知》（财库〔2017〕141号）规定的对残疾人福利性单位的划分标准的企业。</w:t>
      </w:r>
    </w:p>
    <w:p>
      <w:pPr>
        <w:pStyle w:val="8"/>
        <w:spacing w:line="240" w:lineRule="auto"/>
      </w:pPr>
      <w:r>
        <w:rPr>
          <w:rFonts w:hint="eastAsia"/>
        </w:rPr>
        <w:t>3.合格的投标</w:t>
      </w:r>
      <w:bookmarkEnd w:id="48"/>
      <w:bookmarkEnd w:id="49"/>
      <w:bookmarkEnd w:id="50"/>
      <w:bookmarkEnd w:id="51"/>
      <w:r>
        <w:rPr>
          <w:rFonts w:hint="eastAsia"/>
        </w:rPr>
        <w:t>人</w:t>
      </w:r>
    </w:p>
    <w:p>
      <w:pPr>
        <w:tabs>
          <w:tab w:val="left" w:pos="7665"/>
        </w:tabs>
        <w:spacing w:line="360" w:lineRule="auto"/>
        <w:ind w:firstLine="480" w:firstLineChars="200"/>
        <w:rPr>
          <w:rFonts w:ascii="宋体" w:hAnsi="宋体"/>
          <w:sz w:val="24"/>
        </w:rPr>
      </w:pPr>
      <w:r>
        <w:rPr>
          <w:rFonts w:hint="eastAsia" w:ascii="宋体" w:hAnsi="宋体"/>
          <w:sz w:val="24"/>
        </w:rPr>
        <w:t>3.1合格的投标人应具备以下条件：</w:t>
      </w:r>
    </w:p>
    <w:p>
      <w:pPr>
        <w:tabs>
          <w:tab w:val="left" w:pos="7665"/>
        </w:tabs>
        <w:spacing w:line="360" w:lineRule="auto"/>
        <w:ind w:firstLine="480" w:firstLineChars="200"/>
        <w:rPr>
          <w:rFonts w:ascii="宋体" w:hAnsi="宋体"/>
          <w:sz w:val="24"/>
        </w:rPr>
      </w:pPr>
      <w:r>
        <w:rPr>
          <w:rFonts w:hint="eastAsia" w:ascii="宋体" w:hAnsi="宋体"/>
          <w:sz w:val="24"/>
        </w:rPr>
        <w:t>（1）具备且满足“招标公告”要求的；</w:t>
      </w:r>
    </w:p>
    <w:p>
      <w:pPr>
        <w:tabs>
          <w:tab w:val="left" w:pos="7665"/>
        </w:tabs>
        <w:spacing w:line="360" w:lineRule="auto"/>
        <w:ind w:firstLine="480" w:firstLineChars="200"/>
        <w:rPr>
          <w:rFonts w:ascii="宋体" w:hAnsi="宋体"/>
          <w:sz w:val="24"/>
        </w:rPr>
      </w:pPr>
      <w:r>
        <w:rPr>
          <w:rFonts w:hint="eastAsia" w:ascii="宋体" w:hAnsi="宋体"/>
          <w:sz w:val="24"/>
        </w:rPr>
        <w:t>（2）向采购代理机构购买了招标文件并登记备案；</w:t>
      </w:r>
    </w:p>
    <w:p>
      <w:pPr>
        <w:tabs>
          <w:tab w:val="left" w:pos="7665"/>
        </w:tabs>
        <w:spacing w:line="360" w:lineRule="auto"/>
        <w:ind w:firstLine="480" w:firstLineChars="200"/>
        <w:rPr>
          <w:rFonts w:ascii="宋体" w:hAnsi="宋体"/>
          <w:sz w:val="24"/>
        </w:rPr>
      </w:pPr>
      <w:r>
        <w:rPr>
          <w:rFonts w:hint="eastAsia" w:ascii="宋体" w:hAnsi="宋体"/>
          <w:sz w:val="24"/>
        </w:rPr>
        <w:t>（3）投标人单位负责人为同一人或者存在直接控股、管理关系的不同投标人，不得参加同一项目或同一标段的政府采购活动。</w:t>
      </w:r>
    </w:p>
    <w:p>
      <w:pPr>
        <w:tabs>
          <w:tab w:val="left" w:pos="7665"/>
        </w:tabs>
        <w:spacing w:line="360" w:lineRule="auto"/>
        <w:ind w:firstLine="480" w:firstLineChars="200"/>
        <w:rPr>
          <w:rFonts w:ascii="宋体" w:hAnsi="宋体"/>
          <w:sz w:val="24"/>
        </w:rPr>
      </w:pPr>
      <w:r>
        <w:rPr>
          <w:rFonts w:hint="eastAsia" w:ascii="宋体" w:hAnsi="宋体"/>
          <w:sz w:val="24"/>
        </w:rPr>
        <w:t>（4）除单一来源采购项目外，为采购项目提供过整体设计、规范编制或者项目管理、监理、检测等服务的投标人，不得再参加同一项目的其他采购活动；</w:t>
      </w:r>
    </w:p>
    <w:p>
      <w:pPr>
        <w:tabs>
          <w:tab w:val="left" w:pos="7665"/>
        </w:tabs>
        <w:spacing w:line="360" w:lineRule="auto"/>
        <w:ind w:firstLine="480" w:firstLineChars="200"/>
        <w:rPr>
          <w:rFonts w:ascii="宋体" w:hAnsi="宋体"/>
          <w:sz w:val="24"/>
        </w:rPr>
      </w:pPr>
      <w:r>
        <w:rPr>
          <w:rFonts w:hint="eastAsia" w:ascii="宋体" w:hAnsi="宋体"/>
          <w:sz w:val="24"/>
        </w:rPr>
        <w:t>（5）遵守国家、陕西省有关的法律、法规和规范性文件要求；</w:t>
      </w:r>
    </w:p>
    <w:p>
      <w:pPr>
        <w:tabs>
          <w:tab w:val="left" w:pos="7665"/>
        </w:tabs>
        <w:spacing w:line="360" w:lineRule="auto"/>
        <w:ind w:firstLine="480" w:firstLineChars="200"/>
        <w:rPr>
          <w:rFonts w:ascii="宋体" w:hAnsi="宋体"/>
          <w:sz w:val="24"/>
        </w:rPr>
      </w:pPr>
      <w:r>
        <w:rPr>
          <w:rFonts w:hint="eastAsia" w:ascii="宋体" w:hAnsi="宋体"/>
          <w:sz w:val="24"/>
        </w:rPr>
        <w:t>（6）招标文件和法律、行政法规规定的其他条件。</w:t>
      </w:r>
    </w:p>
    <w:p>
      <w:pPr>
        <w:adjustRightInd w:val="0"/>
        <w:snapToGrid w:val="0"/>
        <w:spacing w:line="360" w:lineRule="auto"/>
        <w:ind w:firstLine="480" w:firstLineChars="200"/>
        <w:rPr>
          <w:rFonts w:ascii="宋体" w:hAnsi="宋体"/>
          <w:sz w:val="24"/>
        </w:rPr>
      </w:pPr>
      <w:r>
        <w:rPr>
          <w:rFonts w:hint="eastAsia" w:ascii="宋体" w:hAnsi="宋体"/>
          <w:sz w:val="24"/>
        </w:rPr>
        <w:t>3.2投标人不得存在下列情形之一：</w:t>
      </w:r>
    </w:p>
    <w:p>
      <w:pPr>
        <w:adjustRightInd w:val="0"/>
        <w:snapToGrid w:val="0"/>
        <w:spacing w:line="360" w:lineRule="auto"/>
        <w:ind w:firstLine="480" w:firstLineChars="200"/>
        <w:rPr>
          <w:rFonts w:ascii="宋体" w:hAnsi="宋体"/>
          <w:sz w:val="24"/>
        </w:rPr>
      </w:pPr>
      <w:r>
        <w:rPr>
          <w:rFonts w:hint="eastAsia" w:ascii="宋体" w:hAnsi="宋体"/>
          <w:sz w:val="24"/>
        </w:rPr>
        <w:t>（l）与采购人、采购代理机构存在</w:t>
      </w:r>
      <w:r>
        <w:rPr>
          <w:rFonts w:hint="eastAsia" w:ascii="宋体" w:hAnsi="宋体"/>
          <w:bCs/>
          <w:sz w:val="24"/>
        </w:rPr>
        <w:t>隶属关系或者其他利害关系；</w:t>
      </w:r>
    </w:p>
    <w:p>
      <w:pPr>
        <w:adjustRightInd w:val="0"/>
        <w:snapToGrid w:val="0"/>
        <w:spacing w:line="360" w:lineRule="auto"/>
        <w:ind w:firstLine="480" w:firstLineChars="200"/>
        <w:rPr>
          <w:rFonts w:ascii="宋体" w:hAnsi="宋体"/>
          <w:sz w:val="24"/>
        </w:rPr>
      </w:pPr>
      <w:r>
        <w:rPr>
          <w:rFonts w:hint="eastAsia" w:ascii="宋体" w:hAnsi="宋体"/>
          <w:sz w:val="24"/>
        </w:rPr>
        <w:t>（2）与其他人的法定代表人（或者负责人）为同一人，或者与其他人存在控股、关联关系；</w:t>
      </w:r>
    </w:p>
    <w:p>
      <w:pPr>
        <w:adjustRightInd w:val="0"/>
        <w:snapToGrid w:val="0"/>
        <w:spacing w:line="360" w:lineRule="auto"/>
        <w:ind w:firstLine="480" w:firstLineChars="200"/>
        <w:rPr>
          <w:rFonts w:ascii="宋体" w:hAnsi="宋体"/>
          <w:bCs/>
          <w:sz w:val="24"/>
        </w:rPr>
      </w:pPr>
      <w:r>
        <w:rPr>
          <w:rFonts w:hint="eastAsia" w:ascii="宋体" w:hAnsi="宋体"/>
          <w:sz w:val="24"/>
        </w:rPr>
        <w:t>（3）</w:t>
      </w:r>
      <w:r>
        <w:rPr>
          <w:rFonts w:hint="eastAsia" w:ascii="宋体" w:hAnsi="宋体"/>
          <w:bCs/>
          <w:sz w:val="24"/>
        </w:rPr>
        <w:t>受到刑事处罚；</w:t>
      </w:r>
    </w:p>
    <w:p>
      <w:pPr>
        <w:adjustRightInd w:val="0"/>
        <w:snapToGrid w:val="0"/>
        <w:spacing w:line="360" w:lineRule="auto"/>
        <w:ind w:firstLine="480" w:firstLineChars="200"/>
        <w:rPr>
          <w:rFonts w:ascii="宋体" w:hAnsi="宋体"/>
          <w:bCs/>
          <w:sz w:val="24"/>
        </w:rPr>
      </w:pPr>
      <w:r>
        <w:rPr>
          <w:rFonts w:hint="eastAsia" w:ascii="宋体" w:hAnsi="宋体"/>
          <w:bCs/>
          <w:sz w:val="24"/>
        </w:rPr>
        <w:t>（4）受到财政部门3万元以上数额罚款的行政处罚；</w:t>
      </w:r>
    </w:p>
    <w:p>
      <w:pPr>
        <w:adjustRightInd w:val="0"/>
        <w:snapToGrid w:val="0"/>
        <w:spacing w:line="360" w:lineRule="auto"/>
        <w:ind w:left="599" w:leftChars="228" w:hanging="120" w:hangingChars="50"/>
        <w:rPr>
          <w:rFonts w:ascii="宋体" w:hAnsi="宋体"/>
          <w:bCs/>
          <w:sz w:val="24"/>
        </w:rPr>
      </w:pPr>
      <w:r>
        <w:rPr>
          <w:rFonts w:hint="eastAsia" w:ascii="宋体" w:hAnsi="宋体"/>
          <w:bCs/>
          <w:sz w:val="24"/>
        </w:rPr>
        <w:t>（5）被责令停产停业、暂扣或者吊销许可证、暂扣或者吊销执照的行政处罚；</w:t>
      </w:r>
    </w:p>
    <w:p>
      <w:pPr>
        <w:adjustRightInd w:val="0"/>
        <w:snapToGrid w:val="0"/>
        <w:spacing w:line="360" w:lineRule="auto"/>
        <w:ind w:firstLine="480" w:firstLineChars="200"/>
        <w:rPr>
          <w:rFonts w:ascii="宋体" w:hAnsi="宋体"/>
          <w:sz w:val="24"/>
        </w:rPr>
      </w:pPr>
      <w:r>
        <w:rPr>
          <w:rFonts w:hint="eastAsia" w:ascii="宋体" w:hAnsi="宋体"/>
          <w:bCs/>
          <w:sz w:val="24"/>
        </w:rPr>
        <w:t>（6）在一至三年内禁止参加政府采购活动或存在</w:t>
      </w:r>
      <w:r>
        <w:rPr>
          <w:rFonts w:hint="eastAsia" w:ascii="宋体" w:hAnsi="宋体"/>
          <w:sz w:val="24"/>
        </w:rPr>
        <w:t>财政部门认定的其他重大违法记录。</w:t>
      </w:r>
    </w:p>
    <w:p>
      <w:pPr>
        <w:pStyle w:val="8"/>
        <w:spacing w:line="240" w:lineRule="auto"/>
      </w:pPr>
      <w:bookmarkStart w:id="52" w:name="_Toc217446037"/>
      <w:bookmarkStart w:id="53" w:name="_Toc183682345"/>
      <w:bookmarkStart w:id="54" w:name="_Toc183582208"/>
      <w:r>
        <w:rPr>
          <w:rFonts w:hint="eastAsia"/>
        </w:rPr>
        <w:t>4.合格的货物（产品）和服务</w:t>
      </w:r>
    </w:p>
    <w:p>
      <w:pPr>
        <w:tabs>
          <w:tab w:val="left" w:pos="747"/>
        </w:tabs>
        <w:snapToGrid w:val="0"/>
        <w:spacing w:line="360" w:lineRule="auto"/>
        <w:ind w:firstLine="480" w:firstLineChars="200"/>
        <w:rPr>
          <w:rFonts w:ascii="宋体" w:hAnsi="宋体"/>
          <w:sz w:val="24"/>
        </w:rPr>
      </w:pPr>
      <w:r>
        <w:rPr>
          <w:rFonts w:hint="eastAsia" w:ascii="宋体" w:hAnsi="宋体"/>
          <w:sz w:val="24"/>
        </w:rPr>
        <w:t>4.1投标人提供的所有货物和服务，必须是合法生产、合法来源，符合国家有关标准要求，并满足招标文件规定的采购需求、服务需求及其它伴随服务等要求。</w:t>
      </w:r>
    </w:p>
    <w:p>
      <w:pPr>
        <w:tabs>
          <w:tab w:val="left" w:pos="747"/>
        </w:tabs>
        <w:snapToGrid w:val="0"/>
        <w:spacing w:line="360" w:lineRule="auto"/>
        <w:ind w:firstLine="480" w:firstLineChars="200"/>
        <w:rPr>
          <w:rFonts w:ascii="宋体" w:hAnsi="宋体"/>
          <w:sz w:val="24"/>
        </w:rPr>
      </w:pPr>
      <w:r>
        <w:rPr>
          <w:rFonts w:hint="eastAsia" w:ascii="宋体" w:hAnsi="宋体"/>
          <w:sz w:val="24"/>
        </w:rPr>
        <w:t>4.2采购人有权拒绝接受任何不合格的货物和服务，由此产生的费用及相关后果均由投标人自行承担。</w:t>
      </w:r>
    </w:p>
    <w:p>
      <w:pPr>
        <w:tabs>
          <w:tab w:val="left" w:pos="747"/>
        </w:tabs>
        <w:snapToGrid w:val="0"/>
        <w:spacing w:line="360" w:lineRule="auto"/>
        <w:ind w:firstLine="480" w:firstLineChars="200"/>
        <w:rPr>
          <w:rFonts w:ascii="宋体" w:hAnsi="宋体"/>
          <w:sz w:val="24"/>
        </w:rPr>
      </w:pPr>
      <w:bookmarkStart w:id="55" w:name="_Toc217446047"/>
      <w:r>
        <w:rPr>
          <w:rFonts w:hint="eastAsia" w:ascii="宋体" w:hAnsi="宋体"/>
          <w:sz w:val="24"/>
        </w:rPr>
        <w:t>5.知识产权</w:t>
      </w:r>
      <w:bookmarkEnd w:id="55"/>
    </w:p>
    <w:p>
      <w:pPr>
        <w:pStyle w:val="16"/>
        <w:spacing w:line="360" w:lineRule="auto"/>
        <w:ind w:firstLine="480" w:firstLineChars="200"/>
        <w:rPr>
          <w:rFonts w:ascii="宋体" w:hAnsi="宋体"/>
          <w:sz w:val="24"/>
          <w:szCs w:val="24"/>
        </w:rPr>
      </w:pPr>
      <w:r>
        <w:rPr>
          <w:rFonts w:hint="eastAsia" w:ascii="宋体" w:hAnsi="宋体"/>
          <w:sz w:val="24"/>
          <w:szCs w:val="24"/>
        </w:rPr>
        <w:t>5.1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6"/>
        <w:spacing w:line="360" w:lineRule="auto"/>
        <w:ind w:firstLine="480" w:firstLineChars="200"/>
        <w:rPr>
          <w:rFonts w:ascii="宋体" w:hAnsi="宋体"/>
          <w:sz w:val="24"/>
          <w:szCs w:val="24"/>
        </w:rPr>
      </w:pPr>
      <w:r>
        <w:rPr>
          <w:rFonts w:hint="eastAsia" w:ascii="宋体" w:hAnsi="宋体"/>
          <w:sz w:val="24"/>
          <w:szCs w:val="24"/>
        </w:rPr>
        <w:t>5.2采购人享有本项目实施过程中产生的知识成果及知识产权。</w:t>
      </w:r>
    </w:p>
    <w:p>
      <w:pPr>
        <w:spacing w:line="360" w:lineRule="auto"/>
        <w:ind w:firstLine="480" w:firstLineChars="200"/>
        <w:rPr>
          <w:rFonts w:ascii="宋体" w:hAnsi="宋体"/>
          <w:sz w:val="24"/>
        </w:rPr>
      </w:pPr>
      <w:r>
        <w:rPr>
          <w:rFonts w:hint="eastAsia" w:ascii="宋体" w:hAnsi="宋体"/>
          <w:sz w:val="24"/>
        </w:rPr>
        <w:t>5.3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spacing w:line="360" w:lineRule="auto"/>
        <w:ind w:firstLine="480" w:firstLineChars="200"/>
        <w:rPr>
          <w:rFonts w:ascii="宋体" w:hAnsi="宋体"/>
          <w:sz w:val="24"/>
        </w:rPr>
      </w:pPr>
      <w:r>
        <w:rPr>
          <w:rFonts w:hint="eastAsia" w:ascii="宋体" w:hAnsi="宋体"/>
          <w:sz w:val="24"/>
        </w:rPr>
        <w:t>5.4如采用投标人所不拥有的知识产权，则在投标报价中必须包括合法获取该知识产权的相关费用。</w:t>
      </w:r>
    </w:p>
    <w:p>
      <w:pPr>
        <w:pStyle w:val="8"/>
        <w:spacing w:line="240" w:lineRule="auto"/>
      </w:pPr>
      <w:r>
        <w:rPr>
          <w:rFonts w:hint="eastAsia"/>
        </w:rPr>
        <w:t>6.投标费用</w:t>
      </w:r>
      <w:bookmarkEnd w:id="52"/>
      <w:bookmarkEnd w:id="53"/>
      <w:bookmarkEnd w:id="54"/>
    </w:p>
    <w:p>
      <w:pPr>
        <w:spacing w:line="360" w:lineRule="auto"/>
        <w:ind w:firstLine="480" w:firstLineChars="200"/>
        <w:rPr>
          <w:rFonts w:ascii="宋体" w:hAnsi="宋体"/>
          <w:sz w:val="24"/>
        </w:rPr>
      </w:pPr>
      <w:r>
        <w:rPr>
          <w:rFonts w:hint="eastAsia" w:ascii="宋体" w:hAnsi="宋体"/>
          <w:sz w:val="24"/>
        </w:rPr>
        <w:t>不论投标结果如何，投标人准备和参加投标活动的交通费、人工费、材料费等所有费用自行承担。</w:t>
      </w:r>
      <w:bookmarkStart w:id="56" w:name="_Toc89075875"/>
      <w:bookmarkStart w:id="57" w:name="_Toc77400779"/>
      <w:bookmarkStart w:id="58" w:name="_Toc183582209"/>
      <w:bookmarkStart w:id="59" w:name="_Toc183682346"/>
      <w:bookmarkStart w:id="60" w:name="_Toc217446038"/>
    </w:p>
    <w:p>
      <w:pPr>
        <w:pStyle w:val="5"/>
        <w:spacing w:before="0" w:after="120" w:afterLines="50" w:line="240" w:lineRule="auto"/>
        <w:rPr>
          <w:rFonts w:ascii="宋体" w:hAnsi="宋体" w:eastAsia="宋体"/>
          <w:bCs/>
        </w:rPr>
      </w:pPr>
      <w:bookmarkStart w:id="61" w:name="_Toc350"/>
      <w:bookmarkStart w:id="62" w:name="_Toc11922"/>
      <w:bookmarkStart w:id="63" w:name="_Toc17982"/>
      <w:r>
        <w:rPr>
          <w:rFonts w:hint="eastAsia" w:ascii="宋体" w:hAnsi="宋体" w:eastAsia="宋体"/>
          <w:bCs/>
        </w:rPr>
        <w:t>二、招标文件</w:t>
      </w:r>
      <w:bookmarkEnd w:id="56"/>
      <w:bookmarkEnd w:id="57"/>
      <w:bookmarkEnd w:id="58"/>
      <w:bookmarkEnd w:id="59"/>
      <w:bookmarkEnd w:id="60"/>
      <w:bookmarkEnd w:id="61"/>
      <w:bookmarkEnd w:id="62"/>
      <w:bookmarkEnd w:id="63"/>
      <w:bookmarkStart w:id="64" w:name="_Toc183682347"/>
      <w:bookmarkStart w:id="65" w:name="_Toc217446039"/>
      <w:bookmarkStart w:id="66" w:name="_Toc183582210"/>
    </w:p>
    <w:p>
      <w:pPr>
        <w:pStyle w:val="8"/>
        <w:spacing w:line="240" w:lineRule="auto"/>
      </w:pPr>
      <w:r>
        <w:rPr>
          <w:rFonts w:hint="eastAsia"/>
        </w:rPr>
        <w:t>7.招标文件的</w:t>
      </w:r>
      <w:bookmarkEnd w:id="64"/>
      <w:bookmarkEnd w:id="65"/>
      <w:bookmarkEnd w:id="66"/>
      <w:r>
        <w:rPr>
          <w:rFonts w:hint="eastAsia"/>
        </w:rPr>
        <w:t>组成</w:t>
      </w:r>
    </w:p>
    <w:p>
      <w:pPr>
        <w:spacing w:line="360" w:lineRule="auto"/>
        <w:ind w:firstLine="480" w:firstLineChars="200"/>
        <w:rPr>
          <w:rFonts w:ascii="宋体" w:hAnsi="宋体"/>
          <w:sz w:val="24"/>
        </w:rPr>
      </w:pPr>
      <w:r>
        <w:rPr>
          <w:rFonts w:hint="eastAsia" w:ascii="宋体" w:hAnsi="宋体"/>
          <w:sz w:val="24"/>
        </w:rPr>
        <w:t>7.1招标文件用以阐明招标项目所需的资质、技术、服务及报价等要求、招标投标程序、有关规定和注意事项以及合同主要条款等。本招标文件包括以下内容：</w:t>
      </w:r>
    </w:p>
    <w:p>
      <w:pPr>
        <w:spacing w:line="360" w:lineRule="auto"/>
        <w:ind w:firstLine="480" w:firstLineChars="200"/>
        <w:rPr>
          <w:rFonts w:ascii="宋体" w:hAnsi="宋体"/>
          <w:sz w:val="24"/>
        </w:rPr>
      </w:pPr>
      <w:r>
        <w:rPr>
          <w:rFonts w:hint="eastAsia" w:ascii="宋体" w:hAnsi="宋体"/>
          <w:sz w:val="24"/>
        </w:rPr>
        <w:t>（1）招标公告；</w:t>
      </w:r>
    </w:p>
    <w:p>
      <w:pPr>
        <w:tabs>
          <w:tab w:val="left" w:pos="7665"/>
        </w:tabs>
        <w:spacing w:line="360" w:lineRule="auto"/>
        <w:ind w:firstLine="480" w:firstLineChars="200"/>
        <w:rPr>
          <w:rFonts w:ascii="宋体" w:hAnsi="宋体"/>
          <w:sz w:val="24"/>
        </w:rPr>
      </w:pPr>
      <w:r>
        <w:rPr>
          <w:rFonts w:hint="eastAsia" w:ascii="宋体" w:hAnsi="宋体"/>
          <w:sz w:val="24"/>
        </w:rPr>
        <w:t>（2）投标人须知前附表；</w:t>
      </w:r>
    </w:p>
    <w:p>
      <w:pPr>
        <w:tabs>
          <w:tab w:val="left" w:pos="7665"/>
        </w:tabs>
        <w:spacing w:line="360" w:lineRule="auto"/>
        <w:ind w:firstLine="480" w:firstLineChars="200"/>
        <w:rPr>
          <w:rFonts w:ascii="宋体" w:hAnsi="宋体"/>
          <w:sz w:val="24"/>
        </w:rPr>
      </w:pPr>
      <w:r>
        <w:rPr>
          <w:rFonts w:hint="eastAsia" w:ascii="宋体" w:hAnsi="宋体"/>
          <w:sz w:val="24"/>
        </w:rPr>
        <w:t>（3）投标人须知；</w:t>
      </w:r>
    </w:p>
    <w:p>
      <w:pPr>
        <w:tabs>
          <w:tab w:val="left" w:pos="7665"/>
        </w:tabs>
        <w:spacing w:line="360" w:lineRule="auto"/>
        <w:ind w:firstLine="480" w:firstLineChars="200"/>
        <w:rPr>
          <w:rFonts w:ascii="宋体" w:hAnsi="宋体"/>
          <w:sz w:val="24"/>
        </w:rPr>
      </w:pPr>
      <w:r>
        <w:rPr>
          <w:rFonts w:hint="eastAsia" w:ascii="宋体" w:hAnsi="宋体"/>
          <w:sz w:val="24"/>
        </w:rPr>
        <w:t>（4）评标办法；</w:t>
      </w:r>
    </w:p>
    <w:p>
      <w:pPr>
        <w:tabs>
          <w:tab w:val="left" w:pos="7665"/>
        </w:tabs>
        <w:spacing w:line="360" w:lineRule="auto"/>
        <w:ind w:firstLine="480" w:firstLineChars="200"/>
        <w:rPr>
          <w:rFonts w:ascii="宋体" w:hAnsi="宋体"/>
          <w:sz w:val="24"/>
        </w:rPr>
      </w:pPr>
      <w:r>
        <w:rPr>
          <w:rFonts w:hint="eastAsia" w:ascii="宋体" w:hAnsi="宋体"/>
          <w:sz w:val="24"/>
        </w:rPr>
        <w:t>（5）采购内容及要求；</w:t>
      </w:r>
    </w:p>
    <w:p>
      <w:pPr>
        <w:tabs>
          <w:tab w:val="left" w:pos="7665"/>
        </w:tabs>
        <w:spacing w:line="360" w:lineRule="auto"/>
        <w:ind w:firstLine="480" w:firstLineChars="200"/>
        <w:rPr>
          <w:rFonts w:ascii="宋体" w:hAnsi="宋体"/>
          <w:sz w:val="24"/>
        </w:rPr>
      </w:pPr>
      <w:r>
        <w:rPr>
          <w:rFonts w:hint="eastAsia" w:ascii="宋体" w:hAnsi="宋体"/>
          <w:sz w:val="24"/>
        </w:rPr>
        <w:t>（6）合同草案条款；</w:t>
      </w:r>
    </w:p>
    <w:p>
      <w:pPr>
        <w:tabs>
          <w:tab w:val="left" w:pos="7665"/>
        </w:tabs>
        <w:spacing w:line="360" w:lineRule="auto"/>
        <w:ind w:firstLine="480" w:firstLineChars="200"/>
        <w:rPr>
          <w:rFonts w:ascii="宋体" w:hAnsi="宋体"/>
          <w:sz w:val="24"/>
        </w:rPr>
      </w:pPr>
      <w:r>
        <w:rPr>
          <w:rFonts w:hint="eastAsia" w:ascii="宋体" w:hAnsi="宋体"/>
          <w:sz w:val="24"/>
        </w:rPr>
        <w:t>（7）投标文件格式；</w:t>
      </w:r>
    </w:p>
    <w:p>
      <w:pPr>
        <w:pStyle w:val="8"/>
        <w:spacing w:line="240" w:lineRule="auto"/>
      </w:pPr>
      <w:bookmarkStart w:id="67" w:name="_Toc183682348"/>
      <w:bookmarkStart w:id="68" w:name="_Toc183582211"/>
      <w:bookmarkStart w:id="69" w:name="_Toc217446040"/>
      <w:r>
        <w:rPr>
          <w:rFonts w:hint="eastAsia"/>
        </w:rPr>
        <w:t>8.招标文件的澄清</w:t>
      </w:r>
      <w:bookmarkEnd w:id="67"/>
      <w:bookmarkEnd w:id="68"/>
      <w:r>
        <w:rPr>
          <w:rFonts w:hint="eastAsia"/>
        </w:rPr>
        <w:t>和修改</w:t>
      </w:r>
      <w:bookmarkEnd w:id="69"/>
    </w:p>
    <w:p>
      <w:pPr>
        <w:spacing w:line="360" w:lineRule="auto"/>
        <w:ind w:firstLine="480" w:firstLineChars="200"/>
        <w:rPr>
          <w:rFonts w:ascii="宋体" w:hAnsi="宋体"/>
          <w:sz w:val="24"/>
        </w:rPr>
      </w:pPr>
      <w:r>
        <w:rPr>
          <w:rFonts w:hint="eastAsia" w:ascii="宋体" w:hAnsi="宋体"/>
          <w:sz w:val="24"/>
        </w:rPr>
        <w:t>8.1 在投标截止时间前，采购代理机构无论出于何种原因，可以对已发出招标文件进行必要的澄清或者修改，但不得修改采购标的和资格条件。</w:t>
      </w:r>
    </w:p>
    <w:p>
      <w:pPr>
        <w:spacing w:line="360" w:lineRule="auto"/>
        <w:ind w:firstLine="480" w:firstLineChars="200"/>
        <w:rPr>
          <w:rFonts w:ascii="宋体" w:hAnsi="宋体"/>
          <w:sz w:val="24"/>
        </w:rPr>
      </w:pPr>
      <w:r>
        <w:rPr>
          <w:rFonts w:hint="eastAsia" w:ascii="宋体" w:hAnsi="宋体"/>
          <w:sz w:val="24"/>
        </w:rPr>
        <w:t>8.2采购人或采购代理机构对已发出的招标文件进行必要的澄清或者修改，澄清或修改的内容可能影响投标文件编制的，应当在投标截止时间</w:t>
      </w:r>
      <w:r>
        <w:rPr>
          <w:rFonts w:hint="eastAsia" w:ascii="宋体" w:hAnsi="宋体"/>
          <w:b/>
          <w:sz w:val="24"/>
        </w:rPr>
        <w:t>15</w:t>
      </w:r>
      <w:r>
        <w:rPr>
          <w:rFonts w:hint="eastAsia" w:ascii="宋体" w:hAnsi="宋体"/>
          <w:sz w:val="24"/>
        </w:rPr>
        <w:t>日前，以书面形式将澄清或者修改的内容通知所有获取招标文件的潜在投标人，同时在原信息发布媒体上发布澄清公告。投标人在收到上述通知后，应立即以书面形式向采购代理机构确认。如果澄清或者修改发出的时间距规定的投标截止时间不足</w:t>
      </w:r>
      <w:r>
        <w:rPr>
          <w:rFonts w:hint="eastAsia" w:ascii="宋体" w:hAnsi="宋体" w:cs="TimesNewRomanPSMT"/>
          <w:b/>
          <w:sz w:val="24"/>
        </w:rPr>
        <w:t>15</w:t>
      </w:r>
      <w:r>
        <w:rPr>
          <w:rFonts w:hint="eastAsia" w:ascii="宋体" w:hAnsi="宋体"/>
          <w:sz w:val="24"/>
        </w:rPr>
        <w:t>日，将相应顺延投标截止时间。</w:t>
      </w:r>
    </w:p>
    <w:p>
      <w:pPr>
        <w:spacing w:line="360" w:lineRule="auto"/>
        <w:ind w:firstLine="480" w:firstLineChars="200"/>
        <w:rPr>
          <w:rFonts w:ascii="宋体" w:hAnsi="宋体"/>
          <w:sz w:val="24"/>
        </w:rPr>
      </w:pPr>
      <w:r>
        <w:rPr>
          <w:rFonts w:hint="eastAsia" w:ascii="宋体" w:hAnsi="宋体"/>
          <w:sz w:val="24"/>
        </w:rPr>
        <w:t>8</w:t>
      </w:r>
      <w:r>
        <w:rPr>
          <w:rFonts w:hint="eastAsia" w:ascii="宋体" w:hAnsi="宋体"/>
          <w:b/>
          <w:bCs/>
          <w:sz w:val="24"/>
        </w:rPr>
        <w:t>.</w:t>
      </w:r>
      <w:r>
        <w:rPr>
          <w:rFonts w:hint="eastAsia" w:ascii="宋体" w:hAnsi="宋体"/>
          <w:sz w:val="24"/>
        </w:rPr>
        <w:t>3投标人应仔细阅读和检查招标文件的全部内容。如发现缺页或附件不全，应及时向采购代理机构提出，以便补齐。</w:t>
      </w:r>
    </w:p>
    <w:p>
      <w:pPr>
        <w:spacing w:line="360" w:lineRule="auto"/>
        <w:ind w:firstLine="480" w:firstLineChars="200"/>
        <w:rPr>
          <w:rFonts w:ascii="宋体" w:hAnsi="宋体"/>
          <w:sz w:val="24"/>
        </w:rPr>
      </w:pPr>
      <w:r>
        <w:rPr>
          <w:rFonts w:hint="eastAsia" w:ascii="宋体" w:hAnsi="宋体"/>
          <w:sz w:val="24"/>
        </w:rPr>
        <w:t>8.4投标人对</w:t>
      </w:r>
      <w:r>
        <w:rPr>
          <w:rFonts w:ascii="宋体" w:hAnsi="宋体"/>
          <w:sz w:val="24"/>
        </w:rPr>
        <w:t>招标文件有</w:t>
      </w:r>
      <w:r>
        <w:rPr>
          <w:rFonts w:hint="eastAsia" w:ascii="宋体" w:hAnsi="宋体"/>
          <w:sz w:val="24"/>
        </w:rPr>
        <w:t>疑问或者质疑的</w:t>
      </w:r>
      <w:r>
        <w:rPr>
          <w:rFonts w:ascii="宋体" w:hAnsi="宋体"/>
          <w:sz w:val="24"/>
        </w:rPr>
        <w:t>，</w:t>
      </w:r>
      <w:r>
        <w:rPr>
          <w:rFonts w:hint="eastAsia" w:ascii="宋体" w:hAnsi="宋体"/>
          <w:sz w:val="24"/>
        </w:rPr>
        <w:t>应</w:t>
      </w:r>
      <w:r>
        <w:rPr>
          <w:rFonts w:ascii="宋体" w:hAnsi="宋体"/>
          <w:sz w:val="24"/>
        </w:rPr>
        <w:t>在</w:t>
      </w:r>
      <w:r>
        <w:rPr>
          <w:rFonts w:hint="eastAsia" w:ascii="宋体" w:hAnsi="宋体"/>
          <w:sz w:val="24"/>
        </w:rPr>
        <w:t>获取招标文件之日或招标公告期限届满之日起七个工作日内，</w:t>
      </w:r>
      <w:r>
        <w:rPr>
          <w:rFonts w:ascii="宋体" w:hAnsi="宋体"/>
          <w:sz w:val="24"/>
        </w:rPr>
        <w:t>以书面形式向采购代理机构提出，</w:t>
      </w:r>
      <w:r>
        <w:rPr>
          <w:rFonts w:hint="eastAsia" w:ascii="宋体" w:hAnsi="宋体"/>
          <w:sz w:val="24"/>
        </w:rPr>
        <w:t>在此之后提出的询问和质疑均为无效，采购代理机构不予受理。对于在规定时间内收到的投标人依法提出的询问或者质疑，</w:t>
      </w:r>
      <w:r>
        <w:rPr>
          <w:rFonts w:ascii="宋体" w:hAnsi="宋体"/>
          <w:sz w:val="24"/>
        </w:rPr>
        <w:t>采购代理机构将</w:t>
      </w:r>
      <w:r>
        <w:rPr>
          <w:rFonts w:hint="eastAsia" w:ascii="宋体" w:hAnsi="宋体"/>
          <w:sz w:val="24"/>
        </w:rPr>
        <w:t>按程序在三个工作日内书面答复询问，七个工作日内书面答复质疑，或认为有必要召开答疑会。超过该时间收到的需要询问或质疑，采购代理机构有权不予答复。</w:t>
      </w:r>
    </w:p>
    <w:p>
      <w:pPr>
        <w:spacing w:line="360" w:lineRule="auto"/>
        <w:ind w:firstLine="480" w:firstLineChars="200"/>
        <w:rPr>
          <w:rFonts w:ascii="宋体" w:hAnsi="宋体"/>
          <w:sz w:val="24"/>
        </w:rPr>
      </w:pPr>
      <w:r>
        <w:rPr>
          <w:rFonts w:hint="eastAsia" w:ascii="宋体" w:hAnsi="宋体"/>
          <w:sz w:val="24"/>
        </w:rPr>
        <w:t>8.5在投标截止时间前，采购代理机构可以视采购具体情况，延长投标截止时间和开标时间，并在招标文件要求提交投标文件的截止时间前，将变更时间以书面形式通知所有获取招标文件的潜在投标人，同时在原信息发布媒体上发布变更公告。</w:t>
      </w:r>
      <w:bookmarkStart w:id="70" w:name="_Toc183582213"/>
      <w:bookmarkStart w:id="71" w:name="_Toc183682350"/>
      <w:bookmarkStart w:id="72" w:name="_Toc217446041"/>
      <w:bookmarkStart w:id="73" w:name="_Toc208848971"/>
    </w:p>
    <w:p>
      <w:pPr>
        <w:spacing w:line="360" w:lineRule="auto"/>
        <w:ind w:firstLine="480" w:firstLineChars="200"/>
        <w:rPr>
          <w:rFonts w:ascii="宋体" w:hAnsi="宋体"/>
          <w:sz w:val="24"/>
        </w:rPr>
      </w:pPr>
      <w:r>
        <w:rPr>
          <w:rFonts w:hint="eastAsia" w:ascii="宋体" w:hAnsi="宋体"/>
          <w:sz w:val="24"/>
        </w:rPr>
        <w:t>8.6 招标文件澄清、答复、修改或补充的内容为招标文件的组成部分。当招标文件澄清、答复、修改或补充通知就同一内容表述不一致时，以最后发出的书面文件内容为准。</w:t>
      </w:r>
    </w:p>
    <w:bookmarkEnd w:id="70"/>
    <w:bookmarkEnd w:id="71"/>
    <w:p>
      <w:pPr>
        <w:pStyle w:val="8"/>
        <w:spacing w:line="240" w:lineRule="auto"/>
      </w:pPr>
      <w:r>
        <w:rPr>
          <w:rFonts w:hint="eastAsia"/>
        </w:rPr>
        <w:t>9.答疑会或现场</w:t>
      </w:r>
      <w:bookmarkEnd w:id="72"/>
      <w:bookmarkEnd w:id="73"/>
      <w:r>
        <w:rPr>
          <w:rFonts w:hint="eastAsia"/>
        </w:rPr>
        <w:t>勘察</w:t>
      </w:r>
    </w:p>
    <w:p>
      <w:pPr>
        <w:adjustRightInd w:val="0"/>
        <w:snapToGrid w:val="0"/>
        <w:spacing w:line="360" w:lineRule="auto"/>
        <w:ind w:firstLine="420" w:firstLineChars="175"/>
        <w:rPr>
          <w:rFonts w:ascii="宋体" w:hAnsi="宋体"/>
          <w:sz w:val="24"/>
        </w:rPr>
      </w:pPr>
      <w:r>
        <w:rPr>
          <w:rFonts w:hint="eastAsia" w:ascii="宋体" w:hAnsi="宋体"/>
          <w:sz w:val="24"/>
        </w:rPr>
        <w:t>9.1根据采购项目和具体情况，采购人认为有必要，可以组织召开标前答疑会或组织投标人对项目现场进行考察。答疑会或进行现场考察的时间，招标代理机构将以书面形式通知所有购买了招标文件的投标人。</w:t>
      </w:r>
    </w:p>
    <w:p>
      <w:pPr>
        <w:adjustRightInd w:val="0"/>
        <w:snapToGrid w:val="0"/>
        <w:spacing w:line="360" w:lineRule="auto"/>
        <w:ind w:firstLine="420" w:firstLineChars="175"/>
        <w:rPr>
          <w:rFonts w:ascii="宋体" w:hAnsi="宋体"/>
          <w:sz w:val="24"/>
        </w:rPr>
      </w:pPr>
      <w:r>
        <w:rPr>
          <w:rFonts w:hint="eastAsia" w:ascii="宋体" w:hAnsi="宋体"/>
          <w:sz w:val="24"/>
        </w:rPr>
        <w:t>9.2 答疑会或现场考察后，采购人或采购代理机构对投标人所提问题的澄清（答复）以书面形式通知所有购买了招标文件的投标人。该澄清内容为招标文件的组成部分。</w:t>
      </w:r>
    </w:p>
    <w:p>
      <w:pPr>
        <w:adjustRightInd w:val="0"/>
        <w:snapToGrid w:val="0"/>
        <w:spacing w:line="360" w:lineRule="auto"/>
        <w:ind w:firstLine="420" w:firstLineChars="175"/>
        <w:rPr>
          <w:rFonts w:ascii="宋体" w:hAnsi="宋体"/>
          <w:sz w:val="24"/>
        </w:rPr>
      </w:pPr>
      <w:r>
        <w:rPr>
          <w:rFonts w:hint="eastAsia" w:ascii="宋体" w:hAnsi="宋体"/>
          <w:sz w:val="24"/>
        </w:rPr>
        <w:t>9.3 采购人不对投标人现场考察而做出的推论、理解和结论负责。一旦成交，中标人不得以任何借口，提出额外补偿，或延长合同期限的要求。</w:t>
      </w:r>
    </w:p>
    <w:p>
      <w:pPr>
        <w:adjustRightInd w:val="0"/>
        <w:snapToGrid w:val="0"/>
        <w:spacing w:line="360" w:lineRule="auto"/>
        <w:ind w:firstLine="420" w:firstLineChars="175"/>
        <w:rPr>
          <w:rFonts w:ascii="宋体" w:hAnsi="宋体"/>
          <w:sz w:val="24"/>
        </w:rPr>
      </w:pPr>
      <w:r>
        <w:rPr>
          <w:rFonts w:hint="eastAsia" w:ascii="宋体" w:hAnsi="宋体"/>
          <w:sz w:val="24"/>
        </w:rPr>
        <w:t>9.4 答疑或考察现场所发生的一切费用由投标人自行承担。</w:t>
      </w:r>
    </w:p>
    <w:p>
      <w:pPr>
        <w:pStyle w:val="8"/>
        <w:spacing w:line="240" w:lineRule="auto"/>
      </w:pPr>
      <w:r>
        <w:rPr>
          <w:rFonts w:hint="eastAsia"/>
        </w:rPr>
        <w:t>10.招标文件的解释权</w:t>
      </w:r>
    </w:p>
    <w:p>
      <w:pPr>
        <w:pStyle w:val="2"/>
        <w:spacing w:line="360" w:lineRule="auto"/>
        <w:ind w:firstLine="480" w:firstLineChars="200"/>
        <w:rPr>
          <w:rFonts w:ascii="宋体" w:hAnsi="宋体"/>
          <w:kern w:val="0"/>
          <w:sz w:val="24"/>
          <w:szCs w:val="24"/>
        </w:rPr>
      </w:pPr>
      <w:r>
        <w:rPr>
          <w:rFonts w:hint="eastAsia" w:ascii="宋体" w:hAnsi="宋体"/>
          <w:kern w:val="0"/>
          <w:sz w:val="24"/>
          <w:szCs w:val="24"/>
        </w:rPr>
        <w:t>招标文件的解释权归采购代理机构，如发现招标文件内容与现行法律法规不相符的情况，以现行法律法规为准。</w:t>
      </w:r>
      <w:bookmarkStart w:id="74" w:name="_Toc183582214"/>
      <w:bookmarkStart w:id="75" w:name="_Toc183682351"/>
      <w:bookmarkStart w:id="76" w:name="_Toc89075876"/>
      <w:bookmarkStart w:id="77" w:name="_Toc77400780"/>
      <w:bookmarkStart w:id="78" w:name="_Toc217446042"/>
    </w:p>
    <w:p>
      <w:pPr>
        <w:pStyle w:val="5"/>
        <w:spacing w:before="0" w:after="120" w:afterLines="50" w:line="360" w:lineRule="auto"/>
        <w:rPr>
          <w:rFonts w:ascii="宋体" w:hAnsi="宋体" w:eastAsia="宋体"/>
          <w:bCs/>
        </w:rPr>
      </w:pPr>
      <w:bookmarkStart w:id="79" w:name="_Toc16728"/>
      <w:bookmarkStart w:id="80" w:name="_Toc8630"/>
      <w:bookmarkStart w:id="81" w:name="_Toc13473"/>
      <w:r>
        <w:rPr>
          <w:rFonts w:hint="eastAsia" w:ascii="宋体" w:hAnsi="宋体" w:eastAsia="宋体"/>
          <w:bCs/>
        </w:rPr>
        <w:t>三、投标人</w:t>
      </w:r>
      <w:bookmarkEnd w:id="79"/>
      <w:bookmarkEnd w:id="80"/>
      <w:bookmarkEnd w:id="81"/>
    </w:p>
    <w:p>
      <w:pPr>
        <w:pStyle w:val="8"/>
        <w:spacing w:line="240" w:lineRule="auto"/>
      </w:pPr>
      <w:r>
        <w:rPr>
          <w:rFonts w:hint="eastAsia"/>
        </w:rPr>
        <w:t>11.</w:t>
      </w:r>
      <w:bookmarkEnd w:id="74"/>
      <w:bookmarkEnd w:id="75"/>
      <w:bookmarkEnd w:id="76"/>
      <w:bookmarkEnd w:id="77"/>
      <w:bookmarkEnd w:id="78"/>
      <w:bookmarkStart w:id="82" w:name="_Toc217446043"/>
      <w:bookmarkStart w:id="83" w:name="_Toc183582215"/>
      <w:bookmarkStart w:id="84" w:name="_Toc183682352"/>
      <w:r>
        <w:rPr>
          <w:rFonts w:hint="eastAsia"/>
        </w:rPr>
        <w:t>投标人资格要求</w:t>
      </w:r>
    </w:p>
    <w:p>
      <w:pPr>
        <w:widowControl/>
        <w:tabs>
          <w:tab w:val="left" w:pos="1620"/>
        </w:tabs>
        <w:spacing w:line="360" w:lineRule="auto"/>
        <w:ind w:right="-197" w:rightChars="-94" w:firstLine="480" w:firstLineChars="200"/>
        <w:jc w:val="left"/>
        <w:rPr>
          <w:rFonts w:ascii="宋体" w:hAnsi="宋体"/>
          <w:kern w:val="0"/>
          <w:sz w:val="24"/>
        </w:rPr>
      </w:pPr>
      <w:r>
        <w:rPr>
          <w:sz w:val="24"/>
        </w:rPr>
        <w:t>1</w:t>
      </w:r>
      <w:r>
        <w:rPr>
          <w:rFonts w:hint="eastAsia" w:ascii="宋体" w:hAnsi="宋体"/>
          <w:kern w:val="0"/>
          <w:sz w:val="24"/>
        </w:rPr>
        <w:t>1.1投标人应符合《中华人民共和国政府采购法》第二十二条规定的条件，并根据《中华人民共和国政府采购实施条例》第十七条规定提供下列材料：</w:t>
      </w:r>
    </w:p>
    <w:p>
      <w:pPr>
        <w:numPr>
          <w:ilvl w:val="0"/>
          <w:numId w:val="3"/>
        </w:numPr>
        <w:spacing w:line="360" w:lineRule="auto"/>
        <w:ind w:firstLine="480" w:firstLineChars="200"/>
        <w:jc w:val="left"/>
        <w:rPr>
          <w:rFonts w:ascii="宋体" w:hAnsi="宋体" w:cs="宋体"/>
          <w:kern w:val="0"/>
          <w:sz w:val="24"/>
        </w:rPr>
      </w:pPr>
      <w:r>
        <w:rPr>
          <w:rFonts w:hint="eastAsia" w:ascii="宋体" w:hAnsi="宋体" w:cs="宋体"/>
          <w:color w:val="000000"/>
          <w:kern w:val="0"/>
          <w:sz w:val="24"/>
        </w:rPr>
        <w:t>具有独立承担民事责任能力的</w:t>
      </w:r>
      <w:r>
        <w:rPr>
          <w:rFonts w:hint="eastAsia" w:ascii="宋体" w:hAnsi="宋体" w:cs="宋体"/>
          <w:kern w:val="0"/>
          <w:sz w:val="24"/>
        </w:rPr>
        <w:t xml:space="preserve">法人、其他组织或自然人，营业执照、组织机构代码证、税务登记证（三证合一只提供营业执照，事业单位提供事业单位法人证书，自然人应提供身份证）合法有效； </w:t>
      </w:r>
    </w:p>
    <w:p>
      <w:pPr>
        <w:numPr>
          <w:ilvl w:val="0"/>
          <w:numId w:val="3"/>
        </w:numPr>
        <w:spacing w:line="360" w:lineRule="auto"/>
        <w:ind w:firstLine="480" w:firstLineChars="200"/>
        <w:jc w:val="left"/>
        <w:rPr>
          <w:rFonts w:ascii="宋体" w:hAnsi="宋体" w:cs="宋体"/>
          <w:kern w:val="0"/>
          <w:sz w:val="24"/>
        </w:rPr>
      </w:pPr>
      <w:r>
        <w:rPr>
          <w:rFonts w:hint="eastAsia" w:ascii="宋体" w:hAnsi="宋体" w:cs="宋体"/>
          <w:kern w:val="0"/>
          <w:sz w:val="24"/>
        </w:rPr>
        <w:t>法定代表人参加投标时，提供本人身份证；授权代表参加投标时，提供法定代表人授权书和被授权人身份证；非法人单位参照执行；</w:t>
      </w:r>
    </w:p>
    <w:p>
      <w:pPr>
        <w:numPr>
          <w:ilvl w:val="0"/>
          <w:numId w:val="3"/>
        </w:numPr>
        <w:spacing w:line="360" w:lineRule="auto"/>
        <w:ind w:firstLine="480" w:firstLineChars="200"/>
        <w:jc w:val="left"/>
        <w:rPr>
          <w:rFonts w:ascii="宋体" w:hAnsi="宋体" w:cs="宋体"/>
          <w:kern w:val="0"/>
          <w:sz w:val="24"/>
        </w:rPr>
      </w:pPr>
      <w:r>
        <w:rPr>
          <w:rFonts w:hint="eastAsia" w:ascii="宋体" w:hAnsi="宋体"/>
          <w:kern w:val="0"/>
          <w:sz w:val="24"/>
        </w:rPr>
        <w:t>投标人须具有行政主管部门颁发的合格有效的《出版物经营许可证》</w:t>
      </w:r>
      <w:r>
        <w:rPr>
          <w:rFonts w:hint="eastAsia" w:ascii="宋体" w:hAnsi="宋体" w:cs="宋体"/>
          <w:kern w:val="0"/>
          <w:sz w:val="24"/>
        </w:rPr>
        <w:t>；</w:t>
      </w:r>
    </w:p>
    <w:p>
      <w:pPr>
        <w:numPr>
          <w:ilvl w:val="0"/>
          <w:numId w:val="3"/>
        </w:numPr>
        <w:spacing w:line="360" w:lineRule="auto"/>
        <w:ind w:firstLine="480" w:firstLineChars="200"/>
        <w:jc w:val="left"/>
        <w:rPr>
          <w:rFonts w:ascii="宋体" w:hAnsi="宋体" w:cs="宋体"/>
          <w:kern w:val="0"/>
          <w:sz w:val="24"/>
        </w:rPr>
      </w:pPr>
      <w:r>
        <w:rPr>
          <w:rFonts w:hint="eastAsia" w:ascii="宋体" w:hAnsi="宋体" w:cs="宋体"/>
          <w:kern w:val="0"/>
          <w:sz w:val="24"/>
        </w:rPr>
        <w:t>投标单位负责人为同一人或者存在控股、管理关系的不同单位不得同时进行投标；</w:t>
      </w:r>
    </w:p>
    <w:p>
      <w:pPr>
        <w:numPr>
          <w:ilvl w:val="0"/>
          <w:numId w:val="3"/>
        </w:numPr>
        <w:spacing w:line="360" w:lineRule="auto"/>
        <w:ind w:firstLine="480" w:firstLineChars="200"/>
        <w:jc w:val="left"/>
        <w:rPr>
          <w:rFonts w:ascii="宋体" w:hAnsi="宋体" w:cs="宋体"/>
          <w:kern w:val="0"/>
          <w:sz w:val="24"/>
        </w:rPr>
      </w:pPr>
      <w:r>
        <w:rPr>
          <w:rFonts w:hint="eastAsia" w:ascii="宋体" w:hAnsi="宋体" w:cs="宋体"/>
          <w:kern w:val="0"/>
          <w:sz w:val="24"/>
        </w:rPr>
        <w:t>具有履行本合同所必需的设备和专业技术能力；</w:t>
      </w:r>
    </w:p>
    <w:p>
      <w:pPr>
        <w:numPr>
          <w:ilvl w:val="0"/>
          <w:numId w:val="3"/>
        </w:numPr>
        <w:spacing w:line="360" w:lineRule="auto"/>
        <w:ind w:firstLine="480" w:firstLineChars="200"/>
        <w:jc w:val="left"/>
        <w:rPr>
          <w:rFonts w:ascii="宋体" w:hAnsi="宋体" w:cs="宋体"/>
          <w:kern w:val="0"/>
          <w:sz w:val="24"/>
        </w:rPr>
      </w:pPr>
      <w:r>
        <w:rPr>
          <w:rFonts w:hint="eastAsia" w:ascii="宋体" w:hAnsi="宋体" w:cs="宋体"/>
          <w:kern w:val="0"/>
          <w:sz w:val="24"/>
        </w:rPr>
        <w:t>参加政府采购活动前三年内，在经营活动中没有重大违法记录的书面声明；</w:t>
      </w:r>
    </w:p>
    <w:p>
      <w:pPr>
        <w:numPr>
          <w:ilvl w:val="0"/>
          <w:numId w:val="3"/>
        </w:numPr>
        <w:spacing w:line="360" w:lineRule="auto"/>
        <w:ind w:firstLine="480" w:firstLineChars="200"/>
        <w:jc w:val="left"/>
        <w:rPr>
          <w:rFonts w:ascii="宋体" w:hAnsi="宋体" w:cs="宋体"/>
          <w:kern w:val="0"/>
          <w:sz w:val="24"/>
        </w:rPr>
      </w:pPr>
      <w:r>
        <w:rPr>
          <w:rFonts w:hint="eastAsia" w:ascii="宋体" w:hAnsi="宋体" w:cs="宋体"/>
          <w:kern w:val="0"/>
          <w:sz w:val="24"/>
        </w:rPr>
        <w:t>税收缴纳证明：提供投标单位2022年1月至今已缴纳任意一个月完税凭证或税务机关开具的完税证明（任意税种）；依法免税的应提供相关文件证明；</w:t>
      </w:r>
    </w:p>
    <w:p>
      <w:pPr>
        <w:numPr>
          <w:ilvl w:val="0"/>
          <w:numId w:val="3"/>
        </w:numPr>
        <w:spacing w:line="360" w:lineRule="auto"/>
        <w:ind w:firstLine="480" w:firstLineChars="200"/>
        <w:jc w:val="left"/>
        <w:rPr>
          <w:rFonts w:ascii="宋体" w:hAnsi="宋体" w:cs="宋体"/>
          <w:kern w:val="0"/>
          <w:sz w:val="24"/>
        </w:rPr>
      </w:pPr>
      <w:r>
        <w:rPr>
          <w:rFonts w:hint="eastAsia" w:ascii="宋体" w:hAnsi="宋体" w:cs="宋体"/>
          <w:kern w:val="0"/>
          <w:sz w:val="24"/>
        </w:rPr>
        <w:t>社会保障资金缴纳证明：提供投标单位2022年1月至今已缴存的任意一个月的社会保障资金缴存证明或社保机构开具的社会保险参保缴费情况证明；依法不需要缴纳社会保障资金的应提供相关文件证明；</w:t>
      </w:r>
    </w:p>
    <w:p>
      <w:pPr>
        <w:numPr>
          <w:ilvl w:val="0"/>
          <w:numId w:val="3"/>
        </w:numPr>
        <w:spacing w:line="360" w:lineRule="auto"/>
        <w:ind w:firstLine="480" w:firstLineChars="200"/>
        <w:jc w:val="left"/>
        <w:rPr>
          <w:rFonts w:ascii="宋体" w:hAnsi="宋体" w:cs="宋体"/>
          <w:kern w:val="0"/>
          <w:sz w:val="24"/>
        </w:rPr>
      </w:pPr>
      <w:r>
        <w:rPr>
          <w:rFonts w:hint="eastAsia" w:ascii="宋体" w:hAnsi="宋体" w:cs="宋体"/>
          <w:kern w:val="0"/>
          <w:sz w:val="24"/>
        </w:rPr>
        <w:t>财务状况报告：提供2021年经审计的财务报告或开标前三个月内开户银行开具的资信证明；</w:t>
      </w:r>
    </w:p>
    <w:p>
      <w:pPr>
        <w:spacing w:line="360" w:lineRule="auto"/>
        <w:ind w:firstLine="480" w:firstLineChars="200"/>
        <w:jc w:val="left"/>
        <w:rPr>
          <w:rFonts w:ascii="宋体" w:hAnsi="宋体" w:cs="宋体"/>
          <w:kern w:val="0"/>
          <w:sz w:val="24"/>
        </w:rPr>
      </w:pPr>
      <w:r>
        <w:rPr>
          <w:rFonts w:hint="eastAsia" w:ascii="宋体" w:hAnsi="宋体" w:cs="宋体"/>
          <w:kern w:val="0"/>
          <w:sz w:val="24"/>
        </w:rPr>
        <w:t>10、投标人不得为“信用中国”网站（www.creditchina.gov.cn）（中国执行信息公开网）和中国政府采购网（www.ccgp.gov.cn）中被列入失信被执行人、重大税收违法失信主体、政府采购严重违法失信行为记录名单的单位。</w:t>
      </w:r>
    </w:p>
    <w:p>
      <w:pPr>
        <w:widowControl/>
        <w:tabs>
          <w:tab w:val="left" w:pos="1620"/>
        </w:tabs>
        <w:spacing w:line="360" w:lineRule="auto"/>
        <w:ind w:right="-197" w:rightChars="-94" w:firstLine="480" w:firstLineChars="200"/>
        <w:jc w:val="left"/>
        <w:rPr>
          <w:rFonts w:ascii="宋体" w:hAnsi="宋体"/>
          <w:kern w:val="0"/>
          <w:sz w:val="24"/>
        </w:rPr>
      </w:pPr>
      <w:r>
        <w:rPr>
          <w:rFonts w:hint="eastAsia" w:ascii="宋体" w:hAnsi="宋体"/>
          <w:kern w:val="0"/>
          <w:sz w:val="24"/>
        </w:rPr>
        <w:t>注：本项目不允许联合体投标。</w:t>
      </w:r>
    </w:p>
    <w:p>
      <w:pPr>
        <w:spacing w:line="360" w:lineRule="auto"/>
        <w:ind w:firstLine="482" w:firstLineChars="200"/>
        <w:rPr>
          <w:b/>
          <w:sz w:val="24"/>
        </w:rPr>
      </w:pPr>
      <w:r>
        <w:rPr>
          <w:b/>
          <w:sz w:val="24"/>
        </w:rPr>
        <w:t>注：</w:t>
      </w:r>
      <w:r>
        <w:rPr>
          <w:rFonts w:hint="eastAsia"/>
          <w:b/>
          <w:sz w:val="24"/>
        </w:rPr>
        <w:t>以上均为各投标人必备要求，不得缺项。同时在投标文件中附有加盖投标人鲜章的复印件，在评审过程中由采购人进行评审，否则将被视为无效文件。</w:t>
      </w:r>
    </w:p>
    <w:p>
      <w:pPr>
        <w:tabs>
          <w:tab w:val="left" w:pos="720"/>
        </w:tabs>
        <w:snapToGrid w:val="0"/>
        <w:spacing w:line="360" w:lineRule="auto"/>
        <w:ind w:firstLine="480" w:firstLineChars="200"/>
        <w:rPr>
          <w:sz w:val="24"/>
        </w:rPr>
      </w:pPr>
      <w:r>
        <w:rPr>
          <w:bCs/>
          <w:sz w:val="24"/>
        </w:rPr>
        <w:t>11</w:t>
      </w:r>
      <w:r>
        <w:rPr>
          <w:rFonts w:hint="eastAsia"/>
          <w:bCs/>
          <w:sz w:val="24"/>
        </w:rPr>
        <w:t>.2</w:t>
      </w:r>
      <w:r>
        <w:rPr>
          <w:sz w:val="24"/>
        </w:rPr>
        <w:t>投标人应保证所提供的全部证明材料的真实性，并保证愿意接受由采购人对其所提供材料的真实性的调查和考证。</w:t>
      </w:r>
    </w:p>
    <w:p>
      <w:pPr>
        <w:pStyle w:val="8"/>
        <w:spacing w:line="240" w:lineRule="auto"/>
      </w:pPr>
      <w:r>
        <w:rPr>
          <w:rFonts w:hint="eastAsia"/>
        </w:rPr>
        <w:t>12.授权委托</w:t>
      </w:r>
    </w:p>
    <w:p>
      <w:pPr>
        <w:pStyle w:val="18"/>
        <w:adjustRightInd w:val="0"/>
        <w:snapToGrid w:val="0"/>
        <w:spacing w:line="360" w:lineRule="auto"/>
        <w:ind w:left="-178" w:leftChars="-85" w:firstLine="600" w:firstLineChars="250"/>
        <w:rPr>
          <w:rFonts w:ascii="Times New Roman" w:hAnsi="Times New Roman" w:cs="Times New Roman"/>
          <w:sz w:val="24"/>
          <w:szCs w:val="24"/>
        </w:rPr>
      </w:pPr>
      <w:r>
        <w:rPr>
          <w:rFonts w:ascii="Times New Roman" w:hAnsi="Times New Roman" w:cs="Times New Roman"/>
          <w:sz w:val="24"/>
          <w:szCs w:val="24"/>
        </w:rPr>
        <w:t>12.1投标人代表为</w:t>
      </w:r>
      <w:r>
        <w:rPr>
          <w:rFonts w:hint="eastAsia" w:ascii="Times New Roman" w:hAnsi="Times New Roman" w:cs="Times New Roman"/>
          <w:sz w:val="24"/>
          <w:szCs w:val="24"/>
        </w:rPr>
        <w:t>法定</w:t>
      </w:r>
      <w:r>
        <w:rPr>
          <w:rFonts w:ascii="Times New Roman" w:hAnsi="Times New Roman" w:cs="Times New Roman"/>
          <w:sz w:val="24"/>
          <w:szCs w:val="24"/>
        </w:rPr>
        <w:t>代表人</w:t>
      </w:r>
      <w:r>
        <w:rPr>
          <w:rFonts w:hint="eastAsia" w:ascii="Times New Roman" w:hAnsi="Times New Roman" w:cs="Times New Roman"/>
          <w:sz w:val="24"/>
          <w:szCs w:val="24"/>
        </w:rPr>
        <w:t>（单位负责人）</w:t>
      </w:r>
      <w:r>
        <w:rPr>
          <w:rFonts w:ascii="Times New Roman" w:hAnsi="Times New Roman" w:cs="Times New Roman"/>
          <w:sz w:val="24"/>
          <w:szCs w:val="24"/>
        </w:rPr>
        <w:t>的，应持有法定代表人</w:t>
      </w:r>
      <w:r>
        <w:rPr>
          <w:rFonts w:hint="eastAsia" w:ascii="Times New Roman" w:hAnsi="Times New Roman" w:cs="Times New Roman"/>
          <w:sz w:val="24"/>
          <w:szCs w:val="24"/>
        </w:rPr>
        <w:t>（单位负责人）证明书、身份证</w:t>
      </w:r>
      <w:r>
        <w:rPr>
          <w:rFonts w:ascii="Times New Roman" w:hAnsi="Times New Roman" w:cs="Times New Roman"/>
          <w:sz w:val="24"/>
          <w:szCs w:val="24"/>
        </w:rPr>
        <w:t>。投标人代表不是法定代表人</w:t>
      </w:r>
      <w:r>
        <w:rPr>
          <w:rFonts w:hint="eastAsia" w:ascii="Times New Roman" w:hAnsi="Times New Roman" w:cs="Times New Roman"/>
          <w:sz w:val="24"/>
          <w:szCs w:val="24"/>
        </w:rPr>
        <w:t>（单位负责人）</w:t>
      </w:r>
      <w:r>
        <w:rPr>
          <w:rFonts w:ascii="Times New Roman" w:hAnsi="Times New Roman" w:cs="Times New Roman"/>
          <w:sz w:val="24"/>
          <w:szCs w:val="24"/>
        </w:rPr>
        <w:t>的，应持有法定代表人</w:t>
      </w:r>
      <w:r>
        <w:rPr>
          <w:rFonts w:hint="eastAsia" w:ascii="Times New Roman" w:hAnsi="Times New Roman" w:cs="Times New Roman"/>
          <w:sz w:val="24"/>
          <w:szCs w:val="24"/>
        </w:rPr>
        <w:t>（单位负责人）证明书、</w:t>
      </w:r>
      <w:r>
        <w:rPr>
          <w:rFonts w:ascii="Times New Roman" w:hAnsi="Times New Roman" w:cs="Times New Roman"/>
          <w:sz w:val="24"/>
          <w:szCs w:val="24"/>
        </w:rPr>
        <w:t>法定代表人</w:t>
      </w:r>
      <w:r>
        <w:rPr>
          <w:rFonts w:hint="eastAsia" w:ascii="Times New Roman" w:hAnsi="Times New Roman" w:cs="Times New Roman"/>
          <w:sz w:val="24"/>
          <w:szCs w:val="24"/>
        </w:rPr>
        <w:t>（单位负责人）</w:t>
      </w:r>
      <w:r>
        <w:rPr>
          <w:rFonts w:ascii="Times New Roman" w:hAnsi="Times New Roman" w:cs="Times New Roman"/>
          <w:sz w:val="24"/>
          <w:szCs w:val="24"/>
        </w:rPr>
        <w:t>授权书，投标人代表</w:t>
      </w:r>
      <w:r>
        <w:rPr>
          <w:rFonts w:hint="eastAsia" w:ascii="Times New Roman" w:hAnsi="Times New Roman" w:cs="Times New Roman"/>
          <w:sz w:val="24"/>
          <w:szCs w:val="24"/>
        </w:rPr>
        <w:t>身份证</w:t>
      </w:r>
      <w:r>
        <w:rPr>
          <w:rFonts w:ascii="Times New Roman" w:hAnsi="Times New Roman" w:cs="Times New Roman"/>
          <w:sz w:val="24"/>
          <w:szCs w:val="24"/>
        </w:rPr>
        <w:t>。</w:t>
      </w:r>
    </w:p>
    <w:p>
      <w:pPr>
        <w:pStyle w:val="18"/>
        <w:adjustRightInd w:val="0"/>
        <w:snapToGrid w:val="0"/>
        <w:spacing w:line="360" w:lineRule="auto"/>
        <w:ind w:left="-178" w:leftChars="-85" w:firstLine="600" w:firstLineChars="250"/>
        <w:rPr>
          <w:rFonts w:ascii="Times New Roman" w:hAnsi="Times New Roman" w:cs="Times New Roman"/>
          <w:kern w:val="0"/>
          <w:sz w:val="24"/>
          <w:szCs w:val="24"/>
        </w:rPr>
      </w:pPr>
      <w:r>
        <w:rPr>
          <w:rFonts w:ascii="Times New Roman" w:hAnsi="Times New Roman" w:cs="Times New Roman"/>
          <w:sz w:val="24"/>
          <w:szCs w:val="24"/>
        </w:rPr>
        <w:t>12</w:t>
      </w:r>
      <w:r>
        <w:rPr>
          <w:rFonts w:ascii="Times New Roman" w:hAnsi="Times New Roman" w:cs="Times New Roman"/>
          <w:kern w:val="0"/>
          <w:sz w:val="24"/>
          <w:szCs w:val="24"/>
        </w:rPr>
        <w:t>.2投标人代表只能接受一个投标人的委托参加投标，投标人应当委托本单位正式员工为投标人代表。</w:t>
      </w:r>
    </w:p>
    <w:p>
      <w:pPr>
        <w:pStyle w:val="8"/>
        <w:spacing w:line="240" w:lineRule="auto"/>
      </w:pPr>
      <w:r>
        <w:rPr>
          <w:rFonts w:hint="eastAsia"/>
        </w:rPr>
        <w:t>13.享受政府采购政策</w:t>
      </w:r>
    </w:p>
    <w:p>
      <w:pPr>
        <w:pStyle w:val="18"/>
        <w:adjustRightInd w:val="0"/>
        <w:snapToGrid w:val="0"/>
        <w:spacing w:line="360" w:lineRule="auto"/>
        <w:ind w:firstLine="480" w:firstLineChars="200"/>
        <w:rPr>
          <w:sz w:val="24"/>
          <w:szCs w:val="24"/>
        </w:rPr>
      </w:pPr>
      <w:r>
        <w:rPr>
          <w:rFonts w:hint="eastAsia"/>
          <w:sz w:val="24"/>
          <w:szCs w:val="24"/>
        </w:rPr>
        <w:t>13.1参加政府采购活动的中小企业应当提供《中小企业声明函》，不提供的或提供有瑕疵的，在评审时不享受政府采购优惠政策。</w:t>
      </w:r>
    </w:p>
    <w:p>
      <w:pPr>
        <w:pStyle w:val="16"/>
        <w:spacing w:line="360" w:lineRule="auto"/>
        <w:ind w:firstLine="480" w:firstLineChars="200"/>
        <w:rPr>
          <w:rFonts w:ascii="宋体" w:hAnsi="宋体"/>
          <w:spacing w:val="6"/>
          <w:sz w:val="24"/>
          <w:szCs w:val="24"/>
        </w:rPr>
      </w:pPr>
      <w:bookmarkStart w:id="85" w:name="_Toc531253634"/>
      <w:r>
        <w:rPr>
          <w:rFonts w:hint="eastAsia" w:ascii="宋体" w:hAnsi="宋体"/>
          <w:sz w:val="24"/>
          <w:szCs w:val="24"/>
        </w:rPr>
        <w:t>13</w:t>
      </w:r>
      <w:r>
        <w:rPr>
          <w:rFonts w:hint="eastAsia" w:ascii="宋体" w:hAnsi="宋体"/>
          <w:spacing w:val="6"/>
          <w:sz w:val="24"/>
          <w:szCs w:val="24"/>
        </w:rPr>
        <w:t>.2符合政府采购优先采购政策的，所投产品属于“节能产品政府采购清单”中品目的产品，需提供最新一期“节能产品政府采购清单”中投标产品所在清单页并加盖投标人公章。该清单可在中国政府采购网、中国环境资源信息网、中国节能节水认证网上查找；所投产品属于“环境标志产品政府采购清单”中品目的产品，需提供最新一期“环境标志产品政府采购清单”中投标产品所在清单页并加盖投标人公章。该清单可在中国政府采购网、国家环境保护总局网、中国绿色采购网上查找。</w:t>
      </w:r>
      <w:bookmarkEnd w:id="85"/>
    </w:p>
    <w:p>
      <w:pPr>
        <w:adjustRightInd w:val="0"/>
        <w:snapToGrid w:val="0"/>
        <w:spacing w:line="360" w:lineRule="auto"/>
        <w:ind w:firstLine="480" w:firstLineChars="200"/>
        <w:jc w:val="left"/>
        <w:rPr>
          <w:rFonts w:ascii="宋体" w:hAnsi="宋体" w:cs="宋体"/>
          <w:b/>
          <w:sz w:val="24"/>
        </w:rPr>
      </w:pPr>
      <w:r>
        <w:rPr>
          <w:rFonts w:hint="eastAsia" w:ascii="宋体" w:hAnsi="宋体" w:cs="宋体"/>
          <w:sz w:val="24"/>
        </w:rPr>
        <w:t>13</w:t>
      </w:r>
      <w:r>
        <w:rPr>
          <w:rFonts w:hint="eastAsia" w:ascii="宋体" w:hAnsi="宋体" w:cs="宋体"/>
          <w:b/>
          <w:sz w:val="24"/>
        </w:rPr>
        <w:t>.</w:t>
      </w:r>
      <w:r>
        <w:rPr>
          <w:rFonts w:hint="eastAsia" w:ascii="宋体" w:hAnsi="宋体" w:cs="宋体"/>
          <w:sz w:val="24"/>
        </w:rPr>
        <w:t>3投标人享受支持中小型企业发展政策优惠的，可以同时享受节能产品、环境标志产品优先采购政策。监狱企业参加政府采购活动时，视同中小企业；依据《财政部、民政部、中国残疾人联合会关于促进残疾人就业政府采购政策的通知》（财库〔2017〕141号）的规定，残疾人福利性单位参加政府采购活动时，也视同小微企业；同一项目中部分产品属于优先采购政策的，评审时只对该部分产品实行优先采购。</w:t>
      </w:r>
    </w:p>
    <w:p>
      <w:pPr>
        <w:pStyle w:val="18"/>
        <w:adjustRightInd w:val="0"/>
        <w:snapToGrid w:val="0"/>
        <w:spacing w:line="360" w:lineRule="auto"/>
        <w:ind w:firstLine="480" w:firstLineChars="200"/>
        <w:rPr>
          <w:rFonts w:hAnsi="宋体" w:cs="宋体"/>
          <w:sz w:val="24"/>
          <w:szCs w:val="24"/>
        </w:rPr>
      </w:pPr>
      <w:r>
        <w:rPr>
          <w:rFonts w:hint="eastAsia" w:hAnsi="宋体" w:cs="宋体"/>
          <w:sz w:val="24"/>
          <w:szCs w:val="24"/>
        </w:rPr>
        <w:t>13.3.1参加政府采购活动的中小企业应当提供《中小企业声明函》（见第七章投标文件格式），不提供的或提供有瑕疵的，在评审时不享受政府采购优惠政策。</w:t>
      </w:r>
    </w:p>
    <w:p>
      <w:pPr>
        <w:pStyle w:val="18"/>
        <w:adjustRightInd w:val="0"/>
        <w:snapToGrid w:val="0"/>
        <w:spacing w:line="360" w:lineRule="auto"/>
        <w:ind w:firstLine="480" w:firstLineChars="200"/>
        <w:rPr>
          <w:rFonts w:hAnsi="宋体" w:cs="宋体"/>
          <w:sz w:val="24"/>
          <w:szCs w:val="24"/>
        </w:rPr>
      </w:pPr>
      <w:r>
        <w:rPr>
          <w:rFonts w:hint="eastAsia" w:hAnsi="宋体" w:cs="宋体"/>
          <w:sz w:val="24"/>
          <w:szCs w:val="24"/>
        </w:rPr>
        <w:t>13.3.2参加政府采购活动的监狱企业应当提供由省级以上监狱管理局、戒毒管理局出具的属于监狱企业的证明文件，不提供或提供有瑕疵的不视为中小企业，在评审时不享受政府采购优惠政策。</w:t>
      </w:r>
    </w:p>
    <w:p>
      <w:pPr>
        <w:pStyle w:val="18"/>
        <w:adjustRightInd w:val="0"/>
        <w:snapToGrid w:val="0"/>
        <w:spacing w:line="360" w:lineRule="auto"/>
        <w:ind w:firstLine="480" w:firstLineChars="200"/>
        <w:rPr>
          <w:rFonts w:hAnsi="宋体"/>
          <w:sz w:val="24"/>
          <w:szCs w:val="24"/>
        </w:rPr>
      </w:pPr>
      <w:r>
        <w:rPr>
          <w:rFonts w:hint="eastAsia" w:hAnsi="宋体" w:cs="宋体"/>
          <w:sz w:val="24"/>
          <w:szCs w:val="24"/>
        </w:rPr>
        <w:t>13.3.3 参加政府采购活动的</w:t>
      </w:r>
      <w:r>
        <w:rPr>
          <w:rFonts w:hint="eastAsia" w:hAnsi="宋体" w:cs="宋体"/>
          <w:kern w:val="0"/>
          <w:sz w:val="24"/>
        </w:rPr>
        <w:t>残疾人福利性单位应当提供《残疾人福利性单位声明函》</w:t>
      </w:r>
      <w:r>
        <w:rPr>
          <w:rFonts w:hint="eastAsia" w:hAnsi="宋体" w:cs="宋体"/>
          <w:sz w:val="24"/>
          <w:szCs w:val="24"/>
        </w:rPr>
        <w:t>（见第七章投标文件格式）</w:t>
      </w:r>
      <w:r>
        <w:rPr>
          <w:rFonts w:hint="eastAsia" w:hAnsi="宋体" w:cs="宋体"/>
          <w:kern w:val="0"/>
          <w:sz w:val="24"/>
        </w:rPr>
        <w:t>，</w:t>
      </w:r>
      <w:r>
        <w:rPr>
          <w:rFonts w:hint="eastAsia" w:hAnsi="宋体" w:cs="宋体"/>
          <w:sz w:val="24"/>
          <w:szCs w:val="24"/>
        </w:rPr>
        <w:t>不提供或提供有瑕疵的，不视为残疾人福利性单位，</w:t>
      </w:r>
      <w:r>
        <w:rPr>
          <w:rFonts w:hint="eastAsia" w:hAnsi="宋体"/>
          <w:sz w:val="24"/>
          <w:szCs w:val="24"/>
        </w:rPr>
        <w:t>在评审时不享受政府采购优惠政策。</w:t>
      </w:r>
    </w:p>
    <w:p>
      <w:pPr>
        <w:pStyle w:val="8"/>
        <w:spacing w:line="240" w:lineRule="auto"/>
      </w:pPr>
      <w:r>
        <w:rPr>
          <w:rFonts w:hint="eastAsia"/>
        </w:rPr>
        <w:t>14.转包与分包</w:t>
      </w:r>
    </w:p>
    <w:p>
      <w:pPr>
        <w:widowControl/>
        <w:shd w:val="clear" w:color="auto" w:fill="FFFFFF"/>
        <w:spacing w:line="360" w:lineRule="auto"/>
        <w:ind w:firstLine="482"/>
        <w:jc w:val="left"/>
        <w:rPr>
          <w:rFonts w:ascii="宋体" w:hAnsi="宋体" w:cs="宋体"/>
          <w:kern w:val="0"/>
          <w:sz w:val="24"/>
        </w:rPr>
      </w:pPr>
      <w:r>
        <w:rPr>
          <w:rFonts w:hint="eastAsia" w:ascii="宋体" w:hAnsi="宋体" w:cs="宋体"/>
          <w:kern w:val="0"/>
          <w:sz w:val="24"/>
        </w:rPr>
        <w:t>14.1本项目不允许采取转包方式履行合同。</w:t>
      </w:r>
    </w:p>
    <w:p>
      <w:pPr>
        <w:spacing w:line="360" w:lineRule="auto"/>
        <w:ind w:firstLine="493"/>
        <w:rPr>
          <w:rFonts w:ascii="宋体" w:hAnsi="宋体" w:cs="宋体"/>
          <w:sz w:val="24"/>
        </w:rPr>
      </w:pPr>
      <w:r>
        <w:rPr>
          <w:rFonts w:hint="eastAsia" w:ascii="宋体" w:hAnsi="宋体" w:cs="宋体"/>
          <w:sz w:val="24"/>
        </w:rPr>
        <w:t>14.2本项目不允许分包。</w:t>
      </w:r>
    </w:p>
    <w:p>
      <w:pPr>
        <w:spacing w:line="360" w:lineRule="auto"/>
        <w:ind w:firstLine="493"/>
        <w:rPr>
          <w:rFonts w:ascii="宋体" w:hAnsi="宋体" w:cs="宋体"/>
          <w:sz w:val="24"/>
        </w:rPr>
      </w:pPr>
      <w:r>
        <w:rPr>
          <w:rFonts w:hint="eastAsia" w:ascii="宋体" w:hAnsi="宋体" w:cs="宋体"/>
          <w:sz w:val="24"/>
        </w:rPr>
        <w:t>14.3未经采购人许可，不得将本采购项目采取转包实施的办法，一经发现，立即取消其中标资格，并承担由此产生的一切经济损失</w:t>
      </w:r>
      <w:r>
        <w:rPr>
          <w:rFonts w:hint="eastAsia" w:ascii="宋体" w:hAnsi="宋体" w:cs="宋体"/>
          <w:kern w:val="0"/>
          <w:sz w:val="24"/>
        </w:rPr>
        <w:t>。</w:t>
      </w:r>
    </w:p>
    <w:p>
      <w:pPr>
        <w:pStyle w:val="8"/>
        <w:spacing w:line="240" w:lineRule="auto"/>
      </w:pPr>
      <w:r>
        <w:rPr>
          <w:rFonts w:hint="eastAsia"/>
        </w:rPr>
        <w:t>15.投标人的风险</w:t>
      </w:r>
    </w:p>
    <w:p>
      <w:pPr>
        <w:tabs>
          <w:tab w:val="left" w:pos="7665"/>
        </w:tabs>
        <w:spacing w:line="360" w:lineRule="auto"/>
        <w:ind w:firstLine="480" w:firstLineChars="200"/>
        <w:rPr>
          <w:rFonts w:ascii="宋体" w:hAnsi="宋体" w:cs="宋体"/>
          <w:kern w:val="0"/>
          <w:sz w:val="24"/>
        </w:rPr>
      </w:pPr>
      <w:r>
        <w:rPr>
          <w:rFonts w:hint="eastAsia" w:ascii="宋体" w:hAnsi="宋体"/>
          <w:sz w:val="24"/>
        </w:rPr>
        <w:t>15.1投标人应认真阅读和充分理解招标文件中所有的事项、格式条款和规范要求，任何对</w:t>
      </w:r>
      <w:r>
        <w:rPr>
          <w:rFonts w:hint="eastAsia" w:ascii="宋体" w:hAnsi="宋体"/>
          <w:bCs/>
          <w:sz w:val="24"/>
        </w:rPr>
        <w:t>招标</w:t>
      </w:r>
      <w:r>
        <w:rPr>
          <w:rFonts w:hint="eastAsia" w:ascii="宋体" w:hAnsi="宋体"/>
          <w:sz w:val="24"/>
        </w:rPr>
        <w:t>文件的忽略或误解不能作为投标文件存在缺陷或瑕疵的理由；投标人</w:t>
      </w:r>
      <w:r>
        <w:rPr>
          <w:rFonts w:hint="eastAsia" w:ascii="宋体" w:hAnsi="宋体" w:cs="宋体"/>
          <w:kern w:val="0"/>
          <w:sz w:val="24"/>
        </w:rPr>
        <w:t>没有按照招标文件要求提供全部资料，</w:t>
      </w:r>
      <w:r>
        <w:rPr>
          <w:rFonts w:hint="eastAsia" w:ascii="宋体" w:hAnsi="宋体"/>
          <w:sz w:val="24"/>
        </w:rPr>
        <w:t>或没有对招标文件全面做出实质性响应是投标人的风险，</w:t>
      </w:r>
      <w:r>
        <w:rPr>
          <w:rFonts w:hint="eastAsia" w:ascii="宋体" w:hAnsi="宋体" w:cs="宋体"/>
          <w:kern w:val="0"/>
          <w:sz w:val="24"/>
        </w:rPr>
        <w:t>并可能导致其投标文件被拒绝。</w:t>
      </w:r>
    </w:p>
    <w:p>
      <w:pPr>
        <w:pStyle w:val="5"/>
        <w:spacing w:before="0" w:after="120" w:afterLines="50" w:line="360" w:lineRule="auto"/>
        <w:rPr>
          <w:rFonts w:ascii="宋体" w:hAnsi="宋体" w:eastAsia="宋体"/>
          <w:bCs/>
        </w:rPr>
      </w:pPr>
      <w:bookmarkStart w:id="86" w:name="_Toc8151"/>
      <w:bookmarkStart w:id="87" w:name="_Toc1015"/>
      <w:bookmarkStart w:id="88" w:name="_Toc17817"/>
      <w:r>
        <w:rPr>
          <w:rFonts w:hint="eastAsia" w:ascii="宋体" w:hAnsi="宋体" w:eastAsia="宋体"/>
          <w:bCs/>
        </w:rPr>
        <w:t>四、投标文件</w:t>
      </w:r>
      <w:bookmarkEnd w:id="86"/>
      <w:bookmarkEnd w:id="87"/>
      <w:bookmarkEnd w:id="88"/>
    </w:p>
    <w:p>
      <w:pPr>
        <w:pStyle w:val="8"/>
        <w:spacing w:line="240" w:lineRule="auto"/>
      </w:pPr>
      <w:bookmarkStart w:id="89" w:name="_Toc531253635"/>
      <w:r>
        <w:rPr>
          <w:rFonts w:hint="eastAsia"/>
        </w:rPr>
        <w:t>16.投标文件的编写原则和要求</w:t>
      </w:r>
      <w:bookmarkEnd w:id="89"/>
    </w:p>
    <w:p>
      <w:pPr>
        <w:tabs>
          <w:tab w:val="left" w:pos="720"/>
        </w:tabs>
        <w:snapToGrid w:val="0"/>
        <w:spacing w:line="360" w:lineRule="auto"/>
        <w:ind w:firstLine="480" w:firstLineChars="200"/>
        <w:rPr>
          <w:rFonts w:ascii="宋体" w:hAnsi="宋体"/>
          <w:sz w:val="24"/>
        </w:rPr>
      </w:pPr>
      <w:r>
        <w:rPr>
          <w:rFonts w:hint="eastAsia" w:ascii="宋体" w:hAnsi="宋体"/>
          <w:sz w:val="24"/>
        </w:rPr>
        <w:t>16.1投标人应仔细阅读招标文件的所有内容，按招标文件规定及要求编写，应当对招标文件提出的实质性要求做出响应，并提交完整的投标文件。投标人应对投标货物和服务提供完整详细的说明，若投标人对指定的技术要求不能完全响应，应在投标文件中清楚地注明。</w:t>
      </w:r>
      <w:r>
        <w:rPr>
          <w:rFonts w:hint="eastAsia" w:ascii="宋体" w:hAnsi="宋体"/>
          <w:b/>
          <w:sz w:val="24"/>
        </w:rPr>
        <w:t>投标人拟在中标后将中标项目的非主体、非关键性工作交由他人完成的，应当在投标文件中载明。</w:t>
      </w:r>
      <w:r>
        <w:rPr>
          <w:rFonts w:hint="eastAsia" w:ascii="宋体" w:hAnsi="宋体"/>
          <w:sz w:val="24"/>
        </w:rPr>
        <w:t>投标人对本招标文件的每一项要求所给予的响应必须是唯一的，否则将视为无效投标文件。</w:t>
      </w:r>
    </w:p>
    <w:p>
      <w:pPr>
        <w:tabs>
          <w:tab w:val="left" w:pos="720"/>
        </w:tabs>
        <w:snapToGrid w:val="0"/>
        <w:spacing w:line="360" w:lineRule="auto"/>
        <w:ind w:firstLine="480" w:firstLineChars="200"/>
        <w:rPr>
          <w:rFonts w:ascii="宋体" w:hAnsi="宋体"/>
          <w:sz w:val="24"/>
        </w:rPr>
      </w:pPr>
      <w:r>
        <w:rPr>
          <w:rFonts w:hint="eastAsia" w:ascii="宋体" w:hAnsi="宋体"/>
          <w:sz w:val="24"/>
        </w:rPr>
        <w:t>16.2真实性原则</w:t>
      </w:r>
    </w:p>
    <w:p>
      <w:pPr>
        <w:tabs>
          <w:tab w:val="left" w:pos="720"/>
        </w:tabs>
        <w:snapToGrid w:val="0"/>
        <w:spacing w:line="360" w:lineRule="auto"/>
        <w:ind w:firstLine="480"/>
        <w:rPr>
          <w:rFonts w:ascii="宋体" w:hAnsi="宋体"/>
          <w:sz w:val="24"/>
        </w:rPr>
      </w:pPr>
      <w:r>
        <w:rPr>
          <w:rFonts w:hint="eastAsia" w:ascii="宋体" w:hAnsi="宋体"/>
          <w:sz w:val="24"/>
        </w:rPr>
        <w:t>16.2.1投标人应保证所提供的投标文件和所有资料的真实性、准确性和完整性。</w:t>
      </w:r>
    </w:p>
    <w:p>
      <w:pPr>
        <w:tabs>
          <w:tab w:val="left" w:pos="720"/>
        </w:tabs>
        <w:snapToGrid w:val="0"/>
        <w:spacing w:line="360" w:lineRule="auto"/>
        <w:ind w:firstLine="482"/>
        <w:rPr>
          <w:rFonts w:ascii="宋体" w:hAnsi="宋体"/>
          <w:sz w:val="24"/>
        </w:rPr>
      </w:pPr>
      <w:r>
        <w:rPr>
          <w:rFonts w:hint="eastAsia" w:ascii="宋体" w:hAnsi="宋体"/>
          <w:sz w:val="24"/>
        </w:rPr>
        <w:t>16.2.2投标人在政府采购过程中提供不真实的材料，无论其材料是否重要，采购人均有权拒绝，并取消其投标资格，投标人需承担相应的后果及法律责任。</w:t>
      </w:r>
    </w:p>
    <w:p>
      <w:pPr>
        <w:tabs>
          <w:tab w:val="left" w:pos="720"/>
        </w:tabs>
        <w:snapToGrid w:val="0"/>
        <w:spacing w:line="360" w:lineRule="auto"/>
        <w:ind w:firstLine="480" w:firstLineChars="200"/>
        <w:rPr>
          <w:rFonts w:ascii="宋体" w:hAnsi="宋体"/>
          <w:sz w:val="24"/>
        </w:rPr>
      </w:pPr>
      <w:r>
        <w:rPr>
          <w:rFonts w:hint="eastAsia" w:ascii="宋体" w:hAnsi="宋体"/>
          <w:sz w:val="24"/>
        </w:rPr>
        <w:t>16.3投标语言</w:t>
      </w:r>
    </w:p>
    <w:p>
      <w:pPr>
        <w:spacing w:line="360" w:lineRule="auto"/>
        <w:ind w:firstLine="480" w:firstLineChars="200"/>
        <w:rPr>
          <w:rFonts w:ascii="宋体" w:hAnsi="宋体"/>
          <w:sz w:val="24"/>
        </w:rPr>
      </w:pPr>
      <w:r>
        <w:rPr>
          <w:rFonts w:hint="eastAsia" w:ascii="宋体" w:hAnsi="宋体"/>
          <w:sz w:val="24"/>
        </w:rPr>
        <w:t>16.3.1投标人提交的投标文件以及投标人与采购代理机构就有关投标的所有来往书面文件均须使用中文。投标文件中如附有外文资料，必须逐一对应翻译成中文并加盖投标人公章后附在相关外文资料后面，否则，由此带来的一切影响后果自负。</w:t>
      </w:r>
    </w:p>
    <w:p>
      <w:pPr>
        <w:pStyle w:val="18"/>
        <w:adjustRightInd w:val="0"/>
        <w:snapToGrid w:val="0"/>
        <w:spacing w:line="360" w:lineRule="auto"/>
        <w:ind w:firstLine="480" w:firstLineChars="200"/>
        <w:rPr>
          <w:sz w:val="24"/>
          <w:szCs w:val="24"/>
        </w:rPr>
      </w:pPr>
      <w:r>
        <w:rPr>
          <w:rFonts w:hint="eastAsia"/>
          <w:sz w:val="24"/>
          <w:szCs w:val="24"/>
        </w:rPr>
        <w:t>16.3.2翻译的中文资料与外文资料如果出现差异和矛盾时，以中文为准。但不能故意错误翻译，否则，投标人的投标文件将作为无效投标处理。</w:t>
      </w:r>
      <w:r>
        <w:rPr>
          <w:rFonts w:hint="eastAsia"/>
          <w:kern w:val="0"/>
          <w:sz w:val="24"/>
          <w:szCs w:val="24"/>
        </w:rPr>
        <w:t>必要时采购人可以要求投标人提供附有公证书的中文翻译文件或者与原版文件签章相一致的中文翻译文件。</w:t>
      </w:r>
    </w:p>
    <w:p>
      <w:pPr>
        <w:tabs>
          <w:tab w:val="left" w:pos="720"/>
        </w:tabs>
        <w:snapToGrid w:val="0"/>
        <w:spacing w:line="360" w:lineRule="auto"/>
        <w:ind w:firstLine="480"/>
        <w:rPr>
          <w:rFonts w:ascii="宋体" w:hAnsi="宋体"/>
          <w:sz w:val="24"/>
        </w:rPr>
      </w:pPr>
      <w:r>
        <w:rPr>
          <w:rFonts w:hint="eastAsia" w:ascii="宋体" w:hAnsi="宋体"/>
          <w:sz w:val="24"/>
        </w:rPr>
        <w:t>16.4计量单位</w:t>
      </w:r>
    </w:p>
    <w:p>
      <w:pPr>
        <w:tabs>
          <w:tab w:val="left" w:pos="720"/>
        </w:tabs>
        <w:snapToGrid w:val="0"/>
        <w:spacing w:line="360" w:lineRule="auto"/>
        <w:ind w:firstLine="480"/>
        <w:rPr>
          <w:kern w:val="0"/>
          <w:sz w:val="24"/>
        </w:rPr>
      </w:pPr>
      <w:r>
        <w:rPr>
          <w:rFonts w:hint="eastAsia" w:ascii="宋体" w:hAnsi="宋体"/>
          <w:sz w:val="24"/>
        </w:rPr>
        <w:t>16.4.1</w:t>
      </w:r>
      <w:r>
        <w:rPr>
          <w:rFonts w:hint="eastAsia"/>
          <w:kern w:val="0"/>
          <w:sz w:val="24"/>
        </w:rPr>
        <w:t>招标文件已有明确规定的，使用招标文件规定的计量单位；招标文件没有规定的，应采用中华人民共和国法定计量单位</w:t>
      </w:r>
      <w:r>
        <w:rPr>
          <w:rFonts w:ascii="宋体" w:hAnsi="宋体"/>
          <w:sz w:val="24"/>
        </w:rPr>
        <w:t>(国际单位制和国家选定的其他计量单位)</w:t>
      </w:r>
      <w:r>
        <w:rPr>
          <w:rFonts w:hint="eastAsia"/>
          <w:kern w:val="0"/>
          <w:sz w:val="24"/>
        </w:rPr>
        <w:t>。否则，视为对招标文件未作出实质性响应。</w:t>
      </w:r>
    </w:p>
    <w:p>
      <w:pPr>
        <w:tabs>
          <w:tab w:val="left" w:pos="720"/>
        </w:tabs>
        <w:snapToGrid w:val="0"/>
        <w:spacing w:line="360" w:lineRule="auto"/>
        <w:ind w:firstLine="480"/>
        <w:rPr>
          <w:rFonts w:ascii="宋体" w:hAnsi="宋体"/>
          <w:sz w:val="24"/>
        </w:rPr>
      </w:pPr>
      <w:r>
        <w:rPr>
          <w:rFonts w:hint="eastAsia" w:ascii="宋体" w:hAnsi="宋体"/>
          <w:sz w:val="24"/>
        </w:rPr>
        <w:t>16.5投标货币</w:t>
      </w:r>
    </w:p>
    <w:p>
      <w:pPr>
        <w:tabs>
          <w:tab w:val="left" w:pos="720"/>
        </w:tabs>
        <w:snapToGrid w:val="0"/>
        <w:spacing w:line="360" w:lineRule="auto"/>
        <w:ind w:firstLine="480"/>
        <w:rPr>
          <w:rFonts w:ascii="宋体" w:hAnsi="宋体"/>
          <w:sz w:val="24"/>
        </w:rPr>
      </w:pPr>
      <w:r>
        <w:rPr>
          <w:rFonts w:hint="eastAsia" w:ascii="宋体" w:hAnsi="宋体"/>
          <w:sz w:val="24"/>
        </w:rPr>
        <w:t>16.5.1本次招标项目的投标均以人民币报价。</w:t>
      </w:r>
    </w:p>
    <w:p>
      <w:pPr>
        <w:pStyle w:val="18"/>
        <w:adjustRightInd w:val="0"/>
        <w:snapToGrid w:val="0"/>
        <w:spacing w:line="360" w:lineRule="auto"/>
        <w:ind w:firstLine="480" w:firstLineChars="200"/>
        <w:rPr>
          <w:rFonts w:hAnsi="宋体"/>
          <w:sz w:val="24"/>
          <w:szCs w:val="24"/>
        </w:rPr>
      </w:pPr>
      <w:r>
        <w:rPr>
          <w:rFonts w:hint="eastAsia" w:hAnsi="宋体"/>
          <w:sz w:val="24"/>
          <w:szCs w:val="24"/>
        </w:rPr>
        <w:t>16.6投标</w:t>
      </w:r>
      <w:r>
        <w:rPr>
          <w:rFonts w:hint="eastAsia"/>
          <w:sz w:val="24"/>
          <w:szCs w:val="24"/>
        </w:rPr>
        <w:t>文件形式</w:t>
      </w:r>
    </w:p>
    <w:p>
      <w:pPr>
        <w:pStyle w:val="18"/>
        <w:adjustRightInd w:val="0"/>
        <w:snapToGrid w:val="0"/>
        <w:spacing w:line="360" w:lineRule="auto"/>
        <w:ind w:firstLine="480" w:firstLineChars="200"/>
        <w:rPr>
          <w:sz w:val="24"/>
          <w:szCs w:val="24"/>
        </w:rPr>
      </w:pPr>
      <w:r>
        <w:rPr>
          <w:rFonts w:hint="eastAsia" w:hAnsi="宋体"/>
          <w:sz w:val="24"/>
          <w:szCs w:val="24"/>
        </w:rPr>
        <w:t>本项目投标</w:t>
      </w:r>
      <w:r>
        <w:rPr>
          <w:rFonts w:hint="eastAsia"/>
          <w:sz w:val="24"/>
          <w:szCs w:val="24"/>
        </w:rPr>
        <w:t>文件应采用书面文件形式，电报、传真、电子邮件形式的投标文件不予接受。</w:t>
      </w:r>
    </w:p>
    <w:p>
      <w:pPr>
        <w:tabs>
          <w:tab w:val="left" w:pos="720"/>
        </w:tabs>
        <w:snapToGrid w:val="0"/>
        <w:spacing w:line="360" w:lineRule="auto"/>
        <w:ind w:firstLine="480" w:firstLineChars="200"/>
        <w:rPr>
          <w:rFonts w:ascii="宋体" w:hAnsi="宋体"/>
          <w:sz w:val="24"/>
        </w:rPr>
      </w:pPr>
      <w:r>
        <w:rPr>
          <w:rFonts w:hint="eastAsia" w:ascii="宋体" w:hAnsi="宋体"/>
          <w:sz w:val="24"/>
        </w:rPr>
        <w:t>16.7备选方案</w:t>
      </w:r>
    </w:p>
    <w:p>
      <w:pPr>
        <w:tabs>
          <w:tab w:val="left" w:pos="720"/>
        </w:tabs>
        <w:snapToGrid w:val="0"/>
        <w:spacing w:line="360" w:lineRule="auto"/>
        <w:ind w:firstLine="480" w:firstLineChars="200"/>
        <w:rPr>
          <w:rFonts w:ascii="宋体" w:hAnsi="宋体"/>
          <w:sz w:val="24"/>
        </w:rPr>
      </w:pPr>
      <w:r>
        <w:rPr>
          <w:rFonts w:hint="eastAsia" w:ascii="宋体" w:hAnsi="宋体"/>
          <w:sz w:val="24"/>
        </w:rPr>
        <w:t>16.7.1本项目不接受备选投标方案，投标文件的报价只允许有一个报价，不接受有任何选择或具有附加条件的报价，否则，</w:t>
      </w:r>
      <w:r>
        <w:rPr>
          <w:rFonts w:hint="eastAsia" w:hAnsi="宋体"/>
          <w:sz w:val="24"/>
        </w:rPr>
        <w:t>在评标时将其视为无效投标。</w:t>
      </w:r>
    </w:p>
    <w:bookmarkEnd w:id="82"/>
    <w:bookmarkEnd w:id="83"/>
    <w:bookmarkEnd w:id="84"/>
    <w:p>
      <w:pPr>
        <w:pStyle w:val="8"/>
        <w:spacing w:line="240" w:lineRule="auto"/>
      </w:pPr>
      <w:r>
        <w:rPr>
          <w:rFonts w:hint="eastAsia"/>
        </w:rPr>
        <w:t>17.投标报价</w:t>
      </w:r>
    </w:p>
    <w:p>
      <w:pPr>
        <w:spacing w:line="360" w:lineRule="auto"/>
        <w:ind w:firstLine="470" w:firstLineChars="196"/>
        <w:rPr>
          <w:rFonts w:ascii="宋体" w:hAnsi="宋体"/>
          <w:sz w:val="24"/>
        </w:rPr>
      </w:pPr>
      <w:r>
        <w:rPr>
          <w:rFonts w:hint="eastAsia" w:ascii="宋体" w:hAnsi="宋体"/>
          <w:sz w:val="24"/>
        </w:rPr>
        <w:t>17.1</w:t>
      </w:r>
      <w:r>
        <w:rPr>
          <w:rFonts w:hint="eastAsia" w:ascii="宋体" w:hAnsi="宋体"/>
          <w:bCs/>
          <w:sz w:val="24"/>
        </w:rPr>
        <w:t>投标人应</w:t>
      </w:r>
      <w:r>
        <w:rPr>
          <w:rFonts w:hint="eastAsia" w:ascii="宋体" w:hAnsi="宋体"/>
          <w:sz w:val="24"/>
        </w:rPr>
        <w:t>按照招标文件要求填报投标报价，并充分了解该采购项目的总体情况以及影响投标报价的其他要素。</w:t>
      </w:r>
    </w:p>
    <w:p>
      <w:pPr>
        <w:adjustRightInd w:val="0"/>
        <w:snapToGrid w:val="0"/>
        <w:spacing w:line="360" w:lineRule="auto"/>
        <w:ind w:firstLine="480" w:firstLineChars="200"/>
        <w:rPr>
          <w:rFonts w:ascii="宋体" w:hAnsi="宋体"/>
          <w:sz w:val="24"/>
        </w:rPr>
      </w:pPr>
      <w:r>
        <w:rPr>
          <w:rFonts w:hint="eastAsia" w:ascii="宋体" w:hAnsi="宋体"/>
          <w:sz w:val="24"/>
        </w:rPr>
        <w:t>17.2本项目采购预算金额或最高限价见投标人须知前附表，投标人报价超出采购预算金额或最高限价，作为不实质性响应招标文件，按无效投标处理。投标人的报价是投标人响应招标项目要求的全部工作内容的价格体现，包括投标人完成本项目所需的一切费用，即</w:t>
      </w:r>
      <w:r>
        <w:rPr>
          <w:rFonts w:hint="eastAsia" w:ascii="宋体" w:hAnsi="宋体" w:cs="宋体"/>
          <w:kern w:val="0"/>
          <w:sz w:val="24"/>
        </w:rPr>
        <w:t>货物（产品）、随配附件、工具、运抵指定交货地点费用、保险费、安装调试费、服务费、售后服务费</w:t>
      </w:r>
      <w:r>
        <w:rPr>
          <w:rFonts w:hint="eastAsia"/>
          <w:kern w:val="0"/>
          <w:sz w:val="24"/>
        </w:rPr>
        <w:t>、代理费、</w:t>
      </w:r>
      <w:r>
        <w:rPr>
          <w:rFonts w:hint="eastAsia" w:ascii="宋体" w:hAnsi="宋体" w:cs="宋体"/>
          <w:kern w:val="0"/>
          <w:sz w:val="24"/>
        </w:rPr>
        <w:t>税金、</w:t>
      </w:r>
      <w:r>
        <w:rPr>
          <w:kern w:val="0"/>
          <w:sz w:val="24"/>
        </w:rPr>
        <w:t>等</w:t>
      </w:r>
      <w:r>
        <w:rPr>
          <w:rFonts w:hint="eastAsia" w:ascii="宋体" w:hAnsi="宋体" w:cs="宋体"/>
          <w:kern w:val="0"/>
          <w:sz w:val="24"/>
        </w:rPr>
        <w:t>其他所有费用的总和。</w:t>
      </w:r>
      <w:r>
        <w:rPr>
          <w:rFonts w:hint="eastAsia" w:ascii="宋体" w:hAnsi="宋体"/>
          <w:sz w:val="24"/>
        </w:rPr>
        <w:t>在供货、安装、调试、培训等工作中出现硬件、软件等的任何遗漏，均由中标人免费提供，采购人将不再支付任何费用。</w:t>
      </w:r>
    </w:p>
    <w:p>
      <w:pPr>
        <w:adjustRightInd w:val="0"/>
        <w:snapToGrid w:val="0"/>
        <w:spacing w:line="360" w:lineRule="auto"/>
        <w:ind w:firstLine="480" w:firstLineChars="200"/>
        <w:rPr>
          <w:rFonts w:ascii="宋体" w:hAnsi="宋体" w:cs="宋体"/>
          <w:kern w:val="0"/>
          <w:sz w:val="24"/>
        </w:rPr>
      </w:pPr>
      <w:r>
        <w:rPr>
          <w:rFonts w:hint="eastAsia" w:ascii="宋体" w:hAnsi="宋体"/>
          <w:sz w:val="24"/>
        </w:rPr>
        <w:t>17.3投标</w:t>
      </w:r>
      <w:r>
        <w:rPr>
          <w:rFonts w:hint="eastAsia" w:ascii="宋体" w:hAnsi="宋体" w:cs="宋体"/>
          <w:kern w:val="0"/>
          <w:sz w:val="24"/>
        </w:rPr>
        <w:t>人应按</w:t>
      </w:r>
      <w:r>
        <w:rPr>
          <w:rFonts w:hint="eastAsia" w:ascii="宋体" w:hAnsi="宋体"/>
          <w:sz w:val="24"/>
        </w:rPr>
        <w:t>“开标一览表”</w:t>
      </w:r>
      <w:r>
        <w:rPr>
          <w:rFonts w:hint="eastAsia" w:ascii="宋体" w:hAnsi="宋体" w:cs="宋体"/>
          <w:kern w:val="0"/>
          <w:sz w:val="24"/>
        </w:rPr>
        <w:t>的内容</w:t>
      </w:r>
      <w:r>
        <w:rPr>
          <w:rFonts w:hint="eastAsia" w:ascii="宋体" w:hAnsi="宋体"/>
          <w:sz w:val="24"/>
        </w:rPr>
        <w:t>和格式要求填写各项货物及服务的报价。投标折扣率中不得包含招标文件要求以外的内容，否则，在评标时不予核减。</w:t>
      </w:r>
    </w:p>
    <w:p>
      <w:pPr>
        <w:adjustRightInd w:val="0"/>
        <w:snapToGrid w:val="0"/>
        <w:spacing w:line="360" w:lineRule="auto"/>
        <w:ind w:firstLine="482"/>
        <w:rPr>
          <w:rFonts w:ascii="宋体" w:hAnsi="宋体"/>
          <w:sz w:val="24"/>
        </w:rPr>
      </w:pPr>
      <w:r>
        <w:rPr>
          <w:rFonts w:hint="eastAsia" w:ascii="宋体" w:hAnsi="宋体" w:cs="宋体"/>
          <w:kern w:val="0"/>
          <w:sz w:val="24"/>
        </w:rPr>
        <w:t>17.4</w:t>
      </w:r>
      <w:r>
        <w:rPr>
          <w:rFonts w:hint="eastAsia" w:ascii="宋体" w:hAnsi="宋体"/>
          <w:sz w:val="24"/>
        </w:rPr>
        <w:t>投标人每种货物只允许有一个报价，并且在合同履行过程中是固定不变的，任何有选择或可调整的报价将不予接受并按无效投标处理。</w:t>
      </w:r>
    </w:p>
    <w:p>
      <w:pPr>
        <w:spacing w:line="360" w:lineRule="auto"/>
        <w:ind w:firstLine="480" w:firstLineChars="200"/>
        <w:rPr>
          <w:rFonts w:ascii="宋体" w:hAnsi="宋体"/>
          <w:sz w:val="24"/>
        </w:rPr>
      </w:pPr>
      <w:r>
        <w:rPr>
          <w:rFonts w:hint="eastAsia" w:ascii="宋体" w:hAnsi="宋体"/>
          <w:sz w:val="24"/>
        </w:rPr>
        <w:t>17.5当评标委员会认为，某投标人的报价存在明显低于其他通过符合性审查投标人的报价，有可能影响货物质量和不能诚信履约的，应当要求其在评标现场规定时间内，提供必要的书面文件予以解释和说明，必要时提交相关证明材料；若投标人不能证明其报价合理性，评标委员会将其作无效投标处理。</w:t>
      </w:r>
    </w:p>
    <w:p>
      <w:pPr>
        <w:pStyle w:val="8"/>
        <w:spacing w:line="240" w:lineRule="auto"/>
      </w:pPr>
      <w:r>
        <w:rPr>
          <w:rFonts w:hint="eastAsia"/>
        </w:rPr>
        <w:t>18. 投标文件</w:t>
      </w:r>
    </w:p>
    <w:p>
      <w:pPr>
        <w:spacing w:line="360" w:lineRule="auto"/>
        <w:rPr>
          <w:rFonts w:ascii="宋体" w:hAnsi="宋体"/>
          <w:sz w:val="24"/>
        </w:rPr>
      </w:pPr>
      <w:r>
        <w:rPr>
          <w:rFonts w:hint="eastAsia" w:ascii="宋体" w:hAnsi="宋体"/>
          <w:b/>
          <w:bCs/>
          <w:sz w:val="24"/>
        </w:rPr>
        <w:t xml:space="preserve">    </w:t>
      </w:r>
      <w:r>
        <w:rPr>
          <w:rFonts w:hint="eastAsia" w:ascii="宋体" w:hAnsi="宋体"/>
          <w:bCs/>
          <w:sz w:val="24"/>
        </w:rPr>
        <w:t>18.1投标人应</w:t>
      </w:r>
      <w:r>
        <w:rPr>
          <w:rFonts w:hint="eastAsia" w:ascii="宋体" w:hAnsi="宋体"/>
          <w:sz w:val="24"/>
        </w:rPr>
        <w:t>按照招标文件商务要求做出完全响应。未作出商务响应的，作为不实质性响应招标文件，按无效投标处理。</w:t>
      </w:r>
    </w:p>
    <w:p>
      <w:pPr>
        <w:pStyle w:val="2"/>
        <w:spacing w:line="360" w:lineRule="auto"/>
        <w:ind w:firstLine="465"/>
        <w:rPr>
          <w:sz w:val="24"/>
          <w:szCs w:val="24"/>
        </w:rPr>
      </w:pPr>
      <w:r>
        <w:rPr>
          <w:rFonts w:hint="eastAsia" w:ascii="宋体" w:hAnsi="宋体"/>
          <w:sz w:val="24"/>
          <w:szCs w:val="24"/>
        </w:rPr>
        <w:t>18.2</w:t>
      </w:r>
      <w:r>
        <w:rPr>
          <w:rFonts w:hint="eastAsia"/>
          <w:bCs/>
          <w:sz w:val="24"/>
          <w:szCs w:val="24"/>
        </w:rPr>
        <w:t>投标人</w:t>
      </w:r>
      <w:r>
        <w:rPr>
          <w:rFonts w:hint="eastAsia"/>
          <w:sz w:val="24"/>
          <w:szCs w:val="24"/>
        </w:rPr>
        <w:t>按照招标文件要求做出的技术应答，主要是针对招标项目的技术指标、参数和技术要求做出的实质性响应和满足。</w:t>
      </w:r>
    </w:p>
    <w:p>
      <w:pPr>
        <w:pStyle w:val="2"/>
        <w:spacing w:line="360" w:lineRule="auto"/>
        <w:ind w:firstLine="480" w:firstLineChars="200"/>
        <w:rPr>
          <w:rFonts w:ascii="宋体" w:hAnsi="宋体"/>
          <w:sz w:val="24"/>
          <w:szCs w:val="24"/>
        </w:rPr>
      </w:pPr>
      <w:bookmarkStart w:id="90" w:name="_Toc183682355"/>
      <w:bookmarkStart w:id="91" w:name="_Toc217446049"/>
      <w:bookmarkStart w:id="92" w:name="_Toc183582218"/>
      <w:r>
        <w:rPr>
          <w:rFonts w:hint="eastAsia" w:ascii="宋体" w:hAnsi="宋体"/>
          <w:sz w:val="24"/>
          <w:szCs w:val="24"/>
        </w:rPr>
        <w:t>18.3证明货物（产品）符合招标文件规定相关文件，可以是文字资料、图纸、数据、宣传彩页、检测报告等，所有证明文件，表达意思必须统一。如需投标人提供样品，证明文件的表述与投标人所提供样品必须完全符合，且是投标文件的组成部分，否则，按未实质响应招标文件予以拒绝。</w:t>
      </w:r>
      <w:bookmarkEnd w:id="90"/>
      <w:bookmarkEnd w:id="91"/>
      <w:bookmarkEnd w:id="92"/>
      <w:bookmarkStart w:id="93" w:name="_Toc217446050"/>
      <w:bookmarkStart w:id="94" w:name="_Toc183682360"/>
      <w:bookmarkStart w:id="95" w:name="_Toc183582223"/>
      <w:r>
        <w:rPr>
          <w:rFonts w:hint="eastAsia" w:ascii="宋体" w:hAnsi="宋体"/>
          <w:sz w:val="24"/>
          <w:szCs w:val="24"/>
        </w:rPr>
        <w:t xml:space="preserve"> </w:t>
      </w:r>
    </w:p>
    <w:p>
      <w:pPr>
        <w:pStyle w:val="8"/>
        <w:spacing w:line="240" w:lineRule="auto"/>
      </w:pPr>
      <w:r>
        <w:rPr>
          <w:rFonts w:hint="eastAsia"/>
        </w:rPr>
        <w:t>19．投标保证金</w:t>
      </w:r>
      <w:bookmarkEnd w:id="93"/>
      <w:bookmarkEnd w:id="94"/>
      <w:bookmarkEnd w:id="95"/>
    </w:p>
    <w:p>
      <w:pPr>
        <w:pStyle w:val="8"/>
        <w:spacing w:line="240" w:lineRule="auto"/>
      </w:pPr>
      <w:bookmarkStart w:id="96" w:name="_Toc183582224"/>
      <w:bookmarkStart w:id="97" w:name="_Toc183682361"/>
      <w:bookmarkStart w:id="98" w:name="_Toc217446051"/>
      <w:r>
        <w:rPr>
          <w:rFonts w:hint="eastAsia" w:ascii="宋体" w:hAnsi="宋体"/>
          <w:sz w:val="24"/>
        </w:rPr>
        <w:t xml:space="preserve">    </w:t>
      </w:r>
      <w:r>
        <w:rPr>
          <w:rFonts w:hint="eastAsia" w:ascii="宋体" w:hAnsi="宋体"/>
          <w:b w:val="0"/>
          <w:sz w:val="24"/>
        </w:rPr>
        <w:t>本项目不需要投标保证金。</w:t>
      </w:r>
    </w:p>
    <w:p>
      <w:pPr>
        <w:pStyle w:val="8"/>
        <w:spacing w:line="240" w:lineRule="auto"/>
      </w:pPr>
      <w:r>
        <w:rPr>
          <w:rFonts w:hint="eastAsia"/>
        </w:rPr>
        <w:t>20．投标有效期</w:t>
      </w:r>
      <w:bookmarkEnd w:id="96"/>
      <w:bookmarkEnd w:id="97"/>
      <w:bookmarkEnd w:id="98"/>
    </w:p>
    <w:p>
      <w:pPr>
        <w:tabs>
          <w:tab w:val="left" w:pos="7665"/>
        </w:tabs>
        <w:spacing w:line="360" w:lineRule="auto"/>
        <w:ind w:left="13" w:leftChars="6" w:firstLine="480" w:firstLineChars="200"/>
        <w:rPr>
          <w:rFonts w:ascii="宋体" w:hAnsi="宋体"/>
          <w:sz w:val="24"/>
        </w:rPr>
      </w:pPr>
      <w:r>
        <w:rPr>
          <w:rFonts w:hint="eastAsia" w:ascii="宋体" w:hAnsi="宋体"/>
          <w:sz w:val="24"/>
        </w:rPr>
        <w:t>20.1投标有效期见投标人须知前附表。投标有效期短于此规定期限的投标，将按无效投标处理。</w:t>
      </w:r>
    </w:p>
    <w:p>
      <w:pPr>
        <w:tabs>
          <w:tab w:val="left" w:pos="7665"/>
        </w:tabs>
        <w:spacing w:line="360" w:lineRule="auto"/>
        <w:ind w:left="13" w:leftChars="6" w:firstLine="480" w:firstLineChars="200"/>
        <w:rPr>
          <w:rFonts w:ascii="宋体" w:hAnsi="宋体"/>
          <w:sz w:val="24"/>
        </w:rPr>
      </w:pPr>
      <w:r>
        <w:rPr>
          <w:rFonts w:hint="eastAsia" w:ascii="宋体" w:hAnsi="宋体"/>
          <w:sz w:val="24"/>
        </w:rPr>
        <w:t>20.2 出现特殊情况需要延长投标有效期的，采购代理机构或采购人可于投标有效期满之前要求投标人同意延长有效期，要求与答复均应为书面形式。投标人拒绝延长的，投标在原投标有效期期届满后将不再有效；投标人同意延长的，不能修改或撤回其投标文件。</w:t>
      </w:r>
      <w:bookmarkStart w:id="99" w:name="_Toc183582225"/>
      <w:bookmarkStart w:id="100" w:name="_Toc217446052"/>
      <w:bookmarkStart w:id="101" w:name="_Toc183682362"/>
    </w:p>
    <w:p>
      <w:pPr>
        <w:tabs>
          <w:tab w:val="left" w:pos="7665"/>
        </w:tabs>
        <w:spacing w:line="360" w:lineRule="auto"/>
        <w:ind w:left="13" w:leftChars="6" w:firstLine="480" w:firstLineChars="200"/>
        <w:rPr>
          <w:rFonts w:ascii="宋体" w:hAnsi="宋体"/>
          <w:sz w:val="24"/>
        </w:rPr>
      </w:pPr>
      <w:r>
        <w:rPr>
          <w:rFonts w:hint="eastAsia" w:ascii="宋体" w:hAnsi="宋体"/>
          <w:sz w:val="24"/>
        </w:rPr>
        <w:t>20.3 在投标有效期内，投标人撤销投标文件的，应承担招标文件和法律规定的责任。</w:t>
      </w:r>
    </w:p>
    <w:p>
      <w:pPr>
        <w:tabs>
          <w:tab w:val="left" w:pos="7665"/>
        </w:tabs>
        <w:spacing w:line="360" w:lineRule="auto"/>
        <w:ind w:left="13" w:leftChars="6" w:firstLine="480" w:firstLineChars="200"/>
        <w:rPr>
          <w:rFonts w:ascii="宋体" w:hAnsi="宋体"/>
          <w:sz w:val="24"/>
        </w:rPr>
      </w:pPr>
      <w:r>
        <w:rPr>
          <w:rFonts w:hint="eastAsia" w:ascii="宋体" w:hAnsi="宋体"/>
          <w:sz w:val="24"/>
        </w:rPr>
        <w:t>20.4中标人的投标有效期自动延长至合同终止为止</w:t>
      </w:r>
      <w:r>
        <w:rPr>
          <w:rFonts w:hint="eastAsia" w:ascii="宋体" w:hAnsi="宋体"/>
          <w:szCs w:val="21"/>
        </w:rPr>
        <w:t>。</w:t>
      </w:r>
    </w:p>
    <w:p>
      <w:pPr>
        <w:pStyle w:val="8"/>
        <w:spacing w:line="360" w:lineRule="auto"/>
      </w:pPr>
      <w:r>
        <w:rPr>
          <w:rFonts w:hint="eastAsia"/>
        </w:rPr>
        <w:t>21．投标文件的制作和签署</w:t>
      </w:r>
      <w:bookmarkEnd w:id="99"/>
      <w:bookmarkEnd w:id="100"/>
      <w:bookmarkEnd w:id="101"/>
    </w:p>
    <w:p>
      <w:pPr>
        <w:tabs>
          <w:tab w:val="left" w:pos="7665"/>
        </w:tabs>
        <w:spacing w:line="360" w:lineRule="auto"/>
        <w:ind w:left="13" w:leftChars="6" w:firstLine="480" w:firstLineChars="200"/>
        <w:rPr>
          <w:rFonts w:ascii="宋体" w:hAnsi="宋体"/>
          <w:sz w:val="24"/>
        </w:rPr>
      </w:pPr>
      <w:r>
        <w:rPr>
          <w:rFonts w:hint="eastAsia" w:ascii="宋体" w:hAnsi="宋体"/>
          <w:sz w:val="24"/>
        </w:rPr>
        <w:t>21.1投标文件应根据招标文件的要求制作。投标人应填写全称，同时加盖单位公章，签署、盖章和内容应完整，如有遗漏，将被视为无效投标。</w:t>
      </w:r>
    </w:p>
    <w:p>
      <w:pPr>
        <w:tabs>
          <w:tab w:val="left" w:pos="7665"/>
        </w:tabs>
        <w:spacing w:line="360" w:lineRule="auto"/>
        <w:ind w:left="13" w:leftChars="6" w:firstLine="480" w:firstLineChars="200"/>
        <w:rPr>
          <w:rFonts w:ascii="宋体" w:hAnsi="宋体"/>
          <w:sz w:val="24"/>
        </w:rPr>
      </w:pPr>
      <w:r>
        <w:rPr>
          <w:rFonts w:hint="eastAsia" w:ascii="宋体" w:hAnsi="宋体"/>
          <w:sz w:val="24"/>
        </w:rPr>
        <w:t>21.2 投标文件格式。投标人应严格按照招标文件第七章提供的“投标文件格式”编写相关内容。除明确允许投标人可以自行编写的外，投标人不得以“投标文件格式”规定之外的方式填写相关内容。否则，投标人提供的投标文件将作为无效投标处理。</w:t>
      </w:r>
    </w:p>
    <w:p>
      <w:pPr>
        <w:tabs>
          <w:tab w:val="left" w:pos="7665"/>
        </w:tabs>
        <w:spacing w:line="360" w:lineRule="auto"/>
        <w:ind w:firstLine="480" w:firstLineChars="200"/>
        <w:rPr>
          <w:rFonts w:ascii="宋体" w:hAnsi="宋体"/>
          <w:sz w:val="24"/>
        </w:rPr>
      </w:pPr>
      <w:r>
        <w:rPr>
          <w:rFonts w:hint="eastAsia" w:ascii="宋体" w:hAnsi="宋体"/>
          <w:sz w:val="24"/>
        </w:rPr>
        <w:t>21.3对于没有格式要求的投标文件由投标人自行编写。</w:t>
      </w:r>
    </w:p>
    <w:p>
      <w:pPr>
        <w:tabs>
          <w:tab w:val="left" w:pos="1080"/>
        </w:tabs>
        <w:spacing w:line="360" w:lineRule="auto"/>
        <w:ind w:firstLine="460" w:firstLineChars="192"/>
        <w:rPr>
          <w:rFonts w:ascii="宋体" w:hAnsi="宋体"/>
          <w:sz w:val="24"/>
        </w:rPr>
      </w:pPr>
      <w:r>
        <w:rPr>
          <w:rFonts w:hint="eastAsia" w:ascii="宋体" w:hAnsi="宋体"/>
          <w:sz w:val="24"/>
        </w:rPr>
        <w:t>21.4投标人应按“投标须知前附表”准备投标文件正本、副本和相应的电子版。投标文件的正本和副本应在其封面右上角清楚地标明“正本”、“副本”或“电子版”字样。若正本和副本有不一致的内容，以正本书面投标文件为准。</w:t>
      </w:r>
    </w:p>
    <w:p>
      <w:pPr>
        <w:tabs>
          <w:tab w:val="left" w:pos="1080"/>
        </w:tabs>
        <w:spacing w:line="360" w:lineRule="auto"/>
        <w:ind w:firstLine="460" w:firstLineChars="192"/>
        <w:rPr>
          <w:rFonts w:ascii="宋体" w:hAnsi="宋体"/>
          <w:sz w:val="24"/>
        </w:rPr>
      </w:pPr>
      <w:r>
        <w:rPr>
          <w:rFonts w:hint="eastAsia" w:ascii="宋体" w:hAnsi="宋体"/>
          <w:sz w:val="24"/>
        </w:rPr>
        <w:t>21.5 投标文件的正本和副本均需打印或用不褪色、不变质的墨水书写，并由投标人的法定代表人或其授权代表在规定签章处签字和盖章。</w:t>
      </w:r>
    </w:p>
    <w:p>
      <w:pPr>
        <w:tabs>
          <w:tab w:val="left" w:pos="1095"/>
        </w:tabs>
        <w:spacing w:line="360" w:lineRule="auto"/>
        <w:ind w:firstLine="460" w:firstLineChars="192"/>
        <w:rPr>
          <w:rFonts w:ascii="宋体" w:hAnsi="宋体"/>
          <w:sz w:val="24"/>
        </w:rPr>
      </w:pPr>
      <w:r>
        <w:rPr>
          <w:rFonts w:hint="eastAsia" w:ascii="宋体" w:hAnsi="宋体"/>
          <w:sz w:val="24"/>
        </w:rPr>
        <w:t>21.6投标文件的打印和书写应清楚工整，任何行间插字、涂改或增删，应当由投标人的法定代表人或其授权代表签字或盖个人印鉴。字迹潦草、表达不清或可能导致非唯一理解的投标文件可能视为无效投标。</w:t>
      </w:r>
    </w:p>
    <w:p>
      <w:pPr>
        <w:tabs>
          <w:tab w:val="left" w:pos="1080"/>
        </w:tabs>
        <w:spacing w:line="360" w:lineRule="auto"/>
        <w:ind w:firstLine="460" w:firstLineChars="192"/>
        <w:rPr>
          <w:rFonts w:ascii="宋体" w:hAnsi="宋体"/>
          <w:sz w:val="24"/>
        </w:rPr>
      </w:pPr>
      <w:r>
        <w:rPr>
          <w:rFonts w:hint="eastAsia" w:ascii="宋体" w:hAnsi="宋体"/>
          <w:sz w:val="24"/>
        </w:rPr>
        <w:t>21.7投标文件正本和副本</w:t>
      </w:r>
      <w:r>
        <w:rPr>
          <w:rFonts w:hint="eastAsia" w:ascii="宋体" w:hAnsi="宋体"/>
          <w:sz w:val="24"/>
          <w:lang w:val="zh-CN"/>
        </w:rPr>
        <w:t>按照投标人须知前附表的要求胶装分别装订成册，</w:t>
      </w:r>
      <w:r>
        <w:rPr>
          <w:rFonts w:hint="eastAsia" w:ascii="宋体" w:hAnsi="宋体"/>
          <w:sz w:val="24"/>
        </w:rPr>
        <w:t>并逐页编目编码。文件胶装装订后，页面不可抽取，不得有活动页，无破损、不可拆分。</w:t>
      </w:r>
    </w:p>
    <w:p>
      <w:pPr>
        <w:spacing w:line="360" w:lineRule="auto"/>
        <w:ind w:firstLine="480" w:firstLineChars="200"/>
        <w:jc w:val="left"/>
        <w:rPr>
          <w:rFonts w:ascii="宋体" w:hAnsi="宋体"/>
          <w:b/>
          <w:sz w:val="24"/>
        </w:rPr>
      </w:pPr>
      <w:r>
        <w:rPr>
          <w:rFonts w:hint="eastAsia" w:ascii="宋体" w:hAnsi="宋体"/>
          <w:sz w:val="24"/>
        </w:rPr>
        <w:t>21.8电子文件制作要求。电子文件与纸质正本投标文件的内容应保持一致。</w:t>
      </w:r>
      <w:bookmarkStart w:id="102" w:name="_Toc77400781"/>
      <w:bookmarkStart w:id="103" w:name="_Toc183682363"/>
      <w:bookmarkStart w:id="104" w:name="_Toc183582226"/>
      <w:bookmarkStart w:id="105" w:name="_Toc89075877"/>
      <w:bookmarkStart w:id="106" w:name="_Toc217446053"/>
    </w:p>
    <w:p>
      <w:pPr>
        <w:pStyle w:val="5"/>
        <w:spacing w:before="0" w:after="120" w:afterLines="50" w:line="360" w:lineRule="auto"/>
        <w:rPr>
          <w:rFonts w:ascii="宋体" w:hAnsi="宋体" w:eastAsia="宋体"/>
          <w:bCs/>
        </w:rPr>
      </w:pPr>
      <w:bookmarkStart w:id="107" w:name="_Toc32376"/>
      <w:bookmarkStart w:id="108" w:name="_Toc31077"/>
      <w:bookmarkStart w:id="109" w:name="_Toc4153"/>
      <w:r>
        <w:rPr>
          <w:rFonts w:hint="eastAsia" w:ascii="宋体" w:hAnsi="宋体" w:eastAsia="宋体"/>
          <w:bCs/>
        </w:rPr>
        <w:t>五、投标</w:t>
      </w:r>
      <w:bookmarkEnd w:id="107"/>
      <w:bookmarkEnd w:id="108"/>
      <w:bookmarkEnd w:id="109"/>
    </w:p>
    <w:p>
      <w:pPr>
        <w:pStyle w:val="8"/>
        <w:spacing w:line="360" w:lineRule="auto"/>
      </w:pPr>
      <w:r>
        <w:rPr>
          <w:rFonts w:hint="eastAsia"/>
        </w:rPr>
        <w:t>22.投标内容要求</w:t>
      </w:r>
    </w:p>
    <w:p>
      <w:pPr>
        <w:tabs>
          <w:tab w:val="left" w:pos="1080"/>
        </w:tabs>
        <w:spacing w:line="360" w:lineRule="auto"/>
        <w:ind w:firstLine="460" w:firstLineChars="192"/>
        <w:rPr>
          <w:rFonts w:ascii="宋体" w:hAnsi="宋体"/>
          <w:sz w:val="24"/>
        </w:rPr>
      </w:pPr>
      <w:r>
        <w:rPr>
          <w:rFonts w:hint="eastAsia" w:ascii="宋体" w:hAnsi="宋体"/>
          <w:sz w:val="24"/>
        </w:rPr>
        <w:t>22.1投标人应仔细阅读采购招标文件中的所有事项、格式、条款和要求，对采购招标文件的全部内容及要求作出实质性响应，提交相应资料。若分包，应以包为单位投标，不得在其中选项投标或将其中内容再行分解，否则投标无效。</w:t>
      </w:r>
    </w:p>
    <w:p>
      <w:pPr>
        <w:pStyle w:val="8"/>
        <w:spacing w:line="360" w:lineRule="auto"/>
      </w:pPr>
      <w:r>
        <w:rPr>
          <w:rFonts w:hint="eastAsia"/>
        </w:rPr>
        <w:t>23.投标文件的密封和标</w:t>
      </w:r>
      <w:bookmarkEnd w:id="102"/>
      <w:bookmarkEnd w:id="103"/>
      <w:bookmarkEnd w:id="104"/>
      <w:bookmarkEnd w:id="105"/>
      <w:r>
        <w:rPr>
          <w:rFonts w:hint="eastAsia"/>
        </w:rPr>
        <w:t>注</w:t>
      </w:r>
      <w:bookmarkEnd w:id="106"/>
    </w:p>
    <w:p>
      <w:pPr>
        <w:adjustRightInd w:val="0"/>
        <w:snapToGrid w:val="0"/>
        <w:spacing w:line="360" w:lineRule="auto"/>
        <w:ind w:firstLine="480" w:firstLineChars="200"/>
        <w:rPr>
          <w:rFonts w:ascii="宋体" w:hAnsi="宋体"/>
          <w:sz w:val="24"/>
        </w:rPr>
      </w:pPr>
      <w:bookmarkStart w:id="110" w:name="_Toc183682364"/>
      <w:bookmarkStart w:id="111" w:name="_Toc183582227"/>
      <w:bookmarkStart w:id="112" w:name="_Toc217446054"/>
      <w:r>
        <w:rPr>
          <w:rFonts w:hint="eastAsia" w:ascii="宋体" w:hAnsi="宋体"/>
          <w:sz w:val="24"/>
        </w:rPr>
        <w:t>23.1</w:t>
      </w:r>
      <w:r>
        <w:rPr>
          <w:rFonts w:hint="eastAsia"/>
          <w:kern w:val="0"/>
          <w:sz w:val="24"/>
        </w:rPr>
        <w:t>开标前，投标人应将投标文件正本、所有副本、电子版全部密封递交。</w:t>
      </w:r>
    </w:p>
    <w:p>
      <w:pPr>
        <w:adjustRightInd w:val="0"/>
        <w:snapToGrid w:val="0"/>
        <w:spacing w:line="360" w:lineRule="auto"/>
        <w:ind w:firstLine="480" w:firstLineChars="200"/>
        <w:rPr>
          <w:rFonts w:ascii="宋体" w:hAnsi="宋体" w:cs="宋体"/>
          <w:kern w:val="0"/>
          <w:sz w:val="24"/>
        </w:rPr>
      </w:pPr>
      <w:r>
        <w:rPr>
          <w:rFonts w:hint="eastAsia" w:ascii="宋体" w:hAnsi="宋体"/>
          <w:kern w:val="0"/>
          <w:sz w:val="24"/>
        </w:rPr>
        <w:t>23.2</w:t>
      </w:r>
      <w:r>
        <w:rPr>
          <w:rFonts w:hint="eastAsia" w:ascii="宋体" w:hAnsi="宋体" w:cs="宋体"/>
          <w:kern w:val="0"/>
          <w:sz w:val="24"/>
        </w:rPr>
        <w:t>所有密封包装均应符合以下要求：</w:t>
      </w:r>
    </w:p>
    <w:p>
      <w:pPr>
        <w:tabs>
          <w:tab w:val="left" w:pos="1080"/>
        </w:tabs>
        <w:spacing w:line="360" w:lineRule="auto"/>
        <w:ind w:firstLine="435"/>
        <w:rPr>
          <w:sz w:val="24"/>
        </w:rPr>
      </w:pPr>
      <w:r>
        <w:rPr>
          <w:rFonts w:hint="eastAsia"/>
          <w:sz w:val="24"/>
        </w:rPr>
        <w:t>（1）投标文件装订装袋要求见投标人须知前附表。</w:t>
      </w:r>
    </w:p>
    <w:p>
      <w:pPr>
        <w:tabs>
          <w:tab w:val="left" w:pos="1080"/>
        </w:tabs>
        <w:spacing w:line="360" w:lineRule="auto"/>
        <w:ind w:firstLine="435"/>
        <w:rPr>
          <w:sz w:val="24"/>
        </w:rPr>
      </w:pPr>
      <w:r>
        <w:rPr>
          <w:rFonts w:hint="eastAsia"/>
          <w:sz w:val="24"/>
        </w:rPr>
        <w:t>（2）在密封包装上注明项目名称、项目编号、投标人名称、年月日、</w:t>
      </w:r>
      <w:r>
        <w:rPr>
          <w:rFonts w:hint="eastAsia"/>
          <w:kern w:val="0"/>
          <w:sz w:val="24"/>
        </w:rPr>
        <w:t>正本、副本、电子版</w:t>
      </w:r>
      <w:r>
        <w:rPr>
          <w:rFonts w:hint="eastAsia"/>
          <w:sz w:val="24"/>
        </w:rPr>
        <w:t>等内容，并加盖单位公章。</w:t>
      </w:r>
    </w:p>
    <w:p>
      <w:pPr>
        <w:tabs>
          <w:tab w:val="left" w:pos="1080"/>
        </w:tabs>
        <w:spacing w:line="360" w:lineRule="auto"/>
        <w:ind w:firstLine="435"/>
        <w:rPr>
          <w:sz w:val="24"/>
        </w:rPr>
      </w:pPr>
      <w:r>
        <w:rPr>
          <w:rFonts w:hint="eastAsia"/>
          <w:sz w:val="24"/>
        </w:rPr>
        <w:t>（3）投标文件正本装一袋、两副本装一袋、电子版单独装一袋。</w:t>
      </w:r>
    </w:p>
    <w:p>
      <w:pPr>
        <w:tabs>
          <w:tab w:val="left" w:pos="1080"/>
        </w:tabs>
        <w:spacing w:line="360" w:lineRule="auto"/>
        <w:ind w:firstLine="435"/>
        <w:rPr>
          <w:rFonts w:ascii="宋体" w:hAnsi="宋体"/>
          <w:sz w:val="24"/>
        </w:rPr>
      </w:pPr>
      <w:r>
        <w:rPr>
          <w:rFonts w:hint="eastAsia"/>
          <w:sz w:val="24"/>
        </w:rPr>
        <w:t>23.3 未按本章第23.2条款要求进行密封的投标文件，采购</w:t>
      </w:r>
      <w:r>
        <w:rPr>
          <w:rFonts w:hint="eastAsia" w:ascii="宋体" w:hAnsi="宋体"/>
          <w:sz w:val="24"/>
        </w:rPr>
        <w:t>代理机构将拒绝接收。</w:t>
      </w:r>
    </w:p>
    <w:p>
      <w:pPr>
        <w:pStyle w:val="8"/>
        <w:spacing w:line="360" w:lineRule="auto"/>
      </w:pPr>
      <w:r>
        <w:rPr>
          <w:rFonts w:hint="eastAsia"/>
        </w:rPr>
        <w:t>24.投标文件的</w:t>
      </w:r>
      <w:bookmarkEnd w:id="110"/>
      <w:bookmarkEnd w:id="111"/>
      <w:r>
        <w:rPr>
          <w:rFonts w:hint="eastAsia"/>
        </w:rPr>
        <w:t>递交</w:t>
      </w:r>
      <w:bookmarkEnd w:id="112"/>
    </w:p>
    <w:p>
      <w:pPr>
        <w:tabs>
          <w:tab w:val="left" w:pos="1095"/>
        </w:tabs>
        <w:spacing w:line="360" w:lineRule="auto"/>
        <w:ind w:firstLine="460" w:firstLineChars="192"/>
        <w:rPr>
          <w:rFonts w:ascii="宋体" w:hAnsi="宋体"/>
          <w:sz w:val="24"/>
        </w:rPr>
      </w:pPr>
      <w:r>
        <w:rPr>
          <w:rFonts w:hint="eastAsia" w:ascii="宋体" w:hAnsi="宋体"/>
          <w:sz w:val="24"/>
        </w:rPr>
        <w:t>24.1投标人应在招标文件规定的投标截止时间前，递交投标文件。</w:t>
      </w:r>
    </w:p>
    <w:p>
      <w:pPr>
        <w:tabs>
          <w:tab w:val="left" w:pos="1095"/>
        </w:tabs>
        <w:spacing w:line="360" w:lineRule="auto"/>
        <w:ind w:firstLine="460" w:firstLineChars="192"/>
        <w:rPr>
          <w:rFonts w:ascii="宋体" w:hAnsi="宋体"/>
          <w:sz w:val="24"/>
        </w:rPr>
      </w:pPr>
      <w:r>
        <w:rPr>
          <w:rFonts w:hint="eastAsia" w:ascii="宋体" w:hAnsi="宋体"/>
          <w:sz w:val="24"/>
        </w:rPr>
        <w:t>24.2逾期送达的投标文件，采购代理机构将拒收。</w:t>
      </w:r>
    </w:p>
    <w:p>
      <w:pPr>
        <w:pStyle w:val="2"/>
        <w:spacing w:line="360" w:lineRule="auto"/>
        <w:ind w:firstLine="480" w:firstLineChars="200"/>
        <w:rPr>
          <w:rFonts w:ascii="宋体" w:hAnsi="宋体"/>
          <w:sz w:val="24"/>
          <w:szCs w:val="24"/>
        </w:rPr>
      </w:pPr>
      <w:r>
        <w:rPr>
          <w:rFonts w:hint="eastAsia" w:ascii="宋体" w:hAnsi="宋体"/>
          <w:sz w:val="24"/>
          <w:szCs w:val="24"/>
        </w:rPr>
        <w:t>24.3 本次招标不接受邮寄的投标文件。</w:t>
      </w:r>
    </w:p>
    <w:p>
      <w:pPr>
        <w:pStyle w:val="2"/>
        <w:spacing w:line="360" w:lineRule="auto"/>
        <w:ind w:firstLine="480" w:firstLineChars="200"/>
        <w:rPr>
          <w:rFonts w:ascii="宋体" w:hAnsi="宋体"/>
          <w:sz w:val="24"/>
          <w:szCs w:val="24"/>
        </w:rPr>
      </w:pPr>
      <w:r>
        <w:rPr>
          <w:rFonts w:hint="eastAsia" w:ascii="宋体" w:hAnsi="宋体"/>
          <w:sz w:val="24"/>
          <w:szCs w:val="24"/>
        </w:rPr>
        <w:t>24.4采购代理机构收到投标文件后，应当如实记载投标文件的送达时间和密封情况，签收保存。</w:t>
      </w:r>
    </w:p>
    <w:p>
      <w:pPr>
        <w:pStyle w:val="2"/>
        <w:spacing w:line="360" w:lineRule="auto"/>
        <w:ind w:firstLine="480" w:firstLineChars="200"/>
        <w:rPr>
          <w:rFonts w:ascii="宋体" w:hAnsi="宋体"/>
          <w:sz w:val="24"/>
          <w:szCs w:val="24"/>
        </w:rPr>
      </w:pPr>
      <w:r>
        <w:rPr>
          <w:rFonts w:hint="eastAsia" w:ascii="宋体" w:hAnsi="宋体"/>
          <w:sz w:val="24"/>
          <w:szCs w:val="24"/>
        </w:rPr>
        <w:t>24.5</w:t>
      </w:r>
      <w:bookmarkStart w:id="113" w:name="_Toc183582228"/>
      <w:bookmarkStart w:id="114" w:name="_Toc183682365"/>
      <w:bookmarkStart w:id="115" w:name="_Toc217446055"/>
      <w:r>
        <w:rPr>
          <w:rFonts w:hint="eastAsia" w:ascii="宋体" w:hAnsi="宋体"/>
          <w:sz w:val="24"/>
          <w:szCs w:val="24"/>
        </w:rPr>
        <w:t>投标截止时间前按要求提供样品（如需要），逾期送达的样品不予接收。</w:t>
      </w:r>
    </w:p>
    <w:p>
      <w:pPr>
        <w:pStyle w:val="2"/>
        <w:spacing w:line="360" w:lineRule="auto"/>
        <w:ind w:firstLine="480" w:firstLineChars="200"/>
        <w:rPr>
          <w:rFonts w:ascii="宋体" w:hAnsi="宋体"/>
          <w:sz w:val="24"/>
          <w:szCs w:val="24"/>
        </w:rPr>
      </w:pPr>
      <w:r>
        <w:rPr>
          <w:rFonts w:hint="eastAsia" w:ascii="宋体" w:hAnsi="宋体"/>
          <w:sz w:val="24"/>
          <w:szCs w:val="24"/>
        </w:rPr>
        <w:t>24.6 除招标文件另有规定外，投标人递交的投标文件不予退还。</w:t>
      </w:r>
    </w:p>
    <w:p>
      <w:pPr>
        <w:pStyle w:val="8"/>
        <w:spacing w:line="360" w:lineRule="auto"/>
      </w:pPr>
      <w:r>
        <w:rPr>
          <w:rFonts w:hint="eastAsia"/>
        </w:rPr>
        <w:t>25.投标文件的修改和撤</w:t>
      </w:r>
      <w:bookmarkEnd w:id="113"/>
      <w:bookmarkEnd w:id="114"/>
      <w:r>
        <w:rPr>
          <w:rFonts w:hint="eastAsia"/>
        </w:rPr>
        <w:t>回</w:t>
      </w:r>
      <w:bookmarkEnd w:id="115"/>
    </w:p>
    <w:p>
      <w:pPr>
        <w:spacing w:line="360" w:lineRule="auto"/>
        <w:ind w:firstLine="470" w:firstLineChars="196"/>
        <w:rPr>
          <w:rFonts w:ascii="宋体" w:hAnsi="宋体"/>
          <w:sz w:val="24"/>
        </w:rPr>
      </w:pPr>
      <w:r>
        <w:rPr>
          <w:rFonts w:hint="eastAsia" w:ascii="宋体" w:hAnsi="宋体"/>
          <w:sz w:val="24"/>
        </w:rPr>
        <w:t>25.1投标人在递交了投标文件后，可以修改或撤回其投标文件，但必须在规定的投标截止时间前，以书面形式通知采购代理机构。</w:t>
      </w:r>
    </w:p>
    <w:p>
      <w:pPr>
        <w:spacing w:line="360" w:lineRule="auto"/>
        <w:ind w:firstLine="470" w:firstLineChars="196"/>
        <w:rPr>
          <w:rFonts w:ascii="宋体" w:hAnsi="宋体"/>
          <w:sz w:val="24"/>
        </w:rPr>
      </w:pPr>
      <w:r>
        <w:rPr>
          <w:rFonts w:hint="eastAsia" w:ascii="宋体" w:hAnsi="宋体"/>
          <w:sz w:val="24"/>
        </w:rPr>
        <w:t>25.2投标人的修改书或撤回通知书，应由其法定代表人或委托代理人签署并盖单位公章。修改书应按投标须知第23条规定进行密封和标注，并在密封袋上标注“投标文件修改”或“投标文件撤回通知”字样，“修改文件”作为投标文件的组成部分。</w:t>
      </w:r>
    </w:p>
    <w:p>
      <w:pPr>
        <w:spacing w:line="360" w:lineRule="auto"/>
        <w:ind w:firstLine="470" w:firstLineChars="196"/>
        <w:rPr>
          <w:rFonts w:ascii="宋体" w:hAnsi="宋体"/>
          <w:sz w:val="24"/>
        </w:rPr>
      </w:pPr>
      <w:r>
        <w:rPr>
          <w:rFonts w:hint="eastAsia" w:ascii="宋体" w:hAnsi="宋体"/>
          <w:sz w:val="24"/>
        </w:rPr>
        <w:t>25.3在投标截止时间之后，投标人不得对其递交的投标文件做任何修改或撤销投标。</w:t>
      </w:r>
      <w:bookmarkStart w:id="116" w:name="_Toc217446056"/>
      <w:bookmarkStart w:id="117" w:name="_Toc77400782"/>
      <w:bookmarkStart w:id="118" w:name="_Toc183682368"/>
      <w:bookmarkStart w:id="119" w:name="_Toc89075878"/>
      <w:bookmarkStart w:id="120" w:name="_Toc183582231"/>
    </w:p>
    <w:p>
      <w:pPr>
        <w:pStyle w:val="8"/>
        <w:spacing w:line="360" w:lineRule="auto"/>
      </w:pPr>
      <w:r>
        <w:rPr>
          <w:rFonts w:hint="eastAsia"/>
        </w:rPr>
        <w:t>26.投标纪律要求</w:t>
      </w:r>
    </w:p>
    <w:p>
      <w:pPr>
        <w:pStyle w:val="2"/>
        <w:spacing w:line="360" w:lineRule="auto"/>
        <w:ind w:firstLine="495"/>
        <w:rPr>
          <w:rFonts w:ascii="宋体" w:hAnsi="宋体"/>
          <w:sz w:val="24"/>
          <w:szCs w:val="24"/>
        </w:rPr>
      </w:pPr>
      <w:r>
        <w:rPr>
          <w:rFonts w:hint="eastAsia" w:ascii="宋体" w:hAnsi="宋体"/>
          <w:sz w:val="24"/>
          <w:szCs w:val="24"/>
        </w:rPr>
        <w:t>26.1投标人参加投标不得有下列情形：</w:t>
      </w:r>
    </w:p>
    <w:p>
      <w:pPr>
        <w:spacing w:line="360" w:lineRule="auto"/>
        <w:ind w:firstLine="460" w:firstLineChars="192"/>
        <w:rPr>
          <w:rFonts w:ascii="宋体" w:hAnsi="宋体"/>
          <w:sz w:val="24"/>
        </w:rPr>
      </w:pPr>
      <w:r>
        <w:rPr>
          <w:rFonts w:hint="eastAsia" w:ascii="宋体" w:hAnsi="宋体"/>
          <w:sz w:val="24"/>
        </w:rPr>
        <w:t>（1）提供虚假材料谋取中标；</w:t>
      </w:r>
    </w:p>
    <w:p>
      <w:pPr>
        <w:spacing w:line="360" w:lineRule="auto"/>
        <w:ind w:firstLine="460" w:firstLineChars="192"/>
        <w:rPr>
          <w:rFonts w:ascii="宋体" w:hAnsi="宋体"/>
          <w:sz w:val="24"/>
        </w:rPr>
      </w:pPr>
      <w:r>
        <w:rPr>
          <w:rFonts w:hint="eastAsia" w:ascii="宋体" w:hAnsi="宋体"/>
          <w:sz w:val="24"/>
        </w:rPr>
        <w:t>（2）采取不正当手段诋毁、排挤其他投标人；</w:t>
      </w:r>
    </w:p>
    <w:p>
      <w:pPr>
        <w:spacing w:line="360" w:lineRule="auto"/>
        <w:ind w:firstLine="480" w:firstLineChars="200"/>
        <w:rPr>
          <w:rFonts w:ascii="宋体" w:hAnsi="宋体"/>
          <w:sz w:val="24"/>
        </w:rPr>
      </w:pPr>
      <w:r>
        <w:rPr>
          <w:rFonts w:hint="eastAsia" w:ascii="宋体" w:hAnsi="宋体"/>
          <w:sz w:val="24"/>
        </w:rPr>
        <w:t>（3）与采购人、采购代理机构、其他投标人恶意串通；</w:t>
      </w:r>
    </w:p>
    <w:p>
      <w:pPr>
        <w:spacing w:line="360" w:lineRule="auto"/>
        <w:ind w:firstLine="480" w:firstLineChars="200"/>
        <w:rPr>
          <w:rFonts w:ascii="宋体" w:hAnsi="宋体"/>
          <w:sz w:val="24"/>
        </w:rPr>
      </w:pPr>
      <w:r>
        <w:rPr>
          <w:rFonts w:hint="eastAsia" w:ascii="宋体" w:hAnsi="宋体"/>
          <w:sz w:val="24"/>
        </w:rPr>
        <w:t>（4）向采购人、采购代理机构、评标委员会成员行贿或者提供其他不正当利益；</w:t>
      </w:r>
    </w:p>
    <w:p>
      <w:pPr>
        <w:pStyle w:val="20"/>
        <w:tabs>
          <w:tab w:val="left" w:pos="720"/>
        </w:tabs>
        <w:spacing w:line="360" w:lineRule="auto"/>
        <w:ind w:firstLine="460" w:firstLineChars="192"/>
        <w:rPr>
          <w:rFonts w:ascii="宋体" w:hAnsi="宋体"/>
          <w:sz w:val="24"/>
          <w:szCs w:val="24"/>
        </w:rPr>
      </w:pPr>
      <w:r>
        <w:rPr>
          <w:rFonts w:hint="eastAsia" w:ascii="宋体" w:hAnsi="宋体"/>
          <w:sz w:val="24"/>
          <w:szCs w:val="24"/>
        </w:rPr>
        <w:t>（5）在招标过程中与</w:t>
      </w:r>
      <w:r>
        <w:rPr>
          <w:rFonts w:hint="eastAsia" w:ascii="宋体" w:hAnsi="宋体"/>
          <w:sz w:val="24"/>
        </w:rPr>
        <w:t>采购人、采购代理机构</w:t>
      </w:r>
      <w:r>
        <w:rPr>
          <w:rFonts w:hint="eastAsia" w:ascii="宋体" w:hAnsi="宋体"/>
          <w:sz w:val="24"/>
          <w:szCs w:val="24"/>
        </w:rPr>
        <w:t>进行协商谈判；</w:t>
      </w:r>
    </w:p>
    <w:p>
      <w:pPr>
        <w:pStyle w:val="20"/>
        <w:spacing w:line="360" w:lineRule="auto"/>
        <w:ind w:firstLine="480" w:firstLineChars="200"/>
        <w:rPr>
          <w:rFonts w:ascii="宋体" w:hAnsi="宋体"/>
          <w:sz w:val="24"/>
          <w:szCs w:val="24"/>
        </w:rPr>
      </w:pPr>
      <w:r>
        <w:rPr>
          <w:rFonts w:hint="eastAsia" w:ascii="宋体" w:hAnsi="宋体"/>
          <w:sz w:val="24"/>
          <w:szCs w:val="24"/>
        </w:rPr>
        <w:t>（6）拒绝有关部门的监督检查或者向监督检查部门提供虚假情况。</w:t>
      </w:r>
    </w:p>
    <w:p>
      <w:pPr>
        <w:pStyle w:val="2"/>
        <w:spacing w:line="360" w:lineRule="auto"/>
        <w:ind w:firstLine="495"/>
        <w:rPr>
          <w:sz w:val="28"/>
          <w:szCs w:val="28"/>
        </w:rPr>
      </w:pPr>
      <w:r>
        <w:rPr>
          <w:rFonts w:hint="eastAsia"/>
          <w:sz w:val="24"/>
          <w:szCs w:val="24"/>
        </w:rPr>
        <w:t>有上述情形之一的，属于不合格投标人，其投标或中标资格将被取消</w:t>
      </w:r>
      <w:r>
        <w:rPr>
          <w:rFonts w:hint="eastAsia"/>
          <w:sz w:val="28"/>
          <w:szCs w:val="28"/>
        </w:rPr>
        <w:t>。</w:t>
      </w:r>
    </w:p>
    <w:p>
      <w:pPr>
        <w:spacing w:line="360" w:lineRule="auto"/>
        <w:ind w:firstLine="360" w:firstLineChars="150"/>
        <w:rPr>
          <w:rFonts w:ascii="宋体" w:hAnsi="宋体"/>
          <w:sz w:val="24"/>
        </w:rPr>
      </w:pPr>
      <w:r>
        <w:rPr>
          <w:rFonts w:hint="eastAsia" w:ascii="宋体" w:hAnsi="宋体"/>
          <w:sz w:val="24"/>
        </w:rPr>
        <w:t>26.2</w:t>
      </w:r>
      <w:r>
        <w:rPr>
          <w:rFonts w:ascii="宋体" w:hAnsi="宋体"/>
          <w:sz w:val="24"/>
        </w:rPr>
        <w:t>有下列情形之一的，视为投标</w:t>
      </w:r>
      <w:r>
        <w:rPr>
          <w:rFonts w:hint="eastAsia" w:ascii="宋体" w:hAnsi="宋体"/>
          <w:sz w:val="24"/>
        </w:rPr>
        <w:t>人</w:t>
      </w:r>
      <w:r>
        <w:rPr>
          <w:rFonts w:ascii="宋体" w:hAnsi="宋体"/>
          <w:sz w:val="24"/>
        </w:rPr>
        <w:t>相互恶意串通投标</w:t>
      </w:r>
      <w:r>
        <w:rPr>
          <w:rFonts w:hint="eastAsia" w:ascii="宋体" w:hAnsi="宋体"/>
          <w:sz w:val="24"/>
        </w:rPr>
        <w:t>，其投标无效</w:t>
      </w:r>
      <w:r>
        <w:rPr>
          <w:rFonts w:ascii="宋体" w:hAnsi="宋体"/>
          <w:sz w:val="24"/>
        </w:rPr>
        <w:t>：</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1</w:t>
      </w:r>
      <w:r>
        <w:rPr>
          <w:rFonts w:ascii="宋体" w:hAnsi="宋体"/>
          <w:sz w:val="24"/>
        </w:rPr>
        <w:t>）不同投标</w:t>
      </w:r>
      <w:r>
        <w:rPr>
          <w:rFonts w:hint="eastAsia" w:ascii="宋体" w:hAnsi="宋体"/>
          <w:sz w:val="24"/>
        </w:rPr>
        <w:t>人</w:t>
      </w:r>
      <w:r>
        <w:rPr>
          <w:rFonts w:ascii="宋体" w:hAnsi="宋体"/>
          <w:sz w:val="24"/>
        </w:rPr>
        <w:t>的投标文件由同一单位或者个人编制；</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2</w:t>
      </w:r>
      <w:r>
        <w:rPr>
          <w:rFonts w:ascii="宋体" w:hAnsi="宋体"/>
          <w:sz w:val="24"/>
        </w:rPr>
        <w:t>）不同投标</w:t>
      </w:r>
      <w:r>
        <w:rPr>
          <w:rFonts w:hint="eastAsia" w:ascii="宋体" w:hAnsi="宋体"/>
          <w:sz w:val="24"/>
        </w:rPr>
        <w:t>人</w:t>
      </w:r>
      <w:r>
        <w:rPr>
          <w:rFonts w:ascii="宋体" w:hAnsi="宋体"/>
          <w:sz w:val="24"/>
        </w:rPr>
        <w:t>委托同一单位或者个人办理投标事宜；</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）不同投标</w:t>
      </w:r>
      <w:r>
        <w:rPr>
          <w:rFonts w:hint="eastAsia" w:ascii="宋体" w:hAnsi="宋体"/>
          <w:sz w:val="24"/>
        </w:rPr>
        <w:t>人</w:t>
      </w:r>
      <w:r>
        <w:rPr>
          <w:rFonts w:ascii="宋体" w:hAnsi="宋体"/>
          <w:sz w:val="24"/>
        </w:rPr>
        <w:t>的投标文件载明的项目管理成员为同一人；</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）不同投标</w:t>
      </w:r>
      <w:r>
        <w:rPr>
          <w:rFonts w:hint="eastAsia" w:ascii="宋体" w:hAnsi="宋体"/>
          <w:sz w:val="24"/>
        </w:rPr>
        <w:t>人</w:t>
      </w:r>
      <w:r>
        <w:rPr>
          <w:rFonts w:ascii="宋体" w:hAnsi="宋体"/>
          <w:sz w:val="24"/>
        </w:rPr>
        <w:t>的投标文件异常一致或者投标报价呈规律性差异；</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）不同投标</w:t>
      </w:r>
      <w:r>
        <w:rPr>
          <w:rFonts w:hint="eastAsia" w:ascii="宋体" w:hAnsi="宋体"/>
          <w:sz w:val="24"/>
        </w:rPr>
        <w:t>人</w:t>
      </w:r>
      <w:r>
        <w:rPr>
          <w:rFonts w:ascii="宋体" w:hAnsi="宋体"/>
          <w:sz w:val="24"/>
        </w:rPr>
        <w:t>的投标文件相互混装；</w:t>
      </w:r>
    </w:p>
    <w:p>
      <w:pPr>
        <w:pStyle w:val="5"/>
        <w:spacing w:before="0" w:after="120" w:afterLines="50" w:line="360" w:lineRule="auto"/>
        <w:rPr>
          <w:rFonts w:ascii="宋体" w:hAnsi="宋体" w:eastAsia="宋体"/>
          <w:bCs/>
        </w:rPr>
      </w:pPr>
      <w:bookmarkStart w:id="121" w:name="_Toc21099"/>
      <w:bookmarkStart w:id="122" w:name="_Toc27246"/>
      <w:bookmarkStart w:id="123" w:name="_Toc20465"/>
      <w:r>
        <w:rPr>
          <w:rFonts w:hint="eastAsia" w:ascii="宋体" w:hAnsi="宋体" w:eastAsia="宋体"/>
          <w:bCs/>
        </w:rPr>
        <w:t>六、开标</w:t>
      </w:r>
      <w:bookmarkEnd w:id="116"/>
      <w:bookmarkEnd w:id="117"/>
      <w:bookmarkEnd w:id="118"/>
      <w:bookmarkEnd w:id="119"/>
      <w:bookmarkEnd w:id="120"/>
      <w:bookmarkEnd w:id="121"/>
      <w:bookmarkEnd w:id="122"/>
      <w:bookmarkEnd w:id="123"/>
    </w:p>
    <w:p>
      <w:pPr>
        <w:pStyle w:val="8"/>
        <w:spacing w:line="360" w:lineRule="auto"/>
      </w:pPr>
      <w:r>
        <w:rPr>
          <w:rFonts w:hint="eastAsia"/>
        </w:rPr>
        <w:t>27.开标时间和地点</w:t>
      </w:r>
    </w:p>
    <w:p>
      <w:pPr>
        <w:spacing w:line="360" w:lineRule="auto"/>
        <w:ind w:firstLine="480" w:firstLineChars="200"/>
        <w:rPr>
          <w:rFonts w:ascii="宋体" w:hAnsi="宋体"/>
          <w:sz w:val="24"/>
        </w:rPr>
      </w:pPr>
      <w:r>
        <w:rPr>
          <w:rFonts w:hint="eastAsia" w:ascii="宋体" w:hAnsi="宋体"/>
          <w:sz w:val="24"/>
        </w:rPr>
        <w:t>27.1采购代理机构在投标人须知前附表中规定的投标截止时间和地点组织公开开标，并邀请采购人、所有投标人派代表参加并签到以证明其出席。</w:t>
      </w:r>
    </w:p>
    <w:p>
      <w:pPr>
        <w:spacing w:line="360" w:lineRule="auto"/>
        <w:ind w:firstLine="480" w:firstLineChars="200"/>
        <w:rPr>
          <w:rFonts w:ascii="宋体" w:hAnsi="宋体"/>
          <w:b/>
          <w:bCs/>
          <w:sz w:val="24"/>
        </w:rPr>
      </w:pPr>
      <w:r>
        <w:rPr>
          <w:rFonts w:hint="eastAsia" w:ascii="宋体" w:hAnsi="宋体"/>
          <w:sz w:val="24"/>
        </w:rPr>
        <w:t>27.2 投标人未参加开标的，视同认可开标结果。</w:t>
      </w:r>
    </w:p>
    <w:p>
      <w:pPr>
        <w:spacing w:line="360" w:lineRule="auto"/>
        <w:ind w:firstLine="480" w:firstLineChars="200"/>
        <w:rPr>
          <w:rFonts w:ascii="宋体" w:hAnsi="宋体"/>
          <w:sz w:val="24"/>
        </w:rPr>
      </w:pPr>
      <w:r>
        <w:rPr>
          <w:rFonts w:hint="eastAsia" w:ascii="宋体" w:hAnsi="宋体"/>
          <w:sz w:val="24"/>
        </w:rPr>
        <w:t>27.3采购人或者采购代理机构负责组织评标工作，并履行相应职责。</w:t>
      </w:r>
      <w:bookmarkStart w:id="124" w:name="_Toc217446058"/>
    </w:p>
    <w:p>
      <w:pPr>
        <w:spacing w:line="360" w:lineRule="auto"/>
        <w:ind w:firstLine="480" w:firstLineChars="200"/>
        <w:rPr>
          <w:rFonts w:ascii="宋体" w:hAnsi="宋体"/>
          <w:sz w:val="24"/>
        </w:rPr>
      </w:pPr>
      <w:r>
        <w:rPr>
          <w:rFonts w:hint="eastAsia" w:ascii="宋体" w:hAnsi="宋体"/>
          <w:sz w:val="24"/>
        </w:rPr>
        <w:t>27.4 投标人不足3家的，不得开标。</w:t>
      </w:r>
    </w:p>
    <w:p>
      <w:pPr>
        <w:pStyle w:val="8"/>
        <w:spacing w:line="360" w:lineRule="auto"/>
      </w:pPr>
      <w:r>
        <w:rPr>
          <w:rFonts w:hint="eastAsia"/>
        </w:rPr>
        <w:t>28.开标程序</w:t>
      </w:r>
      <w:bookmarkEnd w:id="124"/>
    </w:p>
    <w:p>
      <w:pPr>
        <w:pStyle w:val="25"/>
        <w:ind w:firstLine="480"/>
        <w:rPr>
          <w:rFonts w:ascii="宋体" w:hAnsi="宋体" w:eastAsia="宋体"/>
          <w:sz w:val="24"/>
          <w:szCs w:val="24"/>
        </w:rPr>
      </w:pPr>
      <w:r>
        <w:rPr>
          <w:rFonts w:hint="eastAsia" w:ascii="宋体" w:hAnsi="宋体" w:eastAsia="宋体"/>
          <w:sz w:val="24"/>
          <w:szCs w:val="24"/>
        </w:rPr>
        <w:t>28.1开标会议由采购代理机构主持。主持人按照招标文件规定的开标时间宣布开标，按照规定要求主持开标会并按以下程序进行（但不限于）：</w:t>
      </w:r>
    </w:p>
    <w:p>
      <w:pPr>
        <w:spacing w:line="360" w:lineRule="auto"/>
        <w:ind w:firstLine="480" w:firstLineChars="200"/>
        <w:rPr>
          <w:rFonts w:ascii="宋体" w:hAnsi="宋体"/>
          <w:sz w:val="24"/>
        </w:rPr>
      </w:pPr>
      <w:r>
        <w:rPr>
          <w:rFonts w:hint="eastAsia" w:ascii="宋体" w:hAnsi="宋体"/>
          <w:sz w:val="24"/>
        </w:rPr>
        <w:t>（1）宣布开标开始并致辞。</w:t>
      </w:r>
    </w:p>
    <w:p>
      <w:pPr>
        <w:spacing w:line="360" w:lineRule="auto"/>
        <w:ind w:firstLine="480" w:firstLineChars="200"/>
        <w:rPr>
          <w:rFonts w:ascii="宋体" w:hAnsi="宋体"/>
          <w:sz w:val="24"/>
        </w:rPr>
      </w:pPr>
      <w:r>
        <w:rPr>
          <w:rFonts w:hint="eastAsia" w:ascii="宋体" w:hAnsi="宋体"/>
          <w:sz w:val="24"/>
        </w:rPr>
        <w:t>（2）宣布开标纪律和有关注意事项。</w:t>
      </w:r>
    </w:p>
    <w:p>
      <w:pPr>
        <w:spacing w:line="360" w:lineRule="auto"/>
        <w:ind w:firstLine="480" w:firstLineChars="200"/>
        <w:rPr>
          <w:rFonts w:ascii="宋体" w:hAnsi="宋体"/>
          <w:sz w:val="24"/>
        </w:rPr>
      </w:pPr>
      <w:r>
        <w:rPr>
          <w:rFonts w:hint="eastAsia" w:ascii="宋体" w:hAnsi="宋体"/>
          <w:sz w:val="24"/>
        </w:rPr>
        <w:t>（3）公布参加投标的投标人名单；</w:t>
      </w:r>
    </w:p>
    <w:p>
      <w:pPr>
        <w:spacing w:line="360" w:lineRule="auto"/>
        <w:ind w:firstLine="480" w:firstLineChars="200"/>
        <w:rPr>
          <w:rFonts w:ascii="宋体" w:hAnsi="宋体"/>
          <w:sz w:val="24"/>
        </w:rPr>
      </w:pPr>
      <w:r>
        <w:rPr>
          <w:rFonts w:hint="eastAsia" w:ascii="宋体" w:hAnsi="宋体"/>
          <w:sz w:val="24"/>
        </w:rPr>
        <w:t>（4）宣布主持人、记录人等有关工作人员；</w:t>
      </w:r>
    </w:p>
    <w:p>
      <w:pPr>
        <w:spacing w:line="360" w:lineRule="auto"/>
        <w:ind w:firstLine="480" w:firstLineChars="200"/>
        <w:rPr>
          <w:rFonts w:ascii="宋体" w:hAnsi="宋体"/>
          <w:sz w:val="24"/>
        </w:rPr>
      </w:pPr>
      <w:r>
        <w:rPr>
          <w:rFonts w:hint="eastAsia" w:ascii="宋体" w:hAnsi="宋体"/>
          <w:sz w:val="24"/>
        </w:rPr>
        <w:t>（5）检查并宣布投标文件的密封情况。由监标人检查投标密封情况，经检查无误后，签字确认。</w:t>
      </w:r>
    </w:p>
    <w:p>
      <w:pPr>
        <w:spacing w:line="360" w:lineRule="auto"/>
        <w:ind w:firstLine="480" w:firstLineChars="200"/>
        <w:rPr>
          <w:rFonts w:ascii="宋体" w:hAnsi="宋体"/>
          <w:sz w:val="24"/>
        </w:rPr>
      </w:pPr>
      <w:r>
        <w:rPr>
          <w:rFonts w:hint="eastAsia" w:ascii="宋体" w:hAnsi="宋体"/>
          <w:sz w:val="24"/>
        </w:rPr>
        <w:t>（6）开标唱标。主持人宣布开标后，由现场工作人员按顺序对投标人的“投标文件”当众进行拆封，由唱标人员对其中“开标一览表”的投标人名称、投标总价等内容进行宣读并做开标记录。所有投标唱标完毕，如投标人代表对宣读的“开标一览表”上的内容有异议的，应举手示意，在获得主持人同意后当场提出。如确实属于唱标人员宣读错误的，当场予以更正。无异议后，由投标人法人代表或授权代表及监督管理机构代表签字确认唱标内容。</w:t>
      </w:r>
    </w:p>
    <w:p>
      <w:pPr>
        <w:spacing w:line="360" w:lineRule="auto"/>
        <w:ind w:firstLine="460" w:firstLineChars="192"/>
        <w:rPr>
          <w:rFonts w:ascii="宋体" w:hAnsi="宋体"/>
          <w:sz w:val="24"/>
        </w:rPr>
      </w:pPr>
      <w:bookmarkStart w:id="125" w:name="_Toc217446059"/>
      <w:r>
        <w:rPr>
          <w:rFonts w:hint="eastAsia" w:ascii="宋体" w:hAnsi="宋体"/>
          <w:sz w:val="24"/>
        </w:rPr>
        <w:t>（7）宣布开标结束。主持人宣布开标结束后，所有投标人应立即退场</w:t>
      </w:r>
      <w:r>
        <w:rPr>
          <w:rFonts w:hint="eastAsia" w:ascii="宋体"/>
          <w:sz w:val="24"/>
        </w:rPr>
        <w:t>（招标文件要求有演示、介绍等的除外）。同时所有投标人应保持通讯设备的畅通，以方便在评标过程中评标委员会要求投标人对投标文件的必要澄清。</w:t>
      </w:r>
    </w:p>
    <w:p>
      <w:pPr>
        <w:spacing w:line="360" w:lineRule="auto"/>
        <w:ind w:firstLine="480" w:firstLineChars="200"/>
        <w:rPr>
          <w:rFonts w:ascii="宋体"/>
          <w:sz w:val="24"/>
        </w:rPr>
      </w:pPr>
      <w:r>
        <w:rPr>
          <w:rFonts w:hint="eastAsia" w:ascii="宋体" w:hAnsi="宋体"/>
          <w:sz w:val="24"/>
        </w:rPr>
        <w:t xml:space="preserve">28.2 </w:t>
      </w:r>
      <w:r>
        <w:rPr>
          <w:rFonts w:hint="eastAsia" w:ascii="宋体"/>
          <w:sz w:val="24"/>
        </w:rPr>
        <w:t>检查投标文件密封情况是指，由投标人或者其推选的代表检检查其自己递交的投标文件的密封情况，经检查无误后，签字确认。</w:t>
      </w:r>
    </w:p>
    <w:p>
      <w:pPr>
        <w:spacing w:line="360" w:lineRule="auto"/>
        <w:ind w:firstLine="480" w:firstLineChars="200"/>
        <w:rPr>
          <w:rFonts w:ascii="宋体" w:hAnsi="宋体"/>
          <w:sz w:val="24"/>
        </w:rPr>
      </w:pPr>
      <w:r>
        <w:rPr>
          <w:rFonts w:hint="eastAsia" w:ascii="宋体"/>
          <w:sz w:val="24"/>
        </w:rPr>
        <w:t>投标人或者其推选的代表检确认投标文件情况，投标人或者其推选的代表检对其他投标人的投标文件密封情况有异议的，可以当场反映开标主持人或者现场监督人员，要求开标现场记录人员予以记录，但不得干扰、阻挠开标工作的正常进行。</w:t>
      </w:r>
    </w:p>
    <w:p>
      <w:pPr>
        <w:spacing w:line="360" w:lineRule="auto"/>
        <w:ind w:firstLine="460" w:firstLineChars="192"/>
        <w:rPr>
          <w:rFonts w:ascii="宋体" w:hAnsi="宋体" w:cs="宋体"/>
          <w:kern w:val="0"/>
          <w:sz w:val="24"/>
        </w:rPr>
      </w:pPr>
      <w:r>
        <w:rPr>
          <w:rFonts w:hint="eastAsia" w:ascii="宋体" w:hAnsi="宋体"/>
          <w:sz w:val="24"/>
        </w:rPr>
        <w:t xml:space="preserve">28.3 </w:t>
      </w:r>
      <w:r>
        <w:rPr>
          <w:rFonts w:hint="eastAsia" w:ascii="宋体" w:hAnsi="宋体" w:cs="宋体"/>
          <w:kern w:val="0"/>
          <w:sz w:val="24"/>
        </w:rPr>
        <w:t>投标人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p>
    <w:p>
      <w:pPr>
        <w:spacing w:line="360" w:lineRule="auto"/>
        <w:ind w:firstLine="460" w:firstLineChars="192"/>
        <w:rPr>
          <w:rFonts w:ascii="宋体" w:hAnsi="宋体" w:cs="宋体"/>
          <w:kern w:val="0"/>
          <w:sz w:val="24"/>
        </w:rPr>
      </w:pPr>
      <w:r>
        <w:rPr>
          <w:rFonts w:hint="eastAsia" w:ascii="宋体" w:hAnsi="宋体" w:cs="宋体"/>
          <w:kern w:val="0"/>
          <w:sz w:val="24"/>
        </w:rPr>
        <w:t>28.4采购代理机构对开标、资格审查和评标全过程进行全程摄（录）像、文字记录，并存档备查。</w:t>
      </w:r>
    </w:p>
    <w:p>
      <w:pPr>
        <w:pStyle w:val="5"/>
        <w:spacing w:before="0" w:after="120" w:afterLines="50" w:line="360" w:lineRule="auto"/>
        <w:rPr>
          <w:rFonts w:ascii="宋体" w:hAnsi="宋体" w:eastAsia="宋体"/>
          <w:bCs/>
        </w:rPr>
      </w:pPr>
      <w:bookmarkStart w:id="126" w:name="_Toc26874"/>
      <w:bookmarkStart w:id="127" w:name="_Toc22191"/>
      <w:bookmarkStart w:id="128" w:name="_Toc2007"/>
      <w:r>
        <w:rPr>
          <w:rFonts w:hint="eastAsia" w:ascii="宋体" w:hAnsi="宋体" w:eastAsia="宋体"/>
          <w:bCs/>
        </w:rPr>
        <w:t>七、投标人资格审查</w:t>
      </w:r>
      <w:bookmarkEnd w:id="126"/>
      <w:bookmarkEnd w:id="127"/>
      <w:bookmarkEnd w:id="128"/>
    </w:p>
    <w:p>
      <w:pPr>
        <w:pStyle w:val="8"/>
      </w:pPr>
      <w:r>
        <w:rPr>
          <w:rFonts w:hint="eastAsia"/>
        </w:rPr>
        <w:t>29.资格审查人员</w:t>
      </w:r>
    </w:p>
    <w:p>
      <w:pPr>
        <w:spacing w:after="120" w:afterLines="50" w:line="360" w:lineRule="auto"/>
        <w:rPr>
          <w:rFonts w:ascii="宋体" w:hAnsi="宋体" w:cs="宋体"/>
          <w:kern w:val="0"/>
          <w:sz w:val="24"/>
        </w:rPr>
      </w:pPr>
      <w:r>
        <w:rPr>
          <w:rFonts w:hint="eastAsia" w:ascii="宋体" w:hAnsi="宋体" w:cs="宋体"/>
          <w:kern w:val="0"/>
          <w:sz w:val="24"/>
        </w:rPr>
        <w:t>29.1公开招标采购项目开标结束后,采购人或者采购代理机构应当依法对投标人的资格进行审查。依据投标文件，按照招标文件给定的资格审查办法对投标人进行资格审查,</w:t>
      </w:r>
      <w:r>
        <w:rPr>
          <w:rFonts w:hint="eastAsia"/>
        </w:rPr>
        <w:t xml:space="preserve"> </w:t>
      </w:r>
      <w:r>
        <w:rPr>
          <w:rFonts w:hint="eastAsia" w:ascii="宋体" w:hAnsi="宋体" w:cs="宋体"/>
          <w:kern w:val="0"/>
          <w:sz w:val="24"/>
        </w:rPr>
        <w:t>以确定其是否具备相应资质。如果投标投标人不具备资质、不满足招标文件所规定的资质标准或提供资质证明文件不全,将被视为未实质性响应招标文件。</w:t>
      </w:r>
    </w:p>
    <w:p>
      <w:pPr>
        <w:pStyle w:val="8"/>
      </w:pPr>
      <w:r>
        <w:rPr>
          <w:rFonts w:hint="eastAsia"/>
        </w:rPr>
        <w:t>30.资格审查办法</w:t>
      </w:r>
    </w:p>
    <w:p>
      <w:pPr>
        <w:tabs>
          <w:tab w:val="left" w:pos="0"/>
        </w:tabs>
        <w:adjustRightInd w:val="0"/>
        <w:snapToGrid w:val="0"/>
        <w:spacing w:line="360" w:lineRule="auto"/>
        <w:rPr>
          <w:rFonts w:ascii="宋体" w:hAnsi="宋体"/>
          <w:sz w:val="24"/>
        </w:rPr>
      </w:pPr>
      <w:r>
        <w:rPr>
          <w:rFonts w:hint="eastAsia" w:ascii="宋体" w:hAnsi="宋体"/>
          <w:sz w:val="24"/>
        </w:rPr>
        <w:t xml:space="preserve">    30.1资格审查在开标之后评标之前进行。</w:t>
      </w:r>
    </w:p>
    <w:p>
      <w:pPr>
        <w:tabs>
          <w:tab w:val="left" w:pos="0"/>
        </w:tabs>
        <w:adjustRightInd w:val="0"/>
        <w:snapToGrid w:val="0"/>
        <w:spacing w:line="360" w:lineRule="auto"/>
        <w:ind w:firstLine="470" w:firstLineChars="196"/>
        <w:rPr>
          <w:rFonts w:ascii="宋体" w:hAnsi="宋体" w:cs="宋体"/>
          <w:kern w:val="0"/>
          <w:sz w:val="24"/>
        </w:rPr>
      </w:pPr>
      <w:r>
        <w:rPr>
          <w:rFonts w:hint="eastAsia" w:ascii="宋体" w:hAnsi="宋体"/>
          <w:sz w:val="24"/>
        </w:rPr>
        <w:t>30.2资格审查人员将依据投标人投标文件，按照招标文件第三章11.1条款所述资格要求对投标人进行资格审查，以确定其是否具备相应资格。</w:t>
      </w:r>
      <w:r>
        <w:rPr>
          <w:rFonts w:hint="eastAsia" w:ascii="宋体" w:hAnsi="宋体" w:cs="宋体"/>
          <w:kern w:val="0"/>
          <w:sz w:val="24"/>
        </w:rPr>
        <w:t>如果投标人不具备资格、不满足招标文件所规定的资格条件,将被视为未实质性响应招标文件,按无效投标处理。</w:t>
      </w:r>
    </w:p>
    <w:p>
      <w:pPr>
        <w:spacing w:line="360" w:lineRule="auto"/>
        <w:ind w:firstLine="480" w:firstLineChars="200"/>
        <w:rPr>
          <w:rFonts w:ascii="宋体" w:hAnsi="宋体"/>
          <w:sz w:val="24"/>
        </w:rPr>
      </w:pPr>
      <w:r>
        <w:rPr>
          <w:rFonts w:hint="eastAsia" w:ascii="宋体" w:hAnsi="宋体"/>
          <w:sz w:val="24"/>
        </w:rPr>
        <w:t>30.3 合格投标人不足3家的，不得评标。</w:t>
      </w:r>
    </w:p>
    <w:p>
      <w:pPr>
        <w:spacing w:line="360" w:lineRule="auto"/>
        <w:ind w:firstLine="480"/>
        <w:rPr>
          <w:rFonts w:ascii="宋体" w:hAnsi="宋体"/>
          <w:sz w:val="24"/>
        </w:rPr>
      </w:pPr>
      <w:r>
        <w:rPr>
          <w:rFonts w:hint="eastAsia" w:ascii="宋体" w:hAnsi="宋体"/>
          <w:sz w:val="24"/>
        </w:rPr>
        <w:t>30.4 不合格的投标人，不得进入评标环节。</w:t>
      </w:r>
    </w:p>
    <w:p>
      <w:pPr>
        <w:pStyle w:val="5"/>
        <w:spacing w:before="0" w:after="120" w:afterLines="50" w:line="360" w:lineRule="auto"/>
        <w:rPr>
          <w:rFonts w:ascii="宋体" w:hAnsi="宋体" w:eastAsia="宋体"/>
          <w:bCs/>
        </w:rPr>
      </w:pPr>
      <w:bookmarkStart w:id="129" w:name="_Toc8391"/>
      <w:bookmarkStart w:id="130" w:name="_Toc27259"/>
      <w:bookmarkStart w:id="131" w:name="_Toc12409"/>
      <w:r>
        <w:rPr>
          <w:rFonts w:hint="eastAsia" w:ascii="宋体" w:hAnsi="宋体" w:eastAsia="宋体"/>
          <w:bCs/>
        </w:rPr>
        <w:t>八、评标</w:t>
      </w:r>
      <w:bookmarkEnd w:id="125"/>
      <w:bookmarkEnd w:id="129"/>
      <w:bookmarkEnd w:id="130"/>
      <w:bookmarkEnd w:id="131"/>
    </w:p>
    <w:p>
      <w:pPr>
        <w:pStyle w:val="8"/>
      </w:pPr>
      <w:r>
        <w:rPr>
          <w:rFonts w:hint="eastAsia"/>
        </w:rPr>
        <w:t>31.评标委员会</w:t>
      </w:r>
    </w:p>
    <w:p>
      <w:pPr>
        <w:pStyle w:val="27"/>
        <w:shd w:val="clear" w:color="auto" w:fill="FFFFFF"/>
        <w:spacing w:before="0" w:beforeAutospacing="0" w:after="0" w:afterAutospacing="0" w:line="360" w:lineRule="auto"/>
        <w:ind w:firstLine="480" w:firstLineChars="200"/>
        <w:rPr>
          <w:sz w:val="24"/>
          <w:szCs w:val="24"/>
        </w:rPr>
      </w:pPr>
      <w:r>
        <w:rPr>
          <w:rFonts w:hint="eastAsia"/>
          <w:sz w:val="24"/>
          <w:szCs w:val="24"/>
        </w:rPr>
        <w:t>31.1采购代理机构</w:t>
      </w:r>
      <w:r>
        <w:rPr>
          <w:sz w:val="24"/>
          <w:szCs w:val="24"/>
          <w:lang w:val="zh-CN"/>
        </w:rPr>
        <w:t>按照《中华人民共和国政府采购法》</w:t>
      </w:r>
      <w:r>
        <w:rPr>
          <w:rFonts w:hint="eastAsia"/>
          <w:sz w:val="24"/>
          <w:szCs w:val="24"/>
          <w:lang w:val="zh-CN"/>
        </w:rPr>
        <w:t>、中华人民共和国2015年第658号国务院令--《中华人民共和国政府采购法实施条例》</w:t>
      </w:r>
      <w:r>
        <w:rPr>
          <w:sz w:val="24"/>
          <w:szCs w:val="24"/>
          <w:lang w:val="zh-CN"/>
        </w:rPr>
        <w:t>和《政府采购货物和服务招标投标管理办法》的规定，依法组建评标委员会</w:t>
      </w:r>
      <w:r>
        <w:rPr>
          <w:rFonts w:hint="eastAsia"/>
          <w:sz w:val="24"/>
          <w:szCs w:val="24"/>
        </w:rPr>
        <w:t>（以下简称评委会）</w:t>
      </w:r>
      <w:r>
        <w:rPr>
          <w:sz w:val="24"/>
          <w:szCs w:val="24"/>
          <w:lang w:val="zh-CN"/>
        </w:rPr>
        <w:t>。</w:t>
      </w:r>
    </w:p>
    <w:p>
      <w:pPr>
        <w:pStyle w:val="27"/>
        <w:shd w:val="clear" w:color="auto" w:fill="FFFFFF"/>
        <w:spacing w:before="0" w:beforeAutospacing="0" w:after="0" w:afterAutospacing="0" w:line="360" w:lineRule="auto"/>
        <w:ind w:firstLine="480" w:firstLineChars="200"/>
        <w:rPr>
          <w:sz w:val="24"/>
          <w:szCs w:val="24"/>
        </w:rPr>
      </w:pPr>
      <w:r>
        <w:rPr>
          <w:rFonts w:hint="eastAsia" w:cs="宋体"/>
          <w:sz w:val="24"/>
          <w:szCs w:val="24"/>
        </w:rPr>
        <w:t>31.2评标委员会由采购人代表和评审专家组成，成员人数应当为5人以上单数，其中评审专家不得少于成员总数的三分之二</w:t>
      </w:r>
      <w:r>
        <w:rPr>
          <w:spacing w:val="6"/>
          <w:sz w:val="24"/>
          <w:szCs w:val="24"/>
        </w:rPr>
        <w:t>。采购预算金额在</w:t>
      </w:r>
      <w:r>
        <w:rPr>
          <w:rFonts w:hint="eastAsia"/>
          <w:spacing w:val="6"/>
          <w:sz w:val="24"/>
          <w:szCs w:val="24"/>
        </w:rPr>
        <w:t>1000</w:t>
      </w:r>
      <w:r>
        <w:rPr>
          <w:spacing w:val="6"/>
          <w:sz w:val="24"/>
          <w:szCs w:val="24"/>
        </w:rPr>
        <w:t>万元以上、技术复杂的项目或者社会影响较大的项目，评标委员会</w:t>
      </w:r>
      <w:r>
        <w:rPr>
          <w:rFonts w:hint="eastAsia"/>
          <w:spacing w:val="6"/>
          <w:sz w:val="24"/>
          <w:szCs w:val="24"/>
        </w:rPr>
        <w:t>成员</w:t>
      </w:r>
      <w:r>
        <w:rPr>
          <w:spacing w:val="6"/>
          <w:sz w:val="24"/>
          <w:szCs w:val="24"/>
        </w:rPr>
        <w:t>应当为</w:t>
      </w:r>
      <w:r>
        <w:rPr>
          <w:rFonts w:hint="eastAsia"/>
          <w:spacing w:val="6"/>
          <w:sz w:val="24"/>
          <w:szCs w:val="24"/>
        </w:rPr>
        <w:t>7</w:t>
      </w:r>
      <w:r>
        <w:rPr>
          <w:spacing w:val="6"/>
          <w:sz w:val="24"/>
          <w:szCs w:val="24"/>
        </w:rPr>
        <w:t>人以上。</w:t>
      </w:r>
      <w:r>
        <w:rPr>
          <w:rFonts w:hint="eastAsia"/>
          <w:spacing w:val="6"/>
          <w:sz w:val="24"/>
          <w:szCs w:val="24"/>
        </w:rPr>
        <w:t>评标</w:t>
      </w:r>
      <w:r>
        <w:rPr>
          <w:rFonts w:hint="eastAsia"/>
          <w:sz w:val="24"/>
          <w:szCs w:val="24"/>
        </w:rPr>
        <w:t>专家人选在省级财政部门设立的政府采购评审专家库中随机抽取。本项目评标委员会由5人组成，其中</w:t>
      </w:r>
      <w:r>
        <w:rPr>
          <w:rFonts w:hint="eastAsia" w:cs="宋体"/>
          <w:sz w:val="24"/>
          <w:szCs w:val="24"/>
        </w:rPr>
        <w:t>采购人代表</w:t>
      </w:r>
      <w:r>
        <w:rPr>
          <w:rFonts w:hint="eastAsia"/>
          <w:sz w:val="24"/>
          <w:szCs w:val="24"/>
        </w:rPr>
        <w:t>1人，</w:t>
      </w:r>
      <w:r>
        <w:rPr>
          <w:rFonts w:hint="eastAsia" w:cs="宋体"/>
          <w:sz w:val="24"/>
          <w:szCs w:val="24"/>
        </w:rPr>
        <w:t>评审专家</w:t>
      </w:r>
      <w:r>
        <w:rPr>
          <w:rFonts w:hint="eastAsia"/>
          <w:sz w:val="24"/>
          <w:szCs w:val="24"/>
        </w:rPr>
        <w:t>4人。</w:t>
      </w:r>
    </w:p>
    <w:p>
      <w:pPr>
        <w:pStyle w:val="27"/>
        <w:shd w:val="clear" w:color="auto" w:fill="FFFFFF"/>
        <w:spacing w:before="0" w:beforeAutospacing="0" w:after="0" w:afterAutospacing="0" w:line="360" w:lineRule="auto"/>
        <w:ind w:firstLine="480" w:firstLineChars="200"/>
        <w:rPr>
          <w:rFonts w:ascii="Times New Roman" w:hAnsi="Times New Roman"/>
          <w:bCs/>
          <w:kern w:val="2"/>
          <w:sz w:val="24"/>
          <w:szCs w:val="24"/>
        </w:rPr>
      </w:pPr>
      <w:r>
        <w:rPr>
          <w:rFonts w:ascii="Times New Roman" w:hAnsi="Helvetica"/>
          <w:bCs/>
          <w:kern w:val="2"/>
          <w:sz w:val="24"/>
          <w:szCs w:val="24"/>
        </w:rPr>
        <w:t>对技术复杂、专业性强的采购项目，通过随机方式难以确定合适评标专家的，经主管预算单位同意，采购人</w:t>
      </w:r>
      <w:r>
        <w:rPr>
          <w:rFonts w:hint="eastAsia" w:ascii="Times New Roman" w:hAnsi="Helvetica"/>
          <w:bCs/>
          <w:kern w:val="2"/>
          <w:sz w:val="24"/>
          <w:szCs w:val="24"/>
        </w:rPr>
        <w:t>或采购代理机构</w:t>
      </w:r>
      <w:r>
        <w:rPr>
          <w:rFonts w:ascii="Times New Roman" w:hAnsi="Helvetica"/>
          <w:bCs/>
          <w:kern w:val="2"/>
          <w:sz w:val="24"/>
          <w:szCs w:val="24"/>
        </w:rPr>
        <w:t>可以自行选定相应专业领域的评</w:t>
      </w:r>
      <w:r>
        <w:rPr>
          <w:rFonts w:hint="eastAsia" w:ascii="Times New Roman" w:hAnsi="Helvetica"/>
          <w:bCs/>
          <w:kern w:val="2"/>
          <w:sz w:val="24"/>
          <w:szCs w:val="24"/>
        </w:rPr>
        <w:t>审</w:t>
      </w:r>
      <w:r>
        <w:rPr>
          <w:rFonts w:ascii="Times New Roman" w:hAnsi="Helvetica"/>
          <w:bCs/>
          <w:kern w:val="2"/>
          <w:sz w:val="24"/>
          <w:szCs w:val="24"/>
        </w:rPr>
        <w:t>专家。</w:t>
      </w:r>
    </w:p>
    <w:p>
      <w:pPr>
        <w:spacing w:line="360" w:lineRule="auto"/>
        <w:ind w:left="120" w:leftChars="57" w:firstLine="360" w:firstLineChars="150"/>
        <w:rPr>
          <w:rFonts w:ascii="宋体" w:hAnsi="宋体"/>
          <w:sz w:val="24"/>
        </w:rPr>
      </w:pPr>
      <w:r>
        <w:rPr>
          <w:rFonts w:hint="eastAsia" w:ascii="宋体" w:hAnsi="宋体"/>
          <w:sz w:val="24"/>
        </w:rPr>
        <w:t>31.3 评委会成员到位后，推荐一名评审专家担任评审组长，并由评审组长牵头组织该项目评审工作，采购人授权的评审专家，不得担任评审组长。</w:t>
      </w:r>
    </w:p>
    <w:p>
      <w:pPr>
        <w:spacing w:line="360" w:lineRule="auto"/>
        <w:ind w:left="120" w:leftChars="57" w:firstLine="360" w:firstLineChars="150"/>
        <w:rPr>
          <w:rFonts w:ascii="宋体" w:hAnsi="宋体"/>
          <w:sz w:val="24"/>
        </w:rPr>
      </w:pPr>
      <w:r>
        <w:rPr>
          <w:rFonts w:hint="eastAsia" w:ascii="宋体" w:hAnsi="宋体"/>
          <w:sz w:val="24"/>
        </w:rPr>
        <w:t>31.4 评委会成员有下列情形之一的，应当回避：</w:t>
      </w:r>
    </w:p>
    <w:p>
      <w:pPr>
        <w:spacing w:line="360" w:lineRule="auto"/>
        <w:ind w:left="120" w:leftChars="57" w:firstLine="360" w:firstLineChars="150"/>
        <w:rPr>
          <w:rFonts w:ascii="宋体" w:hAnsi="宋体"/>
          <w:sz w:val="24"/>
        </w:rPr>
      </w:pPr>
      <w:r>
        <w:rPr>
          <w:rFonts w:hint="eastAsia" w:ascii="宋体" w:hAnsi="宋体"/>
          <w:sz w:val="24"/>
        </w:rPr>
        <w:t>（1）参加采购活动前三年内，与投标人存在劳动关系，或者担任过投标人的董事、监事，或者是投标人的控股股东或实际控制人；</w:t>
      </w:r>
    </w:p>
    <w:p>
      <w:pPr>
        <w:spacing w:line="360" w:lineRule="auto"/>
        <w:ind w:left="120" w:leftChars="57" w:firstLine="360" w:firstLineChars="150"/>
        <w:rPr>
          <w:rFonts w:ascii="宋体" w:hAnsi="宋体"/>
          <w:sz w:val="24"/>
        </w:rPr>
      </w:pPr>
      <w:r>
        <w:rPr>
          <w:rFonts w:hint="eastAsia" w:ascii="宋体" w:hAnsi="宋体"/>
          <w:sz w:val="24"/>
        </w:rPr>
        <w:t>（2）与投标人的法定代表人或者负责人有夫妻、直系血亲、三代以内旁系血亲或者近姻亲关系；</w:t>
      </w:r>
    </w:p>
    <w:p>
      <w:pPr>
        <w:spacing w:line="360" w:lineRule="auto"/>
        <w:ind w:left="120" w:leftChars="57" w:firstLine="360" w:firstLineChars="150"/>
        <w:rPr>
          <w:rFonts w:ascii="宋体" w:hAnsi="宋体"/>
          <w:sz w:val="24"/>
        </w:rPr>
      </w:pPr>
      <w:r>
        <w:rPr>
          <w:rFonts w:hint="eastAsia" w:ascii="宋体" w:hAnsi="宋体"/>
          <w:sz w:val="24"/>
        </w:rPr>
        <w:t>（3）与投标人有其他可能影响政府采购活动公平、公正进行的关系。</w:t>
      </w:r>
    </w:p>
    <w:p>
      <w:pPr>
        <w:spacing w:line="360" w:lineRule="auto"/>
        <w:ind w:left="120" w:leftChars="57" w:firstLine="360" w:firstLineChars="150"/>
        <w:rPr>
          <w:rFonts w:ascii="宋体" w:hAnsi="宋体"/>
          <w:sz w:val="24"/>
        </w:rPr>
      </w:pPr>
      <w:r>
        <w:rPr>
          <w:rFonts w:hint="eastAsia" w:ascii="宋体" w:hAnsi="宋体"/>
          <w:sz w:val="24"/>
        </w:rPr>
        <w:t>31.5 评委会成员名单在中标结果公告前，应当保密。</w:t>
      </w:r>
    </w:p>
    <w:p>
      <w:pPr>
        <w:pStyle w:val="8"/>
      </w:pPr>
      <w:r>
        <w:rPr>
          <w:rFonts w:hint="eastAsia"/>
        </w:rPr>
        <w:t>32.评标原则</w:t>
      </w:r>
    </w:p>
    <w:p>
      <w:pPr>
        <w:tabs>
          <w:tab w:val="left" w:pos="0"/>
        </w:tabs>
        <w:adjustRightInd w:val="0"/>
        <w:snapToGrid w:val="0"/>
        <w:spacing w:line="360" w:lineRule="auto"/>
        <w:ind w:firstLine="470" w:firstLineChars="196"/>
        <w:rPr>
          <w:rFonts w:ascii="宋体" w:hAnsi="宋体"/>
          <w:sz w:val="24"/>
        </w:rPr>
      </w:pPr>
      <w:r>
        <w:rPr>
          <w:rFonts w:hint="eastAsia" w:ascii="宋体" w:hAnsi="宋体"/>
          <w:sz w:val="24"/>
        </w:rPr>
        <w:t>32.1“公平、公正、科学、择优”为本次评标的基本原则，评标委员会按照这一原则的要求，公正、平等地对待各投标人。同时，在评审中恪守以下原则：</w:t>
      </w:r>
    </w:p>
    <w:p>
      <w:pPr>
        <w:tabs>
          <w:tab w:val="left" w:pos="0"/>
        </w:tabs>
        <w:adjustRightInd w:val="0"/>
        <w:snapToGrid w:val="0"/>
        <w:spacing w:line="360" w:lineRule="auto"/>
        <w:ind w:firstLine="470" w:firstLineChars="196"/>
        <w:rPr>
          <w:rFonts w:ascii="宋体" w:hAnsi="宋体"/>
          <w:sz w:val="24"/>
        </w:rPr>
      </w:pPr>
      <w:r>
        <w:rPr>
          <w:rFonts w:hint="eastAsia" w:ascii="宋体" w:hAnsi="宋体"/>
          <w:sz w:val="24"/>
        </w:rPr>
        <w:t>（1）统一性原则：评标委员会将按照统一的评标原则和评审方法，用统一标准进行评审。</w:t>
      </w:r>
    </w:p>
    <w:p>
      <w:pPr>
        <w:tabs>
          <w:tab w:val="left" w:pos="0"/>
        </w:tabs>
        <w:adjustRightInd w:val="0"/>
        <w:snapToGrid w:val="0"/>
        <w:spacing w:line="360" w:lineRule="auto"/>
        <w:ind w:firstLine="470" w:firstLineChars="196"/>
        <w:rPr>
          <w:rFonts w:ascii="宋体" w:hAnsi="宋体"/>
          <w:sz w:val="24"/>
        </w:rPr>
      </w:pPr>
      <w:r>
        <w:rPr>
          <w:rFonts w:hint="eastAsia" w:ascii="宋体" w:hAnsi="宋体"/>
          <w:sz w:val="24"/>
        </w:rPr>
        <w:t>（2）独立性原则:评标工作在评标委员会内部独立进行，不受外界任何因素的干扰和影响。评标委员会成员对其出具的意见承担个人责任。投标</w:t>
      </w:r>
      <w:r>
        <w:rPr>
          <w:rFonts w:hint="eastAsia" w:ascii="宋体" w:hAnsi="宋体" w:cs="宋体"/>
          <w:kern w:val="0"/>
          <w:sz w:val="24"/>
        </w:rPr>
        <w:t>人试图影响或干预评审的任何行为，将导致其丧失投标的资格，并承担相应的法律责任。</w:t>
      </w:r>
    </w:p>
    <w:p>
      <w:pPr>
        <w:tabs>
          <w:tab w:val="left" w:pos="0"/>
        </w:tabs>
        <w:adjustRightInd w:val="0"/>
        <w:snapToGrid w:val="0"/>
        <w:spacing w:line="360" w:lineRule="auto"/>
        <w:ind w:firstLine="470" w:firstLineChars="196"/>
        <w:rPr>
          <w:rFonts w:ascii="宋体" w:hAnsi="宋体"/>
          <w:sz w:val="24"/>
        </w:rPr>
      </w:pPr>
      <w:r>
        <w:rPr>
          <w:rFonts w:hint="eastAsia" w:ascii="宋体" w:hAnsi="宋体"/>
          <w:sz w:val="24"/>
        </w:rPr>
        <w:t>（3）客观性原则：评标委员会将严格按照招标文件要求，对投标人的投标文件进行认真评审；评标委员会对投标文件的评审仅依据投标文件本身，而不依据投标文件以外的任何因素。</w:t>
      </w:r>
    </w:p>
    <w:p>
      <w:pPr>
        <w:tabs>
          <w:tab w:val="left" w:pos="0"/>
        </w:tabs>
        <w:adjustRightInd w:val="0"/>
        <w:snapToGrid w:val="0"/>
        <w:spacing w:line="360" w:lineRule="auto"/>
        <w:ind w:firstLine="470" w:firstLineChars="196"/>
        <w:rPr>
          <w:rFonts w:ascii="宋体" w:hAnsi="宋体"/>
          <w:sz w:val="24"/>
        </w:rPr>
      </w:pPr>
      <w:r>
        <w:rPr>
          <w:rFonts w:hint="eastAsia" w:ascii="宋体" w:hAnsi="宋体"/>
          <w:sz w:val="24"/>
        </w:rPr>
        <w:t>（4）保密性原则：采购代理机构应当采取必要的措施，保证评标在严格保密情况下进行。</w:t>
      </w:r>
    </w:p>
    <w:p>
      <w:pPr>
        <w:tabs>
          <w:tab w:val="left" w:pos="0"/>
        </w:tabs>
        <w:adjustRightInd w:val="0"/>
        <w:snapToGrid w:val="0"/>
        <w:spacing w:line="360" w:lineRule="auto"/>
        <w:ind w:firstLine="470" w:firstLineChars="196"/>
        <w:rPr>
          <w:rFonts w:ascii="宋体" w:hAnsi="宋体"/>
          <w:sz w:val="24"/>
        </w:rPr>
      </w:pPr>
      <w:r>
        <w:rPr>
          <w:rFonts w:hint="eastAsia" w:ascii="宋体" w:hAnsi="宋体"/>
          <w:sz w:val="24"/>
        </w:rPr>
        <w:t>（5）综合性原则:评标委员会将综合分析、评审投标人的各项指标，而不以单项指标的优劣评定出中标人。</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32.2评标委员会有权对整个招标过程中出现的一切问题，根据《中华人民共和国政府采购法》及实施条例和《政府采购货物和服务招标投标管理办法》等相关规定进行处理。</w:t>
      </w:r>
      <w:r>
        <w:rPr>
          <w:rFonts w:hint="eastAsia" w:ascii="宋体" w:hAnsi="宋体"/>
          <w:sz w:val="24"/>
          <w:lang w:val="en-US" w:eastAsia="zh-CN"/>
        </w:rPr>
        <w:t xml:space="preserve"> </w:t>
      </w:r>
    </w:p>
    <w:p>
      <w:pPr>
        <w:pStyle w:val="8"/>
      </w:pPr>
      <w:r>
        <w:rPr>
          <w:rFonts w:hint="eastAsia"/>
        </w:rPr>
        <w:t>33.评标</w:t>
      </w:r>
    </w:p>
    <w:p>
      <w:pPr>
        <w:spacing w:line="360" w:lineRule="auto"/>
        <w:ind w:left="120" w:leftChars="57" w:firstLine="360" w:firstLineChars="150"/>
        <w:rPr>
          <w:rFonts w:ascii="宋体" w:hAnsi="宋体"/>
          <w:sz w:val="24"/>
        </w:rPr>
      </w:pPr>
      <w:r>
        <w:rPr>
          <w:rFonts w:hint="eastAsia" w:ascii="宋体" w:hAnsi="宋体"/>
          <w:sz w:val="24"/>
        </w:rPr>
        <w:t>33.1 评委会严格按照招标文件第四章“评标办法”规定的方法、评审因素、标准和程序对投标文件进行评审。第四章“评标办法”没有规定的方法、评审因素和标准，不作为评标依据。</w:t>
      </w:r>
    </w:p>
    <w:p>
      <w:pPr>
        <w:pStyle w:val="65"/>
        <w:spacing w:line="360" w:lineRule="auto"/>
        <w:ind w:firstLine="480" w:firstLineChars="200"/>
        <w:rPr>
          <w:rFonts w:ascii="宋体" w:hAnsi="宋体"/>
          <w:sz w:val="24"/>
          <w:szCs w:val="24"/>
        </w:rPr>
      </w:pPr>
      <w:r>
        <w:rPr>
          <w:rFonts w:hint="eastAsia" w:ascii="宋体" w:hAnsi="宋体"/>
          <w:sz w:val="24"/>
        </w:rPr>
        <w:t xml:space="preserve">33.2 </w:t>
      </w:r>
      <w:r>
        <w:rPr>
          <w:rFonts w:ascii="宋体" w:hAnsi="宋体"/>
          <w:sz w:val="24"/>
          <w:szCs w:val="24"/>
        </w:rPr>
        <w:t>评委会负责具体评标事务，并独立履行下列职责：</w:t>
      </w:r>
    </w:p>
    <w:p>
      <w:pPr>
        <w:pStyle w:val="65"/>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w:t>
      </w:r>
      <w:r>
        <w:rPr>
          <w:rFonts w:ascii="宋体" w:hAnsi="宋体"/>
          <w:sz w:val="24"/>
          <w:szCs w:val="24"/>
        </w:rPr>
        <w:t>）审查、评价投标文件是否符合招标文件的商务、技术、服务等实质性要求；</w:t>
      </w:r>
    </w:p>
    <w:p>
      <w:pPr>
        <w:pStyle w:val="65"/>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2</w:t>
      </w:r>
      <w:r>
        <w:rPr>
          <w:rFonts w:ascii="宋体" w:hAnsi="宋体"/>
          <w:sz w:val="24"/>
          <w:szCs w:val="24"/>
        </w:rPr>
        <w:t>）要求投标</w:t>
      </w:r>
      <w:r>
        <w:rPr>
          <w:rFonts w:hint="eastAsia" w:ascii="宋体" w:hAnsi="宋体"/>
          <w:sz w:val="24"/>
          <w:szCs w:val="24"/>
        </w:rPr>
        <w:t>人</w:t>
      </w:r>
      <w:r>
        <w:rPr>
          <w:rFonts w:ascii="宋体" w:hAnsi="宋体"/>
          <w:sz w:val="24"/>
          <w:szCs w:val="24"/>
        </w:rPr>
        <w:t>对投标文件有关事项作出澄清或者说明；</w:t>
      </w:r>
    </w:p>
    <w:p>
      <w:pPr>
        <w:pStyle w:val="65"/>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3</w:t>
      </w:r>
      <w:r>
        <w:rPr>
          <w:rFonts w:ascii="宋体" w:hAnsi="宋体"/>
          <w:sz w:val="24"/>
          <w:szCs w:val="24"/>
        </w:rPr>
        <w:t>）对投标文件进行比较和评价；</w:t>
      </w:r>
    </w:p>
    <w:p>
      <w:pPr>
        <w:pStyle w:val="65"/>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4</w:t>
      </w:r>
      <w:r>
        <w:rPr>
          <w:rFonts w:ascii="宋体" w:hAnsi="宋体"/>
          <w:sz w:val="24"/>
          <w:szCs w:val="24"/>
        </w:rPr>
        <w:t>）</w:t>
      </w:r>
      <w:r>
        <w:rPr>
          <w:rFonts w:hint="eastAsia" w:ascii="宋体" w:hAnsi="宋体"/>
          <w:sz w:val="24"/>
          <w:szCs w:val="24"/>
        </w:rPr>
        <w:t>确定</w:t>
      </w:r>
      <w:r>
        <w:rPr>
          <w:rFonts w:ascii="宋体" w:hAnsi="宋体"/>
          <w:sz w:val="24"/>
          <w:szCs w:val="24"/>
        </w:rPr>
        <w:t>中标候选人名单，</w:t>
      </w:r>
      <w:r>
        <w:rPr>
          <w:rFonts w:hint="eastAsia" w:ascii="宋体" w:hAnsi="宋体"/>
          <w:sz w:val="24"/>
          <w:szCs w:val="24"/>
        </w:rPr>
        <w:t>以及</w:t>
      </w:r>
      <w:r>
        <w:rPr>
          <w:rFonts w:ascii="宋体" w:hAnsi="宋体"/>
          <w:sz w:val="24"/>
          <w:szCs w:val="24"/>
        </w:rPr>
        <w:t>根据采购人委托直接确定中标</w:t>
      </w:r>
      <w:r>
        <w:rPr>
          <w:rFonts w:hint="eastAsia" w:ascii="宋体" w:hAnsi="宋体"/>
          <w:sz w:val="24"/>
          <w:szCs w:val="24"/>
        </w:rPr>
        <w:t>人</w:t>
      </w:r>
      <w:r>
        <w:rPr>
          <w:rFonts w:ascii="宋体" w:hAnsi="宋体"/>
          <w:sz w:val="24"/>
          <w:szCs w:val="24"/>
        </w:rPr>
        <w:t>；</w:t>
      </w:r>
    </w:p>
    <w:p>
      <w:pPr>
        <w:pStyle w:val="65"/>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5</w:t>
      </w:r>
      <w:r>
        <w:rPr>
          <w:rFonts w:ascii="宋体" w:hAnsi="宋体"/>
          <w:sz w:val="24"/>
          <w:szCs w:val="24"/>
        </w:rPr>
        <w:t>）向采购人、采购代理机构或者有关部门报告评标中发现的违法行为。</w:t>
      </w:r>
    </w:p>
    <w:p>
      <w:pPr>
        <w:pStyle w:val="65"/>
        <w:spacing w:line="360" w:lineRule="auto"/>
        <w:ind w:firstLine="480" w:firstLineChars="200"/>
        <w:rPr>
          <w:rFonts w:ascii="宋体" w:hAnsi="宋体"/>
          <w:sz w:val="24"/>
          <w:szCs w:val="24"/>
        </w:rPr>
      </w:pPr>
      <w:r>
        <w:rPr>
          <w:rFonts w:hint="eastAsia" w:ascii="宋体" w:hAnsi="宋体"/>
          <w:sz w:val="24"/>
          <w:szCs w:val="24"/>
        </w:rPr>
        <w:t>（6）配合采购代理机构答复投标人提出的质疑；</w:t>
      </w:r>
    </w:p>
    <w:p>
      <w:pPr>
        <w:pStyle w:val="65"/>
        <w:spacing w:line="360" w:lineRule="auto"/>
        <w:ind w:firstLine="480" w:firstLineChars="200"/>
        <w:rPr>
          <w:rFonts w:ascii="宋体" w:hAnsi="宋体"/>
          <w:sz w:val="24"/>
          <w:szCs w:val="24"/>
        </w:rPr>
      </w:pPr>
      <w:r>
        <w:rPr>
          <w:rFonts w:hint="eastAsia" w:ascii="宋体" w:hAnsi="宋体"/>
          <w:sz w:val="24"/>
          <w:szCs w:val="24"/>
        </w:rPr>
        <w:t>（7）配合财政部门的投诉处理工作；</w:t>
      </w:r>
    </w:p>
    <w:p>
      <w:pPr>
        <w:pStyle w:val="65"/>
        <w:spacing w:line="360" w:lineRule="auto"/>
        <w:ind w:firstLine="480" w:firstLineChars="200"/>
        <w:rPr>
          <w:rFonts w:ascii="宋体" w:hAnsi="宋体"/>
          <w:sz w:val="24"/>
          <w:szCs w:val="24"/>
        </w:rPr>
      </w:pPr>
      <w:r>
        <w:rPr>
          <w:rFonts w:hint="eastAsia" w:ascii="宋体" w:hAnsi="宋体"/>
          <w:sz w:val="24"/>
          <w:szCs w:val="24"/>
        </w:rPr>
        <w:t xml:space="preserve">33.3 </w:t>
      </w:r>
      <w:r>
        <w:rPr>
          <w:rFonts w:ascii="宋体" w:hAnsi="宋体"/>
          <w:sz w:val="24"/>
          <w:szCs w:val="24"/>
        </w:rPr>
        <w:t>采购代理机构负责组织评标工作并履行下列职责：</w:t>
      </w:r>
    </w:p>
    <w:p>
      <w:pPr>
        <w:widowControl/>
        <w:spacing w:line="360" w:lineRule="auto"/>
        <w:ind w:firstLine="480" w:firstLineChars="200"/>
        <w:jc w:val="left"/>
        <w:rPr>
          <w:bCs/>
          <w:sz w:val="24"/>
        </w:rPr>
      </w:pPr>
      <w:r>
        <w:rPr>
          <w:bCs/>
          <w:sz w:val="24"/>
        </w:rPr>
        <w:t>（</w:t>
      </w:r>
      <w:r>
        <w:rPr>
          <w:rFonts w:hint="eastAsia"/>
          <w:bCs/>
          <w:sz w:val="24"/>
        </w:rPr>
        <w:t>1</w:t>
      </w:r>
      <w:r>
        <w:rPr>
          <w:bCs/>
          <w:sz w:val="24"/>
        </w:rPr>
        <w:t>）</w:t>
      </w:r>
      <w:r>
        <w:rPr>
          <w:rFonts w:hint="eastAsia"/>
          <w:kern w:val="0"/>
          <w:sz w:val="24"/>
        </w:rPr>
        <w:t>核对评审专家身份和采购人代表授权函，对评审专家在政府采购活动中的职责履行情况予以记录，并及时将有关违法违规行为向财政部门报告；</w:t>
      </w:r>
    </w:p>
    <w:p>
      <w:pPr>
        <w:pStyle w:val="65"/>
        <w:spacing w:line="360" w:lineRule="auto"/>
        <w:ind w:firstLine="480" w:firstLineChars="200"/>
        <w:rPr>
          <w:rFonts w:ascii="宋体" w:hAnsi="宋体"/>
          <w:bCs/>
          <w:sz w:val="24"/>
        </w:rPr>
      </w:pPr>
      <w:r>
        <w:rPr>
          <w:rFonts w:ascii="宋体" w:hAnsi="宋体"/>
          <w:bCs/>
          <w:sz w:val="24"/>
        </w:rPr>
        <w:t>（</w:t>
      </w:r>
      <w:r>
        <w:rPr>
          <w:rFonts w:hint="eastAsia" w:ascii="宋体" w:hAnsi="宋体"/>
          <w:bCs/>
          <w:sz w:val="24"/>
        </w:rPr>
        <w:t>2</w:t>
      </w:r>
      <w:r>
        <w:rPr>
          <w:rFonts w:ascii="宋体" w:hAnsi="宋体"/>
          <w:bCs/>
          <w:sz w:val="24"/>
        </w:rPr>
        <w:t>）宣布评标纪律；</w:t>
      </w:r>
    </w:p>
    <w:p>
      <w:pPr>
        <w:pStyle w:val="65"/>
        <w:spacing w:line="360" w:lineRule="auto"/>
        <w:ind w:firstLine="480" w:firstLineChars="200"/>
        <w:rPr>
          <w:rFonts w:ascii="宋体" w:hAnsi="宋体"/>
          <w:bCs/>
          <w:sz w:val="24"/>
        </w:rPr>
      </w:pPr>
      <w:r>
        <w:rPr>
          <w:rFonts w:ascii="宋体" w:hAnsi="宋体"/>
          <w:bCs/>
          <w:sz w:val="24"/>
        </w:rPr>
        <w:t>（</w:t>
      </w:r>
      <w:r>
        <w:rPr>
          <w:rFonts w:hint="eastAsia" w:ascii="宋体" w:hAnsi="宋体"/>
          <w:bCs/>
          <w:sz w:val="24"/>
        </w:rPr>
        <w:t>3</w:t>
      </w:r>
      <w:r>
        <w:rPr>
          <w:rFonts w:ascii="宋体" w:hAnsi="宋体"/>
          <w:bCs/>
          <w:sz w:val="24"/>
        </w:rPr>
        <w:t>）公布投标</w:t>
      </w:r>
      <w:r>
        <w:rPr>
          <w:rFonts w:hint="eastAsia" w:ascii="宋体" w:hAnsi="宋体"/>
          <w:bCs/>
          <w:sz w:val="24"/>
        </w:rPr>
        <w:t>人</w:t>
      </w:r>
      <w:r>
        <w:rPr>
          <w:rFonts w:ascii="宋体" w:hAnsi="宋体"/>
          <w:bCs/>
          <w:sz w:val="24"/>
        </w:rPr>
        <w:t>名单，告知评标专家应当回避的情形；</w:t>
      </w:r>
    </w:p>
    <w:p>
      <w:pPr>
        <w:pStyle w:val="65"/>
        <w:spacing w:line="360" w:lineRule="auto"/>
        <w:ind w:firstLine="480" w:firstLineChars="200"/>
        <w:rPr>
          <w:rFonts w:ascii="宋体" w:hAnsi="宋体"/>
          <w:bCs/>
          <w:sz w:val="24"/>
        </w:rPr>
      </w:pPr>
      <w:r>
        <w:rPr>
          <w:rFonts w:ascii="宋体" w:hAnsi="宋体"/>
          <w:bCs/>
          <w:sz w:val="24"/>
        </w:rPr>
        <w:t>（</w:t>
      </w:r>
      <w:r>
        <w:rPr>
          <w:rFonts w:hint="eastAsia" w:ascii="宋体" w:hAnsi="宋体"/>
          <w:bCs/>
          <w:sz w:val="24"/>
        </w:rPr>
        <w:t>4</w:t>
      </w:r>
      <w:r>
        <w:rPr>
          <w:rFonts w:ascii="宋体" w:hAnsi="宋体"/>
          <w:bCs/>
          <w:sz w:val="24"/>
        </w:rPr>
        <w:t>）组织评标委员会推选评标组长，采购人代表不得担任组长；</w:t>
      </w:r>
    </w:p>
    <w:p>
      <w:pPr>
        <w:widowControl/>
        <w:spacing w:line="360" w:lineRule="auto"/>
        <w:ind w:firstLine="480" w:firstLineChars="200"/>
        <w:jc w:val="left"/>
        <w:rPr>
          <w:rFonts w:ascii="仿宋_GB2312" w:hAnsi="宋体" w:eastAsia="仿宋_GB2312" w:cs="宋体"/>
          <w:kern w:val="0"/>
          <w:sz w:val="28"/>
          <w:szCs w:val="28"/>
        </w:rPr>
      </w:pPr>
      <w:r>
        <w:rPr>
          <w:rFonts w:ascii="宋体" w:hAnsi="宋体"/>
          <w:bCs/>
          <w:sz w:val="24"/>
        </w:rPr>
        <w:t>（</w:t>
      </w:r>
      <w:r>
        <w:rPr>
          <w:rFonts w:hint="eastAsia" w:ascii="宋体" w:hAnsi="宋体"/>
          <w:bCs/>
          <w:sz w:val="24"/>
        </w:rPr>
        <w:t>5</w:t>
      </w:r>
      <w:r>
        <w:rPr>
          <w:rFonts w:ascii="宋体" w:hAnsi="宋体"/>
          <w:bCs/>
          <w:sz w:val="24"/>
        </w:rPr>
        <w:t>）</w:t>
      </w:r>
      <w:r>
        <w:rPr>
          <w:rFonts w:hint="eastAsia" w:ascii="宋体" w:hAnsi="宋体" w:cs="宋体"/>
          <w:kern w:val="0"/>
          <w:sz w:val="24"/>
        </w:rPr>
        <w:t>在评标期间采取必要的通讯管理措施，保证评标活动不受外界干扰；</w:t>
      </w:r>
    </w:p>
    <w:p>
      <w:pPr>
        <w:pStyle w:val="65"/>
        <w:spacing w:line="360" w:lineRule="auto"/>
        <w:ind w:firstLine="480" w:firstLineChars="200"/>
        <w:rPr>
          <w:rFonts w:ascii="宋体" w:hAnsi="宋体"/>
          <w:bCs/>
          <w:sz w:val="24"/>
        </w:rPr>
      </w:pPr>
      <w:r>
        <w:rPr>
          <w:rFonts w:ascii="宋体" w:hAnsi="宋体"/>
          <w:bCs/>
          <w:sz w:val="24"/>
        </w:rPr>
        <w:t>（</w:t>
      </w:r>
      <w:r>
        <w:rPr>
          <w:rFonts w:hint="eastAsia" w:ascii="宋体" w:hAnsi="宋体"/>
          <w:bCs/>
          <w:sz w:val="24"/>
        </w:rPr>
        <w:t>6</w:t>
      </w:r>
      <w:r>
        <w:rPr>
          <w:rFonts w:ascii="宋体" w:hAnsi="宋体"/>
          <w:bCs/>
          <w:sz w:val="24"/>
        </w:rPr>
        <w:t>）根据评标委员会的要求介绍政府采购相关政策法规、招标文件；</w:t>
      </w:r>
    </w:p>
    <w:p>
      <w:pPr>
        <w:pStyle w:val="65"/>
        <w:spacing w:line="360" w:lineRule="auto"/>
        <w:ind w:left="-61" w:leftChars="-29" w:firstLine="600" w:firstLineChars="250"/>
        <w:rPr>
          <w:rFonts w:ascii="宋体" w:hAnsi="宋体"/>
          <w:bCs/>
          <w:sz w:val="24"/>
        </w:rPr>
      </w:pPr>
      <w:r>
        <w:rPr>
          <w:rFonts w:ascii="宋体" w:hAnsi="宋体"/>
          <w:bCs/>
          <w:sz w:val="24"/>
        </w:rPr>
        <w:t>（</w:t>
      </w:r>
      <w:r>
        <w:rPr>
          <w:rFonts w:hint="eastAsia" w:ascii="宋体" w:hAnsi="宋体"/>
          <w:bCs/>
          <w:sz w:val="24"/>
        </w:rPr>
        <w:t>7</w:t>
      </w:r>
      <w:r>
        <w:rPr>
          <w:rFonts w:ascii="宋体" w:hAnsi="宋体"/>
          <w:bCs/>
          <w:sz w:val="24"/>
        </w:rPr>
        <w:t>）维护评标秩序，监督评标委员会依照评标文件规定的评审程序、方法和标准进行独立评审，及时制止和纠正采购人代表、评审专家的倾向性言论或违法违规行为</w:t>
      </w:r>
      <w:r>
        <w:rPr>
          <w:rFonts w:hint="eastAsia" w:ascii="宋体" w:hAnsi="宋体"/>
          <w:bCs/>
          <w:sz w:val="24"/>
        </w:rPr>
        <w:t xml:space="preserve">； </w:t>
      </w:r>
    </w:p>
    <w:p>
      <w:pPr>
        <w:pStyle w:val="65"/>
        <w:spacing w:line="360" w:lineRule="auto"/>
        <w:ind w:firstLine="480" w:firstLineChars="200"/>
        <w:rPr>
          <w:rFonts w:ascii="宋体" w:hAnsi="宋体"/>
          <w:bCs/>
          <w:sz w:val="24"/>
        </w:rPr>
      </w:pPr>
      <w:r>
        <w:rPr>
          <w:rFonts w:ascii="宋体" w:hAnsi="宋体"/>
          <w:bCs/>
          <w:sz w:val="24"/>
        </w:rPr>
        <w:t>（</w:t>
      </w:r>
      <w:r>
        <w:rPr>
          <w:rFonts w:hint="eastAsia" w:ascii="宋体" w:hAnsi="宋体"/>
          <w:bCs/>
          <w:sz w:val="24"/>
        </w:rPr>
        <w:t>8</w:t>
      </w:r>
      <w:r>
        <w:rPr>
          <w:rFonts w:ascii="宋体" w:hAnsi="宋体"/>
          <w:bCs/>
          <w:sz w:val="24"/>
        </w:rPr>
        <w:t>）核对评标结果，有</w:t>
      </w:r>
      <w:r>
        <w:rPr>
          <w:rFonts w:hint="eastAsia" w:ascii="宋体" w:hAnsi="宋体"/>
          <w:bCs/>
          <w:sz w:val="24"/>
        </w:rPr>
        <w:t>《政府采购货物和服务招标投标管理办法》</w:t>
      </w:r>
      <w:r>
        <w:rPr>
          <w:rFonts w:ascii="宋体" w:hAnsi="宋体"/>
          <w:bCs/>
          <w:sz w:val="24"/>
        </w:rPr>
        <w:t>第</w:t>
      </w:r>
      <w:r>
        <w:rPr>
          <w:rFonts w:hint="eastAsia" w:ascii="宋体" w:hAnsi="宋体"/>
          <w:bCs/>
          <w:sz w:val="24"/>
        </w:rPr>
        <w:t>六十四</w:t>
      </w:r>
      <w:r>
        <w:rPr>
          <w:rFonts w:ascii="宋体" w:hAnsi="宋体"/>
          <w:bCs/>
          <w:sz w:val="24"/>
        </w:rPr>
        <w:t>条</w:t>
      </w:r>
      <w:r>
        <w:rPr>
          <w:rFonts w:hint="eastAsia" w:ascii="宋体" w:hAnsi="宋体"/>
          <w:bCs/>
          <w:sz w:val="24"/>
        </w:rPr>
        <w:t xml:space="preserve">  </w:t>
      </w:r>
    </w:p>
    <w:p>
      <w:pPr>
        <w:pStyle w:val="65"/>
        <w:spacing w:line="360" w:lineRule="auto"/>
        <w:rPr>
          <w:rFonts w:ascii="宋体" w:hAnsi="宋体"/>
          <w:bCs/>
          <w:sz w:val="24"/>
        </w:rPr>
      </w:pPr>
      <w:r>
        <w:rPr>
          <w:rFonts w:ascii="宋体" w:hAnsi="宋体"/>
          <w:bCs/>
          <w:sz w:val="24"/>
        </w:rPr>
        <w:t>规定情形的，要求评标委员会复核或书面说明理由，评标委员会拒绝的，应予记录并</w:t>
      </w:r>
    </w:p>
    <w:p>
      <w:pPr>
        <w:pStyle w:val="65"/>
        <w:spacing w:line="360" w:lineRule="auto"/>
        <w:rPr>
          <w:rFonts w:ascii="宋体" w:hAnsi="宋体"/>
          <w:bCs/>
          <w:sz w:val="24"/>
        </w:rPr>
      </w:pPr>
      <w:r>
        <w:rPr>
          <w:rFonts w:ascii="宋体" w:hAnsi="宋体"/>
          <w:bCs/>
          <w:sz w:val="24"/>
        </w:rPr>
        <w:t>向本级财政部门报告；</w:t>
      </w:r>
    </w:p>
    <w:p>
      <w:pPr>
        <w:widowControl/>
        <w:spacing w:line="360" w:lineRule="auto"/>
        <w:ind w:firstLine="480" w:firstLineChars="200"/>
        <w:jc w:val="left"/>
        <w:rPr>
          <w:bCs/>
          <w:sz w:val="24"/>
        </w:rPr>
      </w:pPr>
      <w:r>
        <w:rPr>
          <w:rFonts w:hint="eastAsia"/>
          <w:bCs/>
          <w:sz w:val="24"/>
        </w:rPr>
        <w:t>（9）</w:t>
      </w:r>
      <w:r>
        <w:rPr>
          <w:rFonts w:hint="eastAsia"/>
          <w:kern w:val="0"/>
          <w:sz w:val="24"/>
        </w:rPr>
        <w:t>评审工作完成后，按照规定向评审专家支付劳务报酬和异地评审差旅费，不得向评审专家以外的其他人员支付评审劳务报酬；</w:t>
      </w:r>
    </w:p>
    <w:p>
      <w:pPr>
        <w:spacing w:line="360" w:lineRule="auto"/>
        <w:ind w:firstLine="504" w:firstLineChars="210"/>
        <w:rPr>
          <w:rFonts w:ascii="宋体" w:hAnsi="宋体"/>
          <w:sz w:val="24"/>
        </w:rPr>
      </w:pPr>
      <w:r>
        <w:rPr>
          <w:rFonts w:ascii="宋体" w:hAnsi="宋体"/>
          <w:sz w:val="24"/>
        </w:rPr>
        <w:t>（</w:t>
      </w:r>
      <w:r>
        <w:rPr>
          <w:rFonts w:hint="eastAsia" w:ascii="宋体" w:hAnsi="宋体"/>
          <w:sz w:val="24"/>
        </w:rPr>
        <w:t>10</w:t>
      </w:r>
      <w:r>
        <w:rPr>
          <w:rFonts w:ascii="宋体" w:hAnsi="宋体"/>
          <w:sz w:val="24"/>
        </w:rPr>
        <w:t>）处理与评标有关的其他事项。</w:t>
      </w:r>
    </w:p>
    <w:p>
      <w:pPr>
        <w:spacing w:line="360" w:lineRule="auto"/>
        <w:ind w:firstLine="504" w:firstLineChars="210"/>
        <w:rPr>
          <w:rFonts w:ascii="宋体" w:hAnsi="宋体"/>
          <w:sz w:val="24"/>
        </w:rPr>
      </w:pPr>
      <w:r>
        <w:rPr>
          <w:rFonts w:hint="eastAsia" w:ascii="宋体" w:hAnsi="宋体"/>
          <w:sz w:val="24"/>
        </w:rPr>
        <w:t xml:space="preserve">33.4 </w:t>
      </w:r>
      <w:r>
        <w:rPr>
          <w:rFonts w:ascii="宋体" w:hAnsi="宋体"/>
          <w:sz w:val="24"/>
        </w:rPr>
        <w:t>采购人可以在评标前介绍项目背景和采购需求，介绍内容不得含有歧视性、倾向性意见，不得超出招标文件所述范围。介绍应当提交书面介绍材料，并随采购文件一并存档。</w:t>
      </w:r>
    </w:p>
    <w:p>
      <w:pPr>
        <w:spacing w:line="360" w:lineRule="auto"/>
        <w:ind w:left="120" w:leftChars="57" w:firstLine="360" w:firstLineChars="150"/>
        <w:rPr>
          <w:rFonts w:ascii="宋体" w:hAnsi="宋体"/>
          <w:sz w:val="24"/>
        </w:rPr>
      </w:pPr>
      <w:r>
        <w:rPr>
          <w:rFonts w:hint="eastAsia" w:ascii="宋体" w:hAnsi="宋体"/>
          <w:sz w:val="24"/>
        </w:rPr>
        <w:t>33.5 评标过程严格保密</w:t>
      </w:r>
    </w:p>
    <w:p>
      <w:pPr>
        <w:spacing w:line="360" w:lineRule="auto"/>
        <w:ind w:firstLine="480" w:firstLineChars="200"/>
        <w:rPr>
          <w:rFonts w:ascii="宋体" w:hAnsi="宋体"/>
          <w:sz w:val="24"/>
        </w:rPr>
      </w:pPr>
      <w:r>
        <w:rPr>
          <w:rFonts w:hint="eastAsia" w:ascii="宋体" w:hAnsi="宋体"/>
          <w:sz w:val="24"/>
        </w:rPr>
        <w:t>33.5.1 开标后，直至授予中标人合同为止，凡属于对投标文件的审查、澄清、评价和比较的有关资料以及中标候选人的推荐情况，与评标有关的其他任何情况均严格保密；</w:t>
      </w:r>
    </w:p>
    <w:p>
      <w:pPr>
        <w:spacing w:line="360" w:lineRule="auto"/>
        <w:ind w:firstLine="480" w:firstLineChars="200"/>
        <w:rPr>
          <w:rFonts w:ascii="宋体" w:hAnsi="宋体"/>
          <w:sz w:val="24"/>
        </w:rPr>
      </w:pPr>
      <w:r>
        <w:rPr>
          <w:rFonts w:hint="eastAsia" w:ascii="宋体" w:hAnsi="宋体"/>
          <w:sz w:val="24"/>
        </w:rPr>
        <w:t>33.5.2 投标人对评委会的评标过程或合同授予决定施加影响的任何行为都可能导致其投标被拒绝。</w:t>
      </w:r>
      <w:bookmarkStart w:id="132" w:name="_Toc217446060"/>
    </w:p>
    <w:p>
      <w:pPr>
        <w:pStyle w:val="5"/>
        <w:spacing w:before="0" w:after="120" w:afterLines="50" w:line="360" w:lineRule="auto"/>
        <w:rPr>
          <w:rFonts w:ascii="宋体" w:hAnsi="宋体" w:eastAsia="宋体"/>
          <w:bCs/>
        </w:rPr>
      </w:pPr>
      <w:bookmarkStart w:id="133" w:name="_Toc2524"/>
      <w:bookmarkStart w:id="134" w:name="_Toc12637"/>
      <w:bookmarkStart w:id="135" w:name="_Toc31310"/>
      <w:r>
        <w:rPr>
          <w:rFonts w:hint="eastAsia" w:ascii="宋体" w:hAnsi="宋体" w:eastAsia="宋体"/>
          <w:bCs/>
        </w:rPr>
        <w:t>九、定标</w:t>
      </w:r>
      <w:bookmarkEnd w:id="132"/>
      <w:bookmarkEnd w:id="133"/>
      <w:bookmarkEnd w:id="134"/>
      <w:bookmarkEnd w:id="135"/>
      <w:bookmarkStart w:id="136" w:name="_Toc217446061"/>
    </w:p>
    <w:p>
      <w:pPr>
        <w:pStyle w:val="8"/>
      </w:pPr>
      <w:r>
        <w:rPr>
          <w:rFonts w:hint="eastAsia"/>
        </w:rPr>
        <w:t>34.定标原则</w:t>
      </w:r>
      <w:bookmarkEnd w:id="136"/>
    </w:p>
    <w:p>
      <w:pPr>
        <w:spacing w:line="360" w:lineRule="auto"/>
        <w:ind w:firstLine="470" w:firstLineChars="196"/>
        <w:rPr>
          <w:rFonts w:ascii="宋体" w:hAnsi="宋体"/>
          <w:sz w:val="24"/>
        </w:rPr>
      </w:pPr>
      <w:r>
        <w:rPr>
          <w:rFonts w:hint="eastAsia" w:ascii="宋体" w:hAnsi="宋体"/>
          <w:sz w:val="24"/>
        </w:rPr>
        <w:t>采购人或其授权的评委会按照评标报告中推荐的中标候选人名单，按顺序确定中标人。</w:t>
      </w:r>
      <w:bookmarkStart w:id="137" w:name="_Toc217446062"/>
    </w:p>
    <w:p>
      <w:pPr>
        <w:pStyle w:val="8"/>
      </w:pPr>
      <w:r>
        <w:rPr>
          <w:rFonts w:hint="eastAsia"/>
        </w:rPr>
        <w:t>35.定标程序</w:t>
      </w:r>
      <w:bookmarkEnd w:id="137"/>
    </w:p>
    <w:p>
      <w:pPr>
        <w:spacing w:line="360" w:lineRule="auto"/>
        <w:ind w:firstLine="480" w:firstLineChars="200"/>
        <w:rPr>
          <w:rFonts w:ascii="宋体" w:hAnsi="宋体"/>
          <w:sz w:val="24"/>
        </w:rPr>
      </w:pPr>
      <w:r>
        <w:rPr>
          <w:rFonts w:hint="eastAsia" w:ascii="宋体" w:hAnsi="宋体"/>
          <w:sz w:val="24"/>
        </w:rPr>
        <w:t>35.1评委会将评标情况写出书面报告，推荐3个中标候选人，并按照综合得分高低标明排列顺序。得分相同的，按投标报价由低到高顺序排列；得分且投标报价相同的并列。</w:t>
      </w:r>
    </w:p>
    <w:p>
      <w:pPr>
        <w:spacing w:line="360" w:lineRule="auto"/>
        <w:ind w:firstLine="420" w:firstLineChars="175"/>
        <w:rPr>
          <w:rFonts w:ascii="宋体" w:hAnsi="宋体"/>
          <w:sz w:val="24"/>
        </w:rPr>
      </w:pPr>
      <w:r>
        <w:rPr>
          <w:rFonts w:hint="eastAsia" w:ascii="宋体" w:hAnsi="宋体"/>
          <w:sz w:val="24"/>
        </w:rPr>
        <w:t>35.2 采购代理机构在评标结束后1个工作日内将评标报告送采购人。</w:t>
      </w:r>
    </w:p>
    <w:p>
      <w:pPr>
        <w:spacing w:line="360" w:lineRule="auto"/>
        <w:ind w:firstLine="420" w:firstLineChars="175"/>
        <w:rPr>
          <w:rFonts w:ascii="宋体" w:hAnsi="宋体"/>
          <w:sz w:val="24"/>
        </w:rPr>
      </w:pPr>
      <w:r>
        <w:rPr>
          <w:rFonts w:hint="eastAsia" w:ascii="宋体" w:hAnsi="宋体"/>
          <w:sz w:val="24"/>
        </w:rPr>
        <w:t>35.3 采购人应当在收到评标报告后4个工作日内，按照评标报告中推荐的中标候选人顺序和有关规定确定中标人，第一名中标候选人并列的，由采购人根据技术方案得分由高到低顺序确定。同时，复函采购代理机构。</w:t>
      </w:r>
    </w:p>
    <w:p>
      <w:pPr>
        <w:spacing w:line="360" w:lineRule="auto"/>
        <w:ind w:firstLine="422" w:firstLineChars="175"/>
        <w:rPr>
          <w:rFonts w:ascii="宋体" w:hAnsi="宋体"/>
          <w:b/>
          <w:sz w:val="24"/>
        </w:rPr>
      </w:pPr>
      <w:r>
        <w:rPr>
          <w:rFonts w:hint="eastAsia" w:ascii="宋体" w:hAnsi="宋体"/>
          <w:b/>
          <w:sz w:val="24"/>
        </w:rPr>
        <w:t>采购人在收到评标报告4个工作日内未按评标报告推荐的中标候选人顺序确定中标人，又不能说明合法理由的，视同按评标报告推荐的顺序确定排名第一的中标候选人为中标人。</w:t>
      </w:r>
    </w:p>
    <w:p>
      <w:pPr>
        <w:spacing w:line="360" w:lineRule="auto"/>
        <w:ind w:firstLine="420" w:firstLineChars="175"/>
        <w:rPr>
          <w:rFonts w:ascii="宋体" w:hAnsi="宋体"/>
          <w:sz w:val="24"/>
        </w:rPr>
      </w:pPr>
      <w:r>
        <w:rPr>
          <w:rFonts w:hint="eastAsia" w:ascii="宋体" w:hAnsi="宋体"/>
          <w:sz w:val="24"/>
        </w:rPr>
        <w:t>35.4采购代理机构应当在接到采购人“定标”复函之日起1个工作日内，根据采购人确定的中标人，在省级以上财政部门指定的媒体上发布中标公告，同时向中标人发出《中标通知书》。</w:t>
      </w:r>
    </w:p>
    <w:p>
      <w:pPr>
        <w:pStyle w:val="8"/>
      </w:pPr>
      <w:bookmarkStart w:id="138" w:name="_Toc183682375"/>
      <w:bookmarkStart w:id="139" w:name="_Toc183582238"/>
      <w:bookmarkStart w:id="140" w:name="_Toc217446063"/>
      <w:r>
        <w:rPr>
          <w:rFonts w:hint="eastAsia"/>
        </w:rPr>
        <w:t>36．中标通知</w:t>
      </w:r>
      <w:bookmarkEnd w:id="138"/>
      <w:bookmarkEnd w:id="139"/>
      <w:r>
        <w:rPr>
          <w:rFonts w:hint="eastAsia"/>
        </w:rPr>
        <w:t>书</w:t>
      </w:r>
      <w:bookmarkEnd w:id="140"/>
    </w:p>
    <w:p>
      <w:pPr>
        <w:tabs>
          <w:tab w:val="left" w:pos="7665"/>
        </w:tabs>
        <w:spacing w:line="360" w:lineRule="auto"/>
        <w:ind w:firstLine="480" w:firstLineChars="200"/>
        <w:rPr>
          <w:rFonts w:ascii="宋体" w:hAnsi="宋体"/>
          <w:sz w:val="24"/>
        </w:rPr>
      </w:pPr>
      <w:r>
        <w:rPr>
          <w:rFonts w:hint="eastAsia" w:ascii="宋体" w:hAnsi="宋体"/>
          <w:sz w:val="24"/>
        </w:rPr>
        <w:t>36</w:t>
      </w:r>
      <w:r>
        <w:rPr>
          <w:rFonts w:hint="eastAsia" w:ascii="宋体" w:hAnsi="宋体"/>
          <w:b/>
          <w:bCs/>
          <w:sz w:val="24"/>
        </w:rPr>
        <w:t>.</w:t>
      </w:r>
      <w:r>
        <w:rPr>
          <w:rFonts w:hint="eastAsia" w:ascii="宋体" w:hAnsi="宋体"/>
          <w:sz w:val="24"/>
        </w:rPr>
        <w:t>1中标通知书为签订政府采购合同的依据，是合同的有效组成部分。</w:t>
      </w:r>
    </w:p>
    <w:p>
      <w:pPr>
        <w:tabs>
          <w:tab w:val="left" w:pos="7665"/>
        </w:tabs>
        <w:spacing w:line="360" w:lineRule="auto"/>
        <w:ind w:firstLine="480"/>
        <w:rPr>
          <w:rFonts w:ascii="宋体" w:hAnsi="宋体"/>
          <w:sz w:val="24"/>
        </w:rPr>
      </w:pPr>
      <w:r>
        <w:rPr>
          <w:rFonts w:hint="eastAsia" w:ascii="宋体" w:hAnsi="宋体"/>
          <w:sz w:val="24"/>
        </w:rPr>
        <w:t>36.2中标通知书对采购人和中标人均具有法律效力。中标通知书发出后，采购人改变中标结果，或者中标人无正当理由放弃中标的，应当承担相应的法律责任。</w:t>
      </w:r>
    </w:p>
    <w:p>
      <w:pPr>
        <w:tabs>
          <w:tab w:val="left" w:pos="7665"/>
        </w:tabs>
        <w:spacing w:line="360" w:lineRule="auto"/>
        <w:ind w:firstLine="480"/>
        <w:rPr>
          <w:rFonts w:ascii="宋体" w:hAnsi="宋体"/>
          <w:sz w:val="24"/>
        </w:rPr>
      </w:pPr>
      <w:r>
        <w:rPr>
          <w:rFonts w:hint="eastAsia" w:ascii="宋体" w:hAnsi="宋体"/>
          <w:sz w:val="24"/>
        </w:rPr>
        <w:t>36.3中标人应当在接到采购代理机构通知之日起7个工作日内领取《中标通知书》。</w:t>
      </w:r>
    </w:p>
    <w:p>
      <w:pPr>
        <w:tabs>
          <w:tab w:val="left" w:pos="7665"/>
        </w:tabs>
        <w:spacing w:line="360" w:lineRule="auto"/>
        <w:ind w:firstLine="480"/>
        <w:rPr>
          <w:rFonts w:ascii="宋体" w:hAnsi="宋体"/>
          <w:sz w:val="24"/>
        </w:rPr>
      </w:pPr>
      <w:r>
        <w:rPr>
          <w:rFonts w:hint="eastAsia" w:ascii="宋体" w:hAnsi="宋体"/>
          <w:sz w:val="24"/>
        </w:rPr>
        <w:t>36.4在《中标通知书》发出后，发现中标人有政府采购法律法规规章制度规定的中标无效情形的，采购代理机构在取得监督管理机构的认定以后，应当宣布发出的中标通知书无效，并收回发出的中标通知书（中标人也应当交回），依法重新确定中标人或者重新开展采购活动。</w:t>
      </w:r>
    </w:p>
    <w:p>
      <w:pPr>
        <w:tabs>
          <w:tab w:val="left" w:pos="7665"/>
        </w:tabs>
        <w:spacing w:line="360" w:lineRule="auto"/>
        <w:ind w:firstLine="480"/>
        <w:rPr>
          <w:rFonts w:ascii="宋体" w:hAnsi="宋体"/>
          <w:sz w:val="24"/>
        </w:rPr>
      </w:pPr>
      <w:r>
        <w:rPr>
          <w:rFonts w:hint="eastAsia" w:ascii="宋体" w:hAnsi="宋体"/>
          <w:sz w:val="24"/>
        </w:rPr>
        <w:t>36.5 中标通知书发出后，采购人不得违法改变中标结果，中标人无正当理由不得放弃中标。</w:t>
      </w:r>
    </w:p>
    <w:p>
      <w:pPr>
        <w:pStyle w:val="5"/>
        <w:spacing w:before="0" w:after="120" w:afterLines="50" w:line="360" w:lineRule="auto"/>
        <w:rPr>
          <w:rFonts w:ascii="宋体" w:hAnsi="宋体" w:eastAsia="宋体"/>
          <w:bCs/>
        </w:rPr>
      </w:pPr>
      <w:bookmarkStart w:id="141" w:name="_Toc20709"/>
      <w:bookmarkStart w:id="142" w:name="_Toc15100"/>
      <w:bookmarkStart w:id="143" w:name="_Toc11804"/>
      <w:bookmarkStart w:id="144" w:name="_Toc217446064"/>
      <w:bookmarkStart w:id="145" w:name="_Toc183582240"/>
      <w:bookmarkStart w:id="146" w:name="_Toc183682377"/>
      <w:r>
        <w:rPr>
          <w:rFonts w:hint="eastAsia" w:ascii="宋体" w:hAnsi="宋体" w:eastAsia="宋体"/>
          <w:bCs/>
        </w:rPr>
        <w:t>十、废标或变更采购方式</w:t>
      </w:r>
      <w:bookmarkEnd w:id="141"/>
      <w:bookmarkEnd w:id="142"/>
      <w:bookmarkEnd w:id="143"/>
      <w:bookmarkStart w:id="147" w:name="_Toc217446072"/>
    </w:p>
    <w:p>
      <w:pPr>
        <w:pStyle w:val="8"/>
      </w:pPr>
      <w:r>
        <w:rPr>
          <w:rFonts w:hint="eastAsia"/>
        </w:rPr>
        <w:t>37.废标的情形</w:t>
      </w:r>
      <w:bookmarkEnd w:id="147"/>
    </w:p>
    <w:p>
      <w:pPr>
        <w:pStyle w:val="2"/>
        <w:spacing w:line="360" w:lineRule="auto"/>
        <w:ind w:firstLine="525"/>
        <w:rPr>
          <w:rFonts w:ascii="宋体" w:hAnsi="宋体"/>
          <w:sz w:val="24"/>
          <w:szCs w:val="24"/>
        </w:rPr>
      </w:pPr>
      <w:r>
        <w:rPr>
          <w:rFonts w:hint="eastAsia" w:ascii="宋体" w:hAnsi="宋体"/>
          <w:sz w:val="24"/>
          <w:szCs w:val="24"/>
        </w:rPr>
        <w:t>37.1 招标采购中，出现下列情形之一的，应予以废标：</w:t>
      </w:r>
    </w:p>
    <w:p>
      <w:pPr>
        <w:pStyle w:val="2"/>
        <w:spacing w:line="360" w:lineRule="auto"/>
        <w:ind w:firstLine="525"/>
        <w:rPr>
          <w:rFonts w:ascii="宋体" w:hAnsi="宋体"/>
          <w:sz w:val="24"/>
          <w:szCs w:val="24"/>
        </w:rPr>
      </w:pPr>
      <w:r>
        <w:rPr>
          <w:rFonts w:hint="eastAsia" w:ascii="宋体" w:hAnsi="宋体"/>
          <w:sz w:val="24"/>
          <w:szCs w:val="24"/>
        </w:rPr>
        <w:t>（1）符合专业条件的投标人或者对招标文件作实质响应的投标人不足3家的；</w:t>
      </w:r>
    </w:p>
    <w:p>
      <w:pPr>
        <w:pStyle w:val="2"/>
        <w:spacing w:line="360" w:lineRule="auto"/>
        <w:ind w:firstLine="525"/>
        <w:rPr>
          <w:rFonts w:ascii="宋体" w:hAnsi="宋体"/>
          <w:sz w:val="24"/>
          <w:szCs w:val="24"/>
        </w:rPr>
      </w:pPr>
      <w:r>
        <w:rPr>
          <w:rFonts w:hint="eastAsia" w:ascii="宋体" w:hAnsi="宋体"/>
          <w:sz w:val="24"/>
          <w:szCs w:val="24"/>
        </w:rPr>
        <w:t>（2）出现影响采购公正的违法、违规行为的；</w:t>
      </w:r>
    </w:p>
    <w:p>
      <w:pPr>
        <w:pStyle w:val="2"/>
        <w:spacing w:line="360" w:lineRule="auto"/>
        <w:ind w:firstLine="525"/>
        <w:rPr>
          <w:rFonts w:ascii="宋体" w:hAnsi="宋体"/>
          <w:sz w:val="24"/>
          <w:szCs w:val="24"/>
        </w:rPr>
      </w:pPr>
      <w:r>
        <w:rPr>
          <w:rFonts w:hint="eastAsia" w:ascii="宋体" w:hAnsi="宋体"/>
          <w:sz w:val="24"/>
          <w:szCs w:val="24"/>
        </w:rPr>
        <w:t>（3）投标人的报价均超过了采购预算，采购人不能支付的；</w:t>
      </w:r>
    </w:p>
    <w:p>
      <w:pPr>
        <w:pStyle w:val="2"/>
        <w:spacing w:line="360" w:lineRule="auto"/>
        <w:ind w:firstLine="525"/>
        <w:rPr>
          <w:rFonts w:ascii="宋体" w:hAnsi="宋体"/>
          <w:sz w:val="24"/>
          <w:szCs w:val="24"/>
        </w:rPr>
      </w:pPr>
      <w:r>
        <w:rPr>
          <w:rFonts w:hint="eastAsia" w:ascii="宋体" w:hAnsi="宋体"/>
          <w:sz w:val="24"/>
          <w:szCs w:val="24"/>
        </w:rPr>
        <w:t>（4）因重大变故，采购任务取消的。</w:t>
      </w:r>
    </w:p>
    <w:p>
      <w:pPr>
        <w:pStyle w:val="2"/>
        <w:spacing w:line="360" w:lineRule="auto"/>
        <w:ind w:firstLine="525"/>
        <w:rPr>
          <w:rFonts w:ascii="宋体" w:hAnsi="宋体"/>
          <w:sz w:val="24"/>
          <w:szCs w:val="24"/>
        </w:rPr>
      </w:pPr>
      <w:r>
        <w:rPr>
          <w:rFonts w:hint="eastAsia" w:ascii="宋体" w:hAnsi="宋体"/>
          <w:sz w:val="24"/>
          <w:szCs w:val="24"/>
        </w:rPr>
        <w:t>37.2 废标后，采购代理机构应在财政部门指定采购网上公告，并公告废标的详细理由。</w:t>
      </w:r>
    </w:p>
    <w:p>
      <w:pPr>
        <w:pStyle w:val="8"/>
      </w:pPr>
      <w:r>
        <w:rPr>
          <w:rFonts w:hint="eastAsia"/>
        </w:rPr>
        <w:t>38.变更采购方式</w:t>
      </w:r>
    </w:p>
    <w:p>
      <w:pPr>
        <w:pStyle w:val="27"/>
        <w:shd w:val="clear" w:color="auto" w:fill="FFFFFF"/>
        <w:spacing w:before="0" w:beforeAutospacing="0" w:after="0" w:afterAutospacing="0" w:line="360" w:lineRule="auto"/>
        <w:ind w:firstLine="480" w:firstLineChars="200"/>
        <w:rPr>
          <w:sz w:val="24"/>
          <w:szCs w:val="24"/>
        </w:rPr>
      </w:pPr>
      <w:r>
        <w:rPr>
          <w:rFonts w:hint="eastAsia"/>
          <w:sz w:val="24"/>
          <w:szCs w:val="24"/>
        </w:rPr>
        <w:t>38.1存在下列情形之一的，</w:t>
      </w:r>
      <w:r>
        <w:rPr>
          <w:sz w:val="24"/>
          <w:szCs w:val="24"/>
        </w:rPr>
        <w:t>除采购任务取消情形外，</w:t>
      </w:r>
      <w:r>
        <w:rPr>
          <w:rFonts w:hint="eastAsia"/>
          <w:sz w:val="24"/>
          <w:szCs w:val="24"/>
        </w:rPr>
        <w:t>采购人经同级财政部门同意后，可按《政府采购货物和服务招标投标管理办法》（财政部87号令）第四十三条规定的方式处理：</w:t>
      </w:r>
    </w:p>
    <w:p>
      <w:pPr>
        <w:pStyle w:val="27"/>
        <w:shd w:val="clear" w:color="auto" w:fill="FFFFFF"/>
        <w:spacing w:before="0" w:beforeAutospacing="0" w:after="0" w:afterAutospacing="0" w:line="360" w:lineRule="auto"/>
        <w:ind w:firstLine="480" w:firstLineChars="200"/>
        <w:rPr>
          <w:sz w:val="24"/>
          <w:szCs w:val="24"/>
        </w:rPr>
      </w:pPr>
      <w:r>
        <w:rPr>
          <w:rFonts w:hint="eastAsia"/>
          <w:sz w:val="24"/>
          <w:szCs w:val="24"/>
        </w:rPr>
        <w:t>（1）</w:t>
      </w:r>
      <w:r>
        <w:rPr>
          <w:sz w:val="24"/>
          <w:szCs w:val="24"/>
        </w:rPr>
        <w:t>投标截止后参加投标的人不足3家</w:t>
      </w:r>
      <w:r>
        <w:rPr>
          <w:rFonts w:hint="eastAsia"/>
          <w:sz w:val="24"/>
          <w:szCs w:val="24"/>
        </w:rPr>
        <w:t>的；</w:t>
      </w:r>
    </w:p>
    <w:p>
      <w:pPr>
        <w:pStyle w:val="27"/>
        <w:shd w:val="clear" w:color="auto" w:fill="FFFFFF"/>
        <w:spacing w:before="0" w:beforeAutospacing="0" w:after="0" w:afterAutospacing="0" w:line="360" w:lineRule="auto"/>
        <w:ind w:firstLine="480" w:firstLineChars="200"/>
        <w:rPr>
          <w:sz w:val="24"/>
          <w:szCs w:val="24"/>
        </w:rPr>
      </w:pPr>
      <w:r>
        <w:rPr>
          <w:rFonts w:hint="eastAsia"/>
          <w:sz w:val="24"/>
          <w:szCs w:val="24"/>
        </w:rPr>
        <w:t>（2）通过资格审查的</w:t>
      </w:r>
      <w:r>
        <w:rPr>
          <w:sz w:val="24"/>
          <w:szCs w:val="24"/>
        </w:rPr>
        <w:t>投标人不足3家</w:t>
      </w:r>
      <w:r>
        <w:rPr>
          <w:rFonts w:hint="eastAsia"/>
          <w:sz w:val="24"/>
          <w:szCs w:val="24"/>
        </w:rPr>
        <w:t>的；</w:t>
      </w:r>
    </w:p>
    <w:p>
      <w:pPr>
        <w:pStyle w:val="27"/>
        <w:shd w:val="clear" w:color="auto" w:fill="FFFFFF"/>
        <w:spacing w:before="0" w:beforeAutospacing="0" w:after="0" w:afterAutospacing="0" w:line="360" w:lineRule="auto"/>
        <w:ind w:firstLine="480" w:firstLineChars="200"/>
        <w:rPr>
          <w:sz w:val="24"/>
          <w:szCs w:val="24"/>
        </w:rPr>
      </w:pPr>
      <w:r>
        <w:rPr>
          <w:rFonts w:hint="eastAsia"/>
          <w:sz w:val="24"/>
          <w:szCs w:val="24"/>
        </w:rPr>
        <w:t>（3）通过符合性审查的</w:t>
      </w:r>
      <w:r>
        <w:rPr>
          <w:sz w:val="24"/>
          <w:szCs w:val="24"/>
        </w:rPr>
        <w:t>投标</w:t>
      </w:r>
      <w:r>
        <w:rPr>
          <w:rFonts w:hint="eastAsia"/>
          <w:sz w:val="24"/>
          <w:szCs w:val="24"/>
        </w:rPr>
        <w:t>人</w:t>
      </w:r>
      <w:r>
        <w:rPr>
          <w:sz w:val="24"/>
          <w:szCs w:val="24"/>
        </w:rPr>
        <w:t>不足3家的</w:t>
      </w:r>
      <w:r>
        <w:rPr>
          <w:rFonts w:hint="eastAsia"/>
          <w:sz w:val="24"/>
          <w:szCs w:val="24"/>
        </w:rPr>
        <w:t>。</w:t>
      </w:r>
    </w:p>
    <w:p>
      <w:pPr>
        <w:pStyle w:val="2"/>
        <w:spacing w:line="360" w:lineRule="auto"/>
        <w:ind w:firstLine="527"/>
        <w:rPr>
          <w:rFonts w:ascii="宋体" w:hAnsi="宋体"/>
          <w:sz w:val="24"/>
          <w:szCs w:val="24"/>
        </w:rPr>
      </w:pPr>
      <w:r>
        <w:rPr>
          <w:rFonts w:hint="eastAsia" w:ascii="宋体" w:hAnsi="宋体"/>
          <w:sz w:val="24"/>
          <w:szCs w:val="24"/>
        </w:rPr>
        <w:t>38.2 通过符合性审查的投标人只有2家时，采购人经同级财政部门同意后，可以按《</w:t>
      </w:r>
      <w:r>
        <w:rPr>
          <w:rFonts w:hint="eastAsia" w:ascii="宋体" w:hAnsi="宋体" w:cs="Arial"/>
          <w:sz w:val="24"/>
          <w:szCs w:val="24"/>
          <w:shd w:val="clear" w:color="auto" w:fill="FFFFFF"/>
        </w:rPr>
        <w:t>政府采购非招标采购方式管理办法》（财政部第74号令）的规定</w:t>
      </w:r>
      <w:r>
        <w:rPr>
          <w:rFonts w:hint="eastAsia" w:ascii="宋体" w:hAnsi="宋体"/>
          <w:sz w:val="24"/>
          <w:szCs w:val="24"/>
        </w:rPr>
        <w:t>与该2家投标人进行竞争性谈判采购。</w:t>
      </w:r>
    </w:p>
    <w:p>
      <w:pPr>
        <w:pStyle w:val="2"/>
        <w:spacing w:line="360" w:lineRule="auto"/>
        <w:ind w:firstLine="527"/>
        <w:rPr>
          <w:rFonts w:ascii="宋体" w:hAnsi="宋体"/>
          <w:sz w:val="24"/>
          <w:szCs w:val="24"/>
        </w:rPr>
      </w:pPr>
      <w:r>
        <w:rPr>
          <w:rFonts w:hint="eastAsia" w:ascii="宋体" w:hAnsi="宋体"/>
          <w:sz w:val="24"/>
          <w:szCs w:val="24"/>
        </w:rPr>
        <w:t>38.3在招标过程中，提交投标文件或者通过资格审查或符合性审查的投标人只有1家时，按废标处理，重新开展采购活动。</w:t>
      </w:r>
    </w:p>
    <w:p>
      <w:pPr>
        <w:pStyle w:val="5"/>
        <w:spacing w:before="0" w:after="120" w:afterLines="50" w:line="360" w:lineRule="auto"/>
        <w:rPr>
          <w:rFonts w:ascii="宋体" w:hAnsi="宋体" w:eastAsia="宋体"/>
          <w:bCs/>
        </w:rPr>
      </w:pPr>
      <w:bookmarkStart w:id="148" w:name="_Toc29448"/>
      <w:bookmarkStart w:id="149" w:name="_Toc496"/>
      <w:bookmarkStart w:id="150" w:name="_Toc16935"/>
      <w:r>
        <w:rPr>
          <w:rFonts w:hint="eastAsia" w:ascii="宋体" w:hAnsi="宋体" w:eastAsia="宋体"/>
          <w:bCs/>
        </w:rPr>
        <w:t>十一、合同</w:t>
      </w:r>
      <w:bookmarkEnd w:id="144"/>
      <w:r>
        <w:rPr>
          <w:rFonts w:hint="eastAsia" w:ascii="宋体" w:hAnsi="宋体" w:eastAsia="宋体"/>
          <w:bCs/>
        </w:rPr>
        <w:t>授予</w:t>
      </w:r>
      <w:bookmarkEnd w:id="148"/>
      <w:bookmarkEnd w:id="149"/>
      <w:bookmarkEnd w:id="150"/>
      <w:bookmarkStart w:id="151" w:name="_Toc217446065"/>
    </w:p>
    <w:p>
      <w:pPr>
        <w:pStyle w:val="8"/>
      </w:pPr>
      <w:r>
        <w:rPr>
          <w:rFonts w:hint="eastAsia"/>
        </w:rPr>
        <w:t>39.履约保证金</w:t>
      </w:r>
    </w:p>
    <w:p>
      <w:pPr>
        <w:tabs>
          <w:tab w:val="left" w:pos="7665"/>
        </w:tabs>
        <w:spacing w:line="360" w:lineRule="auto"/>
        <w:ind w:firstLine="482"/>
        <w:rPr>
          <w:rFonts w:ascii="宋体" w:hAnsi="宋体"/>
          <w:sz w:val="24"/>
        </w:rPr>
      </w:pPr>
      <w:r>
        <w:rPr>
          <w:rFonts w:hint="eastAsia" w:ascii="宋体" w:hAnsi="宋体"/>
          <w:sz w:val="24"/>
        </w:rPr>
        <w:t>39.1 本项目需要提交履约保证金的，适用本条。</w:t>
      </w:r>
    </w:p>
    <w:p>
      <w:pPr>
        <w:tabs>
          <w:tab w:val="left" w:pos="7665"/>
        </w:tabs>
        <w:spacing w:line="360" w:lineRule="auto"/>
        <w:ind w:firstLine="482"/>
        <w:rPr>
          <w:sz w:val="24"/>
        </w:rPr>
      </w:pPr>
      <w:r>
        <w:rPr>
          <w:rFonts w:hint="eastAsia" w:ascii="宋体" w:hAnsi="宋体"/>
          <w:sz w:val="24"/>
        </w:rPr>
        <w:t>39.2</w:t>
      </w:r>
      <w:r>
        <w:rPr>
          <w:rFonts w:hint="eastAsia" w:cs="宋体"/>
          <w:kern w:val="0"/>
          <w:sz w:val="24"/>
        </w:rPr>
        <w:t xml:space="preserve"> </w:t>
      </w:r>
      <w:r>
        <w:rPr>
          <w:rFonts w:hint="eastAsia"/>
          <w:sz w:val="24"/>
        </w:rPr>
        <w:t>中标人在收到采购代理机构的中标通知书后10日内，应按照</w:t>
      </w:r>
      <w:r>
        <w:rPr>
          <w:rFonts w:hint="eastAsia"/>
          <w:b/>
          <w:sz w:val="24"/>
        </w:rPr>
        <w:t>投标人须知前附表</w:t>
      </w:r>
      <w:r>
        <w:rPr>
          <w:rFonts w:hint="eastAsia"/>
          <w:sz w:val="24"/>
        </w:rPr>
        <w:t>的规定，向采购人提交履约保证金或履约担保。</w:t>
      </w:r>
    </w:p>
    <w:p>
      <w:pPr>
        <w:tabs>
          <w:tab w:val="left" w:pos="7665"/>
        </w:tabs>
        <w:spacing w:line="360" w:lineRule="auto"/>
        <w:ind w:firstLine="482"/>
        <w:rPr>
          <w:rFonts w:ascii="宋体" w:hAnsi="宋体"/>
          <w:b/>
          <w:sz w:val="24"/>
        </w:rPr>
      </w:pPr>
      <w:r>
        <w:rPr>
          <w:rFonts w:hint="eastAsia" w:ascii="宋体" w:hAnsi="宋体"/>
          <w:sz w:val="24"/>
        </w:rPr>
        <w:t>39.3</w:t>
      </w:r>
      <w:r>
        <w:rPr>
          <w:rFonts w:hint="eastAsia"/>
          <w:sz w:val="24"/>
        </w:rPr>
        <w:t xml:space="preserve"> 中标人</w:t>
      </w:r>
      <w:r>
        <w:rPr>
          <w:rFonts w:hint="eastAsia"/>
          <w:spacing w:val="4"/>
          <w:sz w:val="24"/>
        </w:rPr>
        <w:t>没有按照规定</w:t>
      </w:r>
      <w:r>
        <w:rPr>
          <w:rFonts w:hint="eastAsia"/>
          <w:sz w:val="24"/>
        </w:rPr>
        <w:t>提交履约保证金或履约担保的</w:t>
      </w:r>
      <w:r>
        <w:rPr>
          <w:rFonts w:hint="eastAsia"/>
          <w:spacing w:val="4"/>
          <w:sz w:val="24"/>
        </w:rPr>
        <w:t>，视为放弃</w:t>
      </w:r>
      <w:r>
        <w:rPr>
          <w:rFonts w:hint="eastAsia"/>
          <w:sz w:val="24"/>
        </w:rPr>
        <w:t>中标资格</w:t>
      </w:r>
      <w:r>
        <w:rPr>
          <w:rFonts w:hint="eastAsia"/>
          <w:spacing w:val="4"/>
          <w:sz w:val="24"/>
        </w:rPr>
        <w:t>，</w:t>
      </w:r>
      <w:r>
        <w:rPr>
          <w:rFonts w:hint="eastAsia"/>
          <w:spacing w:val="2"/>
          <w:sz w:val="24"/>
        </w:rPr>
        <w:t>给采购人造成的损失的，中标人应当予以赔偿。</w:t>
      </w:r>
    </w:p>
    <w:p>
      <w:pPr>
        <w:pStyle w:val="8"/>
      </w:pPr>
      <w:r>
        <w:rPr>
          <w:rFonts w:hint="eastAsia"/>
        </w:rPr>
        <w:t>40.合同</w:t>
      </w:r>
      <w:bookmarkEnd w:id="151"/>
      <w:r>
        <w:rPr>
          <w:rFonts w:hint="eastAsia"/>
        </w:rPr>
        <w:t>订立</w:t>
      </w:r>
    </w:p>
    <w:p>
      <w:pPr>
        <w:tabs>
          <w:tab w:val="left" w:pos="7665"/>
        </w:tabs>
        <w:spacing w:line="360" w:lineRule="auto"/>
        <w:ind w:firstLine="482"/>
        <w:rPr>
          <w:rFonts w:ascii="宋体" w:hAnsi="宋体"/>
          <w:b/>
          <w:sz w:val="24"/>
        </w:rPr>
      </w:pPr>
      <w:r>
        <w:rPr>
          <w:rFonts w:hint="eastAsia" w:ascii="宋体" w:hAnsi="宋体"/>
          <w:sz w:val="24"/>
        </w:rPr>
        <w:t>40.1 中标人应在《中标通知书》发出之日起30日内按照招标文件和投标文件</w:t>
      </w:r>
      <w:r>
        <w:rPr>
          <w:rFonts w:ascii="宋体" w:hAnsi="宋体"/>
          <w:sz w:val="24"/>
        </w:rPr>
        <w:t>（包括评标中形成的澄清文件）</w:t>
      </w:r>
      <w:r>
        <w:rPr>
          <w:rFonts w:hint="eastAsia" w:ascii="宋体" w:hAnsi="宋体"/>
          <w:sz w:val="24"/>
        </w:rPr>
        <w:t>的规定与采购人签订采购合同。由于中标人的原因逾期未与采购人签订采购合同的，将视为放弃中标，取消其中标资格，给采购人造成损失的，</w:t>
      </w:r>
      <w:r>
        <w:rPr>
          <w:rFonts w:hint="eastAsia"/>
          <w:spacing w:val="2"/>
          <w:sz w:val="24"/>
        </w:rPr>
        <w:t>中标人应当予以赔偿。</w:t>
      </w:r>
    </w:p>
    <w:p>
      <w:pPr>
        <w:spacing w:line="360" w:lineRule="auto"/>
        <w:ind w:firstLine="480" w:firstLineChars="200"/>
        <w:rPr>
          <w:rFonts w:ascii="宋体" w:hAnsi="宋体"/>
          <w:sz w:val="24"/>
        </w:rPr>
      </w:pPr>
      <w:r>
        <w:rPr>
          <w:rFonts w:hint="eastAsia" w:ascii="宋体" w:hAnsi="宋体"/>
          <w:sz w:val="24"/>
        </w:rPr>
        <w:t>40.2中标人因不可抗力原因不能履行采购合同或放弃中标的，采购人可以与排在中标人之后第一位的中标候选人签订采购合同，以此类推。</w:t>
      </w:r>
      <w:bookmarkStart w:id="152" w:name="_Toc217446066"/>
    </w:p>
    <w:p>
      <w:pPr>
        <w:pStyle w:val="8"/>
      </w:pPr>
      <w:bookmarkStart w:id="153" w:name="_Toc322606648"/>
      <w:r>
        <w:rPr>
          <w:rFonts w:hint="eastAsia"/>
        </w:rPr>
        <w:t>41.合同履行</w:t>
      </w:r>
      <w:bookmarkEnd w:id="153"/>
    </w:p>
    <w:p>
      <w:pPr>
        <w:tabs>
          <w:tab w:val="left" w:pos="426"/>
        </w:tabs>
        <w:autoSpaceDE w:val="0"/>
        <w:autoSpaceDN w:val="0"/>
        <w:adjustRightInd w:val="0"/>
        <w:snapToGrid w:val="0"/>
        <w:spacing w:line="360" w:lineRule="auto"/>
        <w:ind w:firstLine="480" w:firstLineChars="200"/>
        <w:rPr>
          <w:rFonts w:ascii="宋体" w:hAnsi="宋体" w:cs="黑体"/>
          <w:b/>
          <w:bCs/>
          <w:sz w:val="24"/>
        </w:rPr>
      </w:pPr>
      <w:r>
        <w:rPr>
          <w:rFonts w:hint="eastAsia" w:ascii="宋体" w:hAnsi="宋体" w:cs="宋体"/>
          <w:sz w:val="24"/>
        </w:rPr>
        <w:t xml:space="preserve">41.1 </w:t>
      </w:r>
      <w:r>
        <w:rPr>
          <w:rFonts w:hint="eastAsia" w:ascii="宋体" w:hAnsi="宋体" w:cs="宋体"/>
          <w:sz w:val="24"/>
          <w:lang w:eastAsia="zh-TW"/>
        </w:rPr>
        <w:t>政府采购合同订立后，合同各方不得擅自变更</w:t>
      </w:r>
      <w:r>
        <w:rPr>
          <w:rFonts w:hint="eastAsia" w:ascii="宋体" w:hAnsi="宋体" w:cs="宋体"/>
          <w:sz w:val="24"/>
        </w:rPr>
        <w:t>或者</w:t>
      </w:r>
      <w:r>
        <w:rPr>
          <w:rFonts w:hint="eastAsia" w:ascii="宋体" w:hAnsi="宋体" w:cs="宋体"/>
          <w:sz w:val="24"/>
          <w:lang w:eastAsia="zh-TW"/>
        </w:rPr>
        <w:t>中止或者终止合同。政府采购合同需要变更的，采购人应将有关合同变更内容，以书面形式报政府采购监督管理</w:t>
      </w:r>
      <w:r>
        <w:rPr>
          <w:rFonts w:hint="eastAsia" w:ascii="宋体" w:hAnsi="宋体" w:cs="宋体"/>
          <w:sz w:val="24"/>
        </w:rPr>
        <w:t>部门</w:t>
      </w:r>
      <w:r>
        <w:rPr>
          <w:rFonts w:hint="eastAsia" w:ascii="宋体" w:hAnsi="宋体" w:cs="宋体"/>
          <w:sz w:val="24"/>
          <w:lang w:eastAsia="zh-TW"/>
        </w:rPr>
        <w:t>备案；因特殊情况需要中止或终止合同的，采购人应将中止或终止合同的理由以及相应措施，以书面形式报政府采购监督管理</w:t>
      </w:r>
      <w:r>
        <w:rPr>
          <w:rFonts w:hint="eastAsia" w:ascii="宋体" w:hAnsi="宋体" w:cs="宋体"/>
          <w:sz w:val="24"/>
        </w:rPr>
        <w:t>部门</w:t>
      </w:r>
      <w:r>
        <w:rPr>
          <w:rFonts w:hint="eastAsia" w:ascii="宋体" w:hAnsi="宋体" w:cs="宋体"/>
          <w:sz w:val="24"/>
          <w:lang w:eastAsia="zh-TW"/>
        </w:rPr>
        <w:t>备案。</w:t>
      </w:r>
    </w:p>
    <w:p>
      <w:pPr>
        <w:tabs>
          <w:tab w:val="left" w:pos="426"/>
        </w:tabs>
        <w:autoSpaceDE w:val="0"/>
        <w:autoSpaceDN w:val="0"/>
        <w:adjustRightInd w:val="0"/>
        <w:snapToGrid w:val="0"/>
        <w:spacing w:line="360" w:lineRule="auto"/>
        <w:ind w:firstLine="480" w:firstLineChars="200"/>
        <w:rPr>
          <w:rFonts w:ascii="宋体" w:hAnsi="宋体" w:cs="黑体"/>
          <w:b/>
          <w:bCs/>
          <w:sz w:val="24"/>
        </w:rPr>
      </w:pPr>
      <w:r>
        <w:rPr>
          <w:rFonts w:hint="eastAsia" w:ascii="宋体" w:hAnsi="宋体" w:cs="宋体"/>
          <w:sz w:val="24"/>
        </w:rPr>
        <w:t xml:space="preserve">41.2 </w:t>
      </w:r>
      <w:r>
        <w:rPr>
          <w:rFonts w:hint="eastAsia" w:ascii="宋体" w:hAnsi="宋体" w:cs="宋体"/>
          <w:sz w:val="24"/>
          <w:lang w:eastAsia="zh-TW"/>
        </w:rPr>
        <w:t>政府采购合同履行中，采购人需追加与合同标的相同的货物的，在不改变合同其他条款的前提下，可以与</w:t>
      </w:r>
      <w:r>
        <w:rPr>
          <w:rFonts w:hint="eastAsia" w:ascii="宋体" w:hAnsi="宋体" w:cs="宋体"/>
          <w:sz w:val="24"/>
        </w:rPr>
        <w:t>中标人</w:t>
      </w:r>
      <w:r>
        <w:rPr>
          <w:rFonts w:hint="eastAsia" w:ascii="宋体" w:hAnsi="宋体" w:cs="宋体"/>
          <w:sz w:val="24"/>
          <w:lang w:eastAsia="zh-TW"/>
        </w:rPr>
        <w:t>签订补充合同，但所补充合同的采购金额不得超过原</w:t>
      </w:r>
      <w:r>
        <w:rPr>
          <w:rFonts w:hint="eastAsia" w:ascii="宋体" w:hAnsi="宋体" w:cs="宋体"/>
          <w:sz w:val="24"/>
        </w:rPr>
        <w:t>合同</w:t>
      </w:r>
      <w:r>
        <w:rPr>
          <w:rFonts w:hint="eastAsia" w:ascii="宋体" w:hAnsi="宋体" w:cs="宋体"/>
          <w:sz w:val="24"/>
          <w:lang w:eastAsia="zh-TW"/>
        </w:rPr>
        <w:t>采购金额的百分之十。签订补充合同的</w:t>
      </w:r>
      <w:r>
        <w:rPr>
          <w:rFonts w:hint="eastAsia" w:ascii="宋体" w:hAnsi="宋体" w:cs="宋体"/>
          <w:sz w:val="24"/>
        </w:rPr>
        <w:t>应</w:t>
      </w:r>
      <w:r>
        <w:rPr>
          <w:rFonts w:hint="eastAsia" w:ascii="宋体" w:hAnsi="宋体" w:cs="宋体"/>
          <w:sz w:val="24"/>
          <w:lang w:eastAsia="zh-TW"/>
        </w:rPr>
        <w:t>按规定备案。</w:t>
      </w:r>
    </w:p>
    <w:bookmarkEnd w:id="145"/>
    <w:bookmarkEnd w:id="146"/>
    <w:bookmarkEnd w:id="152"/>
    <w:p>
      <w:pPr>
        <w:pStyle w:val="5"/>
        <w:spacing w:before="0" w:after="120" w:afterLines="50" w:line="360" w:lineRule="auto"/>
        <w:rPr>
          <w:rFonts w:ascii="宋体" w:hAnsi="宋体" w:eastAsia="宋体"/>
          <w:bCs/>
        </w:rPr>
      </w:pPr>
      <w:bookmarkStart w:id="154" w:name="_Toc10129"/>
      <w:bookmarkStart w:id="155" w:name="_Toc27797"/>
      <w:bookmarkStart w:id="156" w:name="_Toc11216"/>
      <w:bookmarkStart w:id="157" w:name="_Toc217446081"/>
      <w:r>
        <w:rPr>
          <w:rFonts w:hint="eastAsia" w:ascii="宋体" w:hAnsi="宋体" w:eastAsia="宋体"/>
          <w:bCs/>
        </w:rPr>
        <w:t>十二、招标代理服务费/中标服务费</w:t>
      </w:r>
      <w:bookmarkEnd w:id="154"/>
      <w:bookmarkEnd w:id="155"/>
      <w:bookmarkEnd w:id="156"/>
    </w:p>
    <w:p>
      <w:pPr>
        <w:pStyle w:val="8"/>
      </w:pPr>
      <w:r>
        <w:rPr>
          <w:rFonts w:hint="eastAsia"/>
        </w:rPr>
        <w:t>42.招标代理服务费/中标服务费的数额及缴纳方式</w:t>
      </w:r>
    </w:p>
    <w:p>
      <w:pPr>
        <w:spacing w:line="360" w:lineRule="auto"/>
        <w:ind w:firstLine="573"/>
        <w:rPr>
          <w:rFonts w:ascii="宋体" w:hAnsi="宋体"/>
          <w:sz w:val="24"/>
        </w:rPr>
      </w:pPr>
      <w:r>
        <w:rPr>
          <w:rFonts w:hint="eastAsia" w:ascii="宋体" w:hAnsi="宋体"/>
          <w:sz w:val="24"/>
        </w:rPr>
        <w:t>42.1 中标人在领取《中标通知书》之前，应向采购代理机构缴纳招标代理服务费/中标服务费。</w:t>
      </w:r>
    </w:p>
    <w:p>
      <w:pPr>
        <w:spacing w:line="360" w:lineRule="auto"/>
        <w:ind w:firstLine="573"/>
        <w:rPr>
          <w:rFonts w:ascii="宋体" w:hAnsi="宋体"/>
          <w:sz w:val="24"/>
        </w:rPr>
      </w:pPr>
      <w:r>
        <w:rPr>
          <w:rFonts w:hint="eastAsia" w:ascii="宋体" w:hAnsi="宋体"/>
          <w:sz w:val="24"/>
        </w:rPr>
        <w:t>42.2 代理服务费收费标准：采购代理机构参照国家计委关于印发《招标代理服务收费管理暂行办法》的通知（计价格〔2002〕1980号）、《国家发展和改革委员会办公厅关于招标代理服务收费有关问题的通知》（发改办价格〔2003〕857号）规定向中标（成交）投标人收取代理服务费。具体收费金额将在中标公告中公布。</w:t>
      </w:r>
    </w:p>
    <w:p>
      <w:pPr>
        <w:spacing w:line="360" w:lineRule="auto"/>
        <w:ind w:firstLine="573"/>
        <w:rPr>
          <w:rFonts w:ascii="宋体" w:hAnsi="宋体"/>
          <w:sz w:val="24"/>
        </w:rPr>
      </w:pPr>
      <w:r>
        <w:rPr>
          <w:rFonts w:hint="eastAsia" w:ascii="宋体" w:hAnsi="宋体"/>
          <w:sz w:val="24"/>
        </w:rPr>
        <w:t>42.3 招标代理服务费/中标服务费，以银行转账方式缴纳。</w:t>
      </w:r>
    </w:p>
    <w:p>
      <w:pPr>
        <w:spacing w:line="360" w:lineRule="auto"/>
        <w:ind w:firstLine="573"/>
        <w:rPr>
          <w:rFonts w:ascii="宋体" w:hAnsi="宋体"/>
          <w:sz w:val="24"/>
        </w:rPr>
      </w:pPr>
      <w:r>
        <w:rPr>
          <w:rFonts w:hint="eastAsia" w:ascii="宋体" w:hAnsi="宋体"/>
          <w:sz w:val="24"/>
        </w:rPr>
        <w:t>42.4投标人应将招标代理服务费/中标服务费计算入投标总报价，但不在分项报价中单独列出。</w:t>
      </w:r>
    </w:p>
    <w:p>
      <w:pPr>
        <w:pStyle w:val="5"/>
        <w:spacing w:before="0" w:after="120" w:afterLines="50" w:line="360" w:lineRule="auto"/>
        <w:rPr>
          <w:rFonts w:ascii="宋体" w:hAnsi="宋体" w:eastAsia="宋体"/>
          <w:bCs/>
        </w:rPr>
      </w:pPr>
      <w:bookmarkStart w:id="158" w:name="_Toc19913"/>
      <w:bookmarkStart w:id="159" w:name="_Toc5475"/>
      <w:bookmarkStart w:id="160" w:name="_Toc17636"/>
      <w:r>
        <w:rPr>
          <w:rFonts w:hint="eastAsia" w:ascii="宋体" w:hAnsi="宋体" w:eastAsia="宋体"/>
          <w:bCs/>
        </w:rPr>
        <w:t>十三、质疑与投诉</w:t>
      </w:r>
      <w:bookmarkEnd w:id="158"/>
      <w:bookmarkEnd w:id="159"/>
      <w:bookmarkEnd w:id="160"/>
    </w:p>
    <w:p>
      <w:pPr>
        <w:pStyle w:val="8"/>
      </w:pPr>
      <w:r>
        <w:rPr>
          <w:rFonts w:hint="eastAsia"/>
        </w:rPr>
        <w:t>43.质疑</w:t>
      </w:r>
    </w:p>
    <w:p>
      <w:pPr>
        <w:widowControl/>
        <w:spacing w:line="360" w:lineRule="auto"/>
        <w:ind w:firstLine="480" w:firstLineChars="200"/>
        <w:rPr>
          <w:rFonts w:ascii="宋体" w:hAnsi="宋体"/>
          <w:sz w:val="24"/>
        </w:rPr>
      </w:pPr>
      <w:r>
        <w:rPr>
          <w:rFonts w:hint="eastAsia" w:ascii="宋体" w:hAnsi="宋体"/>
          <w:sz w:val="24"/>
        </w:rPr>
        <w:t>43.1 投标人对本次招标采购活动有疑问的，按照国家《中华人民共和国政府采购法》、《中华人民共和国政府采购法实施条例》及《政府采购质疑和投诉办法》（财政部94号令）的规定办理。</w:t>
      </w:r>
    </w:p>
    <w:p>
      <w:pPr>
        <w:widowControl/>
        <w:spacing w:line="360" w:lineRule="auto"/>
        <w:ind w:firstLine="480" w:firstLineChars="200"/>
        <w:rPr>
          <w:rFonts w:ascii="宋体" w:hAnsi="宋体"/>
          <w:sz w:val="24"/>
        </w:rPr>
      </w:pPr>
      <w:r>
        <w:rPr>
          <w:rFonts w:hint="eastAsia" w:ascii="宋体" w:hAnsi="宋体"/>
          <w:sz w:val="24"/>
        </w:rPr>
        <w:t>43.2 投标人对采购文件、采购过程或中标结果使自身的合法权益受到损害，应当在法定期限内一次性提出针对同一采购程序环节的质疑，按照质疑函范本格式要求以书面形式向采购代理机构或采购人提出质疑。</w:t>
      </w:r>
    </w:p>
    <w:p>
      <w:pPr>
        <w:widowControl/>
        <w:spacing w:line="360" w:lineRule="auto"/>
        <w:ind w:firstLine="480" w:firstLineChars="200"/>
        <w:rPr>
          <w:rFonts w:ascii="宋体" w:hAnsi="宋体"/>
          <w:sz w:val="24"/>
        </w:rPr>
      </w:pPr>
      <w:r>
        <w:rPr>
          <w:rFonts w:hint="eastAsia" w:ascii="宋体" w:hAnsi="宋体"/>
          <w:sz w:val="24"/>
        </w:rPr>
        <w:t>（1）质疑书应当包括以下主要内容：被质疑项目名称、项目编号、标段/包号、采购文件获取日期、质疑事项、证据及来源线索、法律依据（具体条款）、招标采购活动中自己权益受到侵害的实质内容、质疑人有效联系方式等。</w:t>
      </w:r>
    </w:p>
    <w:p>
      <w:pPr>
        <w:widowControl/>
        <w:spacing w:line="360" w:lineRule="auto"/>
        <w:ind w:firstLine="480" w:firstLineChars="200"/>
        <w:rPr>
          <w:rFonts w:ascii="宋体" w:hAnsi="宋体"/>
          <w:sz w:val="24"/>
        </w:rPr>
      </w:pPr>
      <w:r>
        <w:rPr>
          <w:rFonts w:hint="eastAsia" w:ascii="宋体" w:hAnsi="宋体"/>
          <w:sz w:val="24"/>
        </w:rPr>
        <w:t>（2）质疑书应当由法定代表人或授权代表签字或盖章，并加盖单位公章，公章不得以合同章或其他印章代替，并附法人身份证明。</w:t>
      </w:r>
    </w:p>
    <w:p>
      <w:pPr>
        <w:widowControl/>
        <w:spacing w:line="360" w:lineRule="auto"/>
        <w:ind w:firstLine="480" w:firstLineChars="200"/>
        <w:rPr>
          <w:rFonts w:ascii="宋体" w:hAnsi="宋体"/>
          <w:sz w:val="24"/>
        </w:rPr>
      </w:pPr>
      <w:r>
        <w:rPr>
          <w:rFonts w:hint="eastAsia" w:ascii="宋体" w:hAnsi="宋体"/>
          <w:sz w:val="24"/>
        </w:rPr>
        <w:t>（3）质疑人可以委托代理人办理质疑事项，代理人办理质疑事项时，需本人来代理机构提交质疑书，除提交质疑书外，还应当提交质疑人的授权委托书及代理人的有效身份证明，授权委托书应当载明委托代理的具体权限和事项。</w:t>
      </w:r>
    </w:p>
    <w:p>
      <w:pPr>
        <w:widowControl/>
        <w:spacing w:line="360" w:lineRule="auto"/>
        <w:ind w:firstLine="480" w:firstLineChars="200"/>
        <w:rPr>
          <w:rFonts w:ascii="宋体" w:hAnsi="宋体"/>
          <w:sz w:val="24"/>
        </w:rPr>
      </w:pPr>
      <w:r>
        <w:rPr>
          <w:rFonts w:hint="eastAsia" w:ascii="宋体" w:hAnsi="宋体"/>
          <w:sz w:val="24"/>
        </w:rPr>
        <w:t>（4）质疑函范本格式在中国政府采购网站（http://www.ccgp.gov.cn/）自行下载。</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（5）接收质疑函的联系部门、联系电话和通讯地址同采购公告。</w:t>
      </w:r>
    </w:p>
    <w:p>
      <w:pPr>
        <w:adjustRightInd w:val="0"/>
        <w:snapToGrid w:val="0"/>
        <w:spacing w:line="360" w:lineRule="auto"/>
        <w:ind w:firstLine="480" w:firstLineChars="200"/>
        <w:rPr>
          <w:rFonts w:ascii="宋体" w:hAnsi="宋体" w:cs="宋体"/>
          <w:kern w:val="0"/>
          <w:sz w:val="24"/>
        </w:rPr>
      </w:pPr>
      <w:r>
        <w:rPr>
          <w:rFonts w:hint="eastAsia" w:ascii="宋体" w:hAnsi="宋体"/>
          <w:sz w:val="24"/>
          <w:lang w:val="zh-CN"/>
        </w:rPr>
        <w:t>符合要求的质疑，采购代理机构将予以受理并答复，联系电话：029-</w:t>
      </w:r>
      <w:r>
        <w:rPr>
          <w:rFonts w:hint="eastAsia" w:ascii="宋体" w:hAnsi="宋体"/>
          <w:sz w:val="24"/>
        </w:rPr>
        <w:t>86522030转806</w:t>
      </w:r>
      <w:r>
        <w:rPr>
          <w:rFonts w:hint="eastAsia" w:ascii="宋体" w:hAnsi="宋体"/>
          <w:sz w:val="24"/>
          <w:lang w:val="zh-CN"/>
        </w:rPr>
        <w:t>，联系人：</w:t>
      </w:r>
      <w:r>
        <w:rPr>
          <w:rFonts w:hint="eastAsia" w:ascii="宋体" w:hAnsi="宋体"/>
          <w:sz w:val="24"/>
        </w:rPr>
        <w:t>常维竞，</w:t>
      </w:r>
      <w:r>
        <w:rPr>
          <w:rFonts w:hint="eastAsia" w:ascii="宋体" w:hAnsi="宋体" w:cs="宋体"/>
          <w:kern w:val="0"/>
          <w:sz w:val="24"/>
        </w:rPr>
        <w:t>联系地址：陕西省西安市经济技术开发区凤城八路180号长和国际F座22层。</w:t>
      </w:r>
    </w:p>
    <w:p>
      <w:pPr>
        <w:adjustRightInd w:val="0"/>
        <w:snapToGrid w:val="0"/>
        <w:spacing w:line="360" w:lineRule="auto"/>
        <w:ind w:firstLine="480" w:firstLineChars="200"/>
        <w:rPr>
          <w:rFonts w:ascii="宋体" w:hAnsi="宋体"/>
          <w:sz w:val="24"/>
        </w:rPr>
      </w:pPr>
      <w:r>
        <w:rPr>
          <w:rFonts w:hint="eastAsia" w:ascii="宋体" w:hAnsi="宋体"/>
          <w:sz w:val="24"/>
        </w:rPr>
        <w:t>43.3 有下列情形之一的，属于无效质疑，采购代理机构和采购人不予受理：</w:t>
      </w:r>
    </w:p>
    <w:p>
      <w:pPr>
        <w:widowControl/>
        <w:spacing w:line="360" w:lineRule="auto"/>
        <w:ind w:firstLine="480" w:firstLineChars="200"/>
        <w:rPr>
          <w:rFonts w:ascii="宋体" w:hAnsi="宋体"/>
          <w:sz w:val="24"/>
        </w:rPr>
      </w:pPr>
      <w:r>
        <w:rPr>
          <w:rFonts w:hint="eastAsia" w:ascii="宋体" w:hAnsi="宋体"/>
          <w:sz w:val="24"/>
        </w:rPr>
        <w:t>（1）质疑人不是参与本次政府采购项目的投标人；</w:t>
      </w:r>
    </w:p>
    <w:p>
      <w:pPr>
        <w:widowControl/>
        <w:spacing w:line="360" w:lineRule="auto"/>
        <w:ind w:firstLine="480" w:firstLineChars="200"/>
        <w:rPr>
          <w:rFonts w:ascii="宋体" w:hAnsi="宋体"/>
          <w:sz w:val="24"/>
        </w:rPr>
      </w:pPr>
      <w:r>
        <w:rPr>
          <w:rFonts w:hint="eastAsia" w:ascii="宋体" w:hAnsi="宋体"/>
          <w:sz w:val="24"/>
        </w:rPr>
        <w:t>（2）质疑人与质疑事项不存在利害关系的；</w:t>
      </w:r>
    </w:p>
    <w:p>
      <w:pPr>
        <w:widowControl/>
        <w:spacing w:line="360" w:lineRule="auto"/>
        <w:ind w:firstLine="480" w:firstLineChars="200"/>
        <w:rPr>
          <w:rFonts w:ascii="宋体" w:hAnsi="宋体"/>
          <w:sz w:val="24"/>
        </w:rPr>
      </w:pPr>
      <w:r>
        <w:rPr>
          <w:rFonts w:hint="eastAsia" w:ascii="宋体" w:hAnsi="宋体"/>
          <w:sz w:val="24"/>
        </w:rPr>
        <w:t>（3）未在法定期限内提出质疑的；</w:t>
      </w:r>
    </w:p>
    <w:p>
      <w:pPr>
        <w:widowControl/>
        <w:spacing w:line="360" w:lineRule="auto"/>
        <w:ind w:firstLine="480" w:firstLineChars="200"/>
        <w:rPr>
          <w:rFonts w:ascii="宋体" w:hAnsi="宋体"/>
          <w:sz w:val="24"/>
        </w:rPr>
      </w:pPr>
      <w:r>
        <w:rPr>
          <w:rFonts w:hint="eastAsia" w:ascii="宋体" w:hAnsi="宋体"/>
          <w:sz w:val="24"/>
        </w:rPr>
        <w:t>（4）质疑未以书面形式提出，以传真、电子邮件、移动通信等形式即时收悉提交的质疑材料；</w:t>
      </w:r>
    </w:p>
    <w:p>
      <w:pPr>
        <w:widowControl/>
        <w:spacing w:line="360" w:lineRule="auto"/>
        <w:ind w:firstLine="480" w:firstLineChars="200"/>
        <w:rPr>
          <w:rFonts w:ascii="宋体" w:hAnsi="宋体"/>
          <w:sz w:val="24"/>
        </w:rPr>
      </w:pPr>
      <w:r>
        <w:rPr>
          <w:rFonts w:hint="eastAsia" w:ascii="宋体" w:hAnsi="宋体"/>
          <w:sz w:val="24"/>
        </w:rPr>
        <w:t>（5）质疑未按质疑函范本格式提出的；</w:t>
      </w:r>
    </w:p>
    <w:p>
      <w:pPr>
        <w:widowControl/>
        <w:spacing w:line="360" w:lineRule="auto"/>
        <w:ind w:firstLine="480" w:firstLineChars="200"/>
        <w:rPr>
          <w:rFonts w:ascii="宋体" w:hAnsi="宋体"/>
          <w:sz w:val="24"/>
        </w:rPr>
      </w:pPr>
      <w:r>
        <w:rPr>
          <w:rFonts w:hint="eastAsia" w:ascii="宋体" w:hAnsi="宋体"/>
          <w:sz w:val="24"/>
        </w:rPr>
        <w:t>（6）质疑书主要内容构成不完整的；</w:t>
      </w:r>
    </w:p>
    <w:p>
      <w:pPr>
        <w:widowControl/>
        <w:spacing w:line="360" w:lineRule="auto"/>
        <w:ind w:firstLine="480" w:firstLineChars="200"/>
        <w:rPr>
          <w:rFonts w:ascii="宋体" w:hAnsi="宋体"/>
          <w:sz w:val="24"/>
        </w:rPr>
      </w:pPr>
      <w:r>
        <w:rPr>
          <w:rFonts w:hint="eastAsia" w:ascii="宋体" w:hAnsi="宋体"/>
          <w:sz w:val="24"/>
        </w:rPr>
        <w:t>（7）质疑书没有合法有效的签字、盖章或授权的；</w:t>
      </w:r>
    </w:p>
    <w:p>
      <w:pPr>
        <w:widowControl/>
        <w:spacing w:line="360" w:lineRule="auto"/>
        <w:ind w:firstLine="480" w:firstLineChars="200"/>
        <w:rPr>
          <w:rFonts w:ascii="宋体" w:hAnsi="宋体"/>
          <w:sz w:val="24"/>
        </w:rPr>
      </w:pPr>
      <w:r>
        <w:rPr>
          <w:rFonts w:hint="eastAsia" w:ascii="宋体" w:hAnsi="宋体"/>
          <w:sz w:val="24"/>
        </w:rPr>
        <w:t>（8）以非法手段取得证据、材料的；</w:t>
      </w:r>
    </w:p>
    <w:p>
      <w:pPr>
        <w:widowControl/>
        <w:spacing w:line="360" w:lineRule="auto"/>
        <w:ind w:firstLine="480" w:firstLineChars="200"/>
        <w:rPr>
          <w:rFonts w:ascii="宋体" w:hAnsi="宋体"/>
          <w:sz w:val="24"/>
        </w:rPr>
      </w:pPr>
      <w:r>
        <w:rPr>
          <w:rFonts w:hint="eastAsia" w:ascii="宋体" w:hAnsi="宋体"/>
          <w:sz w:val="24"/>
        </w:rPr>
        <w:t>（9）质疑答复后，同一质疑人就同一事项再次提出质疑的；</w:t>
      </w:r>
    </w:p>
    <w:p>
      <w:pPr>
        <w:widowControl/>
        <w:spacing w:line="360" w:lineRule="auto"/>
        <w:ind w:firstLine="480" w:firstLineChars="200"/>
        <w:rPr>
          <w:rFonts w:ascii="宋体" w:hAnsi="宋体"/>
          <w:sz w:val="24"/>
        </w:rPr>
      </w:pPr>
      <w:r>
        <w:rPr>
          <w:rFonts w:hint="eastAsia" w:ascii="宋体" w:hAnsi="宋体"/>
          <w:sz w:val="24"/>
        </w:rPr>
        <w:t>（10）不符合法律、法规、规章和政府采购监管机构规定的其他条件的。</w:t>
      </w:r>
    </w:p>
    <w:p>
      <w:pPr>
        <w:widowControl/>
        <w:spacing w:line="360" w:lineRule="auto"/>
        <w:ind w:firstLine="480" w:firstLineChars="200"/>
      </w:pPr>
      <w:r>
        <w:rPr>
          <w:rFonts w:hint="eastAsia" w:ascii="宋体" w:hAnsi="宋体"/>
          <w:sz w:val="24"/>
        </w:rPr>
        <w:t>（11）项目</w:t>
      </w:r>
      <w:r>
        <w:rPr>
          <w:rFonts w:hint="eastAsia" w:ascii="宋体" w:hAnsi="宋体" w:cs="宋体"/>
          <w:sz w:val="24"/>
        </w:rPr>
        <w:t>质疑联系人：常维竞，联系电话：029-86522030转806。</w:t>
      </w:r>
    </w:p>
    <w:p>
      <w:pPr>
        <w:pStyle w:val="2"/>
      </w:pPr>
    </w:p>
    <w:p>
      <w:pPr>
        <w:widowControl/>
        <w:spacing w:line="360" w:lineRule="auto"/>
        <w:ind w:firstLine="480" w:firstLineChars="200"/>
        <w:rPr>
          <w:rFonts w:ascii="宋体" w:hAnsi="宋体"/>
          <w:sz w:val="24"/>
        </w:rPr>
      </w:pPr>
      <w:r>
        <w:rPr>
          <w:rFonts w:hint="eastAsia" w:ascii="宋体" w:hAnsi="宋体"/>
          <w:sz w:val="24"/>
        </w:rPr>
        <w:t>44.4 采购代理机构或采购人将在收到书面质疑后7个工作日内做出答复，并以书面形式通知质疑人和其他有关投标人。</w:t>
      </w:r>
    </w:p>
    <w:p>
      <w:pPr>
        <w:pStyle w:val="8"/>
      </w:pPr>
      <w:r>
        <w:rPr>
          <w:rFonts w:hint="eastAsia"/>
        </w:rPr>
        <w:t>44.投诉</w:t>
      </w:r>
    </w:p>
    <w:p>
      <w:pPr>
        <w:spacing w:line="360" w:lineRule="auto"/>
        <w:ind w:firstLine="480" w:firstLineChars="200"/>
        <w:jc w:val="left"/>
        <w:rPr>
          <w:rFonts w:ascii="宋体" w:hAnsi="宋体"/>
          <w:sz w:val="24"/>
        </w:rPr>
      </w:pPr>
      <w:r>
        <w:rPr>
          <w:rFonts w:hint="eastAsia" w:ascii="宋体" w:hAnsi="宋体"/>
          <w:sz w:val="24"/>
        </w:rPr>
        <w:t>44.1 投标人和其他厉害关系人认为本次招标采购活动违反法律、法规和规章规定的，有权向有关行政监督机构投诉。</w:t>
      </w:r>
    </w:p>
    <w:p>
      <w:pPr>
        <w:spacing w:line="360" w:lineRule="auto"/>
        <w:ind w:firstLine="480" w:firstLineChars="200"/>
        <w:jc w:val="left"/>
        <w:rPr>
          <w:rFonts w:ascii="宋体" w:hAnsi="宋体"/>
          <w:sz w:val="24"/>
        </w:rPr>
      </w:pPr>
      <w:r>
        <w:rPr>
          <w:rFonts w:hint="eastAsia" w:ascii="宋体" w:hAnsi="宋体"/>
          <w:sz w:val="24"/>
        </w:rPr>
        <w:t>（1）质疑人对采购代理机构或采购人的答复不满意，以及采购代理机构或采购人未在规定时间内做出答复的，可以在答复期满后15个工作日内向政府采购监管机构提出投诉。</w:t>
      </w:r>
    </w:p>
    <w:p>
      <w:pPr>
        <w:spacing w:line="360" w:lineRule="auto"/>
        <w:ind w:firstLine="480" w:firstLineChars="200"/>
        <w:jc w:val="left"/>
        <w:rPr>
          <w:rFonts w:ascii="宋体" w:hAnsi="宋体"/>
          <w:sz w:val="24"/>
        </w:rPr>
      </w:pPr>
      <w:r>
        <w:rPr>
          <w:rFonts w:hint="eastAsia" w:ascii="宋体" w:hAnsi="宋体"/>
          <w:sz w:val="24"/>
        </w:rPr>
        <w:t>（2）投标人投诉的事项不得超出已质疑事项的范围。</w:t>
      </w:r>
    </w:p>
    <w:p>
      <w:pPr>
        <w:spacing w:line="360" w:lineRule="auto"/>
        <w:ind w:firstLine="480" w:firstLineChars="200"/>
        <w:jc w:val="left"/>
        <w:rPr>
          <w:rFonts w:ascii="宋体" w:hAnsi="宋体"/>
          <w:sz w:val="24"/>
        </w:rPr>
      </w:pPr>
      <w:r>
        <w:rPr>
          <w:rFonts w:hint="eastAsia" w:ascii="宋体" w:hAnsi="宋体"/>
          <w:sz w:val="24"/>
        </w:rPr>
        <w:t>（3）投诉书范本格式在中国政府采购网站（http://www.ccgp.gov.cn/）自行下载。</w:t>
      </w:r>
    </w:p>
    <w:p>
      <w:pPr>
        <w:pStyle w:val="8"/>
      </w:pPr>
      <w:r>
        <w:rPr>
          <w:rFonts w:hint="eastAsia"/>
        </w:rPr>
        <w:t>45.</w:t>
      </w:r>
      <w:bookmarkStart w:id="161" w:name="_Toc1185"/>
      <w:bookmarkStart w:id="162" w:name="_Toc7524"/>
      <w:r>
        <w:rPr>
          <w:rFonts w:hint="eastAsia"/>
        </w:rPr>
        <w:t>信用担保</w:t>
      </w:r>
      <w:bookmarkEnd w:id="161"/>
      <w:r>
        <w:rPr>
          <w:rFonts w:hint="eastAsia"/>
        </w:rPr>
        <w:t>及信用融资</w:t>
      </w:r>
      <w:bookmarkEnd w:id="162"/>
    </w:p>
    <w:p>
      <w:pPr>
        <w:spacing w:line="480" w:lineRule="auto"/>
        <w:ind w:firstLine="480" w:firstLineChars="200"/>
        <w:jc w:val="left"/>
        <w:rPr>
          <w:rFonts w:ascii="宋体" w:hAnsi="宋体"/>
          <w:sz w:val="24"/>
        </w:rPr>
      </w:pPr>
      <w:r>
        <w:rPr>
          <w:rFonts w:hint="eastAsia" w:ascii="宋体" w:hAnsi="宋体"/>
          <w:sz w:val="24"/>
        </w:rPr>
        <w:t>投标人为中小企业的可以自愿选择融资担保形式，为本采购项目进行融资。陕西省政府采购信用担保及信用融资政策：</w:t>
      </w:r>
    </w:p>
    <w:p>
      <w:pPr>
        <w:spacing w:line="480" w:lineRule="auto"/>
        <w:ind w:firstLine="480" w:firstLineChars="200"/>
        <w:jc w:val="left"/>
        <w:rPr>
          <w:rFonts w:ascii="宋体" w:hAnsi="宋体"/>
          <w:sz w:val="24"/>
        </w:rPr>
      </w:pPr>
      <w:r>
        <w:rPr>
          <w:rFonts w:hint="eastAsia" w:ascii="宋体" w:hAnsi="宋体"/>
          <w:sz w:val="24"/>
        </w:rPr>
        <w:t>45.1.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480" w:lineRule="auto"/>
        <w:ind w:firstLine="480" w:firstLineChars="200"/>
        <w:jc w:val="left"/>
        <w:rPr>
          <w:rFonts w:ascii="宋体" w:hAnsi="宋体"/>
          <w:sz w:val="24"/>
        </w:rPr>
      </w:pPr>
      <w:r>
        <w:rPr>
          <w:rFonts w:hint="eastAsia" w:ascii="宋体" w:hAnsi="宋体"/>
          <w:sz w:val="24"/>
        </w:rPr>
        <w:t xml:space="preserve">45.2.西安市政府采购信用担保及信用融资政策：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实施方案规定的程序申请办理。 </w:t>
      </w:r>
    </w:p>
    <w:p>
      <w:pPr>
        <w:pStyle w:val="65"/>
        <w:spacing w:line="360" w:lineRule="auto"/>
        <w:ind w:firstLine="480" w:firstLineChars="200"/>
        <w:jc w:val="left"/>
        <w:rPr>
          <w:rFonts w:ascii="宋体" w:hAnsi="宋体"/>
          <w:sz w:val="24"/>
        </w:rPr>
      </w:pPr>
      <w:r>
        <w:rPr>
          <w:rFonts w:hint="eastAsia" w:ascii="宋体" w:hAnsi="宋体"/>
          <w:sz w:val="24"/>
        </w:rPr>
        <w:t>45.3 .陕西省政府采购支持中小企业信用融资合作银行名单详见（陕西省政府采购网-采购动态-重要通知http://www.ccgp-shaanxi.gov.cn/）。</w:t>
      </w:r>
    </w:p>
    <w:p/>
    <w:p>
      <w:pPr>
        <w:pStyle w:val="30"/>
        <w:ind w:firstLine="640"/>
        <w:sectPr>
          <w:footerReference r:id="rId9" w:type="first"/>
          <w:footerReference r:id="rId8" w:type="default"/>
          <w:pgSz w:w="11906" w:h="16838"/>
          <w:pgMar w:top="1418" w:right="1418" w:bottom="1418" w:left="1418" w:header="851" w:footer="992" w:gutter="0"/>
          <w:pgNumType w:start="1"/>
          <w:cols w:space="720" w:num="1"/>
          <w:titlePg/>
          <w:docGrid w:linePitch="312" w:charSpace="0"/>
        </w:sectPr>
      </w:pPr>
    </w:p>
    <w:p>
      <w:pPr>
        <w:pStyle w:val="4"/>
        <w:spacing w:line="240" w:lineRule="auto"/>
        <w:ind w:firstLine="2650" w:firstLineChars="600"/>
        <w:rPr>
          <w:rFonts w:ascii="宋体" w:hAnsi="宋体"/>
          <w:b w:val="0"/>
          <w:sz w:val="44"/>
          <w:szCs w:val="44"/>
        </w:rPr>
      </w:pPr>
      <w:bookmarkStart w:id="163" w:name="_Toc28100"/>
      <w:r>
        <w:rPr>
          <w:rFonts w:hint="eastAsia"/>
          <w:sz w:val="44"/>
          <w:szCs w:val="44"/>
        </w:rPr>
        <w:t>第四章</w:t>
      </w:r>
      <w:bookmarkStart w:id="164" w:name="_Toc217446093"/>
      <w:r>
        <w:rPr>
          <w:rFonts w:hint="eastAsia"/>
          <w:sz w:val="44"/>
          <w:szCs w:val="44"/>
        </w:rPr>
        <w:t xml:space="preserve">  评标办法</w:t>
      </w:r>
      <w:bookmarkEnd w:id="163"/>
    </w:p>
    <w:p>
      <w:pPr>
        <w:spacing w:line="360" w:lineRule="auto"/>
        <w:ind w:firstLine="480" w:firstLineChars="200"/>
        <w:rPr>
          <w:rFonts w:ascii="宋体" w:hAnsi="宋体"/>
          <w:sz w:val="24"/>
        </w:rPr>
      </w:pPr>
      <w:r>
        <w:rPr>
          <w:rFonts w:hint="eastAsia" w:ascii="宋体" w:hAnsi="宋体"/>
          <w:sz w:val="24"/>
        </w:rPr>
        <w:t>根据《中华人民共和国政府采购法》及实施条例和《政府采购货物和服务招标投标管理办法》（财政部87号令）等法律法规规定，结合采购项目特点制定本评标办法。</w:t>
      </w:r>
    </w:p>
    <w:p>
      <w:pPr>
        <w:pStyle w:val="5"/>
        <w:spacing w:before="0" w:after="120" w:afterLines="50" w:line="360" w:lineRule="auto"/>
        <w:rPr>
          <w:rFonts w:ascii="宋体" w:hAnsi="宋体" w:eastAsia="宋体"/>
          <w:bCs/>
        </w:rPr>
      </w:pPr>
      <w:bookmarkStart w:id="165" w:name="_Toc16956"/>
      <w:bookmarkStart w:id="166" w:name="_Toc17437"/>
      <w:bookmarkStart w:id="167" w:name="_Toc19816"/>
      <w:r>
        <w:rPr>
          <w:rFonts w:hint="eastAsia" w:ascii="宋体" w:hAnsi="宋体" w:eastAsia="宋体"/>
          <w:bCs/>
        </w:rPr>
        <w:t>一、评标程序</w:t>
      </w:r>
      <w:bookmarkEnd w:id="165"/>
      <w:bookmarkEnd w:id="166"/>
      <w:bookmarkEnd w:id="167"/>
    </w:p>
    <w:p>
      <w:pPr>
        <w:pStyle w:val="8"/>
      </w:pPr>
      <w:r>
        <w:rPr>
          <w:rFonts w:hint="eastAsia"/>
        </w:rPr>
        <w:t>1.本采购项目评标应当按照下列工作程序进行：</w:t>
      </w:r>
    </w:p>
    <w:p>
      <w:pPr>
        <w:spacing w:line="360" w:lineRule="auto"/>
        <w:ind w:firstLine="495"/>
        <w:rPr>
          <w:rFonts w:ascii="宋体" w:hAnsi="宋体"/>
          <w:sz w:val="24"/>
        </w:rPr>
      </w:pPr>
      <w:r>
        <w:rPr>
          <w:rFonts w:hint="eastAsia" w:ascii="宋体" w:hAnsi="宋体"/>
          <w:sz w:val="24"/>
        </w:rPr>
        <w:t>（1）投标文件符合性审查；</w:t>
      </w:r>
    </w:p>
    <w:p>
      <w:pPr>
        <w:spacing w:line="360" w:lineRule="auto"/>
        <w:ind w:firstLine="495"/>
        <w:rPr>
          <w:rFonts w:ascii="宋体" w:hAnsi="宋体"/>
          <w:sz w:val="24"/>
        </w:rPr>
      </w:pPr>
      <w:r>
        <w:rPr>
          <w:rFonts w:hint="eastAsia" w:ascii="宋体" w:hAnsi="宋体"/>
          <w:sz w:val="24"/>
        </w:rPr>
        <w:t>（2）投标文件澄清或说明；</w:t>
      </w:r>
    </w:p>
    <w:p>
      <w:pPr>
        <w:spacing w:line="360" w:lineRule="auto"/>
        <w:ind w:firstLine="495"/>
        <w:rPr>
          <w:rFonts w:ascii="宋体" w:hAnsi="宋体"/>
          <w:sz w:val="24"/>
        </w:rPr>
      </w:pPr>
      <w:r>
        <w:rPr>
          <w:rFonts w:hint="eastAsia" w:ascii="宋体" w:hAnsi="宋体"/>
          <w:sz w:val="24"/>
        </w:rPr>
        <w:t>（3）投标文件比较与评价；</w:t>
      </w:r>
    </w:p>
    <w:p>
      <w:pPr>
        <w:spacing w:line="360" w:lineRule="auto"/>
        <w:ind w:firstLine="495"/>
        <w:rPr>
          <w:rFonts w:ascii="宋体" w:hAnsi="宋体"/>
          <w:sz w:val="24"/>
        </w:rPr>
      </w:pPr>
      <w:r>
        <w:rPr>
          <w:rFonts w:hint="eastAsia" w:ascii="宋体" w:hAnsi="宋体"/>
          <w:sz w:val="24"/>
        </w:rPr>
        <w:t>（4）复核与核对评标结果；</w:t>
      </w:r>
    </w:p>
    <w:p>
      <w:pPr>
        <w:spacing w:line="360" w:lineRule="auto"/>
        <w:ind w:firstLine="495"/>
        <w:rPr>
          <w:rFonts w:ascii="宋体" w:hAnsi="宋体"/>
          <w:sz w:val="24"/>
        </w:rPr>
      </w:pPr>
      <w:r>
        <w:rPr>
          <w:rFonts w:hint="eastAsia" w:ascii="宋体" w:hAnsi="宋体"/>
          <w:sz w:val="24"/>
        </w:rPr>
        <w:t>（5）确定中标候选人名单；</w:t>
      </w:r>
    </w:p>
    <w:p>
      <w:pPr>
        <w:spacing w:line="360" w:lineRule="auto"/>
        <w:ind w:firstLine="495"/>
        <w:rPr>
          <w:rFonts w:ascii="宋体" w:hAnsi="宋体"/>
          <w:sz w:val="24"/>
        </w:rPr>
      </w:pPr>
      <w:r>
        <w:rPr>
          <w:rFonts w:hint="eastAsia" w:ascii="宋体" w:hAnsi="宋体"/>
          <w:sz w:val="24"/>
        </w:rPr>
        <w:t>（6）编写评标报告。</w:t>
      </w:r>
    </w:p>
    <w:p>
      <w:pPr>
        <w:pStyle w:val="8"/>
      </w:pPr>
      <w:r>
        <w:rPr>
          <w:rFonts w:hint="eastAsia"/>
        </w:rPr>
        <w:t>2.投标文件初步审查，分别为资格性审查和符合性审查。</w:t>
      </w:r>
    </w:p>
    <w:p>
      <w:pPr>
        <w:spacing w:after="120" w:afterLines="50" w:line="360" w:lineRule="auto"/>
        <w:ind w:firstLine="470" w:firstLineChars="196"/>
        <w:rPr>
          <w:rFonts w:ascii="宋体" w:hAnsi="宋体"/>
          <w:sz w:val="24"/>
        </w:rPr>
      </w:pPr>
      <w:r>
        <w:rPr>
          <w:rFonts w:hint="eastAsia" w:ascii="宋体" w:hAnsi="宋体"/>
          <w:sz w:val="24"/>
        </w:rPr>
        <w:t>2.1 资格性审查。依据法律法规和招标文件的规定，对招标文件文件中的资格证明、投标保证等进行审查，以确定投标人是否具备投标资格</w:t>
      </w:r>
    </w:p>
    <w:p>
      <w:pPr>
        <w:ind w:firstLine="420"/>
        <w:rPr>
          <w:b/>
          <w:bCs/>
        </w:rPr>
      </w:pPr>
      <w:r>
        <w:rPr>
          <w:rFonts w:hint="eastAsia" w:ascii="宋体" w:hAnsi="宋体"/>
          <w:b/>
          <w:bCs/>
          <w:sz w:val="24"/>
        </w:rPr>
        <w:t>资格性审查表：</w:t>
      </w:r>
    </w:p>
    <w:p>
      <w:pPr>
        <w:pStyle w:val="2"/>
      </w:pPr>
    </w:p>
    <w:tbl>
      <w:tblPr>
        <w:tblStyle w:val="31"/>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496"/>
        <w:gridCol w:w="2905"/>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02" w:type="dxa"/>
            <w:vAlign w:val="center"/>
          </w:tcPr>
          <w:p>
            <w:pPr>
              <w:jc w:val="center"/>
              <w:rPr>
                <w:rFonts w:ascii="宋体" w:hAnsi="宋体"/>
                <w:color w:val="000000"/>
                <w:sz w:val="24"/>
              </w:rPr>
            </w:pPr>
            <w:r>
              <w:rPr>
                <w:rFonts w:hint="eastAsia" w:ascii="宋体" w:hAnsi="宋体"/>
                <w:color w:val="000000"/>
                <w:sz w:val="24"/>
              </w:rPr>
              <w:t>序号</w:t>
            </w:r>
          </w:p>
        </w:tc>
        <w:tc>
          <w:tcPr>
            <w:tcW w:w="4496" w:type="dxa"/>
            <w:vAlign w:val="center"/>
          </w:tcPr>
          <w:p>
            <w:pPr>
              <w:jc w:val="center"/>
              <w:rPr>
                <w:rFonts w:ascii="宋体" w:hAnsi="宋体"/>
                <w:color w:val="000000"/>
                <w:sz w:val="24"/>
              </w:rPr>
            </w:pPr>
            <w:r>
              <w:rPr>
                <w:rFonts w:hint="eastAsia" w:ascii="宋体" w:hAnsi="宋体"/>
                <w:color w:val="000000"/>
                <w:sz w:val="24"/>
              </w:rPr>
              <w:t>审查内容</w:t>
            </w:r>
          </w:p>
        </w:tc>
        <w:tc>
          <w:tcPr>
            <w:tcW w:w="2905" w:type="dxa"/>
            <w:vAlign w:val="center"/>
          </w:tcPr>
          <w:p>
            <w:pPr>
              <w:jc w:val="center"/>
              <w:rPr>
                <w:rFonts w:ascii="宋体" w:hAnsi="宋体"/>
                <w:color w:val="000000"/>
                <w:sz w:val="24"/>
              </w:rPr>
            </w:pPr>
            <w:r>
              <w:rPr>
                <w:rFonts w:hint="eastAsia" w:ascii="宋体" w:hAnsi="宋体"/>
                <w:color w:val="000000"/>
                <w:sz w:val="24"/>
              </w:rPr>
              <w:t>审查标准</w:t>
            </w:r>
          </w:p>
        </w:tc>
        <w:tc>
          <w:tcPr>
            <w:tcW w:w="657" w:type="dxa"/>
            <w:vAlign w:val="center"/>
          </w:tcPr>
          <w:p>
            <w:pPr>
              <w:rPr>
                <w:rFonts w:ascii="宋体" w:hAnsi="宋体"/>
                <w:color w:val="000000"/>
                <w:sz w:val="24"/>
              </w:rPr>
            </w:pPr>
            <w:r>
              <w:rPr>
                <w:rFonts w:hint="eastAsia" w:ascii="宋体" w:hAnsi="宋体"/>
                <w:color w:val="000000"/>
                <w:sz w:val="24"/>
              </w:rPr>
              <w:t>审查结论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02" w:type="dxa"/>
            <w:vAlign w:val="center"/>
          </w:tcPr>
          <w:p>
            <w:pPr>
              <w:jc w:val="center"/>
              <w:rPr>
                <w:rFonts w:ascii="宋体" w:hAnsi="宋体"/>
                <w:color w:val="000000"/>
                <w:sz w:val="24"/>
              </w:rPr>
            </w:pPr>
            <w:r>
              <w:rPr>
                <w:rFonts w:hint="eastAsia" w:ascii="宋体" w:hAnsi="宋体"/>
                <w:color w:val="000000"/>
                <w:sz w:val="24"/>
              </w:rPr>
              <w:t>1</w:t>
            </w:r>
          </w:p>
        </w:tc>
        <w:tc>
          <w:tcPr>
            <w:tcW w:w="4496" w:type="dxa"/>
            <w:vAlign w:val="center"/>
          </w:tcPr>
          <w:p>
            <w:pPr>
              <w:adjustRightInd w:val="0"/>
              <w:snapToGrid w:val="0"/>
              <w:jc w:val="center"/>
              <w:rPr>
                <w:rFonts w:ascii="宋体" w:hAnsi="宋体"/>
                <w:color w:val="000000"/>
                <w:sz w:val="24"/>
              </w:rPr>
            </w:pPr>
            <w:r>
              <w:rPr>
                <w:rFonts w:hint="eastAsia" w:ascii="宋体" w:hAnsi="宋体" w:cs="宋体"/>
                <w:color w:val="000000"/>
                <w:kern w:val="0"/>
                <w:sz w:val="24"/>
              </w:rPr>
              <w:t>具有独立承担民事责任能力的</w:t>
            </w:r>
            <w:r>
              <w:rPr>
                <w:rFonts w:hint="eastAsia" w:ascii="宋体" w:hAnsi="宋体" w:cs="宋体"/>
                <w:kern w:val="0"/>
                <w:sz w:val="24"/>
              </w:rPr>
              <w:t>法人、其他组织或自然人，营业执照、组织机构代码证、税务登记证（三证合一只提供营业执照，事业单位提供事业单位法人证书，自然人应提供身份证）合法有效</w:t>
            </w:r>
            <w:r>
              <w:rPr>
                <w:rFonts w:hint="eastAsia" w:ascii="宋体" w:hAnsi="宋体" w:cs="宋体"/>
                <w:sz w:val="24"/>
                <w:lang w:val="zh-CN"/>
              </w:rPr>
              <w:t>；</w:t>
            </w:r>
          </w:p>
        </w:tc>
        <w:tc>
          <w:tcPr>
            <w:tcW w:w="2905" w:type="dxa"/>
            <w:vAlign w:val="center"/>
          </w:tcPr>
          <w:p>
            <w:pPr>
              <w:widowControl/>
              <w:tabs>
                <w:tab w:val="left" w:pos="1620"/>
              </w:tabs>
              <w:jc w:val="center"/>
              <w:rPr>
                <w:rFonts w:ascii="宋体" w:hAnsi="宋体"/>
                <w:color w:val="000000"/>
                <w:sz w:val="24"/>
              </w:rPr>
            </w:pPr>
            <w:r>
              <w:rPr>
                <w:rFonts w:hint="eastAsia" w:ascii="宋体" w:hAnsi="宋体"/>
                <w:color w:val="000000"/>
                <w:sz w:val="24"/>
              </w:rPr>
              <w:t>提供有效的营业执照、税务登记证、组织机构代码证（或三证合一的营业执照）；</w:t>
            </w:r>
          </w:p>
        </w:tc>
        <w:tc>
          <w:tcPr>
            <w:tcW w:w="657"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02" w:type="dxa"/>
            <w:vAlign w:val="center"/>
          </w:tcPr>
          <w:p>
            <w:pPr>
              <w:jc w:val="center"/>
              <w:rPr>
                <w:rFonts w:ascii="宋体" w:hAnsi="宋体"/>
                <w:color w:val="000000"/>
                <w:sz w:val="24"/>
              </w:rPr>
            </w:pPr>
            <w:r>
              <w:rPr>
                <w:rFonts w:hint="eastAsia" w:ascii="宋体" w:hAnsi="宋体"/>
                <w:color w:val="000000"/>
                <w:sz w:val="24"/>
              </w:rPr>
              <w:t>2</w:t>
            </w:r>
          </w:p>
        </w:tc>
        <w:tc>
          <w:tcPr>
            <w:tcW w:w="4496" w:type="dxa"/>
            <w:vAlign w:val="center"/>
          </w:tcPr>
          <w:p>
            <w:pPr>
              <w:adjustRightInd w:val="0"/>
              <w:snapToGrid w:val="0"/>
              <w:jc w:val="center"/>
              <w:rPr>
                <w:rFonts w:ascii="宋体" w:hAnsi="宋体" w:cs="宋体"/>
                <w:color w:val="000000"/>
                <w:kern w:val="0"/>
                <w:sz w:val="24"/>
              </w:rPr>
            </w:pPr>
            <w:r>
              <w:rPr>
                <w:rFonts w:hint="eastAsia" w:ascii="宋体" w:hAnsi="宋体" w:cs="宋体"/>
                <w:kern w:val="0"/>
                <w:sz w:val="24"/>
              </w:rPr>
              <w:t>法定代表人参加投标时，提供本人身份证；授权代表参加投标时，提供法定代表人授权书和被授权人身份证；非法人单位参照执行</w:t>
            </w:r>
          </w:p>
        </w:tc>
        <w:tc>
          <w:tcPr>
            <w:tcW w:w="2905" w:type="dxa"/>
            <w:vAlign w:val="center"/>
          </w:tcPr>
          <w:p>
            <w:pPr>
              <w:widowControl/>
              <w:tabs>
                <w:tab w:val="left" w:pos="1620"/>
              </w:tabs>
              <w:jc w:val="center"/>
              <w:rPr>
                <w:rFonts w:ascii="宋体" w:hAnsi="宋体"/>
                <w:color w:val="000000"/>
                <w:sz w:val="24"/>
              </w:rPr>
            </w:pPr>
            <w:r>
              <w:rPr>
                <w:rFonts w:hint="eastAsia" w:ascii="宋体" w:hAnsi="宋体"/>
                <w:sz w:val="24"/>
              </w:rPr>
              <w:t>按投标文件要求提供有效的法人授权委托书和身份证</w:t>
            </w:r>
          </w:p>
        </w:tc>
        <w:tc>
          <w:tcPr>
            <w:tcW w:w="657"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2" w:type="dxa"/>
            <w:vAlign w:val="center"/>
          </w:tcPr>
          <w:p>
            <w:pPr>
              <w:jc w:val="center"/>
              <w:rPr>
                <w:rFonts w:ascii="宋体" w:hAnsi="宋体"/>
                <w:color w:val="000000"/>
                <w:sz w:val="24"/>
              </w:rPr>
            </w:pPr>
            <w:r>
              <w:rPr>
                <w:rFonts w:hint="eastAsia" w:ascii="宋体" w:hAnsi="宋体"/>
                <w:color w:val="000000"/>
                <w:sz w:val="24"/>
              </w:rPr>
              <w:t>3</w:t>
            </w:r>
          </w:p>
        </w:tc>
        <w:tc>
          <w:tcPr>
            <w:tcW w:w="4496" w:type="dxa"/>
            <w:vAlign w:val="center"/>
          </w:tcPr>
          <w:p>
            <w:pPr>
              <w:widowControl/>
              <w:rPr>
                <w:rFonts w:ascii="宋体" w:hAnsi="宋体" w:cs="宋体"/>
                <w:sz w:val="24"/>
                <w:lang w:val="zh-CN"/>
              </w:rPr>
            </w:pPr>
            <w:r>
              <w:rPr>
                <w:rFonts w:hint="eastAsia" w:ascii="宋体" w:hAnsi="宋体" w:cs="宋体"/>
                <w:kern w:val="0"/>
                <w:sz w:val="24"/>
              </w:rPr>
              <w:t>投标人须具有</w:t>
            </w:r>
            <w:r>
              <w:rPr>
                <w:rFonts w:hint="eastAsia" w:ascii="宋体" w:hAnsi="宋体" w:cs="宋体"/>
                <w:color w:val="000000" w:themeColor="text1"/>
                <w:kern w:val="0"/>
                <w:sz w:val="24"/>
                <w14:textFill>
                  <w14:solidFill>
                    <w14:schemeClr w14:val="tx1"/>
                  </w14:solidFill>
                </w14:textFill>
              </w:rPr>
              <w:t>省级</w:t>
            </w:r>
            <w:r>
              <w:rPr>
                <w:rFonts w:hint="eastAsia" w:ascii="宋体" w:hAnsi="宋体" w:cs="宋体"/>
                <w:kern w:val="0"/>
                <w:sz w:val="24"/>
              </w:rPr>
              <w:t>行政主管部门颁发的合格有效的《出版物经营许可证》</w:t>
            </w:r>
          </w:p>
        </w:tc>
        <w:tc>
          <w:tcPr>
            <w:tcW w:w="2905" w:type="dxa"/>
            <w:vAlign w:val="center"/>
          </w:tcPr>
          <w:p>
            <w:pPr>
              <w:widowControl/>
              <w:tabs>
                <w:tab w:val="left" w:pos="1620"/>
              </w:tabs>
              <w:jc w:val="center"/>
              <w:rPr>
                <w:rFonts w:ascii="宋体" w:hAnsi="宋体"/>
                <w:sz w:val="24"/>
              </w:rPr>
            </w:pPr>
            <w:r>
              <w:rPr>
                <w:rFonts w:hint="eastAsia" w:ascii="宋体" w:hAnsi="宋体"/>
                <w:sz w:val="24"/>
              </w:rPr>
              <w:t>提供有效的出版物经营许可证</w:t>
            </w:r>
          </w:p>
        </w:tc>
        <w:tc>
          <w:tcPr>
            <w:tcW w:w="657"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02" w:type="dxa"/>
            <w:vAlign w:val="center"/>
          </w:tcPr>
          <w:p>
            <w:pPr>
              <w:jc w:val="center"/>
              <w:rPr>
                <w:rFonts w:ascii="宋体" w:hAnsi="宋体"/>
                <w:color w:val="000000"/>
                <w:sz w:val="24"/>
              </w:rPr>
            </w:pPr>
            <w:r>
              <w:rPr>
                <w:rFonts w:hint="eastAsia" w:ascii="宋体" w:hAnsi="宋体"/>
                <w:color w:val="000000"/>
                <w:sz w:val="24"/>
              </w:rPr>
              <w:t>4</w:t>
            </w:r>
          </w:p>
        </w:tc>
        <w:tc>
          <w:tcPr>
            <w:tcW w:w="4496" w:type="dxa"/>
            <w:vAlign w:val="center"/>
          </w:tcPr>
          <w:p>
            <w:pPr>
              <w:widowControl/>
              <w:jc w:val="center"/>
              <w:rPr>
                <w:rFonts w:ascii="宋体" w:hAnsi="宋体" w:cs="宋体"/>
                <w:sz w:val="24"/>
                <w:lang w:val="zh-CN"/>
              </w:rPr>
            </w:pPr>
            <w:r>
              <w:rPr>
                <w:rFonts w:hint="eastAsia" w:ascii="宋体" w:hAnsi="宋体" w:cs="宋体"/>
                <w:sz w:val="24"/>
                <w:lang w:val="zh-CN"/>
              </w:rPr>
              <w:t>投标单位负责人为同一人或者存在控股、管理关系的不同单位不得同时进行投标；</w:t>
            </w:r>
          </w:p>
        </w:tc>
        <w:tc>
          <w:tcPr>
            <w:tcW w:w="2905" w:type="dxa"/>
            <w:vAlign w:val="center"/>
          </w:tcPr>
          <w:p>
            <w:pPr>
              <w:jc w:val="center"/>
              <w:rPr>
                <w:rFonts w:ascii="宋体" w:hAnsi="宋体"/>
                <w:color w:val="000000"/>
                <w:sz w:val="24"/>
              </w:rPr>
            </w:pPr>
            <w:r>
              <w:rPr>
                <w:rFonts w:hint="eastAsia" w:ascii="宋体" w:hAnsi="宋体"/>
                <w:color w:val="000000"/>
                <w:sz w:val="24"/>
              </w:rPr>
              <w:t>是否</w:t>
            </w:r>
            <w:r>
              <w:rPr>
                <w:rFonts w:ascii="宋体" w:hAnsi="宋体"/>
                <w:color w:val="000000"/>
                <w:sz w:val="24"/>
              </w:rPr>
              <w:t>按照</w:t>
            </w:r>
            <w:r>
              <w:rPr>
                <w:rFonts w:hint="eastAsia" w:ascii="宋体" w:hAnsi="宋体"/>
                <w:color w:val="000000"/>
                <w:sz w:val="24"/>
              </w:rPr>
              <w:t>招标文件要求</w:t>
            </w:r>
          </w:p>
        </w:tc>
        <w:tc>
          <w:tcPr>
            <w:tcW w:w="657"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02" w:type="dxa"/>
            <w:vAlign w:val="center"/>
          </w:tcPr>
          <w:p>
            <w:pPr>
              <w:jc w:val="center"/>
              <w:rPr>
                <w:rFonts w:ascii="宋体" w:hAnsi="宋体"/>
                <w:color w:val="000000"/>
                <w:sz w:val="24"/>
              </w:rPr>
            </w:pPr>
            <w:r>
              <w:rPr>
                <w:rFonts w:hint="eastAsia" w:ascii="宋体" w:hAnsi="宋体"/>
                <w:color w:val="000000"/>
                <w:sz w:val="24"/>
              </w:rPr>
              <w:t>5</w:t>
            </w:r>
          </w:p>
        </w:tc>
        <w:tc>
          <w:tcPr>
            <w:tcW w:w="4496" w:type="dxa"/>
            <w:vAlign w:val="center"/>
          </w:tcPr>
          <w:p>
            <w:pPr>
              <w:widowControl/>
              <w:jc w:val="center"/>
              <w:rPr>
                <w:rFonts w:ascii="宋体" w:hAnsi="宋体" w:cs="宋体"/>
                <w:sz w:val="24"/>
                <w:lang w:val="zh-CN"/>
              </w:rPr>
            </w:pPr>
            <w:r>
              <w:rPr>
                <w:rFonts w:hint="eastAsia" w:ascii="宋体" w:hAnsi="宋体" w:cs="宋体"/>
                <w:kern w:val="0"/>
                <w:sz w:val="24"/>
              </w:rPr>
              <w:t>具有履行本合同所必需的设备和专业技术能力</w:t>
            </w:r>
          </w:p>
        </w:tc>
        <w:tc>
          <w:tcPr>
            <w:tcW w:w="2905" w:type="dxa"/>
            <w:vAlign w:val="center"/>
          </w:tcPr>
          <w:p>
            <w:pPr>
              <w:jc w:val="center"/>
              <w:rPr>
                <w:rFonts w:ascii="宋体" w:hAnsi="宋体"/>
                <w:color w:val="000000"/>
                <w:sz w:val="24"/>
              </w:rPr>
            </w:pPr>
            <w:r>
              <w:rPr>
                <w:rFonts w:hint="eastAsia" w:ascii="宋体" w:hAnsi="宋体" w:cs="宋体"/>
                <w:kern w:val="0"/>
                <w:sz w:val="24"/>
              </w:rPr>
              <w:t>具有履行本合同所必需的设备和专业技术能力</w:t>
            </w:r>
          </w:p>
        </w:tc>
        <w:tc>
          <w:tcPr>
            <w:tcW w:w="657"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2" w:type="dxa"/>
            <w:vAlign w:val="center"/>
          </w:tcPr>
          <w:p>
            <w:pPr>
              <w:jc w:val="center"/>
              <w:rPr>
                <w:rFonts w:ascii="宋体" w:hAnsi="宋体"/>
                <w:color w:val="000000"/>
                <w:sz w:val="24"/>
              </w:rPr>
            </w:pPr>
            <w:r>
              <w:rPr>
                <w:rFonts w:hint="eastAsia" w:ascii="宋体" w:hAnsi="宋体"/>
                <w:color w:val="000000"/>
                <w:sz w:val="24"/>
              </w:rPr>
              <w:t>6</w:t>
            </w:r>
          </w:p>
        </w:tc>
        <w:tc>
          <w:tcPr>
            <w:tcW w:w="4496" w:type="dxa"/>
            <w:vAlign w:val="center"/>
          </w:tcPr>
          <w:p>
            <w:pPr>
              <w:widowControl/>
              <w:jc w:val="center"/>
              <w:rPr>
                <w:rFonts w:ascii="宋体" w:hAnsi="宋体" w:cs="宋体"/>
                <w:sz w:val="24"/>
                <w:lang w:val="zh-CN"/>
              </w:rPr>
            </w:pPr>
            <w:r>
              <w:rPr>
                <w:rFonts w:hint="eastAsia" w:ascii="宋体" w:hAnsi="宋体" w:cs="宋体"/>
                <w:kern w:val="0"/>
                <w:sz w:val="24"/>
              </w:rPr>
              <w:t>参加政府采购活动前三年内，在经营活动中没有重大违法记录的书面声明</w:t>
            </w:r>
            <w:r>
              <w:rPr>
                <w:rFonts w:hint="eastAsia" w:ascii="宋体" w:hAnsi="宋体" w:cs="宋体"/>
                <w:sz w:val="24"/>
                <w:lang w:val="zh-CN"/>
              </w:rPr>
              <w:t>。</w:t>
            </w:r>
          </w:p>
        </w:tc>
        <w:tc>
          <w:tcPr>
            <w:tcW w:w="2905" w:type="dxa"/>
            <w:vAlign w:val="center"/>
          </w:tcPr>
          <w:p>
            <w:pPr>
              <w:rPr>
                <w:rFonts w:ascii="宋体" w:hAnsi="宋体" w:cs="宋体"/>
                <w:color w:val="FF0000"/>
                <w:kern w:val="0"/>
                <w:sz w:val="24"/>
              </w:rPr>
            </w:pPr>
            <w:r>
              <w:rPr>
                <w:rFonts w:hint="eastAsia" w:ascii="宋体" w:hAnsi="宋体" w:cs="宋体"/>
                <w:kern w:val="0"/>
                <w:sz w:val="24"/>
              </w:rPr>
              <w:t>参加政府采购活动前三年内，在经营活动中没有重大违法记录的书面声明</w:t>
            </w:r>
          </w:p>
        </w:tc>
        <w:tc>
          <w:tcPr>
            <w:tcW w:w="657"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02" w:type="dxa"/>
            <w:vAlign w:val="center"/>
          </w:tcPr>
          <w:p>
            <w:pPr>
              <w:widowControl/>
              <w:jc w:val="center"/>
              <w:rPr>
                <w:rFonts w:ascii="宋体" w:hAnsi="宋体" w:cs="宋体"/>
                <w:sz w:val="24"/>
              </w:rPr>
            </w:pPr>
            <w:r>
              <w:rPr>
                <w:rFonts w:hint="eastAsia" w:ascii="宋体" w:hAnsi="宋体" w:cs="宋体"/>
                <w:sz w:val="24"/>
              </w:rPr>
              <w:t>7</w:t>
            </w:r>
          </w:p>
        </w:tc>
        <w:tc>
          <w:tcPr>
            <w:tcW w:w="4496" w:type="dxa"/>
            <w:vAlign w:val="center"/>
          </w:tcPr>
          <w:p>
            <w:pPr>
              <w:widowControl/>
              <w:jc w:val="center"/>
              <w:rPr>
                <w:rFonts w:ascii="宋体" w:hAnsi="宋体" w:cs="宋体"/>
                <w:sz w:val="24"/>
                <w:lang w:val="zh-CN"/>
              </w:rPr>
            </w:pPr>
            <w:r>
              <w:rPr>
                <w:rFonts w:hint="eastAsia" w:ascii="宋体" w:hAnsi="宋体" w:cs="宋体"/>
                <w:sz w:val="24"/>
                <w:lang w:val="zh-CN"/>
              </w:rPr>
              <w:t>税收缴纳证明</w:t>
            </w:r>
          </w:p>
        </w:tc>
        <w:tc>
          <w:tcPr>
            <w:tcW w:w="2905" w:type="dxa"/>
            <w:vAlign w:val="center"/>
          </w:tcPr>
          <w:p>
            <w:pPr>
              <w:widowControl/>
              <w:jc w:val="left"/>
              <w:rPr>
                <w:rFonts w:ascii="宋体" w:hAnsi="宋体" w:cs="宋体"/>
                <w:sz w:val="24"/>
                <w:lang w:val="zh-CN"/>
              </w:rPr>
            </w:pPr>
            <w:r>
              <w:rPr>
                <w:rFonts w:hint="eastAsia" w:ascii="宋体" w:hAnsi="宋体" w:cs="宋体"/>
                <w:kern w:val="0"/>
                <w:sz w:val="24"/>
              </w:rPr>
              <w:t>提供投标单位2022年1月至今已缴纳任意一个月完税凭证或税务机关开具的完税证明（任意税种）；依法免税的应提供相关文件证明</w:t>
            </w:r>
          </w:p>
        </w:tc>
        <w:tc>
          <w:tcPr>
            <w:tcW w:w="657"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02" w:type="dxa"/>
            <w:vAlign w:val="center"/>
          </w:tcPr>
          <w:p>
            <w:pPr>
              <w:widowControl/>
              <w:jc w:val="center"/>
              <w:rPr>
                <w:rFonts w:ascii="宋体" w:hAnsi="宋体" w:cs="宋体"/>
                <w:sz w:val="24"/>
              </w:rPr>
            </w:pPr>
            <w:r>
              <w:rPr>
                <w:rFonts w:hint="eastAsia" w:ascii="宋体" w:hAnsi="宋体" w:cs="宋体"/>
                <w:sz w:val="24"/>
              </w:rPr>
              <w:t>8</w:t>
            </w:r>
          </w:p>
        </w:tc>
        <w:tc>
          <w:tcPr>
            <w:tcW w:w="4496" w:type="dxa"/>
            <w:vAlign w:val="center"/>
          </w:tcPr>
          <w:p>
            <w:pPr>
              <w:widowControl/>
              <w:jc w:val="center"/>
              <w:rPr>
                <w:rFonts w:ascii="宋体" w:hAnsi="宋体" w:cs="宋体"/>
                <w:sz w:val="24"/>
                <w:lang w:val="zh-CN"/>
              </w:rPr>
            </w:pPr>
            <w:r>
              <w:rPr>
                <w:rFonts w:hint="eastAsia" w:ascii="宋体" w:hAnsi="宋体" w:cs="宋体"/>
                <w:sz w:val="24"/>
                <w:lang w:val="zh-CN"/>
              </w:rPr>
              <w:t>社会保障资金缴纳证明</w:t>
            </w:r>
          </w:p>
        </w:tc>
        <w:tc>
          <w:tcPr>
            <w:tcW w:w="2905" w:type="dxa"/>
            <w:vAlign w:val="center"/>
          </w:tcPr>
          <w:p>
            <w:pPr>
              <w:widowControl/>
              <w:jc w:val="left"/>
              <w:rPr>
                <w:rFonts w:ascii="宋体" w:hAnsi="宋体" w:cs="宋体"/>
                <w:sz w:val="24"/>
                <w:lang w:val="zh-CN"/>
              </w:rPr>
            </w:pPr>
            <w:r>
              <w:rPr>
                <w:rFonts w:hint="eastAsia" w:ascii="宋体" w:hAnsi="宋体" w:cs="宋体"/>
                <w:kern w:val="0"/>
                <w:sz w:val="24"/>
              </w:rPr>
              <w:t>提供投标单位2022年1月至今已缴存的任意一个月的社会保障资金缴存证明或社保机构开具的社会保险参保缴费情况证明；依法不需要缴纳社会保障资金的应提供相关文件证明</w:t>
            </w:r>
          </w:p>
        </w:tc>
        <w:tc>
          <w:tcPr>
            <w:tcW w:w="657"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2" w:type="dxa"/>
            <w:vAlign w:val="center"/>
          </w:tcPr>
          <w:p>
            <w:pPr>
              <w:widowControl/>
              <w:jc w:val="center"/>
              <w:rPr>
                <w:rFonts w:ascii="宋体" w:hAnsi="宋体" w:cs="宋体"/>
                <w:sz w:val="24"/>
              </w:rPr>
            </w:pPr>
            <w:r>
              <w:rPr>
                <w:rFonts w:hint="eastAsia" w:ascii="宋体" w:hAnsi="宋体" w:cs="宋体"/>
                <w:sz w:val="24"/>
              </w:rPr>
              <w:t>9</w:t>
            </w:r>
          </w:p>
        </w:tc>
        <w:tc>
          <w:tcPr>
            <w:tcW w:w="4496" w:type="dxa"/>
            <w:vAlign w:val="center"/>
          </w:tcPr>
          <w:p>
            <w:pPr>
              <w:widowControl/>
              <w:jc w:val="center"/>
              <w:rPr>
                <w:rFonts w:ascii="宋体" w:hAnsi="宋体" w:cs="宋体"/>
                <w:sz w:val="24"/>
                <w:lang w:val="zh-CN"/>
              </w:rPr>
            </w:pPr>
            <w:r>
              <w:rPr>
                <w:rFonts w:hint="eastAsia" w:ascii="宋体" w:hAnsi="宋体" w:cs="宋体"/>
                <w:sz w:val="24"/>
                <w:lang w:val="zh-CN"/>
              </w:rPr>
              <w:t>财务状况报告</w:t>
            </w:r>
          </w:p>
        </w:tc>
        <w:tc>
          <w:tcPr>
            <w:tcW w:w="2905" w:type="dxa"/>
            <w:vAlign w:val="center"/>
          </w:tcPr>
          <w:p>
            <w:pPr>
              <w:widowControl/>
              <w:jc w:val="left"/>
              <w:rPr>
                <w:rFonts w:ascii="宋体" w:hAnsi="宋体" w:cs="宋体"/>
                <w:sz w:val="24"/>
                <w:lang w:val="zh-CN"/>
              </w:rPr>
            </w:pPr>
            <w:r>
              <w:rPr>
                <w:rFonts w:hint="eastAsia" w:ascii="宋体" w:hAnsi="宋体" w:cs="宋体"/>
                <w:kern w:val="0"/>
                <w:sz w:val="24"/>
              </w:rPr>
              <w:t>提供2021年经审计的财务报告或开标前三个月内开户银行开具的资信证明</w:t>
            </w:r>
          </w:p>
        </w:tc>
        <w:tc>
          <w:tcPr>
            <w:tcW w:w="657"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702" w:type="dxa"/>
            <w:vAlign w:val="center"/>
          </w:tcPr>
          <w:p>
            <w:pPr>
              <w:widowControl/>
              <w:jc w:val="center"/>
              <w:rPr>
                <w:rFonts w:ascii="宋体" w:hAnsi="宋体" w:cs="宋体"/>
                <w:sz w:val="24"/>
              </w:rPr>
            </w:pPr>
            <w:r>
              <w:rPr>
                <w:rFonts w:hint="eastAsia" w:ascii="宋体" w:hAnsi="宋体" w:cs="宋体"/>
                <w:sz w:val="24"/>
              </w:rPr>
              <w:t>10</w:t>
            </w:r>
          </w:p>
        </w:tc>
        <w:tc>
          <w:tcPr>
            <w:tcW w:w="4496" w:type="dxa"/>
            <w:vAlign w:val="center"/>
          </w:tcPr>
          <w:p>
            <w:pPr>
              <w:widowControl/>
              <w:jc w:val="center"/>
              <w:rPr>
                <w:rFonts w:ascii="宋体" w:hAnsi="宋体" w:cs="宋体"/>
                <w:sz w:val="24"/>
              </w:rPr>
            </w:pPr>
            <w:r>
              <w:rPr>
                <w:rFonts w:hint="eastAsia" w:ascii="宋体" w:hAnsi="宋体" w:cs="宋体"/>
                <w:sz w:val="24"/>
                <w:lang w:val="zh-CN"/>
              </w:rPr>
              <w:t>“信用中国”网站和“中国政府采购网”查询截图</w:t>
            </w:r>
          </w:p>
        </w:tc>
        <w:tc>
          <w:tcPr>
            <w:tcW w:w="2905" w:type="dxa"/>
            <w:vAlign w:val="center"/>
          </w:tcPr>
          <w:p>
            <w:pPr>
              <w:widowControl/>
              <w:jc w:val="left"/>
              <w:rPr>
                <w:rFonts w:ascii="宋体" w:hAnsi="宋体" w:cs="宋体"/>
                <w:sz w:val="24"/>
              </w:rPr>
            </w:pPr>
            <w:r>
              <w:rPr>
                <w:rFonts w:hint="eastAsia" w:ascii="宋体" w:hAnsi="宋体" w:cs="宋体"/>
                <w:kern w:val="0"/>
                <w:sz w:val="24"/>
              </w:rPr>
              <w:t>投标人不得为“信用中国”网站（www.creditchina.gov.cn）（中国执行信息公开网）和中国政府采购网（www.ccgp.gov.cn）中被列入失信被执行人、重大税收违法失信主体、政府采购严重违法失信行为记录名单的单位</w:t>
            </w:r>
          </w:p>
        </w:tc>
        <w:tc>
          <w:tcPr>
            <w:tcW w:w="657"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702" w:type="dxa"/>
            <w:vAlign w:val="center"/>
          </w:tcPr>
          <w:p>
            <w:pPr>
              <w:widowControl/>
              <w:jc w:val="center"/>
              <w:rPr>
                <w:rFonts w:ascii="宋体" w:hAnsi="宋体" w:cs="宋体"/>
                <w:sz w:val="24"/>
              </w:rPr>
            </w:pPr>
          </w:p>
        </w:tc>
        <w:tc>
          <w:tcPr>
            <w:tcW w:w="4496" w:type="dxa"/>
            <w:vAlign w:val="center"/>
          </w:tcPr>
          <w:p>
            <w:pPr>
              <w:widowControl/>
              <w:jc w:val="center"/>
              <w:rPr>
                <w:rFonts w:ascii="宋体" w:hAnsi="宋体" w:cs="宋体"/>
                <w:sz w:val="24"/>
              </w:rPr>
            </w:pPr>
          </w:p>
        </w:tc>
        <w:tc>
          <w:tcPr>
            <w:tcW w:w="2905" w:type="dxa"/>
            <w:vAlign w:val="center"/>
          </w:tcPr>
          <w:p>
            <w:pPr>
              <w:widowControl/>
              <w:jc w:val="left"/>
              <w:rPr>
                <w:rFonts w:ascii="宋体" w:hAnsi="宋体" w:cs="宋体"/>
                <w:sz w:val="24"/>
              </w:rPr>
            </w:pPr>
          </w:p>
        </w:tc>
        <w:tc>
          <w:tcPr>
            <w:tcW w:w="657"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760" w:type="dxa"/>
            <w:gridSpan w:val="4"/>
            <w:vAlign w:val="center"/>
          </w:tcPr>
          <w:p>
            <w:pPr>
              <w:jc w:val="center"/>
              <w:rPr>
                <w:rFonts w:ascii="宋体" w:hAnsi="宋体"/>
                <w:color w:val="000000"/>
                <w:sz w:val="24"/>
              </w:rPr>
            </w:pPr>
            <w:r>
              <w:rPr>
                <w:rFonts w:hint="eastAsia" w:ascii="宋体" w:hAnsi="宋体" w:cs="宋体"/>
                <w:sz w:val="24"/>
                <w:lang w:val="zh-CN"/>
              </w:rPr>
              <w:t>审查结果（合格或不合格）</w:t>
            </w:r>
          </w:p>
        </w:tc>
      </w:tr>
    </w:tbl>
    <w:p>
      <w:pPr>
        <w:spacing w:after="120" w:afterLines="50" w:line="360" w:lineRule="auto"/>
        <w:ind w:firstLine="472" w:firstLineChars="196"/>
        <w:rPr>
          <w:rFonts w:ascii="宋体" w:hAnsi="宋体"/>
          <w:b/>
          <w:bCs/>
          <w:sz w:val="24"/>
        </w:rPr>
      </w:pPr>
      <w:r>
        <w:rPr>
          <w:rFonts w:hint="eastAsia" w:ascii="宋体" w:hAnsi="宋体"/>
          <w:b/>
          <w:bCs/>
          <w:sz w:val="24"/>
        </w:rPr>
        <w:t>注：以上证件、资料在投标文件中放置复印件并加盖公章。</w:t>
      </w:r>
    </w:p>
    <w:p>
      <w:pPr>
        <w:spacing w:after="120" w:afterLines="50" w:line="360" w:lineRule="auto"/>
        <w:ind w:firstLine="470" w:firstLineChars="196"/>
        <w:rPr>
          <w:rFonts w:ascii="宋体" w:hAnsi="宋体"/>
          <w:sz w:val="24"/>
        </w:rPr>
      </w:pPr>
      <w:r>
        <w:rPr>
          <w:rFonts w:hint="eastAsia" w:ascii="宋体" w:hAnsi="宋体"/>
          <w:sz w:val="24"/>
        </w:rPr>
        <w:t>2.2符合性审查。依据招标文件的规定，从投标文件的有效性、完整性和对招标文件的响应程度进行审查，以确定是否对招标文件的实质性要求作出响应。</w:t>
      </w:r>
    </w:p>
    <w:p>
      <w:pPr>
        <w:spacing w:after="120" w:afterLines="50"/>
        <w:ind w:firstLine="472" w:firstLineChars="196"/>
        <w:rPr>
          <w:rFonts w:ascii="宋体" w:hAnsi="宋体"/>
          <w:b/>
          <w:bCs/>
          <w:sz w:val="24"/>
        </w:rPr>
      </w:pPr>
      <w:r>
        <w:rPr>
          <w:rFonts w:hint="eastAsia" w:ascii="宋体" w:hAnsi="宋体"/>
          <w:b/>
          <w:bCs/>
          <w:sz w:val="24"/>
        </w:rPr>
        <w:t>符合性审查表：</w:t>
      </w:r>
    </w:p>
    <w:tbl>
      <w:tblPr>
        <w:tblStyle w:val="31"/>
        <w:tblpPr w:leftFromText="180" w:rightFromText="180" w:vertAnchor="text" w:horzAnchor="page" w:tblpX="1858" w:tblpY="587"/>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08"/>
        <w:gridCol w:w="5553"/>
        <w:gridCol w:w="911"/>
        <w:gridCol w:w="22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序号</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审查内容</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审查标准</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审查结果（合格或不合格）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4" w:hRule="atLeast"/>
        </w:trPr>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ascii="宋体" w:hAnsi="宋体"/>
                <w:sz w:val="24"/>
              </w:rPr>
              <w:t>1</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投标文件按照招标文件规定的格式、内容填写齐全，字迹清晰可辨</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是否符合</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2</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投标文件有效期是否满足招标文件要求</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是否满足</w:t>
            </w: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jc w:val="center"/>
              <w:rPr>
                <w:rFonts w:ascii="黑体" w:hAnsi="宋体" w:eastAsia="黑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6" w:space="0"/>
              <w:bottom w:val="single" w:color="auto" w:sz="4" w:space="0"/>
              <w:right w:val="single" w:color="auto" w:sz="6" w:space="0"/>
            </w:tcBorders>
            <w:vAlign w:val="center"/>
          </w:tcPr>
          <w:p>
            <w:pPr>
              <w:jc w:val="center"/>
              <w:rPr>
                <w:rFonts w:ascii="宋体" w:hAnsi="宋体"/>
                <w:sz w:val="24"/>
              </w:rPr>
            </w:pPr>
            <w:r>
              <w:rPr>
                <w:rFonts w:hint="eastAsia" w:ascii="宋体" w:hAnsi="宋体"/>
                <w:sz w:val="24"/>
              </w:rPr>
              <w:t>3</w:t>
            </w:r>
          </w:p>
        </w:tc>
        <w:tc>
          <w:tcPr>
            <w:tcW w:w="0" w:type="auto"/>
            <w:tcBorders>
              <w:top w:val="single" w:color="auto" w:sz="4" w:space="0"/>
              <w:left w:val="single" w:color="auto" w:sz="6" w:space="0"/>
              <w:bottom w:val="single" w:color="auto" w:sz="4" w:space="0"/>
              <w:right w:val="single" w:color="auto" w:sz="6" w:space="0"/>
            </w:tcBorders>
            <w:vAlign w:val="center"/>
          </w:tcPr>
          <w:p>
            <w:pPr>
              <w:jc w:val="center"/>
              <w:rPr>
                <w:rFonts w:ascii="宋体" w:hAnsi="宋体"/>
                <w:sz w:val="24"/>
              </w:rPr>
            </w:pPr>
            <w:r>
              <w:rPr>
                <w:rFonts w:hint="eastAsia" w:ascii="宋体" w:hAnsi="宋体"/>
                <w:sz w:val="24"/>
              </w:rPr>
              <w:t>质保期</w:t>
            </w:r>
          </w:p>
        </w:tc>
        <w:tc>
          <w:tcPr>
            <w:tcW w:w="0" w:type="auto"/>
            <w:tcBorders>
              <w:top w:val="single" w:color="auto" w:sz="4" w:space="0"/>
              <w:left w:val="single" w:color="auto" w:sz="6" w:space="0"/>
              <w:bottom w:val="single" w:color="auto" w:sz="4" w:space="0"/>
              <w:right w:val="single" w:color="auto" w:sz="6" w:space="0"/>
            </w:tcBorders>
            <w:vAlign w:val="center"/>
          </w:tcPr>
          <w:p>
            <w:pPr>
              <w:jc w:val="center"/>
              <w:rPr>
                <w:rFonts w:ascii="宋体" w:hAnsi="宋体"/>
                <w:sz w:val="24"/>
              </w:rPr>
            </w:pPr>
            <w:r>
              <w:rPr>
                <w:rFonts w:hint="eastAsia" w:ascii="宋体" w:hAnsi="宋体"/>
                <w:sz w:val="24"/>
              </w:rPr>
              <w:t>是否满足</w:t>
            </w:r>
          </w:p>
        </w:tc>
        <w:tc>
          <w:tcPr>
            <w:tcW w:w="0" w:type="auto"/>
            <w:tcBorders>
              <w:top w:val="single" w:color="auto" w:sz="4" w:space="0"/>
              <w:left w:val="single" w:color="auto" w:sz="6" w:space="0"/>
              <w:bottom w:val="single" w:color="auto" w:sz="4" w:space="0"/>
              <w:right w:val="single" w:color="auto" w:sz="6" w:space="0"/>
            </w:tcBorders>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0" w:type="auto"/>
            <w:tcBorders>
              <w:top w:val="single" w:color="auto" w:sz="4" w:space="0"/>
              <w:left w:val="single" w:color="auto" w:sz="6" w:space="0"/>
              <w:bottom w:val="single" w:color="auto" w:sz="4" w:space="0"/>
              <w:right w:val="single" w:color="auto" w:sz="6" w:space="0"/>
            </w:tcBorders>
            <w:vAlign w:val="center"/>
          </w:tcPr>
          <w:p>
            <w:pPr>
              <w:jc w:val="center"/>
              <w:rPr>
                <w:rFonts w:ascii="宋体" w:hAnsi="宋体"/>
                <w:sz w:val="24"/>
              </w:rPr>
            </w:pPr>
            <w:r>
              <w:rPr>
                <w:rFonts w:hint="eastAsia" w:ascii="宋体" w:hAnsi="宋体"/>
                <w:sz w:val="24"/>
              </w:rPr>
              <w:t>4</w:t>
            </w:r>
          </w:p>
        </w:tc>
        <w:tc>
          <w:tcPr>
            <w:tcW w:w="0" w:type="auto"/>
            <w:tcBorders>
              <w:top w:val="single" w:color="auto" w:sz="4" w:space="0"/>
              <w:left w:val="single" w:color="auto" w:sz="6" w:space="0"/>
              <w:bottom w:val="single" w:color="auto" w:sz="4" w:space="0"/>
              <w:right w:val="single" w:color="auto" w:sz="6" w:space="0"/>
            </w:tcBorders>
            <w:vAlign w:val="center"/>
          </w:tcPr>
          <w:p>
            <w:pPr>
              <w:jc w:val="center"/>
              <w:rPr>
                <w:rFonts w:ascii="宋体" w:hAnsi="宋体"/>
                <w:sz w:val="24"/>
              </w:rPr>
            </w:pPr>
            <w:r>
              <w:rPr>
                <w:rFonts w:hint="eastAsia" w:ascii="宋体" w:hAnsi="宋体"/>
                <w:sz w:val="24"/>
              </w:rPr>
              <w:t>交货期</w:t>
            </w:r>
          </w:p>
        </w:tc>
        <w:tc>
          <w:tcPr>
            <w:tcW w:w="0" w:type="auto"/>
            <w:tcBorders>
              <w:top w:val="single" w:color="auto" w:sz="4" w:space="0"/>
              <w:left w:val="single" w:color="auto" w:sz="6" w:space="0"/>
              <w:bottom w:val="single" w:color="auto" w:sz="4" w:space="0"/>
              <w:right w:val="single" w:color="auto" w:sz="6" w:space="0"/>
            </w:tcBorders>
            <w:vAlign w:val="center"/>
          </w:tcPr>
          <w:p>
            <w:pPr>
              <w:jc w:val="center"/>
              <w:rPr>
                <w:rFonts w:ascii="宋体" w:hAnsi="宋体"/>
                <w:sz w:val="24"/>
              </w:rPr>
            </w:pPr>
            <w:r>
              <w:rPr>
                <w:rFonts w:hint="eastAsia" w:ascii="宋体" w:hAnsi="宋体"/>
                <w:sz w:val="24"/>
              </w:rPr>
              <w:t>是否满足</w:t>
            </w:r>
          </w:p>
        </w:tc>
        <w:tc>
          <w:tcPr>
            <w:tcW w:w="0" w:type="auto"/>
            <w:tcBorders>
              <w:top w:val="single" w:color="auto" w:sz="4" w:space="0"/>
              <w:left w:val="single" w:color="auto" w:sz="6" w:space="0"/>
              <w:bottom w:val="single" w:color="auto" w:sz="4" w:space="0"/>
              <w:right w:val="single" w:color="auto" w:sz="6" w:space="0"/>
            </w:tcBorders>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0" w:type="auto"/>
            <w:tcBorders>
              <w:top w:val="single" w:color="auto" w:sz="4" w:space="0"/>
              <w:left w:val="single" w:color="auto" w:sz="6" w:space="0"/>
              <w:bottom w:val="single" w:color="auto" w:sz="4" w:space="0"/>
              <w:right w:val="single" w:color="auto" w:sz="6" w:space="0"/>
            </w:tcBorders>
            <w:vAlign w:val="center"/>
          </w:tcPr>
          <w:p>
            <w:pPr>
              <w:jc w:val="center"/>
              <w:rPr>
                <w:rFonts w:ascii="宋体" w:hAnsi="宋体"/>
                <w:sz w:val="24"/>
              </w:rPr>
            </w:pPr>
            <w:r>
              <w:rPr>
                <w:rFonts w:hint="eastAsia" w:ascii="宋体" w:hAnsi="宋体"/>
                <w:sz w:val="24"/>
              </w:rPr>
              <w:t>5</w:t>
            </w:r>
          </w:p>
        </w:tc>
        <w:tc>
          <w:tcPr>
            <w:tcW w:w="0" w:type="auto"/>
            <w:tcBorders>
              <w:top w:val="single" w:color="auto" w:sz="4" w:space="0"/>
              <w:left w:val="single" w:color="auto" w:sz="6" w:space="0"/>
              <w:bottom w:val="single" w:color="auto" w:sz="4" w:space="0"/>
              <w:right w:val="single" w:color="auto" w:sz="6" w:space="0"/>
            </w:tcBorders>
            <w:vAlign w:val="center"/>
          </w:tcPr>
          <w:p>
            <w:pPr>
              <w:jc w:val="center"/>
              <w:rPr>
                <w:rFonts w:ascii="宋体" w:hAnsi="宋体"/>
                <w:sz w:val="24"/>
              </w:rPr>
            </w:pPr>
            <w:r>
              <w:rPr>
                <w:rFonts w:hint="eastAsia" w:ascii="宋体" w:hAnsi="宋体"/>
                <w:sz w:val="24"/>
              </w:rPr>
              <w:t>投标文件投标人的签字、盖章、密封是否符合招标文件规定；</w:t>
            </w:r>
          </w:p>
        </w:tc>
        <w:tc>
          <w:tcPr>
            <w:tcW w:w="0" w:type="auto"/>
            <w:tcBorders>
              <w:top w:val="single" w:color="auto" w:sz="4" w:space="0"/>
              <w:left w:val="single" w:color="auto" w:sz="6" w:space="0"/>
              <w:bottom w:val="single" w:color="auto" w:sz="4" w:space="0"/>
              <w:right w:val="single" w:color="auto" w:sz="6" w:space="0"/>
            </w:tcBorders>
            <w:vAlign w:val="center"/>
          </w:tcPr>
          <w:p>
            <w:pPr>
              <w:jc w:val="center"/>
              <w:rPr>
                <w:rFonts w:ascii="宋体" w:hAnsi="宋体"/>
                <w:sz w:val="24"/>
              </w:rPr>
            </w:pPr>
            <w:r>
              <w:rPr>
                <w:rFonts w:hint="eastAsia" w:ascii="宋体" w:hAnsi="宋体"/>
                <w:sz w:val="24"/>
              </w:rPr>
              <w:t>是否符合</w:t>
            </w:r>
          </w:p>
        </w:tc>
        <w:tc>
          <w:tcPr>
            <w:tcW w:w="0" w:type="auto"/>
            <w:tcBorders>
              <w:top w:val="single" w:color="auto" w:sz="4" w:space="0"/>
              <w:left w:val="single" w:color="auto" w:sz="6" w:space="0"/>
              <w:bottom w:val="single" w:color="auto" w:sz="4" w:space="0"/>
              <w:right w:val="single" w:color="auto" w:sz="6" w:space="0"/>
            </w:tcBorders>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1" w:hRule="atLeast"/>
        </w:trPr>
        <w:tc>
          <w:tcPr>
            <w:tcW w:w="0" w:type="auto"/>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6</w:t>
            </w:r>
          </w:p>
        </w:tc>
        <w:tc>
          <w:tcPr>
            <w:tcW w:w="0" w:type="auto"/>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报价优惠折扣率唯一</w:t>
            </w:r>
          </w:p>
        </w:tc>
        <w:tc>
          <w:tcPr>
            <w:tcW w:w="0" w:type="auto"/>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是否符合</w:t>
            </w:r>
          </w:p>
        </w:tc>
        <w:tc>
          <w:tcPr>
            <w:tcW w:w="0" w:type="auto"/>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4"/>
                <w:highlight w:val="gree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7</w:t>
            </w:r>
          </w:p>
        </w:tc>
        <w:tc>
          <w:tcPr>
            <w:tcW w:w="0" w:type="auto"/>
            <w:tcBorders>
              <w:top w:val="single" w:color="auto" w:sz="6" w:space="0"/>
              <w:left w:val="single" w:color="auto" w:sz="6" w:space="0"/>
              <w:bottom w:val="single" w:color="auto" w:sz="6" w:space="0"/>
              <w:right w:val="single" w:color="auto" w:sz="6" w:space="0"/>
            </w:tcBorders>
            <w:vAlign w:val="center"/>
          </w:tcPr>
          <w:p>
            <w:pPr>
              <w:spacing w:line="480" w:lineRule="exact"/>
              <w:jc w:val="center"/>
              <w:rPr>
                <w:rFonts w:ascii="宋体" w:hAnsi="宋体"/>
                <w:sz w:val="24"/>
              </w:rPr>
            </w:pPr>
            <w:r>
              <w:rPr>
                <w:rFonts w:hint="eastAsia" w:ascii="宋体" w:hAnsi="宋体"/>
                <w:sz w:val="24"/>
              </w:rPr>
              <w:t>投标文件对招标文件响应，未附有采购人不能接受条件的，不存在重大偏离。</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是否满足</w:t>
            </w:r>
          </w:p>
        </w:tc>
        <w:tc>
          <w:tcPr>
            <w:tcW w:w="0" w:type="auto"/>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0" w:type="auto"/>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r>
              <w:rPr>
                <w:rFonts w:hint="eastAsia" w:ascii="宋体" w:hAnsi="宋体"/>
                <w:sz w:val="24"/>
              </w:rPr>
              <w:t>审查结果（合格或不合格）</w:t>
            </w:r>
          </w:p>
        </w:tc>
      </w:tr>
    </w:tbl>
    <w:p>
      <w:pPr>
        <w:spacing w:before="240" w:beforeLines="100" w:line="360" w:lineRule="auto"/>
        <w:rPr>
          <w:rFonts w:ascii="宋体" w:hAnsi="宋体"/>
          <w:sz w:val="24"/>
        </w:rPr>
      </w:pPr>
      <w:r>
        <w:rPr>
          <w:rFonts w:hint="eastAsia" w:ascii="宋体" w:hAnsi="宋体"/>
          <w:sz w:val="24"/>
        </w:rPr>
        <w:t>说明：以上各项有1项不合格，评审不予通过，作为未实质性响应招标文件。</w:t>
      </w:r>
    </w:p>
    <w:p>
      <w:pPr>
        <w:spacing w:before="240" w:beforeLines="100" w:line="360" w:lineRule="auto"/>
        <w:ind w:firstLine="480" w:firstLineChars="200"/>
        <w:rPr>
          <w:rFonts w:ascii="宋体" w:hAnsi="宋体"/>
          <w:sz w:val="24"/>
        </w:rPr>
      </w:pPr>
      <w:r>
        <w:rPr>
          <w:rFonts w:hint="eastAsia" w:ascii="宋体" w:hAnsi="宋体"/>
          <w:sz w:val="24"/>
        </w:rPr>
        <w:t>2.3 未通过资格性、符合性审查的投标单位，不得进入后续评标环节。</w:t>
      </w:r>
    </w:p>
    <w:p>
      <w:pPr>
        <w:pStyle w:val="8"/>
      </w:pPr>
      <w:r>
        <w:rPr>
          <w:rFonts w:hint="eastAsia"/>
        </w:rPr>
        <w:t>3.投标文件的澄清</w:t>
      </w:r>
    </w:p>
    <w:p>
      <w:pPr>
        <w:spacing w:line="360" w:lineRule="auto"/>
        <w:ind w:firstLine="480" w:firstLineChars="200"/>
        <w:rPr>
          <w:rFonts w:ascii="宋体" w:hAnsi="宋体"/>
          <w:sz w:val="24"/>
        </w:rPr>
      </w:pPr>
      <w:r>
        <w:rPr>
          <w:rFonts w:hint="eastAsia" w:ascii="宋体" w:hAnsi="宋体"/>
          <w:sz w:val="24"/>
        </w:rPr>
        <w:t>3.1为有助于投标文件的审查、比较和评价，评委会可要求投标人对其投标文件中非实质性（投标文件中含义不明确、同类问题表述不一致或者有明显文字和计算错误的内容）的有关问题进行澄清、说明或者补正。有关澄清、说明或者补正的要求和答复应以书面（含电传、传真）形式提交，并由其法定代表人或委托代理人签字。投标人的澄清、说明或者补正不得超出投标文件的范围或者改变投标文件的实质性内容。评委会不接受投标人主动提出的澄清、说明。</w:t>
      </w:r>
    </w:p>
    <w:p>
      <w:pPr>
        <w:spacing w:line="360" w:lineRule="auto"/>
        <w:ind w:firstLine="480" w:firstLineChars="200"/>
        <w:rPr>
          <w:rFonts w:ascii="宋体" w:hAnsi="宋体"/>
          <w:sz w:val="24"/>
        </w:rPr>
      </w:pPr>
      <w:r>
        <w:rPr>
          <w:rFonts w:hint="eastAsia" w:ascii="宋体" w:hAnsi="宋体"/>
          <w:sz w:val="24"/>
        </w:rPr>
        <w:t>3.2 评委会对投标人提交的澄清、说明或者补正有疑问的，可以要求投标人进一步澄清、说明或者补正，直至满足评委会的要求。</w:t>
      </w:r>
    </w:p>
    <w:p>
      <w:pPr>
        <w:spacing w:line="360" w:lineRule="auto"/>
        <w:ind w:firstLine="480" w:firstLineChars="200"/>
        <w:rPr>
          <w:rFonts w:ascii="宋体" w:hAnsi="宋体"/>
          <w:sz w:val="24"/>
        </w:rPr>
      </w:pPr>
      <w:r>
        <w:rPr>
          <w:rFonts w:hint="eastAsia" w:ascii="宋体" w:hAnsi="宋体"/>
          <w:sz w:val="24"/>
        </w:rPr>
        <w:t>3.3 有效的书面澄清、说明或补正材料，是投标文件的补充材料，成为投标文件的组成部分。</w:t>
      </w:r>
    </w:p>
    <w:p>
      <w:pPr>
        <w:pStyle w:val="8"/>
      </w:pPr>
      <w:r>
        <w:rPr>
          <w:rFonts w:hint="eastAsia"/>
        </w:rPr>
        <w:t>4.投标文件比较与评价</w:t>
      </w:r>
    </w:p>
    <w:p>
      <w:pPr>
        <w:tabs>
          <w:tab w:val="left" w:pos="0"/>
        </w:tabs>
        <w:adjustRightInd w:val="0"/>
        <w:snapToGrid w:val="0"/>
        <w:spacing w:before="120" w:beforeLines="50" w:line="360" w:lineRule="auto"/>
        <w:ind w:firstLine="480" w:firstLineChars="200"/>
        <w:rPr>
          <w:rFonts w:ascii="宋体" w:hAnsi="宋体"/>
          <w:sz w:val="24"/>
        </w:rPr>
      </w:pPr>
      <w:r>
        <w:rPr>
          <w:rFonts w:hint="eastAsia" w:ascii="宋体" w:hAnsi="宋体"/>
          <w:sz w:val="24"/>
        </w:rPr>
        <w:t>4.1</w:t>
      </w:r>
      <w:r>
        <w:rPr>
          <w:rFonts w:hint="eastAsia" w:ascii="宋体" w:hAnsi="宋体"/>
          <w:bCs/>
          <w:sz w:val="24"/>
        </w:rPr>
        <w:t>评标委员会应按照招标文件中规定的评标方法</w:t>
      </w:r>
      <w:r>
        <w:rPr>
          <w:rFonts w:hint="eastAsia" w:ascii="宋体" w:hAnsi="宋体"/>
          <w:sz w:val="24"/>
        </w:rPr>
        <w:t>和标准，</w:t>
      </w:r>
      <w:r>
        <w:rPr>
          <w:rFonts w:hint="eastAsia" w:ascii="宋体" w:hAnsi="宋体"/>
          <w:bCs/>
          <w:sz w:val="24"/>
        </w:rPr>
        <w:t>对</w:t>
      </w:r>
      <w:r>
        <w:rPr>
          <w:rFonts w:hint="eastAsia" w:ascii="宋体" w:hAnsi="宋体"/>
          <w:sz w:val="24"/>
        </w:rPr>
        <w:t>初步审查</w:t>
      </w:r>
      <w:r>
        <w:rPr>
          <w:rFonts w:hint="eastAsia" w:ascii="宋体" w:hAnsi="宋体"/>
          <w:bCs/>
          <w:sz w:val="24"/>
        </w:rPr>
        <w:t>通过的投标文件进行商务和技术评估，综合比较与评价。</w:t>
      </w:r>
    </w:p>
    <w:p>
      <w:pPr>
        <w:pStyle w:val="8"/>
      </w:pPr>
      <w:r>
        <w:rPr>
          <w:rFonts w:hint="eastAsia"/>
        </w:rPr>
        <w:t>5.复核与核对评标结果</w:t>
      </w:r>
    </w:p>
    <w:p>
      <w:pPr>
        <w:spacing w:line="360" w:lineRule="auto"/>
        <w:ind w:firstLine="470" w:firstLineChars="196"/>
        <w:rPr>
          <w:rFonts w:ascii="宋体" w:hAnsi="宋体"/>
          <w:sz w:val="24"/>
        </w:rPr>
      </w:pPr>
      <w:r>
        <w:rPr>
          <w:rFonts w:hint="eastAsia" w:ascii="宋体" w:hAnsi="宋体"/>
          <w:sz w:val="24"/>
        </w:rPr>
        <w:t>5.1 评分汇总结束后，评标委员会应当进行复核，特别要对拟推荐中标候选人的、报价最低的、投标文件被认定无效的进行重点复核。</w:t>
      </w:r>
    </w:p>
    <w:p>
      <w:pPr>
        <w:spacing w:line="360" w:lineRule="auto"/>
        <w:ind w:firstLine="470" w:firstLineChars="196"/>
        <w:rPr>
          <w:rFonts w:ascii="宋体" w:hAnsi="宋体"/>
          <w:sz w:val="24"/>
        </w:rPr>
      </w:pPr>
      <w:r>
        <w:rPr>
          <w:rFonts w:hint="eastAsia" w:ascii="宋体" w:hAnsi="宋体"/>
          <w:sz w:val="24"/>
        </w:rPr>
        <w:t>5.2 评标结果汇总完成后，</w:t>
      </w:r>
      <w:r>
        <w:rPr>
          <w:rFonts w:ascii="宋体" w:hAnsi="宋体"/>
          <w:sz w:val="24"/>
        </w:rPr>
        <w:t>评标报告签署前，</w:t>
      </w:r>
      <w:r>
        <w:rPr>
          <w:rFonts w:hint="eastAsia" w:ascii="宋体" w:hAnsi="宋体"/>
          <w:sz w:val="24"/>
        </w:rPr>
        <w:t>采购代理机构应当</w:t>
      </w:r>
      <w:r>
        <w:rPr>
          <w:rFonts w:ascii="宋体" w:hAnsi="宋体"/>
          <w:sz w:val="24"/>
        </w:rPr>
        <w:t>核对评标结果，除下列情形外，任何人不得修改评标结果：</w:t>
      </w:r>
    </w:p>
    <w:p>
      <w:pPr>
        <w:spacing w:line="360" w:lineRule="auto"/>
        <w:ind w:firstLine="470" w:firstLineChars="196"/>
        <w:rPr>
          <w:rFonts w:ascii="宋体" w:hAnsi="宋体"/>
          <w:sz w:val="24"/>
        </w:rPr>
      </w:pPr>
      <w:r>
        <w:rPr>
          <w:rFonts w:ascii="宋体" w:hAnsi="宋体"/>
          <w:sz w:val="24"/>
        </w:rPr>
        <w:t>（</w:t>
      </w:r>
      <w:r>
        <w:rPr>
          <w:rFonts w:hint="eastAsia" w:ascii="宋体" w:hAnsi="宋体"/>
          <w:sz w:val="24"/>
        </w:rPr>
        <w:t>1</w:t>
      </w:r>
      <w:r>
        <w:rPr>
          <w:rFonts w:ascii="宋体" w:hAnsi="宋体"/>
          <w:sz w:val="24"/>
        </w:rPr>
        <w:t>）分值汇总计算错误的；</w:t>
      </w:r>
    </w:p>
    <w:p>
      <w:pPr>
        <w:spacing w:line="360" w:lineRule="auto"/>
        <w:ind w:firstLine="470" w:firstLineChars="196"/>
        <w:rPr>
          <w:rFonts w:ascii="宋体" w:hAnsi="宋体"/>
          <w:sz w:val="24"/>
        </w:rPr>
      </w:pPr>
      <w:r>
        <w:rPr>
          <w:rFonts w:ascii="宋体" w:hAnsi="宋体"/>
          <w:sz w:val="24"/>
        </w:rPr>
        <w:t>（</w:t>
      </w:r>
      <w:r>
        <w:rPr>
          <w:rFonts w:hint="eastAsia" w:ascii="宋体" w:hAnsi="宋体"/>
          <w:sz w:val="24"/>
        </w:rPr>
        <w:t>2</w:t>
      </w:r>
      <w:r>
        <w:rPr>
          <w:rFonts w:ascii="宋体" w:hAnsi="宋体"/>
          <w:sz w:val="24"/>
        </w:rPr>
        <w:t>）分项评分超出评分标准范围的；</w:t>
      </w:r>
    </w:p>
    <w:p>
      <w:pPr>
        <w:spacing w:line="360" w:lineRule="auto"/>
        <w:ind w:firstLine="470" w:firstLineChars="196"/>
        <w:rPr>
          <w:rFonts w:ascii="宋体" w:hAnsi="宋体"/>
          <w:sz w:val="24"/>
        </w:rPr>
      </w:pPr>
      <w:r>
        <w:rPr>
          <w:rFonts w:ascii="宋体" w:hAnsi="宋体"/>
          <w:sz w:val="24"/>
        </w:rPr>
        <w:t>（</w:t>
      </w:r>
      <w:r>
        <w:rPr>
          <w:rFonts w:hint="eastAsia" w:ascii="宋体" w:hAnsi="宋体"/>
          <w:sz w:val="24"/>
        </w:rPr>
        <w:t>3</w:t>
      </w:r>
      <w:r>
        <w:rPr>
          <w:rFonts w:ascii="宋体" w:hAnsi="宋体"/>
          <w:sz w:val="24"/>
        </w:rPr>
        <w:t>）评标委员会对客观评审因素评分不一致的；</w:t>
      </w:r>
    </w:p>
    <w:p>
      <w:pPr>
        <w:spacing w:line="360" w:lineRule="auto"/>
        <w:ind w:firstLine="470" w:firstLineChars="196"/>
        <w:rPr>
          <w:rFonts w:ascii="宋体" w:hAnsi="宋体"/>
          <w:sz w:val="24"/>
        </w:rPr>
      </w:pPr>
      <w:r>
        <w:rPr>
          <w:rFonts w:ascii="宋体" w:hAnsi="宋体"/>
          <w:sz w:val="24"/>
        </w:rPr>
        <w:t>经复核发现存在以上情形之一的，评标委员会应当当场修改评标结果，并在评标报告中记载</w:t>
      </w:r>
      <w:r>
        <w:rPr>
          <w:rFonts w:hint="eastAsia" w:ascii="宋体" w:hAnsi="宋体"/>
          <w:sz w:val="24"/>
        </w:rPr>
        <w:t>。</w:t>
      </w:r>
    </w:p>
    <w:p>
      <w:pPr>
        <w:pStyle w:val="8"/>
      </w:pPr>
      <w:r>
        <w:rPr>
          <w:rFonts w:hint="eastAsia"/>
        </w:rPr>
        <w:t>6.确定中标候选人名单</w:t>
      </w:r>
    </w:p>
    <w:p>
      <w:pPr>
        <w:spacing w:line="360" w:lineRule="auto"/>
        <w:ind w:firstLine="470" w:firstLineChars="196"/>
        <w:rPr>
          <w:rFonts w:ascii="宋体" w:hAnsi="宋体"/>
          <w:sz w:val="24"/>
        </w:rPr>
      </w:pPr>
      <w:r>
        <w:rPr>
          <w:rFonts w:hint="eastAsia" w:ascii="宋体" w:hAnsi="宋体"/>
          <w:sz w:val="24"/>
        </w:rPr>
        <w:t>定标及定标程序祥见第二章第34、35条。</w:t>
      </w:r>
    </w:p>
    <w:p>
      <w:pPr>
        <w:pStyle w:val="8"/>
      </w:pPr>
      <w:r>
        <w:rPr>
          <w:rFonts w:hint="eastAsia"/>
        </w:rPr>
        <w:t>7.编写评标报告</w:t>
      </w:r>
    </w:p>
    <w:p>
      <w:pPr>
        <w:spacing w:line="360" w:lineRule="auto"/>
        <w:ind w:firstLine="470" w:firstLineChars="196"/>
        <w:rPr>
          <w:rFonts w:ascii="宋体" w:hAnsi="宋体"/>
          <w:sz w:val="24"/>
        </w:rPr>
      </w:pPr>
      <w:r>
        <w:rPr>
          <w:rFonts w:hint="eastAsia" w:ascii="宋体" w:hAnsi="宋体"/>
          <w:sz w:val="24"/>
        </w:rPr>
        <w:t>7.1评标委员会在确定中标候选人名单后，应当编写评标报告并向采购人出具。评标报告应当包括以下内容：</w:t>
      </w:r>
    </w:p>
    <w:p>
      <w:pPr>
        <w:spacing w:line="360" w:lineRule="auto"/>
        <w:ind w:firstLine="470" w:firstLineChars="196"/>
        <w:rPr>
          <w:rFonts w:ascii="宋体" w:hAnsi="宋体"/>
          <w:sz w:val="24"/>
        </w:rPr>
      </w:pPr>
      <w:r>
        <w:rPr>
          <w:rFonts w:hint="eastAsia" w:ascii="宋体" w:hAnsi="宋体"/>
          <w:sz w:val="24"/>
        </w:rPr>
        <w:t>（1）招标公告刊登的媒体名称、开标日期和地点；</w:t>
      </w:r>
    </w:p>
    <w:p>
      <w:pPr>
        <w:spacing w:line="360" w:lineRule="auto"/>
        <w:ind w:firstLine="470" w:firstLineChars="196"/>
        <w:rPr>
          <w:rFonts w:ascii="宋体" w:hAnsi="宋体"/>
          <w:sz w:val="24"/>
        </w:rPr>
      </w:pPr>
      <w:r>
        <w:rPr>
          <w:rFonts w:hint="eastAsia" w:ascii="宋体" w:hAnsi="宋体"/>
          <w:sz w:val="24"/>
        </w:rPr>
        <w:t>（2）投标人名单和评标委员会成员名单；</w:t>
      </w:r>
    </w:p>
    <w:p>
      <w:pPr>
        <w:spacing w:line="360" w:lineRule="auto"/>
        <w:ind w:firstLine="470" w:firstLineChars="196"/>
        <w:rPr>
          <w:rFonts w:ascii="宋体" w:hAnsi="宋体"/>
          <w:sz w:val="24"/>
        </w:rPr>
      </w:pPr>
      <w:r>
        <w:rPr>
          <w:rFonts w:hint="eastAsia" w:ascii="宋体" w:hAnsi="宋体"/>
          <w:sz w:val="24"/>
        </w:rPr>
        <w:t>（3）评标方法和标准；</w:t>
      </w:r>
    </w:p>
    <w:p>
      <w:pPr>
        <w:spacing w:line="360" w:lineRule="auto"/>
        <w:ind w:firstLine="470" w:firstLineChars="196"/>
        <w:rPr>
          <w:rFonts w:ascii="宋体" w:hAnsi="宋体"/>
          <w:sz w:val="24"/>
        </w:rPr>
      </w:pPr>
      <w:r>
        <w:rPr>
          <w:rFonts w:hint="eastAsia" w:ascii="宋体" w:hAnsi="宋体"/>
          <w:sz w:val="24"/>
        </w:rPr>
        <w:t>（4）开标记录和评标情况及说明，包括无效投标人名单及原因；</w:t>
      </w:r>
    </w:p>
    <w:p>
      <w:pPr>
        <w:spacing w:line="360" w:lineRule="auto"/>
        <w:ind w:firstLine="470" w:firstLineChars="196"/>
        <w:rPr>
          <w:rFonts w:ascii="宋体" w:hAnsi="宋体"/>
          <w:sz w:val="24"/>
        </w:rPr>
      </w:pPr>
      <w:r>
        <w:rPr>
          <w:rFonts w:hint="eastAsia" w:ascii="宋体" w:hAnsi="宋体"/>
          <w:sz w:val="24"/>
        </w:rPr>
        <w:t>（5）评标结果，确定的中标候选人名单；</w:t>
      </w:r>
    </w:p>
    <w:p>
      <w:pPr>
        <w:spacing w:line="360" w:lineRule="auto"/>
        <w:ind w:firstLine="470" w:firstLineChars="196"/>
        <w:rPr>
          <w:rFonts w:ascii="宋体" w:hAnsi="宋体"/>
          <w:sz w:val="24"/>
        </w:rPr>
      </w:pPr>
      <w:r>
        <w:rPr>
          <w:rFonts w:hint="eastAsia" w:ascii="宋体" w:hAnsi="宋体"/>
          <w:sz w:val="24"/>
        </w:rPr>
        <w:t>（6）其他需要说明的情况，包括评标过程中投标人根据评标委员会要求进行的澄清、说明或者补正，评标委员会成员的更换等，报价最高的投标人为第一中标候选人的，对其中标合理性予以特别书面说明。</w:t>
      </w:r>
    </w:p>
    <w:p>
      <w:pPr>
        <w:spacing w:line="360" w:lineRule="auto"/>
        <w:ind w:firstLine="470" w:firstLineChars="196"/>
        <w:rPr>
          <w:rFonts w:ascii="宋体" w:hAnsi="宋体"/>
          <w:sz w:val="24"/>
        </w:rPr>
      </w:pPr>
      <w:r>
        <w:rPr>
          <w:rFonts w:hint="eastAsia" w:ascii="宋体" w:hAnsi="宋体"/>
          <w:sz w:val="24"/>
        </w:rPr>
        <w:t>7.2评标委员会成员应当对评标报告予以签字确认，对评标过程有不同意见的，应当在评标报告中写明理由。签字但未写明不同意见或者未说明理由的，视同无意见。拒不签字又未另行书面说明其不同意见和理由的，视同同意评标报告。</w:t>
      </w:r>
    </w:p>
    <w:p>
      <w:pPr>
        <w:pStyle w:val="5"/>
        <w:spacing w:before="0" w:after="120" w:afterLines="50" w:line="360" w:lineRule="auto"/>
        <w:rPr>
          <w:rFonts w:ascii="宋体" w:hAnsi="宋体" w:eastAsia="宋体"/>
          <w:bCs/>
        </w:rPr>
      </w:pPr>
      <w:bookmarkStart w:id="168" w:name="_Toc9647"/>
      <w:bookmarkStart w:id="169" w:name="_Toc17553"/>
      <w:bookmarkStart w:id="170" w:name="_Toc9805"/>
      <w:r>
        <w:rPr>
          <w:rFonts w:hint="eastAsia" w:ascii="宋体" w:hAnsi="宋体" w:eastAsia="宋体"/>
          <w:bCs/>
        </w:rPr>
        <w:t>二、评标方法</w:t>
      </w:r>
      <w:bookmarkEnd w:id="168"/>
      <w:bookmarkEnd w:id="169"/>
      <w:bookmarkEnd w:id="170"/>
    </w:p>
    <w:p>
      <w:pPr>
        <w:pStyle w:val="8"/>
      </w:pPr>
      <w:r>
        <w:rPr>
          <w:rFonts w:hint="eastAsia"/>
        </w:rPr>
        <w:t>8.综合评分法</w:t>
      </w:r>
    </w:p>
    <w:p>
      <w:pPr>
        <w:pStyle w:val="2"/>
        <w:spacing w:line="360" w:lineRule="auto"/>
        <w:ind w:firstLine="480" w:firstLineChars="200"/>
        <w:rPr>
          <w:rFonts w:ascii="宋体" w:hAnsi="宋体"/>
          <w:sz w:val="24"/>
          <w:szCs w:val="24"/>
        </w:rPr>
      </w:pPr>
      <w:r>
        <w:rPr>
          <w:rFonts w:hint="eastAsia" w:ascii="宋体" w:hAnsi="宋体"/>
          <w:sz w:val="24"/>
          <w:szCs w:val="24"/>
        </w:rPr>
        <w:t>本采购项目评标方法采用综合评分法。即投标文件能够最大限度的满足招标文件规定的各项综合评分标准，且经评审得分最高的投标人为中标候选人的评标方法。</w:t>
      </w:r>
    </w:p>
    <w:p>
      <w:pPr>
        <w:pStyle w:val="8"/>
      </w:pPr>
      <w:r>
        <w:rPr>
          <w:rFonts w:hint="eastAsia"/>
        </w:rPr>
        <w:t>9.评标细则及标准</w:t>
      </w:r>
    </w:p>
    <w:p>
      <w:pPr>
        <w:pStyle w:val="18"/>
        <w:adjustRightInd w:val="0"/>
        <w:snapToGrid w:val="0"/>
        <w:spacing w:line="360" w:lineRule="auto"/>
        <w:ind w:firstLine="480" w:firstLineChars="200"/>
        <w:rPr>
          <w:rFonts w:hAnsi="宋体"/>
          <w:bCs/>
          <w:sz w:val="24"/>
          <w:szCs w:val="24"/>
        </w:rPr>
      </w:pPr>
      <w:r>
        <w:rPr>
          <w:rFonts w:hint="eastAsia" w:hAnsi="宋体"/>
          <w:sz w:val="24"/>
        </w:rPr>
        <w:t>9.1</w:t>
      </w:r>
      <w:r>
        <w:rPr>
          <w:rFonts w:hint="eastAsia" w:hAnsi="宋体"/>
          <w:bCs/>
          <w:sz w:val="24"/>
          <w:szCs w:val="24"/>
        </w:rPr>
        <w:t>评标委员会将综合分析投标人的各项评审因素，而不以单项评审因素的优劣评选出中标单位。对所有投标人的投标评估，都采用相同的程序和标准，严格按照招标文件的要求和条件进行。</w:t>
      </w:r>
    </w:p>
    <w:p>
      <w:pPr>
        <w:tabs>
          <w:tab w:val="left" w:pos="0"/>
        </w:tabs>
        <w:adjustRightInd w:val="0"/>
        <w:snapToGrid w:val="0"/>
        <w:spacing w:line="360" w:lineRule="auto"/>
        <w:ind w:firstLine="480" w:firstLineChars="200"/>
        <w:rPr>
          <w:rFonts w:ascii="宋体" w:hAnsi="宋体"/>
          <w:sz w:val="24"/>
        </w:rPr>
      </w:pPr>
      <w:r>
        <w:rPr>
          <w:rFonts w:hint="eastAsia" w:ascii="宋体" w:hAnsi="宋体"/>
          <w:sz w:val="24"/>
        </w:rPr>
        <w:t>9.2评审因素详见打分标准，但不包括“投标人须知”第11.1条</w:t>
      </w:r>
      <w:r>
        <w:rPr>
          <w:rFonts w:hint="eastAsia" w:ascii="宋体" w:hAnsi="宋体" w:cs="宋体"/>
          <w:kern w:val="0"/>
          <w:sz w:val="24"/>
          <w:lang w:val="zh-CN"/>
        </w:rPr>
        <w:t>款</w:t>
      </w:r>
      <w:r>
        <w:rPr>
          <w:rFonts w:hint="eastAsia" w:ascii="宋体" w:hAnsi="宋体"/>
          <w:sz w:val="24"/>
        </w:rPr>
        <w:t>规定的投标人资格条件。</w:t>
      </w:r>
    </w:p>
    <w:p>
      <w:pPr>
        <w:pStyle w:val="18"/>
        <w:adjustRightInd w:val="0"/>
        <w:snapToGrid w:val="0"/>
        <w:spacing w:line="360" w:lineRule="auto"/>
        <w:ind w:left="857" w:leftChars="229" w:hanging="376" w:hangingChars="157"/>
        <w:rPr>
          <w:rFonts w:hAnsi="宋体"/>
          <w:bCs/>
          <w:sz w:val="24"/>
          <w:szCs w:val="24"/>
        </w:rPr>
      </w:pPr>
      <w:r>
        <w:rPr>
          <w:rFonts w:hint="eastAsia" w:hAnsi="宋体"/>
          <w:bCs/>
          <w:sz w:val="24"/>
          <w:szCs w:val="24"/>
        </w:rPr>
        <w:t>9.3综合评分操作程序为：</w:t>
      </w:r>
    </w:p>
    <w:p>
      <w:pPr>
        <w:pStyle w:val="20"/>
        <w:widowControl/>
        <w:tabs>
          <w:tab w:val="left" w:pos="1506"/>
        </w:tabs>
        <w:adjustRightInd w:val="0"/>
        <w:snapToGrid w:val="0"/>
        <w:spacing w:line="360" w:lineRule="auto"/>
        <w:ind w:firstLine="480" w:firstLineChars="200"/>
        <w:rPr>
          <w:rFonts w:ascii="宋体" w:hAnsi="宋体"/>
          <w:bCs/>
          <w:sz w:val="24"/>
          <w:szCs w:val="24"/>
        </w:rPr>
      </w:pPr>
      <w:r>
        <w:rPr>
          <w:rFonts w:hint="eastAsia" w:ascii="宋体" w:hAnsi="宋体"/>
          <w:bCs/>
          <w:sz w:val="24"/>
          <w:szCs w:val="24"/>
        </w:rPr>
        <w:t>9.3.1根据招标文件和评标原则，按下表《综合评分明细表》所列评分因素和各评分因素的权重进行评标。</w:t>
      </w:r>
    </w:p>
    <w:p>
      <w:pPr>
        <w:spacing w:line="360" w:lineRule="auto"/>
        <w:ind w:firstLine="480" w:firstLineChars="200"/>
        <w:rPr>
          <w:rFonts w:ascii="宋体" w:hAnsi="宋体"/>
          <w:sz w:val="24"/>
        </w:rPr>
      </w:pPr>
      <w:r>
        <w:rPr>
          <w:rFonts w:hint="eastAsia" w:ascii="宋体" w:hAnsi="宋体"/>
          <w:sz w:val="24"/>
        </w:rPr>
        <w:t xml:space="preserve">9.3.2 </w:t>
      </w:r>
      <w:r>
        <w:rPr>
          <w:rFonts w:hint="eastAsia"/>
          <w:sz w:val="24"/>
        </w:rPr>
        <w:t>投标报价分应当采用最低价优先法计算，即满足招标文件要求且投标价格最低的投标报价为评标基准价，其价格分为满分</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9.5 非实质性偏离是指投标文件在实质上响应招标文件的要求，但在个别地方存在一些不规则、不一致、不完整的内容，并且澄清、说明或者补正这些内容不会改变投标文件的实质性内容。以下情况属于非实质性偏离：</w:t>
      </w:r>
    </w:p>
    <w:p>
      <w:pPr>
        <w:spacing w:line="360" w:lineRule="auto"/>
        <w:ind w:firstLine="480" w:firstLineChars="200"/>
        <w:rPr>
          <w:rFonts w:ascii="宋体" w:hAnsi="宋体"/>
          <w:sz w:val="24"/>
        </w:rPr>
      </w:pPr>
      <w:r>
        <w:rPr>
          <w:rFonts w:hint="eastAsia" w:ascii="宋体" w:hAnsi="宋体"/>
          <w:sz w:val="24"/>
        </w:rPr>
        <w:t>（1）文字表述的内容含义不明确；</w:t>
      </w:r>
    </w:p>
    <w:p>
      <w:pPr>
        <w:spacing w:line="360" w:lineRule="auto"/>
        <w:ind w:firstLine="480" w:firstLineChars="200"/>
        <w:rPr>
          <w:rFonts w:ascii="宋体" w:hAnsi="宋体"/>
          <w:sz w:val="24"/>
        </w:rPr>
      </w:pPr>
      <w:r>
        <w:rPr>
          <w:rFonts w:hint="eastAsia" w:ascii="宋体" w:hAnsi="宋体"/>
          <w:sz w:val="24"/>
        </w:rPr>
        <w:t>（2）同类问题表述不一致；</w:t>
      </w:r>
    </w:p>
    <w:p>
      <w:pPr>
        <w:spacing w:line="360" w:lineRule="auto"/>
        <w:ind w:firstLine="480" w:firstLineChars="200"/>
        <w:rPr>
          <w:rFonts w:ascii="宋体" w:hAnsi="宋体"/>
          <w:sz w:val="24"/>
        </w:rPr>
      </w:pPr>
      <w:r>
        <w:rPr>
          <w:rFonts w:hint="eastAsia" w:ascii="宋体" w:hAnsi="宋体"/>
          <w:sz w:val="24"/>
        </w:rPr>
        <w:t>（3）有明显文字和计算错误；</w:t>
      </w:r>
    </w:p>
    <w:p>
      <w:pPr>
        <w:spacing w:line="360" w:lineRule="auto"/>
        <w:ind w:firstLine="480" w:firstLineChars="200"/>
        <w:rPr>
          <w:rFonts w:ascii="宋体" w:hAnsi="宋体"/>
          <w:sz w:val="24"/>
        </w:rPr>
      </w:pPr>
      <w:r>
        <w:rPr>
          <w:rFonts w:hint="eastAsia" w:ascii="宋体" w:hAnsi="宋体"/>
          <w:sz w:val="24"/>
        </w:rPr>
        <w:t>（4）提供的技术信息和数据资料不完整；</w:t>
      </w:r>
    </w:p>
    <w:p>
      <w:pPr>
        <w:spacing w:line="360" w:lineRule="auto"/>
        <w:ind w:firstLine="480" w:firstLineChars="200"/>
        <w:rPr>
          <w:rFonts w:ascii="宋体" w:hAnsi="宋体"/>
          <w:sz w:val="24"/>
        </w:rPr>
      </w:pPr>
      <w:r>
        <w:rPr>
          <w:rFonts w:hint="eastAsia" w:ascii="宋体" w:hAnsi="宋体"/>
          <w:sz w:val="24"/>
        </w:rPr>
        <w:t>（5）投标文件未按招标文件要求进行装订或未编制目录、页码；</w:t>
      </w:r>
    </w:p>
    <w:p>
      <w:pPr>
        <w:spacing w:line="360" w:lineRule="auto"/>
        <w:ind w:firstLine="480" w:firstLineChars="200"/>
        <w:rPr>
          <w:rFonts w:ascii="宋体" w:hAnsi="宋体"/>
          <w:sz w:val="24"/>
        </w:rPr>
      </w:pPr>
      <w:r>
        <w:rPr>
          <w:rFonts w:hint="eastAsia" w:ascii="宋体" w:hAnsi="宋体"/>
          <w:sz w:val="24"/>
        </w:rPr>
        <w:t>（6）评标委员会认定的其他非实质性偏离。</w:t>
      </w:r>
    </w:p>
    <w:p>
      <w:pPr>
        <w:tabs>
          <w:tab w:val="left" w:pos="7665"/>
        </w:tabs>
        <w:spacing w:line="360" w:lineRule="auto"/>
        <w:ind w:firstLine="480" w:firstLineChars="200"/>
        <w:rPr>
          <w:rFonts w:ascii="宋体" w:hAnsi="宋体"/>
          <w:sz w:val="24"/>
        </w:rPr>
      </w:pPr>
      <w:r>
        <w:rPr>
          <w:rFonts w:hint="eastAsia" w:ascii="宋体" w:hAnsi="宋体"/>
          <w:sz w:val="24"/>
        </w:rPr>
        <w:t>投标文件有上述（1）至（4）情形之一的，评标委员会应当书面要求投标人在规定的时间内予以澄清、说明或补正。投标人拒不或在规定的时间内没有进行澄清、说明或补正或澄清、说明、补正的内容也不能说明问题的，视为投标文件制作不规范，按每一项非实质性偏离进行扣分处理，直至该项分值扣完为止。</w:t>
      </w:r>
    </w:p>
    <w:p>
      <w:pPr>
        <w:pStyle w:val="16"/>
        <w:tabs>
          <w:tab w:val="left" w:pos="600"/>
        </w:tabs>
        <w:spacing w:line="360" w:lineRule="auto"/>
        <w:ind w:firstLine="480" w:firstLineChars="200"/>
        <w:rPr>
          <w:rFonts w:ascii="宋体" w:hAnsi="宋体"/>
          <w:b/>
          <w:szCs w:val="32"/>
        </w:rPr>
      </w:pPr>
      <w:r>
        <w:rPr>
          <w:rFonts w:hint="eastAsia" w:ascii="宋体" w:hAnsi="宋体"/>
          <w:sz w:val="24"/>
          <w:szCs w:val="24"/>
        </w:rPr>
        <w:t xml:space="preserve">9.6 </w:t>
      </w:r>
      <w:r>
        <w:rPr>
          <w:rFonts w:hint="eastAsia" w:ascii="宋体" w:hAnsi="宋体"/>
          <w:bCs/>
          <w:sz w:val="24"/>
          <w:szCs w:val="24"/>
        </w:rPr>
        <w:t>本采购项目</w:t>
      </w:r>
      <w:r>
        <w:rPr>
          <w:rFonts w:hint="eastAsia" w:ascii="宋体" w:hAnsi="宋体"/>
          <w:sz w:val="24"/>
          <w:szCs w:val="24"/>
        </w:rPr>
        <w:t>的评标因素和标准见下列综合评分明细表（总计100分）。</w:t>
      </w:r>
    </w:p>
    <w:p>
      <w:pPr>
        <w:pStyle w:val="16"/>
        <w:tabs>
          <w:tab w:val="left" w:pos="600"/>
        </w:tabs>
        <w:spacing w:before="240" w:beforeLines="100" w:line="360" w:lineRule="auto"/>
        <w:ind w:firstLine="0"/>
        <w:jc w:val="center"/>
        <w:rPr>
          <w:rFonts w:ascii="宋体" w:hAnsi="宋体"/>
          <w:b/>
          <w:szCs w:val="32"/>
        </w:rPr>
      </w:pPr>
      <w:r>
        <w:rPr>
          <w:rFonts w:hint="eastAsia" w:ascii="宋体" w:hAnsi="宋体"/>
          <w:b/>
          <w:szCs w:val="32"/>
        </w:rPr>
        <w:t>综合评分明细表</w:t>
      </w:r>
    </w:p>
    <w:tbl>
      <w:tblPr>
        <w:tblStyle w:val="31"/>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25"/>
        <w:gridCol w:w="6824"/>
        <w:gridCol w:w="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52" w:type="dxa"/>
            <w:vAlign w:val="center"/>
          </w:tcPr>
          <w:p>
            <w:pPr>
              <w:tabs>
                <w:tab w:val="left" w:pos="1988"/>
              </w:tabs>
              <w:spacing w:line="276" w:lineRule="auto"/>
              <w:jc w:val="center"/>
              <w:rPr>
                <w:rFonts w:ascii="宋体" w:hAnsi="宋体" w:cs="仿宋_GB2312"/>
                <w:b/>
                <w:bCs/>
                <w:sz w:val="24"/>
              </w:rPr>
            </w:pPr>
            <w:r>
              <w:rPr>
                <w:rFonts w:hint="eastAsia" w:ascii="宋体" w:hAnsi="宋体" w:cs="仿宋_GB2312"/>
                <w:b/>
                <w:bCs/>
                <w:sz w:val="24"/>
              </w:rPr>
              <w:t>评标因素</w:t>
            </w:r>
          </w:p>
        </w:tc>
        <w:tc>
          <w:tcPr>
            <w:tcW w:w="825" w:type="dxa"/>
            <w:vAlign w:val="center"/>
          </w:tcPr>
          <w:p>
            <w:pPr>
              <w:tabs>
                <w:tab w:val="left" w:pos="1988"/>
              </w:tabs>
              <w:spacing w:line="276" w:lineRule="auto"/>
              <w:jc w:val="center"/>
              <w:rPr>
                <w:rFonts w:ascii="宋体" w:hAnsi="宋体" w:cs="仿宋_GB2312"/>
                <w:b/>
                <w:bCs/>
                <w:sz w:val="24"/>
              </w:rPr>
            </w:pPr>
            <w:r>
              <w:rPr>
                <w:rFonts w:hint="eastAsia" w:ascii="宋体" w:hAnsi="宋体" w:cs="仿宋_GB2312"/>
                <w:b/>
                <w:bCs/>
                <w:sz w:val="24"/>
              </w:rPr>
              <w:t>分值（分）</w:t>
            </w:r>
          </w:p>
        </w:tc>
        <w:tc>
          <w:tcPr>
            <w:tcW w:w="6824" w:type="dxa"/>
            <w:vAlign w:val="center"/>
          </w:tcPr>
          <w:p>
            <w:pPr>
              <w:tabs>
                <w:tab w:val="left" w:pos="1988"/>
              </w:tabs>
              <w:spacing w:line="276" w:lineRule="auto"/>
              <w:jc w:val="center"/>
              <w:rPr>
                <w:rFonts w:ascii="宋体" w:hAnsi="宋体" w:cs="仿宋_GB2312"/>
                <w:b/>
                <w:bCs/>
                <w:sz w:val="24"/>
              </w:rPr>
            </w:pPr>
            <w:r>
              <w:rPr>
                <w:rFonts w:hint="eastAsia" w:ascii="宋体" w:hAnsi="宋体" w:cs="仿宋_GB2312"/>
                <w:b/>
                <w:bCs/>
                <w:sz w:val="24"/>
              </w:rPr>
              <w:t>评分标准</w:t>
            </w:r>
          </w:p>
        </w:tc>
        <w:tc>
          <w:tcPr>
            <w:tcW w:w="488" w:type="dxa"/>
            <w:vAlign w:val="center"/>
          </w:tcPr>
          <w:p>
            <w:pPr>
              <w:tabs>
                <w:tab w:val="left" w:pos="1988"/>
              </w:tabs>
              <w:spacing w:line="276" w:lineRule="auto"/>
              <w:jc w:val="center"/>
              <w:rPr>
                <w:rFonts w:ascii="宋体" w:hAnsi="宋体" w:cs="仿宋_GB2312"/>
                <w:b/>
                <w:bCs/>
                <w:sz w:val="24"/>
              </w:rPr>
            </w:pPr>
            <w:r>
              <w:rPr>
                <w:rFonts w:hint="eastAsia" w:ascii="宋体" w:hAnsi="宋体"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52" w:type="dxa"/>
            <w:vAlign w:val="center"/>
          </w:tcPr>
          <w:p>
            <w:pPr>
              <w:tabs>
                <w:tab w:val="left" w:pos="1988"/>
              </w:tabs>
              <w:spacing w:line="276" w:lineRule="auto"/>
              <w:jc w:val="center"/>
              <w:rPr>
                <w:rFonts w:ascii="宋体" w:hAnsi="宋体" w:cs="仿宋_GB2312"/>
                <w:sz w:val="24"/>
              </w:rPr>
            </w:pPr>
            <w:r>
              <w:rPr>
                <w:rFonts w:hint="eastAsia" w:ascii="宋体" w:hAnsi="宋体" w:cs="仿宋_GB2312"/>
                <w:sz w:val="24"/>
              </w:rPr>
              <w:t>折扣率报价</w:t>
            </w:r>
          </w:p>
        </w:tc>
        <w:tc>
          <w:tcPr>
            <w:tcW w:w="825" w:type="dxa"/>
            <w:vAlign w:val="center"/>
          </w:tcPr>
          <w:p>
            <w:pPr>
              <w:tabs>
                <w:tab w:val="left" w:pos="1988"/>
              </w:tabs>
              <w:spacing w:line="276" w:lineRule="auto"/>
              <w:jc w:val="center"/>
              <w:rPr>
                <w:rFonts w:ascii="宋体" w:hAnsi="宋体" w:cs="仿宋_GB2312"/>
                <w:sz w:val="24"/>
              </w:rPr>
            </w:pPr>
            <w:r>
              <w:rPr>
                <w:rFonts w:hint="eastAsia" w:ascii="宋体" w:hAnsi="宋体" w:cs="仿宋_GB2312"/>
                <w:sz w:val="24"/>
              </w:rPr>
              <w:t>30</w:t>
            </w:r>
          </w:p>
          <w:p>
            <w:pPr>
              <w:tabs>
                <w:tab w:val="left" w:pos="1988"/>
              </w:tabs>
              <w:spacing w:line="276" w:lineRule="auto"/>
              <w:jc w:val="center"/>
              <w:rPr>
                <w:rFonts w:ascii="宋体" w:hAnsi="宋体" w:cs="仿宋_GB2312"/>
                <w:sz w:val="24"/>
              </w:rPr>
            </w:pPr>
            <w:r>
              <w:rPr>
                <w:rFonts w:hint="eastAsia" w:ascii="宋体" w:hAnsi="宋体" w:cs="仿宋_GB2312"/>
                <w:sz w:val="24"/>
              </w:rPr>
              <w:t>（分）</w:t>
            </w:r>
          </w:p>
        </w:tc>
        <w:tc>
          <w:tcPr>
            <w:tcW w:w="6824"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各投标单位的投标报价按折扣率从高到低排序，折扣率最高者计30分；其他各投标单位的报价折扣率所得分值按下列公式计算：（报价折扣率/最高折扣率）×30=报价得分。</w:t>
            </w:r>
          </w:p>
          <w:p>
            <w:pPr>
              <w:widowControl/>
              <w:autoSpaceDE w:val="0"/>
              <w:autoSpaceDN w:val="0"/>
              <w:spacing w:line="500" w:lineRule="exact"/>
              <w:textAlignment w:val="bottom"/>
              <w:rPr>
                <w:rFonts w:ascii="宋体" w:hAnsi="宋体" w:cs="仿宋_GB2312"/>
                <w:sz w:val="24"/>
              </w:rPr>
            </w:pPr>
            <w:r>
              <w:rPr>
                <w:rFonts w:hint="eastAsia" w:ascii="宋体" w:hAnsi="宋体" w:cs="宋体"/>
                <w:sz w:val="24"/>
                <w:lang w:bidi="ar"/>
              </w:rPr>
              <w:t>折扣率以码洋为标准进行计算。</w:t>
            </w:r>
          </w:p>
        </w:tc>
        <w:tc>
          <w:tcPr>
            <w:tcW w:w="488" w:type="dxa"/>
          </w:tcPr>
          <w:p>
            <w:pPr>
              <w:adjustRightInd w:val="0"/>
              <w:snapToGrid w:val="0"/>
              <w:spacing w:line="276" w:lineRule="auto"/>
              <w:ind w:firstLine="240" w:firstLineChars="100"/>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752"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技术参数</w:t>
            </w:r>
          </w:p>
        </w:tc>
        <w:tc>
          <w:tcPr>
            <w:tcW w:w="825"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28分</w:t>
            </w:r>
          </w:p>
        </w:tc>
        <w:tc>
          <w:tcPr>
            <w:tcW w:w="6824"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所投产品技术参数和功能需求评审（20分）；</w:t>
            </w:r>
          </w:p>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1、基本分（20分）完全符合、响应招标文件要求，没有负偏离，得基本分20分；参数负偏离一项扣2分，扣完为止；</w:t>
            </w:r>
          </w:p>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2、加分项（8分），所投产品技术指标、参数优于招标文件规定的相应技术指标、参数，并且有实质性能提升的，进行相应加分，每项加1分，最多加8分；</w:t>
            </w:r>
          </w:p>
        </w:tc>
        <w:tc>
          <w:tcPr>
            <w:tcW w:w="488" w:type="dxa"/>
          </w:tcPr>
          <w:p>
            <w:pPr>
              <w:adjustRightInd w:val="0"/>
              <w:snapToGrid w:val="0"/>
              <w:spacing w:line="276"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752"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投标企业综合实力</w:t>
            </w:r>
          </w:p>
        </w:tc>
        <w:tc>
          <w:tcPr>
            <w:tcW w:w="825"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20分</w:t>
            </w:r>
          </w:p>
        </w:tc>
        <w:tc>
          <w:tcPr>
            <w:tcW w:w="6824" w:type="dxa"/>
            <w:vAlign w:val="center"/>
          </w:tcPr>
          <w:p>
            <w:pPr>
              <w:pStyle w:val="102"/>
              <w:widowControl/>
              <w:numPr>
                <w:ilvl w:val="0"/>
                <w:numId w:val="4"/>
              </w:numPr>
              <w:autoSpaceDE w:val="0"/>
              <w:autoSpaceDN w:val="0"/>
              <w:spacing w:line="500" w:lineRule="exact"/>
              <w:ind w:firstLineChars="0"/>
              <w:jc w:val="left"/>
              <w:textAlignment w:val="bottom"/>
              <w:rPr>
                <w:rFonts w:hint="eastAsia" w:ascii="宋体" w:hAnsi="宋体" w:cs="宋体"/>
                <w:sz w:val="24"/>
                <w:lang w:bidi="ar"/>
              </w:rPr>
            </w:pPr>
            <w:r>
              <w:rPr>
                <w:rFonts w:hint="eastAsia" w:ascii="宋体" w:hAnsi="宋体" w:cs="宋体"/>
                <w:sz w:val="24"/>
                <w:lang w:bidi="ar"/>
              </w:rPr>
              <w:t>投标单位的资产经营状况及经营规模情况好、对所投产品的</w:t>
            </w:r>
          </w:p>
          <w:p>
            <w:pPr>
              <w:widowControl/>
              <w:autoSpaceDE w:val="0"/>
              <w:autoSpaceDN w:val="0"/>
              <w:spacing w:line="500" w:lineRule="exact"/>
              <w:jc w:val="left"/>
              <w:textAlignment w:val="bottom"/>
              <w:rPr>
                <w:rFonts w:hint="eastAsia" w:ascii="宋体" w:hAnsi="宋体" w:cs="宋体"/>
                <w:sz w:val="24"/>
                <w:lang w:bidi="ar"/>
              </w:rPr>
            </w:pPr>
            <w:r>
              <w:rPr>
                <w:rFonts w:hint="eastAsia" w:ascii="宋体" w:hAnsi="宋体" w:cs="宋体"/>
                <w:sz w:val="24"/>
                <w:lang w:bidi="ar"/>
              </w:rPr>
              <w:t>供货、检测、技术服务的组织措施完善、供应商的主要期刊采购网点分布情况较好、所投产品的样刊种类丰富、用户满意度高得14-20分；</w:t>
            </w:r>
          </w:p>
          <w:p>
            <w:pPr>
              <w:widowControl/>
              <w:autoSpaceDE w:val="0"/>
              <w:autoSpaceDN w:val="0"/>
              <w:spacing w:line="500" w:lineRule="exact"/>
              <w:jc w:val="left"/>
              <w:textAlignment w:val="bottom"/>
              <w:rPr>
                <w:rFonts w:hint="eastAsia" w:ascii="宋体" w:hAnsi="宋体" w:cs="宋体"/>
                <w:sz w:val="24"/>
                <w:lang w:bidi="ar"/>
              </w:rPr>
            </w:pPr>
            <w:r>
              <w:rPr>
                <w:rFonts w:hint="eastAsia" w:ascii="宋体" w:hAnsi="宋体" w:cs="宋体"/>
                <w:sz w:val="24"/>
                <w:lang w:bidi="ar"/>
              </w:rPr>
              <w:t>2、投标单位的资产经营状况及经</w:t>
            </w:r>
            <w:bookmarkStart w:id="261" w:name="_GoBack"/>
            <w:bookmarkEnd w:id="261"/>
            <w:r>
              <w:rPr>
                <w:rFonts w:hint="eastAsia" w:ascii="宋体" w:hAnsi="宋体" w:cs="宋体"/>
                <w:sz w:val="24"/>
                <w:lang w:bidi="ar"/>
              </w:rPr>
              <w:t>营规模情况一般、对所投产品</w:t>
            </w:r>
          </w:p>
          <w:p>
            <w:pPr>
              <w:widowControl/>
              <w:autoSpaceDE w:val="0"/>
              <w:autoSpaceDN w:val="0"/>
              <w:spacing w:line="500" w:lineRule="exact"/>
              <w:textAlignment w:val="bottom"/>
              <w:rPr>
                <w:rFonts w:hint="eastAsia" w:ascii="宋体" w:hAnsi="宋体" w:cs="宋体"/>
                <w:sz w:val="24"/>
                <w:lang w:bidi="ar"/>
              </w:rPr>
            </w:pPr>
            <w:r>
              <w:rPr>
                <w:rFonts w:hint="eastAsia" w:ascii="宋体" w:hAnsi="宋体" w:cs="宋体"/>
                <w:sz w:val="24"/>
                <w:lang w:bidi="ar"/>
              </w:rPr>
              <w:t>的供货、检测、技术服务的组织措施基本完善、供应商的主要期刊采购网点分布情况一般、所投产品的样刊种类较为丰富、用户满意度一般得7-14分；</w:t>
            </w:r>
          </w:p>
          <w:p>
            <w:pPr>
              <w:widowControl/>
              <w:autoSpaceDE w:val="0"/>
              <w:autoSpaceDN w:val="0"/>
              <w:spacing w:line="500" w:lineRule="exact"/>
              <w:textAlignment w:val="bottom"/>
              <w:rPr>
                <w:rFonts w:hint="eastAsia" w:ascii="宋体" w:hAnsi="宋体" w:cs="宋体"/>
                <w:sz w:val="24"/>
                <w:lang w:bidi="ar"/>
              </w:rPr>
            </w:pPr>
            <w:r>
              <w:rPr>
                <w:rFonts w:hint="eastAsia" w:ascii="宋体" w:hAnsi="宋体" w:cs="宋体"/>
                <w:sz w:val="24"/>
                <w:lang w:bidi="ar"/>
              </w:rPr>
              <w:t>3、投标单位的资产经营状况及经营规模情况差、对所投产品</w:t>
            </w:r>
          </w:p>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的供货、检测、技术服务的组织措施基本不完善、供应商的主要期刊采购网点分布情况差、所投产品的样刊种类不丰富、用户满意度差得0-7分；</w:t>
            </w:r>
          </w:p>
        </w:tc>
        <w:tc>
          <w:tcPr>
            <w:tcW w:w="488" w:type="dxa"/>
          </w:tcPr>
          <w:p>
            <w:pPr>
              <w:adjustRightInd w:val="0"/>
              <w:snapToGrid w:val="0"/>
              <w:spacing w:line="276"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52"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业绩</w:t>
            </w:r>
          </w:p>
        </w:tc>
        <w:tc>
          <w:tcPr>
            <w:tcW w:w="825"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5分</w:t>
            </w:r>
          </w:p>
        </w:tc>
        <w:tc>
          <w:tcPr>
            <w:tcW w:w="6824"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供应商提供自2019年以来类似业绩，每份得1分，计满5分为止，以合同或中标通知书为准。</w:t>
            </w:r>
          </w:p>
        </w:tc>
        <w:tc>
          <w:tcPr>
            <w:tcW w:w="488" w:type="dxa"/>
          </w:tcPr>
          <w:p>
            <w:pPr>
              <w:adjustRightInd w:val="0"/>
              <w:snapToGrid w:val="0"/>
              <w:spacing w:line="276"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52"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售后服务</w:t>
            </w:r>
          </w:p>
        </w:tc>
        <w:tc>
          <w:tcPr>
            <w:tcW w:w="825"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13分</w:t>
            </w:r>
          </w:p>
        </w:tc>
        <w:tc>
          <w:tcPr>
            <w:tcW w:w="6824"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供应商本地化售后及案例多且反响良好、售后组成人员合理、经验丰富、维修响应时间短得9-13分；供应商本地化售后及案例较多且反响较好、售后组成人员比较合理、经验较为丰富、维修响应时间较短得5-9分；供应商本地化售后及案例少且反响差、售后组成人员混乱、经验欠缺、维修响应时间较长得1-5分，未提供售后服务方案不得分。</w:t>
            </w:r>
          </w:p>
        </w:tc>
        <w:tc>
          <w:tcPr>
            <w:tcW w:w="488" w:type="dxa"/>
          </w:tcPr>
          <w:p>
            <w:pPr>
              <w:keepNext/>
              <w:adjustRightInd w:val="0"/>
              <w:snapToGrid w:val="0"/>
              <w:spacing w:line="276"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52"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节能环保</w:t>
            </w:r>
          </w:p>
        </w:tc>
        <w:tc>
          <w:tcPr>
            <w:tcW w:w="825"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2分</w:t>
            </w:r>
          </w:p>
        </w:tc>
        <w:tc>
          <w:tcPr>
            <w:tcW w:w="6824"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供应商所投产品中每有一项为节能产品政府采购清单中的产品的得0.5分，每有一项为环境标志产品政府采购清单中的产品的得0.5分，供应商所投产品中每有一项产品同时为节能产品政府采购清单和环境标志产品政府采购清单中的产品的得1分，最多得2分（提供清单复印件）。</w:t>
            </w:r>
          </w:p>
        </w:tc>
        <w:tc>
          <w:tcPr>
            <w:tcW w:w="488" w:type="dxa"/>
          </w:tcPr>
          <w:p>
            <w:pPr>
              <w:keepNext/>
              <w:adjustRightInd w:val="0"/>
              <w:snapToGrid w:val="0"/>
              <w:spacing w:line="276"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52" w:type="dxa"/>
            <w:vAlign w:val="center"/>
          </w:tcPr>
          <w:p>
            <w:pPr>
              <w:spacing w:line="400" w:lineRule="exact"/>
              <w:ind w:firstLine="28"/>
              <w:jc w:val="center"/>
              <w:rPr>
                <w:rFonts w:ascii="宋体" w:hAnsi="宋体" w:cs="宋体"/>
                <w:sz w:val="24"/>
              </w:rPr>
            </w:pPr>
            <w:r>
              <w:rPr>
                <w:rFonts w:hint="eastAsia" w:ascii="宋体" w:hAnsi="宋体" w:cs="宋体"/>
                <w:sz w:val="24"/>
                <w:lang w:bidi="ar"/>
              </w:rPr>
              <w:t>投标文件的规范性</w:t>
            </w:r>
          </w:p>
        </w:tc>
        <w:tc>
          <w:tcPr>
            <w:tcW w:w="825"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2分</w:t>
            </w:r>
          </w:p>
        </w:tc>
        <w:tc>
          <w:tcPr>
            <w:tcW w:w="6824" w:type="dxa"/>
            <w:vAlign w:val="center"/>
          </w:tcPr>
          <w:p>
            <w:pPr>
              <w:widowControl/>
              <w:autoSpaceDE w:val="0"/>
              <w:autoSpaceDN w:val="0"/>
              <w:spacing w:line="500" w:lineRule="exact"/>
              <w:textAlignment w:val="bottom"/>
              <w:rPr>
                <w:rFonts w:ascii="宋体" w:hAnsi="宋体" w:cs="宋体"/>
                <w:sz w:val="24"/>
                <w:lang w:bidi="ar"/>
              </w:rPr>
            </w:pPr>
            <w:r>
              <w:rPr>
                <w:rFonts w:hint="eastAsia" w:ascii="宋体" w:hAnsi="宋体" w:cs="宋体"/>
                <w:sz w:val="24"/>
                <w:lang w:bidi="ar"/>
              </w:rPr>
              <w:t>投标文件制作规范，根据综合整体情况差别赋分得0-2分。</w:t>
            </w:r>
          </w:p>
        </w:tc>
        <w:tc>
          <w:tcPr>
            <w:tcW w:w="488" w:type="dxa"/>
          </w:tcPr>
          <w:p>
            <w:pPr>
              <w:keepNext/>
              <w:adjustRightInd w:val="0"/>
              <w:snapToGrid w:val="0"/>
              <w:spacing w:line="276" w:lineRule="auto"/>
              <w:rPr>
                <w:rFonts w:ascii="宋体" w:hAnsi="宋体" w:cs="仿宋_GB2312"/>
                <w:sz w:val="24"/>
              </w:rPr>
            </w:pPr>
          </w:p>
        </w:tc>
      </w:tr>
    </w:tbl>
    <w:p>
      <w:pPr>
        <w:pStyle w:val="8"/>
      </w:pPr>
      <w:r>
        <w:rPr>
          <w:rFonts w:hint="eastAsia"/>
        </w:rPr>
        <w:t>10.特殊情况的处理</w:t>
      </w:r>
    </w:p>
    <w:p>
      <w:pPr>
        <w:widowControl/>
        <w:autoSpaceDE w:val="0"/>
        <w:autoSpaceDN w:val="0"/>
        <w:spacing w:line="360" w:lineRule="auto"/>
        <w:ind w:right="53" w:firstLine="480" w:firstLineChars="200"/>
        <w:textAlignment w:val="bottom"/>
        <w:rPr>
          <w:rFonts w:ascii="宋体" w:hAnsi="宋体"/>
          <w:sz w:val="24"/>
        </w:rPr>
      </w:pPr>
      <w:r>
        <w:rPr>
          <w:rFonts w:hint="eastAsia" w:ascii="宋体" w:hAnsi="宋体"/>
          <w:sz w:val="24"/>
        </w:rPr>
        <w:t>10.1 投标文件中如果出现计算错误，可按以下原则进行修正：</w:t>
      </w:r>
    </w:p>
    <w:p>
      <w:pPr>
        <w:spacing w:line="360" w:lineRule="auto"/>
        <w:ind w:firstLine="360" w:firstLineChars="150"/>
        <w:rPr>
          <w:rFonts w:ascii="宋体" w:hAnsi="宋体"/>
          <w:sz w:val="24"/>
        </w:rPr>
      </w:pPr>
      <w:r>
        <w:rPr>
          <w:rFonts w:hint="eastAsia" w:ascii="宋体" w:hAnsi="宋体"/>
          <w:sz w:val="24"/>
        </w:rPr>
        <w:t>（1）投标文件中的大写金额与小写金额不一致的，以大写金额为准；</w:t>
      </w:r>
    </w:p>
    <w:p>
      <w:pPr>
        <w:spacing w:line="360" w:lineRule="auto"/>
        <w:ind w:firstLine="360" w:firstLineChars="150"/>
        <w:rPr>
          <w:rFonts w:ascii="宋体" w:hAnsi="宋体"/>
          <w:sz w:val="24"/>
        </w:rPr>
      </w:pPr>
      <w:r>
        <w:rPr>
          <w:rFonts w:hint="eastAsia" w:ascii="宋体" w:hAnsi="宋体"/>
          <w:sz w:val="24"/>
        </w:rPr>
        <w:t>（2）投标文件中的总价金额与按单价计算的汇总金额不一致的，以单价计算的汇总金额为准；</w:t>
      </w:r>
    </w:p>
    <w:p>
      <w:pPr>
        <w:spacing w:line="360" w:lineRule="auto"/>
        <w:ind w:firstLine="360" w:firstLineChars="150"/>
        <w:rPr>
          <w:rFonts w:ascii="宋体" w:hAnsi="宋体"/>
          <w:sz w:val="24"/>
        </w:rPr>
      </w:pPr>
      <w:r>
        <w:rPr>
          <w:rFonts w:hint="eastAsia" w:ascii="宋体" w:hAnsi="宋体"/>
          <w:sz w:val="24"/>
        </w:rPr>
        <w:t>（3）投标文件中的单价金额有明显小数点错误的，以总价为准，并修改单价；</w:t>
      </w:r>
    </w:p>
    <w:p>
      <w:pPr>
        <w:spacing w:line="360" w:lineRule="auto"/>
        <w:ind w:firstLine="360" w:firstLineChars="150"/>
        <w:rPr>
          <w:rFonts w:ascii="宋体" w:hAnsi="宋体"/>
          <w:sz w:val="24"/>
        </w:rPr>
      </w:pPr>
      <w:r>
        <w:rPr>
          <w:rFonts w:hint="eastAsia" w:ascii="宋体" w:hAnsi="宋体"/>
          <w:sz w:val="24"/>
        </w:rPr>
        <w:t>（4）投标文件中有关分项表内容与“开标一览表”不一致的，以“分项报价表”为准；</w:t>
      </w:r>
    </w:p>
    <w:p>
      <w:pPr>
        <w:pStyle w:val="25"/>
        <w:ind w:firstLine="360" w:firstLineChars="150"/>
        <w:rPr>
          <w:rFonts w:ascii="宋体" w:hAnsi="宋体" w:eastAsia="宋体"/>
          <w:sz w:val="24"/>
          <w:szCs w:val="24"/>
        </w:rPr>
      </w:pPr>
      <w:r>
        <w:rPr>
          <w:rFonts w:hint="eastAsia" w:ascii="宋体" w:hAnsi="宋体" w:eastAsia="宋体"/>
          <w:sz w:val="24"/>
          <w:szCs w:val="24"/>
        </w:rPr>
        <w:t>（5）投标文件中图表与文字表述不一致的，以文字表述为准；</w:t>
      </w:r>
    </w:p>
    <w:p>
      <w:pPr>
        <w:widowControl/>
        <w:autoSpaceDE w:val="0"/>
        <w:autoSpaceDN w:val="0"/>
        <w:spacing w:line="360" w:lineRule="auto"/>
        <w:ind w:right="53" w:firstLine="360" w:firstLineChars="150"/>
        <w:textAlignment w:val="bottom"/>
        <w:rPr>
          <w:rFonts w:ascii="宋体" w:hAnsi="宋体"/>
          <w:sz w:val="24"/>
        </w:rPr>
      </w:pPr>
      <w:r>
        <w:rPr>
          <w:rFonts w:hint="eastAsia" w:ascii="宋体" w:hAnsi="宋体"/>
          <w:sz w:val="24"/>
        </w:rPr>
        <w:t>（6）投标文件正本与副本不一致的，以正本为准；</w:t>
      </w:r>
    </w:p>
    <w:p>
      <w:pPr>
        <w:pStyle w:val="2"/>
        <w:spacing w:line="360" w:lineRule="auto"/>
        <w:ind w:firstLine="360" w:firstLineChars="150"/>
        <w:rPr>
          <w:rFonts w:ascii="宋体" w:hAnsi="宋体"/>
          <w:sz w:val="24"/>
          <w:szCs w:val="24"/>
        </w:rPr>
      </w:pPr>
      <w:r>
        <w:rPr>
          <w:rFonts w:hint="eastAsia" w:ascii="宋体" w:hAnsi="宋体"/>
          <w:sz w:val="24"/>
          <w:szCs w:val="24"/>
        </w:rPr>
        <w:t>（7）对不同文字文本投标文件的解释发生异议的，以中文文本为准。</w:t>
      </w:r>
    </w:p>
    <w:p>
      <w:pPr>
        <w:widowControl/>
        <w:autoSpaceDE w:val="0"/>
        <w:autoSpaceDN w:val="0"/>
        <w:spacing w:line="360" w:lineRule="auto"/>
        <w:ind w:right="51" w:firstLine="482" w:firstLineChars="200"/>
        <w:textAlignment w:val="bottom"/>
        <w:rPr>
          <w:rFonts w:ascii="宋体" w:hAnsi="宋体"/>
          <w:b/>
          <w:sz w:val="24"/>
        </w:rPr>
      </w:pPr>
      <w:r>
        <w:rPr>
          <w:rFonts w:hint="eastAsia" w:ascii="宋体" w:hAnsi="宋体"/>
          <w:b/>
          <w:sz w:val="24"/>
        </w:rPr>
        <w:t>按上述修正错误的方法调整的投标报价应对投标人具有约束力。如果投标人不接受修正后的价格，其投标将被拒绝。</w:t>
      </w:r>
    </w:p>
    <w:p>
      <w:pPr>
        <w:widowControl/>
        <w:autoSpaceDE w:val="0"/>
        <w:autoSpaceDN w:val="0"/>
        <w:spacing w:line="360" w:lineRule="auto"/>
        <w:ind w:right="53" w:firstLine="480" w:firstLineChars="200"/>
        <w:textAlignment w:val="bottom"/>
      </w:pPr>
      <w:r>
        <w:rPr>
          <w:rFonts w:hint="eastAsia" w:ascii="宋体" w:hAnsi="宋体"/>
          <w:sz w:val="24"/>
        </w:rPr>
        <w:t>10.2提供虚假证明及资料，开具虚假资质，出现虚假应答，除按无效标处理外，还进行相应的处罚；</w:t>
      </w:r>
    </w:p>
    <w:p>
      <w:pPr>
        <w:widowControl/>
        <w:autoSpaceDE w:val="0"/>
        <w:autoSpaceDN w:val="0"/>
        <w:spacing w:line="360" w:lineRule="auto"/>
        <w:ind w:right="53" w:firstLine="480" w:firstLineChars="200"/>
        <w:textAlignment w:val="bottom"/>
        <w:rPr>
          <w:rFonts w:ascii="宋体" w:hAnsi="宋体"/>
          <w:sz w:val="24"/>
        </w:rPr>
      </w:pPr>
      <w:r>
        <w:rPr>
          <w:rFonts w:hint="eastAsia" w:ascii="宋体" w:hAnsi="宋体"/>
          <w:sz w:val="24"/>
        </w:rPr>
        <w:t>10.3 评标过程中，各种数字的计算结果，四舍五入保留两位小数。</w:t>
      </w:r>
    </w:p>
    <w:p>
      <w:pPr>
        <w:widowControl/>
        <w:spacing w:line="360" w:lineRule="auto"/>
        <w:ind w:firstLine="480" w:firstLineChars="200"/>
        <w:jc w:val="left"/>
        <w:rPr>
          <w:rFonts w:ascii="宋体" w:hAnsi="宋体"/>
          <w:sz w:val="24"/>
        </w:rPr>
      </w:pPr>
      <w:r>
        <w:rPr>
          <w:rFonts w:hint="eastAsia" w:ascii="宋体" w:hAnsi="宋体"/>
          <w:sz w:val="24"/>
        </w:rPr>
        <w:t>10.4 相同品牌的处理</w:t>
      </w:r>
    </w:p>
    <w:p>
      <w:pPr>
        <w:widowControl/>
        <w:autoSpaceDE w:val="0"/>
        <w:autoSpaceDN w:val="0"/>
        <w:spacing w:line="360" w:lineRule="auto"/>
        <w:ind w:right="53" w:firstLine="480" w:firstLineChars="200"/>
        <w:textAlignment w:val="bottom"/>
        <w:rPr>
          <w:color w:val="C00000"/>
          <w:sz w:val="24"/>
        </w:rPr>
      </w:pPr>
      <w:r>
        <w:rPr>
          <w:rFonts w:hint="eastAsia" w:ascii="宋体" w:hAnsi="宋体"/>
          <w:sz w:val="24"/>
        </w:rPr>
        <w:t>10.4.1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73"/>
        <w:spacing w:line="360" w:lineRule="auto"/>
        <w:ind w:firstLine="472" w:firstLineChars="197"/>
        <w:rPr>
          <w:rFonts w:hAnsi="宋体"/>
          <w:sz w:val="24"/>
          <w:szCs w:val="24"/>
        </w:rPr>
      </w:pPr>
      <w:r>
        <w:rPr>
          <w:rFonts w:hint="eastAsia" w:hAnsi="宋体"/>
          <w:sz w:val="24"/>
          <w:szCs w:val="24"/>
        </w:rPr>
        <w:t>10.5评标报告签署后，采购人或者采购代理机构发现存在本章5.2条情形之一的，应当组织原评标委员会进行重新评审，重新评审改变中标结果的，书面报本级财政部门认定。</w:t>
      </w:r>
    </w:p>
    <w:p>
      <w:pPr>
        <w:pStyle w:val="2"/>
        <w:spacing w:line="360" w:lineRule="auto"/>
        <w:ind w:firstLine="525"/>
        <w:rPr>
          <w:rFonts w:ascii="宋体" w:hAnsi="宋体"/>
          <w:sz w:val="24"/>
          <w:szCs w:val="24"/>
        </w:rPr>
      </w:pPr>
      <w:r>
        <w:rPr>
          <w:rFonts w:hint="eastAsia" w:ascii="宋体" w:hAnsi="宋体"/>
          <w:sz w:val="24"/>
          <w:szCs w:val="24"/>
        </w:rPr>
        <w:t>10.6评标争议处理原则</w:t>
      </w:r>
    </w:p>
    <w:p>
      <w:pPr>
        <w:pStyle w:val="2"/>
        <w:spacing w:line="360" w:lineRule="auto"/>
        <w:ind w:firstLine="525"/>
        <w:rPr>
          <w:rFonts w:ascii="宋体" w:hAnsi="宋体"/>
          <w:sz w:val="24"/>
          <w:szCs w:val="24"/>
        </w:rPr>
      </w:pPr>
      <w:r>
        <w:rPr>
          <w:rFonts w:hint="eastAsia" w:ascii="宋体" w:hAnsi="宋体"/>
          <w:sz w:val="24"/>
          <w:szCs w:val="24"/>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pPr>
        <w:pStyle w:val="5"/>
        <w:spacing w:before="0" w:after="120" w:afterLines="50" w:line="360" w:lineRule="auto"/>
        <w:rPr>
          <w:rFonts w:ascii="宋体" w:hAnsi="宋体" w:eastAsia="宋体"/>
          <w:bCs/>
        </w:rPr>
      </w:pPr>
      <w:bookmarkStart w:id="171" w:name="_Toc107"/>
      <w:bookmarkStart w:id="172" w:name="_Toc21877"/>
      <w:bookmarkStart w:id="173" w:name="_Toc834"/>
      <w:r>
        <w:rPr>
          <w:rFonts w:hint="eastAsia" w:ascii="宋体" w:hAnsi="宋体" w:eastAsia="宋体"/>
          <w:bCs/>
        </w:rPr>
        <w:t>三、评标专家义务与纪律</w:t>
      </w:r>
      <w:bookmarkEnd w:id="171"/>
      <w:bookmarkEnd w:id="172"/>
      <w:bookmarkEnd w:id="173"/>
    </w:p>
    <w:p>
      <w:pPr>
        <w:pStyle w:val="8"/>
      </w:pPr>
      <w:r>
        <w:rPr>
          <w:rFonts w:hint="eastAsia"/>
        </w:rPr>
        <w:t>11.评标专家在政府采购活动中承担以下义务：</w:t>
      </w:r>
    </w:p>
    <w:p>
      <w:pPr>
        <w:widowControl/>
        <w:autoSpaceDE w:val="0"/>
        <w:autoSpaceDN w:val="0"/>
        <w:spacing w:line="360" w:lineRule="auto"/>
        <w:ind w:right="51" w:firstLine="480" w:firstLineChars="200"/>
        <w:textAlignment w:val="bottom"/>
        <w:rPr>
          <w:rFonts w:ascii="宋体" w:hAnsi="宋体"/>
          <w:sz w:val="24"/>
        </w:rPr>
      </w:pPr>
      <w:r>
        <w:rPr>
          <w:rFonts w:hint="eastAsia" w:ascii="宋体" w:hAnsi="宋体"/>
          <w:sz w:val="24"/>
        </w:rPr>
        <w:t>11.1 遵纪守法，客观、公正、廉洁地履行职责。</w:t>
      </w:r>
    </w:p>
    <w:p>
      <w:pPr>
        <w:widowControl/>
        <w:autoSpaceDE w:val="0"/>
        <w:autoSpaceDN w:val="0"/>
        <w:spacing w:line="360" w:lineRule="auto"/>
        <w:ind w:right="51" w:firstLine="480" w:firstLineChars="200"/>
        <w:textAlignment w:val="bottom"/>
        <w:rPr>
          <w:rFonts w:ascii="宋体" w:hAnsi="宋体"/>
          <w:sz w:val="24"/>
        </w:rPr>
      </w:pPr>
      <w:r>
        <w:rPr>
          <w:rFonts w:hint="eastAsia" w:ascii="宋体" w:hAnsi="宋体"/>
          <w:sz w:val="24"/>
        </w:rPr>
        <w:t>11.2 按照政府采购法律法规和采购文件的规定要求对投标人的资格条件和投标人提供的产品价格、技术、商务、服务等方面严格进行评判，提供科学合理、公平公正的评审意见，参与起草评审报告，并予签字确认。</w:t>
      </w:r>
    </w:p>
    <w:p>
      <w:pPr>
        <w:widowControl/>
        <w:autoSpaceDE w:val="0"/>
        <w:autoSpaceDN w:val="0"/>
        <w:spacing w:line="360" w:lineRule="auto"/>
        <w:ind w:right="51" w:firstLine="480" w:firstLineChars="200"/>
        <w:textAlignment w:val="bottom"/>
        <w:rPr>
          <w:rFonts w:ascii="宋体" w:hAnsi="宋体"/>
          <w:sz w:val="24"/>
        </w:rPr>
      </w:pPr>
      <w:r>
        <w:rPr>
          <w:rFonts w:hint="eastAsia" w:ascii="宋体" w:hAnsi="宋体"/>
          <w:sz w:val="24"/>
        </w:rPr>
        <w:t>11.3 保守秘密。不得透露采购文件咨询情况，不得泄漏投标人的投标文件及知悉的商业秘密，不得向投标人透露评审情况。</w:t>
      </w:r>
    </w:p>
    <w:p>
      <w:pPr>
        <w:widowControl/>
        <w:autoSpaceDE w:val="0"/>
        <w:autoSpaceDN w:val="0"/>
        <w:spacing w:line="360" w:lineRule="auto"/>
        <w:ind w:right="53" w:firstLine="480" w:firstLineChars="200"/>
        <w:textAlignment w:val="bottom"/>
        <w:rPr>
          <w:rFonts w:ascii="宋体" w:hAnsi="宋体"/>
          <w:sz w:val="24"/>
        </w:rPr>
      </w:pPr>
      <w:r>
        <w:rPr>
          <w:rFonts w:hint="eastAsia" w:ascii="宋体" w:hAnsi="宋体"/>
          <w:sz w:val="24"/>
        </w:rPr>
        <w:t>11.4 发现投标人在政府采购活动中有不正当竞争或恶意串通等违规行为，及时向</w:t>
      </w:r>
    </w:p>
    <w:p>
      <w:pPr>
        <w:widowControl/>
        <w:autoSpaceDE w:val="0"/>
        <w:autoSpaceDN w:val="0"/>
        <w:spacing w:line="360" w:lineRule="auto"/>
        <w:ind w:right="51"/>
        <w:textAlignment w:val="bottom"/>
        <w:rPr>
          <w:rFonts w:ascii="宋体" w:hAnsi="宋体"/>
          <w:sz w:val="24"/>
        </w:rPr>
      </w:pPr>
      <w:r>
        <w:rPr>
          <w:rFonts w:hint="eastAsia" w:ascii="宋体" w:hAnsi="宋体"/>
          <w:sz w:val="24"/>
        </w:rPr>
        <w:t>政府采购评审工作的组织者或财政部门报告并加以制止。发现采购人、政府采购代理机构及其工作人员在政府采购活动中有干预评审、发表倾向性和歧视性言论、受贿或者接受投标人的其他好处及其他违法违规行为，及时向财政部门报告。</w:t>
      </w:r>
    </w:p>
    <w:p>
      <w:pPr>
        <w:widowControl/>
        <w:autoSpaceDE w:val="0"/>
        <w:autoSpaceDN w:val="0"/>
        <w:spacing w:line="360" w:lineRule="auto"/>
        <w:ind w:right="53" w:firstLine="480" w:firstLineChars="200"/>
        <w:textAlignment w:val="bottom"/>
        <w:rPr>
          <w:rFonts w:ascii="宋体" w:hAnsi="宋体"/>
          <w:sz w:val="24"/>
        </w:rPr>
      </w:pPr>
      <w:r>
        <w:rPr>
          <w:rFonts w:hint="eastAsia" w:ascii="宋体" w:hAnsi="宋体"/>
          <w:sz w:val="24"/>
        </w:rPr>
        <w:t>11.5 解答有关方面对政府采购评审工作中有关问题的询问，配合采购人或者政府采购代理机构答复投标人质疑，配合财政部门的投诉处理工作等事宜。</w:t>
      </w:r>
    </w:p>
    <w:p>
      <w:pPr>
        <w:widowControl/>
        <w:autoSpaceDE w:val="0"/>
        <w:autoSpaceDN w:val="0"/>
        <w:spacing w:line="360" w:lineRule="auto"/>
        <w:ind w:right="53" w:firstLine="480" w:firstLineChars="200"/>
        <w:textAlignment w:val="bottom"/>
        <w:rPr>
          <w:rFonts w:ascii="宋体" w:hAnsi="宋体"/>
          <w:sz w:val="24"/>
        </w:rPr>
      </w:pPr>
      <w:r>
        <w:rPr>
          <w:rFonts w:hint="eastAsia" w:ascii="宋体" w:hAnsi="宋体"/>
          <w:sz w:val="24"/>
        </w:rPr>
        <w:t>11.6 法律、法规和规章规定的其他义务。</w:t>
      </w:r>
    </w:p>
    <w:p>
      <w:pPr>
        <w:pStyle w:val="8"/>
      </w:pPr>
      <w:r>
        <w:rPr>
          <w:rFonts w:hint="eastAsia"/>
        </w:rPr>
        <w:t>12.在评标中，评标委员会及其成员不得有下列行为：</w:t>
      </w:r>
    </w:p>
    <w:p>
      <w:pPr>
        <w:pStyle w:val="27"/>
        <w:shd w:val="clear" w:color="auto" w:fill="FFFFFF"/>
        <w:spacing w:before="0" w:beforeAutospacing="0" w:after="0" w:afterAutospacing="0" w:line="360" w:lineRule="auto"/>
        <w:ind w:firstLine="480" w:firstLineChars="200"/>
        <w:rPr>
          <w:rFonts w:cs="宋体"/>
          <w:sz w:val="24"/>
          <w:szCs w:val="24"/>
        </w:rPr>
      </w:pPr>
      <w:r>
        <w:rPr>
          <w:rFonts w:hint="eastAsia" w:cs="宋体"/>
          <w:sz w:val="24"/>
          <w:szCs w:val="24"/>
        </w:rPr>
        <w:t>（1）确定参与评标至评标结束前私自接触投标人；</w:t>
      </w:r>
    </w:p>
    <w:p>
      <w:pPr>
        <w:pStyle w:val="27"/>
        <w:shd w:val="clear" w:color="auto" w:fill="FFFFFF"/>
        <w:spacing w:before="0" w:beforeAutospacing="0" w:after="0" w:afterAutospacing="0" w:line="360" w:lineRule="auto"/>
        <w:ind w:firstLine="480" w:firstLineChars="200"/>
        <w:rPr>
          <w:rFonts w:cs="宋体"/>
          <w:sz w:val="24"/>
          <w:szCs w:val="24"/>
        </w:rPr>
      </w:pPr>
      <w:r>
        <w:rPr>
          <w:rFonts w:hint="eastAsia" w:cs="宋体"/>
          <w:sz w:val="24"/>
          <w:szCs w:val="24"/>
        </w:rPr>
        <w:t>（2）接受投标人提出的与投标文件不一致的澄清和说明；</w:t>
      </w:r>
    </w:p>
    <w:p>
      <w:pPr>
        <w:pStyle w:val="27"/>
        <w:shd w:val="clear" w:color="auto" w:fill="FFFFFF"/>
        <w:spacing w:before="0" w:beforeAutospacing="0" w:after="0" w:afterAutospacing="0" w:line="360" w:lineRule="auto"/>
        <w:ind w:firstLine="480" w:firstLineChars="200"/>
        <w:rPr>
          <w:rFonts w:cs="宋体"/>
          <w:sz w:val="24"/>
          <w:szCs w:val="24"/>
        </w:rPr>
      </w:pPr>
      <w:r>
        <w:rPr>
          <w:rFonts w:hint="eastAsia" w:cs="宋体"/>
          <w:sz w:val="24"/>
          <w:szCs w:val="24"/>
        </w:rPr>
        <w:t>（3）征询采购人的倾向性意见；</w:t>
      </w:r>
    </w:p>
    <w:p>
      <w:pPr>
        <w:pStyle w:val="27"/>
        <w:shd w:val="clear" w:color="auto" w:fill="FFFFFF"/>
        <w:spacing w:before="0" w:beforeAutospacing="0" w:after="0" w:afterAutospacing="0" w:line="360" w:lineRule="auto"/>
        <w:ind w:firstLine="480" w:firstLineChars="200"/>
        <w:rPr>
          <w:rFonts w:cs="宋体"/>
          <w:sz w:val="24"/>
          <w:szCs w:val="24"/>
        </w:rPr>
      </w:pPr>
      <w:r>
        <w:rPr>
          <w:rFonts w:hint="eastAsia" w:cs="宋体"/>
          <w:sz w:val="24"/>
          <w:szCs w:val="24"/>
        </w:rPr>
        <w:t>（4）对主观评审因素协商评分；</w:t>
      </w:r>
    </w:p>
    <w:p>
      <w:pPr>
        <w:pStyle w:val="27"/>
        <w:shd w:val="clear" w:color="auto" w:fill="FFFFFF"/>
        <w:spacing w:before="0" w:beforeAutospacing="0" w:after="0" w:afterAutospacing="0" w:line="360" w:lineRule="auto"/>
        <w:ind w:firstLine="480" w:firstLineChars="200"/>
        <w:rPr>
          <w:rFonts w:cs="宋体"/>
          <w:sz w:val="24"/>
          <w:szCs w:val="24"/>
        </w:rPr>
      </w:pPr>
      <w:r>
        <w:rPr>
          <w:rFonts w:hint="eastAsia" w:cs="宋体"/>
          <w:sz w:val="24"/>
          <w:szCs w:val="24"/>
        </w:rPr>
        <w:t>（5）对客观评审因素评分不一致；</w:t>
      </w:r>
    </w:p>
    <w:p>
      <w:pPr>
        <w:pStyle w:val="27"/>
        <w:shd w:val="clear" w:color="auto" w:fill="FFFFFF"/>
        <w:spacing w:before="0" w:beforeAutospacing="0" w:after="0" w:afterAutospacing="0" w:line="360" w:lineRule="auto"/>
        <w:ind w:firstLine="480" w:firstLineChars="200"/>
        <w:rPr>
          <w:rFonts w:cs="宋体"/>
          <w:sz w:val="24"/>
          <w:szCs w:val="24"/>
        </w:rPr>
      </w:pPr>
      <w:r>
        <w:rPr>
          <w:rFonts w:hint="eastAsia" w:cs="宋体"/>
          <w:sz w:val="24"/>
          <w:szCs w:val="24"/>
        </w:rPr>
        <w:t>（6）在评标过程中擅离职守，影响评标程序正常进行的；</w:t>
      </w:r>
    </w:p>
    <w:p>
      <w:pPr>
        <w:pStyle w:val="27"/>
        <w:shd w:val="clear" w:color="auto" w:fill="FFFFFF"/>
        <w:spacing w:before="0" w:beforeAutospacing="0" w:after="0" w:afterAutospacing="0" w:line="360" w:lineRule="auto"/>
        <w:ind w:firstLine="480" w:firstLineChars="200"/>
        <w:rPr>
          <w:rFonts w:cs="宋体"/>
          <w:sz w:val="24"/>
          <w:szCs w:val="24"/>
        </w:rPr>
      </w:pPr>
      <w:r>
        <w:rPr>
          <w:rFonts w:hint="eastAsia" w:cs="宋体"/>
          <w:sz w:val="24"/>
          <w:szCs w:val="24"/>
        </w:rPr>
        <w:t>（7）记录、复制或带走任何评标资料。</w:t>
      </w:r>
    </w:p>
    <w:p>
      <w:pPr>
        <w:pStyle w:val="27"/>
        <w:shd w:val="clear" w:color="auto" w:fill="FFFFFF"/>
        <w:spacing w:before="0" w:beforeAutospacing="0" w:after="0" w:afterAutospacing="0" w:line="360" w:lineRule="auto"/>
        <w:ind w:firstLine="480" w:firstLineChars="200"/>
        <w:rPr>
          <w:rFonts w:cs="宋体"/>
          <w:sz w:val="24"/>
          <w:szCs w:val="24"/>
        </w:rPr>
      </w:pPr>
      <w:r>
        <w:rPr>
          <w:rFonts w:hint="eastAsia" w:cs="宋体"/>
          <w:sz w:val="24"/>
          <w:szCs w:val="24"/>
        </w:rPr>
        <w:t>（8）有关部门（机构）制定的其他评审工作纪律。</w:t>
      </w:r>
    </w:p>
    <w:p>
      <w:pPr>
        <w:pStyle w:val="27"/>
        <w:shd w:val="clear" w:color="auto" w:fill="FFFFFF"/>
        <w:spacing w:before="0" w:beforeAutospacing="0" w:after="0" w:afterAutospacing="0" w:line="360" w:lineRule="auto"/>
        <w:ind w:firstLine="480" w:firstLineChars="200"/>
        <w:rPr>
          <w:rFonts w:cs="宋体"/>
          <w:sz w:val="24"/>
          <w:szCs w:val="24"/>
        </w:rPr>
      </w:pPr>
      <w:r>
        <w:rPr>
          <w:rFonts w:hint="eastAsia" w:cs="宋体"/>
          <w:sz w:val="24"/>
          <w:szCs w:val="24"/>
        </w:rPr>
        <w:t>评标委员会成员有前款第一至四项行为之一的，其评审意见无效。</w:t>
      </w:r>
      <w:bookmarkStart w:id="174" w:name="_Toc11006"/>
      <w:bookmarkStart w:id="175" w:name="_Toc531253636"/>
      <w:r>
        <w:rPr>
          <w:rFonts w:hint="eastAsia" w:cs="宋体"/>
          <w:sz w:val="24"/>
          <w:szCs w:val="24"/>
        </w:rPr>
        <w:br w:type="page"/>
      </w:r>
    </w:p>
    <w:p>
      <w:pPr>
        <w:pStyle w:val="27"/>
        <w:shd w:val="clear" w:color="auto" w:fill="FFFFFF"/>
        <w:spacing w:before="0" w:beforeAutospacing="0" w:after="0" w:afterAutospacing="0" w:line="360" w:lineRule="auto"/>
        <w:ind w:firstLine="480" w:firstLineChars="200"/>
        <w:rPr>
          <w:rFonts w:cs="宋体"/>
          <w:sz w:val="24"/>
          <w:szCs w:val="24"/>
        </w:rPr>
      </w:pPr>
    </w:p>
    <w:p>
      <w:pPr>
        <w:pStyle w:val="27"/>
        <w:shd w:val="clear" w:color="auto" w:fill="FFFFFF"/>
        <w:spacing w:before="0" w:beforeAutospacing="0" w:after="0" w:afterAutospacing="0" w:line="360" w:lineRule="auto"/>
        <w:ind w:firstLine="883" w:firstLineChars="200"/>
        <w:jc w:val="center"/>
        <w:outlineLvl w:val="0"/>
        <w:rPr>
          <w:sz w:val="44"/>
          <w:szCs w:val="44"/>
        </w:rPr>
      </w:pPr>
      <w:bookmarkStart w:id="176" w:name="_Toc451"/>
      <w:r>
        <w:rPr>
          <w:rFonts w:hint="eastAsia" w:ascii="Times New Roman" w:hAnsi="Times New Roman"/>
          <w:b/>
          <w:kern w:val="44"/>
          <w:sz w:val="44"/>
          <w:szCs w:val="44"/>
        </w:rPr>
        <w:t>第五章  采购内容及要求</w:t>
      </w:r>
      <w:bookmarkEnd w:id="164"/>
      <w:bookmarkEnd w:id="174"/>
      <w:bookmarkEnd w:id="175"/>
      <w:bookmarkEnd w:id="176"/>
    </w:p>
    <w:p>
      <w:pPr>
        <w:spacing w:after="120" w:afterLines="50"/>
        <w:rPr>
          <w:rFonts w:ascii="宋体" w:hAnsi="宋体"/>
          <w:bCs/>
          <w:sz w:val="28"/>
          <w:szCs w:val="28"/>
        </w:rPr>
      </w:pPr>
      <w:bookmarkStart w:id="177" w:name="_Toc3963"/>
      <w:bookmarkStart w:id="178" w:name="_Toc20426"/>
      <w:bookmarkStart w:id="179" w:name="_Toc217446094"/>
      <w:r>
        <w:rPr>
          <w:rFonts w:hint="eastAsia" w:ascii="宋体" w:hAnsi="宋体"/>
          <w:bCs/>
          <w:sz w:val="28"/>
          <w:szCs w:val="28"/>
        </w:rPr>
        <w:t>一、商务要求：</w:t>
      </w:r>
      <w:bookmarkEnd w:id="177"/>
      <w:bookmarkEnd w:id="178"/>
    </w:p>
    <w:p>
      <w:pPr>
        <w:spacing w:line="360" w:lineRule="auto"/>
        <w:ind w:firstLine="480" w:firstLineChars="200"/>
        <w:rPr>
          <w:rFonts w:ascii="宋体" w:hAnsi="宋体" w:cs="宋体"/>
          <w:sz w:val="24"/>
        </w:rPr>
      </w:pPr>
      <w:r>
        <w:rPr>
          <w:rFonts w:hint="eastAsia" w:ascii="宋体" w:hAnsi="宋体" w:cs="宋体"/>
          <w:sz w:val="24"/>
        </w:rPr>
        <w:t>1、交货地点：采购人指定地点</w:t>
      </w:r>
    </w:p>
    <w:p>
      <w:pPr>
        <w:spacing w:line="360" w:lineRule="auto"/>
        <w:ind w:firstLine="480" w:firstLineChars="200"/>
        <w:rPr>
          <w:rFonts w:ascii="宋体" w:hAnsi="宋体" w:cs="宋体"/>
          <w:color w:val="000000"/>
          <w:sz w:val="24"/>
        </w:rPr>
      </w:pPr>
      <w:r>
        <w:rPr>
          <w:rFonts w:hint="eastAsia" w:ascii="宋体" w:hAnsi="宋体" w:cs="宋体"/>
          <w:color w:val="000000"/>
          <w:sz w:val="24"/>
        </w:rPr>
        <w:t>2、交货期：</w:t>
      </w:r>
      <w:r>
        <w:rPr>
          <w:rFonts w:hint="eastAsia" w:ascii="宋体" w:hAnsi="宋体"/>
          <w:sz w:val="24"/>
        </w:rPr>
        <w:t>期刊出版日期后30个日历日内供货到位</w:t>
      </w:r>
      <w:r>
        <w:rPr>
          <w:rFonts w:hint="eastAsia" w:ascii="宋体" w:hAnsi="宋体" w:cs="宋体"/>
          <w:color w:val="000000"/>
          <w:sz w:val="24"/>
        </w:rPr>
        <w:t>。</w:t>
      </w:r>
    </w:p>
    <w:p>
      <w:pPr>
        <w:pStyle w:val="2"/>
        <w:spacing w:line="360" w:lineRule="auto"/>
        <w:ind w:firstLine="480" w:firstLineChars="200"/>
        <w:rPr>
          <w:rFonts w:ascii="宋体" w:hAnsi="宋体" w:cs="宋体"/>
          <w:sz w:val="24"/>
          <w:szCs w:val="24"/>
        </w:rPr>
      </w:pPr>
      <w:r>
        <w:rPr>
          <w:rFonts w:hint="eastAsia" w:ascii="宋体" w:hAnsi="宋体" w:cs="宋体"/>
          <w:color w:val="000000"/>
          <w:sz w:val="24"/>
        </w:rPr>
        <w:t>3、质保期：</w:t>
      </w:r>
      <w:r>
        <w:rPr>
          <w:rFonts w:hint="eastAsia" w:ascii="宋体" w:hAnsi="宋体"/>
          <w:sz w:val="24"/>
        </w:rPr>
        <w:t>十八个月</w:t>
      </w:r>
      <w:r>
        <w:rPr>
          <w:rFonts w:ascii="宋体" w:hAnsi="宋体"/>
          <w:sz w:val="24"/>
        </w:rPr>
        <w:t>，以双方签订合同时约定的起止时间为准</w:t>
      </w:r>
      <w:r>
        <w:rPr>
          <w:rFonts w:hint="eastAsia" w:ascii="宋体" w:hAnsi="宋体" w:cs="宋体"/>
          <w:sz w:val="24"/>
          <w:szCs w:val="24"/>
        </w:rPr>
        <w:t>。</w:t>
      </w:r>
    </w:p>
    <w:p>
      <w:pPr>
        <w:pStyle w:val="2"/>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4、付款方式：终验完成后一次性付款。</w:t>
      </w:r>
    </w:p>
    <w:p>
      <w:pPr>
        <w:spacing w:line="360" w:lineRule="auto"/>
        <w:rPr>
          <w:rFonts w:ascii="宋体" w:hAnsi="宋体"/>
          <w:b/>
          <w:color w:val="000000"/>
          <w:sz w:val="28"/>
          <w:shd w:val="clear" w:color="auto" w:fill="FFFFFF"/>
        </w:rPr>
      </w:pPr>
      <w:r>
        <w:rPr>
          <w:rFonts w:hint="eastAsia" w:ascii="宋体" w:hAnsi="宋体"/>
          <w:bCs/>
          <w:color w:val="000000"/>
          <w:sz w:val="28"/>
          <w:shd w:val="clear" w:color="auto" w:fill="FFFFFF"/>
        </w:rPr>
        <w:t>二、技术要求</w:t>
      </w:r>
      <w:bookmarkEnd w:id="157"/>
      <w:bookmarkEnd w:id="179"/>
    </w:p>
    <w:p>
      <w:pPr>
        <w:pStyle w:val="2"/>
        <w:spacing w:line="360" w:lineRule="auto"/>
        <w:ind w:firstLine="480" w:firstLineChars="200"/>
        <w:rPr>
          <w:rFonts w:ascii="宋体" w:hAnsi="宋体"/>
          <w:sz w:val="24"/>
        </w:rPr>
      </w:pPr>
      <w:r>
        <w:rPr>
          <w:rFonts w:hint="eastAsia" w:ascii="宋体" w:hAnsi="宋体"/>
          <w:sz w:val="24"/>
        </w:rPr>
        <w:t>1、供应商应保证能在成交后立刻提供本单位期刊采购网站，期刊采访数据、标准期刊MARC数据给采购人试用。</w:t>
      </w:r>
    </w:p>
    <w:p>
      <w:pPr>
        <w:pStyle w:val="2"/>
        <w:spacing w:line="360" w:lineRule="auto"/>
        <w:ind w:firstLine="480" w:firstLineChars="200"/>
        <w:rPr>
          <w:rFonts w:ascii="宋体" w:hAnsi="宋体"/>
          <w:sz w:val="24"/>
        </w:rPr>
      </w:pPr>
      <w:r>
        <w:rPr>
          <w:rFonts w:hint="eastAsia" w:ascii="宋体" w:hAnsi="宋体"/>
          <w:sz w:val="24"/>
        </w:rPr>
        <w:t>2、供应商应随书提供规范的机读编目数据（数据要求参见《中文期刊机读目录编目规则》、《CALIS联机合作编目手册》），并且其数据须完全符合采购人期刊集成管理系统ILLAS系统的格式及运行要求，以下机读编目数据需必备：</w:t>
      </w:r>
    </w:p>
    <w:p>
      <w:pPr>
        <w:pStyle w:val="2"/>
        <w:spacing w:line="360" w:lineRule="auto"/>
        <w:ind w:firstLine="480" w:firstLineChars="200"/>
        <w:rPr>
          <w:rFonts w:ascii="宋体" w:hAnsi="宋体"/>
          <w:sz w:val="24"/>
        </w:rPr>
      </w:pPr>
      <w:r>
        <w:rPr>
          <w:rFonts w:hint="eastAsia" w:ascii="宋体" w:hAnsi="宋体"/>
          <w:sz w:val="24"/>
        </w:rPr>
        <w:t>001</w:t>
      </w:r>
      <w:r>
        <w:rPr>
          <w:rFonts w:hint="eastAsia" w:ascii="宋体" w:hAnsi="宋体"/>
          <w:sz w:val="24"/>
        </w:rPr>
        <w:tab/>
      </w:r>
      <w:r>
        <w:rPr>
          <w:rFonts w:hint="eastAsia" w:ascii="宋体" w:hAnsi="宋体"/>
          <w:sz w:val="24"/>
        </w:rPr>
        <w:t>（自动生成）</w:t>
      </w:r>
    </w:p>
    <w:p>
      <w:pPr>
        <w:pStyle w:val="2"/>
        <w:spacing w:line="360" w:lineRule="auto"/>
        <w:ind w:firstLine="480" w:firstLineChars="200"/>
        <w:rPr>
          <w:rFonts w:ascii="宋体" w:hAnsi="宋体"/>
          <w:sz w:val="24"/>
        </w:rPr>
      </w:pPr>
      <w:r>
        <w:rPr>
          <w:rFonts w:hint="eastAsia" w:ascii="宋体" w:hAnsi="宋体"/>
          <w:sz w:val="24"/>
        </w:rPr>
        <w:t>011</w:t>
      </w:r>
      <w:r>
        <w:rPr>
          <w:rFonts w:hint="eastAsia" w:ascii="宋体" w:hAnsi="宋体"/>
          <w:sz w:val="24"/>
        </w:rPr>
        <w:tab/>
      </w:r>
      <w:r>
        <w:rPr>
          <w:rFonts w:hint="eastAsia" w:ascii="宋体" w:hAnsi="宋体"/>
          <w:sz w:val="24"/>
        </w:rPr>
        <w:t>国际标准连续出版物号(ISSN)</w:t>
      </w:r>
    </w:p>
    <w:p>
      <w:pPr>
        <w:pStyle w:val="2"/>
        <w:spacing w:line="360" w:lineRule="auto"/>
        <w:ind w:firstLine="480" w:firstLineChars="200"/>
        <w:rPr>
          <w:rFonts w:ascii="宋体" w:hAnsi="宋体"/>
          <w:sz w:val="24"/>
        </w:rPr>
      </w:pPr>
      <w:r>
        <w:rPr>
          <w:rFonts w:hint="eastAsia" w:ascii="宋体" w:hAnsi="宋体"/>
          <w:sz w:val="24"/>
        </w:rPr>
        <w:t>091</w:t>
      </w:r>
      <w:r>
        <w:rPr>
          <w:rFonts w:hint="eastAsia" w:ascii="宋体" w:hAnsi="宋体"/>
          <w:sz w:val="24"/>
        </w:rPr>
        <w:tab/>
      </w:r>
      <w:r>
        <w:rPr>
          <w:rFonts w:hint="eastAsia" w:ascii="宋体" w:hAnsi="宋体"/>
          <w:sz w:val="24"/>
        </w:rPr>
        <w:t>统一刊号</w:t>
      </w:r>
    </w:p>
    <w:p>
      <w:pPr>
        <w:pStyle w:val="2"/>
        <w:spacing w:line="360" w:lineRule="auto"/>
        <w:ind w:firstLine="480" w:firstLineChars="200"/>
        <w:rPr>
          <w:rFonts w:ascii="宋体" w:hAnsi="宋体"/>
          <w:sz w:val="24"/>
        </w:rPr>
      </w:pPr>
      <w:r>
        <w:rPr>
          <w:rFonts w:hint="eastAsia" w:ascii="宋体" w:hAnsi="宋体"/>
          <w:sz w:val="24"/>
        </w:rPr>
        <w:t>092</w:t>
      </w:r>
      <w:r>
        <w:rPr>
          <w:rFonts w:hint="eastAsia" w:ascii="宋体" w:hAnsi="宋体"/>
          <w:sz w:val="24"/>
        </w:rPr>
        <w:tab/>
      </w:r>
      <w:r>
        <w:rPr>
          <w:rFonts w:hint="eastAsia" w:ascii="宋体" w:hAnsi="宋体"/>
          <w:sz w:val="24"/>
        </w:rPr>
        <w:t>订购号</w:t>
      </w:r>
    </w:p>
    <w:p>
      <w:pPr>
        <w:pStyle w:val="2"/>
        <w:spacing w:line="360" w:lineRule="auto"/>
        <w:ind w:firstLine="480" w:firstLineChars="200"/>
        <w:rPr>
          <w:rFonts w:ascii="宋体" w:hAnsi="宋体"/>
          <w:sz w:val="24"/>
        </w:rPr>
      </w:pPr>
      <w:r>
        <w:rPr>
          <w:rFonts w:hint="eastAsia" w:ascii="宋体" w:hAnsi="宋体"/>
          <w:sz w:val="24"/>
        </w:rPr>
        <w:t>101</w:t>
      </w:r>
      <w:r>
        <w:rPr>
          <w:rFonts w:hint="eastAsia" w:ascii="宋体" w:hAnsi="宋体"/>
          <w:sz w:val="24"/>
        </w:rPr>
        <w:tab/>
      </w:r>
      <w:r>
        <w:rPr>
          <w:rFonts w:hint="eastAsia" w:ascii="宋体" w:hAnsi="宋体"/>
          <w:sz w:val="24"/>
        </w:rPr>
        <w:t>作品语种</w:t>
      </w:r>
    </w:p>
    <w:p>
      <w:pPr>
        <w:pStyle w:val="2"/>
        <w:spacing w:line="360" w:lineRule="auto"/>
        <w:ind w:firstLine="480" w:firstLineChars="200"/>
        <w:rPr>
          <w:rFonts w:ascii="宋体" w:hAnsi="宋体"/>
          <w:sz w:val="24"/>
        </w:rPr>
      </w:pPr>
      <w:r>
        <w:rPr>
          <w:rFonts w:hint="eastAsia" w:ascii="宋体" w:hAnsi="宋体"/>
          <w:sz w:val="24"/>
        </w:rPr>
        <w:t>102</w:t>
      </w:r>
      <w:r>
        <w:rPr>
          <w:rFonts w:hint="eastAsia" w:ascii="宋体" w:hAnsi="宋体"/>
          <w:sz w:val="24"/>
        </w:rPr>
        <w:tab/>
      </w:r>
      <w:r>
        <w:rPr>
          <w:rFonts w:hint="eastAsia" w:ascii="宋体" w:hAnsi="宋体"/>
          <w:sz w:val="24"/>
        </w:rPr>
        <w:t>出版或制作国别</w:t>
      </w:r>
    </w:p>
    <w:p>
      <w:pPr>
        <w:pStyle w:val="2"/>
        <w:spacing w:line="360" w:lineRule="auto"/>
        <w:ind w:firstLine="480" w:firstLineChars="200"/>
        <w:rPr>
          <w:rFonts w:ascii="宋体" w:hAnsi="宋体"/>
          <w:sz w:val="24"/>
        </w:rPr>
      </w:pPr>
      <w:r>
        <w:rPr>
          <w:rFonts w:hint="eastAsia" w:ascii="宋体" w:hAnsi="宋体"/>
          <w:sz w:val="24"/>
        </w:rPr>
        <w:t>200</w:t>
      </w:r>
      <w:r>
        <w:rPr>
          <w:rFonts w:hint="eastAsia" w:ascii="宋体" w:hAnsi="宋体"/>
          <w:sz w:val="24"/>
        </w:rPr>
        <w:tab/>
      </w:r>
      <w:r>
        <w:rPr>
          <w:rFonts w:hint="eastAsia" w:ascii="宋体" w:hAnsi="宋体"/>
          <w:sz w:val="24"/>
        </w:rPr>
        <w:t>题名与责任说明项</w:t>
      </w:r>
    </w:p>
    <w:p>
      <w:pPr>
        <w:pStyle w:val="2"/>
        <w:spacing w:line="360" w:lineRule="auto"/>
        <w:ind w:firstLine="480" w:firstLineChars="200"/>
        <w:rPr>
          <w:rFonts w:ascii="宋体" w:hAnsi="宋体"/>
          <w:sz w:val="24"/>
        </w:rPr>
      </w:pPr>
      <w:r>
        <w:rPr>
          <w:rFonts w:hint="eastAsia" w:ascii="宋体" w:hAnsi="宋体"/>
          <w:sz w:val="24"/>
        </w:rPr>
        <w:t>207</w:t>
      </w:r>
      <w:r>
        <w:rPr>
          <w:rFonts w:hint="eastAsia" w:ascii="宋体" w:hAnsi="宋体"/>
          <w:sz w:val="24"/>
        </w:rPr>
        <w:tab/>
      </w:r>
      <w:r>
        <w:rPr>
          <w:rFonts w:hint="eastAsia" w:ascii="宋体" w:hAnsi="宋体"/>
          <w:sz w:val="24"/>
        </w:rPr>
        <w:t>卷期年月或其它标识项</w:t>
      </w:r>
    </w:p>
    <w:p>
      <w:pPr>
        <w:pStyle w:val="2"/>
        <w:spacing w:line="360" w:lineRule="auto"/>
        <w:ind w:firstLine="480" w:firstLineChars="200"/>
        <w:rPr>
          <w:rFonts w:ascii="宋体" w:hAnsi="宋体"/>
          <w:sz w:val="24"/>
        </w:rPr>
      </w:pPr>
      <w:r>
        <w:rPr>
          <w:rFonts w:hint="eastAsia" w:ascii="宋体" w:hAnsi="宋体"/>
          <w:sz w:val="24"/>
        </w:rPr>
        <w:t>210</w:t>
      </w:r>
      <w:r>
        <w:rPr>
          <w:rFonts w:hint="eastAsia" w:ascii="宋体" w:hAnsi="宋体"/>
          <w:sz w:val="24"/>
        </w:rPr>
        <w:tab/>
      </w:r>
      <w:r>
        <w:rPr>
          <w:rFonts w:hint="eastAsia" w:ascii="宋体" w:hAnsi="宋体"/>
          <w:sz w:val="24"/>
        </w:rPr>
        <w:t>出版发行项</w:t>
      </w:r>
    </w:p>
    <w:p>
      <w:pPr>
        <w:pStyle w:val="2"/>
        <w:spacing w:line="360" w:lineRule="auto"/>
        <w:ind w:firstLine="480" w:firstLineChars="200"/>
        <w:rPr>
          <w:rFonts w:ascii="宋体" w:hAnsi="宋体"/>
          <w:sz w:val="24"/>
        </w:rPr>
      </w:pPr>
      <w:r>
        <w:rPr>
          <w:rFonts w:hint="eastAsia" w:ascii="宋体" w:hAnsi="宋体"/>
          <w:sz w:val="24"/>
        </w:rPr>
        <w:t>215</w:t>
      </w:r>
      <w:r>
        <w:rPr>
          <w:rFonts w:hint="eastAsia" w:ascii="宋体" w:hAnsi="宋体"/>
          <w:sz w:val="24"/>
        </w:rPr>
        <w:tab/>
      </w:r>
      <w:r>
        <w:rPr>
          <w:rFonts w:hint="eastAsia" w:ascii="宋体" w:hAnsi="宋体"/>
          <w:sz w:val="24"/>
        </w:rPr>
        <w:t>载体形态项</w:t>
      </w:r>
    </w:p>
    <w:p>
      <w:pPr>
        <w:pStyle w:val="2"/>
        <w:spacing w:line="360" w:lineRule="auto"/>
        <w:ind w:firstLine="480" w:firstLineChars="200"/>
        <w:rPr>
          <w:rFonts w:ascii="宋体" w:hAnsi="宋体"/>
          <w:sz w:val="24"/>
        </w:rPr>
      </w:pPr>
      <w:r>
        <w:rPr>
          <w:rFonts w:hint="eastAsia" w:ascii="宋体" w:hAnsi="宋体"/>
          <w:sz w:val="24"/>
        </w:rPr>
        <w:t>300</w:t>
      </w:r>
      <w:r>
        <w:rPr>
          <w:rFonts w:hint="eastAsia" w:ascii="宋体" w:hAnsi="宋体"/>
          <w:sz w:val="24"/>
        </w:rPr>
        <w:tab/>
      </w:r>
      <w:r>
        <w:rPr>
          <w:rFonts w:hint="eastAsia" w:ascii="宋体" w:hAnsi="宋体"/>
          <w:sz w:val="24"/>
        </w:rPr>
        <w:t>一般性附注</w:t>
      </w:r>
    </w:p>
    <w:p>
      <w:pPr>
        <w:pStyle w:val="2"/>
        <w:spacing w:line="360" w:lineRule="auto"/>
        <w:ind w:firstLine="480" w:firstLineChars="200"/>
        <w:rPr>
          <w:rFonts w:ascii="宋体" w:hAnsi="宋体"/>
          <w:sz w:val="24"/>
        </w:rPr>
      </w:pPr>
      <w:r>
        <w:rPr>
          <w:rFonts w:hint="eastAsia" w:ascii="宋体" w:hAnsi="宋体"/>
          <w:sz w:val="24"/>
        </w:rPr>
        <w:t>326</w:t>
      </w:r>
      <w:r>
        <w:rPr>
          <w:rFonts w:hint="eastAsia" w:ascii="宋体" w:hAnsi="宋体"/>
          <w:sz w:val="24"/>
        </w:rPr>
        <w:tab/>
      </w:r>
      <w:r>
        <w:rPr>
          <w:rFonts w:hint="eastAsia" w:ascii="宋体" w:hAnsi="宋体"/>
          <w:sz w:val="24"/>
        </w:rPr>
        <w:t>出版周期</w:t>
      </w:r>
    </w:p>
    <w:p>
      <w:pPr>
        <w:pStyle w:val="2"/>
        <w:spacing w:line="360" w:lineRule="auto"/>
        <w:ind w:firstLine="480" w:firstLineChars="200"/>
        <w:rPr>
          <w:rFonts w:ascii="宋体" w:hAnsi="宋体"/>
          <w:sz w:val="24"/>
        </w:rPr>
      </w:pPr>
      <w:r>
        <w:rPr>
          <w:rFonts w:hint="eastAsia" w:ascii="宋体" w:hAnsi="宋体"/>
          <w:sz w:val="24"/>
        </w:rPr>
        <w:t>430</w:t>
      </w:r>
      <w:r>
        <w:rPr>
          <w:rFonts w:hint="eastAsia" w:ascii="宋体" w:hAnsi="宋体"/>
          <w:sz w:val="24"/>
        </w:rPr>
        <w:tab/>
      </w:r>
      <w:r>
        <w:rPr>
          <w:rFonts w:hint="eastAsia" w:ascii="宋体" w:hAnsi="宋体"/>
          <w:sz w:val="24"/>
        </w:rPr>
        <w:t>继承</w:t>
      </w:r>
    </w:p>
    <w:p>
      <w:pPr>
        <w:pStyle w:val="2"/>
        <w:spacing w:line="360" w:lineRule="auto"/>
        <w:ind w:firstLine="480" w:firstLineChars="200"/>
        <w:rPr>
          <w:rFonts w:ascii="宋体" w:hAnsi="宋体"/>
          <w:sz w:val="24"/>
        </w:rPr>
      </w:pPr>
      <w:r>
        <w:rPr>
          <w:rFonts w:hint="eastAsia" w:ascii="宋体" w:hAnsi="宋体"/>
          <w:sz w:val="24"/>
        </w:rPr>
        <w:t>440</w:t>
      </w:r>
      <w:r>
        <w:rPr>
          <w:rFonts w:hint="eastAsia" w:ascii="宋体" w:hAnsi="宋体"/>
          <w:sz w:val="24"/>
        </w:rPr>
        <w:tab/>
      </w:r>
      <w:r>
        <w:rPr>
          <w:rFonts w:hint="eastAsia" w:ascii="宋体" w:hAnsi="宋体"/>
          <w:sz w:val="24"/>
        </w:rPr>
        <w:t>由…继承</w:t>
      </w:r>
    </w:p>
    <w:p>
      <w:pPr>
        <w:pStyle w:val="2"/>
        <w:spacing w:line="360" w:lineRule="auto"/>
        <w:ind w:firstLine="480" w:firstLineChars="200"/>
        <w:rPr>
          <w:rFonts w:ascii="宋体" w:hAnsi="宋体"/>
          <w:sz w:val="24"/>
        </w:rPr>
      </w:pPr>
      <w:r>
        <w:rPr>
          <w:rFonts w:hint="eastAsia" w:ascii="宋体" w:hAnsi="宋体"/>
          <w:sz w:val="24"/>
        </w:rPr>
        <w:t>510</w:t>
      </w:r>
      <w:r>
        <w:rPr>
          <w:rFonts w:hint="eastAsia" w:ascii="宋体" w:hAnsi="宋体"/>
          <w:sz w:val="24"/>
        </w:rPr>
        <w:tab/>
      </w:r>
      <w:r>
        <w:rPr>
          <w:rFonts w:hint="eastAsia" w:ascii="宋体" w:hAnsi="宋体"/>
          <w:sz w:val="24"/>
        </w:rPr>
        <w:t>并列题名</w:t>
      </w:r>
    </w:p>
    <w:p>
      <w:pPr>
        <w:pStyle w:val="2"/>
        <w:spacing w:line="360" w:lineRule="auto"/>
        <w:ind w:firstLine="480" w:firstLineChars="200"/>
        <w:rPr>
          <w:rFonts w:ascii="宋体" w:hAnsi="宋体"/>
          <w:sz w:val="24"/>
        </w:rPr>
      </w:pPr>
      <w:r>
        <w:rPr>
          <w:rFonts w:hint="eastAsia" w:ascii="宋体" w:hAnsi="宋体"/>
          <w:sz w:val="24"/>
        </w:rPr>
        <w:t>“6”主题分析块（606科学名称主题、690中国图书馆分类法分类号）</w:t>
      </w:r>
    </w:p>
    <w:p>
      <w:pPr>
        <w:pStyle w:val="2"/>
        <w:spacing w:line="360" w:lineRule="auto"/>
        <w:ind w:firstLine="480" w:firstLineChars="200"/>
        <w:rPr>
          <w:rFonts w:ascii="宋体" w:hAnsi="宋体"/>
          <w:sz w:val="24"/>
        </w:rPr>
      </w:pPr>
      <w:r>
        <w:rPr>
          <w:rFonts w:hint="eastAsia" w:ascii="宋体" w:hAnsi="宋体"/>
          <w:sz w:val="24"/>
        </w:rPr>
        <w:t>“7”知识责任块（701个人名称——等同知识责任、711团体名称——等同知识责任）</w:t>
      </w:r>
    </w:p>
    <w:p>
      <w:pPr>
        <w:pStyle w:val="2"/>
        <w:spacing w:line="360" w:lineRule="auto"/>
        <w:ind w:firstLine="480" w:firstLineChars="200"/>
        <w:rPr>
          <w:rFonts w:ascii="宋体" w:hAnsi="宋体"/>
          <w:sz w:val="24"/>
        </w:rPr>
      </w:pPr>
      <w:r>
        <w:rPr>
          <w:rFonts w:hint="eastAsia" w:ascii="宋体" w:hAnsi="宋体"/>
          <w:sz w:val="24"/>
        </w:rPr>
        <w:t>905</w:t>
      </w:r>
      <w:r>
        <w:rPr>
          <w:rFonts w:hint="eastAsia" w:ascii="宋体" w:hAnsi="宋体"/>
          <w:sz w:val="24"/>
        </w:rPr>
        <w:tab/>
      </w:r>
      <w:r>
        <w:rPr>
          <w:rFonts w:hint="eastAsia" w:ascii="宋体" w:hAnsi="宋体"/>
          <w:sz w:val="24"/>
        </w:rPr>
        <w:t>馆藏信息。</w:t>
      </w:r>
    </w:p>
    <w:p>
      <w:pPr>
        <w:pStyle w:val="2"/>
        <w:spacing w:line="360" w:lineRule="auto"/>
        <w:ind w:firstLine="480" w:firstLineChars="200"/>
        <w:rPr>
          <w:rFonts w:ascii="宋体" w:hAnsi="宋体"/>
          <w:sz w:val="24"/>
        </w:rPr>
      </w:pPr>
      <w:r>
        <w:rPr>
          <w:rFonts w:hint="eastAsia" w:ascii="宋体" w:hAnsi="宋体"/>
          <w:sz w:val="24"/>
        </w:rPr>
        <w:t>提供的所有数据都能在采购人系统无障碍的使用。能提供中文报刊邮发刊目录和非邮发刊目录，各种目录均以字段完整的CNMARC格式提供。</w:t>
      </w:r>
    </w:p>
    <w:p>
      <w:pPr>
        <w:pStyle w:val="2"/>
        <w:spacing w:line="360" w:lineRule="auto"/>
        <w:ind w:firstLine="480" w:firstLineChars="200"/>
        <w:rPr>
          <w:rFonts w:ascii="宋体" w:hAnsi="宋体"/>
          <w:sz w:val="24"/>
        </w:rPr>
      </w:pPr>
      <w:r>
        <w:rPr>
          <w:rFonts w:hint="eastAsia" w:ascii="宋体" w:hAnsi="宋体"/>
          <w:sz w:val="24"/>
        </w:rPr>
        <w:t>3、供应商应将书目采访数据、标准书目MARC数据打印成文件，附在响应文件中。</w:t>
      </w:r>
    </w:p>
    <w:p>
      <w:pPr>
        <w:pStyle w:val="2"/>
        <w:spacing w:line="360" w:lineRule="auto"/>
        <w:ind w:firstLine="480" w:firstLineChars="200"/>
        <w:rPr>
          <w:rFonts w:ascii="宋体" w:hAnsi="宋体"/>
          <w:sz w:val="24"/>
        </w:rPr>
      </w:pPr>
      <w:r>
        <w:rPr>
          <w:rFonts w:hint="eastAsia" w:ascii="宋体" w:hAnsi="宋体"/>
          <w:sz w:val="24"/>
        </w:rPr>
        <w:t>三、服务要求</w:t>
      </w:r>
    </w:p>
    <w:p>
      <w:pPr>
        <w:pStyle w:val="2"/>
        <w:spacing w:line="360" w:lineRule="auto"/>
        <w:ind w:firstLine="480" w:firstLineChars="200"/>
        <w:rPr>
          <w:rFonts w:ascii="宋体" w:hAnsi="宋体"/>
          <w:sz w:val="24"/>
        </w:rPr>
      </w:pPr>
      <w:r>
        <w:rPr>
          <w:rFonts w:hint="eastAsia" w:ascii="宋体" w:hAnsi="宋体"/>
          <w:sz w:val="24"/>
        </w:rPr>
        <w:t>1、提供的期刊出版日期为2021年12月1日起至2022 年12月31日，期刊延期（迟）出版的，供应商须相应地延长服务期限。</w:t>
      </w:r>
    </w:p>
    <w:p>
      <w:pPr>
        <w:pStyle w:val="2"/>
        <w:spacing w:line="360" w:lineRule="auto"/>
        <w:ind w:firstLine="480" w:firstLineChars="200"/>
        <w:rPr>
          <w:rFonts w:ascii="宋体" w:hAnsi="宋体"/>
          <w:sz w:val="24"/>
        </w:rPr>
      </w:pPr>
      <w:r>
        <w:rPr>
          <w:rFonts w:hint="eastAsia" w:ascii="宋体" w:hAnsi="宋体"/>
          <w:sz w:val="24"/>
        </w:rPr>
        <w:t>2、供应商应按采购人的订购书目提供正版期刊。在收到每批期刊订单后要及时做好收订工作，并按采购人提出的刊目及包装要求，将期刊送交到采购人指定地点（订购期刊不能按时出版等特殊情况除外）。在期刊送交到采购人指定地点之前所发生的费用全部由成交供应商承担。</w:t>
      </w:r>
    </w:p>
    <w:p>
      <w:pPr>
        <w:pStyle w:val="2"/>
        <w:spacing w:line="360" w:lineRule="auto"/>
        <w:ind w:firstLine="480" w:firstLineChars="200"/>
        <w:rPr>
          <w:rFonts w:ascii="宋体" w:hAnsi="宋体"/>
          <w:sz w:val="24"/>
        </w:rPr>
      </w:pPr>
      <w:r>
        <w:rPr>
          <w:rFonts w:hint="eastAsia" w:ascii="宋体" w:hAnsi="宋体"/>
          <w:sz w:val="24"/>
        </w:rPr>
        <w:t>3、送交到采购人的期刊不能有质量问题。若验收时发现有非正版期刊，或污损、图文不清、缺页、倒页、缺附件等质量不合格的期刊，以及与订单不符的期刊，一律予以退货或换货，由此造成的损失及费用全部由成交供应商承担。</w:t>
      </w:r>
    </w:p>
    <w:p>
      <w:pPr>
        <w:pStyle w:val="2"/>
        <w:spacing w:line="360" w:lineRule="auto"/>
        <w:ind w:firstLine="480" w:firstLineChars="200"/>
        <w:rPr>
          <w:rFonts w:ascii="宋体" w:hAnsi="宋体"/>
          <w:sz w:val="24"/>
        </w:rPr>
      </w:pPr>
      <w:r>
        <w:rPr>
          <w:rFonts w:hint="eastAsia" w:ascii="宋体" w:hAnsi="宋体"/>
          <w:sz w:val="24"/>
        </w:rPr>
        <w:t>4、期刊打包要求：</w:t>
      </w:r>
    </w:p>
    <w:p>
      <w:pPr>
        <w:pStyle w:val="2"/>
        <w:spacing w:line="360" w:lineRule="auto"/>
        <w:ind w:firstLine="480" w:firstLineChars="200"/>
        <w:rPr>
          <w:rFonts w:ascii="宋体" w:hAnsi="宋体"/>
          <w:sz w:val="24"/>
        </w:rPr>
      </w:pPr>
      <w:r>
        <w:rPr>
          <w:rFonts w:hint="eastAsia" w:ascii="宋体" w:hAnsi="宋体"/>
          <w:sz w:val="24"/>
        </w:rPr>
        <w:t>采用防水包装纸打包。每批期刊都应配有期刊总明细单一式两份，由图书馆验收人员签收。明细单应含有期刊号、期刊名、刊期、份数、册数。供应商应保证采购人征订的中文期刊在运送过程中的整洁。</w:t>
      </w:r>
    </w:p>
    <w:p>
      <w:pPr>
        <w:pStyle w:val="2"/>
        <w:spacing w:line="360" w:lineRule="auto"/>
        <w:ind w:firstLine="480" w:firstLineChars="200"/>
        <w:rPr>
          <w:rFonts w:ascii="宋体" w:hAnsi="宋体"/>
          <w:sz w:val="24"/>
        </w:rPr>
      </w:pPr>
      <w:r>
        <w:rPr>
          <w:rFonts w:hint="eastAsia" w:ascii="宋体" w:hAnsi="宋体"/>
          <w:sz w:val="24"/>
        </w:rPr>
        <w:t>5、供应商必须按采购人订购的期刊品种、数量及时供货（含增刊），订刊率和到刊率要求为100%（除出版商取消出版、推迟出版或发生影响合同履行的不可抗力事件以外），如不能达到此项要求，即视该供应商为不具备供货条件，采购人有权要求供应商终止供货。</w:t>
      </w:r>
    </w:p>
    <w:p>
      <w:pPr>
        <w:pStyle w:val="2"/>
        <w:spacing w:line="360" w:lineRule="auto"/>
        <w:ind w:firstLine="480" w:firstLineChars="200"/>
        <w:rPr>
          <w:rFonts w:ascii="宋体" w:hAnsi="宋体"/>
          <w:sz w:val="24"/>
        </w:rPr>
      </w:pPr>
      <w:r>
        <w:rPr>
          <w:rFonts w:hint="eastAsia" w:ascii="宋体" w:hAnsi="宋体"/>
          <w:sz w:val="24"/>
        </w:rPr>
        <w:t>国内期刊应在出版后1个月内到货，未到货的视为“预期未到期刊”；催缺后，供货商须在2个月内补齐，对催补2个月后未到货的期刊，即视为“未到期刊”。采购人有权追究责任和要求赔偿，“未到期刊”，如因出版社原因未到，则退还缺期原价；如因成交供应商原因未到，经催缺2个月后仍未到馆，则赔付原价的2倍。</w:t>
      </w:r>
    </w:p>
    <w:p>
      <w:pPr>
        <w:pStyle w:val="2"/>
        <w:spacing w:line="360" w:lineRule="auto"/>
        <w:ind w:firstLine="480" w:firstLineChars="200"/>
        <w:rPr>
          <w:rFonts w:ascii="宋体" w:hAnsi="宋体"/>
          <w:sz w:val="24"/>
        </w:rPr>
      </w:pPr>
      <w:r>
        <w:rPr>
          <w:rFonts w:hint="eastAsia" w:ascii="宋体" w:hAnsi="宋体"/>
          <w:sz w:val="24"/>
        </w:rPr>
        <w:t>6、供应商要负责履行所缺期刊和质量有问题期刊的补充催送。</w:t>
      </w:r>
    </w:p>
    <w:p>
      <w:pPr>
        <w:pStyle w:val="2"/>
        <w:spacing w:line="360" w:lineRule="auto"/>
        <w:ind w:firstLine="480" w:firstLineChars="200"/>
        <w:rPr>
          <w:rFonts w:ascii="宋体" w:hAnsi="宋体"/>
          <w:sz w:val="24"/>
        </w:rPr>
      </w:pPr>
      <w:r>
        <w:rPr>
          <w:rFonts w:hint="eastAsia" w:ascii="宋体" w:hAnsi="宋体"/>
          <w:sz w:val="24"/>
        </w:rPr>
        <w:t>7、供应商应提供每日送期刊一次的服务，节假日另签送刊协议。供应商应将期刊在每日上午9点前送达采购人指定地点。</w:t>
      </w:r>
    </w:p>
    <w:p>
      <w:pPr>
        <w:pStyle w:val="2"/>
        <w:spacing w:line="360" w:lineRule="auto"/>
        <w:ind w:firstLine="480" w:firstLineChars="200"/>
        <w:rPr>
          <w:rFonts w:ascii="宋体" w:hAnsi="宋体"/>
          <w:sz w:val="24"/>
        </w:rPr>
      </w:pPr>
      <w:r>
        <w:rPr>
          <w:rFonts w:hint="eastAsia" w:ascii="宋体" w:hAnsi="宋体"/>
          <w:sz w:val="24"/>
        </w:rPr>
        <w:t>8、供应商在送交每一批期刊时，同时提供以下内容：</w:t>
      </w:r>
    </w:p>
    <w:p>
      <w:pPr>
        <w:pStyle w:val="2"/>
        <w:spacing w:line="360" w:lineRule="auto"/>
        <w:ind w:firstLine="480" w:firstLineChars="200"/>
        <w:rPr>
          <w:rFonts w:ascii="宋体" w:hAnsi="宋体"/>
          <w:sz w:val="24"/>
        </w:rPr>
      </w:pPr>
      <w:r>
        <w:rPr>
          <w:rFonts w:hint="eastAsia" w:ascii="宋体" w:hAnsi="宋体"/>
          <w:sz w:val="24"/>
        </w:rPr>
        <w:t>（1）该批期刊的规范机读编目数据（数据要求参见技术要求）。</w:t>
      </w:r>
    </w:p>
    <w:p>
      <w:pPr>
        <w:pStyle w:val="2"/>
        <w:spacing w:line="360" w:lineRule="auto"/>
        <w:ind w:firstLine="480" w:firstLineChars="200"/>
        <w:rPr>
          <w:rFonts w:ascii="宋体" w:hAnsi="宋体"/>
          <w:sz w:val="24"/>
        </w:rPr>
      </w:pPr>
      <w:r>
        <w:rPr>
          <w:rFonts w:hint="eastAsia" w:ascii="宋体" w:hAnsi="宋体"/>
          <w:sz w:val="24"/>
        </w:rPr>
        <w:t>（2）提供加盖馆藏章（馆藏章印模由图书馆提供，供应商负责刻印，并保证与印模一致）、粘贴防盗磁条、在指定位置粘贴期刊架号等加工服务。</w:t>
      </w:r>
    </w:p>
    <w:p>
      <w:pPr>
        <w:pStyle w:val="2"/>
        <w:spacing w:line="360" w:lineRule="auto"/>
        <w:ind w:firstLine="480" w:firstLineChars="200"/>
        <w:rPr>
          <w:rFonts w:ascii="宋体" w:hAnsi="宋体"/>
          <w:sz w:val="24"/>
        </w:rPr>
      </w:pPr>
      <w:r>
        <w:rPr>
          <w:rFonts w:hint="eastAsia" w:ascii="宋体" w:hAnsi="宋体"/>
          <w:sz w:val="24"/>
        </w:rPr>
        <w:t>（3）提供典藏期刊的装订。</w:t>
      </w:r>
    </w:p>
    <w:p>
      <w:pPr>
        <w:pStyle w:val="2"/>
        <w:spacing w:line="360" w:lineRule="auto"/>
        <w:ind w:firstLine="480" w:firstLineChars="200"/>
        <w:rPr>
          <w:rFonts w:ascii="宋体" w:hAnsi="宋体"/>
          <w:sz w:val="24"/>
        </w:rPr>
      </w:pPr>
      <w:r>
        <w:rPr>
          <w:rFonts w:hint="eastAsia" w:ascii="宋体" w:hAnsi="宋体"/>
          <w:sz w:val="24"/>
        </w:rPr>
        <w:t>以上费用均包含在合同价款中。</w:t>
      </w:r>
    </w:p>
    <w:p>
      <w:pPr>
        <w:pStyle w:val="2"/>
        <w:spacing w:line="360" w:lineRule="auto"/>
        <w:ind w:firstLine="480" w:firstLineChars="200"/>
        <w:rPr>
          <w:rFonts w:ascii="宋体" w:hAnsi="宋体"/>
          <w:sz w:val="24"/>
        </w:rPr>
      </w:pPr>
      <w:r>
        <w:rPr>
          <w:rFonts w:hint="eastAsia" w:ascii="宋体" w:hAnsi="宋体"/>
          <w:sz w:val="24"/>
        </w:rPr>
        <w:t>9、供应商应根据采购人的实际工作运行程序，提供高效、优质的服务保障，必须承担完成期刊的文献整理工作，工作内容包括：拨交至开放窗口（书库）文献的上架、归架、顺架、整架、倒架、下架等。</w:t>
      </w:r>
    </w:p>
    <w:p>
      <w:pPr>
        <w:pStyle w:val="2"/>
        <w:spacing w:line="360" w:lineRule="auto"/>
        <w:ind w:firstLine="480" w:firstLineChars="200"/>
        <w:rPr>
          <w:rFonts w:ascii="宋体" w:hAnsi="宋体"/>
          <w:sz w:val="24"/>
        </w:rPr>
      </w:pPr>
      <w:r>
        <w:rPr>
          <w:rFonts w:hint="eastAsia" w:ascii="宋体" w:hAnsi="宋体"/>
          <w:sz w:val="24"/>
        </w:rPr>
        <w:t>中标供应商须严格按照采购人制订的规则，在书库负责人的管理下进行文献整理；每日进行不间断巡视，对乱架、错架的期刊及时进行维护，对脱落的书标进行修复，对发现分类错误或可疑的期刊及时与书库负责人联系，由其进行协调、处理。</w:t>
      </w:r>
    </w:p>
    <w:p>
      <w:pPr>
        <w:pStyle w:val="2"/>
        <w:spacing w:line="360" w:lineRule="auto"/>
        <w:ind w:firstLine="480" w:firstLineChars="200"/>
        <w:rPr>
          <w:rFonts w:ascii="宋体" w:hAnsi="宋体"/>
          <w:sz w:val="24"/>
        </w:rPr>
      </w:pPr>
      <w:r>
        <w:rPr>
          <w:rFonts w:hint="eastAsia" w:ascii="宋体" w:hAnsi="宋体"/>
          <w:sz w:val="24"/>
        </w:rPr>
        <w:t>四、商务要求</w:t>
      </w:r>
    </w:p>
    <w:p>
      <w:pPr>
        <w:pStyle w:val="2"/>
        <w:spacing w:line="360" w:lineRule="auto"/>
        <w:ind w:firstLine="480" w:firstLineChars="200"/>
        <w:rPr>
          <w:rFonts w:ascii="宋体" w:hAnsi="宋体"/>
          <w:sz w:val="24"/>
        </w:rPr>
      </w:pPr>
      <w:r>
        <w:rPr>
          <w:rFonts w:hint="eastAsia" w:ascii="宋体" w:hAnsi="宋体"/>
          <w:sz w:val="24"/>
        </w:rPr>
        <w:t>1、服务期：十八个月，以双方签订合同时约定的起止时间为准。</w:t>
      </w:r>
    </w:p>
    <w:p>
      <w:pPr>
        <w:pStyle w:val="2"/>
        <w:spacing w:line="360" w:lineRule="auto"/>
        <w:ind w:firstLine="480" w:firstLineChars="200"/>
        <w:rPr>
          <w:rFonts w:ascii="宋体" w:hAnsi="宋体"/>
          <w:sz w:val="24"/>
        </w:rPr>
      </w:pPr>
      <w:r>
        <w:rPr>
          <w:rFonts w:hint="eastAsia" w:ascii="宋体" w:hAnsi="宋体"/>
          <w:sz w:val="24"/>
        </w:rPr>
        <w:t>2、交货期：期刊出版日期后30个日历日内供货到位。</w:t>
      </w:r>
    </w:p>
    <w:p>
      <w:pPr>
        <w:pStyle w:val="2"/>
        <w:spacing w:line="360" w:lineRule="auto"/>
        <w:ind w:firstLine="480" w:firstLineChars="200"/>
        <w:rPr>
          <w:rFonts w:ascii="宋体" w:hAnsi="宋体"/>
          <w:sz w:val="24"/>
        </w:rPr>
      </w:pPr>
      <w:r>
        <w:rPr>
          <w:rFonts w:hint="eastAsia" w:ascii="宋体" w:hAnsi="宋体"/>
          <w:sz w:val="24"/>
        </w:rPr>
        <w:t>3、人员要求：</w:t>
      </w:r>
    </w:p>
    <w:p>
      <w:pPr>
        <w:pStyle w:val="2"/>
        <w:spacing w:line="360" w:lineRule="auto"/>
        <w:ind w:firstLine="480" w:firstLineChars="200"/>
        <w:rPr>
          <w:rFonts w:ascii="宋体" w:hAnsi="宋体"/>
          <w:sz w:val="24"/>
        </w:rPr>
      </w:pPr>
      <w:r>
        <w:rPr>
          <w:rFonts w:hint="eastAsia" w:ascii="宋体" w:hAnsi="宋体"/>
          <w:sz w:val="24"/>
        </w:rPr>
        <w:t>供应商有从事期刊经销和数据加工业务的专业人员，2015年1月1日以来有为高校图书馆或省市公共图书馆供应期刊并提供相应机读数据的经历。</w:t>
      </w:r>
    </w:p>
    <w:p>
      <w:pPr>
        <w:pStyle w:val="2"/>
        <w:spacing w:line="360" w:lineRule="auto"/>
        <w:ind w:firstLine="480" w:firstLineChars="200"/>
        <w:rPr>
          <w:rFonts w:ascii="宋体" w:hAnsi="宋体"/>
          <w:sz w:val="24"/>
        </w:rPr>
      </w:pPr>
      <w:r>
        <w:rPr>
          <w:rFonts w:hint="eastAsia" w:ascii="宋体" w:hAnsi="宋体"/>
          <w:sz w:val="24"/>
        </w:rPr>
        <w:t>4、中文期刊供应商应为专门从事期刊销售的合法经营单位，期刊来源渠道较广，经营期刊品种丰富，与全国3000家以上的期刊出版单位有供货关系，所经销的期刊出版物均为国家正式出版物。</w:t>
      </w:r>
    </w:p>
    <w:p>
      <w:pPr>
        <w:pStyle w:val="2"/>
        <w:spacing w:line="360" w:lineRule="auto"/>
        <w:ind w:firstLine="480" w:firstLineChars="200"/>
        <w:rPr>
          <w:rFonts w:ascii="宋体" w:hAnsi="宋体"/>
          <w:sz w:val="24"/>
        </w:rPr>
      </w:pPr>
      <w:r>
        <w:rPr>
          <w:rFonts w:hint="eastAsia" w:ascii="宋体" w:hAnsi="宋体"/>
          <w:sz w:val="24"/>
        </w:rPr>
        <w:t>5、供应商建有功能较完善、性能稳定的专业化电子商务网站，便于供需双方高效开展业务工作。</w:t>
      </w:r>
    </w:p>
    <w:p>
      <w:pPr>
        <w:pStyle w:val="2"/>
        <w:spacing w:line="360" w:lineRule="auto"/>
        <w:ind w:firstLine="480" w:firstLineChars="200"/>
        <w:rPr>
          <w:rFonts w:ascii="宋体" w:hAnsi="宋体"/>
          <w:sz w:val="24"/>
        </w:rPr>
      </w:pPr>
    </w:p>
    <w:p>
      <w:pPr>
        <w:pStyle w:val="2"/>
        <w:spacing w:line="360" w:lineRule="auto"/>
        <w:ind w:firstLine="480" w:firstLineChars="200"/>
        <w:rPr>
          <w:rFonts w:ascii="宋体" w:hAnsi="宋体"/>
          <w:sz w:val="24"/>
        </w:rPr>
      </w:pPr>
    </w:p>
    <w:p>
      <w:pPr>
        <w:rPr>
          <w:rFonts w:ascii="宋体" w:hAnsi="宋体" w:cs="宋体"/>
          <w:b/>
          <w:kern w:val="44"/>
          <w:sz w:val="44"/>
          <w:szCs w:val="44"/>
        </w:rPr>
      </w:pPr>
      <w:r>
        <w:rPr>
          <w:rFonts w:hint="eastAsia" w:ascii="宋体" w:hAnsi="宋体" w:cs="宋体"/>
          <w:b/>
          <w:kern w:val="44"/>
          <w:sz w:val="44"/>
          <w:szCs w:val="44"/>
        </w:rPr>
        <w:br w:type="page"/>
      </w:r>
    </w:p>
    <w:p>
      <w:pPr>
        <w:pStyle w:val="2"/>
        <w:spacing w:before="120" w:beforeLines="50" w:after="240" w:afterLines="100" w:line="360" w:lineRule="auto"/>
        <w:ind w:firstLine="884"/>
        <w:jc w:val="center"/>
        <w:outlineLvl w:val="0"/>
        <w:rPr>
          <w:rFonts w:ascii="宋体" w:hAnsi="宋体" w:cs="宋体"/>
          <w:b/>
          <w:kern w:val="44"/>
          <w:sz w:val="44"/>
          <w:szCs w:val="44"/>
        </w:rPr>
      </w:pPr>
      <w:bookmarkStart w:id="180" w:name="_Toc22953"/>
      <w:r>
        <w:rPr>
          <w:rFonts w:hint="eastAsia" w:ascii="宋体" w:hAnsi="宋体" w:cs="宋体"/>
          <w:b/>
          <w:kern w:val="44"/>
          <w:sz w:val="44"/>
          <w:szCs w:val="44"/>
        </w:rPr>
        <w:t>第六章  合同草案条款</w:t>
      </w:r>
      <w:bookmarkEnd w:id="180"/>
    </w:p>
    <w:p>
      <w:pPr>
        <w:tabs>
          <w:tab w:val="left" w:pos="735"/>
        </w:tabs>
        <w:autoSpaceDE w:val="0"/>
        <w:autoSpaceDN w:val="0"/>
        <w:adjustRightInd w:val="0"/>
        <w:snapToGrid w:val="0"/>
        <w:spacing w:before="240" w:beforeLines="100" w:line="360" w:lineRule="auto"/>
        <w:ind w:firstLine="629"/>
        <w:rPr>
          <w:rFonts w:ascii="宋体" w:hAnsi="宋体" w:cs="宋体"/>
          <w:b/>
          <w:bCs/>
          <w:sz w:val="24"/>
          <w:lang w:val="zh-CN"/>
        </w:rPr>
      </w:pPr>
      <w:r>
        <w:rPr>
          <w:rFonts w:hint="eastAsia" w:ascii="宋体" w:hAnsi="宋体" w:cs="宋体"/>
          <w:b/>
          <w:bCs/>
          <w:sz w:val="24"/>
          <w:lang w:val="zh-CN"/>
        </w:rPr>
        <w:t>甲方：</w:t>
      </w:r>
      <w:r>
        <w:rPr>
          <w:rFonts w:hint="eastAsia" w:ascii="宋体" w:hAnsi="宋体" w:cs="宋体"/>
          <w:bCs/>
          <w:sz w:val="24"/>
          <w:lang w:val="zh-CN"/>
        </w:rPr>
        <w:t>（前款所称采购人）     住所：</w:t>
      </w:r>
    </w:p>
    <w:p>
      <w:pPr>
        <w:tabs>
          <w:tab w:val="left" w:pos="735"/>
        </w:tabs>
        <w:autoSpaceDE w:val="0"/>
        <w:autoSpaceDN w:val="0"/>
        <w:adjustRightInd w:val="0"/>
        <w:snapToGrid w:val="0"/>
        <w:spacing w:line="360" w:lineRule="auto"/>
        <w:ind w:firstLine="631"/>
        <w:rPr>
          <w:rFonts w:ascii="宋体" w:hAnsi="宋体" w:cs="宋体"/>
          <w:bCs/>
          <w:sz w:val="24"/>
          <w:lang w:val="zh-CN"/>
        </w:rPr>
      </w:pPr>
      <w:r>
        <w:rPr>
          <w:rFonts w:hint="eastAsia" w:ascii="宋体" w:hAnsi="宋体" w:cs="宋体"/>
          <w:b/>
          <w:bCs/>
          <w:sz w:val="24"/>
          <w:lang w:val="zh-CN"/>
        </w:rPr>
        <w:t>乙方：</w:t>
      </w:r>
      <w:r>
        <w:rPr>
          <w:rFonts w:hint="eastAsia" w:ascii="宋体" w:hAnsi="宋体" w:cs="宋体"/>
          <w:bCs/>
          <w:sz w:val="24"/>
          <w:lang w:val="zh-CN"/>
        </w:rPr>
        <w:t>（前款所称中标人）     住所：</w:t>
      </w:r>
    </w:p>
    <w:p>
      <w:pPr>
        <w:adjustRightInd w:val="0"/>
        <w:snapToGrid w:val="0"/>
        <w:spacing w:line="360" w:lineRule="auto"/>
        <w:ind w:firstLine="480" w:firstLineChars="200"/>
        <w:rPr>
          <w:rFonts w:ascii="宋体" w:hAnsi="宋体" w:cs="宋体"/>
          <w:sz w:val="24"/>
        </w:rPr>
      </w:pPr>
      <w:bookmarkStart w:id="181" w:name="_Toc19515384"/>
      <w:r>
        <w:rPr>
          <w:rFonts w:hint="eastAsia" w:ascii="宋体" w:hAnsi="宋体" w:cs="宋体"/>
          <w:sz w:val="24"/>
        </w:rPr>
        <w:t>一、合同内容（标的、数量、质量等）:</w:t>
      </w:r>
      <w:bookmarkEnd w:id="181"/>
    </w:p>
    <w:p>
      <w:pPr>
        <w:adjustRightInd w:val="0"/>
        <w:snapToGrid w:val="0"/>
        <w:spacing w:line="360" w:lineRule="auto"/>
        <w:ind w:firstLine="480" w:firstLineChars="200"/>
        <w:rPr>
          <w:rFonts w:ascii="宋体" w:hAnsi="宋体" w:cs="宋体"/>
          <w:sz w:val="24"/>
        </w:rPr>
      </w:pPr>
      <w:bookmarkStart w:id="182" w:name="_Toc19515385"/>
      <w:r>
        <w:rPr>
          <w:rFonts w:hint="eastAsia" w:ascii="宋体" w:hAnsi="宋体" w:cs="宋体"/>
          <w:sz w:val="24"/>
        </w:rPr>
        <w:t>二、合同价款</w:t>
      </w:r>
      <w:bookmarkEnd w:id="182"/>
    </w:p>
    <w:p>
      <w:pPr>
        <w:adjustRightInd w:val="0"/>
        <w:snapToGrid w:val="0"/>
        <w:spacing w:line="360" w:lineRule="auto"/>
        <w:ind w:firstLine="480" w:firstLineChars="200"/>
        <w:rPr>
          <w:rFonts w:ascii="宋体" w:hAnsi="宋体" w:cs="宋体"/>
          <w:sz w:val="24"/>
        </w:rPr>
      </w:pPr>
      <w:r>
        <w:rPr>
          <w:rFonts w:hint="eastAsia" w:ascii="宋体" w:hAnsi="宋体" w:cs="宋体"/>
          <w:sz w:val="24"/>
        </w:rPr>
        <w:t>1、合同折扣率：___________。</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2、合同总价包括：包括书本费、运输费、税金等费用。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bookmarkStart w:id="183" w:name="_Toc19515386"/>
      <w:r>
        <w:rPr>
          <w:rFonts w:hint="eastAsia" w:ascii="宋体" w:hAnsi="宋体" w:cs="宋体"/>
          <w:sz w:val="24"/>
        </w:rPr>
        <w:t>合同有效期内，合同单价一次包死，不受市场价变化的影响。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三、合同结算</w:t>
      </w:r>
      <w:bookmarkEnd w:id="183"/>
    </w:p>
    <w:p>
      <w:pPr>
        <w:adjustRightInd w:val="0"/>
        <w:snapToGrid w:val="0"/>
        <w:spacing w:line="360" w:lineRule="auto"/>
        <w:ind w:firstLine="480" w:firstLineChars="200"/>
        <w:rPr>
          <w:rFonts w:ascii="宋体" w:hAnsi="宋体" w:cs="宋体"/>
          <w:sz w:val="24"/>
          <w:highlight w:val="yellow"/>
        </w:rPr>
      </w:pPr>
      <w:bookmarkStart w:id="184" w:name="_Toc19515387"/>
      <w:r>
        <w:rPr>
          <w:rFonts w:hint="eastAsia" w:ascii="宋体" w:hAnsi="宋体" w:cs="宋体"/>
          <w:sz w:val="24"/>
        </w:rPr>
        <w:t>1.付款比例：</w:t>
      </w:r>
      <w:r>
        <w:rPr>
          <w:rFonts w:hint="eastAsia" w:ascii="宋体" w:hAnsi="宋体" w:cs="宋体"/>
          <w:sz w:val="24"/>
          <w:highlight w:val="none"/>
        </w:rPr>
        <w:t>终验完成后一次性付款。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2.收款方、出具发票方、合同乙方均必须与成交人名称一致。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3.在付款时乙方应开具等额发票。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4.结算方式：银行转账。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四、供货期、地点及方式</w:t>
      </w:r>
      <w:bookmarkEnd w:id="184"/>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1、交货期：</w:t>
      </w:r>
      <w:r>
        <w:rPr>
          <w:rFonts w:hint="eastAsia" w:ascii="宋体" w:hAnsi="宋体"/>
          <w:sz w:val="24"/>
        </w:rPr>
        <w:t>期刊出版日期后30个日历日内供货到位</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2、地点：甲方指定的供货地点。</w:t>
      </w:r>
    </w:p>
    <w:p>
      <w:pPr>
        <w:adjustRightInd w:val="0"/>
        <w:snapToGrid w:val="0"/>
        <w:spacing w:line="360" w:lineRule="auto"/>
        <w:ind w:firstLine="480" w:firstLineChars="200"/>
        <w:rPr>
          <w:rFonts w:ascii="宋体" w:hAnsi="宋体" w:cs="宋体"/>
          <w:sz w:val="24"/>
        </w:rPr>
      </w:pPr>
      <w:bookmarkStart w:id="185" w:name="_Toc19515388"/>
      <w:r>
        <w:rPr>
          <w:rFonts w:hint="eastAsia" w:ascii="宋体" w:hAnsi="宋体" w:cs="宋体"/>
          <w:sz w:val="24"/>
        </w:rPr>
        <w:t>五、运输</w:t>
      </w:r>
      <w:bookmarkEnd w:id="185"/>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1、乙方负责所有货物的运输。确保货物安全、完整到达使用地点，运杂费用包含在总价内，包括货物从供货地点到使用地点的运输费、保险费、搬运费等。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2、所有货物在运输、搬运的过程中，造成甲方损失的，由乙方为甲方修复或更新。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3、投标人自行选择适当的运输方式，根据学校场地条件自行安排，所有费用由中标人负担。</w:t>
      </w:r>
    </w:p>
    <w:p>
      <w:pPr>
        <w:adjustRightInd w:val="0"/>
        <w:snapToGrid w:val="0"/>
        <w:spacing w:line="360" w:lineRule="auto"/>
        <w:ind w:firstLine="480" w:firstLineChars="200"/>
        <w:rPr>
          <w:rFonts w:ascii="宋体" w:hAnsi="宋体" w:cs="宋体"/>
          <w:sz w:val="24"/>
        </w:rPr>
      </w:pPr>
      <w:bookmarkStart w:id="186" w:name="_Toc19515389"/>
      <w:r>
        <w:rPr>
          <w:rFonts w:hint="eastAsia" w:ascii="宋体" w:hAnsi="宋体" w:cs="宋体"/>
          <w:sz w:val="24"/>
        </w:rPr>
        <w:t>六、质量保证</w:t>
      </w:r>
      <w:bookmarkEnd w:id="186"/>
    </w:p>
    <w:p>
      <w:pPr>
        <w:adjustRightInd w:val="0"/>
        <w:snapToGrid w:val="0"/>
        <w:spacing w:line="360" w:lineRule="auto"/>
        <w:ind w:firstLine="480" w:firstLineChars="200"/>
        <w:rPr>
          <w:rFonts w:ascii="宋体" w:hAnsi="宋体" w:cs="宋体"/>
          <w:sz w:val="24"/>
        </w:rPr>
      </w:pPr>
      <w:r>
        <w:rPr>
          <w:rFonts w:hint="eastAsia" w:ascii="宋体" w:hAnsi="宋体" w:cs="宋体"/>
          <w:sz w:val="24"/>
        </w:rPr>
        <w:t>1、投标人所供图书必须保证为正版图书。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2、在图书运输、装卸期间投标人所发生的货物、财产损失及人身伤亡等安全事故与招标人无关；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3、采购单位有权在合同签订前后或货物的运输、使用阶段对中标单位所供货物的数量进行复检。</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4、包装要求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除合同另有规定外，乙方提供的全部货物，均应按标准保护措施进行包装，并确保货物安全无损运抵甲方指定地点。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5、乙方应保证甲方在使用该货物或其任何一部分时免受第三方提出侵犯其专利权、商标权或工业设计权的起诉。</w:t>
      </w:r>
    </w:p>
    <w:p>
      <w:pPr>
        <w:adjustRightInd w:val="0"/>
        <w:snapToGrid w:val="0"/>
        <w:spacing w:line="360" w:lineRule="auto"/>
        <w:ind w:firstLine="480" w:firstLineChars="200"/>
        <w:rPr>
          <w:rFonts w:ascii="宋体" w:hAnsi="宋体" w:cs="宋体"/>
          <w:sz w:val="24"/>
        </w:rPr>
      </w:pPr>
      <w:bookmarkStart w:id="187" w:name="_Toc19515391"/>
      <w:r>
        <w:rPr>
          <w:rFonts w:hint="eastAsia" w:ascii="宋体" w:hAnsi="宋体" w:cs="宋体"/>
          <w:sz w:val="24"/>
        </w:rPr>
        <w:t>七、验收</w:t>
      </w:r>
      <w:bookmarkEnd w:id="187"/>
    </w:p>
    <w:p>
      <w:pPr>
        <w:adjustRightInd w:val="0"/>
        <w:snapToGrid w:val="0"/>
        <w:spacing w:line="360" w:lineRule="auto"/>
        <w:ind w:firstLine="480" w:firstLineChars="200"/>
        <w:rPr>
          <w:rFonts w:ascii="宋体" w:hAnsi="宋体" w:cs="宋体"/>
          <w:sz w:val="24"/>
        </w:rPr>
      </w:pPr>
      <w:r>
        <w:rPr>
          <w:rFonts w:hint="eastAsia" w:ascii="宋体" w:hAnsi="宋体" w:cs="宋体"/>
          <w:sz w:val="24"/>
        </w:rPr>
        <w:t>1、到货验收：到货时，由招标人按合同要求对所供图书进行验收，确认图书类别及数量。由运输安全引起的相关责任由中标人承担，招标人有权终止合同。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乙方将货物运至现场，由甲方组织相关专业人员查验图书单车调货单据，对图书类别数量进行查验。检查合格后由各采购方向乙方出具图书收货单，并接受货物。若图书的规格、数量达不到招标要求，甲方有权拒收，并给予相应处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3、验收依据：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3-1、合同文本、合同附件、招标文件、投标文件。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3-2、国内相应的标准、规范。</w:t>
      </w:r>
    </w:p>
    <w:p>
      <w:pPr>
        <w:adjustRightInd w:val="0"/>
        <w:snapToGrid w:val="0"/>
        <w:spacing w:line="360" w:lineRule="auto"/>
        <w:ind w:firstLine="480" w:firstLineChars="200"/>
        <w:rPr>
          <w:rFonts w:ascii="宋体" w:hAnsi="宋体" w:cs="宋体"/>
          <w:sz w:val="24"/>
        </w:rPr>
      </w:pPr>
      <w:bookmarkStart w:id="188" w:name="_Toc19515392"/>
      <w:r>
        <w:rPr>
          <w:rFonts w:hint="eastAsia" w:ascii="宋体" w:hAnsi="宋体" w:cs="宋体"/>
          <w:sz w:val="24"/>
        </w:rPr>
        <w:t>八、违约责任</w:t>
      </w:r>
      <w:bookmarkEnd w:id="188"/>
    </w:p>
    <w:p>
      <w:pPr>
        <w:adjustRightInd w:val="0"/>
        <w:snapToGrid w:val="0"/>
        <w:spacing w:line="360" w:lineRule="auto"/>
        <w:ind w:firstLine="480" w:firstLineChars="200"/>
        <w:rPr>
          <w:rFonts w:ascii="宋体" w:hAnsi="宋体" w:cs="宋体"/>
          <w:sz w:val="24"/>
        </w:rPr>
      </w:pPr>
      <w:r>
        <w:rPr>
          <w:rFonts w:hint="eastAsia" w:ascii="宋体" w:hAnsi="宋体" w:cs="宋体"/>
          <w:sz w:val="24"/>
        </w:rPr>
        <w:t>1、按《中华人民共和国民法典》中的相关条款执行。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2、乙方履约延误</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2-1、如乙方事先未征得甲方同意并得到甲方的谅解而单方面延迟交货，将按违约终止合同。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3、违约终止合同：未按合同要求提供货物或质量不能满足技术要求，甲方会同监督机构有权终止合同，对乙方违约行为进行追究，同时按政府采购法的有关规定进行相应的处罚。</w:t>
      </w:r>
    </w:p>
    <w:p>
      <w:pPr>
        <w:adjustRightInd w:val="0"/>
        <w:snapToGrid w:val="0"/>
        <w:spacing w:line="360" w:lineRule="auto"/>
        <w:ind w:firstLine="480" w:firstLineChars="200"/>
        <w:rPr>
          <w:rFonts w:ascii="宋体" w:hAnsi="宋体" w:cs="宋体"/>
          <w:sz w:val="24"/>
        </w:rPr>
      </w:pPr>
      <w:bookmarkStart w:id="189" w:name="_Toc19515393"/>
      <w:r>
        <w:rPr>
          <w:rFonts w:hint="eastAsia" w:ascii="宋体" w:hAnsi="宋体" w:cs="宋体"/>
          <w:sz w:val="24"/>
        </w:rPr>
        <w:t>九、合同组成</w:t>
      </w:r>
      <w:bookmarkEnd w:id="189"/>
    </w:p>
    <w:p>
      <w:pPr>
        <w:adjustRightInd w:val="0"/>
        <w:snapToGrid w:val="0"/>
        <w:spacing w:line="360" w:lineRule="auto"/>
        <w:ind w:firstLine="480" w:firstLineChars="200"/>
        <w:rPr>
          <w:rFonts w:ascii="宋体" w:hAnsi="宋体" w:cs="宋体"/>
          <w:sz w:val="24"/>
        </w:rPr>
      </w:pPr>
      <w:r>
        <w:rPr>
          <w:rFonts w:hint="eastAsia" w:ascii="宋体" w:hAnsi="宋体" w:cs="宋体"/>
          <w:sz w:val="24"/>
        </w:rPr>
        <w:t>1、中标通知书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2、合同文件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3、国家相关规范及标准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4、供货产品规格</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5、招标文件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6、投标文件</w:t>
      </w:r>
    </w:p>
    <w:p>
      <w:pPr>
        <w:adjustRightInd w:val="0"/>
        <w:snapToGrid w:val="0"/>
        <w:spacing w:line="360" w:lineRule="auto"/>
        <w:ind w:firstLine="480" w:firstLineChars="200"/>
        <w:rPr>
          <w:rFonts w:ascii="宋体" w:hAnsi="宋体" w:cs="宋体"/>
          <w:sz w:val="24"/>
        </w:rPr>
      </w:pPr>
      <w:bookmarkStart w:id="190" w:name="_Toc19515394"/>
      <w:r>
        <w:rPr>
          <w:rFonts w:hint="eastAsia" w:ascii="宋体" w:hAnsi="宋体" w:cs="宋体"/>
          <w:sz w:val="24"/>
        </w:rPr>
        <w:t>十、解决争议的方法</w:t>
      </w:r>
      <w:bookmarkEnd w:id="190"/>
    </w:p>
    <w:p>
      <w:pPr>
        <w:widowControl/>
        <w:autoSpaceDE w:val="0"/>
        <w:autoSpaceDN w:val="0"/>
        <w:snapToGrid w:val="0"/>
        <w:spacing w:line="360" w:lineRule="auto"/>
        <w:ind w:right="-110" w:firstLine="480" w:firstLineChars="200"/>
        <w:textAlignment w:val="bottom"/>
        <w:rPr>
          <w:rFonts w:ascii="宋体" w:hAnsi="宋体" w:cs="宋体"/>
          <w:kern w:val="0"/>
          <w:sz w:val="24"/>
        </w:rPr>
      </w:pPr>
      <w:r>
        <w:rPr>
          <w:rFonts w:hint="eastAsia" w:ascii="宋体" w:hAnsi="宋体" w:cs="宋体"/>
          <w:kern w:val="0"/>
          <w:sz w:val="24"/>
        </w:rPr>
        <w:t>凡因本合同引起的或与本合同有关的争议，双方应友好协商解决。协商不成时，双方均同意采用以下第（  ）种争议解决方式：</w:t>
      </w:r>
    </w:p>
    <w:p>
      <w:pPr>
        <w:widowControl/>
        <w:autoSpaceDE w:val="0"/>
        <w:autoSpaceDN w:val="0"/>
        <w:snapToGrid w:val="0"/>
        <w:spacing w:line="360" w:lineRule="auto"/>
        <w:ind w:right="-110" w:firstLine="480" w:firstLineChars="200"/>
        <w:textAlignment w:val="bottom"/>
        <w:rPr>
          <w:rFonts w:ascii="宋体" w:hAnsi="宋体" w:cs="宋体"/>
          <w:kern w:val="0"/>
          <w:sz w:val="24"/>
        </w:rPr>
      </w:pPr>
      <w:r>
        <w:rPr>
          <w:rFonts w:hint="eastAsia" w:ascii="宋体" w:hAnsi="宋体" w:cs="宋体"/>
          <w:kern w:val="0"/>
          <w:sz w:val="24"/>
        </w:rPr>
        <w:t>（1）、甲、乙双方均同意向（甲方所在地人民法院）提起诉讼。</w:t>
      </w:r>
    </w:p>
    <w:p>
      <w:pPr>
        <w:widowControl/>
        <w:autoSpaceDE w:val="0"/>
        <w:autoSpaceDN w:val="0"/>
        <w:snapToGrid w:val="0"/>
        <w:spacing w:line="360" w:lineRule="auto"/>
        <w:ind w:right="-110" w:firstLine="480" w:firstLineChars="200"/>
        <w:textAlignment w:val="bottom"/>
        <w:rPr>
          <w:rFonts w:ascii="宋体" w:hAnsi="宋体" w:cs="宋体"/>
          <w:kern w:val="0"/>
          <w:sz w:val="24"/>
        </w:rPr>
      </w:pPr>
      <w:r>
        <w:rPr>
          <w:rFonts w:hint="eastAsia" w:ascii="宋体" w:hAnsi="宋体" w:cs="宋体"/>
          <w:kern w:val="0"/>
          <w:sz w:val="24"/>
        </w:rPr>
        <w:t>（2）、甲、乙双方均同意向（</w:t>
      </w:r>
      <w:r>
        <w:fldChar w:fldCharType="begin"/>
      </w:r>
      <w:r>
        <w:instrText xml:space="preserve"> HYPERLINK "http://www.baidu.com/s?wd=%E4%BB%B2%E8%A3%81%E5%A7%94%E5%91%98%E4%BC%9A&amp;tn=SE_PcZhidaonwhc_ngpagmjz&amp;rsv_dl=gh_pc_zhidao" \t "_blank" </w:instrText>
      </w:r>
      <w:r>
        <w:fldChar w:fldCharType="separate"/>
      </w:r>
      <w:r>
        <w:rPr>
          <w:rFonts w:hint="eastAsia" w:ascii="宋体" w:hAnsi="宋体" w:cs="宋体"/>
          <w:kern w:val="0"/>
          <w:sz w:val="24"/>
        </w:rPr>
        <w:t>仲裁委员会</w:t>
      </w:r>
      <w:r>
        <w:rPr>
          <w:rFonts w:hint="eastAsia" w:ascii="宋体" w:hAnsi="宋体" w:cs="宋体"/>
          <w:kern w:val="0"/>
          <w:sz w:val="24"/>
        </w:rPr>
        <w:fldChar w:fldCharType="end"/>
      </w:r>
      <w:r>
        <w:rPr>
          <w:rFonts w:hint="eastAsia" w:ascii="宋体" w:hAnsi="宋体" w:cs="宋体"/>
          <w:kern w:val="0"/>
          <w:sz w:val="24"/>
        </w:rPr>
        <w:t>）提起仲裁。</w:t>
      </w:r>
    </w:p>
    <w:p>
      <w:pPr>
        <w:adjustRightInd w:val="0"/>
        <w:snapToGrid w:val="0"/>
        <w:spacing w:line="360" w:lineRule="auto"/>
        <w:ind w:firstLine="480" w:firstLineChars="200"/>
        <w:rPr>
          <w:rFonts w:ascii="宋体" w:hAnsi="宋体" w:cs="宋体"/>
          <w:sz w:val="24"/>
        </w:rPr>
      </w:pPr>
      <w:bookmarkStart w:id="191" w:name="_Toc19515395"/>
      <w:r>
        <w:rPr>
          <w:rFonts w:hint="eastAsia" w:ascii="宋体" w:hAnsi="宋体" w:cs="宋体"/>
          <w:sz w:val="24"/>
        </w:rPr>
        <w:t>十一、合同生效及其它</w:t>
      </w:r>
      <w:bookmarkEnd w:id="191"/>
    </w:p>
    <w:p>
      <w:pPr>
        <w:widowControl/>
        <w:autoSpaceDE w:val="0"/>
        <w:autoSpaceDN w:val="0"/>
        <w:snapToGrid w:val="0"/>
        <w:spacing w:line="360" w:lineRule="auto"/>
        <w:ind w:right="-110" w:firstLine="480" w:firstLineChars="200"/>
        <w:textAlignment w:val="bottom"/>
        <w:rPr>
          <w:rFonts w:ascii="宋体" w:hAnsi="宋体" w:cs="宋体"/>
          <w:kern w:val="0"/>
          <w:sz w:val="24"/>
        </w:rPr>
      </w:pPr>
      <w:r>
        <w:rPr>
          <w:rFonts w:hint="eastAsia" w:ascii="宋体" w:hAnsi="宋体" w:cs="宋体"/>
          <w:kern w:val="0"/>
          <w:sz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ascii="宋体" w:hAnsi="宋体" w:cs="宋体"/>
          <w:kern w:val="0"/>
          <w:sz w:val="24"/>
        </w:rPr>
      </w:pPr>
      <w:r>
        <w:rPr>
          <w:rFonts w:hint="eastAsia" w:ascii="宋体" w:hAnsi="宋体" w:cs="宋体"/>
          <w:kern w:val="0"/>
          <w:sz w:val="24"/>
        </w:rPr>
        <w:t>2、 本合同正本一式</w:t>
      </w:r>
      <w:r>
        <w:rPr>
          <w:rFonts w:hint="eastAsia" w:ascii="宋体" w:hAnsi="宋体" w:cs="宋体"/>
          <w:kern w:val="0"/>
          <w:sz w:val="24"/>
          <w:u w:val="single"/>
        </w:rPr>
        <w:t xml:space="preserve">  </w:t>
      </w:r>
      <w:r>
        <w:rPr>
          <w:rFonts w:hint="eastAsia" w:ascii="宋体" w:hAnsi="宋体" w:cs="宋体"/>
          <w:kern w:val="0"/>
          <w:sz w:val="24"/>
        </w:rPr>
        <w:t>份，甲方、乙方双方分别执</w:t>
      </w:r>
      <w:r>
        <w:rPr>
          <w:rFonts w:hint="eastAsia" w:ascii="宋体" w:hAnsi="宋体" w:cs="宋体"/>
          <w:kern w:val="0"/>
          <w:sz w:val="24"/>
          <w:u w:val="single"/>
        </w:rPr>
        <w:t xml:space="preserve">  </w:t>
      </w:r>
      <w:r>
        <w:rPr>
          <w:rFonts w:hint="eastAsia" w:ascii="宋体" w:hAnsi="宋体" w:cs="宋体"/>
          <w:kern w:val="0"/>
          <w:sz w:val="24"/>
        </w:rPr>
        <w:t>份。</w:t>
      </w:r>
    </w:p>
    <w:p>
      <w:pPr>
        <w:widowControl/>
        <w:tabs>
          <w:tab w:val="left" w:pos="8391"/>
        </w:tabs>
        <w:autoSpaceDE w:val="0"/>
        <w:autoSpaceDN w:val="0"/>
        <w:snapToGrid w:val="0"/>
        <w:spacing w:line="360" w:lineRule="auto"/>
        <w:ind w:right="-69" w:firstLine="480" w:firstLineChars="200"/>
        <w:textAlignment w:val="bottom"/>
        <w:rPr>
          <w:rFonts w:ascii="宋体" w:hAnsi="宋体" w:cs="宋体"/>
          <w:kern w:val="0"/>
          <w:sz w:val="24"/>
        </w:rPr>
      </w:pPr>
      <w:r>
        <w:rPr>
          <w:rFonts w:hint="eastAsia" w:ascii="宋体" w:hAnsi="宋体" w:cs="宋体"/>
          <w:kern w:val="0"/>
          <w:sz w:val="24"/>
        </w:rPr>
        <w:t>3、合同经甲乙双方盖章、签字后生效，合同签订地点为</w:t>
      </w:r>
      <w:r>
        <w:rPr>
          <w:rFonts w:hint="eastAsia" w:ascii="宋体" w:hAnsi="宋体" w:cs="宋体"/>
          <w:kern w:val="0"/>
          <w:sz w:val="24"/>
          <w:u w:val="single"/>
        </w:rPr>
        <w:t xml:space="preserve">   </w:t>
      </w:r>
      <w:r>
        <w:rPr>
          <w:rFonts w:hint="eastAsia" w:ascii="宋体" w:hAnsi="宋体" w:cs="宋体"/>
          <w:kern w:val="0"/>
          <w:sz w:val="24"/>
        </w:rPr>
        <w:t>。</w:t>
      </w:r>
    </w:p>
    <w:p>
      <w:pPr>
        <w:widowControl/>
        <w:tabs>
          <w:tab w:val="left" w:pos="8391"/>
        </w:tabs>
        <w:autoSpaceDE w:val="0"/>
        <w:autoSpaceDN w:val="0"/>
        <w:snapToGrid w:val="0"/>
        <w:spacing w:line="360" w:lineRule="auto"/>
        <w:ind w:right="-69" w:firstLine="480" w:firstLineChars="200"/>
        <w:textAlignment w:val="bottom"/>
        <w:rPr>
          <w:rFonts w:ascii="宋体" w:hAnsi="宋体" w:cs="宋体"/>
          <w:kern w:val="0"/>
          <w:sz w:val="24"/>
        </w:rPr>
      </w:pPr>
      <w:r>
        <w:rPr>
          <w:rFonts w:hint="eastAsia" w:ascii="宋体" w:hAnsi="宋体" w:cs="宋体"/>
          <w:kern w:val="0"/>
          <w:sz w:val="24"/>
        </w:rPr>
        <w:t>4、生效时间：   年  月  日</w:t>
      </w:r>
    </w:p>
    <w:tbl>
      <w:tblPr>
        <w:tblStyle w:val="31"/>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甲方名称</w:t>
            </w:r>
            <w:r>
              <w:rPr>
                <w:rFonts w:hint="eastAsia" w:ascii="宋体" w:hAnsi="宋体" w:cs="宋体"/>
                <w:spacing w:val="-20"/>
                <w:kern w:val="0"/>
                <w:sz w:val="24"/>
              </w:rPr>
              <w:t>（盖章）</w:t>
            </w:r>
            <w:r>
              <w:rPr>
                <w:rFonts w:hint="eastAsia" w:ascii="宋体" w:hAnsi="宋体" w:cs="宋体"/>
                <w:kern w:val="0"/>
                <w:sz w:val="24"/>
              </w:rPr>
              <w:t>:</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地址：</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代表人（签字）：</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电话：</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开户银行：</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帐号：</w:t>
            </w:r>
          </w:p>
        </w:tc>
        <w:tc>
          <w:tcPr>
            <w:tcW w:w="4643" w:type="dxa"/>
          </w:tcPr>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乙方名称</w:t>
            </w:r>
            <w:r>
              <w:rPr>
                <w:rFonts w:hint="eastAsia" w:ascii="宋体" w:hAnsi="宋体" w:cs="宋体"/>
                <w:spacing w:val="-20"/>
                <w:kern w:val="0"/>
                <w:sz w:val="24"/>
              </w:rPr>
              <w:t>（盖章）</w:t>
            </w:r>
            <w:r>
              <w:rPr>
                <w:rFonts w:hint="eastAsia" w:ascii="宋体" w:hAnsi="宋体" w:cs="宋体"/>
                <w:kern w:val="0"/>
                <w:sz w:val="24"/>
              </w:rPr>
              <w:t>:</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地址：</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代表人（签字）：</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电话：</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开户银行：</w:t>
            </w:r>
          </w:p>
          <w:p>
            <w:pPr>
              <w:widowControl/>
              <w:autoSpaceDE w:val="0"/>
              <w:autoSpaceDN w:val="0"/>
              <w:snapToGrid w:val="0"/>
              <w:spacing w:line="360" w:lineRule="auto"/>
              <w:ind w:right="-154"/>
              <w:textAlignment w:val="bottom"/>
              <w:rPr>
                <w:rFonts w:ascii="宋体" w:hAnsi="宋体" w:cs="宋体"/>
                <w:kern w:val="0"/>
                <w:sz w:val="24"/>
              </w:rPr>
            </w:pPr>
            <w:r>
              <w:rPr>
                <w:rFonts w:hint="eastAsia" w:ascii="宋体" w:hAnsi="宋体" w:cs="宋体"/>
                <w:kern w:val="0"/>
                <w:sz w:val="24"/>
              </w:rPr>
              <w:t>帐号：</w:t>
            </w:r>
          </w:p>
        </w:tc>
      </w:tr>
    </w:tbl>
    <w:p>
      <w:pPr>
        <w:adjustRightInd w:val="0"/>
        <w:snapToGrid w:val="0"/>
        <w:spacing w:line="360" w:lineRule="auto"/>
        <w:rPr>
          <w:rFonts w:hint="eastAsia" w:ascii="宋体" w:hAnsi="宋体" w:eastAsia="宋体" w:cs="宋体"/>
          <w:b/>
          <w:kern w:val="44"/>
          <w:sz w:val="24"/>
          <w:lang w:eastAsia="zh-CN"/>
        </w:rPr>
      </w:pPr>
    </w:p>
    <w:p>
      <w:pPr>
        <w:adjustRightInd w:val="0"/>
        <w:snapToGrid w:val="0"/>
        <w:spacing w:line="360" w:lineRule="auto"/>
        <w:rPr>
          <w:sz w:val="44"/>
          <w:szCs w:val="44"/>
        </w:rPr>
      </w:pPr>
      <w:r>
        <w:rPr>
          <w:rFonts w:hint="eastAsia" w:ascii="宋体" w:hAnsi="宋体" w:cs="宋体"/>
          <w:b/>
          <w:kern w:val="44"/>
          <w:sz w:val="24"/>
        </w:rPr>
        <w:t>注：本合同未定事宜，双方可根据具体情况结合有关规定另行签订补充协议，补充协议与本合同具有同等法律效力。</w:t>
      </w:r>
    </w:p>
    <w:p>
      <w:pPr>
        <w:rPr>
          <w:sz w:val="44"/>
          <w:szCs w:val="44"/>
        </w:rPr>
      </w:pPr>
    </w:p>
    <w:p>
      <w:pPr>
        <w:pStyle w:val="15"/>
      </w:pPr>
    </w:p>
    <w:p/>
    <w:p>
      <w:pPr>
        <w:rPr>
          <w:sz w:val="44"/>
          <w:szCs w:val="44"/>
        </w:rPr>
      </w:pPr>
      <w:r>
        <w:rPr>
          <w:rFonts w:hint="eastAsia"/>
          <w:sz w:val="44"/>
          <w:szCs w:val="44"/>
        </w:rPr>
        <w:br w:type="page"/>
      </w:r>
    </w:p>
    <w:p>
      <w:pPr>
        <w:pStyle w:val="4"/>
        <w:spacing w:line="240" w:lineRule="auto"/>
        <w:ind w:firstLine="2209" w:firstLineChars="500"/>
        <w:rPr>
          <w:rFonts w:ascii="仿宋_GB2312" w:eastAsia="仿宋_GB2312"/>
          <w:szCs w:val="32"/>
        </w:rPr>
      </w:pPr>
      <w:bookmarkStart w:id="192" w:name="_Toc19575"/>
      <w:r>
        <w:rPr>
          <w:rFonts w:hint="eastAsia"/>
          <w:sz w:val="44"/>
          <w:szCs w:val="44"/>
        </w:rPr>
        <w:t>第七章 投标文件格式</w:t>
      </w:r>
      <w:bookmarkEnd w:id="192"/>
    </w:p>
    <w:p>
      <w:pPr>
        <w:spacing w:line="360" w:lineRule="auto"/>
        <w:ind w:firstLine="573"/>
        <w:rPr>
          <w:rFonts w:ascii="宋体" w:hAnsi="宋体"/>
          <w:sz w:val="24"/>
        </w:rPr>
      </w:pPr>
      <w:r>
        <w:rPr>
          <w:rFonts w:hint="eastAsia" w:ascii="宋体" w:hAnsi="宋体"/>
          <w:sz w:val="24"/>
        </w:rPr>
        <w:t>投标文件编制说明</w:t>
      </w:r>
    </w:p>
    <w:p>
      <w:pPr>
        <w:spacing w:line="360" w:lineRule="auto"/>
        <w:ind w:firstLine="573"/>
        <w:rPr>
          <w:rFonts w:ascii="宋体" w:hAnsi="宋体"/>
          <w:sz w:val="24"/>
        </w:rPr>
      </w:pPr>
      <w:r>
        <w:rPr>
          <w:rFonts w:hint="eastAsia" w:ascii="宋体" w:hAnsi="宋体"/>
          <w:sz w:val="24"/>
        </w:rPr>
        <w:t>1、投标人编制投标文件前，请详细阅读招标文件，根据同正项目管理有限公司提供的投标文件格式，理解文件中的每一项要求。</w:t>
      </w:r>
    </w:p>
    <w:p>
      <w:pPr>
        <w:spacing w:line="360" w:lineRule="auto"/>
        <w:ind w:firstLine="573"/>
        <w:rPr>
          <w:rFonts w:ascii="宋体" w:hAnsi="宋体"/>
          <w:sz w:val="24"/>
        </w:rPr>
      </w:pPr>
      <w:r>
        <w:rPr>
          <w:rFonts w:hint="eastAsia" w:ascii="宋体" w:hAnsi="宋体"/>
          <w:sz w:val="24"/>
        </w:rPr>
        <w:t>2、投标文件的编制须按照样本格式提供的内容，做出逐一明确的答复；投标人认为有必要，还可以做其它补充说明。</w:t>
      </w:r>
    </w:p>
    <w:p>
      <w:pPr>
        <w:spacing w:line="360" w:lineRule="auto"/>
        <w:ind w:firstLine="573"/>
        <w:rPr>
          <w:rFonts w:ascii="宋体" w:hAnsi="宋体"/>
          <w:sz w:val="24"/>
        </w:rPr>
      </w:pPr>
      <w:r>
        <w:rPr>
          <w:rFonts w:hint="eastAsia" w:ascii="宋体" w:hAnsi="宋体"/>
          <w:sz w:val="24"/>
        </w:rPr>
        <w:t>3、全部编制完成，并加盖印章后，按规定分别装订成册。</w:t>
      </w:r>
    </w:p>
    <w:p>
      <w:pPr>
        <w:pStyle w:val="2"/>
        <w:spacing w:before="120" w:beforeLines="50"/>
        <w:ind w:firstLine="0"/>
        <w:rPr>
          <w:rFonts w:ascii="宋体" w:hAnsi="宋体"/>
          <w:b/>
          <w:sz w:val="28"/>
          <w:szCs w:val="28"/>
        </w:rPr>
      </w:pPr>
      <w:r>
        <w:rPr>
          <w:rFonts w:hint="eastAsia" w:ascii="宋体" w:hAnsi="宋体"/>
          <w:sz w:val="24"/>
        </w:rPr>
        <w:t>4、未按招标文件提供的投标文件格式制作投标文件的，视为无实质性响应招标文件。</w:t>
      </w:r>
      <w:bookmarkStart w:id="193" w:name="_Toc531253660"/>
      <w:bookmarkStart w:id="194" w:name="_Toc217446082"/>
    </w:p>
    <w:p>
      <w:pPr>
        <w:rPr>
          <w:rFonts w:ascii="宋体" w:hAnsi="宋体"/>
          <w:b/>
          <w:sz w:val="28"/>
          <w:szCs w:val="28"/>
        </w:rPr>
      </w:pPr>
      <w:r>
        <w:rPr>
          <w:rFonts w:hint="eastAsia" w:ascii="宋体" w:hAnsi="宋体"/>
          <w:b/>
          <w:sz w:val="28"/>
          <w:szCs w:val="28"/>
        </w:rPr>
        <w:br w:type="page"/>
      </w:r>
    </w:p>
    <w:p>
      <w:pPr>
        <w:pStyle w:val="2"/>
        <w:spacing w:before="120" w:beforeLines="50"/>
        <w:ind w:firstLine="6831" w:firstLineChars="2430"/>
        <w:rPr>
          <w:rFonts w:ascii="宋体" w:hAnsi="宋体"/>
          <w:b/>
          <w:sz w:val="28"/>
          <w:szCs w:val="28"/>
        </w:rPr>
      </w:pPr>
      <w:r>
        <w:rPr>
          <w:rFonts w:hint="eastAsia" w:ascii="宋体" w:hAnsi="宋体"/>
          <w:b/>
          <w:sz w:val="28"/>
          <w:szCs w:val="28"/>
        </w:rPr>
        <w:t>正本/副本</w:t>
      </w:r>
      <w:bookmarkEnd w:id="193"/>
    </w:p>
    <w:p>
      <w:pPr>
        <w:pStyle w:val="2"/>
        <w:spacing w:before="120" w:beforeLines="50"/>
        <w:ind w:firstLine="0"/>
        <w:rPr>
          <w:rFonts w:ascii="宋体" w:hAnsi="宋体"/>
          <w:b/>
          <w:sz w:val="28"/>
          <w:szCs w:val="28"/>
        </w:rPr>
      </w:pPr>
      <w:r>
        <w:rPr>
          <w:rFonts w:hint="eastAsia" w:ascii="宋体" w:hAnsi="宋体"/>
          <w:b/>
          <w:sz w:val="28"/>
          <w:szCs w:val="28"/>
        </w:rPr>
        <w:t xml:space="preserve">政府采购项目 </w:t>
      </w:r>
    </w:p>
    <w:p>
      <w:pPr>
        <w:pStyle w:val="2"/>
        <w:spacing w:before="120" w:beforeLines="50"/>
        <w:ind w:firstLine="0"/>
        <w:rPr>
          <w:rFonts w:ascii="宋体" w:hAnsi="宋体"/>
          <w:b/>
          <w:sz w:val="28"/>
          <w:szCs w:val="28"/>
        </w:rPr>
      </w:pPr>
      <w:r>
        <w:rPr>
          <w:rFonts w:hint="eastAsia" w:ascii="宋体" w:hAnsi="宋体"/>
          <w:b/>
          <w:sz w:val="28"/>
          <w:szCs w:val="28"/>
        </w:rPr>
        <w:t>采购项目编号：TZZB-2022179C</w:t>
      </w:r>
    </w:p>
    <w:p>
      <w:pPr>
        <w:rPr>
          <w:rFonts w:ascii="宋体" w:hAnsi="宋体"/>
          <w:b/>
          <w:sz w:val="52"/>
          <w:szCs w:val="52"/>
        </w:rPr>
      </w:pPr>
    </w:p>
    <w:p>
      <w:pPr>
        <w:jc w:val="center"/>
        <w:rPr>
          <w:rFonts w:ascii="宋体" w:hAnsi="宋体"/>
          <w:b/>
          <w:bCs/>
          <w:sz w:val="52"/>
          <w:szCs w:val="52"/>
        </w:rPr>
      </w:pPr>
    </w:p>
    <w:p>
      <w:pPr>
        <w:jc w:val="center"/>
        <w:rPr>
          <w:rFonts w:ascii="宋体" w:hAnsi="宋体"/>
          <w:b/>
          <w:bCs/>
          <w:sz w:val="52"/>
          <w:szCs w:val="52"/>
        </w:rPr>
      </w:pPr>
    </w:p>
    <w:p>
      <w:pPr>
        <w:jc w:val="center"/>
        <w:rPr>
          <w:rFonts w:ascii="黑体" w:eastAsia="黑体"/>
          <w:b/>
          <w:bCs/>
          <w:sz w:val="52"/>
          <w:szCs w:val="52"/>
        </w:rPr>
      </w:pPr>
      <w:r>
        <w:rPr>
          <w:rFonts w:hint="eastAsia" w:ascii="宋体" w:hAnsi="宋体"/>
          <w:b/>
          <w:bCs/>
          <w:sz w:val="52"/>
          <w:szCs w:val="52"/>
        </w:rPr>
        <w:t>2022期刊购置</w:t>
      </w:r>
    </w:p>
    <w:p>
      <w:pPr>
        <w:pStyle w:val="18"/>
        <w:adjustRightInd w:val="0"/>
        <w:snapToGrid w:val="0"/>
        <w:spacing w:line="360" w:lineRule="auto"/>
        <w:rPr>
          <w:rFonts w:ascii="黑体" w:hAnsi="华文中宋" w:eastAsia="黑体"/>
          <w:sz w:val="76"/>
          <w:szCs w:val="84"/>
        </w:rPr>
      </w:pPr>
    </w:p>
    <w:p>
      <w:pPr>
        <w:pStyle w:val="18"/>
        <w:adjustRightInd w:val="0"/>
        <w:snapToGrid w:val="0"/>
        <w:spacing w:line="360" w:lineRule="auto"/>
        <w:jc w:val="center"/>
        <w:rPr>
          <w:rFonts w:hAnsi="宋体"/>
          <w:b/>
          <w:sz w:val="84"/>
          <w:szCs w:val="84"/>
        </w:rPr>
      </w:pPr>
      <w:r>
        <w:rPr>
          <w:rFonts w:hint="eastAsia" w:hAnsi="宋体"/>
          <w:b/>
          <w:sz w:val="84"/>
          <w:szCs w:val="84"/>
        </w:rPr>
        <w:t>投标文件</w:t>
      </w: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spacing w:before="120" w:beforeLines="50"/>
        <w:ind w:firstLine="1630" w:firstLineChars="580"/>
        <w:rPr>
          <w:rFonts w:ascii="宋体" w:hAnsi="宋体"/>
          <w:b/>
          <w:sz w:val="28"/>
          <w:szCs w:val="28"/>
        </w:rPr>
      </w:pPr>
    </w:p>
    <w:p>
      <w:pPr>
        <w:pStyle w:val="3"/>
        <w:rPr>
          <w:rFonts w:ascii="宋体" w:hAnsi="宋体"/>
          <w:b/>
          <w:sz w:val="28"/>
          <w:szCs w:val="28"/>
        </w:rPr>
      </w:pPr>
    </w:p>
    <w:p>
      <w:pPr>
        <w:rPr>
          <w:rFonts w:ascii="宋体" w:hAnsi="宋体"/>
          <w:b/>
          <w:sz w:val="28"/>
          <w:szCs w:val="28"/>
        </w:rPr>
      </w:pPr>
    </w:p>
    <w:p>
      <w:pPr>
        <w:pStyle w:val="2"/>
        <w:rPr>
          <w:rFonts w:ascii="宋体" w:hAnsi="宋体"/>
          <w:b/>
          <w:sz w:val="28"/>
          <w:szCs w:val="28"/>
        </w:rPr>
      </w:pPr>
    </w:p>
    <w:p>
      <w:pPr>
        <w:pStyle w:val="3"/>
      </w:pPr>
    </w:p>
    <w:p>
      <w:pPr>
        <w:pStyle w:val="2"/>
        <w:spacing w:before="120" w:beforeLines="50"/>
        <w:ind w:firstLine="1630" w:firstLineChars="580"/>
        <w:rPr>
          <w:rFonts w:ascii="宋体" w:hAnsi="宋体"/>
          <w:b/>
          <w:sz w:val="28"/>
          <w:szCs w:val="28"/>
        </w:rPr>
      </w:pPr>
    </w:p>
    <w:p>
      <w:pPr>
        <w:pStyle w:val="2"/>
        <w:spacing w:before="120" w:beforeLines="50"/>
        <w:ind w:firstLine="1630" w:firstLineChars="580"/>
        <w:rPr>
          <w:rFonts w:ascii="宋体" w:hAnsi="宋体"/>
          <w:b/>
          <w:bCs/>
          <w:sz w:val="28"/>
          <w:szCs w:val="28"/>
        </w:rPr>
      </w:pPr>
      <w:r>
        <w:rPr>
          <w:rFonts w:hint="eastAsia" w:ascii="宋体" w:hAnsi="宋体"/>
          <w:b/>
          <w:bCs/>
          <w:sz w:val="28"/>
          <w:szCs w:val="28"/>
        </w:rPr>
        <w:t>投  标 人：</w:t>
      </w:r>
      <w:r>
        <w:rPr>
          <w:rFonts w:hint="eastAsia" w:ascii="宋体" w:hAnsi="宋体"/>
          <w:b/>
          <w:bCs/>
          <w:sz w:val="28"/>
          <w:szCs w:val="28"/>
          <w:u w:val="single"/>
        </w:rPr>
        <w:t xml:space="preserve">                             </w:t>
      </w:r>
      <w:r>
        <w:rPr>
          <w:rFonts w:hint="eastAsia" w:ascii="宋体" w:hAnsi="宋体"/>
          <w:b/>
          <w:bCs/>
          <w:sz w:val="28"/>
          <w:szCs w:val="28"/>
        </w:rPr>
        <w:t>（盖章）</w:t>
      </w:r>
    </w:p>
    <w:p>
      <w:pPr>
        <w:pStyle w:val="2"/>
        <w:spacing w:before="120" w:beforeLines="50"/>
        <w:ind w:firstLine="1630" w:firstLineChars="580"/>
        <w:rPr>
          <w:rFonts w:ascii="宋体" w:hAnsi="宋体"/>
          <w:b/>
          <w:bCs/>
          <w:sz w:val="28"/>
          <w:szCs w:val="28"/>
        </w:rPr>
      </w:pPr>
      <w:r>
        <w:rPr>
          <w:rFonts w:hint="eastAsia" w:ascii="宋体" w:hAnsi="宋体"/>
          <w:b/>
          <w:sz w:val="28"/>
          <w:szCs w:val="28"/>
        </w:rPr>
        <w:t>法定代表人/授权代表：</w:t>
      </w:r>
      <w:r>
        <w:rPr>
          <w:rFonts w:hint="eastAsia" w:ascii="宋体" w:hAnsi="宋体"/>
          <w:b/>
          <w:sz w:val="28"/>
          <w:szCs w:val="28"/>
          <w:u w:val="single"/>
        </w:rPr>
        <w:t xml:space="preserve">             </w:t>
      </w:r>
      <w:r>
        <w:rPr>
          <w:rFonts w:hint="eastAsia" w:ascii="宋体" w:hAnsi="宋体"/>
          <w:b/>
          <w:bCs/>
          <w:sz w:val="28"/>
          <w:szCs w:val="28"/>
        </w:rPr>
        <w:t>（签字或盖章）</w:t>
      </w:r>
    </w:p>
    <w:p>
      <w:pPr>
        <w:pStyle w:val="2"/>
        <w:spacing w:before="120" w:beforeLines="50"/>
        <w:ind w:firstLine="1630" w:firstLineChars="580"/>
        <w:rPr>
          <w:rFonts w:ascii="宋体" w:hAnsi="宋体"/>
          <w:b/>
          <w:bCs/>
          <w:sz w:val="28"/>
          <w:szCs w:val="28"/>
        </w:rPr>
      </w:pPr>
      <w:r>
        <w:rPr>
          <w:rFonts w:hint="eastAsia" w:ascii="宋体" w:hAnsi="宋体"/>
          <w:b/>
          <w:bCs/>
          <w:sz w:val="28"/>
          <w:szCs w:val="28"/>
        </w:rPr>
        <w:t>日    期：</w:t>
      </w:r>
      <w:r>
        <w:rPr>
          <w:rFonts w:hint="eastAsia" w:ascii="宋体" w:hAnsi="宋体"/>
          <w:b/>
          <w:bCs/>
          <w:sz w:val="28"/>
          <w:szCs w:val="28"/>
          <w:u w:val="single"/>
        </w:rPr>
        <w:t xml:space="preserve">         </w:t>
      </w:r>
      <w:r>
        <w:rPr>
          <w:rFonts w:hint="eastAsia" w:ascii="宋体" w:hAnsi="宋体"/>
          <w:b/>
          <w:bCs/>
          <w:sz w:val="28"/>
          <w:szCs w:val="28"/>
        </w:rPr>
        <w:t>年</w:t>
      </w:r>
      <w:r>
        <w:rPr>
          <w:rFonts w:hint="eastAsia" w:ascii="宋体" w:hAnsi="宋体"/>
          <w:b/>
          <w:bCs/>
          <w:sz w:val="28"/>
          <w:szCs w:val="28"/>
          <w:u w:val="single"/>
        </w:rPr>
        <w:t xml:space="preserve">        </w:t>
      </w:r>
      <w:r>
        <w:rPr>
          <w:rFonts w:hint="eastAsia" w:ascii="宋体" w:hAnsi="宋体"/>
          <w:b/>
          <w:bCs/>
          <w:sz w:val="28"/>
          <w:szCs w:val="28"/>
        </w:rPr>
        <w:t>月</w:t>
      </w:r>
      <w:r>
        <w:rPr>
          <w:rFonts w:hint="eastAsia" w:ascii="宋体" w:hAnsi="宋体"/>
          <w:b/>
          <w:bCs/>
          <w:sz w:val="28"/>
          <w:szCs w:val="28"/>
          <w:u w:val="single"/>
        </w:rPr>
        <w:t xml:space="preserve">        </w:t>
      </w:r>
      <w:r>
        <w:rPr>
          <w:rFonts w:hint="eastAsia" w:ascii="宋体" w:hAnsi="宋体"/>
          <w:b/>
          <w:bCs/>
          <w:sz w:val="28"/>
          <w:szCs w:val="28"/>
        </w:rPr>
        <w:t>日</w:t>
      </w:r>
    </w:p>
    <w:p>
      <w:pPr>
        <w:pStyle w:val="3"/>
        <w:ind w:left="0" w:leftChars="0"/>
      </w:pPr>
    </w:p>
    <w:p>
      <w:pPr>
        <w:pStyle w:val="2"/>
        <w:spacing w:before="120" w:beforeLines="50" w:after="120" w:afterLines="50"/>
        <w:ind w:firstLine="0"/>
        <w:jc w:val="center"/>
        <w:rPr>
          <w:b/>
          <w:sz w:val="44"/>
          <w:szCs w:val="44"/>
        </w:rPr>
      </w:pPr>
      <w:r>
        <w:rPr>
          <w:b/>
          <w:sz w:val="44"/>
          <w:szCs w:val="44"/>
        </w:rPr>
        <w:br w:type="page"/>
      </w:r>
    </w:p>
    <w:p>
      <w:pPr>
        <w:pStyle w:val="2"/>
        <w:spacing w:before="120" w:beforeLines="50" w:after="120" w:afterLines="50"/>
        <w:ind w:firstLine="0"/>
        <w:jc w:val="center"/>
        <w:rPr>
          <w:b/>
          <w:sz w:val="44"/>
          <w:szCs w:val="44"/>
        </w:rPr>
      </w:pPr>
      <w:r>
        <w:rPr>
          <w:rFonts w:hint="eastAsia"/>
          <w:b/>
          <w:sz w:val="44"/>
          <w:szCs w:val="44"/>
        </w:rPr>
        <w:t>目  录</w:t>
      </w:r>
    </w:p>
    <w:p>
      <w:pPr>
        <w:spacing w:line="360" w:lineRule="auto"/>
        <w:rPr>
          <w:b/>
          <w:sz w:val="24"/>
        </w:rPr>
      </w:pPr>
    </w:p>
    <w:p>
      <w:pPr>
        <w:spacing w:line="360" w:lineRule="auto"/>
        <w:ind w:firstLine="960" w:firstLineChars="400"/>
        <w:rPr>
          <w:rFonts w:ascii="宋体" w:hAnsi="宋体"/>
          <w:b/>
          <w:bCs/>
          <w:sz w:val="24"/>
          <w:lang w:val="zh-CN"/>
        </w:rPr>
      </w:pPr>
      <w:r>
        <w:rPr>
          <w:rFonts w:hint="eastAsia" w:ascii="宋体" w:hAnsi="宋体"/>
          <w:sz w:val="24"/>
        </w:rPr>
        <w:t xml:space="preserve">    </w:t>
      </w:r>
    </w:p>
    <w:p>
      <w:pPr>
        <w:spacing w:line="360" w:lineRule="auto"/>
        <w:ind w:firstLine="964" w:firstLineChars="400"/>
        <w:jc w:val="left"/>
        <w:rPr>
          <w:rFonts w:ascii="宋体" w:hAnsi="宋体"/>
          <w:b/>
          <w:sz w:val="24"/>
        </w:rPr>
      </w:pPr>
      <w:r>
        <w:rPr>
          <w:rFonts w:hint="eastAsia" w:ascii="宋体" w:hAnsi="宋体"/>
          <w:b/>
          <w:sz w:val="24"/>
        </w:rPr>
        <w:t>一、 投标函 （格式）………………………………………………………页码</w:t>
      </w:r>
    </w:p>
    <w:p>
      <w:pPr>
        <w:spacing w:line="360" w:lineRule="auto"/>
        <w:ind w:firstLine="964" w:firstLineChars="400"/>
        <w:jc w:val="left"/>
        <w:rPr>
          <w:rFonts w:ascii="宋体" w:hAnsi="宋体"/>
          <w:b/>
          <w:sz w:val="24"/>
        </w:rPr>
      </w:pPr>
      <w:r>
        <w:rPr>
          <w:rFonts w:hint="eastAsia" w:ascii="宋体" w:hAnsi="宋体"/>
          <w:b/>
          <w:sz w:val="24"/>
        </w:rPr>
        <w:t>二、 开标一览表 ……………………………………………………………页码</w:t>
      </w:r>
    </w:p>
    <w:p>
      <w:pPr>
        <w:spacing w:line="360" w:lineRule="auto"/>
        <w:ind w:firstLine="964" w:firstLineChars="400"/>
        <w:jc w:val="left"/>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 xml:space="preserve"> </w:t>
      </w:r>
      <w:r>
        <w:rPr>
          <w:rFonts w:ascii="宋体" w:hAnsi="宋体"/>
          <w:b/>
          <w:sz w:val="24"/>
        </w:rPr>
        <w:t>技术规格偏离表 ………………………</w:t>
      </w:r>
      <w:r>
        <w:rPr>
          <w:rFonts w:hint="eastAsia" w:ascii="宋体" w:hAnsi="宋体"/>
          <w:b/>
          <w:sz w:val="24"/>
        </w:rPr>
        <w:t>………………</w:t>
      </w:r>
      <w:r>
        <w:rPr>
          <w:rFonts w:ascii="宋体" w:hAnsi="宋体"/>
          <w:b/>
          <w:sz w:val="24"/>
        </w:rPr>
        <w:t>…………</w:t>
      </w:r>
      <w:r>
        <w:rPr>
          <w:rFonts w:hint="eastAsia" w:ascii="宋体" w:hAnsi="宋体"/>
          <w:b/>
          <w:sz w:val="24"/>
        </w:rPr>
        <w:t>……页码</w:t>
      </w:r>
    </w:p>
    <w:p>
      <w:pPr>
        <w:spacing w:line="360" w:lineRule="auto"/>
        <w:ind w:firstLine="964" w:firstLineChars="400"/>
        <w:jc w:val="left"/>
        <w:rPr>
          <w:rFonts w:ascii="宋体" w:hAnsi="宋体"/>
          <w:b/>
          <w:sz w:val="24"/>
        </w:rPr>
      </w:pPr>
      <w:r>
        <w:rPr>
          <w:rFonts w:hint="eastAsia" w:ascii="宋体" w:hAnsi="宋体"/>
          <w:b/>
          <w:sz w:val="24"/>
        </w:rPr>
        <w:t>四、 商务要求偏离表 ………………………………………………………页码</w:t>
      </w:r>
    </w:p>
    <w:p>
      <w:pPr>
        <w:spacing w:line="360" w:lineRule="auto"/>
        <w:ind w:firstLine="964" w:firstLineChars="400"/>
        <w:jc w:val="left"/>
        <w:rPr>
          <w:rFonts w:ascii="宋体" w:hAnsi="宋体"/>
          <w:b/>
          <w:sz w:val="24"/>
        </w:rPr>
      </w:pPr>
      <w:r>
        <w:rPr>
          <w:rFonts w:hint="eastAsia" w:ascii="宋体" w:hAnsi="宋体"/>
          <w:b/>
          <w:sz w:val="24"/>
        </w:rPr>
        <w:t>五、 技术方案 ………………………………………………………………页码</w:t>
      </w:r>
    </w:p>
    <w:p>
      <w:pPr>
        <w:spacing w:line="360" w:lineRule="auto"/>
        <w:ind w:firstLine="964" w:firstLineChars="400"/>
        <w:jc w:val="left"/>
        <w:rPr>
          <w:rFonts w:ascii="宋体" w:hAnsi="宋体"/>
          <w:b/>
          <w:sz w:val="24"/>
        </w:rPr>
      </w:pPr>
      <w:r>
        <w:rPr>
          <w:rFonts w:hint="eastAsia" w:ascii="宋体" w:hAnsi="宋体"/>
          <w:b/>
          <w:sz w:val="24"/>
        </w:rPr>
        <w:t>六、 投标人资格证明文件 …………………………………………………页码</w:t>
      </w:r>
    </w:p>
    <w:p>
      <w:pPr>
        <w:spacing w:line="360" w:lineRule="auto"/>
        <w:ind w:firstLine="964" w:firstLineChars="400"/>
        <w:jc w:val="left"/>
        <w:rPr>
          <w:rFonts w:ascii="宋体" w:hAnsi="宋体"/>
          <w:b/>
          <w:sz w:val="24"/>
        </w:rPr>
      </w:pPr>
      <w:r>
        <w:rPr>
          <w:rFonts w:hint="eastAsia" w:ascii="宋体" w:hAnsi="宋体"/>
          <w:b/>
          <w:sz w:val="24"/>
        </w:rPr>
        <w:t>七、近年业绩的有关证明材料………………………………………………页码</w:t>
      </w:r>
    </w:p>
    <w:p>
      <w:pPr>
        <w:spacing w:line="360" w:lineRule="auto"/>
        <w:ind w:firstLine="964" w:firstLineChars="400"/>
        <w:jc w:val="left"/>
        <w:rPr>
          <w:rFonts w:ascii="宋体" w:hAnsi="宋体"/>
          <w:b/>
          <w:sz w:val="24"/>
        </w:rPr>
      </w:pPr>
      <w:r>
        <w:rPr>
          <w:rFonts w:hint="eastAsia" w:ascii="宋体" w:hAnsi="宋体"/>
          <w:b/>
          <w:sz w:val="24"/>
        </w:rPr>
        <w:t>八、拒绝政府采购领域商业贿赂承诺书……………………………………页码</w:t>
      </w:r>
    </w:p>
    <w:p>
      <w:pPr>
        <w:spacing w:line="360" w:lineRule="auto"/>
        <w:ind w:left="1539" w:leftChars="456" w:hanging="581" w:hangingChars="241"/>
        <w:jc w:val="left"/>
        <w:rPr>
          <w:rFonts w:ascii="宋体" w:hAnsi="宋体"/>
          <w:b/>
          <w:sz w:val="24"/>
        </w:rPr>
      </w:pPr>
      <w:r>
        <w:rPr>
          <w:rFonts w:hint="eastAsia" w:ascii="宋体" w:hAnsi="宋体"/>
          <w:b/>
          <w:sz w:val="24"/>
        </w:rPr>
        <w:t>九、落实政府采购政策需提供的相关资料及投标人</w:t>
      </w:r>
      <w:r>
        <w:rPr>
          <w:rFonts w:ascii="宋体" w:hAnsi="宋体"/>
          <w:b/>
          <w:sz w:val="24"/>
        </w:rPr>
        <w:t>认为有</w:t>
      </w:r>
    </w:p>
    <w:p>
      <w:pPr>
        <w:spacing w:line="360" w:lineRule="auto"/>
        <w:ind w:left="1535" w:leftChars="731" w:firstLine="236" w:firstLineChars="98"/>
        <w:jc w:val="left"/>
        <w:rPr>
          <w:rFonts w:ascii="宋体" w:hAnsi="宋体"/>
          <w:b/>
          <w:sz w:val="24"/>
        </w:rPr>
        <w:sectPr>
          <w:pgSz w:w="11906" w:h="16838"/>
          <w:pgMar w:top="1418" w:right="1418" w:bottom="1418" w:left="1418" w:header="851" w:footer="992" w:gutter="0"/>
          <w:cols w:space="720" w:num="1"/>
          <w:titlePg/>
          <w:docGrid w:linePitch="312" w:charSpace="0"/>
        </w:sectPr>
      </w:pPr>
      <w:r>
        <w:rPr>
          <w:rFonts w:ascii="宋体" w:hAnsi="宋体"/>
          <w:b/>
          <w:sz w:val="24"/>
        </w:rPr>
        <w:t>必要</w:t>
      </w:r>
      <w:r>
        <w:rPr>
          <w:rFonts w:hint="eastAsia" w:ascii="宋体" w:hAnsi="宋体"/>
          <w:b/>
          <w:sz w:val="24"/>
        </w:rPr>
        <w:t>提供的其它资料…………………………………………………页码</w:t>
      </w:r>
    </w:p>
    <w:bookmarkEnd w:id="194"/>
    <w:p>
      <w:pPr>
        <w:pStyle w:val="5"/>
        <w:spacing w:before="0" w:after="120" w:afterLines="50" w:line="360" w:lineRule="auto"/>
        <w:ind w:firstLine="3373" w:firstLineChars="1200"/>
        <w:rPr>
          <w:rFonts w:ascii="宋体" w:hAnsi="宋体" w:eastAsia="宋体"/>
          <w:bCs/>
        </w:rPr>
      </w:pPr>
      <w:bookmarkStart w:id="195" w:name="_Toc4538"/>
      <w:bookmarkStart w:id="196" w:name="_Toc26825"/>
      <w:bookmarkStart w:id="197" w:name="_Toc23011"/>
      <w:r>
        <w:rPr>
          <w:rFonts w:hint="eastAsia" w:ascii="宋体" w:hAnsi="宋体" w:eastAsia="宋体"/>
          <w:bCs/>
        </w:rPr>
        <w:t>一、投标函（格式）</w:t>
      </w:r>
      <w:bookmarkEnd w:id="195"/>
      <w:bookmarkEnd w:id="196"/>
      <w:bookmarkEnd w:id="197"/>
    </w:p>
    <w:p>
      <w:pPr>
        <w:pStyle w:val="81"/>
        <w:spacing w:line="360" w:lineRule="exact"/>
        <w:rPr>
          <w:rFonts w:ascii="宋体" w:hAnsi="宋体"/>
          <w:b/>
          <w:bCs/>
          <w:sz w:val="24"/>
          <w:szCs w:val="24"/>
        </w:rPr>
      </w:pPr>
      <w:r>
        <w:rPr>
          <w:rFonts w:hint="eastAsia" w:ascii="宋体" w:hAnsi="宋体"/>
          <w:b/>
          <w:bCs/>
          <w:sz w:val="24"/>
          <w:szCs w:val="24"/>
        </w:rPr>
        <w:t>同正项目管理有限公司：</w:t>
      </w:r>
    </w:p>
    <w:p>
      <w:pPr>
        <w:pStyle w:val="81"/>
        <w:spacing w:line="360" w:lineRule="exact"/>
        <w:ind w:firstLine="480" w:firstLineChars="200"/>
        <w:rPr>
          <w:rFonts w:ascii="宋体" w:hAnsi="宋体"/>
          <w:sz w:val="24"/>
          <w:szCs w:val="24"/>
        </w:rPr>
      </w:pPr>
      <w:r>
        <w:rPr>
          <w:rFonts w:hint="eastAsia" w:ascii="宋体" w:hAnsi="宋体"/>
          <w:sz w:val="24"/>
          <w:szCs w:val="24"/>
        </w:rPr>
        <w:t>我单位收到贵公司关于2022期刊购置（项目编号：TZZB-2022179C）的招标文件，经详细研究，我们决定参加本次项目招标活动并投标。</w:t>
      </w:r>
      <w:r>
        <w:rPr>
          <w:rFonts w:hint="eastAsia" w:ascii="宋体" w:hAnsi="宋体"/>
          <w:bCs/>
          <w:sz w:val="24"/>
          <w:szCs w:val="24"/>
        </w:rPr>
        <w:t>我方正式授权</w:t>
      </w:r>
      <w:r>
        <w:rPr>
          <w:rFonts w:hint="eastAsia" w:ascii="宋体" w:hAnsi="宋体"/>
          <w:bCs/>
          <w:sz w:val="24"/>
          <w:szCs w:val="24"/>
          <w:u w:val="single"/>
        </w:rPr>
        <w:t>（姓名、职务）</w:t>
      </w:r>
      <w:r>
        <w:rPr>
          <w:rFonts w:hint="eastAsia" w:ascii="宋体" w:hAnsi="宋体"/>
          <w:bCs/>
          <w:sz w:val="24"/>
          <w:szCs w:val="24"/>
        </w:rPr>
        <w:t xml:space="preserve">代表我方 </w:t>
      </w:r>
      <w:r>
        <w:rPr>
          <w:rFonts w:hint="eastAsia" w:ascii="宋体" w:hAnsi="宋体"/>
          <w:bCs/>
          <w:sz w:val="24"/>
          <w:szCs w:val="24"/>
          <w:u w:val="single"/>
        </w:rPr>
        <w:t xml:space="preserve">             （投标人名称）</w:t>
      </w:r>
      <w:r>
        <w:rPr>
          <w:rFonts w:hint="eastAsia" w:ascii="宋体" w:hAnsi="宋体"/>
          <w:bCs/>
          <w:sz w:val="24"/>
          <w:szCs w:val="24"/>
        </w:rPr>
        <w:t>全权处理本项目投标的有关事宜。</w:t>
      </w:r>
      <w:r>
        <w:rPr>
          <w:rFonts w:hint="eastAsia" w:ascii="宋体" w:hAnsi="宋体"/>
          <w:sz w:val="24"/>
          <w:szCs w:val="24"/>
        </w:rPr>
        <w:t>为此，我方郑重声明以下诸点，并负法律责任。</w:t>
      </w:r>
    </w:p>
    <w:p>
      <w:pPr>
        <w:pStyle w:val="81"/>
        <w:spacing w:line="360" w:lineRule="exact"/>
        <w:ind w:firstLine="480" w:firstLineChars="200"/>
        <w:rPr>
          <w:rFonts w:ascii="宋体" w:hAnsi="宋体"/>
          <w:sz w:val="24"/>
          <w:szCs w:val="24"/>
        </w:rPr>
      </w:pPr>
      <w:r>
        <w:rPr>
          <w:rFonts w:hint="eastAsia" w:ascii="宋体" w:hAnsi="宋体"/>
          <w:sz w:val="24"/>
          <w:szCs w:val="24"/>
        </w:rPr>
        <w:t>一、愿意按照招标文件中的一切要求，</w:t>
      </w:r>
      <w:r>
        <w:rPr>
          <w:rFonts w:hint="eastAsia" w:ascii="宋体" w:hAnsi="宋体"/>
          <w:spacing w:val="-20"/>
          <w:sz w:val="24"/>
          <w:szCs w:val="24"/>
        </w:rPr>
        <w:t>向采购人</w:t>
      </w:r>
      <w:r>
        <w:rPr>
          <w:rFonts w:ascii="宋体" w:hAnsi="宋体"/>
          <w:spacing w:val="-20"/>
          <w:sz w:val="24"/>
          <w:szCs w:val="24"/>
        </w:rPr>
        <w:t>提供所需所有货</w:t>
      </w:r>
      <w:r>
        <w:rPr>
          <w:rFonts w:ascii="宋体" w:hAnsi="宋体"/>
          <w:sz w:val="24"/>
          <w:szCs w:val="24"/>
        </w:rPr>
        <w:t>物（产品）及相应服务。</w:t>
      </w:r>
    </w:p>
    <w:p>
      <w:pPr>
        <w:pStyle w:val="81"/>
        <w:spacing w:line="360" w:lineRule="exact"/>
        <w:ind w:firstLine="480" w:firstLineChars="200"/>
        <w:rPr>
          <w:rFonts w:ascii="宋体" w:hAnsi="宋体"/>
          <w:sz w:val="24"/>
          <w:szCs w:val="24"/>
        </w:rPr>
      </w:pPr>
      <w:r>
        <w:rPr>
          <w:rFonts w:hint="eastAsia" w:ascii="宋体" w:hAnsi="宋体"/>
          <w:sz w:val="24"/>
          <w:szCs w:val="24"/>
        </w:rPr>
        <w:t>二、按招标文件的规定，我公司的投标</w:t>
      </w:r>
      <w:r>
        <w:rPr>
          <w:rFonts w:hint="eastAsia" w:ascii="宋体" w:hAnsi="宋体" w:cs="宋体"/>
          <w:sz w:val="24"/>
          <w:szCs w:val="24"/>
        </w:rPr>
        <w:t>折扣率</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i/>
          <w:sz w:val="24"/>
          <w:szCs w:val="24"/>
          <w:u w:val="single"/>
        </w:rPr>
        <w:t xml:space="preserve">     </w:t>
      </w:r>
      <w:r>
        <w:rPr>
          <w:rFonts w:hint="eastAsia" w:ascii="宋体" w:hAnsi="宋体"/>
          <w:sz w:val="24"/>
          <w:szCs w:val="24"/>
        </w:rPr>
        <w:t>%）。</w:t>
      </w:r>
    </w:p>
    <w:p>
      <w:pPr>
        <w:pStyle w:val="81"/>
        <w:spacing w:line="360" w:lineRule="exact"/>
        <w:ind w:firstLine="480" w:firstLineChars="200"/>
        <w:rPr>
          <w:rFonts w:ascii="宋体" w:hAnsi="宋体"/>
          <w:sz w:val="24"/>
          <w:szCs w:val="24"/>
        </w:rPr>
      </w:pPr>
      <w:r>
        <w:rPr>
          <w:rFonts w:hint="eastAsia" w:ascii="宋体" w:hAnsi="宋体"/>
          <w:sz w:val="24"/>
          <w:szCs w:val="24"/>
        </w:rPr>
        <w:t>三、我方提交的投标文件正本一份、副本二份及电子版一份，</w:t>
      </w:r>
      <w:r>
        <w:rPr>
          <w:rFonts w:ascii="宋体" w:hAnsi="宋体"/>
          <w:sz w:val="24"/>
          <w:szCs w:val="24"/>
        </w:rPr>
        <w:t>并保证</w:t>
      </w:r>
      <w:r>
        <w:rPr>
          <w:rFonts w:hint="eastAsia" w:ascii="宋体" w:hAnsi="宋体"/>
          <w:sz w:val="24"/>
          <w:szCs w:val="24"/>
        </w:rPr>
        <w:t>投标</w:t>
      </w:r>
      <w:r>
        <w:rPr>
          <w:rFonts w:ascii="宋体" w:hAnsi="宋体"/>
          <w:sz w:val="24"/>
          <w:szCs w:val="24"/>
        </w:rPr>
        <w:t>文件提供的数据和材料真实、准确。否则，愿承担</w:t>
      </w:r>
      <w:r>
        <w:rPr>
          <w:rFonts w:hint="eastAsia" w:ascii="宋体" w:hAnsi="宋体"/>
          <w:sz w:val="24"/>
          <w:szCs w:val="24"/>
        </w:rPr>
        <w:t>相关</w:t>
      </w:r>
      <w:r>
        <w:rPr>
          <w:rFonts w:ascii="宋体" w:hAnsi="宋体"/>
          <w:sz w:val="24"/>
          <w:szCs w:val="24"/>
        </w:rPr>
        <w:t>的法律责任。</w:t>
      </w:r>
    </w:p>
    <w:p>
      <w:pPr>
        <w:pStyle w:val="81"/>
        <w:spacing w:line="360" w:lineRule="exact"/>
        <w:ind w:firstLine="480" w:firstLineChars="200"/>
        <w:rPr>
          <w:rFonts w:ascii="宋体" w:hAnsi="宋体"/>
          <w:sz w:val="24"/>
          <w:szCs w:val="24"/>
        </w:rPr>
      </w:pPr>
      <w:r>
        <w:rPr>
          <w:rFonts w:hint="eastAsia" w:ascii="宋体" w:hAnsi="宋体"/>
          <w:sz w:val="24"/>
          <w:szCs w:val="24"/>
        </w:rPr>
        <w:t>四、我方已详细阅读了招标文件，</w:t>
      </w:r>
      <w:r>
        <w:rPr>
          <w:rFonts w:hint="eastAsia" w:ascii="宋体" w:hAnsi="宋体"/>
          <w:bCs/>
          <w:sz w:val="24"/>
          <w:szCs w:val="24"/>
        </w:rPr>
        <w:t>并同意和放弃对招标文件不明或误解而询问、质疑和投诉的权利。</w:t>
      </w:r>
    </w:p>
    <w:p>
      <w:pPr>
        <w:pStyle w:val="81"/>
        <w:spacing w:line="360" w:lineRule="exact"/>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、我方愿意向贵方提供任何与本</w:t>
      </w:r>
      <w:r>
        <w:rPr>
          <w:rFonts w:hint="eastAsia" w:ascii="宋体" w:hAnsi="宋体"/>
          <w:sz w:val="24"/>
          <w:szCs w:val="24"/>
        </w:rPr>
        <w:t>次招标</w:t>
      </w:r>
      <w:r>
        <w:rPr>
          <w:rFonts w:ascii="宋体" w:hAnsi="宋体"/>
          <w:sz w:val="24"/>
          <w:szCs w:val="24"/>
        </w:rPr>
        <w:t>有关的数据、情况、样品</w:t>
      </w:r>
      <w:r>
        <w:rPr>
          <w:rFonts w:hint="eastAsia" w:ascii="宋体" w:hAnsi="宋体"/>
          <w:sz w:val="24"/>
          <w:szCs w:val="24"/>
        </w:rPr>
        <w:t>（如涉及）</w:t>
      </w:r>
      <w:r>
        <w:rPr>
          <w:rFonts w:ascii="宋体" w:hAnsi="宋体"/>
          <w:sz w:val="24"/>
          <w:szCs w:val="24"/>
        </w:rPr>
        <w:t>和技术资料</w:t>
      </w:r>
      <w:r>
        <w:rPr>
          <w:rFonts w:hint="eastAsia" w:ascii="宋体" w:hAnsi="宋体"/>
          <w:sz w:val="24"/>
          <w:szCs w:val="24"/>
        </w:rPr>
        <w:t>，</w:t>
      </w:r>
      <w:r>
        <w:rPr>
          <w:rFonts w:ascii="宋体" w:hAnsi="宋体"/>
          <w:sz w:val="24"/>
          <w:szCs w:val="24"/>
        </w:rPr>
        <w:t>若贵方需要，我方愿意提供我方</w:t>
      </w:r>
      <w:r>
        <w:rPr>
          <w:rFonts w:hint="eastAsia" w:ascii="宋体" w:hAnsi="宋体"/>
          <w:sz w:val="24"/>
          <w:szCs w:val="24"/>
        </w:rPr>
        <w:t>做出</w:t>
      </w:r>
      <w:r>
        <w:rPr>
          <w:rFonts w:ascii="宋体" w:hAnsi="宋体"/>
          <w:sz w:val="24"/>
          <w:szCs w:val="24"/>
        </w:rPr>
        <w:t>的一切承诺的证明材料。</w:t>
      </w:r>
    </w:p>
    <w:p>
      <w:pPr>
        <w:pStyle w:val="81"/>
        <w:spacing w:line="360" w:lineRule="exact"/>
        <w:ind w:firstLine="480" w:firstLineChars="200"/>
        <w:rPr>
          <w:rFonts w:ascii="宋体" w:hAnsi="宋体"/>
          <w:sz w:val="24"/>
          <w:szCs w:val="24"/>
        </w:rPr>
      </w:pPr>
      <w:r>
        <w:rPr>
          <w:rFonts w:hint="eastAsia" w:ascii="宋体" w:hAnsi="宋体"/>
          <w:sz w:val="24"/>
          <w:szCs w:val="24"/>
        </w:rPr>
        <w:t>六、我方承诺投标有效期</w:t>
      </w:r>
      <w:r>
        <w:rPr>
          <w:rFonts w:ascii="宋体" w:hAnsi="宋体"/>
          <w:sz w:val="24"/>
          <w:szCs w:val="24"/>
        </w:rPr>
        <w:t>为自开标之日起</w:t>
      </w:r>
      <w:r>
        <w:rPr>
          <w:rFonts w:hint="eastAsia" w:ascii="宋体" w:hAnsi="宋体"/>
          <w:sz w:val="24"/>
          <w:szCs w:val="24"/>
          <w:u w:val="single"/>
        </w:rPr>
        <w:t xml:space="preserve"> 90 </w:t>
      </w:r>
      <w:r>
        <w:rPr>
          <w:rFonts w:ascii="宋体" w:hAnsi="宋体"/>
          <w:sz w:val="24"/>
          <w:szCs w:val="24"/>
        </w:rPr>
        <w:t>个日历日</w:t>
      </w:r>
      <w:r>
        <w:rPr>
          <w:rFonts w:hint="eastAsia" w:ascii="宋体" w:hAnsi="宋体"/>
          <w:sz w:val="24"/>
          <w:szCs w:val="24"/>
        </w:rPr>
        <w:t>。开标后在规定的投标有效期内撤回投标，我们愿接受政府采购的有关处罚决定。</w:t>
      </w:r>
    </w:p>
    <w:p>
      <w:pPr>
        <w:pStyle w:val="81"/>
        <w:spacing w:line="360" w:lineRule="exact"/>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我方承诺遵守《中华人民共和国</w:t>
      </w:r>
      <w:r>
        <w:rPr>
          <w:rFonts w:hint="eastAsia" w:ascii="宋体" w:hAnsi="宋体"/>
          <w:sz w:val="24"/>
          <w:szCs w:val="24"/>
        </w:rPr>
        <w:t>政府采购</w:t>
      </w:r>
      <w:r>
        <w:rPr>
          <w:rFonts w:ascii="宋体" w:hAnsi="宋体"/>
          <w:sz w:val="24"/>
          <w:szCs w:val="24"/>
        </w:rPr>
        <w:t>法》及其实施条例的有关规定，保证在获得</w:t>
      </w:r>
      <w:r>
        <w:rPr>
          <w:rFonts w:hint="eastAsia" w:ascii="宋体" w:hAnsi="宋体"/>
          <w:sz w:val="24"/>
          <w:szCs w:val="24"/>
        </w:rPr>
        <w:t>中标</w:t>
      </w:r>
      <w:r>
        <w:rPr>
          <w:rFonts w:ascii="宋体" w:hAnsi="宋体"/>
          <w:sz w:val="24"/>
          <w:szCs w:val="24"/>
        </w:rPr>
        <w:t>资格后：</w:t>
      </w:r>
    </w:p>
    <w:p>
      <w:pPr>
        <w:pStyle w:val="81"/>
        <w:spacing w:line="360" w:lineRule="exact"/>
        <w:ind w:firstLine="480" w:firstLineChars="200"/>
        <w:rPr>
          <w:rFonts w:ascii="宋体" w:hAnsi="宋体"/>
          <w:sz w:val="24"/>
          <w:szCs w:val="24"/>
        </w:rPr>
      </w:pPr>
      <w:r>
        <w:rPr>
          <w:rFonts w:ascii="宋体" w:hAnsi="宋体"/>
          <w:sz w:val="24"/>
          <w:szCs w:val="24"/>
        </w:rPr>
        <w:t>（1）按照</w:t>
      </w:r>
      <w:r>
        <w:rPr>
          <w:rFonts w:hint="eastAsia" w:ascii="宋体" w:hAnsi="宋体"/>
          <w:sz w:val="24"/>
          <w:szCs w:val="24"/>
        </w:rPr>
        <w:t>招标</w:t>
      </w:r>
      <w:r>
        <w:rPr>
          <w:rFonts w:ascii="宋体" w:hAnsi="宋体"/>
          <w:sz w:val="24"/>
          <w:szCs w:val="24"/>
        </w:rPr>
        <w:t xml:space="preserve">文件确定的事项签订合同，履行双方所签订的合同，并承担合同规定的责任和义务； </w:t>
      </w:r>
    </w:p>
    <w:p>
      <w:pPr>
        <w:pStyle w:val="81"/>
        <w:spacing w:line="360" w:lineRule="exact"/>
        <w:ind w:firstLine="480" w:firstLineChars="200"/>
        <w:rPr>
          <w:rFonts w:ascii="宋体" w:hAnsi="宋体"/>
          <w:sz w:val="24"/>
          <w:szCs w:val="24"/>
        </w:rPr>
      </w:pPr>
      <w:r>
        <w:rPr>
          <w:rFonts w:ascii="宋体" w:hAnsi="宋体"/>
          <w:sz w:val="24"/>
          <w:szCs w:val="24"/>
        </w:rPr>
        <w:t>（2）我方保证按规定和标准向贵方缴纳</w:t>
      </w:r>
      <w:r>
        <w:rPr>
          <w:rFonts w:hint="eastAsia" w:ascii="宋体" w:hAnsi="宋体"/>
          <w:sz w:val="24"/>
          <w:szCs w:val="24"/>
        </w:rPr>
        <w:t>中标</w:t>
      </w:r>
      <w:r>
        <w:rPr>
          <w:rFonts w:ascii="宋体" w:hAnsi="宋体"/>
          <w:sz w:val="24"/>
          <w:szCs w:val="24"/>
        </w:rPr>
        <w:t>服务费；</w:t>
      </w:r>
    </w:p>
    <w:p>
      <w:pPr>
        <w:pStyle w:val="81"/>
        <w:spacing w:line="36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投标文件有效期延长至合同履行完毕。</w:t>
      </w:r>
    </w:p>
    <w:p>
      <w:pPr>
        <w:pStyle w:val="81"/>
        <w:spacing w:line="360" w:lineRule="exact"/>
        <w:ind w:firstLine="480" w:firstLineChars="200"/>
        <w:rPr>
          <w:rFonts w:ascii="宋体" w:hAnsi="宋体"/>
          <w:sz w:val="24"/>
          <w:szCs w:val="24"/>
        </w:rPr>
      </w:pPr>
      <w:r>
        <w:rPr>
          <w:rFonts w:hint="eastAsia" w:ascii="宋体" w:hAnsi="宋体"/>
          <w:sz w:val="24"/>
          <w:szCs w:val="24"/>
        </w:rPr>
        <w:t>八</w:t>
      </w:r>
      <w:r>
        <w:rPr>
          <w:rFonts w:ascii="宋体" w:hAnsi="宋体"/>
          <w:sz w:val="24"/>
          <w:szCs w:val="24"/>
        </w:rPr>
        <w:t>、我方完全理解最低报价不是</w:t>
      </w:r>
      <w:r>
        <w:rPr>
          <w:rFonts w:hint="eastAsia" w:ascii="宋体" w:hAnsi="宋体"/>
          <w:sz w:val="24"/>
          <w:szCs w:val="24"/>
        </w:rPr>
        <w:t>中标</w:t>
      </w:r>
      <w:r>
        <w:rPr>
          <w:rFonts w:ascii="宋体" w:hAnsi="宋体"/>
          <w:sz w:val="24"/>
          <w:szCs w:val="24"/>
        </w:rPr>
        <w:t>的唯一条件，并尊重</w:t>
      </w:r>
      <w:r>
        <w:rPr>
          <w:rFonts w:hint="eastAsia" w:ascii="宋体" w:hAnsi="宋体"/>
          <w:sz w:val="24"/>
          <w:szCs w:val="24"/>
        </w:rPr>
        <w:t>评标委员会</w:t>
      </w:r>
      <w:r>
        <w:rPr>
          <w:rFonts w:ascii="宋体" w:hAnsi="宋体"/>
          <w:sz w:val="24"/>
          <w:szCs w:val="24"/>
        </w:rPr>
        <w:t>的</w:t>
      </w:r>
      <w:r>
        <w:rPr>
          <w:rFonts w:hint="eastAsia" w:ascii="宋体" w:hAnsi="宋体"/>
          <w:sz w:val="24"/>
          <w:szCs w:val="24"/>
        </w:rPr>
        <w:t>评标结论和定标结果。</w:t>
      </w:r>
    </w:p>
    <w:p>
      <w:pPr>
        <w:pStyle w:val="81"/>
        <w:spacing w:line="360" w:lineRule="exact"/>
        <w:ind w:firstLine="480" w:firstLineChars="200"/>
        <w:rPr>
          <w:rFonts w:ascii="宋体" w:hAnsi="宋体"/>
          <w:sz w:val="24"/>
          <w:szCs w:val="24"/>
        </w:rPr>
      </w:pPr>
      <w:r>
        <w:rPr>
          <w:rFonts w:hint="eastAsia" w:ascii="宋体" w:hAnsi="宋体"/>
          <w:sz w:val="24"/>
          <w:szCs w:val="24"/>
        </w:rPr>
        <w:t>九、一旦我方中标,我方同意与使用单位签订保密协议。</w:t>
      </w:r>
    </w:p>
    <w:p>
      <w:pPr>
        <w:pStyle w:val="81"/>
        <w:spacing w:line="360" w:lineRule="exact"/>
        <w:ind w:firstLine="480" w:firstLineChars="200"/>
        <w:rPr>
          <w:rFonts w:ascii="宋体" w:hAnsi="宋体"/>
          <w:sz w:val="24"/>
          <w:szCs w:val="24"/>
        </w:rPr>
      </w:pPr>
      <w:r>
        <w:rPr>
          <w:rFonts w:hint="eastAsia" w:ascii="宋体" w:hAnsi="宋体"/>
          <w:sz w:val="24"/>
          <w:szCs w:val="24"/>
        </w:rPr>
        <w:t>十、有关于本投标文件的函电，请按下列地址联系：</w:t>
      </w:r>
    </w:p>
    <w:p>
      <w:pPr>
        <w:pStyle w:val="81"/>
        <w:spacing w:line="360" w:lineRule="exact"/>
        <w:ind w:firstLine="480" w:firstLineChars="200"/>
        <w:rPr>
          <w:rFonts w:ascii="宋体" w:hAnsi="宋体"/>
          <w:b/>
          <w:sz w:val="24"/>
          <w:szCs w:val="24"/>
          <w:u w:val="single"/>
        </w:rPr>
      </w:pPr>
      <w:r>
        <w:rPr>
          <w:rFonts w:hint="eastAsia" w:ascii="宋体" w:hAnsi="宋体"/>
          <w:sz w:val="24"/>
          <w:szCs w:val="24"/>
        </w:rPr>
        <w:t>投标人全称（盖章）：</w:t>
      </w:r>
      <w:r>
        <w:rPr>
          <w:rFonts w:hint="eastAsia" w:ascii="宋体" w:hAnsi="宋体"/>
          <w:b/>
          <w:sz w:val="24"/>
          <w:szCs w:val="24"/>
          <w:u w:val="single"/>
        </w:rPr>
        <w:t xml:space="preserve">                                 </w:t>
      </w:r>
    </w:p>
    <w:p>
      <w:pPr>
        <w:pStyle w:val="81"/>
        <w:spacing w:line="360" w:lineRule="exact"/>
        <w:ind w:firstLine="480" w:firstLineChars="200"/>
        <w:rPr>
          <w:rFonts w:ascii="宋体" w:hAnsi="宋体"/>
          <w:sz w:val="24"/>
          <w:szCs w:val="24"/>
        </w:rPr>
      </w:pPr>
      <w:r>
        <w:rPr>
          <w:rFonts w:hint="eastAsia" w:ascii="宋体" w:hAnsi="宋体"/>
          <w:sz w:val="24"/>
          <w:szCs w:val="24"/>
        </w:rPr>
        <w:t>法定代表人/授权代表（签字或盖章）：</w:t>
      </w:r>
      <w:r>
        <w:rPr>
          <w:rFonts w:hint="eastAsia" w:ascii="宋体" w:hAnsi="宋体"/>
          <w:sz w:val="24"/>
          <w:szCs w:val="24"/>
          <w:u w:val="single"/>
        </w:rPr>
        <w:t xml:space="preserve">                       </w:t>
      </w:r>
      <w:r>
        <w:rPr>
          <w:rFonts w:hint="eastAsia" w:ascii="宋体" w:hAnsi="宋体"/>
          <w:sz w:val="24"/>
          <w:szCs w:val="24"/>
        </w:rPr>
        <w:t xml:space="preserve">                      </w:t>
      </w:r>
    </w:p>
    <w:p>
      <w:pPr>
        <w:pStyle w:val="81"/>
        <w:spacing w:line="360" w:lineRule="exact"/>
        <w:ind w:firstLine="480" w:firstLineChars="200"/>
        <w:rPr>
          <w:rFonts w:ascii="宋体" w:hAnsi="宋体"/>
          <w:sz w:val="24"/>
          <w:szCs w:val="24"/>
        </w:rPr>
      </w:pPr>
      <w:r>
        <w:rPr>
          <w:rFonts w:hint="eastAsia" w:ascii="宋体" w:hAnsi="宋体"/>
          <w:sz w:val="24"/>
          <w:szCs w:val="24"/>
        </w:rPr>
        <w:t>地    址：</w:t>
      </w:r>
      <w:r>
        <w:rPr>
          <w:rFonts w:hint="eastAsia" w:ascii="宋体" w:hAnsi="宋体"/>
          <w:b/>
          <w:sz w:val="24"/>
          <w:szCs w:val="24"/>
          <w:u w:val="single"/>
        </w:rPr>
        <w:t xml:space="preserve">                                          </w:t>
      </w:r>
    </w:p>
    <w:p>
      <w:pPr>
        <w:pStyle w:val="81"/>
        <w:spacing w:line="360" w:lineRule="exact"/>
        <w:ind w:firstLine="480" w:firstLineChars="200"/>
        <w:rPr>
          <w:rFonts w:ascii="宋体" w:hAnsi="宋体"/>
          <w:sz w:val="24"/>
          <w:szCs w:val="24"/>
        </w:rPr>
      </w:pPr>
      <w:r>
        <w:rPr>
          <w:rFonts w:hint="eastAsia" w:ascii="宋体" w:hAnsi="宋体"/>
          <w:sz w:val="24"/>
          <w:szCs w:val="24"/>
        </w:rPr>
        <w:t>开户银行：</w:t>
      </w:r>
      <w:r>
        <w:rPr>
          <w:rFonts w:hint="eastAsia" w:ascii="宋体" w:hAnsi="宋体"/>
          <w:b/>
          <w:sz w:val="24"/>
          <w:szCs w:val="24"/>
          <w:u w:val="single"/>
        </w:rPr>
        <w:t xml:space="preserve">                                          </w:t>
      </w:r>
    </w:p>
    <w:p>
      <w:pPr>
        <w:pStyle w:val="81"/>
        <w:spacing w:line="360" w:lineRule="exact"/>
        <w:ind w:firstLine="480" w:firstLineChars="200"/>
        <w:rPr>
          <w:rFonts w:ascii="宋体" w:hAnsi="宋体"/>
          <w:sz w:val="24"/>
          <w:szCs w:val="24"/>
        </w:rPr>
      </w:pPr>
      <w:r>
        <w:rPr>
          <w:rFonts w:hint="eastAsia" w:ascii="宋体" w:hAnsi="宋体"/>
          <w:sz w:val="24"/>
          <w:szCs w:val="24"/>
        </w:rPr>
        <w:t>账    号：</w:t>
      </w:r>
      <w:r>
        <w:rPr>
          <w:rFonts w:hint="eastAsia" w:ascii="宋体" w:hAnsi="宋体"/>
          <w:b/>
          <w:sz w:val="24"/>
          <w:szCs w:val="24"/>
          <w:u w:val="single"/>
        </w:rPr>
        <w:t xml:space="preserve">                                          </w:t>
      </w:r>
    </w:p>
    <w:p>
      <w:pPr>
        <w:pStyle w:val="81"/>
        <w:spacing w:line="360" w:lineRule="exact"/>
        <w:ind w:firstLine="480" w:firstLineChars="200"/>
        <w:rPr>
          <w:rFonts w:ascii="宋体" w:hAnsi="宋体"/>
          <w:sz w:val="24"/>
          <w:szCs w:val="24"/>
        </w:rPr>
      </w:pPr>
      <w:r>
        <w:rPr>
          <w:rFonts w:hint="eastAsia" w:ascii="宋体" w:hAnsi="宋体"/>
          <w:sz w:val="24"/>
          <w:szCs w:val="24"/>
        </w:rPr>
        <w:t>电    话：</w:t>
      </w:r>
      <w:r>
        <w:rPr>
          <w:rFonts w:hint="eastAsia" w:ascii="宋体" w:hAnsi="宋体"/>
          <w:b/>
          <w:sz w:val="24"/>
          <w:szCs w:val="24"/>
          <w:u w:val="single"/>
        </w:rPr>
        <w:t xml:space="preserve">                                          </w:t>
      </w:r>
    </w:p>
    <w:p>
      <w:pPr>
        <w:pStyle w:val="81"/>
        <w:spacing w:line="360" w:lineRule="exact"/>
        <w:ind w:firstLine="480" w:firstLineChars="200"/>
        <w:rPr>
          <w:rFonts w:ascii="宋体" w:hAnsi="宋体"/>
          <w:sz w:val="24"/>
          <w:szCs w:val="24"/>
        </w:rPr>
      </w:pPr>
      <w:r>
        <w:rPr>
          <w:rFonts w:hint="eastAsia" w:ascii="宋体" w:hAnsi="宋体"/>
          <w:sz w:val="24"/>
          <w:szCs w:val="24"/>
        </w:rPr>
        <w:t>传    真：</w:t>
      </w:r>
      <w:r>
        <w:rPr>
          <w:rFonts w:hint="eastAsia" w:ascii="宋体" w:hAnsi="宋体"/>
          <w:b/>
          <w:sz w:val="24"/>
          <w:szCs w:val="24"/>
          <w:u w:val="single"/>
        </w:rPr>
        <w:t xml:space="preserve">                                          </w:t>
      </w:r>
    </w:p>
    <w:p>
      <w:pPr>
        <w:pStyle w:val="81"/>
        <w:spacing w:line="360" w:lineRule="exact"/>
        <w:ind w:firstLine="480" w:firstLineChars="200"/>
        <w:rPr>
          <w:rFonts w:ascii="宋体" w:hAnsi="宋体"/>
          <w:sz w:val="24"/>
          <w:szCs w:val="24"/>
        </w:rPr>
      </w:pPr>
      <w:r>
        <w:rPr>
          <w:rFonts w:hint="eastAsia" w:ascii="宋体" w:hAnsi="宋体"/>
          <w:sz w:val="24"/>
          <w:szCs w:val="24"/>
        </w:rPr>
        <w:t>邮    编：</w:t>
      </w:r>
      <w:r>
        <w:rPr>
          <w:rFonts w:hint="eastAsia" w:ascii="宋体" w:hAnsi="宋体"/>
          <w:b/>
          <w:sz w:val="24"/>
          <w:szCs w:val="24"/>
          <w:u w:val="single"/>
        </w:rPr>
        <w:t xml:space="preserve">                                          </w:t>
      </w:r>
      <w:r>
        <w:rPr>
          <w:rFonts w:hint="eastAsia" w:ascii="宋体" w:hAnsi="宋体"/>
          <w:sz w:val="24"/>
          <w:szCs w:val="24"/>
        </w:rPr>
        <w:t xml:space="preserve"> </w:t>
      </w:r>
    </w:p>
    <w:p>
      <w:pPr>
        <w:pStyle w:val="81"/>
        <w:spacing w:line="360" w:lineRule="exact"/>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81"/>
        <w:spacing w:line="360" w:lineRule="exact"/>
        <w:sectPr>
          <w:pgSz w:w="11906" w:h="16838"/>
          <w:pgMar w:top="1418" w:right="1418" w:bottom="1418" w:left="1418" w:header="851" w:footer="992" w:gutter="0"/>
          <w:cols w:space="720" w:num="1"/>
          <w:docGrid w:linePitch="312" w:charSpace="0"/>
        </w:sectPr>
      </w:pPr>
      <w:r>
        <w:rPr>
          <w:rFonts w:hint="eastAsia"/>
        </w:rPr>
        <w:t>注：除可填报项目外对本投标函的任何修改将被视为非实质性响应投标从而导致该投标被拒绝。</w:t>
      </w:r>
    </w:p>
    <w:p>
      <w:pPr>
        <w:pStyle w:val="5"/>
        <w:spacing w:before="0" w:after="156" w:afterLines="50" w:line="360" w:lineRule="auto"/>
        <w:ind w:firstLine="3373" w:firstLineChars="1200"/>
        <w:rPr>
          <w:rFonts w:ascii="宋体" w:hAnsi="宋体" w:eastAsia="宋体"/>
          <w:bCs/>
        </w:rPr>
      </w:pPr>
      <w:bookmarkStart w:id="198" w:name="_Toc29669"/>
      <w:bookmarkStart w:id="199" w:name="_Toc12917"/>
      <w:bookmarkStart w:id="200" w:name="_Toc529953002"/>
      <w:bookmarkStart w:id="201" w:name="_Toc27352"/>
      <w:r>
        <w:rPr>
          <w:rFonts w:hint="eastAsia" w:ascii="宋体" w:hAnsi="宋体" w:eastAsia="宋体"/>
          <w:bCs/>
        </w:rPr>
        <w:t>二、</w:t>
      </w:r>
      <w:r>
        <w:rPr>
          <w:rFonts w:ascii="宋体" w:hAnsi="宋体" w:eastAsia="宋体"/>
          <w:bCs/>
        </w:rPr>
        <w:t>开标一览表</w:t>
      </w:r>
      <w:bookmarkEnd w:id="198"/>
      <w:bookmarkEnd w:id="199"/>
      <w:bookmarkEnd w:id="200"/>
      <w:bookmarkEnd w:id="201"/>
    </w:p>
    <w:p>
      <w:pPr>
        <w:pStyle w:val="2"/>
      </w:pPr>
    </w:p>
    <w:p>
      <w:pPr>
        <w:pStyle w:val="81"/>
        <w:spacing w:line="400" w:lineRule="exact"/>
        <w:rPr>
          <w:color w:val="FF0000"/>
        </w:rPr>
      </w:pPr>
      <w:r>
        <w:rPr>
          <w:rFonts w:hint="eastAsia"/>
        </w:rPr>
        <w:t xml:space="preserve"> </w:t>
      </w:r>
      <w:r>
        <w:rPr>
          <w:rFonts w:hint="eastAsia" w:ascii="宋体" w:hAnsi="宋体" w:cs="宋体"/>
          <w:sz w:val="24"/>
          <w:szCs w:val="24"/>
        </w:rPr>
        <w:t xml:space="preserve"> 项目名称：2022期刊购置</w:t>
      </w:r>
    </w:p>
    <w:p>
      <w:pPr>
        <w:pStyle w:val="81"/>
        <w:spacing w:line="400" w:lineRule="exact"/>
        <w:ind w:firstLine="240" w:firstLineChars="100"/>
        <w:rPr>
          <w:rFonts w:ascii="宋体" w:hAnsi="宋体" w:cs="宋体"/>
          <w:b/>
          <w:sz w:val="24"/>
          <w:szCs w:val="24"/>
        </w:rPr>
      </w:pPr>
      <w:r>
        <w:rPr>
          <w:rFonts w:hint="eastAsia" w:ascii="宋体" w:hAnsi="宋体" w:cs="宋体"/>
          <w:sz w:val="24"/>
          <w:szCs w:val="24"/>
        </w:rPr>
        <w:t>项目编号：TZZB-2022179C</w:t>
      </w:r>
      <w:r>
        <w:rPr>
          <w:rFonts w:hint="eastAsia"/>
        </w:rPr>
        <w:t xml:space="preserve">          </w:t>
      </w:r>
      <w:r>
        <w:rPr>
          <w:rFonts w:hint="eastAsia"/>
          <w:b/>
        </w:rPr>
        <w:t xml:space="preserve">                                  </w:t>
      </w:r>
      <w:r>
        <w:rPr>
          <w:rFonts w:hint="eastAsia" w:ascii="宋体" w:hAnsi="宋体" w:cs="宋体"/>
          <w:b/>
          <w:sz w:val="24"/>
          <w:szCs w:val="24"/>
        </w:rPr>
        <w:t xml:space="preserve"> </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04"/>
        <w:gridCol w:w="1788"/>
        <w:gridCol w:w="1923"/>
        <w:gridCol w:w="2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58" w:hRule="atLeast"/>
          <w:jc w:val="center"/>
        </w:trPr>
        <w:tc>
          <w:tcPr>
            <w:tcW w:w="1780" w:type="pct"/>
            <w:tcBorders>
              <w:tl2br w:val="nil"/>
              <w:tr2bl w:val="single" w:color="auto" w:sz="4" w:space="0"/>
            </w:tcBorders>
          </w:tcPr>
          <w:p>
            <w:pPr>
              <w:pStyle w:val="81"/>
              <w:spacing w:line="400" w:lineRule="exact"/>
              <w:rPr>
                <w:sz w:val="24"/>
                <w:szCs w:val="24"/>
              </w:rPr>
            </w:pPr>
          </w:p>
          <w:p>
            <w:pPr>
              <w:pStyle w:val="81"/>
              <w:snapToGrid w:val="0"/>
              <w:rPr>
                <w:sz w:val="24"/>
                <w:szCs w:val="24"/>
              </w:rPr>
            </w:pPr>
            <w:r>
              <w:rPr>
                <w:rFonts w:hint="eastAsia"/>
                <w:sz w:val="24"/>
                <w:szCs w:val="24"/>
              </w:rPr>
              <w:t>投标人名称</w:t>
            </w:r>
          </w:p>
          <w:p>
            <w:pPr>
              <w:pStyle w:val="81"/>
              <w:spacing w:line="400" w:lineRule="exact"/>
              <w:ind w:firstLine="1680" w:firstLineChars="700"/>
              <w:rPr>
                <w:sz w:val="24"/>
                <w:szCs w:val="24"/>
              </w:rPr>
            </w:pPr>
            <w:r>
              <w:rPr>
                <w:rFonts w:hint="eastAsia"/>
                <w:sz w:val="24"/>
                <w:szCs w:val="24"/>
              </w:rPr>
              <w:t>报价内容</w:t>
            </w:r>
          </w:p>
        </w:tc>
        <w:tc>
          <w:tcPr>
            <w:tcW w:w="963" w:type="pct"/>
            <w:tcBorders>
              <w:tl2br w:val="nil"/>
              <w:tr2bl w:val="nil"/>
            </w:tcBorders>
            <w:vAlign w:val="center"/>
          </w:tcPr>
          <w:p>
            <w:pPr>
              <w:pStyle w:val="81"/>
              <w:spacing w:line="400" w:lineRule="exact"/>
              <w:jc w:val="center"/>
              <w:rPr>
                <w:rFonts w:ascii="宋体" w:hAnsi="宋体" w:cs="宋体"/>
                <w:sz w:val="24"/>
                <w:szCs w:val="24"/>
              </w:rPr>
            </w:pPr>
            <w:r>
              <w:rPr>
                <w:rFonts w:hint="eastAsia" w:ascii="宋体" w:hAnsi="宋体" w:cs="宋体"/>
                <w:sz w:val="24"/>
                <w:szCs w:val="24"/>
              </w:rPr>
              <w:t>折扣率</w:t>
            </w:r>
          </w:p>
          <w:p>
            <w:pPr>
              <w:pStyle w:val="81"/>
              <w:spacing w:line="400" w:lineRule="exact"/>
              <w:jc w:val="center"/>
              <w:rPr>
                <w:rFonts w:ascii="宋体" w:hAnsi="宋体" w:cs="宋体"/>
                <w:sz w:val="24"/>
                <w:szCs w:val="24"/>
              </w:rPr>
            </w:pPr>
            <w:r>
              <w:rPr>
                <w:rFonts w:hint="eastAsia" w:ascii="宋体" w:hAnsi="宋体" w:cs="宋体"/>
                <w:sz w:val="24"/>
                <w:szCs w:val="24"/>
              </w:rPr>
              <w:t>%</w:t>
            </w:r>
          </w:p>
        </w:tc>
        <w:tc>
          <w:tcPr>
            <w:tcW w:w="1036" w:type="pct"/>
            <w:tcBorders>
              <w:tl2br w:val="nil"/>
              <w:tr2bl w:val="nil"/>
            </w:tcBorders>
            <w:vAlign w:val="center"/>
          </w:tcPr>
          <w:p>
            <w:pPr>
              <w:pStyle w:val="81"/>
              <w:spacing w:line="400" w:lineRule="exact"/>
              <w:jc w:val="center"/>
              <w:rPr>
                <w:rFonts w:ascii="宋体" w:hAnsi="宋体" w:cs="宋体"/>
                <w:sz w:val="24"/>
                <w:szCs w:val="24"/>
              </w:rPr>
            </w:pPr>
            <w:r>
              <w:rPr>
                <w:rFonts w:hint="eastAsia" w:ascii="宋体" w:hAnsi="宋体" w:cs="宋体"/>
                <w:sz w:val="24"/>
                <w:szCs w:val="24"/>
              </w:rPr>
              <w:t>交货期</w:t>
            </w:r>
          </w:p>
          <w:p>
            <w:pPr>
              <w:pStyle w:val="81"/>
              <w:spacing w:line="400" w:lineRule="exact"/>
              <w:jc w:val="center"/>
              <w:rPr>
                <w:rFonts w:ascii="宋体" w:hAnsi="宋体" w:cs="宋体"/>
                <w:sz w:val="24"/>
                <w:szCs w:val="24"/>
              </w:rPr>
            </w:pPr>
            <w:r>
              <w:rPr>
                <w:rFonts w:hint="eastAsia" w:ascii="宋体" w:hAnsi="宋体" w:cs="宋体"/>
                <w:sz w:val="24"/>
                <w:szCs w:val="24"/>
              </w:rPr>
              <w:t>（日历天）</w:t>
            </w:r>
          </w:p>
        </w:tc>
        <w:tc>
          <w:tcPr>
            <w:tcW w:w="1219" w:type="pct"/>
            <w:tcBorders>
              <w:tl2br w:val="nil"/>
              <w:tr2bl w:val="nil"/>
            </w:tcBorders>
            <w:vAlign w:val="center"/>
          </w:tcPr>
          <w:p>
            <w:pPr>
              <w:pStyle w:val="81"/>
              <w:spacing w:line="400" w:lineRule="exact"/>
              <w:jc w:val="center"/>
              <w:rPr>
                <w:rFonts w:ascii="宋体" w:hAnsi="宋体" w:cs="宋体"/>
                <w:sz w:val="24"/>
                <w:szCs w:val="24"/>
              </w:rPr>
            </w:pPr>
            <w:r>
              <w:rPr>
                <w:rFonts w:hint="eastAsia" w:ascii="宋体" w:hAnsi="宋体" w:cs="宋体"/>
                <w:sz w:val="24"/>
                <w:szCs w:val="24"/>
              </w:rPr>
              <w:t>质保期</w:t>
            </w:r>
          </w:p>
          <w:p>
            <w:pPr>
              <w:pStyle w:val="81"/>
              <w:spacing w:line="400" w:lineRule="exact"/>
              <w:jc w:val="center"/>
              <w:rPr>
                <w:rFonts w:ascii="宋体" w:hAnsi="宋体" w:cs="宋体"/>
                <w:sz w:val="24"/>
                <w:szCs w:val="24"/>
              </w:rPr>
            </w:pPr>
            <w:r>
              <w:rPr>
                <w:rFonts w:hint="eastAsia" w:ascii="宋体" w:hAnsi="宋体" w:cs="宋体"/>
                <w:sz w:val="24"/>
                <w:szCs w:val="24"/>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1780" w:type="pct"/>
            <w:tcBorders>
              <w:tl2br w:val="nil"/>
              <w:tr2bl w:val="nil"/>
            </w:tcBorders>
            <w:vAlign w:val="center"/>
          </w:tcPr>
          <w:p>
            <w:pPr>
              <w:pStyle w:val="81"/>
              <w:spacing w:line="400" w:lineRule="exact"/>
              <w:jc w:val="center"/>
              <w:rPr>
                <w:sz w:val="24"/>
                <w:szCs w:val="24"/>
              </w:rPr>
            </w:pPr>
          </w:p>
        </w:tc>
        <w:tc>
          <w:tcPr>
            <w:tcW w:w="963" w:type="pct"/>
            <w:tcBorders>
              <w:tl2br w:val="nil"/>
              <w:tr2bl w:val="nil"/>
            </w:tcBorders>
            <w:vAlign w:val="center"/>
          </w:tcPr>
          <w:p>
            <w:pPr>
              <w:pStyle w:val="81"/>
              <w:spacing w:line="400" w:lineRule="exact"/>
              <w:jc w:val="center"/>
              <w:rPr>
                <w:sz w:val="24"/>
                <w:szCs w:val="24"/>
              </w:rPr>
            </w:pPr>
          </w:p>
        </w:tc>
        <w:tc>
          <w:tcPr>
            <w:tcW w:w="1036" w:type="pct"/>
            <w:tcBorders>
              <w:tl2br w:val="nil"/>
              <w:tr2bl w:val="nil"/>
            </w:tcBorders>
            <w:vAlign w:val="center"/>
          </w:tcPr>
          <w:p>
            <w:pPr>
              <w:pStyle w:val="81"/>
              <w:spacing w:line="400" w:lineRule="exact"/>
              <w:rPr>
                <w:sz w:val="24"/>
                <w:szCs w:val="24"/>
              </w:rPr>
            </w:pPr>
          </w:p>
        </w:tc>
        <w:tc>
          <w:tcPr>
            <w:tcW w:w="1219" w:type="pct"/>
            <w:tcBorders>
              <w:tl2br w:val="nil"/>
              <w:tr2bl w:val="nil"/>
            </w:tcBorders>
            <w:vAlign w:val="center"/>
          </w:tcPr>
          <w:p>
            <w:pPr>
              <w:pStyle w:val="81"/>
              <w:spacing w:line="400" w:lineRule="exac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5000" w:type="pct"/>
            <w:gridSpan w:val="4"/>
            <w:tcBorders>
              <w:tl2br w:val="nil"/>
              <w:tr2bl w:val="nil"/>
            </w:tcBorders>
            <w:vAlign w:val="center"/>
          </w:tcPr>
          <w:p>
            <w:pPr>
              <w:pStyle w:val="81"/>
              <w:spacing w:line="400" w:lineRule="exact"/>
              <w:rPr>
                <w:sz w:val="24"/>
                <w:szCs w:val="24"/>
              </w:rPr>
            </w:pPr>
            <w:r>
              <w:rPr>
                <w:rFonts w:hint="eastAsia"/>
                <w:sz w:val="24"/>
                <w:szCs w:val="24"/>
              </w:rPr>
              <w:t xml:space="preserve">合计：（折扣率大写）                   </w:t>
            </w:r>
          </w:p>
        </w:tc>
      </w:tr>
    </w:tbl>
    <w:p>
      <w:pPr>
        <w:pStyle w:val="81"/>
        <w:spacing w:line="400" w:lineRule="exact"/>
        <w:rPr>
          <w:rFonts w:ascii="宋体" w:hAnsi="宋体"/>
          <w:sz w:val="24"/>
          <w:szCs w:val="24"/>
        </w:rPr>
      </w:pPr>
      <w:r>
        <w:rPr>
          <w:rFonts w:hint="eastAsia" w:ascii="宋体" w:hAnsi="宋体"/>
          <w:sz w:val="24"/>
          <w:szCs w:val="24"/>
        </w:rPr>
        <w:t>说明</w:t>
      </w:r>
      <w:r>
        <w:rPr>
          <w:rFonts w:hint="eastAsia" w:ascii="宋体" w:hAnsi="宋体"/>
          <w:b/>
          <w:sz w:val="24"/>
          <w:szCs w:val="24"/>
        </w:rPr>
        <w:t>：</w:t>
      </w:r>
      <w:r>
        <w:rPr>
          <w:rFonts w:hint="eastAsia" w:ascii="宋体" w:hAnsi="宋体"/>
          <w:sz w:val="24"/>
          <w:szCs w:val="24"/>
        </w:rPr>
        <w:t>1、报价应按折扣率报价填写，大小写不一致时，以大写为准；</w:t>
      </w:r>
    </w:p>
    <w:p>
      <w:pPr>
        <w:pStyle w:val="81"/>
        <w:spacing w:line="400" w:lineRule="exact"/>
        <w:rPr>
          <w:rFonts w:ascii="宋体" w:hAnsi="宋体"/>
          <w:sz w:val="24"/>
          <w:szCs w:val="24"/>
        </w:rPr>
      </w:pPr>
      <w:r>
        <w:rPr>
          <w:rFonts w:hint="eastAsia" w:ascii="宋体" w:hAnsi="宋体"/>
          <w:sz w:val="24"/>
          <w:szCs w:val="24"/>
        </w:rPr>
        <w:t>2、“开标一览表”以标段为单位填写；（如有分标段）</w:t>
      </w:r>
    </w:p>
    <w:p>
      <w:pPr>
        <w:pStyle w:val="81"/>
        <w:spacing w:line="400" w:lineRule="exact"/>
        <w:rPr>
          <w:rFonts w:ascii="宋体" w:hAnsi="宋体"/>
          <w:sz w:val="24"/>
          <w:szCs w:val="24"/>
        </w:rPr>
      </w:pPr>
      <w:r>
        <w:rPr>
          <w:rFonts w:hint="eastAsia" w:ascii="宋体" w:hAnsi="宋体"/>
          <w:sz w:val="24"/>
          <w:szCs w:val="24"/>
        </w:rPr>
        <w:t>3、本表所列各项数据与投标文件其他地方表述不一致时，以本表为准。</w:t>
      </w:r>
    </w:p>
    <w:p>
      <w:pPr>
        <w:wordWrap w:val="0"/>
        <w:topLinePunct/>
        <w:spacing w:line="500" w:lineRule="exact"/>
        <w:rPr>
          <w:rFonts w:ascii="宋体" w:hAnsi="宋体"/>
          <w:color w:val="000000"/>
          <w:sz w:val="24"/>
        </w:rPr>
      </w:pPr>
      <w:r>
        <w:rPr>
          <w:rFonts w:hint="eastAsia" w:ascii="宋体" w:hAnsi="宋体"/>
          <w:sz w:val="24"/>
        </w:rPr>
        <w:t>4、</w:t>
      </w:r>
      <w:r>
        <w:rPr>
          <w:rFonts w:hint="eastAsia" w:ascii="宋体" w:hAnsi="宋体"/>
          <w:color w:val="000000"/>
          <w:sz w:val="24"/>
        </w:rPr>
        <w:t>折扣率计算公式=（1-实洋</w:t>
      </w:r>
      <w:r>
        <w:rPr>
          <w:rFonts w:ascii="宋体" w:hAnsi="宋体"/>
          <w:color w:val="000000"/>
          <w:sz w:val="24"/>
        </w:rPr>
        <w:t>÷</w:t>
      </w:r>
      <w:r>
        <w:rPr>
          <w:rFonts w:hint="eastAsia" w:ascii="宋体" w:hAnsi="宋体"/>
          <w:color w:val="000000"/>
          <w:sz w:val="24"/>
        </w:rPr>
        <w:t>码洋）</w:t>
      </w:r>
      <w:r>
        <w:rPr>
          <w:rFonts w:ascii="宋体" w:hAnsi="宋体"/>
          <w:color w:val="000000"/>
          <w:sz w:val="24"/>
        </w:rPr>
        <w:t>×</w:t>
      </w:r>
      <w:r>
        <w:rPr>
          <w:rFonts w:hint="eastAsia" w:ascii="宋体" w:hAnsi="宋体"/>
          <w:color w:val="000000"/>
          <w:sz w:val="24"/>
        </w:rPr>
        <w:t>100%。</w:t>
      </w:r>
    </w:p>
    <w:p>
      <w:pPr>
        <w:pStyle w:val="81"/>
        <w:spacing w:line="400" w:lineRule="exact"/>
      </w:pPr>
    </w:p>
    <w:p>
      <w:pPr>
        <w:pStyle w:val="81"/>
        <w:spacing w:line="400" w:lineRule="exact"/>
      </w:pPr>
    </w:p>
    <w:p>
      <w:pPr>
        <w:pStyle w:val="81"/>
        <w:spacing w:line="400" w:lineRule="exact"/>
      </w:pPr>
    </w:p>
    <w:p>
      <w:pPr>
        <w:pStyle w:val="81"/>
        <w:spacing w:line="400" w:lineRule="exact"/>
      </w:pPr>
    </w:p>
    <w:p>
      <w:pPr>
        <w:pStyle w:val="81"/>
        <w:spacing w:line="400" w:lineRule="exact"/>
        <w:ind w:firstLine="3720" w:firstLineChars="1550"/>
        <w:rPr>
          <w:rFonts w:ascii="宋体" w:hAnsi="宋体"/>
          <w:sz w:val="24"/>
          <w:szCs w:val="24"/>
        </w:rPr>
      </w:pPr>
      <w:r>
        <w:rPr>
          <w:rFonts w:hint="eastAsia" w:ascii="宋体" w:hAnsi="宋体"/>
          <w:sz w:val="24"/>
          <w:szCs w:val="24"/>
        </w:rPr>
        <w:t>投标人（公章）：</w:t>
      </w:r>
      <w:r>
        <w:rPr>
          <w:rFonts w:hint="eastAsia" w:ascii="宋体" w:hAnsi="宋体"/>
          <w:sz w:val="24"/>
          <w:szCs w:val="24"/>
          <w:u w:val="single"/>
        </w:rPr>
        <w:t xml:space="preserve">                       </w:t>
      </w:r>
    </w:p>
    <w:p>
      <w:pPr>
        <w:pStyle w:val="81"/>
        <w:spacing w:line="400" w:lineRule="exact"/>
        <w:ind w:firstLine="3720" w:firstLineChars="1550"/>
        <w:rPr>
          <w:rFonts w:ascii="宋体" w:hAnsi="宋体"/>
          <w:sz w:val="24"/>
          <w:szCs w:val="24"/>
          <w:u w:val="single"/>
        </w:rPr>
      </w:pPr>
      <w:r>
        <w:rPr>
          <w:rFonts w:hint="eastAsia" w:ascii="宋体" w:hAnsi="宋体"/>
          <w:sz w:val="24"/>
          <w:szCs w:val="24"/>
        </w:rPr>
        <w:t>法定代表人/授权代表（签字或盖章）：</w:t>
      </w:r>
      <w:r>
        <w:rPr>
          <w:rFonts w:hint="eastAsia" w:ascii="宋体" w:hAnsi="宋体"/>
          <w:sz w:val="24"/>
          <w:szCs w:val="24"/>
          <w:u w:val="single"/>
        </w:rPr>
        <w:t xml:space="preserve">          </w:t>
      </w:r>
    </w:p>
    <w:p>
      <w:pPr>
        <w:pStyle w:val="81"/>
        <w:spacing w:line="400" w:lineRule="exact"/>
        <w:ind w:firstLine="3720" w:firstLineChars="1550"/>
        <w:rPr>
          <w:rFonts w:ascii="宋体" w:hAnsi="宋体"/>
          <w:sz w:val="24"/>
          <w:szCs w:val="24"/>
          <w:u w:val="single"/>
        </w:rPr>
      </w:pPr>
      <w:bookmarkStart w:id="202" w:name="_Toc475451801"/>
      <w:bookmarkStart w:id="203" w:name="_Toc511832003"/>
      <w:bookmarkStart w:id="204" w:name="_Toc475451554"/>
      <w:bookmarkStart w:id="205" w:name="_Toc473056004"/>
      <w:r>
        <w:rPr>
          <w:rFonts w:hint="eastAsia" w:ascii="宋体" w:hAnsi="宋体"/>
          <w:sz w:val="24"/>
          <w:szCs w:val="24"/>
        </w:rPr>
        <w:t>日    期：</w:t>
      </w:r>
      <w:r>
        <w:rPr>
          <w:rFonts w:hint="eastAsia" w:ascii="宋体" w:hAnsi="宋体"/>
          <w:sz w:val="24"/>
          <w:szCs w:val="24"/>
          <w:u w:val="single"/>
        </w:rPr>
        <w:t xml:space="preserve">                             </w:t>
      </w:r>
    </w:p>
    <w:p>
      <w:pPr>
        <w:pStyle w:val="81"/>
        <w:spacing w:line="400" w:lineRule="exact"/>
        <w:jc w:val="center"/>
        <w:rPr>
          <w:b/>
          <w:bCs/>
        </w:rPr>
        <w:sectPr>
          <w:pgSz w:w="11906" w:h="16838"/>
          <w:pgMar w:top="1418" w:right="1418" w:bottom="1418" w:left="1418" w:header="851" w:footer="992" w:gutter="0"/>
          <w:cols w:space="720" w:num="1"/>
          <w:docGrid w:type="lines" w:linePitch="312" w:charSpace="0"/>
        </w:sectPr>
      </w:pPr>
      <w:r>
        <w:rPr>
          <w:bCs/>
        </w:rPr>
        <w:br w:type="page"/>
      </w:r>
      <w:bookmarkEnd w:id="202"/>
      <w:bookmarkEnd w:id="203"/>
      <w:bookmarkEnd w:id="204"/>
      <w:bookmarkEnd w:id="205"/>
    </w:p>
    <w:p>
      <w:pPr>
        <w:pStyle w:val="5"/>
        <w:spacing w:before="0" w:after="120" w:afterLines="50" w:line="360" w:lineRule="auto"/>
        <w:ind w:firstLine="2811" w:firstLineChars="1000"/>
        <w:rPr>
          <w:rFonts w:ascii="宋体" w:hAnsi="宋体" w:eastAsia="宋体"/>
          <w:bCs/>
        </w:rPr>
      </w:pPr>
      <w:bookmarkStart w:id="206" w:name="_Toc473056003"/>
      <w:bookmarkStart w:id="207" w:name="_Toc511832006"/>
      <w:bookmarkStart w:id="208" w:name="_Toc11142"/>
      <w:bookmarkStart w:id="209" w:name="_Toc529953005"/>
      <w:bookmarkStart w:id="210" w:name="_Toc24871"/>
      <w:bookmarkStart w:id="211" w:name="_Toc12671"/>
      <w:r>
        <w:rPr>
          <w:rFonts w:hint="eastAsia" w:ascii="宋体" w:hAnsi="宋体" w:eastAsia="宋体"/>
          <w:bCs/>
        </w:rPr>
        <w:t>三</w:t>
      </w:r>
      <w:r>
        <w:rPr>
          <w:rFonts w:ascii="宋体" w:hAnsi="宋体" w:eastAsia="宋体"/>
          <w:bCs/>
        </w:rPr>
        <w:t>、</w:t>
      </w:r>
      <w:bookmarkEnd w:id="206"/>
      <w:bookmarkEnd w:id="207"/>
      <w:r>
        <w:rPr>
          <w:rFonts w:ascii="宋体" w:hAnsi="宋体" w:eastAsia="宋体"/>
          <w:bCs/>
        </w:rPr>
        <w:t>技术规格偏离表</w:t>
      </w:r>
      <w:bookmarkEnd w:id="208"/>
      <w:bookmarkEnd w:id="209"/>
      <w:bookmarkEnd w:id="210"/>
      <w:bookmarkEnd w:id="211"/>
    </w:p>
    <w:p>
      <w:pPr>
        <w:pStyle w:val="81"/>
        <w:spacing w:line="400" w:lineRule="exact"/>
        <w:ind w:firstLine="360" w:firstLineChars="150"/>
        <w:rPr>
          <w:rFonts w:ascii="宋体" w:hAnsi="宋体"/>
          <w:sz w:val="24"/>
          <w:szCs w:val="24"/>
        </w:rPr>
      </w:pPr>
      <w:r>
        <w:rPr>
          <w:rFonts w:hint="eastAsia" w:ascii="宋体" w:hAnsi="宋体"/>
          <w:sz w:val="24"/>
          <w:szCs w:val="24"/>
        </w:rPr>
        <w:t>项目名称：                                         项目编号：</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856"/>
        <w:gridCol w:w="2632"/>
        <w:gridCol w:w="2632"/>
        <w:gridCol w:w="856"/>
        <w:gridCol w:w="14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61" w:type="pct"/>
            <w:vAlign w:val="center"/>
          </w:tcPr>
          <w:p>
            <w:pPr>
              <w:pStyle w:val="81"/>
              <w:spacing w:line="400" w:lineRule="exact"/>
              <w:jc w:val="center"/>
              <w:rPr>
                <w:rFonts w:ascii="宋体" w:hAnsi="宋体"/>
                <w:b/>
                <w:bCs/>
                <w:sz w:val="24"/>
                <w:szCs w:val="24"/>
              </w:rPr>
            </w:pPr>
            <w:r>
              <w:rPr>
                <w:rFonts w:hint="eastAsia" w:ascii="宋体" w:hAnsi="宋体"/>
                <w:b/>
                <w:bCs/>
                <w:sz w:val="24"/>
                <w:szCs w:val="24"/>
              </w:rPr>
              <w:t>序号</w:t>
            </w:r>
          </w:p>
        </w:tc>
        <w:tc>
          <w:tcPr>
            <w:tcW w:w="461" w:type="pct"/>
            <w:vAlign w:val="center"/>
          </w:tcPr>
          <w:p>
            <w:pPr>
              <w:pStyle w:val="81"/>
              <w:spacing w:line="400" w:lineRule="exact"/>
              <w:jc w:val="center"/>
              <w:rPr>
                <w:rFonts w:ascii="宋体" w:hAnsi="宋体"/>
                <w:b/>
                <w:bCs/>
                <w:sz w:val="24"/>
                <w:szCs w:val="24"/>
              </w:rPr>
            </w:pPr>
            <w:r>
              <w:rPr>
                <w:rFonts w:hint="eastAsia" w:ascii="宋体" w:hAnsi="宋体"/>
                <w:b/>
                <w:bCs/>
                <w:sz w:val="24"/>
                <w:szCs w:val="24"/>
              </w:rPr>
              <w:t>名称</w:t>
            </w:r>
          </w:p>
        </w:tc>
        <w:tc>
          <w:tcPr>
            <w:tcW w:w="1417" w:type="pct"/>
            <w:vAlign w:val="center"/>
          </w:tcPr>
          <w:p>
            <w:pPr>
              <w:pStyle w:val="81"/>
              <w:spacing w:line="400" w:lineRule="exact"/>
              <w:jc w:val="center"/>
              <w:rPr>
                <w:rFonts w:ascii="宋体" w:hAnsi="宋体"/>
                <w:b/>
                <w:bCs/>
                <w:sz w:val="24"/>
                <w:szCs w:val="24"/>
              </w:rPr>
            </w:pPr>
            <w:r>
              <w:rPr>
                <w:rFonts w:hint="eastAsia" w:ascii="宋体" w:hAnsi="宋体"/>
                <w:b/>
                <w:sz w:val="24"/>
                <w:szCs w:val="24"/>
              </w:rPr>
              <w:t>招标文件要求数据</w:t>
            </w:r>
          </w:p>
        </w:tc>
        <w:tc>
          <w:tcPr>
            <w:tcW w:w="1417" w:type="pct"/>
            <w:vAlign w:val="center"/>
          </w:tcPr>
          <w:p>
            <w:pPr>
              <w:pStyle w:val="81"/>
              <w:spacing w:line="400" w:lineRule="exact"/>
              <w:jc w:val="center"/>
              <w:rPr>
                <w:rFonts w:ascii="宋体" w:hAnsi="宋体"/>
                <w:b/>
                <w:sz w:val="24"/>
                <w:szCs w:val="24"/>
              </w:rPr>
            </w:pPr>
            <w:r>
              <w:rPr>
                <w:rFonts w:hint="eastAsia" w:ascii="宋体" w:hAnsi="宋体"/>
                <w:b/>
                <w:sz w:val="24"/>
                <w:szCs w:val="24"/>
              </w:rPr>
              <w:t>投标文件实际数据</w:t>
            </w:r>
          </w:p>
        </w:tc>
        <w:tc>
          <w:tcPr>
            <w:tcW w:w="461" w:type="pct"/>
            <w:vAlign w:val="center"/>
          </w:tcPr>
          <w:p>
            <w:pPr>
              <w:pStyle w:val="81"/>
              <w:spacing w:line="400" w:lineRule="exact"/>
              <w:jc w:val="center"/>
              <w:rPr>
                <w:rFonts w:ascii="宋体" w:hAnsi="宋体"/>
                <w:b/>
                <w:bCs/>
                <w:sz w:val="24"/>
                <w:szCs w:val="24"/>
              </w:rPr>
            </w:pPr>
            <w:r>
              <w:rPr>
                <w:rFonts w:hint="eastAsia" w:ascii="宋体" w:hAnsi="宋体"/>
                <w:b/>
                <w:bCs/>
                <w:sz w:val="24"/>
                <w:szCs w:val="24"/>
              </w:rPr>
              <w:t>偏离</w:t>
            </w:r>
          </w:p>
        </w:tc>
        <w:tc>
          <w:tcPr>
            <w:tcW w:w="780" w:type="pct"/>
            <w:vAlign w:val="center"/>
          </w:tcPr>
          <w:p>
            <w:pPr>
              <w:pStyle w:val="81"/>
              <w:spacing w:line="400" w:lineRule="exact"/>
              <w:jc w:val="center"/>
              <w:rPr>
                <w:rFonts w:ascii="宋体" w:hAnsi="宋体"/>
                <w:b/>
                <w:bCs/>
                <w:sz w:val="24"/>
                <w:szCs w:val="24"/>
              </w:rPr>
            </w:pPr>
            <w:r>
              <w:rPr>
                <w:rFonts w:hint="eastAsia" w:ascii="宋体" w:hAnsi="宋体"/>
                <w:b/>
                <w:bCs/>
                <w:sz w:val="24"/>
                <w:szCs w:val="24"/>
              </w:rPr>
              <w:t>偏离</w:t>
            </w:r>
          </w:p>
          <w:p>
            <w:pPr>
              <w:pStyle w:val="81"/>
              <w:spacing w:line="400" w:lineRule="exact"/>
              <w:jc w:val="center"/>
              <w:rPr>
                <w:rFonts w:ascii="宋体" w:hAnsi="宋体"/>
                <w:b/>
                <w:bCs/>
                <w:sz w:val="24"/>
                <w:szCs w:val="24"/>
              </w:rPr>
            </w:pPr>
            <w:r>
              <w:rPr>
                <w:rFonts w:hint="eastAsia" w:ascii="宋体" w:hAnsi="宋体"/>
                <w:b/>
                <w:bCs/>
                <w:sz w:val="24"/>
                <w:szCs w:val="24"/>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461" w:type="pct"/>
          </w:tcPr>
          <w:p>
            <w:pPr>
              <w:pStyle w:val="81"/>
              <w:spacing w:line="400" w:lineRule="exact"/>
              <w:rPr>
                <w:rFonts w:ascii="宋体" w:hAnsi="宋体"/>
                <w:bCs/>
                <w:sz w:val="24"/>
                <w:szCs w:val="24"/>
              </w:rPr>
            </w:pPr>
          </w:p>
        </w:tc>
        <w:tc>
          <w:tcPr>
            <w:tcW w:w="461" w:type="pct"/>
          </w:tcPr>
          <w:p>
            <w:pPr>
              <w:pStyle w:val="81"/>
              <w:spacing w:line="400" w:lineRule="exact"/>
              <w:rPr>
                <w:rFonts w:ascii="宋体" w:hAnsi="宋体"/>
                <w:bCs/>
                <w:sz w:val="24"/>
                <w:szCs w:val="24"/>
              </w:rPr>
            </w:pPr>
          </w:p>
        </w:tc>
        <w:tc>
          <w:tcPr>
            <w:tcW w:w="1417" w:type="pct"/>
          </w:tcPr>
          <w:p>
            <w:pPr>
              <w:pStyle w:val="81"/>
              <w:spacing w:line="400" w:lineRule="exact"/>
              <w:rPr>
                <w:rFonts w:ascii="宋体" w:hAnsi="宋体"/>
                <w:bCs/>
                <w:sz w:val="24"/>
                <w:szCs w:val="24"/>
              </w:rPr>
            </w:pPr>
          </w:p>
        </w:tc>
        <w:tc>
          <w:tcPr>
            <w:tcW w:w="1417" w:type="pct"/>
          </w:tcPr>
          <w:p>
            <w:pPr>
              <w:pStyle w:val="81"/>
              <w:spacing w:line="400" w:lineRule="exact"/>
              <w:rPr>
                <w:rFonts w:ascii="宋体" w:hAnsi="宋体"/>
                <w:bCs/>
                <w:sz w:val="24"/>
                <w:szCs w:val="24"/>
              </w:rPr>
            </w:pPr>
          </w:p>
        </w:tc>
        <w:tc>
          <w:tcPr>
            <w:tcW w:w="461" w:type="pct"/>
          </w:tcPr>
          <w:p>
            <w:pPr>
              <w:pStyle w:val="81"/>
              <w:spacing w:line="400" w:lineRule="exact"/>
              <w:rPr>
                <w:rFonts w:ascii="宋体" w:hAnsi="宋体"/>
                <w:bCs/>
                <w:sz w:val="24"/>
                <w:szCs w:val="24"/>
              </w:rPr>
            </w:pPr>
          </w:p>
        </w:tc>
        <w:tc>
          <w:tcPr>
            <w:tcW w:w="780" w:type="pct"/>
          </w:tcPr>
          <w:p>
            <w:pPr>
              <w:pStyle w:val="81"/>
              <w:spacing w:line="400" w:lineRule="exact"/>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461" w:type="pct"/>
          </w:tcPr>
          <w:p>
            <w:pPr>
              <w:pStyle w:val="81"/>
              <w:spacing w:line="400" w:lineRule="exact"/>
              <w:rPr>
                <w:rFonts w:ascii="宋体" w:hAnsi="宋体"/>
                <w:bCs/>
                <w:sz w:val="24"/>
                <w:szCs w:val="24"/>
              </w:rPr>
            </w:pPr>
          </w:p>
        </w:tc>
        <w:tc>
          <w:tcPr>
            <w:tcW w:w="461" w:type="pct"/>
          </w:tcPr>
          <w:p>
            <w:pPr>
              <w:pStyle w:val="81"/>
              <w:spacing w:line="400" w:lineRule="exact"/>
              <w:rPr>
                <w:rFonts w:ascii="宋体" w:hAnsi="宋体"/>
                <w:bCs/>
                <w:sz w:val="24"/>
                <w:szCs w:val="24"/>
              </w:rPr>
            </w:pPr>
          </w:p>
        </w:tc>
        <w:tc>
          <w:tcPr>
            <w:tcW w:w="1417" w:type="pct"/>
          </w:tcPr>
          <w:p>
            <w:pPr>
              <w:pStyle w:val="81"/>
              <w:spacing w:line="400" w:lineRule="exact"/>
              <w:rPr>
                <w:rFonts w:ascii="宋体" w:hAnsi="宋体"/>
                <w:bCs/>
                <w:sz w:val="24"/>
                <w:szCs w:val="24"/>
              </w:rPr>
            </w:pPr>
          </w:p>
        </w:tc>
        <w:tc>
          <w:tcPr>
            <w:tcW w:w="1417" w:type="pct"/>
          </w:tcPr>
          <w:p>
            <w:pPr>
              <w:pStyle w:val="81"/>
              <w:spacing w:line="400" w:lineRule="exact"/>
              <w:rPr>
                <w:rFonts w:ascii="宋体" w:hAnsi="宋体"/>
                <w:bCs/>
                <w:sz w:val="24"/>
                <w:szCs w:val="24"/>
              </w:rPr>
            </w:pPr>
          </w:p>
        </w:tc>
        <w:tc>
          <w:tcPr>
            <w:tcW w:w="461" w:type="pct"/>
          </w:tcPr>
          <w:p>
            <w:pPr>
              <w:pStyle w:val="81"/>
              <w:spacing w:line="400" w:lineRule="exact"/>
              <w:rPr>
                <w:rFonts w:ascii="宋体" w:hAnsi="宋体"/>
                <w:bCs/>
                <w:sz w:val="24"/>
                <w:szCs w:val="24"/>
              </w:rPr>
            </w:pPr>
          </w:p>
        </w:tc>
        <w:tc>
          <w:tcPr>
            <w:tcW w:w="780" w:type="pct"/>
          </w:tcPr>
          <w:p>
            <w:pPr>
              <w:pStyle w:val="81"/>
              <w:spacing w:line="400" w:lineRule="exact"/>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461" w:type="pct"/>
          </w:tcPr>
          <w:p>
            <w:pPr>
              <w:pStyle w:val="81"/>
              <w:spacing w:line="400" w:lineRule="exact"/>
              <w:rPr>
                <w:rFonts w:ascii="宋体" w:hAnsi="宋体"/>
                <w:bCs/>
                <w:sz w:val="24"/>
                <w:szCs w:val="24"/>
              </w:rPr>
            </w:pPr>
          </w:p>
        </w:tc>
        <w:tc>
          <w:tcPr>
            <w:tcW w:w="461" w:type="pct"/>
          </w:tcPr>
          <w:p>
            <w:pPr>
              <w:pStyle w:val="81"/>
              <w:spacing w:line="400" w:lineRule="exact"/>
              <w:rPr>
                <w:rFonts w:ascii="宋体" w:hAnsi="宋体"/>
                <w:bCs/>
                <w:sz w:val="24"/>
                <w:szCs w:val="24"/>
              </w:rPr>
            </w:pPr>
          </w:p>
        </w:tc>
        <w:tc>
          <w:tcPr>
            <w:tcW w:w="1417" w:type="pct"/>
          </w:tcPr>
          <w:p>
            <w:pPr>
              <w:pStyle w:val="81"/>
              <w:spacing w:line="400" w:lineRule="exact"/>
              <w:rPr>
                <w:rFonts w:ascii="宋体" w:hAnsi="宋体"/>
                <w:bCs/>
                <w:sz w:val="24"/>
                <w:szCs w:val="24"/>
              </w:rPr>
            </w:pPr>
          </w:p>
        </w:tc>
        <w:tc>
          <w:tcPr>
            <w:tcW w:w="1417" w:type="pct"/>
          </w:tcPr>
          <w:p>
            <w:pPr>
              <w:pStyle w:val="81"/>
              <w:spacing w:line="400" w:lineRule="exact"/>
              <w:rPr>
                <w:rFonts w:ascii="宋体" w:hAnsi="宋体"/>
                <w:bCs/>
                <w:sz w:val="24"/>
                <w:szCs w:val="24"/>
              </w:rPr>
            </w:pPr>
          </w:p>
        </w:tc>
        <w:tc>
          <w:tcPr>
            <w:tcW w:w="461" w:type="pct"/>
          </w:tcPr>
          <w:p>
            <w:pPr>
              <w:pStyle w:val="81"/>
              <w:spacing w:line="400" w:lineRule="exact"/>
              <w:rPr>
                <w:rFonts w:ascii="宋体" w:hAnsi="宋体"/>
                <w:bCs/>
                <w:sz w:val="24"/>
                <w:szCs w:val="24"/>
              </w:rPr>
            </w:pPr>
          </w:p>
        </w:tc>
        <w:tc>
          <w:tcPr>
            <w:tcW w:w="780" w:type="pct"/>
          </w:tcPr>
          <w:p>
            <w:pPr>
              <w:pStyle w:val="81"/>
              <w:spacing w:line="400" w:lineRule="exact"/>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461" w:type="pct"/>
          </w:tcPr>
          <w:p>
            <w:pPr>
              <w:pStyle w:val="81"/>
              <w:spacing w:line="400" w:lineRule="exact"/>
              <w:rPr>
                <w:rFonts w:ascii="宋体" w:hAnsi="宋体"/>
                <w:bCs/>
                <w:sz w:val="24"/>
                <w:szCs w:val="24"/>
              </w:rPr>
            </w:pPr>
          </w:p>
        </w:tc>
        <w:tc>
          <w:tcPr>
            <w:tcW w:w="461" w:type="pct"/>
          </w:tcPr>
          <w:p>
            <w:pPr>
              <w:pStyle w:val="81"/>
              <w:spacing w:line="400" w:lineRule="exact"/>
              <w:rPr>
                <w:rFonts w:ascii="宋体" w:hAnsi="宋体"/>
                <w:bCs/>
                <w:sz w:val="24"/>
                <w:szCs w:val="24"/>
              </w:rPr>
            </w:pPr>
          </w:p>
        </w:tc>
        <w:tc>
          <w:tcPr>
            <w:tcW w:w="1417" w:type="pct"/>
          </w:tcPr>
          <w:p>
            <w:pPr>
              <w:pStyle w:val="81"/>
              <w:spacing w:line="400" w:lineRule="exact"/>
              <w:rPr>
                <w:rFonts w:ascii="宋体" w:hAnsi="宋体"/>
                <w:bCs/>
                <w:sz w:val="24"/>
                <w:szCs w:val="24"/>
              </w:rPr>
            </w:pPr>
          </w:p>
        </w:tc>
        <w:tc>
          <w:tcPr>
            <w:tcW w:w="1417" w:type="pct"/>
          </w:tcPr>
          <w:p>
            <w:pPr>
              <w:pStyle w:val="81"/>
              <w:spacing w:line="400" w:lineRule="exact"/>
              <w:rPr>
                <w:rFonts w:ascii="宋体" w:hAnsi="宋体"/>
                <w:bCs/>
                <w:sz w:val="24"/>
                <w:szCs w:val="24"/>
              </w:rPr>
            </w:pPr>
          </w:p>
        </w:tc>
        <w:tc>
          <w:tcPr>
            <w:tcW w:w="461" w:type="pct"/>
          </w:tcPr>
          <w:p>
            <w:pPr>
              <w:pStyle w:val="81"/>
              <w:spacing w:line="400" w:lineRule="exact"/>
              <w:rPr>
                <w:rFonts w:ascii="宋体" w:hAnsi="宋体"/>
                <w:bCs/>
                <w:sz w:val="24"/>
                <w:szCs w:val="24"/>
              </w:rPr>
            </w:pPr>
          </w:p>
        </w:tc>
        <w:tc>
          <w:tcPr>
            <w:tcW w:w="780" w:type="pct"/>
          </w:tcPr>
          <w:p>
            <w:pPr>
              <w:pStyle w:val="81"/>
              <w:spacing w:line="400" w:lineRule="exact"/>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461" w:type="pct"/>
          </w:tcPr>
          <w:p>
            <w:pPr>
              <w:pStyle w:val="81"/>
              <w:spacing w:line="400" w:lineRule="exact"/>
              <w:rPr>
                <w:rFonts w:ascii="宋体" w:hAnsi="宋体"/>
                <w:bCs/>
                <w:sz w:val="24"/>
                <w:szCs w:val="24"/>
              </w:rPr>
            </w:pPr>
          </w:p>
        </w:tc>
        <w:tc>
          <w:tcPr>
            <w:tcW w:w="461" w:type="pct"/>
          </w:tcPr>
          <w:p>
            <w:pPr>
              <w:pStyle w:val="81"/>
              <w:spacing w:line="400" w:lineRule="exact"/>
              <w:rPr>
                <w:rFonts w:ascii="宋体" w:hAnsi="宋体"/>
                <w:bCs/>
                <w:sz w:val="24"/>
                <w:szCs w:val="24"/>
              </w:rPr>
            </w:pPr>
          </w:p>
        </w:tc>
        <w:tc>
          <w:tcPr>
            <w:tcW w:w="1417" w:type="pct"/>
          </w:tcPr>
          <w:p>
            <w:pPr>
              <w:pStyle w:val="81"/>
              <w:spacing w:line="400" w:lineRule="exact"/>
              <w:rPr>
                <w:rFonts w:ascii="宋体" w:hAnsi="宋体"/>
                <w:bCs/>
                <w:sz w:val="24"/>
                <w:szCs w:val="24"/>
              </w:rPr>
            </w:pPr>
          </w:p>
        </w:tc>
        <w:tc>
          <w:tcPr>
            <w:tcW w:w="1417" w:type="pct"/>
          </w:tcPr>
          <w:p>
            <w:pPr>
              <w:pStyle w:val="81"/>
              <w:spacing w:line="400" w:lineRule="exact"/>
              <w:rPr>
                <w:rFonts w:ascii="宋体" w:hAnsi="宋体"/>
                <w:bCs/>
                <w:sz w:val="24"/>
                <w:szCs w:val="24"/>
              </w:rPr>
            </w:pPr>
          </w:p>
        </w:tc>
        <w:tc>
          <w:tcPr>
            <w:tcW w:w="461" w:type="pct"/>
          </w:tcPr>
          <w:p>
            <w:pPr>
              <w:pStyle w:val="81"/>
              <w:spacing w:line="400" w:lineRule="exact"/>
              <w:rPr>
                <w:rFonts w:ascii="宋体" w:hAnsi="宋体"/>
                <w:bCs/>
                <w:sz w:val="24"/>
                <w:szCs w:val="24"/>
              </w:rPr>
            </w:pPr>
          </w:p>
        </w:tc>
        <w:tc>
          <w:tcPr>
            <w:tcW w:w="780" w:type="pct"/>
          </w:tcPr>
          <w:p>
            <w:pPr>
              <w:pStyle w:val="81"/>
              <w:spacing w:line="400" w:lineRule="exact"/>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461" w:type="pct"/>
          </w:tcPr>
          <w:p>
            <w:pPr>
              <w:pStyle w:val="81"/>
              <w:spacing w:line="400" w:lineRule="exact"/>
              <w:rPr>
                <w:rFonts w:ascii="宋体" w:hAnsi="宋体"/>
                <w:bCs/>
                <w:sz w:val="24"/>
                <w:szCs w:val="24"/>
              </w:rPr>
            </w:pPr>
          </w:p>
        </w:tc>
        <w:tc>
          <w:tcPr>
            <w:tcW w:w="461" w:type="pct"/>
          </w:tcPr>
          <w:p>
            <w:pPr>
              <w:pStyle w:val="81"/>
              <w:spacing w:line="400" w:lineRule="exact"/>
              <w:rPr>
                <w:rFonts w:ascii="宋体" w:hAnsi="宋体"/>
                <w:bCs/>
                <w:sz w:val="24"/>
                <w:szCs w:val="24"/>
              </w:rPr>
            </w:pPr>
          </w:p>
        </w:tc>
        <w:tc>
          <w:tcPr>
            <w:tcW w:w="1417" w:type="pct"/>
          </w:tcPr>
          <w:p>
            <w:pPr>
              <w:pStyle w:val="81"/>
              <w:spacing w:line="400" w:lineRule="exact"/>
              <w:rPr>
                <w:rFonts w:ascii="宋体" w:hAnsi="宋体"/>
                <w:bCs/>
                <w:sz w:val="24"/>
                <w:szCs w:val="24"/>
              </w:rPr>
            </w:pPr>
          </w:p>
        </w:tc>
        <w:tc>
          <w:tcPr>
            <w:tcW w:w="1417" w:type="pct"/>
          </w:tcPr>
          <w:p>
            <w:pPr>
              <w:pStyle w:val="81"/>
              <w:spacing w:line="400" w:lineRule="exact"/>
              <w:rPr>
                <w:rFonts w:ascii="宋体" w:hAnsi="宋体"/>
                <w:bCs/>
                <w:sz w:val="24"/>
                <w:szCs w:val="24"/>
              </w:rPr>
            </w:pPr>
          </w:p>
        </w:tc>
        <w:tc>
          <w:tcPr>
            <w:tcW w:w="461" w:type="pct"/>
          </w:tcPr>
          <w:p>
            <w:pPr>
              <w:pStyle w:val="81"/>
              <w:spacing w:line="400" w:lineRule="exact"/>
              <w:rPr>
                <w:rFonts w:ascii="宋体" w:hAnsi="宋体"/>
                <w:bCs/>
                <w:sz w:val="24"/>
                <w:szCs w:val="24"/>
              </w:rPr>
            </w:pPr>
          </w:p>
        </w:tc>
        <w:tc>
          <w:tcPr>
            <w:tcW w:w="780" w:type="pct"/>
          </w:tcPr>
          <w:p>
            <w:pPr>
              <w:pStyle w:val="81"/>
              <w:spacing w:line="400" w:lineRule="exact"/>
              <w:rPr>
                <w:rFonts w:ascii="宋体" w:hAnsi="宋体"/>
                <w:bCs/>
                <w:sz w:val="24"/>
                <w:szCs w:val="24"/>
              </w:rPr>
            </w:pPr>
          </w:p>
        </w:tc>
      </w:tr>
    </w:tbl>
    <w:p>
      <w:pPr>
        <w:pStyle w:val="81"/>
        <w:spacing w:line="400" w:lineRule="exact"/>
        <w:rPr>
          <w:rFonts w:ascii="宋体" w:hAnsi="宋体"/>
          <w:b/>
          <w:bCs/>
          <w:sz w:val="24"/>
          <w:szCs w:val="24"/>
        </w:rPr>
      </w:pPr>
      <w:r>
        <w:rPr>
          <w:rFonts w:hint="eastAsia" w:ascii="宋体" w:hAnsi="宋体"/>
          <w:b/>
          <w:bCs/>
          <w:sz w:val="24"/>
          <w:szCs w:val="24"/>
        </w:rPr>
        <w:t>说明：</w:t>
      </w:r>
    </w:p>
    <w:p>
      <w:pPr>
        <w:pStyle w:val="81"/>
        <w:spacing w:line="400" w:lineRule="exact"/>
        <w:rPr>
          <w:rFonts w:ascii="宋体" w:hAnsi="宋体"/>
          <w:b/>
          <w:bCs/>
          <w:sz w:val="24"/>
        </w:rPr>
      </w:pPr>
      <w:r>
        <w:rPr>
          <w:rFonts w:hint="eastAsia" w:ascii="宋体" w:hAnsi="宋体"/>
          <w:b/>
          <w:bCs/>
          <w:sz w:val="24"/>
        </w:rPr>
        <w:t>1.本表须逐如实填写，不得空缺；如空缺将视为没有实质性响应招标文件。</w:t>
      </w:r>
    </w:p>
    <w:p>
      <w:pPr>
        <w:pStyle w:val="81"/>
        <w:spacing w:line="400" w:lineRule="exact"/>
        <w:rPr>
          <w:rFonts w:ascii="宋体" w:hAnsi="宋体"/>
          <w:b/>
          <w:bCs/>
          <w:sz w:val="24"/>
        </w:rPr>
      </w:pPr>
      <w:r>
        <w:rPr>
          <w:rFonts w:hint="eastAsia" w:ascii="宋体" w:hAnsi="宋体"/>
          <w:b/>
          <w:bCs/>
          <w:sz w:val="24"/>
        </w:rPr>
        <w:t>2.偏离填写：优于、低于、相同。</w:t>
      </w:r>
    </w:p>
    <w:p>
      <w:pPr>
        <w:pStyle w:val="81"/>
        <w:spacing w:line="400" w:lineRule="exact"/>
        <w:rPr>
          <w:rFonts w:ascii="宋体" w:hAnsi="宋体"/>
          <w:b/>
          <w:bCs/>
          <w:sz w:val="24"/>
        </w:rPr>
      </w:pPr>
      <w:r>
        <w:rPr>
          <w:rFonts w:hint="eastAsia" w:ascii="宋体" w:hAnsi="宋体"/>
          <w:b/>
          <w:bCs/>
          <w:sz w:val="24"/>
        </w:rPr>
        <w:t>3.投标人必须据实填写，不得虚假响应，否则将取消其投标或中标资格，并按有关规定进行处罚。</w:t>
      </w:r>
    </w:p>
    <w:p>
      <w:pPr>
        <w:pStyle w:val="81"/>
        <w:spacing w:line="400" w:lineRule="exact"/>
        <w:rPr>
          <w:rFonts w:ascii="宋体" w:hAnsi="宋体"/>
          <w:b/>
          <w:bCs/>
          <w:sz w:val="24"/>
          <w:szCs w:val="24"/>
        </w:rPr>
      </w:pPr>
    </w:p>
    <w:p>
      <w:pPr>
        <w:pStyle w:val="81"/>
        <w:spacing w:line="400" w:lineRule="exact"/>
        <w:rPr>
          <w:rFonts w:ascii="宋体" w:hAnsi="宋体"/>
          <w:sz w:val="24"/>
          <w:szCs w:val="24"/>
        </w:rPr>
      </w:pPr>
    </w:p>
    <w:p>
      <w:pPr>
        <w:pStyle w:val="81"/>
        <w:spacing w:line="400" w:lineRule="exact"/>
        <w:rPr>
          <w:rFonts w:ascii="宋体" w:hAnsi="宋体"/>
          <w:sz w:val="24"/>
          <w:szCs w:val="24"/>
        </w:rPr>
      </w:pPr>
    </w:p>
    <w:p>
      <w:pPr>
        <w:pStyle w:val="81"/>
        <w:spacing w:line="400" w:lineRule="exact"/>
        <w:ind w:firstLine="3840" w:firstLineChars="1600"/>
        <w:rPr>
          <w:rFonts w:ascii="宋体" w:hAnsi="宋体"/>
          <w:sz w:val="24"/>
          <w:szCs w:val="24"/>
        </w:rPr>
      </w:pPr>
      <w:r>
        <w:rPr>
          <w:rFonts w:hint="eastAsia" w:ascii="宋体" w:hAnsi="宋体"/>
          <w:sz w:val="24"/>
          <w:szCs w:val="24"/>
        </w:rPr>
        <w:t>投标人（公章）：</w:t>
      </w:r>
      <w:r>
        <w:rPr>
          <w:rFonts w:hint="eastAsia" w:ascii="宋体" w:hAnsi="宋体"/>
          <w:sz w:val="24"/>
          <w:szCs w:val="24"/>
          <w:u w:val="single"/>
        </w:rPr>
        <w:t xml:space="preserve">                       </w:t>
      </w:r>
    </w:p>
    <w:p>
      <w:pPr>
        <w:pStyle w:val="81"/>
        <w:spacing w:line="400" w:lineRule="exact"/>
        <w:ind w:firstLine="3840" w:firstLineChars="1600"/>
        <w:rPr>
          <w:rFonts w:ascii="宋体" w:hAnsi="宋体"/>
          <w:sz w:val="24"/>
          <w:szCs w:val="24"/>
          <w:u w:val="single"/>
        </w:rPr>
      </w:pPr>
      <w:r>
        <w:rPr>
          <w:rFonts w:hint="eastAsia" w:ascii="宋体" w:hAnsi="宋体"/>
          <w:sz w:val="24"/>
          <w:szCs w:val="24"/>
        </w:rPr>
        <w:t>法定代表人/授权代表（签字或盖章）：</w:t>
      </w:r>
      <w:r>
        <w:rPr>
          <w:rFonts w:hint="eastAsia" w:ascii="宋体" w:hAnsi="宋体"/>
          <w:sz w:val="24"/>
          <w:szCs w:val="24"/>
          <w:u w:val="single"/>
        </w:rPr>
        <w:t xml:space="preserve">    </w:t>
      </w:r>
    </w:p>
    <w:p>
      <w:pPr>
        <w:pStyle w:val="81"/>
        <w:spacing w:line="400" w:lineRule="exact"/>
        <w:ind w:firstLine="3840" w:firstLineChars="1600"/>
        <w:rPr>
          <w:rFonts w:ascii="宋体" w:hAnsi="宋体"/>
          <w:sz w:val="24"/>
          <w:szCs w:val="24"/>
          <w:u w:val="single"/>
        </w:rPr>
      </w:pPr>
      <w:r>
        <w:rPr>
          <w:rFonts w:hint="eastAsia" w:ascii="宋体" w:hAnsi="宋体"/>
          <w:sz w:val="24"/>
          <w:szCs w:val="24"/>
        </w:rPr>
        <w:t>日    期：</w:t>
      </w:r>
      <w:r>
        <w:rPr>
          <w:rFonts w:hint="eastAsia" w:ascii="宋体" w:hAnsi="宋体"/>
          <w:sz w:val="24"/>
          <w:szCs w:val="24"/>
          <w:u w:val="single"/>
        </w:rPr>
        <w:t xml:space="preserve">                            </w:t>
      </w:r>
    </w:p>
    <w:p>
      <w:pPr>
        <w:pStyle w:val="5"/>
        <w:spacing w:before="0" w:after="120" w:afterLines="50" w:line="360" w:lineRule="auto"/>
        <w:jc w:val="center"/>
        <w:rPr>
          <w:b w:val="0"/>
          <w:bCs/>
        </w:rPr>
      </w:pPr>
      <w:r>
        <w:rPr>
          <w:rFonts w:ascii="宋体" w:hAnsi="宋体"/>
          <w:b w:val="0"/>
          <w:bCs/>
          <w:sz w:val="24"/>
          <w:szCs w:val="24"/>
        </w:rPr>
        <w:br w:type="page"/>
      </w:r>
      <w:bookmarkStart w:id="212" w:name="_Toc7162"/>
      <w:bookmarkStart w:id="213" w:name="_Toc4658"/>
      <w:bookmarkStart w:id="214" w:name="_Toc511832007"/>
      <w:bookmarkStart w:id="215" w:name="_Toc529953006"/>
      <w:bookmarkStart w:id="216" w:name="_Toc23506"/>
      <w:r>
        <w:rPr>
          <w:rFonts w:hint="eastAsia" w:ascii="宋体" w:hAnsi="宋体" w:eastAsia="宋体"/>
          <w:bCs/>
        </w:rPr>
        <w:t>四</w:t>
      </w:r>
      <w:r>
        <w:rPr>
          <w:rFonts w:ascii="宋体" w:hAnsi="宋体" w:eastAsia="宋体"/>
          <w:bCs/>
        </w:rPr>
        <w:t>、</w:t>
      </w:r>
      <w:r>
        <w:rPr>
          <w:rFonts w:hint="eastAsia" w:ascii="宋体" w:hAnsi="宋体" w:eastAsia="宋体"/>
          <w:bCs/>
        </w:rPr>
        <w:t>商务要求</w:t>
      </w:r>
      <w:r>
        <w:rPr>
          <w:rFonts w:ascii="宋体" w:hAnsi="宋体" w:eastAsia="宋体"/>
          <w:bCs/>
        </w:rPr>
        <w:t>偏离表</w:t>
      </w:r>
      <w:bookmarkEnd w:id="212"/>
      <w:bookmarkEnd w:id="213"/>
      <w:bookmarkEnd w:id="214"/>
      <w:bookmarkEnd w:id="215"/>
      <w:bookmarkEnd w:id="216"/>
    </w:p>
    <w:p>
      <w:pPr>
        <w:pStyle w:val="81"/>
        <w:spacing w:line="400" w:lineRule="exact"/>
        <w:ind w:firstLine="600" w:firstLineChars="250"/>
        <w:rPr>
          <w:rFonts w:ascii="宋体" w:hAnsi="宋体"/>
          <w:sz w:val="24"/>
          <w:szCs w:val="24"/>
        </w:rPr>
      </w:pPr>
      <w:r>
        <w:rPr>
          <w:rFonts w:hint="eastAsia" w:ascii="宋体" w:hAnsi="宋体"/>
          <w:bCs/>
          <w:sz w:val="24"/>
          <w:szCs w:val="24"/>
        </w:rPr>
        <w:t>项目名称：                                项目编号：</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985"/>
        <w:gridCol w:w="2648"/>
        <w:gridCol w:w="1246"/>
        <w:gridCol w:w="18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14" w:type="pct"/>
            <w:vAlign w:val="center"/>
          </w:tcPr>
          <w:p>
            <w:pPr>
              <w:pStyle w:val="81"/>
              <w:spacing w:line="400" w:lineRule="exact"/>
              <w:jc w:val="center"/>
              <w:rPr>
                <w:rFonts w:ascii="宋体" w:hAnsi="宋体"/>
                <w:b/>
                <w:bCs/>
                <w:sz w:val="24"/>
                <w:szCs w:val="24"/>
              </w:rPr>
            </w:pPr>
            <w:r>
              <w:rPr>
                <w:rFonts w:hint="eastAsia" w:ascii="宋体" w:hAnsi="宋体"/>
                <w:b/>
                <w:bCs/>
                <w:sz w:val="24"/>
                <w:szCs w:val="24"/>
              </w:rPr>
              <w:t>序号</w:t>
            </w:r>
          </w:p>
        </w:tc>
        <w:tc>
          <w:tcPr>
            <w:tcW w:w="1069" w:type="pct"/>
            <w:vAlign w:val="center"/>
          </w:tcPr>
          <w:p>
            <w:pPr>
              <w:pStyle w:val="81"/>
              <w:spacing w:line="400" w:lineRule="exact"/>
              <w:jc w:val="center"/>
              <w:rPr>
                <w:rFonts w:ascii="宋体" w:hAnsi="宋体"/>
                <w:b/>
                <w:bCs/>
                <w:sz w:val="24"/>
                <w:szCs w:val="24"/>
              </w:rPr>
            </w:pPr>
            <w:r>
              <w:rPr>
                <w:rFonts w:hint="eastAsia" w:ascii="宋体" w:hAnsi="宋体"/>
                <w:b/>
                <w:bCs/>
                <w:sz w:val="24"/>
                <w:szCs w:val="24"/>
              </w:rPr>
              <w:t>采购商务要求</w:t>
            </w:r>
          </w:p>
        </w:tc>
        <w:tc>
          <w:tcPr>
            <w:tcW w:w="1426" w:type="pct"/>
            <w:vAlign w:val="center"/>
          </w:tcPr>
          <w:p>
            <w:pPr>
              <w:pStyle w:val="81"/>
              <w:spacing w:line="400" w:lineRule="exact"/>
              <w:jc w:val="center"/>
              <w:rPr>
                <w:rFonts w:ascii="宋体" w:hAnsi="宋体"/>
                <w:b/>
                <w:bCs/>
                <w:sz w:val="24"/>
                <w:szCs w:val="24"/>
              </w:rPr>
            </w:pPr>
            <w:r>
              <w:rPr>
                <w:rFonts w:hint="eastAsia" w:ascii="宋体" w:hAnsi="宋体"/>
                <w:b/>
                <w:bCs/>
                <w:sz w:val="24"/>
                <w:szCs w:val="24"/>
              </w:rPr>
              <w:t>投标文件商务响应</w:t>
            </w:r>
          </w:p>
        </w:tc>
        <w:tc>
          <w:tcPr>
            <w:tcW w:w="671" w:type="pct"/>
            <w:vAlign w:val="center"/>
          </w:tcPr>
          <w:p>
            <w:pPr>
              <w:pStyle w:val="81"/>
              <w:spacing w:line="400" w:lineRule="exact"/>
              <w:jc w:val="center"/>
              <w:rPr>
                <w:rFonts w:ascii="宋体" w:hAnsi="宋体"/>
                <w:b/>
                <w:bCs/>
                <w:sz w:val="24"/>
                <w:szCs w:val="24"/>
              </w:rPr>
            </w:pPr>
            <w:r>
              <w:rPr>
                <w:rFonts w:hint="eastAsia" w:ascii="宋体" w:hAnsi="宋体"/>
                <w:b/>
                <w:bCs/>
                <w:sz w:val="24"/>
                <w:szCs w:val="24"/>
              </w:rPr>
              <w:t>偏离</w:t>
            </w:r>
          </w:p>
        </w:tc>
        <w:tc>
          <w:tcPr>
            <w:tcW w:w="1018" w:type="pct"/>
            <w:vAlign w:val="center"/>
          </w:tcPr>
          <w:p>
            <w:pPr>
              <w:pStyle w:val="81"/>
              <w:spacing w:line="400" w:lineRule="exact"/>
              <w:jc w:val="center"/>
              <w:rPr>
                <w:rFonts w:ascii="宋体" w:hAnsi="宋体"/>
                <w:b/>
                <w:bCs/>
                <w:sz w:val="24"/>
                <w:szCs w:val="24"/>
              </w:rPr>
            </w:pPr>
            <w:r>
              <w:rPr>
                <w:rFonts w:hint="eastAsia" w:ascii="宋体" w:hAnsi="宋体"/>
                <w:b/>
                <w:bCs/>
                <w:sz w:val="24"/>
                <w:szCs w:val="24"/>
              </w:rPr>
              <w:t>偏离</w:t>
            </w:r>
          </w:p>
          <w:p>
            <w:pPr>
              <w:pStyle w:val="81"/>
              <w:spacing w:line="400" w:lineRule="exact"/>
              <w:jc w:val="center"/>
              <w:rPr>
                <w:rFonts w:ascii="宋体" w:hAnsi="宋体"/>
                <w:b/>
                <w:bCs/>
                <w:sz w:val="24"/>
                <w:szCs w:val="24"/>
              </w:rPr>
            </w:pPr>
            <w:r>
              <w:rPr>
                <w:rFonts w:hint="eastAsia" w:ascii="宋体" w:hAnsi="宋体"/>
                <w:b/>
                <w:bCs/>
                <w:sz w:val="24"/>
                <w:szCs w:val="24"/>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814" w:type="pct"/>
          </w:tcPr>
          <w:p>
            <w:pPr>
              <w:pStyle w:val="81"/>
              <w:spacing w:line="400" w:lineRule="exact"/>
              <w:rPr>
                <w:rFonts w:ascii="宋体" w:hAnsi="宋体"/>
                <w:bCs/>
                <w:sz w:val="24"/>
                <w:szCs w:val="24"/>
              </w:rPr>
            </w:pPr>
          </w:p>
        </w:tc>
        <w:tc>
          <w:tcPr>
            <w:tcW w:w="1069" w:type="pct"/>
          </w:tcPr>
          <w:p>
            <w:pPr>
              <w:pStyle w:val="81"/>
              <w:spacing w:line="400" w:lineRule="exact"/>
              <w:rPr>
                <w:rFonts w:ascii="宋体" w:hAnsi="宋体"/>
                <w:bCs/>
                <w:sz w:val="24"/>
                <w:szCs w:val="24"/>
              </w:rPr>
            </w:pPr>
          </w:p>
        </w:tc>
        <w:tc>
          <w:tcPr>
            <w:tcW w:w="1426" w:type="pct"/>
          </w:tcPr>
          <w:p>
            <w:pPr>
              <w:pStyle w:val="81"/>
              <w:spacing w:line="400" w:lineRule="exact"/>
              <w:rPr>
                <w:rFonts w:ascii="宋体" w:hAnsi="宋体"/>
                <w:bCs/>
                <w:sz w:val="24"/>
                <w:szCs w:val="24"/>
              </w:rPr>
            </w:pPr>
          </w:p>
        </w:tc>
        <w:tc>
          <w:tcPr>
            <w:tcW w:w="671" w:type="pct"/>
          </w:tcPr>
          <w:p>
            <w:pPr>
              <w:pStyle w:val="81"/>
              <w:spacing w:line="400" w:lineRule="exact"/>
              <w:rPr>
                <w:rFonts w:ascii="宋体" w:hAnsi="宋体"/>
                <w:bCs/>
                <w:sz w:val="24"/>
                <w:szCs w:val="24"/>
              </w:rPr>
            </w:pPr>
          </w:p>
        </w:tc>
        <w:tc>
          <w:tcPr>
            <w:tcW w:w="1018" w:type="pct"/>
          </w:tcPr>
          <w:p>
            <w:pPr>
              <w:pStyle w:val="81"/>
              <w:spacing w:line="400" w:lineRule="exact"/>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814" w:type="pct"/>
          </w:tcPr>
          <w:p>
            <w:pPr>
              <w:pStyle w:val="81"/>
              <w:spacing w:line="400" w:lineRule="exact"/>
              <w:rPr>
                <w:rFonts w:ascii="宋体" w:hAnsi="宋体"/>
                <w:bCs/>
                <w:sz w:val="24"/>
                <w:szCs w:val="24"/>
              </w:rPr>
            </w:pPr>
          </w:p>
        </w:tc>
        <w:tc>
          <w:tcPr>
            <w:tcW w:w="1069" w:type="pct"/>
          </w:tcPr>
          <w:p>
            <w:pPr>
              <w:pStyle w:val="81"/>
              <w:spacing w:line="400" w:lineRule="exact"/>
              <w:rPr>
                <w:rFonts w:ascii="宋体" w:hAnsi="宋体"/>
                <w:bCs/>
                <w:sz w:val="24"/>
                <w:szCs w:val="24"/>
              </w:rPr>
            </w:pPr>
          </w:p>
        </w:tc>
        <w:tc>
          <w:tcPr>
            <w:tcW w:w="1426" w:type="pct"/>
          </w:tcPr>
          <w:p>
            <w:pPr>
              <w:pStyle w:val="81"/>
              <w:spacing w:line="400" w:lineRule="exact"/>
              <w:rPr>
                <w:rFonts w:ascii="宋体" w:hAnsi="宋体"/>
                <w:bCs/>
                <w:sz w:val="24"/>
                <w:szCs w:val="24"/>
              </w:rPr>
            </w:pPr>
          </w:p>
        </w:tc>
        <w:tc>
          <w:tcPr>
            <w:tcW w:w="671" w:type="pct"/>
          </w:tcPr>
          <w:p>
            <w:pPr>
              <w:pStyle w:val="81"/>
              <w:spacing w:line="400" w:lineRule="exact"/>
              <w:rPr>
                <w:rFonts w:ascii="宋体" w:hAnsi="宋体"/>
                <w:bCs/>
                <w:sz w:val="24"/>
                <w:szCs w:val="24"/>
              </w:rPr>
            </w:pPr>
          </w:p>
        </w:tc>
        <w:tc>
          <w:tcPr>
            <w:tcW w:w="1018" w:type="pct"/>
          </w:tcPr>
          <w:p>
            <w:pPr>
              <w:pStyle w:val="81"/>
              <w:spacing w:line="400" w:lineRule="exact"/>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814" w:type="pct"/>
          </w:tcPr>
          <w:p>
            <w:pPr>
              <w:pStyle w:val="81"/>
              <w:spacing w:line="400" w:lineRule="exact"/>
              <w:rPr>
                <w:rFonts w:ascii="宋体" w:hAnsi="宋体"/>
                <w:bCs/>
                <w:sz w:val="24"/>
                <w:szCs w:val="24"/>
              </w:rPr>
            </w:pPr>
          </w:p>
        </w:tc>
        <w:tc>
          <w:tcPr>
            <w:tcW w:w="1069" w:type="pct"/>
          </w:tcPr>
          <w:p>
            <w:pPr>
              <w:pStyle w:val="81"/>
              <w:spacing w:line="400" w:lineRule="exact"/>
              <w:rPr>
                <w:rFonts w:ascii="宋体" w:hAnsi="宋体"/>
                <w:bCs/>
                <w:sz w:val="24"/>
                <w:szCs w:val="24"/>
              </w:rPr>
            </w:pPr>
          </w:p>
        </w:tc>
        <w:tc>
          <w:tcPr>
            <w:tcW w:w="1426" w:type="pct"/>
          </w:tcPr>
          <w:p>
            <w:pPr>
              <w:pStyle w:val="81"/>
              <w:spacing w:line="400" w:lineRule="exact"/>
              <w:rPr>
                <w:rFonts w:ascii="宋体" w:hAnsi="宋体"/>
                <w:bCs/>
                <w:sz w:val="24"/>
                <w:szCs w:val="24"/>
              </w:rPr>
            </w:pPr>
          </w:p>
        </w:tc>
        <w:tc>
          <w:tcPr>
            <w:tcW w:w="671" w:type="pct"/>
          </w:tcPr>
          <w:p>
            <w:pPr>
              <w:pStyle w:val="81"/>
              <w:spacing w:line="400" w:lineRule="exact"/>
              <w:rPr>
                <w:rFonts w:ascii="宋体" w:hAnsi="宋体"/>
                <w:bCs/>
                <w:sz w:val="24"/>
                <w:szCs w:val="24"/>
              </w:rPr>
            </w:pPr>
          </w:p>
        </w:tc>
        <w:tc>
          <w:tcPr>
            <w:tcW w:w="1018" w:type="pct"/>
          </w:tcPr>
          <w:p>
            <w:pPr>
              <w:pStyle w:val="81"/>
              <w:spacing w:line="400" w:lineRule="exact"/>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814" w:type="pct"/>
          </w:tcPr>
          <w:p>
            <w:pPr>
              <w:pStyle w:val="81"/>
              <w:spacing w:line="400" w:lineRule="exact"/>
              <w:rPr>
                <w:rFonts w:ascii="宋体" w:hAnsi="宋体"/>
                <w:bCs/>
                <w:sz w:val="24"/>
                <w:szCs w:val="24"/>
              </w:rPr>
            </w:pPr>
          </w:p>
        </w:tc>
        <w:tc>
          <w:tcPr>
            <w:tcW w:w="1069" w:type="pct"/>
          </w:tcPr>
          <w:p>
            <w:pPr>
              <w:pStyle w:val="81"/>
              <w:spacing w:line="400" w:lineRule="exact"/>
              <w:rPr>
                <w:rFonts w:ascii="宋体" w:hAnsi="宋体"/>
                <w:bCs/>
                <w:sz w:val="24"/>
                <w:szCs w:val="24"/>
              </w:rPr>
            </w:pPr>
          </w:p>
        </w:tc>
        <w:tc>
          <w:tcPr>
            <w:tcW w:w="1426" w:type="pct"/>
          </w:tcPr>
          <w:p>
            <w:pPr>
              <w:pStyle w:val="81"/>
              <w:spacing w:line="400" w:lineRule="exact"/>
              <w:rPr>
                <w:rFonts w:ascii="宋体" w:hAnsi="宋体"/>
                <w:bCs/>
                <w:sz w:val="24"/>
                <w:szCs w:val="24"/>
              </w:rPr>
            </w:pPr>
          </w:p>
        </w:tc>
        <w:tc>
          <w:tcPr>
            <w:tcW w:w="671" w:type="pct"/>
          </w:tcPr>
          <w:p>
            <w:pPr>
              <w:pStyle w:val="81"/>
              <w:spacing w:line="400" w:lineRule="exact"/>
              <w:rPr>
                <w:rFonts w:ascii="宋体" w:hAnsi="宋体"/>
                <w:bCs/>
                <w:sz w:val="24"/>
                <w:szCs w:val="24"/>
              </w:rPr>
            </w:pPr>
          </w:p>
        </w:tc>
        <w:tc>
          <w:tcPr>
            <w:tcW w:w="1018" w:type="pct"/>
          </w:tcPr>
          <w:p>
            <w:pPr>
              <w:pStyle w:val="81"/>
              <w:spacing w:line="400" w:lineRule="exact"/>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814" w:type="pct"/>
          </w:tcPr>
          <w:p>
            <w:pPr>
              <w:pStyle w:val="81"/>
              <w:spacing w:line="400" w:lineRule="exact"/>
              <w:rPr>
                <w:rFonts w:ascii="宋体" w:hAnsi="宋体"/>
                <w:bCs/>
                <w:sz w:val="24"/>
                <w:szCs w:val="24"/>
              </w:rPr>
            </w:pPr>
          </w:p>
        </w:tc>
        <w:tc>
          <w:tcPr>
            <w:tcW w:w="1069" w:type="pct"/>
          </w:tcPr>
          <w:p>
            <w:pPr>
              <w:pStyle w:val="81"/>
              <w:spacing w:line="400" w:lineRule="exact"/>
              <w:rPr>
                <w:rFonts w:ascii="宋体" w:hAnsi="宋体"/>
                <w:bCs/>
                <w:sz w:val="24"/>
                <w:szCs w:val="24"/>
              </w:rPr>
            </w:pPr>
          </w:p>
        </w:tc>
        <w:tc>
          <w:tcPr>
            <w:tcW w:w="1426" w:type="pct"/>
          </w:tcPr>
          <w:p>
            <w:pPr>
              <w:pStyle w:val="81"/>
              <w:spacing w:line="400" w:lineRule="exact"/>
              <w:rPr>
                <w:rFonts w:ascii="宋体" w:hAnsi="宋体"/>
                <w:bCs/>
                <w:sz w:val="24"/>
                <w:szCs w:val="24"/>
              </w:rPr>
            </w:pPr>
          </w:p>
        </w:tc>
        <w:tc>
          <w:tcPr>
            <w:tcW w:w="671" w:type="pct"/>
          </w:tcPr>
          <w:p>
            <w:pPr>
              <w:pStyle w:val="81"/>
              <w:spacing w:line="400" w:lineRule="exact"/>
              <w:rPr>
                <w:rFonts w:ascii="宋体" w:hAnsi="宋体"/>
                <w:bCs/>
                <w:sz w:val="24"/>
                <w:szCs w:val="24"/>
              </w:rPr>
            </w:pPr>
          </w:p>
        </w:tc>
        <w:tc>
          <w:tcPr>
            <w:tcW w:w="1018" w:type="pct"/>
          </w:tcPr>
          <w:p>
            <w:pPr>
              <w:pStyle w:val="81"/>
              <w:spacing w:line="400" w:lineRule="exact"/>
              <w:rPr>
                <w:rFonts w:ascii="宋体" w:hAnsi="宋体"/>
                <w:bCs/>
                <w:sz w:val="24"/>
                <w:szCs w:val="24"/>
              </w:rPr>
            </w:pPr>
          </w:p>
        </w:tc>
      </w:tr>
    </w:tbl>
    <w:p>
      <w:pPr>
        <w:pStyle w:val="81"/>
        <w:spacing w:line="400" w:lineRule="exact"/>
        <w:rPr>
          <w:rFonts w:ascii="宋体" w:hAnsi="宋体"/>
          <w:b/>
          <w:bCs/>
          <w:sz w:val="24"/>
          <w:szCs w:val="24"/>
        </w:rPr>
      </w:pPr>
      <w:r>
        <w:rPr>
          <w:rFonts w:hint="eastAsia" w:ascii="宋体" w:hAnsi="宋体"/>
          <w:b/>
          <w:bCs/>
          <w:sz w:val="24"/>
          <w:szCs w:val="24"/>
        </w:rPr>
        <w:t>说明：</w:t>
      </w:r>
    </w:p>
    <w:p>
      <w:pPr>
        <w:pStyle w:val="81"/>
        <w:spacing w:line="400" w:lineRule="exact"/>
        <w:rPr>
          <w:rFonts w:ascii="宋体" w:hAnsi="宋体"/>
          <w:b/>
          <w:bCs/>
          <w:sz w:val="24"/>
        </w:rPr>
      </w:pPr>
      <w:r>
        <w:rPr>
          <w:rFonts w:hint="eastAsia" w:ascii="宋体" w:hAnsi="宋体"/>
          <w:b/>
          <w:bCs/>
          <w:sz w:val="24"/>
        </w:rPr>
        <w:t>1.本表须逐如实填写，不得空缺；如空缺将视为没有实质性响应招标文件。</w:t>
      </w:r>
    </w:p>
    <w:p>
      <w:pPr>
        <w:pStyle w:val="81"/>
        <w:spacing w:line="400" w:lineRule="exact"/>
        <w:rPr>
          <w:rFonts w:ascii="宋体" w:hAnsi="宋体"/>
          <w:b/>
          <w:bCs/>
          <w:sz w:val="24"/>
        </w:rPr>
      </w:pPr>
      <w:r>
        <w:rPr>
          <w:rFonts w:hint="eastAsia" w:ascii="宋体" w:hAnsi="宋体"/>
          <w:b/>
          <w:bCs/>
          <w:sz w:val="24"/>
        </w:rPr>
        <w:t>2.偏离填写：优于、低于、相同。</w:t>
      </w:r>
    </w:p>
    <w:p>
      <w:pPr>
        <w:pStyle w:val="81"/>
        <w:spacing w:line="400" w:lineRule="exact"/>
        <w:rPr>
          <w:rFonts w:ascii="宋体" w:hAnsi="宋体"/>
          <w:b/>
          <w:bCs/>
          <w:sz w:val="24"/>
        </w:rPr>
      </w:pPr>
      <w:r>
        <w:rPr>
          <w:rFonts w:hint="eastAsia" w:ascii="宋体" w:hAnsi="宋体"/>
          <w:b/>
          <w:bCs/>
          <w:sz w:val="24"/>
        </w:rPr>
        <w:t>3.投标人必须据实填写，不得虚假响应，否则将取消其投标或中标资格，并按有关规定进行处罚。</w:t>
      </w:r>
    </w:p>
    <w:p>
      <w:pPr>
        <w:pStyle w:val="81"/>
        <w:spacing w:line="400" w:lineRule="exact"/>
        <w:rPr>
          <w:rFonts w:ascii="宋体" w:hAnsi="宋体"/>
          <w:sz w:val="24"/>
          <w:szCs w:val="24"/>
        </w:rPr>
      </w:pPr>
    </w:p>
    <w:p>
      <w:pPr>
        <w:pStyle w:val="81"/>
        <w:spacing w:line="400" w:lineRule="exact"/>
        <w:rPr>
          <w:rFonts w:ascii="宋体" w:hAnsi="宋体"/>
          <w:sz w:val="24"/>
          <w:szCs w:val="24"/>
        </w:rPr>
      </w:pPr>
    </w:p>
    <w:p>
      <w:pPr>
        <w:pStyle w:val="81"/>
        <w:spacing w:line="400" w:lineRule="exact"/>
        <w:ind w:firstLine="3240" w:firstLineChars="1350"/>
        <w:rPr>
          <w:rFonts w:ascii="宋体" w:hAnsi="宋体"/>
          <w:sz w:val="24"/>
          <w:szCs w:val="24"/>
        </w:rPr>
      </w:pPr>
      <w:r>
        <w:rPr>
          <w:rFonts w:hint="eastAsia" w:ascii="宋体" w:hAnsi="宋体"/>
          <w:sz w:val="24"/>
          <w:szCs w:val="24"/>
        </w:rPr>
        <w:t>投标人（公章）：</w:t>
      </w:r>
      <w:r>
        <w:rPr>
          <w:rFonts w:hint="eastAsia" w:ascii="宋体" w:hAnsi="宋体"/>
          <w:sz w:val="24"/>
          <w:szCs w:val="24"/>
          <w:u w:val="single"/>
        </w:rPr>
        <w:t xml:space="preserve">                       </w:t>
      </w:r>
    </w:p>
    <w:p>
      <w:pPr>
        <w:pStyle w:val="81"/>
        <w:spacing w:line="400" w:lineRule="exact"/>
        <w:ind w:firstLine="3240" w:firstLineChars="1350"/>
        <w:rPr>
          <w:rFonts w:ascii="宋体" w:hAnsi="宋体"/>
          <w:sz w:val="24"/>
          <w:szCs w:val="24"/>
          <w:u w:val="single"/>
        </w:rPr>
      </w:pPr>
      <w:r>
        <w:rPr>
          <w:rFonts w:hint="eastAsia" w:ascii="宋体" w:hAnsi="宋体"/>
          <w:sz w:val="24"/>
          <w:szCs w:val="24"/>
        </w:rPr>
        <w:t>法定代表人/授权代表（签字或盖章）：</w:t>
      </w:r>
      <w:r>
        <w:rPr>
          <w:rFonts w:hint="eastAsia" w:ascii="宋体" w:hAnsi="宋体"/>
          <w:sz w:val="24"/>
          <w:szCs w:val="24"/>
          <w:u w:val="single"/>
        </w:rPr>
        <w:t xml:space="preserve">     </w:t>
      </w:r>
    </w:p>
    <w:p>
      <w:pPr>
        <w:pStyle w:val="81"/>
        <w:spacing w:line="400" w:lineRule="exact"/>
        <w:ind w:firstLine="3240" w:firstLineChars="1350"/>
        <w:rPr>
          <w:rFonts w:ascii="宋体" w:hAnsi="宋体"/>
          <w:sz w:val="24"/>
          <w:szCs w:val="24"/>
          <w:u w:val="single"/>
        </w:rPr>
      </w:pPr>
      <w:r>
        <w:rPr>
          <w:rFonts w:hint="eastAsia" w:ascii="宋体" w:hAnsi="宋体"/>
          <w:sz w:val="24"/>
          <w:szCs w:val="24"/>
        </w:rPr>
        <w:t>日    期：</w:t>
      </w:r>
      <w:r>
        <w:rPr>
          <w:rFonts w:hint="eastAsia" w:ascii="宋体" w:hAnsi="宋体"/>
          <w:sz w:val="24"/>
          <w:szCs w:val="24"/>
          <w:u w:val="single"/>
        </w:rPr>
        <w:t xml:space="preserve">                            </w:t>
      </w:r>
    </w:p>
    <w:p>
      <w:pPr>
        <w:pStyle w:val="5"/>
        <w:spacing w:before="0" w:after="120" w:afterLines="50" w:line="360" w:lineRule="auto"/>
        <w:jc w:val="center"/>
        <w:rPr>
          <w:b w:val="0"/>
          <w:bCs/>
        </w:rPr>
      </w:pPr>
      <w:r>
        <w:rPr>
          <w:rFonts w:ascii="宋体" w:hAnsi="宋体"/>
          <w:b w:val="0"/>
          <w:sz w:val="24"/>
          <w:szCs w:val="24"/>
        </w:rPr>
        <w:br w:type="page"/>
      </w:r>
      <w:bookmarkStart w:id="217" w:name="_Toc475451555"/>
      <w:bookmarkStart w:id="218" w:name="_Toc475451802"/>
      <w:bookmarkStart w:id="219" w:name="_Toc473056005"/>
      <w:bookmarkStart w:id="220" w:name="_Toc4599"/>
      <w:bookmarkStart w:id="221" w:name="_Toc32409"/>
      <w:bookmarkStart w:id="222" w:name="_Toc511832008"/>
      <w:bookmarkStart w:id="223" w:name="_Toc13221"/>
      <w:bookmarkStart w:id="224" w:name="_Toc529953007"/>
      <w:r>
        <w:rPr>
          <w:rFonts w:hint="eastAsia" w:ascii="宋体" w:hAnsi="宋体" w:eastAsia="宋体"/>
          <w:bCs/>
        </w:rPr>
        <w:t>五、</w:t>
      </w:r>
      <w:bookmarkEnd w:id="217"/>
      <w:bookmarkEnd w:id="218"/>
      <w:bookmarkEnd w:id="219"/>
      <w:r>
        <w:rPr>
          <w:rFonts w:hint="eastAsia" w:ascii="宋体" w:hAnsi="宋体" w:eastAsia="宋体"/>
          <w:bCs/>
        </w:rPr>
        <w:t>技术方案</w:t>
      </w:r>
      <w:bookmarkEnd w:id="220"/>
      <w:bookmarkEnd w:id="221"/>
      <w:bookmarkEnd w:id="222"/>
      <w:bookmarkEnd w:id="223"/>
      <w:bookmarkEnd w:id="224"/>
    </w:p>
    <w:p>
      <w:pPr>
        <w:pStyle w:val="81"/>
        <w:spacing w:line="400" w:lineRule="exact"/>
        <w:rPr>
          <w:rFonts w:ascii="宋体" w:hAnsi="宋体"/>
          <w:sz w:val="24"/>
        </w:rPr>
      </w:pPr>
    </w:p>
    <w:p>
      <w:pPr>
        <w:pStyle w:val="81"/>
        <w:spacing w:line="400" w:lineRule="exact"/>
        <w:jc w:val="center"/>
        <w:rPr>
          <w:rFonts w:ascii="宋体" w:hAnsi="宋体"/>
          <w:sz w:val="24"/>
        </w:rPr>
      </w:pPr>
      <w:bookmarkStart w:id="225" w:name="_Toc511832009"/>
      <w:r>
        <w:rPr>
          <w:rFonts w:hint="eastAsia" w:ascii="宋体" w:hAnsi="宋体"/>
          <w:sz w:val="24"/>
        </w:rPr>
        <w:t>各投标人根据采购需求及评标办法技术方案评审内容描述</w:t>
      </w:r>
    </w:p>
    <w:p>
      <w:pPr>
        <w:autoSpaceDE w:val="0"/>
        <w:autoSpaceDN w:val="0"/>
        <w:adjustRightInd w:val="0"/>
        <w:spacing w:line="348" w:lineRule="auto"/>
        <w:jc w:val="center"/>
        <w:rPr>
          <w:rFonts w:ascii="宋体" w:hAnsi="宋体" w:cs="宋体"/>
          <w:b/>
          <w:bCs/>
          <w:sz w:val="24"/>
        </w:rPr>
      </w:pPr>
      <w:r>
        <w:rPr>
          <w:rFonts w:hint="eastAsia" w:ascii="宋体" w:hAnsi="宋体" w:cs="宋体"/>
          <w:b/>
          <w:bCs/>
          <w:sz w:val="24"/>
        </w:rPr>
        <w:t>（投标人格式自行拟定）</w:t>
      </w:r>
    </w:p>
    <w:p>
      <w:pPr>
        <w:pStyle w:val="5"/>
        <w:jc w:val="center"/>
      </w:pPr>
      <w:r>
        <w:br w:type="page"/>
      </w:r>
      <w:bookmarkStart w:id="226" w:name="_Toc14882"/>
      <w:bookmarkStart w:id="227" w:name="_Toc18558"/>
      <w:bookmarkStart w:id="228" w:name="_Toc529953008"/>
      <w:bookmarkStart w:id="229" w:name="_Toc11768"/>
      <w:r>
        <w:rPr>
          <w:rFonts w:hint="eastAsia" w:ascii="宋体" w:hAnsi="宋体" w:eastAsia="宋体"/>
          <w:bCs/>
        </w:rPr>
        <w:t>六 、投标人资格证明文件</w:t>
      </w:r>
      <w:bookmarkEnd w:id="225"/>
      <w:bookmarkEnd w:id="226"/>
      <w:bookmarkEnd w:id="227"/>
      <w:bookmarkEnd w:id="228"/>
      <w:bookmarkEnd w:id="229"/>
    </w:p>
    <w:p>
      <w:pPr>
        <w:tabs>
          <w:tab w:val="left" w:pos="9030"/>
        </w:tabs>
        <w:snapToGrid w:val="0"/>
        <w:spacing w:line="360" w:lineRule="auto"/>
        <w:ind w:right="-65" w:firstLine="480" w:firstLineChars="200"/>
        <w:rPr>
          <w:rFonts w:ascii="宋体" w:hAnsi="宋体" w:cs="宋体"/>
          <w:bCs/>
          <w:sz w:val="24"/>
        </w:rPr>
      </w:pPr>
      <w:r>
        <w:rPr>
          <w:rFonts w:hint="eastAsia" w:ascii="宋体" w:hAnsi="宋体" w:cs="宋体"/>
          <w:bCs/>
          <w:sz w:val="24"/>
        </w:rPr>
        <w:t>投标人资格要求：</w:t>
      </w:r>
    </w:p>
    <w:p>
      <w:pPr>
        <w:numPr>
          <w:ilvl w:val="0"/>
          <w:numId w:val="5"/>
        </w:numPr>
        <w:spacing w:line="360" w:lineRule="auto"/>
        <w:ind w:firstLine="480" w:firstLineChars="200"/>
        <w:jc w:val="left"/>
        <w:rPr>
          <w:rFonts w:ascii="宋体" w:hAnsi="宋体" w:cs="宋体"/>
          <w:kern w:val="0"/>
          <w:sz w:val="24"/>
        </w:rPr>
      </w:pPr>
      <w:r>
        <w:rPr>
          <w:rFonts w:hint="eastAsia" w:ascii="宋体" w:hAnsi="宋体" w:cs="宋体"/>
          <w:color w:val="000000"/>
          <w:kern w:val="0"/>
          <w:sz w:val="24"/>
        </w:rPr>
        <w:t>具有独立承担民事责任能力的</w:t>
      </w:r>
      <w:r>
        <w:rPr>
          <w:rFonts w:hint="eastAsia" w:ascii="宋体" w:hAnsi="宋体" w:cs="宋体"/>
          <w:kern w:val="0"/>
          <w:sz w:val="24"/>
        </w:rPr>
        <w:t xml:space="preserve">法人、其他组织或自然人，营业执照、组织机构代码证、税务登记证（三证合一只提供营业执照，事业单位提供事业单位法人证书，自然人应提供身份证）合法有效； </w:t>
      </w:r>
    </w:p>
    <w:p>
      <w:pPr>
        <w:numPr>
          <w:ilvl w:val="0"/>
          <w:numId w:val="5"/>
        </w:numPr>
        <w:spacing w:line="360" w:lineRule="auto"/>
        <w:ind w:firstLine="480" w:firstLineChars="200"/>
        <w:jc w:val="left"/>
        <w:rPr>
          <w:rFonts w:ascii="宋体" w:hAnsi="宋体" w:cs="宋体"/>
          <w:kern w:val="0"/>
          <w:sz w:val="24"/>
        </w:rPr>
      </w:pPr>
      <w:r>
        <w:rPr>
          <w:rFonts w:hint="eastAsia" w:ascii="宋体" w:hAnsi="宋体" w:cs="宋体"/>
          <w:kern w:val="0"/>
          <w:sz w:val="24"/>
        </w:rPr>
        <w:t>法定代表人参加投标时，提供本人身份证；授权代表参加投标时，提供法定代表人授权书和被授权人身份证；非法人单位参照执行；</w:t>
      </w:r>
    </w:p>
    <w:p>
      <w:pPr>
        <w:numPr>
          <w:ilvl w:val="0"/>
          <w:numId w:val="5"/>
        </w:numPr>
        <w:spacing w:line="360" w:lineRule="auto"/>
        <w:ind w:firstLine="480" w:firstLineChars="200"/>
        <w:jc w:val="left"/>
        <w:rPr>
          <w:rFonts w:ascii="宋体" w:hAnsi="宋体" w:cs="宋体"/>
          <w:kern w:val="0"/>
          <w:sz w:val="24"/>
        </w:rPr>
      </w:pPr>
      <w:r>
        <w:rPr>
          <w:rFonts w:hint="eastAsia" w:ascii="宋体" w:hAnsi="宋体"/>
          <w:kern w:val="0"/>
          <w:sz w:val="24"/>
        </w:rPr>
        <w:t>投标人须具有行政主管部门颁发的合格有效的《出版物经营许可证》</w:t>
      </w:r>
      <w:r>
        <w:rPr>
          <w:rFonts w:hint="eastAsia" w:ascii="宋体" w:hAnsi="宋体" w:cs="宋体"/>
          <w:kern w:val="0"/>
          <w:sz w:val="24"/>
        </w:rPr>
        <w:t>；</w:t>
      </w:r>
    </w:p>
    <w:p>
      <w:pPr>
        <w:numPr>
          <w:ilvl w:val="0"/>
          <w:numId w:val="5"/>
        </w:numPr>
        <w:spacing w:line="360" w:lineRule="auto"/>
        <w:ind w:firstLine="480" w:firstLineChars="200"/>
        <w:jc w:val="left"/>
        <w:rPr>
          <w:rFonts w:ascii="宋体" w:hAnsi="宋体" w:cs="宋体"/>
          <w:kern w:val="0"/>
          <w:sz w:val="24"/>
        </w:rPr>
      </w:pPr>
      <w:r>
        <w:rPr>
          <w:rFonts w:hint="eastAsia" w:ascii="宋体" w:hAnsi="宋体" w:cs="宋体"/>
          <w:kern w:val="0"/>
          <w:sz w:val="24"/>
        </w:rPr>
        <w:t>投标单位负责人为同一人或者存在控股、管理关系的不同单位不得同时进行投标；</w:t>
      </w:r>
    </w:p>
    <w:p>
      <w:pPr>
        <w:numPr>
          <w:ilvl w:val="0"/>
          <w:numId w:val="5"/>
        </w:numPr>
        <w:spacing w:line="360" w:lineRule="auto"/>
        <w:ind w:firstLine="480" w:firstLineChars="200"/>
        <w:jc w:val="left"/>
        <w:rPr>
          <w:rFonts w:ascii="宋体" w:hAnsi="宋体" w:cs="宋体"/>
          <w:kern w:val="0"/>
          <w:sz w:val="24"/>
        </w:rPr>
      </w:pPr>
      <w:r>
        <w:rPr>
          <w:rFonts w:hint="eastAsia" w:ascii="宋体" w:hAnsi="宋体" w:cs="宋体"/>
          <w:kern w:val="0"/>
          <w:sz w:val="24"/>
        </w:rPr>
        <w:t>具有履行本合同所必需的设备和专业技术能力；</w:t>
      </w:r>
    </w:p>
    <w:p>
      <w:pPr>
        <w:numPr>
          <w:ilvl w:val="0"/>
          <w:numId w:val="5"/>
        </w:numPr>
        <w:spacing w:line="360" w:lineRule="auto"/>
        <w:ind w:firstLine="480" w:firstLineChars="200"/>
        <w:jc w:val="left"/>
        <w:rPr>
          <w:rFonts w:ascii="宋体" w:hAnsi="宋体" w:cs="宋体"/>
          <w:kern w:val="0"/>
          <w:sz w:val="24"/>
        </w:rPr>
      </w:pPr>
      <w:r>
        <w:rPr>
          <w:rFonts w:hint="eastAsia" w:ascii="宋体" w:hAnsi="宋体" w:cs="宋体"/>
          <w:kern w:val="0"/>
          <w:sz w:val="24"/>
        </w:rPr>
        <w:t>参加政府采购活动前三年内，在经营活动中没有重大违法记录的书面声明；</w:t>
      </w:r>
    </w:p>
    <w:p>
      <w:pPr>
        <w:numPr>
          <w:ilvl w:val="0"/>
          <w:numId w:val="5"/>
        </w:numPr>
        <w:spacing w:line="360" w:lineRule="auto"/>
        <w:ind w:firstLine="480" w:firstLineChars="200"/>
        <w:jc w:val="left"/>
        <w:rPr>
          <w:rFonts w:ascii="宋体" w:hAnsi="宋体" w:cs="宋体"/>
          <w:kern w:val="0"/>
          <w:sz w:val="24"/>
        </w:rPr>
      </w:pPr>
      <w:r>
        <w:rPr>
          <w:rFonts w:hint="eastAsia" w:ascii="宋体" w:hAnsi="宋体" w:cs="宋体"/>
          <w:kern w:val="0"/>
          <w:sz w:val="24"/>
        </w:rPr>
        <w:t>税收缴纳证明：提供投标单位2022年1月至今已缴纳任意一个月完税凭证或税务机关开具的完税证明（任意税种）；依法免税的应提供相关文件证明；</w:t>
      </w:r>
    </w:p>
    <w:p>
      <w:pPr>
        <w:numPr>
          <w:ilvl w:val="0"/>
          <w:numId w:val="5"/>
        </w:numPr>
        <w:spacing w:line="360" w:lineRule="auto"/>
        <w:ind w:firstLine="480" w:firstLineChars="200"/>
        <w:jc w:val="left"/>
        <w:rPr>
          <w:rFonts w:ascii="宋体" w:hAnsi="宋体" w:cs="宋体"/>
          <w:kern w:val="0"/>
          <w:sz w:val="24"/>
        </w:rPr>
      </w:pPr>
      <w:r>
        <w:rPr>
          <w:rFonts w:hint="eastAsia" w:ascii="宋体" w:hAnsi="宋体" w:cs="宋体"/>
          <w:kern w:val="0"/>
          <w:sz w:val="24"/>
        </w:rPr>
        <w:t>社会保障资金缴纳证明：提供投标单位2022年1月至今已缴存的任意一个月的社会保障资金缴存证明或社保机构开具的社会保险参保缴费情况证明；依法不需要缴纳社会保障资金的应提供相关文件证明；</w:t>
      </w:r>
    </w:p>
    <w:p>
      <w:pPr>
        <w:numPr>
          <w:ilvl w:val="0"/>
          <w:numId w:val="5"/>
        </w:numPr>
        <w:spacing w:line="360" w:lineRule="auto"/>
        <w:ind w:firstLine="480" w:firstLineChars="200"/>
        <w:jc w:val="left"/>
        <w:rPr>
          <w:rFonts w:ascii="宋体" w:hAnsi="宋体" w:cs="宋体"/>
          <w:kern w:val="0"/>
          <w:sz w:val="24"/>
        </w:rPr>
      </w:pPr>
      <w:r>
        <w:rPr>
          <w:rFonts w:hint="eastAsia" w:ascii="宋体" w:hAnsi="宋体" w:cs="宋体"/>
          <w:kern w:val="0"/>
          <w:sz w:val="24"/>
        </w:rPr>
        <w:t>财务状况报告：提供2021年经审计的财务报告或开标前三个月内开户银行开具的资信证明；</w:t>
      </w:r>
    </w:p>
    <w:p>
      <w:pPr>
        <w:spacing w:line="360" w:lineRule="auto"/>
        <w:ind w:firstLine="480" w:firstLineChars="200"/>
        <w:jc w:val="left"/>
        <w:rPr>
          <w:rFonts w:ascii="宋体" w:hAnsi="宋体" w:cs="宋体"/>
          <w:kern w:val="0"/>
          <w:sz w:val="24"/>
        </w:rPr>
      </w:pPr>
      <w:r>
        <w:rPr>
          <w:rFonts w:hint="eastAsia" w:ascii="宋体" w:hAnsi="宋体" w:cs="宋体"/>
          <w:kern w:val="0"/>
          <w:sz w:val="24"/>
        </w:rPr>
        <w:t>10、投标人不得为“信用中国”网站（www.creditchina.gov.cn）（中国执行信息公开网）和中国政府采购网（www.ccgp.gov.cn）中被列入失信被执行人、重大税收违法失信主体、政府采购严重违法失信行为记录名单的单位。</w:t>
      </w:r>
    </w:p>
    <w:p>
      <w:pPr>
        <w:pStyle w:val="2"/>
      </w:pPr>
    </w:p>
    <w:p>
      <w:pPr>
        <w:tabs>
          <w:tab w:val="left" w:pos="9030"/>
        </w:tabs>
        <w:snapToGrid w:val="0"/>
        <w:spacing w:line="360" w:lineRule="auto"/>
        <w:ind w:right="-65" w:firstLine="480" w:firstLineChars="200"/>
        <w:rPr>
          <w:rFonts w:ascii="宋体" w:hAnsi="宋体" w:cs="宋体"/>
          <w:bCs/>
          <w:sz w:val="24"/>
        </w:rPr>
      </w:pPr>
      <w:r>
        <w:rPr>
          <w:rFonts w:hint="eastAsia" w:ascii="宋体" w:hAnsi="宋体" w:cs="宋体"/>
          <w:bCs/>
          <w:sz w:val="24"/>
        </w:rPr>
        <w:t>注：本项目不允许联合体投标；</w:t>
      </w:r>
    </w:p>
    <w:p>
      <w:pPr>
        <w:pStyle w:val="81"/>
        <w:spacing w:line="400" w:lineRule="exact"/>
        <w:ind w:firstLine="480" w:firstLineChars="200"/>
        <w:rPr>
          <w:b/>
          <w:sz w:val="28"/>
          <w:szCs w:val="24"/>
        </w:rPr>
      </w:pPr>
      <w:bookmarkStart w:id="230" w:name="_Toc511832011"/>
      <w:bookmarkStart w:id="231" w:name="_Toc529953010"/>
      <w:r>
        <w:rPr>
          <w:rFonts w:hint="eastAsia" w:ascii="宋体" w:hAnsi="宋体" w:cs="宋体"/>
          <w:bCs/>
          <w:sz w:val="24"/>
          <w:szCs w:val="24"/>
        </w:rPr>
        <w:t>以上均为各投标人必备要求，不得缺项。</w:t>
      </w:r>
    </w:p>
    <w:p>
      <w:pPr>
        <w:pStyle w:val="81"/>
        <w:spacing w:line="400" w:lineRule="exact"/>
        <w:rPr>
          <w:b/>
          <w:sz w:val="28"/>
          <w:szCs w:val="24"/>
          <w:highlight w:val="yellow"/>
        </w:rPr>
      </w:pPr>
    </w:p>
    <w:p>
      <w:pPr>
        <w:pStyle w:val="81"/>
        <w:spacing w:line="400" w:lineRule="exact"/>
        <w:rPr>
          <w:b/>
          <w:sz w:val="28"/>
          <w:szCs w:val="24"/>
        </w:rPr>
      </w:pPr>
    </w:p>
    <w:p>
      <w:pPr>
        <w:rPr>
          <w:b/>
          <w:sz w:val="28"/>
        </w:rPr>
      </w:pPr>
      <w:r>
        <w:rPr>
          <w:rFonts w:hint="eastAsia"/>
          <w:b/>
          <w:sz w:val="28"/>
        </w:rPr>
        <w:br w:type="page"/>
      </w:r>
    </w:p>
    <w:p>
      <w:pPr>
        <w:pStyle w:val="81"/>
        <w:numPr>
          <w:ilvl w:val="0"/>
          <w:numId w:val="6"/>
        </w:numPr>
        <w:spacing w:line="400" w:lineRule="exact"/>
        <w:jc w:val="center"/>
        <w:rPr>
          <w:b/>
          <w:sz w:val="28"/>
          <w:szCs w:val="24"/>
        </w:rPr>
      </w:pPr>
      <w:r>
        <w:rPr>
          <w:rFonts w:hint="eastAsia"/>
          <w:b/>
          <w:sz w:val="28"/>
          <w:szCs w:val="24"/>
        </w:rPr>
        <w:t>营业执照复印件</w:t>
      </w: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b/>
          <w:sz w:val="28"/>
          <w:szCs w:val="24"/>
        </w:rPr>
      </w:pPr>
    </w:p>
    <w:p>
      <w:pPr>
        <w:pStyle w:val="81"/>
        <w:spacing w:line="400" w:lineRule="exact"/>
        <w:jc w:val="center"/>
        <w:rPr>
          <w:rFonts w:ascii="宋体" w:hAnsi="宋体"/>
          <w:b/>
          <w:sz w:val="24"/>
        </w:rPr>
      </w:pPr>
      <w:r>
        <w:rPr>
          <w:rFonts w:hint="eastAsia"/>
          <w:b/>
          <w:sz w:val="28"/>
          <w:szCs w:val="24"/>
        </w:rPr>
        <w:t>2</w:t>
      </w:r>
      <w:r>
        <w:rPr>
          <w:b/>
          <w:sz w:val="28"/>
          <w:szCs w:val="24"/>
        </w:rPr>
        <w:t>.</w:t>
      </w:r>
      <w:r>
        <w:rPr>
          <w:rFonts w:hint="eastAsia"/>
          <w:b/>
          <w:sz w:val="28"/>
          <w:szCs w:val="24"/>
        </w:rPr>
        <w:t>法定代表人（单位负责人）身份证明及</w:t>
      </w:r>
      <w:r>
        <w:rPr>
          <w:b/>
          <w:sz w:val="28"/>
          <w:szCs w:val="24"/>
        </w:rPr>
        <w:t>法定代表人授权书</w:t>
      </w:r>
      <w:bookmarkEnd w:id="230"/>
      <w:bookmarkEnd w:id="231"/>
    </w:p>
    <w:p>
      <w:pPr>
        <w:pStyle w:val="81"/>
        <w:spacing w:line="400" w:lineRule="exact"/>
        <w:jc w:val="center"/>
        <w:rPr>
          <w:rFonts w:ascii="宋体" w:hAnsi="宋体"/>
          <w:b/>
          <w:sz w:val="24"/>
          <w:szCs w:val="24"/>
        </w:rPr>
      </w:pPr>
      <w:bookmarkStart w:id="232" w:name="_Toc529953011"/>
      <w:bookmarkStart w:id="233" w:name="_Toc511832012"/>
      <w:r>
        <w:rPr>
          <w:rFonts w:hint="eastAsia" w:ascii="宋体" w:hAnsi="宋体"/>
          <w:b/>
          <w:sz w:val="24"/>
          <w:szCs w:val="24"/>
        </w:rPr>
        <w:t>（1）</w:t>
      </w:r>
      <w:r>
        <w:rPr>
          <w:rFonts w:ascii="宋体" w:hAnsi="宋体"/>
          <w:b/>
          <w:sz w:val="24"/>
          <w:szCs w:val="24"/>
        </w:rPr>
        <w:t>法定代表人</w:t>
      </w:r>
      <w:r>
        <w:rPr>
          <w:rFonts w:hint="eastAsia" w:ascii="宋体" w:hAnsi="宋体"/>
          <w:b/>
          <w:sz w:val="24"/>
          <w:szCs w:val="24"/>
        </w:rPr>
        <w:t>（单位负责人）</w:t>
      </w:r>
      <w:r>
        <w:rPr>
          <w:rFonts w:ascii="宋体" w:hAnsi="宋体"/>
          <w:b/>
          <w:sz w:val="24"/>
          <w:szCs w:val="24"/>
        </w:rPr>
        <w:t>身份证明</w:t>
      </w:r>
      <w:bookmarkEnd w:id="232"/>
      <w:bookmarkEnd w:id="233"/>
    </w:p>
    <w:p>
      <w:pPr>
        <w:pStyle w:val="81"/>
        <w:spacing w:line="400" w:lineRule="exact"/>
        <w:rPr>
          <w:rFonts w:ascii="宋体" w:hAnsi="宋体"/>
          <w:sz w:val="24"/>
          <w:szCs w:val="24"/>
        </w:rPr>
      </w:pPr>
      <w:r>
        <w:rPr>
          <w:rFonts w:hint="eastAsia" w:ascii="宋体" w:hAnsi="宋体"/>
          <w:sz w:val="24"/>
          <w:szCs w:val="24"/>
        </w:rPr>
        <w:t>投标人名称：</w:t>
      </w:r>
      <w:r>
        <w:rPr>
          <w:rFonts w:hint="eastAsia" w:ascii="宋体" w:hAnsi="宋体"/>
          <w:sz w:val="24"/>
          <w:szCs w:val="24"/>
          <w:u w:val="single"/>
        </w:rPr>
        <w:t xml:space="preserve">                                       </w:t>
      </w:r>
      <w:r>
        <w:rPr>
          <w:rFonts w:hint="eastAsia" w:ascii="宋体" w:hAnsi="宋体"/>
          <w:sz w:val="24"/>
          <w:szCs w:val="24"/>
        </w:rPr>
        <w:t xml:space="preserve"> </w:t>
      </w:r>
    </w:p>
    <w:p>
      <w:pPr>
        <w:pStyle w:val="81"/>
        <w:spacing w:line="400" w:lineRule="exact"/>
        <w:rPr>
          <w:rFonts w:ascii="宋体" w:hAnsi="宋体"/>
          <w:sz w:val="24"/>
          <w:szCs w:val="24"/>
        </w:rPr>
      </w:pPr>
      <w:r>
        <w:rPr>
          <w:rFonts w:hint="eastAsia" w:ascii="宋体" w:hAnsi="宋体"/>
          <w:sz w:val="24"/>
          <w:szCs w:val="24"/>
        </w:rPr>
        <w:t>统一社会信用代码：</w:t>
      </w:r>
      <w:r>
        <w:rPr>
          <w:rFonts w:hint="eastAsia" w:ascii="宋体" w:hAnsi="宋体"/>
          <w:sz w:val="24"/>
          <w:szCs w:val="24"/>
          <w:u w:val="single"/>
        </w:rPr>
        <w:t xml:space="preserve">                                  </w:t>
      </w:r>
    </w:p>
    <w:p>
      <w:pPr>
        <w:pStyle w:val="81"/>
        <w:spacing w:line="400" w:lineRule="exact"/>
        <w:rPr>
          <w:rFonts w:ascii="宋体" w:hAnsi="宋体"/>
          <w:sz w:val="24"/>
          <w:szCs w:val="24"/>
          <w:u w:val="single"/>
        </w:rPr>
      </w:pPr>
      <w:r>
        <w:rPr>
          <w:rFonts w:hint="eastAsia" w:ascii="宋体" w:hAnsi="宋体"/>
          <w:sz w:val="24"/>
          <w:szCs w:val="24"/>
        </w:rPr>
        <w:t>注册地址：</w:t>
      </w:r>
      <w:r>
        <w:rPr>
          <w:rFonts w:hint="eastAsia" w:ascii="宋体" w:hAnsi="宋体"/>
          <w:sz w:val="24"/>
          <w:szCs w:val="24"/>
          <w:u w:val="single"/>
        </w:rPr>
        <w:t xml:space="preserve">                                          </w:t>
      </w:r>
    </w:p>
    <w:p>
      <w:pPr>
        <w:pStyle w:val="81"/>
        <w:spacing w:line="400" w:lineRule="exact"/>
        <w:rPr>
          <w:rFonts w:ascii="宋体" w:hAnsi="宋体"/>
          <w:sz w:val="24"/>
          <w:szCs w:val="24"/>
          <w:u w:val="single"/>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 xml:space="preserve">年 </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81"/>
        <w:spacing w:line="400" w:lineRule="exact"/>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 xml:space="preserve"> 年龄：</w:t>
      </w:r>
      <w:r>
        <w:rPr>
          <w:rFonts w:hint="eastAsia" w:ascii="宋体" w:hAnsi="宋体"/>
          <w:sz w:val="24"/>
          <w:szCs w:val="24"/>
          <w:u w:val="single"/>
        </w:rPr>
        <w:t xml:space="preserve">    </w:t>
      </w:r>
      <w:r>
        <w:rPr>
          <w:rFonts w:hint="eastAsia" w:ascii="宋体" w:hAnsi="宋体"/>
          <w:sz w:val="24"/>
          <w:szCs w:val="24"/>
        </w:rPr>
        <w:t xml:space="preserve"> 系</w:t>
      </w:r>
      <w:r>
        <w:rPr>
          <w:rFonts w:hint="eastAsia" w:ascii="宋体" w:hAnsi="宋体"/>
          <w:sz w:val="24"/>
          <w:szCs w:val="24"/>
          <w:u w:val="single"/>
        </w:rPr>
        <w:t xml:space="preserve">            </w:t>
      </w:r>
      <w:r>
        <w:rPr>
          <w:rFonts w:hint="eastAsia" w:ascii="宋体" w:hAnsi="宋体"/>
          <w:sz w:val="24"/>
          <w:szCs w:val="24"/>
        </w:rPr>
        <w:t>（投标人名称）的法定代表人（单位负责人）。</w:t>
      </w:r>
    </w:p>
    <w:p>
      <w:pPr>
        <w:pStyle w:val="81"/>
        <w:spacing w:line="400" w:lineRule="exact"/>
        <w:rPr>
          <w:rFonts w:ascii="宋体" w:hAnsi="宋体"/>
          <w:sz w:val="24"/>
          <w:szCs w:val="24"/>
        </w:rPr>
      </w:pPr>
      <w:r>
        <w:rPr>
          <w:rFonts w:hint="eastAsia" w:ascii="宋体" w:hAnsi="宋体"/>
          <w:sz w:val="24"/>
          <w:szCs w:val="24"/>
        </w:rPr>
        <w:t>特此证明。</w:t>
      </w:r>
    </w:p>
    <w:p>
      <w:pPr>
        <w:pStyle w:val="81"/>
        <w:spacing w:line="400" w:lineRule="exact"/>
        <w:rPr>
          <w:rFonts w:ascii="宋体" w:hAnsi="宋体"/>
          <w:sz w:val="24"/>
          <w:szCs w:val="24"/>
        </w:rPr>
      </w:pPr>
    </w:p>
    <w:p>
      <w:pPr>
        <w:pStyle w:val="81"/>
        <w:spacing w:line="400" w:lineRule="exact"/>
        <w:rPr>
          <w:rFonts w:ascii="宋体" w:hAnsi="宋体"/>
          <w:sz w:val="24"/>
          <w:szCs w:val="24"/>
        </w:rPr>
      </w:pPr>
    </w:p>
    <w:tbl>
      <w:tblPr>
        <w:tblStyle w:val="31"/>
        <w:tblW w:w="7996" w:type="dxa"/>
        <w:tblInd w:w="540" w:type="dxa"/>
        <w:tblLayout w:type="fixed"/>
        <w:tblCellMar>
          <w:top w:w="0" w:type="dxa"/>
          <w:left w:w="108" w:type="dxa"/>
          <w:bottom w:w="0" w:type="dxa"/>
          <w:right w:w="108" w:type="dxa"/>
        </w:tblCellMar>
      </w:tblPr>
      <w:tblGrid>
        <w:gridCol w:w="7996"/>
      </w:tblGrid>
      <w:tr>
        <w:tblPrEx>
          <w:tblCellMar>
            <w:top w:w="0" w:type="dxa"/>
            <w:left w:w="108" w:type="dxa"/>
            <w:bottom w:w="0" w:type="dxa"/>
            <w:right w:w="108" w:type="dxa"/>
          </w:tblCellMar>
        </w:tblPrEx>
        <w:trPr>
          <w:trHeight w:val="2818" w:hRule="atLeast"/>
        </w:trPr>
        <w:tc>
          <w:tcPr>
            <w:tcW w:w="7996" w:type="dxa"/>
            <w:tcBorders>
              <w:top w:val="single" w:color="auto" w:sz="6" w:space="0"/>
              <w:left w:val="single" w:color="auto" w:sz="6" w:space="0"/>
              <w:bottom w:val="single" w:color="auto" w:sz="6" w:space="0"/>
              <w:right w:val="single" w:color="auto" w:sz="6" w:space="0"/>
            </w:tcBorders>
            <w:vAlign w:val="center"/>
          </w:tcPr>
          <w:p>
            <w:pPr>
              <w:pStyle w:val="81"/>
              <w:spacing w:line="400" w:lineRule="exact"/>
              <w:rPr>
                <w:rFonts w:ascii="宋体" w:hAnsi="宋体"/>
                <w:sz w:val="24"/>
                <w:szCs w:val="24"/>
                <w:u w:val="single"/>
              </w:rPr>
            </w:pPr>
            <w:r>
              <w:rPr>
                <w:rFonts w:hint="eastAsia" w:ascii="宋体" w:hAnsi="宋体"/>
                <w:sz w:val="24"/>
                <w:szCs w:val="24"/>
              </w:rPr>
              <w:t>法定代表人（单位负责人）身份证正反面复印件（加盖公章）</w:t>
            </w:r>
          </w:p>
          <w:p>
            <w:pPr>
              <w:pStyle w:val="81"/>
              <w:spacing w:line="400" w:lineRule="exact"/>
              <w:rPr>
                <w:rFonts w:ascii="宋体" w:hAnsi="宋体"/>
                <w:sz w:val="24"/>
                <w:szCs w:val="24"/>
                <w:u w:val="single"/>
              </w:rPr>
            </w:pPr>
          </w:p>
        </w:tc>
      </w:tr>
    </w:tbl>
    <w:p>
      <w:pPr>
        <w:pStyle w:val="81"/>
        <w:spacing w:line="400" w:lineRule="exact"/>
        <w:rPr>
          <w:rFonts w:ascii="宋体" w:hAnsi="宋体"/>
          <w:sz w:val="24"/>
          <w:szCs w:val="24"/>
        </w:rPr>
      </w:pPr>
    </w:p>
    <w:p>
      <w:pPr>
        <w:pStyle w:val="81"/>
        <w:spacing w:line="400" w:lineRule="exact"/>
        <w:rPr>
          <w:rFonts w:ascii="宋体" w:hAnsi="宋体"/>
          <w:sz w:val="24"/>
          <w:szCs w:val="24"/>
        </w:rPr>
      </w:pPr>
    </w:p>
    <w:p>
      <w:pPr>
        <w:pStyle w:val="81"/>
        <w:spacing w:line="400" w:lineRule="exact"/>
        <w:rPr>
          <w:rFonts w:ascii="宋体" w:hAnsi="宋体"/>
          <w:sz w:val="24"/>
          <w:szCs w:val="24"/>
        </w:rPr>
      </w:pPr>
    </w:p>
    <w:p>
      <w:pPr>
        <w:pStyle w:val="81"/>
        <w:spacing w:line="400" w:lineRule="exact"/>
        <w:ind w:firstLine="4440" w:firstLineChars="1850"/>
        <w:rPr>
          <w:rFonts w:ascii="宋体" w:hAnsi="宋体"/>
          <w:sz w:val="24"/>
          <w:szCs w:val="24"/>
        </w:rPr>
      </w:pPr>
      <w:r>
        <w:rPr>
          <w:rFonts w:hint="eastAsia" w:ascii="宋体" w:hAnsi="宋体"/>
          <w:sz w:val="24"/>
          <w:szCs w:val="24"/>
        </w:rPr>
        <w:t>投标人（公章）：</w:t>
      </w:r>
      <w:r>
        <w:rPr>
          <w:rFonts w:hint="eastAsia" w:ascii="宋体" w:hAnsi="宋体"/>
          <w:sz w:val="24"/>
          <w:szCs w:val="24"/>
          <w:u w:val="single"/>
        </w:rPr>
        <w:t xml:space="preserve">                       </w:t>
      </w:r>
    </w:p>
    <w:p>
      <w:pPr>
        <w:pStyle w:val="81"/>
        <w:spacing w:line="400" w:lineRule="exact"/>
        <w:ind w:firstLine="4440" w:firstLineChars="1850"/>
        <w:rPr>
          <w:rFonts w:ascii="宋体" w:hAnsi="宋体"/>
          <w:sz w:val="24"/>
          <w:szCs w:val="24"/>
          <w:u w:val="single"/>
        </w:rPr>
      </w:pPr>
      <w:r>
        <w:rPr>
          <w:rFonts w:hint="eastAsia" w:ascii="宋体" w:hAnsi="宋体"/>
          <w:sz w:val="24"/>
          <w:szCs w:val="24"/>
        </w:rPr>
        <w:t>法定代表人（签字或盖章）：</w:t>
      </w:r>
      <w:r>
        <w:rPr>
          <w:rFonts w:hint="eastAsia" w:ascii="宋体" w:hAnsi="宋体"/>
          <w:sz w:val="24"/>
          <w:szCs w:val="24"/>
          <w:u w:val="single"/>
        </w:rPr>
        <w:t xml:space="preserve">                   </w:t>
      </w:r>
    </w:p>
    <w:p>
      <w:pPr>
        <w:pStyle w:val="81"/>
        <w:spacing w:line="400" w:lineRule="exact"/>
        <w:ind w:firstLine="4440" w:firstLineChars="1850"/>
        <w:rPr>
          <w:rFonts w:ascii="宋体" w:hAnsi="宋体"/>
          <w:sz w:val="24"/>
          <w:szCs w:val="24"/>
          <w:u w:val="single"/>
        </w:rPr>
      </w:pPr>
      <w:r>
        <w:rPr>
          <w:rFonts w:hint="eastAsia" w:ascii="宋体" w:hAnsi="宋体"/>
          <w:sz w:val="24"/>
          <w:szCs w:val="24"/>
        </w:rPr>
        <w:t>日    期：</w:t>
      </w:r>
      <w:r>
        <w:rPr>
          <w:rFonts w:hint="eastAsia" w:ascii="宋体" w:hAnsi="宋体"/>
          <w:sz w:val="24"/>
          <w:szCs w:val="24"/>
          <w:u w:val="single"/>
        </w:rPr>
        <w:t xml:space="preserve">                            </w:t>
      </w:r>
    </w:p>
    <w:p>
      <w:pPr>
        <w:pStyle w:val="81"/>
        <w:spacing w:line="400" w:lineRule="exact"/>
        <w:jc w:val="center"/>
        <w:rPr>
          <w:rFonts w:ascii="宋体" w:hAnsi="宋体"/>
          <w:b/>
          <w:bCs/>
          <w:sz w:val="24"/>
          <w:szCs w:val="24"/>
        </w:rPr>
      </w:pPr>
    </w:p>
    <w:p>
      <w:pPr>
        <w:pStyle w:val="81"/>
        <w:spacing w:line="400" w:lineRule="exact"/>
        <w:jc w:val="center"/>
        <w:rPr>
          <w:rFonts w:ascii="宋体" w:hAnsi="宋体"/>
          <w:b/>
          <w:bCs/>
          <w:sz w:val="24"/>
          <w:szCs w:val="24"/>
        </w:rPr>
      </w:pPr>
    </w:p>
    <w:p>
      <w:pPr>
        <w:pStyle w:val="81"/>
        <w:spacing w:line="400" w:lineRule="exact"/>
        <w:jc w:val="center"/>
        <w:rPr>
          <w:rFonts w:ascii="宋体" w:hAnsi="宋体"/>
          <w:b/>
          <w:bCs/>
          <w:sz w:val="24"/>
          <w:szCs w:val="24"/>
        </w:rPr>
      </w:pPr>
    </w:p>
    <w:p>
      <w:pPr>
        <w:pStyle w:val="81"/>
        <w:spacing w:line="400" w:lineRule="exact"/>
        <w:jc w:val="center"/>
        <w:rPr>
          <w:rFonts w:ascii="宋体" w:hAnsi="宋体"/>
          <w:b/>
          <w:bCs/>
          <w:sz w:val="24"/>
          <w:szCs w:val="24"/>
        </w:rPr>
      </w:pPr>
    </w:p>
    <w:p>
      <w:pPr>
        <w:pStyle w:val="81"/>
        <w:spacing w:line="400" w:lineRule="exact"/>
        <w:jc w:val="center"/>
        <w:rPr>
          <w:rFonts w:ascii="宋体" w:hAnsi="宋体"/>
          <w:b/>
          <w:bCs/>
          <w:sz w:val="24"/>
          <w:szCs w:val="24"/>
        </w:rPr>
      </w:pPr>
    </w:p>
    <w:p>
      <w:pPr>
        <w:pStyle w:val="81"/>
        <w:spacing w:line="400" w:lineRule="exact"/>
        <w:jc w:val="center"/>
        <w:rPr>
          <w:rFonts w:ascii="宋体" w:hAnsi="宋体"/>
          <w:b/>
          <w:bCs/>
          <w:sz w:val="24"/>
          <w:szCs w:val="24"/>
        </w:rPr>
      </w:pPr>
    </w:p>
    <w:p>
      <w:pPr>
        <w:pStyle w:val="81"/>
        <w:spacing w:line="400" w:lineRule="exact"/>
        <w:jc w:val="center"/>
        <w:rPr>
          <w:rFonts w:ascii="宋体" w:hAnsi="宋体"/>
          <w:b/>
          <w:bCs/>
          <w:sz w:val="24"/>
          <w:szCs w:val="24"/>
        </w:rPr>
      </w:pPr>
    </w:p>
    <w:p>
      <w:pPr>
        <w:pStyle w:val="81"/>
        <w:spacing w:line="400" w:lineRule="exact"/>
        <w:rPr>
          <w:rFonts w:ascii="宋体" w:hAnsi="宋体"/>
          <w:b/>
          <w:sz w:val="24"/>
          <w:szCs w:val="24"/>
        </w:rPr>
      </w:pPr>
      <w:r>
        <w:rPr>
          <w:rFonts w:ascii="宋体" w:hAnsi="宋体"/>
          <w:b/>
          <w:bCs/>
          <w:sz w:val="24"/>
          <w:szCs w:val="24"/>
        </w:rPr>
        <w:br w:type="page"/>
      </w:r>
      <w:bookmarkStart w:id="234" w:name="_Toc529953012"/>
      <w:bookmarkStart w:id="235" w:name="_Toc511832013"/>
      <w:r>
        <w:rPr>
          <w:rFonts w:hint="eastAsia" w:ascii="宋体" w:hAnsi="宋体"/>
          <w:b/>
          <w:bCs/>
          <w:sz w:val="24"/>
          <w:szCs w:val="24"/>
        </w:rPr>
        <w:t xml:space="preserve">                       </w:t>
      </w:r>
      <w:r>
        <w:rPr>
          <w:rFonts w:hint="eastAsia" w:ascii="宋体" w:hAnsi="宋体"/>
          <w:b/>
          <w:sz w:val="24"/>
          <w:szCs w:val="24"/>
        </w:rPr>
        <w:t>（2）</w:t>
      </w:r>
      <w:r>
        <w:rPr>
          <w:rFonts w:ascii="宋体" w:hAnsi="宋体"/>
          <w:b/>
          <w:sz w:val="24"/>
          <w:szCs w:val="24"/>
        </w:rPr>
        <w:t>法定代表人授权书</w:t>
      </w:r>
      <w:bookmarkEnd w:id="234"/>
      <w:bookmarkEnd w:id="235"/>
    </w:p>
    <w:p>
      <w:pPr>
        <w:pStyle w:val="81"/>
        <w:spacing w:line="400" w:lineRule="exact"/>
        <w:rPr>
          <w:rFonts w:ascii="宋体" w:hAnsi="宋体"/>
          <w:sz w:val="24"/>
          <w:szCs w:val="24"/>
        </w:rPr>
      </w:pPr>
      <w:r>
        <w:rPr>
          <w:rFonts w:hint="eastAsia" w:ascii="宋体" w:hAnsi="宋体"/>
          <w:sz w:val="24"/>
          <w:szCs w:val="24"/>
        </w:rPr>
        <w:t>同正项目管理有限公司：</w:t>
      </w:r>
    </w:p>
    <w:p>
      <w:pPr>
        <w:pStyle w:val="81"/>
        <w:spacing w:line="400" w:lineRule="exact"/>
        <w:ind w:firstLine="480" w:firstLineChars="200"/>
        <w:rPr>
          <w:rFonts w:ascii="宋体" w:hAnsi="宋体"/>
          <w:sz w:val="24"/>
          <w:szCs w:val="24"/>
        </w:rPr>
      </w:pPr>
      <w:r>
        <w:rPr>
          <w:rFonts w:hint="eastAsia" w:ascii="宋体" w:hAnsi="宋体"/>
          <w:sz w:val="24"/>
          <w:szCs w:val="24"/>
        </w:rPr>
        <w:t>注册于</w:t>
      </w:r>
      <w:r>
        <w:rPr>
          <w:rFonts w:hint="eastAsia" w:ascii="宋体" w:hAnsi="宋体"/>
          <w:sz w:val="24"/>
          <w:szCs w:val="24"/>
          <w:u w:val="single"/>
        </w:rPr>
        <w:t xml:space="preserve">      （工商行政管理局名称）</w:t>
      </w:r>
      <w:r>
        <w:rPr>
          <w:rFonts w:hint="eastAsia" w:ascii="宋体" w:hAnsi="宋体"/>
          <w:sz w:val="24"/>
          <w:szCs w:val="24"/>
        </w:rPr>
        <w:t>之</w:t>
      </w:r>
      <w:r>
        <w:rPr>
          <w:rFonts w:hint="eastAsia" w:ascii="宋体" w:hAnsi="宋体"/>
          <w:sz w:val="24"/>
          <w:szCs w:val="24"/>
          <w:u w:val="single"/>
        </w:rPr>
        <w:t xml:space="preserve">     （投标人全称）</w:t>
      </w:r>
      <w:r>
        <w:rPr>
          <w:rFonts w:hint="eastAsia" w:ascii="宋体" w:hAnsi="宋体"/>
          <w:sz w:val="24"/>
          <w:szCs w:val="24"/>
        </w:rPr>
        <w:t>的法定代表人（单位负责人）</w:t>
      </w:r>
      <w:r>
        <w:rPr>
          <w:rFonts w:hint="eastAsia" w:ascii="宋体" w:hAnsi="宋体"/>
          <w:sz w:val="24"/>
          <w:szCs w:val="24"/>
          <w:u w:val="single"/>
        </w:rPr>
        <w:t xml:space="preserve">      （姓名）</w:t>
      </w:r>
      <w:r>
        <w:rPr>
          <w:rFonts w:hint="eastAsia" w:ascii="宋体" w:hAnsi="宋体"/>
          <w:sz w:val="24"/>
          <w:szCs w:val="24"/>
        </w:rPr>
        <w:t>授权</w:t>
      </w:r>
      <w:r>
        <w:rPr>
          <w:rFonts w:hint="eastAsia" w:ascii="宋体" w:hAnsi="宋体"/>
          <w:sz w:val="24"/>
          <w:szCs w:val="24"/>
          <w:u w:val="single"/>
        </w:rPr>
        <w:t xml:space="preserve">     （被授权人姓名）</w:t>
      </w:r>
      <w:r>
        <w:rPr>
          <w:rFonts w:hint="eastAsia" w:ascii="宋体" w:hAnsi="宋体"/>
          <w:sz w:val="24"/>
          <w:szCs w:val="24"/>
        </w:rPr>
        <w:t>为我方合法委托代理人。代理人根据授权，以我方名义签署、澄清、说明、递交、撤回、修改</w:t>
      </w:r>
      <w:r>
        <w:rPr>
          <w:rFonts w:hint="eastAsia" w:ascii="宋体" w:hAnsi="宋体"/>
          <w:sz w:val="24"/>
          <w:szCs w:val="24"/>
          <w:u w:val="single"/>
        </w:rPr>
        <w:t xml:space="preserve">     （项目名称）           </w:t>
      </w:r>
      <w:r>
        <w:rPr>
          <w:rFonts w:hint="eastAsia" w:ascii="宋体" w:hAnsi="宋体"/>
          <w:sz w:val="24"/>
          <w:szCs w:val="24"/>
        </w:rPr>
        <w:t>投标文件、签订合同和处理有关事宜，其法律后果由我方承担。</w:t>
      </w:r>
    </w:p>
    <w:p>
      <w:pPr>
        <w:pStyle w:val="81"/>
        <w:spacing w:line="400" w:lineRule="exact"/>
        <w:rPr>
          <w:rFonts w:ascii="宋体" w:hAnsi="宋体"/>
          <w:sz w:val="24"/>
          <w:szCs w:val="24"/>
        </w:rPr>
      </w:pPr>
      <w:r>
        <w:rPr>
          <w:rFonts w:hint="eastAsia" w:ascii="宋体" w:hAnsi="宋体"/>
          <w:sz w:val="24"/>
          <w:szCs w:val="24"/>
        </w:rPr>
        <w:t>代理人无转委托权。</w:t>
      </w:r>
    </w:p>
    <w:p>
      <w:pPr>
        <w:pStyle w:val="81"/>
        <w:spacing w:line="400" w:lineRule="exact"/>
        <w:rPr>
          <w:rFonts w:ascii="宋体" w:hAnsi="宋体"/>
          <w:sz w:val="24"/>
          <w:szCs w:val="24"/>
        </w:rPr>
      </w:pPr>
      <w:r>
        <w:rPr>
          <w:rFonts w:hint="eastAsia" w:ascii="宋体" w:hAnsi="宋体"/>
          <w:sz w:val="24"/>
          <w:szCs w:val="24"/>
        </w:rPr>
        <w:t>投  标  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（盖单位公章）</w:t>
      </w:r>
    </w:p>
    <w:p>
      <w:pPr>
        <w:pStyle w:val="81"/>
        <w:spacing w:line="400" w:lineRule="exact"/>
        <w:rPr>
          <w:rFonts w:ascii="宋体" w:hAnsi="宋体"/>
          <w:sz w:val="24"/>
          <w:szCs w:val="24"/>
        </w:rPr>
      </w:pPr>
      <w:r>
        <w:rPr>
          <w:rFonts w:hint="eastAsia" w:ascii="宋体" w:hAnsi="宋体"/>
          <w:sz w:val="24"/>
          <w:szCs w:val="24"/>
        </w:rPr>
        <w:t>法定代表人（单位负责人）：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（签字或盖章）</w:t>
      </w:r>
    </w:p>
    <w:p>
      <w:pPr>
        <w:pStyle w:val="81"/>
        <w:spacing w:line="400" w:lineRule="exact"/>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pStyle w:val="81"/>
        <w:spacing w:line="400" w:lineRule="exact"/>
        <w:rPr>
          <w:rFonts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（签字或盖章）</w:t>
      </w:r>
    </w:p>
    <w:p>
      <w:pPr>
        <w:pStyle w:val="81"/>
        <w:spacing w:line="4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pStyle w:val="81"/>
        <w:spacing w:line="400" w:lineRule="exact"/>
        <w:ind w:firstLine="5760" w:firstLineChars="2400"/>
        <w:rPr>
          <w:rFonts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81"/>
        <w:spacing w:line="400" w:lineRule="exact"/>
        <w:rPr>
          <w:rFonts w:ascii="宋体" w:hAnsi="宋体"/>
          <w:bCs/>
          <w:sz w:val="24"/>
          <w:szCs w:val="24"/>
        </w:rPr>
      </w:pPr>
      <w:r>
        <w:rPr>
          <w:rFonts w:ascii="宋体" w:hAnsi="宋体"/>
          <w:bCs/>
          <w:sz w:val="24"/>
          <w:szCs w:val="24"/>
        </w:rPr>
        <mc:AlternateContent>
          <mc:Choice Requires="wps">
            <w:drawing>
              <wp:anchor distT="0" distB="0" distL="114300" distR="114300" simplePos="0" relativeHeight="251662336" behindDoc="0" locked="0" layoutInCell="1" allowOverlap="1">
                <wp:simplePos x="0" y="0"/>
                <wp:positionH relativeFrom="column">
                  <wp:posOffset>3075940</wp:posOffset>
                </wp:positionH>
                <wp:positionV relativeFrom="paragraph">
                  <wp:posOffset>88900</wp:posOffset>
                </wp:positionV>
                <wp:extent cx="2867025" cy="1584960"/>
                <wp:effectExtent l="4445" t="4445" r="5080" b="10795"/>
                <wp:wrapNone/>
                <wp:docPr id="2" name="文本框 31"/>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adjustRightInd w:val="0"/>
                              <w:snapToGrid w:val="0"/>
                              <w:spacing w:line="348" w:lineRule="auto"/>
                              <w:jc w:val="center"/>
                              <w:rPr>
                                <w:rFonts w:ascii="宋体" w:hAnsi="宋体"/>
                                <w:sz w:val="24"/>
                              </w:rPr>
                            </w:pPr>
                            <w:r>
                              <w:rPr>
                                <w:rFonts w:hint="eastAsia" w:ascii="宋体" w:hAnsi="宋体"/>
                                <w:sz w:val="24"/>
                              </w:rPr>
                              <w:t>授权代表身份证复印件</w:t>
                            </w:r>
                          </w:p>
                          <w:p>
                            <w:pPr>
                              <w:adjustRightInd w:val="0"/>
                              <w:snapToGrid w:val="0"/>
                              <w:spacing w:line="348" w:lineRule="auto"/>
                              <w:jc w:val="center"/>
                              <w:rPr>
                                <w:rFonts w:ascii="宋体" w:hAnsi="宋体"/>
                                <w:sz w:val="24"/>
                              </w:rPr>
                            </w:pPr>
                            <w:r>
                              <w:rPr>
                                <w:rFonts w:hint="eastAsia" w:ascii="宋体" w:hAnsi="宋体"/>
                                <w:sz w:val="24"/>
                              </w:rPr>
                              <w:t>正反两面加盖公章）</w:t>
                            </w:r>
                          </w:p>
                        </w:txbxContent>
                      </wps:txbx>
                      <wps:bodyPr upright="1"/>
                    </wps:wsp>
                  </a:graphicData>
                </a:graphic>
              </wp:anchor>
            </w:drawing>
          </mc:Choice>
          <mc:Fallback>
            <w:pict>
              <v:shape id="文本框 31" o:spid="_x0000_s1026" o:spt="202" type="#_x0000_t202" style="position:absolute;left:0pt;margin-left:242.2pt;margin-top:7pt;height:124.8pt;width:225.75pt;z-index:251662336;mso-width-relative:page;mso-height-relative:page;" fillcolor="#FFFFFF" filled="t" stroked="t" coordsize="21600,21600" o:gfxdata="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SE/x2QAAAAoBAAAPAAAAAAAAAAEA&#10;IAAAACIAAABkcnMvZG93bnJldi54bWxQSwECFAAUAAAACACHTuJAq7Wm4A4CAAA4BAAADgAAAAAA&#10;AAABACAAAAAoAQAAZHJzL2Uyb0RvYy54bWxQSwUGAAAAAAYABgBZAQAAqAUAAAAA&#10;">
                <v:fill on="t" focussize="0,0"/>
                <v:stroke color="#000000" joinstyle="miter"/>
                <v:imagedata o:title=""/>
                <o:lock v:ext="edit" aspectratio="f"/>
                <v:textbox>
                  <w:txbxContent>
                    <w:p>
                      <w:pPr>
                        <w:jc w:val="center"/>
                        <w:rPr>
                          <w:rFonts w:ascii="黑体" w:eastAsia="黑体"/>
                          <w:sz w:val="32"/>
                          <w:szCs w:val="32"/>
                        </w:rPr>
                      </w:pPr>
                    </w:p>
                    <w:p>
                      <w:pPr>
                        <w:adjustRightInd w:val="0"/>
                        <w:snapToGrid w:val="0"/>
                        <w:spacing w:line="348" w:lineRule="auto"/>
                        <w:jc w:val="center"/>
                        <w:rPr>
                          <w:rFonts w:ascii="宋体" w:hAnsi="宋体"/>
                          <w:sz w:val="24"/>
                        </w:rPr>
                      </w:pPr>
                      <w:r>
                        <w:rPr>
                          <w:rFonts w:hint="eastAsia" w:ascii="宋体" w:hAnsi="宋体"/>
                          <w:sz w:val="24"/>
                        </w:rPr>
                        <w:t>授权代表身份证复印件</w:t>
                      </w:r>
                    </w:p>
                    <w:p>
                      <w:pPr>
                        <w:adjustRightInd w:val="0"/>
                        <w:snapToGrid w:val="0"/>
                        <w:spacing w:line="348" w:lineRule="auto"/>
                        <w:jc w:val="center"/>
                        <w:rPr>
                          <w:rFonts w:ascii="宋体" w:hAnsi="宋体"/>
                          <w:sz w:val="24"/>
                        </w:rPr>
                      </w:pPr>
                      <w:r>
                        <w:rPr>
                          <w:rFonts w:hint="eastAsia" w:ascii="宋体" w:hAnsi="宋体"/>
                          <w:sz w:val="24"/>
                        </w:rPr>
                        <w:t>正反两面加盖公章）</w:t>
                      </w:r>
                    </w:p>
                  </w:txbxContent>
                </v:textbox>
              </v:shape>
            </w:pict>
          </mc:Fallback>
        </mc:AlternateContent>
      </w:r>
      <w:r>
        <w:rPr>
          <w:rFonts w:ascii="宋体" w:hAnsi="宋体"/>
          <w:bCs/>
          <w:sz w:val="24"/>
          <w:szCs w:val="24"/>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99060</wp:posOffset>
                </wp:positionV>
                <wp:extent cx="2867025" cy="1584960"/>
                <wp:effectExtent l="4445" t="4445" r="5080" b="10795"/>
                <wp:wrapNone/>
                <wp:docPr id="1" name="文本框 30"/>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adjustRightInd w:val="0"/>
                              <w:snapToGrid w:val="0"/>
                              <w:spacing w:line="348" w:lineRule="auto"/>
                              <w:jc w:val="center"/>
                              <w:rPr>
                                <w:rFonts w:ascii="宋体" w:hAnsi="宋体"/>
                                <w:sz w:val="24"/>
                              </w:rPr>
                            </w:pPr>
                            <w:r>
                              <w:rPr>
                                <w:rFonts w:hint="eastAsia" w:ascii="宋体" w:hAnsi="宋体"/>
                                <w:sz w:val="24"/>
                              </w:rPr>
                              <w:t>法定代表人（单位负责人）身份证复印件</w:t>
                            </w:r>
                          </w:p>
                          <w:p>
                            <w:pPr>
                              <w:adjustRightInd w:val="0"/>
                              <w:snapToGrid w:val="0"/>
                              <w:spacing w:line="348" w:lineRule="auto"/>
                              <w:jc w:val="center"/>
                              <w:rPr>
                                <w:rFonts w:ascii="宋体" w:hAnsi="宋体"/>
                                <w:sz w:val="24"/>
                              </w:rPr>
                            </w:pPr>
                            <w:r>
                              <w:rPr>
                                <w:rFonts w:hint="eastAsia" w:ascii="宋体" w:hAnsi="宋体"/>
                                <w:sz w:val="24"/>
                              </w:rPr>
                              <w:t>（正反两面加盖公章）</w:t>
                            </w:r>
                          </w:p>
                        </w:txbxContent>
                      </wps:txbx>
                      <wps:bodyPr upright="1"/>
                    </wps:wsp>
                  </a:graphicData>
                </a:graphic>
              </wp:anchor>
            </w:drawing>
          </mc:Choice>
          <mc:Fallback>
            <w:pict>
              <v:shape id="文本框 30" o:spid="_x0000_s1026" o:spt="202" type="#_x0000_t202" style="position:absolute;left:0pt;margin-left:-9pt;margin-top:7.8pt;height:124.8pt;width:225.75pt;z-index:251661312;mso-width-relative:page;mso-height-relative:page;" fillcolor="#FFFFFF" filled="t" stroked="t" coordsize="21600,21600" o:gfxdata="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qYwgDaAAAACgEAAA8AAAAAAAAAAQAg&#10;AAAAIgAAAGRycy9kb3ducmV2LnhtbFBLAQIUABQAAAAIAIdO4kDG7pPwDAIAADgEAAAOAAAAAAAA&#10;AAEAIAAAACkBAABkcnMvZTJvRG9jLnhtbFBLBQYAAAAABgAGAFkBAACnBQAAAAA=&#10;">
                <v:fill on="t" focussize="0,0"/>
                <v:stroke color="#000000" joinstyle="miter"/>
                <v:imagedata o:title=""/>
                <o:lock v:ext="edit" aspectratio="f"/>
                <v:textbox>
                  <w:txbxContent>
                    <w:p>
                      <w:pPr>
                        <w:jc w:val="center"/>
                        <w:rPr>
                          <w:rFonts w:ascii="黑体" w:eastAsia="黑体"/>
                          <w:sz w:val="32"/>
                          <w:szCs w:val="32"/>
                        </w:rPr>
                      </w:pPr>
                    </w:p>
                    <w:p>
                      <w:pPr>
                        <w:adjustRightInd w:val="0"/>
                        <w:snapToGrid w:val="0"/>
                        <w:spacing w:line="348" w:lineRule="auto"/>
                        <w:jc w:val="center"/>
                        <w:rPr>
                          <w:rFonts w:ascii="宋体" w:hAnsi="宋体"/>
                          <w:sz w:val="24"/>
                        </w:rPr>
                      </w:pPr>
                      <w:r>
                        <w:rPr>
                          <w:rFonts w:hint="eastAsia" w:ascii="宋体" w:hAnsi="宋体"/>
                          <w:sz w:val="24"/>
                        </w:rPr>
                        <w:t>法定代表人（单位负责人）身份证复印件</w:t>
                      </w:r>
                    </w:p>
                    <w:p>
                      <w:pPr>
                        <w:adjustRightInd w:val="0"/>
                        <w:snapToGrid w:val="0"/>
                        <w:spacing w:line="348" w:lineRule="auto"/>
                        <w:jc w:val="center"/>
                        <w:rPr>
                          <w:rFonts w:ascii="宋体" w:hAnsi="宋体"/>
                          <w:sz w:val="24"/>
                        </w:rPr>
                      </w:pPr>
                      <w:r>
                        <w:rPr>
                          <w:rFonts w:hint="eastAsia" w:ascii="宋体" w:hAnsi="宋体"/>
                          <w:sz w:val="24"/>
                        </w:rPr>
                        <w:t>（正反两面加盖公章）</w:t>
                      </w:r>
                    </w:p>
                  </w:txbxContent>
                </v:textbox>
              </v:shape>
            </w:pict>
          </mc:Fallback>
        </mc:AlternateContent>
      </w:r>
    </w:p>
    <w:p>
      <w:pPr>
        <w:pStyle w:val="81"/>
        <w:spacing w:line="400" w:lineRule="exact"/>
        <w:rPr>
          <w:rFonts w:ascii="宋体" w:hAnsi="宋体"/>
          <w:bCs/>
          <w:sz w:val="24"/>
          <w:szCs w:val="24"/>
        </w:rPr>
      </w:pPr>
    </w:p>
    <w:p>
      <w:pPr>
        <w:pStyle w:val="81"/>
        <w:spacing w:line="400" w:lineRule="exact"/>
        <w:rPr>
          <w:rFonts w:ascii="宋体" w:hAnsi="宋体"/>
          <w:bCs/>
          <w:sz w:val="24"/>
          <w:szCs w:val="24"/>
        </w:rPr>
      </w:pPr>
    </w:p>
    <w:p>
      <w:pPr>
        <w:pStyle w:val="81"/>
        <w:spacing w:line="400" w:lineRule="exact"/>
        <w:rPr>
          <w:rFonts w:ascii="宋体" w:hAnsi="宋体"/>
          <w:bCs/>
          <w:sz w:val="24"/>
          <w:szCs w:val="24"/>
        </w:rPr>
      </w:pPr>
    </w:p>
    <w:p>
      <w:pPr>
        <w:pStyle w:val="81"/>
        <w:spacing w:line="400" w:lineRule="exact"/>
        <w:rPr>
          <w:rFonts w:ascii="宋体" w:hAnsi="宋体"/>
          <w:bCs/>
          <w:sz w:val="24"/>
          <w:szCs w:val="24"/>
        </w:rPr>
      </w:pPr>
    </w:p>
    <w:p>
      <w:pPr>
        <w:pStyle w:val="81"/>
        <w:spacing w:line="400" w:lineRule="exact"/>
        <w:rPr>
          <w:rFonts w:ascii="宋体" w:hAnsi="宋体"/>
          <w:bCs/>
          <w:sz w:val="24"/>
          <w:szCs w:val="24"/>
        </w:rPr>
      </w:pPr>
    </w:p>
    <w:p>
      <w:pPr>
        <w:pStyle w:val="81"/>
        <w:spacing w:line="400" w:lineRule="exact"/>
        <w:rPr>
          <w:rFonts w:ascii="宋体" w:hAnsi="宋体"/>
          <w:bCs/>
          <w:sz w:val="24"/>
          <w:szCs w:val="24"/>
        </w:rPr>
      </w:pPr>
    </w:p>
    <w:p>
      <w:pPr>
        <w:pStyle w:val="81"/>
        <w:spacing w:line="400" w:lineRule="exact"/>
        <w:rPr>
          <w:rFonts w:ascii="宋体" w:hAnsi="宋体"/>
          <w:bCs/>
          <w:sz w:val="24"/>
          <w:szCs w:val="24"/>
        </w:rPr>
      </w:pPr>
    </w:p>
    <w:p>
      <w:pPr>
        <w:pStyle w:val="81"/>
        <w:spacing w:line="400" w:lineRule="exact"/>
        <w:rPr>
          <w:rFonts w:ascii="宋体" w:hAnsi="宋体"/>
          <w:sz w:val="24"/>
          <w:szCs w:val="24"/>
        </w:rPr>
      </w:pPr>
    </w:p>
    <w:p>
      <w:pPr>
        <w:pStyle w:val="81"/>
        <w:spacing w:line="400" w:lineRule="exact"/>
        <w:rPr>
          <w:rFonts w:ascii="宋体" w:hAnsi="宋体"/>
          <w:sz w:val="24"/>
          <w:szCs w:val="24"/>
        </w:rPr>
      </w:pPr>
    </w:p>
    <w:p>
      <w:pPr>
        <w:pStyle w:val="81"/>
        <w:spacing w:line="400" w:lineRule="exact"/>
        <w:rPr>
          <w:rFonts w:ascii="宋体" w:hAnsi="宋体"/>
          <w:sz w:val="24"/>
          <w:szCs w:val="24"/>
        </w:rPr>
      </w:pPr>
    </w:p>
    <w:p>
      <w:pPr>
        <w:pStyle w:val="81"/>
        <w:spacing w:line="400" w:lineRule="exact"/>
        <w:rPr>
          <w:rFonts w:ascii="宋体" w:hAnsi="宋体"/>
          <w:b/>
          <w:sz w:val="28"/>
          <w:szCs w:val="28"/>
        </w:rPr>
      </w:pPr>
      <w:r>
        <w:rPr>
          <w:rFonts w:hint="eastAsia" w:ascii="宋体" w:hAnsi="宋体"/>
          <w:b/>
          <w:sz w:val="28"/>
          <w:szCs w:val="28"/>
        </w:rPr>
        <w:t>本授权有效期为自开标之日起90日历天，</w:t>
      </w:r>
      <w:r>
        <w:rPr>
          <w:rFonts w:ascii="宋体" w:hAnsi="宋体"/>
          <w:b/>
          <w:sz w:val="28"/>
          <w:szCs w:val="28"/>
        </w:rPr>
        <w:t>仅限授权代表参加</w:t>
      </w:r>
      <w:r>
        <w:rPr>
          <w:rFonts w:hint="eastAsia" w:ascii="宋体" w:hAnsi="宋体"/>
          <w:b/>
          <w:sz w:val="28"/>
          <w:szCs w:val="28"/>
        </w:rPr>
        <w:t>投标</w:t>
      </w:r>
      <w:r>
        <w:rPr>
          <w:rFonts w:ascii="宋体" w:hAnsi="宋体"/>
          <w:b/>
          <w:sz w:val="28"/>
          <w:szCs w:val="28"/>
        </w:rPr>
        <w:t>时提供</w:t>
      </w:r>
    </w:p>
    <w:p>
      <w:pPr>
        <w:pStyle w:val="81"/>
        <w:spacing w:line="400" w:lineRule="exact"/>
      </w:pPr>
    </w:p>
    <w:p>
      <w:pPr>
        <w:pStyle w:val="81"/>
        <w:spacing w:line="400" w:lineRule="exact"/>
      </w:pPr>
    </w:p>
    <w:p>
      <w:pPr>
        <w:pStyle w:val="81"/>
        <w:spacing w:line="400" w:lineRule="exact"/>
      </w:pPr>
    </w:p>
    <w:p>
      <w:pPr>
        <w:pStyle w:val="81"/>
        <w:spacing w:line="400" w:lineRule="exact"/>
      </w:pPr>
    </w:p>
    <w:p>
      <w:pPr>
        <w:pStyle w:val="81"/>
        <w:spacing w:line="400" w:lineRule="exact"/>
      </w:pPr>
    </w:p>
    <w:p>
      <w:pPr>
        <w:pStyle w:val="81"/>
        <w:spacing w:line="400" w:lineRule="exact"/>
      </w:pPr>
    </w:p>
    <w:p>
      <w:pPr>
        <w:pStyle w:val="81"/>
        <w:spacing w:line="400" w:lineRule="exact"/>
      </w:pPr>
    </w:p>
    <w:p>
      <w:pPr>
        <w:pStyle w:val="81"/>
        <w:spacing w:line="400" w:lineRule="exact"/>
        <w:rPr>
          <w:rFonts w:ascii="宋体" w:hAnsi="宋体"/>
          <w:sz w:val="24"/>
          <w:szCs w:val="24"/>
        </w:rPr>
      </w:pPr>
      <w:r>
        <w:br w:type="page"/>
      </w:r>
      <w:bookmarkStart w:id="236" w:name="_Toc529953014"/>
    </w:p>
    <w:bookmarkEnd w:id="236"/>
    <w:p>
      <w:pPr>
        <w:pStyle w:val="81"/>
        <w:spacing w:line="400" w:lineRule="exact"/>
        <w:jc w:val="center"/>
        <w:rPr>
          <w:b/>
          <w:sz w:val="28"/>
          <w:szCs w:val="24"/>
        </w:rPr>
      </w:pPr>
      <w:bookmarkStart w:id="237" w:name="_Toc529953015"/>
      <w:r>
        <w:rPr>
          <w:rFonts w:hint="eastAsia"/>
          <w:b/>
          <w:sz w:val="28"/>
          <w:szCs w:val="24"/>
        </w:rPr>
        <w:t>3</w:t>
      </w:r>
      <w:r>
        <w:rPr>
          <w:b/>
          <w:sz w:val="28"/>
          <w:szCs w:val="24"/>
        </w:rPr>
        <w:t>.</w:t>
      </w:r>
      <w:r>
        <w:rPr>
          <w:rFonts w:hint="eastAsia" w:ascii="宋体" w:hAnsi="宋体" w:cs="宋体"/>
          <w:b/>
          <w:bCs/>
          <w:kern w:val="0"/>
          <w:sz w:val="28"/>
          <w:szCs w:val="28"/>
        </w:rPr>
        <w:t>出版物经营许可证</w:t>
      </w:r>
    </w:p>
    <w:p>
      <w:pPr>
        <w:rPr>
          <w:b/>
          <w:sz w:val="28"/>
        </w:rPr>
      </w:pPr>
    </w:p>
    <w:p>
      <w:pPr>
        <w:rPr>
          <w:b/>
          <w:sz w:val="28"/>
        </w:rPr>
      </w:pPr>
      <w:r>
        <w:rPr>
          <w:rFonts w:hint="eastAsia"/>
          <w:b/>
          <w:sz w:val="28"/>
        </w:rPr>
        <w:br w:type="page"/>
      </w:r>
    </w:p>
    <w:p>
      <w:pPr>
        <w:jc w:val="center"/>
        <w:rPr>
          <w:b/>
          <w:sz w:val="28"/>
        </w:rPr>
      </w:pPr>
      <w:r>
        <w:rPr>
          <w:rFonts w:hint="eastAsia"/>
          <w:b/>
          <w:sz w:val="28"/>
        </w:rPr>
        <w:t>4.提供投标人企业关系关联承诺书</w:t>
      </w:r>
    </w:p>
    <w:p>
      <w:pPr>
        <w:rPr>
          <w:rFonts w:ascii="宋体" w:hAnsi="宋体"/>
          <w:b/>
          <w:sz w:val="24"/>
        </w:rPr>
      </w:pPr>
    </w:p>
    <w:p>
      <w:pPr>
        <w:rPr>
          <w:rFonts w:ascii="宋体" w:hAnsi="宋体"/>
          <w:b/>
          <w:sz w:val="24"/>
        </w:rPr>
      </w:pPr>
    </w:p>
    <w:p>
      <w:pPr>
        <w:pStyle w:val="81"/>
        <w:spacing w:line="400" w:lineRule="exact"/>
        <w:rPr>
          <w:rFonts w:ascii="宋体" w:hAnsi="宋体"/>
          <w:sz w:val="24"/>
          <w:szCs w:val="24"/>
        </w:rPr>
      </w:pPr>
      <w:r>
        <w:rPr>
          <w:rFonts w:hint="eastAsia" w:ascii="宋体" w:hAnsi="宋体"/>
          <w:sz w:val="24"/>
          <w:szCs w:val="24"/>
        </w:rPr>
        <w:t>一、投标人股东及股权证明(提供相关证明材料)。</w:t>
      </w:r>
    </w:p>
    <w:p>
      <w:pPr>
        <w:pStyle w:val="81"/>
        <w:spacing w:line="400" w:lineRule="exact"/>
        <w:rPr>
          <w:rFonts w:ascii="宋体" w:hAnsi="宋体"/>
          <w:sz w:val="24"/>
          <w:szCs w:val="24"/>
        </w:rPr>
      </w:pPr>
      <w:r>
        <w:rPr>
          <w:rFonts w:hint="eastAsia" w:ascii="宋体" w:hAnsi="宋体"/>
          <w:sz w:val="24"/>
          <w:szCs w:val="24"/>
        </w:rPr>
        <w:t>二、投标人在本项目投标中，不存在与其它投标单位负责人为同一人，有控股、管理等关联关系承诺。</w:t>
      </w:r>
    </w:p>
    <w:p>
      <w:pPr>
        <w:pStyle w:val="81"/>
        <w:spacing w:line="400" w:lineRule="exact"/>
        <w:rPr>
          <w:rFonts w:ascii="宋体" w:hAnsi="宋体"/>
          <w:sz w:val="24"/>
          <w:szCs w:val="24"/>
        </w:rPr>
      </w:pPr>
      <w:r>
        <w:rPr>
          <w:rFonts w:hint="eastAsia" w:ascii="宋体" w:hAnsi="宋体"/>
          <w:sz w:val="24"/>
          <w:szCs w:val="24"/>
        </w:rPr>
        <w:t>1.管理关系说明：</w:t>
      </w:r>
    </w:p>
    <w:p>
      <w:pPr>
        <w:pStyle w:val="81"/>
        <w:spacing w:line="400" w:lineRule="exact"/>
        <w:rPr>
          <w:rFonts w:ascii="宋体" w:hAnsi="宋体"/>
          <w:sz w:val="24"/>
          <w:szCs w:val="24"/>
          <w:u w:val="single"/>
        </w:rPr>
      </w:pPr>
      <w:r>
        <w:rPr>
          <w:rFonts w:hint="eastAsia" w:ascii="宋体" w:hAnsi="宋体"/>
          <w:sz w:val="24"/>
          <w:szCs w:val="24"/>
        </w:rPr>
        <w:t>我单位管理的具有独立法人的下属单位：</w:t>
      </w:r>
      <w:r>
        <w:rPr>
          <w:rFonts w:hint="eastAsia" w:ascii="宋体" w:hAnsi="宋体"/>
          <w:sz w:val="24"/>
          <w:szCs w:val="24"/>
          <w:u w:val="single"/>
        </w:rPr>
        <w:t xml:space="preserve">      </w:t>
      </w:r>
      <w:r>
        <w:rPr>
          <w:rFonts w:hint="eastAsia" w:ascii="宋体" w:hAnsi="宋体"/>
          <w:sz w:val="24"/>
          <w:szCs w:val="24"/>
        </w:rPr>
        <w:t>(没有填无)。</w:t>
      </w:r>
    </w:p>
    <w:p>
      <w:pPr>
        <w:pStyle w:val="81"/>
        <w:spacing w:line="400" w:lineRule="exact"/>
        <w:rPr>
          <w:rFonts w:ascii="宋体" w:hAnsi="宋体"/>
          <w:sz w:val="24"/>
          <w:szCs w:val="24"/>
        </w:rPr>
      </w:pPr>
      <w:r>
        <w:rPr>
          <w:rFonts w:hint="eastAsia" w:ascii="宋体" w:hAnsi="宋体"/>
          <w:sz w:val="24"/>
          <w:szCs w:val="24"/>
        </w:rPr>
        <w:t xml:space="preserve">我单位的上级管理单位 </w:t>
      </w:r>
      <w:r>
        <w:rPr>
          <w:rFonts w:hint="eastAsia" w:ascii="宋体" w:hAnsi="宋体"/>
          <w:sz w:val="24"/>
          <w:szCs w:val="24"/>
          <w:u w:val="single"/>
        </w:rPr>
        <w:t xml:space="preserve">            </w:t>
      </w:r>
      <w:r>
        <w:rPr>
          <w:rFonts w:hint="eastAsia" w:ascii="宋体" w:hAnsi="宋体"/>
          <w:sz w:val="24"/>
          <w:szCs w:val="24"/>
        </w:rPr>
        <w:t xml:space="preserve"> (没有填无)。</w:t>
      </w:r>
    </w:p>
    <w:p>
      <w:pPr>
        <w:pStyle w:val="81"/>
        <w:spacing w:line="400" w:lineRule="exact"/>
        <w:rPr>
          <w:rFonts w:ascii="宋体" w:hAnsi="宋体"/>
          <w:sz w:val="24"/>
          <w:szCs w:val="24"/>
        </w:rPr>
      </w:pPr>
      <w:r>
        <w:rPr>
          <w:rFonts w:hint="eastAsia" w:ascii="宋体" w:hAnsi="宋体"/>
          <w:sz w:val="24"/>
          <w:szCs w:val="24"/>
        </w:rPr>
        <w:t>2.股权关系说明：</w:t>
      </w:r>
    </w:p>
    <w:p>
      <w:pPr>
        <w:pStyle w:val="81"/>
        <w:spacing w:line="400" w:lineRule="exact"/>
        <w:rPr>
          <w:rFonts w:ascii="宋体" w:hAnsi="宋体"/>
          <w:sz w:val="24"/>
          <w:szCs w:val="24"/>
        </w:rPr>
      </w:pPr>
      <w:r>
        <w:rPr>
          <w:rFonts w:hint="eastAsia" w:ascii="宋体" w:hAnsi="宋体"/>
          <w:sz w:val="24"/>
          <w:szCs w:val="24"/>
        </w:rPr>
        <w:t>我单位控股的单位</w:t>
      </w:r>
      <w:r>
        <w:rPr>
          <w:rFonts w:hint="eastAsia" w:ascii="宋体" w:hAnsi="宋体"/>
          <w:sz w:val="24"/>
          <w:szCs w:val="24"/>
          <w:u w:val="single"/>
        </w:rPr>
        <w:t xml:space="preserve">          </w:t>
      </w:r>
      <w:r>
        <w:rPr>
          <w:rFonts w:hint="eastAsia" w:ascii="宋体" w:hAnsi="宋体"/>
          <w:sz w:val="24"/>
          <w:szCs w:val="24"/>
        </w:rPr>
        <w:t>(没有填无) 。</w:t>
      </w:r>
    </w:p>
    <w:p>
      <w:pPr>
        <w:pStyle w:val="81"/>
        <w:spacing w:line="400" w:lineRule="exact"/>
        <w:rPr>
          <w:rFonts w:ascii="宋体" w:hAnsi="宋体"/>
          <w:sz w:val="24"/>
          <w:szCs w:val="24"/>
        </w:rPr>
      </w:pPr>
      <w:r>
        <w:rPr>
          <w:rFonts w:hint="eastAsia" w:ascii="宋体" w:hAnsi="宋体"/>
          <w:sz w:val="24"/>
          <w:szCs w:val="24"/>
        </w:rPr>
        <w:t>我单位</w:t>
      </w:r>
      <w:r>
        <w:rPr>
          <w:rFonts w:hint="eastAsia" w:ascii="宋体" w:hAnsi="宋体"/>
          <w:sz w:val="24"/>
          <w:szCs w:val="24"/>
          <w:u w:val="single"/>
        </w:rPr>
        <w:t xml:space="preserve">      </w:t>
      </w:r>
      <w:r>
        <w:rPr>
          <w:rFonts w:hint="eastAsia" w:ascii="宋体" w:hAnsi="宋体"/>
          <w:sz w:val="24"/>
          <w:szCs w:val="24"/>
        </w:rPr>
        <w:t>(没有填无)被</w:t>
      </w:r>
      <w:r>
        <w:rPr>
          <w:rFonts w:hint="eastAsia" w:ascii="宋体" w:hAnsi="宋体"/>
          <w:sz w:val="24"/>
          <w:szCs w:val="24"/>
          <w:u w:val="single"/>
        </w:rPr>
        <w:t xml:space="preserve">   （控股单位全称）  </w:t>
      </w:r>
      <w:r>
        <w:rPr>
          <w:rFonts w:hint="eastAsia" w:ascii="宋体" w:hAnsi="宋体"/>
          <w:sz w:val="24"/>
          <w:szCs w:val="24"/>
        </w:rPr>
        <w:t>单位控股。</w:t>
      </w:r>
    </w:p>
    <w:p>
      <w:pPr>
        <w:pStyle w:val="81"/>
        <w:spacing w:line="400" w:lineRule="exact"/>
        <w:rPr>
          <w:rFonts w:ascii="宋体" w:hAnsi="宋体"/>
          <w:sz w:val="24"/>
          <w:szCs w:val="24"/>
        </w:rPr>
      </w:pPr>
      <w:r>
        <w:rPr>
          <w:rFonts w:hint="eastAsia" w:ascii="宋体" w:hAnsi="宋体"/>
          <w:sz w:val="24"/>
          <w:szCs w:val="24"/>
        </w:rPr>
        <w:t>3.单位负责人：</w:t>
      </w:r>
      <w:r>
        <w:rPr>
          <w:rFonts w:hint="eastAsia" w:ascii="宋体" w:hAnsi="宋体"/>
          <w:sz w:val="24"/>
          <w:szCs w:val="24"/>
          <w:u w:val="single"/>
        </w:rPr>
        <w:t xml:space="preserve">        </w:t>
      </w:r>
      <w:r>
        <w:rPr>
          <w:rFonts w:hint="eastAsia" w:ascii="宋体" w:hAnsi="宋体"/>
          <w:sz w:val="24"/>
          <w:szCs w:val="24"/>
        </w:rPr>
        <w:t xml:space="preserve"> (没有填无)。</w:t>
      </w:r>
    </w:p>
    <w:p>
      <w:pPr>
        <w:pStyle w:val="81"/>
        <w:spacing w:line="400" w:lineRule="exact"/>
        <w:rPr>
          <w:rFonts w:ascii="宋体" w:hAnsi="宋体"/>
          <w:sz w:val="24"/>
          <w:szCs w:val="24"/>
        </w:rPr>
      </w:pPr>
      <w:r>
        <w:rPr>
          <w:rFonts w:hint="eastAsia" w:ascii="宋体" w:hAnsi="宋体"/>
          <w:sz w:val="24"/>
          <w:szCs w:val="24"/>
        </w:rPr>
        <w:t>三、我单位</w:t>
      </w:r>
      <w:r>
        <w:rPr>
          <w:rFonts w:hint="eastAsia" w:ascii="宋体" w:hAnsi="宋体"/>
          <w:sz w:val="24"/>
          <w:szCs w:val="24"/>
          <w:u w:val="single"/>
        </w:rPr>
        <w:t xml:space="preserve">          </w:t>
      </w:r>
      <w:r>
        <w:rPr>
          <w:rFonts w:hint="eastAsia" w:ascii="宋体" w:hAnsi="宋体"/>
          <w:sz w:val="24"/>
          <w:szCs w:val="24"/>
        </w:rPr>
        <w:t>（是或否） 为本采购项目提供过整体设计、规范编制或者项目管理、监理、检测等服务的投标人。</w:t>
      </w:r>
    </w:p>
    <w:p>
      <w:pPr>
        <w:pStyle w:val="81"/>
        <w:spacing w:line="400" w:lineRule="exact"/>
        <w:rPr>
          <w:rFonts w:ascii="宋体" w:hAnsi="宋体"/>
          <w:sz w:val="24"/>
          <w:szCs w:val="24"/>
        </w:rPr>
      </w:pPr>
      <w:r>
        <w:rPr>
          <w:rFonts w:hint="eastAsia" w:ascii="宋体" w:hAnsi="宋体"/>
          <w:sz w:val="24"/>
          <w:szCs w:val="24"/>
        </w:rPr>
        <w:t>四、其他与本项目有关的利害关系说明。</w:t>
      </w:r>
    </w:p>
    <w:p>
      <w:pPr>
        <w:pStyle w:val="81"/>
        <w:spacing w:line="400" w:lineRule="exact"/>
        <w:rPr>
          <w:rFonts w:ascii="宋体" w:hAnsi="宋体"/>
          <w:sz w:val="24"/>
          <w:szCs w:val="24"/>
        </w:rPr>
      </w:pPr>
      <w:r>
        <w:rPr>
          <w:rFonts w:hint="eastAsia" w:ascii="宋体" w:hAnsi="宋体"/>
          <w:sz w:val="24"/>
          <w:szCs w:val="24"/>
        </w:rPr>
        <w:t>我单位承诺以上说明真实有效，无虚假内容或隐瞒。</w:t>
      </w:r>
    </w:p>
    <w:p>
      <w:pPr>
        <w:pStyle w:val="81"/>
        <w:spacing w:line="400" w:lineRule="exact"/>
        <w:rPr>
          <w:rFonts w:ascii="宋体" w:hAnsi="宋体"/>
          <w:sz w:val="24"/>
          <w:szCs w:val="24"/>
        </w:rPr>
      </w:pPr>
    </w:p>
    <w:p>
      <w:pPr>
        <w:pStyle w:val="81"/>
        <w:spacing w:line="400" w:lineRule="exact"/>
        <w:rPr>
          <w:rFonts w:ascii="宋体" w:hAnsi="宋体"/>
          <w:b/>
          <w:sz w:val="24"/>
          <w:szCs w:val="24"/>
        </w:rPr>
      </w:pPr>
    </w:p>
    <w:p>
      <w:pPr>
        <w:pStyle w:val="81"/>
        <w:spacing w:line="400" w:lineRule="exact"/>
        <w:rPr>
          <w:rFonts w:ascii="宋体" w:hAnsi="宋体"/>
          <w:b/>
          <w:sz w:val="24"/>
          <w:szCs w:val="24"/>
        </w:rPr>
      </w:pPr>
    </w:p>
    <w:p>
      <w:pPr>
        <w:pStyle w:val="81"/>
        <w:spacing w:line="400" w:lineRule="exact"/>
        <w:rPr>
          <w:rFonts w:ascii="宋体" w:hAnsi="宋体"/>
          <w:b/>
          <w:sz w:val="24"/>
          <w:szCs w:val="24"/>
        </w:rPr>
      </w:pPr>
    </w:p>
    <w:p>
      <w:pPr>
        <w:pStyle w:val="81"/>
        <w:spacing w:line="400" w:lineRule="exact"/>
        <w:ind w:firstLine="2760" w:firstLineChars="1150"/>
        <w:rPr>
          <w:rFonts w:ascii="宋体" w:hAnsi="宋体"/>
          <w:sz w:val="24"/>
          <w:szCs w:val="24"/>
        </w:rPr>
      </w:pPr>
      <w:r>
        <w:rPr>
          <w:rFonts w:hint="eastAsia" w:ascii="宋体" w:hAnsi="宋体"/>
          <w:sz w:val="24"/>
          <w:szCs w:val="24"/>
        </w:rPr>
        <w:t>投标人（公章）：</w:t>
      </w:r>
      <w:r>
        <w:rPr>
          <w:rFonts w:hint="eastAsia" w:ascii="宋体" w:hAnsi="宋体"/>
          <w:sz w:val="24"/>
          <w:szCs w:val="24"/>
          <w:u w:val="single"/>
        </w:rPr>
        <w:t xml:space="preserve">                       </w:t>
      </w:r>
    </w:p>
    <w:p>
      <w:pPr>
        <w:pStyle w:val="81"/>
        <w:spacing w:line="400" w:lineRule="exact"/>
        <w:ind w:firstLine="2760" w:firstLineChars="1150"/>
        <w:rPr>
          <w:rFonts w:ascii="宋体" w:hAnsi="宋体"/>
          <w:sz w:val="24"/>
          <w:szCs w:val="24"/>
          <w:u w:val="single"/>
        </w:rPr>
      </w:pPr>
      <w:r>
        <w:rPr>
          <w:rFonts w:hint="eastAsia" w:ascii="宋体" w:hAnsi="宋体"/>
          <w:sz w:val="24"/>
          <w:szCs w:val="24"/>
        </w:rPr>
        <w:t>法定代表人（签字或盖章）：</w:t>
      </w:r>
      <w:r>
        <w:rPr>
          <w:rFonts w:hint="eastAsia" w:ascii="宋体" w:hAnsi="宋体"/>
          <w:sz w:val="24"/>
          <w:szCs w:val="24"/>
          <w:u w:val="single"/>
        </w:rPr>
        <w:t xml:space="preserve">          </w:t>
      </w:r>
    </w:p>
    <w:p>
      <w:pPr>
        <w:pStyle w:val="81"/>
        <w:spacing w:line="400" w:lineRule="exact"/>
        <w:ind w:firstLine="2760" w:firstLineChars="1150"/>
        <w:rPr>
          <w:rFonts w:ascii="宋体" w:hAnsi="宋体"/>
          <w:sz w:val="24"/>
          <w:szCs w:val="24"/>
          <w:u w:val="single"/>
        </w:rPr>
      </w:pPr>
      <w:r>
        <w:rPr>
          <w:rFonts w:hint="eastAsia" w:ascii="宋体" w:hAnsi="宋体"/>
          <w:sz w:val="24"/>
          <w:szCs w:val="24"/>
        </w:rPr>
        <w:t>日    期：</w:t>
      </w:r>
      <w:r>
        <w:rPr>
          <w:rFonts w:hint="eastAsia" w:ascii="宋体" w:hAnsi="宋体"/>
          <w:sz w:val="24"/>
          <w:szCs w:val="24"/>
          <w:u w:val="single"/>
        </w:rPr>
        <w:t xml:space="preserve">                             </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jc w:val="center"/>
        <w:rPr>
          <w:b/>
          <w:sz w:val="28"/>
        </w:rPr>
      </w:pPr>
      <w:r>
        <w:rPr>
          <w:rFonts w:hint="eastAsia"/>
          <w:b/>
          <w:sz w:val="28"/>
        </w:rPr>
        <w:t>5.具有履行本合同所必需的设备和专业技术能力</w:t>
      </w:r>
    </w:p>
    <w:p>
      <w:pPr>
        <w:spacing w:line="480" w:lineRule="auto"/>
        <w:jc w:val="center"/>
        <w:outlineLvl w:val="2"/>
        <w:rPr>
          <w:rFonts w:ascii="宋体" w:hAnsi="宋体" w:cs="宋体"/>
          <w:b/>
          <w:bCs/>
          <w:sz w:val="28"/>
          <w:szCs w:val="28"/>
        </w:rPr>
      </w:pPr>
      <w:r>
        <w:rPr>
          <w:rFonts w:hint="eastAsia" w:ascii="宋体" w:hAnsi="宋体" w:cs="宋体"/>
          <w:b/>
          <w:bCs/>
          <w:sz w:val="28"/>
          <w:szCs w:val="28"/>
        </w:rPr>
        <w:t>承诺书</w:t>
      </w:r>
    </w:p>
    <w:p>
      <w:pPr>
        <w:spacing w:line="480" w:lineRule="auto"/>
        <w:rPr>
          <w:rFonts w:ascii="宋体" w:hAnsi="宋体" w:cs="宋体"/>
          <w:sz w:val="24"/>
        </w:rPr>
      </w:pPr>
    </w:p>
    <w:p>
      <w:pPr>
        <w:spacing w:line="480" w:lineRule="auto"/>
        <w:rPr>
          <w:rFonts w:ascii="宋体" w:hAnsi="宋体" w:cs="宋体"/>
          <w:spacing w:val="4"/>
          <w:sz w:val="24"/>
          <w:u w:val="single"/>
        </w:rPr>
      </w:pPr>
      <w:r>
        <w:rPr>
          <w:rFonts w:hint="eastAsia" w:ascii="宋体" w:hAnsi="宋体" w:cs="宋体"/>
          <w:kern w:val="0"/>
          <w:sz w:val="24"/>
        </w:rPr>
        <w:t xml:space="preserve"> </w:t>
      </w:r>
      <w:r>
        <w:rPr>
          <w:rFonts w:hint="eastAsia" w:ascii="宋体" w:hAnsi="宋体" w:cs="宋体"/>
          <w:spacing w:val="4"/>
          <w:sz w:val="24"/>
          <w:u w:val="single"/>
        </w:rPr>
        <w:t xml:space="preserve">     （采购人名称）    ：</w:t>
      </w:r>
    </w:p>
    <w:p>
      <w:pPr>
        <w:pStyle w:val="18"/>
        <w:adjustRightInd w:val="0"/>
        <w:snapToGrid w:val="0"/>
        <w:spacing w:line="480" w:lineRule="auto"/>
        <w:rPr>
          <w:rFonts w:hAnsi="宋体" w:cs="宋体"/>
          <w:spacing w:val="4"/>
          <w:sz w:val="24"/>
          <w:szCs w:val="24"/>
        </w:rPr>
      </w:pPr>
      <w:r>
        <w:rPr>
          <w:rFonts w:hint="eastAsia" w:hAnsi="宋体" w:cs="宋体"/>
          <w:spacing w:val="4"/>
          <w:sz w:val="24"/>
          <w:szCs w:val="24"/>
        </w:rPr>
        <w:t xml:space="preserve">     </w:t>
      </w:r>
      <w:r>
        <w:rPr>
          <w:rFonts w:hint="eastAsia" w:hAnsi="宋体" w:cs="宋体"/>
          <w:spacing w:val="4"/>
          <w:sz w:val="24"/>
          <w:szCs w:val="24"/>
          <w:u w:val="single"/>
        </w:rPr>
        <w:t xml:space="preserve">      （供应商名称）    </w:t>
      </w:r>
      <w:r>
        <w:rPr>
          <w:rFonts w:hint="eastAsia" w:hAnsi="宋体" w:cs="宋体"/>
          <w:spacing w:val="4"/>
          <w:sz w:val="24"/>
          <w:szCs w:val="24"/>
        </w:rPr>
        <w:t xml:space="preserve"> 于</w:t>
      </w:r>
      <w:r>
        <w:rPr>
          <w:rFonts w:hint="eastAsia" w:hAnsi="宋体" w:cs="宋体"/>
          <w:spacing w:val="4"/>
          <w:sz w:val="24"/>
          <w:szCs w:val="24"/>
          <w:u w:val="single"/>
        </w:rPr>
        <w:t xml:space="preserve">     </w:t>
      </w:r>
      <w:r>
        <w:rPr>
          <w:rFonts w:hint="eastAsia" w:hAnsi="宋体" w:cs="宋体"/>
          <w:spacing w:val="4"/>
          <w:sz w:val="24"/>
          <w:szCs w:val="24"/>
        </w:rPr>
        <w:t>年</w:t>
      </w:r>
      <w:r>
        <w:rPr>
          <w:rFonts w:hint="eastAsia" w:hAnsi="宋体" w:cs="宋体"/>
          <w:spacing w:val="4"/>
          <w:sz w:val="24"/>
          <w:szCs w:val="24"/>
          <w:u w:val="single"/>
        </w:rPr>
        <w:t xml:space="preserve">    </w:t>
      </w:r>
      <w:r>
        <w:rPr>
          <w:rFonts w:hint="eastAsia" w:hAnsi="宋体" w:cs="宋体"/>
          <w:spacing w:val="4"/>
          <w:sz w:val="24"/>
          <w:szCs w:val="24"/>
        </w:rPr>
        <w:t>月</w:t>
      </w:r>
      <w:r>
        <w:rPr>
          <w:rFonts w:hint="eastAsia" w:hAnsi="宋体" w:cs="宋体"/>
          <w:spacing w:val="4"/>
          <w:sz w:val="24"/>
          <w:szCs w:val="24"/>
          <w:u w:val="single"/>
        </w:rPr>
        <w:t xml:space="preserve">   </w:t>
      </w:r>
      <w:r>
        <w:rPr>
          <w:rFonts w:hint="eastAsia" w:hAnsi="宋体" w:cs="宋体"/>
          <w:spacing w:val="4"/>
          <w:sz w:val="24"/>
          <w:szCs w:val="24"/>
        </w:rPr>
        <w:t>日在中华人民共和国境内</w:t>
      </w:r>
      <w:r>
        <w:rPr>
          <w:rFonts w:hint="eastAsia" w:hAnsi="宋体" w:cs="宋体"/>
          <w:spacing w:val="4"/>
          <w:sz w:val="24"/>
          <w:szCs w:val="24"/>
          <w:u w:val="single"/>
        </w:rPr>
        <w:t xml:space="preserve">               （注册地址）     </w:t>
      </w:r>
      <w:r>
        <w:rPr>
          <w:rFonts w:hint="eastAsia" w:hAnsi="宋体" w:cs="宋体"/>
          <w:spacing w:val="4"/>
          <w:sz w:val="24"/>
          <w:szCs w:val="24"/>
        </w:rPr>
        <w:t>合法注册并经营，公司主营业务为</w:t>
      </w:r>
      <w:r>
        <w:rPr>
          <w:rFonts w:hint="eastAsia" w:hAnsi="宋体" w:cs="宋体"/>
          <w:spacing w:val="4"/>
          <w:sz w:val="24"/>
          <w:szCs w:val="24"/>
          <w:u w:val="single"/>
        </w:rPr>
        <w:t xml:space="preserve">                          </w:t>
      </w:r>
      <w:r>
        <w:rPr>
          <w:rFonts w:hint="eastAsia" w:hAnsi="宋体" w:cs="宋体"/>
          <w:spacing w:val="4"/>
          <w:sz w:val="24"/>
          <w:szCs w:val="24"/>
        </w:rPr>
        <w:t>，营业（生产经营）面积为</w:t>
      </w:r>
      <w:r>
        <w:rPr>
          <w:rFonts w:hint="eastAsia" w:hAnsi="宋体" w:cs="宋体"/>
          <w:spacing w:val="4"/>
          <w:sz w:val="24"/>
          <w:szCs w:val="24"/>
          <w:u w:val="single"/>
        </w:rPr>
        <w:t xml:space="preserve">             </w:t>
      </w:r>
      <w:r>
        <w:rPr>
          <w:rFonts w:hint="eastAsia" w:hAnsi="宋体" w:cs="宋体"/>
          <w:spacing w:val="4"/>
          <w:sz w:val="24"/>
          <w:szCs w:val="24"/>
        </w:rPr>
        <w:t xml:space="preserve"> ，现有员工数量为</w:t>
      </w:r>
      <w:r>
        <w:rPr>
          <w:rFonts w:hint="eastAsia" w:hAnsi="宋体" w:cs="宋体"/>
          <w:spacing w:val="4"/>
          <w:sz w:val="24"/>
          <w:szCs w:val="24"/>
          <w:u w:val="single"/>
        </w:rPr>
        <w:t xml:space="preserve">         </w:t>
      </w:r>
      <w:r>
        <w:rPr>
          <w:rFonts w:hint="eastAsia" w:hAnsi="宋体" w:cs="宋体"/>
          <w:spacing w:val="4"/>
          <w:sz w:val="24"/>
          <w:szCs w:val="24"/>
        </w:rPr>
        <w:t>，本公司郑重承诺，具有履行本合同所必需的设备和专业技术能力。</w:t>
      </w:r>
    </w:p>
    <w:p>
      <w:pPr>
        <w:pStyle w:val="18"/>
        <w:adjustRightInd w:val="0"/>
        <w:snapToGrid w:val="0"/>
        <w:spacing w:line="480" w:lineRule="auto"/>
        <w:rPr>
          <w:rFonts w:hAnsi="宋体" w:cs="宋体"/>
          <w:spacing w:val="4"/>
          <w:sz w:val="24"/>
          <w:szCs w:val="24"/>
        </w:rPr>
      </w:pPr>
    </w:p>
    <w:p>
      <w:pPr>
        <w:spacing w:before="120" w:beforeLines="50" w:line="480" w:lineRule="auto"/>
        <w:ind w:firstLine="3600" w:firstLineChars="1500"/>
        <w:rPr>
          <w:rFonts w:ascii="宋体" w:hAnsi="宋体" w:cs="宋体"/>
          <w:sz w:val="24"/>
          <w:u w:val="single"/>
        </w:rPr>
      </w:pPr>
      <w:r>
        <w:rPr>
          <w:rFonts w:hint="eastAsia" w:ascii="宋体" w:hAnsi="宋体"/>
          <w:sz w:val="24"/>
        </w:rPr>
        <w:t>投标人</w:t>
      </w:r>
      <w:r>
        <w:rPr>
          <w:rFonts w:hint="eastAsia" w:ascii="宋体" w:hAnsi="宋体" w:cs="宋体"/>
          <w:sz w:val="24"/>
        </w:rPr>
        <w:t xml:space="preserve">：（公章） </w:t>
      </w:r>
      <w:r>
        <w:rPr>
          <w:rFonts w:hint="eastAsia" w:ascii="宋体" w:hAnsi="宋体" w:cs="宋体"/>
          <w:sz w:val="24"/>
          <w:u w:val="single"/>
        </w:rPr>
        <w:t xml:space="preserve">         </w:t>
      </w:r>
    </w:p>
    <w:p>
      <w:pPr>
        <w:spacing w:before="120" w:beforeLines="50" w:line="480" w:lineRule="auto"/>
        <w:ind w:firstLine="3600" w:firstLineChars="1500"/>
        <w:rPr>
          <w:rFonts w:ascii="宋体" w:hAnsi="宋体" w:cs="宋体"/>
          <w:sz w:val="24"/>
          <w:u w:val="single"/>
        </w:rPr>
      </w:pPr>
      <w:r>
        <w:rPr>
          <w:rFonts w:hint="eastAsia" w:ascii="宋体" w:hAnsi="宋体" w:cs="宋体"/>
          <w:sz w:val="24"/>
        </w:rPr>
        <w:t>法定代表人或其授权代表：（签字或加盖人名章）</w:t>
      </w:r>
      <w:r>
        <w:rPr>
          <w:rFonts w:hint="eastAsia" w:ascii="宋体" w:hAnsi="宋体" w:cs="宋体"/>
          <w:sz w:val="24"/>
          <w:u w:val="single"/>
        </w:rPr>
        <w:t xml:space="preserve">        </w:t>
      </w:r>
    </w:p>
    <w:p>
      <w:pPr>
        <w:spacing w:before="120" w:beforeLines="50" w:line="480" w:lineRule="auto"/>
        <w:ind w:left="460" w:leftChars="219" w:firstLine="4560" w:firstLineChars="1900"/>
        <w:rPr>
          <w:rFonts w:ascii="宋体" w:hAnsi="宋体" w:cs="宋体"/>
          <w:sz w:val="24"/>
        </w:rPr>
      </w:pPr>
      <w:r>
        <w:rPr>
          <w:rFonts w:hint="eastAsia" w:ascii="宋体" w:hAnsi="宋体" w:cs="宋体"/>
          <w:sz w:val="24"/>
        </w:rPr>
        <w:t xml:space="preserve">日期：   年    月     日 </w:t>
      </w:r>
    </w:p>
    <w:p>
      <w:pPr>
        <w:rPr>
          <w:b/>
          <w:sz w:val="28"/>
        </w:rPr>
      </w:pPr>
    </w:p>
    <w:p>
      <w:pPr>
        <w:rPr>
          <w:b/>
          <w:sz w:val="28"/>
        </w:rPr>
      </w:pPr>
      <w:r>
        <w:rPr>
          <w:rFonts w:hint="eastAsia"/>
          <w:b/>
          <w:sz w:val="28"/>
        </w:rPr>
        <w:br w:type="page"/>
      </w:r>
    </w:p>
    <w:p>
      <w:pPr>
        <w:jc w:val="center"/>
        <w:rPr>
          <w:rFonts w:ascii="宋体" w:hAnsi="宋体"/>
          <w:sz w:val="24"/>
        </w:rPr>
      </w:pPr>
      <w:r>
        <w:rPr>
          <w:rFonts w:hint="eastAsia"/>
          <w:b/>
          <w:sz w:val="28"/>
        </w:rPr>
        <w:t>6.</w:t>
      </w:r>
      <w:bookmarkEnd w:id="237"/>
      <w:r>
        <w:rPr>
          <w:rFonts w:hint="eastAsia"/>
          <w:b/>
          <w:sz w:val="28"/>
        </w:rPr>
        <w:t>参加政府采购活动前三年内，在经营活动中没有重大违法记录的书面声明</w:t>
      </w:r>
    </w:p>
    <w:p>
      <w:pPr>
        <w:pStyle w:val="81"/>
        <w:spacing w:line="400" w:lineRule="exact"/>
        <w:rPr>
          <w:rFonts w:ascii="宋体" w:hAnsi="宋体"/>
          <w:sz w:val="24"/>
          <w:szCs w:val="24"/>
        </w:rPr>
      </w:pPr>
      <w:bookmarkStart w:id="238" w:name="_Toc475451557"/>
      <w:bookmarkStart w:id="239" w:name="_Toc473056008"/>
      <w:bookmarkStart w:id="240" w:name="_Toc475451804"/>
    </w:p>
    <w:p>
      <w:pPr>
        <w:pStyle w:val="81"/>
        <w:spacing w:line="400" w:lineRule="exact"/>
        <w:rPr>
          <w:rFonts w:hint="eastAsia" w:ascii="宋体" w:hAnsi="宋体" w:eastAsia="宋体"/>
          <w:sz w:val="24"/>
          <w:szCs w:val="24"/>
          <w:lang w:eastAsia="zh-CN"/>
        </w:rPr>
      </w:pPr>
      <w:r>
        <w:rPr>
          <w:rFonts w:hint="eastAsia" w:ascii="宋体" w:hAnsi="宋体"/>
          <w:sz w:val="24"/>
          <w:szCs w:val="24"/>
        </w:rPr>
        <w:t>同正项目管理有限公司</w:t>
      </w:r>
      <w:r>
        <w:rPr>
          <w:rFonts w:ascii="宋体" w:hAnsi="宋体"/>
          <w:sz w:val="24"/>
          <w:szCs w:val="24"/>
        </w:rPr>
        <w:t>：</w:t>
      </w:r>
    </w:p>
    <w:p>
      <w:pPr>
        <w:pStyle w:val="81"/>
        <w:spacing w:line="400" w:lineRule="exact"/>
        <w:rPr>
          <w:rFonts w:ascii="宋体" w:hAnsi="宋体"/>
          <w:sz w:val="24"/>
          <w:szCs w:val="24"/>
        </w:rPr>
      </w:pPr>
      <w:r>
        <w:rPr>
          <w:rFonts w:hint="eastAsia" w:ascii="宋体" w:hAnsi="宋体"/>
          <w:sz w:val="24"/>
          <w:szCs w:val="24"/>
        </w:rPr>
        <w:t xml:space="preserve">    </w:t>
      </w:r>
    </w:p>
    <w:p>
      <w:pPr>
        <w:pStyle w:val="81"/>
        <w:spacing w:line="400" w:lineRule="exact"/>
        <w:ind w:firstLine="480" w:firstLineChars="200"/>
        <w:rPr>
          <w:rFonts w:hint="eastAsia" w:ascii="宋体" w:hAnsi="宋体" w:eastAsia="宋体"/>
          <w:sz w:val="24"/>
          <w:szCs w:val="24"/>
          <w:lang w:eastAsia="zh-CN"/>
        </w:rPr>
      </w:pPr>
      <w:r>
        <w:rPr>
          <w:rFonts w:ascii="宋体" w:hAnsi="宋体"/>
          <w:sz w:val="24"/>
          <w:szCs w:val="24"/>
        </w:rPr>
        <w:t>我方_______________（</w:t>
      </w:r>
      <w:r>
        <w:rPr>
          <w:rFonts w:hint="eastAsia" w:ascii="宋体" w:hAnsi="宋体"/>
          <w:sz w:val="24"/>
          <w:szCs w:val="24"/>
        </w:rPr>
        <w:t>投标人</w:t>
      </w:r>
      <w:r>
        <w:rPr>
          <w:rFonts w:ascii="宋体" w:hAnsi="宋体"/>
          <w:sz w:val="24"/>
          <w:szCs w:val="24"/>
        </w:rPr>
        <w:t>名称）郑重声明在参加本次政府采购活动前3年内的经营活动没有重大违法记录。如有不实，我方将无条件地退出本项目的采购活动，并遵照《政府采购法》有关"提供虚假材料的规定"接受处罚。</w:t>
      </w:r>
    </w:p>
    <w:p>
      <w:pPr>
        <w:pStyle w:val="81"/>
        <w:spacing w:line="400" w:lineRule="exact"/>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特此声明。</w:t>
      </w:r>
    </w:p>
    <w:p>
      <w:pPr>
        <w:pStyle w:val="81"/>
        <w:spacing w:line="400" w:lineRule="exact"/>
        <w:rPr>
          <w:rFonts w:ascii="宋体" w:hAnsi="宋体"/>
          <w:sz w:val="24"/>
          <w:szCs w:val="24"/>
        </w:rPr>
      </w:pPr>
    </w:p>
    <w:p>
      <w:pPr>
        <w:pStyle w:val="81"/>
        <w:spacing w:line="400" w:lineRule="exact"/>
        <w:rPr>
          <w:rFonts w:ascii="宋体" w:hAnsi="宋体"/>
          <w:sz w:val="24"/>
          <w:szCs w:val="24"/>
        </w:rPr>
      </w:pPr>
    </w:p>
    <w:p>
      <w:pPr>
        <w:pStyle w:val="81"/>
        <w:spacing w:line="400" w:lineRule="exact"/>
        <w:rPr>
          <w:rFonts w:ascii="宋体" w:hAnsi="宋体"/>
          <w:sz w:val="24"/>
          <w:szCs w:val="24"/>
        </w:rPr>
      </w:pPr>
    </w:p>
    <w:p>
      <w:pPr>
        <w:pStyle w:val="81"/>
        <w:spacing w:line="400" w:lineRule="exact"/>
        <w:ind w:firstLine="4080" w:firstLineChars="1700"/>
        <w:rPr>
          <w:rFonts w:ascii="宋体" w:hAnsi="宋体"/>
          <w:sz w:val="24"/>
          <w:szCs w:val="24"/>
        </w:rPr>
      </w:pPr>
      <w:r>
        <w:rPr>
          <w:rFonts w:hint="eastAsia" w:ascii="宋体" w:hAnsi="宋体"/>
          <w:sz w:val="24"/>
          <w:szCs w:val="24"/>
        </w:rPr>
        <w:t>投标人（公章）：</w:t>
      </w:r>
      <w:r>
        <w:rPr>
          <w:rFonts w:hint="eastAsia" w:ascii="宋体" w:hAnsi="宋体"/>
          <w:sz w:val="24"/>
          <w:szCs w:val="24"/>
          <w:u w:val="single"/>
        </w:rPr>
        <w:t xml:space="preserve">                       </w:t>
      </w:r>
    </w:p>
    <w:p>
      <w:pPr>
        <w:pStyle w:val="81"/>
        <w:spacing w:line="400" w:lineRule="exact"/>
        <w:ind w:firstLine="4080" w:firstLineChars="1700"/>
        <w:rPr>
          <w:rFonts w:ascii="宋体" w:hAnsi="宋体"/>
          <w:sz w:val="24"/>
          <w:szCs w:val="24"/>
          <w:u w:val="single"/>
        </w:rPr>
      </w:pPr>
      <w:r>
        <w:rPr>
          <w:rFonts w:hint="eastAsia" w:ascii="宋体" w:hAnsi="宋体"/>
          <w:sz w:val="24"/>
          <w:szCs w:val="24"/>
        </w:rPr>
        <w:t>法定代表人（签字或盖章）：</w:t>
      </w:r>
      <w:r>
        <w:rPr>
          <w:rFonts w:hint="eastAsia" w:ascii="宋体" w:hAnsi="宋体"/>
          <w:sz w:val="24"/>
          <w:szCs w:val="24"/>
          <w:u w:val="single"/>
        </w:rPr>
        <w:t xml:space="preserve">                   </w:t>
      </w:r>
    </w:p>
    <w:p>
      <w:pPr>
        <w:pStyle w:val="81"/>
        <w:spacing w:line="400" w:lineRule="exact"/>
        <w:ind w:firstLine="4080" w:firstLineChars="1700"/>
        <w:rPr>
          <w:rFonts w:ascii="宋体" w:hAnsi="宋体"/>
          <w:sz w:val="24"/>
          <w:szCs w:val="24"/>
          <w:u w:val="single"/>
        </w:rPr>
      </w:pPr>
      <w:r>
        <w:rPr>
          <w:rFonts w:hint="eastAsia" w:ascii="宋体" w:hAnsi="宋体"/>
          <w:sz w:val="24"/>
          <w:szCs w:val="24"/>
        </w:rPr>
        <w:t>日    期：</w:t>
      </w:r>
      <w:r>
        <w:rPr>
          <w:rFonts w:hint="eastAsia" w:ascii="宋体" w:hAnsi="宋体"/>
          <w:sz w:val="24"/>
          <w:szCs w:val="24"/>
          <w:u w:val="single"/>
        </w:rPr>
        <w:t xml:space="preserve">                             </w:t>
      </w:r>
    </w:p>
    <w:p>
      <w:pPr>
        <w:ind w:firstLine="420" w:firstLineChars="200"/>
        <w:jc w:val="center"/>
        <w:rPr>
          <w:b/>
          <w:sz w:val="28"/>
        </w:rPr>
      </w:pPr>
      <w:r>
        <w:rPr>
          <w:u w:val="single"/>
        </w:rPr>
        <w:br w:type="page"/>
      </w:r>
      <w:bookmarkStart w:id="241" w:name="_Toc529953016"/>
      <w:r>
        <w:rPr>
          <w:rFonts w:hint="eastAsia"/>
          <w:b/>
          <w:sz w:val="28"/>
        </w:rPr>
        <w:t xml:space="preserve"> 7.税收缴纳证明</w:t>
      </w:r>
    </w:p>
    <w:p>
      <w:pPr>
        <w:jc w:val="left"/>
        <w:rPr>
          <w:b/>
          <w:sz w:val="28"/>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r>
        <w:rPr>
          <w:rFonts w:hint="eastAsia"/>
          <w:b/>
          <w:sz w:val="28"/>
        </w:rPr>
        <w:t xml:space="preserve">                    8.社会保障资金缴纳证明</w:t>
      </w:r>
    </w:p>
    <w:p>
      <w:pPr>
        <w:jc w:val="left"/>
        <w:rPr>
          <w:b/>
          <w:sz w:val="28"/>
        </w:rPr>
      </w:pPr>
    </w:p>
    <w:p>
      <w:pPr>
        <w:jc w:val="left"/>
        <w:rPr>
          <w:b/>
          <w:sz w:val="28"/>
        </w:rPr>
      </w:pPr>
    </w:p>
    <w:p>
      <w:pPr>
        <w:jc w:val="left"/>
        <w:rPr>
          <w:b/>
          <w:sz w:val="28"/>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480"/>
        <w:rPr>
          <w:rFonts w:ascii="Times New Roman" w:hAnsi="Times New Roman"/>
          <w:b/>
          <w:kern w:val="2"/>
          <w:sz w:val="28"/>
          <w:lang w:val="en-US"/>
        </w:rPr>
      </w:pPr>
      <w:r>
        <w:rPr>
          <w:rFonts w:hint="eastAsia" w:cs="宋体"/>
          <w:lang w:val="en-US"/>
        </w:rPr>
        <w:t xml:space="preserve">              </w:t>
      </w:r>
      <w:r>
        <w:rPr>
          <w:rFonts w:hint="eastAsia" w:ascii="Times New Roman" w:hAnsi="Times New Roman"/>
          <w:b/>
          <w:kern w:val="2"/>
          <w:sz w:val="28"/>
          <w:lang w:val="en-US"/>
        </w:rPr>
        <w:t>9. 财务状况报告或资信证明</w:t>
      </w: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jc w:val="left"/>
        <w:rPr>
          <w:b/>
          <w:sz w:val="28"/>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pStyle w:val="44"/>
        <w:ind w:firstLine="562"/>
        <w:rPr>
          <w:rFonts w:ascii="Times New Roman" w:hAnsi="Times New Roman"/>
          <w:b/>
          <w:kern w:val="2"/>
          <w:sz w:val="28"/>
          <w:lang w:val="en-US"/>
        </w:rPr>
      </w:pPr>
    </w:p>
    <w:p>
      <w:pPr>
        <w:jc w:val="left"/>
        <w:rPr>
          <w:b/>
          <w:sz w:val="28"/>
        </w:rPr>
      </w:pPr>
    </w:p>
    <w:p>
      <w:pPr>
        <w:jc w:val="left"/>
        <w:rPr>
          <w:b/>
          <w:sz w:val="28"/>
        </w:rPr>
      </w:pPr>
    </w:p>
    <w:p>
      <w:pPr>
        <w:jc w:val="left"/>
        <w:rPr>
          <w:b/>
          <w:sz w:val="28"/>
        </w:rPr>
      </w:pPr>
    </w:p>
    <w:p>
      <w:pPr>
        <w:jc w:val="left"/>
        <w:rPr>
          <w:b/>
          <w:sz w:val="28"/>
        </w:rPr>
      </w:pPr>
    </w:p>
    <w:p>
      <w:pPr>
        <w:jc w:val="center"/>
        <w:rPr>
          <w:b/>
          <w:sz w:val="28"/>
        </w:rPr>
      </w:pPr>
      <w:r>
        <w:rPr>
          <w:rFonts w:hint="eastAsia"/>
          <w:b/>
          <w:sz w:val="28"/>
        </w:rPr>
        <w:t>10.“信用中国”网站和“中国政府采购网”网站查询截图</w:t>
      </w: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b/>
          <w:sz w:val="28"/>
          <w:szCs w:val="24"/>
        </w:rPr>
      </w:pPr>
    </w:p>
    <w:p>
      <w:pPr>
        <w:pStyle w:val="81"/>
        <w:spacing w:line="400" w:lineRule="exact"/>
        <w:rPr>
          <w:rFonts w:ascii="宋体" w:hAnsi="宋体"/>
          <w:b/>
          <w:sz w:val="24"/>
          <w:szCs w:val="24"/>
        </w:rPr>
      </w:pPr>
      <w:r>
        <w:rPr>
          <w:rFonts w:hint="eastAsia"/>
          <w:b/>
          <w:sz w:val="28"/>
          <w:szCs w:val="24"/>
        </w:rPr>
        <w:t>11.招标文件要求的其他证明文件</w:t>
      </w:r>
      <w:bookmarkEnd w:id="241"/>
      <w:r>
        <w:rPr>
          <w:rFonts w:hint="eastAsia"/>
          <w:b/>
          <w:sz w:val="28"/>
          <w:szCs w:val="24"/>
        </w:rPr>
        <w:t>和投标人认为有必要提供的其他证明文件</w:t>
      </w:r>
    </w:p>
    <w:p>
      <w:pPr>
        <w:pStyle w:val="5"/>
        <w:spacing w:before="0" w:after="120" w:afterLines="50" w:line="360" w:lineRule="auto"/>
        <w:jc w:val="center"/>
        <w:rPr>
          <w:b w:val="0"/>
          <w:bCs/>
        </w:rPr>
      </w:pPr>
      <w:r>
        <w:rPr>
          <w:b w:val="0"/>
        </w:rPr>
        <w:br w:type="page"/>
      </w:r>
      <w:bookmarkEnd w:id="238"/>
      <w:bookmarkEnd w:id="239"/>
      <w:bookmarkEnd w:id="240"/>
      <w:bookmarkStart w:id="242" w:name="_Toc511832019"/>
      <w:bookmarkStart w:id="243" w:name="_Toc17068"/>
      <w:bookmarkStart w:id="244" w:name="_Toc529953018"/>
      <w:bookmarkStart w:id="245" w:name="_Toc21620"/>
      <w:bookmarkStart w:id="246" w:name="_Toc26379"/>
      <w:r>
        <w:rPr>
          <w:rFonts w:hint="eastAsia" w:ascii="宋体" w:hAnsi="宋体" w:eastAsia="宋体"/>
          <w:bCs/>
        </w:rPr>
        <w:t>七、</w:t>
      </w:r>
      <w:r>
        <w:rPr>
          <w:rFonts w:ascii="宋体" w:hAnsi="宋体" w:eastAsia="宋体"/>
          <w:bCs/>
        </w:rPr>
        <w:t>近年业绩的有关证明材料</w:t>
      </w:r>
      <w:bookmarkEnd w:id="242"/>
      <w:bookmarkEnd w:id="243"/>
      <w:bookmarkEnd w:id="244"/>
      <w:bookmarkEnd w:id="245"/>
      <w:bookmarkEnd w:id="246"/>
    </w:p>
    <w:tbl>
      <w:tblPr>
        <w:tblStyle w:val="31"/>
        <w:tblW w:w="92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692"/>
        <w:gridCol w:w="1353"/>
        <w:gridCol w:w="1953"/>
        <w:gridCol w:w="1984"/>
        <w:gridCol w:w="16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30" w:type="dxa"/>
            <w:vAlign w:val="center"/>
          </w:tcPr>
          <w:p>
            <w:pPr>
              <w:pStyle w:val="81"/>
              <w:spacing w:line="400" w:lineRule="exact"/>
              <w:rPr>
                <w:rFonts w:ascii="宋体" w:hAnsi="宋体"/>
                <w:b/>
                <w:sz w:val="24"/>
                <w:szCs w:val="24"/>
              </w:rPr>
            </w:pPr>
            <w:r>
              <w:rPr>
                <w:rFonts w:hint="eastAsia" w:ascii="宋体" w:hAnsi="宋体"/>
                <w:b/>
                <w:sz w:val="24"/>
                <w:szCs w:val="24"/>
              </w:rPr>
              <w:t>序号</w:t>
            </w:r>
          </w:p>
        </w:tc>
        <w:tc>
          <w:tcPr>
            <w:tcW w:w="1692" w:type="dxa"/>
            <w:vAlign w:val="center"/>
          </w:tcPr>
          <w:p>
            <w:pPr>
              <w:pStyle w:val="81"/>
              <w:spacing w:line="400" w:lineRule="exact"/>
              <w:jc w:val="center"/>
              <w:rPr>
                <w:rFonts w:ascii="宋体" w:hAnsi="宋体"/>
                <w:b/>
                <w:sz w:val="24"/>
                <w:szCs w:val="24"/>
              </w:rPr>
            </w:pPr>
            <w:r>
              <w:rPr>
                <w:rFonts w:hint="eastAsia" w:ascii="宋体" w:hAnsi="宋体"/>
                <w:b/>
                <w:sz w:val="24"/>
                <w:szCs w:val="24"/>
              </w:rPr>
              <w:t>项目名称</w:t>
            </w:r>
          </w:p>
        </w:tc>
        <w:tc>
          <w:tcPr>
            <w:tcW w:w="1353" w:type="dxa"/>
            <w:vAlign w:val="center"/>
          </w:tcPr>
          <w:p>
            <w:pPr>
              <w:pStyle w:val="81"/>
              <w:spacing w:line="400" w:lineRule="exact"/>
              <w:jc w:val="center"/>
              <w:rPr>
                <w:rFonts w:ascii="宋体" w:hAnsi="宋体"/>
                <w:b/>
                <w:sz w:val="24"/>
                <w:szCs w:val="24"/>
              </w:rPr>
            </w:pPr>
            <w:r>
              <w:rPr>
                <w:rFonts w:hint="eastAsia" w:ascii="宋体" w:hAnsi="宋体"/>
                <w:b/>
                <w:sz w:val="24"/>
                <w:szCs w:val="24"/>
              </w:rPr>
              <w:t>合同金额</w:t>
            </w:r>
          </w:p>
        </w:tc>
        <w:tc>
          <w:tcPr>
            <w:tcW w:w="1953" w:type="dxa"/>
            <w:vAlign w:val="center"/>
          </w:tcPr>
          <w:p>
            <w:pPr>
              <w:pStyle w:val="81"/>
              <w:spacing w:line="400" w:lineRule="exact"/>
              <w:jc w:val="center"/>
              <w:rPr>
                <w:rFonts w:ascii="宋体" w:hAnsi="宋体"/>
                <w:b/>
                <w:sz w:val="24"/>
                <w:szCs w:val="24"/>
              </w:rPr>
            </w:pPr>
            <w:r>
              <w:rPr>
                <w:rFonts w:hint="eastAsia" w:ascii="宋体" w:hAnsi="宋体"/>
                <w:b/>
                <w:sz w:val="24"/>
                <w:szCs w:val="24"/>
              </w:rPr>
              <w:t>合同签订时间及完成时间</w:t>
            </w:r>
          </w:p>
        </w:tc>
        <w:tc>
          <w:tcPr>
            <w:tcW w:w="1984" w:type="dxa"/>
            <w:vAlign w:val="center"/>
          </w:tcPr>
          <w:p>
            <w:pPr>
              <w:pStyle w:val="81"/>
              <w:spacing w:line="400" w:lineRule="exact"/>
              <w:jc w:val="center"/>
              <w:rPr>
                <w:rFonts w:ascii="宋体" w:hAnsi="宋体"/>
                <w:b/>
                <w:sz w:val="24"/>
                <w:szCs w:val="24"/>
              </w:rPr>
            </w:pPr>
            <w:r>
              <w:rPr>
                <w:rFonts w:hint="eastAsia" w:ascii="宋体" w:hAnsi="宋体"/>
                <w:b/>
                <w:sz w:val="24"/>
                <w:szCs w:val="24"/>
              </w:rPr>
              <w:t>用户名称及联系方式</w:t>
            </w:r>
          </w:p>
        </w:tc>
        <w:tc>
          <w:tcPr>
            <w:tcW w:w="1656" w:type="dxa"/>
            <w:vAlign w:val="center"/>
          </w:tcPr>
          <w:p>
            <w:pPr>
              <w:pStyle w:val="81"/>
              <w:spacing w:line="400" w:lineRule="exact"/>
              <w:jc w:val="center"/>
              <w:rPr>
                <w:rFonts w:ascii="宋体" w:hAnsi="宋体"/>
                <w:b/>
                <w:sz w:val="24"/>
                <w:szCs w:val="24"/>
              </w:rPr>
            </w:pPr>
            <w:r>
              <w:rPr>
                <w:rFonts w:hint="eastAsia" w:ascii="宋体" w:hAnsi="宋体"/>
                <w:b/>
                <w:sz w:val="24"/>
                <w:szCs w:val="24"/>
              </w:rPr>
              <w:t>完成质量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30" w:type="dxa"/>
          </w:tcPr>
          <w:p>
            <w:pPr>
              <w:pStyle w:val="81"/>
              <w:spacing w:line="400" w:lineRule="exact"/>
              <w:rPr>
                <w:rFonts w:ascii="宋体" w:hAnsi="宋体"/>
                <w:sz w:val="24"/>
                <w:szCs w:val="24"/>
              </w:rPr>
            </w:pPr>
          </w:p>
        </w:tc>
        <w:tc>
          <w:tcPr>
            <w:tcW w:w="1692" w:type="dxa"/>
          </w:tcPr>
          <w:p>
            <w:pPr>
              <w:pStyle w:val="81"/>
              <w:spacing w:line="400" w:lineRule="exact"/>
              <w:rPr>
                <w:rFonts w:ascii="宋体" w:hAnsi="宋体"/>
                <w:sz w:val="24"/>
                <w:szCs w:val="24"/>
              </w:rPr>
            </w:pPr>
          </w:p>
        </w:tc>
        <w:tc>
          <w:tcPr>
            <w:tcW w:w="1353" w:type="dxa"/>
          </w:tcPr>
          <w:p>
            <w:pPr>
              <w:pStyle w:val="81"/>
              <w:spacing w:line="400" w:lineRule="exact"/>
              <w:rPr>
                <w:rFonts w:ascii="宋体" w:hAnsi="宋体"/>
                <w:sz w:val="24"/>
                <w:szCs w:val="24"/>
              </w:rPr>
            </w:pPr>
          </w:p>
        </w:tc>
        <w:tc>
          <w:tcPr>
            <w:tcW w:w="1953" w:type="dxa"/>
          </w:tcPr>
          <w:p>
            <w:pPr>
              <w:pStyle w:val="81"/>
              <w:spacing w:line="400" w:lineRule="exact"/>
              <w:rPr>
                <w:rFonts w:ascii="宋体" w:hAnsi="宋体"/>
                <w:sz w:val="24"/>
                <w:szCs w:val="24"/>
              </w:rPr>
            </w:pPr>
          </w:p>
        </w:tc>
        <w:tc>
          <w:tcPr>
            <w:tcW w:w="1984" w:type="dxa"/>
          </w:tcPr>
          <w:p>
            <w:pPr>
              <w:pStyle w:val="81"/>
              <w:spacing w:line="400" w:lineRule="exact"/>
              <w:rPr>
                <w:rFonts w:ascii="宋体" w:hAnsi="宋体"/>
                <w:sz w:val="24"/>
                <w:szCs w:val="24"/>
              </w:rPr>
            </w:pPr>
          </w:p>
        </w:tc>
        <w:tc>
          <w:tcPr>
            <w:tcW w:w="1656" w:type="dxa"/>
          </w:tcPr>
          <w:p>
            <w:pPr>
              <w:pStyle w:val="81"/>
              <w:spacing w:line="40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30" w:type="dxa"/>
          </w:tcPr>
          <w:p>
            <w:pPr>
              <w:pStyle w:val="81"/>
              <w:spacing w:line="400" w:lineRule="exact"/>
              <w:rPr>
                <w:rFonts w:ascii="宋体" w:hAnsi="宋体"/>
                <w:sz w:val="24"/>
                <w:szCs w:val="24"/>
              </w:rPr>
            </w:pPr>
          </w:p>
        </w:tc>
        <w:tc>
          <w:tcPr>
            <w:tcW w:w="1692" w:type="dxa"/>
          </w:tcPr>
          <w:p>
            <w:pPr>
              <w:pStyle w:val="81"/>
              <w:spacing w:line="400" w:lineRule="exact"/>
              <w:rPr>
                <w:rFonts w:ascii="宋体" w:hAnsi="宋体"/>
                <w:sz w:val="24"/>
                <w:szCs w:val="24"/>
              </w:rPr>
            </w:pPr>
          </w:p>
        </w:tc>
        <w:tc>
          <w:tcPr>
            <w:tcW w:w="1353" w:type="dxa"/>
          </w:tcPr>
          <w:p>
            <w:pPr>
              <w:pStyle w:val="81"/>
              <w:spacing w:line="400" w:lineRule="exact"/>
              <w:rPr>
                <w:rFonts w:ascii="宋体" w:hAnsi="宋体"/>
                <w:sz w:val="24"/>
                <w:szCs w:val="24"/>
              </w:rPr>
            </w:pPr>
          </w:p>
        </w:tc>
        <w:tc>
          <w:tcPr>
            <w:tcW w:w="1953" w:type="dxa"/>
          </w:tcPr>
          <w:p>
            <w:pPr>
              <w:pStyle w:val="81"/>
              <w:spacing w:line="400" w:lineRule="exact"/>
              <w:rPr>
                <w:rFonts w:ascii="宋体" w:hAnsi="宋体"/>
                <w:sz w:val="24"/>
                <w:szCs w:val="24"/>
              </w:rPr>
            </w:pPr>
          </w:p>
        </w:tc>
        <w:tc>
          <w:tcPr>
            <w:tcW w:w="1984" w:type="dxa"/>
          </w:tcPr>
          <w:p>
            <w:pPr>
              <w:pStyle w:val="81"/>
              <w:spacing w:line="400" w:lineRule="exact"/>
              <w:rPr>
                <w:rFonts w:ascii="宋体" w:hAnsi="宋体"/>
                <w:sz w:val="24"/>
                <w:szCs w:val="24"/>
              </w:rPr>
            </w:pPr>
          </w:p>
        </w:tc>
        <w:tc>
          <w:tcPr>
            <w:tcW w:w="1656" w:type="dxa"/>
          </w:tcPr>
          <w:p>
            <w:pPr>
              <w:pStyle w:val="81"/>
              <w:spacing w:line="40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30" w:type="dxa"/>
          </w:tcPr>
          <w:p>
            <w:pPr>
              <w:pStyle w:val="81"/>
              <w:spacing w:line="400" w:lineRule="exact"/>
              <w:rPr>
                <w:rFonts w:ascii="宋体" w:hAnsi="宋体"/>
                <w:sz w:val="24"/>
                <w:szCs w:val="24"/>
              </w:rPr>
            </w:pPr>
          </w:p>
        </w:tc>
        <w:tc>
          <w:tcPr>
            <w:tcW w:w="1692" w:type="dxa"/>
          </w:tcPr>
          <w:p>
            <w:pPr>
              <w:pStyle w:val="81"/>
              <w:spacing w:line="400" w:lineRule="exact"/>
              <w:rPr>
                <w:rFonts w:ascii="宋体" w:hAnsi="宋体"/>
                <w:sz w:val="24"/>
                <w:szCs w:val="24"/>
              </w:rPr>
            </w:pPr>
          </w:p>
        </w:tc>
        <w:tc>
          <w:tcPr>
            <w:tcW w:w="1353" w:type="dxa"/>
          </w:tcPr>
          <w:p>
            <w:pPr>
              <w:pStyle w:val="81"/>
              <w:spacing w:line="400" w:lineRule="exact"/>
              <w:rPr>
                <w:rFonts w:ascii="宋体" w:hAnsi="宋体"/>
                <w:sz w:val="24"/>
                <w:szCs w:val="24"/>
              </w:rPr>
            </w:pPr>
          </w:p>
        </w:tc>
        <w:tc>
          <w:tcPr>
            <w:tcW w:w="1953" w:type="dxa"/>
          </w:tcPr>
          <w:p>
            <w:pPr>
              <w:pStyle w:val="81"/>
              <w:spacing w:line="400" w:lineRule="exact"/>
              <w:rPr>
                <w:rFonts w:ascii="宋体" w:hAnsi="宋体"/>
                <w:sz w:val="24"/>
                <w:szCs w:val="24"/>
              </w:rPr>
            </w:pPr>
          </w:p>
        </w:tc>
        <w:tc>
          <w:tcPr>
            <w:tcW w:w="1984" w:type="dxa"/>
          </w:tcPr>
          <w:p>
            <w:pPr>
              <w:pStyle w:val="81"/>
              <w:spacing w:line="400" w:lineRule="exact"/>
              <w:rPr>
                <w:rFonts w:ascii="宋体" w:hAnsi="宋体"/>
                <w:sz w:val="24"/>
                <w:szCs w:val="24"/>
              </w:rPr>
            </w:pPr>
          </w:p>
        </w:tc>
        <w:tc>
          <w:tcPr>
            <w:tcW w:w="1656" w:type="dxa"/>
          </w:tcPr>
          <w:p>
            <w:pPr>
              <w:pStyle w:val="81"/>
              <w:spacing w:line="40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30" w:type="dxa"/>
          </w:tcPr>
          <w:p>
            <w:pPr>
              <w:pStyle w:val="81"/>
              <w:spacing w:line="400" w:lineRule="exact"/>
              <w:rPr>
                <w:rFonts w:ascii="宋体" w:hAnsi="宋体"/>
                <w:sz w:val="24"/>
                <w:szCs w:val="24"/>
              </w:rPr>
            </w:pPr>
          </w:p>
        </w:tc>
        <w:tc>
          <w:tcPr>
            <w:tcW w:w="1692" w:type="dxa"/>
          </w:tcPr>
          <w:p>
            <w:pPr>
              <w:pStyle w:val="81"/>
              <w:spacing w:line="400" w:lineRule="exact"/>
              <w:rPr>
                <w:rFonts w:ascii="宋体" w:hAnsi="宋体"/>
                <w:sz w:val="24"/>
                <w:szCs w:val="24"/>
              </w:rPr>
            </w:pPr>
          </w:p>
        </w:tc>
        <w:tc>
          <w:tcPr>
            <w:tcW w:w="1353" w:type="dxa"/>
          </w:tcPr>
          <w:p>
            <w:pPr>
              <w:pStyle w:val="81"/>
              <w:spacing w:line="400" w:lineRule="exact"/>
              <w:rPr>
                <w:rFonts w:ascii="宋体" w:hAnsi="宋体"/>
                <w:sz w:val="24"/>
                <w:szCs w:val="24"/>
              </w:rPr>
            </w:pPr>
          </w:p>
        </w:tc>
        <w:tc>
          <w:tcPr>
            <w:tcW w:w="1953" w:type="dxa"/>
          </w:tcPr>
          <w:p>
            <w:pPr>
              <w:pStyle w:val="81"/>
              <w:spacing w:line="400" w:lineRule="exact"/>
              <w:rPr>
                <w:rFonts w:ascii="宋体" w:hAnsi="宋体"/>
                <w:sz w:val="24"/>
                <w:szCs w:val="24"/>
              </w:rPr>
            </w:pPr>
          </w:p>
        </w:tc>
        <w:tc>
          <w:tcPr>
            <w:tcW w:w="1984" w:type="dxa"/>
          </w:tcPr>
          <w:p>
            <w:pPr>
              <w:pStyle w:val="81"/>
              <w:spacing w:line="400" w:lineRule="exact"/>
              <w:rPr>
                <w:rFonts w:ascii="宋体" w:hAnsi="宋体"/>
                <w:sz w:val="24"/>
                <w:szCs w:val="24"/>
              </w:rPr>
            </w:pPr>
          </w:p>
        </w:tc>
        <w:tc>
          <w:tcPr>
            <w:tcW w:w="1656" w:type="dxa"/>
          </w:tcPr>
          <w:p>
            <w:pPr>
              <w:pStyle w:val="81"/>
              <w:spacing w:line="40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30" w:type="dxa"/>
          </w:tcPr>
          <w:p>
            <w:pPr>
              <w:pStyle w:val="81"/>
              <w:spacing w:line="400" w:lineRule="exact"/>
              <w:rPr>
                <w:rFonts w:ascii="宋体" w:hAnsi="宋体"/>
                <w:sz w:val="24"/>
                <w:szCs w:val="24"/>
              </w:rPr>
            </w:pPr>
          </w:p>
        </w:tc>
        <w:tc>
          <w:tcPr>
            <w:tcW w:w="1692" w:type="dxa"/>
          </w:tcPr>
          <w:p>
            <w:pPr>
              <w:pStyle w:val="81"/>
              <w:spacing w:line="400" w:lineRule="exact"/>
              <w:rPr>
                <w:rFonts w:ascii="宋体" w:hAnsi="宋体"/>
                <w:sz w:val="24"/>
                <w:szCs w:val="24"/>
              </w:rPr>
            </w:pPr>
          </w:p>
        </w:tc>
        <w:tc>
          <w:tcPr>
            <w:tcW w:w="1353" w:type="dxa"/>
          </w:tcPr>
          <w:p>
            <w:pPr>
              <w:pStyle w:val="81"/>
              <w:spacing w:line="400" w:lineRule="exact"/>
              <w:rPr>
                <w:rFonts w:ascii="宋体" w:hAnsi="宋体"/>
                <w:sz w:val="24"/>
                <w:szCs w:val="24"/>
              </w:rPr>
            </w:pPr>
          </w:p>
        </w:tc>
        <w:tc>
          <w:tcPr>
            <w:tcW w:w="1953" w:type="dxa"/>
          </w:tcPr>
          <w:p>
            <w:pPr>
              <w:pStyle w:val="81"/>
              <w:spacing w:line="400" w:lineRule="exact"/>
              <w:rPr>
                <w:rFonts w:ascii="宋体" w:hAnsi="宋体"/>
                <w:sz w:val="24"/>
                <w:szCs w:val="24"/>
              </w:rPr>
            </w:pPr>
          </w:p>
        </w:tc>
        <w:tc>
          <w:tcPr>
            <w:tcW w:w="1984" w:type="dxa"/>
          </w:tcPr>
          <w:p>
            <w:pPr>
              <w:pStyle w:val="81"/>
              <w:spacing w:line="400" w:lineRule="exact"/>
              <w:rPr>
                <w:rFonts w:ascii="宋体" w:hAnsi="宋体"/>
                <w:sz w:val="24"/>
                <w:szCs w:val="24"/>
              </w:rPr>
            </w:pPr>
          </w:p>
        </w:tc>
        <w:tc>
          <w:tcPr>
            <w:tcW w:w="1656" w:type="dxa"/>
          </w:tcPr>
          <w:p>
            <w:pPr>
              <w:pStyle w:val="81"/>
              <w:spacing w:line="40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30" w:type="dxa"/>
          </w:tcPr>
          <w:p>
            <w:pPr>
              <w:pStyle w:val="81"/>
              <w:spacing w:line="400" w:lineRule="exact"/>
              <w:rPr>
                <w:rFonts w:ascii="宋体" w:hAnsi="宋体"/>
                <w:sz w:val="24"/>
                <w:szCs w:val="24"/>
              </w:rPr>
            </w:pPr>
          </w:p>
        </w:tc>
        <w:tc>
          <w:tcPr>
            <w:tcW w:w="1692" w:type="dxa"/>
          </w:tcPr>
          <w:p>
            <w:pPr>
              <w:pStyle w:val="81"/>
              <w:spacing w:line="400" w:lineRule="exact"/>
              <w:rPr>
                <w:rFonts w:ascii="宋体" w:hAnsi="宋体"/>
                <w:sz w:val="24"/>
                <w:szCs w:val="24"/>
              </w:rPr>
            </w:pPr>
          </w:p>
        </w:tc>
        <w:tc>
          <w:tcPr>
            <w:tcW w:w="1353" w:type="dxa"/>
          </w:tcPr>
          <w:p>
            <w:pPr>
              <w:pStyle w:val="81"/>
              <w:spacing w:line="400" w:lineRule="exact"/>
              <w:rPr>
                <w:rFonts w:ascii="宋体" w:hAnsi="宋体"/>
                <w:sz w:val="24"/>
                <w:szCs w:val="24"/>
              </w:rPr>
            </w:pPr>
          </w:p>
        </w:tc>
        <w:tc>
          <w:tcPr>
            <w:tcW w:w="1953" w:type="dxa"/>
          </w:tcPr>
          <w:p>
            <w:pPr>
              <w:pStyle w:val="81"/>
              <w:spacing w:line="400" w:lineRule="exact"/>
              <w:rPr>
                <w:rFonts w:ascii="宋体" w:hAnsi="宋体"/>
                <w:sz w:val="24"/>
                <w:szCs w:val="24"/>
              </w:rPr>
            </w:pPr>
          </w:p>
        </w:tc>
        <w:tc>
          <w:tcPr>
            <w:tcW w:w="1984" w:type="dxa"/>
          </w:tcPr>
          <w:p>
            <w:pPr>
              <w:pStyle w:val="81"/>
              <w:spacing w:line="400" w:lineRule="exact"/>
              <w:rPr>
                <w:rFonts w:ascii="宋体" w:hAnsi="宋体"/>
                <w:sz w:val="24"/>
                <w:szCs w:val="24"/>
              </w:rPr>
            </w:pPr>
          </w:p>
        </w:tc>
        <w:tc>
          <w:tcPr>
            <w:tcW w:w="1656" w:type="dxa"/>
          </w:tcPr>
          <w:p>
            <w:pPr>
              <w:pStyle w:val="81"/>
              <w:spacing w:line="40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30" w:type="dxa"/>
          </w:tcPr>
          <w:p>
            <w:pPr>
              <w:pStyle w:val="81"/>
              <w:spacing w:line="400" w:lineRule="exact"/>
              <w:rPr>
                <w:rFonts w:ascii="宋体" w:hAnsi="宋体"/>
                <w:sz w:val="24"/>
                <w:szCs w:val="24"/>
              </w:rPr>
            </w:pPr>
          </w:p>
        </w:tc>
        <w:tc>
          <w:tcPr>
            <w:tcW w:w="1692" w:type="dxa"/>
          </w:tcPr>
          <w:p>
            <w:pPr>
              <w:pStyle w:val="81"/>
              <w:spacing w:line="400" w:lineRule="exact"/>
              <w:rPr>
                <w:rFonts w:ascii="宋体" w:hAnsi="宋体"/>
                <w:sz w:val="24"/>
                <w:szCs w:val="24"/>
              </w:rPr>
            </w:pPr>
          </w:p>
        </w:tc>
        <w:tc>
          <w:tcPr>
            <w:tcW w:w="1353" w:type="dxa"/>
          </w:tcPr>
          <w:p>
            <w:pPr>
              <w:pStyle w:val="81"/>
              <w:spacing w:line="400" w:lineRule="exact"/>
              <w:rPr>
                <w:rFonts w:ascii="宋体" w:hAnsi="宋体"/>
                <w:sz w:val="24"/>
                <w:szCs w:val="24"/>
              </w:rPr>
            </w:pPr>
          </w:p>
        </w:tc>
        <w:tc>
          <w:tcPr>
            <w:tcW w:w="1953" w:type="dxa"/>
          </w:tcPr>
          <w:p>
            <w:pPr>
              <w:pStyle w:val="81"/>
              <w:spacing w:line="400" w:lineRule="exact"/>
              <w:rPr>
                <w:rFonts w:ascii="宋体" w:hAnsi="宋体"/>
                <w:sz w:val="24"/>
                <w:szCs w:val="24"/>
              </w:rPr>
            </w:pPr>
          </w:p>
        </w:tc>
        <w:tc>
          <w:tcPr>
            <w:tcW w:w="1984" w:type="dxa"/>
          </w:tcPr>
          <w:p>
            <w:pPr>
              <w:pStyle w:val="81"/>
              <w:spacing w:line="400" w:lineRule="exact"/>
              <w:rPr>
                <w:rFonts w:ascii="宋体" w:hAnsi="宋体"/>
                <w:sz w:val="24"/>
                <w:szCs w:val="24"/>
              </w:rPr>
            </w:pPr>
          </w:p>
        </w:tc>
        <w:tc>
          <w:tcPr>
            <w:tcW w:w="1656" w:type="dxa"/>
          </w:tcPr>
          <w:p>
            <w:pPr>
              <w:pStyle w:val="81"/>
              <w:spacing w:line="40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30" w:type="dxa"/>
          </w:tcPr>
          <w:p>
            <w:pPr>
              <w:pStyle w:val="81"/>
              <w:spacing w:line="400" w:lineRule="exact"/>
              <w:rPr>
                <w:rFonts w:ascii="宋体" w:hAnsi="宋体"/>
                <w:sz w:val="24"/>
                <w:szCs w:val="24"/>
              </w:rPr>
            </w:pPr>
          </w:p>
        </w:tc>
        <w:tc>
          <w:tcPr>
            <w:tcW w:w="1692" w:type="dxa"/>
          </w:tcPr>
          <w:p>
            <w:pPr>
              <w:pStyle w:val="81"/>
              <w:spacing w:line="400" w:lineRule="exact"/>
              <w:rPr>
                <w:rFonts w:ascii="宋体" w:hAnsi="宋体"/>
                <w:sz w:val="24"/>
                <w:szCs w:val="24"/>
              </w:rPr>
            </w:pPr>
          </w:p>
        </w:tc>
        <w:tc>
          <w:tcPr>
            <w:tcW w:w="1353" w:type="dxa"/>
          </w:tcPr>
          <w:p>
            <w:pPr>
              <w:pStyle w:val="81"/>
              <w:spacing w:line="400" w:lineRule="exact"/>
              <w:rPr>
                <w:rFonts w:ascii="宋体" w:hAnsi="宋体"/>
                <w:sz w:val="24"/>
                <w:szCs w:val="24"/>
              </w:rPr>
            </w:pPr>
          </w:p>
        </w:tc>
        <w:tc>
          <w:tcPr>
            <w:tcW w:w="1953" w:type="dxa"/>
          </w:tcPr>
          <w:p>
            <w:pPr>
              <w:pStyle w:val="81"/>
              <w:spacing w:line="400" w:lineRule="exact"/>
              <w:rPr>
                <w:rFonts w:ascii="宋体" w:hAnsi="宋体"/>
                <w:sz w:val="24"/>
                <w:szCs w:val="24"/>
              </w:rPr>
            </w:pPr>
          </w:p>
        </w:tc>
        <w:tc>
          <w:tcPr>
            <w:tcW w:w="1984" w:type="dxa"/>
          </w:tcPr>
          <w:p>
            <w:pPr>
              <w:pStyle w:val="81"/>
              <w:spacing w:line="400" w:lineRule="exact"/>
              <w:rPr>
                <w:rFonts w:ascii="宋体" w:hAnsi="宋体"/>
                <w:sz w:val="24"/>
                <w:szCs w:val="24"/>
              </w:rPr>
            </w:pPr>
          </w:p>
        </w:tc>
        <w:tc>
          <w:tcPr>
            <w:tcW w:w="1656" w:type="dxa"/>
          </w:tcPr>
          <w:p>
            <w:pPr>
              <w:pStyle w:val="81"/>
              <w:spacing w:line="40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30" w:type="dxa"/>
          </w:tcPr>
          <w:p>
            <w:pPr>
              <w:pStyle w:val="81"/>
              <w:spacing w:line="400" w:lineRule="exact"/>
              <w:rPr>
                <w:rFonts w:ascii="宋体" w:hAnsi="宋体"/>
                <w:sz w:val="24"/>
                <w:szCs w:val="24"/>
              </w:rPr>
            </w:pPr>
          </w:p>
        </w:tc>
        <w:tc>
          <w:tcPr>
            <w:tcW w:w="1692" w:type="dxa"/>
          </w:tcPr>
          <w:p>
            <w:pPr>
              <w:pStyle w:val="81"/>
              <w:spacing w:line="400" w:lineRule="exact"/>
              <w:rPr>
                <w:rFonts w:ascii="宋体" w:hAnsi="宋体"/>
                <w:sz w:val="24"/>
                <w:szCs w:val="24"/>
              </w:rPr>
            </w:pPr>
          </w:p>
        </w:tc>
        <w:tc>
          <w:tcPr>
            <w:tcW w:w="1353" w:type="dxa"/>
          </w:tcPr>
          <w:p>
            <w:pPr>
              <w:pStyle w:val="81"/>
              <w:spacing w:line="400" w:lineRule="exact"/>
              <w:rPr>
                <w:rFonts w:ascii="宋体" w:hAnsi="宋体"/>
                <w:sz w:val="24"/>
                <w:szCs w:val="24"/>
              </w:rPr>
            </w:pPr>
          </w:p>
        </w:tc>
        <w:tc>
          <w:tcPr>
            <w:tcW w:w="1953" w:type="dxa"/>
          </w:tcPr>
          <w:p>
            <w:pPr>
              <w:pStyle w:val="81"/>
              <w:spacing w:line="400" w:lineRule="exact"/>
              <w:rPr>
                <w:rFonts w:ascii="宋体" w:hAnsi="宋体"/>
                <w:sz w:val="24"/>
                <w:szCs w:val="24"/>
              </w:rPr>
            </w:pPr>
          </w:p>
        </w:tc>
        <w:tc>
          <w:tcPr>
            <w:tcW w:w="1984" w:type="dxa"/>
          </w:tcPr>
          <w:p>
            <w:pPr>
              <w:pStyle w:val="81"/>
              <w:spacing w:line="400" w:lineRule="exact"/>
              <w:rPr>
                <w:rFonts w:ascii="宋体" w:hAnsi="宋体"/>
                <w:sz w:val="24"/>
                <w:szCs w:val="24"/>
              </w:rPr>
            </w:pPr>
          </w:p>
        </w:tc>
        <w:tc>
          <w:tcPr>
            <w:tcW w:w="1656" w:type="dxa"/>
          </w:tcPr>
          <w:p>
            <w:pPr>
              <w:pStyle w:val="81"/>
              <w:spacing w:line="40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30" w:type="dxa"/>
          </w:tcPr>
          <w:p>
            <w:pPr>
              <w:pStyle w:val="81"/>
              <w:spacing w:line="400" w:lineRule="exact"/>
              <w:rPr>
                <w:rFonts w:ascii="宋体" w:hAnsi="宋体"/>
                <w:sz w:val="24"/>
                <w:szCs w:val="24"/>
              </w:rPr>
            </w:pPr>
          </w:p>
        </w:tc>
        <w:tc>
          <w:tcPr>
            <w:tcW w:w="1692" w:type="dxa"/>
          </w:tcPr>
          <w:p>
            <w:pPr>
              <w:pStyle w:val="81"/>
              <w:spacing w:line="400" w:lineRule="exact"/>
              <w:rPr>
                <w:rFonts w:ascii="宋体" w:hAnsi="宋体"/>
                <w:sz w:val="24"/>
                <w:szCs w:val="24"/>
              </w:rPr>
            </w:pPr>
          </w:p>
        </w:tc>
        <w:tc>
          <w:tcPr>
            <w:tcW w:w="1353" w:type="dxa"/>
          </w:tcPr>
          <w:p>
            <w:pPr>
              <w:pStyle w:val="81"/>
              <w:spacing w:line="400" w:lineRule="exact"/>
              <w:rPr>
                <w:rFonts w:ascii="宋体" w:hAnsi="宋体"/>
                <w:sz w:val="24"/>
                <w:szCs w:val="24"/>
              </w:rPr>
            </w:pPr>
          </w:p>
        </w:tc>
        <w:tc>
          <w:tcPr>
            <w:tcW w:w="1953" w:type="dxa"/>
          </w:tcPr>
          <w:p>
            <w:pPr>
              <w:pStyle w:val="81"/>
              <w:spacing w:line="400" w:lineRule="exact"/>
              <w:rPr>
                <w:rFonts w:ascii="宋体" w:hAnsi="宋体"/>
                <w:sz w:val="24"/>
                <w:szCs w:val="24"/>
              </w:rPr>
            </w:pPr>
          </w:p>
        </w:tc>
        <w:tc>
          <w:tcPr>
            <w:tcW w:w="1984" w:type="dxa"/>
          </w:tcPr>
          <w:p>
            <w:pPr>
              <w:pStyle w:val="81"/>
              <w:spacing w:line="400" w:lineRule="exact"/>
              <w:rPr>
                <w:rFonts w:ascii="宋体" w:hAnsi="宋体"/>
                <w:sz w:val="24"/>
                <w:szCs w:val="24"/>
              </w:rPr>
            </w:pPr>
          </w:p>
        </w:tc>
        <w:tc>
          <w:tcPr>
            <w:tcW w:w="1656" w:type="dxa"/>
          </w:tcPr>
          <w:p>
            <w:pPr>
              <w:pStyle w:val="81"/>
              <w:spacing w:line="400" w:lineRule="exact"/>
              <w:rPr>
                <w:rFonts w:ascii="宋体" w:hAnsi="宋体"/>
                <w:sz w:val="24"/>
                <w:szCs w:val="24"/>
              </w:rPr>
            </w:pPr>
          </w:p>
        </w:tc>
      </w:tr>
    </w:tbl>
    <w:p>
      <w:pPr>
        <w:pStyle w:val="81"/>
        <w:spacing w:line="400" w:lineRule="exact"/>
        <w:rPr>
          <w:rFonts w:ascii="宋体" w:hAnsi="宋体"/>
          <w:sz w:val="24"/>
          <w:szCs w:val="24"/>
        </w:rPr>
      </w:pPr>
    </w:p>
    <w:p>
      <w:pPr>
        <w:pStyle w:val="81"/>
        <w:spacing w:line="400" w:lineRule="exact"/>
        <w:rPr>
          <w:rFonts w:ascii="宋体" w:hAnsi="宋体"/>
          <w:sz w:val="24"/>
          <w:szCs w:val="24"/>
        </w:rPr>
      </w:pPr>
      <w:r>
        <w:rPr>
          <w:rFonts w:ascii="宋体" w:hAnsi="宋体"/>
          <w:sz w:val="24"/>
          <w:szCs w:val="24"/>
        </w:rPr>
        <w:t>说明：1</w:t>
      </w:r>
      <w:r>
        <w:rPr>
          <w:rFonts w:hint="eastAsia" w:ascii="宋体" w:hAnsi="宋体"/>
          <w:sz w:val="24"/>
          <w:szCs w:val="24"/>
        </w:rPr>
        <w:t>.本表后附合同复印件或通知书加盖投标人公章，</w:t>
      </w:r>
      <w:r>
        <w:rPr>
          <w:rFonts w:ascii="宋体" w:hAnsi="宋体"/>
          <w:sz w:val="24"/>
          <w:szCs w:val="24"/>
        </w:rPr>
        <w:t>签订时间及金额以合同中的内容为准。</w:t>
      </w:r>
    </w:p>
    <w:p>
      <w:pPr>
        <w:pStyle w:val="81"/>
        <w:spacing w:line="400" w:lineRule="exact"/>
        <w:rPr>
          <w:rFonts w:ascii="宋体" w:hAnsi="宋体"/>
          <w:sz w:val="24"/>
          <w:szCs w:val="24"/>
        </w:rPr>
      </w:pPr>
      <w:r>
        <w:rPr>
          <w:rFonts w:ascii="宋体" w:hAnsi="宋体"/>
          <w:sz w:val="24"/>
          <w:szCs w:val="24"/>
        </w:rPr>
        <w:t>2</w:t>
      </w:r>
      <w:r>
        <w:rPr>
          <w:rFonts w:hint="eastAsia" w:ascii="宋体" w:hAnsi="宋体"/>
          <w:sz w:val="24"/>
          <w:szCs w:val="24"/>
        </w:rPr>
        <w:t>.投标人</w:t>
      </w:r>
      <w:r>
        <w:rPr>
          <w:rFonts w:ascii="宋体" w:hAnsi="宋体"/>
          <w:sz w:val="24"/>
          <w:szCs w:val="24"/>
        </w:rPr>
        <w:t>应如实列出以上情况，如有隐瞒，一经查实将导致其</w:t>
      </w:r>
      <w:r>
        <w:rPr>
          <w:rFonts w:hint="eastAsia" w:ascii="宋体" w:hAnsi="宋体"/>
          <w:sz w:val="24"/>
          <w:szCs w:val="24"/>
        </w:rPr>
        <w:t>投标</w:t>
      </w:r>
      <w:r>
        <w:rPr>
          <w:rFonts w:ascii="宋体" w:hAnsi="宋体"/>
          <w:sz w:val="24"/>
          <w:szCs w:val="24"/>
        </w:rPr>
        <w:t>文件被拒绝。</w:t>
      </w:r>
    </w:p>
    <w:p>
      <w:pPr>
        <w:pStyle w:val="81"/>
        <w:spacing w:line="400" w:lineRule="exact"/>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未按上述要求提供、填写的，评审时不予以考虑。</w:t>
      </w:r>
    </w:p>
    <w:p>
      <w:pPr>
        <w:pStyle w:val="81"/>
        <w:spacing w:line="400" w:lineRule="exact"/>
        <w:rPr>
          <w:rFonts w:ascii="宋体" w:hAnsi="宋体"/>
          <w:sz w:val="24"/>
          <w:szCs w:val="24"/>
        </w:rPr>
      </w:pPr>
    </w:p>
    <w:p>
      <w:pPr>
        <w:pStyle w:val="81"/>
        <w:spacing w:line="400" w:lineRule="exact"/>
        <w:rPr>
          <w:rFonts w:ascii="宋体" w:hAnsi="宋体"/>
          <w:sz w:val="24"/>
          <w:szCs w:val="24"/>
        </w:rPr>
      </w:pPr>
    </w:p>
    <w:p>
      <w:pPr>
        <w:pStyle w:val="81"/>
        <w:spacing w:line="400" w:lineRule="exact"/>
        <w:ind w:firstLine="3840" w:firstLineChars="1600"/>
        <w:rPr>
          <w:rFonts w:ascii="宋体" w:hAnsi="宋体"/>
          <w:sz w:val="24"/>
          <w:szCs w:val="24"/>
        </w:rPr>
      </w:pPr>
      <w:r>
        <w:rPr>
          <w:rFonts w:hint="eastAsia" w:ascii="宋体" w:hAnsi="宋体"/>
          <w:sz w:val="24"/>
          <w:szCs w:val="24"/>
        </w:rPr>
        <w:t>投标人（公章）：</w:t>
      </w:r>
      <w:r>
        <w:rPr>
          <w:rFonts w:hint="eastAsia" w:ascii="宋体" w:hAnsi="宋体"/>
          <w:sz w:val="24"/>
          <w:szCs w:val="24"/>
          <w:u w:val="single"/>
        </w:rPr>
        <w:t xml:space="preserve">                       </w:t>
      </w:r>
    </w:p>
    <w:p>
      <w:pPr>
        <w:pStyle w:val="81"/>
        <w:spacing w:line="400" w:lineRule="exact"/>
        <w:ind w:firstLine="3840" w:firstLineChars="1600"/>
        <w:rPr>
          <w:rFonts w:ascii="宋体" w:hAnsi="宋体"/>
          <w:sz w:val="24"/>
          <w:szCs w:val="24"/>
          <w:u w:val="single"/>
        </w:rPr>
      </w:pPr>
      <w:r>
        <w:rPr>
          <w:rFonts w:hint="eastAsia" w:ascii="宋体" w:hAnsi="宋体"/>
          <w:sz w:val="24"/>
          <w:szCs w:val="24"/>
        </w:rPr>
        <w:t>法定代表人/授权代表（签字或盖章）：</w:t>
      </w:r>
      <w:r>
        <w:rPr>
          <w:rFonts w:hint="eastAsia" w:ascii="宋体" w:hAnsi="宋体"/>
          <w:sz w:val="24"/>
          <w:szCs w:val="24"/>
          <w:u w:val="single"/>
        </w:rPr>
        <w:t xml:space="preserve">          </w:t>
      </w:r>
    </w:p>
    <w:p>
      <w:pPr>
        <w:pStyle w:val="81"/>
        <w:spacing w:line="400" w:lineRule="exact"/>
        <w:ind w:firstLine="3840" w:firstLineChars="1600"/>
        <w:rPr>
          <w:rFonts w:ascii="宋体" w:hAnsi="宋体"/>
          <w:sz w:val="24"/>
          <w:szCs w:val="24"/>
          <w:u w:val="single"/>
        </w:rPr>
      </w:pPr>
      <w:r>
        <w:rPr>
          <w:rFonts w:hint="eastAsia" w:ascii="宋体" w:hAnsi="宋体"/>
          <w:sz w:val="24"/>
          <w:szCs w:val="24"/>
        </w:rPr>
        <w:t>日    期：</w:t>
      </w:r>
      <w:r>
        <w:rPr>
          <w:rFonts w:hint="eastAsia" w:ascii="宋体" w:hAnsi="宋体"/>
          <w:sz w:val="24"/>
          <w:szCs w:val="24"/>
          <w:u w:val="single"/>
        </w:rPr>
        <w:t xml:space="preserve">                             </w:t>
      </w:r>
    </w:p>
    <w:p>
      <w:pPr>
        <w:pStyle w:val="81"/>
        <w:spacing w:line="400" w:lineRule="exact"/>
        <w:ind w:firstLine="2415" w:firstLineChars="1150"/>
        <w:outlineLvl w:val="1"/>
        <w:rPr>
          <w:bCs/>
        </w:rPr>
      </w:pPr>
      <w:bookmarkStart w:id="247" w:name="_Toc529953019"/>
      <w:r>
        <w:rPr>
          <w:bCs/>
        </w:rPr>
        <w:br w:type="page"/>
      </w:r>
      <w:bookmarkEnd w:id="247"/>
      <w:bookmarkStart w:id="248" w:name="_Toc529953020"/>
      <w:bookmarkStart w:id="249" w:name="_Toc28372"/>
      <w:bookmarkStart w:id="250" w:name="_Toc6296"/>
      <w:bookmarkStart w:id="251" w:name="_Toc14373"/>
      <w:r>
        <w:rPr>
          <w:rFonts w:hint="eastAsia" w:ascii="宋体" w:hAnsi="宋体"/>
          <w:b/>
          <w:bCs/>
          <w:sz w:val="28"/>
          <w:szCs w:val="20"/>
        </w:rPr>
        <w:t>八、拒绝政府采购领域商业贿赂承诺书</w:t>
      </w:r>
      <w:bookmarkEnd w:id="248"/>
      <w:bookmarkEnd w:id="249"/>
      <w:bookmarkEnd w:id="250"/>
      <w:bookmarkEnd w:id="251"/>
    </w:p>
    <w:p>
      <w:pPr>
        <w:pStyle w:val="81"/>
        <w:spacing w:line="400" w:lineRule="exact"/>
        <w:rPr>
          <w:rFonts w:hint="eastAsia" w:ascii="宋体" w:hAnsi="宋体" w:eastAsia="宋体"/>
          <w:sz w:val="24"/>
          <w:szCs w:val="24"/>
          <w:lang w:eastAsia="zh-CN"/>
        </w:rPr>
      </w:pPr>
      <w:r>
        <w:rPr>
          <w:rFonts w:hint="eastAsia" w:ascii="宋体" w:hAnsi="宋体"/>
          <w:sz w:val="24"/>
          <w:szCs w:val="24"/>
        </w:rPr>
        <w:t>为响应党中央、国务院关于治理政府采购领域商业贿赂行为的号召，我公司在此庄严承诺：</w:t>
      </w:r>
    </w:p>
    <w:p>
      <w:pPr>
        <w:pStyle w:val="81"/>
        <w:spacing w:line="400" w:lineRule="exact"/>
        <w:rPr>
          <w:rFonts w:hint="eastAsia" w:ascii="宋体" w:hAnsi="宋体" w:eastAsia="宋体"/>
          <w:sz w:val="24"/>
          <w:szCs w:val="24"/>
          <w:lang w:eastAsia="zh-CN"/>
        </w:rPr>
      </w:pPr>
      <w:r>
        <w:rPr>
          <w:rFonts w:hint="eastAsia" w:ascii="宋体" w:hAnsi="宋体"/>
          <w:sz w:val="24"/>
          <w:szCs w:val="24"/>
        </w:rPr>
        <w:t xml:space="preserve">    一、在参与政府采购活动中遵纪守法、诚信经营、公平竞标。</w:t>
      </w:r>
    </w:p>
    <w:p>
      <w:pPr>
        <w:pStyle w:val="81"/>
        <w:spacing w:line="400" w:lineRule="exact"/>
        <w:rPr>
          <w:rFonts w:hint="eastAsia" w:ascii="宋体" w:hAnsi="宋体" w:eastAsia="宋体"/>
          <w:sz w:val="24"/>
          <w:szCs w:val="24"/>
          <w:lang w:eastAsia="zh-CN"/>
        </w:rPr>
      </w:pPr>
      <w:r>
        <w:rPr>
          <w:rFonts w:hint="eastAsia" w:ascii="宋体" w:hAnsi="宋体"/>
          <w:sz w:val="24"/>
          <w:szCs w:val="24"/>
        </w:rPr>
        <w:t xml:space="preserve">    二、不向政府采购人、采购代理机构和政府采购评审专家进行任何形式的商业贿赂以谋取交易机会。</w:t>
      </w:r>
    </w:p>
    <w:p>
      <w:pPr>
        <w:pStyle w:val="81"/>
        <w:spacing w:line="400" w:lineRule="exact"/>
        <w:rPr>
          <w:rFonts w:hint="eastAsia" w:ascii="宋体" w:hAnsi="宋体" w:eastAsia="宋体"/>
          <w:sz w:val="24"/>
          <w:szCs w:val="24"/>
          <w:lang w:eastAsia="zh-CN"/>
        </w:rPr>
      </w:pPr>
      <w:r>
        <w:rPr>
          <w:rFonts w:hint="eastAsia" w:ascii="宋体" w:hAnsi="宋体"/>
          <w:sz w:val="24"/>
          <w:szCs w:val="24"/>
        </w:rPr>
        <w:t xml:space="preserve">    三、不向政府采购代理机构和采购人提供虚假资质证明文件或采用虚假应标方式参与政府采购市场竞争并谋取中标、成交。</w:t>
      </w:r>
    </w:p>
    <w:p>
      <w:pPr>
        <w:pStyle w:val="81"/>
        <w:spacing w:line="400" w:lineRule="exact"/>
        <w:rPr>
          <w:rFonts w:hint="eastAsia" w:ascii="宋体" w:hAnsi="宋体" w:eastAsia="宋体"/>
          <w:sz w:val="24"/>
          <w:szCs w:val="24"/>
          <w:lang w:eastAsia="zh-CN"/>
        </w:rPr>
      </w:pPr>
      <w:r>
        <w:rPr>
          <w:rFonts w:hint="eastAsia" w:ascii="宋体" w:hAnsi="宋体"/>
          <w:sz w:val="24"/>
          <w:szCs w:val="24"/>
        </w:rPr>
        <w:t xml:space="preserve">    四、不采取“围标、陪标”等商业欺诈手段获得政府采购订单。</w:t>
      </w:r>
    </w:p>
    <w:p>
      <w:pPr>
        <w:pStyle w:val="81"/>
        <w:spacing w:line="400" w:lineRule="exact"/>
        <w:rPr>
          <w:rFonts w:hint="eastAsia" w:ascii="宋体" w:hAnsi="宋体" w:eastAsia="宋体"/>
          <w:sz w:val="24"/>
          <w:szCs w:val="24"/>
          <w:lang w:eastAsia="zh-CN"/>
        </w:rPr>
      </w:pPr>
      <w:r>
        <w:rPr>
          <w:rFonts w:hint="eastAsia" w:ascii="宋体" w:hAnsi="宋体"/>
          <w:sz w:val="24"/>
          <w:szCs w:val="24"/>
        </w:rPr>
        <w:t xml:space="preserve">    五、不采取不正当手段诋毁、排挤其他投标人。</w:t>
      </w:r>
    </w:p>
    <w:p>
      <w:pPr>
        <w:pStyle w:val="81"/>
        <w:spacing w:line="400" w:lineRule="exact"/>
        <w:rPr>
          <w:rFonts w:hint="eastAsia" w:ascii="宋体" w:hAnsi="宋体" w:eastAsia="宋体"/>
          <w:sz w:val="24"/>
          <w:szCs w:val="24"/>
          <w:lang w:eastAsia="zh-CN"/>
        </w:rPr>
      </w:pPr>
      <w:r>
        <w:rPr>
          <w:rFonts w:hint="eastAsia" w:ascii="宋体" w:hAnsi="宋体"/>
          <w:sz w:val="24"/>
          <w:szCs w:val="24"/>
        </w:rPr>
        <w:t xml:space="preserve">    六、不在提供货物和服务时“偷梁换柱、以次充好”损害采购人的合法权益。</w:t>
      </w:r>
    </w:p>
    <w:p>
      <w:pPr>
        <w:pStyle w:val="81"/>
        <w:spacing w:line="400" w:lineRule="exact"/>
        <w:rPr>
          <w:rFonts w:hint="eastAsia" w:ascii="宋体" w:hAnsi="宋体" w:eastAsia="宋体"/>
          <w:sz w:val="24"/>
          <w:szCs w:val="24"/>
          <w:lang w:eastAsia="zh-CN"/>
        </w:rPr>
      </w:pPr>
      <w:r>
        <w:rPr>
          <w:rFonts w:hint="eastAsia" w:ascii="宋体" w:hAnsi="宋体"/>
          <w:sz w:val="24"/>
          <w:szCs w:val="24"/>
        </w:rPr>
        <w:t xml:space="preserve">    七、不与采购人、采购代理机构、政府采购评审专家或其它投标人恶意串通，进行质疑和投诉，维护政府采购市场秩序。</w:t>
      </w:r>
    </w:p>
    <w:p>
      <w:pPr>
        <w:pStyle w:val="81"/>
        <w:spacing w:line="400" w:lineRule="exact"/>
        <w:rPr>
          <w:rFonts w:hint="eastAsia" w:ascii="宋体" w:hAnsi="宋体" w:eastAsia="宋体"/>
          <w:sz w:val="24"/>
          <w:szCs w:val="24"/>
          <w:lang w:eastAsia="zh-CN"/>
        </w:rPr>
      </w:pPr>
      <w:r>
        <w:rPr>
          <w:rFonts w:hint="eastAsia" w:ascii="宋体" w:hAnsi="宋体"/>
          <w:sz w:val="24"/>
          <w:szCs w:val="24"/>
        </w:rPr>
        <w:t xml:space="preserve">    八、尊重和接受政府采购监督管理部门的监督和政府采购代理机构招标采购要求，承担因违约行为给采购人造成的损失。</w:t>
      </w:r>
    </w:p>
    <w:p>
      <w:pPr>
        <w:pStyle w:val="81"/>
        <w:spacing w:line="400" w:lineRule="exact"/>
        <w:rPr>
          <w:rFonts w:ascii="宋体" w:hAnsi="宋体"/>
          <w:sz w:val="24"/>
          <w:szCs w:val="24"/>
        </w:rPr>
      </w:pPr>
      <w:r>
        <w:rPr>
          <w:rFonts w:hint="eastAsia" w:ascii="宋体" w:hAnsi="宋体"/>
          <w:sz w:val="24"/>
          <w:szCs w:val="24"/>
        </w:rPr>
        <w:t xml:space="preserve">    九、不发生其他有悖于政府采购公开、公平、公正和诚信原则的行为</w:t>
      </w:r>
      <w:r>
        <w:rPr>
          <w:rFonts w:ascii="宋体" w:hAnsi="宋体"/>
          <w:sz w:val="24"/>
          <w:szCs w:val="24"/>
        </w:rPr>
        <w:t>。</w:t>
      </w:r>
      <w:r>
        <w:rPr>
          <w:rFonts w:hint="eastAsia" w:ascii="宋体" w:hAnsi="宋体"/>
          <w:sz w:val="24"/>
          <w:szCs w:val="24"/>
        </w:rPr>
        <w:t xml:space="preserve">                                    </w:t>
      </w:r>
    </w:p>
    <w:p>
      <w:pPr>
        <w:pStyle w:val="81"/>
        <w:spacing w:line="400" w:lineRule="exact"/>
        <w:rPr>
          <w:rFonts w:ascii="宋体" w:hAnsi="宋体"/>
          <w:sz w:val="24"/>
          <w:szCs w:val="24"/>
        </w:rPr>
      </w:pPr>
    </w:p>
    <w:p>
      <w:pPr>
        <w:pStyle w:val="81"/>
        <w:spacing w:line="400" w:lineRule="exact"/>
        <w:rPr>
          <w:rFonts w:ascii="宋体" w:hAnsi="宋体"/>
          <w:sz w:val="24"/>
          <w:szCs w:val="24"/>
        </w:rPr>
      </w:pPr>
    </w:p>
    <w:p>
      <w:pPr>
        <w:pStyle w:val="81"/>
        <w:spacing w:line="400" w:lineRule="exact"/>
        <w:rPr>
          <w:rFonts w:ascii="宋体" w:hAnsi="宋体"/>
          <w:sz w:val="24"/>
          <w:szCs w:val="24"/>
        </w:rPr>
      </w:pPr>
    </w:p>
    <w:p>
      <w:pPr>
        <w:pStyle w:val="81"/>
        <w:spacing w:line="400" w:lineRule="exact"/>
        <w:rPr>
          <w:rFonts w:ascii="宋体" w:hAnsi="宋体"/>
          <w:sz w:val="24"/>
          <w:szCs w:val="24"/>
        </w:rPr>
      </w:pPr>
    </w:p>
    <w:p>
      <w:pPr>
        <w:pStyle w:val="81"/>
        <w:spacing w:line="400" w:lineRule="exact"/>
        <w:ind w:firstLine="3720" w:firstLineChars="1550"/>
        <w:rPr>
          <w:rFonts w:ascii="宋体" w:hAnsi="宋体"/>
          <w:sz w:val="24"/>
          <w:szCs w:val="24"/>
        </w:rPr>
      </w:pPr>
      <w:r>
        <w:rPr>
          <w:rFonts w:hint="eastAsia" w:ascii="宋体" w:hAnsi="宋体"/>
          <w:sz w:val="24"/>
          <w:szCs w:val="24"/>
        </w:rPr>
        <w:t>投标人（公章）：</w:t>
      </w:r>
      <w:r>
        <w:rPr>
          <w:rFonts w:hint="eastAsia" w:ascii="宋体" w:hAnsi="宋体"/>
          <w:sz w:val="24"/>
          <w:szCs w:val="24"/>
          <w:u w:val="single"/>
        </w:rPr>
        <w:t xml:space="preserve">                        </w:t>
      </w:r>
    </w:p>
    <w:p>
      <w:pPr>
        <w:pStyle w:val="81"/>
        <w:spacing w:line="400" w:lineRule="exact"/>
        <w:ind w:firstLine="3720" w:firstLineChars="1550"/>
        <w:rPr>
          <w:rFonts w:ascii="宋体" w:hAnsi="宋体"/>
          <w:sz w:val="24"/>
          <w:szCs w:val="24"/>
        </w:rPr>
      </w:pPr>
      <w:r>
        <w:rPr>
          <w:rFonts w:hint="eastAsia" w:ascii="宋体" w:hAnsi="宋体"/>
          <w:sz w:val="24"/>
          <w:szCs w:val="24"/>
        </w:rPr>
        <w:t>法定代表人（签字或盖章）：</w:t>
      </w:r>
      <w:r>
        <w:rPr>
          <w:rFonts w:hint="eastAsia" w:ascii="宋体" w:hAnsi="宋体"/>
          <w:sz w:val="24"/>
          <w:szCs w:val="24"/>
          <w:u w:val="single"/>
        </w:rPr>
        <w:t xml:space="preserve">              </w:t>
      </w:r>
    </w:p>
    <w:p>
      <w:pPr>
        <w:pStyle w:val="81"/>
        <w:spacing w:line="400" w:lineRule="exact"/>
        <w:ind w:firstLine="3720" w:firstLineChars="1550"/>
        <w:rPr>
          <w:rFonts w:ascii="宋体" w:hAnsi="宋体"/>
          <w:sz w:val="24"/>
          <w:szCs w:val="24"/>
          <w:u w:val="single"/>
        </w:rPr>
      </w:pPr>
      <w:r>
        <w:rPr>
          <w:rFonts w:hint="eastAsia" w:ascii="宋体" w:hAnsi="宋体"/>
          <w:sz w:val="24"/>
          <w:szCs w:val="24"/>
        </w:rPr>
        <w:t>日    期：</w:t>
      </w:r>
      <w:r>
        <w:rPr>
          <w:rFonts w:hint="eastAsia" w:ascii="宋体" w:hAnsi="宋体"/>
          <w:sz w:val="24"/>
          <w:szCs w:val="24"/>
          <w:u w:val="single"/>
        </w:rPr>
        <w:t xml:space="preserve">                             </w:t>
      </w:r>
    </w:p>
    <w:p>
      <w:pPr>
        <w:pStyle w:val="5"/>
        <w:spacing w:before="0" w:after="120" w:afterLines="50" w:line="360" w:lineRule="auto"/>
        <w:jc w:val="center"/>
        <w:rPr>
          <w:rFonts w:ascii="宋体" w:hAnsi="宋体" w:eastAsia="宋体"/>
          <w:bCs/>
        </w:rPr>
      </w:pPr>
      <w:r>
        <w:rPr>
          <w:u w:val="single"/>
        </w:rPr>
        <w:br w:type="page"/>
      </w:r>
      <w:bookmarkStart w:id="252" w:name="_Toc529953021"/>
      <w:bookmarkStart w:id="253" w:name="_Toc475451806"/>
      <w:bookmarkStart w:id="254" w:name="_Toc475451559"/>
      <w:bookmarkStart w:id="255" w:name="_Toc473056009"/>
      <w:bookmarkStart w:id="256" w:name="_Toc10101"/>
      <w:bookmarkStart w:id="257" w:name="_Toc13152"/>
      <w:bookmarkStart w:id="258" w:name="_Toc6075"/>
      <w:r>
        <w:rPr>
          <w:rFonts w:hint="eastAsia" w:ascii="宋体" w:hAnsi="宋体" w:eastAsia="宋体"/>
          <w:bCs/>
        </w:rPr>
        <w:t>九</w:t>
      </w:r>
      <w:r>
        <w:rPr>
          <w:rFonts w:ascii="宋体" w:hAnsi="宋体" w:eastAsia="宋体"/>
          <w:bCs/>
        </w:rPr>
        <w:t>、</w:t>
      </w:r>
      <w:r>
        <w:rPr>
          <w:rFonts w:hint="eastAsia" w:ascii="宋体" w:hAnsi="宋体" w:eastAsia="宋体"/>
          <w:bCs/>
        </w:rPr>
        <w:t>落实政府采购政策需提供的相关资料及投标人</w:t>
      </w:r>
      <w:r>
        <w:rPr>
          <w:rFonts w:ascii="宋体" w:hAnsi="宋体" w:eastAsia="宋体"/>
          <w:bCs/>
        </w:rPr>
        <w:t>认为有必要</w:t>
      </w:r>
      <w:bookmarkEnd w:id="252"/>
      <w:bookmarkEnd w:id="253"/>
      <w:bookmarkEnd w:id="254"/>
      <w:bookmarkEnd w:id="255"/>
      <w:r>
        <w:rPr>
          <w:rFonts w:hint="eastAsia" w:ascii="宋体" w:hAnsi="宋体" w:eastAsia="宋体"/>
          <w:bCs/>
        </w:rPr>
        <w:t>提供的其它资料</w:t>
      </w:r>
      <w:bookmarkEnd w:id="256"/>
      <w:bookmarkEnd w:id="257"/>
      <w:bookmarkEnd w:id="258"/>
    </w:p>
    <w:p>
      <w:pPr>
        <w:pStyle w:val="81"/>
        <w:spacing w:line="400" w:lineRule="exact"/>
      </w:pPr>
    </w:p>
    <w:p>
      <w:pPr>
        <w:pStyle w:val="81"/>
        <w:spacing w:line="340" w:lineRule="exact"/>
        <w:ind w:firstLine="945" w:firstLineChars="450"/>
        <w:rPr>
          <w:rFonts w:ascii="仿宋_GB2312" w:hAnsi="仿宋" w:eastAsia="仿宋_GB2312"/>
        </w:rPr>
      </w:pPr>
      <w:r>
        <w:br w:type="page"/>
      </w:r>
    </w:p>
    <w:p>
      <w:pPr>
        <w:pStyle w:val="81"/>
        <w:spacing w:line="400" w:lineRule="exact"/>
        <w:rPr>
          <w:rFonts w:ascii="宋体" w:hAnsi="宋体"/>
          <w:b/>
          <w:sz w:val="28"/>
          <w:szCs w:val="28"/>
        </w:rPr>
      </w:pPr>
      <w:r>
        <w:rPr>
          <w:rFonts w:hint="eastAsia" w:ascii="宋体" w:hAnsi="宋体"/>
          <w:b/>
          <w:sz w:val="28"/>
          <w:szCs w:val="28"/>
        </w:rPr>
        <w:t>附件1：</w:t>
      </w:r>
    </w:p>
    <w:p>
      <w:pPr>
        <w:spacing w:line="588" w:lineRule="exact"/>
        <w:jc w:val="center"/>
        <w:rPr>
          <w:rFonts w:ascii="宋体" w:hAnsi="宋体"/>
          <w:b/>
          <w:spacing w:val="6"/>
          <w:sz w:val="36"/>
          <w:szCs w:val="36"/>
        </w:rPr>
      </w:pPr>
      <w:r>
        <w:rPr>
          <w:rFonts w:hint="eastAsia" w:ascii="宋体" w:hAnsi="宋体"/>
          <w:b/>
          <w:spacing w:val="6"/>
          <w:sz w:val="36"/>
          <w:szCs w:val="36"/>
        </w:rPr>
        <w:t xml:space="preserve">中小企业声明函（货物） </w:t>
      </w:r>
    </w:p>
    <w:p>
      <w:pPr>
        <w:pStyle w:val="22"/>
        <w:rPr>
          <w:rFonts w:ascii="宋体" w:hAnsi="宋体"/>
          <w:b/>
          <w:spacing w:val="6"/>
          <w:sz w:val="36"/>
          <w:szCs w:val="36"/>
        </w:rPr>
      </w:pPr>
    </w:p>
    <w:p>
      <w:pPr>
        <w:pStyle w:val="22"/>
        <w:rPr>
          <w:rFonts w:ascii="宋体" w:hAnsi="宋体"/>
          <w:b/>
          <w:spacing w:val="6"/>
          <w:sz w:val="36"/>
          <w:szCs w:val="36"/>
        </w:rPr>
      </w:pPr>
    </w:p>
    <w:p>
      <w:pPr>
        <w:spacing w:line="360" w:lineRule="auto"/>
        <w:ind w:firstLine="480" w:firstLineChars="200"/>
        <w:rPr>
          <w:rFonts w:ascii="宋体" w:hAnsi="宋体"/>
          <w:sz w:val="24"/>
        </w:rPr>
      </w:pPr>
      <w:r>
        <w:rPr>
          <w:rFonts w:hint="eastAsia" w:ascii="宋体" w:hAnsi="宋体"/>
          <w:sz w:val="24"/>
        </w:rPr>
        <w:t>本公司（联合体）郑重声明，根据《政府采购促进中小企业发展管理办法》（财库﹝2020﹞46 号）的规定，本公司（联合体）参加</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（项目名称）</w:t>
      </w:r>
      <w:r>
        <w:rPr>
          <w:rFonts w:hint="eastAsia" w:ascii="宋体" w:hAnsi="宋体"/>
          <w:sz w:val="24"/>
        </w:rPr>
        <w:t xml:space="preserve">采购活动，提供的货物全部由符合政策要求的中小企业制造。相关企业（含联合体中的中小企业、签订分包意向协议的中小企业）的具体情况如下： </w:t>
      </w:r>
    </w:p>
    <w:p>
      <w:pPr>
        <w:spacing w:line="360" w:lineRule="auto"/>
        <w:ind w:firstLine="480" w:firstLineChars="200"/>
        <w:rPr>
          <w:rFonts w:ascii="宋体" w:hAnsi="宋体"/>
          <w:sz w:val="24"/>
        </w:rPr>
      </w:pPr>
      <w:r>
        <w:rPr>
          <w:rFonts w:hint="eastAsia" w:ascii="宋体" w:hAnsi="宋体"/>
          <w:sz w:val="24"/>
        </w:rPr>
        <w:t xml:space="preserve">1. </w:t>
      </w:r>
      <w:r>
        <w:rPr>
          <w:rFonts w:hint="eastAsia" w:ascii="宋体" w:hAnsi="宋体"/>
          <w:sz w:val="24"/>
          <w:u w:val="single"/>
        </w:rPr>
        <w:t>（标的名称）</w:t>
      </w:r>
      <w:r>
        <w:rPr>
          <w:rFonts w:hint="eastAsia" w:ascii="宋体" w:hAnsi="宋体"/>
          <w:sz w:val="24"/>
        </w:rPr>
        <w:t xml:space="preserve"> ，属于（采购文件中明确的所属行业）行业；制造商为（企业名称），从业人员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 xml:space="preserve">万元，属于（中型企业、小型企业、微型企业）； </w:t>
      </w:r>
    </w:p>
    <w:p>
      <w:pPr>
        <w:spacing w:line="360" w:lineRule="auto"/>
        <w:ind w:firstLine="480" w:firstLineChars="200"/>
        <w:rPr>
          <w:rFonts w:ascii="宋体" w:hAnsi="宋体"/>
          <w:sz w:val="24"/>
        </w:rPr>
      </w:pPr>
      <w:r>
        <w:rPr>
          <w:rFonts w:hint="eastAsia" w:ascii="宋体" w:hAnsi="宋体"/>
          <w:sz w:val="24"/>
        </w:rPr>
        <w:t xml:space="preserve">2. </w:t>
      </w:r>
      <w:r>
        <w:rPr>
          <w:rFonts w:hint="eastAsia" w:ascii="宋体" w:hAnsi="宋体"/>
          <w:sz w:val="24"/>
          <w:u w:val="single"/>
        </w:rPr>
        <w:t>（标的名称）</w:t>
      </w:r>
      <w:r>
        <w:rPr>
          <w:rFonts w:hint="eastAsia" w:ascii="宋体" w:hAnsi="宋体"/>
          <w:sz w:val="24"/>
        </w:rPr>
        <w:t xml:space="preserve"> ，属于</w:t>
      </w:r>
      <w:r>
        <w:rPr>
          <w:rFonts w:hint="eastAsia" w:ascii="宋体" w:hAnsi="宋体"/>
          <w:sz w:val="24"/>
          <w:u w:val="single"/>
        </w:rPr>
        <w:t>（采购文件中明确的所属行业）</w:t>
      </w:r>
      <w:r>
        <w:rPr>
          <w:rFonts w:hint="eastAsia" w:ascii="宋体" w:hAnsi="宋体"/>
          <w:sz w:val="24"/>
        </w:rPr>
        <w:t>行业；制造商为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 xml:space="preserve">万元，属于（中型企业、小型企业、微型企业）； </w:t>
      </w:r>
    </w:p>
    <w:p>
      <w:pPr>
        <w:spacing w:line="360" w:lineRule="auto"/>
        <w:ind w:firstLine="480" w:firstLineChars="200"/>
        <w:rPr>
          <w:rFonts w:ascii="宋体" w:hAnsi="宋体"/>
          <w:sz w:val="24"/>
        </w:rPr>
      </w:pP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sz w:val="24"/>
        </w:rPr>
      </w:pPr>
      <w:r>
        <w:rPr>
          <w:rFonts w:hint="eastAsia" w:ascii="宋体" w:hAnsi="宋体"/>
          <w:sz w:val="24"/>
        </w:rPr>
        <w:t xml:space="preserve">本企业对上述声明内容的真实性负责。如有虚假，将依法承担相应责任。 </w:t>
      </w:r>
    </w:p>
    <w:p>
      <w:pPr>
        <w:spacing w:line="360" w:lineRule="auto"/>
        <w:ind w:firstLine="480" w:firstLineChars="200"/>
        <w:jc w:val="right"/>
        <w:rPr>
          <w:rFonts w:ascii="宋体" w:hAnsi="宋体"/>
          <w:sz w:val="24"/>
        </w:rPr>
      </w:pPr>
    </w:p>
    <w:p>
      <w:pPr>
        <w:spacing w:line="360" w:lineRule="auto"/>
        <w:ind w:firstLine="480" w:firstLineChars="200"/>
        <w:jc w:val="right"/>
        <w:rPr>
          <w:rFonts w:ascii="宋体" w:hAnsi="宋体"/>
          <w:sz w:val="24"/>
        </w:rPr>
      </w:pPr>
    </w:p>
    <w:p>
      <w:pPr>
        <w:spacing w:line="360" w:lineRule="auto"/>
        <w:ind w:firstLine="480" w:firstLineChars="200"/>
        <w:jc w:val="right"/>
        <w:rPr>
          <w:rFonts w:ascii="宋体" w:hAnsi="宋体"/>
          <w:sz w:val="24"/>
        </w:rPr>
      </w:pPr>
      <w:r>
        <w:rPr>
          <w:rFonts w:hint="eastAsia" w:ascii="宋体" w:hAnsi="宋体"/>
          <w:sz w:val="24"/>
        </w:rPr>
        <w:t xml:space="preserve">企业名称（盖章）： </w:t>
      </w:r>
    </w:p>
    <w:p>
      <w:pPr>
        <w:spacing w:line="360" w:lineRule="auto"/>
        <w:ind w:firstLine="480" w:firstLineChars="200"/>
        <w:jc w:val="right"/>
        <w:rPr>
          <w:rFonts w:ascii="宋体" w:hAnsi="宋体"/>
          <w:sz w:val="24"/>
        </w:rPr>
      </w:pPr>
      <w:r>
        <w:rPr>
          <w:rFonts w:hint="eastAsia" w:ascii="宋体" w:hAnsi="宋体"/>
          <w:sz w:val="24"/>
        </w:rPr>
        <w:t xml:space="preserve">日 期： </w:t>
      </w:r>
    </w:p>
    <w:p>
      <w:pPr>
        <w:adjustRightInd w:val="0"/>
        <w:snapToGrid w:val="0"/>
        <w:spacing w:line="360" w:lineRule="auto"/>
        <w:rPr>
          <w:rFonts w:ascii="宋体" w:hAnsi="宋体"/>
          <w:b/>
          <w:sz w:val="28"/>
          <w:szCs w:val="28"/>
        </w:rPr>
      </w:pPr>
    </w:p>
    <w:p>
      <w:pPr>
        <w:pStyle w:val="22"/>
        <w:rPr>
          <w:rFonts w:ascii="宋体" w:hAnsi="宋体"/>
          <w:b/>
          <w:sz w:val="28"/>
          <w:szCs w:val="28"/>
        </w:rPr>
      </w:pPr>
    </w:p>
    <w:p>
      <w:pPr>
        <w:pStyle w:val="22"/>
        <w:rPr>
          <w:rFonts w:ascii="宋体" w:hAnsi="宋体"/>
          <w:b/>
          <w:sz w:val="28"/>
          <w:szCs w:val="28"/>
        </w:rPr>
      </w:pPr>
    </w:p>
    <w:p>
      <w:pPr>
        <w:pStyle w:val="22"/>
        <w:rPr>
          <w:rFonts w:ascii="宋体" w:hAnsi="宋体"/>
          <w:b/>
          <w:sz w:val="28"/>
          <w:szCs w:val="28"/>
        </w:rPr>
      </w:pPr>
    </w:p>
    <w:p>
      <w:pPr>
        <w:pStyle w:val="22"/>
        <w:rPr>
          <w:rFonts w:ascii="宋体" w:hAnsi="宋体"/>
          <w:b/>
          <w:sz w:val="28"/>
          <w:szCs w:val="28"/>
        </w:rPr>
      </w:pPr>
    </w:p>
    <w:p>
      <w:pPr>
        <w:widowControl/>
        <w:jc w:val="left"/>
        <w:rPr>
          <w:rFonts w:ascii="宋体" w:hAnsi="宋体"/>
          <w:b/>
          <w:sz w:val="28"/>
          <w:szCs w:val="28"/>
        </w:rPr>
        <w:sectPr>
          <w:footerReference r:id="rId10" w:type="default"/>
          <w:pgSz w:w="11906" w:h="16838"/>
          <w:pgMar w:top="1418" w:right="1418" w:bottom="1418" w:left="1418" w:header="851" w:footer="992" w:gutter="0"/>
          <w:cols w:space="720" w:num="1"/>
          <w:docGrid w:linePitch="312" w:charSpace="0"/>
        </w:sectPr>
      </w:pPr>
      <w:r>
        <w:rPr>
          <w:rFonts w:hint="eastAsia" w:ascii="宋体" w:hAnsi="宋体" w:cs="宋体"/>
          <w:color w:val="000000"/>
          <w:kern w:val="0"/>
          <w:sz w:val="18"/>
          <w:szCs w:val="18"/>
          <w:lang w:bidi="ar"/>
        </w:rPr>
        <w:t>从业人员、营业收入、资产总额填报上一年度数据，无上一年度数据的新成立企业可不填报。</w:t>
      </w:r>
    </w:p>
    <w:p>
      <w:pPr>
        <w:adjustRightInd w:val="0"/>
        <w:snapToGrid w:val="0"/>
        <w:spacing w:line="360" w:lineRule="auto"/>
        <w:rPr>
          <w:rFonts w:ascii="宋体" w:hAnsi="宋体"/>
          <w:b/>
          <w:sz w:val="28"/>
          <w:szCs w:val="28"/>
        </w:rPr>
      </w:pPr>
      <w:r>
        <w:rPr>
          <w:rFonts w:hint="eastAsia" w:ascii="宋体" w:hAnsi="宋体"/>
          <w:b/>
          <w:sz w:val="28"/>
          <w:szCs w:val="28"/>
        </w:rPr>
        <w:t>附件2：</w:t>
      </w:r>
    </w:p>
    <w:p>
      <w:pPr>
        <w:spacing w:line="588" w:lineRule="exact"/>
        <w:jc w:val="center"/>
        <w:rPr>
          <w:rFonts w:ascii="宋体" w:hAnsi="宋体"/>
          <w:b/>
          <w:spacing w:val="6"/>
          <w:sz w:val="36"/>
          <w:szCs w:val="36"/>
        </w:rPr>
      </w:pPr>
      <w:bookmarkStart w:id="259" w:name="OLE_LINK14"/>
      <w:bookmarkStart w:id="260" w:name="OLE_LINK13"/>
    </w:p>
    <w:p>
      <w:pPr>
        <w:spacing w:line="588" w:lineRule="exact"/>
        <w:jc w:val="center"/>
        <w:rPr>
          <w:rFonts w:ascii="宋体" w:hAnsi="宋体"/>
          <w:b/>
          <w:spacing w:val="6"/>
          <w:sz w:val="36"/>
          <w:szCs w:val="36"/>
        </w:rPr>
      </w:pPr>
      <w:r>
        <w:rPr>
          <w:rFonts w:hint="eastAsia" w:ascii="宋体" w:hAnsi="宋体"/>
          <w:b/>
          <w:spacing w:val="6"/>
          <w:sz w:val="36"/>
          <w:szCs w:val="36"/>
        </w:rPr>
        <w:t>残疾人福利性单位声明函</w:t>
      </w:r>
    </w:p>
    <w:bookmarkEnd w:id="259"/>
    <w:bookmarkEnd w:id="260"/>
    <w:p>
      <w:pPr>
        <w:spacing w:line="588" w:lineRule="exact"/>
        <w:rPr>
          <w:rFonts w:ascii="仿宋_GB2312" w:eastAsia="仿宋_GB2312"/>
          <w:b/>
          <w:spacing w:val="6"/>
          <w:sz w:val="30"/>
          <w:szCs w:val="30"/>
        </w:rPr>
      </w:pPr>
    </w:p>
    <w:p>
      <w:pPr>
        <w:spacing w:line="360" w:lineRule="auto"/>
        <w:ind w:firstLine="504" w:firstLineChars="200"/>
        <w:rPr>
          <w:rFonts w:ascii="宋体" w:hAnsi="宋体"/>
          <w:spacing w:val="6"/>
          <w:sz w:val="24"/>
        </w:rPr>
      </w:pPr>
      <w:r>
        <w:rPr>
          <w:rFonts w:hint="eastAsia" w:ascii="宋体" w:hAnsi="宋体"/>
          <w:spacing w:val="6"/>
          <w:sz w:val="24"/>
        </w:rPr>
        <w:t>本单位郑重声明，根据《财政部</w:t>
      </w:r>
      <w:r>
        <w:rPr>
          <w:rFonts w:ascii="宋体" w:hAnsi="宋体"/>
          <w:spacing w:val="6"/>
          <w:sz w:val="24"/>
        </w:rPr>
        <w:t xml:space="preserve"> </w:t>
      </w:r>
      <w:r>
        <w:rPr>
          <w:rFonts w:hint="eastAsia" w:ascii="宋体" w:hAnsi="宋体"/>
          <w:spacing w:val="6"/>
          <w:sz w:val="24"/>
        </w:rPr>
        <w:t>民政部</w:t>
      </w:r>
      <w:r>
        <w:rPr>
          <w:rFonts w:ascii="宋体" w:hAnsi="宋体"/>
          <w:spacing w:val="6"/>
          <w:sz w:val="24"/>
        </w:rPr>
        <w:t xml:space="preserve"> </w:t>
      </w:r>
      <w:r>
        <w:rPr>
          <w:rFonts w:hint="eastAsia" w:ascii="宋体" w:hAnsi="宋体"/>
          <w:spacing w:val="6"/>
          <w:sz w:val="24"/>
        </w:rPr>
        <w:t>中国残疾人联合会关于促进残疾人就业政府采购政策的通知》（财库</w:t>
      </w:r>
      <w:r>
        <w:rPr>
          <w:rFonts w:hint="eastAsia" w:ascii="宋体" w:hAnsi="宋体"/>
          <w:sz w:val="24"/>
        </w:rPr>
        <w:t>〔</w:t>
      </w:r>
      <w:r>
        <w:rPr>
          <w:rFonts w:ascii="宋体" w:hAnsi="宋体"/>
          <w:sz w:val="24"/>
        </w:rPr>
        <w:t>2017</w:t>
      </w:r>
      <w:r>
        <w:rPr>
          <w:rFonts w:hint="eastAsia" w:ascii="宋体" w:hAnsi="宋体"/>
          <w:sz w:val="24"/>
        </w:rPr>
        <w:t>〕</w:t>
      </w:r>
      <w:r>
        <w:rPr>
          <w:rFonts w:ascii="宋体" w:hAnsi="宋体"/>
          <w:sz w:val="24"/>
        </w:rPr>
        <w:t xml:space="preserve"> 141</w:t>
      </w:r>
      <w:r>
        <w:rPr>
          <w:rFonts w:hint="eastAsia" w:ascii="宋体" w:hAnsi="宋体"/>
          <w:spacing w:val="6"/>
          <w:sz w:val="24"/>
        </w:rPr>
        <w:t>号）的规定，本单位为符合条件的残疾人福利性单位，且本单位参加</w:t>
      </w:r>
      <w:r>
        <w:rPr>
          <w:rFonts w:ascii="宋体" w:hAnsi="宋体"/>
          <w:spacing w:val="6"/>
          <w:sz w:val="24"/>
        </w:rPr>
        <w:t>______</w:t>
      </w:r>
      <w:r>
        <w:rPr>
          <w:rFonts w:hint="eastAsia" w:ascii="宋体" w:hAnsi="宋体"/>
          <w:spacing w:val="6"/>
          <w:sz w:val="24"/>
        </w:rPr>
        <w:t>单位的</w:t>
      </w:r>
      <w:r>
        <w:rPr>
          <w:rFonts w:ascii="宋体" w:hAnsi="宋体"/>
          <w:spacing w:val="6"/>
          <w:sz w:val="24"/>
        </w:rPr>
        <w:t>______</w:t>
      </w:r>
      <w:r>
        <w:rPr>
          <w:rFonts w:hint="eastAsia" w:ascii="宋体" w:hAnsi="宋体"/>
          <w:spacing w:val="6"/>
          <w:sz w:val="24"/>
        </w:rPr>
        <w:t>项目采购活动提供本单位制造的货物（由本单位承担工程</w:t>
      </w:r>
      <w:r>
        <w:rPr>
          <w:rFonts w:ascii="宋体" w:hAnsi="宋体"/>
          <w:spacing w:val="6"/>
          <w:sz w:val="24"/>
        </w:rPr>
        <w:t>/</w:t>
      </w:r>
      <w:r>
        <w:rPr>
          <w:rFonts w:hint="eastAsia" w:ascii="宋体" w:hAnsi="宋体"/>
          <w:spacing w:val="6"/>
          <w:sz w:val="24"/>
        </w:rPr>
        <w:t>提供服务），或者提供其他残疾人福利性单位制造的货物（不包括使用非残疾人福利性单位注册商标的货物）。</w:t>
      </w:r>
    </w:p>
    <w:p>
      <w:pPr>
        <w:spacing w:line="360" w:lineRule="auto"/>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spacing w:line="360" w:lineRule="auto"/>
        <w:ind w:firstLine="504" w:firstLineChars="200"/>
        <w:rPr>
          <w:rFonts w:ascii="宋体" w:hAnsi="宋体"/>
          <w:spacing w:val="6"/>
          <w:sz w:val="24"/>
        </w:rPr>
      </w:pPr>
    </w:p>
    <w:p>
      <w:pPr>
        <w:spacing w:line="360" w:lineRule="auto"/>
        <w:ind w:firstLine="504" w:firstLineChars="200"/>
        <w:rPr>
          <w:rFonts w:ascii="宋体" w:hAnsi="宋体"/>
          <w:spacing w:val="6"/>
          <w:sz w:val="24"/>
        </w:rPr>
      </w:pPr>
    </w:p>
    <w:p>
      <w:pPr>
        <w:tabs>
          <w:tab w:val="left" w:pos="4860"/>
        </w:tabs>
        <w:spacing w:line="360" w:lineRule="auto"/>
        <w:ind w:right="1560" w:firstLine="504" w:firstLineChars="200"/>
        <w:jc w:val="center"/>
        <w:rPr>
          <w:rFonts w:ascii="宋体" w:hAnsi="宋体"/>
          <w:spacing w:val="6"/>
          <w:sz w:val="24"/>
        </w:rPr>
      </w:pPr>
      <w:r>
        <w:rPr>
          <w:rFonts w:ascii="宋体" w:hAnsi="宋体"/>
          <w:spacing w:val="6"/>
          <w:sz w:val="24"/>
        </w:rPr>
        <w:t xml:space="preserve">           </w:t>
      </w:r>
      <w:r>
        <w:rPr>
          <w:rFonts w:hint="eastAsia" w:ascii="宋体" w:hAnsi="宋体"/>
          <w:sz w:val="24"/>
        </w:rPr>
        <w:t>投标人（公章）</w:t>
      </w:r>
      <w:r>
        <w:rPr>
          <w:rFonts w:hint="eastAsia" w:ascii="宋体" w:hAnsi="宋体"/>
          <w:spacing w:val="6"/>
          <w:sz w:val="24"/>
        </w:rPr>
        <w:t>：</w:t>
      </w:r>
      <w:r>
        <w:rPr>
          <w:rFonts w:hint="eastAsia" w:ascii="宋体" w:hAnsi="宋体"/>
          <w:spacing w:val="6"/>
          <w:sz w:val="24"/>
          <w:u w:val="single"/>
        </w:rPr>
        <w:t xml:space="preserve">              </w:t>
      </w:r>
    </w:p>
    <w:p>
      <w:pPr>
        <w:tabs>
          <w:tab w:val="left" w:pos="4860"/>
        </w:tabs>
        <w:spacing w:line="360" w:lineRule="auto"/>
        <w:ind w:right="1560" w:firstLine="504" w:firstLineChars="200"/>
        <w:jc w:val="center"/>
        <w:rPr>
          <w:rFonts w:ascii="宋体" w:hAnsi="宋体"/>
          <w:spacing w:val="6"/>
          <w:sz w:val="24"/>
        </w:rPr>
      </w:pPr>
      <w:r>
        <w:rPr>
          <w:rFonts w:ascii="宋体" w:hAnsi="宋体"/>
          <w:spacing w:val="6"/>
          <w:sz w:val="24"/>
        </w:rPr>
        <w:t xml:space="preserve"> </w:t>
      </w:r>
    </w:p>
    <w:p>
      <w:pPr>
        <w:tabs>
          <w:tab w:val="left" w:pos="4860"/>
        </w:tabs>
        <w:spacing w:line="360" w:lineRule="auto"/>
        <w:ind w:right="1560" w:firstLine="504" w:firstLineChars="200"/>
        <w:jc w:val="center"/>
        <w:rPr>
          <w:rFonts w:ascii="宋体" w:hAnsi="宋体"/>
          <w:sz w:val="24"/>
        </w:rPr>
      </w:pPr>
      <w:r>
        <w:rPr>
          <w:rFonts w:hint="eastAsia" w:ascii="宋体" w:hAnsi="宋体"/>
          <w:spacing w:val="6"/>
          <w:sz w:val="24"/>
        </w:rPr>
        <w:t xml:space="preserve">                  日</w:t>
      </w:r>
      <w:r>
        <w:rPr>
          <w:rFonts w:ascii="宋体" w:hAnsi="宋体"/>
          <w:spacing w:val="6"/>
          <w:sz w:val="24"/>
        </w:rPr>
        <w:t xml:space="preserve">  </w:t>
      </w:r>
      <w:r>
        <w:rPr>
          <w:rFonts w:hint="eastAsia" w:ascii="宋体" w:hAnsi="宋体"/>
          <w:spacing w:val="6"/>
          <w:sz w:val="24"/>
        </w:rPr>
        <w:t>期：    年   月  日</w:t>
      </w:r>
    </w:p>
    <w:p>
      <w:pPr>
        <w:adjustRightInd w:val="0"/>
        <w:snapToGrid w:val="0"/>
        <w:spacing w:line="360" w:lineRule="auto"/>
        <w:rPr>
          <w:rFonts w:ascii="宋体" w:hAnsi="宋体"/>
          <w:b/>
          <w:sz w:val="24"/>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before="50" w:line="360" w:lineRule="auto"/>
        <w:jc w:val="center"/>
        <w:rPr>
          <w:rFonts w:ascii="宋体" w:hAnsi="宋体"/>
          <w:b/>
          <w:sz w:val="36"/>
          <w:szCs w:val="36"/>
        </w:rPr>
      </w:pPr>
    </w:p>
    <w:p>
      <w:pPr>
        <w:adjustRightInd w:val="0"/>
        <w:snapToGrid w:val="0"/>
        <w:spacing w:line="360" w:lineRule="exact"/>
        <w:ind w:firstLine="525" w:firstLineChars="250"/>
        <w:rPr>
          <w:rFonts w:ascii="仿宋_GB2312" w:hAnsi="宋体" w:eastAsia="仿宋_GB2312"/>
          <w:szCs w:val="21"/>
        </w:rPr>
      </w:pPr>
      <w:r>
        <w:rPr>
          <w:rFonts w:hint="eastAsia" w:ascii="仿宋_GB2312" w:hAnsi="宋体" w:eastAsia="仿宋_GB2312"/>
          <w:szCs w:val="21"/>
        </w:rPr>
        <w:t>说明：</w:t>
      </w:r>
      <w:r>
        <w:rPr>
          <w:rFonts w:hint="eastAsia" w:ascii="仿宋_GB2312" w:hAnsi="宋体" w:eastAsia="仿宋_GB2312"/>
          <w:bCs/>
          <w:szCs w:val="21"/>
        </w:rPr>
        <w:t>未按上述要求提供、</w:t>
      </w:r>
      <w:r>
        <w:rPr>
          <w:rFonts w:hint="eastAsia" w:ascii="仿宋_GB2312" w:hAnsi="宋体" w:eastAsia="仿宋_GB2312"/>
          <w:szCs w:val="21"/>
        </w:rPr>
        <w:t>填写</w:t>
      </w:r>
      <w:r>
        <w:rPr>
          <w:rFonts w:hint="eastAsia" w:ascii="仿宋_GB2312" w:hAnsi="宋体" w:eastAsia="仿宋_GB2312"/>
          <w:bCs/>
          <w:szCs w:val="21"/>
        </w:rPr>
        <w:t>的，评审时不予以考虑。</w:t>
      </w:r>
    </w:p>
    <w:p>
      <w:pPr>
        <w:pStyle w:val="81"/>
        <w:spacing w:line="400" w:lineRule="exact"/>
      </w:pPr>
    </w:p>
    <w:sectPr>
      <w:footerReference r:id="rId11"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line="240" w:lineRule="exact"/>
      <w:ind w:right="357"/>
      <w:jc w:val="both"/>
      <w:rPr>
        <w:b/>
      </w:rPr>
    </w:pPr>
    <w:r>
      <w:rPr>
        <w:rFonts w:hint="eastAsia"/>
        <w:b/>
        <w:kern w:val="0"/>
        <w:szCs w:val="21"/>
      </w:rPr>
      <w:t xml:space="preserve">同正项目管理有限公司                                </w:t>
    </w:r>
  </w:p>
  <w:p>
    <w:pPr>
      <w:pStyle w:val="22"/>
    </w:pPr>
    <w:r>
      <w:rPr>
        <w:rFonts w:hint="eastAsia"/>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line="240" w:lineRule="exact"/>
      <w:ind w:right="357"/>
      <w:jc w:val="both"/>
    </w:pPr>
    <w:r>
      <w:rPr>
        <w:rFonts w:hint="eastAsia"/>
        <w:b/>
        <w:kern w:val="0"/>
        <w:szCs w:val="21"/>
      </w:rPr>
      <w:t xml:space="preserve">同正项目管理有限公司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line="240" w:lineRule="exact"/>
      <w:ind w:right="357"/>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r>
      <w:rPr>
        <w:rFonts w:hint="eastAsia"/>
        <w:b/>
        <w:kern w:val="0"/>
        <w:szCs w:val="21"/>
      </w:rPr>
      <w:t xml:space="preserve">同正项目管理有限公司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line="240" w:lineRule="exact"/>
      <w:ind w:right="357"/>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68</w:t>
                    </w:r>
                    <w:r>
                      <w:fldChar w:fldCharType="end"/>
                    </w:r>
                    <w:r>
                      <w:t xml:space="preserve"> 页</w:t>
                    </w:r>
                  </w:p>
                </w:txbxContent>
              </v:textbox>
            </v:shape>
          </w:pict>
        </mc:Fallback>
      </mc:AlternateContent>
    </w:r>
    <w:r>
      <w:rPr>
        <w:rFonts w:hint="eastAsia"/>
        <w:b/>
        <w:kern w:val="0"/>
        <w:szCs w:val="21"/>
      </w:rPr>
      <w:t>同正项目管理有限公司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line="240" w:lineRule="exact"/>
      <w:ind w:right="357"/>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r>
      <w:rPr>
        <w:rFonts w:hint="eastAsia"/>
        <w:b/>
        <w:kern w:val="0"/>
        <w:szCs w:val="21"/>
      </w:rPr>
      <w:t xml:space="preserve">同正项目管理有限公司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4500" w:hanging="4500" w:hangingChars="2500"/>
      <w:jc w:val="both"/>
      <w:rPr>
        <w:rFonts w:ascii="宋体" w:hAnsi="宋体"/>
      </w:rPr>
    </w:pPr>
    <w:r>
      <w:rPr>
        <w:rFonts w:hint="eastAsia" w:ascii="宋体" w:hAnsi="宋体"/>
      </w:rPr>
      <w:t xml:space="preserve">2022期刊购置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left" w:pos="2843"/>
        <w:tab w:val="clear" w:pos="4153"/>
      </w:tabs>
      <w:jc w:val="both"/>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2A9F4"/>
    <w:multiLevelType w:val="singleLevel"/>
    <w:tmpl w:val="A1E2A9F4"/>
    <w:lvl w:ilvl="0" w:tentative="0">
      <w:start w:val="1"/>
      <w:numFmt w:val="decimal"/>
      <w:suff w:val="nothing"/>
      <w:lvlText w:val="%1、"/>
      <w:lvlJc w:val="left"/>
    </w:lvl>
  </w:abstractNum>
  <w:abstractNum w:abstractNumId="1">
    <w:nsid w:val="ED3F21C9"/>
    <w:multiLevelType w:val="singleLevel"/>
    <w:tmpl w:val="ED3F21C9"/>
    <w:lvl w:ilvl="0" w:tentative="0">
      <w:start w:val="1"/>
      <w:numFmt w:val="decimal"/>
      <w:lvlText w:val="%1."/>
      <w:lvlJc w:val="left"/>
      <w:pPr>
        <w:tabs>
          <w:tab w:val="left" w:pos="312"/>
        </w:tabs>
      </w:pPr>
    </w:lvl>
  </w:abstractNum>
  <w:abstractNum w:abstractNumId="2">
    <w:nsid w:val="065ABFA5"/>
    <w:multiLevelType w:val="singleLevel"/>
    <w:tmpl w:val="065ABFA5"/>
    <w:lvl w:ilvl="0" w:tentative="0">
      <w:start w:val="1"/>
      <w:numFmt w:val="decimal"/>
      <w:suff w:val="nothing"/>
      <w:lvlText w:val="%1、"/>
      <w:lvlJc w:val="left"/>
    </w:lvl>
  </w:abstractNum>
  <w:abstractNum w:abstractNumId="3">
    <w:nsid w:val="15F80E18"/>
    <w:multiLevelType w:val="multilevel"/>
    <w:tmpl w:val="15F80E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5">
    <w:nsid w:val="7EB3954E"/>
    <w:multiLevelType w:val="singleLevel"/>
    <w:tmpl w:val="7EB3954E"/>
    <w:lvl w:ilvl="0" w:tentative="0">
      <w:start w:val="1"/>
      <w:numFmt w:val="decimal"/>
      <w:suff w:val="nothing"/>
      <w:lvlText w:val="%1、"/>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NDAwYmNlYTg4YjllZjVjMzBiYzA3NzYyMjA4OTMifQ=="/>
  </w:docVars>
  <w:rsids>
    <w:rsidRoot w:val="00E07E8D"/>
    <w:rsid w:val="00002057"/>
    <w:rsid w:val="000022B9"/>
    <w:rsid w:val="00002489"/>
    <w:rsid w:val="00002731"/>
    <w:rsid w:val="0000276D"/>
    <w:rsid w:val="00002821"/>
    <w:rsid w:val="00002860"/>
    <w:rsid w:val="00002D2F"/>
    <w:rsid w:val="00002F7A"/>
    <w:rsid w:val="00003046"/>
    <w:rsid w:val="0000311F"/>
    <w:rsid w:val="00003134"/>
    <w:rsid w:val="00003C7F"/>
    <w:rsid w:val="000041F5"/>
    <w:rsid w:val="000045BF"/>
    <w:rsid w:val="00005385"/>
    <w:rsid w:val="00005492"/>
    <w:rsid w:val="00006265"/>
    <w:rsid w:val="0000684A"/>
    <w:rsid w:val="00006F76"/>
    <w:rsid w:val="00007D47"/>
    <w:rsid w:val="00010248"/>
    <w:rsid w:val="000107D2"/>
    <w:rsid w:val="00010F17"/>
    <w:rsid w:val="000112F4"/>
    <w:rsid w:val="000118A4"/>
    <w:rsid w:val="0001197D"/>
    <w:rsid w:val="00011AD6"/>
    <w:rsid w:val="0001236F"/>
    <w:rsid w:val="000127CA"/>
    <w:rsid w:val="0001292D"/>
    <w:rsid w:val="000131A6"/>
    <w:rsid w:val="00013744"/>
    <w:rsid w:val="000137B7"/>
    <w:rsid w:val="000146D2"/>
    <w:rsid w:val="00015FE2"/>
    <w:rsid w:val="0001623F"/>
    <w:rsid w:val="00016B35"/>
    <w:rsid w:val="00016C29"/>
    <w:rsid w:val="00016E5C"/>
    <w:rsid w:val="000175F2"/>
    <w:rsid w:val="000178E0"/>
    <w:rsid w:val="00017F51"/>
    <w:rsid w:val="000200BB"/>
    <w:rsid w:val="00021CB5"/>
    <w:rsid w:val="00022627"/>
    <w:rsid w:val="0002333B"/>
    <w:rsid w:val="0002418E"/>
    <w:rsid w:val="00024ABA"/>
    <w:rsid w:val="00025C41"/>
    <w:rsid w:val="000261A3"/>
    <w:rsid w:val="000263D5"/>
    <w:rsid w:val="00026B21"/>
    <w:rsid w:val="000278C2"/>
    <w:rsid w:val="0003048D"/>
    <w:rsid w:val="00030697"/>
    <w:rsid w:val="0003181B"/>
    <w:rsid w:val="00031D3B"/>
    <w:rsid w:val="00032FB2"/>
    <w:rsid w:val="000342F8"/>
    <w:rsid w:val="000349A2"/>
    <w:rsid w:val="00035EA8"/>
    <w:rsid w:val="00035FC8"/>
    <w:rsid w:val="00036413"/>
    <w:rsid w:val="00036BD5"/>
    <w:rsid w:val="00036C69"/>
    <w:rsid w:val="00036E4A"/>
    <w:rsid w:val="00037195"/>
    <w:rsid w:val="00037A03"/>
    <w:rsid w:val="00037B9C"/>
    <w:rsid w:val="00040272"/>
    <w:rsid w:val="0004036F"/>
    <w:rsid w:val="0004048D"/>
    <w:rsid w:val="00040783"/>
    <w:rsid w:val="000408AE"/>
    <w:rsid w:val="00040921"/>
    <w:rsid w:val="0004115D"/>
    <w:rsid w:val="000420AB"/>
    <w:rsid w:val="00042B88"/>
    <w:rsid w:val="000433B9"/>
    <w:rsid w:val="000443F3"/>
    <w:rsid w:val="00044742"/>
    <w:rsid w:val="00044D85"/>
    <w:rsid w:val="0004577D"/>
    <w:rsid w:val="0004598F"/>
    <w:rsid w:val="00046582"/>
    <w:rsid w:val="000465F6"/>
    <w:rsid w:val="00047BA3"/>
    <w:rsid w:val="000501D5"/>
    <w:rsid w:val="00050BC1"/>
    <w:rsid w:val="00050FDF"/>
    <w:rsid w:val="000515EB"/>
    <w:rsid w:val="00051F6F"/>
    <w:rsid w:val="00052F51"/>
    <w:rsid w:val="00052FFD"/>
    <w:rsid w:val="00053172"/>
    <w:rsid w:val="00053B3D"/>
    <w:rsid w:val="000544AB"/>
    <w:rsid w:val="00054888"/>
    <w:rsid w:val="000555BF"/>
    <w:rsid w:val="0005587C"/>
    <w:rsid w:val="000558FB"/>
    <w:rsid w:val="000561CD"/>
    <w:rsid w:val="000578D3"/>
    <w:rsid w:val="000607C0"/>
    <w:rsid w:val="00060B4C"/>
    <w:rsid w:val="0006207C"/>
    <w:rsid w:val="00062414"/>
    <w:rsid w:val="0006332A"/>
    <w:rsid w:val="00063CD5"/>
    <w:rsid w:val="00064FB9"/>
    <w:rsid w:val="000652B7"/>
    <w:rsid w:val="000652F1"/>
    <w:rsid w:val="00065C33"/>
    <w:rsid w:val="00065FB8"/>
    <w:rsid w:val="0006604A"/>
    <w:rsid w:val="000668A3"/>
    <w:rsid w:val="00066B90"/>
    <w:rsid w:val="0006703E"/>
    <w:rsid w:val="00070033"/>
    <w:rsid w:val="00070763"/>
    <w:rsid w:val="00070D7C"/>
    <w:rsid w:val="00070EF4"/>
    <w:rsid w:val="0007142D"/>
    <w:rsid w:val="000715A5"/>
    <w:rsid w:val="00071701"/>
    <w:rsid w:val="0007190E"/>
    <w:rsid w:val="00072537"/>
    <w:rsid w:val="00072590"/>
    <w:rsid w:val="000727D1"/>
    <w:rsid w:val="00072FDD"/>
    <w:rsid w:val="000731E2"/>
    <w:rsid w:val="000733C7"/>
    <w:rsid w:val="000739FB"/>
    <w:rsid w:val="00073A54"/>
    <w:rsid w:val="00075104"/>
    <w:rsid w:val="00075E0B"/>
    <w:rsid w:val="00076569"/>
    <w:rsid w:val="00076C1E"/>
    <w:rsid w:val="00077254"/>
    <w:rsid w:val="0007760B"/>
    <w:rsid w:val="000778E1"/>
    <w:rsid w:val="0007790A"/>
    <w:rsid w:val="00077933"/>
    <w:rsid w:val="000779F1"/>
    <w:rsid w:val="00080440"/>
    <w:rsid w:val="0008086F"/>
    <w:rsid w:val="00080CE2"/>
    <w:rsid w:val="00081035"/>
    <w:rsid w:val="000820DA"/>
    <w:rsid w:val="000825C8"/>
    <w:rsid w:val="0008287C"/>
    <w:rsid w:val="000837F0"/>
    <w:rsid w:val="00086728"/>
    <w:rsid w:val="00086742"/>
    <w:rsid w:val="000868AC"/>
    <w:rsid w:val="00086AD8"/>
    <w:rsid w:val="00087280"/>
    <w:rsid w:val="00087B42"/>
    <w:rsid w:val="00087F31"/>
    <w:rsid w:val="0009005B"/>
    <w:rsid w:val="000905D5"/>
    <w:rsid w:val="00090CA3"/>
    <w:rsid w:val="000910C7"/>
    <w:rsid w:val="00091119"/>
    <w:rsid w:val="00092075"/>
    <w:rsid w:val="00093E47"/>
    <w:rsid w:val="000945C6"/>
    <w:rsid w:val="00094B9D"/>
    <w:rsid w:val="00095192"/>
    <w:rsid w:val="00095796"/>
    <w:rsid w:val="00095797"/>
    <w:rsid w:val="00095EC0"/>
    <w:rsid w:val="00096538"/>
    <w:rsid w:val="00096778"/>
    <w:rsid w:val="00096E8E"/>
    <w:rsid w:val="0009711C"/>
    <w:rsid w:val="00097288"/>
    <w:rsid w:val="00097367"/>
    <w:rsid w:val="000979BF"/>
    <w:rsid w:val="00097B28"/>
    <w:rsid w:val="000A01F0"/>
    <w:rsid w:val="000A098B"/>
    <w:rsid w:val="000A1564"/>
    <w:rsid w:val="000A2E15"/>
    <w:rsid w:val="000A2E94"/>
    <w:rsid w:val="000A3022"/>
    <w:rsid w:val="000A3CF2"/>
    <w:rsid w:val="000A3D69"/>
    <w:rsid w:val="000A3FB7"/>
    <w:rsid w:val="000A403F"/>
    <w:rsid w:val="000A45DB"/>
    <w:rsid w:val="000A52E5"/>
    <w:rsid w:val="000A5DAD"/>
    <w:rsid w:val="000A646C"/>
    <w:rsid w:val="000A6776"/>
    <w:rsid w:val="000A6CAA"/>
    <w:rsid w:val="000B0B6E"/>
    <w:rsid w:val="000B0E51"/>
    <w:rsid w:val="000B12AF"/>
    <w:rsid w:val="000B1C06"/>
    <w:rsid w:val="000B2517"/>
    <w:rsid w:val="000B27F3"/>
    <w:rsid w:val="000B339B"/>
    <w:rsid w:val="000B3430"/>
    <w:rsid w:val="000B3E77"/>
    <w:rsid w:val="000B4E8C"/>
    <w:rsid w:val="000B5BFB"/>
    <w:rsid w:val="000B5F7E"/>
    <w:rsid w:val="000B7D3D"/>
    <w:rsid w:val="000C0130"/>
    <w:rsid w:val="000C03C2"/>
    <w:rsid w:val="000C14AC"/>
    <w:rsid w:val="000C18DA"/>
    <w:rsid w:val="000C1A60"/>
    <w:rsid w:val="000C21CB"/>
    <w:rsid w:val="000C24D7"/>
    <w:rsid w:val="000C31D9"/>
    <w:rsid w:val="000C45B5"/>
    <w:rsid w:val="000C5B36"/>
    <w:rsid w:val="000C6149"/>
    <w:rsid w:val="000C6174"/>
    <w:rsid w:val="000C6BD2"/>
    <w:rsid w:val="000C6D58"/>
    <w:rsid w:val="000D05D5"/>
    <w:rsid w:val="000D06C7"/>
    <w:rsid w:val="000D09C2"/>
    <w:rsid w:val="000D0A06"/>
    <w:rsid w:val="000D0A4B"/>
    <w:rsid w:val="000D0AC8"/>
    <w:rsid w:val="000D0BCD"/>
    <w:rsid w:val="000D11D7"/>
    <w:rsid w:val="000D14D4"/>
    <w:rsid w:val="000D1697"/>
    <w:rsid w:val="000D1DB6"/>
    <w:rsid w:val="000D211D"/>
    <w:rsid w:val="000D216A"/>
    <w:rsid w:val="000D25C7"/>
    <w:rsid w:val="000D264E"/>
    <w:rsid w:val="000D2F26"/>
    <w:rsid w:val="000D30FF"/>
    <w:rsid w:val="000D38E9"/>
    <w:rsid w:val="000D3EA9"/>
    <w:rsid w:val="000D3EB8"/>
    <w:rsid w:val="000D48DB"/>
    <w:rsid w:val="000D49E9"/>
    <w:rsid w:val="000D4C2D"/>
    <w:rsid w:val="000D4E6D"/>
    <w:rsid w:val="000D539E"/>
    <w:rsid w:val="000D5FC0"/>
    <w:rsid w:val="000D769C"/>
    <w:rsid w:val="000D77E0"/>
    <w:rsid w:val="000D7A6E"/>
    <w:rsid w:val="000D7A9E"/>
    <w:rsid w:val="000D7C09"/>
    <w:rsid w:val="000D7EFB"/>
    <w:rsid w:val="000E000E"/>
    <w:rsid w:val="000E0283"/>
    <w:rsid w:val="000E1184"/>
    <w:rsid w:val="000E1A70"/>
    <w:rsid w:val="000E2CEF"/>
    <w:rsid w:val="000E31AC"/>
    <w:rsid w:val="000E451E"/>
    <w:rsid w:val="000E45DD"/>
    <w:rsid w:val="000E47AD"/>
    <w:rsid w:val="000E4FFE"/>
    <w:rsid w:val="000E62FD"/>
    <w:rsid w:val="000E6384"/>
    <w:rsid w:val="000E65DB"/>
    <w:rsid w:val="000E66A1"/>
    <w:rsid w:val="000E6BED"/>
    <w:rsid w:val="000E7856"/>
    <w:rsid w:val="000E793B"/>
    <w:rsid w:val="000E7DDB"/>
    <w:rsid w:val="000F00AD"/>
    <w:rsid w:val="000F099F"/>
    <w:rsid w:val="000F1020"/>
    <w:rsid w:val="000F13C1"/>
    <w:rsid w:val="000F1761"/>
    <w:rsid w:val="000F193D"/>
    <w:rsid w:val="000F1970"/>
    <w:rsid w:val="000F1B02"/>
    <w:rsid w:val="000F1F4E"/>
    <w:rsid w:val="000F1FD4"/>
    <w:rsid w:val="000F2C30"/>
    <w:rsid w:val="000F2E35"/>
    <w:rsid w:val="000F2FCF"/>
    <w:rsid w:val="000F3AFE"/>
    <w:rsid w:val="000F3E34"/>
    <w:rsid w:val="000F43DA"/>
    <w:rsid w:val="000F519C"/>
    <w:rsid w:val="000F5C58"/>
    <w:rsid w:val="000F5E8E"/>
    <w:rsid w:val="000F69A3"/>
    <w:rsid w:val="000F6A2E"/>
    <w:rsid w:val="000F6F99"/>
    <w:rsid w:val="000F733B"/>
    <w:rsid w:val="000F7663"/>
    <w:rsid w:val="000F7EF6"/>
    <w:rsid w:val="0010099C"/>
    <w:rsid w:val="00100FA4"/>
    <w:rsid w:val="00101A1D"/>
    <w:rsid w:val="00101E57"/>
    <w:rsid w:val="00101F4A"/>
    <w:rsid w:val="001024D2"/>
    <w:rsid w:val="00102BC2"/>
    <w:rsid w:val="0010303F"/>
    <w:rsid w:val="00103533"/>
    <w:rsid w:val="00103D15"/>
    <w:rsid w:val="0010458A"/>
    <w:rsid w:val="00104D09"/>
    <w:rsid w:val="00104DCA"/>
    <w:rsid w:val="00105895"/>
    <w:rsid w:val="001059AB"/>
    <w:rsid w:val="00105F3A"/>
    <w:rsid w:val="0010644B"/>
    <w:rsid w:val="00107250"/>
    <w:rsid w:val="0010740C"/>
    <w:rsid w:val="001101E6"/>
    <w:rsid w:val="001102CC"/>
    <w:rsid w:val="001108D9"/>
    <w:rsid w:val="0011098D"/>
    <w:rsid w:val="00110D6A"/>
    <w:rsid w:val="001111A8"/>
    <w:rsid w:val="001113C7"/>
    <w:rsid w:val="00111706"/>
    <w:rsid w:val="0011178F"/>
    <w:rsid w:val="00112B8C"/>
    <w:rsid w:val="00112CEE"/>
    <w:rsid w:val="00113254"/>
    <w:rsid w:val="00113423"/>
    <w:rsid w:val="00113F51"/>
    <w:rsid w:val="001141FE"/>
    <w:rsid w:val="0011531B"/>
    <w:rsid w:val="00115838"/>
    <w:rsid w:val="00115AE4"/>
    <w:rsid w:val="00116653"/>
    <w:rsid w:val="00116CE8"/>
    <w:rsid w:val="00116FE0"/>
    <w:rsid w:val="001174C6"/>
    <w:rsid w:val="00117D26"/>
    <w:rsid w:val="0012021A"/>
    <w:rsid w:val="00120252"/>
    <w:rsid w:val="00120A54"/>
    <w:rsid w:val="00120BA6"/>
    <w:rsid w:val="001215FD"/>
    <w:rsid w:val="001220CA"/>
    <w:rsid w:val="0012286F"/>
    <w:rsid w:val="00122CA1"/>
    <w:rsid w:val="00122EFF"/>
    <w:rsid w:val="00123532"/>
    <w:rsid w:val="00123B12"/>
    <w:rsid w:val="00123B2E"/>
    <w:rsid w:val="00125695"/>
    <w:rsid w:val="00125C2F"/>
    <w:rsid w:val="00126512"/>
    <w:rsid w:val="00126678"/>
    <w:rsid w:val="00126766"/>
    <w:rsid w:val="001267D4"/>
    <w:rsid w:val="001268B6"/>
    <w:rsid w:val="00126AE4"/>
    <w:rsid w:val="0012786D"/>
    <w:rsid w:val="0013012F"/>
    <w:rsid w:val="00130CFE"/>
    <w:rsid w:val="00131051"/>
    <w:rsid w:val="001317B6"/>
    <w:rsid w:val="00131B20"/>
    <w:rsid w:val="00131BBC"/>
    <w:rsid w:val="0013256C"/>
    <w:rsid w:val="00132A93"/>
    <w:rsid w:val="00133065"/>
    <w:rsid w:val="001337AC"/>
    <w:rsid w:val="00133A69"/>
    <w:rsid w:val="00134014"/>
    <w:rsid w:val="00134D81"/>
    <w:rsid w:val="00135617"/>
    <w:rsid w:val="00135B77"/>
    <w:rsid w:val="00135D48"/>
    <w:rsid w:val="00136192"/>
    <w:rsid w:val="001361C5"/>
    <w:rsid w:val="001361E5"/>
    <w:rsid w:val="00136CCD"/>
    <w:rsid w:val="001376FA"/>
    <w:rsid w:val="00137821"/>
    <w:rsid w:val="001378DA"/>
    <w:rsid w:val="00137E4B"/>
    <w:rsid w:val="00140600"/>
    <w:rsid w:val="00140BA7"/>
    <w:rsid w:val="00140D50"/>
    <w:rsid w:val="001419B6"/>
    <w:rsid w:val="00141B50"/>
    <w:rsid w:val="00142467"/>
    <w:rsid w:val="0014288E"/>
    <w:rsid w:val="00142FBD"/>
    <w:rsid w:val="0014361E"/>
    <w:rsid w:val="001437ED"/>
    <w:rsid w:val="00143F43"/>
    <w:rsid w:val="00144026"/>
    <w:rsid w:val="001441BB"/>
    <w:rsid w:val="0014435D"/>
    <w:rsid w:val="001449BE"/>
    <w:rsid w:val="00146234"/>
    <w:rsid w:val="001465C2"/>
    <w:rsid w:val="00147313"/>
    <w:rsid w:val="00147D9C"/>
    <w:rsid w:val="0015079F"/>
    <w:rsid w:val="001509FC"/>
    <w:rsid w:val="00150FD4"/>
    <w:rsid w:val="00151A8A"/>
    <w:rsid w:val="001520A4"/>
    <w:rsid w:val="001521FF"/>
    <w:rsid w:val="001542EC"/>
    <w:rsid w:val="0015453C"/>
    <w:rsid w:val="001545AE"/>
    <w:rsid w:val="0015590F"/>
    <w:rsid w:val="00156387"/>
    <w:rsid w:val="00157456"/>
    <w:rsid w:val="0015776D"/>
    <w:rsid w:val="00160013"/>
    <w:rsid w:val="0016023F"/>
    <w:rsid w:val="001607AB"/>
    <w:rsid w:val="00161D4D"/>
    <w:rsid w:val="00162993"/>
    <w:rsid w:val="00163765"/>
    <w:rsid w:val="00163B7B"/>
    <w:rsid w:val="00164149"/>
    <w:rsid w:val="00164C1D"/>
    <w:rsid w:val="00164E9E"/>
    <w:rsid w:val="0016572F"/>
    <w:rsid w:val="00165A35"/>
    <w:rsid w:val="0017046B"/>
    <w:rsid w:val="001706FD"/>
    <w:rsid w:val="001707E5"/>
    <w:rsid w:val="00171298"/>
    <w:rsid w:val="001725EA"/>
    <w:rsid w:val="00172789"/>
    <w:rsid w:val="00173043"/>
    <w:rsid w:val="001730A8"/>
    <w:rsid w:val="0017384A"/>
    <w:rsid w:val="001738D3"/>
    <w:rsid w:val="00174B09"/>
    <w:rsid w:val="00174EA1"/>
    <w:rsid w:val="00174F76"/>
    <w:rsid w:val="0017522E"/>
    <w:rsid w:val="00175725"/>
    <w:rsid w:val="00175AA6"/>
    <w:rsid w:val="00175E9D"/>
    <w:rsid w:val="00176668"/>
    <w:rsid w:val="00176D84"/>
    <w:rsid w:val="001774B3"/>
    <w:rsid w:val="001774B5"/>
    <w:rsid w:val="00177AF7"/>
    <w:rsid w:val="001815CF"/>
    <w:rsid w:val="00181D03"/>
    <w:rsid w:val="00181EAD"/>
    <w:rsid w:val="001821F6"/>
    <w:rsid w:val="001823CD"/>
    <w:rsid w:val="001831B0"/>
    <w:rsid w:val="00184663"/>
    <w:rsid w:val="00184D2C"/>
    <w:rsid w:val="00184DB2"/>
    <w:rsid w:val="0018523A"/>
    <w:rsid w:val="0018591B"/>
    <w:rsid w:val="00185E20"/>
    <w:rsid w:val="00187096"/>
    <w:rsid w:val="0018716C"/>
    <w:rsid w:val="001872B7"/>
    <w:rsid w:val="00187616"/>
    <w:rsid w:val="001901DB"/>
    <w:rsid w:val="001905BD"/>
    <w:rsid w:val="00190FA0"/>
    <w:rsid w:val="0019113C"/>
    <w:rsid w:val="001919B3"/>
    <w:rsid w:val="001926DC"/>
    <w:rsid w:val="00192D0E"/>
    <w:rsid w:val="00193330"/>
    <w:rsid w:val="00193B58"/>
    <w:rsid w:val="00193DB8"/>
    <w:rsid w:val="001941A7"/>
    <w:rsid w:val="001947A6"/>
    <w:rsid w:val="00194A2D"/>
    <w:rsid w:val="0019512D"/>
    <w:rsid w:val="0019512F"/>
    <w:rsid w:val="001954E4"/>
    <w:rsid w:val="0019722F"/>
    <w:rsid w:val="0019724F"/>
    <w:rsid w:val="00197939"/>
    <w:rsid w:val="00197B44"/>
    <w:rsid w:val="00197CA6"/>
    <w:rsid w:val="001A1C85"/>
    <w:rsid w:val="001A25B5"/>
    <w:rsid w:val="001A2859"/>
    <w:rsid w:val="001A2C2E"/>
    <w:rsid w:val="001A31E7"/>
    <w:rsid w:val="001A44E1"/>
    <w:rsid w:val="001A48D6"/>
    <w:rsid w:val="001A48F5"/>
    <w:rsid w:val="001A4F43"/>
    <w:rsid w:val="001A58FC"/>
    <w:rsid w:val="001A71AB"/>
    <w:rsid w:val="001A7783"/>
    <w:rsid w:val="001A7948"/>
    <w:rsid w:val="001A7998"/>
    <w:rsid w:val="001A7A85"/>
    <w:rsid w:val="001B0180"/>
    <w:rsid w:val="001B0F19"/>
    <w:rsid w:val="001B0F7A"/>
    <w:rsid w:val="001B1BCC"/>
    <w:rsid w:val="001B25D5"/>
    <w:rsid w:val="001B4452"/>
    <w:rsid w:val="001B4995"/>
    <w:rsid w:val="001B614E"/>
    <w:rsid w:val="001B62A7"/>
    <w:rsid w:val="001B62FC"/>
    <w:rsid w:val="001B6719"/>
    <w:rsid w:val="001B6748"/>
    <w:rsid w:val="001B67E2"/>
    <w:rsid w:val="001B692C"/>
    <w:rsid w:val="001B7B63"/>
    <w:rsid w:val="001C057A"/>
    <w:rsid w:val="001C0E0B"/>
    <w:rsid w:val="001C0FDC"/>
    <w:rsid w:val="001C1B0E"/>
    <w:rsid w:val="001C287C"/>
    <w:rsid w:val="001C2B9C"/>
    <w:rsid w:val="001C3466"/>
    <w:rsid w:val="001C3B9F"/>
    <w:rsid w:val="001C3E5E"/>
    <w:rsid w:val="001C4011"/>
    <w:rsid w:val="001C41E6"/>
    <w:rsid w:val="001C455E"/>
    <w:rsid w:val="001C4B6B"/>
    <w:rsid w:val="001C5087"/>
    <w:rsid w:val="001C52AA"/>
    <w:rsid w:val="001C6628"/>
    <w:rsid w:val="001C6A94"/>
    <w:rsid w:val="001C7670"/>
    <w:rsid w:val="001C771D"/>
    <w:rsid w:val="001C7A24"/>
    <w:rsid w:val="001D0DDC"/>
    <w:rsid w:val="001D0F4C"/>
    <w:rsid w:val="001D1538"/>
    <w:rsid w:val="001D19F9"/>
    <w:rsid w:val="001D2962"/>
    <w:rsid w:val="001D4463"/>
    <w:rsid w:val="001D4A63"/>
    <w:rsid w:val="001D56D9"/>
    <w:rsid w:val="001D5987"/>
    <w:rsid w:val="001D59C7"/>
    <w:rsid w:val="001D62C4"/>
    <w:rsid w:val="001D6CB4"/>
    <w:rsid w:val="001D7177"/>
    <w:rsid w:val="001D73CF"/>
    <w:rsid w:val="001D7DBF"/>
    <w:rsid w:val="001E0136"/>
    <w:rsid w:val="001E0CF4"/>
    <w:rsid w:val="001E1F03"/>
    <w:rsid w:val="001E225A"/>
    <w:rsid w:val="001E304C"/>
    <w:rsid w:val="001E308D"/>
    <w:rsid w:val="001E3C15"/>
    <w:rsid w:val="001E582D"/>
    <w:rsid w:val="001E6720"/>
    <w:rsid w:val="001E7BF3"/>
    <w:rsid w:val="001F090D"/>
    <w:rsid w:val="001F0B5F"/>
    <w:rsid w:val="001F13A2"/>
    <w:rsid w:val="001F13F9"/>
    <w:rsid w:val="001F1DD4"/>
    <w:rsid w:val="001F1E16"/>
    <w:rsid w:val="001F224F"/>
    <w:rsid w:val="001F277B"/>
    <w:rsid w:val="001F3490"/>
    <w:rsid w:val="001F4047"/>
    <w:rsid w:val="001F4494"/>
    <w:rsid w:val="001F4764"/>
    <w:rsid w:val="001F48FA"/>
    <w:rsid w:val="001F4A1A"/>
    <w:rsid w:val="001F4EE5"/>
    <w:rsid w:val="001F58EA"/>
    <w:rsid w:val="001F5CC9"/>
    <w:rsid w:val="001F652E"/>
    <w:rsid w:val="001F6596"/>
    <w:rsid w:val="001F65A6"/>
    <w:rsid w:val="001F660A"/>
    <w:rsid w:val="001F6C15"/>
    <w:rsid w:val="001F6FCF"/>
    <w:rsid w:val="001F7A03"/>
    <w:rsid w:val="001F7B87"/>
    <w:rsid w:val="001F7CCB"/>
    <w:rsid w:val="001F7D2E"/>
    <w:rsid w:val="002004F1"/>
    <w:rsid w:val="002008E8"/>
    <w:rsid w:val="00200F81"/>
    <w:rsid w:val="00201BA6"/>
    <w:rsid w:val="00201E8C"/>
    <w:rsid w:val="0020209C"/>
    <w:rsid w:val="00203443"/>
    <w:rsid w:val="00204283"/>
    <w:rsid w:val="00204FEB"/>
    <w:rsid w:val="002050F9"/>
    <w:rsid w:val="00205916"/>
    <w:rsid w:val="002059A6"/>
    <w:rsid w:val="00205D4B"/>
    <w:rsid w:val="00206F15"/>
    <w:rsid w:val="002073EA"/>
    <w:rsid w:val="00210F26"/>
    <w:rsid w:val="00210FD7"/>
    <w:rsid w:val="00211AF0"/>
    <w:rsid w:val="002120F1"/>
    <w:rsid w:val="0021293B"/>
    <w:rsid w:val="00212C1A"/>
    <w:rsid w:val="00213B73"/>
    <w:rsid w:val="002154A7"/>
    <w:rsid w:val="0021575B"/>
    <w:rsid w:val="002159B8"/>
    <w:rsid w:val="00215C80"/>
    <w:rsid w:val="00215E34"/>
    <w:rsid w:val="00217C89"/>
    <w:rsid w:val="00217D62"/>
    <w:rsid w:val="00220101"/>
    <w:rsid w:val="002203C9"/>
    <w:rsid w:val="0022061B"/>
    <w:rsid w:val="002207BF"/>
    <w:rsid w:val="00220D20"/>
    <w:rsid w:val="0022111A"/>
    <w:rsid w:val="0022140C"/>
    <w:rsid w:val="002220EA"/>
    <w:rsid w:val="00222B4F"/>
    <w:rsid w:val="0022308E"/>
    <w:rsid w:val="00223955"/>
    <w:rsid w:val="0022412C"/>
    <w:rsid w:val="002242ED"/>
    <w:rsid w:val="00224D63"/>
    <w:rsid w:val="002257DA"/>
    <w:rsid w:val="00226424"/>
    <w:rsid w:val="00226F79"/>
    <w:rsid w:val="002272F8"/>
    <w:rsid w:val="00227D9A"/>
    <w:rsid w:val="00227F28"/>
    <w:rsid w:val="0023052A"/>
    <w:rsid w:val="002306E6"/>
    <w:rsid w:val="0023118B"/>
    <w:rsid w:val="0023127E"/>
    <w:rsid w:val="00232B15"/>
    <w:rsid w:val="00233069"/>
    <w:rsid w:val="00234844"/>
    <w:rsid w:val="00235304"/>
    <w:rsid w:val="00235B94"/>
    <w:rsid w:val="00235D51"/>
    <w:rsid w:val="002361A4"/>
    <w:rsid w:val="00236A31"/>
    <w:rsid w:val="00237027"/>
    <w:rsid w:val="00237472"/>
    <w:rsid w:val="002376CD"/>
    <w:rsid w:val="002400C2"/>
    <w:rsid w:val="002404A5"/>
    <w:rsid w:val="00240926"/>
    <w:rsid w:val="0024282E"/>
    <w:rsid w:val="002429E4"/>
    <w:rsid w:val="00242A4D"/>
    <w:rsid w:val="00242BB2"/>
    <w:rsid w:val="002439C7"/>
    <w:rsid w:val="00244286"/>
    <w:rsid w:val="0024507C"/>
    <w:rsid w:val="00246155"/>
    <w:rsid w:val="0024631A"/>
    <w:rsid w:val="00246A70"/>
    <w:rsid w:val="00250BB4"/>
    <w:rsid w:val="00250CC7"/>
    <w:rsid w:val="00251AD6"/>
    <w:rsid w:val="00251D78"/>
    <w:rsid w:val="0025299D"/>
    <w:rsid w:val="00252A4E"/>
    <w:rsid w:val="002530B8"/>
    <w:rsid w:val="002532B9"/>
    <w:rsid w:val="0025374C"/>
    <w:rsid w:val="00253C49"/>
    <w:rsid w:val="00255656"/>
    <w:rsid w:val="002558C7"/>
    <w:rsid w:val="00256A01"/>
    <w:rsid w:val="00256AB3"/>
    <w:rsid w:val="00260726"/>
    <w:rsid w:val="002609B6"/>
    <w:rsid w:val="00262842"/>
    <w:rsid w:val="00263316"/>
    <w:rsid w:val="00263B9C"/>
    <w:rsid w:val="00263E30"/>
    <w:rsid w:val="002645AE"/>
    <w:rsid w:val="002646D5"/>
    <w:rsid w:val="00264E3D"/>
    <w:rsid w:val="002652BE"/>
    <w:rsid w:val="00265869"/>
    <w:rsid w:val="00266B5D"/>
    <w:rsid w:val="00266D76"/>
    <w:rsid w:val="00267067"/>
    <w:rsid w:val="00267276"/>
    <w:rsid w:val="00267B37"/>
    <w:rsid w:val="002702A3"/>
    <w:rsid w:val="00270756"/>
    <w:rsid w:val="002713A7"/>
    <w:rsid w:val="002717F2"/>
    <w:rsid w:val="00272580"/>
    <w:rsid w:val="002731DD"/>
    <w:rsid w:val="002738FA"/>
    <w:rsid w:val="00274168"/>
    <w:rsid w:val="00274E96"/>
    <w:rsid w:val="00275AFF"/>
    <w:rsid w:val="00275BB1"/>
    <w:rsid w:val="00275BCA"/>
    <w:rsid w:val="00277174"/>
    <w:rsid w:val="002801F8"/>
    <w:rsid w:val="00280B19"/>
    <w:rsid w:val="002828E0"/>
    <w:rsid w:val="00282C18"/>
    <w:rsid w:val="00282F26"/>
    <w:rsid w:val="002832FC"/>
    <w:rsid w:val="002833C4"/>
    <w:rsid w:val="00283591"/>
    <w:rsid w:val="00284EFB"/>
    <w:rsid w:val="00284F30"/>
    <w:rsid w:val="0028538D"/>
    <w:rsid w:val="00285F0F"/>
    <w:rsid w:val="00286D29"/>
    <w:rsid w:val="00287A5A"/>
    <w:rsid w:val="002906F3"/>
    <w:rsid w:val="00291333"/>
    <w:rsid w:val="00291B7A"/>
    <w:rsid w:val="00291E87"/>
    <w:rsid w:val="00292458"/>
    <w:rsid w:val="002926A1"/>
    <w:rsid w:val="00292C11"/>
    <w:rsid w:val="00293751"/>
    <w:rsid w:val="00293B34"/>
    <w:rsid w:val="002941F2"/>
    <w:rsid w:val="002945D4"/>
    <w:rsid w:val="002960C1"/>
    <w:rsid w:val="0029650A"/>
    <w:rsid w:val="002967BB"/>
    <w:rsid w:val="00296A2C"/>
    <w:rsid w:val="00296B0A"/>
    <w:rsid w:val="00296B2A"/>
    <w:rsid w:val="00297447"/>
    <w:rsid w:val="00297502"/>
    <w:rsid w:val="002976A4"/>
    <w:rsid w:val="002A149F"/>
    <w:rsid w:val="002A1572"/>
    <w:rsid w:val="002A1832"/>
    <w:rsid w:val="002A19D6"/>
    <w:rsid w:val="002A1D82"/>
    <w:rsid w:val="002A1F29"/>
    <w:rsid w:val="002A273D"/>
    <w:rsid w:val="002A2A69"/>
    <w:rsid w:val="002A2CBF"/>
    <w:rsid w:val="002A2F99"/>
    <w:rsid w:val="002A31EA"/>
    <w:rsid w:val="002A34D2"/>
    <w:rsid w:val="002A3C56"/>
    <w:rsid w:val="002A3DE9"/>
    <w:rsid w:val="002A480C"/>
    <w:rsid w:val="002A4996"/>
    <w:rsid w:val="002A58F0"/>
    <w:rsid w:val="002A59F9"/>
    <w:rsid w:val="002A663E"/>
    <w:rsid w:val="002A6D8D"/>
    <w:rsid w:val="002A7101"/>
    <w:rsid w:val="002A7504"/>
    <w:rsid w:val="002A7BAD"/>
    <w:rsid w:val="002A7C21"/>
    <w:rsid w:val="002A7F13"/>
    <w:rsid w:val="002B08CC"/>
    <w:rsid w:val="002B0DC2"/>
    <w:rsid w:val="002B1570"/>
    <w:rsid w:val="002B1DBD"/>
    <w:rsid w:val="002B29C5"/>
    <w:rsid w:val="002B3214"/>
    <w:rsid w:val="002B32B4"/>
    <w:rsid w:val="002B445C"/>
    <w:rsid w:val="002B4586"/>
    <w:rsid w:val="002B4D29"/>
    <w:rsid w:val="002B5084"/>
    <w:rsid w:val="002B550E"/>
    <w:rsid w:val="002B6066"/>
    <w:rsid w:val="002B6080"/>
    <w:rsid w:val="002B6304"/>
    <w:rsid w:val="002B6413"/>
    <w:rsid w:val="002B66F7"/>
    <w:rsid w:val="002B6F0B"/>
    <w:rsid w:val="002B78CB"/>
    <w:rsid w:val="002B7BA4"/>
    <w:rsid w:val="002C018B"/>
    <w:rsid w:val="002C01A8"/>
    <w:rsid w:val="002C0625"/>
    <w:rsid w:val="002C07C3"/>
    <w:rsid w:val="002C0C3F"/>
    <w:rsid w:val="002C0FA9"/>
    <w:rsid w:val="002C10AB"/>
    <w:rsid w:val="002C1BCD"/>
    <w:rsid w:val="002C20E5"/>
    <w:rsid w:val="002C22E9"/>
    <w:rsid w:val="002C2792"/>
    <w:rsid w:val="002C2F41"/>
    <w:rsid w:val="002C3766"/>
    <w:rsid w:val="002C3770"/>
    <w:rsid w:val="002C40AF"/>
    <w:rsid w:val="002C41C6"/>
    <w:rsid w:val="002C6C5B"/>
    <w:rsid w:val="002C6CBA"/>
    <w:rsid w:val="002C71E9"/>
    <w:rsid w:val="002D011E"/>
    <w:rsid w:val="002D0231"/>
    <w:rsid w:val="002D0A96"/>
    <w:rsid w:val="002D0FD2"/>
    <w:rsid w:val="002D13B6"/>
    <w:rsid w:val="002D15A8"/>
    <w:rsid w:val="002D279E"/>
    <w:rsid w:val="002D2922"/>
    <w:rsid w:val="002D2DFF"/>
    <w:rsid w:val="002D3D09"/>
    <w:rsid w:val="002D3DE7"/>
    <w:rsid w:val="002D4DE3"/>
    <w:rsid w:val="002D5000"/>
    <w:rsid w:val="002D73CF"/>
    <w:rsid w:val="002E0128"/>
    <w:rsid w:val="002E0CF4"/>
    <w:rsid w:val="002E0D1A"/>
    <w:rsid w:val="002E141C"/>
    <w:rsid w:val="002E1898"/>
    <w:rsid w:val="002E20AE"/>
    <w:rsid w:val="002E2131"/>
    <w:rsid w:val="002E23C3"/>
    <w:rsid w:val="002E2AC3"/>
    <w:rsid w:val="002E3114"/>
    <w:rsid w:val="002E317C"/>
    <w:rsid w:val="002E3BB0"/>
    <w:rsid w:val="002E40AE"/>
    <w:rsid w:val="002E58D3"/>
    <w:rsid w:val="002E6576"/>
    <w:rsid w:val="002E6A94"/>
    <w:rsid w:val="002E6EDA"/>
    <w:rsid w:val="002E74E9"/>
    <w:rsid w:val="002F031C"/>
    <w:rsid w:val="002F0B29"/>
    <w:rsid w:val="002F0F17"/>
    <w:rsid w:val="002F19E0"/>
    <w:rsid w:val="002F2947"/>
    <w:rsid w:val="002F2E9D"/>
    <w:rsid w:val="002F2F95"/>
    <w:rsid w:val="002F34F1"/>
    <w:rsid w:val="002F38AF"/>
    <w:rsid w:val="002F390C"/>
    <w:rsid w:val="002F3C0A"/>
    <w:rsid w:val="002F43A2"/>
    <w:rsid w:val="002F4EAA"/>
    <w:rsid w:val="002F5510"/>
    <w:rsid w:val="002F55E9"/>
    <w:rsid w:val="002F5A5F"/>
    <w:rsid w:val="002F5DF1"/>
    <w:rsid w:val="002F5FA2"/>
    <w:rsid w:val="002F5FC9"/>
    <w:rsid w:val="002F6844"/>
    <w:rsid w:val="002F68B7"/>
    <w:rsid w:val="002F6A87"/>
    <w:rsid w:val="002F767A"/>
    <w:rsid w:val="002F773B"/>
    <w:rsid w:val="002F7B6E"/>
    <w:rsid w:val="003007C5"/>
    <w:rsid w:val="00300B04"/>
    <w:rsid w:val="00300B25"/>
    <w:rsid w:val="00300C60"/>
    <w:rsid w:val="00300E08"/>
    <w:rsid w:val="0030216B"/>
    <w:rsid w:val="003028C1"/>
    <w:rsid w:val="003028C5"/>
    <w:rsid w:val="00302E62"/>
    <w:rsid w:val="00302EB7"/>
    <w:rsid w:val="00303625"/>
    <w:rsid w:val="003039D9"/>
    <w:rsid w:val="00303B0B"/>
    <w:rsid w:val="00303EE9"/>
    <w:rsid w:val="00303EF8"/>
    <w:rsid w:val="00303F62"/>
    <w:rsid w:val="00304344"/>
    <w:rsid w:val="003045DB"/>
    <w:rsid w:val="00304E15"/>
    <w:rsid w:val="00306404"/>
    <w:rsid w:val="003074F1"/>
    <w:rsid w:val="00307D50"/>
    <w:rsid w:val="00307EC7"/>
    <w:rsid w:val="00310128"/>
    <w:rsid w:val="00311258"/>
    <w:rsid w:val="00312335"/>
    <w:rsid w:val="003126C8"/>
    <w:rsid w:val="00312F5E"/>
    <w:rsid w:val="00312FBC"/>
    <w:rsid w:val="0031309D"/>
    <w:rsid w:val="003131A7"/>
    <w:rsid w:val="00313713"/>
    <w:rsid w:val="00313876"/>
    <w:rsid w:val="0031388A"/>
    <w:rsid w:val="0031483A"/>
    <w:rsid w:val="00314B35"/>
    <w:rsid w:val="003153E0"/>
    <w:rsid w:val="0031584E"/>
    <w:rsid w:val="00316001"/>
    <w:rsid w:val="00316476"/>
    <w:rsid w:val="00316741"/>
    <w:rsid w:val="00316BFC"/>
    <w:rsid w:val="00316E1C"/>
    <w:rsid w:val="00316F8E"/>
    <w:rsid w:val="003179AF"/>
    <w:rsid w:val="00317E54"/>
    <w:rsid w:val="00317F55"/>
    <w:rsid w:val="00320691"/>
    <w:rsid w:val="003207E9"/>
    <w:rsid w:val="0032193A"/>
    <w:rsid w:val="00321F4F"/>
    <w:rsid w:val="003224B5"/>
    <w:rsid w:val="0032275F"/>
    <w:rsid w:val="00322B85"/>
    <w:rsid w:val="00322FE5"/>
    <w:rsid w:val="003230A5"/>
    <w:rsid w:val="003231B9"/>
    <w:rsid w:val="00323B8D"/>
    <w:rsid w:val="0032421B"/>
    <w:rsid w:val="00325078"/>
    <w:rsid w:val="00325D24"/>
    <w:rsid w:val="003262C8"/>
    <w:rsid w:val="003262E0"/>
    <w:rsid w:val="00326524"/>
    <w:rsid w:val="00326E48"/>
    <w:rsid w:val="00327099"/>
    <w:rsid w:val="003273AE"/>
    <w:rsid w:val="00327B51"/>
    <w:rsid w:val="00330144"/>
    <w:rsid w:val="0033018B"/>
    <w:rsid w:val="00330458"/>
    <w:rsid w:val="003304CA"/>
    <w:rsid w:val="003306F6"/>
    <w:rsid w:val="00331884"/>
    <w:rsid w:val="003327AC"/>
    <w:rsid w:val="00332815"/>
    <w:rsid w:val="00332D00"/>
    <w:rsid w:val="0033375D"/>
    <w:rsid w:val="003339F0"/>
    <w:rsid w:val="003348CA"/>
    <w:rsid w:val="00335DDF"/>
    <w:rsid w:val="00335F4C"/>
    <w:rsid w:val="0033653A"/>
    <w:rsid w:val="00336C75"/>
    <w:rsid w:val="00336D24"/>
    <w:rsid w:val="00336E42"/>
    <w:rsid w:val="003371DF"/>
    <w:rsid w:val="0034048B"/>
    <w:rsid w:val="0034165E"/>
    <w:rsid w:val="003422DB"/>
    <w:rsid w:val="003423FF"/>
    <w:rsid w:val="003424F4"/>
    <w:rsid w:val="003444FB"/>
    <w:rsid w:val="00344C47"/>
    <w:rsid w:val="0034553C"/>
    <w:rsid w:val="00345565"/>
    <w:rsid w:val="00345692"/>
    <w:rsid w:val="00345C60"/>
    <w:rsid w:val="00346F89"/>
    <w:rsid w:val="003471A3"/>
    <w:rsid w:val="00347328"/>
    <w:rsid w:val="003478E7"/>
    <w:rsid w:val="0035081B"/>
    <w:rsid w:val="00350D2D"/>
    <w:rsid w:val="003519DC"/>
    <w:rsid w:val="003520CD"/>
    <w:rsid w:val="00352DFE"/>
    <w:rsid w:val="00353434"/>
    <w:rsid w:val="00353620"/>
    <w:rsid w:val="003548CB"/>
    <w:rsid w:val="003554E1"/>
    <w:rsid w:val="00355956"/>
    <w:rsid w:val="00356291"/>
    <w:rsid w:val="00356B8F"/>
    <w:rsid w:val="00356F5F"/>
    <w:rsid w:val="0036030E"/>
    <w:rsid w:val="00360C35"/>
    <w:rsid w:val="003612D8"/>
    <w:rsid w:val="00361DFA"/>
    <w:rsid w:val="00362045"/>
    <w:rsid w:val="003627EC"/>
    <w:rsid w:val="00363E11"/>
    <w:rsid w:val="003649AA"/>
    <w:rsid w:val="00364A60"/>
    <w:rsid w:val="00364C6A"/>
    <w:rsid w:val="00364E6E"/>
    <w:rsid w:val="00364F98"/>
    <w:rsid w:val="0036516D"/>
    <w:rsid w:val="00365171"/>
    <w:rsid w:val="0036558B"/>
    <w:rsid w:val="00365C9F"/>
    <w:rsid w:val="003662D3"/>
    <w:rsid w:val="00366B35"/>
    <w:rsid w:val="003707E1"/>
    <w:rsid w:val="00370B8D"/>
    <w:rsid w:val="00370BD8"/>
    <w:rsid w:val="003730E3"/>
    <w:rsid w:val="0037409A"/>
    <w:rsid w:val="00374578"/>
    <w:rsid w:val="00374C52"/>
    <w:rsid w:val="003750BB"/>
    <w:rsid w:val="003750EC"/>
    <w:rsid w:val="003758F9"/>
    <w:rsid w:val="00375A53"/>
    <w:rsid w:val="003765B1"/>
    <w:rsid w:val="00376B21"/>
    <w:rsid w:val="00376C82"/>
    <w:rsid w:val="00376F1C"/>
    <w:rsid w:val="00377757"/>
    <w:rsid w:val="003779AA"/>
    <w:rsid w:val="00380116"/>
    <w:rsid w:val="003801E0"/>
    <w:rsid w:val="003808EC"/>
    <w:rsid w:val="00381776"/>
    <w:rsid w:val="00381C6B"/>
    <w:rsid w:val="00382085"/>
    <w:rsid w:val="003828F3"/>
    <w:rsid w:val="003829D2"/>
    <w:rsid w:val="00382FBF"/>
    <w:rsid w:val="00383351"/>
    <w:rsid w:val="0038386B"/>
    <w:rsid w:val="00383BAA"/>
    <w:rsid w:val="00383DCC"/>
    <w:rsid w:val="00384FF6"/>
    <w:rsid w:val="00385552"/>
    <w:rsid w:val="0038565B"/>
    <w:rsid w:val="00385662"/>
    <w:rsid w:val="00386494"/>
    <w:rsid w:val="00386B30"/>
    <w:rsid w:val="00390284"/>
    <w:rsid w:val="00390DCF"/>
    <w:rsid w:val="00390EB1"/>
    <w:rsid w:val="003912A2"/>
    <w:rsid w:val="00391A66"/>
    <w:rsid w:val="00391D94"/>
    <w:rsid w:val="00392188"/>
    <w:rsid w:val="003926BC"/>
    <w:rsid w:val="003931D3"/>
    <w:rsid w:val="0039357D"/>
    <w:rsid w:val="003935F3"/>
    <w:rsid w:val="0039382D"/>
    <w:rsid w:val="003939EC"/>
    <w:rsid w:val="00394726"/>
    <w:rsid w:val="00395111"/>
    <w:rsid w:val="0039540F"/>
    <w:rsid w:val="00396215"/>
    <w:rsid w:val="0039628D"/>
    <w:rsid w:val="003962D6"/>
    <w:rsid w:val="00396635"/>
    <w:rsid w:val="00397274"/>
    <w:rsid w:val="00397DC1"/>
    <w:rsid w:val="003A0323"/>
    <w:rsid w:val="003A09E6"/>
    <w:rsid w:val="003A0D6F"/>
    <w:rsid w:val="003A0E04"/>
    <w:rsid w:val="003A209F"/>
    <w:rsid w:val="003A30C5"/>
    <w:rsid w:val="003A37F7"/>
    <w:rsid w:val="003A42CD"/>
    <w:rsid w:val="003A4618"/>
    <w:rsid w:val="003A4A8E"/>
    <w:rsid w:val="003A4B47"/>
    <w:rsid w:val="003A4E23"/>
    <w:rsid w:val="003A5A10"/>
    <w:rsid w:val="003A623B"/>
    <w:rsid w:val="003A77FD"/>
    <w:rsid w:val="003B04AE"/>
    <w:rsid w:val="003B0908"/>
    <w:rsid w:val="003B0F6C"/>
    <w:rsid w:val="003B18A1"/>
    <w:rsid w:val="003B2374"/>
    <w:rsid w:val="003B2BB8"/>
    <w:rsid w:val="003B2E3C"/>
    <w:rsid w:val="003B3098"/>
    <w:rsid w:val="003B473C"/>
    <w:rsid w:val="003B4F3B"/>
    <w:rsid w:val="003B5FDB"/>
    <w:rsid w:val="003B6143"/>
    <w:rsid w:val="003B649D"/>
    <w:rsid w:val="003B657B"/>
    <w:rsid w:val="003B7B2F"/>
    <w:rsid w:val="003C0220"/>
    <w:rsid w:val="003C0FD7"/>
    <w:rsid w:val="003C18AE"/>
    <w:rsid w:val="003C1B92"/>
    <w:rsid w:val="003C35EF"/>
    <w:rsid w:val="003C3870"/>
    <w:rsid w:val="003C3AEC"/>
    <w:rsid w:val="003C4905"/>
    <w:rsid w:val="003C4A6D"/>
    <w:rsid w:val="003C5994"/>
    <w:rsid w:val="003C5BCD"/>
    <w:rsid w:val="003C5BE2"/>
    <w:rsid w:val="003C639F"/>
    <w:rsid w:val="003C6D46"/>
    <w:rsid w:val="003C6FCC"/>
    <w:rsid w:val="003C72C5"/>
    <w:rsid w:val="003C7534"/>
    <w:rsid w:val="003C7D45"/>
    <w:rsid w:val="003D1966"/>
    <w:rsid w:val="003D1A2A"/>
    <w:rsid w:val="003D1CF7"/>
    <w:rsid w:val="003D1D92"/>
    <w:rsid w:val="003D204F"/>
    <w:rsid w:val="003D2439"/>
    <w:rsid w:val="003D3364"/>
    <w:rsid w:val="003D3692"/>
    <w:rsid w:val="003D3DCE"/>
    <w:rsid w:val="003D41E7"/>
    <w:rsid w:val="003D4F96"/>
    <w:rsid w:val="003D5B5A"/>
    <w:rsid w:val="003D65F9"/>
    <w:rsid w:val="003D6C1A"/>
    <w:rsid w:val="003D71F7"/>
    <w:rsid w:val="003E088B"/>
    <w:rsid w:val="003E1127"/>
    <w:rsid w:val="003E2C08"/>
    <w:rsid w:val="003E3662"/>
    <w:rsid w:val="003E3A5C"/>
    <w:rsid w:val="003E4D56"/>
    <w:rsid w:val="003E4D9A"/>
    <w:rsid w:val="003E60E7"/>
    <w:rsid w:val="003E6352"/>
    <w:rsid w:val="003E725C"/>
    <w:rsid w:val="003E751B"/>
    <w:rsid w:val="003E7AF6"/>
    <w:rsid w:val="003E7F03"/>
    <w:rsid w:val="003F014E"/>
    <w:rsid w:val="003F0162"/>
    <w:rsid w:val="003F0EF5"/>
    <w:rsid w:val="003F0F03"/>
    <w:rsid w:val="003F14C7"/>
    <w:rsid w:val="003F1830"/>
    <w:rsid w:val="003F1A7B"/>
    <w:rsid w:val="003F1E6B"/>
    <w:rsid w:val="003F1E78"/>
    <w:rsid w:val="003F2D6B"/>
    <w:rsid w:val="003F2DD7"/>
    <w:rsid w:val="003F2EA0"/>
    <w:rsid w:val="003F3959"/>
    <w:rsid w:val="003F3EF7"/>
    <w:rsid w:val="003F3EFD"/>
    <w:rsid w:val="003F4413"/>
    <w:rsid w:val="003F443A"/>
    <w:rsid w:val="003F486A"/>
    <w:rsid w:val="003F4A86"/>
    <w:rsid w:val="003F4C5B"/>
    <w:rsid w:val="003F583B"/>
    <w:rsid w:val="003F5B25"/>
    <w:rsid w:val="003F6569"/>
    <w:rsid w:val="003F6893"/>
    <w:rsid w:val="003F6934"/>
    <w:rsid w:val="003F7406"/>
    <w:rsid w:val="003F7509"/>
    <w:rsid w:val="003F7E0C"/>
    <w:rsid w:val="004002F8"/>
    <w:rsid w:val="0040050F"/>
    <w:rsid w:val="0040162B"/>
    <w:rsid w:val="0040176E"/>
    <w:rsid w:val="00401948"/>
    <w:rsid w:val="00401C98"/>
    <w:rsid w:val="00401F93"/>
    <w:rsid w:val="00402433"/>
    <w:rsid w:val="00402A41"/>
    <w:rsid w:val="00402E2E"/>
    <w:rsid w:val="004032F4"/>
    <w:rsid w:val="004035CF"/>
    <w:rsid w:val="00403F22"/>
    <w:rsid w:val="00403FF7"/>
    <w:rsid w:val="00405703"/>
    <w:rsid w:val="0040583E"/>
    <w:rsid w:val="00405939"/>
    <w:rsid w:val="00405BB4"/>
    <w:rsid w:val="004060FB"/>
    <w:rsid w:val="00406B99"/>
    <w:rsid w:val="004074A9"/>
    <w:rsid w:val="004105B5"/>
    <w:rsid w:val="0041074E"/>
    <w:rsid w:val="00410805"/>
    <w:rsid w:val="0041095D"/>
    <w:rsid w:val="00411B75"/>
    <w:rsid w:val="00412BF2"/>
    <w:rsid w:val="00413CCA"/>
    <w:rsid w:val="004142D9"/>
    <w:rsid w:val="00414555"/>
    <w:rsid w:val="0041495D"/>
    <w:rsid w:val="004149F1"/>
    <w:rsid w:val="004152DE"/>
    <w:rsid w:val="004157BC"/>
    <w:rsid w:val="00415972"/>
    <w:rsid w:val="00415FDD"/>
    <w:rsid w:val="00417A3F"/>
    <w:rsid w:val="00417A7A"/>
    <w:rsid w:val="004202E4"/>
    <w:rsid w:val="00420F71"/>
    <w:rsid w:val="00421927"/>
    <w:rsid w:val="00421C89"/>
    <w:rsid w:val="0042350E"/>
    <w:rsid w:val="00423D70"/>
    <w:rsid w:val="00424428"/>
    <w:rsid w:val="00424D63"/>
    <w:rsid w:val="00425750"/>
    <w:rsid w:val="00425BD4"/>
    <w:rsid w:val="0042602C"/>
    <w:rsid w:val="00426A31"/>
    <w:rsid w:val="00426A34"/>
    <w:rsid w:val="004270C7"/>
    <w:rsid w:val="00427F5C"/>
    <w:rsid w:val="00430E97"/>
    <w:rsid w:val="0043135E"/>
    <w:rsid w:val="004317C9"/>
    <w:rsid w:val="00432C83"/>
    <w:rsid w:val="004339C6"/>
    <w:rsid w:val="00435AB1"/>
    <w:rsid w:val="004360B8"/>
    <w:rsid w:val="00436144"/>
    <w:rsid w:val="00436FAC"/>
    <w:rsid w:val="00437841"/>
    <w:rsid w:val="00437AFD"/>
    <w:rsid w:val="00437FF0"/>
    <w:rsid w:val="004401D2"/>
    <w:rsid w:val="00440903"/>
    <w:rsid w:val="00440C43"/>
    <w:rsid w:val="00440D9E"/>
    <w:rsid w:val="004415F7"/>
    <w:rsid w:val="004419C2"/>
    <w:rsid w:val="004427A0"/>
    <w:rsid w:val="00442C97"/>
    <w:rsid w:val="00443714"/>
    <w:rsid w:val="00444619"/>
    <w:rsid w:val="004447BE"/>
    <w:rsid w:val="00444FC2"/>
    <w:rsid w:val="00445D1D"/>
    <w:rsid w:val="00445D24"/>
    <w:rsid w:val="00446072"/>
    <w:rsid w:val="004466CE"/>
    <w:rsid w:val="00446DA1"/>
    <w:rsid w:val="00446E02"/>
    <w:rsid w:val="004470D8"/>
    <w:rsid w:val="00447289"/>
    <w:rsid w:val="004476EC"/>
    <w:rsid w:val="0045028D"/>
    <w:rsid w:val="0045042F"/>
    <w:rsid w:val="00451FA0"/>
    <w:rsid w:val="0045250F"/>
    <w:rsid w:val="00453306"/>
    <w:rsid w:val="00453B16"/>
    <w:rsid w:val="00454785"/>
    <w:rsid w:val="00454ACA"/>
    <w:rsid w:val="00454CBF"/>
    <w:rsid w:val="0045596A"/>
    <w:rsid w:val="00456115"/>
    <w:rsid w:val="0045662D"/>
    <w:rsid w:val="0045772A"/>
    <w:rsid w:val="00457929"/>
    <w:rsid w:val="00460546"/>
    <w:rsid w:val="00460AA0"/>
    <w:rsid w:val="00460C45"/>
    <w:rsid w:val="00460C5E"/>
    <w:rsid w:val="00460CA0"/>
    <w:rsid w:val="0046109C"/>
    <w:rsid w:val="00461945"/>
    <w:rsid w:val="00461F2E"/>
    <w:rsid w:val="00461FEB"/>
    <w:rsid w:val="00462CF2"/>
    <w:rsid w:val="00463A0B"/>
    <w:rsid w:val="00464643"/>
    <w:rsid w:val="00465044"/>
    <w:rsid w:val="00465286"/>
    <w:rsid w:val="0046563D"/>
    <w:rsid w:val="0046578E"/>
    <w:rsid w:val="00465D98"/>
    <w:rsid w:val="00466CEE"/>
    <w:rsid w:val="004672CC"/>
    <w:rsid w:val="00467947"/>
    <w:rsid w:val="0046799A"/>
    <w:rsid w:val="00467E7B"/>
    <w:rsid w:val="004726AB"/>
    <w:rsid w:val="00473285"/>
    <w:rsid w:val="00473494"/>
    <w:rsid w:val="00473919"/>
    <w:rsid w:val="00473DD5"/>
    <w:rsid w:val="00473E38"/>
    <w:rsid w:val="00474115"/>
    <w:rsid w:val="00474B9F"/>
    <w:rsid w:val="0047515B"/>
    <w:rsid w:val="004761BC"/>
    <w:rsid w:val="004767BC"/>
    <w:rsid w:val="004767C6"/>
    <w:rsid w:val="00476D82"/>
    <w:rsid w:val="00476E19"/>
    <w:rsid w:val="00477019"/>
    <w:rsid w:val="00477192"/>
    <w:rsid w:val="00480287"/>
    <w:rsid w:val="00480DB6"/>
    <w:rsid w:val="00480EFB"/>
    <w:rsid w:val="004825D3"/>
    <w:rsid w:val="00482942"/>
    <w:rsid w:val="00482C88"/>
    <w:rsid w:val="004830E6"/>
    <w:rsid w:val="00484134"/>
    <w:rsid w:val="00484AB0"/>
    <w:rsid w:val="00484B1F"/>
    <w:rsid w:val="00485971"/>
    <w:rsid w:val="0048608C"/>
    <w:rsid w:val="0048641A"/>
    <w:rsid w:val="00486603"/>
    <w:rsid w:val="00486680"/>
    <w:rsid w:val="00486B0C"/>
    <w:rsid w:val="00486BF3"/>
    <w:rsid w:val="004902E5"/>
    <w:rsid w:val="004908BA"/>
    <w:rsid w:val="00491260"/>
    <w:rsid w:val="00491DC5"/>
    <w:rsid w:val="0049298C"/>
    <w:rsid w:val="00492BF7"/>
    <w:rsid w:val="00492D11"/>
    <w:rsid w:val="0049313A"/>
    <w:rsid w:val="004934DB"/>
    <w:rsid w:val="004940F8"/>
    <w:rsid w:val="004950C6"/>
    <w:rsid w:val="00495B46"/>
    <w:rsid w:val="004967ED"/>
    <w:rsid w:val="00497878"/>
    <w:rsid w:val="00497D73"/>
    <w:rsid w:val="004A01D3"/>
    <w:rsid w:val="004A0F19"/>
    <w:rsid w:val="004A35C9"/>
    <w:rsid w:val="004A4534"/>
    <w:rsid w:val="004A494E"/>
    <w:rsid w:val="004A4B48"/>
    <w:rsid w:val="004A4D5F"/>
    <w:rsid w:val="004A4D6D"/>
    <w:rsid w:val="004A569B"/>
    <w:rsid w:val="004A5ACB"/>
    <w:rsid w:val="004A5B2F"/>
    <w:rsid w:val="004A5B3D"/>
    <w:rsid w:val="004A5EBC"/>
    <w:rsid w:val="004A6033"/>
    <w:rsid w:val="004A65F9"/>
    <w:rsid w:val="004A6626"/>
    <w:rsid w:val="004A6F98"/>
    <w:rsid w:val="004A70C2"/>
    <w:rsid w:val="004A7867"/>
    <w:rsid w:val="004A7FAA"/>
    <w:rsid w:val="004B0201"/>
    <w:rsid w:val="004B0900"/>
    <w:rsid w:val="004B1BB8"/>
    <w:rsid w:val="004B230F"/>
    <w:rsid w:val="004B3A0C"/>
    <w:rsid w:val="004B4595"/>
    <w:rsid w:val="004B5042"/>
    <w:rsid w:val="004B52CF"/>
    <w:rsid w:val="004B54FD"/>
    <w:rsid w:val="004B5531"/>
    <w:rsid w:val="004B55FF"/>
    <w:rsid w:val="004B5ED1"/>
    <w:rsid w:val="004B6594"/>
    <w:rsid w:val="004B65CF"/>
    <w:rsid w:val="004B6613"/>
    <w:rsid w:val="004B6A71"/>
    <w:rsid w:val="004B786B"/>
    <w:rsid w:val="004B789B"/>
    <w:rsid w:val="004B7C2B"/>
    <w:rsid w:val="004B7CA5"/>
    <w:rsid w:val="004C008C"/>
    <w:rsid w:val="004C065A"/>
    <w:rsid w:val="004C0E2B"/>
    <w:rsid w:val="004C1CB1"/>
    <w:rsid w:val="004C2C94"/>
    <w:rsid w:val="004C3404"/>
    <w:rsid w:val="004C4075"/>
    <w:rsid w:val="004C4992"/>
    <w:rsid w:val="004C512E"/>
    <w:rsid w:val="004C5B27"/>
    <w:rsid w:val="004C5B43"/>
    <w:rsid w:val="004C5C1D"/>
    <w:rsid w:val="004C6842"/>
    <w:rsid w:val="004C6ACC"/>
    <w:rsid w:val="004C6FA6"/>
    <w:rsid w:val="004C79AE"/>
    <w:rsid w:val="004C7B72"/>
    <w:rsid w:val="004C7C30"/>
    <w:rsid w:val="004C7D1F"/>
    <w:rsid w:val="004C7D29"/>
    <w:rsid w:val="004C7E85"/>
    <w:rsid w:val="004D0269"/>
    <w:rsid w:val="004D027C"/>
    <w:rsid w:val="004D0344"/>
    <w:rsid w:val="004D047A"/>
    <w:rsid w:val="004D2060"/>
    <w:rsid w:val="004D20A2"/>
    <w:rsid w:val="004D235F"/>
    <w:rsid w:val="004D24D5"/>
    <w:rsid w:val="004D26F9"/>
    <w:rsid w:val="004D2A38"/>
    <w:rsid w:val="004D3E54"/>
    <w:rsid w:val="004D438C"/>
    <w:rsid w:val="004D4A1D"/>
    <w:rsid w:val="004D500E"/>
    <w:rsid w:val="004D58EA"/>
    <w:rsid w:val="004D62A6"/>
    <w:rsid w:val="004D65BB"/>
    <w:rsid w:val="004D6A1F"/>
    <w:rsid w:val="004D7200"/>
    <w:rsid w:val="004D743C"/>
    <w:rsid w:val="004D77C4"/>
    <w:rsid w:val="004E0001"/>
    <w:rsid w:val="004E04BF"/>
    <w:rsid w:val="004E08ED"/>
    <w:rsid w:val="004E0D66"/>
    <w:rsid w:val="004E0FC9"/>
    <w:rsid w:val="004E1B5C"/>
    <w:rsid w:val="004E2ADC"/>
    <w:rsid w:val="004E2DB8"/>
    <w:rsid w:val="004E31A6"/>
    <w:rsid w:val="004E33C6"/>
    <w:rsid w:val="004E34F0"/>
    <w:rsid w:val="004E35FB"/>
    <w:rsid w:val="004E3E8C"/>
    <w:rsid w:val="004E3EC7"/>
    <w:rsid w:val="004E41EA"/>
    <w:rsid w:val="004E494D"/>
    <w:rsid w:val="004E4AB3"/>
    <w:rsid w:val="004E52E0"/>
    <w:rsid w:val="004E56B1"/>
    <w:rsid w:val="004E5AF9"/>
    <w:rsid w:val="004E5F7E"/>
    <w:rsid w:val="004E6496"/>
    <w:rsid w:val="004E6AFB"/>
    <w:rsid w:val="004F076D"/>
    <w:rsid w:val="004F0C39"/>
    <w:rsid w:val="004F0CA5"/>
    <w:rsid w:val="004F1362"/>
    <w:rsid w:val="004F2252"/>
    <w:rsid w:val="004F2F0D"/>
    <w:rsid w:val="004F2F26"/>
    <w:rsid w:val="004F3576"/>
    <w:rsid w:val="004F3AF2"/>
    <w:rsid w:val="004F3F73"/>
    <w:rsid w:val="004F4F72"/>
    <w:rsid w:val="004F5BAA"/>
    <w:rsid w:val="004F625E"/>
    <w:rsid w:val="004F6613"/>
    <w:rsid w:val="004F6EF7"/>
    <w:rsid w:val="004F7720"/>
    <w:rsid w:val="00500607"/>
    <w:rsid w:val="00501225"/>
    <w:rsid w:val="00501664"/>
    <w:rsid w:val="0050258C"/>
    <w:rsid w:val="005027CB"/>
    <w:rsid w:val="00502AD6"/>
    <w:rsid w:val="00503387"/>
    <w:rsid w:val="00503C30"/>
    <w:rsid w:val="00504045"/>
    <w:rsid w:val="00504BBD"/>
    <w:rsid w:val="00504DFC"/>
    <w:rsid w:val="0050545A"/>
    <w:rsid w:val="00505502"/>
    <w:rsid w:val="00505AC2"/>
    <w:rsid w:val="00505D90"/>
    <w:rsid w:val="00506579"/>
    <w:rsid w:val="0050657A"/>
    <w:rsid w:val="00506B5E"/>
    <w:rsid w:val="00506CC5"/>
    <w:rsid w:val="00506F69"/>
    <w:rsid w:val="00506FAD"/>
    <w:rsid w:val="00507296"/>
    <w:rsid w:val="0051079C"/>
    <w:rsid w:val="00510E12"/>
    <w:rsid w:val="005114B0"/>
    <w:rsid w:val="005119CE"/>
    <w:rsid w:val="00511CCC"/>
    <w:rsid w:val="00511CFB"/>
    <w:rsid w:val="00513B63"/>
    <w:rsid w:val="00514198"/>
    <w:rsid w:val="0051494F"/>
    <w:rsid w:val="00514CF6"/>
    <w:rsid w:val="005160AF"/>
    <w:rsid w:val="00516764"/>
    <w:rsid w:val="0051690C"/>
    <w:rsid w:val="00520163"/>
    <w:rsid w:val="0052087C"/>
    <w:rsid w:val="00522563"/>
    <w:rsid w:val="00523070"/>
    <w:rsid w:val="00523B6B"/>
    <w:rsid w:val="00523DF3"/>
    <w:rsid w:val="00524251"/>
    <w:rsid w:val="005249DA"/>
    <w:rsid w:val="0052531E"/>
    <w:rsid w:val="0052584F"/>
    <w:rsid w:val="0052590A"/>
    <w:rsid w:val="005259D4"/>
    <w:rsid w:val="005261D5"/>
    <w:rsid w:val="005265CB"/>
    <w:rsid w:val="00526623"/>
    <w:rsid w:val="00526A06"/>
    <w:rsid w:val="00527501"/>
    <w:rsid w:val="00527506"/>
    <w:rsid w:val="005275F2"/>
    <w:rsid w:val="00527B28"/>
    <w:rsid w:val="00527B82"/>
    <w:rsid w:val="00530755"/>
    <w:rsid w:val="0053150B"/>
    <w:rsid w:val="00532BB2"/>
    <w:rsid w:val="005332B0"/>
    <w:rsid w:val="00534357"/>
    <w:rsid w:val="005347F7"/>
    <w:rsid w:val="0053484C"/>
    <w:rsid w:val="00534AF4"/>
    <w:rsid w:val="00534F51"/>
    <w:rsid w:val="005355D0"/>
    <w:rsid w:val="0053579C"/>
    <w:rsid w:val="0053657E"/>
    <w:rsid w:val="00536E66"/>
    <w:rsid w:val="00537088"/>
    <w:rsid w:val="00537E8D"/>
    <w:rsid w:val="0054046A"/>
    <w:rsid w:val="005413BE"/>
    <w:rsid w:val="00542489"/>
    <w:rsid w:val="00543500"/>
    <w:rsid w:val="00544C63"/>
    <w:rsid w:val="00545664"/>
    <w:rsid w:val="00545A3F"/>
    <w:rsid w:val="00545B27"/>
    <w:rsid w:val="00545BAD"/>
    <w:rsid w:val="0054668D"/>
    <w:rsid w:val="00547BCC"/>
    <w:rsid w:val="0055161E"/>
    <w:rsid w:val="005524D6"/>
    <w:rsid w:val="00552CC0"/>
    <w:rsid w:val="00553211"/>
    <w:rsid w:val="00553299"/>
    <w:rsid w:val="00553DD3"/>
    <w:rsid w:val="005549A8"/>
    <w:rsid w:val="00554F15"/>
    <w:rsid w:val="005550D5"/>
    <w:rsid w:val="00555362"/>
    <w:rsid w:val="00556780"/>
    <w:rsid w:val="00556AB5"/>
    <w:rsid w:val="0055731B"/>
    <w:rsid w:val="00557611"/>
    <w:rsid w:val="00560420"/>
    <w:rsid w:val="0056089F"/>
    <w:rsid w:val="0056136E"/>
    <w:rsid w:val="00562397"/>
    <w:rsid w:val="005626F1"/>
    <w:rsid w:val="00562CB9"/>
    <w:rsid w:val="00562E3C"/>
    <w:rsid w:val="00562F7C"/>
    <w:rsid w:val="0056344B"/>
    <w:rsid w:val="0056345C"/>
    <w:rsid w:val="00564559"/>
    <w:rsid w:val="00564717"/>
    <w:rsid w:val="00564AAA"/>
    <w:rsid w:val="005655BD"/>
    <w:rsid w:val="00566BA8"/>
    <w:rsid w:val="00567305"/>
    <w:rsid w:val="00567A8A"/>
    <w:rsid w:val="0057117D"/>
    <w:rsid w:val="0057163E"/>
    <w:rsid w:val="00571E2D"/>
    <w:rsid w:val="00572314"/>
    <w:rsid w:val="00572717"/>
    <w:rsid w:val="005729A0"/>
    <w:rsid w:val="00572B34"/>
    <w:rsid w:val="00572E16"/>
    <w:rsid w:val="005731F8"/>
    <w:rsid w:val="00573B6F"/>
    <w:rsid w:val="005759A5"/>
    <w:rsid w:val="00575AA4"/>
    <w:rsid w:val="00576F56"/>
    <w:rsid w:val="005775F7"/>
    <w:rsid w:val="00577CC5"/>
    <w:rsid w:val="00577E39"/>
    <w:rsid w:val="0058038E"/>
    <w:rsid w:val="005813B3"/>
    <w:rsid w:val="00581D82"/>
    <w:rsid w:val="0058211A"/>
    <w:rsid w:val="005821C2"/>
    <w:rsid w:val="00582F46"/>
    <w:rsid w:val="00583009"/>
    <w:rsid w:val="00583E0F"/>
    <w:rsid w:val="00584B03"/>
    <w:rsid w:val="005850CE"/>
    <w:rsid w:val="0058635D"/>
    <w:rsid w:val="005866A7"/>
    <w:rsid w:val="0058709A"/>
    <w:rsid w:val="005871FE"/>
    <w:rsid w:val="005875D4"/>
    <w:rsid w:val="00587756"/>
    <w:rsid w:val="00587B6F"/>
    <w:rsid w:val="005907B1"/>
    <w:rsid w:val="00591217"/>
    <w:rsid w:val="00592B2F"/>
    <w:rsid w:val="00592DD8"/>
    <w:rsid w:val="005930E2"/>
    <w:rsid w:val="0059368C"/>
    <w:rsid w:val="005945D8"/>
    <w:rsid w:val="005947C5"/>
    <w:rsid w:val="00594CED"/>
    <w:rsid w:val="00595B3F"/>
    <w:rsid w:val="00595E39"/>
    <w:rsid w:val="0059644E"/>
    <w:rsid w:val="00596964"/>
    <w:rsid w:val="005978C9"/>
    <w:rsid w:val="00597D47"/>
    <w:rsid w:val="005A08BC"/>
    <w:rsid w:val="005A099C"/>
    <w:rsid w:val="005A0CE5"/>
    <w:rsid w:val="005A1203"/>
    <w:rsid w:val="005A1D5C"/>
    <w:rsid w:val="005A21D8"/>
    <w:rsid w:val="005A24BE"/>
    <w:rsid w:val="005A2973"/>
    <w:rsid w:val="005A2D64"/>
    <w:rsid w:val="005A2FDC"/>
    <w:rsid w:val="005A3551"/>
    <w:rsid w:val="005A3853"/>
    <w:rsid w:val="005A5664"/>
    <w:rsid w:val="005A5AAD"/>
    <w:rsid w:val="005A62F1"/>
    <w:rsid w:val="005A6F64"/>
    <w:rsid w:val="005A7387"/>
    <w:rsid w:val="005A765C"/>
    <w:rsid w:val="005B003D"/>
    <w:rsid w:val="005B0306"/>
    <w:rsid w:val="005B045F"/>
    <w:rsid w:val="005B194F"/>
    <w:rsid w:val="005B316F"/>
    <w:rsid w:val="005B3C5C"/>
    <w:rsid w:val="005B42E0"/>
    <w:rsid w:val="005B45A1"/>
    <w:rsid w:val="005B4B95"/>
    <w:rsid w:val="005B5A57"/>
    <w:rsid w:val="005B5DE0"/>
    <w:rsid w:val="005B5DE4"/>
    <w:rsid w:val="005B5F16"/>
    <w:rsid w:val="005B62ED"/>
    <w:rsid w:val="005B674B"/>
    <w:rsid w:val="005B68C2"/>
    <w:rsid w:val="005B761C"/>
    <w:rsid w:val="005B7CCB"/>
    <w:rsid w:val="005C0128"/>
    <w:rsid w:val="005C03A5"/>
    <w:rsid w:val="005C0441"/>
    <w:rsid w:val="005C0DDA"/>
    <w:rsid w:val="005C1371"/>
    <w:rsid w:val="005C1768"/>
    <w:rsid w:val="005C20F5"/>
    <w:rsid w:val="005C344F"/>
    <w:rsid w:val="005C3682"/>
    <w:rsid w:val="005C3882"/>
    <w:rsid w:val="005C3BFC"/>
    <w:rsid w:val="005C3D15"/>
    <w:rsid w:val="005C4DA8"/>
    <w:rsid w:val="005C4DFE"/>
    <w:rsid w:val="005C5414"/>
    <w:rsid w:val="005C5878"/>
    <w:rsid w:val="005C5884"/>
    <w:rsid w:val="005C60A3"/>
    <w:rsid w:val="005C659C"/>
    <w:rsid w:val="005C6F76"/>
    <w:rsid w:val="005C75F8"/>
    <w:rsid w:val="005C7F33"/>
    <w:rsid w:val="005D05FA"/>
    <w:rsid w:val="005D1095"/>
    <w:rsid w:val="005D16B8"/>
    <w:rsid w:val="005D1B63"/>
    <w:rsid w:val="005D2183"/>
    <w:rsid w:val="005D326E"/>
    <w:rsid w:val="005D382F"/>
    <w:rsid w:val="005D3F24"/>
    <w:rsid w:val="005D4494"/>
    <w:rsid w:val="005D4A70"/>
    <w:rsid w:val="005D4E46"/>
    <w:rsid w:val="005D4F6A"/>
    <w:rsid w:val="005D53A0"/>
    <w:rsid w:val="005D57E4"/>
    <w:rsid w:val="005D581F"/>
    <w:rsid w:val="005D5C4C"/>
    <w:rsid w:val="005D5C80"/>
    <w:rsid w:val="005D5D7C"/>
    <w:rsid w:val="005D5EC0"/>
    <w:rsid w:val="005D6704"/>
    <w:rsid w:val="005D6D4B"/>
    <w:rsid w:val="005D6ECE"/>
    <w:rsid w:val="005D711D"/>
    <w:rsid w:val="005D723A"/>
    <w:rsid w:val="005D74EA"/>
    <w:rsid w:val="005D761E"/>
    <w:rsid w:val="005D77B5"/>
    <w:rsid w:val="005D798E"/>
    <w:rsid w:val="005E0A69"/>
    <w:rsid w:val="005E14D0"/>
    <w:rsid w:val="005E1BCD"/>
    <w:rsid w:val="005E1D01"/>
    <w:rsid w:val="005E23EE"/>
    <w:rsid w:val="005E269D"/>
    <w:rsid w:val="005E2F5F"/>
    <w:rsid w:val="005E4877"/>
    <w:rsid w:val="005E53B0"/>
    <w:rsid w:val="005E558D"/>
    <w:rsid w:val="005E5ADD"/>
    <w:rsid w:val="005E5F57"/>
    <w:rsid w:val="005E6B53"/>
    <w:rsid w:val="005E6F02"/>
    <w:rsid w:val="005E7615"/>
    <w:rsid w:val="005E7720"/>
    <w:rsid w:val="005E7D19"/>
    <w:rsid w:val="005E7DDB"/>
    <w:rsid w:val="005F00DF"/>
    <w:rsid w:val="005F0384"/>
    <w:rsid w:val="005F0C06"/>
    <w:rsid w:val="005F0CCC"/>
    <w:rsid w:val="005F1613"/>
    <w:rsid w:val="005F19CF"/>
    <w:rsid w:val="005F1ABF"/>
    <w:rsid w:val="005F1D52"/>
    <w:rsid w:val="005F2868"/>
    <w:rsid w:val="005F334F"/>
    <w:rsid w:val="005F3CD3"/>
    <w:rsid w:val="005F3E78"/>
    <w:rsid w:val="005F4197"/>
    <w:rsid w:val="005F44B8"/>
    <w:rsid w:val="005F450B"/>
    <w:rsid w:val="005F4892"/>
    <w:rsid w:val="005F493E"/>
    <w:rsid w:val="005F61D5"/>
    <w:rsid w:val="005F6533"/>
    <w:rsid w:val="005F6649"/>
    <w:rsid w:val="005F76CC"/>
    <w:rsid w:val="0060064A"/>
    <w:rsid w:val="0060201F"/>
    <w:rsid w:val="0060264A"/>
    <w:rsid w:val="00602AAE"/>
    <w:rsid w:val="00603856"/>
    <w:rsid w:val="00604237"/>
    <w:rsid w:val="00604B51"/>
    <w:rsid w:val="00604BE5"/>
    <w:rsid w:val="00606ED2"/>
    <w:rsid w:val="006072D6"/>
    <w:rsid w:val="006079F5"/>
    <w:rsid w:val="006100DB"/>
    <w:rsid w:val="0061076C"/>
    <w:rsid w:val="00610FD3"/>
    <w:rsid w:val="00611740"/>
    <w:rsid w:val="006117FD"/>
    <w:rsid w:val="0061196E"/>
    <w:rsid w:val="006124EC"/>
    <w:rsid w:val="00612A4C"/>
    <w:rsid w:val="00612C07"/>
    <w:rsid w:val="00612E62"/>
    <w:rsid w:val="0061373E"/>
    <w:rsid w:val="00613C92"/>
    <w:rsid w:val="00614668"/>
    <w:rsid w:val="00614F32"/>
    <w:rsid w:val="0061530B"/>
    <w:rsid w:val="00615FE0"/>
    <w:rsid w:val="00616300"/>
    <w:rsid w:val="00617260"/>
    <w:rsid w:val="0061799D"/>
    <w:rsid w:val="006209B8"/>
    <w:rsid w:val="00620C10"/>
    <w:rsid w:val="006219CC"/>
    <w:rsid w:val="00621F87"/>
    <w:rsid w:val="006224A6"/>
    <w:rsid w:val="006227F3"/>
    <w:rsid w:val="006235E1"/>
    <w:rsid w:val="006235E6"/>
    <w:rsid w:val="006244E4"/>
    <w:rsid w:val="006248B0"/>
    <w:rsid w:val="006249E0"/>
    <w:rsid w:val="00626293"/>
    <w:rsid w:val="00626B8D"/>
    <w:rsid w:val="006277D4"/>
    <w:rsid w:val="00631769"/>
    <w:rsid w:val="00631BC1"/>
    <w:rsid w:val="00632048"/>
    <w:rsid w:val="00632414"/>
    <w:rsid w:val="00632756"/>
    <w:rsid w:val="00632AE3"/>
    <w:rsid w:val="0063332F"/>
    <w:rsid w:val="0063390D"/>
    <w:rsid w:val="00634426"/>
    <w:rsid w:val="00634632"/>
    <w:rsid w:val="00634CA3"/>
    <w:rsid w:val="00634D90"/>
    <w:rsid w:val="006350A9"/>
    <w:rsid w:val="0063582D"/>
    <w:rsid w:val="00635EB8"/>
    <w:rsid w:val="00635F55"/>
    <w:rsid w:val="00636488"/>
    <w:rsid w:val="00636903"/>
    <w:rsid w:val="00636E62"/>
    <w:rsid w:val="006400D4"/>
    <w:rsid w:val="006402E5"/>
    <w:rsid w:val="0064080D"/>
    <w:rsid w:val="0064089D"/>
    <w:rsid w:val="006408CF"/>
    <w:rsid w:val="00640BE0"/>
    <w:rsid w:val="00641130"/>
    <w:rsid w:val="006418F0"/>
    <w:rsid w:val="00642453"/>
    <w:rsid w:val="00642AF6"/>
    <w:rsid w:val="00642CDA"/>
    <w:rsid w:val="00643426"/>
    <w:rsid w:val="0064404E"/>
    <w:rsid w:val="0064527D"/>
    <w:rsid w:val="00646259"/>
    <w:rsid w:val="0064652E"/>
    <w:rsid w:val="0064664A"/>
    <w:rsid w:val="0064671B"/>
    <w:rsid w:val="006472C9"/>
    <w:rsid w:val="00647DB3"/>
    <w:rsid w:val="006511E4"/>
    <w:rsid w:val="00652437"/>
    <w:rsid w:val="00652A46"/>
    <w:rsid w:val="00652C42"/>
    <w:rsid w:val="00652F01"/>
    <w:rsid w:val="0065332E"/>
    <w:rsid w:val="00654827"/>
    <w:rsid w:val="00654919"/>
    <w:rsid w:val="00654B37"/>
    <w:rsid w:val="00654DDD"/>
    <w:rsid w:val="00654E8A"/>
    <w:rsid w:val="006550E1"/>
    <w:rsid w:val="00655A92"/>
    <w:rsid w:val="00655E11"/>
    <w:rsid w:val="006561AB"/>
    <w:rsid w:val="006563FB"/>
    <w:rsid w:val="006565FD"/>
    <w:rsid w:val="006566EC"/>
    <w:rsid w:val="00656AFB"/>
    <w:rsid w:val="00656CB8"/>
    <w:rsid w:val="00657283"/>
    <w:rsid w:val="00657EE7"/>
    <w:rsid w:val="0066067B"/>
    <w:rsid w:val="00660FE3"/>
    <w:rsid w:val="0066109A"/>
    <w:rsid w:val="006614D8"/>
    <w:rsid w:val="006625D6"/>
    <w:rsid w:val="00662A44"/>
    <w:rsid w:val="00664323"/>
    <w:rsid w:val="00664943"/>
    <w:rsid w:val="00665028"/>
    <w:rsid w:val="006657E1"/>
    <w:rsid w:val="00665BB5"/>
    <w:rsid w:val="00666595"/>
    <w:rsid w:val="006667A9"/>
    <w:rsid w:val="00667133"/>
    <w:rsid w:val="0066762F"/>
    <w:rsid w:val="00667CBD"/>
    <w:rsid w:val="00667DA8"/>
    <w:rsid w:val="00667DB9"/>
    <w:rsid w:val="0067011A"/>
    <w:rsid w:val="006702AC"/>
    <w:rsid w:val="00670550"/>
    <w:rsid w:val="006705C0"/>
    <w:rsid w:val="00670913"/>
    <w:rsid w:val="00672AAC"/>
    <w:rsid w:val="00672BD0"/>
    <w:rsid w:val="00673537"/>
    <w:rsid w:val="006746D4"/>
    <w:rsid w:val="006748D5"/>
    <w:rsid w:val="00674A78"/>
    <w:rsid w:val="00674B89"/>
    <w:rsid w:val="00674BD3"/>
    <w:rsid w:val="006754F4"/>
    <w:rsid w:val="00676904"/>
    <w:rsid w:val="00676956"/>
    <w:rsid w:val="00676F74"/>
    <w:rsid w:val="0067714E"/>
    <w:rsid w:val="00677F0B"/>
    <w:rsid w:val="00680551"/>
    <w:rsid w:val="006810EA"/>
    <w:rsid w:val="00682222"/>
    <w:rsid w:val="0068230E"/>
    <w:rsid w:val="0068258A"/>
    <w:rsid w:val="006842B3"/>
    <w:rsid w:val="00685309"/>
    <w:rsid w:val="00685BF6"/>
    <w:rsid w:val="00685C6C"/>
    <w:rsid w:val="00686971"/>
    <w:rsid w:val="0068755D"/>
    <w:rsid w:val="00687A7A"/>
    <w:rsid w:val="00687E92"/>
    <w:rsid w:val="00690DCE"/>
    <w:rsid w:val="00691A43"/>
    <w:rsid w:val="00691D12"/>
    <w:rsid w:val="00692226"/>
    <w:rsid w:val="00693C45"/>
    <w:rsid w:val="00694184"/>
    <w:rsid w:val="00694264"/>
    <w:rsid w:val="00694C07"/>
    <w:rsid w:val="00695991"/>
    <w:rsid w:val="00695C15"/>
    <w:rsid w:val="0069604D"/>
    <w:rsid w:val="0069621F"/>
    <w:rsid w:val="00696EE9"/>
    <w:rsid w:val="00697165"/>
    <w:rsid w:val="0069744B"/>
    <w:rsid w:val="006A0F19"/>
    <w:rsid w:val="006A167B"/>
    <w:rsid w:val="006A1A83"/>
    <w:rsid w:val="006A2B20"/>
    <w:rsid w:val="006A33C3"/>
    <w:rsid w:val="006A3BBA"/>
    <w:rsid w:val="006A3EEA"/>
    <w:rsid w:val="006A42F8"/>
    <w:rsid w:val="006A46E3"/>
    <w:rsid w:val="006A5636"/>
    <w:rsid w:val="006A60EB"/>
    <w:rsid w:val="006A6903"/>
    <w:rsid w:val="006A6DB5"/>
    <w:rsid w:val="006A7273"/>
    <w:rsid w:val="006A77DF"/>
    <w:rsid w:val="006A7C2F"/>
    <w:rsid w:val="006B040E"/>
    <w:rsid w:val="006B10C6"/>
    <w:rsid w:val="006B1A6D"/>
    <w:rsid w:val="006B1D66"/>
    <w:rsid w:val="006B1DCC"/>
    <w:rsid w:val="006B2474"/>
    <w:rsid w:val="006B2616"/>
    <w:rsid w:val="006B2A5C"/>
    <w:rsid w:val="006B2B73"/>
    <w:rsid w:val="006B426D"/>
    <w:rsid w:val="006B4B26"/>
    <w:rsid w:val="006B4EF3"/>
    <w:rsid w:val="006B5AAF"/>
    <w:rsid w:val="006B6449"/>
    <w:rsid w:val="006B6CDD"/>
    <w:rsid w:val="006B776D"/>
    <w:rsid w:val="006B7DE6"/>
    <w:rsid w:val="006B7E72"/>
    <w:rsid w:val="006C1278"/>
    <w:rsid w:val="006C23F9"/>
    <w:rsid w:val="006C2DBC"/>
    <w:rsid w:val="006C3926"/>
    <w:rsid w:val="006C3B45"/>
    <w:rsid w:val="006C3DB1"/>
    <w:rsid w:val="006C425B"/>
    <w:rsid w:val="006C4724"/>
    <w:rsid w:val="006C4928"/>
    <w:rsid w:val="006C70B4"/>
    <w:rsid w:val="006C769C"/>
    <w:rsid w:val="006C7733"/>
    <w:rsid w:val="006C78EF"/>
    <w:rsid w:val="006C7D70"/>
    <w:rsid w:val="006D06A2"/>
    <w:rsid w:val="006D132C"/>
    <w:rsid w:val="006D180C"/>
    <w:rsid w:val="006D208A"/>
    <w:rsid w:val="006D26B9"/>
    <w:rsid w:val="006D2A37"/>
    <w:rsid w:val="006D2E63"/>
    <w:rsid w:val="006D311E"/>
    <w:rsid w:val="006D3492"/>
    <w:rsid w:val="006D38D3"/>
    <w:rsid w:val="006D39C1"/>
    <w:rsid w:val="006D41EC"/>
    <w:rsid w:val="006D420C"/>
    <w:rsid w:val="006D4578"/>
    <w:rsid w:val="006D4CA4"/>
    <w:rsid w:val="006D4DDC"/>
    <w:rsid w:val="006D6B94"/>
    <w:rsid w:val="006D7314"/>
    <w:rsid w:val="006D7989"/>
    <w:rsid w:val="006E022F"/>
    <w:rsid w:val="006E126E"/>
    <w:rsid w:val="006E2039"/>
    <w:rsid w:val="006E267D"/>
    <w:rsid w:val="006E31CB"/>
    <w:rsid w:val="006E3DE4"/>
    <w:rsid w:val="006E4300"/>
    <w:rsid w:val="006E4E4D"/>
    <w:rsid w:val="006E583F"/>
    <w:rsid w:val="006E5F7D"/>
    <w:rsid w:val="006E6B65"/>
    <w:rsid w:val="006E6C70"/>
    <w:rsid w:val="006E6CA9"/>
    <w:rsid w:val="006E6F2E"/>
    <w:rsid w:val="006E7399"/>
    <w:rsid w:val="006E7421"/>
    <w:rsid w:val="006E7BE6"/>
    <w:rsid w:val="006E7DA4"/>
    <w:rsid w:val="006F04B9"/>
    <w:rsid w:val="006F054C"/>
    <w:rsid w:val="006F22B2"/>
    <w:rsid w:val="006F2C37"/>
    <w:rsid w:val="006F406F"/>
    <w:rsid w:val="006F59FD"/>
    <w:rsid w:val="006F6F8D"/>
    <w:rsid w:val="007007A9"/>
    <w:rsid w:val="007009DC"/>
    <w:rsid w:val="00701000"/>
    <w:rsid w:val="007015E1"/>
    <w:rsid w:val="00701DAC"/>
    <w:rsid w:val="00701F39"/>
    <w:rsid w:val="00701FD4"/>
    <w:rsid w:val="0070370C"/>
    <w:rsid w:val="007039D0"/>
    <w:rsid w:val="00703C05"/>
    <w:rsid w:val="00703EBB"/>
    <w:rsid w:val="00704055"/>
    <w:rsid w:val="007040A2"/>
    <w:rsid w:val="007048AF"/>
    <w:rsid w:val="007055A1"/>
    <w:rsid w:val="00705F0A"/>
    <w:rsid w:val="007072E5"/>
    <w:rsid w:val="007079B0"/>
    <w:rsid w:val="00710044"/>
    <w:rsid w:val="00710626"/>
    <w:rsid w:val="00711B98"/>
    <w:rsid w:val="0071222F"/>
    <w:rsid w:val="00712A6D"/>
    <w:rsid w:val="00712CED"/>
    <w:rsid w:val="00713714"/>
    <w:rsid w:val="00713BF0"/>
    <w:rsid w:val="00713C7D"/>
    <w:rsid w:val="00713D64"/>
    <w:rsid w:val="00714203"/>
    <w:rsid w:val="00714D7C"/>
    <w:rsid w:val="00714F19"/>
    <w:rsid w:val="00714FB3"/>
    <w:rsid w:val="00715B0C"/>
    <w:rsid w:val="00715D2C"/>
    <w:rsid w:val="00716185"/>
    <w:rsid w:val="00716334"/>
    <w:rsid w:val="00716BDB"/>
    <w:rsid w:val="00716DD3"/>
    <w:rsid w:val="007172A8"/>
    <w:rsid w:val="007207E9"/>
    <w:rsid w:val="00720E54"/>
    <w:rsid w:val="00720F17"/>
    <w:rsid w:val="007216E2"/>
    <w:rsid w:val="00721B7F"/>
    <w:rsid w:val="00721BDB"/>
    <w:rsid w:val="00721D94"/>
    <w:rsid w:val="0072219B"/>
    <w:rsid w:val="007221F4"/>
    <w:rsid w:val="007225CB"/>
    <w:rsid w:val="00722B2C"/>
    <w:rsid w:val="00722BA0"/>
    <w:rsid w:val="00722C87"/>
    <w:rsid w:val="00722F54"/>
    <w:rsid w:val="007231E2"/>
    <w:rsid w:val="00723E01"/>
    <w:rsid w:val="00725566"/>
    <w:rsid w:val="007255F8"/>
    <w:rsid w:val="00725C02"/>
    <w:rsid w:val="00725C31"/>
    <w:rsid w:val="00725D5C"/>
    <w:rsid w:val="007262AF"/>
    <w:rsid w:val="007263D1"/>
    <w:rsid w:val="007265B3"/>
    <w:rsid w:val="00726CCB"/>
    <w:rsid w:val="00727202"/>
    <w:rsid w:val="00727D76"/>
    <w:rsid w:val="007302DC"/>
    <w:rsid w:val="007319E3"/>
    <w:rsid w:val="00733853"/>
    <w:rsid w:val="00733E0D"/>
    <w:rsid w:val="00734104"/>
    <w:rsid w:val="00734D75"/>
    <w:rsid w:val="007352AE"/>
    <w:rsid w:val="007358C4"/>
    <w:rsid w:val="00735D24"/>
    <w:rsid w:val="007361AC"/>
    <w:rsid w:val="007364DF"/>
    <w:rsid w:val="00737A53"/>
    <w:rsid w:val="00740965"/>
    <w:rsid w:val="00740D00"/>
    <w:rsid w:val="00741ADA"/>
    <w:rsid w:val="00741F54"/>
    <w:rsid w:val="00741F59"/>
    <w:rsid w:val="00742495"/>
    <w:rsid w:val="00742645"/>
    <w:rsid w:val="00742D37"/>
    <w:rsid w:val="00744033"/>
    <w:rsid w:val="0074508B"/>
    <w:rsid w:val="0074536A"/>
    <w:rsid w:val="00745C8B"/>
    <w:rsid w:val="00745CE5"/>
    <w:rsid w:val="00745D04"/>
    <w:rsid w:val="007461C0"/>
    <w:rsid w:val="007463EE"/>
    <w:rsid w:val="007468B2"/>
    <w:rsid w:val="00746B00"/>
    <w:rsid w:val="007473AE"/>
    <w:rsid w:val="007478A1"/>
    <w:rsid w:val="00747BD9"/>
    <w:rsid w:val="00747E6E"/>
    <w:rsid w:val="00747F44"/>
    <w:rsid w:val="007502AB"/>
    <w:rsid w:val="0075291E"/>
    <w:rsid w:val="00752B74"/>
    <w:rsid w:val="00752CFE"/>
    <w:rsid w:val="00753164"/>
    <w:rsid w:val="00753273"/>
    <w:rsid w:val="00753EED"/>
    <w:rsid w:val="007540C2"/>
    <w:rsid w:val="0075457B"/>
    <w:rsid w:val="00755978"/>
    <w:rsid w:val="00755994"/>
    <w:rsid w:val="00755C3E"/>
    <w:rsid w:val="00755E00"/>
    <w:rsid w:val="007565F0"/>
    <w:rsid w:val="0075763E"/>
    <w:rsid w:val="00757E5E"/>
    <w:rsid w:val="00757F19"/>
    <w:rsid w:val="00760165"/>
    <w:rsid w:val="007605A6"/>
    <w:rsid w:val="00761056"/>
    <w:rsid w:val="007614AA"/>
    <w:rsid w:val="00761ABC"/>
    <w:rsid w:val="007625E6"/>
    <w:rsid w:val="00762772"/>
    <w:rsid w:val="007633D5"/>
    <w:rsid w:val="00764222"/>
    <w:rsid w:val="007646F5"/>
    <w:rsid w:val="00765076"/>
    <w:rsid w:val="00765275"/>
    <w:rsid w:val="00765277"/>
    <w:rsid w:val="007653C0"/>
    <w:rsid w:val="007658E5"/>
    <w:rsid w:val="00765E38"/>
    <w:rsid w:val="007661DF"/>
    <w:rsid w:val="00766281"/>
    <w:rsid w:val="007665DE"/>
    <w:rsid w:val="00766F13"/>
    <w:rsid w:val="007670D8"/>
    <w:rsid w:val="007674FB"/>
    <w:rsid w:val="00767E90"/>
    <w:rsid w:val="0077002D"/>
    <w:rsid w:val="00770716"/>
    <w:rsid w:val="0077095E"/>
    <w:rsid w:val="0077102C"/>
    <w:rsid w:val="007712AC"/>
    <w:rsid w:val="007714F6"/>
    <w:rsid w:val="00771823"/>
    <w:rsid w:val="00771A25"/>
    <w:rsid w:val="00771D5D"/>
    <w:rsid w:val="00771F57"/>
    <w:rsid w:val="00771FD5"/>
    <w:rsid w:val="00771FFE"/>
    <w:rsid w:val="00772EED"/>
    <w:rsid w:val="00773F25"/>
    <w:rsid w:val="00774D1B"/>
    <w:rsid w:val="00774E0E"/>
    <w:rsid w:val="00775216"/>
    <w:rsid w:val="007753F2"/>
    <w:rsid w:val="00775432"/>
    <w:rsid w:val="007767FF"/>
    <w:rsid w:val="00776B11"/>
    <w:rsid w:val="00776DA5"/>
    <w:rsid w:val="00777719"/>
    <w:rsid w:val="007777C9"/>
    <w:rsid w:val="00777908"/>
    <w:rsid w:val="00777B68"/>
    <w:rsid w:val="00780162"/>
    <w:rsid w:val="0078210B"/>
    <w:rsid w:val="00782A72"/>
    <w:rsid w:val="00782E8E"/>
    <w:rsid w:val="00783158"/>
    <w:rsid w:val="00784904"/>
    <w:rsid w:val="007858F6"/>
    <w:rsid w:val="00786419"/>
    <w:rsid w:val="00786E81"/>
    <w:rsid w:val="007876DC"/>
    <w:rsid w:val="00787E49"/>
    <w:rsid w:val="00790EE1"/>
    <w:rsid w:val="00790F10"/>
    <w:rsid w:val="007925C4"/>
    <w:rsid w:val="00792C5C"/>
    <w:rsid w:val="007938D9"/>
    <w:rsid w:val="00794475"/>
    <w:rsid w:val="00794A70"/>
    <w:rsid w:val="007950E9"/>
    <w:rsid w:val="00795112"/>
    <w:rsid w:val="007956A3"/>
    <w:rsid w:val="00795702"/>
    <w:rsid w:val="00795C67"/>
    <w:rsid w:val="0079643D"/>
    <w:rsid w:val="0079734F"/>
    <w:rsid w:val="00797BF8"/>
    <w:rsid w:val="00797FF9"/>
    <w:rsid w:val="007A08DD"/>
    <w:rsid w:val="007A15D2"/>
    <w:rsid w:val="007A2381"/>
    <w:rsid w:val="007A2AD2"/>
    <w:rsid w:val="007A2CD6"/>
    <w:rsid w:val="007A2E6B"/>
    <w:rsid w:val="007A42E2"/>
    <w:rsid w:val="007A4636"/>
    <w:rsid w:val="007A485E"/>
    <w:rsid w:val="007A511E"/>
    <w:rsid w:val="007A5B53"/>
    <w:rsid w:val="007A5EEA"/>
    <w:rsid w:val="007A67C1"/>
    <w:rsid w:val="007A6E1A"/>
    <w:rsid w:val="007A7E2C"/>
    <w:rsid w:val="007A7EE3"/>
    <w:rsid w:val="007B01F0"/>
    <w:rsid w:val="007B0440"/>
    <w:rsid w:val="007B0D42"/>
    <w:rsid w:val="007B0FD5"/>
    <w:rsid w:val="007B10A4"/>
    <w:rsid w:val="007B1DFF"/>
    <w:rsid w:val="007B22E7"/>
    <w:rsid w:val="007B3D7B"/>
    <w:rsid w:val="007B5609"/>
    <w:rsid w:val="007B5F76"/>
    <w:rsid w:val="007B67FA"/>
    <w:rsid w:val="007B6BAD"/>
    <w:rsid w:val="007B6C20"/>
    <w:rsid w:val="007C177C"/>
    <w:rsid w:val="007C19EE"/>
    <w:rsid w:val="007C1F5A"/>
    <w:rsid w:val="007C22A8"/>
    <w:rsid w:val="007C2C72"/>
    <w:rsid w:val="007C2DEE"/>
    <w:rsid w:val="007C3344"/>
    <w:rsid w:val="007C3EA7"/>
    <w:rsid w:val="007C4A1B"/>
    <w:rsid w:val="007C4BCC"/>
    <w:rsid w:val="007C527E"/>
    <w:rsid w:val="007C52CB"/>
    <w:rsid w:val="007C5595"/>
    <w:rsid w:val="007C5A4D"/>
    <w:rsid w:val="007C69DB"/>
    <w:rsid w:val="007C7217"/>
    <w:rsid w:val="007C74B7"/>
    <w:rsid w:val="007C755D"/>
    <w:rsid w:val="007D022D"/>
    <w:rsid w:val="007D0F57"/>
    <w:rsid w:val="007D0FB6"/>
    <w:rsid w:val="007D16B0"/>
    <w:rsid w:val="007D177D"/>
    <w:rsid w:val="007D1C40"/>
    <w:rsid w:val="007D242F"/>
    <w:rsid w:val="007D3F9C"/>
    <w:rsid w:val="007D421D"/>
    <w:rsid w:val="007D45BB"/>
    <w:rsid w:val="007D5264"/>
    <w:rsid w:val="007D58EA"/>
    <w:rsid w:val="007D5B46"/>
    <w:rsid w:val="007D6A2B"/>
    <w:rsid w:val="007D6D0C"/>
    <w:rsid w:val="007D7492"/>
    <w:rsid w:val="007D7907"/>
    <w:rsid w:val="007D7ADD"/>
    <w:rsid w:val="007D7E0C"/>
    <w:rsid w:val="007E0637"/>
    <w:rsid w:val="007E072F"/>
    <w:rsid w:val="007E0D0F"/>
    <w:rsid w:val="007E10F5"/>
    <w:rsid w:val="007E1C62"/>
    <w:rsid w:val="007E1ED5"/>
    <w:rsid w:val="007E251A"/>
    <w:rsid w:val="007E2598"/>
    <w:rsid w:val="007E355A"/>
    <w:rsid w:val="007E36EF"/>
    <w:rsid w:val="007E447F"/>
    <w:rsid w:val="007E4A8D"/>
    <w:rsid w:val="007E4C7E"/>
    <w:rsid w:val="007E4F13"/>
    <w:rsid w:val="007E5288"/>
    <w:rsid w:val="007E55B9"/>
    <w:rsid w:val="007E562F"/>
    <w:rsid w:val="007E704E"/>
    <w:rsid w:val="007E7156"/>
    <w:rsid w:val="007E74F1"/>
    <w:rsid w:val="007F0021"/>
    <w:rsid w:val="007F07C5"/>
    <w:rsid w:val="007F1872"/>
    <w:rsid w:val="007F32F2"/>
    <w:rsid w:val="007F3868"/>
    <w:rsid w:val="007F3F99"/>
    <w:rsid w:val="007F4AD2"/>
    <w:rsid w:val="007F4B95"/>
    <w:rsid w:val="007F4C82"/>
    <w:rsid w:val="007F4EF8"/>
    <w:rsid w:val="007F5DBE"/>
    <w:rsid w:val="007F6871"/>
    <w:rsid w:val="007F69AB"/>
    <w:rsid w:val="007F6A94"/>
    <w:rsid w:val="007F6EE8"/>
    <w:rsid w:val="007F74C1"/>
    <w:rsid w:val="008014D0"/>
    <w:rsid w:val="008017D1"/>
    <w:rsid w:val="00801B23"/>
    <w:rsid w:val="00801DA2"/>
    <w:rsid w:val="00802630"/>
    <w:rsid w:val="00802B13"/>
    <w:rsid w:val="00804615"/>
    <w:rsid w:val="00804D3F"/>
    <w:rsid w:val="00805BD7"/>
    <w:rsid w:val="00805C68"/>
    <w:rsid w:val="008061E0"/>
    <w:rsid w:val="00806351"/>
    <w:rsid w:val="008068C1"/>
    <w:rsid w:val="00807931"/>
    <w:rsid w:val="00807DD1"/>
    <w:rsid w:val="008111B2"/>
    <w:rsid w:val="00812558"/>
    <w:rsid w:val="008137E4"/>
    <w:rsid w:val="00813D11"/>
    <w:rsid w:val="00814AE4"/>
    <w:rsid w:val="00814DFA"/>
    <w:rsid w:val="00815032"/>
    <w:rsid w:val="0081628A"/>
    <w:rsid w:val="00816619"/>
    <w:rsid w:val="0081665C"/>
    <w:rsid w:val="00816F46"/>
    <w:rsid w:val="00817778"/>
    <w:rsid w:val="00817C6E"/>
    <w:rsid w:val="00820351"/>
    <w:rsid w:val="00820809"/>
    <w:rsid w:val="008208CE"/>
    <w:rsid w:val="00820A9A"/>
    <w:rsid w:val="00820C31"/>
    <w:rsid w:val="00820CD0"/>
    <w:rsid w:val="0082100F"/>
    <w:rsid w:val="00822504"/>
    <w:rsid w:val="00822706"/>
    <w:rsid w:val="008231E5"/>
    <w:rsid w:val="00823AEA"/>
    <w:rsid w:val="00824063"/>
    <w:rsid w:val="00825597"/>
    <w:rsid w:val="00827088"/>
    <w:rsid w:val="00827840"/>
    <w:rsid w:val="00827C7B"/>
    <w:rsid w:val="00830293"/>
    <w:rsid w:val="00830E7C"/>
    <w:rsid w:val="00832ACA"/>
    <w:rsid w:val="00832EC9"/>
    <w:rsid w:val="00832FB9"/>
    <w:rsid w:val="008335AE"/>
    <w:rsid w:val="00833A33"/>
    <w:rsid w:val="00834950"/>
    <w:rsid w:val="00835BEE"/>
    <w:rsid w:val="008369AE"/>
    <w:rsid w:val="00836D89"/>
    <w:rsid w:val="008371E3"/>
    <w:rsid w:val="00837AF4"/>
    <w:rsid w:val="0084015C"/>
    <w:rsid w:val="00840C76"/>
    <w:rsid w:val="00841A17"/>
    <w:rsid w:val="008425D4"/>
    <w:rsid w:val="008433CD"/>
    <w:rsid w:val="00843F16"/>
    <w:rsid w:val="00844158"/>
    <w:rsid w:val="0084488E"/>
    <w:rsid w:val="00845523"/>
    <w:rsid w:val="00845FA1"/>
    <w:rsid w:val="00846148"/>
    <w:rsid w:val="008466D7"/>
    <w:rsid w:val="0084682F"/>
    <w:rsid w:val="00847C9D"/>
    <w:rsid w:val="00850A88"/>
    <w:rsid w:val="00850E8A"/>
    <w:rsid w:val="0085127D"/>
    <w:rsid w:val="008513E7"/>
    <w:rsid w:val="008519D2"/>
    <w:rsid w:val="00851AFC"/>
    <w:rsid w:val="00851D87"/>
    <w:rsid w:val="00851EDD"/>
    <w:rsid w:val="00851F04"/>
    <w:rsid w:val="00852826"/>
    <w:rsid w:val="00852A7F"/>
    <w:rsid w:val="00852CF6"/>
    <w:rsid w:val="00852DE4"/>
    <w:rsid w:val="008531DE"/>
    <w:rsid w:val="00853200"/>
    <w:rsid w:val="0085385C"/>
    <w:rsid w:val="00853E5C"/>
    <w:rsid w:val="00853F31"/>
    <w:rsid w:val="00855072"/>
    <w:rsid w:val="0085648B"/>
    <w:rsid w:val="008564C8"/>
    <w:rsid w:val="008571FE"/>
    <w:rsid w:val="00857711"/>
    <w:rsid w:val="00857B87"/>
    <w:rsid w:val="00857F62"/>
    <w:rsid w:val="008604E9"/>
    <w:rsid w:val="008605E4"/>
    <w:rsid w:val="008608A7"/>
    <w:rsid w:val="0086169E"/>
    <w:rsid w:val="0086233F"/>
    <w:rsid w:val="008636D1"/>
    <w:rsid w:val="008637D6"/>
    <w:rsid w:val="008657B0"/>
    <w:rsid w:val="00866C40"/>
    <w:rsid w:val="00866E8B"/>
    <w:rsid w:val="008672E9"/>
    <w:rsid w:val="00867E38"/>
    <w:rsid w:val="00870112"/>
    <w:rsid w:val="0087044E"/>
    <w:rsid w:val="00870A48"/>
    <w:rsid w:val="00871AE1"/>
    <w:rsid w:val="00871DC7"/>
    <w:rsid w:val="00872F3E"/>
    <w:rsid w:val="0087369A"/>
    <w:rsid w:val="008739BE"/>
    <w:rsid w:val="00873A1C"/>
    <w:rsid w:val="00873EC8"/>
    <w:rsid w:val="008742FF"/>
    <w:rsid w:val="00874E97"/>
    <w:rsid w:val="008754F7"/>
    <w:rsid w:val="0087684E"/>
    <w:rsid w:val="00876BEE"/>
    <w:rsid w:val="00876F92"/>
    <w:rsid w:val="0087780E"/>
    <w:rsid w:val="00877AA3"/>
    <w:rsid w:val="00877E9A"/>
    <w:rsid w:val="00881EE9"/>
    <w:rsid w:val="008826F3"/>
    <w:rsid w:val="00883392"/>
    <w:rsid w:val="0088384D"/>
    <w:rsid w:val="008844FE"/>
    <w:rsid w:val="00884B50"/>
    <w:rsid w:val="008851BE"/>
    <w:rsid w:val="00885B9F"/>
    <w:rsid w:val="00886B39"/>
    <w:rsid w:val="00886E83"/>
    <w:rsid w:val="00886FFD"/>
    <w:rsid w:val="008874D7"/>
    <w:rsid w:val="0089080F"/>
    <w:rsid w:val="00890BAB"/>
    <w:rsid w:val="00890D66"/>
    <w:rsid w:val="00890D71"/>
    <w:rsid w:val="008924DC"/>
    <w:rsid w:val="008929F6"/>
    <w:rsid w:val="00892F0B"/>
    <w:rsid w:val="008931A5"/>
    <w:rsid w:val="00894129"/>
    <w:rsid w:val="008944F8"/>
    <w:rsid w:val="0089624A"/>
    <w:rsid w:val="0089653B"/>
    <w:rsid w:val="008A0310"/>
    <w:rsid w:val="008A055A"/>
    <w:rsid w:val="008A06AB"/>
    <w:rsid w:val="008A199A"/>
    <w:rsid w:val="008A2694"/>
    <w:rsid w:val="008A2846"/>
    <w:rsid w:val="008A2EE9"/>
    <w:rsid w:val="008A30C8"/>
    <w:rsid w:val="008A3181"/>
    <w:rsid w:val="008A3F47"/>
    <w:rsid w:val="008A44BC"/>
    <w:rsid w:val="008A4789"/>
    <w:rsid w:val="008A5303"/>
    <w:rsid w:val="008A5461"/>
    <w:rsid w:val="008A56BD"/>
    <w:rsid w:val="008A5B66"/>
    <w:rsid w:val="008A6067"/>
    <w:rsid w:val="008A65E3"/>
    <w:rsid w:val="008A688B"/>
    <w:rsid w:val="008A7353"/>
    <w:rsid w:val="008A7789"/>
    <w:rsid w:val="008A7A19"/>
    <w:rsid w:val="008A7C87"/>
    <w:rsid w:val="008A7F44"/>
    <w:rsid w:val="008B018A"/>
    <w:rsid w:val="008B0720"/>
    <w:rsid w:val="008B18ED"/>
    <w:rsid w:val="008B20DA"/>
    <w:rsid w:val="008B27DF"/>
    <w:rsid w:val="008B28C2"/>
    <w:rsid w:val="008B2C04"/>
    <w:rsid w:val="008B2D66"/>
    <w:rsid w:val="008B2E3D"/>
    <w:rsid w:val="008B33BD"/>
    <w:rsid w:val="008B4A90"/>
    <w:rsid w:val="008B5393"/>
    <w:rsid w:val="008B565B"/>
    <w:rsid w:val="008B57E6"/>
    <w:rsid w:val="008B5961"/>
    <w:rsid w:val="008B59E2"/>
    <w:rsid w:val="008B6223"/>
    <w:rsid w:val="008B6AF4"/>
    <w:rsid w:val="008B6C32"/>
    <w:rsid w:val="008B6EF1"/>
    <w:rsid w:val="008B716C"/>
    <w:rsid w:val="008C01B4"/>
    <w:rsid w:val="008C0B03"/>
    <w:rsid w:val="008C0BE2"/>
    <w:rsid w:val="008C19E0"/>
    <w:rsid w:val="008C25B8"/>
    <w:rsid w:val="008C2AF3"/>
    <w:rsid w:val="008C2B36"/>
    <w:rsid w:val="008C32E1"/>
    <w:rsid w:val="008C3B47"/>
    <w:rsid w:val="008C3ED1"/>
    <w:rsid w:val="008C54E6"/>
    <w:rsid w:val="008C56B8"/>
    <w:rsid w:val="008C648E"/>
    <w:rsid w:val="008C6563"/>
    <w:rsid w:val="008C6683"/>
    <w:rsid w:val="008C7574"/>
    <w:rsid w:val="008C75E4"/>
    <w:rsid w:val="008C7883"/>
    <w:rsid w:val="008D09E8"/>
    <w:rsid w:val="008D0FD6"/>
    <w:rsid w:val="008D13A1"/>
    <w:rsid w:val="008D197B"/>
    <w:rsid w:val="008D1BBF"/>
    <w:rsid w:val="008D2569"/>
    <w:rsid w:val="008D25FE"/>
    <w:rsid w:val="008D2C6D"/>
    <w:rsid w:val="008D2E4E"/>
    <w:rsid w:val="008D302A"/>
    <w:rsid w:val="008D3CFF"/>
    <w:rsid w:val="008D3D40"/>
    <w:rsid w:val="008D4677"/>
    <w:rsid w:val="008D53A3"/>
    <w:rsid w:val="008D5563"/>
    <w:rsid w:val="008D6BC6"/>
    <w:rsid w:val="008D6DF7"/>
    <w:rsid w:val="008D74B9"/>
    <w:rsid w:val="008E1AF9"/>
    <w:rsid w:val="008E2370"/>
    <w:rsid w:val="008E28FA"/>
    <w:rsid w:val="008E2B7A"/>
    <w:rsid w:val="008E31DD"/>
    <w:rsid w:val="008E3C0C"/>
    <w:rsid w:val="008E3DED"/>
    <w:rsid w:val="008E44EF"/>
    <w:rsid w:val="008E4A27"/>
    <w:rsid w:val="008E4AFB"/>
    <w:rsid w:val="008E534E"/>
    <w:rsid w:val="008E554A"/>
    <w:rsid w:val="008E5AE1"/>
    <w:rsid w:val="008E6276"/>
    <w:rsid w:val="008E63B8"/>
    <w:rsid w:val="008E6DB6"/>
    <w:rsid w:val="008E735A"/>
    <w:rsid w:val="008E7AFF"/>
    <w:rsid w:val="008F07C4"/>
    <w:rsid w:val="008F0820"/>
    <w:rsid w:val="008F0A30"/>
    <w:rsid w:val="008F16ED"/>
    <w:rsid w:val="008F2528"/>
    <w:rsid w:val="008F3223"/>
    <w:rsid w:val="008F3263"/>
    <w:rsid w:val="008F367C"/>
    <w:rsid w:val="008F3CE7"/>
    <w:rsid w:val="008F3ED0"/>
    <w:rsid w:val="008F53C3"/>
    <w:rsid w:val="008F6D24"/>
    <w:rsid w:val="008F7410"/>
    <w:rsid w:val="008F75D7"/>
    <w:rsid w:val="008F75DB"/>
    <w:rsid w:val="008F7DFF"/>
    <w:rsid w:val="00900141"/>
    <w:rsid w:val="009002FE"/>
    <w:rsid w:val="00900E5C"/>
    <w:rsid w:val="00901A01"/>
    <w:rsid w:val="00901DD2"/>
    <w:rsid w:val="00901E56"/>
    <w:rsid w:val="0090203F"/>
    <w:rsid w:val="009023C8"/>
    <w:rsid w:val="0090269E"/>
    <w:rsid w:val="00902BC6"/>
    <w:rsid w:val="009033C0"/>
    <w:rsid w:val="00903BF3"/>
    <w:rsid w:val="00904A41"/>
    <w:rsid w:val="00904C64"/>
    <w:rsid w:val="00905279"/>
    <w:rsid w:val="00905827"/>
    <w:rsid w:val="00905C24"/>
    <w:rsid w:val="00906775"/>
    <w:rsid w:val="00906BB6"/>
    <w:rsid w:val="00907A79"/>
    <w:rsid w:val="00907DE5"/>
    <w:rsid w:val="0091161A"/>
    <w:rsid w:val="009118DF"/>
    <w:rsid w:val="00911CE3"/>
    <w:rsid w:val="00911D14"/>
    <w:rsid w:val="00912224"/>
    <w:rsid w:val="00912539"/>
    <w:rsid w:val="009128E0"/>
    <w:rsid w:val="00912E7A"/>
    <w:rsid w:val="0091301A"/>
    <w:rsid w:val="009130FC"/>
    <w:rsid w:val="0091489D"/>
    <w:rsid w:val="00914934"/>
    <w:rsid w:val="00914DB2"/>
    <w:rsid w:val="00914EC6"/>
    <w:rsid w:val="00915B1F"/>
    <w:rsid w:val="00916049"/>
    <w:rsid w:val="009166EE"/>
    <w:rsid w:val="0091690E"/>
    <w:rsid w:val="00917329"/>
    <w:rsid w:val="00917563"/>
    <w:rsid w:val="00920F08"/>
    <w:rsid w:val="00921EBF"/>
    <w:rsid w:val="00922887"/>
    <w:rsid w:val="00922AE8"/>
    <w:rsid w:val="00922B22"/>
    <w:rsid w:val="00922C83"/>
    <w:rsid w:val="00922DCD"/>
    <w:rsid w:val="009230F0"/>
    <w:rsid w:val="00923820"/>
    <w:rsid w:val="00925EDB"/>
    <w:rsid w:val="00926094"/>
    <w:rsid w:val="009261A4"/>
    <w:rsid w:val="009268CB"/>
    <w:rsid w:val="00927330"/>
    <w:rsid w:val="009273ED"/>
    <w:rsid w:val="009277B4"/>
    <w:rsid w:val="009279FF"/>
    <w:rsid w:val="00927C0F"/>
    <w:rsid w:val="00927DCC"/>
    <w:rsid w:val="00930806"/>
    <w:rsid w:val="00930B52"/>
    <w:rsid w:val="009335E9"/>
    <w:rsid w:val="00933F9D"/>
    <w:rsid w:val="00934749"/>
    <w:rsid w:val="00935061"/>
    <w:rsid w:val="00935122"/>
    <w:rsid w:val="0093514D"/>
    <w:rsid w:val="0093559E"/>
    <w:rsid w:val="00936508"/>
    <w:rsid w:val="009366F4"/>
    <w:rsid w:val="009368D5"/>
    <w:rsid w:val="0093696D"/>
    <w:rsid w:val="00936B94"/>
    <w:rsid w:val="00936EE9"/>
    <w:rsid w:val="00936EFC"/>
    <w:rsid w:val="00937216"/>
    <w:rsid w:val="00937C70"/>
    <w:rsid w:val="009412A2"/>
    <w:rsid w:val="009413D0"/>
    <w:rsid w:val="009415E1"/>
    <w:rsid w:val="00941E4A"/>
    <w:rsid w:val="00941F07"/>
    <w:rsid w:val="00942570"/>
    <w:rsid w:val="00942E5F"/>
    <w:rsid w:val="0094386F"/>
    <w:rsid w:val="009439F7"/>
    <w:rsid w:val="00943AB4"/>
    <w:rsid w:val="00943CF3"/>
    <w:rsid w:val="0094421F"/>
    <w:rsid w:val="009444EA"/>
    <w:rsid w:val="0094454F"/>
    <w:rsid w:val="00944798"/>
    <w:rsid w:val="00944A10"/>
    <w:rsid w:val="00944AFD"/>
    <w:rsid w:val="009460F8"/>
    <w:rsid w:val="009465A9"/>
    <w:rsid w:val="00950999"/>
    <w:rsid w:val="00950AE8"/>
    <w:rsid w:val="00950D53"/>
    <w:rsid w:val="00950DC1"/>
    <w:rsid w:val="00952535"/>
    <w:rsid w:val="00953230"/>
    <w:rsid w:val="00955A11"/>
    <w:rsid w:val="00955C33"/>
    <w:rsid w:val="00956847"/>
    <w:rsid w:val="00956984"/>
    <w:rsid w:val="00957B71"/>
    <w:rsid w:val="00957C58"/>
    <w:rsid w:val="00961410"/>
    <w:rsid w:val="009616F9"/>
    <w:rsid w:val="00962145"/>
    <w:rsid w:val="009630DF"/>
    <w:rsid w:val="00965588"/>
    <w:rsid w:val="00965BC4"/>
    <w:rsid w:val="009663A2"/>
    <w:rsid w:val="0096694C"/>
    <w:rsid w:val="00967429"/>
    <w:rsid w:val="0097021A"/>
    <w:rsid w:val="009712BA"/>
    <w:rsid w:val="009712C3"/>
    <w:rsid w:val="009716C8"/>
    <w:rsid w:val="00971E11"/>
    <w:rsid w:val="009726FA"/>
    <w:rsid w:val="0097314A"/>
    <w:rsid w:val="00973425"/>
    <w:rsid w:val="00974905"/>
    <w:rsid w:val="009750DE"/>
    <w:rsid w:val="009755C1"/>
    <w:rsid w:val="009763E1"/>
    <w:rsid w:val="00976DF0"/>
    <w:rsid w:val="009773E9"/>
    <w:rsid w:val="009804D0"/>
    <w:rsid w:val="00980914"/>
    <w:rsid w:val="00980C18"/>
    <w:rsid w:val="00980E48"/>
    <w:rsid w:val="00980F62"/>
    <w:rsid w:val="0098132F"/>
    <w:rsid w:val="00981C6C"/>
    <w:rsid w:val="00981E3B"/>
    <w:rsid w:val="00982B9B"/>
    <w:rsid w:val="00984048"/>
    <w:rsid w:val="0098406C"/>
    <w:rsid w:val="00984FFE"/>
    <w:rsid w:val="00985B88"/>
    <w:rsid w:val="009864EB"/>
    <w:rsid w:val="0098662E"/>
    <w:rsid w:val="00986A8D"/>
    <w:rsid w:val="009871CE"/>
    <w:rsid w:val="00987286"/>
    <w:rsid w:val="00987804"/>
    <w:rsid w:val="00987D6A"/>
    <w:rsid w:val="00987FFB"/>
    <w:rsid w:val="009900EC"/>
    <w:rsid w:val="00990333"/>
    <w:rsid w:val="00991A10"/>
    <w:rsid w:val="00991A3E"/>
    <w:rsid w:val="00991EC6"/>
    <w:rsid w:val="009925BD"/>
    <w:rsid w:val="0099288C"/>
    <w:rsid w:val="00993336"/>
    <w:rsid w:val="0099383C"/>
    <w:rsid w:val="00993887"/>
    <w:rsid w:val="00993B74"/>
    <w:rsid w:val="00994D2A"/>
    <w:rsid w:val="009952FE"/>
    <w:rsid w:val="009956D0"/>
    <w:rsid w:val="00996508"/>
    <w:rsid w:val="00996D38"/>
    <w:rsid w:val="00996F3B"/>
    <w:rsid w:val="009970AD"/>
    <w:rsid w:val="00997688"/>
    <w:rsid w:val="00997755"/>
    <w:rsid w:val="00997895"/>
    <w:rsid w:val="009A06A2"/>
    <w:rsid w:val="009A0A53"/>
    <w:rsid w:val="009A0EC3"/>
    <w:rsid w:val="009A2F5B"/>
    <w:rsid w:val="009A32B9"/>
    <w:rsid w:val="009A3877"/>
    <w:rsid w:val="009A3B2D"/>
    <w:rsid w:val="009A3C02"/>
    <w:rsid w:val="009A3D81"/>
    <w:rsid w:val="009A3E31"/>
    <w:rsid w:val="009A51D7"/>
    <w:rsid w:val="009A5AF6"/>
    <w:rsid w:val="009A69C7"/>
    <w:rsid w:val="009A7393"/>
    <w:rsid w:val="009A77CD"/>
    <w:rsid w:val="009A77F5"/>
    <w:rsid w:val="009B02B3"/>
    <w:rsid w:val="009B0820"/>
    <w:rsid w:val="009B0E3E"/>
    <w:rsid w:val="009B2667"/>
    <w:rsid w:val="009B2FDB"/>
    <w:rsid w:val="009B36BE"/>
    <w:rsid w:val="009B3D13"/>
    <w:rsid w:val="009B4BC4"/>
    <w:rsid w:val="009B5708"/>
    <w:rsid w:val="009B6F36"/>
    <w:rsid w:val="009B772F"/>
    <w:rsid w:val="009B7E67"/>
    <w:rsid w:val="009B7EF4"/>
    <w:rsid w:val="009C059E"/>
    <w:rsid w:val="009C0B80"/>
    <w:rsid w:val="009C12B2"/>
    <w:rsid w:val="009C1923"/>
    <w:rsid w:val="009C263F"/>
    <w:rsid w:val="009C2674"/>
    <w:rsid w:val="009C27DC"/>
    <w:rsid w:val="009C2B91"/>
    <w:rsid w:val="009C3521"/>
    <w:rsid w:val="009C4383"/>
    <w:rsid w:val="009C4538"/>
    <w:rsid w:val="009C52BF"/>
    <w:rsid w:val="009C550B"/>
    <w:rsid w:val="009C5CE3"/>
    <w:rsid w:val="009C5DEA"/>
    <w:rsid w:val="009C625E"/>
    <w:rsid w:val="009C70D7"/>
    <w:rsid w:val="009C7CD7"/>
    <w:rsid w:val="009C7E6B"/>
    <w:rsid w:val="009D1800"/>
    <w:rsid w:val="009D26C7"/>
    <w:rsid w:val="009D2FFF"/>
    <w:rsid w:val="009D3022"/>
    <w:rsid w:val="009D3985"/>
    <w:rsid w:val="009D42A7"/>
    <w:rsid w:val="009D4600"/>
    <w:rsid w:val="009D4652"/>
    <w:rsid w:val="009D49A1"/>
    <w:rsid w:val="009D5377"/>
    <w:rsid w:val="009D550E"/>
    <w:rsid w:val="009D5510"/>
    <w:rsid w:val="009D5C9D"/>
    <w:rsid w:val="009D5E92"/>
    <w:rsid w:val="009D66CB"/>
    <w:rsid w:val="009D67E3"/>
    <w:rsid w:val="009D7779"/>
    <w:rsid w:val="009D7BA9"/>
    <w:rsid w:val="009D7C75"/>
    <w:rsid w:val="009D7D02"/>
    <w:rsid w:val="009E0B38"/>
    <w:rsid w:val="009E0E70"/>
    <w:rsid w:val="009E1141"/>
    <w:rsid w:val="009E1794"/>
    <w:rsid w:val="009E17EC"/>
    <w:rsid w:val="009E1CDB"/>
    <w:rsid w:val="009E273E"/>
    <w:rsid w:val="009E2B7A"/>
    <w:rsid w:val="009E3661"/>
    <w:rsid w:val="009E40DF"/>
    <w:rsid w:val="009E42A6"/>
    <w:rsid w:val="009E4ACB"/>
    <w:rsid w:val="009E5B1E"/>
    <w:rsid w:val="009E5B7A"/>
    <w:rsid w:val="009E5F43"/>
    <w:rsid w:val="009E6118"/>
    <w:rsid w:val="009E680E"/>
    <w:rsid w:val="009E6AAD"/>
    <w:rsid w:val="009E6AC2"/>
    <w:rsid w:val="009E6BD7"/>
    <w:rsid w:val="009E7030"/>
    <w:rsid w:val="009E70A8"/>
    <w:rsid w:val="009E7424"/>
    <w:rsid w:val="009E78A6"/>
    <w:rsid w:val="009F042B"/>
    <w:rsid w:val="009F18BB"/>
    <w:rsid w:val="009F21A5"/>
    <w:rsid w:val="009F2601"/>
    <w:rsid w:val="009F3266"/>
    <w:rsid w:val="009F3965"/>
    <w:rsid w:val="009F3F5F"/>
    <w:rsid w:val="009F4583"/>
    <w:rsid w:val="009F5425"/>
    <w:rsid w:val="009F5BA7"/>
    <w:rsid w:val="009F5EA9"/>
    <w:rsid w:val="009F659E"/>
    <w:rsid w:val="009F74A9"/>
    <w:rsid w:val="00A0005D"/>
    <w:rsid w:val="00A003A8"/>
    <w:rsid w:val="00A00401"/>
    <w:rsid w:val="00A00528"/>
    <w:rsid w:val="00A00872"/>
    <w:rsid w:val="00A00BB9"/>
    <w:rsid w:val="00A01FCE"/>
    <w:rsid w:val="00A02006"/>
    <w:rsid w:val="00A03123"/>
    <w:rsid w:val="00A041FF"/>
    <w:rsid w:val="00A04A2A"/>
    <w:rsid w:val="00A06603"/>
    <w:rsid w:val="00A06BE2"/>
    <w:rsid w:val="00A06EB2"/>
    <w:rsid w:val="00A07387"/>
    <w:rsid w:val="00A0757F"/>
    <w:rsid w:val="00A10543"/>
    <w:rsid w:val="00A10840"/>
    <w:rsid w:val="00A11491"/>
    <w:rsid w:val="00A11F66"/>
    <w:rsid w:val="00A12258"/>
    <w:rsid w:val="00A123B1"/>
    <w:rsid w:val="00A12580"/>
    <w:rsid w:val="00A12C83"/>
    <w:rsid w:val="00A1315B"/>
    <w:rsid w:val="00A13420"/>
    <w:rsid w:val="00A13AE1"/>
    <w:rsid w:val="00A13BE9"/>
    <w:rsid w:val="00A13D62"/>
    <w:rsid w:val="00A1452A"/>
    <w:rsid w:val="00A14B97"/>
    <w:rsid w:val="00A14BC4"/>
    <w:rsid w:val="00A15522"/>
    <w:rsid w:val="00A1597A"/>
    <w:rsid w:val="00A15A1C"/>
    <w:rsid w:val="00A15E98"/>
    <w:rsid w:val="00A161A3"/>
    <w:rsid w:val="00A17DF9"/>
    <w:rsid w:val="00A2007C"/>
    <w:rsid w:val="00A202DE"/>
    <w:rsid w:val="00A20BB1"/>
    <w:rsid w:val="00A21396"/>
    <w:rsid w:val="00A21772"/>
    <w:rsid w:val="00A22078"/>
    <w:rsid w:val="00A225FC"/>
    <w:rsid w:val="00A22A77"/>
    <w:rsid w:val="00A23002"/>
    <w:rsid w:val="00A235AE"/>
    <w:rsid w:val="00A23795"/>
    <w:rsid w:val="00A23B01"/>
    <w:rsid w:val="00A23CE3"/>
    <w:rsid w:val="00A24376"/>
    <w:rsid w:val="00A244CC"/>
    <w:rsid w:val="00A24AEE"/>
    <w:rsid w:val="00A25EF6"/>
    <w:rsid w:val="00A26076"/>
    <w:rsid w:val="00A263AD"/>
    <w:rsid w:val="00A301FC"/>
    <w:rsid w:val="00A30D49"/>
    <w:rsid w:val="00A315CA"/>
    <w:rsid w:val="00A3179D"/>
    <w:rsid w:val="00A31E03"/>
    <w:rsid w:val="00A329F3"/>
    <w:rsid w:val="00A32F1B"/>
    <w:rsid w:val="00A3325E"/>
    <w:rsid w:val="00A33AD5"/>
    <w:rsid w:val="00A33AF6"/>
    <w:rsid w:val="00A346DA"/>
    <w:rsid w:val="00A34AB7"/>
    <w:rsid w:val="00A353C8"/>
    <w:rsid w:val="00A36C14"/>
    <w:rsid w:val="00A37148"/>
    <w:rsid w:val="00A37350"/>
    <w:rsid w:val="00A37E7A"/>
    <w:rsid w:val="00A37FCB"/>
    <w:rsid w:val="00A401D5"/>
    <w:rsid w:val="00A40DAD"/>
    <w:rsid w:val="00A41347"/>
    <w:rsid w:val="00A41670"/>
    <w:rsid w:val="00A42024"/>
    <w:rsid w:val="00A42A83"/>
    <w:rsid w:val="00A4335C"/>
    <w:rsid w:val="00A434D5"/>
    <w:rsid w:val="00A440C1"/>
    <w:rsid w:val="00A4417E"/>
    <w:rsid w:val="00A446BB"/>
    <w:rsid w:val="00A446C9"/>
    <w:rsid w:val="00A448E0"/>
    <w:rsid w:val="00A45E5A"/>
    <w:rsid w:val="00A46577"/>
    <w:rsid w:val="00A46C36"/>
    <w:rsid w:val="00A46F61"/>
    <w:rsid w:val="00A46F96"/>
    <w:rsid w:val="00A47178"/>
    <w:rsid w:val="00A472B7"/>
    <w:rsid w:val="00A47A8C"/>
    <w:rsid w:val="00A505BC"/>
    <w:rsid w:val="00A5068F"/>
    <w:rsid w:val="00A50732"/>
    <w:rsid w:val="00A50B3E"/>
    <w:rsid w:val="00A512D0"/>
    <w:rsid w:val="00A51DF4"/>
    <w:rsid w:val="00A52018"/>
    <w:rsid w:val="00A52D99"/>
    <w:rsid w:val="00A52E92"/>
    <w:rsid w:val="00A53297"/>
    <w:rsid w:val="00A536AC"/>
    <w:rsid w:val="00A537E5"/>
    <w:rsid w:val="00A5417C"/>
    <w:rsid w:val="00A54517"/>
    <w:rsid w:val="00A546E8"/>
    <w:rsid w:val="00A54755"/>
    <w:rsid w:val="00A54BB5"/>
    <w:rsid w:val="00A55BF6"/>
    <w:rsid w:val="00A55FD2"/>
    <w:rsid w:val="00A563D2"/>
    <w:rsid w:val="00A56A8D"/>
    <w:rsid w:val="00A570DB"/>
    <w:rsid w:val="00A60289"/>
    <w:rsid w:val="00A6045A"/>
    <w:rsid w:val="00A60A3C"/>
    <w:rsid w:val="00A60A67"/>
    <w:rsid w:val="00A60EDE"/>
    <w:rsid w:val="00A6202B"/>
    <w:rsid w:val="00A6213A"/>
    <w:rsid w:val="00A623E5"/>
    <w:rsid w:val="00A62464"/>
    <w:rsid w:val="00A62756"/>
    <w:rsid w:val="00A62964"/>
    <w:rsid w:val="00A6333A"/>
    <w:rsid w:val="00A63BDA"/>
    <w:rsid w:val="00A64CE3"/>
    <w:rsid w:val="00A65C98"/>
    <w:rsid w:val="00A664E1"/>
    <w:rsid w:val="00A66515"/>
    <w:rsid w:val="00A665C7"/>
    <w:rsid w:val="00A666A6"/>
    <w:rsid w:val="00A66CA1"/>
    <w:rsid w:val="00A67AF3"/>
    <w:rsid w:val="00A70009"/>
    <w:rsid w:val="00A70EA6"/>
    <w:rsid w:val="00A70F4A"/>
    <w:rsid w:val="00A71F60"/>
    <w:rsid w:val="00A720E8"/>
    <w:rsid w:val="00A726F4"/>
    <w:rsid w:val="00A72861"/>
    <w:rsid w:val="00A72888"/>
    <w:rsid w:val="00A728BF"/>
    <w:rsid w:val="00A73B52"/>
    <w:rsid w:val="00A73FDD"/>
    <w:rsid w:val="00A7475B"/>
    <w:rsid w:val="00A749B3"/>
    <w:rsid w:val="00A74FA4"/>
    <w:rsid w:val="00A76082"/>
    <w:rsid w:val="00A76BD6"/>
    <w:rsid w:val="00A770D6"/>
    <w:rsid w:val="00A7726D"/>
    <w:rsid w:val="00A77290"/>
    <w:rsid w:val="00A77326"/>
    <w:rsid w:val="00A8059E"/>
    <w:rsid w:val="00A8101A"/>
    <w:rsid w:val="00A814CB"/>
    <w:rsid w:val="00A820B9"/>
    <w:rsid w:val="00A8286A"/>
    <w:rsid w:val="00A82B11"/>
    <w:rsid w:val="00A82FCA"/>
    <w:rsid w:val="00A837F8"/>
    <w:rsid w:val="00A839A7"/>
    <w:rsid w:val="00A83A4C"/>
    <w:rsid w:val="00A8437B"/>
    <w:rsid w:val="00A84684"/>
    <w:rsid w:val="00A84748"/>
    <w:rsid w:val="00A85539"/>
    <w:rsid w:val="00A8598D"/>
    <w:rsid w:val="00A85CE0"/>
    <w:rsid w:val="00A85DA6"/>
    <w:rsid w:val="00A86306"/>
    <w:rsid w:val="00A86DF9"/>
    <w:rsid w:val="00A872E7"/>
    <w:rsid w:val="00A874CC"/>
    <w:rsid w:val="00A90883"/>
    <w:rsid w:val="00A90D8B"/>
    <w:rsid w:val="00A90D96"/>
    <w:rsid w:val="00A90F88"/>
    <w:rsid w:val="00A91747"/>
    <w:rsid w:val="00A91865"/>
    <w:rsid w:val="00A92AA2"/>
    <w:rsid w:val="00A92B2C"/>
    <w:rsid w:val="00A92E18"/>
    <w:rsid w:val="00A93FD9"/>
    <w:rsid w:val="00A94245"/>
    <w:rsid w:val="00A944A1"/>
    <w:rsid w:val="00A94ECD"/>
    <w:rsid w:val="00A95176"/>
    <w:rsid w:val="00A9595F"/>
    <w:rsid w:val="00A96491"/>
    <w:rsid w:val="00A96FC7"/>
    <w:rsid w:val="00A9740F"/>
    <w:rsid w:val="00A97AE6"/>
    <w:rsid w:val="00A97D6A"/>
    <w:rsid w:val="00AA1879"/>
    <w:rsid w:val="00AA1E9C"/>
    <w:rsid w:val="00AA2ADB"/>
    <w:rsid w:val="00AA30CE"/>
    <w:rsid w:val="00AA3396"/>
    <w:rsid w:val="00AA3B24"/>
    <w:rsid w:val="00AA4561"/>
    <w:rsid w:val="00AA4D38"/>
    <w:rsid w:val="00AA5542"/>
    <w:rsid w:val="00AA5BDB"/>
    <w:rsid w:val="00AA6C7E"/>
    <w:rsid w:val="00AA7EE3"/>
    <w:rsid w:val="00AB05A7"/>
    <w:rsid w:val="00AB0733"/>
    <w:rsid w:val="00AB1860"/>
    <w:rsid w:val="00AB2093"/>
    <w:rsid w:val="00AB2CC7"/>
    <w:rsid w:val="00AB391A"/>
    <w:rsid w:val="00AB3AE1"/>
    <w:rsid w:val="00AB4221"/>
    <w:rsid w:val="00AB4330"/>
    <w:rsid w:val="00AB49C0"/>
    <w:rsid w:val="00AB4C1B"/>
    <w:rsid w:val="00AB5119"/>
    <w:rsid w:val="00AB5350"/>
    <w:rsid w:val="00AB53E8"/>
    <w:rsid w:val="00AB553D"/>
    <w:rsid w:val="00AB60A5"/>
    <w:rsid w:val="00AB6205"/>
    <w:rsid w:val="00AB639A"/>
    <w:rsid w:val="00AB7B5D"/>
    <w:rsid w:val="00AB7F62"/>
    <w:rsid w:val="00AC0A71"/>
    <w:rsid w:val="00AC0AFE"/>
    <w:rsid w:val="00AC10D1"/>
    <w:rsid w:val="00AC146C"/>
    <w:rsid w:val="00AC17A8"/>
    <w:rsid w:val="00AC2A57"/>
    <w:rsid w:val="00AC316F"/>
    <w:rsid w:val="00AC4209"/>
    <w:rsid w:val="00AC43D3"/>
    <w:rsid w:val="00AC48CB"/>
    <w:rsid w:val="00AC5A03"/>
    <w:rsid w:val="00AC5ED7"/>
    <w:rsid w:val="00AC67D7"/>
    <w:rsid w:val="00AC6DA2"/>
    <w:rsid w:val="00AC7111"/>
    <w:rsid w:val="00AD0E04"/>
    <w:rsid w:val="00AD2195"/>
    <w:rsid w:val="00AD27A3"/>
    <w:rsid w:val="00AD2A71"/>
    <w:rsid w:val="00AD2AD5"/>
    <w:rsid w:val="00AD2B87"/>
    <w:rsid w:val="00AD30EB"/>
    <w:rsid w:val="00AD4375"/>
    <w:rsid w:val="00AD4495"/>
    <w:rsid w:val="00AD4ADD"/>
    <w:rsid w:val="00AD5577"/>
    <w:rsid w:val="00AD5A53"/>
    <w:rsid w:val="00AD5F45"/>
    <w:rsid w:val="00AD7028"/>
    <w:rsid w:val="00AD71AD"/>
    <w:rsid w:val="00AD7396"/>
    <w:rsid w:val="00AD744A"/>
    <w:rsid w:val="00AE028F"/>
    <w:rsid w:val="00AE0DD9"/>
    <w:rsid w:val="00AE1D7A"/>
    <w:rsid w:val="00AE2490"/>
    <w:rsid w:val="00AE28B0"/>
    <w:rsid w:val="00AE3394"/>
    <w:rsid w:val="00AE346D"/>
    <w:rsid w:val="00AE3E1D"/>
    <w:rsid w:val="00AE4276"/>
    <w:rsid w:val="00AE45C0"/>
    <w:rsid w:val="00AE4881"/>
    <w:rsid w:val="00AE4C75"/>
    <w:rsid w:val="00AE4DAD"/>
    <w:rsid w:val="00AE58C7"/>
    <w:rsid w:val="00AE5C15"/>
    <w:rsid w:val="00AE6092"/>
    <w:rsid w:val="00AE6D97"/>
    <w:rsid w:val="00AE74AD"/>
    <w:rsid w:val="00AE79FE"/>
    <w:rsid w:val="00AF00E7"/>
    <w:rsid w:val="00AF0D7D"/>
    <w:rsid w:val="00AF253D"/>
    <w:rsid w:val="00AF3838"/>
    <w:rsid w:val="00AF439F"/>
    <w:rsid w:val="00AF454C"/>
    <w:rsid w:val="00AF5E9A"/>
    <w:rsid w:val="00AF5F25"/>
    <w:rsid w:val="00AF60EA"/>
    <w:rsid w:val="00AF699A"/>
    <w:rsid w:val="00AF6A97"/>
    <w:rsid w:val="00AF6C89"/>
    <w:rsid w:val="00AF77CE"/>
    <w:rsid w:val="00AF7C0D"/>
    <w:rsid w:val="00B00B73"/>
    <w:rsid w:val="00B00EBA"/>
    <w:rsid w:val="00B015A8"/>
    <w:rsid w:val="00B01AE4"/>
    <w:rsid w:val="00B034EA"/>
    <w:rsid w:val="00B035B9"/>
    <w:rsid w:val="00B04174"/>
    <w:rsid w:val="00B04A39"/>
    <w:rsid w:val="00B04D3E"/>
    <w:rsid w:val="00B0574C"/>
    <w:rsid w:val="00B057EE"/>
    <w:rsid w:val="00B05C07"/>
    <w:rsid w:val="00B05D82"/>
    <w:rsid w:val="00B06654"/>
    <w:rsid w:val="00B06D46"/>
    <w:rsid w:val="00B07341"/>
    <w:rsid w:val="00B0772F"/>
    <w:rsid w:val="00B07890"/>
    <w:rsid w:val="00B1015C"/>
    <w:rsid w:val="00B10E4A"/>
    <w:rsid w:val="00B118F5"/>
    <w:rsid w:val="00B122F6"/>
    <w:rsid w:val="00B127C7"/>
    <w:rsid w:val="00B13131"/>
    <w:rsid w:val="00B131DE"/>
    <w:rsid w:val="00B142BD"/>
    <w:rsid w:val="00B161C7"/>
    <w:rsid w:val="00B1662B"/>
    <w:rsid w:val="00B16A88"/>
    <w:rsid w:val="00B17632"/>
    <w:rsid w:val="00B176C5"/>
    <w:rsid w:val="00B20648"/>
    <w:rsid w:val="00B2094F"/>
    <w:rsid w:val="00B20D57"/>
    <w:rsid w:val="00B21D49"/>
    <w:rsid w:val="00B2209D"/>
    <w:rsid w:val="00B222F6"/>
    <w:rsid w:val="00B22C6D"/>
    <w:rsid w:val="00B22F62"/>
    <w:rsid w:val="00B232A6"/>
    <w:rsid w:val="00B23435"/>
    <w:rsid w:val="00B2407E"/>
    <w:rsid w:val="00B240E5"/>
    <w:rsid w:val="00B241A7"/>
    <w:rsid w:val="00B24623"/>
    <w:rsid w:val="00B24B3A"/>
    <w:rsid w:val="00B250E2"/>
    <w:rsid w:val="00B25BCA"/>
    <w:rsid w:val="00B25F76"/>
    <w:rsid w:val="00B2623F"/>
    <w:rsid w:val="00B265E3"/>
    <w:rsid w:val="00B2707F"/>
    <w:rsid w:val="00B27AC2"/>
    <w:rsid w:val="00B300FB"/>
    <w:rsid w:val="00B30468"/>
    <w:rsid w:val="00B30A85"/>
    <w:rsid w:val="00B30D2F"/>
    <w:rsid w:val="00B31ECE"/>
    <w:rsid w:val="00B31F4E"/>
    <w:rsid w:val="00B332F5"/>
    <w:rsid w:val="00B33722"/>
    <w:rsid w:val="00B33B67"/>
    <w:rsid w:val="00B33E72"/>
    <w:rsid w:val="00B34578"/>
    <w:rsid w:val="00B3492B"/>
    <w:rsid w:val="00B349D3"/>
    <w:rsid w:val="00B34E62"/>
    <w:rsid w:val="00B357AC"/>
    <w:rsid w:val="00B359BE"/>
    <w:rsid w:val="00B359EB"/>
    <w:rsid w:val="00B361E3"/>
    <w:rsid w:val="00B373F3"/>
    <w:rsid w:val="00B377EA"/>
    <w:rsid w:val="00B37E1B"/>
    <w:rsid w:val="00B40174"/>
    <w:rsid w:val="00B40783"/>
    <w:rsid w:val="00B407B3"/>
    <w:rsid w:val="00B40DEC"/>
    <w:rsid w:val="00B412E2"/>
    <w:rsid w:val="00B4130C"/>
    <w:rsid w:val="00B4161F"/>
    <w:rsid w:val="00B43151"/>
    <w:rsid w:val="00B431B8"/>
    <w:rsid w:val="00B4385E"/>
    <w:rsid w:val="00B440DD"/>
    <w:rsid w:val="00B44195"/>
    <w:rsid w:val="00B44715"/>
    <w:rsid w:val="00B454F1"/>
    <w:rsid w:val="00B4570A"/>
    <w:rsid w:val="00B45836"/>
    <w:rsid w:val="00B45DDA"/>
    <w:rsid w:val="00B46D12"/>
    <w:rsid w:val="00B47524"/>
    <w:rsid w:val="00B47584"/>
    <w:rsid w:val="00B5022D"/>
    <w:rsid w:val="00B5046E"/>
    <w:rsid w:val="00B50752"/>
    <w:rsid w:val="00B5075C"/>
    <w:rsid w:val="00B509E7"/>
    <w:rsid w:val="00B52630"/>
    <w:rsid w:val="00B52791"/>
    <w:rsid w:val="00B52848"/>
    <w:rsid w:val="00B54ED5"/>
    <w:rsid w:val="00B54FBC"/>
    <w:rsid w:val="00B552C2"/>
    <w:rsid w:val="00B55CB0"/>
    <w:rsid w:val="00B5635C"/>
    <w:rsid w:val="00B56DCE"/>
    <w:rsid w:val="00B5706D"/>
    <w:rsid w:val="00B5740F"/>
    <w:rsid w:val="00B623E5"/>
    <w:rsid w:val="00B62476"/>
    <w:rsid w:val="00B624E3"/>
    <w:rsid w:val="00B62605"/>
    <w:rsid w:val="00B63346"/>
    <w:rsid w:val="00B6357F"/>
    <w:rsid w:val="00B63614"/>
    <w:rsid w:val="00B63AB7"/>
    <w:rsid w:val="00B64248"/>
    <w:rsid w:val="00B642AB"/>
    <w:rsid w:val="00B642FE"/>
    <w:rsid w:val="00B64383"/>
    <w:rsid w:val="00B648D1"/>
    <w:rsid w:val="00B64D24"/>
    <w:rsid w:val="00B64F56"/>
    <w:rsid w:val="00B66519"/>
    <w:rsid w:val="00B66555"/>
    <w:rsid w:val="00B6680B"/>
    <w:rsid w:val="00B67F84"/>
    <w:rsid w:val="00B702AB"/>
    <w:rsid w:val="00B71256"/>
    <w:rsid w:val="00B717DF"/>
    <w:rsid w:val="00B71849"/>
    <w:rsid w:val="00B718F4"/>
    <w:rsid w:val="00B71AF4"/>
    <w:rsid w:val="00B71C54"/>
    <w:rsid w:val="00B7259B"/>
    <w:rsid w:val="00B72897"/>
    <w:rsid w:val="00B72E63"/>
    <w:rsid w:val="00B73AB0"/>
    <w:rsid w:val="00B73F60"/>
    <w:rsid w:val="00B744C2"/>
    <w:rsid w:val="00B74D45"/>
    <w:rsid w:val="00B74ED3"/>
    <w:rsid w:val="00B75171"/>
    <w:rsid w:val="00B751CE"/>
    <w:rsid w:val="00B76408"/>
    <w:rsid w:val="00B767A8"/>
    <w:rsid w:val="00B76CD5"/>
    <w:rsid w:val="00B771FE"/>
    <w:rsid w:val="00B77BF4"/>
    <w:rsid w:val="00B808A7"/>
    <w:rsid w:val="00B816E0"/>
    <w:rsid w:val="00B81767"/>
    <w:rsid w:val="00B81D52"/>
    <w:rsid w:val="00B8219D"/>
    <w:rsid w:val="00B8273C"/>
    <w:rsid w:val="00B8296A"/>
    <w:rsid w:val="00B8388C"/>
    <w:rsid w:val="00B83901"/>
    <w:rsid w:val="00B83DFE"/>
    <w:rsid w:val="00B843B0"/>
    <w:rsid w:val="00B851EB"/>
    <w:rsid w:val="00B856EF"/>
    <w:rsid w:val="00B86023"/>
    <w:rsid w:val="00B863A6"/>
    <w:rsid w:val="00B87244"/>
    <w:rsid w:val="00B87638"/>
    <w:rsid w:val="00B90C53"/>
    <w:rsid w:val="00B90EA7"/>
    <w:rsid w:val="00B92363"/>
    <w:rsid w:val="00B92E56"/>
    <w:rsid w:val="00B93962"/>
    <w:rsid w:val="00B94248"/>
    <w:rsid w:val="00B943CD"/>
    <w:rsid w:val="00B94486"/>
    <w:rsid w:val="00B955BA"/>
    <w:rsid w:val="00B95D59"/>
    <w:rsid w:val="00B96B82"/>
    <w:rsid w:val="00B96FA5"/>
    <w:rsid w:val="00B971D9"/>
    <w:rsid w:val="00B97AEE"/>
    <w:rsid w:val="00BA139D"/>
    <w:rsid w:val="00BA1808"/>
    <w:rsid w:val="00BA1B74"/>
    <w:rsid w:val="00BA2134"/>
    <w:rsid w:val="00BA221A"/>
    <w:rsid w:val="00BA38C7"/>
    <w:rsid w:val="00BA4CCB"/>
    <w:rsid w:val="00BA5269"/>
    <w:rsid w:val="00BA5485"/>
    <w:rsid w:val="00BA56DA"/>
    <w:rsid w:val="00BA60E9"/>
    <w:rsid w:val="00BA6503"/>
    <w:rsid w:val="00BA6565"/>
    <w:rsid w:val="00BA6BE8"/>
    <w:rsid w:val="00BA6F4F"/>
    <w:rsid w:val="00BA7C1A"/>
    <w:rsid w:val="00BB0CDE"/>
    <w:rsid w:val="00BB0DD3"/>
    <w:rsid w:val="00BB262B"/>
    <w:rsid w:val="00BB2839"/>
    <w:rsid w:val="00BB2F57"/>
    <w:rsid w:val="00BB3561"/>
    <w:rsid w:val="00BB3A11"/>
    <w:rsid w:val="00BB3A72"/>
    <w:rsid w:val="00BB3D8C"/>
    <w:rsid w:val="00BB42A4"/>
    <w:rsid w:val="00BB564C"/>
    <w:rsid w:val="00BB578A"/>
    <w:rsid w:val="00BB6030"/>
    <w:rsid w:val="00BB72C5"/>
    <w:rsid w:val="00BB7C6C"/>
    <w:rsid w:val="00BB7D9E"/>
    <w:rsid w:val="00BC00D5"/>
    <w:rsid w:val="00BC0B32"/>
    <w:rsid w:val="00BC3413"/>
    <w:rsid w:val="00BC389A"/>
    <w:rsid w:val="00BC3D5F"/>
    <w:rsid w:val="00BC411E"/>
    <w:rsid w:val="00BC4364"/>
    <w:rsid w:val="00BC4D01"/>
    <w:rsid w:val="00BC5C66"/>
    <w:rsid w:val="00BC5C8C"/>
    <w:rsid w:val="00BC628A"/>
    <w:rsid w:val="00BC6ED7"/>
    <w:rsid w:val="00BC7DCE"/>
    <w:rsid w:val="00BC7F5D"/>
    <w:rsid w:val="00BD0584"/>
    <w:rsid w:val="00BD07F5"/>
    <w:rsid w:val="00BD0AB9"/>
    <w:rsid w:val="00BD11B8"/>
    <w:rsid w:val="00BD13BD"/>
    <w:rsid w:val="00BD15B9"/>
    <w:rsid w:val="00BD24A1"/>
    <w:rsid w:val="00BD34E5"/>
    <w:rsid w:val="00BD399F"/>
    <w:rsid w:val="00BD47CD"/>
    <w:rsid w:val="00BD4858"/>
    <w:rsid w:val="00BD5D2C"/>
    <w:rsid w:val="00BD7186"/>
    <w:rsid w:val="00BE044C"/>
    <w:rsid w:val="00BE28D4"/>
    <w:rsid w:val="00BE2C19"/>
    <w:rsid w:val="00BE3077"/>
    <w:rsid w:val="00BE3180"/>
    <w:rsid w:val="00BE39B3"/>
    <w:rsid w:val="00BE3BFA"/>
    <w:rsid w:val="00BE3E8F"/>
    <w:rsid w:val="00BE43A5"/>
    <w:rsid w:val="00BE5767"/>
    <w:rsid w:val="00BE5795"/>
    <w:rsid w:val="00BE74FA"/>
    <w:rsid w:val="00BE7B77"/>
    <w:rsid w:val="00BE7F48"/>
    <w:rsid w:val="00BE7FAD"/>
    <w:rsid w:val="00BF0B35"/>
    <w:rsid w:val="00BF0EC8"/>
    <w:rsid w:val="00BF145A"/>
    <w:rsid w:val="00BF188D"/>
    <w:rsid w:val="00BF18D4"/>
    <w:rsid w:val="00BF27A6"/>
    <w:rsid w:val="00BF2B10"/>
    <w:rsid w:val="00BF2E07"/>
    <w:rsid w:val="00BF3179"/>
    <w:rsid w:val="00BF444A"/>
    <w:rsid w:val="00BF49AF"/>
    <w:rsid w:val="00BF49F2"/>
    <w:rsid w:val="00BF4D71"/>
    <w:rsid w:val="00BF5B29"/>
    <w:rsid w:val="00BF5D7A"/>
    <w:rsid w:val="00BF616F"/>
    <w:rsid w:val="00BF61B2"/>
    <w:rsid w:val="00BF6218"/>
    <w:rsid w:val="00BF6E7E"/>
    <w:rsid w:val="00BF7D31"/>
    <w:rsid w:val="00C00752"/>
    <w:rsid w:val="00C010BB"/>
    <w:rsid w:val="00C028C8"/>
    <w:rsid w:val="00C0392C"/>
    <w:rsid w:val="00C03C74"/>
    <w:rsid w:val="00C03CD7"/>
    <w:rsid w:val="00C03E14"/>
    <w:rsid w:val="00C04072"/>
    <w:rsid w:val="00C04460"/>
    <w:rsid w:val="00C0521B"/>
    <w:rsid w:val="00C06EBF"/>
    <w:rsid w:val="00C06FEB"/>
    <w:rsid w:val="00C0745D"/>
    <w:rsid w:val="00C074CE"/>
    <w:rsid w:val="00C0764C"/>
    <w:rsid w:val="00C102B4"/>
    <w:rsid w:val="00C1050B"/>
    <w:rsid w:val="00C11F2B"/>
    <w:rsid w:val="00C125E7"/>
    <w:rsid w:val="00C12EB3"/>
    <w:rsid w:val="00C148E3"/>
    <w:rsid w:val="00C14C33"/>
    <w:rsid w:val="00C15122"/>
    <w:rsid w:val="00C15308"/>
    <w:rsid w:val="00C158A1"/>
    <w:rsid w:val="00C168B6"/>
    <w:rsid w:val="00C17130"/>
    <w:rsid w:val="00C175C5"/>
    <w:rsid w:val="00C17886"/>
    <w:rsid w:val="00C2082D"/>
    <w:rsid w:val="00C2150B"/>
    <w:rsid w:val="00C22A28"/>
    <w:rsid w:val="00C22AE1"/>
    <w:rsid w:val="00C23DE7"/>
    <w:rsid w:val="00C25346"/>
    <w:rsid w:val="00C25824"/>
    <w:rsid w:val="00C258AB"/>
    <w:rsid w:val="00C25F35"/>
    <w:rsid w:val="00C26BB7"/>
    <w:rsid w:val="00C26D69"/>
    <w:rsid w:val="00C2710A"/>
    <w:rsid w:val="00C2757E"/>
    <w:rsid w:val="00C30501"/>
    <w:rsid w:val="00C305CB"/>
    <w:rsid w:val="00C31BAD"/>
    <w:rsid w:val="00C32074"/>
    <w:rsid w:val="00C3219F"/>
    <w:rsid w:val="00C326B2"/>
    <w:rsid w:val="00C32AE5"/>
    <w:rsid w:val="00C34252"/>
    <w:rsid w:val="00C34C64"/>
    <w:rsid w:val="00C34C9E"/>
    <w:rsid w:val="00C353E7"/>
    <w:rsid w:val="00C35722"/>
    <w:rsid w:val="00C36E8F"/>
    <w:rsid w:val="00C376E9"/>
    <w:rsid w:val="00C3784A"/>
    <w:rsid w:val="00C37E05"/>
    <w:rsid w:val="00C4048B"/>
    <w:rsid w:val="00C413B6"/>
    <w:rsid w:val="00C41416"/>
    <w:rsid w:val="00C41D51"/>
    <w:rsid w:val="00C42418"/>
    <w:rsid w:val="00C42E40"/>
    <w:rsid w:val="00C43854"/>
    <w:rsid w:val="00C43E04"/>
    <w:rsid w:val="00C43FE6"/>
    <w:rsid w:val="00C44157"/>
    <w:rsid w:val="00C443C4"/>
    <w:rsid w:val="00C444EC"/>
    <w:rsid w:val="00C447BB"/>
    <w:rsid w:val="00C44813"/>
    <w:rsid w:val="00C44B0C"/>
    <w:rsid w:val="00C44E15"/>
    <w:rsid w:val="00C45347"/>
    <w:rsid w:val="00C461B4"/>
    <w:rsid w:val="00C46C86"/>
    <w:rsid w:val="00C46E10"/>
    <w:rsid w:val="00C4719F"/>
    <w:rsid w:val="00C475F9"/>
    <w:rsid w:val="00C47DB3"/>
    <w:rsid w:val="00C51BFC"/>
    <w:rsid w:val="00C5268A"/>
    <w:rsid w:val="00C531FD"/>
    <w:rsid w:val="00C54BE4"/>
    <w:rsid w:val="00C54F31"/>
    <w:rsid w:val="00C5538F"/>
    <w:rsid w:val="00C56482"/>
    <w:rsid w:val="00C565BF"/>
    <w:rsid w:val="00C579E5"/>
    <w:rsid w:val="00C57D8A"/>
    <w:rsid w:val="00C610E4"/>
    <w:rsid w:val="00C617E1"/>
    <w:rsid w:val="00C6209A"/>
    <w:rsid w:val="00C62172"/>
    <w:rsid w:val="00C621E3"/>
    <w:rsid w:val="00C63BB4"/>
    <w:rsid w:val="00C641B0"/>
    <w:rsid w:val="00C656D4"/>
    <w:rsid w:val="00C65852"/>
    <w:rsid w:val="00C6621B"/>
    <w:rsid w:val="00C662FE"/>
    <w:rsid w:val="00C66560"/>
    <w:rsid w:val="00C665EF"/>
    <w:rsid w:val="00C672FC"/>
    <w:rsid w:val="00C67FDF"/>
    <w:rsid w:val="00C70ACC"/>
    <w:rsid w:val="00C70D06"/>
    <w:rsid w:val="00C716DB"/>
    <w:rsid w:val="00C71ACB"/>
    <w:rsid w:val="00C72F01"/>
    <w:rsid w:val="00C732C2"/>
    <w:rsid w:val="00C73991"/>
    <w:rsid w:val="00C73CB9"/>
    <w:rsid w:val="00C74002"/>
    <w:rsid w:val="00C74D73"/>
    <w:rsid w:val="00C75552"/>
    <w:rsid w:val="00C757C9"/>
    <w:rsid w:val="00C75901"/>
    <w:rsid w:val="00C75B23"/>
    <w:rsid w:val="00C76256"/>
    <w:rsid w:val="00C76375"/>
    <w:rsid w:val="00C76A66"/>
    <w:rsid w:val="00C76FF7"/>
    <w:rsid w:val="00C771FB"/>
    <w:rsid w:val="00C7745B"/>
    <w:rsid w:val="00C77A17"/>
    <w:rsid w:val="00C77C94"/>
    <w:rsid w:val="00C77ED9"/>
    <w:rsid w:val="00C8010A"/>
    <w:rsid w:val="00C8010B"/>
    <w:rsid w:val="00C8024A"/>
    <w:rsid w:val="00C803D8"/>
    <w:rsid w:val="00C81B82"/>
    <w:rsid w:val="00C827F1"/>
    <w:rsid w:val="00C828B9"/>
    <w:rsid w:val="00C83AE2"/>
    <w:rsid w:val="00C84375"/>
    <w:rsid w:val="00C84448"/>
    <w:rsid w:val="00C84BAC"/>
    <w:rsid w:val="00C850E9"/>
    <w:rsid w:val="00C855D1"/>
    <w:rsid w:val="00C862D3"/>
    <w:rsid w:val="00C86756"/>
    <w:rsid w:val="00C86E69"/>
    <w:rsid w:val="00C87813"/>
    <w:rsid w:val="00C878B1"/>
    <w:rsid w:val="00C9124E"/>
    <w:rsid w:val="00C918B1"/>
    <w:rsid w:val="00C9329D"/>
    <w:rsid w:val="00C94116"/>
    <w:rsid w:val="00C941AA"/>
    <w:rsid w:val="00C948C1"/>
    <w:rsid w:val="00C9522E"/>
    <w:rsid w:val="00CA01DD"/>
    <w:rsid w:val="00CA0C18"/>
    <w:rsid w:val="00CA1BEF"/>
    <w:rsid w:val="00CA1EB7"/>
    <w:rsid w:val="00CA28B9"/>
    <w:rsid w:val="00CA30BE"/>
    <w:rsid w:val="00CA37B6"/>
    <w:rsid w:val="00CA3867"/>
    <w:rsid w:val="00CA3FBB"/>
    <w:rsid w:val="00CA4ECC"/>
    <w:rsid w:val="00CA547B"/>
    <w:rsid w:val="00CA5F68"/>
    <w:rsid w:val="00CA609B"/>
    <w:rsid w:val="00CA66D6"/>
    <w:rsid w:val="00CA6C10"/>
    <w:rsid w:val="00CA7B3F"/>
    <w:rsid w:val="00CA7B66"/>
    <w:rsid w:val="00CA7F3F"/>
    <w:rsid w:val="00CB04E6"/>
    <w:rsid w:val="00CB1806"/>
    <w:rsid w:val="00CB197D"/>
    <w:rsid w:val="00CB23D1"/>
    <w:rsid w:val="00CB29AB"/>
    <w:rsid w:val="00CB2AE8"/>
    <w:rsid w:val="00CB2E65"/>
    <w:rsid w:val="00CB2E7C"/>
    <w:rsid w:val="00CB2F71"/>
    <w:rsid w:val="00CB3D4D"/>
    <w:rsid w:val="00CB407A"/>
    <w:rsid w:val="00CB49B3"/>
    <w:rsid w:val="00CB4DBF"/>
    <w:rsid w:val="00CB4DDC"/>
    <w:rsid w:val="00CB4FC6"/>
    <w:rsid w:val="00CB5612"/>
    <w:rsid w:val="00CB622E"/>
    <w:rsid w:val="00CB64F3"/>
    <w:rsid w:val="00CB703C"/>
    <w:rsid w:val="00CB7148"/>
    <w:rsid w:val="00CB7C53"/>
    <w:rsid w:val="00CC0669"/>
    <w:rsid w:val="00CC06EC"/>
    <w:rsid w:val="00CC0916"/>
    <w:rsid w:val="00CC0BE3"/>
    <w:rsid w:val="00CC146D"/>
    <w:rsid w:val="00CC16BC"/>
    <w:rsid w:val="00CC18B0"/>
    <w:rsid w:val="00CC1CA0"/>
    <w:rsid w:val="00CC2256"/>
    <w:rsid w:val="00CC245F"/>
    <w:rsid w:val="00CC2576"/>
    <w:rsid w:val="00CC2B90"/>
    <w:rsid w:val="00CC32BB"/>
    <w:rsid w:val="00CC32CE"/>
    <w:rsid w:val="00CC350B"/>
    <w:rsid w:val="00CC35B2"/>
    <w:rsid w:val="00CC367D"/>
    <w:rsid w:val="00CC37E2"/>
    <w:rsid w:val="00CC3C62"/>
    <w:rsid w:val="00CC3DC2"/>
    <w:rsid w:val="00CC5109"/>
    <w:rsid w:val="00CC5605"/>
    <w:rsid w:val="00CC5823"/>
    <w:rsid w:val="00CC5C5F"/>
    <w:rsid w:val="00CC60EF"/>
    <w:rsid w:val="00CC66A6"/>
    <w:rsid w:val="00CC7593"/>
    <w:rsid w:val="00CC7C6B"/>
    <w:rsid w:val="00CC7D2C"/>
    <w:rsid w:val="00CD0265"/>
    <w:rsid w:val="00CD0427"/>
    <w:rsid w:val="00CD04BC"/>
    <w:rsid w:val="00CD0BE8"/>
    <w:rsid w:val="00CD2855"/>
    <w:rsid w:val="00CD3027"/>
    <w:rsid w:val="00CD40B7"/>
    <w:rsid w:val="00CD43B2"/>
    <w:rsid w:val="00CD44B3"/>
    <w:rsid w:val="00CD6088"/>
    <w:rsid w:val="00CD62A1"/>
    <w:rsid w:val="00CD6891"/>
    <w:rsid w:val="00CD74EB"/>
    <w:rsid w:val="00CD758D"/>
    <w:rsid w:val="00CD7F84"/>
    <w:rsid w:val="00CE08AF"/>
    <w:rsid w:val="00CE09FF"/>
    <w:rsid w:val="00CE1532"/>
    <w:rsid w:val="00CE29B1"/>
    <w:rsid w:val="00CE2BA1"/>
    <w:rsid w:val="00CE2CF4"/>
    <w:rsid w:val="00CE2F7E"/>
    <w:rsid w:val="00CE4484"/>
    <w:rsid w:val="00CE4FBD"/>
    <w:rsid w:val="00CE5545"/>
    <w:rsid w:val="00CE5C3B"/>
    <w:rsid w:val="00CE5F57"/>
    <w:rsid w:val="00CE61D1"/>
    <w:rsid w:val="00CE7260"/>
    <w:rsid w:val="00CE7AE9"/>
    <w:rsid w:val="00CE7C1C"/>
    <w:rsid w:val="00CE7E6E"/>
    <w:rsid w:val="00CF0086"/>
    <w:rsid w:val="00CF0178"/>
    <w:rsid w:val="00CF12BA"/>
    <w:rsid w:val="00CF174B"/>
    <w:rsid w:val="00CF1896"/>
    <w:rsid w:val="00CF1ADC"/>
    <w:rsid w:val="00CF30E6"/>
    <w:rsid w:val="00CF35B0"/>
    <w:rsid w:val="00CF3683"/>
    <w:rsid w:val="00CF37F0"/>
    <w:rsid w:val="00CF4029"/>
    <w:rsid w:val="00CF5025"/>
    <w:rsid w:val="00CF5528"/>
    <w:rsid w:val="00CF5F53"/>
    <w:rsid w:val="00CF63E8"/>
    <w:rsid w:val="00CF68DD"/>
    <w:rsid w:val="00CF7176"/>
    <w:rsid w:val="00CF7449"/>
    <w:rsid w:val="00CF798C"/>
    <w:rsid w:val="00CF7D4E"/>
    <w:rsid w:val="00D01233"/>
    <w:rsid w:val="00D015BE"/>
    <w:rsid w:val="00D0195A"/>
    <w:rsid w:val="00D023BB"/>
    <w:rsid w:val="00D02A7B"/>
    <w:rsid w:val="00D02C17"/>
    <w:rsid w:val="00D02C7C"/>
    <w:rsid w:val="00D039C2"/>
    <w:rsid w:val="00D04011"/>
    <w:rsid w:val="00D052D3"/>
    <w:rsid w:val="00D0531C"/>
    <w:rsid w:val="00D062E4"/>
    <w:rsid w:val="00D0689D"/>
    <w:rsid w:val="00D06F8C"/>
    <w:rsid w:val="00D0726C"/>
    <w:rsid w:val="00D0796F"/>
    <w:rsid w:val="00D1130B"/>
    <w:rsid w:val="00D12131"/>
    <w:rsid w:val="00D124F1"/>
    <w:rsid w:val="00D125F0"/>
    <w:rsid w:val="00D12695"/>
    <w:rsid w:val="00D126DA"/>
    <w:rsid w:val="00D126DB"/>
    <w:rsid w:val="00D129C1"/>
    <w:rsid w:val="00D12A09"/>
    <w:rsid w:val="00D13010"/>
    <w:rsid w:val="00D130B9"/>
    <w:rsid w:val="00D1313E"/>
    <w:rsid w:val="00D13FA8"/>
    <w:rsid w:val="00D14316"/>
    <w:rsid w:val="00D147ED"/>
    <w:rsid w:val="00D1488A"/>
    <w:rsid w:val="00D151BB"/>
    <w:rsid w:val="00D151EA"/>
    <w:rsid w:val="00D16D09"/>
    <w:rsid w:val="00D172D1"/>
    <w:rsid w:val="00D17CA2"/>
    <w:rsid w:val="00D17DAB"/>
    <w:rsid w:val="00D2034E"/>
    <w:rsid w:val="00D22AE1"/>
    <w:rsid w:val="00D22DEB"/>
    <w:rsid w:val="00D23468"/>
    <w:rsid w:val="00D23535"/>
    <w:rsid w:val="00D2388B"/>
    <w:rsid w:val="00D23BEB"/>
    <w:rsid w:val="00D24183"/>
    <w:rsid w:val="00D24B85"/>
    <w:rsid w:val="00D24F63"/>
    <w:rsid w:val="00D24FA3"/>
    <w:rsid w:val="00D25074"/>
    <w:rsid w:val="00D260DA"/>
    <w:rsid w:val="00D2667E"/>
    <w:rsid w:val="00D27E44"/>
    <w:rsid w:val="00D304E2"/>
    <w:rsid w:val="00D3087F"/>
    <w:rsid w:val="00D30A39"/>
    <w:rsid w:val="00D30A95"/>
    <w:rsid w:val="00D32809"/>
    <w:rsid w:val="00D32B30"/>
    <w:rsid w:val="00D32B5A"/>
    <w:rsid w:val="00D336B2"/>
    <w:rsid w:val="00D3459B"/>
    <w:rsid w:val="00D345F9"/>
    <w:rsid w:val="00D34D6F"/>
    <w:rsid w:val="00D34F00"/>
    <w:rsid w:val="00D3542C"/>
    <w:rsid w:val="00D35441"/>
    <w:rsid w:val="00D3743F"/>
    <w:rsid w:val="00D37778"/>
    <w:rsid w:val="00D37BB1"/>
    <w:rsid w:val="00D40089"/>
    <w:rsid w:val="00D406EA"/>
    <w:rsid w:val="00D41F7A"/>
    <w:rsid w:val="00D4300D"/>
    <w:rsid w:val="00D43454"/>
    <w:rsid w:val="00D43D15"/>
    <w:rsid w:val="00D441F0"/>
    <w:rsid w:val="00D44735"/>
    <w:rsid w:val="00D4490A"/>
    <w:rsid w:val="00D455F9"/>
    <w:rsid w:val="00D45642"/>
    <w:rsid w:val="00D45B2C"/>
    <w:rsid w:val="00D45C38"/>
    <w:rsid w:val="00D46A8F"/>
    <w:rsid w:val="00D473DC"/>
    <w:rsid w:val="00D4757B"/>
    <w:rsid w:val="00D5007E"/>
    <w:rsid w:val="00D50841"/>
    <w:rsid w:val="00D512E5"/>
    <w:rsid w:val="00D51BF4"/>
    <w:rsid w:val="00D51FBA"/>
    <w:rsid w:val="00D526E3"/>
    <w:rsid w:val="00D52CBA"/>
    <w:rsid w:val="00D534A7"/>
    <w:rsid w:val="00D53565"/>
    <w:rsid w:val="00D537CE"/>
    <w:rsid w:val="00D53B1F"/>
    <w:rsid w:val="00D53BE4"/>
    <w:rsid w:val="00D53FEB"/>
    <w:rsid w:val="00D542B7"/>
    <w:rsid w:val="00D544F0"/>
    <w:rsid w:val="00D54F45"/>
    <w:rsid w:val="00D55178"/>
    <w:rsid w:val="00D553DC"/>
    <w:rsid w:val="00D554C8"/>
    <w:rsid w:val="00D55D68"/>
    <w:rsid w:val="00D5616C"/>
    <w:rsid w:val="00D56448"/>
    <w:rsid w:val="00D56861"/>
    <w:rsid w:val="00D56F4D"/>
    <w:rsid w:val="00D57219"/>
    <w:rsid w:val="00D5761C"/>
    <w:rsid w:val="00D57DCD"/>
    <w:rsid w:val="00D57F7C"/>
    <w:rsid w:val="00D60973"/>
    <w:rsid w:val="00D61B47"/>
    <w:rsid w:val="00D61CB1"/>
    <w:rsid w:val="00D61CFB"/>
    <w:rsid w:val="00D61D71"/>
    <w:rsid w:val="00D6237F"/>
    <w:rsid w:val="00D62FF7"/>
    <w:rsid w:val="00D6313A"/>
    <w:rsid w:val="00D636E5"/>
    <w:rsid w:val="00D638D2"/>
    <w:rsid w:val="00D65822"/>
    <w:rsid w:val="00D658BB"/>
    <w:rsid w:val="00D659F6"/>
    <w:rsid w:val="00D65F79"/>
    <w:rsid w:val="00D66CA4"/>
    <w:rsid w:val="00D715A4"/>
    <w:rsid w:val="00D71CC0"/>
    <w:rsid w:val="00D71F0E"/>
    <w:rsid w:val="00D7232E"/>
    <w:rsid w:val="00D7282B"/>
    <w:rsid w:val="00D770D0"/>
    <w:rsid w:val="00D7758E"/>
    <w:rsid w:val="00D808DB"/>
    <w:rsid w:val="00D80A26"/>
    <w:rsid w:val="00D80C2B"/>
    <w:rsid w:val="00D814BF"/>
    <w:rsid w:val="00D81B45"/>
    <w:rsid w:val="00D82034"/>
    <w:rsid w:val="00D8250B"/>
    <w:rsid w:val="00D82F4C"/>
    <w:rsid w:val="00D83002"/>
    <w:rsid w:val="00D835EC"/>
    <w:rsid w:val="00D845C9"/>
    <w:rsid w:val="00D84BF3"/>
    <w:rsid w:val="00D851F6"/>
    <w:rsid w:val="00D854F8"/>
    <w:rsid w:val="00D85849"/>
    <w:rsid w:val="00D85A91"/>
    <w:rsid w:val="00D86095"/>
    <w:rsid w:val="00D8621A"/>
    <w:rsid w:val="00D862E1"/>
    <w:rsid w:val="00D873AB"/>
    <w:rsid w:val="00D87584"/>
    <w:rsid w:val="00D876A4"/>
    <w:rsid w:val="00D87A83"/>
    <w:rsid w:val="00D87E76"/>
    <w:rsid w:val="00D902FC"/>
    <w:rsid w:val="00D9037B"/>
    <w:rsid w:val="00D9041A"/>
    <w:rsid w:val="00D908BD"/>
    <w:rsid w:val="00D90997"/>
    <w:rsid w:val="00D914AE"/>
    <w:rsid w:val="00D91933"/>
    <w:rsid w:val="00D91EFF"/>
    <w:rsid w:val="00D923E6"/>
    <w:rsid w:val="00D9294E"/>
    <w:rsid w:val="00D936EF"/>
    <w:rsid w:val="00D93CCF"/>
    <w:rsid w:val="00D93F23"/>
    <w:rsid w:val="00D93F5C"/>
    <w:rsid w:val="00D94937"/>
    <w:rsid w:val="00D955E3"/>
    <w:rsid w:val="00D959D7"/>
    <w:rsid w:val="00D95A4C"/>
    <w:rsid w:val="00D96946"/>
    <w:rsid w:val="00D97891"/>
    <w:rsid w:val="00D97979"/>
    <w:rsid w:val="00D97F14"/>
    <w:rsid w:val="00DA0463"/>
    <w:rsid w:val="00DA0CAE"/>
    <w:rsid w:val="00DA10B2"/>
    <w:rsid w:val="00DA1295"/>
    <w:rsid w:val="00DA1723"/>
    <w:rsid w:val="00DA2442"/>
    <w:rsid w:val="00DA29F8"/>
    <w:rsid w:val="00DA2F61"/>
    <w:rsid w:val="00DA308F"/>
    <w:rsid w:val="00DA3532"/>
    <w:rsid w:val="00DA39D4"/>
    <w:rsid w:val="00DA39EE"/>
    <w:rsid w:val="00DA419C"/>
    <w:rsid w:val="00DA44C3"/>
    <w:rsid w:val="00DA482F"/>
    <w:rsid w:val="00DA4B3A"/>
    <w:rsid w:val="00DA50AB"/>
    <w:rsid w:val="00DA5206"/>
    <w:rsid w:val="00DA521A"/>
    <w:rsid w:val="00DA5624"/>
    <w:rsid w:val="00DA5785"/>
    <w:rsid w:val="00DA605D"/>
    <w:rsid w:val="00DA6ABF"/>
    <w:rsid w:val="00DA6DD4"/>
    <w:rsid w:val="00DA711A"/>
    <w:rsid w:val="00DA747E"/>
    <w:rsid w:val="00DA7826"/>
    <w:rsid w:val="00DB045C"/>
    <w:rsid w:val="00DB06D1"/>
    <w:rsid w:val="00DB08BC"/>
    <w:rsid w:val="00DB09E1"/>
    <w:rsid w:val="00DB0B29"/>
    <w:rsid w:val="00DB0B9F"/>
    <w:rsid w:val="00DB0CD0"/>
    <w:rsid w:val="00DB0EB5"/>
    <w:rsid w:val="00DB1480"/>
    <w:rsid w:val="00DB155F"/>
    <w:rsid w:val="00DB1708"/>
    <w:rsid w:val="00DB1B1E"/>
    <w:rsid w:val="00DB1B94"/>
    <w:rsid w:val="00DB2E19"/>
    <w:rsid w:val="00DB2F15"/>
    <w:rsid w:val="00DB328C"/>
    <w:rsid w:val="00DB3AD2"/>
    <w:rsid w:val="00DB3C70"/>
    <w:rsid w:val="00DB3CBA"/>
    <w:rsid w:val="00DB3E4B"/>
    <w:rsid w:val="00DB5659"/>
    <w:rsid w:val="00DB56F7"/>
    <w:rsid w:val="00DB587E"/>
    <w:rsid w:val="00DB65A3"/>
    <w:rsid w:val="00DB6662"/>
    <w:rsid w:val="00DB743F"/>
    <w:rsid w:val="00DB7DF1"/>
    <w:rsid w:val="00DC1C8F"/>
    <w:rsid w:val="00DC28AF"/>
    <w:rsid w:val="00DC3457"/>
    <w:rsid w:val="00DC3555"/>
    <w:rsid w:val="00DC3999"/>
    <w:rsid w:val="00DC4B8E"/>
    <w:rsid w:val="00DC5C2C"/>
    <w:rsid w:val="00DD0D89"/>
    <w:rsid w:val="00DD1A45"/>
    <w:rsid w:val="00DD28FD"/>
    <w:rsid w:val="00DD2B74"/>
    <w:rsid w:val="00DD38D1"/>
    <w:rsid w:val="00DD4F63"/>
    <w:rsid w:val="00DD54EF"/>
    <w:rsid w:val="00DD5878"/>
    <w:rsid w:val="00DD6BC7"/>
    <w:rsid w:val="00DD6ECF"/>
    <w:rsid w:val="00DD72BB"/>
    <w:rsid w:val="00DD74F8"/>
    <w:rsid w:val="00DD7897"/>
    <w:rsid w:val="00DD7CF5"/>
    <w:rsid w:val="00DE0D8C"/>
    <w:rsid w:val="00DE1B06"/>
    <w:rsid w:val="00DE1EC2"/>
    <w:rsid w:val="00DE2988"/>
    <w:rsid w:val="00DE393D"/>
    <w:rsid w:val="00DE3CD4"/>
    <w:rsid w:val="00DE4A2C"/>
    <w:rsid w:val="00DE4E2E"/>
    <w:rsid w:val="00DE5180"/>
    <w:rsid w:val="00DE5567"/>
    <w:rsid w:val="00DE5FBF"/>
    <w:rsid w:val="00DE5FCB"/>
    <w:rsid w:val="00DE63FE"/>
    <w:rsid w:val="00DE6A41"/>
    <w:rsid w:val="00DE6CB3"/>
    <w:rsid w:val="00DF067A"/>
    <w:rsid w:val="00DF0E8D"/>
    <w:rsid w:val="00DF13B1"/>
    <w:rsid w:val="00DF1980"/>
    <w:rsid w:val="00DF1ACB"/>
    <w:rsid w:val="00DF2247"/>
    <w:rsid w:val="00DF22CB"/>
    <w:rsid w:val="00DF3979"/>
    <w:rsid w:val="00DF3A65"/>
    <w:rsid w:val="00DF3E1A"/>
    <w:rsid w:val="00DF4096"/>
    <w:rsid w:val="00DF42FE"/>
    <w:rsid w:val="00DF4BC3"/>
    <w:rsid w:val="00DF4D3E"/>
    <w:rsid w:val="00DF5285"/>
    <w:rsid w:val="00DF5FA5"/>
    <w:rsid w:val="00DF62CA"/>
    <w:rsid w:val="00DF65F2"/>
    <w:rsid w:val="00DF67DB"/>
    <w:rsid w:val="00DF6A8B"/>
    <w:rsid w:val="00DF7883"/>
    <w:rsid w:val="00E00989"/>
    <w:rsid w:val="00E00A43"/>
    <w:rsid w:val="00E00FE9"/>
    <w:rsid w:val="00E01275"/>
    <w:rsid w:val="00E015C9"/>
    <w:rsid w:val="00E0183B"/>
    <w:rsid w:val="00E02170"/>
    <w:rsid w:val="00E02600"/>
    <w:rsid w:val="00E02B1B"/>
    <w:rsid w:val="00E02FC8"/>
    <w:rsid w:val="00E037B1"/>
    <w:rsid w:val="00E03C7B"/>
    <w:rsid w:val="00E03E5D"/>
    <w:rsid w:val="00E048FC"/>
    <w:rsid w:val="00E04AF3"/>
    <w:rsid w:val="00E04C6C"/>
    <w:rsid w:val="00E0583B"/>
    <w:rsid w:val="00E060EF"/>
    <w:rsid w:val="00E060F4"/>
    <w:rsid w:val="00E0657E"/>
    <w:rsid w:val="00E066BA"/>
    <w:rsid w:val="00E0679B"/>
    <w:rsid w:val="00E06CEB"/>
    <w:rsid w:val="00E070F1"/>
    <w:rsid w:val="00E07397"/>
    <w:rsid w:val="00E0745B"/>
    <w:rsid w:val="00E07E8D"/>
    <w:rsid w:val="00E10334"/>
    <w:rsid w:val="00E1057B"/>
    <w:rsid w:val="00E10638"/>
    <w:rsid w:val="00E10A6E"/>
    <w:rsid w:val="00E10B0C"/>
    <w:rsid w:val="00E10B7D"/>
    <w:rsid w:val="00E10DA7"/>
    <w:rsid w:val="00E1106F"/>
    <w:rsid w:val="00E11139"/>
    <w:rsid w:val="00E120FA"/>
    <w:rsid w:val="00E13CBE"/>
    <w:rsid w:val="00E14E78"/>
    <w:rsid w:val="00E153D3"/>
    <w:rsid w:val="00E15405"/>
    <w:rsid w:val="00E157F9"/>
    <w:rsid w:val="00E16004"/>
    <w:rsid w:val="00E16BD2"/>
    <w:rsid w:val="00E175D8"/>
    <w:rsid w:val="00E2067C"/>
    <w:rsid w:val="00E20C63"/>
    <w:rsid w:val="00E20D7C"/>
    <w:rsid w:val="00E214B9"/>
    <w:rsid w:val="00E21501"/>
    <w:rsid w:val="00E2168C"/>
    <w:rsid w:val="00E21718"/>
    <w:rsid w:val="00E225DA"/>
    <w:rsid w:val="00E229C7"/>
    <w:rsid w:val="00E22B16"/>
    <w:rsid w:val="00E22C7B"/>
    <w:rsid w:val="00E23CBD"/>
    <w:rsid w:val="00E24730"/>
    <w:rsid w:val="00E24A71"/>
    <w:rsid w:val="00E25A02"/>
    <w:rsid w:val="00E2610C"/>
    <w:rsid w:val="00E265DA"/>
    <w:rsid w:val="00E267D9"/>
    <w:rsid w:val="00E26E72"/>
    <w:rsid w:val="00E26FA7"/>
    <w:rsid w:val="00E27FA9"/>
    <w:rsid w:val="00E30B7D"/>
    <w:rsid w:val="00E30D1E"/>
    <w:rsid w:val="00E31848"/>
    <w:rsid w:val="00E3193C"/>
    <w:rsid w:val="00E320B6"/>
    <w:rsid w:val="00E33175"/>
    <w:rsid w:val="00E33755"/>
    <w:rsid w:val="00E3394F"/>
    <w:rsid w:val="00E33B77"/>
    <w:rsid w:val="00E342D9"/>
    <w:rsid w:val="00E34342"/>
    <w:rsid w:val="00E34D0F"/>
    <w:rsid w:val="00E34ED0"/>
    <w:rsid w:val="00E354E7"/>
    <w:rsid w:val="00E35963"/>
    <w:rsid w:val="00E35CBB"/>
    <w:rsid w:val="00E36102"/>
    <w:rsid w:val="00E36CE6"/>
    <w:rsid w:val="00E36DEB"/>
    <w:rsid w:val="00E3708A"/>
    <w:rsid w:val="00E3797A"/>
    <w:rsid w:val="00E4052D"/>
    <w:rsid w:val="00E406B3"/>
    <w:rsid w:val="00E4079C"/>
    <w:rsid w:val="00E41061"/>
    <w:rsid w:val="00E4119B"/>
    <w:rsid w:val="00E4184A"/>
    <w:rsid w:val="00E425C4"/>
    <w:rsid w:val="00E4276C"/>
    <w:rsid w:val="00E428BE"/>
    <w:rsid w:val="00E4395B"/>
    <w:rsid w:val="00E43A35"/>
    <w:rsid w:val="00E44BA6"/>
    <w:rsid w:val="00E460B3"/>
    <w:rsid w:val="00E46147"/>
    <w:rsid w:val="00E4749B"/>
    <w:rsid w:val="00E47D13"/>
    <w:rsid w:val="00E506B6"/>
    <w:rsid w:val="00E50BB9"/>
    <w:rsid w:val="00E51495"/>
    <w:rsid w:val="00E51997"/>
    <w:rsid w:val="00E51A39"/>
    <w:rsid w:val="00E51A5B"/>
    <w:rsid w:val="00E51B0E"/>
    <w:rsid w:val="00E52673"/>
    <w:rsid w:val="00E526B9"/>
    <w:rsid w:val="00E52D17"/>
    <w:rsid w:val="00E535BC"/>
    <w:rsid w:val="00E53AF4"/>
    <w:rsid w:val="00E54099"/>
    <w:rsid w:val="00E5435D"/>
    <w:rsid w:val="00E5465E"/>
    <w:rsid w:val="00E5468F"/>
    <w:rsid w:val="00E548E4"/>
    <w:rsid w:val="00E54D47"/>
    <w:rsid w:val="00E54DA9"/>
    <w:rsid w:val="00E56087"/>
    <w:rsid w:val="00E56175"/>
    <w:rsid w:val="00E565CF"/>
    <w:rsid w:val="00E56BBA"/>
    <w:rsid w:val="00E571DF"/>
    <w:rsid w:val="00E603C0"/>
    <w:rsid w:val="00E603F0"/>
    <w:rsid w:val="00E60EE0"/>
    <w:rsid w:val="00E60F0D"/>
    <w:rsid w:val="00E60F48"/>
    <w:rsid w:val="00E6115F"/>
    <w:rsid w:val="00E618E0"/>
    <w:rsid w:val="00E61986"/>
    <w:rsid w:val="00E620CD"/>
    <w:rsid w:val="00E64B88"/>
    <w:rsid w:val="00E65654"/>
    <w:rsid w:val="00E65FFD"/>
    <w:rsid w:val="00E66016"/>
    <w:rsid w:val="00E66F01"/>
    <w:rsid w:val="00E67672"/>
    <w:rsid w:val="00E700AB"/>
    <w:rsid w:val="00E70494"/>
    <w:rsid w:val="00E705B1"/>
    <w:rsid w:val="00E70C4C"/>
    <w:rsid w:val="00E70F53"/>
    <w:rsid w:val="00E71283"/>
    <w:rsid w:val="00E71569"/>
    <w:rsid w:val="00E720FF"/>
    <w:rsid w:val="00E726CA"/>
    <w:rsid w:val="00E72C97"/>
    <w:rsid w:val="00E73532"/>
    <w:rsid w:val="00E73894"/>
    <w:rsid w:val="00E73C5E"/>
    <w:rsid w:val="00E73DA4"/>
    <w:rsid w:val="00E76348"/>
    <w:rsid w:val="00E76B0E"/>
    <w:rsid w:val="00E77208"/>
    <w:rsid w:val="00E774FB"/>
    <w:rsid w:val="00E7788A"/>
    <w:rsid w:val="00E800E1"/>
    <w:rsid w:val="00E80424"/>
    <w:rsid w:val="00E81EDC"/>
    <w:rsid w:val="00E82DF1"/>
    <w:rsid w:val="00E83157"/>
    <w:rsid w:val="00E838EE"/>
    <w:rsid w:val="00E842AF"/>
    <w:rsid w:val="00E8514D"/>
    <w:rsid w:val="00E85389"/>
    <w:rsid w:val="00E8604F"/>
    <w:rsid w:val="00E86558"/>
    <w:rsid w:val="00E87095"/>
    <w:rsid w:val="00E87826"/>
    <w:rsid w:val="00E87A01"/>
    <w:rsid w:val="00E90911"/>
    <w:rsid w:val="00E90E26"/>
    <w:rsid w:val="00E916D4"/>
    <w:rsid w:val="00E91983"/>
    <w:rsid w:val="00E91F7B"/>
    <w:rsid w:val="00E92CB1"/>
    <w:rsid w:val="00E939D7"/>
    <w:rsid w:val="00E945CA"/>
    <w:rsid w:val="00E94742"/>
    <w:rsid w:val="00E9481C"/>
    <w:rsid w:val="00E954E4"/>
    <w:rsid w:val="00E955A2"/>
    <w:rsid w:val="00E957CB"/>
    <w:rsid w:val="00E95DB0"/>
    <w:rsid w:val="00E977CE"/>
    <w:rsid w:val="00E97E64"/>
    <w:rsid w:val="00EA081D"/>
    <w:rsid w:val="00EA0C14"/>
    <w:rsid w:val="00EA14E9"/>
    <w:rsid w:val="00EA197C"/>
    <w:rsid w:val="00EA210C"/>
    <w:rsid w:val="00EA3C8A"/>
    <w:rsid w:val="00EA3E27"/>
    <w:rsid w:val="00EA40E8"/>
    <w:rsid w:val="00EA463B"/>
    <w:rsid w:val="00EA4F57"/>
    <w:rsid w:val="00EA510D"/>
    <w:rsid w:val="00EA60D8"/>
    <w:rsid w:val="00EA68B0"/>
    <w:rsid w:val="00EA76BF"/>
    <w:rsid w:val="00EB0E1E"/>
    <w:rsid w:val="00EB0F45"/>
    <w:rsid w:val="00EB1304"/>
    <w:rsid w:val="00EB33EA"/>
    <w:rsid w:val="00EB397F"/>
    <w:rsid w:val="00EB3FB6"/>
    <w:rsid w:val="00EB4AAA"/>
    <w:rsid w:val="00EB4D93"/>
    <w:rsid w:val="00EB4E08"/>
    <w:rsid w:val="00EB5862"/>
    <w:rsid w:val="00EB5BD7"/>
    <w:rsid w:val="00EB6C47"/>
    <w:rsid w:val="00EB7BB9"/>
    <w:rsid w:val="00EB7D70"/>
    <w:rsid w:val="00EC0054"/>
    <w:rsid w:val="00EC00BA"/>
    <w:rsid w:val="00EC0968"/>
    <w:rsid w:val="00EC0E38"/>
    <w:rsid w:val="00EC1160"/>
    <w:rsid w:val="00EC1189"/>
    <w:rsid w:val="00EC1239"/>
    <w:rsid w:val="00EC16B6"/>
    <w:rsid w:val="00EC19A3"/>
    <w:rsid w:val="00EC1FA6"/>
    <w:rsid w:val="00EC23A0"/>
    <w:rsid w:val="00EC247B"/>
    <w:rsid w:val="00EC29B9"/>
    <w:rsid w:val="00EC3CC2"/>
    <w:rsid w:val="00EC4F8D"/>
    <w:rsid w:val="00EC773C"/>
    <w:rsid w:val="00EC77A9"/>
    <w:rsid w:val="00EC7B23"/>
    <w:rsid w:val="00ED1D37"/>
    <w:rsid w:val="00ED2306"/>
    <w:rsid w:val="00ED299B"/>
    <w:rsid w:val="00ED307C"/>
    <w:rsid w:val="00ED37D6"/>
    <w:rsid w:val="00ED3F65"/>
    <w:rsid w:val="00ED4194"/>
    <w:rsid w:val="00ED43E4"/>
    <w:rsid w:val="00ED5268"/>
    <w:rsid w:val="00ED560C"/>
    <w:rsid w:val="00ED57F1"/>
    <w:rsid w:val="00ED62D7"/>
    <w:rsid w:val="00ED6622"/>
    <w:rsid w:val="00ED6E30"/>
    <w:rsid w:val="00ED7549"/>
    <w:rsid w:val="00ED7758"/>
    <w:rsid w:val="00ED794E"/>
    <w:rsid w:val="00EE094E"/>
    <w:rsid w:val="00EE1362"/>
    <w:rsid w:val="00EE1B92"/>
    <w:rsid w:val="00EE1E58"/>
    <w:rsid w:val="00EE3402"/>
    <w:rsid w:val="00EE39DD"/>
    <w:rsid w:val="00EE3A2C"/>
    <w:rsid w:val="00EE3EAD"/>
    <w:rsid w:val="00EE5199"/>
    <w:rsid w:val="00EE5EEB"/>
    <w:rsid w:val="00EE5F32"/>
    <w:rsid w:val="00EE6144"/>
    <w:rsid w:val="00EF01F6"/>
    <w:rsid w:val="00EF03A0"/>
    <w:rsid w:val="00EF082D"/>
    <w:rsid w:val="00EF09E1"/>
    <w:rsid w:val="00EF0BE0"/>
    <w:rsid w:val="00EF15D1"/>
    <w:rsid w:val="00EF1880"/>
    <w:rsid w:val="00EF3049"/>
    <w:rsid w:val="00EF31C2"/>
    <w:rsid w:val="00EF3376"/>
    <w:rsid w:val="00EF3DFC"/>
    <w:rsid w:val="00EF3E61"/>
    <w:rsid w:val="00EF50DC"/>
    <w:rsid w:val="00EF5134"/>
    <w:rsid w:val="00EF5356"/>
    <w:rsid w:val="00EF579B"/>
    <w:rsid w:val="00EF58C2"/>
    <w:rsid w:val="00EF64A7"/>
    <w:rsid w:val="00EF689C"/>
    <w:rsid w:val="00F003BE"/>
    <w:rsid w:val="00F00AD9"/>
    <w:rsid w:val="00F0104A"/>
    <w:rsid w:val="00F01065"/>
    <w:rsid w:val="00F010F0"/>
    <w:rsid w:val="00F01492"/>
    <w:rsid w:val="00F0265A"/>
    <w:rsid w:val="00F02F4F"/>
    <w:rsid w:val="00F0413B"/>
    <w:rsid w:val="00F04413"/>
    <w:rsid w:val="00F044AC"/>
    <w:rsid w:val="00F05A83"/>
    <w:rsid w:val="00F05E7B"/>
    <w:rsid w:val="00F06298"/>
    <w:rsid w:val="00F06353"/>
    <w:rsid w:val="00F06849"/>
    <w:rsid w:val="00F06857"/>
    <w:rsid w:val="00F06CCE"/>
    <w:rsid w:val="00F06E30"/>
    <w:rsid w:val="00F07F3B"/>
    <w:rsid w:val="00F109D6"/>
    <w:rsid w:val="00F10E93"/>
    <w:rsid w:val="00F11022"/>
    <w:rsid w:val="00F110E9"/>
    <w:rsid w:val="00F11130"/>
    <w:rsid w:val="00F112E9"/>
    <w:rsid w:val="00F1165D"/>
    <w:rsid w:val="00F13182"/>
    <w:rsid w:val="00F1375A"/>
    <w:rsid w:val="00F13AFC"/>
    <w:rsid w:val="00F14060"/>
    <w:rsid w:val="00F14338"/>
    <w:rsid w:val="00F1494E"/>
    <w:rsid w:val="00F14E13"/>
    <w:rsid w:val="00F15194"/>
    <w:rsid w:val="00F170DA"/>
    <w:rsid w:val="00F17871"/>
    <w:rsid w:val="00F17EF8"/>
    <w:rsid w:val="00F202F0"/>
    <w:rsid w:val="00F20520"/>
    <w:rsid w:val="00F21E76"/>
    <w:rsid w:val="00F22401"/>
    <w:rsid w:val="00F22512"/>
    <w:rsid w:val="00F22F80"/>
    <w:rsid w:val="00F23656"/>
    <w:rsid w:val="00F2372A"/>
    <w:rsid w:val="00F246EE"/>
    <w:rsid w:val="00F24B11"/>
    <w:rsid w:val="00F25796"/>
    <w:rsid w:val="00F25AE0"/>
    <w:rsid w:val="00F26293"/>
    <w:rsid w:val="00F26D07"/>
    <w:rsid w:val="00F273DA"/>
    <w:rsid w:val="00F277AF"/>
    <w:rsid w:val="00F278A9"/>
    <w:rsid w:val="00F27FE0"/>
    <w:rsid w:val="00F3181C"/>
    <w:rsid w:val="00F31AFF"/>
    <w:rsid w:val="00F31DB6"/>
    <w:rsid w:val="00F322D3"/>
    <w:rsid w:val="00F325B4"/>
    <w:rsid w:val="00F32B38"/>
    <w:rsid w:val="00F33094"/>
    <w:rsid w:val="00F35386"/>
    <w:rsid w:val="00F354EC"/>
    <w:rsid w:val="00F35694"/>
    <w:rsid w:val="00F35CFC"/>
    <w:rsid w:val="00F36E5B"/>
    <w:rsid w:val="00F37CA0"/>
    <w:rsid w:val="00F40A49"/>
    <w:rsid w:val="00F40A58"/>
    <w:rsid w:val="00F413B5"/>
    <w:rsid w:val="00F413C6"/>
    <w:rsid w:val="00F4175F"/>
    <w:rsid w:val="00F41A91"/>
    <w:rsid w:val="00F421AC"/>
    <w:rsid w:val="00F42800"/>
    <w:rsid w:val="00F42F62"/>
    <w:rsid w:val="00F4326A"/>
    <w:rsid w:val="00F43F08"/>
    <w:rsid w:val="00F440C8"/>
    <w:rsid w:val="00F44195"/>
    <w:rsid w:val="00F453F7"/>
    <w:rsid w:val="00F4563C"/>
    <w:rsid w:val="00F468A2"/>
    <w:rsid w:val="00F46B9A"/>
    <w:rsid w:val="00F4704F"/>
    <w:rsid w:val="00F47AF8"/>
    <w:rsid w:val="00F5113C"/>
    <w:rsid w:val="00F512D6"/>
    <w:rsid w:val="00F51BFF"/>
    <w:rsid w:val="00F51CAA"/>
    <w:rsid w:val="00F51D0E"/>
    <w:rsid w:val="00F520EA"/>
    <w:rsid w:val="00F523DF"/>
    <w:rsid w:val="00F52A7C"/>
    <w:rsid w:val="00F52B4A"/>
    <w:rsid w:val="00F5332B"/>
    <w:rsid w:val="00F5343E"/>
    <w:rsid w:val="00F53DAA"/>
    <w:rsid w:val="00F53DCD"/>
    <w:rsid w:val="00F54E62"/>
    <w:rsid w:val="00F55340"/>
    <w:rsid w:val="00F5547A"/>
    <w:rsid w:val="00F554FF"/>
    <w:rsid w:val="00F55694"/>
    <w:rsid w:val="00F56854"/>
    <w:rsid w:val="00F56CA4"/>
    <w:rsid w:val="00F56F50"/>
    <w:rsid w:val="00F57FA3"/>
    <w:rsid w:val="00F60C57"/>
    <w:rsid w:val="00F61742"/>
    <w:rsid w:val="00F61A4F"/>
    <w:rsid w:val="00F61CD9"/>
    <w:rsid w:val="00F6237E"/>
    <w:rsid w:val="00F62752"/>
    <w:rsid w:val="00F62925"/>
    <w:rsid w:val="00F630A7"/>
    <w:rsid w:val="00F63324"/>
    <w:rsid w:val="00F63617"/>
    <w:rsid w:val="00F6382A"/>
    <w:rsid w:val="00F63E53"/>
    <w:rsid w:val="00F646F7"/>
    <w:rsid w:val="00F64A82"/>
    <w:rsid w:val="00F657AE"/>
    <w:rsid w:val="00F65B68"/>
    <w:rsid w:val="00F66E7B"/>
    <w:rsid w:val="00F673AB"/>
    <w:rsid w:val="00F679A7"/>
    <w:rsid w:val="00F67CB0"/>
    <w:rsid w:val="00F67D31"/>
    <w:rsid w:val="00F7045A"/>
    <w:rsid w:val="00F711B4"/>
    <w:rsid w:val="00F711B5"/>
    <w:rsid w:val="00F714EC"/>
    <w:rsid w:val="00F71F2A"/>
    <w:rsid w:val="00F72D08"/>
    <w:rsid w:val="00F73069"/>
    <w:rsid w:val="00F732DE"/>
    <w:rsid w:val="00F7424E"/>
    <w:rsid w:val="00F7425A"/>
    <w:rsid w:val="00F7471D"/>
    <w:rsid w:val="00F74FC2"/>
    <w:rsid w:val="00F7511F"/>
    <w:rsid w:val="00F75837"/>
    <w:rsid w:val="00F75C55"/>
    <w:rsid w:val="00F764D2"/>
    <w:rsid w:val="00F76669"/>
    <w:rsid w:val="00F76ADA"/>
    <w:rsid w:val="00F7720A"/>
    <w:rsid w:val="00F77A49"/>
    <w:rsid w:val="00F77AD5"/>
    <w:rsid w:val="00F80507"/>
    <w:rsid w:val="00F805BA"/>
    <w:rsid w:val="00F80EF1"/>
    <w:rsid w:val="00F80F1A"/>
    <w:rsid w:val="00F81031"/>
    <w:rsid w:val="00F815A6"/>
    <w:rsid w:val="00F819A5"/>
    <w:rsid w:val="00F81F39"/>
    <w:rsid w:val="00F8208D"/>
    <w:rsid w:val="00F82ADD"/>
    <w:rsid w:val="00F846CC"/>
    <w:rsid w:val="00F85055"/>
    <w:rsid w:val="00F851E4"/>
    <w:rsid w:val="00F86971"/>
    <w:rsid w:val="00F8736C"/>
    <w:rsid w:val="00F87A9A"/>
    <w:rsid w:val="00F87AB7"/>
    <w:rsid w:val="00F90288"/>
    <w:rsid w:val="00F90476"/>
    <w:rsid w:val="00F90CAF"/>
    <w:rsid w:val="00F90F94"/>
    <w:rsid w:val="00F9227D"/>
    <w:rsid w:val="00F92811"/>
    <w:rsid w:val="00F9309B"/>
    <w:rsid w:val="00F935A6"/>
    <w:rsid w:val="00F935D7"/>
    <w:rsid w:val="00F93756"/>
    <w:rsid w:val="00F93CB6"/>
    <w:rsid w:val="00F94243"/>
    <w:rsid w:val="00F942BD"/>
    <w:rsid w:val="00F9617A"/>
    <w:rsid w:val="00F9654B"/>
    <w:rsid w:val="00F9752A"/>
    <w:rsid w:val="00F97684"/>
    <w:rsid w:val="00F97847"/>
    <w:rsid w:val="00F97BFE"/>
    <w:rsid w:val="00FA054E"/>
    <w:rsid w:val="00FA2716"/>
    <w:rsid w:val="00FA27B9"/>
    <w:rsid w:val="00FA28B0"/>
    <w:rsid w:val="00FA2AE1"/>
    <w:rsid w:val="00FA2B69"/>
    <w:rsid w:val="00FA311D"/>
    <w:rsid w:val="00FA444E"/>
    <w:rsid w:val="00FA49FB"/>
    <w:rsid w:val="00FA4B90"/>
    <w:rsid w:val="00FA4F5B"/>
    <w:rsid w:val="00FA665E"/>
    <w:rsid w:val="00FA689D"/>
    <w:rsid w:val="00FA6E6F"/>
    <w:rsid w:val="00FA72BC"/>
    <w:rsid w:val="00FB0BC2"/>
    <w:rsid w:val="00FB1B76"/>
    <w:rsid w:val="00FB1C45"/>
    <w:rsid w:val="00FB1EF0"/>
    <w:rsid w:val="00FB2099"/>
    <w:rsid w:val="00FB22C7"/>
    <w:rsid w:val="00FB2E8A"/>
    <w:rsid w:val="00FB3899"/>
    <w:rsid w:val="00FB39A5"/>
    <w:rsid w:val="00FB3B23"/>
    <w:rsid w:val="00FB4E48"/>
    <w:rsid w:val="00FB5DDA"/>
    <w:rsid w:val="00FB5FF8"/>
    <w:rsid w:val="00FB65E4"/>
    <w:rsid w:val="00FB6D77"/>
    <w:rsid w:val="00FB71C0"/>
    <w:rsid w:val="00FB7308"/>
    <w:rsid w:val="00FB775E"/>
    <w:rsid w:val="00FC1982"/>
    <w:rsid w:val="00FC28EA"/>
    <w:rsid w:val="00FC298B"/>
    <w:rsid w:val="00FC2CB4"/>
    <w:rsid w:val="00FC3104"/>
    <w:rsid w:val="00FC3DAF"/>
    <w:rsid w:val="00FC44F3"/>
    <w:rsid w:val="00FC4F8C"/>
    <w:rsid w:val="00FC5830"/>
    <w:rsid w:val="00FC5A4F"/>
    <w:rsid w:val="00FC6BAD"/>
    <w:rsid w:val="00FC7137"/>
    <w:rsid w:val="00FC7820"/>
    <w:rsid w:val="00FD004B"/>
    <w:rsid w:val="00FD037C"/>
    <w:rsid w:val="00FD0C36"/>
    <w:rsid w:val="00FD0CB4"/>
    <w:rsid w:val="00FD19F5"/>
    <w:rsid w:val="00FD237A"/>
    <w:rsid w:val="00FD2580"/>
    <w:rsid w:val="00FD2707"/>
    <w:rsid w:val="00FD3516"/>
    <w:rsid w:val="00FD3AE0"/>
    <w:rsid w:val="00FD4160"/>
    <w:rsid w:val="00FD4215"/>
    <w:rsid w:val="00FD5554"/>
    <w:rsid w:val="00FD5557"/>
    <w:rsid w:val="00FD59BD"/>
    <w:rsid w:val="00FD6174"/>
    <w:rsid w:val="00FD659B"/>
    <w:rsid w:val="00FD6816"/>
    <w:rsid w:val="00FD6E14"/>
    <w:rsid w:val="00FD7035"/>
    <w:rsid w:val="00FD7835"/>
    <w:rsid w:val="00FE0C5A"/>
    <w:rsid w:val="00FE104F"/>
    <w:rsid w:val="00FE1201"/>
    <w:rsid w:val="00FE2D5D"/>
    <w:rsid w:val="00FE2D7E"/>
    <w:rsid w:val="00FE3DF6"/>
    <w:rsid w:val="00FE4559"/>
    <w:rsid w:val="00FE476F"/>
    <w:rsid w:val="00FE4A89"/>
    <w:rsid w:val="00FE6EAA"/>
    <w:rsid w:val="00FE7867"/>
    <w:rsid w:val="00FE7CE5"/>
    <w:rsid w:val="00FF053C"/>
    <w:rsid w:val="00FF0549"/>
    <w:rsid w:val="00FF0815"/>
    <w:rsid w:val="00FF0E06"/>
    <w:rsid w:val="00FF0FBE"/>
    <w:rsid w:val="00FF12AB"/>
    <w:rsid w:val="00FF1416"/>
    <w:rsid w:val="00FF1B5A"/>
    <w:rsid w:val="00FF1B83"/>
    <w:rsid w:val="00FF1C2E"/>
    <w:rsid w:val="00FF2B53"/>
    <w:rsid w:val="00FF357F"/>
    <w:rsid w:val="00FF3674"/>
    <w:rsid w:val="00FF4202"/>
    <w:rsid w:val="00FF54B9"/>
    <w:rsid w:val="00FF5792"/>
    <w:rsid w:val="00FF6469"/>
    <w:rsid w:val="00FF654D"/>
    <w:rsid w:val="00FF6A22"/>
    <w:rsid w:val="00FF72B4"/>
    <w:rsid w:val="010169FF"/>
    <w:rsid w:val="010B3659"/>
    <w:rsid w:val="01161BD6"/>
    <w:rsid w:val="013554EA"/>
    <w:rsid w:val="01731EE9"/>
    <w:rsid w:val="0198781A"/>
    <w:rsid w:val="01A132B2"/>
    <w:rsid w:val="01B44B15"/>
    <w:rsid w:val="01F50B37"/>
    <w:rsid w:val="01F7360A"/>
    <w:rsid w:val="02144623"/>
    <w:rsid w:val="022E0ACD"/>
    <w:rsid w:val="02380FFD"/>
    <w:rsid w:val="02477BB5"/>
    <w:rsid w:val="02555ED9"/>
    <w:rsid w:val="02DF57A3"/>
    <w:rsid w:val="02EE6FAD"/>
    <w:rsid w:val="030D3A97"/>
    <w:rsid w:val="0325520E"/>
    <w:rsid w:val="03560F31"/>
    <w:rsid w:val="03744EF3"/>
    <w:rsid w:val="0385001E"/>
    <w:rsid w:val="03BF2722"/>
    <w:rsid w:val="03D91E83"/>
    <w:rsid w:val="03F2118C"/>
    <w:rsid w:val="03FE789D"/>
    <w:rsid w:val="04091F54"/>
    <w:rsid w:val="043973FA"/>
    <w:rsid w:val="04762338"/>
    <w:rsid w:val="04883013"/>
    <w:rsid w:val="04A964CD"/>
    <w:rsid w:val="04AA0092"/>
    <w:rsid w:val="04B452EE"/>
    <w:rsid w:val="04C66297"/>
    <w:rsid w:val="04E80F11"/>
    <w:rsid w:val="05225FB9"/>
    <w:rsid w:val="05797CAE"/>
    <w:rsid w:val="05CC08DD"/>
    <w:rsid w:val="062B3811"/>
    <w:rsid w:val="066A32BE"/>
    <w:rsid w:val="06775393"/>
    <w:rsid w:val="069A6A52"/>
    <w:rsid w:val="06AF4E7B"/>
    <w:rsid w:val="06C160E1"/>
    <w:rsid w:val="06E97C46"/>
    <w:rsid w:val="0754659A"/>
    <w:rsid w:val="07A94A78"/>
    <w:rsid w:val="07B81ACC"/>
    <w:rsid w:val="07BB3CE6"/>
    <w:rsid w:val="07BF14D2"/>
    <w:rsid w:val="07C41CC1"/>
    <w:rsid w:val="07D30FC8"/>
    <w:rsid w:val="07E01024"/>
    <w:rsid w:val="07E016C1"/>
    <w:rsid w:val="07EC0300"/>
    <w:rsid w:val="081F49C3"/>
    <w:rsid w:val="083C2FAD"/>
    <w:rsid w:val="084173A5"/>
    <w:rsid w:val="084516C1"/>
    <w:rsid w:val="08607386"/>
    <w:rsid w:val="0889281E"/>
    <w:rsid w:val="088D1010"/>
    <w:rsid w:val="08A13844"/>
    <w:rsid w:val="08AA068C"/>
    <w:rsid w:val="08B30675"/>
    <w:rsid w:val="08CE0DA9"/>
    <w:rsid w:val="08D77648"/>
    <w:rsid w:val="090F6262"/>
    <w:rsid w:val="0926412B"/>
    <w:rsid w:val="092D54BA"/>
    <w:rsid w:val="09496CE9"/>
    <w:rsid w:val="09625EB6"/>
    <w:rsid w:val="09997F5D"/>
    <w:rsid w:val="09F374F8"/>
    <w:rsid w:val="0A102D04"/>
    <w:rsid w:val="0A24348D"/>
    <w:rsid w:val="0A41560B"/>
    <w:rsid w:val="0A427A17"/>
    <w:rsid w:val="0A4C6C2E"/>
    <w:rsid w:val="0A6120F6"/>
    <w:rsid w:val="0A6A4273"/>
    <w:rsid w:val="0A6A6385"/>
    <w:rsid w:val="0A720004"/>
    <w:rsid w:val="0A751023"/>
    <w:rsid w:val="0A787560"/>
    <w:rsid w:val="0A7B5FEA"/>
    <w:rsid w:val="0A896A1C"/>
    <w:rsid w:val="0AA02187"/>
    <w:rsid w:val="0AB928E3"/>
    <w:rsid w:val="0AB95822"/>
    <w:rsid w:val="0AC01E9A"/>
    <w:rsid w:val="0AC72F97"/>
    <w:rsid w:val="0AEB1B70"/>
    <w:rsid w:val="0AEC0413"/>
    <w:rsid w:val="0AEE2BB1"/>
    <w:rsid w:val="0AF7473A"/>
    <w:rsid w:val="0B0E5436"/>
    <w:rsid w:val="0B1D24C5"/>
    <w:rsid w:val="0B321F8E"/>
    <w:rsid w:val="0B3D2D73"/>
    <w:rsid w:val="0B4A5A7D"/>
    <w:rsid w:val="0B5F057C"/>
    <w:rsid w:val="0B6246AC"/>
    <w:rsid w:val="0B6362EE"/>
    <w:rsid w:val="0B696972"/>
    <w:rsid w:val="0B6E3CD0"/>
    <w:rsid w:val="0B715695"/>
    <w:rsid w:val="0B7A284E"/>
    <w:rsid w:val="0B88628F"/>
    <w:rsid w:val="0BA73045"/>
    <w:rsid w:val="0BC83026"/>
    <w:rsid w:val="0BF3089B"/>
    <w:rsid w:val="0C0C6F03"/>
    <w:rsid w:val="0C1830F1"/>
    <w:rsid w:val="0C1E10F2"/>
    <w:rsid w:val="0C423DBA"/>
    <w:rsid w:val="0C547201"/>
    <w:rsid w:val="0C5B0590"/>
    <w:rsid w:val="0C607954"/>
    <w:rsid w:val="0C6F232D"/>
    <w:rsid w:val="0CAA752F"/>
    <w:rsid w:val="0CF07B46"/>
    <w:rsid w:val="0D2F6BEC"/>
    <w:rsid w:val="0D4F04DF"/>
    <w:rsid w:val="0D5E0286"/>
    <w:rsid w:val="0D76723F"/>
    <w:rsid w:val="0D8B1457"/>
    <w:rsid w:val="0DC510D9"/>
    <w:rsid w:val="0DC82F0C"/>
    <w:rsid w:val="0DD953ED"/>
    <w:rsid w:val="0DFB653F"/>
    <w:rsid w:val="0E01524C"/>
    <w:rsid w:val="0E0E6F4D"/>
    <w:rsid w:val="0E286250"/>
    <w:rsid w:val="0E701E36"/>
    <w:rsid w:val="0E876CC6"/>
    <w:rsid w:val="0E916A20"/>
    <w:rsid w:val="0E96359F"/>
    <w:rsid w:val="0E9A645D"/>
    <w:rsid w:val="0ED14B39"/>
    <w:rsid w:val="0EE907FE"/>
    <w:rsid w:val="0EEE5377"/>
    <w:rsid w:val="0EFE3455"/>
    <w:rsid w:val="0F0E4A9D"/>
    <w:rsid w:val="0F292A97"/>
    <w:rsid w:val="0F5310D6"/>
    <w:rsid w:val="0F6C6BD1"/>
    <w:rsid w:val="0F7200E8"/>
    <w:rsid w:val="0F99593D"/>
    <w:rsid w:val="0FA26D91"/>
    <w:rsid w:val="0FB00BF3"/>
    <w:rsid w:val="0FCF5B6F"/>
    <w:rsid w:val="0FF13BD9"/>
    <w:rsid w:val="10180D48"/>
    <w:rsid w:val="102E1A74"/>
    <w:rsid w:val="103653C0"/>
    <w:rsid w:val="103B64E4"/>
    <w:rsid w:val="10482BD9"/>
    <w:rsid w:val="104C27FD"/>
    <w:rsid w:val="1052516A"/>
    <w:rsid w:val="10545DDC"/>
    <w:rsid w:val="107B7F39"/>
    <w:rsid w:val="10AD2D3A"/>
    <w:rsid w:val="10BC329C"/>
    <w:rsid w:val="11074991"/>
    <w:rsid w:val="1110407C"/>
    <w:rsid w:val="112A2D52"/>
    <w:rsid w:val="115D261A"/>
    <w:rsid w:val="1173012A"/>
    <w:rsid w:val="118767BE"/>
    <w:rsid w:val="11894BA4"/>
    <w:rsid w:val="11BC27FE"/>
    <w:rsid w:val="11E22939"/>
    <w:rsid w:val="11F71865"/>
    <w:rsid w:val="120E1655"/>
    <w:rsid w:val="120E4D00"/>
    <w:rsid w:val="121460FD"/>
    <w:rsid w:val="1215279E"/>
    <w:rsid w:val="1266364E"/>
    <w:rsid w:val="126F0912"/>
    <w:rsid w:val="12925930"/>
    <w:rsid w:val="12B72298"/>
    <w:rsid w:val="12D269BD"/>
    <w:rsid w:val="12D524A5"/>
    <w:rsid w:val="12DC20B2"/>
    <w:rsid w:val="12E0434B"/>
    <w:rsid w:val="12EE462A"/>
    <w:rsid w:val="13104BA4"/>
    <w:rsid w:val="131753D2"/>
    <w:rsid w:val="133E603D"/>
    <w:rsid w:val="136A385D"/>
    <w:rsid w:val="136D12D3"/>
    <w:rsid w:val="136D5D83"/>
    <w:rsid w:val="138B1743"/>
    <w:rsid w:val="139610F6"/>
    <w:rsid w:val="13B855DB"/>
    <w:rsid w:val="13D2182D"/>
    <w:rsid w:val="13E2231C"/>
    <w:rsid w:val="14123C2A"/>
    <w:rsid w:val="1414141C"/>
    <w:rsid w:val="1419733A"/>
    <w:rsid w:val="141E3424"/>
    <w:rsid w:val="14224A2C"/>
    <w:rsid w:val="14344BA3"/>
    <w:rsid w:val="14812C84"/>
    <w:rsid w:val="14847F58"/>
    <w:rsid w:val="14A919C8"/>
    <w:rsid w:val="14AF0D37"/>
    <w:rsid w:val="14C62756"/>
    <w:rsid w:val="14CA086A"/>
    <w:rsid w:val="14CB21C3"/>
    <w:rsid w:val="14CE6C87"/>
    <w:rsid w:val="14CF7A8B"/>
    <w:rsid w:val="14EB31DF"/>
    <w:rsid w:val="14F3064D"/>
    <w:rsid w:val="150D1BF9"/>
    <w:rsid w:val="1511124A"/>
    <w:rsid w:val="153320AA"/>
    <w:rsid w:val="153A12B2"/>
    <w:rsid w:val="156D118E"/>
    <w:rsid w:val="15756E4E"/>
    <w:rsid w:val="15CA22E2"/>
    <w:rsid w:val="160942D1"/>
    <w:rsid w:val="16206AC0"/>
    <w:rsid w:val="16236320"/>
    <w:rsid w:val="164326F2"/>
    <w:rsid w:val="168926FD"/>
    <w:rsid w:val="16A92C53"/>
    <w:rsid w:val="1706559C"/>
    <w:rsid w:val="17193530"/>
    <w:rsid w:val="17361B3B"/>
    <w:rsid w:val="175E4A04"/>
    <w:rsid w:val="177E1E4B"/>
    <w:rsid w:val="17915D71"/>
    <w:rsid w:val="17B02452"/>
    <w:rsid w:val="17BB3D5C"/>
    <w:rsid w:val="17C44642"/>
    <w:rsid w:val="17D774EC"/>
    <w:rsid w:val="17DD534C"/>
    <w:rsid w:val="18161B49"/>
    <w:rsid w:val="18537895"/>
    <w:rsid w:val="18786026"/>
    <w:rsid w:val="189E6D90"/>
    <w:rsid w:val="18CE20EA"/>
    <w:rsid w:val="18E045B2"/>
    <w:rsid w:val="18E10F6F"/>
    <w:rsid w:val="18EA675B"/>
    <w:rsid w:val="18FF3217"/>
    <w:rsid w:val="191E240C"/>
    <w:rsid w:val="192478B1"/>
    <w:rsid w:val="19571CBE"/>
    <w:rsid w:val="1964357A"/>
    <w:rsid w:val="197368C9"/>
    <w:rsid w:val="199B6470"/>
    <w:rsid w:val="19B602C3"/>
    <w:rsid w:val="19C93924"/>
    <w:rsid w:val="19D83220"/>
    <w:rsid w:val="19D844DE"/>
    <w:rsid w:val="19FB365B"/>
    <w:rsid w:val="1A1B5908"/>
    <w:rsid w:val="1A1D3644"/>
    <w:rsid w:val="1A4F4E76"/>
    <w:rsid w:val="1A54390B"/>
    <w:rsid w:val="1A6E36AF"/>
    <w:rsid w:val="1A7A3C4A"/>
    <w:rsid w:val="1A891AED"/>
    <w:rsid w:val="1A8D3C51"/>
    <w:rsid w:val="1A92338A"/>
    <w:rsid w:val="1A943AC2"/>
    <w:rsid w:val="1A9520BF"/>
    <w:rsid w:val="1ADC279E"/>
    <w:rsid w:val="1B156017"/>
    <w:rsid w:val="1B26346F"/>
    <w:rsid w:val="1B5D443E"/>
    <w:rsid w:val="1B5D4CD2"/>
    <w:rsid w:val="1B605142"/>
    <w:rsid w:val="1B885A87"/>
    <w:rsid w:val="1B933FD8"/>
    <w:rsid w:val="1B9C06F8"/>
    <w:rsid w:val="1B9D3B7A"/>
    <w:rsid w:val="1BD148C1"/>
    <w:rsid w:val="1BE10B5B"/>
    <w:rsid w:val="1BE37264"/>
    <w:rsid w:val="1BE71A83"/>
    <w:rsid w:val="1BEE0DAF"/>
    <w:rsid w:val="1C0965F9"/>
    <w:rsid w:val="1C282571"/>
    <w:rsid w:val="1C372B07"/>
    <w:rsid w:val="1C535413"/>
    <w:rsid w:val="1C5D4BFC"/>
    <w:rsid w:val="1C671B7A"/>
    <w:rsid w:val="1C854545"/>
    <w:rsid w:val="1CA80BE3"/>
    <w:rsid w:val="1CB65C48"/>
    <w:rsid w:val="1CCB1A9A"/>
    <w:rsid w:val="1CDD6D9F"/>
    <w:rsid w:val="1CF06AD2"/>
    <w:rsid w:val="1D03219C"/>
    <w:rsid w:val="1D246C05"/>
    <w:rsid w:val="1D491694"/>
    <w:rsid w:val="1D4D31A8"/>
    <w:rsid w:val="1D6720A4"/>
    <w:rsid w:val="1D9E44AF"/>
    <w:rsid w:val="1DA16F3D"/>
    <w:rsid w:val="1DA26288"/>
    <w:rsid w:val="1DB036CC"/>
    <w:rsid w:val="1DB26B34"/>
    <w:rsid w:val="1E296F94"/>
    <w:rsid w:val="1E507CA5"/>
    <w:rsid w:val="1E570D49"/>
    <w:rsid w:val="1E5C247A"/>
    <w:rsid w:val="1E6506D7"/>
    <w:rsid w:val="1E722185"/>
    <w:rsid w:val="1E9912F1"/>
    <w:rsid w:val="1EB42325"/>
    <w:rsid w:val="1EBF62C1"/>
    <w:rsid w:val="1EF145C9"/>
    <w:rsid w:val="1F022AED"/>
    <w:rsid w:val="1F1F01DA"/>
    <w:rsid w:val="1F265A18"/>
    <w:rsid w:val="1F371717"/>
    <w:rsid w:val="1F4D675D"/>
    <w:rsid w:val="1F737547"/>
    <w:rsid w:val="1F796418"/>
    <w:rsid w:val="1FED4718"/>
    <w:rsid w:val="1FF41749"/>
    <w:rsid w:val="1FFC5B4C"/>
    <w:rsid w:val="20044CF4"/>
    <w:rsid w:val="200F4CA0"/>
    <w:rsid w:val="200F55A6"/>
    <w:rsid w:val="20274739"/>
    <w:rsid w:val="20313939"/>
    <w:rsid w:val="203A0D6D"/>
    <w:rsid w:val="20400444"/>
    <w:rsid w:val="20404260"/>
    <w:rsid w:val="206C30A4"/>
    <w:rsid w:val="206F6A78"/>
    <w:rsid w:val="208F1251"/>
    <w:rsid w:val="20B23CC2"/>
    <w:rsid w:val="20BB58E6"/>
    <w:rsid w:val="20D95C74"/>
    <w:rsid w:val="20DB360B"/>
    <w:rsid w:val="210578AC"/>
    <w:rsid w:val="210F5FFF"/>
    <w:rsid w:val="21402E00"/>
    <w:rsid w:val="21504A00"/>
    <w:rsid w:val="21667C9B"/>
    <w:rsid w:val="21866E37"/>
    <w:rsid w:val="21BC03C6"/>
    <w:rsid w:val="21FA0EC9"/>
    <w:rsid w:val="22005475"/>
    <w:rsid w:val="223C6951"/>
    <w:rsid w:val="22505F47"/>
    <w:rsid w:val="22637214"/>
    <w:rsid w:val="227B3B7D"/>
    <w:rsid w:val="229D5830"/>
    <w:rsid w:val="22B82A5F"/>
    <w:rsid w:val="22B843A0"/>
    <w:rsid w:val="22BB7C8D"/>
    <w:rsid w:val="22BC3C80"/>
    <w:rsid w:val="22C72083"/>
    <w:rsid w:val="22C73E32"/>
    <w:rsid w:val="22D04347"/>
    <w:rsid w:val="22E710F6"/>
    <w:rsid w:val="230A0DF4"/>
    <w:rsid w:val="231E2683"/>
    <w:rsid w:val="2334566C"/>
    <w:rsid w:val="235A63C7"/>
    <w:rsid w:val="237C035E"/>
    <w:rsid w:val="23A10708"/>
    <w:rsid w:val="23A87B09"/>
    <w:rsid w:val="2445261A"/>
    <w:rsid w:val="245C2C9F"/>
    <w:rsid w:val="246D71F6"/>
    <w:rsid w:val="24B24D13"/>
    <w:rsid w:val="25547B1B"/>
    <w:rsid w:val="25943E77"/>
    <w:rsid w:val="25B06B62"/>
    <w:rsid w:val="25CB08B9"/>
    <w:rsid w:val="25E11D2E"/>
    <w:rsid w:val="26013AFE"/>
    <w:rsid w:val="26016569"/>
    <w:rsid w:val="265F6FA5"/>
    <w:rsid w:val="26746BBE"/>
    <w:rsid w:val="267D5062"/>
    <w:rsid w:val="26A93871"/>
    <w:rsid w:val="26BA3B44"/>
    <w:rsid w:val="26C76206"/>
    <w:rsid w:val="26CD1121"/>
    <w:rsid w:val="26ED70DF"/>
    <w:rsid w:val="271B625D"/>
    <w:rsid w:val="272B67FD"/>
    <w:rsid w:val="27335F39"/>
    <w:rsid w:val="27906F46"/>
    <w:rsid w:val="27AC1B14"/>
    <w:rsid w:val="27B319D1"/>
    <w:rsid w:val="27C941A8"/>
    <w:rsid w:val="27CF5259"/>
    <w:rsid w:val="27FD1226"/>
    <w:rsid w:val="27FE6322"/>
    <w:rsid w:val="280B47E8"/>
    <w:rsid w:val="280D0539"/>
    <w:rsid w:val="280F0C89"/>
    <w:rsid w:val="282C1690"/>
    <w:rsid w:val="28337093"/>
    <w:rsid w:val="28655860"/>
    <w:rsid w:val="286611FF"/>
    <w:rsid w:val="288D3EC6"/>
    <w:rsid w:val="28903D28"/>
    <w:rsid w:val="28AA30EC"/>
    <w:rsid w:val="28AF01F0"/>
    <w:rsid w:val="28F8500F"/>
    <w:rsid w:val="2901515C"/>
    <w:rsid w:val="2918652B"/>
    <w:rsid w:val="291A2612"/>
    <w:rsid w:val="29282DF3"/>
    <w:rsid w:val="29387337"/>
    <w:rsid w:val="29451A7D"/>
    <w:rsid w:val="29564AF3"/>
    <w:rsid w:val="29996CF2"/>
    <w:rsid w:val="299F6739"/>
    <w:rsid w:val="29A152CD"/>
    <w:rsid w:val="29A96A5F"/>
    <w:rsid w:val="29AB2A4E"/>
    <w:rsid w:val="29C72969"/>
    <w:rsid w:val="2A1308C7"/>
    <w:rsid w:val="2A16414D"/>
    <w:rsid w:val="2A4062FE"/>
    <w:rsid w:val="2A475858"/>
    <w:rsid w:val="2A911414"/>
    <w:rsid w:val="2AB13C9D"/>
    <w:rsid w:val="2AD43590"/>
    <w:rsid w:val="2AD45285"/>
    <w:rsid w:val="2ADD7FAA"/>
    <w:rsid w:val="2AE078CA"/>
    <w:rsid w:val="2AE654F4"/>
    <w:rsid w:val="2AF45EA3"/>
    <w:rsid w:val="2AF543D6"/>
    <w:rsid w:val="2B2417F0"/>
    <w:rsid w:val="2B356E8F"/>
    <w:rsid w:val="2B656CE8"/>
    <w:rsid w:val="2B833E9F"/>
    <w:rsid w:val="2B920D55"/>
    <w:rsid w:val="2B98280F"/>
    <w:rsid w:val="2BB67139"/>
    <w:rsid w:val="2BBE2DB3"/>
    <w:rsid w:val="2BCF3764"/>
    <w:rsid w:val="2BD35A56"/>
    <w:rsid w:val="2BD71970"/>
    <w:rsid w:val="2BD9541C"/>
    <w:rsid w:val="2BFC0F32"/>
    <w:rsid w:val="2C113772"/>
    <w:rsid w:val="2C17443D"/>
    <w:rsid w:val="2C2877CD"/>
    <w:rsid w:val="2C402AE7"/>
    <w:rsid w:val="2C5948B7"/>
    <w:rsid w:val="2C704AEA"/>
    <w:rsid w:val="2C7077F7"/>
    <w:rsid w:val="2C747DA7"/>
    <w:rsid w:val="2C76568E"/>
    <w:rsid w:val="2C7E553D"/>
    <w:rsid w:val="2C9F28DC"/>
    <w:rsid w:val="2CA361AB"/>
    <w:rsid w:val="2CAE788C"/>
    <w:rsid w:val="2CB25639"/>
    <w:rsid w:val="2CD25A49"/>
    <w:rsid w:val="2CD27948"/>
    <w:rsid w:val="2CE65D33"/>
    <w:rsid w:val="2CF55A3F"/>
    <w:rsid w:val="2D0F7A13"/>
    <w:rsid w:val="2D481AC6"/>
    <w:rsid w:val="2D4F336C"/>
    <w:rsid w:val="2D5B76BC"/>
    <w:rsid w:val="2D6F57F1"/>
    <w:rsid w:val="2D9F40BD"/>
    <w:rsid w:val="2DB03EC5"/>
    <w:rsid w:val="2DB25753"/>
    <w:rsid w:val="2DD65871"/>
    <w:rsid w:val="2DDB4C35"/>
    <w:rsid w:val="2DE34F95"/>
    <w:rsid w:val="2E1E5199"/>
    <w:rsid w:val="2E2F48FA"/>
    <w:rsid w:val="2E3F74F5"/>
    <w:rsid w:val="2E4534D3"/>
    <w:rsid w:val="2E486FA4"/>
    <w:rsid w:val="2E631A71"/>
    <w:rsid w:val="2E7C1A68"/>
    <w:rsid w:val="2E7E381C"/>
    <w:rsid w:val="2ED02EF7"/>
    <w:rsid w:val="2EF53AD4"/>
    <w:rsid w:val="2F056530"/>
    <w:rsid w:val="2F1660B7"/>
    <w:rsid w:val="2F24388B"/>
    <w:rsid w:val="2F261EE0"/>
    <w:rsid w:val="2F500109"/>
    <w:rsid w:val="2F540484"/>
    <w:rsid w:val="2F561863"/>
    <w:rsid w:val="2F651B66"/>
    <w:rsid w:val="2F776664"/>
    <w:rsid w:val="2FAA19A7"/>
    <w:rsid w:val="2FBE2B78"/>
    <w:rsid w:val="2FCC203D"/>
    <w:rsid w:val="2FE14059"/>
    <w:rsid w:val="2FE9205F"/>
    <w:rsid w:val="2FF301E2"/>
    <w:rsid w:val="30107B71"/>
    <w:rsid w:val="3049598E"/>
    <w:rsid w:val="30856849"/>
    <w:rsid w:val="309C4AA6"/>
    <w:rsid w:val="30A1250C"/>
    <w:rsid w:val="30B80717"/>
    <w:rsid w:val="30D75B88"/>
    <w:rsid w:val="30E343E7"/>
    <w:rsid w:val="30FB5F09"/>
    <w:rsid w:val="31013351"/>
    <w:rsid w:val="310D1A68"/>
    <w:rsid w:val="31123B6B"/>
    <w:rsid w:val="31171E92"/>
    <w:rsid w:val="31205786"/>
    <w:rsid w:val="312D101C"/>
    <w:rsid w:val="3148067E"/>
    <w:rsid w:val="3151401F"/>
    <w:rsid w:val="317A25EF"/>
    <w:rsid w:val="31AA05A3"/>
    <w:rsid w:val="31AD6012"/>
    <w:rsid w:val="31C75451"/>
    <w:rsid w:val="320B79A3"/>
    <w:rsid w:val="3223701C"/>
    <w:rsid w:val="323B6B0F"/>
    <w:rsid w:val="32824D16"/>
    <w:rsid w:val="3282768F"/>
    <w:rsid w:val="32BF65CE"/>
    <w:rsid w:val="32C00948"/>
    <w:rsid w:val="32C8721F"/>
    <w:rsid w:val="330C7985"/>
    <w:rsid w:val="331D15B3"/>
    <w:rsid w:val="3320371B"/>
    <w:rsid w:val="33247349"/>
    <w:rsid w:val="33347C99"/>
    <w:rsid w:val="33426A5E"/>
    <w:rsid w:val="335214F5"/>
    <w:rsid w:val="335A482C"/>
    <w:rsid w:val="33652AF9"/>
    <w:rsid w:val="33665320"/>
    <w:rsid w:val="336C5C65"/>
    <w:rsid w:val="33775400"/>
    <w:rsid w:val="338D7697"/>
    <w:rsid w:val="339135A9"/>
    <w:rsid w:val="33CB358B"/>
    <w:rsid w:val="33D176C6"/>
    <w:rsid w:val="33E05DD2"/>
    <w:rsid w:val="33E76276"/>
    <w:rsid w:val="33FB69FB"/>
    <w:rsid w:val="34011945"/>
    <w:rsid w:val="34030067"/>
    <w:rsid w:val="3475074E"/>
    <w:rsid w:val="34A375B0"/>
    <w:rsid w:val="34D943DC"/>
    <w:rsid w:val="35047479"/>
    <w:rsid w:val="352D4A25"/>
    <w:rsid w:val="35454A86"/>
    <w:rsid w:val="355228E8"/>
    <w:rsid w:val="35614452"/>
    <w:rsid w:val="356D36DA"/>
    <w:rsid w:val="35892335"/>
    <w:rsid w:val="35942684"/>
    <w:rsid w:val="35B35165"/>
    <w:rsid w:val="35B6103B"/>
    <w:rsid w:val="35C05B99"/>
    <w:rsid w:val="35CD57AB"/>
    <w:rsid w:val="35D63E89"/>
    <w:rsid w:val="35EB4AAE"/>
    <w:rsid w:val="3608024F"/>
    <w:rsid w:val="36213401"/>
    <w:rsid w:val="36354D78"/>
    <w:rsid w:val="367543FA"/>
    <w:rsid w:val="36810BF1"/>
    <w:rsid w:val="368F0EC5"/>
    <w:rsid w:val="36932A15"/>
    <w:rsid w:val="36AD0EA9"/>
    <w:rsid w:val="36B61F44"/>
    <w:rsid w:val="36C02874"/>
    <w:rsid w:val="36EF6D9B"/>
    <w:rsid w:val="3710594F"/>
    <w:rsid w:val="373715D9"/>
    <w:rsid w:val="373E67A3"/>
    <w:rsid w:val="37542BD3"/>
    <w:rsid w:val="37646CE3"/>
    <w:rsid w:val="3775100E"/>
    <w:rsid w:val="37776F51"/>
    <w:rsid w:val="378E53B7"/>
    <w:rsid w:val="37C93DFD"/>
    <w:rsid w:val="37DA6BD0"/>
    <w:rsid w:val="37E0334E"/>
    <w:rsid w:val="37E32761"/>
    <w:rsid w:val="37EC0026"/>
    <w:rsid w:val="37F049A5"/>
    <w:rsid w:val="3803269E"/>
    <w:rsid w:val="38057969"/>
    <w:rsid w:val="38217FCF"/>
    <w:rsid w:val="384C6E5B"/>
    <w:rsid w:val="3860745F"/>
    <w:rsid w:val="387017A5"/>
    <w:rsid w:val="387255EF"/>
    <w:rsid w:val="38762F2C"/>
    <w:rsid w:val="38BB2343"/>
    <w:rsid w:val="38BB6E99"/>
    <w:rsid w:val="38BF3560"/>
    <w:rsid w:val="38C42356"/>
    <w:rsid w:val="38D9576E"/>
    <w:rsid w:val="38DE7619"/>
    <w:rsid w:val="38FF2B03"/>
    <w:rsid w:val="394163A1"/>
    <w:rsid w:val="3948014F"/>
    <w:rsid w:val="394D20DC"/>
    <w:rsid w:val="39527E5B"/>
    <w:rsid w:val="39563361"/>
    <w:rsid w:val="395D4B3E"/>
    <w:rsid w:val="395F1824"/>
    <w:rsid w:val="398629FA"/>
    <w:rsid w:val="39903713"/>
    <w:rsid w:val="399D00AF"/>
    <w:rsid w:val="39A81DD4"/>
    <w:rsid w:val="39CD30F0"/>
    <w:rsid w:val="39E1396A"/>
    <w:rsid w:val="39E534CD"/>
    <w:rsid w:val="39F96B6F"/>
    <w:rsid w:val="3A3F4151"/>
    <w:rsid w:val="3A673CEB"/>
    <w:rsid w:val="3A9E1F0C"/>
    <w:rsid w:val="3AAB3FFE"/>
    <w:rsid w:val="3AAE289E"/>
    <w:rsid w:val="3AB6100E"/>
    <w:rsid w:val="3ABB4ED3"/>
    <w:rsid w:val="3ADB3DCF"/>
    <w:rsid w:val="3AE50B0E"/>
    <w:rsid w:val="3B244E4A"/>
    <w:rsid w:val="3B2659E1"/>
    <w:rsid w:val="3B310466"/>
    <w:rsid w:val="3B3E29D7"/>
    <w:rsid w:val="3B436D09"/>
    <w:rsid w:val="3B783AC3"/>
    <w:rsid w:val="3B850CD6"/>
    <w:rsid w:val="3BA3464B"/>
    <w:rsid w:val="3BA437CA"/>
    <w:rsid w:val="3BB7194E"/>
    <w:rsid w:val="3BB8180B"/>
    <w:rsid w:val="3BC136BC"/>
    <w:rsid w:val="3BCB737B"/>
    <w:rsid w:val="3BF738DF"/>
    <w:rsid w:val="3C2D3050"/>
    <w:rsid w:val="3C40250D"/>
    <w:rsid w:val="3C473E61"/>
    <w:rsid w:val="3C4E0131"/>
    <w:rsid w:val="3C7E494D"/>
    <w:rsid w:val="3C8F07BE"/>
    <w:rsid w:val="3CA5589B"/>
    <w:rsid w:val="3CB44FCF"/>
    <w:rsid w:val="3CC4312C"/>
    <w:rsid w:val="3CDA6520"/>
    <w:rsid w:val="3CE87E2D"/>
    <w:rsid w:val="3CED228F"/>
    <w:rsid w:val="3D05582A"/>
    <w:rsid w:val="3D0B2285"/>
    <w:rsid w:val="3D2F6AD8"/>
    <w:rsid w:val="3D424389"/>
    <w:rsid w:val="3D5A048D"/>
    <w:rsid w:val="3D9379C0"/>
    <w:rsid w:val="3DB937FD"/>
    <w:rsid w:val="3E231D87"/>
    <w:rsid w:val="3E344619"/>
    <w:rsid w:val="3E4315D3"/>
    <w:rsid w:val="3E433DD8"/>
    <w:rsid w:val="3E5A3954"/>
    <w:rsid w:val="3E5F5F35"/>
    <w:rsid w:val="3E635375"/>
    <w:rsid w:val="3E6A003B"/>
    <w:rsid w:val="3E700549"/>
    <w:rsid w:val="3E7A492C"/>
    <w:rsid w:val="3EAC37B2"/>
    <w:rsid w:val="3EE769A0"/>
    <w:rsid w:val="3F203C64"/>
    <w:rsid w:val="3F2F75DF"/>
    <w:rsid w:val="3F3974AF"/>
    <w:rsid w:val="3F397B55"/>
    <w:rsid w:val="3F4C5993"/>
    <w:rsid w:val="3FA11B68"/>
    <w:rsid w:val="3FBE0D97"/>
    <w:rsid w:val="3FC77EBA"/>
    <w:rsid w:val="3FC86881"/>
    <w:rsid w:val="3FDB2C1D"/>
    <w:rsid w:val="401B26C5"/>
    <w:rsid w:val="40256A49"/>
    <w:rsid w:val="40405555"/>
    <w:rsid w:val="40786550"/>
    <w:rsid w:val="407E70F9"/>
    <w:rsid w:val="4083778B"/>
    <w:rsid w:val="40890521"/>
    <w:rsid w:val="409A4BCD"/>
    <w:rsid w:val="409A7CE5"/>
    <w:rsid w:val="40A315E2"/>
    <w:rsid w:val="40AE1BEC"/>
    <w:rsid w:val="40D64307"/>
    <w:rsid w:val="40F71A9E"/>
    <w:rsid w:val="40FE39A8"/>
    <w:rsid w:val="41072774"/>
    <w:rsid w:val="412346D9"/>
    <w:rsid w:val="415B0618"/>
    <w:rsid w:val="415F3AED"/>
    <w:rsid w:val="416074D3"/>
    <w:rsid w:val="41787F13"/>
    <w:rsid w:val="41862931"/>
    <w:rsid w:val="41880DEA"/>
    <w:rsid w:val="418C2076"/>
    <w:rsid w:val="418D7880"/>
    <w:rsid w:val="419420D2"/>
    <w:rsid w:val="41A01D8C"/>
    <w:rsid w:val="41B4710F"/>
    <w:rsid w:val="41BC46D2"/>
    <w:rsid w:val="41CE2D7D"/>
    <w:rsid w:val="41D103D1"/>
    <w:rsid w:val="41DE442E"/>
    <w:rsid w:val="420A2093"/>
    <w:rsid w:val="42175737"/>
    <w:rsid w:val="4224699C"/>
    <w:rsid w:val="42273C18"/>
    <w:rsid w:val="423F4654"/>
    <w:rsid w:val="424736AE"/>
    <w:rsid w:val="42751640"/>
    <w:rsid w:val="42A66F34"/>
    <w:rsid w:val="42AB6E74"/>
    <w:rsid w:val="42CD40B9"/>
    <w:rsid w:val="42DA1091"/>
    <w:rsid w:val="42E11D93"/>
    <w:rsid w:val="43527029"/>
    <w:rsid w:val="435577FC"/>
    <w:rsid w:val="43791F5C"/>
    <w:rsid w:val="43816848"/>
    <w:rsid w:val="43B057FA"/>
    <w:rsid w:val="43EF065D"/>
    <w:rsid w:val="44193183"/>
    <w:rsid w:val="44347888"/>
    <w:rsid w:val="443D3AFC"/>
    <w:rsid w:val="44824DC4"/>
    <w:rsid w:val="44A552D3"/>
    <w:rsid w:val="44BF208B"/>
    <w:rsid w:val="44E94982"/>
    <w:rsid w:val="44F41EC5"/>
    <w:rsid w:val="45207111"/>
    <w:rsid w:val="453F10D8"/>
    <w:rsid w:val="45453A2E"/>
    <w:rsid w:val="455F7AA2"/>
    <w:rsid w:val="45806396"/>
    <w:rsid w:val="45A06F5C"/>
    <w:rsid w:val="45C11671"/>
    <w:rsid w:val="45E86791"/>
    <w:rsid w:val="45ED78F0"/>
    <w:rsid w:val="45EF0FF3"/>
    <w:rsid w:val="45F63AB0"/>
    <w:rsid w:val="461F5A0C"/>
    <w:rsid w:val="46925487"/>
    <w:rsid w:val="469B26EE"/>
    <w:rsid w:val="46AA2F9F"/>
    <w:rsid w:val="46BA1434"/>
    <w:rsid w:val="46BA7686"/>
    <w:rsid w:val="46BD0C60"/>
    <w:rsid w:val="46C22577"/>
    <w:rsid w:val="46D2735A"/>
    <w:rsid w:val="46EA072E"/>
    <w:rsid w:val="46FC428E"/>
    <w:rsid w:val="4702440F"/>
    <w:rsid w:val="470D1EAB"/>
    <w:rsid w:val="4711279C"/>
    <w:rsid w:val="473867FC"/>
    <w:rsid w:val="477930D0"/>
    <w:rsid w:val="47884BCA"/>
    <w:rsid w:val="478A5120"/>
    <w:rsid w:val="478A52AA"/>
    <w:rsid w:val="47946129"/>
    <w:rsid w:val="47BA1041"/>
    <w:rsid w:val="47C34AB9"/>
    <w:rsid w:val="47EC1235"/>
    <w:rsid w:val="481974AE"/>
    <w:rsid w:val="48204969"/>
    <w:rsid w:val="482D3945"/>
    <w:rsid w:val="48377EF8"/>
    <w:rsid w:val="48382C33"/>
    <w:rsid w:val="48431AE0"/>
    <w:rsid w:val="48441E6C"/>
    <w:rsid w:val="48562DB4"/>
    <w:rsid w:val="488B21DA"/>
    <w:rsid w:val="488D3865"/>
    <w:rsid w:val="48AE281F"/>
    <w:rsid w:val="48D80515"/>
    <w:rsid w:val="48D915A5"/>
    <w:rsid w:val="49167350"/>
    <w:rsid w:val="49251C08"/>
    <w:rsid w:val="49340032"/>
    <w:rsid w:val="493912B4"/>
    <w:rsid w:val="493A5166"/>
    <w:rsid w:val="49581800"/>
    <w:rsid w:val="496B65F9"/>
    <w:rsid w:val="49BB4D66"/>
    <w:rsid w:val="49BF2ADA"/>
    <w:rsid w:val="49C74A93"/>
    <w:rsid w:val="49EF3AEA"/>
    <w:rsid w:val="49F17862"/>
    <w:rsid w:val="49F7202E"/>
    <w:rsid w:val="4A3C46F3"/>
    <w:rsid w:val="4A5459CE"/>
    <w:rsid w:val="4A622894"/>
    <w:rsid w:val="4A91001A"/>
    <w:rsid w:val="4AA65BCB"/>
    <w:rsid w:val="4AFB1638"/>
    <w:rsid w:val="4AFF7AE0"/>
    <w:rsid w:val="4B203760"/>
    <w:rsid w:val="4B221C9D"/>
    <w:rsid w:val="4B2E01C4"/>
    <w:rsid w:val="4B3C6DA8"/>
    <w:rsid w:val="4B4207C5"/>
    <w:rsid w:val="4B4B2CE8"/>
    <w:rsid w:val="4B7B20B6"/>
    <w:rsid w:val="4B806399"/>
    <w:rsid w:val="4BA67645"/>
    <w:rsid w:val="4BAD5A0B"/>
    <w:rsid w:val="4BCC737E"/>
    <w:rsid w:val="4BD90C77"/>
    <w:rsid w:val="4BE64A79"/>
    <w:rsid w:val="4BEE6AE6"/>
    <w:rsid w:val="4BEF4DAF"/>
    <w:rsid w:val="4C113746"/>
    <w:rsid w:val="4C37334B"/>
    <w:rsid w:val="4C477B37"/>
    <w:rsid w:val="4C635ABB"/>
    <w:rsid w:val="4C7E1155"/>
    <w:rsid w:val="4CB8217D"/>
    <w:rsid w:val="4CD62D3F"/>
    <w:rsid w:val="4D053398"/>
    <w:rsid w:val="4D067E1E"/>
    <w:rsid w:val="4D0F1837"/>
    <w:rsid w:val="4D2145E9"/>
    <w:rsid w:val="4D2A3B2B"/>
    <w:rsid w:val="4D352C4E"/>
    <w:rsid w:val="4D5449B9"/>
    <w:rsid w:val="4D674135"/>
    <w:rsid w:val="4D714324"/>
    <w:rsid w:val="4D801725"/>
    <w:rsid w:val="4D9150EA"/>
    <w:rsid w:val="4D9724BF"/>
    <w:rsid w:val="4DAA5A48"/>
    <w:rsid w:val="4DC55094"/>
    <w:rsid w:val="4DFF5066"/>
    <w:rsid w:val="4E173B6A"/>
    <w:rsid w:val="4E307E6C"/>
    <w:rsid w:val="4E495FA0"/>
    <w:rsid w:val="4E7F7328"/>
    <w:rsid w:val="4EA245D7"/>
    <w:rsid w:val="4EBC59F1"/>
    <w:rsid w:val="4EF851EF"/>
    <w:rsid w:val="4F003701"/>
    <w:rsid w:val="4F1C6809"/>
    <w:rsid w:val="4F440434"/>
    <w:rsid w:val="4F4701AD"/>
    <w:rsid w:val="4F477694"/>
    <w:rsid w:val="4F4C268C"/>
    <w:rsid w:val="4F566290"/>
    <w:rsid w:val="4F5B752C"/>
    <w:rsid w:val="4F7A03E8"/>
    <w:rsid w:val="4FA0162B"/>
    <w:rsid w:val="4FDF77C2"/>
    <w:rsid w:val="4FE45773"/>
    <w:rsid w:val="4FF55E12"/>
    <w:rsid w:val="50143EA3"/>
    <w:rsid w:val="5028630E"/>
    <w:rsid w:val="502E69EF"/>
    <w:rsid w:val="50504BB7"/>
    <w:rsid w:val="50575377"/>
    <w:rsid w:val="505A5A36"/>
    <w:rsid w:val="50707007"/>
    <w:rsid w:val="50795D28"/>
    <w:rsid w:val="508479ED"/>
    <w:rsid w:val="50A50B14"/>
    <w:rsid w:val="50AC16A9"/>
    <w:rsid w:val="50AF6AA9"/>
    <w:rsid w:val="50C56009"/>
    <w:rsid w:val="50D440F9"/>
    <w:rsid w:val="50D736C5"/>
    <w:rsid w:val="50FC6416"/>
    <w:rsid w:val="511B39D8"/>
    <w:rsid w:val="511E5DEE"/>
    <w:rsid w:val="516960AD"/>
    <w:rsid w:val="518528BD"/>
    <w:rsid w:val="51B460EA"/>
    <w:rsid w:val="51B50D16"/>
    <w:rsid w:val="51B64EEE"/>
    <w:rsid w:val="51E44B88"/>
    <w:rsid w:val="51E904BE"/>
    <w:rsid w:val="51ED6671"/>
    <w:rsid w:val="51F85506"/>
    <w:rsid w:val="522E302E"/>
    <w:rsid w:val="5262226D"/>
    <w:rsid w:val="52730FF4"/>
    <w:rsid w:val="528057BC"/>
    <w:rsid w:val="52851C3B"/>
    <w:rsid w:val="529555FD"/>
    <w:rsid w:val="52AE43FE"/>
    <w:rsid w:val="52CA049A"/>
    <w:rsid w:val="52FB55CB"/>
    <w:rsid w:val="53056E37"/>
    <w:rsid w:val="53141B3D"/>
    <w:rsid w:val="538A5BD1"/>
    <w:rsid w:val="538F51F4"/>
    <w:rsid w:val="53977EA8"/>
    <w:rsid w:val="53DA6A6E"/>
    <w:rsid w:val="53FC4E5E"/>
    <w:rsid w:val="540D7637"/>
    <w:rsid w:val="54233777"/>
    <w:rsid w:val="54282AF6"/>
    <w:rsid w:val="543A64B9"/>
    <w:rsid w:val="545243CB"/>
    <w:rsid w:val="54AF71F2"/>
    <w:rsid w:val="54C03B8C"/>
    <w:rsid w:val="54C678A3"/>
    <w:rsid w:val="54DE73B1"/>
    <w:rsid w:val="54FD2C03"/>
    <w:rsid w:val="55006C80"/>
    <w:rsid w:val="55083BF4"/>
    <w:rsid w:val="55090AA3"/>
    <w:rsid w:val="55100B11"/>
    <w:rsid w:val="551F5AB2"/>
    <w:rsid w:val="553E616A"/>
    <w:rsid w:val="5548270D"/>
    <w:rsid w:val="555A4BC0"/>
    <w:rsid w:val="557523EE"/>
    <w:rsid w:val="55CD1BB7"/>
    <w:rsid w:val="55D162C7"/>
    <w:rsid w:val="55F61370"/>
    <w:rsid w:val="560162DD"/>
    <w:rsid w:val="562B67BC"/>
    <w:rsid w:val="5658254F"/>
    <w:rsid w:val="56617B1E"/>
    <w:rsid w:val="56695FC8"/>
    <w:rsid w:val="56934993"/>
    <w:rsid w:val="569E4C83"/>
    <w:rsid w:val="56AE5E52"/>
    <w:rsid w:val="56B72D32"/>
    <w:rsid w:val="56C0004A"/>
    <w:rsid w:val="56F2046F"/>
    <w:rsid w:val="57015559"/>
    <w:rsid w:val="572349DD"/>
    <w:rsid w:val="575244A1"/>
    <w:rsid w:val="575256B8"/>
    <w:rsid w:val="575A3075"/>
    <w:rsid w:val="57684609"/>
    <w:rsid w:val="57CE2F91"/>
    <w:rsid w:val="57D617FB"/>
    <w:rsid w:val="57EA1FC3"/>
    <w:rsid w:val="57EE2C51"/>
    <w:rsid w:val="58220AC2"/>
    <w:rsid w:val="582404DB"/>
    <w:rsid w:val="585548B9"/>
    <w:rsid w:val="58781297"/>
    <w:rsid w:val="589844B8"/>
    <w:rsid w:val="58BB1124"/>
    <w:rsid w:val="58C108B3"/>
    <w:rsid w:val="58CA3DF5"/>
    <w:rsid w:val="58F3147C"/>
    <w:rsid w:val="58FE78A6"/>
    <w:rsid w:val="59200CA7"/>
    <w:rsid w:val="59224B29"/>
    <w:rsid w:val="59312901"/>
    <w:rsid w:val="59361F28"/>
    <w:rsid w:val="595552C2"/>
    <w:rsid w:val="59595D8B"/>
    <w:rsid w:val="59B70E6C"/>
    <w:rsid w:val="59B86E37"/>
    <w:rsid w:val="5A0A7BDC"/>
    <w:rsid w:val="5A1D46EB"/>
    <w:rsid w:val="5A2423E6"/>
    <w:rsid w:val="5A420567"/>
    <w:rsid w:val="5AA50041"/>
    <w:rsid w:val="5AC77D96"/>
    <w:rsid w:val="5AC8292D"/>
    <w:rsid w:val="5AFD4C0B"/>
    <w:rsid w:val="5B2335F4"/>
    <w:rsid w:val="5B3C570A"/>
    <w:rsid w:val="5B4B66A7"/>
    <w:rsid w:val="5B5142C1"/>
    <w:rsid w:val="5BA140AF"/>
    <w:rsid w:val="5BB51822"/>
    <w:rsid w:val="5C137A80"/>
    <w:rsid w:val="5C1C4FB7"/>
    <w:rsid w:val="5C511065"/>
    <w:rsid w:val="5C835F6E"/>
    <w:rsid w:val="5CD80816"/>
    <w:rsid w:val="5CDE03F2"/>
    <w:rsid w:val="5CF26C39"/>
    <w:rsid w:val="5CF31F17"/>
    <w:rsid w:val="5D020FEC"/>
    <w:rsid w:val="5D5443FE"/>
    <w:rsid w:val="5D810AA5"/>
    <w:rsid w:val="5D834A3B"/>
    <w:rsid w:val="5D843592"/>
    <w:rsid w:val="5D916F3A"/>
    <w:rsid w:val="5DAD573A"/>
    <w:rsid w:val="5DCE4E16"/>
    <w:rsid w:val="5DD83DF3"/>
    <w:rsid w:val="5DEC67DD"/>
    <w:rsid w:val="5E09521D"/>
    <w:rsid w:val="5E1C0853"/>
    <w:rsid w:val="5E2328AA"/>
    <w:rsid w:val="5E267260"/>
    <w:rsid w:val="5E453728"/>
    <w:rsid w:val="5E491B01"/>
    <w:rsid w:val="5E666D7C"/>
    <w:rsid w:val="5E736640"/>
    <w:rsid w:val="5E8B31B0"/>
    <w:rsid w:val="5E954808"/>
    <w:rsid w:val="5E9B5C63"/>
    <w:rsid w:val="5E9C4216"/>
    <w:rsid w:val="5EA019B5"/>
    <w:rsid w:val="5EA600BF"/>
    <w:rsid w:val="5EC60225"/>
    <w:rsid w:val="5EFB0CC6"/>
    <w:rsid w:val="5F0E33DE"/>
    <w:rsid w:val="5F13734B"/>
    <w:rsid w:val="5F5944DF"/>
    <w:rsid w:val="5F595990"/>
    <w:rsid w:val="5F6A4786"/>
    <w:rsid w:val="5F6B5F5F"/>
    <w:rsid w:val="5F8E26CA"/>
    <w:rsid w:val="5F93245E"/>
    <w:rsid w:val="5FF76BA1"/>
    <w:rsid w:val="5FFB2C89"/>
    <w:rsid w:val="6002148D"/>
    <w:rsid w:val="60191E97"/>
    <w:rsid w:val="606C234F"/>
    <w:rsid w:val="60771CEC"/>
    <w:rsid w:val="607E5A29"/>
    <w:rsid w:val="6088774F"/>
    <w:rsid w:val="60AC5159"/>
    <w:rsid w:val="60AE3A71"/>
    <w:rsid w:val="60BF2AC6"/>
    <w:rsid w:val="60D271E4"/>
    <w:rsid w:val="60DC4704"/>
    <w:rsid w:val="61025EB6"/>
    <w:rsid w:val="61603BF3"/>
    <w:rsid w:val="61730343"/>
    <w:rsid w:val="618D7A19"/>
    <w:rsid w:val="619579AC"/>
    <w:rsid w:val="619C16C1"/>
    <w:rsid w:val="619E0F4E"/>
    <w:rsid w:val="61AA6B36"/>
    <w:rsid w:val="61FF5526"/>
    <w:rsid w:val="620A472A"/>
    <w:rsid w:val="62142F5B"/>
    <w:rsid w:val="62143C96"/>
    <w:rsid w:val="62235340"/>
    <w:rsid w:val="622568AB"/>
    <w:rsid w:val="6228347D"/>
    <w:rsid w:val="624F3A0D"/>
    <w:rsid w:val="62575A03"/>
    <w:rsid w:val="62613023"/>
    <w:rsid w:val="62662AC6"/>
    <w:rsid w:val="62AA63A9"/>
    <w:rsid w:val="62B73B2B"/>
    <w:rsid w:val="62CD0DB2"/>
    <w:rsid w:val="62D0544D"/>
    <w:rsid w:val="62DF1150"/>
    <w:rsid w:val="62F62BC9"/>
    <w:rsid w:val="630D3254"/>
    <w:rsid w:val="63160660"/>
    <w:rsid w:val="633E1AD6"/>
    <w:rsid w:val="63571EAF"/>
    <w:rsid w:val="63694D0B"/>
    <w:rsid w:val="637371AD"/>
    <w:rsid w:val="639768D8"/>
    <w:rsid w:val="639A6E9A"/>
    <w:rsid w:val="63E40674"/>
    <w:rsid w:val="6402355A"/>
    <w:rsid w:val="6407258B"/>
    <w:rsid w:val="64096736"/>
    <w:rsid w:val="6411279C"/>
    <w:rsid w:val="641C0B53"/>
    <w:rsid w:val="641C6E32"/>
    <w:rsid w:val="644D7CA5"/>
    <w:rsid w:val="645E569D"/>
    <w:rsid w:val="64654716"/>
    <w:rsid w:val="64814CFE"/>
    <w:rsid w:val="64882593"/>
    <w:rsid w:val="64B5737C"/>
    <w:rsid w:val="64C6589C"/>
    <w:rsid w:val="64CF5348"/>
    <w:rsid w:val="64DD5285"/>
    <w:rsid w:val="64EC22ED"/>
    <w:rsid w:val="64FF2784"/>
    <w:rsid w:val="65113459"/>
    <w:rsid w:val="652327B5"/>
    <w:rsid w:val="652C6670"/>
    <w:rsid w:val="65312DB1"/>
    <w:rsid w:val="65366D28"/>
    <w:rsid w:val="653966E9"/>
    <w:rsid w:val="65484A0A"/>
    <w:rsid w:val="65696B55"/>
    <w:rsid w:val="657D7DA4"/>
    <w:rsid w:val="658B4A88"/>
    <w:rsid w:val="65AD0281"/>
    <w:rsid w:val="65CB58E6"/>
    <w:rsid w:val="65EA14D2"/>
    <w:rsid w:val="65EA78B6"/>
    <w:rsid w:val="65ED46CD"/>
    <w:rsid w:val="660C1C1C"/>
    <w:rsid w:val="66144B31"/>
    <w:rsid w:val="66410DD2"/>
    <w:rsid w:val="6654170F"/>
    <w:rsid w:val="66572414"/>
    <w:rsid w:val="666A74FD"/>
    <w:rsid w:val="666C0DA3"/>
    <w:rsid w:val="66812A2C"/>
    <w:rsid w:val="66851100"/>
    <w:rsid w:val="669C3CB6"/>
    <w:rsid w:val="66A3792A"/>
    <w:rsid w:val="66A55C1D"/>
    <w:rsid w:val="66B05C0B"/>
    <w:rsid w:val="66BF5A49"/>
    <w:rsid w:val="66D47E98"/>
    <w:rsid w:val="66DE0DD9"/>
    <w:rsid w:val="66E3464C"/>
    <w:rsid w:val="66E60023"/>
    <w:rsid w:val="66EC77AB"/>
    <w:rsid w:val="670C68B0"/>
    <w:rsid w:val="670F459B"/>
    <w:rsid w:val="673C0D51"/>
    <w:rsid w:val="67560C70"/>
    <w:rsid w:val="678B30B7"/>
    <w:rsid w:val="67A53C62"/>
    <w:rsid w:val="67AE5A44"/>
    <w:rsid w:val="67F72977"/>
    <w:rsid w:val="680520FB"/>
    <w:rsid w:val="680F326F"/>
    <w:rsid w:val="68336DB8"/>
    <w:rsid w:val="68373B33"/>
    <w:rsid w:val="683D46A6"/>
    <w:rsid w:val="68653D66"/>
    <w:rsid w:val="687528A3"/>
    <w:rsid w:val="68793B46"/>
    <w:rsid w:val="689C54BB"/>
    <w:rsid w:val="68A17112"/>
    <w:rsid w:val="68B02589"/>
    <w:rsid w:val="68CD5076"/>
    <w:rsid w:val="68DA27A3"/>
    <w:rsid w:val="68EC2043"/>
    <w:rsid w:val="68F16504"/>
    <w:rsid w:val="68F54E50"/>
    <w:rsid w:val="69057D94"/>
    <w:rsid w:val="691336D3"/>
    <w:rsid w:val="69166D50"/>
    <w:rsid w:val="691E2B86"/>
    <w:rsid w:val="691E57E3"/>
    <w:rsid w:val="69286D62"/>
    <w:rsid w:val="692E237C"/>
    <w:rsid w:val="694725DA"/>
    <w:rsid w:val="695D1AEE"/>
    <w:rsid w:val="69965091"/>
    <w:rsid w:val="69C32F33"/>
    <w:rsid w:val="69C94966"/>
    <w:rsid w:val="69D04AEF"/>
    <w:rsid w:val="69EF7D08"/>
    <w:rsid w:val="6A0C3F26"/>
    <w:rsid w:val="6A11581B"/>
    <w:rsid w:val="6A350C4E"/>
    <w:rsid w:val="6A47539B"/>
    <w:rsid w:val="6A511CE4"/>
    <w:rsid w:val="6A727A8A"/>
    <w:rsid w:val="6A742C78"/>
    <w:rsid w:val="6A9F0E4D"/>
    <w:rsid w:val="6AAB53B4"/>
    <w:rsid w:val="6AAC36EB"/>
    <w:rsid w:val="6AC95890"/>
    <w:rsid w:val="6AD72064"/>
    <w:rsid w:val="6B327B50"/>
    <w:rsid w:val="6B3308D0"/>
    <w:rsid w:val="6B4D145F"/>
    <w:rsid w:val="6B637C2F"/>
    <w:rsid w:val="6B71271C"/>
    <w:rsid w:val="6B8737B1"/>
    <w:rsid w:val="6B8E464B"/>
    <w:rsid w:val="6B99149C"/>
    <w:rsid w:val="6BC21C02"/>
    <w:rsid w:val="6BC34ACF"/>
    <w:rsid w:val="6C24541E"/>
    <w:rsid w:val="6C48215B"/>
    <w:rsid w:val="6C4C3A09"/>
    <w:rsid w:val="6C4E20CE"/>
    <w:rsid w:val="6C550BA2"/>
    <w:rsid w:val="6C653956"/>
    <w:rsid w:val="6C6A0507"/>
    <w:rsid w:val="6C78194F"/>
    <w:rsid w:val="6C8120DB"/>
    <w:rsid w:val="6C8D02B5"/>
    <w:rsid w:val="6C9A45F1"/>
    <w:rsid w:val="6C9B6B65"/>
    <w:rsid w:val="6CA443DE"/>
    <w:rsid w:val="6CA77424"/>
    <w:rsid w:val="6CAE5515"/>
    <w:rsid w:val="6CC45B46"/>
    <w:rsid w:val="6CC575F7"/>
    <w:rsid w:val="6CDE7AAE"/>
    <w:rsid w:val="6D946D91"/>
    <w:rsid w:val="6D9A18CE"/>
    <w:rsid w:val="6D9C5958"/>
    <w:rsid w:val="6DA02AF9"/>
    <w:rsid w:val="6DA272E6"/>
    <w:rsid w:val="6DA85F6B"/>
    <w:rsid w:val="6DBB38B6"/>
    <w:rsid w:val="6DBF6204"/>
    <w:rsid w:val="6DCB23E0"/>
    <w:rsid w:val="6DF96705"/>
    <w:rsid w:val="6E0578A7"/>
    <w:rsid w:val="6E130876"/>
    <w:rsid w:val="6E225242"/>
    <w:rsid w:val="6E24249C"/>
    <w:rsid w:val="6E254318"/>
    <w:rsid w:val="6E3B1EBF"/>
    <w:rsid w:val="6E48798E"/>
    <w:rsid w:val="6E5E6841"/>
    <w:rsid w:val="6E6D4E1E"/>
    <w:rsid w:val="6E766BE3"/>
    <w:rsid w:val="6E7D7067"/>
    <w:rsid w:val="6E842C9D"/>
    <w:rsid w:val="6EB83BFB"/>
    <w:rsid w:val="6EDE65DD"/>
    <w:rsid w:val="6F065006"/>
    <w:rsid w:val="6F30684F"/>
    <w:rsid w:val="6F362E31"/>
    <w:rsid w:val="6F581562"/>
    <w:rsid w:val="6F7F141E"/>
    <w:rsid w:val="6F9208F0"/>
    <w:rsid w:val="6FB100C2"/>
    <w:rsid w:val="6FBE6233"/>
    <w:rsid w:val="6FC3445B"/>
    <w:rsid w:val="6FE078AE"/>
    <w:rsid w:val="6FFC2FEA"/>
    <w:rsid w:val="70195A53"/>
    <w:rsid w:val="702D7E0C"/>
    <w:rsid w:val="703B33B2"/>
    <w:rsid w:val="70455963"/>
    <w:rsid w:val="70580595"/>
    <w:rsid w:val="706056FE"/>
    <w:rsid w:val="7068705E"/>
    <w:rsid w:val="707648F6"/>
    <w:rsid w:val="707B3352"/>
    <w:rsid w:val="708C17E3"/>
    <w:rsid w:val="70A3255E"/>
    <w:rsid w:val="70E35905"/>
    <w:rsid w:val="70E546A9"/>
    <w:rsid w:val="710A1082"/>
    <w:rsid w:val="712D1432"/>
    <w:rsid w:val="713402CD"/>
    <w:rsid w:val="7145098E"/>
    <w:rsid w:val="715679E2"/>
    <w:rsid w:val="716110A1"/>
    <w:rsid w:val="716C6FA0"/>
    <w:rsid w:val="717C3606"/>
    <w:rsid w:val="718D2C45"/>
    <w:rsid w:val="71913F5B"/>
    <w:rsid w:val="71AE0F86"/>
    <w:rsid w:val="71B14A0B"/>
    <w:rsid w:val="71BA3391"/>
    <w:rsid w:val="71C20FF6"/>
    <w:rsid w:val="71C93A88"/>
    <w:rsid w:val="71D539D3"/>
    <w:rsid w:val="71F57AD1"/>
    <w:rsid w:val="721135E1"/>
    <w:rsid w:val="723813F2"/>
    <w:rsid w:val="72427FC3"/>
    <w:rsid w:val="725F3C08"/>
    <w:rsid w:val="726D5E1B"/>
    <w:rsid w:val="727D6E90"/>
    <w:rsid w:val="727E30ED"/>
    <w:rsid w:val="72874010"/>
    <w:rsid w:val="728D05A9"/>
    <w:rsid w:val="72951093"/>
    <w:rsid w:val="729B4D2F"/>
    <w:rsid w:val="72A7552B"/>
    <w:rsid w:val="72C32423"/>
    <w:rsid w:val="72D321F5"/>
    <w:rsid w:val="72F72B49"/>
    <w:rsid w:val="7324043F"/>
    <w:rsid w:val="732D0CB7"/>
    <w:rsid w:val="734546CF"/>
    <w:rsid w:val="7358660B"/>
    <w:rsid w:val="73627733"/>
    <w:rsid w:val="738D4778"/>
    <w:rsid w:val="738F00B1"/>
    <w:rsid w:val="739A3F67"/>
    <w:rsid w:val="739F6AA4"/>
    <w:rsid w:val="73D836E1"/>
    <w:rsid w:val="73DA4E2F"/>
    <w:rsid w:val="73EF6798"/>
    <w:rsid w:val="74285B05"/>
    <w:rsid w:val="74322FA8"/>
    <w:rsid w:val="74366CBA"/>
    <w:rsid w:val="747312A3"/>
    <w:rsid w:val="74B826EE"/>
    <w:rsid w:val="74D97141"/>
    <w:rsid w:val="74DD7B52"/>
    <w:rsid w:val="750154D8"/>
    <w:rsid w:val="75122349"/>
    <w:rsid w:val="75161380"/>
    <w:rsid w:val="75244191"/>
    <w:rsid w:val="753E2914"/>
    <w:rsid w:val="75497837"/>
    <w:rsid w:val="757E1D71"/>
    <w:rsid w:val="75805897"/>
    <w:rsid w:val="758F55F2"/>
    <w:rsid w:val="759C7B43"/>
    <w:rsid w:val="75B433BC"/>
    <w:rsid w:val="75CD6D31"/>
    <w:rsid w:val="75E00533"/>
    <w:rsid w:val="75E2362E"/>
    <w:rsid w:val="75E7229D"/>
    <w:rsid w:val="75E93FEB"/>
    <w:rsid w:val="75F53987"/>
    <w:rsid w:val="76213F72"/>
    <w:rsid w:val="76300DFC"/>
    <w:rsid w:val="76414984"/>
    <w:rsid w:val="768C678E"/>
    <w:rsid w:val="76931FE6"/>
    <w:rsid w:val="769A2B61"/>
    <w:rsid w:val="76C017A1"/>
    <w:rsid w:val="76C35C44"/>
    <w:rsid w:val="76C93ADD"/>
    <w:rsid w:val="76D62607"/>
    <w:rsid w:val="76E86C6A"/>
    <w:rsid w:val="772F2ED7"/>
    <w:rsid w:val="77324210"/>
    <w:rsid w:val="774060E3"/>
    <w:rsid w:val="77965D28"/>
    <w:rsid w:val="77A92C7B"/>
    <w:rsid w:val="77B75398"/>
    <w:rsid w:val="77BF004B"/>
    <w:rsid w:val="77C2472F"/>
    <w:rsid w:val="77C43312"/>
    <w:rsid w:val="77D85791"/>
    <w:rsid w:val="784444E6"/>
    <w:rsid w:val="786A0116"/>
    <w:rsid w:val="78896490"/>
    <w:rsid w:val="78946667"/>
    <w:rsid w:val="78A145D8"/>
    <w:rsid w:val="78C02812"/>
    <w:rsid w:val="78E122D2"/>
    <w:rsid w:val="78E458DB"/>
    <w:rsid w:val="78EE1809"/>
    <w:rsid w:val="79052894"/>
    <w:rsid w:val="790C1D70"/>
    <w:rsid w:val="7947732D"/>
    <w:rsid w:val="797C0629"/>
    <w:rsid w:val="79CC07EE"/>
    <w:rsid w:val="79D63314"/>
    <w:rsid w:val="79D67247"/>
    <w:rsid w:val="7A164B8D"/>
    <w:rsid w:val="7A3507F6"/>
    <w:rsid w:val="7A352511"/>
    <w:rsid w:val="7A464A22"/>
    <w:rsid w:val="7A71228C"/>
    <w:rsid w:val="7A8C1F72"/>
    <w:rsid w:val="7A9624E0"/>
    <w:rsid w:val="7ABA2705"/>
    <w:rsid w:val="7ABC78B4"/>
    <w:rsid w:val="7ADB4172"/>
    <w:rsid w:val="7ADE2C60"/>
    <w:rsid w:val="7AEF1C7A"/>
    <w:rsid w:val="7AFB4CA5"/>
    <w:rsid w:val="7B00422B"/>
    <w:rsid w:val="7B297B92"/>
    <w:rsid w:val="7B3C2BAA"/>
    <w:rsid w:val="7B455FEF"/>
    <w:rsid w:val="7B6337DA"/>
    <w:rsid w:val="7B670514"/>
    <w:rsid w:val="7B7F1089"/>
    <w:rsid w:val="7B8A6F95"/>
    <w:rsid w:val="7B912C4C"/>
    <w:rsid w:val="7B9258F2"/>
    <w:rsid w:val="7BA102D7"/>
    <w:rsid w:val="7BDD2035"/>
    <w:rsid w:val="7BF2699E"/>
    <w:rsid w:val="7BF93F3C"/>
    <w:rsid w:val="7C0B5CB2"/>
    <w:rsid w:val="7C176D67"/>
    <w:rsid w:val="7C3C5B74"/>
    <w:rsid w:val="7C466CEA"/>
    <w:rsid w:val="7C561815"/>
    <w:rsid w:val="7CA65BEC"/>
    <w:rsid w:val="7CB04F13"/>
    <w:rsid w:val="7CD17958"/>
    <w:rsid w:val="7D122C8C"/>
    <w:rsid w:val="7D182577"/>
    <w:rsid w:val="7D1F4518"/>
    <w:rsid w:val="7D252DA4"/>
    <w:rsid w:val="7D622903"/>
    <w:rsid w:val="7D627B54"/>
    <w:rsid w:val="7D822270"/>
    <w:rsid w:val="7D9726DD"/>
    <w:rsid w:val="7DBD3C73"/>
    <w:rsid w:val="7DD008CB"/>
    <w:rsid w:val="7DE03FD3"/>
    <w:rsid w:val="7DE1316F"/>
    <w:rsid w:val="7DED1B13"/>
    <w:rsid w:val="7DF30FAB"/>
    <w:rsid w:val="7E2176E1"/>
    <w:rsid w:val="7E3E411D"/>
    <w:rsid w:val="7E43221B"/>
    <w:rsid w:val="7E473BFF"/>
    <w:rsid w:val="7E4E0891"/>
    <w:rsid w:val="7E7713DD"/>
    <w:rsid w:val="7E811D93"/>
    <w:rsid w:val="7E9E0E66"/>
    <w:rsid w:val="7EA36676"/>
    <w:rsid w:val="7EA45F4A"/>
    <w:rsid w:val="7EB413D7"/>
    <w:rsid w:val="7ED75978"/>
    <w:rsid w:val="7EE4691E"/>
    <w:rsid w:val="7EEE7A31"/>
    <w:rsid w:val="7EF33F3D"/>
    <w:rsid w:val="7F091340"/>
    <w:rsid w:val="7F1E1A9D"/>
    <w:rsid w:val="7F6E6E9E"/>
    <w:rsid w:val="7F713277"/>
    <w:rsid w:val="7FC00B62"/>
    <w:rsid w:val="7FC1658E"/>
    <w:rsid w:val="7FD7538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8"/>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0"/>
    <w:pPr>
      <w:keepNext/>
      <w:keepLines/>
      <w:spacing w:before="260" w:after="260" w:line="500" w:lineRule="exact"/>
      <w:outlineLvl w:val="1"/>
    </w:pPr>
    <w:rPr>
      <w:rFonts w:ascii="Arial" w:hAnsi="Arial" w:eastAsia="黑体"/>
      <w:b/>
      <w:sz w:val="28"/>
      <w:szCs w:val="20"/>
    </w:rPr>
  </w:style>
  <w:style w:type="paragraph" w:styleId="6">
    <w:name w:val="heading 3"/>
    <w:basedOn w:val="1"/>
    <w:next w:val="2"/>
    <w:qFormat/>
    <w:uiPriority w:val="0"/>
    <w:pPr>
      <w:keepNext/>
      <w:keepLines/>
      <w:spacing w:before="260" w:after="260" w:line="412" w:lineRule="auto"/>
      <w:outlineLvl w:val="2"/>
    </w:pPr>
    <w:rPr>
      <w:b/>
      <w:sz w:val="32"/>
      <w:szCs w:val="20"/>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qFormat/>
    <w:uiPriority w:val="0"/>
    <w:pPr>
      <w:keepNext/>
      <w:keepLines/>
      <w:numPr>
        <w:ilvl w:val="4"/>
        <w:numId w:val="1"/>
      </w:numPr>
      <w:spacing w:before="280" w:after="290" w:line="372" w:lineRule="auto"/>
      <w:outlineLvl w:val="4"/>
    </w:pPr>
    <w:rPr>
      <w:b/>
      <w:sz w:val="28"/>
    </w:rPr>
  </w:style>
  <w:style w:type="paragraph" w:styleId="9">
    <w:name w:val="heading 6"/>
    <w:basedOn w:val="1"/>
    <w:next w:val="2"/>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2"/>
    <w:qFormat/>
    <w:uiPriority w:val="0"/>
    <w:pPr>
      <w:keepNext/>
      <w:keepLines/>
      <w:numPr>
        <w:ilvl w:val="6"/>
        <w:numId w:val="1"/>
      </w:numPr>
      <w:spacing w:before="240" w:after="64" w:line="316" w:lineRule="auto"/>
      <w:outlineLvl w:val="6"/>
    </w:pPr>
    <w:rPr>
      <w:b/>
      <w:sz w:val="24"/>
    </w:rPr>
  </w:style>
  <w:style w:type="paragraph" w:styleId="11">
    <w:name w:val="heading 8"/>
    <w:basedOn w:val="1"/>
    <w:next w:val="2"/>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2"/>
    <w:qFormat/>
    <w:uiPriority w:val="0"/>
    <w:pPr>
      <w:keepNext/>
      <w:keepLines/>
      <w:numPr>
        <w:ilvl w:val="8"/>
        <w:numId w:val="1"/>
      </w:numPr>
      <w:spacing w:before="240" w:after="64" w:line="316"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45"/>
    <w:qFormat/>
    <w:uiPriority w:val="0"/>
    <w:pPr>
      <w:ind w:firstLine="420"/>
    </w:pPr>
    <w:rPr>
      <w:szCs w:val="20"/>
    </w:rPr>
  </w:style>
  <w:style w:type="paragraph" w:styleId="3">
    <w:name w:val="toc 4"/>
    <w:basedOn w:val="1"/>
    <w:next w:val="1"/>
    <w:unhideWhenUsed/>
    <w:qFormat/>
    <w:uiPriority w:val="39"/>
    <w:pPr>
      <w:ind w:left="1260" w:leftChars="600"/>
    </w:pPr>
  </w:style>
  <w:style w:type="paragraph" w:styleId="13">
    <w:name w:val="Document Map"/>
    <w:basedOn w:val="1"/>
    <w:link w:val="51"/>
    <w:qFormat/>
    <w:uiPriority w:val="0"/>
    <w:rPr>
      <w:rFonts w:ascii="宋体"/>
      <w:sz w:val="18"/>
      <w:szCs w:val="18"/>
    </w:rPr>
  </w:style>
  <w:style w:type="paragraph" w:styleId="14">
    <w:name w:val="annotation text"/>
    <w:basedOn w:val="1"/>
    <w:link w:val="55"/>
    <w:qFormat/>
    <w:uiPriority w:val="0"/>
    <w:pPr>
      <w:jc w:val="left"/>
    </w:pPr>
  </w:style>
  <w:style w:type="paragraph" w:styleId="15">
    <w:name w:val="Body Text"/>
    <w:basedOn w:val="1"/>
    <w:next w:val="1"/>
    <w:qFormat/>
    <w:uiPriority w:val="0"/>
    <w:pPr>
      <w:spacing w:after="120"/>
    </w:pPr>
    <w:rPr>
      <w:rFonts w:asciiTheme="minorHAnsi" w:hAnsiTheme="minorHAnsi" w:eastAsiaTheme="minorEastAsia" w:cstheme="minorBidi"/>
      <w:szCs w:val="22"/>
    </w:rPr>
  </w:style>
  <w:style w:type="paragraph" w:styleId="16">
    <w:name w:val="Body Text Indent"/>
    <w:basedOn w:val="1"/>
    <w:link w:val="67"/>
    <w:qFormat/>
    <w:uiPriority w:val="0"/>
    <w:pPr>
      <w:ind w:firstLine="630"/>
    </w:pPr>
    <w:rPr>
      <w:sz w:val="32"/>
      <w:szCs w:val="20"/>
    </w:rPr>
  </w:style>
  <w:style w:type="paragraph" w:styleId="17">
    <w:name w:val="toc 3"/>
    <w:basedOn w:val="1"/>
    <w:next w:val="1"/>
    <w:qFormat/>
    <w:uiPriority w:val="39"/>
    <w:pPr>
      <w:ind w:left="840" w:leftChars="400"/>
    </w:pPr>
  </w:style>
  <w:style w:type="paragraph" w:styleId="18">
    <w:name w:val="Plain Text"/>
    <w:basedOn w:val="1"/>
    <w:next w:val="1"/>
    <w:link w:val="59"/>
    <w:qFormat/>
    <w:uiPriority w:val="0"/>
    <w:rPr>
      <w:rFonts w:ascii="宋体" w:hAnsi="Courier New" w:cs="Courier New"/>
      <w:szCs w:val="21"/>
    </w:rPr>
  </w:style>
  <w:style w:type="paragraph" w:styleId="19">
    <w:name w:val="Date"/>
    <w:basedOn w:val="1"/>
    <w:next w:val="1"/>
    <w:link w:val="49"/>
    <w:qFormat/>
    <w:uiPriority w:val="0"/>
    <w:pPr>
      <w:ind w:left="100" w:leftChars="2500"/>
    </w:pPr>
  </w:style>
  <w:style w:type="paragraph" w:styleId="20">
    <w:name w:val="Body Text Indent 2"/>
    <w:basedOn w:val="1"/>
    <w:qFormat/>
    <w:uiPriority w:val="0"/>
    <w:pPr>
      <w:ind w:firstLine="630"/>
    </w:pPr>
    <w:rPr>
      <w:sz w:val="32"/>
      <w:szCs w:val="20"/>
    </w:rPr>
  </w:style>
  <w:style w:type="paragraph" w:styleId="21">
    <w:name w:val="Balloon Text"/>
    <w:basedOn w:val="1"/>
    <w:link w:val="70"/>
    <w:qFormat/>
    <w:uiPriority w:val="0"/>
    <w:rPr>
      <w:sz w:val="18"/>
      <w:szCs w:val="18"/>
    </w:rPr>
  </w:style>
  <w:style w:type="paragraph" w:styleId="22">
    <w:name w:val="footer"/>
    <w:basedOn w:val="1"/>
    <w:link w:val="48"/>
    <w:qFormat/>
    <w:uiPriority w:val="99"/>
    <w:pPr>
      <w:tabs>
        <w:tab w:val="center" w:pos="4153"/>
        <w:tab w:val="right" w:pos="8306"/>
      </w:tabs>
      <w:snapToGrid w:val="0"/>
      <w:jc w:val="left"/>
    </w:pPr>
    <w:rPr>
      <w:sz w:val="18"/>
      <w:szCs w:val="20"/>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20"/>
    </w:rPr>
  </w:style>
  <w:style w:type="paragraph" w:styleId="24">
    <w:name w:val="toc 1"/>
    <w:basedOn w:val="1"/>
    <w:next w:val="1"/>
    <w:qFormat/>
    <w:uiPriority w:val="39"/>
    <w:pPr>
      <w:tabs>
        <w:tab w:val="right" w:leader="dot" w:pos="9060"/>
      </w:tabs>
      <w:spacing w:line="276" w:lineRule="auto"/>
    </w:pPr>
    <w:rPr>
      <w:rFonts w:ascii="宋体" w:hAnsi="宋体"/>
      <w:b/>
      <w:sz w:val="24"/>
    </w:rPr>
  </w:style>
  <w:style w:type="paragraph" w:styleId="25">
    <w:name w:val="Body Text Indent 3"/>
    <w:basedOn w:val="1"/>
    <w:link w:val="58"/>
    <w:qFormat/>
    <w:uiPriority w:val="0"/>
    <w:pPr>
      <w:adjustRightInd w:val="0"/>
      <w:snapToGrid w:val="0"/>
      <w:spacing w:line="360" w:lineRule="auto"/>
      <w:ind w:firstLine="600" w:firstLineChars="200"/>
    </w:pPr>
    <w:rPr>
      <w:rFonts w:ascii="黑体" w:eastAsia="黑体"/>
      <w:sz w:val="30"/>
      <w:szCs w:val="28"/>
    </w:rPr>
  </w:style>
  <w:style w:type="paragraph" w:styleId="26">
    <w:name w:val="toc 2"/>
    <w:basedOn w:val="1"/>
    <w:next w:val="1"/>
    <w:qFormat/>
    <w:uiPriority w:val="39"/>
    <w:pPr>
      <w:ind w:left="420" w:leftChars="200"/>
    </w:pPr>
  </w:style>
  <w:style w:type="paragraph" w:styleId="27">
    <w:name w:val="Normal (Web)"/>
    <w:basedOn w:val="1"/>
    <w:next w:val="22"/>
    <w:qFormat/>
    <w:uiPriority w:val="99"/>
    <w:pPr>
      <w:widowControl/>
      <w:spacing w:before="100" w:beforeAutospacing="1" w:after="100" w:afterAutospacing="1"/>
      <w:jc w:val="left"/>
    </w:pPr>
    <w:rPr>
      <w:rFonts w:ascii="宋体" w:hAnsi="宋体"/>
      <w:kern w:val="0"/>
      <w:sz w:val="18"/>
      <w:szCs w:val="18"/>
    </w:rPr>
  </w:style>
  <w:style w:type="paragraph" w:styleId="28">
    <w:name w:val="annotation subject"/>
    <w:basedOn w:val="14"/>
    <w:next w:val="14"/>
    <w:link w:val="69"/>
    <w:qFormat/>
    <w:uiPriority w:val="0"/>
    <w:rPr>
      <w:b/>
      <w:bCs/>
    </w:rPr>
  </w:style>
  <w:style w:type="paragraph" w:styleId="29">
    <w:name w:val="Body Text First Indent"/>
    <w:basedOn w:val="15"/>
    <w:next w:val="30"/>
    <w:qFormat/>
    <w:uiPriority w:val="99"/>
    <w:pPr>
      <w:tabs>
        <w:tab w:val="left" w:pos="567"/>
      </w:tabs>
      <w:spacing w:beforeLines="50" w:afterLines="50" w:line="360" w:lineRule="auto"/>
      <w:ind w:firstLine="200" w:firstLineChars="200"/>
    </w:pPr>
    <w:rPr>
      <w:kern w:val="0"/>
      <w:sz w:val="30"/>
      <w:szCs w:val="24"/>
    </w:rPr>
  </w:style>
  <w:style w:type="paragraph" w:styleId="30">
    <w:name w:val="Body Text First Indent 2"/>
    <w:basedOn w:val="16"/>
    <w:qFormat/>
    <w:uiPriority w:val="99"/>
    <w:pPr>
      <w:ind w:firstLine="420" w:firstLineChars="200"/>
    </w:pPr>
    <w:rPr>
      <w:szCs w:val="24"/>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page number"/>
    <w:basedOn w:val="33"/>
    <w:qFormat/>
    <w:uiPriority w:val="0"/>
  </w:style>
  <w:style w:type="character" w:styleId="36">
    <w:name w:val="FollowedHyperlink"/>
    <w:basedOn w:val="33"/>
    <w:qFormat/>
    <w:uiPriority w:val="99"/>
    <w:rPr>
      <w:color w:val="333333"/>
      <w:u w:val="none"/>
    </w:rPr>
  </w:style>
  <w:style w:type="character" w:styleId="37">
    <w:name w:val="Emphasis"/>
    <w:basedOn w:val="33"/>
    <w:qFormat/>
    <w:uiPriority w:val="0"/>
  </w:style>
  <w:style w:type="character" w:styleId="38">
    <w:name w:val="HTML Definition"/>
    <w:basedOn w:val="33"/>
    <w:qFormat/>
    <w:uiPriority w:val="0"/>
    <w:rPr>
      <w:i/>
    </w:rPr>
  </w:style>
  <w:style w:type="character" w:styleId="39">
    <w:name w:val="Hyperlink"/>
    <w:qFormat/>
    <w:uiPriority w:val="99"/>
    <w:rPr>
      <w:color w:val="136EC2"/>
      <w:u w:val="single"/>
    </w:rPr>
  </w:style>
  <w:style w:type="character" w:styleId="40">
    <w:name w:val="HTML Code"/>
    <w:basedOn w:val="33"/>
    <w:qFormat/>
    <w:uiPriority w:val="0"/>
    <w:rPr>
      <w:rFonts w:hint="default" w:ascii="Consolas" w:hAnsi="Consolas" w:eastAsia="Consolas" w:cs="Consolas"/>
      <w:color w:val="C7254E"/>
      <w:sz w:val="21"/>
      <w:szCs w:val="21"/>
      <w:shd w:val="clear" w:color="auto" w:fill="F9F2F4"/>
    </w:rPr>
  </w:style>
  <w:style w:type="character" w:styleId="41">
    <w:name w:val="annotation reference"/>
    <w:basedOn w:val="33"/>
    <w:qFormat/>
    <w:uiPriority w:val="0"/>
    <w:rPr>
      <w:sz w:val="21"/>
      <w:szCs w:val="21"/>
    </w:rPr>
  </w:style>
  <w:style w:type="character" w:styleId="42">
    <w:name w:val="HTML Keyboard"/>
    <w:basedOn w:val="33"/>
    <w:qFormat/>
    <w:uiPriority w:val="0"/>
    <w:rPr>
      <w:rFonts w:hint="default" w:ascii="Consolas" w:hAnsi="Consolas" w:eastAsia="Consolas" w:cs="Consolas"/>
      <w:color w:val="FFFFFF"/>
      <w:sz w:val="21"/>
      <w:szCs w:val="21"/>
      <w:shd w:val="clear" w:color="auto" w:fill="333333"/>
    </w:rPr>
  </w:style>
  <w:style w:type="character" w:styleId="43">
    <w:name w:val="HTML Sample"/>
    <w:basedOn w:val="33"/>
    <w:qFormat/>
    <w:uiPriority w:val="0"/>
    <w:rPr>
      <w:rFonts w:ascii="Consolas" w:hAnsi="Consolas" w:eastAsia="Consolas" w:cs="Consolas"/>
      <w:sz w:val="21"/>
      <w:szCs w:val="21"/>
    </w:rPr>
  </w:style>
  <w:style w:type="paragraph" w:customStyle="1" w:styleId="44">
    <w:name w:val="列出段落1"/>
    <w:basedOn w:val="1"/>
    <w:link w:val="47"/>
    <w:qFormat/>
    <w:uiPriority w:val="0"/>
    <w:pPr>
      <w:widowControl/>
      <w:ind w:firstLine="420" w:firstLineChars="200"/>
      <w:jc w:val="left"/>
    </w:pPr>
    <w:rPr>
      <w:rFonts w:ascii="宋体" w:hAnsi="宋体"/>
      <w:kern w:val="0"/>
      <w:sz w:val="24"/>
      <w:lang w:val="zh-CN"/>
    </w:rPr>
  </w:style>
  <w:style w:type="character" w:customStyle="1" w:styleId="45">
    <w:name w:val="正文缩进 Char"/>
    <w:basedOn w:val="33"/>
    <w:link w:val="2"/>
    <w:qFormat/>
    <w:uiPriority w:val="0"/>
    <w:rPr>
      <w:rFonts w:eastAsia="宋体"/>
      <w:kern w:val="2"/>
      <w:sz w:val="21"/>
      <w:lang w:val="en-US" w:eastAsia="zh-CN" w:bidi="ar-SA"/>
    </w:rPr>
  </w:style>
  <w:style w:type="character" w:customStyle="1" w:styleId="46">
    <w:name w:val="font101"/>
    <w:basedOn w:val="33"/>
    <w:qFormat/>
    <w:uiPriority w:val="0"/>
    <w:rPr>
      <w:rFonts w:hint="eastAsia" w:ascii="宋体" w:hAnsi="宋体" w:eastAsia="宋体" w:cs="宋体"/>
      <w:color w:val="FF0000"/>
      <w:sz w:val="20"/>
      <w:szCs w:val="20"/>
      <w:u w:val="none"/>
    </w:rPr>
  </w:style>
  <w:style w:type="character" w:customStyle="1" w:styleId="47">
    <w:name w:val="列出段落 Char"/>
    <w:link w:val="44"/>
    <w:qFormat/>
    <w:uiPriority w:val="0"/>
    <w:rPr>
      <w:rFonts w:ascii="宋体" w:hAnsi="宋体"/>
      <w:sz w:val="24"/>
      <w:szCs w:val="24"/>
      <w:lang w:val="zh-CN"/>
    </w:rPr>
  </w:style>
  <w:style w:type="character" w:customStyle="1" w:styleId="48">
    <w:name w:val="页脚 Char"/>
    <w:link w:val="22"/>
    <w:qFormat/>
    <w:uiPriority w:val="99"/>
    <w:rPr>
      <w:rFonts w:eastAsia="宋体"/>
      <w:kern w:val="2"/>
      <w:sz w:val="18"/>
      <w:lang w:val="en-US" w:eastAsia="zh-CN" w:bidi="ar-SA"/>
    </w:rPr>
  </w:style>
  <w:style w:type="character" w:customStyle="1" w:styleId="49">
    <w:name w:val="日期 Char"/>
    <w:basedOn w:val="33"/>
    <w:link w:val="19"/>
    <w:qFormat/>
    <w:uiPriority w:val="0"/>
    <w:rPr>
      <w:kern w:val="2"/>
      <w:sz w:val="21"/>
      <w:szCs w:val="24"/>
    </w:rPr>
  </w:style>
  <w:style w:type="character" w:customStyle="1" w:styleId="50">
    <w:name w:val="bds_nopic2"/>
    <w:basedOn w:val="33"/>
    <w:qFormat/>
    <w:uiPriority w:val="0"/>
    <w:rPr>
      <w:rFonts w:ascii="Times New Roman" w:hAnsi="Times New Roman" w:eastAsia="宋体"/>
    </w:rPr>
  </w:style>
  <w:style w:type="character" w:customStyle="1" w:styleId="51">
    <w:name w:val="文档结构图 Char"/>
    <w:basedOn w:val="33"/>
    <w:link w:val="13"/>
    <w:qFormat/>
    <w:uiPriority w:val="0"/>
    <w:rPr>
      <w:rFonts w:ascii="宋体"/>
      <w:kern w:val="2"/>
      <w:sz w:val="18"/>
      <w:szCs w:val="18"/>
    </w:rPr>
  </w:style>
  <w:style w:type="character" w:customStyle="1" w:styleId="52">
    <w:name w:val="font111"/>
    <w:basedOn w:val="33"/>
    <w:qFormat/>
    <w:uiPriority w:val="0"/>
    <w:rPr>
      <w:rFonts w:ascii="Arial" w:hAnsi="Arial" w:cs="Arial"/>
      <w:color w:val="000000"/>
      <w:sz w:val="18"/>
      <w:szCs w:val="18"/>
      <w:u w:val="none"/>
    </w:rPr>
  </w:style>
  <w:style w:type="character" w:customStyle="1" w:styleId="53">
    <w:name w:val="font91"/>
    <w:basedOn w:val="33"/>
    <w:qFormat/>
    <w:uiPriority w:val="0"/>
    <w:rPr>
      <w:rFonts w:hint="default" w:ascii="Arial" w:hAnsi="Arial" w:cs="Arial"/>
      <w:color w:val="000000"/>
      <w:sz w:val="24"/>
      <w:szCs w:val="24"/>
      <w:u w:val="none"/>
    </w:rPr>
  </w:style>
  <w:style w:type="character" w:customStyle="1" w:styleId="54">
    <w:name w:val="style61"/>
    <w:qFormat/>
    <w:uiPriority w:val="0"/>
    <w:rPr>
      <w:color w:val="FF0000"/>
    </w:rPr>
  </w:style>
  <w:style w:type="character" w:customStyle="1" w:styleId="55">
    <w:name w:val="批注文字 Char"/>
    <w:basedOn w:val="33"/>
    <w:link w:val="14"/>
    <w:qFormat/>
    <w:uiPriority w:val="0"/>
    <w:rPr>
      <w:kern w:val="2"/>
      <w:sz w:val="21"/>
      <w:szCs w:val="24"/>
    </w:rPr>
  </w:style>
  <w:style w:type="character" w:customStyle="1" w:styleId="56">
    <w:name w:val="font11"/>
    <w:basedOn w:val="33"/>
    <w:qFormat/>
    <w:uiPriority w:val="0"/>
    <w:rPr>
      <w:rFonts w:hint="eastAsia" w:ascii="宋体" w:hAnsi="宋体" w:eastAsia="宋体" w:cs="宋体"/>
      <w:color w:val="000000"/>
      <w:sz w:val="24"/>
      <w:szCs w:val="24"/>
      <w:u w:val="none"/>
    </w:rPr>
  </w:style>
  <w:style w:type="character" w:customStyle="1" w:styleId="57">
    <w:name w:val="页眉 Char"/>
    <w:link w:val="23"/>
    <w:qFormat/>
    <w:uiPriority w:val="99"/>
    <w:rPr>
      <w:rFonts w:eastAsia="宋体"/>
      <w:kern w:val="2"/>
      <w:sz w:val="18"/>
      <w:lang w:val="en-US" w:eastAsia="zh-CN" w:bidi="ar-SA"/>
    </w:rPr>
  </w:style>
  <w:style w:type="character" w:customStyle="1" w:styleId="58">
    <w:name w:val="正文文本缩进 3 Char"/>
    <w:basedOn w:val="33"/>
    <w:link w:val="25"/>
    <w:qFormat/>
    <w:uiPriority w:val="0"/>
    <w:rPr>
      <w:rFonts w:ascii="黑体" w:eastAsia="黑体"/>
      <w:kern w:val="2"/>
      <w:sz w:val="30"/>
      <w:szCs w:val="28"/>
    </w:rPr>
  </w:style>
  <w:style w:type="character" w:customStyle="1" w:styleId="59">
    <w:name w:val="纯文本 Char"/>
    <w:link w:val="18"/>
    <w:qFormat/>
    <w:locked/>
    <w:uiPriority w:val="0"/>
    <w:rPr>
      <w:rFonts w:ascii="宋体" w:hAnsi="Courier New" w:eastAsia="宋体" w:cs="Courier New"/>
      <w:kern w:val="2"/>
      <w:sz w:val="21"/>
      <w:szCs w:val="21"/>
      <w:lang w:val="en-US" w:eastAsia="zh-CN" w:bidi="ar-SA"/>
    </w:rPr>
  </w:style>
  <w:style w:type="character" w:customStyle="1" w:styleId="60">
    <w:name w:val="无"/>
    <w:qFormat/>
    <w:uiPriority w:val="0"/>
  </w:style>
  <w:style w:type="character" w:customStyle="1" w:styleId="61">
    <w:name w:val="font171"/>
    <w:basedOn w:val="33"/>
    <w:qFormat/>
    <w:uiPriority w:val="0"/>
    <w:rPr>
      <w:rFonts w:hint="eastAsia" w:ascii="宋体" w:hAnsi="宋体" w:eastAsia="宋体" w:cs="宋体"/>
      <w:b/>
      <w:color w:val="000000"/>
      <w:sz w:val="20"/>
      <w:szCs w:val="20"/>
      <w:u w:val="none"/>
    </w:rPr>
  </w:style>
  <w:style w:type="character" w:customStyle="1" w:styleId="62">
    <w:name w:val="font01"/>
    <w:basedOn w:val="33"/>
    <w:qFormat/>
    <w:uiPriority w:val="0"/>
    <w:rPr>
      <w:rFonts w:ascii="Calibri" w:hAnsi="Calibri" w:cs="Calibri"/>
      <w:color w:val="000000"/>
      <w:sz w:val="24"/>
      <w:szCs w:val="24"/>
      <w:u w:val="none"/>
    </w:rPr>
  </w:style>
  <w:style w:type="character" w:customStyle="1" w:styleId="63">
    <w:name w:val="正文缩进 Char1"/>
    <w:basedOn w:val="33"/>
    <w:qFormat/>
    <w:uiPriority w:val="0"/>
    <w:rPr>
      <w:rFonts w:eastAsia="宋体"/>
      <w:kern w:val="2"/>
      <w:sz w:val="21"/>
      <w:lang w:val="en-US" w:eastAsia="zh-CN" w:bidi="ar-SA"/>
    </w:rPr>
  </w:style>
  <w:style w:type="character" w:customStyle="1" w:styleId="64">
    <w:name w:val="p0 Char"/>
    <w:link w:val="65"/>
    <w:qFormat/>
    <w:uiPriority w:val="0"/>
    <w:rPr>
      <w:rFonts w:eastAsia="宋体"/>
      <w:sz w:val="21"/>
      <w:szCs w:val="21"/>
      <w:lang w:val="en-US" w:eastAsia="zh-CN" w:bidi="ar-SA"/>
    </w:rPr>
  </w:style>
  <w:style w:type="paragraph" w:customStyle="1" w:styleId="65">
    <w:name w:val="p0"/>
    <w:basedOn w:val="1"/>
    <w:link w:val="64"/>
    <w:qFormat/>
    <w:uiPriority w:val="0"/>
    <w:pPr>
      <w:widowControl/>
    </w:pPr>
    <w:rPr>
      <w:kern w:val="0"/>
      <w:szCs w:val="21"/>
    </w:rPr>
  </w:style>
  <w:style w:type="character" w:customStyle="1" w:styleId="66">
    <w:name w:val="普通文字1 Char"/>
    <w:basedOn w:val="33"/>
    <w:qFormat/>
    <w:uiPriority w:val="0"/>
    <w:rPr>
      <w:rFonts w:ascii="宋体" w:hAnsi="Courier New" w:eastAsia="宋体"/>
      <w:kern w:val="2"/>
      <w:sz w:val="21"/>
      <w:lang w:val="en-US" w:eastAsia="zh-CN" w:bidi="ar-SA"/>
    </w:rPr>
  </w:style>
  <w:style w:type="character" w:customStyle="1" w:styleId="67">
    <w:name w:val="正文文本缩进 Char"/>
    <w:basedOn w:val="33"/>
    <w:link w:val="16"/>
    <w:qFormat/>
    <w:uiPriority w:val="0"/>
    <w:rPr>
      <w:kern w:val="2"/>
      <w:sz w:val="32"/>
    </w:rPr>
  </w:style>
  <w:style w:type="character" w:customStyle="1" w:styleId="68">
    <w:name w:val="font61"/>
    <w:basedOn w:val="33"/>
    <w:qFormat/>
    <w:uiPriority w:val="0"/>
    <w:rPr>
      <w:rFonts w:hint="eastAsia" w:ascii="宋体" w:hAnsi="宋体" w:eastAsia="宋体" w:cs="宋体"/>
      <w:color w:val="000000"/>
      <w:sz w:val="18"/>
      <w:szCs w:val="18"/>
      <w:u w:val="none"/>
    </w:rPr>
  </w:style>
  <w:style w:type="character" w:customStyle="1" w:styleId="69">
    <w:name w:val="批注主题 Char"/>
    <w:basedOn w:val="55"/>
    <w:link w:val="28"/>
    <w:qFormat/>
    <w:uiPriority w:val="0"/>
    <w:rPr>
      <w:b/>
      <w:bCs/>
      <w:kern w:val="2"/>
      <w:sz w:val="21"/>
      <w:szCs w:val="24"/>
    </w:rPr>
  </w:style>
  <w:style w:type="character" w:customStyle="1" w:styleId="70">
    <w:name w:val="批注框文本 Char"/>
    <w:basedOn w:val="33"/>
    <w:link w:val="21"/>
    <w:qFormat/>
    <w:uiPriority w:val="0"/>
    <w:rPr>
      <w:kern w:val="2"/>
      <w:sz w:val="18"/>
      <w:szCs w:val="18"/>
    </w:rPr>
  </w:style>
  <w:style w:type="character" w:customStyle="1" w:styleId="71">
    <w:name w:val="font21"/>
    <w:basedOn w:val="33"/>
    <w:qFormat/>
    <w:uiPriority w:val="0"/>
    <w:rPr>
      <w:rFonts w:hint="eastAsia" w:ascii="宋体" w:hAnsi="宋体" w:eastAsia="宋体" w:cs="宋体"/>
      <w:color w:val="000000"/>
      <w:sz w:val="21"/>
      <w:szCs w:val="21"/>
      <w:u w:val="none"/>
    </w:rPr>
  </w:style>
  <w:style w:type="paragraph" w:customStyle="1" w:styleId="72">
    <w:name w:val="默认段落字体 Para Char Char Char Char Char Char Char"/>
    <w:basedOn w:val="1"/>
    <w:qFormat/>
    <w:uiPriority w:val="0"/>
    <w:rPr>
      <w:rFonts w:ascii="Tahoma" w:hAnsi="Tahoma"/>
      <w:sz w:val="24"/>
      <w:szCs w:val="20"/>
    </w:rPr>
  </w:style>
  <w:style w:type="paragraph" w:customStyle="1" w:styleId="73">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74">
    <w:name w:val="正文 A"/>
    <w:qFormat/>
    <w:uiPriority w:val="0"/>
    <w:rPr>
      <w:rFonts w:ascii="Arial Unicode MS" w:hAnsi="Arial Unicode MS" w:eastAsia="Arial Unicode MS" w:cs="Arial Unicode MS"/>
      <w:color w:val="000000"/>
      <w:sz w:val="21"/>
      <w:szCs w:val="21"/>
      <w:lang w:val="en-US" w:eastAsia="zh-CN" w:bidi="ar-SA"/>
    </w:rPr>
  </w:style>
  <w:style w:type="paragraph" w:customStyle="1" w:styleId="75">
    <w:name w:val="正文首行缩进两字符"/>
    <w:basedOn w:val="1"/>
    <w:qFormat/>
    <w:uiPriority w:val="0"/>
    <w:pPr>
      <w:spacing w:line="360" w:lineRule="auto"/>
      <w:ind w:firstLine="200" w:firstLineChars="200"/>
    </w:pPr>
  </w:style>
  <w:style w:type="paragraph" w:customStyle="1" w:styleId="76">
    <w:name w:val="列出段落2"/>
    <w:basedOn w:val="1"/>
    <w:qFormat/>
    <w:uiPriority w:val="34"/>
    <w:pPr>
      <w:ind w:firstLine="420" w:firstLineChars="200"/>
    </w:pPr>
    <w:rPr>
      <w:rFonts w:ascii="Calibri" w:hAnsi="Calibri"/>
    </w:rPr>
  </w:style>
  <w:style w:type="paragraph" w:customStyle="1" w:styleId="77">
    <w:name w:val="表格"/>
    <w:basedOn w:val="1"/>
    <w:qFormat/>
    <w:uiPriority w:val="0"/>
    <w:pPr>
      <w:spacing w:line="400" w:lineRule="exact"/>
    </w:pPr>
    <w:rPr>
      <w:sz w:val="24"/>
    </w:rPr>
  </w:style>
  <w:style w:type="paragraph" w:customStyle="1" w:styleId="78">
    <w:name w:val="TOC 标题1"/>
    <w:basedOn w:val="4"/>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79">
    <w:name w:val="列出段落21"/>
    <w:basedOn w:val="1"/>
    <w:qFormat/>
    <w:uiPriority w:val="34"/>
    <w:pPr>
      <w:ind w:firstLine="420" w:firstLineChars="200"/>
    </w:pPr>
  </w:style>
  <w:style w:type="paragraph" w:customStyle="1" w:styleId="80">
    <w:name w:val="Char Char Char Char"/>
    <w:basedOn w:val="1"/>
    <w:qFormat/>
    <w:uiPriority w:val="0"/>
    <w:rPr>
      <w:rFonts w:ascii="Tahoma" w:hAnsi="Tahoma"/>
      <w:sz w:val="24"/>
      <w:szCs w:val="20"/>
    </w:rPr>
  </w:style>
  <w:style w:type="paragraph" w:customStyle="1" w:styleId="81">
    <w:name w:val="Char1"/>
    <w:basedOn w:val="1"/>
    <w:qFormat/>
    <w:uiPriority w:val="0"/>
    <w:rPr>
      <w:szCs w:val="21"/>
    </w:rPr>
  </w:style>
  <w:style w:type="paragraph" w:customStyle="1" w:styleId="82">
    <w:name w:val="样式 首行缩进:  2 字符"/>
    <w:basedOn w:val="1"/>
    <w:qFormat/>
    <w:uiPriority w:val="0"/>
    <w:pPr>
      <w:spacing w:line="400" w:lineRule="exact"/>
      <w:ind w:firstLine="200" w:firstLineChars="200"/>
    </w:pPr>
    <w:rPr>
      <w:rFonts w:cs="宋体"/>
      <w:sz w:val="24"/>
    </w:rPr>
  </w:style>
  <w:style w:type="paragraph" w:customStyle="1" w:styleId="8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84">
    <w:name w:val="font31"/>
    <w:basedOn w:val="33"/>
    <w:qFormat/>
    <w:uiPriority w:val="0"/>
    <w:rPr>
      <w:rFonts w:hint="eastAsia" w:ascii="宋体" w:hAnsi="宋体" w:eastAsia="宋体" w:cs="宋体"/>
      <w:color w:val="000000"/>
      <w:sz w:val="20"/>
      <w:szCs w:val="20"/>
      <w:u w:val="none"/>
    </w:rPr>
  </w:style>
  <w:style w:type="character" w:customStyle="1" w:styleId="85">
    <w:name w:val="font41"/>
    <w:basedOn w:val="33"/>
    <w:qFormat/>
    <w:uiPriority w:val="0"/>
    <w:rPr>
      <w:rFonts w:ascii="Calibri" w:hAnsi="Calibri" w:cs="Calibri"/>
      <w:color w:val="000000"/>
      <w:sz w:val="20"/>
      <w:szCs w:val="20"/>
      <w:u w:val="none"/>
    </w:rPr>
  </w:style>
  <w:style w:type="character" w:customStyle="1" w:styleId="86">
    <w:name w:val="font81"/>
    <w:basedOn w:val="33"/>
    <w:qFormat/>
    <w:uiPriority w:val="0"/>
    <w:rPr>
      <w:rFonts w:hint="default" w:ascii="Calibri" w:hAnsi="Calibri" w:cs="Calibri"/>
      <w:color w:val="000000"/>
      <w:sz w:val="20"/>
      <w:szCs w:val="20"/>
      <w:u w:val="none"/>
    </w:rPr>
  </w:style>
  <w:style w:type="character" w:customStyle="1" w:styleId="87">
    <w:name w:val="font71"/>
    <w:basedOn w:val="33"/>
    <w:qFormat/>
    <w:uiPriority w:val="0"/>
    <w:rPr>
      <w:rFonts w:hint="default" w:ascii="Times New Roman" w:hAnsi="Times New Roman" w:cs="Times New Roman"/>
      <w:color w:val="000000"/>
      <w:sz w:val="20"/>
      <w:szCs w:val="20"/>
      <w:u w:val="none"/>
    </w:rPr>
  </w:style>
  <w:style w:type="character" w:customStyle="1" w:styleId="88">
    <w:name w:val="font51"/>
    <w:basedOn w:val="33"/>
    <w:qFormat/>
    <w:uiPriority w:val="0"/>
    <w:rPr>
      <w:rFonts w:hint="default" w:ascii="Times New Roman" w:hAnsi="Times New Roman" w:cs="Times New Roman"/>
      <w:color w:val="000000"/>
      <w:sz w:val="20"/>
      <w:szCs w:val="20"/>
      <w:u w:val="none"/>
    </w:rPr>
  </w:style>
  <w:style w:type="character" w:customStyle="1" w:styleId="89">
    <w:name w:val="button"/>
    <w:basedOn w:val="33"/>
    <w:qFormat/>
    <w:uiPriority w:val="0"/>
  </w:style>
  <w:style w:type="character" w:customStyle="1" w:styleId="90">
    <w:name w:val="hover3"/>
    <w:basedOn w:val="33"/>
    <w:qFormat/>
    <w:uiPriority w:val="0"/>
    <w:rPr>
      <w:shd w:val="clear" w:color="auto" w:fill="EEEEEE"/>
    </w:rPr>
  </w:style>
  <w:style w:type="character" w:customStyle="1" w:styleId="91">
    <w:name w:val="old"/>
    <w:basedOn w:val="33"/>
    <w:qFormat/>
    <w:uiPriority w:val="0"/>
    <w:rPr>
      <w:color w:val="999999"/>
    </w:rPr>
  </w:style>
  <w:style w:type="character" w:customStyle="1" w:styleId="92">
    <w:name w:val="glyphicon4"/>
    <w:basedOn w:val="33"/>
    <w:qFormat/>
    <w:uiPriority w:val="0"/>
  </w:style>
  <w:style w:type="character" w:customStyle="1" w:styleId="93">
    <w:name w:val="hour_am"/>
    <w:basedOn w:val="33"/>
    <w:qFormat/>
    <w:uiPriority w:val="0"/>
  </w:style>
  <w:style w:type="character" w:customStyle="1" w:styleId="94">
    <w:name w:val="hour_pm"/>
    <w:basedOn w:val="33"/>
    <w:qFormat/>
    <w:uiPriority w:val="0"/>
  </w:style>
  <w:style w:type="paragraph" w:customStyle="1" w:styleId="95">
    <w:name w:val="title11"/>
    <w:basedOn w:val="1"/>
    <w:qFormat/>
    <w:uiPriority w:val="0"/>
    <w:pPr>
      <w:spacing w:before="150" w:line="450" w:lineRule="atLeast"/>
      <w:jc w:val="left"/>
    </w:pPr>
    <w:rPr>
      <w:b/>
      <w:kern w:val="0"/>
      <w:sz w:val="24"/>
    </w:rPr>
  </w:style>
  <w:style w:type="character" w:customStyle="1" w:styleId="96">
    <w:name w:val="indent"/>
    <w:basedOn w:val="33"/>
    <w:qFormat/>
    <w:uiPriority w:val="0"/>
  </w:style>
  <w:style w:type="character" w:customStyle="1" w:styleId="97">
    <w:name w:val="tmpztreemove_arrow"/>
    <w:basedOn w:val="33"/>
    <w:qFormat/>
    <w:uiPriority w:val="0"/>
    <w:rPr>
      <w:shd w:val="clear" w:color="auto" w:fill="FFFFFF"/>
    </w:rPr>
  </w:style>
  <w:style w:type="character" w:customStyle="1" w:styleId="98">
    <w:name w:val="标题 1 Char"/>
    <w:link w:val="4"/>
    <w:qFormat/>
    <w:uiPriority w:val="0"/>
    <w:rPr>
      <w:b/>
      <w:kern w:val="44"/>
      <w:sz w:val="32"/>
      <w:szCs w:val="20"/>
    </w:rPr>
  </w:style>
  <w:style w:type="character" w:customStyle="1" w:styleId="99">
    <w:name w:val="font161"/>
    <w:basedOn w:val="33"/>
    <w:qFormat/>
    <w:uiPriority w:val="0"/>
    <w:rPr>
      <w:rFonts w:ascii="Arial" w:hAnsi="Arial" w:cs="Arial"/>
      <w:color w:val="000000"/>
      <w:sz w:val="20"/>
      <w:szCs w:val="20"/>
      <w:u w:val="none"/>
    </w:rPr>
  </w:style>
  <w:style w:type="character" w:customStyle="1" w:styleId="100">
    <w:name w:val="font151"/>
    <w:basedOn w:val="33"/>
    <w:qFormat/>
    <w:uiPriority w:val="0"/>
    <w:rPr>
      <w:rFonts w:ascii="Arial" w:hAnsi="Arial" w:cs="Arial"/>
      <w:color w:val="000000"/>
      <w:sz w:val="20"/>
      <w:szCs w:val="20"/>
      <w:u w:val="none"/>
    </w:rPr>
  </w:style>
  <w:style w:type="character" w:customStyle="1" w:styleId="101">
    <w:name w:val="font141"/>
    <w:basedOn w:val="33"/>
    <w:qFormat/>
    <w:uiPriority w:val="0"/>
    <w:rPr>
      <w:rFonts w:ascii="Arial" w:hAnsi="Arial" w:cs="Arial"/>
      <w:color w:val="000000"/>
      <w:sz w:val="20"/>
      <w:szCs w:val="20"/>
      <w:u w:val="none"/>
    </w:rPr>
  </w:style>
  <w:style w:type="paragraph" w:styleId="10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6BEBA-BA54-4685-9959-FB362693CA24}">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72</Pages>
  <Words>31530</Words>
  <Characters>33138</Characters>
  <Lines>267</Lines>
  <Paragraphs>75</Paragraphs>
  <TotalTime>1481</TotalTime>
  <ScaleCrop>false</ScaleCrop>
  <LinksUpToDate>false</LinksUpToDate>
  <CharactersWithSpaces>35443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2019-05-09T07:29:00Z</dcterms:created>
  <dc:creator>GZB</dc:creator>
  <cp:lastModifiedBy>走花路的魔法师</cp:lastModifiedBy>
  <cp:lastPrinted>2021-02-04T01:13:00Z</cp:lastPrinted>
  <dcterms:modified xsi:type="dcterms:W3CDTF">2022-07-27T10:00:10Z</dcterms:modified>
  <dc:title>招标编号：xxx政采招[20xxx] xxx号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F79289CD8B184524B71FFC2F3EF9377B</vt:lpwstr>
  </property>
</Properties>
</file>