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eastAsia="宋体" w:cs="宋体"/>
          <w:b/>
          <w:color w:val="000000" w:themeColor="text1"/>
          <w:sz w:val="32"/>
          <w:szCs w:val="32"/>
          <w:highlight w:val="none"/>
          <w:bdr w:val="single" w:color="auto" w:sz="4" w:space="0"/>
          <w:shd w:val="pct10" w:color="auto" w:fill="FFFFFF"/>
          <w14:textFill>
            <w14:solidFill>
              <w14:schemeClr w14:val="tx1"/>
            </w14:solidFill>
          </w14:textFill>
        </w:rPr>
      </w:pPr>
      <w:r>
        <w:rPr>
          <w:rFonts w:hint="eastAsia" w:ascii="宋体" w:hAnsi="宋体" w:eastAsia="宋体" w:cs="宋体"/>
          <w:b/>
          <w:color w:val="000000" w:themeColor="text1"/>
          <w:sz w:val="32"/>
          <w:szCs w:val="32"/>
          <w:highlight w:val="none"/>
          <w:bdr w:val="single" w:color="auto" w:sz="4" w:space="0"/>
          <w:shd w:val="pct10" w:color="auto" w:fill="FFFFFF"/>
          <w14:textFill>
            <w14:solidFill>
              <w14:schemeClr w14:val="tx1"/>
            </w14:solidFill>
          </w14:textFill>
        </w:rPr>
        <w:t>政府采购项目</w:t>
      </w:r>
    </w:p>
    <w:p>
      <w:pPr>
        <w:spacing w:line="560" w:lineRule="exact"/>
        <w:rPr>
          <w:rFonts w:ascii="宋体" w:hAnsi="宋体" w:eastAsia="宋体" w:cs="宋体"/>
          <w:b/>
          <w:bCs/>
          <w:color w:val="000000" w:themeColor="text1"/>
          <w:sz w:val="32"/>
          <w:szCs w:val="32"/>
          <w:highlight w:val="none"/>
          <w14:textFill>
            <w14:solidFill>
              <w14:schemeClr w14:val="tx1"/>
            </w14:solidFill>
          </w14:textFill>
        </w:rPr>
      </w:pPr>
    </w:p>
    <w:p>
      <w:pPr>
        <w:spacing w:line="560" w:lineRule="exact"/>
        <w:rPr>
          <w:rFonts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项目编号：SXWZ2022ZB-XTY-086</w:t>
      </w:r>
    </w:p>
    <w:p>
      <w:pPr>
        <w:jc w:val="center"/>
        <w:rPr>
          <w:rFonts w:ascii="宋体" w:hAnsi="宋体" w:eastAsia="宋体" w:cs="宋体"/>
          <w:color w:val="000000" w:themeColor="text1"/>
          <w:sz w:val="44"/>
          <w:szCs w:val="44"/>
          <w:highlight w:val="none"/>
          <w14:textFill>
            <w14:solidFill>
              <w14:schemeClr w14:val="tx1"/>
            </w14:solidFill>
          </w14:textFill>
        </w:rPr>
      </w:pPr>
    </w:p>
    <w:p>
      <w:pPr>
        <w:jc w:val="both"/>
        <w:rPr>
          <w:rFonts w:ascii="宋体" w:hAnsi="宋体" w:eastAsia="宋体" w:cs="宋体"/>
          <w:color w:val="000000" w:themeColor="text1"/>
          <w:sz w:val="56"/>
          <w:szCs w:val="56"/>
          <w:highlight w:val="none"/>
          <w14:textFill>
            <w14:solidFill>
              <w14:schemeClr w14:val="tx1"/>
            </w14:solidFill>
          </w14:textFill>
        </w:rPr>
      </w:pPr>
    </w:p>
    <w:p>
      <w:pPr>
        <w:spacing w:line="360" w:lineRule="auto"/>
        <w:jc w:val="center"/>
        <w:rPr>
          <w:rFonts w:ascii="宋体" w:hAnsi="宋体" w:eastAsia="宋体" w:cs="宋体"/>
          <w:b/>
          <w:bCs/>
          <w:color w:val="000000" w:themeColor="text1"/>
          <w:sz w:val="72"/>
          <w:szCs w:val="72"/>
          <w:highlight w:val="none"/>
          <w14:textFill>
            <w14:solidFill>
              <w14:schemeClr w14:val="tx1"/>
            </w14:solidFill>
          </w14:textFill>
        </w:rPr>
      </w:pPr>
      <w:r>
        <w:rPr>
          <w:rFonts w:hint="eastAsia" w:ascii="宋体" w:hAnsi="宋体" w:eastAsia="宋体" w:cs="宋体"/>
          <w:b/>
          <w:bCs/>
          <w:color w:val="000000" w:themeColor="text1"/>
          <w:sz w:val="72"/>
          <w:szCs w:val="72"/>
          <w:highlight w:val="none"/>
          <w14:textFill>
            <w14:solidFill>
              <w14:schemeClr w14:val="tx1"/>
            </w14:solidFill>
          </w14:textFill>
        </w:rPr>
        <w:t>西安铁路职业技术学院</w:t>
      </w:r>
    </w:p>
    <w:p>
      <w:pPr>
        <w:spacing w:line="360" w:lineRule="auto"/>
        <w:jc w:val="center"/>
        <w:rPr>
          <w:rFonts w:ascii="宋体" w:hAnsi="宋体" w:eastAsia="宋体" w:cs="宋体"/>
          <w:b/>
          <w:bCs/>
          <w:color w:val="000000" w:themeColor="text1"/>
          <w:sz w:val="72"/>
          <w:szCs w:val="72"/>
          <w:highlight w:val="none"/>
          <w14:textFill>
            <w14:solidFill>
              <w14:schemeClr w14:val="tx1"/>
            </w14:solidFill>
          </w14:textFill>
        </w:rPr>
      </w:pPr>
      <w:r>
        <w:rPr>
          <w:rFonts w:hint="eastAsia" w:ascii="宋体" w:hAnsi="宋体" w:eastAsia="宋体" w:cs="宋体"/>
          <w:b/>
          <w:bCs/>
          <w:color w:val="000000" w:themeColor="text1"/>
          <w:sz w:val="72"/>
          <w:szCs w:val="72"/>
          <w:highlight w:val="none"/>
          <w14:textFill>
            <w14:solidFill>
              <w14:schemeClr w14:val="tx1"/>
            </w14:solidFill>
          </w14:textFill>
        </w:rPr>
        <w:t>智慧教室建设项目</w:t>
      </w:r>
    </w:p>
    <w:p>
      <w:pPr>
        <w:jc w:val="center"/>
        <w:rPr>
          <w:rFonts w:ascii="宋体" w:hAnsi="宋体" w:eastAsia="宋体" w:cs="宋体"/>
          <w:b/>
          <w:bCs/>
          <w:color w:val="000000" w:themeColor="text1"/>
          <w:sz w:val="56"/>
          <w:szCs w:val="56"/>
          <w:highlight w:val="none"/>
          <w14:textFill>
            <w14:solidFill>
              <w14:schemeClr w14:val="tx1"/>
            </w14:solidFill>
          </w14:textFill>
        </w:rPr>
      </w:pPr>
    </w:p>
    <w:p>
      <w:pPr>
        <w:jc w:val="center"/>
        <w:rPr>
          <w:rFonts w:ascii="宋体" w:hAnsi="宋体" w:eastAsia="宋体" w:cs="宋体"/>
          <w:b/>
          <w:bCs/>
          <w:color w:val="000000" w:themeColor="text1"/>
          <w:sz w:val="96"/>
          <w:szCs w:val="96"/>
          <w:highlight w:val="none"/>
          <w14:textFill>
            <w14:solidFill>
              <w14:schemeClr w14:val="tx1"/>
            </w14:solidFill>
          </w14:textFill>
        </w:rPr>
      </w:pPr>
    </w:p>
    <w:p>
      <w:pPr>
        <w:jc w:val="center"/>
        <w:rPr>
          <w:rFonts w:ascii="宋体" w:hAnsi="宋体" w:eastAsia="宋体" w:cs="宋体"/>
          <w:b/>
          <w:bCs/>
          <w:color w:val="000000" w:themeColor="text1"/>
          <w:sz w:val="144"/>
          <w:szCs w:val="144"/>
          <w:highlight w:val="none"/>
          <w14:textFill>
            <w14:solidFill>
              <w14:schemeClr w14:val="tx1"/>
            </w14:solidFill>
          </w14:textFill>
        </w:rPr>
      </w:pPr>
      <w:r>
        <w:rPr>
          <w:rFonts w:hint="eastAsia" w:ascii="宋体" w:hAnsi="宋体" w:eastAsia="宋体" w:cs="宋体"/>
          <w:b/>
          <w:bCs/>
          <w:color w:val="000000" w:themeColor="text1"/>
          <w:sz w:val="96"/>
          <w:szCs w:val="96"/>
          <w:highlight w:val="none"/>
          <w14:textFill>
            <w14:solidFill>
              <w14:schemeClr w14:val="tx1"/>
            </w14:solidFill>
          </w14:textFill>
        </w:rPr>
        <w:t>招标文件</w:t>
      </w:r>
    </w:p>
    <w:p>
      <w:pPr>
        <w:spacing w:line="560" w:lineRule="exact"/>
        <w:ind w:firstLine="803" w:firstLineChars="200"/>
        <w:jc w:val="both"/>
        <w:rPr>
          <w:rFonts w:ascii="宋体" w:hAnsi="宋体" w:eastAsia="宋体" w:cs="宋体"/>
          <w:b/>
          <w:bCs/>
          <w:color w:val="000000" w:themeColor="text1"/>
          <w:sz w:val="40"/>
          <w:szCs w:val="40"/>
          <w:highlight w:val="none"/>
          <w14:textFill>
            <w14:solidFill>
              <w14:schemeClr w14:val="tx1"/>
            </w14:solidFill>
          </w14:textFill>
        </w:rPr>
      </w:pPr>
    </w:p>
    <w:p>
      <w:pPr>
        <w:spacing w:line="560" w:lineRule="exact"/>
        <w:ind w:firstLine="803" w:firstLineChars="200"/>
        <w:jc w:val="both"/>
        <w:rPr>
          <w:rFonts w:ascii="宋体" w:hAnsi="宋体" w:eastAsia="宋体" w:cs="宋体"/>
          <w:b/>
          <w:bCs/>
          <w:color w:val="000000" w:themeColor="text1"/>
          <w:sz w:val="40"/>
          <w:szCs w:val="40"/>
          <w:highlight w:val="none"/>
          <w14:textFill>
            <w14:solidFill>
              <w14:schemeClr w14:val="tx1"/>
            </w14:solidFill>
          </w14:textFill>
        </w:rPr>
      </w:pPr>
    </w:p>
    <w:p>
      <w:pPr>
        <w:spacing w:line="560" w:lineRule="exact"/>
        <w:ind w:firstLine="803" w:firstLineChars="200"/>
        <w:jc w:val="both"/>
        <w:rPr>
          <w:rFonts w:ascii="宋体" w:hAnsi="宋体" w:eastAsia="宋体" w:cs="宋体"/>
          <w:b/>
          <w:bCs/>
          <w:color w:val="000000" w:themeColor="text1"/>
          <w:sz w:val="40"/>
          <w:szCs w:val="40"/>
          <w:highlight w:val="none"/>
          <w14:textFill>
            <w14:solidFill>
              <w14:schemeClr w14:val="tx1"/>
            </w14:solidFill>
          </w14:textFill>
        </w:rPr>
      </w:pPr>
    </w:p>
    <w:p>
      <w:pPr>
        <w:spacing w:line="560" w:lineRule="exact"/>
        <w:jc w:val="both"/>
        <w:rPr>
          <w:rFonts w:ascii="宋体" w:hAnsi="宋体" w:eastAsia="宋体" w:cs="宋体"/>
          <w:b/>
          <w:bCs/>
          <w:color w:val="000000" w:themeColor="text1"/>
          <w:sz w:val="40"/>
          <w:szCs w:val="40"/>
          <w:highlight w:val="none"/>
          <w14:textFill>
            <w14:solidFill>
              <w14:schemeClr w14:val="tx1"/>
            </w14:solidFill>
          </w14:textFill>
        </w:rPr>
      </w:pPr>
    </w:p>
    <w:p>
      <w:pPr>
        <w:spacing w:line="560" w:lineRule="exact"/>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ind w:firstLine="640" w:firstLineChars="200"/>
        <w:jc w:val="center"/>
        <w:rPr>
          <w:rFonts w:ascii="宋体" w:hAnsi="宋体" w:eastAsia="宋体" w:cs="宋体"/>
          <w:color w:val="000000" w:themeColor="text1"/>
          <w:sz w:val="32"/>
          <w:szCs w:val="32"/>
          <w:highlight w:val="none"/>
          <w14:textFill>
            <w14:solidFill>
              <w14:schemeClr w14:val="tx1"/>
            </w14:solidFill>
          </w14:textFill>
        </w:rPr>
      </w:pPr>
    </w:p>
    <w:p>
      <w:pPr>
        <w:spacing w:line="560" w:lineRule="exact"/>
        <w:jc w:val="center"/>
        <w:rPr>
          <w:rFonts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陕西万泽招标有限公司</w:t>
      </w:r>
      <w:bookmarkStart w:id="0" w:name="_Toc100219612"/>
    </w:p>
    <w:p>
      <w:pPr>
        <w:spacing w:line="560" w:lineRule="exact"/>
        <w:jc w:val="center"/>
        <w:rPr>
          <w:rFonts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二零二二年七月</w:t>
      </w:r>
    </w:p>
    <w:p>
      <w:pPr>
        <w:pStyle w:val="2"/>
        <w:spacing w:before="312" w:after="312"/>
        <w:rPr>
          <w:rFonts w:ascii="宋体" w:hAnsi="宋体" w:cs="宋体"/>
          <w:color w:val="000000" w:themeColor="text1"/>
          <w:highlight w:val="none"/>
          <w14:textFill>
            <w14:solidFill>
              <w14:schemeClr w14:val="tx1"/>
            </w14:solidFill>
          </w14:textFill>
        </w:rPr>
        <w:sectPr>
          <w:headerReference r:id="rId3" w:type="default"/>
          <w:pgSz w:w="11906" w:h="16838"/>
          <w:pgMar w:top="1440" w:right="1080" w:bottom="1440" w:left="1080" w:header="851" w:footer="992" w:gutter="0"/>
          <w:pgNumType w:start="1"/>
          <w:cols w:space="720" w:num="1"/>
          <w:docGrid w:type="lines" w:linePitch="312" w:charSpace="0"/>
        </w:sectPr>
      </w:pPr>
    </w:p>
    <w:p>
      <w:pPr>
        <w:jc w:val="both"/>
        <w:rPr>
          <w:rFonts w:ascii="宋体" w:hAnsi="宋体" w:eastAsia="宋体" w:cs="宋体"/>
          <w:color w:val="000000" w:themeColor="text1"/>
          <w:sz w:val="28"/>
          <w:szCs w:val="28"/>
          <w:highlight w:val="none"/>
          <w14:textFill>
            <w14:solidFill>
              <w14:schemeClr w14:val="tx1"/>
            </w14:solidFill>
          </w14:textFill>
        </w:rPr>
      </w:pPr>
    </w:p>
    <w:sdt>
      <w:sdtPr>
        <w:rPr>
          <w:rFonts w:hint="eastAsia" w:ascii="宋体" w:hAnsi="宋体" w:eastAsia="宋体" w:cs="宋体"/>
          <w:b/>
          <w:bCs/>
          <w:color w:val="000000" w:themeColor="text1"/>
          <w:sz w:val="28"/>
          <w:szCs w:val="36"/>
          <w:highlight w:val="none"/>
          <w14:textFill>
            <w14:solidFill>
              <w14:schemeClr w14:val="tx1"/>
            </w14:solidFill>
          </w14:textFill>
        </w:rPr>
        <w:id w:val="147483405"/>
        <w:docPartObj>
          <w:docPartGallery w:val="Table of Contents"/>
          <w:docPartUnique/>
        </w:docPartObj>
      </w:sdtPr>
      <w:sdtEndPr>
        <w:rPr>
          <w:rFonts w:hint="eastAsia" w:ascii="宋体" w:hAnsi="宋体" w:eastAsia="宋体" w:cs="宋体"/>
          <w:b/>
          <w:bCs/>
          <w:color w:val="000000" w:themeColor="text1"/>
          <w:sz w:val="21"/>
          <w:szCs w:val="24"/>
          <w:highlight w:val="none"/>
          <w14:textFill>
            <w14:solidFill>
              <w14:schemeClr w14:val="tx1"/>
            </w14:solidFill>
          </w14:textFill>
        </w:rPr>
      </w:sdtEndPr>
      <w:sdtContent>
        <w:p>
          <w:pPr>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目录</w:t>
          </w:r>
        </w:p>
        <w:p>
          <w:pPr>
            <w:pStyle w:val="2"/>
            <w:tabs>
              <w:tab w:val="right" w:leader="dot" w:pos="9451"/>
            </w:tabs>
            <w:spacing w:before="240" w:after="240"/>
            <w:rPr>
              <w:sz w:val="24"/>
              <w:highlight w:val="none"/>
            </w:rPr>
          </w:pPr>
          <w:r>
            <w:rPr>
              <w:rFonts w:hint="eastAsia" w:ascii="宋体" w:hAnsi="宋体" w:cs="宋体"/>
              <w:color w:val="000000" w:themeColor="text1"/>
              <w:sz w:val="24"/>
              <w:highlight w:val="none"/>
              <w14:textFill>
                <w14:solidFill>
                  <w14:schemeClr w14:val="tx1"/>
                </w14:solidFill>
              </w14:textFill>
            </w:rPr>
            <w:fldChar w:fldCharType="begin"/>
          </w:r>
          <w:r>
            <w:rPr>
              <w:rFonts w:hint="eastAsia" w:ascii="宋体" w:hAnsi="宋体" w:cs="宋体"/>
              <w:color w:val="000000" w:themeColor="text1"/>
              <w:sz w:val="24"/>
              <w:highlight w:val="none"/>
              <w14:textFill>
                <w14:solidFill>
                  <w14:schemeClr w14:val="tx1"/>
                </w14:solidFill>
              </w14:textFill>
            </w:rPr>
            <w:instrText xml:space="preserve">TOC \o "1-2" \h \u </w:instrText>
          </w:r>
          <w:r>
            <w:rPr>
              <w:rFonts w:hint="eastAsia" w:ascii="宋体" w:hAnsi="宋体" w:cs="宋体"/>
              <w:color w:val="000000" w:themeColor="text1"/>
              <w:sz w:val="24"/>
              <w:highlight w:val="none"/>
              <w14:textFill>
                <w14:solidFill>
                  <w14:schemeClr w14:val="tx1"/>
                </w14:solidFill>
              </w14:textFill>
            </w:rPr>
            <w:fldChar w:fldCharType="separate"/>
          </w:r>
          <w:r>
            <w:rPr>
              <w:highlight w:val="none"/>
            </w:rPr>
            <w:fldChar w:fldCharType="begin"/>
          </w:r>
          <w:r>
            <w:rPr>
              <w:highlight w:val="none"/>
            </w:rPr>
            <w:instrText xml:space="preserve"> HYPERLINK \l "_Toc23953" </w:instrText>
          </w:r>
          <w:r>
            <w:rPr>
              <w:highlight w:val="none"/>
            </w:rPr>
            <w:fldChar w:fldCharType="separate"/>
          </w:r>
          <w:r>
            <w:rPr>
              <w:rFonts w:hint="eastAsia" w:ascii="宋体" w:hAnsi="宋体" w:cs="宋体"/>
              <w:sz w:val="24"/>
              <w:highlight w:val="none"/>
            </w:rPr>
            <w:t>第一章  投标邀请函</w:t>
          </w:r>
          <w:r>
            <w:rPr>
              <w:sz w:val="24"/>
              <w:highlight w:val="none"/>
            </w:rPr>
            <w:tab/>
          </w:r>
          <w:r>
            <w:rPr>
              <w:sz w:val="24"/>
              <w:highlight w:val="none"/>
            </w:rPr>
            <w:fldChar w:fldCharType="begin"/>
          </w:r>
          <w:r>
            <w:rPr>
              <w:sz w:val="24"/>
              <w:highlight w:val="none"/>
            </w:rPr>
            <w:instrText xml:space="preserve"> PAGEREF _Toc23953 \h </w:instrText>
          </w:r>
          <w:r>
            <w:rPr>
              <w:sz w:val="24"/>
              <w:highlight w:val="none"/>
            </w:rPr>
            <w:fldChar w:fldCharType="separate"/>
          </w:r>
          <w:r>
            <w:rPr>
              <w:sz w:val="24"/>
              <w:highlight w:val="none"/>
            </w:rPr>
            <w:t>4</w:t>
          </w:r>
          <w:r>
            <w:rPr>
              <w:sz w:val="24"/>
              <w:highlight w:val="none"/>
            </w:rPr>
            <w:fldChar w:fldCharType="end"/>
          </w:r>
          <w:r>
            <w:rPr>
              <w:sz w:val="24"/>
              <w:highlight w:val="none"/>
            </w:rPr>
            <w:fldChar w:fldCharType="end"/>
          </w:r>
        </w:p>
        <w:p>
          <w:pPr>
            <w:pStyle w:val="2"/>
            <w:tabs>
              <w:tab w:val="right" w:leader="dot" w:pos="9451"/>
            </w:tabs>
            <w:spacing w:before="240" w:after="240"/>
            <w:rPr>
              <w:sz w:val="24"/>
              <w:highlight w:val="none"/>
            </w:rPr>
          </w:pPr>
          <w:r>
            <w:rPr>
              <w:highlight w:val="none"/>
            </w:rPr>
            <w:fldChar w:fldCharType="begin"/>
          </w:r>
          <w:r>
            <w:rPr>
              <w:highlight w:val="none"/>
            </w:rPr>
            <w:instrText xml:space="preserve"> HYPERLINK \l "_Toc19037" </w:instrText>
          </w:r>
          <w:r>
            <w:rPr>
              <w:highlight w:val="none"/>
            </w:rPr>
            <w:fldChar w:fldCharType="separate"/>
          </w:r>
          <w:r>
            <w:rPr>
              <w:rFonts w:hint="eastAsia" w:ascii="宋体" w:hAnsi="宋体" w:cs="宋体"/>
              <w:sz w:val="24"/>
              <w:highlight w:val="none"/>
            </w:rPr>
            <w:t>第二章  供应商须知</w:t>
          </w:r>
          <w:r>
            <w:rPr>
              <w:sz w:val="24"/>
              <w:highlight w:val="none"/>
            </w:rPr>
            <w:tab/>
          </w:r>
          <w:r>
            <w:rPr>
              <w:sz w:val="24"/>
              <w:highlight w:val="none"/>
            </w:rPr>
            <w:fldChar w:fldCharType="begin"/>
          </w:r>
          <w:r>
            <w:rPr>
              <w:sz w:val="24"/>
              <w:highlight w:val="none"/>
            </w:rPr>
            <w:instrText xml:space="preserve"> PAGEREF _Toc19037 \h </w:instrText>
          </w:r>
          <w:r>
            <w:rPr>
              <w:sz w:val="24"/>
              <w:highlight w:val="none"/>
            </w:rPr>
            <w:fldChar w:fldCharType="separate"/>
          </w:r>
          <w:r>
            <w:rPr>
              <w:sz w:val="24"/>
              <w:highlight w:val="none"/>
            </w:rPr>
            <w:t>8</w:t>
          </w:r>
          <w:r>
            <w:rPr>
              <w:sz w:val="24"/>
              <w:highlight w:val="none"/>
            </w:rPr>
            <w:fldChar w:fldCharType="end"/>
          </w:r>
          <w:r>
            <w:rPr>
              <w:sz w:val="24"/>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"_Toc22770" </w:instrText>
          </w:r>
          <w:r>
            <w:rPr>
              <w:highlight w:val="none"/>
            </w:rPr>
            <w:fldChar w:fldCharType="separate"/>
          </w:r>
          <w:r>
            <w:rPr>
              <w:rFonts w:hint="eastAsia" w:ascii="宋体" w:hAnsi="宋体" w:eastAsia="宋体" w:cs="宋体"/>
              <w:highlight w:val="none"/>
            </w:rPr>
            <w:t>〖前附表〗</w:t>
          </w:r>
          <w:r>
            <w:rPr>
              <w:highlight w:val="none"/>
            </w:rPr>
            <w:tab/>
          </w:r>
          <w:r>
            <w:rPr>
              <w:highlight w:val="none"/>
            </w:rPr>
            <w:fldChar w:fldCharType="begin"/>
          </w:r>
          <w:r>
            <w:rPr>
              <w:highlight w:val="none"/>
            </w:rPr>
            <w:instrText xml:space="preserve"> PAGEREF _Toc22770 \h </w:instrText>
          </w:r>
          <w:r>
            <w:rPr>
              <w:highlight w:val="none"/>
            </w:rPr>
            <w:fldChar w:fldCharType="separate"/>
          </w:r>
          <w:r>
            <w:rPr>
              <w:highlight w:val="none"/>
            </w:rPr>
            <w:t>8</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"_Toc20407" </w:instrText>
          </w:r>
          <w:r>
            <w:rPr>
              <w:highlight w:val="none"/>
            </w:rPr>
            <w:fldChar w:fldCharType="separate"/>
          </w:r>
          <w:r>
            <w:rPr>
              <w:rFonts w:hint="eastAsia" w:ascii="宋体" w:hAnsi="宋体" w:eastAsia="宋体" w:cs="宋体"/>
              <w:highlight w:val="none"/>
            </w:rPr>
            <w:t>（一）供应商投标流程</w:t>
          </w:r>
          <w:r>
            <w:rPr>
              <w:highlight w:val="none"/>
            </w:rPr>
            <w:tab/>
          </w:r>
          <w:r>
            <w:rPr>
              <w:highlight w:val="none"/>
            </w:rPr>
            <w:fldChar w:fldCharType="begin"/>
          </w:r>
          <w:r>
            <w:rPr>
              <w:highlight w:val="none"/>
            </w:rPr>
            <w:instrText xml:space="preserve"> PAGEREF _Toc20407 \h </w:instrText>
          </w:r>
          <w:r>
            <w:rPr>
              <w:highlight w:val="none"/>
            </w:rPr>
            <w:fldChar w:fldCharType="separate"/>
          </w:r>
          <w:r>
            <w:rPr>
              <w:highlight w:val="none"/>
            </w:rPr>
            <w:t>11</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"_Toc24461" </w:instrText>
          </w:r>
          <w:r>
            <w:rPr>
              <w:highlight w:val="none"/>
            </w:rPr>
            <w:fldChar w:fldCharType="separate"/>
          </w:r>
          <w:r>
            <w:rPr>
              <w:rFonts w:hint="eastAsia" w:ascii="宋体" w:hAnsi="宋体" w:eastAsia="宋体" w:cs="宋体"/>
              <w:highlight w:val="none"/>
            </w:rPr>
            <w:t>（二）关于询问、质疑和投诉</w:t>
          </w:r>
          <w:r>
            <w:rPr>
              <w:highlight w:val="none"/>
            </w:rPr>
            <w:tab/>
          </w:r>
          <w:r>
            <w:rPr>
              <w:highlight w:val="none"/>
            </w:rPr>
            <w:fldChar w:fldCharType="begin"/>
          </w:r>
          <w:r>
            <w:rPr>
              <w:highlight w:val="none"/>
            </w:rPr>
            <w:instrText xml:space="preserve"> PAGEREF _Toc24461 \h </w:instrText>
          </w:r>
          <w:r>
            <w:rPr>
              <w:highlight w:val="none"/>
            </w:rPr>
            <w:fldChar w:fldCharType="separate"/>
          </w:r>
          <w:r>
            <w:rPr>
              <w:highlight w:val="none"/>
            </w:rPr>
            <w:t>13</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"_Toc136" </w:instrText>
          </w:r>
          <w:r>
            <w:rPr>
              <w:highlight w:val="none"/>
            </w:rPr>
            <w:fldChar w:fldCharType="separate"/>
          </w:r>
          <w:r>
            <w:rPr>
              <w:rFonts w:hint="eastAsia" w:ascii="宋体" w:hAnsi="宋体" w:eastAsia="宋体" w:cs="宋体"/>
              <w:highlight w:val="none"/>
            </w:rPr>
            <w:t>（三）关于保证金</w:t>
          </w:r>
          <w:r>
            <w:rPr>
              <w:highlight w:val="none"/>
            </w:rPr>
            <w:tab/>
          </w:r>
          <w:r>
            <w:rPr>
              <w:highlight w:val="none"/>
            </w:rPr>
            <w:fldChar w:fldCharType="begin"/>
          </w:r>
          <w:r>
            <w:rPr>
              <w:highlight w:val="none"/>
            </w:rPr>
            <w:instrText xml:space="preserve"> PAGEREF _Toc136 \h </w:instrText>
          </w:r>
          <w:r>
            <w:rPr>
              <w:highlight w:val="none"/>
            </w:rPr>
            <w:fldChar w:fldCharType="separate"/>
          </w:r>
          <w:r>
            <w:rPr>
              <w:highlight w:val="none"/>
            </w:rPr>
            <w:t>15</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"_Toc25938" </w:instrText>
          </w:r>
          <w:r>
            <w:rPr>
              <w:highlight w:val="none"/>
            </w:rPr>
            <w:fldChar w:fldCharType="separate"/>
          </w:r>
          <w:r>
            <w:rPr>
              <w:rFonts w:hint="eastAsia" w:ascii="宋体" w:hAnsi="宋体" w:eastAsia="宋体" w:cs="宋体"/>
              <w:highlight w:val="none"/>
            </w:rPr>
            <w:t>（四）关于联合体</w:t>
          </w:r>
          <w:r>
            <w:rPr>
              <w:highlight w:val="none"/>
            </w:rPr>
            <w:tab/>
          </w:r>
          <w:r>
            <w:rPr>
              <w:highlight w:val="none"/>
            </w:rPr>
            <w:fldChar w:fldCharType="begin"/>
          </w:r>
          <w:r>
            <w:rPr>
              <w:highlight w:val="none"/>
            </w:rPr>
            <w:instrText xml:space="preserve"> PAGEREF _Toc25938 \h </w:instrText>
          </w:r>
          <w:r>
            <w:rPr>
              <w:highlight w:val="none"/>
            </w:rPr>
            <w:fldChar w:fldCharType="separate"/>
          </w:r>
          <w:r>
            <w:rPr>
              <w:highlight w:val="none"/>
            </w:rPr>
            <w:t>16</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"_Toc29747" </w:instrText>
          </w:r>
          <w:r>
            <w:rPr>
              <w:highlight w:val="none"/>
            </w:rPr>
            <w:fldChar w:fldCharType="separate"/>
          </w:r>
          <w:r>
            <w:rPr>
              <w:rFonts w:hint="eastAsia" w:ascii="宋体" w:hAnsi="宋体" w:eastAsia="宋体" w:cs="宋体"/>
              <w:highlight w:val="none"/>
            </w:rPr>
            <w:t>（五）关于进口产品</w:t>
          </w:r>
          <w:r>
            <w:rPr>
              <w:highlight w:val="none"/>
            </w:rPr>
            <w:tab/>
          </w:r>
          <w:r>
            <w:rPr>
              <w:highlight w:val="none"/>
            </w:rPr>
            <w:fldChar w:fldCharType="begin"/>
          </w:r>
          <w:r>
            <w:rPr>
              <w:highlight w:val="none"/>
            </w:rPr>
            <w:instrText xml:space="preserve"> PAGEREF _Toc29747 \h </w:instrText>
          </w:r>
          <w:r>
            <w:rPr>
              <w:highlight w:val="none"/>
            </w:rPr>
            <w:fldChar w:fldCharType="separate"/>
          </w:r>
          <w:r>
            <w:rPr>
              <w:highlight w:val="none"/>
            </w:rPr>
            <w:t>18</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"_Toc4734" </w:instrText>
          </w:r>
          <w:r>
            <w:rPr>
              <w:highlight w:val="none"/>
            </w:rPr>
            <w:fldChar w:fldCharType="separate"/>
          </w:r>
          <w:r>
            <w:rPr>
              <w:rFonts w:hint="eastAsia" w:ascii="宋体" w:hAnsi="宋体" w:eastAsia="宋体" w:cs="宋体"/>
              <w:highlight w:val="none"/>
            </w:rPr>
            <w:t>（六）关于政府采购政策</w:t>
          </w:r>
          <w:r>
            <w:rPr>
              <w:highlight w:val="none"/>
            </w:rPr>
            <w:tab/>
          </w:r>
          <w:r>
            <w:rPr>
              <w:highlight w:val="none"/>
            </w:rPr>
            <w:fldChar w:fldCharType="begin"/>
          </w:r>
          <w:r>
            <w:rPr>
              <w:highlight w:val="none"/>
            </w:rPr>
            <w:instrText xml:space="preserve"> PAGEREF _Toc4734 \h </w:instrText>
          </w:r>
          <w:r>
            <w:rPr>
              <w:highlight w:val="none"/>
            </w:rPr>
            <w:fldChar w:fldCharType="separate"/>
          </w:r>
          <w:r>
            <w:rPr>
              <w:highlight w:val="none"/>
            </w:rPr>
            <w:t>19</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"_Toc3783" </w:instrText>
          </w:r>
          <w:r>
            <w:rPr>
              <w:highlight w:val="none"/>
            </w:rPr>
            <w:fldChar w:fldCharType="separate"/>
          </w:r>
          <w:r>
            <w:rPr>
              <w:rFonts w:hint="eastAsia" w:ascii="宋体" w:hAnsi="宋体" w:eastAsia="宋体" w:cs="宋体"/>
              <w:highlight w:val="none"/>
            </w:rPr>
            <w:t>（七）关于现场踏勘和集中答疑</w:t>
          </w:r>
          <w:r>
            <w:rPr>
              <w:highlight w:val="none"/>
            </w:rPr>
            <w:tab/>
          </w:r>
          <w:r>
            <w:rPr>
              <w:highlight w:val="none"/>
            </w:rPr>
            <w:fldChar w:fldCharType="begin"/>
          </w:r>
          <w:r>
            <w:rPr>
              <w:highlight w:val="none"/>
            </w:rPr>
            <w:instrText xml:space="preserve"> PAGEREF _Toc3783 \h </w:instrText>
          </w:r>
          <w:r>
            <w:rPr>
              <w:highlight w:val="none"/>
            </w:rPr>
            <w:fldChar w:fldCharType="separate"/>
          </w:r>
          <w:r>
            <w:rPr>
              <w:highlight w:val="none"/>
            </w:rPr>
            <w:t>21</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"_Toc11425" </w:instrText>
          </w:r>
          <w:r>
            <w:rPr>
              <w:highlight w:val="none"/>
            </w:rPr>
            <w:fldChar w:fldCharType="separate"/>
          </w:r>
          <w:r>
            <w:rPr>
              <w:rFonts w:hint="eastAsia" w:ascii="宋体" w:hAnsi="宋体" w:eastAsia="宋体" w:cs="宋体"/>
              <w:highlight w:val="none"/>
            </w:rPr>
            <w:t>（八）关于同一品牌产品的处理</w:t>
          </w:r>
          <w:r>
            <w:rPr>
              <w:highlight w:val="none"/>
            </w:rPr>
            <w:tab/>
          </w:r>
          <w:r>
            <w:rPr>
              <w:highlight w:val="none"/>
            </w:rPr>
            <w:fldChar w:fldCharType="begin"/>
          </w:r>
          <w:r>
            <w:rPr>
              <w:highlight w:val="none"/>
            </w:rPr>
            <w:instrText xml:space="preserve"> PAGEREF _Toc11425 \h </w:instrText>
          </w:r>
          <w:r>
            <w:rPr>
              <w:highlight w:val="none"/>
            </w:rPr>
            <w:fldChar w:fldCharType="separate"/>
          </w:r>
          <w:r>
            <w:rPr>
              <w:highlight w:val="none"/>
            </w:rPr>
            <w:t>21</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"_Toc4702" </w:instrText>
          </w:r>
          <w:r>
            <w:rPr>
              <w:highlight w:val="none"/>
            </w:rPr>
            <w:fldChar w:fldCharType="separate"/>
          </w:r>
          <w:r>
            <w:rPr>
              <w:rFonts w:hint="eastAsia" w:ascii="宋体" w:hAnsi="宋体" w:eastAsia="宋体" w:cs="宋体"/>
              <w:highlight w:val="none"/>
            </w:rPr>
            <w:t>（九）关于知识产权和保密事项</w:t>
          </w:r>
          <w:r>
            <w:rPr>
              <w:highlight w:val="none"/>
            </w:rPr>
            <w:tab/>
          </w:r>
          <w:r>
            <w:rPr>
              <w:highlight w:val="none"/>
            </w:rPr>
            <w:fldChar w:fldCharType="begin"/>
          </w:r>
          <w:r>
            <w:rPr>
              <w:highlight w:val="none"/>
            </w:rPr>
            <w:instrText xml:space="preserve"> PAGEREF _Toc4702 \h </w:instrText>
          </w:r>
          <w:r>
            <w:rPr>
              <w:highlight w:val="none"/>
            </w:rPr>
            <w:fldChar w:fldCharType="separate"/>
          </w:r>
          <w:r>
            <w:rPr>
              <w:highlight w:val="none"/>
            </w:rPr>
            <w:t>22</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"_Toc31993" </w:instrText>
          </w:r>
          <w:r>
            <w:rPr>
              <w:highlight w:val="none"/>
            </w:rPr>
            <w:fldChar w:fldCharType="separate"/>
          </w:r>
          <w:r>
            <w:rPr>
              <w:rFonts w:hint="eastAsia" w:ascii="宋体" w:hAnsi="宋体" w:eastAsia="宋体" w:cs="宋体"/>
              <w:highlight w:val="none"/>
            </w:rPr>
            <w:t>（十）关于信用记录的查询和使用</w:t>
          </w:r>
          <w:r>
            <w:rPr>
              <w:highlight w:val="none"/>
            </w:rPr>
            <w:tab/>
          </w:r>
          <w:r>
            <w:rPr>
              <w:highlight w:val="none"/>
            </w:rPr>
            <w:fldChar w:fldCharType="begin"/>
          </w:r>
          <w:r>
            <w:rPr>
              <w:highlight w:val="none"/>
            </w:rPr>
            <w:instrText xml:space="preserve"> PAGEREF _Toc31993 \h </w:instrText>
          </w:r>
          <w:r>
            <w:rPr>
              <w:highlight w:val="none"/>
            </w:rPr>
            <w:fldChar w:fldCharType="separate"/>
          </w:r>
          <w:r>
            <w:rPr>
              <w:highlight w:val="none"/>
            </w:rPr>
            <w:t>22</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"_Toc7336" </w:instrText>
          </w:r>
          <w:r>
            <w:rPr>
              <w:highlight w:val="none"/>
            </w:rPr>
            <w:fldChar w:fldCharType="separate"/>
          </w:r>
          <w:r>
            <w:rPr>
              <w:rFonts w:hint="eastAsia" w:ascii="宋体" w:hAnsi="宋体" w:eastAsia="宋体" w:cs="宋体"/>
              <w:highlight w:val="none"/>
            </w:rPr>
            <w:t>（十一）其他重要事项</w:t>
          </w:r>
          <w:r>
            <w:rPr>
              <w:highlight w:val="none"/>
            </w:rPr>
            <w:tab/>
          </w:r>
          <w:r>
            <w:rPr>
              <w:highlight w:val="none"/>
            </w:rPr>
            <w:fldChar w:fldCharType="begin"/>
          </w:r>
          <w:r>
            <w:rPr>
              <w:highlight w:val="none"/>
            </w:rPr>
            <w:instrText xml:space="preserve"> PAGEREF _Toc7336 \h </w:instrText>
          </w:r>
          <w:r>
            <w:rPr>
              <w:highlight w:val="none"/>
            </w:rPr>
            <w:fldChar w:fldCharType="separate"/>
          </w:r>
          <w:r>
            <w:rPr>
              <w:highlight w:val="none"/>
            </w:rPr>
            <w:t>22</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"_Toc17994" </w:instrText>
          </w:r>
          <w:r>
            <w:rPr>
              <w:highlight w:val="none"/>
            </w:rPr>
            <w:fldChar w:fldCharType="separate"/>
          </w:r>
          <w:r>
            <w:rPr>
              <w:rFonts w:hint="eastAsia" w:ascii="宋体" w:hAnsi="宋体" w:eastAsia="宋体" w:cs="宋体"/>
              <w:highlight w:val="none"/>
            </w:rPr>
            <w:t>（一）招标文件的解释权</w:t>
          </w:r>
          <w:r>
            <w:rPr>
              <w:highlight w:val="none"/>
            </w:rPr>
            <w:tab/>
          </w:r>
          <w:r>
            <w:rPr>
              <w:highlight w:val="none"/>
            </w:rPr>
            <w:fldChar w:fldCharType="begin"/>
          </w:r>
          <w:r>
            <w:rPr>
              <w:highlight w:val="none"/>
            </w:rPr>
            <w:instrText xml:space="preserve"> PAGEREF _Toc17994 \h </w:instrText>
          </w:r>
          <w:r>
            <w:rPr>
              <w:highlight w:val="none"/>
            </w:rPr>
            <w:fldChar w:fldCharType="separate"/>
          </w:r>
          <w:r>
            <w:rPr>
              <w:highlight w:val="none"/>
            </w:rPr>
            <w:t>24</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"_Toc31173" </w:instrText>
          </w:r>
          <w:r>
            <w:rPr>
              <w:highlight w:val="none"/>
            </w:rPr>
            <w:fldChar w:fldCharType="separate"/>
          </w:r>
          <w:r>
            <w:rPr>
              <w:rFonts w:hint="eastAsia" w:ascii="宋体" w:hAnsi="宋体" w:eastAsia="宋体" w:cs="宋体"/>
              <w:highlight w:val="none"/>
            </w:rPr>
            <w:t>（二）招标文件主要内容</w:t>
          </w:r>
          <w:r>
            <w:rPr>
              <w:highlight w:val="none"/>
            </w:rPr>
            <w:tab/>
          </w:r>
          <w:r>
            <w:rPr>
              <w:highlight w:val="none"/>
            </w:rPr>
            <w:fldChar w:fldCharType="begin"/>
          </w:r>
          <w:r>
            <w:rPr>
              <w:highlight w:val="none"/>
            </w:rPr>
            <w:instrText xml:space="preserve"> PAGEREF _Toc31173 \h </w:instrText>
          </w:r>
          <w:r>
            <w:rPr>
              <w:highlight w:val="none"/>
            </w:rPr>
            <w:fldChar w:fldCharType="separate"/>
          </w:r>
          <w:r>
            <w:rPr>
              <w:highlight w:val="none"/>
            </w:rPr>
            <w:t>24</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"_Toc12003" </w:instrText>
          </w:r>
          <w:r>
            <w:rPr>
              <w:highlight w:val="none"/>
            </w:rPr>
            <w:fldChar w:fldCharType="separate"/>
          </w:r>
          <w:r>
            <w:rPr>
              <w:rFonts w:hint="eastAsia" w:ascii="宋体" w:hAnsi="宋体" w:eastAsia="宋体" w:cs="宋体"/>
              <w:highlight w:val="none"/>
            </w:rPr>
            <w:t>（三）招标文件的检查及阅读</w:t>
          </w:r>
          <w:r>
            <w:rPr>
              <w:highlight w:val="none"/>
            </w:rPr>
            <w:tab/>
          </w:r>
          <w:r>
            <w:rPr>
              <w:highlight w:val="none"/>
            </w:rPr>
            <w:fldChar w:fldCharType="begin"/>
          </w:r>
          <w:r>
            <w:rPr>
              <w:highlight w:val="none"/>
            </w:rPr>
            <w:instrText xml:space="preserve"> PAGEREF _Toc12003 \h </w:instrText>
          </w:r>
          <w:r>
            <w:rPr>
              <w:highlight w:val="none"/>
            </w:rPr>
            <w:fldChar w:fldCharType="separate"/>
          </w:r>
          <w:r>
            <w:rPr>
              <w:highlight w:val="none"/>
            </w:rPr>
            <w:t>24</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"_Toc16075" </w:instrText>
          </w:r>
          <w:r>
            <w:rPr>
              <w:highlight w:val="none"/>
            </w:rPr>
            <w:fldChar w:fldCharType="separate"/>
          </w:r>
          <w:r>
            <w:rPr>
              <w:rFonts w:hint="eastAsia" w:ascii="宋体" w:hAnsi="宋体" w:eastAsia="宋体" w:cs="宋体"/>
              <w:highlight w:val="none"/>
            </w:rPr>
            <w:t>（四）招标文件的修改、澄清</w:t>
          </w:r>
          <w:r>
            <w:rPr>
              <w:highlight w:val="none"/>
            </w:rPr>
            <w:tab/>
          </w:r>
          <w:r>
            <w:rPr>
              <w:highlight w:val="none"/>
            </w:rPr>
            <w:fldChar w:fldCharType="begin"/>
          </w:r>
          <w:r>
            <w:rPr>
              <w:highlight w:val="none"/>
            </w:rPr>
            <w:instrText xml:space="preserve"> PAGEREF _Toc16075 \h </w:instrText>
          </w:r>
          <w:r>
            <w:rPr>
              <w:highlight w:val="none"/>
            </w:rPr>
            <w:fldChar w:fldCharType="separate"/>
          </w:r>
          <w:r>
            <w:rPr>
              <w:highlight w:val="none"/>
            </w:rPr>
            <w:t>24</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"_Toc26487" </w:instrText>
          </w:r>
          <w:r>
            <w:rPr>
              <w:highlight w:val="none"/>
            </w:rPr>
            <w:fldChar w:fldCharType="separate"/>
          </w:r>
          <w:r>
            <w:rPr>
              <w:rFonts w:hint="eastAsia" w:ascii="宋体" w:hAnsi="宋体" w:eastAsia="宋体" w:cs="宋体"/>
              <w:highlight w:val="none"/>
            </w:rPr>
            <w:t>（一）投标文件的式样</w:t>
          </w:r>
          <w:r>
            <w:rPr>
              <w:highlight w:val="none"/>
            </w:rPr>
            <w:tab/>
          </w:r>
          <w:r>
            <w:rPr>
              <w:highlight w:val="none"/>
            </w:rPr>
            <w:fldChar w:fldCharType="begin"/>
          </w:r>
          <w:r>
            <w:rPr>
              <w:highlight w:val="none"/>
            </w:rPr>
            <w:instrText xml:space="preserve"> PAGEREF _Toc26487 \h </w:instrText>
          </w:r>
          <w:r>
            <w:rPr>
              <w:highlight w:val="none"/>
            </w:rPr>
            <w:fldChar w:fldCharType="separate"/>
          </w:r>
          <w:r>
            <w:rPr>
              <w:highlight w:val="none"/>
            </w:rPr>
            <w:t>25</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"_Toc29110" </w:instrText>
          </w:r>
          <w:r>
            <w:rPr>
              <w:highlight w:val="none"/>
            </w:rPr>
            <w:fldChar w:fldCharType="separate"/>
          </w:r>
          <w:r>
            <w:rPr>
              <w:rFonts w:hint="eastAsia" w:ascii="宋体" w:hAnsi="宋体" w:eastAsia="宋体" w:cs="宋体"/>
              <w:highlight w:val="none"/>
            </w:rPr>
            <w:t>（二）投标文件的有效期</w:t>
          </w:r>
          <w:r>
            <w:rPr>
              <w:highlight w:val="none"/>
            </w:rPr>
            <w:tab/>
          </w:r>
          <w:r>
            <w:rPr>
              <w:highlight w:val="none"/>
            </w:rPr>
            <w:fldChar w:fldCharType="begin"/>
          </w:r>
          <w:r>
            <w:rPr>
              <w:highlight w:val="none"/>
            </w:rPr>
            <w:instrText xml:space="preserve"> PAGEREF _Toc29110 \h </w:instrText>
          </w:r>
          <w:r>
            <w:rPr>
              <w:highlight w:val="none"/>
            </w:rPr>
            <w:fldChar w:fldCharType="separate"/>
          </w:r>
          <w:r>
            <w:rPr>
              <w:highlight w:val="none"/>
            </w:rPr>
            <w:t>26</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"_Toc24036" </w:instrText>
          </w:r>
          <w:r>
            <w:rPr>
              <w:highlight w:val="none"/>
            </w:rPr>
            <w:fldChar w:fldCharType="separate"/>
          </w:r>
          <w:r>
            <w:rPr>
              <w:rFonts w:hint="eastAsia" w:ascii="宋体" w:hAnsi="宋体" w:eastAsia="宋体" w:cs="宋体"/>
              <w:highlight w:val="none"/>
            </w:rPr>
            <w:t>（三）投标报价</w:t>
          </w:r>
          <w:r>
            <w:rPr>
              <w:highlight w:val="none"/>
            </w:rPr>
            <w:tab/>
          </w:r>
          <w:r>
            <w:rPr>
              <w:highlight w:val="none"/>
            </w:rPr>
            <w:fldChar w:fldCharType="begin"/>
          </w:r>
          <w:r>
            <w:rPr>
              <w:highlight w:val="none"/>
            </w:rPr>
            <w:instrText xml:space="preserve"> PAGEREF _Toc24036 \h </w:instrText>
          </w:r>
          <w:r>
            <w:rPr>
              <w:highlight w:val="none"/>
            </w:rPr>
            <w:fldChar w:fldCharType="separate"/>
          </w:r>
          <w:r>
            <w:rPr>
              <w:highlight w:val="none"/>
            </w:rPr>
            <w:t>26</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"_Toc29068" </w:instrText>
          </w:r>
          <w:r>
            <w:rPr>
              <w:highlight w:val="none"/>
            </w:rPr>
            <w:fldChar w:fldCharType="separate"/>
          </w:r>
          <w:r>
            <w:rPr>
              <w:rFonts w:hint="eastAsia" w:ascii="宋体" w:hAnsi="宋体" w:eastAsia="宋体" w:cs="宋体"/>
              <w:highlight w:val="none"/>
            </w:rPr>
            <w:t>（四）投标文件的制作和签章</w:t>
          </w:r>
          <w:r>
            <w:rPr>
              <w:highlight w:val="none"/>
            </w:rPr>
            <w:tab/>
          </w:r>
          <w:r>
            <w:rPr>
              <w:highlight w:val="none"/>
            </w:rPr>
            <w:fldChar w:fldCharType="begin"/>
          </w:r>
          <w:r>
            <w:rPr>
              <w:highlight w:val="none"/>
            </w:rPr>
            <w:instrText xml:space="preserve"> PAGEREF _Toc29068 \h </w:instrText>
          </w:r>
          <w:r>
            <w:rPr>
              <w:highlight w:val="none"/>
            </w:rPr>
            <w:fldChar w:fldCharType="separate"/>
          </w:r>
          <w:r>
            <w:rPr>
              <w:highlight w:val="none"/>
            </w:rPr>
            <w:t>27</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"_Toc809" </w:instrText>
          </w:r>
          <w:r>
            <w:rPr>
              <w:highlight w:val="none"/>
            </w:rPr>
            <w:fldChar w:fldCharType="separate"/>
          </w:r>
          <w:r>
            <w:rPr>
              <w:rFonts w:hint="eastAsia" w:ascii="宋体" w:hAnsi="宋体" w:eastAsia="宋体" w:cs="宋体"/>
              <w:highlight w:val="none"/>
            </w:rPr>
            <w:t>（五）投标文件的加密和提交</w:t>
          </w:r>
          <w:r>
            <w:rPr>
              <w:highlight w:val="none"/>
            </w:rPr>
            <w:tab/>
          </w:r>
          <w:r>
            <w:rPr>
              <w:highlight w:val="none"/>
            </w:rPr>
            <w:fldChar w:fldCharType="begin"/>
          </w:r>
          <w:r>
            <w:rPr>
              <w:highlight w:val="none"/>
            </w:rPr>
            <w:instrText xml:space="preserve"> PAGEREF _Toc809 \h </w:instrText>
          </w:r>
          <w:r>
            <w:rPr>
              <w:highlight w:val="none"/>
            </w:rPr>
            <w:fldChar w:fldCharType="separate"/>
          </w:r>
          <w:r>
            <w:rPr>
              <w:highlight w:val="none"/>
            </w:rPr>
            <w:t>28</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"_Toc10498" </w:instrText>
          </w:r>
          <w:r>
            <w:rPr>
              <w:highlight w:val="none"/>
            </w:rPr>
            <w:fldChar w:fldCharType="separate"/>
          </w:r>
          <w:r>
            <w:rPr>
              <w:rFonts w:hint="eastAsia" w:ascii="宋体" w:hAnsi="宋体" w:eastAsia="宋体" w:cs="宋体"/>
              <w:highlight w:val="none"/>
            </w:rPr>
            <w:t>（六）投标文件的补充、修改和撤回</w:t>
          </w:r>
          <w:r>
            <w:rPr>
              <w:highlight w:val="none"/>
            </w:rPr>
            <w:tab/>
          </w:r>
          <w:r>
            <w:rPr>
              <w:highlight w:val="none"/>
            </w:rPr>
            <w:fldChar w:fldCharType="begin"/>
          </w:r>
          <w:r>
            <w:rPr>
              <w:highlight w:val="none"/>
            </w:rPr>
            <w:instrText xml:space="preserve"> PAGEREF _Toc10498 \h </w:instrText>
          </w:r>
          <w:r>
            <w:rPr>
              <w:highlight w:val="none"/>
            </w:rPr>
            <w:fldChar w:fldCharType="separate"/>
          </w:r>
          <w:r>
            <w:rPr>
              <w:highlight w:val="none"/>
            </w:rPr>
            <w:t>28</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"_Toc9753" </w:instrText>
          </w:r>
          <w:r>
            <w:rPr>
              <w:highlight w:val="none"/>
            </w:rPr>
            <w:fldChar w:fldCharType="separate"/>
          </w:r>
          <w:r>
            <w:rPr>
              <w:rFonts w:hint="eastAsia" w:ascii="宋体" w:hAnsi="宋体" w:eastAsia="宋体" w:cs="宋体"/>
              <w:highlight w:val="none"/>
            </w:rPr>
            <w:t>（七）关于投标文件的雷同性分析</w:t>
          </w:r>
          <w:r>
            <w:rPr>
              <w:highlight w:val="none"/>
            </w:rPr>
            <w:tab/>
          </w:r>
          <w:r>
            <w:rPr>
              <w:highlight w:val="none"/>
            </w:rPr>
            <w:fldChar w:fldCharType="begin"/>
          </w:r>
          <w:r>
            <w:rPr>
              <w:highlight w:val="none"/>
            </w:rPr>
            <w:instrText xml:space="preserve"> PAGEREF _Toc9753 \h </w:instrText>
          </w:r>
          <w:r>
            <w:rPr>
              <w:highlight w:val="none"/>
            </w:rPr>
            <w:fldChar w:fldCharType="separate"/>
          </w:r>
          <w:r>
            <w:rPr>
              <w:highlight w:val="none"/>
            </w:rPr>
            <w:t>29</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"_Toc9954" </w:instrText>
          </w:r>
          <w:r>
            <w:rPr>
              <w:highlight w:val="none"/>
            </w:rPr>
            <w:fldChar w:fldCharType="separate"/>
          </w:r>
          <w:r>
            <w:rPr>
              <w:rFonts w:hint="eastAsia" w:ascii="宋体" w:hAnsi="宋体" w:eastAsia="宋体" w:cs="宋体"/>
              <w:highlight w:val="none"/>
            </w:rPr>
            <w:t>（八）投标文件被拒绝接收的情形</w:t>
          </w:r>
          <w:r>
            <w:rPr>
              <w:highlight w:val="none"/>
            </w:rPr>
            <w:tab/>
          </w:r>
          <w:r>
            <w:rPr>
              <w:highlight w:val="none"/>
            </w:rPr>
            <w:fldChar w:fldCharType="begin"/>
          </w:r>
          <w:r>
            <w:rPr>
              <w:highlight w:val="none"/>
            </w:rPr>
            <w:instrText xml:space="preserve"> PAGEREF _Toc9954 \h </w:instrText>
          </w:r>
          <w:r>
            <w:rPr>
              <w:highlight w:val="none"/>
            </w:rPr>
            <w:fldChar w:fldCharType="separate"/>
          </w:r>
          <w:r>
            <w:rPr>
              <w:highlight w:val="none"/>
            </w:rPr>
            <w:t>29</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"_Toc12424" </w:instrText>
          </w:r>
          <w:r>
            <w:rPr>
              <w:highlight w:val="none"/>
            </w:rPr>
            <w:fldChar w:fldCharType="separate"/>
          </w:r>
          <w:r>
            <w:rPr>
              <w:rFonts w:hint="eastAsia" w:ascii="宋体" w:hAnsi="宋体" w:eastAsia="宋体" w:cs="宋体"/>
              <w:highlight w:val="none"/>
            </w:rPr>
            <w:t>（一）开标环节投标文件视为无效的情形</w:t>
          </w:r>
          <w:r>
            <w:rPr>
              <w:highlight w:val="none"/>
            </w:rPr>
            <w:tab/>
          </w:r>
          <w:r>
            <w:rPr>
              <w:highlight w:val="none"/>
            </w:rPr>
            <w:fldChar w:fldCharType="begin"/>
          </w:r>
          <w:r>
            <w:rPr>
              <w:highlight w:val="none"/>
            </w:rPr>
            <w:instrText xml:space="preserve"> PAGEREF _Toc12424 \h </w:instrText>
          </w:r>
          <w:r>
            <w:rPr>
              <w:highlight w:val="none"/>
            </w:rPr>
            <w:fldChar w:fldCharType="separate"/>
          </w:r>
          <w:r>
            <w:rPr>
              <w:highlight w:val="none"/>
            </w:rPr>
            <w:t>30</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"_Toc21249" </w:instrText>
          </w:r>
          <w:r>
            <w:rPr>
              <w:highlight w:val="none"/>
            </w:rPr>
            <w:fldChar w:fldCharType="separate"/>
          </w:r>
          <w:r>
            <w:rPr>
              <w:rFonts w:hint="eastAsia" w:ascii="宋体" w:hAnsi="宋体" w:eastAsia="宋体" w:cs="宋体"/>
              <w:highlight w:val="none"/>
            </w:rPr>
            <w:t>（二）突发状况的应急处置</w:t>
          </w:r>
          <w:r>
            <w:rPr>
              <w:highlight w:val="none"/>
            </w:rPr>
            <w:tab/>
          </w:r>
          <w:r>
            <w:rPr>
              <w:highlight w:val="none"/>
            </w:rPr>
            <w:fldChar w:fldCharType="begin"/>
          </w:r>
          <w:r>
            <w:rPr>
              <w:highlight w:val="none"/>
            </w:rPr>
            <w:instrText xml:space="preserve"> PAGEREF _Toc21249 \h </w:instrText>
          </w:r>
          <w:r>
            <w:rPr>
              <w:highlight w:val="none"/>
            </w:rPr>
            <w:fldChar w:fldCharType="separate"/>
          </w:r>
          <w:r>
            <w:rPr>
              <w:highlight w:val="none"/>
            </w:rPr>
            <w:t>31</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"_Toc17161" </w:instrText>
          </w:r>
          <w:r>
            <w:rPr>
              <w:highlight w:val="none"/>
            </w:rPr>
            <w:fldChar w:fldCharType="separate"/>
          </w:r>
          <w:r>
            <w:rPr>
              <w:rFonts w:hint="eastAsia" w:ascii="宋体" w:hAnsi="宋体" w:eastAsia="宋体" w:cs="宋体"/>
              <w:highlight w:val="none"/>
            </w:rPr>
            <w:t>（一）评标方法</w:t>
          </w:r>
          <w:r>
            <w:rPr>
              <w:highlight w:val="none"/>
            </w:rPr>
            <w:tab/>
          </w:r>
          <w:r>
            <w:rPr>
              <w:highlight w:val="none"/>
            </w:rPr>
            <w:fldChar w:fldCharType="begin"/>
          </w:r>
          <w:r>
            <w:rPr>
              <w:highlight w:val="none"/>
            </w:rPr>
            <w:instrText xml:space="preserve"> PAGEREF _Toc17161 \h </w:instrText>
          </w:r>
          <w:r>
            <w:rPr>
              <w:highlight w:val="none"/>
            </w:rPr>
            <w:fldChar w:fldCharType="separate"/>
          </w:r>
          <w:r>
            <w:rPr>
              <w:highlight w:val="none"/>
            </w:rPr>
            <w:t>32</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"_Toc27527" </w:instrText>
          </w:r>
          <w:r>
            <w:rPr>
              <w:highlight w:val="none"/>
            </w:rPr>
            <w:fldChar w:fldCharType="separate"/>
          </w:r>
          <w:r>
            <w:rPr>
              <w:rFonts w:hint="eastAsia" w:ascii="宋体" w:hAnsi="宋体" w:eastAsia="宋体" w:cs="宋体"/>
              <w:highlight w:val="none"/>
            </w:rPr>
            <w:t>（二）评标程序</w:t>
          </w:r>
          <w:r>
            <w:rPr>
              <w:highlight w:val="none"/>
            </w:rPr>
            <w:tab/>
          </w:r>
          <w:r>
            <w:rPr>
              <w:highlight w:val="none"/>
            </w:rPr>
            <w:fldChar w:fldCharType="begin"/>
          </w:r>
          <w:r>
            <w:rPr>
              <w:highlight w:val="none"/>
            </w:rPr>
            <w:instrText xml:space="preserve"> PAGEREF _Toc27527 \h </w:instrText>
          </w:r>
          <w:r>
            <w:rPr>
              <w:highlight w:val="none"/>
            </w:rPr>
            <w:fldChar w:fldCharType="separate"/>
          </w:r>
          <w:r>
            <w:rPr>
              <w:highlight w:val="none"/>
            </w:rPr>
            <w:t>33</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"_Toc19320" </w:instrText>
          </w:r>
          <w:r>
            <w:rPr>
              <w:highlight w:val="none"/>
            </w:rPr>
            <w:fldChar w:fldCharType="separate"/>
          </w:r>
          <w:r>
            <w:rPr>
              <w:rFonts w:hint="eastAsia" w:ascii="宋体" w:hAnsi="宋体" w:eastAsia="宋体" w:cs="宋体"/>
              <w:highlight w:val="none"/>
            </w:rPr>
            <w:t>（三）评标争议处理规则</w:t>
          </w:r>
          <w:r>
            <w:rPr>
              <w:highlight w:val="none"/>
            </w:rPr>
            <w:tab/>
          </w:r>
          <w:r>
            <w:rPr>
              <w:highlight w:val="none"/>
            </w:rPr>
            <w:fldChar w:fldCharType="begin"/>
          </w:r>
          <w:r>
            <w:rPr>
              <w:highlight w:val="none"/>
            </w:rPr>
            <w:instrText xml:space="preserve"> PAGEREF _Toc19320 \h </w:instrText>
          </w:r>
          <w:r>
            <w:rPr>
              <w:highlight w:val="none"/>
            </w:rPr>
            <w:fldChar w:fldCharType="separate"/>
          </w:r>
          <w:r>
            <w:rPr>
              <w:highlight w:val="none"/>
            </w:rPr>
            <w:t>39</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"_Toc5591" </w:instrText>
          </w:r>
          <w:r>
            <w:rPr>
              <w:highlight w:val="none"/>
            </w:rPr>
            <w:fldChar w:fldCharType="separate"/>
          </w:r>
          <w:r>
            <w:rPr>
              <w:rFonts w:hint="eastAsia" w:ascii="宋体" w:hAnsi="宋体" w:eastAsia="宋体" w:cs="宋体"/>
              <w:highlight w:val="none"/>
            </w:rPr>
            <w:t>（四）评审现场人员的保密责任</w:t>
          </w:r>
          <w:r>
            <w:rPr>
              <w:highlight w:val="none"/>
            </w:rPr>
            <w:tab/>
          </w:r>
          <w:r>
            <w:rPr>
              <w:highlight w:val="none"/>
            </w:rPr>
            <w:fldChar w:fldCharType="begin"/>
          </w:r>
          <w:r>
            <w:rPr>
              <w:highlight w:val="none"/>
            </w:rPr>
            <w:instrText xml:space="preserve"> PAGEREF _Toc5591 \h </w:instrText>
          </w:r>
          <w:r>
            <w:rPr>
              <w:highlight w:val="none"/>
            </w:rPr>
            <w:fldChar w:fldCharType="separate"/>
          </w:r>
          <w:r>
            <w:rPr>
              <w:highlight w:val="none"/>
            </w:rPr>
            <w:t>39</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"_Toc21723" </w:instrText>
          </w:r>
          <w:r>
            <w:rPr>
              <w:highlight w:val="none"/>
            </w:rPr>
            <w:fldChar w:fldCharType="separate"/>
          </w:r>
          <w:r>
            <w:rPr>
              <w:rFonts w:hint="eastAsia" w:ascii="宋体" w:hAnsi="宋体" w:eastAsia="宋体" w:cs="宋体"/>
              <w:highlight w:val="none"/>
            </w:rPr>
            <w:t>（五）视同供应商串通投标的情形，其投标无效：</w:t>
          </w:r>
          <w:r>
            <w:rPr>
              <w:highlight w:val="none"/>
            </w:rPr>
            <w:tab/>
          </w:r>
          <w:r>
            <w:rPr>
              <w:highlight w:val="none"/>
            </w:rPr>
            <w:fldChar w:fldCharType="begin"/>
          </w:r>
          <w:r>
            <w:rPr>
              <w:highlight w:val="none"/>
            </w:rPr>
            <w:instrText xml:space="preserve"> PAGEREF _Toc21723 \h </w:instrText>
          </w:r>
          <w:r>
            <w:rPr>
              <w:highlight w:val="none"/>
            </w:rPr>
            <w:fldChar w:fldCharType="separate"/>
          </w:r>
          <w:r>
            <w:rPr>
              <w:highlight w:val="none"/>
            </w:rPr>
            <w:t>39</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"_Toc26458" </w:instrText>
          </w:r>
          <w:r>
            <w:rPr>
              <w:highlight w:val="none"/>
            </w:rPr>
            <w:fldChar w:fldCharType="separate"/>
          </w:r>
          <w:r>
            <w:rPr>
              <w:rFonts w:hint="eastAsia" w:ascii="宋体" w:hAnsi="宋体" w:eastAsia="宋体" w:cs="宋体"/>
              <w:highlight w:val="none"/>
            </w:rPr>
            <w:t>（一）签订政府采购合同</w:t>
          </w:r>
          <w:r>
            <w:rPr>
              <w:highlight w:val="none"/>
            </w:rPr>
            <w:tab/>
          </w:r>
          <w:r>
            <w:rPr>
              <w:highlight w:val="none"/>
            </w:rPr>
            <w:fldChar w:fldCharType="begin"/>
          </w:r>
          <w:r>
            <w:rPr>
              <w:highlight w:val="none"/>
            </w:rPr>
            <w:instrText xml:space="preserve"> PAGEREF _Toc26458 \h </w:instrText>
          </w:r>
          <w:r>
            <w:rPr>
              <w:highlight w:val="none"/>
            </w:rPr>
            <w:fldChar w:fldCharType="separate"/>
          </w:r>
          <w:r>
            <w:rPr>
              <w:highlight w:val="none"/>
            </w:rPr>
            <w:t>40</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"_Toc876" </w:instrText>
          </w:r>
          <w:r>
            <w:rPr>
              <w:highlight w:val="none"/>
            </w:rPr>
            <w:fldChar w:fldCharType="separate"/>
          </w:r>
          <w:r>
            <w:rPr>
              <w:rFonts w:hint="eastAsia" w:ascii="宋体" w:hAnsi="宋体" w:eastAsia="宋体" w:cs="宋体"/>
              <w:highlight w:val="none"/>
            </w:rPr>
            <w:t>（二）合同公告及备案</w:t>
          </w:r>
          <w:r>
            <w:rPr>
              <w:highlight w:val="none"/>
            </w:rPr>
            <w:tab/>
          </w:r>
          <w:r>
            <w:rPr>
              <w:highlight w:val="none"/>
            </w:rPr>
            <w:fldChar w:fldCharType="begin"/>
          </w:r>
          <w:r>
            <w:rPr>
              <w:highlight w:val="none"/>
            </w:rPr>
            <w:instrText xml:space="preserve"> PAGEREF _Toc876 \h </w:instrText>
          </w:r>
          <w:r>
            <w:rPr>
              <w:highlight w:val="none"/>
            </w:rPr>
            <w:fldChar w:fldCharType="separate"/>
          </w:r>
          <w:r>
            <w:rPr>
              <w:highlight w:val="none"/>
            </w:rPr>
            <w:t>41</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"_Toc11766" </w:instrText>
          </w:r>
          <w:r>
            <w:rPr>
              <w:highlight w:val="none"/>
            </w:rPr>
            <w:fldChar w:fldCharType="separate"/>
          </w:r>
          <w:r>
            <w:rPr>
              <w:rFonts w:hint="eastAsia" w:ascii="宋体" w:hAnsi="宋体" w:eastAsia="宋体" w:cs="宋体"/>
              <w:highlight w:val="none"/>
            </w:rPr>
            <w:t>（三）履行合同</w:t>
          </w:r>
          <w:r>
            <w:rPr>
              <w:highlight w:val="none"/>
            </w:rPr>
            <w:tab/>
          </w:r>
          <w:r>
            <w:rPr>
              <w:highlight w:val="none"/>
            </w:rPr>
            <w:fldChar w:fldCharType="begin"/>
          </w:r>
          <w:r>
            <w:rPr>
              <w:highlight w:val="none"/>
            </w:rPr>
            <w:instrText xml:space="preserve"> PAGEREF _Toc11766 \h </w:instrText>
          </w:r>
          <w:r>
            <w:rPr>
              <w:highlight w:val="none"/>
            </w:rPr>
            <w:fldChar w:fldCharType="separate"/>
          </w:r>
          <w:r>
            <w:rPr>
              <w:highlight w:val="none"/>
            </w:rPr>
            <w:t>41</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"_Toc1478" </w:instrText>
          </w:r>
          <w:r>
            <w:rPr>
              <w:highlight w:val="none"/>
            </w:rPr>
            <w:fldChar w:fldCharType="separate"/>
          </w:r>
          <w:r>
            <w:rPr>
              <w:rFonts w:hint="eastAsia" w:ascii="宋体" w:hAnsi="宋体" w:eastAsia="宋体" w:cs="宋体"/>
              <w:highlight w:val="none"/>
            </w:rPr>
            <w:t>（四）验收或考核</w:t>
          </w:r>
          <w:r>
            <w:rPr>
              <w:highlight w:val="none"/>
            </w:rPr>
            <w:tab/>
          </w:r>
          <w:r>
            <w:rPr>
              <w:highlight w:val="none"/>
            </w:rPr>
            <w:fldChar w:fldCharType="begin"/>
          </w:r>
          <w:r>
            <w:rPr>
              <w:highlight w:val="none"/>
            </w:rPr>
            <w:instrText xml:space="preserve"> PAGEREF _Toc1478 \h </w:instrText>
          </w:r>
          <w:r>
            <w:rPr>
              <w:highlight w:val="none"/>
            </w:rPr>
            <w:fldChar w:fldCharType="separate"/>
          </w:r>
          <w:r>
            <w:rPr>
              <w:highlight w:val="none"/>
            </w:rPr>
            <w:t>41</w:t>
          </w:r>
          <w:r>
            <w:rPr>
              <w:highlight w:val="none"/>
            </w:rPr>
            <w:fldChar w:fldCharType="end"/>
          </w:r>
          <w:r>
            <w:rPr>
              <w:highlight w:val="none"/>
            </w:rPr>
            <w:fldChar w:fldCharType="end"/>
          </w:r>
        </w:p>
        <w:p>
          <w:pPr>
            <w:pStyle w:val="2"/>
            <w:tabs>
              <w:tab w:val="right" w:leader="dot" w:pos="9451"/>
            </w:tabs>
            <w:spacing w:before="240" w:after="240"/>
            <w:rPr>
              <w:sz w:val="24"/>
              <w:highlight w:val="none"/>
            </w:rPr>
          </w:pPr>
          <w:r>
            <w:rPr>
              <w:highlight w:val="none"/>
            </w:rPr>
            <w:fldChar w:fldCharType="begin"/>
          </w:r>
          <w:r>
            <w:rPr>
              <w:highlight w:val="none"/>
            </w:rPr>
            <w:instrText xml:space="preserve"> HYPERLINK \l "_Toc15617" </w:instrText>
          </w:r>
          <w:r>
            <w:rPr>
              <w:highlight w:val="none"/>
            </w:rPr>
            <w:fldChar w:fldCharType="separate"/>
          </w:r>
          <w:r>
            <w:rPr>
              <w:rFonts w:hint="eastAsia" w:ascii="宋体" w:hAnsi="宋体" w:cs="宋体"/>
              <w:sz w:val="24"/>
              <w:highlight w:val="none"/>
            </w:rPr>
            <w:t>第三章  招标内容及要求</w:t>
          </w:r>
          <w:r>
            <w:rPr>
              <w:sz w:val="24"/>
              <w:highlight w:val="none"/>
            </w:rPr>
            <w:tab/>
          </w:r>
          <w:r>
            <w:rPr>
              <w:sz w:val="24"/>
              <w:highlight w:val="none"/>
            </w:rPr>
            <w:fldChar w:fldCharType="begin"/>
          </w:r>
          <w:r>
            <w:rPr>
              <w:sz w:val="24"/>
              <w:highlight w:val="none"/>
            </w:rPr>
            <w:instrText xml:space="preserve"> PAGEREF _Toc15617 \h </w:instrText>
          </w:r>
          <w:r>
            <w:rPr>
              <w:sz w:val="24"/>
              <w:highlight w:val="none"/>
            </w:rPr>
            <w:fldChar w:fldCharType="separate"/>
          </w:r>
          <w:r>
            <w:rPr>
              <w:sz w:val="24"/>
              <w:highlight w:val="none"/>
            </w:rPr>
            <w:t>43</w:t>
          </w:r>
          <w:r>
            <w:rPr>
              <w:sz w:val="24"/>
              <w:highlight w:val="none"/>
            </w:rPr>
            <w:fldChar w:fldCharType="end"/>
          </w:r>
          <w:r>
            <w:rPr>
              <w:sz w:val="24"/>
              <w:highlight w:val="none"/>
            </w:rPr>
            <w:fldChar w:fldCharType="end"/>
          </w:r>
        </w:p>
        <w:p>
          <w:pPr>
            <w:pStyle w:val="2"/>
            <w:tabs>
              <w:tab w:val="right" w:leader="dot" w:pos="9451"/>
            </w:tabs>
            <w:spacing w:before="240" w:after="240"/>
            <w:rPr>
              <w:sz w:val="24"/>
              <w:highlight w:val="none"/>
            </w:rPr>
          </w:pPr>
          <w:r>
            <w:rPr>
              <w:highlight w:val="none"/>
            </w:rPr>
            <w:fldChar w:fldCharType="begin"/>
          </w:r>
          <w:r>
            <w:rPr>
              <w:highlight w:val="none"/>
            </w:rPr>
            <w:instrText xml:space="preserve"> HYPERLINK \l "_Toc19583" </w:instrText>
          </w:r>
          <w:r>
            <w:rPr>
              <w:highlight w:val="none"/>
            </w:rPr>
            <w:fldChar w:fldCharType="separate"/>
          </w:r>
          <w:r>
            <w:rPr>
              <w:rFonts w:hint="eastAsia" w:ascii="宋体" w:hAnsi="宋体" w:cs="宋体"/>
              <w:sz w:val="24"/>
              <w:highlight w:val="none"/>
            </w:rPr>
            <w:t>第四章  合同文本</w:t>
          </w:r>
          <w:r>
            <w:rPr>
              <w:sz w:val="24"/>
              <w:highlight w:val="none"/>
            </w:rPr>
            <w:tab/>
          </w:r>
          <w:r>
            <w:rPr>
              <w:sz w:val="24"/>
              <w:highlight w:val="none"/>
            </w:rPr>
            <w:fldChar w:fldCharType="begin"/>
          </w:r>
          <w:r>
            <w:rPr>
              <w:sz w:val="24"/>
              <w:highlight w:val="none"/>
            </w:rPr>
            <w:instrText xml:space="preserve"> PAGEREF _Toc19583 \h </w:instrText>
          </w:r>
          <w:r>
            <w:rPr>
              <w:sz w:val="24"/>
              <w:highlight w:val="none"/>
            </w:rPr>
            <w:fldChar w:fldCharType="separate"/>
          </w:r>
          <w:r>
            <w:rPr>
              <w:sz w:val="24"/>
              <w:highlight w:val="none"/>
            </w:rPr>
            <w:t>111</w:t>
          </w:r>
          <w:r>
            <w:rPr>
              <w:sz w:val="24"/>
              <w:highlight w:val="none"/>
            </w:rPr>
            <w:fldChar w:fldCharType="end"/>
          </w:r>
          <w:r>
            <w:rPr>
              <w:sz w:val="24"/>
              <w:highlight w:val="none"/>
            </w:rPr>
            <w:fldChar w:fldCharType="end"/>
          </w:r>
        </w:p>
        <w:p>
          <w:pPr>
            <w:pStyle w:val="2"/>
            <w:tabs>
              <w:tab w:val="right" w:leader="dot" w:pos="9451"/>
            </w:tabs>
            <w:spacing w:before="240" w:after="240"/>
            <w:rPr>
              <w:sz w:val="24"/>
              <w:highlight w:val="none"/>
            </w:rPr>
          </w:pPr>
          <w:r>
            <w:rPr>
              <w:highlight w:val="none"/>
            </w:rPr>
            <w:fldChar w:fldCharType="begin"/>
          </w:r>
          <w:r>
            <w:rPr>
              <w:highlight w:val="none"/>
            </w:rPr>
            <w:instrText xml:space="preserve"> HYPERLINK \l "_Toc27364" </w:instrText>
          </w:r>
          <w:r>
            <w:rPr>
              <w:highlight w:val="none"/>
            </w:rPr>
            <w:fldChar w:fldCharType="separate"/>
          </w:r>
          <w:r>
            <w:rPr>
              <w:rFonts w:hint="eastAsia" w:ascii="宋体" w:hAnsi="宋体" w:cs="宋体"/>
              <w:sz w:val="24"/>
              <w:highlight w:val="none"/>
            </w:rPr>
            <w:t>第五章  投标文件构成及格式</w:t>
          </w:r>
          <w:r>
            <w:rPr>
              <w:sz w:val="24"/>
              <w:highlight w:val="none"/>
            </w:rPr>
            <w:tab/>
          </w:r>
          <w:r>
            <w:rPr>
              <w:sz w:val="24"/>
              <w:highlight w:val="none"/>
            </w:rPr>
            <w:fldChar w:fldCharType="begin"/>
          </w:r>
          <w:r>
            <w:rPr>
              <w:sz w:val="24"/>
              <w:highlight w:val="none"/>
            </w:rPr>
            <w:instrText xml:space="preserve"> PAGEREF _Toc27364 \h </w:instrText>
          </w:r>
          <w:r>
            <w:rPr>
              <w:sz w:val="24"/>
              <w:highlight w:val="none"/>
            </w:rPr>
            <w:fldChar w:fldCharType="separate"/>
          </w:r>
          <w:r>
            <w:rPr>
              <w:sz w:val="24"/>
              <w:highlight w:val="none"/>
            </w:rPr>
            <w:t>124</w:t>
          </w:r>
          <w:r>
            <w:rPr>
              <w:sz w:val="24"/>
              <w:highlight w:val="none"/>
            </w:rPr>
            <w:fldChar w:fldCharType="end"/>
          </w:r>
          <w:r>
            <w:rPr>
              <w:sz w:val="24"/>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"_Toc9160" </w:instrText>
          </w:r>
          <w:r>
            <w:rPr>
              <w:highlight w:val="none"/>
            </w:rPr>
            <w:fldChar w:fldCharType="separate"/>
          </w:r>
          <w:r>
            <w:rPr>
              <w:rFonts w:hint="eastAsia" w:ascii="宋体" w:hAnsi="宋体" w:eastAsia="宋体" w:cs="宋体"/>
              <w:highlight w:val="none"/>
            </w:rPr>
            <w:t>第一部分  投标函</w:t>
          </w:r>
          <w:r>
            <w:rPr>
              <w:highlight w:val="none"/>
            </w:rPr>
            <w:tab/>
          </w:r>
          <w:r>
            <w:rPr>
              <w:highlight w:val="none"/>
            </w:rPr>
            <w:fldChar w:fldCharType="begin"/>
          </w:r>
          <w:r>
            <w:rPr>
              <w:highlight w:val="none"/>
            </w:rPr>
            <w:instrText xml:space="preserve"> PAGEREF _Toc9160 \h </w:instrText>
          </w:r>
          <w:r>
            <w:rPr>
              <w:highlight w:val="none"/>
            </w:rPr>
            <w:fldChar w:fldCharType="separate"/>
          </w:r>
          <w:r>
            <w:rPr>
              <w:highlight w:val="none"/>
            </w:rPr>
            <w:t>126</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"_Toc3282" </w:instrText>
          </w:r>
          <w:r>
            <w:rPr>
              <w:highlight w:val="none"/>
            </w:rPr>
            <w:fldChar w:fldCharType="separate"/>
          </w:r>
          <w:r>
            <w:rPr>
              <w:rFonts w:hint="eastAsia" w:ascii="宋体" w:hAnsi="宋体" w:eastAsia="宋体" w:cs="宋体"/>
              <w:highlight w:val="none"/>
            </w:rPr>
            <w:t>第二部分 开标一览表</w:t>
          </w:r>
          <w:r>
            <w:rPr>
              <w:highlight w:val="none"/>
            </w:rPr>
            <w:tab/>
          </w:r>
          <w:r>
            <w:rPr>
              <w:highlight w:val="none"/>
            </w:rPr>
            <w:fldChar w:fldCharType="begin"/>
          </w:r>
          <w:r>
            <w:rPr>
              <w:highlight w:val="none"/>
            </w:rPr>
            <w:instrText xml:space="preserve"> PAGEREF _Toc3282 \h </w:instrText>
          </w:r>
          <w:r>
            <w:rPr>
              <w:highlight w:val="none"/>
            </w:rPr>
            <w:fldChar w:fldCharType="separate"/>
          </w:r>
          <w:r>
            <w:rPr>
              <w:highlight w:val="none"/>
            </w:rPr>
            <w:t>128</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"_Toc26305" </w:instrText>
          </w:r>
          <w:r>
            <w:rPr>
              <w:highlight w:val="none"/>
            </w:rPr>
            <w:fldChar w:fldCharType="separate"/>
          </w:r>
          <w:r>
            <w:rPr>
              <w:rFonts w:hint="eastAsia" w:ascii="宋体" w:hAnsi="宋体" w:eastAsia="宋体" w:cs="宋体"/>
              <w:highlight w:val="none"/>
            </w:rPr>
            <w:t>第三部分  资格证明文件</w:t>
          </w:r>
          <w:r>
            <w:rPr>
              <w:highlight w:val="none"/>
            </w:rPr>
            <w:tab/>
          </w:r>
          <w:r>
            <w:rPr>
              <w:highlight w:val="none"/>
            </w:rPr>
            <w:fldChar w:fldCharType="begin"/>
          </w:r>
          <w:r>
            <w:rPr>
              <w:highlight w:val="none"/>
            </w:rPr>
            <w:instrText xml:space="preserve"> PAGEREF _Toc26305 \h </w:instrText>
          </w:r>
          <w:r>
            <w:rPr>
              <w:highlight w:val="none"/>
            </w:rPr>
            <w:fldChar w:fldCharType="separate"/>
          </w:r>
          <w:r>
            <w:rPr>
              <w:highlight w:val="none"/>
            </w:rPr>
            <w:t>133</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"_Toc26943" </w:instrText>
          </w:r>
          <w:r>
            <w:rPr>
              <w:highlight w:val="none"/>
            </w:rPr>
            <w:fldChar w:fldCharType="separate"/>
          </w:r>
          <w:r>
            <w:rPr>
              <w:rFonts w:hint="eastAsia" w:ascii="宋体" w:hAnsi="宋体" w:eastAsia="宋体" w:cs="宋体"/>
              <w:highlight w:val="none"/>
            </w:rPr>
            <w:t>第四部分  供应商概况</w:t>
          </w:r>
          <w:r>
            <w:rPr>
              <w:highlight w:val="none"/>
            </w:rPr>
            <w:tab/>
          </w:r>
          <w:r>
            <w:rPr>
              <w:highlight w:val="none"/>
            </w:rPr>
            <w:fldChar w:fldCharType="begin"/>
          </w:r>
          <w:r>
            <w:rPr>
              <w:highlight w:val="none"/>
            </w:rPr>
            <w:instrText xml:space="preserve"> PAGEREF _Toc26943 \h </w:instrText>
          </w:r>
          <w:r>
            <w:rPr>
              <w:highlight w:val="none"/>
            </w:rPr>
            <w:fldChar w:fldCharType="separate"/>
          </w:r>
          <w:r>
            <w:rPr>
              <w:highlight w:val="none"/>
            </w:rPr>
            <w:t>138</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"_Toc667" </w:instrText>
          </w:r>
          <w:r>
            <w:rPr>
              <w:highlight w:val="none"/>
            </w:rPr>
            <w:fldChar w:fldCharType="separate"/>
          </w:r>
          <w:r>
            <w:rPr>
              <w:rFonts w:hint="eastAsia" w:ascii="宋体" w:hAnsi="宋体" w:eastAsia="宋体" w:cs="宋体"/>
              <w:highlight w:val="none"/>
            </w:rPr>
            <w:t>第五部分  商务和技术响应偏离表</w:t>
          </w:r>
          <w:r>
            <w:rPr>
              <w:highlight w:val="none"/>
            </w:rPr>
            <w:tab/>
          </w:r>
          <w:r>
            <w:rPr>
              <w:highlight w:val="none"/>
            </w:rPr>
            <w:fldChar w:fldCharType="begin"/>
          </w:r>
          <w:r>
            <w:rPr>
              <w:highlight w:val="none"/>
            </w:rPr>
            <w:instrText xml:space="preserve"> PAGEREF _Toc667 \h </w:instrText>
          </w:r>
          <w:r>
            <w:rPr>
              <w:highlight w:val="none"/>
            </w:rPr>
            <w:fldChar w:fldCharType="separate"/>
          </w:r>
          <w:r>
            <w:rPr>
              <w:highlight w:val="none"/>
            </w:rPr>
            <w:t>139</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"_Toc7924" </w:instrText>
          </w:r>
          <w:r>
            <w:rPr>
              <w:highlight w:val="none"/>
            </w:rPr>
            <w:fldChar w:fldCharType="separate"/>
          </w:r>
          <w:r>
            <w:rPr>
              <w:rFonts w:hint="eastAsia" w:ascii="宋体" w:hAnsi="宋体" w:eastAsia="宋体" w:cs="宋体"/>
              <w:highlight w:val="none"/>
            </w:rPr>
            <w:t>第六部分  技术方案</w:t>
          </w:r>
          <w:r>
            <w:rPr>
              <w:highlight w:val="none"/>
            </w:rPr>
            <w:tab/>
          </w:r>
          <w:r>
            <w:rPr>
              <w:highlight w:val="none"/>
            </w:rPr>
            <w:fldChar w:fldCharType="begin"/>
          </w:r>
          <w:r>
            <w:rPr>
              <w:highlight w:val="none"/>
            </w:rPr>
            <w:instrText xml:space="preserve"> PAGEREF _Toc7924 \h </w:instrText>
          </w:r>
          <w:r>
            <w:rPr>
              <w:highlight w:val="none"/>
            </w:rPr>
            <w:fldChar w:fldCharType="separate"/>
          </w:r>
          <w:r>
            <w:rPr>
              <w:highlight w:val="none"/>
            </w:rPr>
            <w:t>142</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"_Toc28622" </w:instrText>
          </w:r>
          <w:r>
            <w:rPr>
              <w:highlight w:val="none"/>
            </w:rPr>
            <w:fldChar w:fldCharType="separate"/>
          </w:r>
          <w:r>
            <w:rPr>
              <w:rFonts w:hint="eastAsia" w:ascii="宋体" w:hAnsi="宋体" w:eastAsia="宋体" w:cs="宋体"/>
              <w:highlight w:val="none"/>
            </w:rPr>
            <w:t>第七部分 售后服务及培训方案</w:t>
          </w:r>
          <w:r>
            <w:rPr>
              <w:highlight w:val="none"/>
            </w:rPr>
            <w:tab/>
          </w:r>
          <w:r>
            <w:rPr>
              <w:highlight w:val="none"/>
            </w:rPr>
            <w:fldChar w:fldCharType="begin"/>
          </w:r>
          <w:r>
            <w:rPr>
              <w:highlight w:val="none"/>
            </w:rPr>
            <w:instrText xml:space="preserve"> PAGEREF _Toc28622 \h </w:instrText>
          </w:r>
          <w:r>
            <w:rPr>
              <w:highlight w:val="none"/>
            </w:rPr>
            <w:fldChar w:fldCharType="separate"/>
          </w:r>
          <w:r>
            <w:rPr>
              <w:highlight w:val="none"/>
            </w:rPr>
            <w:t>143</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"_Toc11774" </w:instrText>
          </w:r>
          <w:r>
            <w:rPr>
              <w:highlight w:val="none"/>
            </w:rPr>
            <w:fldChar w:fldCharType="separate"/>
          </w:r>
          <w:r>
            <w:rPr>
              <w:rFonts w:hint="eastAsia" w:ascii="宋体" w:hAnsi="宋体" w:eastAsia="宋体" w:cs="宋体"/>
              <w:highlight w:val="none"/>
            </w:rPr>
            <w:t>第八部分 供应商业绩一览表</w:t>
          </w:r>
          <w:r>
            <w:rPr>
              <w:highlight w:val="none"/>
            </w:rPr>
            <w:tab/>
          </w:r>
          <w:r>
            <w:rPr>
              <w:highlight w:val="none"/>
            </w:rPr>
            <w:fldChar w:fldCharType="begin"/>
          </w:r>
          <w:r>
            <w:rPr>
              <w:highlight w:val="none"/>
            </w:rPr>
            <w:instrText xml:space="preserve"> PAGEREF _Toc11774 \h </w:instrText>
          </w:r>
          <w:r>
            <w:rPr>
              <w:highlight w:val="none"/>
            </w:rPr>
            <w:fldChar w:fldCharType="separate"/>
          </w:r>
          <w:r>
            <w:rPr>
              <w:highlight w:val="none"/>
            </w:rPr>
            <w:t>144</w:t>
          </w:r>
          <w:r>
            <w:rPr>
              <w:highlight w:val="none"/>
            </w:rPr>
            <w:fldChar w:fldCharType="end"/>
          </w:r>
          <w:r>
            <w:rPr>
              <w:highlight w:val="none"/>
            </w:rPr>
            <w:fldChar w:fldCharType="end"/>
          </w:r>
        </w:p>
        <w:p>
          <w:pPr>
            <w:pStyle w:val="27"/>
            <w:tabs>
              <w:tab w:val="right" w:leader="dot" w:pos="9451"/>
            </w:tabs>
            <w:ind w:left="480"/>
            <w:rPr>
              <w:highlight w:val="none"/>
            </w:rPr>
          </w:pPr>
          <w:r>
            <w:rPr>
              <w:highlight w:val="none"/>
            </w:rPr>
            <w:fldChar w:fldCharType="begin"/>
          </w:r>
          <w:r>
            <w:rPr>
              <w:highlight w:val="none"/>
            </w:rPr>
            <w:instrText xml:space="preserve"> HYPERLINK \l "_Toc14821" </w:instrText>
          </w:r>
          <w:r>
            <w:rPr>
              <w:highlight w:val="none"/>
            </w:rPr>
            <w:fldChar w:fldCharType="separate"/>
          </w:r>
          <w:r>
            <w:rPr>
              <w:rFonts w:hint="eastAsia" w:ascii="宋体" w:hAnsi="宋体" w:eastAsia="宋体" w:cs="宋体"/>
              <w:highlight w:val="none"/>
            </w:rPr>
            <w:t>第九部分  供应商认为有必要说明的其他问题</w:t>
          </w:r>
          <w:r>
            <w:rPr>
              <w:highlight w:val="none"/>
            </w:rPr>
            <w:tab/>
          </w:r>
          <w:r>
            <w:rPr>
              <w:highlight w:val="none"/>
            </w:rPr>
            <w:fldChar w:fldCharType="begin"/>
          </w:r>
          <w:r>
            <w:rPr>
              <w:highlight w:val="none"/>
            </w:rPr>
            <w:instrText xml:space="preserve"> PAGEREF _Toc14821 \h </w:instrText>
          </w:r>
          <w:r>
            <w:rPr>
              <w:highlight w:val="none"/>
            </w:rPr>
            <w:fldChar w:fldCharType="separate"/>
          </w:r>
          <w:r>
            <w:rPr>
              <w:highlight w:val="none"/>
            </w:rPr>
            <w:t>145</w:t>
          </w:r>
          <w:r>
            <w:rPr>
              <w:highlight w:val="none"/>
            </w:rPr>
            <w:fldChar w:fldCharType="end"/>
          </w:r>
          <w:r>
            <w:rPr>
              <w:highlight w:val="none"/>
            </w:rPr>
            <w:fldChar w:fldCharType="end"/>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sdtContent>
    </w:sdt>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3"/>
        <w:rPr>
          <w:rFonts w:ascii="宋体" w:hAnsi="宋体" w:eastAsia="宋体" w:cs="宋体"/>
          <w:color w:val="000000" w:themeColor="text1"/>
          <w:highlight w:val="none"/>
          <w14:textFill>
            <w14:solidFill>
              <w14:schemeClr w14:val="tx1"/>
            </w14:solidFill>
          </w14:textFill>
        </w:rPr>
      </w:pPr>
      <w:bookmarkStart w:id="1" w:name="_Toc22212"/>
      <w:bookmarkStart w:id="2" w:name="_Toc23953"/>
      <w:r>
        <w:rPr>
          <w:rFonts w:hint="eastAsia" w:ascii="宋体" w:hAnsi="宋体" w:eastAsia="宋体" w:cs="宋体"/>
          <w:color w:val="000000" w:themeColor="text1"/>
          <w:highlight w:val="none"/>
          <w14:textFill>
            <w14:solidFill>
              <w14:schemeClr w14:val="tx1"/>
            </w14:solidFill>
          </w14:textFill>
        </w:rPr>
        <w:t>第一章  投标邀请函</w:t>
      </w:r>
      <w:bookmarkEnd w:id="0"/>
      <w:bookmarkEnd w:id="1"/>
      <w:bookmarkEnd w:id="2"/>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陕西万泽招标有限公司受西安铁路职业技术学院的委托，经政府采购监管部门批准，按照政府采购程序，对西安铁路职业技术学院智慧教室建设项目进行公开招标，欢迎符合资格条件的、有能力提供本项目所需货物和服务的供应商参加投标。</w:t>
      </w:r>
    </w:p>
    <w:p>
      <w:pP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一、项目基本信息：</w:t>
      </w:r>
    </w:p>
    <w:p>
      <w:pPr>
        <w:spacing w:line="360" w:lineRule="auto"/>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项目名称：西安铁路职业技术学院智慧教室建设项目</w:t>
      </w:r>
    </w:p>
    <w:p>
      <w:pPr>
        <w:spacing w:line="360" w:lineRule="auto"/>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项目编号：SXWZ2022ZB-XTY-086</w:t>
      </w:r>
    </w:p>
    <w:p>
      <w:pPr>
        <w:numPr>
          <w:ilvl w:val="0"/>
          <w:numId w:val="2"/>
        </w:numPr>
        <w:spacing w:line="360" w:lineRule="auto"/>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项目性质：非专门面向中小企业的采购</w:t>
      </w:r>
    </w:p>
    <w:p>
      <w:pPr>
        <w:spacing w:line="360" w:lineRule="auto"/>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三、采购内容和要求：智慧教室建设</w:t>
      </w:r>
    </w:p>
    <w:p>
      <w:pPr>
        <w:spacing w:line="360" w:lineRule="auto"/>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（详见招标文件第三章〈招标内容及要求〉）</w:t>
      </w:r>
    </w:p>
    <w:p>
      <w:pP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四、采购预算：6420000.00元。最高限价：6420000.00元</w:t>
      </w:r>
    </w:p>
    <w:p>
      <w:pP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五、供应商资格要求：</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1．基本资格条件</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满足《中华人民共和国政府釆购法》第二十二条规定。</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2．特定资格条件</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2.1具有独立承担民事责任能力的法人、其他组织或自然人，并出具合法有效的营业执照或事业单位法人证书等国家规定的相关证明，自然人参与的提供其身份证明。</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2.2社会保障资金缴纳证明：供应商提供本单位2022年1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2.3税收缴纳证明：供应商提供本单位2022年1月至今已缴纳的至少一个月纳税证明或完税证明，依法免税的单位应提供相关证明材料。 </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2.4财务状况证明：提供本单位经会计师事务所审计的2020年或2021年任意一年的财务审计报告或在开标日期前六个月内其基本开户银行出具的资信证明。  </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2.5供应商应出具参加本次政府采购活动前3年内在经营活动中没有重大违法违纪，以及未被列入失信被执行人、重大税收违法案件当事人名单、政府采购严重违法失信行为记录名单的书面声明。</w:t>
      </w:r>
    </w:p>
    <w:p>
      <w:pPr>
        <w:spacing w:line="360" w:lineRule="auto"/>
        <w:ind w:firstLine="56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2.6非法定代表人参加投标，须提供法定代表人授权委托书。法定代表人参加投标时,只须提供法定代表人身份证。</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2.7本项目不接受联合体投标。</w:t>
      </w:r>
    </w:p>
    <w:p>
      <w:pP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六、执行的其他政府采购政策：</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政府采购促进中小企业发展管理办法》（财库〔2020〕46号）及（财库[2022]19号）、《关于政府采购支持监狱企业发展有关问题的通知》（财库〔2014〕68号）以及《关于促进残疾人就业政府采购政策的通知》（财库〔2017〕141号）。</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3．陕西省财政厅关于印发《陕西省中小企业政府采购信用融资办法》（陕财办采〔2018〕23号）。</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4．详见招标文件第二章相关事项。</w:t>
      </w:r>
    </w:p>
    <w:p>
      <w:pP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七、招标文件获取方式及公告期限：</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1．获取方式：</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1.1打开【全国公共资源交易平台（陕西省·西安市）】网站（简称西安市公共资源交易平台，官网地址：</w:t>
      </w:r>
      <w:r>
        <w:rPr>
          <w:highlight w:val="none"/>
        </w:rPr>
        <w:fldChar w:fldCharType="begin"/>
      </w:r>
      <w:r>
        <w:rPr>
          <w:highlight w:val="none"/>
        </w:rPr>
        <w:instrText xml:space="preserve"> HYPERLINK "http://sxggzyjy.xa.gov.cn/" </w:instrText>
      </w:r>
      <w:r>
        <w:rPr>
          <w:highlight w:val="none"/>
        </w:rPr>
        <w:fldChar w:fldCharType="separate"/>
      </w:r>
      <w:r>
        <w:rPr>
          <w:rStyle w:val="40"/>
          <w:rFonts w:hint="eastAsia" w:ascii="宋体" w:hAnsi="宋体" w:eastAsia="宋体" w:cs="宋体"/>
          <w:color w:val="000000" w:themeColor="text1"/>
          <w:sz w:val="28"/>
          <w:szCs w:val="28"/>
          <w:highlight w:val="none"/>
          <w:u w:val="none"/>
          <w14:textFill>
            <w14:solidFill>
              <w14:schemeClr w14:val="tx1"/>
            </w14:solidFill>
          </w14:textFill>
        </w:rPr>
        <w:t>http://sxggzyjy.xa.gov.cn/</w:t>
      </w:r>
      <w:r>
        <w:rPr>
          <w:rStyle w:val="40"/>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1.2供应商于文件发售时间内登录全国公共资源交易平台（陕西省·西安市）系统 （http://sxggzyjy.xa.gov.cn/），选择本项目点击“我要投标”，参与投标活动。</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2．获取时间：2022年06月27日起至2022年07月04日止</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3．公告期自公告发布之日起5个工作日</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4.友情提示：</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（2）制作电子投标文件（*.SXSTF）需要使用专用制作工具。软件下载及操作说明详见西安市公共资源交易平台〖首页·〉服务指南·〉下载专区〗中的《政府采购项目投标文件制作软件及操作手册》。</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八、提交投标文件方式、截止时间及开标时间、形式：</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提交投标文件的方式：从西安市公共资源交易平台〖首页·〉电子交易平台·〉陕西政府采购交易系统·〉企业端〗登录，登录后切换到〖我的项目〗模块，依次点选〖项目流程·〉项目管理·〉上传响应文件〗上传加密后的电子投标文件（*.SXSTF）。</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2．提交投标文件截止时间及开标时间：2022年08月08日10:00，逾期提交的，系统将拒绝接收。</w:t>
      </w:r>
    </w:p>
    <w:p>
      <w:pPr>
        <w:ind w:firstLine="56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3.开标地址：西安市公共资源交易中心5楼开标室503.</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4．开标形式：本项目将采用“不见面开标”形式。操作说明详见平台〖首页·〉服务指南·〉下载专区〗中的《西安公共资源交易不见面开标大厅供应商操作手册》。</w:t>
      </w:r>
    </w:p>
    <w:p>
      <w:pP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九、联系方式</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1．采购人：西安铁路职业技术学院</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地址：西安市国际港务区港务大道396号</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联系人：张老师</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联系方式：029-88092167</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2．采购代理机构：陕西万泽招标有限公司</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地址：西安市莲湖区西关正街英达大厦1507室</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总机：029-88319689</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联系人：张刘艳  于晓晶  郝思思</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联系电话：029-88319689-807/806</w:t>
      </w:r>
    </w:p>
    <w:p>
      <w:pPr>
        <w:spacing w:line="560" w:lineRule="exact"/>
        <w:ind w:firstLine="560" w:firstLineChars="200"/>
        <w:jc w:val="right"/>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陕西万泽招标有限公司</w:t>
      </w:r>
    </w:p>
    <w:p>
      <w:pPr>
        <w:spacing w:line="560" w:lineRule="exact"/>
        <w:ind w:firstLine="560" w:firstLineChars="200"/>
        <w:jc w:val="right"/>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2022年07月22日</w:t>
      </w:r>
    </w:p>
    <w:p>
      <w:pPr>
        <w:spacing w:line="560" w:lineRule="exact"/>
        <w:ind w:firstLine="640" w:firstLineChars="200"/>
        <w:jc w:val="both"/>
        <w:rPr>
          <w:rFonts w:ascii="宋体" w:hAnsi="宋体" w:eastAsia="宋体" w:cs="宋体"/>
          <w:color w:val="000000" w:themeColor="text1"/>
          <w:sz w:val="32"/>
          <w:szCs w:val="32"/>
          <w:highlight w:val="none"/>
          <w14:textFill>
            <w14:solidFill>
              <w14:schemeClr w14:val="tx1"/>
            </w14:solidFill>
          </w14:textFill>
        </w:rPr>
      </w:pPr>
      <w:bookmarkStart w:id="3" w:name="_Toc100219613"/>
      <w:bookmarkStart w:id="4" w:name="_Toc533363262"/>
      <w:bookmarkStart w:id="5" w:name="_Toc97563329"/>
      <w:bookmarkStart w:id="6" w:name="_Toc533363235"/>
      <w:bookmarkStart w:id="7" w:name="_Toc445407251"/>
      <w:bookmarkStart w:id="8" w:name="_Toc498349068"/>
      <w:bookmarkStart w:id="9" w:name="_Toc534656414"/>
      <w:bookmarkStart w:id="10" w:name="_Toc534656409"/>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3"/>
        <w:spacing w:line="240" w:lineRule="auto"/>
        <w:rPr>
          <w:rFonts w:ascii="宋体" w:hAnsi="宋体" w:eastAsia="宋体" w:cs="宋体"/>
          <w:color w:val="000000" w:themeColor="text1"/>
          <w:highlight w:val="none"/>
          <w14:textFill>
            <w14:solidFill>
              <w14:schemeClr w14:val="tx1"/>
            </w14:solidFill>
          </w14:textFill>
        </w:rPr>
      </w:pPr>
      <w:bookmarkStart w:id="11" w:name="_Toc29757"/>
      <w:bookmarkStart w:id="12" w:name="_Toc19037"/>
      <w:r>
        <w:rPr>
          <w:rFonts w:hint="eastAsia" w:ascii="宋体" w:hAnsi="宋体" w:eastAsia="宋体" w:cs="宋体"/>
          <w:color w:val="000000" w:themeColor="text1"/>
          <w:highlight w:val="none"/>
          <w14:textFill>
            <w14:solidFill>
              <w14:schemeClr w14:val="tx1"/>
            </w14:solidFill>
          </w14:textFill>
        </w:rPr>
        <w:t>第二章  供应商须知</w:t>
      </w:r>
      <w:bookmarkEnd w:id="3"/>
      <w:bookmarkEnd w:id="4"/>
      <w:bookmarkEnd w:id="5"/>
      <w:bookmarkEnd w:id="6"/>
      <w:bookmarkEnd w:id="7"/>
      <w:bookmarkEnd w:id="8"/>
      <w:bookmarkEnd w:id="9"/>
      <w:bookmarkEnd w:id="10"/>
      <w:bookmarkEnd w:id="11"/>
      <w:bookmarkEnd w:id="12"/>
    </w:p>
    <w:p>
      <w:pPr>
        <w:pStyle w:val="4"/>
        <w:spacing w:line="240" w:lineRule="auto"/>
        <w:ind w:firstLine="560"/>
        <w:jc w:val="left"/>
        <w:rPr>
          <w:rFonts w:ascii="宋体" w:hAnsi="宋体" w:eastAsia="宋体" w:cs="宋体"/>
          <w:color w:val="000000" w:themeColor="text1"/>
          <w:sz w:val="28"/>
          <w:szCs w:val="28"/>
          <w:highlight w:val="none"/>
          <w14:textFill>
            <w14:solidFill>
              <w14:schemeClr w14:val="tx1"/>
            </w14:solidFill>
          </w14:textFill>
        </w:rPr>
      </w:pPr>
      <w:bookmarkStart w:id="13" w:name="_Toc22770"/>
      <w:bookmarkStart w:id="14" w:name="_Toc30178"/>
      <w:r>
        <w:rPr>
          <w:rFonts w:hint="eastAsia" w:ascii="宋体" w:hAnsi="宋体" w:eastAsia="宋体" w:cs="宋体"/>
          <w:color w:val="000000" w:themeColor="text1"/>
          <w:sz w:val="28"/>
          <w:szCs w:val="28"/>
          <w:highlight w:val="none"/>
          <w14:textFill>
            <w14:solidFill>
              <w14:schemeClr w14:val="tx1"/>
            </w14:solidFill>
          </w14:textFill>
        </w:rPr>
        <w:t>〖前附表〗</w:t>
      </w:r>
      <w:bookmarkEnd w:id="13"/>
      <w:bookmarkEnd w:id="14"/>
    </w:p>
    <w:tbl>
      <w:tblPr>
        <w:tblStyle w:val="34"/>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994"/>
        <w:gridCol w:w="48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2994"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内容</w:t>
            </w:r>
          </w:p>
        </w:tc>
        <w:tc>
          <w:tcPr>
            <w:tcW w:w="4898"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994" w:type="dxa"/>
            <w:tcBorders>
              <w:top w:val="single" w:color="auto" w:sz="2" w:space="0"/>
            </w:tcBorders>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4898" w:type="dxa"/>
            <w:tcBorders>
              <w:top w:val="single" w:color="auto" w:sz="2" w:space="0"/>
            </w:tcBorders>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西安铁路职业技术学院智慧教室建设项目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p>
        </w:tc>
        <w:tc>
          <w:tcPr>
            <w:tcW w:w="489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SXWZ2022ZB-XTY-086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预算执行书编号</w:t>
            </w:r>
          </w:p>
        </w:tc>
        <w:tc>
          <w:tcPr>
            <w:tcW w:w="489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政采-西安市-2022-02025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是否预留份额</w:t>
            </w:r>
          </w:p>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专门面向中小企业采购</w:t>
            </w:r>
          </w:p>
        </w:tc>
        <w:tc>
          <w:tcPr>
            <w:tcW w:w="489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2139916130"/>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2072024220"/>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 w:type="dxa"/>
            <w:vMerge w:val="restart"/>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w:t>
            </w:r>
          </w:p>
        </w:tc>
        <w:tc>
          <w:tcPr>
            <w:tcW w:w="489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6420000.00元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最高限价</w:t>
            </w:r>
          </w:p>
        </w:tc>
        <w:tc>
          <w:tcPr>
            <w:tcW w:w="489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6420000.00元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是否接受联合体</w:t>
            </w:r>
          </w:p>
        </w:tc>
        <w:tc>
          <w:tcPr>
            <w:tcW w:w="489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4857025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168959484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是否允许进口产品</w:t>
            </w:r>
          </w:p>
        </w:tc>
        <w:tc>
          <w:tcPr>
            <w:tcW w:w="489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2404872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152682750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投标保证金</w:t>
            </w:r>
          </w:p>
        </w:tc>
        <w:tc>
          <w:tcPr>
            <w:tcW w:w="489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w:t>
            </w:r>
          </w:p>
        </w:tc>
        <w:tc>
          <w:tcPr>
            <w:tcW w:w="4898" w:type="dxa"/>
            <w:shd w:val="clear" w:color="auto" w:fill="auto"/>
            <w:vAlign w:val="center"/>
          </w:tcPr>
          <w:p>
            <w:pP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应在领取成交通知书后5个工作日内将履约保证金交纳至采购方账户，其数额为合同金额的5%（舍入到百元），供应商可通过支票、本票、汇票、网上银行支付等非现金形式交纳。采购方财务部门接到采购方确认质保期满且合同约定事项已经履行完毕的正式书面文件后，向供应商无息退还履约保证金。</w:t>
            </w:r>
          </w:p>
          <w:p>
            <w:pP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注：履约保证金转账信息</w:t>
            </w:r>
          </w:p>
          <w:p>
            <w:pP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名称：西安铁路职业技术学院</w:t>
            </w:r>
          </w:p>
          <w:p>
            <w:pP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纳税人识别号：12610100437202545W</w:t>
            </w:r>
          </w:p>
          <w:p>
            <w:pP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地址、电话：西安国际港务区港务大道396号  029-88092203  </w:t>
            </w:r>
          </w:p>
          <w:p>
            <w:pP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开户行及账号：建行西安经济技术开发区支行    </w:t>
            </w:r>
          </w:p>
          <w:p>
            <w:pP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61001930041052515973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纸质版投标文件份数</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纸质版文件与电子版文件不一致，以上传平台电子版文件为准。供应商需提供纸质版投标文件（密封一正两副）于开标当日10点-11点送至公共资源交易中心5楼503会议室或以邮寄方式邮寄至西安市莲湖区西关正街英达大厦1507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现场踏勘和集中答疑</w:t>
            </w:r>
          </w:p>
        </w:tc>
        <w:tc>
          <w:tcPr>
            <w:tcW w:w="489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政府采购信息发布媒体</w:t>
            </w:r>
          </w:p>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（采购公告、采购结果公告、变更公告）</w:t>
            </w:r>
          </w:p>
        </w:tc>
        <w:tc>
          <w:tcPr>
            <w:tcW w:w="4898" w:type="dxa"/>
            <w:shd w:val="clear" w:color="auto" w:fill="auto"/>
            <w:vAlign w:val="center"/>
          </w:tcPr>
          <w:p>
            <w:pP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1．陕西省政府采购网：仅提供项目公告，官网地址：http://ccgp-shaanxi.gov.cn/。</w:t>
            </w:r>
          </w:p>
          <w:p>
            <w:pP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询问和质疑</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投诉受理</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1．受理单位：西安市财政局政府采购管理处</w:t>
            </w:r>
          </w:p>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2．联系电话：029-89821846</w:t>
            </w:r>
          </w:p>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信用信息查询截至时点</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开标形式</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07778622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不见面开标  </w:t>
            </w:r>
            <w:sdt>
              <w:sdtPr>
                <w:rPr>
                  <w:rFonts w:hint="eastAsia" w:ascii="宋体" w:hAnsi="宋体" w:eastAsia="宋体" w:cs="宋体"/>
                  <w:color w:val="000000" w:themeColor="text1"/>
                  <w:sz w:val="21"/>
                  <w:szCs w:val="21"/>
                  <w:highlight w:val="none"/>
                  <w14:textFill>
                    <w14:solidFill>
                      <w14:schemeClr w14:val="tx1"/>
                    </w14:solidFill>
                  </w14:textFill>
                </w:rPr>
                <w:id w:val="155357503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见面开标</w:t>
            </w:r>
          </w:p>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是否允许递交多个备选投标方案</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60885784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61833125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中标通知书</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公告中标（成交）结果的同时，代理机构在线向中标（成交）供应商发出中标（成交）通知书，中标供应商可登录【全国公共资源交易平台（陕西省•西安市）】网站〖首页〉电子交易平台〉企业端〗后，在〖我的项目/项目流程〗模块中点击下载“中标（成交）通知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西安市公共资源交易中心电子化政府采购系统技术支持（软件开发商）</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国泰新点软件股份有限公司</w:t>
            </w:r>
          </w:p>
          <w:p>
            <w:pP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1．技术支持热线：400-998-0000/400-928-0095</w:t>
            </w:r>
          </w:p>
          <w:p>
            <w:pP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CA业务网点</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陕西省数字证书认证中心股份有限公司</w:t>
            </w:r>
          </w:p>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网点1：西安市高新三路信息港大厦1楼客服中心</w:t>
            </w:r>
          </w:p>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客服电话：4006-369-888</w:t>
            </w:r>
          </w:p>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网点2：西安市长安北路14号省体育公寓B座一楼</w:t>
            </w:r>
          </w:p>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咨询电话：029-88661241</w:t>
            </w:r>
          </w:p>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网点3：西安市文景北路16号白桦林国际B座2楼11#窗口</w:t>
            </w:r>
          </w:p>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本项目所属行业</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其他未列明行业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弃标须知</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市财函【2021】431号文第16条规定：供应商登记免费领取采购文件的，如不参与项目投标，应在递交投标（或相应）文件截止时间前一日以书面形式告知采购代理机构。否则，采购代理机构可以向财政部门反应情况并提供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ind w:firstLine="210" w:firstLineChars="100"/>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w:t>
            </w:r>
          </w:p>
        </w:tc>
        <w:tc>
          <w:tcPr>
            <w:tcW w:w="2994" w:type="dxa"/>
            <w:shd w:val="clear" w:color="auto" w:fill="auto"/>
            <w:vAlign w:val="center"/>
          </w:tcPr>
          <w:p>
            <w:pPr>
              <w:ind w:firstLine="420" w:firstLineChars="20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核心产品</w:t>
            </w:r>
          </w:p>
        </w:tc>
        <w:tc>
          <w:tcPr>
            <w:tcW w:w="4898" w:type="dxa"/>
            <w:shd w:val="clear" w:color="auto" w:fill="auto"/>
            <w:vAlign w:val="center"/>
          </w:tcPr>
          <w:p>
            <w:pPr>
              <w:ind w:firstLine="420" w:firstLineChars="200"/>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一体机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ind w:firstLine="210" w:firstLineChars="100"/>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c>
          <w:tcPr>
            <w:tcW w:w="2994" w:type="dxa"/>
            <w:shd w:val="clear" w:color="auto" w:fill="auto"/>
            <w:vAlign w:val="center"/>
          </w:tcPr>
          <w:p>
            <w:pPr>
              <w:ind w:firstLine="420" w:firstLineChars="20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w:t>
            </w:r>
          </w:p>
        </w:tc>
        <w:tc>
          <w:tcPr>
            <w:tcW w:w="4898" w:type="dxa"/>
            <w:shd w:val="clear" w:color="auto" w:fill="auto"/>
            <w:vAlign w:val="center"/>
          </w:tcPr>
          <w:p>
            <w:pPr>
              <w:spacing w:line="360" w:lineRule="auto"/>
              <w:ind w:firstLine="420" w:firstLineChars="200"/>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代理服务费参照国家计委关于印发《招标代理服务收费管理暂行办法的通知》（计价格[2002]1980 号）的规定下浮20%收取。由中标人在领取中标通知书时向代理机构缴纳代理服务费，代理服务费金额详见结果公告</w:t>
            </w:r>
          </w:p>
          <w:p>
            <w:pPr>
              <w:spacing w:line="360" w:lineRule="auto"/>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代理服务收费标准及金额：</w:t>
            </w:r>
          </w:p>
          <w:p>
            <w:pPr>
              <w:spacing w:line="360" w:lineRule="auto"/>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代理服务费账户信息：</w:t>
            </w:r>
          </w:p>
          <w:p>
            <w:pPr>
              <w:spacing w:line="360" w:lineRule="auto"/>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户名：陕西万泽招标有限公司</w:t>
            </w:r>
          </w:p>
          <w:p>
            <w:pPr>
              <w:spacing w:line="360" w:lineRule="auto"/>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开户行名称：光大银行西关正街支行</w:t>
            </w:r>
          </w:p>
          <w:p>
            <w:pPr>
              <w:spacing w:line="360" w:lineRule="auto"/>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账号：5284 0188 0000 31048</w:t>
            </w:r>
          </w:p>
          <w:p>
            <w:pPr>
              <w:pStyle w:val="2"/>
              <w:spacing w:beforeLines="50" w:afterLines="50"/>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转账请注明项目编号+代理服务费</w:t>
            </w:r>
          </w:p>
          <w:p>
            <w:pPr>
              <w:ind w:firstLine="420" w:firstLineChars="200"/>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供应商将招标代理服务费计入投标报价但不单独列明，中标单位在领取中标通知书前，须向采购代理机构一次性支付招标代理服务费。代理服务费以转账、电汇或现金等形式交纳。</w:t>
            </w:r>
          </w:p>
        </w:tc>
      </w:tr>
    </w:tbl>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pStyle w:val="5"/>
        <w:rPr>
          <w:rFonts w:ascii="宋体" w:hAnsi="宋体" w:eastAsia="宋体" w:cs="宋体"/>
          <w:color w:val="000000" w:themeColor="text1"/>
          <w:sz w:val="28"/>
          <w:szCs w:val="28"/>
          <w:highlight w:val="none"/>
          <w14:textFill>
            <w14:solidFill>
              <w14:schemeClr w14:val="tx1"/>
            </w14:solidFill>
          </w14:textFill>
        </w:rPr>
      </w:pPr>
      <w:bookmarkStart w:id="15" w:name="_Toc6200"/>
      <w:r>
        <w:rPr>
          <w:rFonts w:hint="eastAsia" w:ascii="宋体" w:hAnsi="宋体" w:eastAsia="宋体" w:cs="宋体"/>
          <w:color w:val="000000" w:themeColor="text1"/>
          <w:sz w:val="28"/>
          <w:szCs w:val="28"/>
          <w:highlight w:val="none"/>
          <w14:textFill>
            <w14:solidFill>
              <w14:schemeClr w14:val="tx1"/>
            </w14:solidFill>
          </w14:textFill>
        </w:rPr>
        <w:t>一、有关定义</w:t>
      </w:r>
      <w:bookmarkEnd w:id="15"/>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1．采购人：依法进行政府采购的西安市市级机关、事业单位或团体组织。</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2．供应商：指向采购人提供货物、工程或者服务的法人、其他组织或者自然人。</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3．同级政府采购监管部门：西安市财政局政府采购管理处。</w:t>
      </w:r>
    </w:p>
    <w:p>
      <w:pPr>
        <w:spacing w:line="560" w:lineRule="exact"/>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4．西安市公共资源交易平台：即【全国公共资源交易平台（陕西省·西安市）】的简称，官网地址</w:t>
      </w:r>
      <w:r>
        <w:rPr>
          <w:highlight w:val="none"/>
        </w:rPr>
        <w:fldChar w:fldCharType="begin"/>
      </w:r>
      <w:r>
        <w:rPr>
          <w:highlight w:val="none"/>
        </w:rPr>
        <w:instrText xml:space="preserve"> HYPERLINK "http://sxggzyjy.xa.gov.cn/" </w:instrText>
      </w:r>
      <w:r>
        <w:rPr>
          <w:highlight w:val="none"/>
        </w:rPr>
        <w:fldChar w:fldCharType="separate"/>
      </w:r>
      <w:r>
        <w:rPr>
          <w:rStyle w:val="40"/>
          <w:rFonts w:hint="eastAsia" w:ascii="宋体" w:hAnsi="宋体" w:eastAsia="宋体" w:cs="宋体"/>
          <w:color w:val="000000" w:themeColor="text1"/>
          <w:sz w:val="28"/>
          <w:szCs w:val="28"/>
          <w:highlight w:val="none"/>
          <w:u w:val="none"/>
          <w14:textFill>
            <w14:solidFill>
              <w14:schemeClr w14:val="tx1"/>
            </w14:solidFill>
          </w14:textFill>
        </w:rPr>
        <w:t>http://sxggzyjy.xa.gov.cn/</w:t>
      </w:r>
      <w:r>
        <w:rPr>
          <w:rStyle w:val="40"/>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5．企业端：指西安市公共资源交易平台〖首页·〉电子交易平台·〉陕西政府采购交易系统·〉企业端〗，快捷登录网址</w:t>
      </w:r>
      <w:r>
        <w:rPr>
          <w:highlight w:val="none"/>
        </w:rPr>
        <w:fldChar w:fldCharType="begin"/>
      </w:r>
      <w:r>
        <w:rPr>
          <w:highlight w:val="none"/>
        </w:rPr>
        <w:instrText xml:space="preserve"> HYPERLINK "http://www.sxggzyjy.cn:9002/TPBidder/memberLogin" </w:instrText>
      </w:r>
      <w:r>
        <w:rPr>
          <w:highlight w:val="none"/>
        </w:rPr>
        <w:fldChar w:fldCharType="separate"/>
      </w:r>
      <w:r>
        <w:rPr>
          <w:rStyle w:val="40"/>
          <w:rFonts w:hint="eastAsia" w:ascii="宋体" w:hAnsi="宋体" w:eastAsia="宋体" w:cs="宋体"/>
          <w:color w:val="000000" w:themeColor="text1"/>
          <w:sz w:val="28"/>
          <w:szCs w:val="28"/>
          <w:highlight w:val="none"/>
          <w:u w:val="none"/>
          <w14:textFill>
            <w14:solidFill>
              <w14:schemeClr w14:val="tx1"/>
            </w14:solidFill>
          </w14:textFill>
        </w:rPr>
        <w:t>http://www.sxggzyjy.cn:9002/TPBidder/memberLogin</w:t>
      </w:r>
      <w:r>
        <w:rPr>
          <w:rStyle w:val="40"/>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p>
    <w:p>
      <w:pPr>
        <w:pStyle w:val="5"/>
        <w:rPr>
          <w:rFonts w:ascii="宋体" w:hAnsi="宋体" w:eastAsia="宋体" w:cs="宋体"/>
          <w:color w:val="000000" w:themeColor="text1"/>
          <w:sz w:val="28"/>
          <w:szCs w:val="28"/>
          <w:highlight w:val="none"/>
          <w14:textFill>
            <w14:solidFill>
              <w14:schemeClr w14:val="tx1"/>
            </w14:solidFill>
          </w14:textFill>
        </w:rPr>
      </w:pPr>
      <w:bookmarkStart w:id="16" w:name="_Toc23322"/>
      <w:r>
        <w:rPr>
          <w:rFonts w:hint="eastAsia" w:ascii="宋体" w:hAnsi="宋体" w:eastAsia="宋体" w:cs="宋体"/>
          <w:color w:val="000000" w:themeColor="text1"/>
          <w:sz w:val="28"/>
          <w:szCs w:val="28"/>
          <w:highlight w:val="none"/>
          <w14:textFill>
            <w14:solidFill>
              <w14:schemeClr w14:val="tx1"/>
            </w14:solidFill>
          </w14:textFill>
        </w:rPr>
        <w:t>二、供应商注意事项</w:t>
      </w:r>
      <w:bookmarkEnd w:id="16"/>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7" w:name="_Toc14756"/>
      <w:bookmarkStart w:id="18" w:name="_Toc8868"/>
      <w:bookmarkStart w:id="19" w:name="_Toc30137"/>
      <w:bookmarkStart w:id="20" w:name="_Toc20407"/>
      <w:r>
        <w:rPr>
          <w:rFonts w:hint="eastAsia" w:ascii="宋体" w:hAnsi="宋体" w:eastAsia="宋体" w:cs="宋体"/>
          <w:color w:val="000000" w:themeColor="text1"/>
          <w:sz w:val="28"/>
          <w:szCs w:val="28"/>
          <w:highlight w:val="none"/>
          <w14:textFill>
            <w14:solidFill>
              <w14:schemeClr w14:val="tx1"/>
            </w14:solidFill>
          </w14:textFill>
        </w:rPr>
        <w:t>（一）供应商投标流程</w:t>
      </w:r>
      <w:bookmarkEnd w:id="17"/>
      <w:bookmarkEnd w:id="18"/>
      <w:bookmarkEnd w:id="19"/>
      <w:bookmarkEnd w:id="20"/>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使用电子交易系统的采购项目（即线上项目），将同时提供WORD\PDF格式（仅用于预览）和SXSZF格式（用于制作电子投标文件）两个版本，文件内容一致。</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1．预览采购文件：打开西安市公共资源交易平台〖首页·〉交易大厅·〉政府采购〗栏目，下载和阅读本项目采购文件的预览版本（WORD\PDF格式）。</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2．办理注册登记（针对初次使用电子交易系统的用户）：</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（1）办理诚信入库注册：在决定参加本项目采购活动后，供应商应先在西安市公共资源交易平台上完成“诚信入库登记”。</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widowControl w:val="0"/>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办理须知：</w:t>
      </w:r>
    </w:p>
    <w:p>
      <w:pPr>
        <w:widowControl w:val="0"/>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http://</w:t>
      </w:r>
      <w:r>
        <w:rPr>
          <w:highlight w:val="none"/>
        </w:rPr>
        <w:fldChar w:fldCharType="begin"/>
      </w:r>
      <w:r>
        <w:rPr>
          <w:highlight w:val="none"/>
        </w:rPr>
        <w:instrText xml:space="preserve"> HYPERLINK "http://www.snca.com.cn/channel/show/27.html" </w:instrText>
      </w:r>
      <w:r>
        <w:rPr>
          <w:highlight w:val="none"/>
        </w:rPr>
        <w:fldChar w:fldCharType="separate"/>
      </w:r>
      <w:r>
        <w:rPr>
          <w:rStyle w:val="40"/>
          <w:rFonts w:hint="eastAsia" w:ascii="宋体" w:hAnsi="宋体" w:eastAsia="宋体" w:cs="宋体"/>
          <w:color w:val="000000" w:themeColor="text1"/>
          <w:sz w:val="28"/>
          <w:szCs w:val="28"/>
          <w:highlight w:val="none"/>
          <w:u w:val="none"/>
          <w14:textFill>
            <w14:solidFill>
              <w14:schemeClr w14:val="tx1"/>
            </w14:solidFill>
          </w14:textFill>
        </w:rPr>
        <w:t>www.snca.com.cn/channel/show/27.html</w:t>
      </w:r>
      <w:r>
        <w:rPr>
          <w:rStyle w:val="40"/>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（3）绑定和激活CA：将数字证书与诚信库中的供应商账户进行绑定。</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560" w:firstLineChars="200"/>
        <w:jc w:val="both"/>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4．制作电子投标文件：需要使用专用制作软件“新点投标文件制作软件（陕西公共资源）”进行编制，编制完成后使用CA锁对电子投标文件进行签章、加密。详见本章中的“投标文件”相关内容。</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5．提交电子投标文件：在提交投标文件截止时间前及时提交加密后电子投标文件，逾期提交的，系统将会拒收。</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8．中标供应商注册：按照陕西省政府采购监管部门的要求，采购代理机构在发布中标公告前，应由中标供应商在陕西省政府采购网上完成注册。</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21" w:name="_Toc5831"/>
      <w:bookmarkStart w:id="22" w:name="_Toc24461"/>
      <w:bookmarkStart w:id="23" w:name="_Toc2759"/>
      <w:bookmarkStart w:id="24" w:name="_Toc6459"/>
      <w:r>
        <w:rPr>
          <w:rFonts w:hint="eastAsia" w:ascii="宋体" w:hAnsi="宋体" w:eastAsia="宋体" w:cs="宋体"/>
          <w:color w:val="000000" w:themeColor="text1"/>
          <w:sz w:val="28"/>
          <w:szCs w:val="28"/>
          <w:highlight w:val="none"/>
          <w14:textFill>
            <w14:solidFill>
              <w14:schemeClr w14:val="tx1"/>
            </w14:solidFill>
          </w14:textFill>
        </w:rPr>
        <w:t>（二）关于询问、质疑和投诉</w:t>
      </w:r>
      <w:bookmarkEnd w:id="21"/>
      <w:bookmarkEnd w:id="22"/>
      <w:bookmarkEnd w:id="23"/>
      <w:bookmarkEnd w:id="24"/>
    </w:p>
    <w:p>
      <w:pPr>
        <w:pStyle w:val="100"/>
        <w:outlineLvl w:val="9"/>
        <w:rPr>
          <w:rFonts w:ascii="宋体" w:hAnsi="宋体" w:eastAsia="宋体" w:cs="宋体"/>
          <w:color w:val="000000" w:themeColor="text1"/>
          <w:sz w:val="28"/>
          <w:szCs w:val="28"/>
          <w:highlight w:val="none"/>
          <w14:textFill>
            <w14:solidFill>
              <w14:schemeClr w14:val="tx1"/>
            </w14:solidFill>
          </w14:textFill>
        </w:rPr>
      </w:pPr>
      <w:bookmarkStart w:id="25" w:name="_Toc15623"/>
      <w:bookmarkStart w:id="26" w:name="_Toc15516"/>
      <w:bookmarkStart w:id="27" w:name="_Toc4510"/>
      <w:r>
        <w:rPr>
          <w:rFonts w:hint="eastAsia" w:ascii="宋体" w:hAnsi="宋体" w:eastAsia="宋体" w:cs="宋体"/>
          <w:color w:val="000000" w:themeColor="text1"/>
          <w:sz w:val="28"/>
          <w:szCs w:val="28"/>
          <w:highlight w:val="none"/>
          <w14:textFill>
            <w14:solidFill>
              <w14:schemeClr w14:val="tx1"/>
            </w14:solidFill>
          </w14:textFill>
        </w:rPr>
        <w:t>1．询问</w:t>
      </w:r>
      <w:bookmarkEnd w:id="25"/>
      <w:bookmarkEnd w:id="26"/>
      <w:bookmarkEnd w:id="27"/>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供应商对政府采购活动事项有疑问的，可以向采购人或采购代理机构提出询问。采购人或采购代理机构将在3个工作日内对供应商依法提出的询问作出答复。</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根据采购人和采购代理机构签订的《政府采购委托代理协议》，针对采购需求（包括采购内容、技术或服务要求、商务要求、合同条款、供应商资格条件、评审要素及分值一览表）的询问请向采购人提出。</w:t>
      </w:r>
    </w:p>
    <w:p>
      <w:pPr>
        <w:pStyle w:val="100"/>
        <w:outlineLvl w:val="9"/>
        <w:rPr>
          <w:rFonts w:ascii="宋体" w:hAnsi="宋体" w:eastAsia="宋体" w:cs="宋体"/>
          <w:color w:val="000000" w:themeColor="text1"/>
          <w:sz w:val="28"/>
          <w:szCs w:val="28"/>
          <w:highlight w:val="none"/>
          <w14:textFill>
            <w14:solidFill>
              <w14:schemeClr w14:val="tx1"/>
            </w14:solidFill>
          </w14:textFill>
        </w:rPr>
      </w:pPr>
      <w:bookmarkStart w:id="28" w:name="_Toc11622"/>
      <w:bookmarkStart w:id="29" w:name="_Toc11611"/>
      <w:bookmarkStart w:id="30" w:name="_Toc31375"/>
      <w:r>
        <w:rPr>
          <w:rFonts w:hint="eastAsia" w:ascii="宋体" w:hAnsi="宋体" w:eastAsia="宋体" w:cs="宋体"/>
          <w:color w:val="000000" w:themeColor="text1"/>
          <w:sz w:val="28"/>
          <w:szCs w:val="28"/>
          <w:highlight w:val="none"/>
          <w14:textFill>
            <w14:solidFill>
              <w14:schemeClr w14:val="tx1"/>
            </w14:solidFill>
          </w14:textFill>
        </w:rPr>
        <w:t>2．质疑</w:t>
      </w:r>
      <w:bookmarkEnd w:id="28"/>
      <w:bookmarkEnd w:id="29"/>
      <w:bookmarkEnd w:id="30"/>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（1）供应商认为采购文件、采购过程、成交结果使自己的权益受到损害的，可以在知道或应知其权益受到损害之日起7个工作日内以书面形式向采购人、采购代理机构提出。</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（2）质疑方式：</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在线质疑：</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登录西安市公共资源交易平台〖首页·〉电子交易平台·〉企业端〗，在〖我的项目〗中点击“项目流程·〉提出质疑”，填写表单并提交质疑。</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书面质疑：</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书面质疑函应按照财政部国库司制定的《政府采购供应商质疑函范本》（见下方链接）进行填写，签字、盖章后提交至采购人、采购代理机构。</w:t>
      </w:r>
    </w:p>
    <w:p>
      <w:pPr>
        <w:spacing w:line="560" w:lineRule="exact"/>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质疑函范本地址：</w:t>
      </w:r>
      <w:r>
        <w:rPr>
          <w:highlight w:val="none"/>
        </w:rPr>
        <w:fldChar w:fldCharType="begin"/>
      </w:r>
      <w:r>
        <w:rPr>
          <w:highlight w:val="none"/>
        </w:rPr>
        <w:instrText xml:space="preserve"> HYPERLINK "http://download.ccgp.gov.cn/2018/zhiyihanfanben.zip" </w:instrText>
      </w:r>
      <w:r>
        <w:rPr>
          <w:highlight w:val="none"/>
        </w:rPr>
        <w:fldChar w:fldCharType="separate"/>
      </w:r>
      <w:r>
        <w:rPr>
          <w:rStyle w:val="40"/>
          <w:rFonts w:hint="eastAsia" w:ascii="宋体" w:hAnsi="宋体" w:eastAsia="宋体" w:cs="宋体"/>
          <w:color w:val="000000" w:themeColor="text1"/>
          <w:sz w:val="28"/>
          <w:szCs w:val="28"/>
          <w:highlight w:val="none"/>
          <w:u w:val="none"/>
          <w14:textFill>
            <w14:solidFill>
              <w14:schemeClr w14:val="tx1"/>
            </w14:solidFill>
          </w14:textFill>
        </w:rPr>
        <w:t>http://download.ccgp.gov.cn/2018/zhiyihanfanben.zip</w:t>
      </w:r>
      <w:r>
        <w:rPr>
          <w:rStyle w:val="40"/>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（5）有下列情形之一的，属于无效质疑：</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对采购文件提出质疑的质疑人不是依法获取采购文件的潜在供应商。对采购过程、中标结果提出质疑的质疑人不是参与本次政府采购项目的供应商。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超过法定期限或未以书面形式提出的。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③ 缺乏必要的证明材料，或捏造事实、提供虚假材料，或以非法手段取得证明材料的。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④ 质疑函没有合法有效的签字、盖章或委托授权书的（代理人提出质疑和投诉，应当提交供应商签署的授权委托书）。</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⑤ 针对同一采购程序环节又提出其他质疑事项的，或质疑答复后就同一事项再次提出质疑的。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⑥ 不符合法律、法规、规章和政府采购监管机构规定的其他条件的。</w:t>
      </w:r>
    </w:p>
    <w:p>
      <w:pPr>
        <w:pStyle w:val="100"/>
        <w:outlineLvl w:val="9"/>
        <w:rPr>
          <w:rFonts w:ascii="宋体" w:hAnsi="宋体" w:eastAsia="宋体" w:cs="宋体"/>
          <w:color w:val="000000" w:themeColor="text1"/>
          <w:sz w:val="28"/>
          <w:szCs w:val="28"/>
          <w:highlight w:val="none"/>
          <w14:textFill>
            <w14:solidFill>
              <w14:schemeClr w14:val="tx1"/>
            </w14:solidFill>
          </w14:textFill>
        </w:rPr>
      </w:pPr>
      <w:bookmarkStart w:id="31" w:name="_Toc19223"/>
      <w:bookmarkStart w:id="32" w:name="_Toc20429"/>
      <w:bookmarkStart w:id="33" w:name="_Toc29985"/>
      <w:r>
        <w:rPr>
          <w:rFonts w:hint="eastAsia" w:ascii="宋体" w:hAnsi="宋体" w:eastAsia="宋体" w:cs="宋体"/>
          <w:color w:val="000000" w:themeColor="text1"/>
          <w:sz w:val="28"/>
          <w:szCs w:val="28"/>
          <w:highlight w:val="none"/>
          <w14:textFill>
            <w14:solidFill>
              <w14:schemeClr w14:val="tx1"/>
            </w14:solidFill>
          </w14:textFill>
        </w:rPr>
        <w:t>3．投诉</w:t>
      </w:r>
      <w:bookmarkEnd w:id="31"/>
      <w:bookmarkEnd w:id="32"/>
      <w:bookmarkEnd w:id="33"/>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（2）供应商投诉的事项不得超出已质疑事项的范围。供应商提出投诉时，应当提交投诉书和必要的证明材料，并按财政部《投诉书范本》给定的格式进行填写。</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投诉书范本地址：</w:t>
      </w:r>
    </w:p>
    <w:p>
      <w:pPr>
        <w:spacing w:line="560" w:lineRule="exact"/>
        <w:ind w:firstLine="480" w:firstLineChars="200"/>
        <w:jc w:val="both"/>
        <w:rPr>
          <w:rFonts w:ascii="宋体" w:hAnsi="宋体" w:eastAsia="宋体" w:cs="宋体"/>
          <w:color w:val="000000" w:themeColor="text1"/>
          <w:sz w:val="28"/>
          <w:szCs w:val="28"/>
          <w:highlight w:val="none"/>
          <w14:textFill>
            <w14:solidFill>
              <w14:schemeClr w14:val="tx1"/>
            </w14:solidFill>
          </w14:textFill>
        </w:rPr>
      </w:pPr>
      <w:r>
        <w:rPr>
          <w:highlight w:val="none"/>
        </w:rPr>
        <w:fldChar w:fldCharType="begin"/>
      </w:r>
      <w:r>
        <w:rPr>
          <w:highlight w:val="none"/>
        </w:rPr>
        <w:instrText xml:space="preserve"> HYPERLINK "http://download.ccgp.gov.cn/2018/tousushufanben.zip" </w:instrText>
      </w:r>
      <w:r>
        <w:rPr>
          <w:highlight w:val="none"/>
        </w:rPr>
        <w:fldChar w:fldCharType="separate"/>
      </w:r>
      <w:r>
        <w:rPr>
          <w:rStyle w:val="40"/>
          <w:rFonts w:hint="eastAsia" w:ascii="宋体" w:hAnsi="宋体" w:eastAsia="宋体" w:cs="宋体"/>
          <w:color w:val="000000" w:themeColor="text1"/>
          <w:sz w:val="28"/>
          <w:szCs w:val="28"/>
          <w:highlight w:val="none"/>
          <w14:textFill>
            <w14:solidFill>
              <w14:schemeClr w14:val="tx1"/>
            </w14:solidFill>
          </w14:textFill>
        </w:rPr>
        <w:t>http://download.ccgp.gov.cn/2018/tousushufanben.zip</w:t>
      </w:r>
      <w:r>
        <w:rPr>
          <w:rStyle w:val="40"/>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0"/>
        <w:outlineLvl w:val="9"/>
        <w:rPr>
          <w:rFonts w:ascii="宋体" w:hAnsi="宋体" w:eastAsia="宋体" w:cs="宋体"/>
          <w:color w:val="000000" w:themeColor="text1"/>
          <w:sz w:val="28"/>
          <w:szCs w:val="28"/>
          <w:highlight w:val="none"/>
          <w14:textFill>
            <w14:solidFill>
              <w14:schemeClr w14:val="tx1"/>
            </w14:solidFill>
          </w14:textFill>
        </w:rPr>
      </w:pPr>
      <w:bookmarkStart w:id="34" w:name="_Toc4027"/>
      <w:bookmarkStart w:id="35" w:name="_Toc7447"/>
      <w:bookmarkStart w:id="36" w:name="_Toc18052"/>
      <w:r>
        <w:rPr>
          <w:rFonts w:hint="eastAsia" w:ascii="宋体" w:hAnsi="宋体" w:eastAsia="宋体" w:cs="宋体"/>
          <w:color w:val="000000" w:themeColor="text1"/>
          <w:sz w:val="28"/>
          <w:szCs w:val="28"/>
          <w:highlight w:val="none"/>
          <w14:textFill>
            <w14:solidFill>
              <w14:schemeClr w14:val="tx1"/>
            </w14:solidFill>
          </w14:textFill>
        </w:rPr>
        <w:t>4．恶意质疑、投诉的法律后果</w:t>
      </w:r>
      <w:bookmarkEnd w:id="34"/>
      <w:bookmarkEnd w:id="35"/>
      <w:bookmarkEnd w:id="36"/>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（1）对捏造事实、提供虚假材料进行质疑、投诉的行为予以严肃处理：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（2）对捏造事实诬告陷害他人、诽谤他人的法律适用：</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《中华人民共和国刑法》第246条【侮辱罪、诽谤罪】以暴力或者其他方法公然侮辱他人或者捏造事实诽谤他人，情节严重的，处三年以下有期徒刑、拘役、管制或者剥夺政治权利。</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37" w:name="_Toc136"/>
      <w:bookmarkStart w:id="38" w:name="_Toc30104"/>
      <w:bookmarkStart w:id="39" w:name="_Toc21499"/>
      <w:bookmarkStart w:id="40" w:name="_Toc27472"/>
      <w:r>
        <w:rPr>
          <w:rFonts w:hint="eastAsia" w:ascii="宋体" w:hAnsi="宋体" w:eastAsia="宋体" w:cs="宋体"/>
          <w:color w:val="000000" w:themeColor="text1"/>
          <w:sz w:val="28"/>
          <w:szCs w:val="28"/>
          <w:highlight w:val="none"/>
          <w14:textFill>
            <w14:solidFill>
              <w14:schemeClr w14:val="tx1"/>
            </w14:solidFill>
          </w14:textFill>
        </w:rPr>
        <w:t>（三）关于保证金</w:t>
      </w:r>
      <w:bookmarkEnd w:id="37"/>
      <w:bookmarkEnd w:id="38"/>
      <w:bookmarkEnd w:id="39"/>
      <w:bookmarkEnd w:id="40"/>
    </w:p>
    <w:p>
      <w:pPr>
        <w:pStyle w:val="100"/>
        <w:outlineLvl w:val="9"/>
        <w:rPr>
          <w:rFonts w:ascii="宋体" w:hAnsi="宋体" w:eastAsia="宋体" w:cs="宋体"/>
          <w:color w:val="000000" w:themeColor="text1"/>
          <w:sz w:val="28"/>
          <w:szCs w:val="28"/>
          <w:highlight w:val="none"/>
          <w14:textFill>
            <w14:solidFill>
              <w14:schemeClr w14:val="tx1"/>
            </w14:solidFill>
          </w14:textFill>
        </w:rPr>
      </w:pPr>
      <w:bookmarkStart w:id="41" w:name="_Toc16559"/>
      <w:bookmarkStart w:id="42" w:name="_Toc6123"/>
      <w:bookmarkStart w:id="43" w:name="_Toc9131"/>
      <w:r>
        <w:rPr>
          <w:rFonts w:hint="eastAsia" w:ascii="宋体" w:hAnsi="宋体" w:eastAsia="宋体" w:cs="宋体"/>
          <w:color w:val="000000" w:themeColor="text1"/>
          <w:sz w:val="28"/>
          <w:szCs w:val="28"/>
          <w:highlight w:val="none"/>
          <w14:textFill>
            <w14:solidFill>
              <w14:schemeClr w14:val="tx1"/>
            </w14:solidFill>
          </w14:textFill>
        </w:rPr>
        <w:t>1．西安市政府采购信用担保及信用融资政策</w:t>
      </w:r>
      <w:bookmarkEnd w:id="41"/>
      <w:bookmarkEnd w:id="42"/>
      <w:bookmarkEnd w:id="43"/>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《实施方案》链接地址：</w:t>
      </w:r>
    </w:p>
    <w:p>
      <w:pPr>
        <w:spacing w:line="560" w:lineRule="exact"/>
        <w:ind w:firstLine="480" w:firstLineChars="200"/>
        <w:jc w:val="both"/>
        <w:rPr>
          <w:rFonts w:ascii="宋体" w:hAnsi="宋体" w:eastAsia="宋体" w:cs="宋体"/>
          <w:color w:val="000000" w:themeColor="text1"/>
          <w:sz w:val="28"/>
          <w:szCs w:val="28"/>
          <w:highlight w:val="none"/>
          <w14:textFill>
            <w14:solidFill>
              <w14:schemeClr w14:val="tx1"/>
            </w14:solidFill>
          </w14:textFill>
        </w:rPr>
      </w:pPr>
      <w:r>
        <w:rPr>
          <w:highlight w:val="none"/>
        </w:rPr>
        <w:fldChar w:fldCharType="begin"/>
      </w:r>
      <w:r>
        <w:rPr>
          <w:highlight w:val="none"/>
        </w:rPr>
        <w:instrText xml:space="preserve"> HYPERLINK "http://xaczj.xa.gov.cn/zfcg/cgfg/5db90552fd850863a9e4594d.html" </w:instrText>
      </w:r>
      <w:r>
        <w:rPr>
          <w:highlight w:val="none"/>
        </w:rPr>
        <w:fldChar w:fldCharType="separate"/>
      </w:r>
      <w:r>
        <w:rPr>
          <w:rStyle w:val="40"/>
          <w:rFonts w:hint="eastAsia" w:ascii="宋体" w:hAnsi="宋体" w:eastAsia="宋体" w:cs="宋体"/>
          <w:color w:val="000000" w:themeColor="text1"/>
          <w:sz w:val="28"/>
          <w:szCs w:val="28"/>
          <w:highlight w:val="none"/>
          <w:u w:val="none"/>
          <w14:textFill>
            <w14:solidFill>
              <w14:schemeClr w14:val="tx1"/>
            </w14:solidFill>
          </w14:textFill>
        </w:rPr>
        <w:t>http://xaczj.xa.gov.cn/zfcg/cgfg/5db90552fd850863a9e4594d.html</w:t>
      </w:r>
      <w:r>
        <w:rPr>
          <w:rStyle w:val="40"/>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《合作机构名单》链接地址：</w:t>
      </w:r>
    </w:p>
    <w:p>
      <w:pPr>
        <w:spacing w:line="560" w:lineRule="exact"/>
        <w:ind w:firstLine="480" w:firstLineChars="200"/>
        <w:jc w:val="both"/>
        <w:rPr>
          <w:rFonts w:ascii="宋体" w:hAnsi="宋体" w:eastAsia="宋体" w:cs="宋体"/>
          <w:color w:val="000000" w:themeColor="text1"/>
          <w:sz w:val="28"/>
          <w:szCs w:val="28"/>
          <w:highlight w:val="none"/>
          <w14:textFill>
            <w14:solidFill>
              <w14:schemeClr w14:val="tx1"/>
            </w14:solidFill>
          </w14:textFill>
        </w:rPr>
      </w:pPr>
      <w:r>
        <w:rPr>
          <w:highlight w:val="none"/>
        </w:rPr>
        <w:fldChar w:fldCharType="begin"/>
      </w:r>
      <w:r>
        <w:rPr>
          <w:highlight w:val="none"/>
        </w:rPr>
        <w:instrText xml:space="preserve"> HYPERLINK "http://xaczj.xa.gov.cn/zfcg/cgfg/5db9054565cbd804f69e97e0.html" </w:instrText>
      </w:r>
      <w:r>
        <w:rPr>
          <w:highlight w:val="none"/>
        </w:rPr>
        <w:fldChar w:fldCharType="separate"/>
      </w:r>
      <w:r>
        <w:rPr>
          <w:rStyle w:val="40"/>
          <w:rFonts w:hint="eastAsia" w:ascii="宋体" w:hAnsi="宋体" w:eastAsia="宋体" w:cs="宋体"/>
          <w:color w:val="000000" w:themeColor="text1"/>
          <w:sz w:val="28"/>
          <w:szCs w:val="28"/>
          <w:highlight w:val="none"/>
          <w:u w:val="none"/>
          <w14:textFill>
            <w14:solidFill>
              <w14:schemeClr w14:val="tx1"/>
            </w14:solidFill>
          </w14:textFill>
        </w:rPr>
        <w:t>http://xaczj.xa.gov.cn/zfcg/cgfg/5db9054565cbd804f69e97e0.html</w:t>
      </w:r>
      <w:r>
        <w:rPr>
          <w:rStyle w:val="40"/>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pStyle w:val="100"/>
        <w:outlineLvl w:val="9"/>
        <w:rPr>
          <w:rFonts w:ascii="宋体" w:hAnsi="宋体" w:eastAsia="宋体" w:cs="宋体"/>
          <w:color w:val="000000" w:themeColor="text1"/>
          <w:sz w:val="28"/>
          <w:szCs w:val="28"/>
          <w:highlight w:val="none"/>
          <w14:textFill>
            <w14:solidFill>
              <w14:schemeClr w14:val="tx1"/>
            </w14:solidFill>
          </w14:textFill>
        </w:rPr>
      </w:pPr>
      <w:bookmarkStart w:id="44" w:name="_Toc911"/>
      <w:bookmarkStart w:id="45" w:name="_Toc629"/>
      <w:bookmarkStart w:id="46" w:name="_Toc20565"/>
      <w:r>
        <w:rPr>
          <w:rFonts w:hint="eastAsia" w:ascii="宋体" w:hAnsi="宋体" w:eastAsia="宋体" w:cs="宋体"/>
          <w:color w:val="000000" w:themeColor="text1"/>
          <w:sz w:val="28"/>
          <w:szCs w:val="28"/>
          <w:highlight w:val="none"/>
          <w14:textFill>
            <w14:solidFill>
              <w14:schemeClr w14:val="tx1"/>
            </w14:solidFill>
          </w14:textFill>
        </w:rPr>
        <w:t>2．投标保证金</w:t>
      </w:r>
      <w:bookmarkEnd w:id="44"/>
      <w:bookmarkEnd w:id="45"/>
      <w:bookmarkEnd w:id="46"/>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按照西安市财政局《关于促进政府采购公平竞争优化营商环境的通知》第三条规定，供应商参与西安市政府采购活动时，免交投标保证金。</w:t>
      </w:r>
    </w:p>
    <w:p>
      <w:pPr>
        <w:pStyle w:val="100"/>
        <w:outlineLvl w:val="9"/>
        <w:rPr>
          <w:rFonts w:ascii="宋体" w:hAnsi="宋体" w:eastAsia="宋体" w:cs="宋体"/>
          <w:color w:val="000000" w:themeColor="text1"/>
          <w:sz w:val="28"/>
          <w:szCs w:val="28"/>
          <w:highlight w:val="none"/>
          <w14:textFill>
            <w14:solidFill>
              <w14:schemeClr w14:val="tx1"/>
            </w14:solidFill>
          </w14:textFill>
        </w:rPr>
      </w:pPr>
      <w:bookmarkStart w:id="47" w:name="_Toc15288"/>
      <w:bookmarkStart w:id="48" w:name="_Toc25849"/>
      <w:bookmarkStart w:id="49" w:name="_Toc22998"/>
      <w:r>
        <w:rPr>
          <w:rFonts w:hint="eastAsia" w:ascii="宋体" w:hAnsi="宋体" w:eastAsia="宋体" w:cs="宋体"/>
          <w:color w:val="000000" w:themeColor="text1"/>
          <w:sz w:val="28"/>
          <w:szCs w:val="28"/>
          <w:highlight w:val="none"/>
          <w14:textFill>
            <w14:solidFill>
              <w14:schemeClr w14:val="tx1"/>
            </w14:solidFill>
          </w14:textFill>
        </w:rPr>
        <w:t>3．履约保证金</w:t>
      </w:r>
      <w:bookmarkEnd w:id="47"/>
      <w:bookmarkEnd w:id="48"/>
      <w:bookmarkEnd w:id="49"/>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无</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50" w:name="_Toc25938"/>
      <w:bookmarkStart w:id="51" w:name="_Toc12900"/>
      <w:bookmarkStart w:id="52" w:name="_Toc1911"/>
      <w:bookmarkStart w:id="53" w:name="_Toc13221"/>
      <w:r>
        <w:rPr>
          <w:rFonts w:hint="eastAsia" w:ascii="宋体" w:hAnsi="宋体" w:eastAsia="宋体" w:cs="宋体"/>
          <w:color w:val="000000" w:themeColor="text1"/>
          <w:sz w:val="28"/>
          <w:szCs w:val="28"/>
          <w:highlight w:val="none"/>
          <w14:textFill>
            <w14:solidFill>
              <w14:schemeClr w14:val="tx1"/>
            </w14:solidFill>
          </w14:textFill>
        </w:rPr>
        <w:t>（四）关于联合体</w:t>
      </w:r>
      <w:bookmarkEnd w:id="50"/>
      <w:bookmarkEnd w:id="51"/>
      <w:bookmarkEnd w:id="52"/>
      <w:bookmarkEnd w:id="53"/>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4．供应商以联合体形式参加政府采购活动时，遵循以下规则：</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③ 采用资格前审的项目，联合体应当在提交资格前审申请文件前组成。资格前审后联合体不得增减、更换成员。</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④ 资格审查阶段，采购人将对所有联合体成员进行信用记录查询，联合体成员存在不良信用记录的，视同联合体存在不良信用记录。</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⑤ 招标文件要求供应商交纳保证金的，可以由联合体中的一方或者多方共同交纳保证金，其交纳的保证金对联合体各方均具有约束力。</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⑥ 招标文件要求供应商提供履约人员和设备情况的，联合体各方均应提供，以说明其作为独立供应商所具有的能有效执行合同的能力和资源。</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⑦ 招标文件要求供应商提供同类或类似项目业绩的，联合体各方符合招标文件要求的同类或类似业绩可以累计，但联合体一方或多方共同参与的同一业绩不重复计算。</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⑨ 对采购项目提出投诉时，应当由组成联合体的所有供应商共同提出。</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（5）联合体出现下列情形之一的，联合体投标无效：</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没有提交有效的联合体协议的。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组成联合体的大中型企业和其他自然人、法人或者其他组织，与小型、微型企业之间存在投资关系的。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③ 联合体协议签订后，联合体成员单独参加或者与其他供应商另外组成联合体参加同一合同项下的政府采购活动的。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④ 资格前审后联合体增减、更换成员的。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⑤ 联合体成员因存在不良信用记录，被拒绝其参与政府采购活动的。</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54" w:name="_Toc3859"/>
      <w:bookmarkStart w:id="55" w:name="_Toc11831"/>
      <w:bookmarkStart w:id="56" w:name="_Toc29747"/>
      <w:bookmarkStart w:id="57" w:name="_Toc5209"/>
      <w:r>
        <w:rPr>
          <w:rFonts w:hint="eastAsia" w:ascii="宋体" w:hAnsi="宋体" w:eastAsia="宋体" w:cs="宋体"/>
          <w:color w:val="000000" w:themeColor="text1"/>
          <w:sz w:val="28"/>
          <w:szCs w:val="28"/>
          <w:highlight w:val="none"/>
          <w14:textFill>
            <w14:solidFill>
              <w14:schemeClr w14:val="tx1"/>
            </w14:solidFill>
          </w14:textFill>
        </w:rPr>
        <w:t>（五）关于进口产品</w:t>
      </w:r>
      <w:bookmarkEnd w:id="54"/>
      <w:bookmarkEnd w:id="55"/>
      <w:bookmarkEnd w:id="56"/>
      <w:bookmarkEnd w:id="57"/>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58" w:name="_Toc15417"/>
      <w:bookmarkStart w:id="59" w:name="_Toc4734"/>
      <w:bookmarkStart w:id="60" w:name="_Toc22855"/>
      <w:bookmarkStart w:id="61" w:name="_Toc1509"/>
      <w:r>
        <w:rPr>
          <w:rFonts w:hint="eastAsia" w:ascii="宋体" w:hAnsi="宋体" w:eastAsia="宋体" w:cs="宋体"/>
          <w:color w:val="000000" w:themeColor="text1"/>
          <w:sz w:val="28"/>
          <w:szCs w:val="28"/>
          <w:highlight w:val="none"/>
          <w14:textFill>
            <w14:solidFill>
              <w14:schemeClr w14:val="tx1"/>
            </w14:solidFill>
          </w14:textFill>
        </w:rPr>
        <w:t>（六）关于政府采购政策</w:t>
      </w:r>
      <w:bookmarkEnd w:id="58"/>
      <w:bookmarkEnd w:id="59"/>
      <w:bookmarkEnd w:id="60"/>
      <w:bookmarkEnd w:id="61"/>
    </w:p>
    <w:p>
      <w:pPr>
        <w:pStyle w:val="100"/>
        <w:outlineLvl w:val="9"/>
        <w:rPr>
          <w:rFonts w:ascii="宋体" w:hAnsi="宋体" w:eastAsia="宋体" w:cs="宋体"/>
          <w:color w:val="000000" w:themeColor="text1"/>
          <w:sz w:val="28"/>
          <w:szCs w:val="28"/>
          <w:highlight w:val="none"/>
          <w14:textFill>
            <w14:solidFill>
              <w14:schemeClr w14:val="tx1"/>
            </w14:solidFill>
          </w14:textFill>
        </w:rPr>
      </w:pPr>
      <w:bookmarkStart w:id="62" w:name="_Toc21485"/>
      <w:bookmarkStart w:id="63" w:name="_Toc6126"/>
      <w:bookmarkStart w:id="64" w:name="_Toc10187"/>
      <w:r>
        <w:rPr>
          <w:rFonts w:hint="eastAsia" w:ascii="宋体" w:hAnsi="宋体" w:eastAsia="宋体" w:cs="宋体"/>
          <w:color w:val="000000" w:themeColor="text1"/>
          <w:sz w:val="28"/>
          <w:szCs w:val="28"/>
          <w:highlight w:val="none"/>
          <w14:textFill>
            <w14:solidFill>
              <w14:schemeClr w14:val="tx1"/>
            </w14:solidFill>
          </w14:textFill>
        </w:rPr>
        <w:t>1．对中小企业、监狱企业、残疾人福利性单位的优惠政策</w:t>
      </w:r>
      <w:bookmarkEnd w:id="62"/>
      <w:bookmarkEnd w:id="63"/>
      <w:bookmarkEnd w:id="64"/>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6%~10%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（2）根据财政部、司法部联合下发的《关于政府采购支持监狱企业发展有关问题的通知》（财库〔2014〕68号）的规定，监狱企业视同小型、微型企业。</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100"/>
        <w:outlineLvl w:val="9"/>
        <w:rPr>
          <w:rFonts w:ascii="宋体" w:hAnsi="宋体" w:eastAsia="宋体" w:cs="宋体"/>
          <w:color w:val="000000" w:themeColor="text1"/>
          <w:sz w:val="28"/>
          <w:szCs w:val="28"/>
          <w:highlight w:val="none"/>
          <w14:textFill>
            <w14:solidFill>
              <w14:schemeClr w14:val="tx1"/>
            </w14:solidFill>
          </w14:textFill>
        </w:rPr>
      </w:pPr>
      <w:bookmarkStart w:id="65" w:name="_Toc8987"/>
      <w:bookmarkStart w:id="66" w:name="_Toc2556"/>
      <w:bookmarkStart w:id="67" w:name="_Toc5394"/>
      <w:r>
        <w:rPr>
          <w:rFonts w:hint="eastAsia" w:ascii="宋体" w:hAnsi="宋体" w:eastAsia="宋体" w:cs="宋体"/>
          <w:color w:val="000000" w:themeColor="text1"/>
          <w:sz w:val="28"/>
          <w:szCs w:val="28"/>
          <w:highlight w:val="none"/>
          <w14:textFill>
            <w14:solidFill>
              <w14:schemeClr w14:val="tx1"/>
            </w14:solidFill>
          </w14:textFill>
        </w:rPr>
        <w:t>2．节能、环保产品采购政策</w:t>
      </w:r>
      <w:bookmarkEnd w:id="65"/>
      <w:bookmarkEnd w:id="66"/>
      <w:bookmarkEnd w:id="67"/>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（3）《节能产品政府采购品目清单》见财政部、发展改革委《关于印发节能产品政府采购品目清单的通知》（财库〔2019〕19号）附件。</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（4）《环境标志产品政府采购品目清单》见财政部、生态环境部《关于印发环境标志产品政府采购品目清单的通知》（财库〔2019〕18号）附件。</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（5）“国家确定的认证机构”名单见市场监管总局《关于发布参与实施政府采购节能产品、环境标志产品认证机构名录的公告》（2019年第16号）。</w:t>
      </w:r>
    </w:p>
    <w:p>
      <w:pPr>
        <w:pStyle w:val="100"/>
        <w:outlineLvl w:val="9"/>
        <w:rPr>
          <w:rFonts w:ascii="宋体" w:hAnsi="宋体" w:eastAsia="宋体" w:cs="宋体"/>
          <w:color w:val="000000" w:themeColor="text1"/>
          <w:sz w:val="28"/>
          <w:szCs w:val="28"/>
          <w:highlight w:val="none"/>
          <w14:textFill>
            <w14:solidFill>
              <w14:schemeClr w14:val="tx1"/>
            </w14:solidFill>
          </w14:textFill>
        </w:rPr>
      </w:pPr>
      <w:bookmarkStart w:id="68" w:name="_Toc18572"/>
      <w:bookmarkStart w:id="69" w:name="_Toc15090"/>
      <w:bookmarkStart w:id="70" w:name="_Toc26083"/>
      <w:r>
        <w:rPr>
          <w:rFonts w:hint="eastAsia" w:ascii="宋体" w:hAnsi="宋体" w:eastAsia="宋体" w:cs="宋体"/>
          <w:color w:val="000000" w:themeColor="text1"/>
          <w:sz w:val="28"/>
          <w:szCs w:val="28"/>
          <w:highlight w:val="none"/>
          <w14:textFill>
            <w14:solidFill>
              <w14:schemeClr w14:val="tx1"/>
            </w14:solidFill>
          </w14:textFill>
        </w:rPr>
        <w:t>3．陕西省中小企业政府采购信用融资办法</w:t>
      </w:r>
      <w:bookmarkEnd w:id="68"/>
      <w:bookmarkEnd w:id="69"/>
      <w:bookmarkEnd w:id="70"/>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链接地址：</w:t>
      </w:r>
      <w:r>
        <w:rPr>
          <w:highlight w:val="none"/>
        </w:rPr>
        <w:fldChar w:fldCharType="begin"/>
      </w:r>
      <w:r>
        <w:rPr>
          <w:highlight w:val="none"/>
        </w:rPr>
        <w:instrText xml:space="preserve"> HYPERLINK "http://www.ccgp-shaanxi.gov.cn/zcdservice/zcd/shanxi/article/zcdt/1390497710741917696" </w:instrText>
      </w:r>
      <w:r>
        <w:rPr>
          <w:highlight w:val="none"/>
        </w:rPr>
        <w:fldChar w:fldCharType="separate"/>
      </w:r>
      <w:r>
        <w:rPr>
          <w:rStyle w:val="40"/>
          <w:rFonts w:hint="eastAsia" w:ascii="宋体" w:hAnsi="宋体" w:eastAsia="宋体" w:cs="宋体"/>
          <w:color w:val="000000" w:themeColor="text1"/>
          <w:sz w:val="28"/>
          <w:szCs w:val="28"/>
          <w:highlight w:val="none"/>
          <w:u w:val="none"/>
          <w14:textFill>
            <w14:solidFill>
              <w14:schemeClr w14:val="tx1"/>
            </w14:solidFill>
          </w14:textFill>
        </w:rPr>
        <w:t>http://www.ccgp-shaanxi.gov.cn/zcdservice/zcd/shanxi/article/zcdt/1390497710741917696</w:t>
      </w:r>
      <w:r>
        <w:rPr>
          <w:rStyle w:val="40"/>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71" w:name="_Toc23131"/>
      <w:bookmarkStart w:id="72" w:name="_Toc21474"/>
      <w:bookmarkStart w:id="73" w:name="_Toc903"/>
      <w:bookmarkStart w:id="74" w:name="_Toc3783"/>
      <w:r>
        <w:rPr>
          <w:rFonts w:hint="eastAsia" w:ascii="宋体" w:hAnsi="宋体" w:eastAsia="宋体" w:cs="宋体"/>
          <w:color w:val="000000" w:themeColor="text1"/>
          <w:sz w:val="28"/>
          <w:szCs w:val="28"/>
          <w:highlight w:val="none"/>
          <w14:textFill>
            <w14:solidFill>
              <w14:schemeClr w14:val="tx1"/>
            </w14:solidFill>
          </w14:textFill>
        </w:rPr>
        <w:t>（七）关于现场踏勘和集中答疑</w:t>
      </w:r>
      <w:bookmarkEnd w:id="71"/>
      <w:bookmarkEnd w:id="72"/>
      <w:bookmarkEnd w:id="73"/>
      <w:bookmarkEnd w:id="74"/>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凡未参加现场踏勘和集中答疑的供应商，由此带来的不利后果由该供应商自行承担。</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75" w:name="_Toc11850"/>
      <w:bookmarkStart w:id="76" w:name="_Toc11425"/>
      <w:bookmarkStart w:id="77" w:name="_Toc21460"/>
      <w:bookmarkStart w:id="78" w:name="_Toc22889"/>
      <w:r>
        <w:rPr>
          <w:rFonts w:hint="eastAsia" w:ascii="宋体" w:hAnsi="宋体" w:eastAsia="宋体" w:cs="宋体"/>
          <w:color w:val="000000" w:themeColor="text1"/>
          <w:sz w:val="28"/>
          <w:szCs w:val="28"/>
          <w:highlight w:val="none"/>
          <w14:textFill>
            <w14:solidFill>
              <w14:schemeClr w14:val="tx1"/>
            </w14:solidFill>
          </w14:textFill>
        </w:rPr>
        <w:t>（八）关于同一品牌产品的处理</w:t>
      </w:r>
      <w:bookmarkEnd w:id="75"/>
      <w:bookmarkEnd w:id="76"/>
      <w:bookmarkEnd w:id="77"/>
      <w:bookmarkEnd w:id="78"/>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政府采购货物和服务招标投标管理办法》相关规定，单一产品采购项目提供相同品牌产品或非单一产品采购项目多家供应商提供的核心产品品牌相同的且通过资格审查、符合性审查的不同供应商参加同一合同项下投标的，按一家供应商计算，评审后得分最高的同品牌供应商获得中标候选人推荐资格。评审得分相同的，由采购人或者采购人委托评标委员会按照报价得分最高的方式确定一个供应商获得中标候选人推荐资格。</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79" w:name="_Toc30039"/>
      <w:bookmarkStart w:id="80" w:name="_Toc21312"/>
      <w:bookmarkStart w:id="81" w:name="_Toc5554"/>
      <w:bookmarkStart w:id="82" w:name="_Toc4702"/>
      <w:r>
        <w:rPr>
          <w:rFonts w:hint="eastAsia" w:ascii="宋体" w:hAnsi="宋体" w:eastAsia="宋体" w:cs="宋体"/>
          <w:color w:val="000000" w:themeColor="text1"/>
          <w:sz w:val="28"/>
          <w:szCs w:val="28"/>
          <w:highlight w:val="none"/>
          <w14:textFill>
            <w14:solidFill>
              <w14:schemeClr w14:val="tx1"/>
            </w14:solidFill>
          </w14:textFill>
        </w:rPr>
        <w:t>（九）关于知识产权和保密事项</w:t>
      </w:r>
      <w:bookmarkEnd w:id="79"/>
      <w:bookmarkEnd w:id="80"/>
      <w:bookmarkEnd w:id="81"/>
      <w:bookmarkEnd w:id="82"/>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83" w:name="_Toc2960"/>
      <w:bookmarkStart w:id="84" w:name="_Toc31993"/>
      <w:bookmarkStart w:id="85" w:name="_Toc27768"/>
      <w:bookmarkStart w:id="86" w:name="_Toc873"/>
      <w:r>
        <w:rPr>
          <w:rFonts w:hint="eastAsia" w:ascii="宋体" w:hAnsi="宋体" w:eastAsia="宋体" w:cs="宋体"/>
          <w:color w:val="000000" w:themeColor="text1"/>
          <w:sz w:val="28"/>
          <w:szCs w:val="28"/>
          <w:highlight w:val="none"/>
          <w14:textFill>
            <w14:solidFill>
              <w14:schemeClr w14:val="tx1"/>
            </w14:solidFill>
          </w14:textFill>
        </w:rPr>
        <w:t>（十）关于信用记录的查询和使用</w:t>
      </w:r>
      <w:bookmarkEnd w:id="83"/>
      <w:bookmarkEnd w:id="84"/>
      <w:bookmarkEnd w:id="85"/>
      <w:bookmarkEnd w:id="86"/>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1．根据财政部《关于在政府采购活动中查询及使用信用记录有关问题的通知》（财库〔2016〕125号）第二条有关要求，采购人将在资格审查阶段通过【信用中国】（</w:t>
      </w:r>
      <w:r>
        <w:rPr>
          <w:highlight w:val="none"/>
        </w:rPr>
        <w:fldChar w:fldCharType="begin"/>
      </w:r>
      <w:r>
        <w:rPr>
          <w:highlight w:val="none"/>
        </w:rPr>
        <w:instrText xml:space="preserve"> HYPERLINK "https://www.creditchina.gov.cn" </w:instrText>
      </w:r>
      <w:r>
        <w:rPr>
          <w:highlight w:val="none"/>
        </w:rPr>
        <w:fldChar w:fldCharType="separate"/>
      </w:r>
      <w:r>
        <w:rPr>
          <w:rStyle w:val="40"/>
          <w:rFonts w:hint="eastAsia" w:ascii="宋体" w:hAnsi="宋体" w:eastAsia="宋体" w:cs="宋体"/>
          <w:color w:val="000000" w:themeColor="text1"/>
          <w:sz w:val="28"/>
          <w:szCs w:val="28"/>
          <w:highlight w:val="none"/>
          <w:u w:val="none"/>
          <w14:textFill>
            <w14:solidFill>
              <w14:schemeClr w14:val="tx1"/>
            </w14:solidFill>
          </w14:textFill>
        </w:rPr>
        <w:t>https://www.creditchina.gov.cn</w:t>
      </w:r>
      <w:r>
        <w:rPr>
          <w:rStyle w:val="40"/>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/）和【中国政府采购网】（</w:t>
      </w:r>
      <w:r>
        <w:rPr>
          <w:highlight w:val="none"/>
        </w:rPr>
        <w:fldChar w:fldCharType="begin"/>
      </w:r>
      <w:r>
        <w:rPr>
          <w:highlight w:val="none"/>
        </w:rPr>
        <w:instrText xml:space="preserve"> HYPERLINK "http://www.ccgp.gov.cn/" </w:instrText>
      </w:r>
      <w:r>
        <w:rPr>
          <w:highlight w:val="none"/>
        </w:rPr>
        <w:fldChar w:fldCharType="separate"/>
      </w:r>
      <w:r>
        <w:rPr>
          <w:rStyle w:val="40"/>
          <w:rFonts w:hint="eastAsia" w:ascii="宋体" w:hAnsi="宋体" w:eastAsia="宋体" w:cs="宋体"/>
          <w:color w:val="000000" w:themeColor="text1"/>
          <w:sz w:val="28"/>
          <w:szCs w:val="28"/>
          <w:highlight w:val="none"/>
          <w:u w:val="none"/>
          <w14:textFill>
            <w14:solidFill>
              <w14:schemeClr w14:val="tx1"/>
            </w14:solidFill>
          </w14:textFill>
        </w:rPr>
        <w:t>http://www.ccgp.gov.cn/）</w:t>
      </w:r>
      <w:r>
        <w:rPr>
          <w:rStyle w:val="40"/>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对供应商的信用情况进行甄别。</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3．供应商在参加政府采购活动前3年内因违法经营被禁止在一定期限内参加政府采购活动，期限届满的，可以参加政府采购活动的，但供应商应提供相关证明材料。</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4．信用记录查询结果打印后，将与其他采购文件一并保存。</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87" w:name="_Toc20950"/>
      <w:bookmarkStart w:id="88" w:name="_Toc7336"/>
      <w:bookmarkStart w:id="89" w:name="_Toc31802"/>
      <w:bookmarkStart w:id="90" w:name="_Toc13558"/>
      <w:r>
        <w:rPr>
          <w:rFonts w:hint="eastAsia" w:ascii="宋体" w:hAnsi="宋体" w:eastAsia="宋体" w:cs="宋体"/>
          <w:color w:val="000000" w:themeColor="text1"/>
          <w:sz w:val="28"/>
          <w:szCs w:val="28"/>
          <w:highlight w:val="none"/>
          <w14:textFill>
            <w14:solidFill>
              <w14:schemeClr w14:val="tx1"/>
            </w14:solidFill>
          </w14:textFill>
        </w:rPr>
        <w:t>（十一）其他重要事项</w:t>
      </w:r>
      <w:bookmarkEnd w:id="87"/>
      <w:bookmarkEnd w:id="88"/>
      <w:bookmarkEnd w:id="89"/>
      <w:bookmarkEnd w:id="90"/>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1．招标文件内所附网络链接仅供参考，不保证其长期有效性。</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2．供应商的投标费用自理。</w:t>
      </w:r>
    </w:p>
    <w:p>
      <w:pP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pStyle w:val="5"/>
        <w:rPr>
          <w:rFonts w:ascii="宋体" w:hAnsi="宋体" w:eastAsia="宋体" w:cs="宋体"/>
          <w:color w:val="000000" w:themeColor="text1"/>
          <w:sz w:val="28"/>
          <w:szCs w:val="28"/>
          <w:highlight w:val="none"/>
          <w14:textFill>
            <w14:solidFill>
              <w14:schemeClr w14:val="tx1"/>
            </w14:solidFill>
          </w14:textFill>
        </w:rPr>
      </w:pPr>
      <w:bookmarkStart w:id="91" w:name="_Toc25094"/>
      <w:r>
        <w:rPr>
          <w:rFonts w:hint="eastAsia" w:ascii="宋体" w:hAnsi="宋体" w:eastAsia="宋体" w:cs="宋体"/>
          <w:color w:val="000000" w:themeColor="text1"/>
          <w:sz w:val="28"/>
          <w:szCs w:val="28"/>
          <w:highlight w:val="none"/>
          <w14:textFill>
            <w14:solidFill>
              <w14:schemeClr w14:val="tx1"/>
            </w14:solidFill>
          </w14:textFill>
        </w:rPr>
        <w:t>三、招标文件</w:t>
      </w:r>
      <w:bookmarkEnd w:id="91"/>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92" w:name="_Toc17994"/>
      <w:bookmarkStart w:id="93" w:name="_Toc25768"/>
      <w:bookmarkStart w:id="94" w:name="_Toc13951"/>
      <w:bookmarkStart w:id="95" w:name="_Toc22177"/>
      <w:r>
        <w:rPr>
          <w:rFonts w:hint="eastAsia" w:ascii="宋体" w:hAnsi="宋体" w:eastAsia="宋体" w:cs="宋体"/>
          <w:color w:val="000000" w:themeColor="text1"/>
          <w:sz w:val="28"/>
          <w:szCs w:val="28"/>
          <w:highlight w:val="none"/>
          <w14:textFill>
            <w14:solidFill>
              <w14:schemeClr w14:val="tx1"/>
            </w14:solidFill>
          </w14:textFill>
        </w:rPr>
        <w:t>（一）招标文件的解释权</w:t>
      </w:r>
      <w:bookmarkEnd w:id="92"/>
      <w:bookmarkEnd w:id="93"/>
      <w:bookmarkEnd w:id="94"/>
      <w:bookmarkEnd w:id="95"/>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本项目招标文件的解释权归采购代理机构，评标委员会成员应根据政府采购法律法规和招标文件所载明的评审方法、标准进行评审。</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96" w:name="_Toc932"/>
      <w:bookmarkStart w:id="97" w:name="_Toc31173"/>
      <w:bookmarkStart w:id="98" w:name="_Toc29738"/>
      <w:bookmarkStart w:id="99" w:name="_Toc27003"/>
      <w:r>
        <w:rPr>
          <w:rFonts w:hint="eastAsia" w:ascii="宋体" w:hAnsi="宋体" w:eastAsia="宋体" w:cs="宋体"/>
          <w:color w:val="000000" w:themeColor="text1"/>
          <w:sz w:val="28"/>
          <w:szCs w:val="28"/>
          <w:highlight w:val="none"/>
          <w14:textFill>
            <w14:solidFill>
              <w14:schemeClr w14:val="tx1"/>
            </w14:solidFill>
          </w14:textFill>
        </w:rPr>
        <w:t>（二）招标文件主要内容</w:t>
      </w:r>
      <w:bookmarkEnd w:id="96"/>
      <w:bookmarkEnd w:id="97"/>
      <w:bookmarkEnd w:id="98"/>
      <w:bookmarkEnd w:id="99"/>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第1章  投标邀请函</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第2章  供应商须知</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第3章  招标内容及要求</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第4章  合同文本</w:t>
      </w:r>
    </w:p>
    <w:p>
      <w:pPr>
        <w:spacing w:line="560" w:lineRule="exact"/>
        <w:ind w:firstLine="560" w:firstLineChars="200"/>
        <w:jc w:val="both"/>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第5章  投标文件构成及格式</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00" w:name="_Toc28534"/>
      <w:bookmarkStart w:id="101" w:name="_Toc29373"/>
      <w:bookmarkStart w:id="102" w:name="_Toc9476"/>
      <w:bookmarkStart w:id="103" w:name="_Toc12003"/>
      <w:r>
        <w:rPr>
          <w:rFonts w:hint="eastAsia" w:ascii="宋体" w:hAnsi="宋体" w:eastAsia="宋体" w:cs="宋体"/>
          <w:color w:val="000000" w:themeColor="text1"/>
          <w:sz w:val="28"/>
          <w:szCs w:val="28"/>
          <w:highlight w:val="none"/>
          <w14:textFill>
            <w14:solidFill>
              <w14:schemeClr w14:val="tx1"/>
            </w14:solidFill>
          </w14:textFill>
        </w:rPr>
        <w:t>（三）招标文件的检查及阅读</w:t>
      </w:r>
      <w:bookmarkEnd w:id="100"/>
      <w:bookmarkEnd w:id="101"/>
      <w:bookmarkEnd w:id="102"/>
      <w:bookmarkEnd w:id="103"/>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供应商应认真阅读和充分理解招标文件中所有的事项、格式条款和规范要求，在投标文件中对招标文件做出全面响应，并按招标文件的要求提交全部资料。</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项目废标后重新组织招标的，采购代理机构将重新编制、发布新版招标文件，供应商应按新版招标文件重新编制投标文件。原招标文件及投标文件失效。</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04" w:name="_Toc22897"/>
      <w:bookmarkStart w:id="105" w:name="_Toc16075"/>
      <w:bookmarkStart w:id="106" w:name="_Toc15105"/>
      <w:bookmarkStart w:id="107" w:name="_Toc6838"/>
      <w:r>
        <w:rPr>
          <w:rFonts w:hint="eastAsia" w:ascii="宋体" w:hAnsi="宋体" w:eastAsia="宋体" w:cs="宋体"/>
          <w:color w:val="000000" w:themeColor="text1"/>
          <w:sz w:val="28"/>
          <w:szCs w:val="28"/>
          <w:highlight w:val="none"/>
          <w14:textFill>
            <w14:solidFill>
              <w14:schemeClr w14:val="tx1"/>
            </w14:solidFill>
          </w14:textFill>
        </w:rPr>
        <w:t>（四）招标文件的修改、澄清</w:t>
      </w:r>
      <w:bookmarkEnd w:id="104"/>
      <w:bookmarkEnd w:id="105"/>
      <w:bookmarkEnd w:id="106"/>
      <w:bookmarkEnd w:id="107"/>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1．提交投标文件截止之日前，采购人或采购代理机构可能对已发出的招标文件进行澄清或者修改，澄清或者修改的内容为招标文件的组成部分。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highlight w:val="none"/>
        </w:rPr>
        <w:fldChar w:fldCharType="begin"/>
      </w:r>
      <w:r>
        <w:rPr>
          <w:highlight w:val="none"/>
        </w:rPr>
        <w:instrText xml:space="preserve"> HYPERLINK "http://www.ccgp-shaanxi.gov.cn" </w:instrText>
      </w:r>
      <w:r>
        <w:rPr>
          <w:highlight w:val="none"/>
        </w:rPr>
        <w:fldChar w:fldCharType="separate"/>
      </w:r>
      <w:r>
        <w:rPr>
          <w:rStyle w:val="40"/>
          <w:rFonts w:hint="eastAsia" w:ascii="宋体" w:hAnsi="宋体" w:eastAsia="宋体" w:cs="宋体"/>
          <w:color w:val="000000" w:themeColor="text1"/>
          <w:sz w:val="28"/>
          <w:szCs w:val="28"/>
          <w:highlight w:val="none"/>
          <w:u w:val="none"/>
          <w14:textFill>
            <w14:solidFill>
              <w14:schemeClr w14:val="tx1"/>
            </w14:solidFill>
          </w14:textFill>
        </w:rPr>
        <w:t>陕西省政府采购网</w:t>
      </w:r>
      <w:r>
        <w:rPr>
          <w:rStyle w:val="40"/>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r>
        <w:rPr>
          <w:highlight w:val="none"/>
        </w:rPr>
        <w:fldChar w:fldCharType="begin"/>
      </w:r>
      <w:r>
        <w:rPr>
          <w:highlight w:val="none"/>
        </w:rPr>
        <w:instrText xml:space="preserve"> HYPERLINK "http://www.ccgp-shaanxi.gov.cn/" </w:instrText>
      </w:r>
      <w:r>
        <w:rPr>
          <w:highlight w:val="none"/>
        </w:rPr>
        <w:fldChar w:fldCharType="separate"/>
      </w:r>
      <w:r>
        <w:rPr>
          <w:rStyle w:val="40"/>
          <w:rFonts w:hint="eastAsia" w:ascii="宋体" w:hAnsi="宋体" w:eastAsia="宋体" w:cs="宋体"/>
          <w:color w:val="000000" w:themeColor="text1"/>
          <w:sz w:val="28"/>
          <w:szCs w:val="28"/>
          <w:highlight w:val="none"/>
          <w:u w:val="none"/>
          <w14:textFill>
            <w14:solidFill>
              <w14:schemeClr w14:val="tx1"/>
            </w14:solidFill>
          </w14:textFill>
        </w:rPr>
        <w:t>http://www.ccgp-shaanxi.gov.cn/</w:t>
      </w:r>
      <w:r>
        <w:rPr>
          <w:rStyle w:val="40"/>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）中的〖首页·〉信息公告·〉市级·〉西安市〗。</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highlight w:val="none"/>
        </w:rPr>
        <w:fldChar w:fldCharType="begin"/>
      </w:r>
      <w:r>
        <w:rPr>
          <w:highlight w:val="none"/>
        </w:rPr>
        <w:instrText xml:space="preserve"> HYPERLINK "http://xa.sxggzyjy.cn/" </w:instrText>
      </w:r>
      <w:r>
        <w:rPr>
          <w:highlight w:val="none"/>
        </w:rPr>
        <w:fldChar w:fldCharType="separate"/>
      </w:r>
      <w:r>
        <w:rPr>
          <w:rStyle w:val="40"/>
          <w:rFonts w:hint="eastAsia" w:ascii="宋体" w:hAnsi="宋体" w:eastAsia="宋体" w:cs="宋体"/>
          <w:color w:val="000000" w:themeColor="text1"/>
          <w:sz w:val="28"/>
          <w:szCs w:val="28"/>
          <w:highlight w:val="none"/>
          <w:u w:val="none"/>
          <w14:textFill>
            <w14:solidFill>
              <w14:schemeClr w14:val="tx1"/>
            </w14:solidFill>
          </w14:textFill>
        </w:rPr>
        <w:t>全国公共资源交易网（陕西省·西安市）</w:t>
      </w:r>
      <w:r>
        <w:rPr>
          <w:rStyle w:val="40"/>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r>
        <w:rPr>
          <w:highlight w:val="none"/>
        </w:rPr>
        <w:fldChar w:fldCharType="begin"/>
      </w:r>
      <w:r>
        <w:rPr>
          <w:highlight w:val="none"/>
        </w:rPr>
        <w:instrText xml:space="preserve"> HYPERLINK "http://sxggzyjy.xa.gov.cn/" </w:instrText>
      </w:r>
      <w:r>
        <w:rPr>
          <w:highlight w:val="none"/>
        </w:rPr>
        <w:fldChar w:fldCharType="separate"/>
      </w:r>
      <w:r>
        <w:rPr>
          <w:rStyle w:val="40"/>
          <w:rFonts w:hint="eastAsia" w:ascii="宋体" w:hAnsi="宋体" w:eastAsia="宋体" w:cs="宋体"/>
          <w:color w:val="000000" w:themeColor="text1"/>
          <w:sz w:val="28"/>
          <w:szCs w:val="28"/>
          <w:highlight w:val="none"/>
          <w:u w:val="none"/>
          <w14:textFill>
            <w14:solidFill>
              <w14:schemeClr w14:val="tx1"/>
            </w14:solidFill>
          </w14:textFill>
        </w:rPr>
        <w:t>http://sxggzyjy.xa.gov.cn/</w:t>
      </w:r>
      <w:r>
        <w:rPr>
          <w:rStyle w:val="40"/>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）中的〖首页·〉交易大厅·〉政府采购〗。</w:t>
      </w:r>
    </w:p>
    <w:p>
      <w:pPr>
        <w:pStyle w:val="5"/>
        <w:rPr>
          <w:rFonts w:ascii="宋体" w:hAnsi="宋体" w:eastAsia="宋体" w:cs="宋体"/>
          <w:color w:val="000000" w:themeColor="text1"/>
          <w:sz w:val="28"/>
          <w:szCs w:val="28"/>
          <w:highlight w:val="none"/>
          <w14:textFill>
            <w14:solidFill>
              <w14:schemeClr w14:val="tx1"/>
            </w14:solidFill>
          </w14:textFill>
        </w:rPr>
      </w:pPr>
      <w:bookmarkStart w:id="108" w:name="_Toc23967"/>
      <w:r>
        <w:rPr>
          <w:rFonts w:hint="eastAsia" w:ascii="宋体" w:hAnsi="宋体" w:eastAsia="宋体" w:cs="宋体"/>
          <w:color w:val="000000" w:themeColor="text1"/>
          <w:sz w:val="28"/>
          <w:szCs w:val="28"/>
          <w:highlight w:val="none"/>
          <w14:textFill>
            <w14:solidFill>
              <w14:schemeClr w14:val="tx1"/>
            </w14:solidFill>
          </w14:textFill>
        </w:rPr>
        <w:t>四、投标文件</w:t>
      </w:r>
      <w:bookmarkEnd w:id="108"/>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09" w:name="_Toc7988"/>
      <w:bookmarkStart w:id="110" w:name="_Toc32648"/>
      <w:bookmarkStart w:id="111" w:name="_Toc27491"/>
      <w:bookmarkStart w:id="112" w:name="_Toc26487"/>
      <w:r>
        <w:rPr>
          <w:rFonts w:hint="eastAsia" w:ascii="宋体" w:hAnsi="宋体" w:eastAsia="宋体" w:cs="宋体"/>
          <w:color w:val="000000" w:themeColor="text1"/>
          <w:sz w:val="28"/>
          <w:szCs w:val="28"/>
          <w:highlight w:val="none"/>
          <w14:textFill>
            <w14:solidFill>
              <w14:schemeClr w14:val="tx1"/>
            </w14:solidFill>
          </w14:textFill>
        </w:rPr>
        <w:t>（一）投标文件的式样</w:t>
      </w:r>
      <w:bookmarkEnd w:id="109"/>
      <w:bookmarkEnd w:id="110"/>
      <w:bookmarkEnd w:id="111"/>
      <w:bookmarkEnd w:id="112"/>
    </w:p>
    <w:p>
      <w:pPr>
        <w:pStyle w:val="100"/>
        <w:outlineLvl w:val="9"/>
        <w:rPr>
          <w:rFonts w:ascii="宋体" w:hAnsi="宋体" w:eastAsia="宋体" w:cs="宋体"/>
          <w:color w:val="000000" w:themeColor="text1"/>
          <w:sz w:val="28"/>
          <w:szCs w:val="28"/>
          <w:highlight w:val="none"/>
          <w14:textFill>
            <w14:solidFill>
              <w14:schemeClr w14:val="tx1"/>
            </w14:solidFill>
          </w14:textFill>
        </w:rPr>
      </w:pPr>
      <w:bookmarkStart w:id="113" w:name="_Toc10324"/>
      <w:bookmarkStart w:id="114" w:name="_Toc4380"/>
      <w:bookmarkStart w:id="115" w:name="_Toc7870"/>
      <w:r>
        <w:rPr>
          <w:rFonts w:hint="eastAsia" w:ascii="宋体" w:hAnsi="宋体" w:eastAsia="宋体" w:cs="宋体"/>
          <w:color w:val="000000" w:themeColor="text1"/>
          <w:sz w:val="28"/>
          <w:szCs w:val="28"/>
          <w:highlight w:val="none"/>
          <w14:textFill>
            <w14:solidFill>
              <w14:schemeClr w14:val="tx1"/>
            </w14:solidFill>
          </w14:textFill>
        </w:rPr>
        <w:t>1．组成及格式</w:t>
      </w:r>
      <w:bookmarkEnd w:id="113"/>
      <w:bookmarkEnd w:id="114"/>
      <w:bookmarkEnd w:id="115"/>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供应商依照招标文件第五章《投标文件构成及格式》给定形式进行编制投标文件。</w:t>
      </w:r>
    </w:p>
    <w:p>
      <w:pPr>
        <w:pStyle w:val="100"/>
        <w:outlineLvl w:val="9"/>
        <w:rPr>
          <w:rFonts w:ascii="宋体" w:hAnsi="宋体" w:eastAsia="宋体" w:cs="宋体"/>
          <w:color w:val="000000" w:themeColor="text1"/>
          <w:sz w:val="28"/>
          <w:szCs w:val="28"/>
          <w:highlight w:val="none"/>
          <w14:textFill>
            <w14:solidFill>
              <w14:schemeClr w14:val="tx1"/>
            </w14:solidFill>
          </w14:textFill>
        </w:rPr>
      </w:pPr>
      <w:bookmarkStart w:id="116" w:name="_Toc6421"/>
      <w:bookmarkStart w:id="117" w:name="_Toc2969"/>
      <w:bookmarkStart w:id="118" w:name="_Toc7406"/>
      <w:r>
        <w:rPr>
          <w:rFonts w:hint="eastAsia" w:ascii="宋体" w:hAnsi="宋体" w:eastAsia="宋体" w:cs="宋体"/>
          <w:color w:val="000000" w:themeColor="text1"/>
          <w:sz w:val="28"/>
          <w:szCs w:val="28"/>
          <w:highlight w:val="none"/>
          <w14:textFill>
            <w14:solidFill>
              <w14:schemeClr w14:val="tx1"/>
            </w14:solidFill>
          </w14:textFill>
        </w:rPr>
        <w:t>2．语言</w:t>
      </w:r>
      <w:bookmarkEnd w:id="116"/>
      <w:bookmarkEnd w:id="117"/>
      <w:bookmarkEnd w:id="118"/>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招标活动的所有文件、资料、函电文字均使用简体中文，确需提交用其他语言形成的资料，必须翻译成简体中文，如有差异，以简体中文为准。</w:t>
      </w:r>
    </w:p>
    <w:p>
      <w:pPr>
        <w:pStyle w:val="100"/>
        <w:outlineLvl w:val="9"/>
        <w:rPr>
          <w:rFonts w:ascii="宋体" w:hAnsi="宋体" w:eastAsia="宋体" w:cs="宋体"/>
          <w:color w:val="000000" w:themeColor="text1"/>
          <w:sz w:val="28"/>
          <w:szCs w:val="28"/>
          <w:highlight w:val="none"/>
          <w14:textFill>
            <w14:solidFill>
              <w14:schemeClr w14:val="tx1"/>
            </w14:solidFill>
          </w14:textFill>
        </w:rPr>
      </w:pPr>
      <w:bookmarkStart w:id="119" w:name="_Toc3202"/>
      <w:bookmarkStart w:id="120" w:name="_Toc5789"/>
      <w:bookmarkStart w:id="121" w:name="_Toc9006"/>
      <w:r>
        <w:rPr>
          <w:rFonts w:hint="eastAsia" w:ascii="宋体" w:hAnsi="宋体" w:eastAsia="宋体" w:cs="宋体"/>
          <w:color w:val="000000" w:themeColor="text1"/>
          <w:sz w:val="28"/>
          <w:szCs w:val="28"/>
          <w:highlight w:val="none"/>
          <w14:textFill>
            <w14:solidFill>
              <w14:schemeClr w14:val="tx1"/>
            </w14:solidFill>
          </w14:textFill>
        </w:rPr>
        <w:t>3．计量单位</w:t>
      </w:r>
      <w:bookmarkEnd w:id="119"/>
      <w:bookmarkEnd w:id="120"/>
      <w:bookmarkEnd w:id="121"/>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投标文件的计量单位应使用中华人民共和国法定计量单位，但招标文件另有规定的除外。</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22" w:name="_Toc32395"/>
      <w:bookmarkStart w:id="123" w:name="_Toc29110"/>
      <w:bookmarkStart w:id="124" w:name="_Toc19653"/>
      <w:bookmarkStart w:id="125" w:name="_Toc13964"/>
      <w:r>
        <w:rPr>
          <w:rFonts w:hint="eastAsia" w:ascii="宋体" w:hAnsi="宋体" w:eastAsia="宋体" w:cs="宋体"/>
          <w:color w:val="000000" w:themeColor="text1"/>
          <w:sz w:val="28"/>
          <w:szCs w:val="28"/>
          <w:highlight w:val="none"/>
          <w14:textFill>
            <w14:solidFill>
              <w14:schemeClr w14:val="tx1"/>
            </w14:solidFill>
          </w14:textFill>
        </w:rPr>
        <w:t>（二）投标文件的有效期</w:t>
      </w:r>
      <w:bookmarkEnd w:id="122"/>
      <w:bookmarkEnd w:id="123"/>
      <w:bookmarkEnd w:id="124"/>
      <w:bookmarkEnd w:id="125"/>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投标文件有效期为自开标之日起不少于90个日历日。如中标，延长至合同执行完毕时止。</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26" w:name="_Toc24036"/>
      <w:bookmarkStart w:id="127" w:name="_Toc931"/>
      <w:bookmarkStart w:id="128" w:name="_Toc10386"/>
      <w:bookmarkStart w:id="129" w:name="_Toc24676"/>
      <w:r>
        <w:rPr>
          <w:rFonts w:hint="eastAsia" w:ascii="宋体" w:hAnsi="宋体" w:eastAsia="宋体" w:cs="宋体"/>
          <w:color w:val="000000" w:themeColor="text1"/>
          <w:sz w:val="28"/>
          <w:szCs w:val="28"/>
          <w:highlight w:val="none"/>
          <w14:textFill>
            <w14:solidFill>
              <w14:schemeClr w14:val="tx1"/>
            </w14:solidFill>
          </w14:textFill>
        </w:rPr>
        <w:t>（三）投标报价</w:t>
      </w:r>
      <w:bookmarkEnd w:id="126"/>
      <w:bookmarkEnd w:id="127"/>
      <w:bookmarkEnd w:id="128"/>
      <w:bookmarkEnd w:id="129"/>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投标报价是供应商响应采购项目要求的全部工作内容的价格体现，包括完成采购内容所需的安装费、运输费、人工费、材料费、机械费、利润、税金及评审过程中其它相关的一切费用。</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1．供应商在报价时应充分考虑所有可能发生的费用，招标文件未列明，而供应商认为应当计取的费用均应列入报价中。报价时不论是否计取，采购人均按已计取对待。</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3．投标报价货币：人民币。单位：元。</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4．投标文件报价出现前后不一致的，除招标文件另有规定外，按照下列规则修正：</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（1）投标文件中开标一览表内容与投标文件中其他位置相应内容表述不一致的，以开标一览表为准。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（2）大写金额和小写金额不一致的，以大写金额为准。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（3）单价金额小数点或者百分比有明显错位的，以开标一览表的总价为准，并修改单价。</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（4）总价金额与按单价汇总金额不一致的，以单价金额计算结果为准。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同时出现两种以上不一致的，按照前款规定的顺序修正。修正后的报价经供应商确认后产生约束力，供应商不确认的，其投标无效。</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5．因供应商对招标文件理解不透、误解、疏漏或对市场行情了解不清造成的后果和风险，均由供应商自己负责。</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30" w:name="_Toc19004"/>
      <w:bookmarkStart w:id="131" w:name="_Toc29068"/>
      <w:bookmarkStart w:id="132" w:name="_Toc3121"/>
      <w:bookmarkStart w:id="133" w:name="_Toc20169"/>
      <w:r>
        <w:rPr>
          <w:rFonts w:hint="eastAsia" w:ascii="宋体" w:hAnsi="宋体" w:eastAsia="宋体" w:cs="宋体"/>
          <w:color w:val="000000" w:themeColor="text1"/>
          <w:sz w:val="28"/>
          <w:szCs w:val="28"/>
          <w:highlight w:val="none"/>
          <w14:textFill>
            <w14:solidFill>
              <w14:schemeClr w14:val="tx1"/>
            </w14:solidFill>
          </w14:textFill>
        </w:rPr>
        <w:t>（四）投标文件的制作和签章</w:t>
      </w:r>
      <w:bookmarkEnd w:id="130"/>
      <w:bookmarkEnd w:id="131"/>
      <w:bookmarkEnd w:id="132"/>
      <w:bookmarkEnd w:id="133"/>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链接地址：</w:t>
      </w:r>
    </w:p>
    <w:p>
      <w:pPr>
        <w:spacing w:line="560" w:lineRule="exact"/>
        <w:ind w:firstLine="480" w:firstLineChars="200"/>
        <w:jc w:val="both"/>
        <w:rPr>
          <w:rFonts w:ascii="宋体" w:hAnsi="宋体" w:eastAsia="宋体" w:cs="宋体"/>
          <w:color w:val="000000" w:themeColor="text1"/>
          <w:sz w:val="28"/>
          <w:szCs w:val="28"/>
          <w:highlight w:val="none"/>
          <w14:textFill>
            <w14:solidFill>
              <w14:schemeClr w14:val="tx1"/>
            </w14:solidFill>
          </w14:textFill>
        </w:rPr>
      </w:pPr>
      <w:r>
        <w:rPr>
          <w:highlight w:val="none"/>
        </w:rPr>
        <w:fldChar w:fldCharType="begin"/>
      </w:r>
      <w:r>
        <w:rPr>
          <w:highlight w:val="none"/>
        </w:rPr>
        <w:instrText xml:space="preserve"> HYPERLINK "http://sxggzyjy.xa.gov.cn/fwzn/004003/20181115/4d59c184-e8f6-4d5a-a416-c2f6b0601e66.html" </w:instrText>
      </w:r>
      <w:r>
        <w:rPr>
          <w:highlight w:val="none"/>
        </w:rPr>
        <w:fldChar w:fldCharType="separate"/>
      </w:r>
      <w:r>
        <w:rPr>
          <w:rStyle w:val="40"/>
          <w:rFonts w:hint="eastAsia" w:ascii="宋体" w:hAnsi="宋体" w:eastAsia="宋体" w:cs="宋体"/>
          <w:color w:val="000000" w:themeColor="text1"/>
          <w:sz w:val="28"/>
          <w:szCs w:val="28"/>
          <w:highlight w:val="none"/>
          <w14:textFill>
            <w14:solidFill>
              <w14:schemeClr w14:val="tx1"/>
            </w14:solidFill>
          </w14:textFill>
        </w:rPr>
        <w:t>http://sxggzyjy.xa.gov.cn/fwzn/004003/20181115/4d59c184-e8f6-4d5a-a416-c2f6b0601e66.html</w:t>
      </w:r>
      <w:r>
        <w:rPr>
          <w:rStyle w:val="40"/>
          <w:rFonts w:hint="eastAsia" w:ascii="宋体" w:hAnsi="宋体" w:eastAsia="宋体" w:cs="宋体"/>
          <w:color w:val="000000" w:themeColor="text1"/>
          <w:sz w:val="28"/>
          <w:szCs w:val="28"/>
          <w:highlight w:val="none"/>
          <w14:textFill>
            <w14:solidFill>
              <w14:schemeClr w14:val="tx1"/>
            </w14:solidFill>
          </w14:textFill>
        </w:rPr>
        <w:fldChar w:fldCharType="end"/>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3．电子投标文件制作过程中，需要法定代表人签字或盖章的地方，请使用“法人CA锁”进行签章。需要加盖供应商公章的地方，请使用“企业CA锁”进行签章。</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34" w:name="_Toc809"/>
      <w:bookmarkStart w:id="135" w:name="_Toc3908"/>
      <w:bookmarkStart w:id="136" w:name="_Toc19771"/>
      <w:bookmarkStart w:id="137" w:name="_Toc16688"/>
      <w:r>
        <w:rPr>
          <w:rFonts w:hint="eastAsia" w:ascii="宋体" w:hAnsi="宋体" w:eastAsia="宋体" w:cs="宋体"/>
          <w:color w:val="000000" w:themeColor="text1"/>
          <w:sz w:val="28"/>
          <w:szCs w:val="28"/>
          <w:highlight w:val="none"/>
          <w14:textFill>
            <w14:solidFill>
              <w14:schemeClr w14:val="tx1"/>
            </w14:solidFill>
          </w14:textFill>
        </w:rPr>
        <w:t>（五）投标文件的加密和提交</w:t>
      </w:r>
      <w:bookmarkEnd w:id="134"/>
      <w:bookmarkEnd w:id="135"/>
      <w:bookmarkEnd w:id="136"/>
      <w:bookmarkEnd w:id="137"/>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1．在生成电子投标文件时，需要使用CA锁对投标文件进行加密。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注意：加密投标文件和开标时解密投标文件应当使用同一CA，否则将会导致解密失败。</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3．上传文件有误或需要重新提交的，可先撤销已经上传的文件，然后重新上传新文件。</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38" w:name="_Toc9823"/>
      <w:bookmarkStart w:id="139" w:name="_Toc1286"/>
      <w:bookmarkStart w:id="140" w:name="_Toc15229"/>
      <w:bookmarkStart w:id="141" w:name="_Toc10498"/>
      <w:r>
        <w:rPr>
          <w:rFonts w:hint="eastAsia" w:ascii="宋体" w:hAnsi="宋体" w:eastAsia="宋体" w:cs="宋体"/>
          <w:color w:val="000000" w:themeColor="text1"/>
          <w:sz w:val="28"/>
          <w:szCs w:val="28"/>
          <w:highlight w:val="none"/>
          <w14:textFill>
            <w14:solidFill>
              <w14:schemeClr w14:val="tx1"/>
            </w14:solidFill>
          </w14:textFill>
        </w:rPr>
        <w:t>（六）投标文件的补充、修改和撤回</w:t>
      </w:r>
      <w:bookmarkEnd w:id="138"/>
      <w:bookmarkEnd w:id="139"/>
      <w:bookmarkEnd w:id="140"/>
      <w:bookmarkEnd w:id="141"/>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2．供应商在提交投标文件截止时间后，撤回投标文件的，投标保证金不予退还。</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42" w:name="_Toc9753"/>
      <w:bookmarkStart w:id="143" w:name="_Toc18903"/>
      <w:bookmarkStart w:id="144" w:name="_Toc23655"/>
      <w:bookmarkStart w:id="145" w:name="_Toc8326"/>
      <w:r>
        <w:rPr>
          <w:rFonts w:hint="eastAsia" w:ascii="宋体" w:hAnsi="宋体" w:eastAsia="宋体" w:cs="宋体"/>
          <w:color w:val="000000" w:themeColor="text1"/>
          <w:sz w:val="28"/>
          <w:szCs w:val="28"/>
          <w:highlight w:val="none"/>
          <w14:textFill>
            <w14:solidFill>
              <w14:schemeClr w14:val="tx1"/>
            </w14:solidFill>
          </w14:textFill>
        </w:rPr>
        <w:t>（七）关于投标文件的雷同性分析</w:t>
      </w:r>
      <w:bookmarkEnd w:id="142"/>
      <w:bookmarkEnd w:id="143"/>
      <w:bookmarkEnd w:id="144"/>
      <w:bookmarkEnd w:id="145"/>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若“文件创建标识码”一致，则表示不同投标供应商使用投标文件制作软件时，使用同一源工程文件，该情形建议由评标委员会结合项目情况综合判定。</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46" w:name="_Toc22062"/>
      <w:bookmarkStart w:id="147" w:name="_Toc9954"/>
      <w:bookmarkStart w:id="148" w:name="_Toc26136"/>
      <w:bookmarkStart w:id="149" w:name="_Toc32375"/>
      <w:r>
        <w:rPr>
          <w:rFonts w:hint="eastAsia" w:ascii="宋体" w:hAnsi="宋体" w:eastAsia="宋体" w:cs="宋体"/>
          <w:color w:val="000000" w:themeColor="text1"/>
          <w:sz w:val="28"/>
          <w:szCs w:val="28"/>
          <w:highlight w:val="none"/>
          <w14:textFill>
            <w14:solidFill>
              <w14:schemeClr w14:val="tx1"/>
            </w14:solidFill>
          </w14:textFill>
        </w:rPr>
        <w:t>（八）投标文件被拒绝接收的情形</w:t>
      </w:r>
      <w:bookmarkEnd w:id="146"/>
      <w:bookmarkEnd w:id="147"/>
      <w:bookmarkEnd w:id="148"/>
      <w:bookmarkEnd w:id="149"/>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1．误投的或采用旧版电子招标文件制作的。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2．逾期提交电子投标文件的。</w:t>
      </w:r>
    </w:p>
    <w:p>
      <w:pPr>
        <w:pStyle w:val="5"/>
        <w:rPr>
          <w:rFonts w:ascii="宋体" w:hAnsi="宋体" w:eastAsia="宋体" w:cs="宋体"/>
          <w:color w:val="000000" w:themeColor="text1"/>
          <w:sz w:val="28"/>
          <w:szCs w:val="28"/>
          <w:highlight w:val="none"/>
          <w14:textFill>
            <w14:solidFill>
              <w14:schemeClr w14:val="tx1"/>
            </w14:solidFill>
          </w14:textFill>
        </w:rPr>
      </w:pPr>
      <w:bookmarkStart w:id="150" w:name="_Toc27231"/>
      <w:r>
        <w:rPr>
          <w:rFonts w:hint="eastAsia" w:ascii="宋体" w:hAnsi="宋体" w:eastAsia="宋体" w:cs="宋体"/>
          <w:color w:val="000000" w:themeColor="text1"/>
          <w:sz w:val="28"/>
          <w:szCs w:val="28"/>
          <w:highlight w:val="none"/>
          <w14:textFill>
            <w14:solidFill>
              <w14:schemeClr w14:val="tx1"/>
            </w14:solidFill>
          </w14:textFill>
        </w:rPr>
        <w:t>五、开标程序</w:t>
      </w:r>
      <w:bookmarkEnd w:id="150"/>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开标工作由采购代理机构组织实施，整个过程受同级政府采购监管机构的监督、管理。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“不见面开标”是依托政府采购云平台实现的供应商在线参与开标的一种组织形式。供应商无需抵达开标现场，即可在线实现开标、解密、澄清等操作。</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1．供应商登录：开标前，请各供应商至少提前半小时登录西安市公共资源交易平台〖首页·〉不见面开标〗系统。</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2．主持人宣布开标：提交投标文件截止时间过后，系统将不再接收任何投标文件。</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4．唱标：对于公开招标项目，“不见面开标”系统将自动展示供应商名单及其投标报价。</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5．开标结束：进入评审环节。供应商请保持在线，评审期间评标委员会可能会要求供应商做相应的澄清。因供应商擅自离席造成的不利后果，由供应商自行承担。</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“不见面开标”系统操作说明：详见西安市公共资源交易平台〖首页·〉服务指南·〉下载专区〗中的《西安公共资源交易不见面开标大厅供应商操作手册》。</w:t>
      </w:r>
    </w:p>
    <w:p>
      <w:pPr>
        <w:spacing w:line="560" w:lineRule="exact"/>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链接地址：</w:t>
      </w:r>
      <w:r>
        <w:rPr>
          <w:highlight w:val="none"/>
        </w:rPr>
        <w:fldChar w:fldCharType="begin"/>
      </w:r>
      <w:r>
        <w:rPr>
          <w:highlight w:val="none"/>
        </w:rPr>
        <w:instrText xml:space="preserve"> HYPERLINK "http://sxggzyjy.xa.gov.cn/fwzn/004003/20200426/bc8b2c1e-abe2-4168-913c-68ff93345faf.html" </w:instrText>
      </w:r>
      <w:r>
        <w:rPr>
          <w:highlight w:val="none"/>
        </w:rPr>
        <w:fldChar w:fldCharType="separate"/>
      </w:r>
      <w:r>
        <w:rPr>
          <w:rStyle w:val="40"/>
          <w:rFonts w:hint="eastAsia" w:ascii="宋体" w:hAnsi="宋体" w:eastAsia="宋体" w:cs="宋体"/>
          <w:color w:val="000000" w:themeColor="text1"/>
          <w:sz w:val="28"/>
          <w:szCs w:val="28"/>
          <w:highlight w:val="none"/>
          <w:u w:val="none"/>
          <w14:textFill>
            <w14:solidFill>
              <w14:schemeClr w14:val="tx1"/>
            </w14:solidFill>
          </w14:textFill>
        </w:rPr>
        <w:t>http://sxggzyjy.xa.gov.cn/fwzn/004003/20200426/bc8b2c1e-abe2-4168-913c-68ff93345faf.html</w:t>
      </w:r>
      <w:r>
        <w:rPr>
          <w:rStyle w:val="40"/>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51" w:name="_Toc10446"/>
      <w:bookmarkStart w:id="152" w:name="_Toc12424"/>
      <w:bookmarkStart w:id="153" w:name="_Toc9214"/>
      <w:bookmarkStart w:id="154" w:name="_Toc7605"/>
      <w:r>
        <w:rPr>
          <w:rFonts w:hint="eastAsia" w:ascii="宋体" w:hAnsi="宋体" w:eastAsia="宋体" w:cs="宋体"/>
          <w:color w:val="000000" w:themeColor="text1"/>
          <w:sz w:val="28"/>
          <w:szCs w:val="28"/>
          <w:highlight w:val="none"/>
          <w14:textFill>
            <w14:solidFill>
              <w14:schemeClr w14:val="tx1"/>
            </w14:solidFill>
          </w14:textFill>
        </w:rPr>
        <w:t>（一）开标环节投标文件视为无效的情形</w:t>
      </w:r>
      <w:bookmarkEnd w:id="151"/>
      <w:bookmarkEnd w:id="152"/>
      <w:bookmarkEnd w:id="153"/>
      <w:bookmarkEnd w:id="154"/>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1．供应商放弃或拒绝对电子投标文件进行解密的。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2．因供应商自身原因，导致未在规定的解密时限内完整解密的，如忘带CA锁、或携带的CA锁与加密文件的CA锁不同、或使用旧版招标文件编制投标文件等情形。</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3．上传的电子投标文件无法正常打开的。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4．政府采购法律法规规定的其他无效情形。</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55" w:name="_Toc21249"/>
      <w:bookmarkStart w:id="156" w:name="_Toc10968"/>
      <w:bookmarkStart w:id="157" w:name="_Toc4986"/>
      <w:bookmarkStart w:id="158" w:name="_Toc25819"/>
      <w:r>
        <w:rPr>
          <w:rFonts w:hint="eastAsia" w:ascii="宋体" w:hAnsi="宋体" w:eastAsia="宋体" w:cs="宋体"/>
          <w:color w:val="000000" w:themeColor="text1"/>
          <w:sz w:val="28"/>
          <w:szCs w:val="28"/>
          <w:highlight w:val="none"/>
          <w14:textFill>
            <w14:solidFill>
              <w14:schemeClr w14:val="tx1"/>
            </w14:solidFill>
          </w14:textFill>
        </w:rPr>
        <w:t>（二）突发状况的应急处置</w:t>
      </w:r>
      <w:bookmarkEnd w:id="155"/>
      <w:bookmarkEnd w:id="156"/>
      <w:bookmarkEnd w:id="157"/>
      <w:bookmarkEnd w:id="158"/>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在开评标过程中，如因停电、断网、电子化系统故障等特殊原因导致电子化开、评标工作无法正常进行时，采购代理机构将及时汇报政府采购监管部门，并等待或中止后续活动。</w:t>
      </w:r>
    </w:p>
    <w:p>
      <w:pPr>
        <w:pStyle w:val="5"/>
        <w:rPr>
          <w:rFonts w:ascii="宋体" w:hAnsi="宋体" w:eastAsia="宋体" w:cs="宋体"/>
          <w:color w:val="000000" w:themeColor="text1"/>
          <w:sz w:val="28"/>
          <w:szCs w:val="28"/>
          <w:highlight w:val="none"/>
          <w14:textFill>
            <w14:solidFill>
              <w14:schemeClr w14:val="tx1"/>
            </w14:solidFill>
          </w14:textFill>
        </w:rPr>
      </w:pPr>
      <w:bookmarkStart w:id="159" w:name="_Toc13104"/>
      <w:r>
        <w:rPr>
          <w:rFonts w:hint="eastAsia" w:ascii="宋体" w:hAnsi="宋体" w:eastAsia="宋体" w:cs="宋体"/>
          <w:color w:val="000000" w:themeColor="text1"/>
          <w:sz w:val="28"/>
          <w:szCs w:val="28"/>
          <w:highlight w:val="none"/>
          <w14:textFill>
            <w14:solidFill>
              <w14:schemeClr w14:val="tx1"/>
            </w14:solidFill>
          </w14:textFill>
        </w:rPr>
        <w:t>六、资格审查</w:t>
      </w:r>
      <w:bookmarkEnd w:id="159"/>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开标结束后，依据法律法规和招标文件的规定，对投标文件中的资格证明文件等进行审查，以确保供应商是否具备相应资格。</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560" w:firstLineChars="200"/>
        <w:jc w:val="both"/>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合格供应商不足3家的，不得评标。</w:t>
      </w:r>
    </w:p>
    <w:p>
      <w:pP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spacing w:line="560" w:lineRule="exact"/>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〖资格性审查表〗</w:t>
      </w:r>
    </w:p>
    <w:tbl>
      <w:tblPr>
        <w:tblStyle w:val="33"/>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1940"/>
        <w:gridCol w:w="609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序号</w:t>
            </w:r>
          </w:p>
        </w:tc>
        <w:tc>
          <w:tcPr>
            <w:tcW w:w="1940"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资格项</w:t>
            </w:r>
          </w:p>
        </w:tc>
        <w:tc>
          <w:tcPr>
            <w:tcW w:w="6092"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2" w:space="0"/>
            </w:tcBorders>
            <w:shd w:val="clear" w:color="auto" w:fill="auto"/>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w:t>
            </w:r>
          </w:p>
        </w:tc>
        <w:tc>
          <w:tcPr>
            <w:tcW w:w="8032" w:type="dxa"/>
            <w:gridSpan w:val="2"/>
            <w:tcBorders>
              <w:top w:val="single" w:color="auto" w:sz="2" w:space="0"/>
            </w:tcBorders>
            <w:shd w:val="clear" w:color="auto" w:fill="auto"/>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1940" w:type="dxa"/>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有效的主体资格证明</w:t>
            </w:r>
          </w:p>
        </w:tc>
        <w:tc>
          <w:tcPr>
            <w:tcW w:w="6092" w:type="dxa"/>
            <w:vAlign w:val="center"/>
          </w:tcPr>
          <w:p>
            <w:pPr>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1940" w:type="dxa"/>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社会保障资金缴纳证明</w:t>
            </w:r>
          </w:p>
        </w:tc>
        <w:tc>
          <w:tcPr>
            <w:tcW w:w="6092" w:type="dxa"/>
            <w:vAlign w:val="center"/>
          </w:tcPr>
          <w:p>
            <w:pPr>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提供本单位2022年1月至今已缴纳的至少一个月的社会保障资金缴存单据或社保机构开具的社会保险参保缴费情况证明，单据或证明上应有社保机构或代收机构的公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1940" w:type="dxa"/>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税收缴纳证明</w:t>
            </w:r>
          </w:p>
        </w:tc>
        <w:tc>
          <w:tcPr>
            <w:tcW w:w="6092" w:type="dxa"/>
            <w:vAlign w:val="center"/>
          </w:tcPr>
          <w:p>
            <w:pPr>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供应商提供本单位2022年1月至今已缴纳的至少一个月纳税证明或完税证明，依法免税的单位应提供相关证明材料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w:t>
            </w:r>
          </w:p>
        </w:tc>
        <w:tc>
          <w:tcPr>
            <w:tcW w:w="1940" w:type="dxa"/>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财务状况证明</w:t>
            </w:r>
          </w:p>
        </w:tc>
        <w:tc>
          <w:tcPr>
            <w:tcW w:w="6092" w:type="dxa"/>
            <w:vAlign w:val="center"/>
          </w:tcPr>
          <w:p>
            <w:pPr>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提供本单位经会计师事务所审计的2020年或2021年任意一年的财务审计报告或在开标日期前六个月内其基本开户银行出具的资信证明。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w:t>
            </w:r>
          </w:p>
        </w:tc>
        <w:tc>
          <w:tcPr>
            <w:tcW w:w="1940" w:type="dxa"/>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无重大违法记录声明</w:t>
            </w:r>
          </w:p>
        </w:tc>
        <w:tc>
          <w:tcPr>
            <w:tcW w:w="6092" w:type="dxa"/>
            <w:vAlign w:val="center"/>
          </w:tcPr>
          <w:p>
            <w:pPr>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供应商应出具参加本次政府采购活动前3年内在经营活动中没有重大违法违纪，以及未被列入失信被执行人、重大税收违法案件当事人名单、政府采购严重违法失信行为记录名单的书面声明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w:t>
            </w:r>
          </w:p>
        </w:tc>
        <w:tc>
          <w:tcPr>
            <w:tcW w:w="1940" w:type="dxa"/>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法定代表人委托授权书或身份证明</w:t>
            </w:r>
          </w:p>
        </w:tc>
        <w:tc>
          <w:tcPr>
            <w:tcW w:w="6092" w:type="dxa"/>
            <w:vAlign w:val="center"/>
          </w:tcPr>
          <w:p>
            <w:pPr>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非法定代表人参加投标，须提供法定代表人授权委托书。法定代表人参加投标时,只须提供法定代表人身份证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w:t>
            </w:r>
          </w:p>
        </w:tc>
        <w:tc>
          <w:tcPr>
            <w:tcW w:w="1940" w:type="dxa"/>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联合体</w:t>
            </w:r>
          </w:p>
        </w:tc>
        <w:tc>
          <w:tcPr>
            <w:tcW w:w="6092" w:type="dxa"/>
            <w:vAlign w:val="center"/>
          </w:tcPr>
          <w:p>
            <w:pPr>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本项目不接受联合体投标</w:t>
            </w:r>
            <w:r>
              <w:rPr>
                <w:rFonts w:hint="eastAsia" w:ascii="宋体" w:hAnsi="宋体" w:eastAsia="宋体" w:cs="宋体"/>
                <w:b/>
                <w:bCs/>
                <w:color w:val="000000" w:themeColor="text1"/>
                <w:sz w:val="28"/>
                <w:szCs w:val="28"/>
                <w:highlight w:val="none"/>
                <w14:textFill>
                  <w14:solidFill>
                    <w14:schemeClr w14:val="tx1"/>
                  </w14:solidFill>
                </w14:textFill>
              </w:rPr>
              <w:t>。</w:t>
            </w:r>
          </w:p>
        </w:tc>
      </w:tr>
    </w:tbl>
    <w:p>
      <w:pPr>
        <w:rPr>
          <w:rFonts w:ascii="宋体" w:hAnsi="宋体" w:eastAsia="宋体" w:cs="宋体"/>
          <w:color w:val="000000" w:themeColor="text1"/>
          <w:sz w:val="28"/>
          <w:szCs w:val="28"/>
          <w:highlight w:val="none"/>
          <w14:textFill>
            <w14:solidFill>
              <w14:schemeClr w14:val="tx1"/>
            </w14:solidFill>
          </w14:textFill>
        </w:rPr>
      </w:pPr>
    </w:p>
    <w:p>
      <w:pPr>
        <w:pStyle w:val="5"/>
        <w:rPr>
          <w:rFonts w:ascii="宋体" w:hAnsi="宋体" w:eastAsia="宋体" w:cs="宋体"/>
          <w:color w:val="000000" w:themeColor="text1"/>
          <w:sz w:val="28"/>
          <w:szCs w:val="28"/>
          <w:highlight w:val="none"/>
          <w14:textFill>
            <w14:solidFill>
              <w14:schemeClr w14:val="tx1"/>
            </w14:solidFill>
          </w14:textFill>
        </w:rPr>
      </w:pPr>
      <w:bookmarkStart w:id="160" w:name="_Toc32767"/>
      <w:r>
        <w:rPr>
          <w:rFonts w:hint="eastAsia" w:ascii="宋体" w:hAnsi="宋体" w:eastAsia="宋体" w:cs="宋体"/>
          <w:color w:val="000000" w:themeColor="text1"/>
          <w:sz w:val="28"/>
          <w:szCs w:val="28"/>
          <w:highlight w:val="none"/>
          <w14:textFill>
            <w14:solidFill>
              <w14:schemeClr w14:val="tx1"/>
            </w14:solidFill>
          </w14:textFill>
        </w:rPr>
        <w:t>七、评审方法和程序</w:t>
      </w:r>
      <w:bookmarkEnd w:id="160"/>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61" w:name="_Toc17161"/>
      <w:bookmarkStart w:id="162" w:name="_Toc29299"/>
      <w:bookmarkStart w:id="163" w:name="_Toc14101"/>
      <w:bookmarkStart w:id="164" w:name="_Toc3761"/>
      <w:r>
        <w:rPr>
          <w:rFonts w:hint="eastAsia" w:ascii="宋体" w:hAnsi="宋体" w:eastAsia="宋体" w:cs="宋体"/>
          <w:color w:val="000000" w:themeColor="text1"/>
          <w:sz w:val="28"/>
          <w:szCs w:val="28"/>
          <w:highlight w:val="none"/>
          <w14:textFill>
            <w14:solidFill>
              <w14:schemeClr w14:val="tx1"/>
            </w14:solidFill>
          </w14:textFill>
        </w:rPr>
        <w:t>（一）评标方法</w:t>
      </w:r>
      <w:bookmarkEnd w:id="161"/>
      <w:bookmarkEnd w:id="162"/>
      <w:bookmarkEnd w:id="163"/>
      <w:bookmarkEnd w:id="164"/>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本项目采用综合评分法，即投标文件满足招标文件全部实质性要求，且按照评审因素的量化指标评审得分最高的供应商为中标候选人。</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65" w:name="_Toc14944"/>
      <w:bookmarkStart w:id="166" w:name="_Toc26336"/>
      <w:bookmarkStart w:id="167" w:name="_Toc20873"/>
      <w:bookmarkStart w:id="168" w:name="_Toc27527"/>
      <w:r>
        <w:rPr>
          <w:rFonts w:hint="eastAsia" w:ascii="宋体" w:hAnsi="宋体" w:eastAsia="宋体" w:cs="宋体"/>
          <w:color w:val="000000" w:themeColor="text1"/>
          <w:sz w:val="28"/>
          <w:szCs w:val="28"/>
          <w:highlight w:val="none"/>
          <w14:textFill>
            <w14:solidFill>
              <w14:schemeClr w14:val="tx1"/>
            </w14:solidFill>
          </w14:textFill>
        </w:rPr>
        <w:t>（二）评标程序</w:t>
      </w:r>
      <w:bookmarkEnd w:id="165"/>
      <w:bookmarkEnd w:id="166"/>
      <w:bookmarkEnd w:id="167"/>
      <w:bookmarkEnd w:id="168"/>
    </w:p>
    <w:p>
      <w:pPr>
        <w:pStyle w:val="100"/>
        <w:outlineLvl w:val="9"/>
        <w:rPr>
          <w:rFonts w:ascii="宋体" w:hAnsi="宋体" w:eastAsia="宋体" w:cs="宋体"/>
          <w:color w:val="000000" w:themeColor="text1"/>
          <w:sz w:val="28"/>
          <w:szCs w:val="28"/>
          <w:highlight w:val="none"/>
          <w14:textFill>
            <w14:solidFill>
              <w14:schemeClr w14:val="tx1"/>
            </w14:solidFill>
          </w14:textFill>
        </w:rPr>
      </w:pPr>
      <w:bookmarkStart w:id="169" w:name="_Toc5086"/>
      <w:bookmarkStart w:id="170" w:name="_Toc18155"/>
      <w:bookmarkStart w:id="171" w:name="_Toc32585"/>
      <w:r>
        <w:rPr>
          <w:rFonts w:hint="eastAsia" w:ascii="宋体" w:hAnsi="宋体" w:eastAsia="宋体" w:cs="宋体"/>
          <w:color w:val="000000" w:themeColor="text1"/>
          <w:sz w:val="28"/>
          <w:szCs w:val="28"/>
          <w:highlight w:val="none"/>
          <w14:textFill>
            <w14:solidFill>
              <w14:schemeClr w14:val="tx1"/>
            </w14:solidFill>
          </w14:textFill>
        </w:rPr>
        <w:t>1．组建评标委员会</w:t>
      </w:r>
      <w:bookmarkEnd w:id="169"/>
      <w:bookmarkEnd w:id="170"/>
      <w:bookmarkEnd w:id="171"/>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了确保评标工作的公平、公正，依据政府采购法和政府采购相关法规、规章，成立评标委员会，评标委员会由采购人代表和有关技术、经济等方面的专家组成，成员人数为5人及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由采购代理机构组织评标委员会推选评标组长，采购人代表不得担任组长。</w:t>
      </w:r>
    </w:p>
    <w:p>
      <w:pPr>
        <w:pStyle w:val="100"/>
        <w:outlineLvl w:val="9"/>
        <w:rPr>
          <w:rFonts w:ascii="宋体" w:hAnsi="宋体" w:eastAsia="宋体" w:cs="宋体"/>
          <w:color w:val="000000" w:themeColor="text1"/>
          <w:sz w:val="28"/>
          <w:szCs w:val="28"/>
          <w:highlight w:val="none"/>
          <w14:textFill>
            <w14:solidFill>
              <w14:schemeClr w14:val="tx1"/>
            </w14:solidFill>
          </w14:textFill>
        </w:rPr>
      </w:pPr>
      <w:bookmarkStart w:id="172" w:name="_Toc1702"/>
      <w:bookmarkStart w:id="173" w:name="_Toc28107"/>
      <w:bookmarkStart w:id="174" w:name="_Toc19123"/>
      <w:r>
        <w:rPr>
          <w:rFonts w:hint="eastAsia" w:ascii="宋体" w:hAnsi="宋体" w:eastAsia="宋体" w:cs="宋体"/>
          <w:color w:val="000000" w:themeColor="text1"/>
          <w:sz w:val="28"/>
          <w:szCs w:val="28"/>
          <w:highlight w:val="none"/>
          <w14:textFill>
            <w14:solidFill>
              <w14:schemeClr w14:val="tx1"/>
            </w14:solidFill>
          </w14:textFill>
        </w:rPr>
        <w:t>2．投标文件的符合性审查</w:t>
      </w:r>
      <w:bookmarkEnd w:id="172"/>
      <w:bookmarkEnd w:id="173"/>
      <w:bookmarkEnd w:id="174"/>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供应商资格性审查通过后，评标委员会对符合资格的投标人的投标文件进行符合性审查，以确定其是否满足招标文件的实质性要求。</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〖符合性审查表〗</w:t>
      </w:r>
    </w:p>
    <w:tbl>
      <w:tblPr>
        <w:tblStyle w:val="33"/>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序号</w:t>
            </w:r>
          </w:p>
        </w:tc>
        <w:tc>
          <w:tcPr>
            <w:tcW w:w="2392"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2392" w:type="dxa"/>
            <w:tcBorders>
              <w:top w:val="single" w:color="auto" w:sz="2" w:space="0"/>
            </w:tcBorders>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投标报价是否超过预算或最高限价</w:t>
            </w:r>
          </w:p>
        </w:tc>
        <w:tc>
          <w:tcPr>
            <w:tcW w:w="5498" w:type="dxa"/>
            <w:tcBorders>
              <w:top w:val="single" w:color="auto" w:sz="2" w:space="0"/>
            </w:tcBorders>
            <w:vAlign w:val="center"/>
          </w:tcPr>
          <w:p>
            <w:pPr>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投标报价未超过预算及最高限价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2392" w:type="dxa"/>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交货期是否满足招标文件要求</w:t>
            </w:r>
          </w:p>
        </w:tc>
        <w:tc>
          <w:tcPr>
            <w:tcW w:w="5498" w:type="dxa"/>
            <w:vAlign w:val="center"/>
          </w:tcPr>
          <w:p>
            <w:pPr>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交货期满足招标文件要求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2392" w:type="dxa"/>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质保期是否满足招标文件要求</w:t>
            </w:r>
          </w:p>
        </w:tc>
        <w:tc>
          <w:tcPr>
            <w:tcW w:w="5498" w:type="dxa"/>
            <w:vAlign w:val="center"/>
          </w:tcPr>
          <w:p>
            <w:pPr>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质保期满足招标文件要求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w:t>
            </w:r>
          </w:p>
        </w:tc>
        <w:tc>
          <w:tcPr>
            <w:tcW w:w="2392" w:type="dxa"/>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签章</w:t>
            </w:r>
          </w:p>
        </w:tc>
        <w:tc>
          <w:tcPr>
            <w:tcW w:w="5498" w:type="dxa"/>
            <w:vAlign w:val="center"/>
          </w:tcPr>
          <w:p>
            <w:pPr>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w:t>
            </w:r>
          </w:p>
        </w:tc>
        <w:tc>
          <w:tcPr>
            <w:tcW w:w="2392" w:type="dxa"/>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投标文件有效期</w:t>
            </w:r>
          </w:p>
        </w:tc>
        <w:tc>
          <w:tcPr>
            <w:tcW w:w="5498" w:type="dxa"/>
            <w:vAlign w:val="center"/>
          </w:tcPr>
          <w:p>
            <w:pPr>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符合招标文件的要求</w:t>
            </w:r>
          </w:p>
        </w:tc>
      </w:tr>
    </w:tbl>
    <w:p>
      <w:pPr>
        <w:pStyle w:val="100"/>
        <w:outlineLvl w:val="9"/>
        <w:rPr>
          <w:rFonts w:ascii="宋体" w:hAnsi="宋体" w:eastAsia="宋体" w:cs="宋体"/>
          <w:color w:val="000000" w:themeColor="text1"/>
          <w:sz w:val="28"/>
          <w:szCs w:val="28"/>
          <w:highlight w:val="none"/>
          <w14:textFill>
            <w14:solidFill>
              <w14:schemeClr w14:val="tx1"/>
            </w14:solidFill>
          </w14:textFill>
        </w:rPr>
      </w:pPr>
      <w:bookmarkStart w:id="175" w:name="_Toc26455"/>
      <w:bookmarkStart w:id="176" w:name="_Toc9318"/>
      <w:bookmarkStart w:id="177" w:name="_Toc21491"/>
      <w:r>
        <w:rPr>
          <w:rFonts w:hint="eastAsia" w:ascii="宋体" w:hAnsi="宋体" w:eastAsia="宋体" w:cs="宋体"/>
          <w:color w:val="000000" w:themeColor="text1"/>
          <w:sz w:val="28"/>
          <w:szCs w:val="28"/>
          <w:highlight w:val="none"/>
          <w14:textFill>
            <w14:solidFill>
              <w14:schemeClr w14:val="tx1"/>
            </w14:solidFill>
          </w14:textFill>
        </w:rPr>
        <w:t>3．综合比较与评价</w:t>
      </w:r>
      <w:bookmarkEnd w:id="175"/>
      <w:bookmarkEnd w:id="176"/>
      <w:bookmarkEnd w:id="177"/>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评标委员会按《评审要素及分值一览表》中规定的评标方法和标准，对通过符合性审查的投标文件进行商务和技术评估，综合比较与评价。</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出现下列情形的，供应商投标无效：</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（1）投标文件报价出现本章第五小节“投标报价”所列需要修正情形，但供应商对修正后的报价不予确认的。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spacing w:line="560" w:lineRule="exact"/>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〖评审要素及分值一览表〗</w:t>
      </w:r>
    </w:p>
    <w:tbl>
      <w:tblPr>
        <w:tblStyle w:val="33"/>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857"/>
        <w:gridCol w:w="7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75" w:type="dxa"/>
            <w:noWrap/>
            <w:vAlign w:val="center"/>
          </w:tcPr>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评审项</w:t>
            </w:r>
          </w:p>
        </w:tc>
        <w:tc>
          <w:tcPr>
            <w:tcW w:w="857" w:type="dxa"/>
            <w:noWrap/>
            <w:vAlign w:val="center"/>
          </w:tcPr>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分值100分</w:t>
            </w:r>
          </w:p>
        </w:tc>
        <w:tc>
          <w:tcPr>
            <w:tcW w:w="7890" w:type="dxa"/>
            <w:noWrap/>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75"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报价</w:t>
            </w:r>
          </w:p>
        </w:tc>
        <w:tc>
          <w:tcPr>
            <w:tcW w:w="857"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30分</w:t>
            </w:r>
          </w:p>
        </w:tc>
        <w:tc>
          <w:tcPr>
            <w:tcW w:w="7890"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经初审合格的供应商，其投标报价为有效报价。</w:t>
            </w:r>
          </w:p>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评标基准价：即满足采购文件要求且报价最低的为评标基准价。</w:t>
            </w:r>
          </w:p>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其他供应商的价格分统一按照下列公式计算。</w:t>
            </w:r>
          </w:p>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975"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技术指标、功能及配置</w:t>
            </w:r>
          </w:p>
        </w:tc>
        <w:tc>
          <w:tcPr>
            <w:tcW w:w="857"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30分</w:t>
            </w:r>
          </w:p>
        </w:tc>
        <w:tc>
          <w:tcPr>
            <w:tcW w:w="7890"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投标产品的技术参数、配置和功能需求（30分）。</w:t>
            </w:r>
          </w:p>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基本分（24分），完全响应招标文件要求，满足采购需求、技术参数没有负偏离，计基本分24分；参数中每有一条★技术指标负偏离扣2分，参数中每有一条非★技术指标负偏离扣1分，扣完为止；（对于采购需求表中要求提供相应证明材料的参数，供应商须按招标文件要求提供相应的证明材料，未提供相应证明材料的视为负偏离。） </w:t>
            </w:r>
          </w:p>
          <w:p>
            <w:pPr>
              <w:keepNext/>
              <w:keepLines/>
              <w:spacing w:line="360" w:lineRule="auto"/>
              <w:outlineLvl w:val="3"/>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功能及配置分（6分）：所投产品功能、技术参数优于或完全满足招标文件要求，且所提供产品认证证书等资料齐全、产品彩页清晰，设备功能描述详细，产品选型有充分的依据，配套设施完善，各类证明材料完整，计4.1-6分；</w:t>
            </w:r>
          </w:p>
          <w:p>
            <w:pPr>
              <w:keepNext/>
              <w:keepLines/>
              <w:spacing w:line="360" w:lineRule="auto"/>
              <w:ind w:firstLine="480" w:firstLineChars="200"/>
              <w:outlineLvl w:val="3"/>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所投产品功能满足基本要求，技术参数佐证材料较完善，产品认证证书等资料较齐全，有技术方案和设备功能描述，产品选型合理，有产品配套内容，各类证明材料较为完整，计2.1-4分；</w:t>
            </w:r>
          </w:p>
          <w:p>
            <w:pPr>
              <w:keepNext/>
              <w:keepLines/>
              <w:spacing w:line="360" w:lineRule="auto"/>
              <w:ind w:firstLine="480" w:firstLineChars="200"/>
              <w:outlineLvl w:val="3"/>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所投产品功能不能完全满足要求（有负偏离），技术资料、检测报告、产品认证证书等资料不完整，产品功能描述一般，技术参数不明确，产品选型和配套不合理，各类证明材料不完整，计1-2分；未提供不计分；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75"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实施方案</w:t>
            </w:r>
          </w:p>
        </w:tc>
        <w:tc>
          <w:tcPr>
            <w:tcW w:w="857"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10分</w:t>
            </w:r>
          </w:p>
        </w:tc>
        <w:tc>
          <w:tcPr>
            <w:tcW w:w="7890" w:type="dxa"/>
            <w:noWrap/>
            <w:vAlign w:val="center"/>
          </w:tcPr>
          <w:p>
            <w:pPr>
              <w:keepNext/>
              <w:keepLines/>
              <w:spacing w:line="360" w:lineRule="auto"/>
              <w:ind w:firstLine="480" w:firstLineChars="200"/>
              <w:outlineLvl w:val="3"/>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对本项目的供货进度、安装调试、验收组织、人员配备、检测、系统的维护（包括但不限于病毒防治、系统还原、软件安装等）制定具体的实施方案。方案完整、科学合理、操作性强，计7.1-10分；方案较完整，工作目标不明确、工作保障措施不到位，4.1-7分；方案可执行性差，计1-4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p>
          <w:p>
            <w:pPr>
              <w:spacing w:line="360" w:lineRule="auto"/>
              <w:rPr>
                <w:rFonts w:ascii="宋体" w:hAnsi="宋体" w:eastAsia="宋体" w:cs="宋体"/>
                <w:color w:val="000000" w:themeColor="text1"/>
                <w:highlight w:val="none"/>
                <w14:textFill>
                  <w14:solidFill>
                    <w14:schemeClr w14:val="tx1"/>
                  </w14:solidFill>
                </w14:textFill>
              </w:rPr>
            </w:pPr>
          </w:p>
          <w:p>
            <w:pPr>
              <w:spacing w:line="360" w:lineRule="auto"/>
              <w:rPr>
                <w:rFonts w:ascii="宋体" w:hAnsi="宋体" w:eastAsia="宋体" w:cs="宋体"/>
                <w:color w:val="000000" w:themeColor="text1"/>
                <w:highlight w:val="none"/>
                <w14:textFill>
                  <w14:solidFill>
                    <w14:schemeClr w14:val="tx1"/>
                  </w14:solidFill>
                </w14:textFill>
              </w:rPr>
            </w:pPr>
          </w:p>
          <w:p>
            <w:pPr>
              <w:spacing w:line="360" w:lineRule="auto"/>
              <w:rPr>
                <w:rFonts w:ascii="宋体" w:hAnsi="宋体" w:eastAsia="宋体" w:cs="宋体"/>
                <w:color w:val="000000" w:themeColor="text1"/>
                <w:highlight w:val="none"/>
                <w14:textFill>
                  <w14:solidFill>
                    <w14:schemeClr w14:val="tx1"/>
                  </w14:solidFill>
                </w14:textFill>
              </w:rPr>
            </w:pPr>
          </w:p>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w:t>
            </w:r>
          </w:p>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方案</w:t>
            </w:r>
          </w:p>
        </w:tc>
        <w:tc>
          <w:tcPr>
            <w:tcW w:w="857"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10分</w:t>
            </w:r>
          </w:p>
        </w:tc>
        <w:tc>
          <w:tcPr>
            <w:tcW w:w="7890" w:type="dxa"/>
            <w:noWrap/>
            <w:vAlign w:val="center"/>
          </w:tcPr>
          <w:p>
            <w:pPr>
              <w:spacing w:line="360" w:lineRule="auto"/>
              <w:ind w:firstLine="480" w:firstLineChars="200"/>
              <w:rPr>
                <w:rFonts w:ascii="宋体" w:hAnsi="宋体" w:eastAsia="宋体" w:cs="宋体"/>
                <w:color w:val="000000" w:themeColor="text1"/>
                <w:highlight w:val="none"/>
                <w14:textFill>
                  <w14:solidFill>
                    <w14:schemeClr w14:val="tx1"/>
                  </w14:solidFill>
                </w14:textFill>
              </w:rPr>
            </w:pPr>
            <w:bookmarkStart w:id="178" w:name="OLE_LINK31"/>
            <w:bookmarkStart w:id="179" w:name="OLE_LINK30"/>
            <w:r>
              <w:rPr>
                <w:rFonts w:hint="eastAsia" w:ascii="宋体" w:hAnsi="宋体" w:eastAsia="宋体" w:cs="宋体"/>
                <w:color w:val="000000" w:themeColor="text1"/>
                <w:highlight w:val="none"/>
                <w14:textFill>
                  <w14:solidFill>
                    <w14:schemeClr w14:val="tx1"/>
                  </w14:solidFill>
                </w14:textFill>
              </w:rPr>
              <w:t>根据供应商提供的技术方案（技术方案应贴合学校实际情况）、网络拓扑图及平台对接方案等的响应程度横向比较给予差别赋分</w:t>
            </w:r>
            <w:bookmarkEnd w:id="178"/>
            <w:bookmarkEnd w:id="179"/>
            <w:r>
              <w:rPr>
                <w:rFonts w:hint="eastAsia" w:ascii="宋体" w:hAnsi="宋体" w:eastAsia="宋体" w:cs="宋体"/>
                <w:color w:val="000000" w:themeColor="text1"/>
                <w:highlight w:val="none"/>
                <w14:textFill>
                  <w14:solidFill>
                    <w14:schemeClr w14:val="tx1"/>
                  </w14:solidFill>
                </w14:textFill>
              </w:rPr>
              <w:t>。</w:t>
            </w:r>
          </w:p>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1、整体方案详细、全面，相关方案和功能证明材料详尽、丰富，网络拓扑图完整、能够体现出在学校应用方面的先进性，兼容性、可靠性、安全性，符合当前教育信息化发展方向，计7.1-10分。</w:t>
            </w:r>
          </w:p>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2、有具体方案，对方案先进性、兼容性、安全性有设计说明，提供了证明材料，响应了采购需求，整体技术方案设计一般，网络拓扑图较完整计</w:t>
            </w:r>
            <w:r>
              <w:rPr>
                <w:rFonts w:hint="eastAsia" w:ascii="宋体" w:hAnsi="宋体" w:eastAsia="宋体" w:cs="宋体"/>
                <w:highlight w:val="none"/>
              </w:rPr>
              <w:t>5.1-7分。</w:t>
            </w:r>
          </w:p>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3、具有技术方案，方案体现不出各系统的成熟对接，主要系统设计方案和相关证明材料不充分，各系统功能描述和采购需求有差别，网络拓扑图基本完善计3.1-5分。</w:t>
            </w:r>
          </w:p>
          <w:p>
            <w:pPr>
              <w:keepNext/>
              <w:keepLines/>
              <w:spacing w:line="360" w:lineRule="auto"/>
              <w:outlineLvl w:val="3"/>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4、技术方案为各采购设备的简单堆砌，没有理解采购的功能需求，提供了简单的方案证明材料，未提供网络拓扑图计1-3分。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5" w:type="dxa"/>
            <w:noWrap/>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质量</w:t>
            </w:r>
          </w:p>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w:t>
            </w:r>
          </w:p>
        </w:tc>
        <w:tc>
          <w:tcPr>
            <w:tcW w:w="857"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5分</w:t>
            </w:r>
          </w:p>
        </w:tc>
        <w:tc>
          <w:tcPr>
            <w:tcW w:w="7890" w:type="dxa"/>
            <w:noWrap/>
            <w:vAlign w:val="center"/>
          </w:tcPr>
          <w:p>
            <w:pPr>
              <w:keepNext/>
              <w:keepLines/>
              <w:spacing w:line="360" w:lineRule="auto"/>
              <w:ind w:firstLine="240" w:firstLineChars="100"/>
              <w:outlineLvl w:val="3"/>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所投产品的合法来源渠道证明文件（包括但不限于产品制造商授权、销售协议、代理协议、原厂授权等）、保证所投产品均符合国家强制标准或行业标准，无知识产权纠纷、水货、假货、贴牌、翻新产品，提供相关证明资料，根据提供各供应商资料的完善程度计1-5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975"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售后服务方案</w:t>
            </w:r>
          </w:p>
        </w:tc>
        <w:tc>
          <w:tcPr>
            <w:tcW w:w="857"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5分</w:t>
            </w:r>
          </w:p>
        </w:tc>
        <w:tc>
          <w:tcPr>
            <w:tcW w:w="7890" w:type="dxa"/>
            <w:noWrap/>
            <w:vAlign w:val="center"/>
          </w:tcPr>
          <w:p>
            <w:pPr>
              <w:spacing w:line="360" w:lineRule="auto"/>
              <w:ind w:firstLine="240" w:firstLineChars="1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根据供应商提供的针对本项目特点的售后服务方案（包括但不限于项目交付用户后出现故障问题响应时间、针对突发事件有具体可行的应急措施和解决方案等）及招标文件要求提供相应的售后服务进行综合评分。</w:t>
            </w:r>
          </w:p>
          <w:p>
            <w:pPr>
              <w:spacing w:line="360" w:lineRule="auto"/>
              <w:ind w:firstLine="240" w:firstLineChars="1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方案完善、科学合理，针对性强、服务承诺明确，计4.1-5分；</w:t>
            </w:r>
          </w:p>
          <w:p>
            <w:pPr>
              <w:spacing w:line="360" w:lineRule="auto"/>
              <w:ind w:firstLine="240" w:firstLineChars="1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方案较完整、合理可行、特点和承诺不明确，计2.1-4分；</w:t>
            </w:r>
          </w:p>
          <w:p>
            <w:pPr>
              <w:spacing w:line="360" w:lineRule="auto"/>
              <w:ind w:firstLine="240" w:firstLineChars="1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方案不完善，可实施性较差，计1-2分，未提供不计分。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jc w:val="center"/>
        </w:trPr>
        <w:tc>
          <w:tcPr>
            <w:tcW w:w="975"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培训方案</w:t>
            </w:r>
          </w:p>
        </w:tc>
        <w:tc>
          <w:tcPr>
            <w:tcW w:w="857"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5分</w:t>
            </w:r>
          </w:p>
        </w:tc>
        <w:tc>
          <w:tcPr>
            <w:tcW w:w="7890"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供应商提供的培训方案（包括但不限于在系统试运行前为用户免费培训系统操作，帮助用户建立一整套管理运维流程，并提供详细的技术资料，保证用户熟练操作。每年为用户提供免费培训服务等）及培训效果保证措施进行综合评分。</w:t>
            </w:r>
          </w:p>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方案完善、工作目标明确、科学合理、培训效果保证措施充分计4.1-5分，</w:t>
            </w:r>
          </w:p>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有培训方案、可行、措施和各项工作目标、条理性不强计2.1-4分，</w:t>
            </w:r>
          </w:p>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方案不完整，可实施性较差，计1-2分，未提供不计分。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75"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业绩</w:t>
            </w:r>
          </w:p>
        </w:tc>
        <w:tc>
          <w:tcPr>
            <w:tcW w:w="857"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4分</w:t>
            </w:r>
          </w:p>
        </w:tc>
        <w:tc>
          <w:tcPr>
            <w:tcW w:w="7890"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提供供应商2019年1月1日至今的类似项目业绩（每份业绩须包含供货合同或协议）复印件加盖公章，每份计1分，计满4分为止。（以签订合同时间为准）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75"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节能</w:t>
            </w:r>
          </w:p>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环保</w:t>
            </w:r>
          </w:p>
        </w:tc>
        <w:tc>
          <w:tcPr>
            <w:tcW w:w="857"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1分</w:t>
            </w:r>
          </w:p>
        </w:tc>
        <w:tc>
          <w:tcPr>
            <w:tcW w:w="7890"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响应产品中每有一项为节能产品的得0.5分，每有一项为环境标志产品的得0.5分，供应商所投产品中每有一项产品同时为节能产品和环境标志产品的得1分，最多得1分。（须提供相应产品的国家确定的认证机构出具的、处于有效期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75"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tc>
        <w:tc>
          <w:tcPr>
            <w:tcW w:w="8747" w:type="dxa"/>
            <w:gridSpan w:val="2"/>
            <w:noWrap/>
            <w:vAlign w:val="center"/>
          </w:tcPr>
          <w:p>
            <w:pPr>
              <w:pStyle w:val="109"/>
              <w:pBdr>
                <w:between w:val="single" w:color="auto" w:sz="4" w:space="1"/>
              </w:pBd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1、评标委员会成员必须按照本评审要素据实打分，各类数字计算均按“四舍五入”保留小数点后两位；</w:t>
            </w:r>
          </w:p>
          <w:p>
            <w:pPr>
              <w:pStyle w:val="109"/>
              <w:pBdr>
                <w:between w:val="single" w:color="auto" w:sz="4" w:space="1"/>
              </w:pBd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2、对小型和微型企业的报价给予6%的价格扣除，用扣除后的价格参与评审；未提供中小企业声明函的不享受价格折扣。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75" w:type="dxa"/>
            <w:vMerge w:val="restart"/>
            <w:noWrap/>
            <w:vAlign w:val="center"/>
          </w:tcPr>
          <w:p>
            <w:pPr>
              <w:spacing w:line="360" w:lineRule="auto"/>
              <w:rPr>
                <w:rFonts w:ascii="宋体" w:hAnsi="宋体" w:eastAsia="宋体" w:cs="宋体"/>
                <w:color w:val="000000" w:themeColor="text1"/>
                <w:highlight w:val="none"/>
                <w14:textFill>
                  <w14:solidFill>
                    <w14:schemeClr w14:val="tx1"/>
                  </w14:solidFill>
                </w14:textFill>
              </w:rPr>
            </w:pPr>
          </w:p>
          <w:p>
            <w:pPr>
              <w:spacing w:line="360" w:lineRule="auto"/>
              <w:rPr>
                <w:rFonts w:ascii="宋体" w:hAnsi="宋体" w:eastAsia="宋体" w:cs="宋体"/>
                <w:color w:val="000000" w:themeColor="text1"/>
                <w:highlight w:val="none"/>
                <w14:textFill>
                  <w14:solidFill>
                    <w14:schemeClr w14:val="tx1"/>
                  </w14:solidFill>
                </w14:textFill>
              </w:rPr>
            </w:pPr>
          </w:p>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政</w:t>
            </w:r>
          </w:p>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府</w:t>
            </w:r>
          </w:p>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w:t>
            </w:r>
          </w:p>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购</w:t>
            </w:r>
          </w:p>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政</w:t>
            </w:r>
          </w:p>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策</w:t>
            </w:r>
          </w:p>
        </w:tc>
        <w:tc>
          <w:tcPr>
            <w:tcW w:w="8747" w:type="dxa"/>
            <w:gridSpan w:val="2"/>
            <w:noWrap/>
            <w:vAlign w:val="center"/>
          </w:tcPr>
          <w:p>
            <w:pPr>
              <w:spacing w:line="360" w:lineRule="auto"/>
              <w:ind w:firstLine="241" w:firstLineChars="100"/>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对小型或微型企业参加政府采购投标的扶持：</w:t>
            </w:r>
          </w:p>
          <w:p>
            <w:pPr>
              <w:pStyle w:val="109"/>
              <w:pBdr>
                <w:between w:val="single" w:color="auto" w:sz="4" w:space="1"/>
              </w:pBd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根据《政府采购促进中小企业发展管理办法》（财库[2020]46号）及</w:t>
            </w:r>
            <w:r>
              <w:rPr>
                <w:rFonts w:hint="eastAsia" w:ascii="宋体" w:hAnsi="宋体" w:eastAsia="宋体" w:cs="宋体"/>
                <w:color w:val="000000" w:themeColor="text1"/>
                <w:spacing w:val="6"/>
                <w:highlight w:val="none"/>
                <w14:textFill>
                  <w14:solidFill>
                    <w14:schemeClr w14:val="tx1"/>
                  </w14:solidFill>
                </w14:textFill>
              </w:rPr>
              <w:t>（财库[2022]19号）</w:t>
            </w:r>
            <w:r>
              <w:rPr>
                <w:rFonts w:hint="eastAsia" w:ascii="宋体" w:hAnsi="宋体" w:eastAsia="宋体" w:cs="宋体"/>
                <w:color w:val="000000" w:themeColor="text1"/>
                <w:highlight w:val="none"/>
                <w14:textFill>
                  <w14:solidFill>
                    <w14:schemeClr w14:val="tx1"/>
                  </w14:solidFill>
                </w14:textFill>
              </w:rPr>
              <w:t>的规定，对于非专门面向中小企业的项目，对小型和微型企业产品的价格给予6%的扣除，用扣除后的价格参与评审；供应商可在投标文件中提供小型和微型企业声明，具体格式详见附件。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975" w:type="dxa"/>
            <w:vMerge w:val="continue"/>
            <w:noWrap/>
            <w:vAlign w:val="center"/>
          </w:tcPr>
          <w:p>
            <w:pPr>
              <w:spacing w:line="360" w:lineRule="auto"/>
              <w:rPr>
                <w:rFonts w:ascii="宋体" w:hAnsi="宋体" w:eastAsia="宋体" w:cs="宋体"/>
                <w:color w:val="000000" w:themeColor="text1"/>
                <w:highlight w:val="none"/>
                <w14:textFill>
                  <w14:solidFill>
                    <w14:schemeClr w14:val="tx1"/>
                  </w14:solidFill>
                </w14:textFill>
              </w:rPr>
            </w:pPr>
          </w:p>
        </w:tc>
        <w:tc>
          <w:tcPr>
            <w:tcW w:w="8747" w:type="dxa"/>
            <w:gridSpan w:val="2"/>
            <w:noWrap/>
            <w:vAlign w:val="center"/>
          </w:tcPr>
          <w:p>
            <w:pPr>
              <w:spacing w:line="360" w:lineRule="auto"/>
              <w:ind w:firstLine="482" w:firstLineChars="200"/>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对监狱企业、残疾人福利企业的扶持</w:t>
            </w:r>
          </w:p>
          <w:p>
            <w:pPr>
              <w:pStyle w:val="109"/>
              <w:pBdr>
                <w:between w:val="single" w:color="auto" w:sz="4" w:space="1"/>
              </w:pBd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6%的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75" w:type="dxa"/>
            <w:vMerge w:val="continue"/>
            <w:noWrap/>
            <w:vAlign w:val="center"/>
          </w:tcPr>
          <w:p>
            <w:pPr>
              <w:spacing w:line="360" w:lineRule="auto"/>
              <w:rPr>
                <w:rFonts w:ascii="宋体" w:hAnsi="宋体" w:eastAsia="宋体" w:cs="宋体"/>
                <w:color w:val="000000" w:themeColor="text1"/>
                <w:highlight w:val="none"/>
                <w14:textFill>
                  <w14:solidFill>
                    <w14:schemeClr w14:val="tx1"/>
                  </w14:solidFill>
                </w14:textFill>
              </w:rPr>
            </w:pPr>
          </w:p>
        </w:tc>
        <w:tc>
          <w:tcPr>
            <w:tcW w:w="8747" w:type="dxa"/>
            <w:gridSpan w:val="2"/>
            <w:noWrap/>
            <w:vAlign w:val="center"/>
          </w:tcPr>
          <w:p>
            <w:pPr>
              <w:pStyle w:val="109"/>
              <w:pBdr>
                <w:between w:val="single" w:color="auto" w:sz="4" w:space="1"/>
              </w:pBdr>
              <w:spacing w:line="360" w:lineRule="auto"/>
              <w:ind w:firstLine="482"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对同时属于小微企业、监狱企业或残疾人福利性单位的， 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75" w:type="dxa"/>
            <w:vMerge w:val="continue"/>
            <w:noWrap/>
            <w:vAlign w:val="center"/>
          </w:tcPr>
          <w:p>
            <w:pPr>
              <w:spacing w:line="360" w:lineRule="auto"/>
              <w:rPr>
                <w:rFonts w:ascii="宋体" w:hAnsi="宋体" w:eastAsia="宋体" w:cs="宋体"/>
                <w:color w:val="000000" w:themeColor="text1"/>
                <w:highlight w:val="none"/>
                <w14:textFill>
                  <w14:solidFill>
                    <w14:schemeClr w14:val="tx1"/>
                  </w14:solidFill>
                </w14:textFill>
              </w:rPr>
            </w:pPr>
          </w:p>
        </w:tc>
        <w:tc>
          <w:tcPr>
            <w:tcW w:w="8747" w:type="dxa"/>
            <w:gridSpan w:val="2"/>
            <w:noWrap/>
            <w:vAlign w:val="center"/>
          </w:tcPr>
          <w:p>
            <w:pPr>
              <w:spacing w:line="360" w:lineRule="auto"/>
              <w:ind w:firstLine="482" w:firstLineChars="200"/>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对节能、环保政策的支持</w:t>
            </w:r>
          </w:p>
          <w:p>
            <w:pPr>
              <w:spacing w:line="360" w:lineRule="auto"/>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109"/>
              <w:pBdr>
                <w:between w:val="single" w:color="auto" w:sz="4" w:space="1"/>
              </w:pBdr>
              <w:spacing w:line="360" w:lineRule="auto"/>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3、产品同时属于“非强制采购节能产品”、环境标志产品的，评审时只有其中一项能享受优先待遇（供应商自行选择，并在报价文件中填写相关信息及数据）。</w:t>
            </w:r>
          </w:p>
        </w:tc>
      </w:tr>
    </w:tbl>
    <w:p>
      <w:pPr>
        <w:pStyle w:val="2"/>
        <w:spacing w:before="240" w:after="240"/>
        <w:rPr>
          <w:rFonts w:ascii="宋体" w:hAnsi="宋体" w:cs="宋体"/>
          <w:color w:val="000000" w:themeColor="text1"/>
          <w:highlight w:val="none"/>
          <w14:textFill>
            <w14:solidFill>
              <w14:schemeClr w14:val="tx1"/>
            </w14:solidFill>
          </w14:textFill>
        </w:rPr>
      </w:pPr>
    </w:p>
    <w:p>
      <w:pPr>
        <w:pStyle w:val="100"/>
        <w:outlineLvl w:val="9"/>
        <w:rPr>
          <w:rFonts w:ascii="宋体" w:hAnsi="宋体" w:eastAsia="宋体" w:cs="宋体"/>
          <w:color w:val="000000" w:themeColor="text1"/>
          <w:sz w:val="28"/>
          <w:szCs w:val="28"/>
          <w:highlight w:val="none"/>
          <w14:textFill>
            <w14:solidFill>
              <w14:schemeClr w14:val="tx1"/>
            </w14:solidFill>
          </w14:textFill>
        </w:rPr>
      </w:pPr>
      <w:bookmarkStart w:id="180" w:name="_Toc16015"/>
      <w:bookmarkStart w:id="181" w:name="_Toc14692"/>
      <w:bookmarkStart w:id="182" w:name="_Toc29982"/>
      <w:r>
        <w:rPr>
          <w:rFonts w:hint="eastAsia" w:ascii="宋体" w:hAnsi="宋体" w:eastAsia="宋体" w:cs="宋体"/>
          <w:color w:val="000000" w:themeColor="text1"/>
          <w:sz w:val="28"/>
          <w:szCs w:val="28"/>
          <w:highlight w:val="none"/>
          <w14:textFill>
            <w14:solidFill>
              <w14:schemeClr w14:val="tx1"/>
            </w14:solidFill>
          </w14:textFill>
        </w:rPr>
        <w:t>4．推荐中标候选人</w:t>
      </w:r>
      <w:bookmarkEnd w:id="180"/>
      <w:bookmarkEnd w:id="181"/>
      <w:bookmarkEnd w:id="182"/>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00"/>
        <w:outlineLvl w:val="9"/>
        <w:rPr>
          <w:rFonts w:ascii="宋体" w:hAnsi="宋体" w:eastAsia="宋体" w:cs="宋体"/>
          <w:color w:val="000000" w:themeColor="text1"/>
          <w:sz w:val="28"/>
          <w:szCs w:val="28"/>
          <w:highlight w:val="none"/>
          <w14:textFill>
            <w14:solidFill>
              <w14:schemeClr w14:val="tx1"/>
            </w14:solidFill>
          </w14:textFill>
        </w:rPr>
      </w:pPr>
      <w:bookmarkStart w:id="183" w:name="_Toc9776"/>
      <w:bookmarkStart w:id="184" w:name="_Toc19896"/>
      <w:bookmarkStart w:id="185" w:name="_Toc10501"/>
      <w:r>
        <w:rPr>
          <w:rFonts w:hint="eastAsia" w:ascii="宋体" w:hAnsi="宋体" w:eastAsia="宋体" w:cs="宋体"/>
          <w:color w:val="000000" w:themeColor="text1"/>
          <w:sz w:val="28"/>
          <w:szCs w:val="28"/>
          <w:highlight w:val="none"/>
          <w14:textFill>
            <w14:solidFill>
              <w14:schemeClr w14:val="tx1"/>
            </w14:solidFill>
          </w14:textFill>
        </w:rPr>
        <w:t>5．编写评审报告</w:t>
      </w:r>
      <w:bookmarkEnd w:id="183"/>
      <w:bookmarkEnd w:id="184"/>
      <w:bookmarkEnd w:id="185"/>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评审报告是评标委员会根据全体评标成员签字的原始评标记录和评标结果编写的报告，其主要内容包括：</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（1）招标公告刊登的媒体名称、开标日期和地点。</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（2）投标供应商名单和评标委员会成员名单。</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（3）评标方法。</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（4）开标记录和评标情况及说明，包括投标无效供应商名单及原因。</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（5）评标结果，确定的中标候选人名单或者经采购人委托直接确定的中标供应商。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（6）其他需要说明的情况，包括评标过程中投标供应商根据评标委员会要求进行的澄清、说明或者补正，评标委员会成员的更换等。</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86" w:name="_Toc10890"/>
      <w:bookmarkStart w:id="187" w:name="_Toc26208"/>
      <w:bookmarkStart w:id="188" w:name="_Toc17734"/>
      <w:bookmarkStart w:id="189" w:name="_Toc19320"/>
      <w:r>
        <w:rPr>
          <w:rFonts w:hint="eastAsia" w:ascii="宋体" w:hAnsi="宋体" w:eastAsia="宋体" w:cs="宋体"/>
          <w:color w:val="000000" w:themeColor="text1"/>
          <w:sz w:val="28"/>
          <w:szCs w:val="28"/>
          <w:highlight w:val="none"/>
          <w14:textFill>
            <w14:solidFill>
              <w14:schemeClr w14:val="tx1"/>
            </w14:solidFill>
          </w14:textFill>
        </w:rPr>
        <w:t>（三）评标争议处理规则</w:t>
      </w:r>
      <w:bookmarkEnd w:id="186"/>
      <w:bookmarkEnd w:id="187"/>
      <w:bookmarkEnd w:id="188"/>
      <w:bookmarkEnd w:id="189"/>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90" w:name="_Toc14406"/>
      <w:bookmarkStart w:id="191" w:name="_Toc5591"/>
      <w:bookmarkStart w:id="192" w:name="_Toc2631"/>
      <w:bookmarkStart w:id="193" w:name="_Toc23269"/>
      <w:r>
        <w:rPr>
          <w:rFonts w:hint="eastAsia" w:ascii="宋体" w:hAnsi="宋体" w:eastAsia="宋体" w:cs="宋体"/>
          <w:color w:val="000000" w:themeColor="text1"/>
          <w:sz w:val="28"/>
          <w:szCs w:val="28"/>
          <w:highlight w:val="none"/>
          <w14:textFill>
            <w14:solidFill>
              <w14:schemeClr w14:val="tx1"/>
            </w14:solidFill>
          </w14:textFill>
        </w:rPr>
        <w:t>（四）评审现场人员的保密责任</w:t>
      </w:r>
      <w:bookmarkEnd w:id="190"/>
      <w:bookmarkEnd w:id="191"/>
      <w:bookmarkEnd w:id="192"/>
      <w:bookmarkEnd w:id="193"/>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94" w:name="_Toc21723"/>
      <w:bookmarkStart w:id="195" w:name="_Toc22694"/>
      <w:bookmarkStart w:id="196" w:name="_Toc17739"/>
      <w:bookmarkStart w:id="197" w:name="_Toc10213"/>
      <w:r>
        <w:rPr>
          <w:rFonts w:hint="eastAsia" w:ascii="宋体" w:hAnsi="宋体" w:eastAsia="宋体" w:cs="宋体"/>
          <w:color w:val="000000" w:themeColor="text1"/>
          <w:sz w:val="28"/>
          <w:szCs w:val="28"/>
          <w:highlight w:val="none"/>
          <w14:textFill>
            <w14:solidFill>
              <w14:schemeClr w14:val="tx1"/>
            </w14:solidFill>
          </w14:textFill>
        </w:rPr>
        <w:t>（五）视同供应商串通投标的情形，其投标无效：</w:t>
      </w:r>
      <w:bookmarkEnd w:id="194"/>
      <w:bookmarkEnd w:id="195"/>
      <w:bookmarkEnd w:id="196"/>
      <w:bookmarkEnd w:id="197"/>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1．不同供应商的投标文件由同一单位或者个人编制。</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2．不同供应商委托同一单位或者个人办理投标事宜。</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3．不同供应商的投标文件载明的项目管理成员或者联系人员为同一人。</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4．不同供应商的投标文件异常一致或者投标报价呈规律性差异。</w:t>
      </w:r>
    </w:p>
    <w:p>
      <w:pPr>
        <w:pStyle w:val="5"/>
        <w:rPr>
          <w:rFonts w:ascii="宋体" w:hAnsi="宋体" w:eastAsia="宋体" w:cs="宋体"/>
          <w:color w:val="000000" w:themeColor="text1"/>
          <w:sz w:val="28"/>
          <w:szCs w:val="28"/>
          <w:highlight w:val="none"/>
          <w14:textFill>
            <w14:solidFill>
              <w14:schemeClr w14:val="tx1"/>
            </w14:solidFill>
          </w14:textFill>
        </w:rPr>
      </w:pPr>
      <w:bookmarkStart w:id="198" w:name="_Toc25575"/>
      <w:r>
        <w:rPr>
          <w:rFonts w:hint="eastAsia" w:ascii="宋体" w:hAnsi="宋体" w:eastAsia="宋体" w:cs="宋体"/>
          <w:color w:val="000000" w:themeColor="text1"/>
          <w:sz w:val="28"/>
          <w:szCs w:val="28"/>
          <w:highlight w:val="none"/>
          <w14:textFill>
            <w14:solidFill>
              <w14:schemeClr w14:val="tx1"/>
            </w14:solidFill>
          </w14:textFill>
        </w:rPr>
        <w:t>八、中标</w:t>
      </w:r>
      <w:bookmarkEnd w:id="198"/>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1．代理机构在评标结束后1个工作日内将评标报告送达采购单位，采购单位在收到评标报告后4个工作日内，按照评标报告中推荐的中标候选人顺序确认第一中标候选人为中标单位，同时书面复函代理机构。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2．采购代理机构将在中标供应商确定之日起1个工作日内，在【</w:t>
      </w:r>
      <w:r>
        <w:rPr>
          <w:highlight w:val="none"/>
        </w:rPr>
        <w:fldChar w:fldCharType="begin"/>
      </w:r>
      <w:r>
        <w:rPr>
          <w:highlight w:val="none"/>
        </w:rPr>
        <w:instrText xml:space="preserve"> HYPERLINK "http://www.ccgp-shaanxi.gov.cn" </w:instrText>
      </w:r>
      <w:r>
        <w:rPr>
          <w:highlight w:val="none"/>
        </w:rPr>
        <w:fldChar w:fldCharType="separate"/>
      </w:r>
      <w:r>
        <w:rPr>
          <w:rStyle w:val="40"/>
          <w:rFonts w:hint="eastAsia" w:ascii="宋体" w:hAnsi="宋体" w:eastAsia="宋体" w:cs="宋体"/>
          <w:color w:val="000000" w:themeColor="text1"/>
          <w:sz w:val="28"/>
          <w:szCs w:val="28"/>
          <w:highlight w:val="none"/>
          <w:u w:val="none"/>
          <w14:textFill>
            <w14:solidFill>
              <w14:schemeClr w14:val="tx1"/>
            </w14:solidFill>
          </w14:textFill>
        </w:rPr>
        <w:t>陕西省政府采购网</w:t>
      </w:r>
      <w:r>
        <w:rPr>
          <w:rStyle w:val="40"/>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r>
        <w:rPr>
          <w:highlight w:val="none"/>
        </w:rPr>
        <w:fldChar w:fldCharType="begin"/>
      </w:r>
      <w:r>
        <w:rPr>
          <w:highlight w:val="none"/>
        </w:rPr>
        <w:instrText xml:space="preserve"> HYPERLINK "http://www.ccgp-shaanxi.gov.cn/" </w:instrText>
      </w:r>
      <w:r>
        <w:rPr>
          <w:highlight w:val="none"/>
        </w:rPr>
        <w:fldChar w:fldCharType="separate"/>
      </w:r>
      <w:r>
        <w:rPr>
          <w:rStyle w:val="40"/>
          <w:rFonts w:hint="eastAsia" w:ascii="宋体" w:hAnsi="宋体" w:eastAsia="宋体" w:cs="宋体"/>
          <w:color w:val="000000" w:themeColor="text1"/>
          <w:sz w:val="28"/>
          <w:szCs w:val="28"/>
          <w:highlight w:val="none"/>
          <w:u w:val="none"/>
          <w14:textFill>
            <w14:solidFill>
              <w14:schemeClr w14:val="tx1"/>
            </w14:solidFill>
          </w14:textFill>
        </w:rPr>
        <w:t>http://www.ccgp-shaanxi.gov.cn/</w:t>
      </w:r>
      <w:r>
        <w:rPr>
          <w:rStyle w:val="40"/>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）上公布中标结果。中标公告期限为1个工作日</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4．采购代理机构按照相关规定将评审报告送监管机构备案。</w:t>
      </w:r>
    </w:p>
    <w:p>
      <w:pPr>
        <w:pStyle w:val="5"/>
        <w:rPr>
          <w:rFonts w:ascii="宋体" w:hAnsi="宋体" w:eastAsia="宋体" w:cs="宋体"/>
          <w:color w:val="000000" w:themeColor="text1"/>
          <w:sz w:val="28"/>
          <w:szCs w:val="28"/>
          <w:highlight w:val="none"/>
          <w14:textFill>
            <w14:solidFill>
              <w14:schemeClr w14:val="tx1"/>
            </w14:solidFill>
          </w14:textFill>
        </w:rPr>
      </w:pPr>
      <w:bookmarkStart w:id="199" w:name="_Toc15898"/>
      <w:r>
        <w:rPr>
          <w:rFonts w:hint="eastAsia" w:ascii="宋体" w:hAnsi="宋体" w:eastAsia="宋体" w:cs="宋体"/>
          <w:color w:val="000000" w:themeColor="text1"/>
          <w:sz w:val="28"/>
          <w:szCs w:val="28"/>
          <w:highlight w:val="none"/>
          <w14:textFill>
            <w14:solidFill>
              <w14:schemeClr w14:val="tx1"/>
            </w14:solidFill>
          </w14:textFill>
        </w:rPr>
        <w:t>九、合同签订、履行及验收</w:t>
      </w:r>
      <w:bookmarkEnd w:id="199"/>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招标文件、投标文件、澄清、补充合同等为政府采购合同的组成部分，具有同等法律效力。</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200" w:name="_Toc444"/>
      <w:bookmarkStart w:id="201" w:name="_Toc26458"/>
      <w:bookmarkStart w:id="202" w:name="_Toc15766"/>
      <w:bookmarkStart w:id="203" w:name="_Toc24344"/>
      <w:r>
        <w:rPr>
          <w:rFonts w:hint="eastAsia" w:ascii="宋体" w:hAnsi="宋体" w:eastAsia="宋体" w:cs="宋体"/>
          <w:color w:val="000000" w:themeColor="text1"/>
          <w:sz w:val="28"/>
          <w:szCs w:val="28"/>
          <w:highlight w:val="none"/>
          <w14:textFill>
            <w14:solidFill>
              <w14:schemeClr w14:val="tx1"/>
            </w14:solidFill>
          </w14:textFill>
        </w:rPr>
        <w:t>（一）签订政府采购合同</w:t>
      </w:r>
      <w:bookmarkEnd w:id="200"/>
      <w:bookmarkEnd w:id="201"/>
      <w:bookmarkEnd w:id="202"/>
      <w:bookmarkEnd w:id="203"/>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1．自中标通知书发出之日起30日内，采购人与中标供应商应按招标文件和中标供应商投标文件的约定，签订书面合同。</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2．中标供应商拒绝与采购人签订合同的，采购人可以按照《政府采购法实施条例》第四十九条规定，确定下一候选人为中标供应商，也可以重新开展政府采购活动。</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4．质疑或者投诉事项可能影响中标、成交结果的，采购人应当暂停签订合同，已经签订合同的，应当中止履行合同。</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204" w:name="_Toc26383"/>
      <w:bookmarkStart w:id="205" w:name="_Toc14412"/>
      <w:bookmarkStart w:id="206" w:name="_Toc13157"/>
      <w:bookmarkStart w:id="207" w:name="_Toc876"/>
      <w:r>
        <w:rPr>
          <w:rFonts w:hint="eastAsia" w:ascii="宋体" w:hAnsi="宋体" w:eastAsia="宋体" w:cs="宋体"/>
          <w:color w:val="000000" w:themeColor="text1"/>
          <w:sz w:val="28"/>
          <w:szCs w:val="28"/>
          <w:highlight w:val="none"/>
          <w14:textFill>
            <w14:solidFill>
              <w14:schemeClr w14:val="tx1"/>
            </w14:solidFill>
          </w14:textFill>
        </w:rPr>
        <w:t>（二）合同公告及备案</w:t>
      </w:r>
      <w:bookmarkEnd w:id="204"/>
      <w:bookmarkEnd w:id="205"/>
      <w:bookmarkEnd w:id="206"/>
      <w:bookmarkEnd w:id="207"/>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1．采购人应当自政府采购合同签订之日起2个工作日内，在陕西省政府采购网对合同进行公示，但政府采购合同中涉及国家秘密、商业秘密的内容除外。</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2．采购人应自合同签订之日起7个工作日内将政府采购合同报送监管机构备案。</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208" w:name="_Toc25755"/>
      <w:bookmarkStart w:id="209" w:name="_Toc22359"/>
      <w:bookmarkStart w:id="210" w:name="_Toc5592"/>
      <w:bookmarkStart w:id="211" w:name="_Toc11766"/>
      <w:r>
        <w:rPr>
          <w:rFonts w:hint="eastAsia" w:ascii="宋体" w:hAnsi="宋体" w:eastAsia="宋体" w:cs="宋体"/>
          <w:color w:val="000000" w:themeColor="text1"/>
          <w:sz w:val="28"/>
          <w:szCs w:val="28"/>
          <w:highlight w:val="none"/>
          <w14:textFill>
            <w14:solidFill>
              <w14:schemeClr w14:val="tx1"/>
            </w14:solidFill>
          </w14:textFill>
        </w:rPr>
        <w:t>（三）履行合同</w:t>
      </w:r>
      <w:bookmarkEnd w:id="208"/>
      <w:bookmarkEnd w:id="209"/>
      <w:bookmarkEnd w:id="210"/>
      <w:bookmarkEnd w:id="211"/>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1．合同一经签订，双方应严格履行合同规定的义务。</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2．在合同履行过程中，如发生合同纠纷，合同双方应按照《中华人民共和国民法典》及合同条款的有关规定进行处理。</w:t>
      </w:r>
    </w:p>
    <w:p>
      <w:pPr>
        <w:pStyle w:val="101"/>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212" w:name="_Toc7346"/>
      <w:bookmarkStart w:id="213" w:name="_Toc1478"/>
      <w:bookmarkStart w:id="214" w:name="_Toc1104"/>
      <w:bookmarkStart w:id="215" w:name="_Toc602"/>
      <w:r>
        <w:rPr>
          <w:rFonts w:hint="eastAsia" w:ascii="宋体" w:hAnsi="宋体" w:eastAsia="宋体" w:cs="宋体"/>
          <w:color w:val="000000" w:themeColor="text1"/>
          <w:sz w:val="28"/>
          <w:szCs w:val="28"/>
          <w:highlight w:val="none"/>
          <w14:textFill>
            <w14:solidFill>
              <w14:schemeClr w14:val="tx1"/>
            </w14:solidFill>
          </w14:textFill>
        </w:rPr>
        <w:t>（四）验收或考核</w:t>
      </w:r>
      <w:bookmarkEnd w:id="212"/>
      <w:bookmarkEnd w:id="213"/>
      <w:bookmarkEnd w:id="214"/>
      <w:bookmarkEnd w:id="215"/>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1．采购人严格按照国家相关法律法规的要求及招标文件的要求组织验收或考核。</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2．采购人按《关于促进政府采购公平竞争优化营商环境的通知》（财库〔2019〕38号）、《保障中小企业款项支付条例》（国务院令第728号）等规定及采购合同的约定进行支付合同款项。</w:t>
      </w:r>
    </w:p>
    <w:p>
      <w:pPr>
        <w:pStyle w:val="5"/>
        <w:rPr>
          <w:rFonts w:ascii="宋体" w:hAnsi="宋体" w:eastAsia="宋体" w:cs="宋体"/>
          <w:color w:val="000000" w:themeColor="text1"/>
          <w:sz w:val="28"/>
          <w:szCs w:val="28"/>
          <w:highlight w:val="none"/>
          <w14:textFill>
            <w14:solidFill>
              <w14:schemeClr w14:val="tx1"/>
            </w14:solidFill>
          </w14:textFill>
        </w:rPr>
      </w:pPr>
      <w:bookmarkStart w:id="216" w:name="_Toc15830"/>
      <w:r>
        <w:rPr>
          <w:rFonts w:hint="eastAsia" w:ascii="宋体" w:hAnsi="宋体" w:eastAsia="宋体" w:cs="宋体"/>
          <w:color w:val="000000" w:themeColor="text1"/>
          <w:sz w:val="28"/>
          <w:szCs w:val="28"/>
          <w:highlight w:val="none"/>
          <w14:textFill>
            <w14:solidFill>
              <w14:schemeClr w14:val="tx1"/>
            </w14:solidFill>
          </w14:textFill>
        </w:rPr>
        <w:t>十、废标及重新招标</w:t>
      </w:r>
      <w:bookmarkEnd w:id="216"/>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2．根据《政府采购法》第三十六条规定，在招标采购中，出现下列情形之一的，本项目按废标处理：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（1）出现影响采购公正的违法、违规行为的。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（2）供应商的报价均超过了采购预算，采购人不能支付的。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（3）因重大变故，采购任务取消的。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废标后，除采购任务取消外，本项目将重新组织招标。</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560" w:firstLineChars="200"/>
        <w:jc w:val="both"/>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4．招标文件未明确的其他事项，按《政府采购法》及其相关法律法规执行。</w:t>
      </w:r>
    </w:p>
    <w:p>
      <w:pPr>
        <w:rPr>
          <w:rFonts w:ascii="宋体" w:hAnsi="宋体" w:eastAsia="宋体" w:cs="宋体"/>
          <w:color w:val="000000" w:themeColor="text1"/>
          <w:sz w:val="32"/>
          <w:szCs w:val="32"/>
          <w:highlight w:val="none"/>
          <w14:textFill>
            <w14:solidFill>
              <w14:schemeClr w14:val="tx1"/>
            </w14:solidFill>
          </w14:textFill>
        </w:rPr>
      </w:pPr>
      <w:bookmarkStart w:id="217" w:name="_Toc100219614"/>
      <w:r>
        <w:rPr>
          <w:rFonts w:hint="eastAsia" w:ascii="宋体" w:hAnsi="宋体" w:eastAsia="宋体" w:cs="宋体"/>
          <w:color w:val="000000" w:themeColor="text1"/>
          <w:sz w:val="32"/>
          <w:szCs w:val="32"/>
          <w:highlight w:val="none"/>
          <w14:textFill>
            <w14:solidFill>
              <w14:schemeClr w14:val="tx1"/>
            </w14:solidFill>
          </w14:textFill>
        </w:rPr>
        <w:br w:type="page"/>
      </w:r>
    </w:p>
    <w:p>
      <w:pPr>
        <w:rPr>
          <w:rFonts w:ascii="宋体" w:hAnsi="宋体" w:eastAsia="宋体" w:cs="宋体"/>
          <w:color w:val="000000" w:themeColor="text1"/>
          <w:highlight w:val="none"/>
          <w14:textFill>
            <w14:solidFill>
              <w14:schemeClr w14:val="tx1"/>
            </w14:solidFill>
          </w14:textFill>
        </w:rPr>
      </w:pPr>
    </w:p>
    <w:p>
      <w:pPr>
        <w:pStyle w:val="3"/>
        <w:rPr>
          <w:rFonts w:ascii="宋体" w:hAnsi="宋体" w:eastAsia="宋体" w:cs="宋体"/>
          <w:color w:val="000000" w:themeColor="text1"/>
          <w:highlight w:val="none"/>
          <w14:textFill>
            <w14:solidFill>
              <w14:schemeClr w14:val="tx1"/>
            </w14:solidFill>
          </w14:textFill>
        </w:rPr>
      </w:pPr>
      <w:bookmarkStart w:id="218" w:name="_Toc15617"/>
      <w:bookmarkStart w:id="219" w:name="_Toc15548"/>
      <w:r>
        <w:rPr>
          <w:rFonts w:hint="eastAsia" w:ascii="宋体" w:hAnsi="宋体" w:eastAsia="宋体" w:cs="宋体"/>
          <w:color w:val="000000" w:themeColor="text1"/>
          <w:highlight w:val="none"/>
          <w14:textFill>
            <w14:solidFill>
              <w14:schemeClr w14:val="tx1"/>
            </w14:solidFill>
          </w14:textFill>
        </w:rPr>
        <w:t>第三章  招标内容及要求</w:t>
      </w:r>
      <w:bookmarkEnd w:id="217"/>
      <w:bookmarkEnd w:id="218"/>
      <w:bookmarkEnd w:id="219"/>
    </w:p>
    <w:p>
      <w:pPr>
        <w:widowControl w:val="0"/>
        <w:spacing w:line="360" w:lineRule="auto"/>
        <w:ind w:firstLine="562" w:firstLineChars="200"/>
        <w:jc w:val="both"/>
        <w:outlineLvl w:val="2"/>
        <w:rPr>
          <w:rFonts w:ascii="宋体" w:hAnsi="宋体" w:eastAsia="宋体" w:cs="宋体"/>
          <w:color w:val="000000" w:themeColor="text1"/>
          <w:kern w:val="2"/>
          <w:sz w:val="28"/>
          <w:szCs w:val="28"/>
          <w:highlight w:val="none"/>
          <w14:textFill>
            <w14:solidFill>
              <w14:schemeClr w14:val="tx1"/>
            </w14:solidFill>
          </w14:textFill>
        </w:rPr>
      </w:pPr>
      <w:bookmarkStart w:id="220" w:name="_Toc14149"/>
      <w:r>
        <w:rPr>
          <w:rFonts w:hint="eastAsia" w:ascii="宋体" w:hAnsi="宋体" w:eastAsia="宋体" w:cs="宋体"/>
          <w:b/>
          <w:bCs/>
          <w:color w:val="000000" w:themeColor="text1"/>
          <w:kern w:val="2"/>
          <w:sz w:val="28"/>
          <w:szCs w:val="28"/>
          <w:highlight w:val="none"/>
          <w14:textFill>
            <w14:solidFill>
              <w14:schemeClr w14:val="tx1"/>
            </w14:solidFill>
          </w14:textFill>
        </w:rPr>
        <w:t>一、商务条款</w:t>
      </w:r>
      <w:bookmarkEnd w:id="220"/>
    </w:p>
    <w:p>
      <w:pPr>
        <w:spacing w:line="360" w:lineRule="auto"/>
        <w:ind w:firstLine="562"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（一）交货期：</w:t>
      </w:r>
      <w:r>
        <w:rPr>
          <w:rFonts w:hint="eastAsia" w:ascii="宋体" w:hAnsi="宋体" w:eastAsia="宋体" w:cs="宋体"/>
          <w:color w:val="000000" w:themeColor="text1"/>
          <w:sz w:val="28"/>
          <w:szCs w:val="28"/>
          <w:highlight w:val="none"/>
          <w14:textFill>
            <w14:solidFill>
              <w14:schemeClr w14:val="tx1"/>
            </w14:solidFill>
          </w14:textFill>
        </w:rPr>
        <w:t>合同签订后</w:t>
      </w:r>
      <w:r>
        <w:rPr>
          <w:rFonts w:hint="eastAsia" w:ascii="宋体" w:hAnsi="宋体" w:eastAsia="宋体" w:cs="宋体"/>
          <w:color w:val="000000" w:themeColor="text1"/>
          <w:sz w:val="28"/>
          <w:szCs w:val="28"/>
          <w:highlight w:val="none"/>
          <w:u w:val="single"/>
          <w14:textFill>
            <w14:solidFill>
              <w14:schemeClr w14:val="tx1"/>
            </w14:solidFill>
          </w14:textFill>
        </w:rPr>
        <w:t xml:space="preserve">30 </w:t>
      </w:r>
      <w:r>
        <w:rPr>
          <w:rFonts w:hint="eastAsia" w:ascii="宋体" w:hAnsi="宋体" w:eastAsia="宋体" w:cs="宋体"/>
          <w:color w:val="000000" w:themeColor="text1"/>
          <w:sz w:val="28"/>
          <w:szCs w:val="28"/>
          <w:highlight w:val="none"/>
          <w14:textFill>
            <w14:solidFill>
              <w14:schemeClr w14:val="tx1"/>
            </w14:solidFill>
          </w14:textFill>
        </w:rPr>
        <w:t>个日历日。</w:t>
      </w:r>
    </w:p>
    <w:p>
      <w:pPr>
        <w:spacing w:line="360" w:lineRule="auto"/>
        <w:ind w:firstLine="562"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（二）质保期：</w:t>
      </w:r>
      <w:r>
        <w:rPr>
          <w:rFonts w:hint="eastAsia" w:ascii="宋体" w:hAnsi="宋体" w:eastAsia="宋体" w:cs="宋体"/>
          <w:color w:val="000000" w:themeColor="text1"/>
          <w:sz w:val="28"/>
          <w:szCs w:val="28"/>
          <w:highlight w:val="none"/>
          <w14:textFill>
            <w14:solidFill>
              <w14:schemeClr w14:val="tx1"/>
            </w14:solidFill>
          </w14:textFill>
        </w:rPr>
        <w:t>验收合格后5年，软件终身免费升级。</w:t>
      </w:r>
    </w:p>
    <w:p>
      <w:pPr>
        <w:spacing w:line="360" w:lineRule="auto"/>
        <w:ind w:firstLine="562"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（三）交货地点：</w:t>
      </w:r>
      <w:r>
        <w:rPr>
          <w:rFonts w:hint="eastAsia" w:ascii="宋体" w:hAnsi="宋体" w:eastAsia="宋体" w:cs="宋体"/>
          <w:color w:val="000000" w:themeColor="text1"/>
          <w:sz w:val="28"/>
          <w:szCs w:val="28"/>
          <w:highlight w:val="none"/>
          <w14:textFill>
            <w14:solidFill>
              <w14:schemeClr w14:val="tx1"/>
            </w14:solidFill>
          </w14:textFill>
        </w:rPr>
        <w:t>西安铁路职业技术学院</w:t>
      </w:r>
    </w:p>
    <w:p>
      <w:pPr>
        <w:spacing w:line="360" w:lineRule="auto"/>
        <w:ind w:firstLine="562"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（四）付款方式：</w:t>
      </w:r>
      <w:r>
        <w:rPr>
          <w:rFonts w:hint="eastAsia" w:ascii="宋体" w:hAnsi="宋体" w:eastAsia="宋体" w:cs="宋体"/>
          <w:color w:val="000000" w:themeColor="text1"/>
          <w:sz w:val="28"/>
          <w:szCs w:val="28"/>
          <w:highlight w:val="none"/>
          <w14:textFill>
            <w14:solidFill>
              <w14:schemeClr w14:val="tx1"/>
            </w14:solidFill>
          </w14:textFill>
        </w:rPr>
        <w:t>合同签订后，供应商持履约保证金交纳凭证、合同复印件、预付款发票，至采购方处办理合同总价款的30%预付款项。</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项目完成并验收合格（达到使用标准）后，采购方在30日内支付供应商合同总价款的70％剩余款项。</w:t>
      </w:r>
    </w:p>
    <w:p>
      <w:pPr>
        <w:spacing w:line="360" w:lineRule="auto"/>
        <w:ind w:firstLine="560" w:firstLineChars="200"/>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结算方式：验收合格后填写政府采购项目验收单（一式伍份），供应商持成交通知书、供货合同、正式发票、政府采购项目验收单，与采购人结算。</w:t>
      </w:r>
    </w:p>
    <w:p>
      <w:pPr>
        <w:spacing w:line="360" w:lineRule="auto"/>
        <w:ind w:firstLine="562"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（五）包装及运输：</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1、中标供应商负责货物到达交货地点前的所有包装、运输、装卸及保险事项，相关费用应包括在合同总价中。</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2、中标供应商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3、货物的运输方式由中标供应商自行选择，但包装必须满足货物运输和装卸的要求，保证买方收到的是无任何损伤的货物。否则，因此造成的损失由卖方自行承担。 </w:t>
      </w:r>
    </w:p>
    <w:p>
      <w:pPr>
        <w:pStyle w:val="18"/>
        <w:spacing w:line="360" w:lineRule="auto"/>
        <w:ind w:firstLine="400"/>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（六）验收：项目验收分初验和终验:</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1、初验：货物到达交货地点后，由使用单位根据合同对货物的名称、品牌、规格、型号、产地、数量进行检查。</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2、终验：所有货物安装完毕，正常使用10个日历日后，由采购人、使用单位进行验收，合格后签发《验收合格单》。</w:t>
      </w:r>
      <w:r>
        <w:rPr>
          <w:rFonts w:hint="eastAsia" w:ascii="宋体" w:hAnsi="宋体" w:eastAsia="宋体" w:cs="宋体"/>
          <w:color w:val="000000" w:themeColor="text1"/>
          <w:sz w:val="28"/>
          <w:szCs w:val="28"/>
          <w:highlight w:val="none"/>
          <w14:textFill>
            <w14:solidFill>
              <w14:schemeClr w14:val="tx1"/>
            </w14:solidFill>
          </w14:textFill>
        </w:rPr>
        <w:cr/>
      </w:r>
      <w:r>
        <w:rPr>
          <w:rFonts w:hint="eastAsia" w:ascii="宋体" w:hAnsi="宋体" w:eastAsia="宋体" w:cs="宋体"/>
          <w:color w:val="000000" w:themeColor="text1"/>
          <w:sz w:val="28"/>
          <w:szCs w:val="28"/>
          <w:highlight w:val="none"/>
          <w14:textFill>
            <w14:solidFill>
              <w14:schemeClr w14:val="tx1"/>
            </w14:solidFill>
          </w14:textFill>
        </w:rPr>
        <w:t xml:space="preserve">    3、验收不合格的中标供应商，必须在接到通知后7个日历日内确保货物通过验收。如接到通知后7个日历日内验收仍不合格，采购人可提出索赔或取消其供货合同。采购代理机构将把中标资格授予评审排序下一名的中标供应商。</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4、验收依据</w:t>
      </w:r>
    </w:p>
    <w:p>
      <w:pPr>
        <w:pStyle w:val="18"/>
        <w:spacing w:line="360" w:lineRule="auto"/>
        <w:ind w:firstLine="4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（1）合同文本及合同补充文件（条款）。 </w:t>
      </w:r>
    </w:p>
    <w:p>
      <w:pPr>
        <w:pStyle w:val="18"/>
        <w:spacing w:line="360" w:lineRule="auto"/>
        <w:ind w:firstLine="4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（2）产品的合法来源渠道证明文件。</w:t>
      </w:r>
    </w:p>
    <w:p>
      <w:pPr>
        <w:pStyle w:val="18"/>
        <w:spacing w:line="360" w:lineRule="auto"/>
        <w:ind w:firstLine="4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（3）公开招标文件。</w:t>
      </w:r>
    </w:p>
    <w:p>
      <w:pPr>
        <w:pStyle w:val="18"/>
        <w:spacing w:line="360" w:lineRule="auto"/>
        <w:ind w:firstLine="4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（4）中标供应商的投标文件。</w:t>
      </w:r>
    </w:p>
    <w:p>
      <w:pPr>
        <w:pStyle w:val="18"/>
        <w:spacing w:line="360" w:lineRule="auto"/>
        <w:ind w:firstLine="4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（5）合同货物清单。</w:t>
      </w:r>
    </w:p>
    <w:p>
      <w:pPr>
        <w:pStyle w:val="18"/>
        <w:spacing w:line="360" w:lineRule="auto"/>
        <w:ind w:firstLine="4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（6）生产厂家的企业资质、货物的执行标准。</w:t>
      </w:r>
    </w:p>
    <w:p>
      <w:pPr>
        <w:pStyle w:val="18"/>
        <w:spacing w:line="360" w:lineRule="auto"/>
        <w:ind w:firstLine="4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（七）售后服务:</w:t>
      </w:r>
      <w:bookmarkStart w:id="221" w:name="_Toc18283"/>
      <w:r>
        <w:rPr>
          <w:rFonts w:hint="eastAsia" w:ascii="宋体" w:hAnsi="宋体" w:eastAsia="宋体" w:cs="宋体"/>
          <w:color w:val="000000" w:themeColor="text1"/>
          <w:sz w:val="28"/>
          <w:szCs w:val="28"/>
          <w:highlight w:val="none"/>
          <w14:textFill>
            <w14:solidFill>
              <w14:schemeClr w14:val="tx1"/>
            </w14:solidFill>
          </w14:textFill>
        </w:rPr>
        <w:t>接到维修电话后4小时内给予明确答复，8小时内到达现场维修。维修人员到现场后若问题特殊无法现场修复的，供货方需在24小时内给出合理解决方案。</w:t>
      </w:r>
    </w:p>
    <w:p>
      <w:pPr>
        <w:pStyle w:val="18"/>
        <w:spacing w:line="360" w:lineRule="auto"/>
        <w:ind w:firstLine="4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学校有重大活动时，至少派2名3年以上工作经验丰富的技术工程师进行驻场服务采用倒班制值守。在系统试运行前为用户免费培训系统操作，帮助用户建立一整套管理运维流程，并提供详细的技术资料，保证用户熟练操作。每年为用户提供免费培训服务。</w:t>
      </w:r>
    </w:p>
    <w:p>
      <w:pPr>
        <w:spacing w:line="360" w:lineRule="auto"/>
        <w:ind w:firstLine="562" w:firstLineChars="200"/>
        <w:outlineLvl w:val="2"/>
        <w:rPr>
          <w:rFonts w:ascii="宋体" w:hAnsi="宋体" w:eastAsia="宋体" w:cs="宋体"/>
          <w:b/>
          <w:bCs/>
          <w:color w:val="000000" w:themeColor="text1"/>
          <w:kern w:val="2"/>
          <w:sz w:val="28"/>
          <w:szCs w:val="28"/>
          <w:highlight w:val="none"/>
          <w14:textFill>
            <w14:solidFill>
              <w14:schemeClr w14:val="tx1"/>
            </w14:solidFill>
          </w14:textFill>
        </w:rPr>
      </w:pPr>
      <w:r>
        <w:rPr>
          <w:rFonts w:hint="eastAsia" w:ascii="宋体" w:hAnsi="宋体" w:eastAsia="宋体" w:cs="宋体"/>
          <w:b/>
          <w:bCs/>
          <w:color w:val="000000" w:themeColor="text1"/>
          <w:kern w:val="2"/>
          <w:sz w:val="28"/>
          <w:szCs w:val="28"/>
          <w:highlight w:val="none"/>
          <w14:textFill>
            <w14:solidFill>
              <w14:schemeClr w14:val="tx1"/>
            </w14:solidFill>
          </w14:textFill>
        </w:rPr>
        <w:t>二、项目概况（功能及需求、完成效果、售后质保等）</w:t>
      </w:r>
      <w:bookmarkEnd w:id="221"/>
    </w:p>
    <w:p>
      <w:pPr>
        <w:pStyle w:val="77"/>
        <w:spacing w:line="360" w:lineRule="auto"/>
        <w:ind w:left="0" w:firstLine="560" w:firstLineChars="200"/>
        <w:rPr>
          <w:rFonts w:ascii="宋体" w:hAnsi="宋体" w:eastAsia="宋体" w:cs="宋体"/>
          <w:color w:val="000000" w:themeColor="text1"/>
          <w:sz w:val="28"/>
          <w:szCs w:val="28"/>
          <w:highlight w:val="none"/>
          <w14:textFill>
            <w14:solidFill>
              <w14:schemeClr w14:val="tx1"/>
            </w14:solidFill>
          </w14:textFill>
        </w:rPr>
      </w:pPr>
      <w:bookmarkStart w:id="222" w:name="_Toc100219615"/>
      <w:r>
        <w:rPr>
          <w:rFonts w:hint="eastAsia" w:ascii="宋体" w:hAnsi="宋体" w:eastAsia="宋体" w:cs="宋体"/>
          <w:color w:val="000000" w:themeColor="text1"/>
          <w:sz w:val="28"/>
          <w:szCs w:val="28"/>
          <w:highlight w:val="none"/>
          <w14:textFill>
            <w14:solidFill>
              <w14:schemeClr w14:val="tx1"/>
            </w14:solidFill>
          </w14:textFill>
        </w:rPr>
        <w:t>1.本次拟建设107间智慧教室。教室的建设，总体上应统筹成本、效率、先进、实用的原则，遵循整体规划、需求主导、资源整合、互联互通、信息共享、标准统一的策略，一方面保障系统的先进性、可靠性、易用性和可维护性。另一方面保障系统的可扩展性、可伸缩性以及可管理性和服务支持能力。</w:t>
      </w:r>
    </w:p>
    <w:p>
      <w:pPr>
        <w:pStyle w:val="77"/>
        <w:spacing w:line="360" w:lineRule="auto"/>
        <w:ind w:left="0"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实现港务校区对全院智慧教室统一管理。同时在自强和龙首校区建设校区控制中心，实现自强和龙首校区校区内部的管理，能够实现远程控制开关机，具备实时语音远程呼叫对讲功能，集控系统应具有采集所有设备使用数据的功能，。</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3.教室要具备网络视音频广播功能，用于教学视频的集中广播，播控通过网络平台按账号控制，可在网上按权限控制广播。系统具备录播资源本地化储存并自动上传至资源平台。</w:t>
      </w:r>
    </w:p>
    <w:p>
      <w:pPr>
        <w:pStyle w:val="18"/>
        <w:spacing w:line="360" w:lineRule="auto"/>
        <w:ind w:firstLine="420" w:firstLineChars="15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4.系统应具有方便的维护功能，对病毒防治、系统还原、软件安装提供方便易用的解决方案，能够在设备上安装并运行师生互动的软件、平台等。</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5.系统所含软件系统（包括教师机上所有预装系统）要达到国家和省上有关软件正版化相关要求，提供著作版权及来源说明。项目内涉及的软件终身免费升级，免费开放数据接口，提供数据对接服务。</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6.项目整体质保期为验收合格后5年。</w:t>
      </w:r>
    </w:p>
    <w:p>
      <w:pPr>
        <w:pStyle w:val="20"/>
        <w:spacing w:line="360" w:lineRule="auto"/>
        <w:ind w:left="140" w:hanging="140" w:hangingChars="50"/>
        <w:outlineLvl w:val="1"/>
        <w:rPr>
          <w:rFonts w:hAnsi="宋体" w:eastAsia="宋体" w:cs="宋体"/>
          <w:b/>
          <w:color w:val="000000" w:themeColor="text1"/>
          <w:sz w:val="28"/>
          <w:szCs w:val="28"/>
          <w:highlight w:val="none"/>
          <w14:textFill>
            <w14:solidFill>
              <w14:schemeClr w14:val="tx1"/>
            </w14:solidFill>
          </w14:textFill>
        </w:rPr>
      </w:pPr>
      <w:r>
        <w:rPr>
          <w:rFonts w:hint="eastAsia" w:hAnsi="宋体" w:eastAsia="宋体" w:cs="宋体"/>
          <w:color w:val="000000" w:themeColor="text1"/>
          <w:sz w:val="28"/>
          <w:szCs w:val="28"/>
          <w:highlight w:val="none"/>
          <w14:textFill>
            <w14:solidFill>
              <w14:schemeClr w14:val="tx1"/>
            </w14:solidFill>
          </w14:textFill>
        </w:rPr>
        <w:t xml:space="preserve">   </w:t>
      </w:r>
      <w:bookmarkStart w:id="223" w:name="_Toc10088"/>
      <w:bookmarkStart w:id="224" w:name="_Toc31771"/>
      <w:bookmarkStart w:id="225" w:name="_Toc18001"/>
      <w:r>
        <w:rPr>
          <w:rFonts w:hint="eastAsia" w:hAnsi="宋体" w:eastAsia="宋体" w:cs="宋体"/>
          <w:color w:val="000000" w:themeColor="text1"/>
          <w:sz w:val="28"/>
          <w:szCs w:val="28"/>
          <w:highlight w:val="none"/>
          <w14:textFill>
            <w14:solidFill>
              <w14:schemeClr w14:val="tx1"/>
            </w14:solidFill>
          </w14:textFill>
        </w:rPr>
        <w:t>三</w:t>
      </w:r>
      <w:r>
        <w:rPr>
          <w:rFonts w:hint="eastAsia" w:hAnsi="宋体" w:eastAsia="宋体" w:cs="宋体"/>
          <w:b/>
          <w:color w:val="000000" w:themeColor="text1"/>
          <w:sz w:val="28"/>
          <w:szCs w:val="28"/>
          <w:highlight w:val="none"/>
          <w14:textFill>
            <w14:solidFill>
              <w14:schemeClr w14:val="tx1"/>
            </w14:solidFill>
          </w14:textFill>
        </w:rPr>
        <w:t>、规格参数及相关要求</w:t>
      </w:r>
      <w:bookmarkEnd w:id="223"/>
      <w:bookmarkEnd w:id="224"/>
      <w:bookmarkEnd w:id="225"/>
    </w:p>
    <w:tbl>
      <w:tblPr>
        <w:tblStyle w:val="33"/>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28" w:type="dxa"/>
          <w:right w:w="57" w:type="dxa"/>
        </w:tblCellMar>
      </w:tblPr>
      <w:tblGrid>
        <w:gridCol w:w="914"/>
        <w:gridCol w:w="2488"/>
        <w:gridCol w:w="2551"/>
        <w:gridCol w:w="141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280" w:hRule="atLeast"/>
          <w:jc w:val="center"/>
        </w:trPr>
        <w:tc>
          <w:tcPr>
            <w:tcW w:w="91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品目号</w:t>
            </w:r>
          </w:p>
        </w:tc>
        <w:tc>
          <w:tcPr>
            <w:tcW w:w="248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名称</w:t>
            </w:r>
          </w:p>
        </w:tc>
        <w:tc>
          <w:tcPr>
            <w:tcW w:w="255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基本规格（参考型号）</w:t>
            </w:r>
          </w:p>
        </w:tc>
        <w:tc>
          <w:tcPr>
            <w:tcW w:w="141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单位</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22" w:hRule="atLeast"/>
          <w:jc w:val="center"/>
        </w:trPr>
        <w:tc>
          <w:tcPr>
            <w:tcW w:w="91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248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智慧教室</w:t>
            </w:r>
          </w:p>
        </w:tc>
        <w:tc>
          <w:tcPr>
            <w:tcW w:w="255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41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间</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20" w:hRule="atLeast"/>
          <w:jc w:val="center"/>
        </w:trPr>
        <w:tc>
          <w:tcPr>
            <w:tcW w:w="91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248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精品录播教室</w:t>
            </w:r>
          </w:p>
        </w:tc>
        <w:tc>
          <w:tcPr>
            <w:tcW w:w="255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41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间</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20" w:hRule="atLeast"/>
          <w:jc w:val="center"/>
        </w:trPr>
        <w:tc>
          <w:tcPr>
            <w:tcW w:w="91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248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多功能教室</w:t>
            </w:r>
          </w:p>
        </w:tc>
        <w:tc>
          <w:tcPr>
            <w:tcW w:w="255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41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间</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20" w:hRule="atLeast"/>
          <w:jc w:val="center"/>
        </w:trPr>
        <w:tc>
          <w:tcPr>
            <w:tcW w:w="91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w:t>
            </w:r>
          </w:p>
        </w:tc>
        <w:tc>
          <w:tcPr>
            <w:tcW w:w="248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阶梯教室</w:t>
            </w:r>
          </w:p>
        </w:tc>
        <w:tc>
          <w:tcPr>
            <w:tcW w:w="255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41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间</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20" w:hRule="atLeast"/>
          <w:jc w:val="center"/>
        </w:trPr>
        <w:tc>
          <w:tcPr>
            <w:tcW w:w="91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w:t>
            </w:r>
          </w:p>
        </w:tc>
        <w:tc>
          <w:tcPr>
            <w:tcW w:w="248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自强校区控制中心</w:t>
            </w:r>
          </w:p>
        </w:tc>
        <w:tc>
          <w:tcPr>
            <w:tcW w:w="255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41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间</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20" w:hRule="atLeast"/>
          <w:jc w:val="center"/>
        </w:trPr>
        <w:tc>
          <w:tcPr>
            <w:tcW w:w="91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w:t>
            </w:r>
          </w:p>
        </w:tc>
        <w:tc>
          <w:tcPr>
            <w:tcW w:w="248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龙首校区控制中心</w:t>
            </w:r>
          </w:p>
        </w:tc>
        <w:tc>
          <w:tcPr>
            <w:tcW w:w="255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41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间</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20" w:hRule="atLeast"/>
          <w:jc w:val="center"/>
        </w:trPr>
        <w:tc>
          <w:tcPr>
            <w:tcW w:w="91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w:t>
            </w:r>
          </w:p>
        </w:tc>
        <w:tc>
          <w:tcPr>
            <w:tcW w:w="248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教学网络升级</w:t>
            </w:r>
          </w:p>
        </w:tc>
        <w:tc>
          <w:tcPr>
            <w:tcW w:w="255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41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批</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r>
    </w:tbl>
    <w:p>
      <w:pPr>
        <w:spacing w:line="360" w:lineRule="auto"/>
        <w:rPr>
          <w:rFonts w:ascii="宋体" w:hAnsi="宋体" w:eastAsia="宋体" w:cs="宋体"/>
          <w:b/>
          <w:color w:val="000000" w:themeColor="text1"/>
          <w:sz w:val="28"/>
          <w:szCs w:val="28"/>
          <w:highlight w:val="none"/>
          <w14:textFill>
            <w14:solidFill>
              <w14:schemeClr w14:val="tx1"/>
            </w14:solidFill>
          </w14:textFill>
        </w:rPr>
      </w:pPr>
      <w:bookmarkStart w:id="226" w:name="_Hlk102212130"/>
    </w:p>
    <w:p>
      <w:pPr>
        <w:spacing w:line="360" w:lineRule="auto"/>
        <w:ind w:firstLine="281" w:firstLineChars="100"/>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品目1 ： 智慧教室</w:t>
      </w:r>
    </w:p>
    <w:tbl>
      <w:tblPr>
        <w:tblStyle w:val="33"/>
        <w:tblpPr w:leftFromText="180" w:rightFromText="180" w:vertAnchor="text" w:horzAnchor="margin" w:tblpXSpec="center" w:tblpY="293"/>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2611"/>
        <w:gridCol w:w="2410"/>
        <w:gridCol w:w="1275"/>
        <w:gridCol w:w="127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930" w:type="dxa"/>
            <w:gridSpan w:val="6"/>
            <w:shd w:val="clear" w:color="auto" w:fill="auto"/>
            <w:noWrap/>
            <w:vAlign w:val="bottom"/>
          </w:tcPr>
          <w:p>
            <w:pPr>
              <w:spacing w:beforeLines="50" w:afterLines="50"/>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智慧教室设备清单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6"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2611"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设备名称</w:t>
            </w:r>
          </w:p>
        </w:tc>
        <w:tc>
          <w:tcPr>
            <w:tcW w:w="241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基本规格（参考型号）</w:t>
            </w:r>
          </w:p>
        </w:tc>
        <w:tc>
          <w:tcPr>
            <w:tcW w:w="1275"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数量</w:t>
            </w:r>
          </w:p>
        </w:tc>
        <w:tc>
          <w:tcPr>
            <w:tcW w:w="742"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6"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2611"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bookmarkStart w:id="227" w:name="RANGE!B3"/>
            <w:r>
              <w:rPr>
                <w:rFonts w:hint="eastAsia" w:ascii="宋体" w:hAnsi="宋体" w:eastAsia="宋体" w:cs="宋体"/>
                <w:color w:val="000000" w:themeColor="text1"/>
                <w:sz w:val="28"/>
                <w:szCs w:val="28"/>
                <w:highlight w:val="none"/>
                <w14:textFill>
                  <w14:solidFill>
                    <w14:schemeClr w14:val="tx1"/>
                  </w14:solidFill>
                </w14:textFill>
              </w:rPr>
              <w:t>一体机</w:t>
            </w:r>
            <w:bookmarkEnd w:id="227"/>
          </w:p>
        </w:tc>
        <w:tc>
          <w:tcPr>
            <w:tcW w:w="241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5"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742"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6"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2611"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云桌面系统软件</w:t>
            </w:r>
          </w:p>
        </w:tc>
        <w:tc>
          <w:tcPr>
            <w:tcW w:w="241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5"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点</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742"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6"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2611"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显示器</w:t>
            </w:r>
          </w:p>
        </w:tc>
        <w:tc>
          <w:tcPr>
            <w:tcW w:w="241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5"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742"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6"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w:t>
            </w:r>
          </w:p>
        </w:tc>
        <w:tc>
          <w:tcPr>
            <w:tcW w:w="2611"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无线键盘鼠标</w:t>
            </w:r>
          </w:p>
        </w:tc>
        <w:tc>
          <w:tcPr>
            <w:tcW w:w="241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5"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套</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742"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6"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w:t>
            </w:r>
          </w:p>
        </w:tc>
        <w:tc>
          <w:tcPr>
            <w:tcW w:w="2611"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智能融合终端</w:t>
            </w:r>
          </w:p>
        </w:tc>
        <w:tc>
          <w:tcPr>
            <w:tcW w:w="241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5"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742"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6"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w:t>
            </w:r>
          </w:p>
        </w:tc>
        <w:tc>
          <w:tcPr>
            <w:tcW w:w="2611"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智能控制面板</w:t>
            </w:r>
          </w:p>
        </w:tc>
        <w:tc>
          <w:tcPr>
            <w:tcW w:w="241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5"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742" w:type="dxa"/>
            <w:shd w:val="clear" w:color="auto" w:fill="auto"/>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6"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w:t>
            </w:r>
          </w:p>
        </w:tc>
        <w:tc>
          <w:tcPr>
            <w:tcW w:w="2611"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音箱</w:t>
            </w:r>
          </w:p>
        </w:tc>
        <w:tc>
          <w:tcPr>
            <w:tcW w:w="241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5"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对</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742"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6"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w:t>
            </w:r>
          </w:p>
        </w:tc>
        <w:tc>
          <w:tcPr>
            <w:tcW w:w="2611"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sz w:val="28"/>
                <w:szCs w:val="28"/>
                <w:highlight w:val="none"/>
              </w:rPr>
              <w:t>无线麦克</w:t>
            </w:r>
            <w:r>
              <w:rPr>
                <w:rFonts w:hint="eastAsia" w:ascii="宋体" w:hAnsi="宋体" w:eastAsia="宋体" w:cs="宋体"/>
                <w:color w:val="000000" w:themeColor="text1"/>
                <w:sz w:val="28"/>
                <w:szCs w:val="28"/>
                <w:highlight w:val="none"/>
                <w14:textFill>
                  <w14:solidFill>
                    <w14:schemeClr w14:val="tx1"/>
                  </w14:solidFill>
                </w14:textFill>
              </w:rPr>
              <w:t>风</w:t>
            </w:r>
          </w:p>
        </w:tc>
        <w:tc>
          <w:tcPr>
            <w:tcW w:w="241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5"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只</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742"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6"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w:t>
            </w:r>
          </w:p>
        </w:tc>
        <w:tc>
          <w:tcPr>
            <w:tcW w:w="2611"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智能球型摄像机（云台摄像机）</w:t>
            </w:r>
          </w:p>
        </w:tc>
        <w:tc>
          <w:tcPr>
            <w:tcW w:w="241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5"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742"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6"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w:t>
            </w:r>
          </w:p>
        </w:tc>
        <w:tc>
          <w:tcPr>
            <w:tcW w:w="2611"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拾音器</w:t>
            </w:r>
          </w:p>
        </w:tc>
        <w:tc>
          <w:tcPr>
            <w:tcW w:w="241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5"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个</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742"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6"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w:t>
            </w:r>
          </w:p>
        </w:tc>
        <w:tc>
          <w:tcPr>
            <w:tcW w:w="2611"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黑板</w:t>
            </w:r>
          </w:p>
        </w:tc>
        <w:tc>
          <w:tcPr>
            <w:tcW w:w="241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5"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套</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742"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6"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w:t>
            </w:r>
          </w:p>
        </w:tc>
        <w:tc>
          <w:tcPr>
            <w:tcW w:w="2611"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主控桌</w:t>
            </w:r>
          </w:p>
        </w:tc>
        <w:tc>
          <w:tcPr>
            <w:tcW w:w="241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5"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张</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742"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6"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w:t>
            </w:r>
          </w:p>
        </w:tc>
        <w:tc>
          <w:tcPr>
            <w:tcW w:w="2611"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综合布线</w:t>
            </w:r>
          </w:p>
        </w:tc>
        <w:tc>
          <w:tcPr>
            <w:tcW w:w="241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5"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套</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742"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bl>
    <w:p>
      <w:pPr>
        <w:spacing w:line="360" w:lineRule="auto"/>
        <w:rPr>
          <w:rFonts w:ascii="宋体" w:hAnsi="宋体" w:eastAsia="宋体" w:cs="宋体"/>
          <w:b/>
          <w:color w:val="000000" w:themeColor="text1"/>
          <w:sz w:val="28"/>
          <w:szCs w:val="28"/>
          <w:highlight w:val="none"/>
          <w14:textFill>
            <w14:solidFill>
              <w14:schemeClr w14:val="tx1"/>
            </w14:solidFill>
          </w14:textFill>
        </w:rPr>
      </w:pPr>
      <w:bookmarkStart w:id="228" w:name="_Hlk103620606"/>
    </w:p>
    <w:p>
      <w:pPr>
        <w:spacing w:line="360" w:lineRule="auto"/>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品目1-1</w:t>
      </w:r>
      <w:bookmarkEnd w:id="228"/>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一体机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bookmarkEnd w:id="226"/>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bookmarkStart w:id="229" w:name="_Hlk103802293"/>
      <w:bookmarkStart w:id="230" w:name="_Hlk102212296"/>
      <w:r>
        <w:rPr>
          <w:rFonts w:hint="eastAsia" w:ascii="宋体" w:hAnsi="宋体" w:eastAsia="宋体" w:cs="宋体"/>
          <w:color w:val="000000" w:themeColor="text1"/>
          <w:kern w:val="2"/>
          <w:sz w:val="28"/>
          <w:szCs w:val="28"/>
          <w:highlight w:val="none"/>
          <w14:textFill>
            <w14:solidFill>
              <w14:schemeClr w14:val="tx1"/>
            </w14:solidFill>
          </w14:textFill>
        </w:rPr>
        <w:t>1)整机采用UHD超高清LED 液晶屏，整机屏幕采用≥86英寸液晶显示器。显示比例16:9，分辨率≥3840*2160。玻璃表面硬度≥莫氏7H。支持20点或以上触控。</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 整机内置2.0声道扬声器，2*15W，额定总功率≥30W（提供佐证材料）。3) 嵌入式系统版本不低于Android 8.0，内存≥2GB，存储空间≥8GB。（提供佐证材料）。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4)前置输入接口≥3路USB接口（至少包括1路Type-C）。整机内置非独立摄像头，可拍摄≥800万像素数的照片，拍摄角度不小于120°。（提供佐证材料）。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 设备支持物理按键一键启动录屏功能，可将屏幕中显示的课件、音频内容与老师人声同时录制。</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 具备护眼功能，可以在任意通道任意画面任意软件所有显示内容下实现画面纹理的实时调整。支持透明度调节。支持色温调节。具备视觉舒适度（VICO）体系认证。整机支持色彩空间可选，包含标准模式和sRGB模式。（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 OPS电脑主板采用H310芯片组，搭载Intel 酷睿≥i7</w:t>
      </w:r>
      <w:r>
        <w:rPr>
          <w:rFonts w:ascii="宋体" w:hAnsi="宋体" w:eastAsia="宋体" w:cs="宋体"/>
          <w:color w:val="000000" w:themeColor="text1"/>
          <w:kern w:val="2"/>
          <w:sz w:val="28"/>
          <w:szCs w:val="28"/>
          <w:highlight w:val="non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CPU。独立显存，显存≥4</w:t>
      </w:r>
      <w:r>
        <w:rPr>
          <w:rFonts w:ascii="宋体" w:hAnsi="宋体" w:eastAsia="宋体" w:cs="宋体"/>
          <w:color w:val="000000" w:themeColor="text1"/>
          <w:kern w:val="2"/>
          <w:sz w:val="28"/>
          <w:szCs w:val="28"/>
          <w:highlight w:val="none"/>
          <w14:textFill>
            <w14:solidFill>
              <w14:schemeClr w14:val="tx1"/>
            </w14:solidFill>
          </w14:textFill>
        </w:rPr>
        <w:t>G</w:t>
      </w:r>
      <w:r>
        <w:rPr>
          <w:rFonts w:hint="eastAsia" w:ascii="宋体" w:hAnsi="宋体" w:eastAsia="宋体" w:cs="宋体"/>
          <w:color w:val="000000" w:themeColor="text1"/>
          <w:kern w:val="2"/>
          <w:sz w:val="28"/>
          <w:szCs w:val="28"/>
          <w:highlight w:val="none"/>
          <w14:textFill>
            <w14:solidFill>
              <w14:schemeClr w14:val="tx1"/>
            </w14:solidFill>
          </w14:textFill>
        </w:rPr>
        <w:t>。内存：16GB DDR4笔记本内存或以上配置。硬盘：≥512GB SSD固态硬盘。</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8)整机具备前置Type-C接口，可外接电脑进行数据接换。</w:t>
      </w:r>
      <w:bookmarkStart w:id="231" w:name="_Hlk104126896"/>
      <w:r>
        <w:rPr>
          <w:rFonts w:hint="eastAsia" w:ascii="宋体" w:hAnsi="宋体" w:eastAsia="宋体" w:cs="宋体"/>
          <w:color w:val="000000" w:themeColor="text1"/>
          <w:kern w:val="2"/>
          <w:sz w:val="28"/>
          <w:szCs w:val="28"/>
          <w:highlight w:val="none"/>
          <w14:textFill>
            <w14:solidFill>
              <w14:schemeClr w14:val="tx1"/>
            </w14:solidFill>
          </w14:textFill>
        </w:rPr>
        <w:t>（提供佐证材料）</w:t>
      </w:r>
      <w:bookmarkEnd w:id="231"/>
      <w:r>
        <w:rPr>
          <w:rFonts w:hint="eastAsia" w:ascii="宋体" w:hAnsi="宋体" w:eastAsia="宋体" w:cs="宋体"/>
          <w:color w:val="000000" w:themeColor="text1"/>
          <w:kern w:val="2"/>
          <w:sz w:val="28"/>
          <w:szCs w:val="28"/>
          <w:highlight w:val="none"/>
          <w14:textFill>
            <w14:solidFill>
              <w14:schemeClr w14:val="tx1"/>
            </w14:solidFill>
          </w14:textFill>
        </w:rPr>
        <w:t>。</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 整机Wi-Fi及AP热点支持频段2.4GHz/5GHz,支持IEEE802.11 a/b/g/n/ac/ax,支持Wi-Fi6。</w:t>
      </w:r>
      <w:bookmarkEnd w:id="229"/>
    </w:p>
    <w:bookmarkEnd w:id="230"/>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10） 常态化授课软件（1套）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（1）公网连接：不需借助任何外接设备，在公网环境下即可支持学生端手机、平板同教师端进行连接。</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（2）扫码连接：支持学生端通过输入连接码和扫描二维码两种方式，进入课堂，同步完成考勤签到。</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（3）互动反馈系统：具备公网互动反馈功能，将所有学生端和教师端连接一起构建成互动反馈系统，在系统里面教师可以单选，多选，判断，观点，抢答，抽选，提问箱，文件下发，批注下发。</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具体功能：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1）具备统计考勤。</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2）具备班级创建。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3）具备互动答题系统。</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4）具备抢答抽选。</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5）具备学情报告。</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6）具备资料下发。</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7）具备批注分发。</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8）具备授课小工具。</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9）具备无线传屏。</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10）具备课堂互动记录。</w:t>
      </w:r>
    </w:p>
    <w:p>
      <w:pPr>
        <w:pStyle w:val="18"/>
        <w:spacing w:line="360" w:lineRule="auto"/>
        <w:ind w:firstLine="562" w:firstLineChars="200"/>
        <w:rPr>
          <w:rFonts w:ascii="宋体" w:hAnsi="宋体" w:eastAsia="宋体" w:cs="宋体"/>
          <w:color w:val="000000" w:themeColor="text1"/>
          <w:kern w:val="2"/>
          <w:sz w:val="28"/>
          <w:szCs w:val="28"/>
          <w:highlight w:val="none"/>
          <w:u w:val="single"/>
          <w14:textFill>
            <w14:solidFill>
              <w14:schemeClr w14:val="tx1"/>
            </w14:solidFill>
          </w14:textFill>
        </w:rPr>
      </w:pPr>
      <w:bookmarkStart w:id="232" w:name="_Hlk102828275"/>
      <w:r>
        <w:rPr>
          <w:rFonts w:hint="eastAsia" w:ascii="宋体" w:hAnsi="宋体" w:eastAsia="宋体" w:cs="宋体"/>
          <w:b/>
          <w:bCs/>
          <w:color w:val="000000" w:themeColor="text1"/>
          <w:kern w:val="2"/>
          <w:sz w:val="28"/>
          <w:szCs w:val="28"/>
          <w:highlight w:val="none"/>
          <w14:textFill>
            <w14:solidFill>
              <w14:schemeClr w14:val="tx1"/>
            </w14:solidFill>
          </w14:textFill>
        </w:rPr>
        <w:t>品目1-2：</w:t>
      </w:r>
      <w:r>
        <w:rPr>
          <w:rFonts w:hint="eastAsia" w:ascii="宋体" w:hAnsi="宋体" w:eastAsia="宋体" w:cs="宋体"/>
          <w:color w:val="000000" w:themeColor="text1"/>
          <w:kern w:val="2"/>
          <w:sz w:val="28"/>
          <w:szCs w:val="28"/>
          <w:highlight w:val="none"/>
          <w:u w:val="single"/>
          <w14:textFill>
            <w14:solidFill>
              <w14:schemeClr w14:val="tx1"/>
            </w14:solidFill>
          </w14:textFill>
        </w:rPr>
        <w:t>云桌面系统软件</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1）管理架构要求：为便于不同教师管理操作需求，需提供C/S主控端管理模式和B/S架构web管理模式。</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2）系统支持要求：支持客户端UEFI启动模式，硬盘支持MBR和GPT分区格式，支持WindowsXP、win7、LINUX、unix、最新Win10等操作系统桌面。</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3）镜像映射与扩容要求：服务器端镜像支持映射模式，支持镜像在服务器端直接映射成系统盘符操作。（提供佐证材料）。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4）跨网段要求：云桌面系统支持在现有网络交换机参数配置不允许再做调整情况下无条件跨VLAN。通过网络引导终端电脑启动操作系统。（提供佐证材料）。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5）数据维护功能要求：支持客户终端上的节点在还原状态下都能保留个性化数据。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6）集成管理要求：主管理界面应支持镜像管理、方案管理、任务计划、网络拓扑、客户端管理等基本管理功能。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7）WEB管理要求：支持多账户管理功能模块。</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8）快照管理要求：支持镜像手动快照和自动快照两个功能模式，便于管理人员和操作员根据自动向导提示逐步完成软件安装操作。（提供佐证材料）。</w:t>
      </w:r>
    </w:p>
    <w:bookmarkEnd w:id="232"/>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品目1-3：</w:t>
      </w:r>
      <w:r>
        <w:rPr>
          <w:rFonts w:hint="eastAsia" w:ascii="宋体" w:hAnsi="宋体" w:eastAsia="宋体" w:cs="宋体"/>
          <w:color w:val="000000" w:themeColor="text1"/>
          <w:sz w:val="28"/>
          <w:szCs w:val="28"/>
          <w:highlight w:val="none"/>
          <w:u w:val="single"/>
          <w14:textFill>
            <w14:solidFill>
              <w14:schemeClr w14:val="tx1"/>
            </w14:solidFill>
          </w14:textFill>
        </w:rPr>
        <w:t>显示器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1)LED显示器，屏幕尺寸≥21.5英寸。分辨率≥1920x1080，屏幕比例：16：9。</w:t>
      </w:r>
    </w:p>
    <w:p>
      <w:pPr>
        <w:pStyle w:val="18"/>
        <w:spacing w:line="360" w:lineRule="auto"/>
        <w:ind w:firstLine="560" w:firstLineChars="200"/>
        <w:rPr>
          <w:rFonts w:ascii="宋体" w:hAnsi="宋体" w:eastAsia="宋体" w:cs="宋体"/>
          <w:snapToGrid w:val="0"/>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2)可视角度≥170/160°,刷新率≥60Hz;视频接口;D-Sub，HDMI。 支持vesa10*10标准壁挂接口,所有接口与显示器平行。</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bookmarkStart w:id="233" w:name="_Hlk102212873"/>
      <w:r>
        <w:rPr>
          <w:rFonts w:hint="eastAsia" w:ascii="宋体" w:hAnsi="宋体" w:eastAsia="宋体" w:cs="宋体"/>
          <w:b/>
          <w:color w:val="000000" w:themeColor="text1"/>
          <w:sz w:val="28"/>
          <w:szCs w:val="28"/>
          <w:highlight w:val="none"/>
          <w14:textFill>
            <w14:solidFill>
              <w14:schemeClr w14:val="tx1"/>
            </w14:solidFill>
          </w14:textFill>
        </w:rPr>
        <w:t>品目1-4：</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无线键盘鼠标</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1）防泼溅设计。</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2）键盘≥104键位。</w:t>
      </w:r>
    </w:p>
    <w:bookmarkEnd w:id="233"/>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品目1-5：</w:t>
      </w:r>
      <w:bookmarkStart w:id="234" w:name="_Hlk106780880"/>
      <w:r>
        <w:rPr>
          <w:rFonts w:hint="eastAsia" w:ascii="宋体" w:hAnsi="宋体" w:eastAsia="宋体" w:cs="宋体"/>
          <w:snapToGrid w:val="0"/>
          <w:color w:val="000000" w:themeColor="text1"/>
          <w:sz w:val="28"/>
          <w:szCs w:val="28"/>
          <w:highlight w:val="none"/>
          <w:u w:val="single"/>
          <w14:textFill>
            <w14:solidFill>
              <w14:schemeClr w14:val="tx1"/>
            </w14:solidFill>
          </w14:textFill>
        </w:rPr>
        <w:t>智能融合终端</w:t>
      </w:r>
      <w:bookmarkEnd w:id="234"/>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1）标准≥1U机架式设计。</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2)主机为一体化设计，具备交换机功能、功放功能、音频接入接口功能，网络中控功能，音频广播、视频广播等功能。支持跨校区、跨网段、跨楼宇间的智能化控制与音视频广播应用。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3）主板采用工业级高速嵌入式MIPS CPU，定制LINUX操作系统。具备WEB操作端，可对主机IP地址、教室命名、显示设备控制码配置。</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4）主机具备≥4口千兆交换机，支持≥4路VLAN划分。</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5）主机具备</w:t>
      </w:r>
      <w:r>
        <w:rPr>
          <w:rFonts w:ascii="宋体" w:hAnsi="宋体" w:eastAsia="宋体" w:cs="宋体"/>
          <w:color w:val="000000" w:themeColor="text1"/>
          <w:kern w:val="2"/>
          <w:sz w:val="28"/>
          <w:szCs w:val="28"/>
          <w:highlight w:val="none"/>
          <w14:textFill>
            <w14:solidFill>
              <w14:schemeClr w14:val="tx1"/>
            </w14:solidFill>
          </w14:textFill>
        </w:rPr>
        <w:t>3*2</w:t>
      </w:r>
      <w:r>
        <w:rPr>
          <w:rFonts w:hint="eastAsia" w:ascii="宋体" w:hAnsi="宋体" w:eastAsia="宋体" w:cs="宋体"/>
          <w:color w:val="000000" w:themeColor="text1"/>
          <w:kern w:val="2"/>
          <w:sz w:val="28"/>
          <w:szCs w:val="28"/>
          <w:highlight w:val="none"/>
          <w14:textFill>
            <w14:solidFill>
              <w14:schemeClr w14:val="tx1"/>
            </w14:solidFill>
          </w14:textFill>
        </w:rPr>
        <w:t xml:space="preserve"> HDMI视频矩阵。</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6）具备≥2路控制接口。</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7）具备≥3路电源输出。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8）支持对教室多媒体设备进行一键控制。</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9）主机具备音视频硬解码模块，需实现新闻联播（C</w:t>
      </w:r>
      <w:r>
        <w:rPr>
          <w:rFonts w:ascii="宋体" w:hAnsi="宋体" w:eastAsia="宋体" w:cs="宋体"/>
          <w:color w:val="000000" w:themeColor="text1"/>
          <w:kern w:val="2"/>
          <w:sz w:val="28"/>
          <w:szCs w:val="28"/>
          <w:highlight w:val="none"/>
          <w14:textFill>
            <w14:solidFill>
              <w14:schemeClr w14:val="tx1"/>
            </w14:solidFill>
          </w14:textFill>
        </w:rPr>
        <w:t>CTV1</w:t>
      </w:r>
      <w:r>
        <w:rPr>
          <w:rFonts w:hint="eastAsia" w:ascii="宋体" w:hAnsi="宋体" w:eastAsia="宋体" w:cs="宋体"/>
          <w:color w:val="000000" w:themeColor="text1"/>
          <w:kern w:val="2"/>
          <w:sz w:val="28"/>
          <w:szCs w:val="28"/>
          <w:highlight w:val="none"/>
          <w14:textFill>
            <w14:solidFill>
              <w14:schemeClr w14:val="tx1"/>
            </w14:solidFill>
          </w14:textFill>
        </w:rPr>
        <w:t>）等五套有线电视节目在线实时观看、会议实时直播接收等，并支持在关机/开机情况下接收来自集中管控系统的音视频广播实现自动播放。</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10）支持远程实时、定时管控，实现对教室设备的随时管、实时管等应用。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11）</w:t>
      </w:r>
      <w:r>
        <w:rPr>
          <w:rFonts w:hint="eastAsia" w:ascii="宋体" w:hAnsi="宋体" w:eastAsia="宋体" w:cs="宋体"/>
          <w:color w:val="000000" w:themeColor="text1"/>
          <w:sz w:val="28"/>
          <w:szCs w:val="28"/>
          <w:highlight w:val="none"/>
          <w14:textFill>
            <w14:solidFill>
              <w14:schemeClr w14:val="tx1"/>
            </w14:solidFill>
          </w14:textFill>
        </w:rPr>
        <w:t>集成物联网控制模块。</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12）与集中管控平台为统一品牌。</w:t>
      </w:r>
    </w:p>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品目1-6：</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智能控制面板</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bookmarkStart w:id="235" w:name="_Hlk102213801"/>
      <w:r>
        <w:rPr>
          <w:rFonts w:hint="eastAsia" w:ascii="宋体" w:hAnsi="宋体" w:eastAsia="宋体" w:cs="宋体"/>
          <w:color w:val="000000" w:themeColor="text1"/>
          <w:sz w:val="28"/>
          <w:szCs w:val="28"/>
          <w:highlight w:val="none"/>
          <w14:textFill>
            <w14:solidFill>
              <w14:schemeClr w14:val="tx1"/>
            </w14:solidFill>
          </w14:textFill>
        </w:rPr>
        <w:t>1）面板具备一键开关机、音视频广播一键暂停/开始以及故障一键报修按键等。</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2）具备液晶触摸屏。</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3）集成权限控制功能，支持插卡/刷卡/扫描二维码开机功能。</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4）具备设备一键报修功能，可通过面板直接向集中管控室拨打语音对讲实现远程求助。</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5）具备与智能融合终端通信接口。</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6）与智能融合信息终端为统一品牌。</w:t>
      </w:r>
    </w:p>
    <w:bookmarkEnd w:id="235"/>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品目1-7：</w:t>
      </w:r>
      <w:r>
        <w:rPr>
          <w:rFonts w:hint="eastAsia" w:ascii="宋体" w:hAnsi="宋体" w:eastAsia="宋体" w:cs="宋体"/>
          <w:snapToGrid w:val="0"/>
          <w:color w:val="000000" w:themeColor="text1"/>
          <w:sz w:val="28"/>
          <w:szCs w:val="28"/>
          <w:highlight w:val="none"/>
          <w:u w:val="single"/>
          <w14:textFill>
            <w14:solidFill>
              <w14:schemeClr w14:val="tx1"/>
            </w14:solidFill>
          </w14:textFill>
        </w:rPr>
        <w:t>音箱</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bookmarkStart w:id="236" w:name="_Hlk103676913"/>
      <w:r>
        <w:rPr>
          <w:rFonts w:hint="eastAsia" w:ascii="宋体" w:hAnsi="宋体" w:eastAsia="宋体" w:cs="宋体"/>
          <w:color w:val="000000" w:themeColor="text1"/>
          <w:kern w:val="2"/>
          <w:sz w:val="28"/>
          <w:szCs w:val="28"/>
          <w:highlight w:val="none"/>
          <w14:textFill>
            <w14:solidFill>
              <w14:schemeClr w14:val="tx1"/>
            </w14:solidFill>
          </w14:textFill>
        </w:rPr>
        <w:t>1）频率响应：不低于80Hz ～ 20 kHz、定阻输入：≥8 Ω、灵敏度： ≥90 dB。</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2）额定功率：≥30 W。</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3）低音单元≥6寸，高音单元≤1寸。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4）扩声模块频率响应:80 Hz ~ 20 kHz、信噪比: ≥90dBA、总谐波失真: ≤0.05%。</w:t>
      </w:r>
    </w:p>
    <w:bookmarkEnd w:id="236"/>
    <w:p>
      <w:pPr>
        <w:pStyle w:val="18"/>
        <w:spacing w:line="360" w:lineRule="auto"/>
        <w:ind w:left="557" w:leftChars="232"/>
        <w:rPr>
          <w:rFonts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品目1-8：</w:t>
      </w:r>
      <w:bookmarkStart w:id="237" w:name="_Hlk102213900"/>
      <w:r>
        <w:rPr>
          <w:rFonts w:hint="eastAsia" w:ascii="宋体" w:hAnsi="宋体" w:eastAsia="宋体" w:cs="宋体"/>
          <w:bCs/>
          <w:color w:val="000000" w:themeColor="text1"/>
          <w:sz w:val="28"/>
          <w:szCs w:val="28"/>
          <w:highlight w:val="none"/>
          <w14:textFill>
            <w14:solidFill>
              <w14:schemeClr w14:val="tx1"/>
            </w14:solidFill>
          </w14:textFill>
        </w:rPr>
        <w:t>无线麦克风</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1）采用数字调制/解调技术。 </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2）即开即用，无需对频。</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3)内置锂电池，续航时间≥7小时。</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4)具备话筒、激光笔和无线PPT翻页三种功能。</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5)具有充电底座或者充电仓，支持固定充电和IC卡解锁。</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6)接收直线距离：≥15m。</w:t>
      </w:r>
    </w:p>
    <w:bookmarkEnd w:id="237"/>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品目1-9：</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智能球型摄像机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1)≥400万像素红外网络高清球型摄像机。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2）视频输出支持2560×1440@30fps，红外距离≥20米。</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3）支持≥4倍光学变倍，16倍数字变倍。</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4）支持最低照度可达彩色≤0.05Lux，黑白≤0.005Lux。</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5）支持水平手控速度不小于80°/S，垂直手控速度不小于80°/S，云台定位精度为±0.1°。</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6）水平旋转范围为0°-330°，垂直旋转范围为0°-90°。</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7）支持不少于200个预置位，支持30条巡航路径。</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8）信噪比≥60dB，网络延时不大于120ms。</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9）动态范围不小于105dB。</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10）支持智能红外、透雾、强光抑制、电子防抖、数字降噪、防红外过曝功能。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11）支持区域遮盖功能，支持设置不少于24个不规则四边形区域，可设置不同颜色。支持自动定位、断电记忆功能。支持定时抓拍或报警联动抓图上传ftp功能。</w:t>
      </w:r>
    </w:p>
    <w:p>
      <w:pPr>
        <w:pStyle w:val="18"/>
        <w:spacing w:line="360" w:lineRule="auto"/>
        <w:ind w:firstLine="562" w:firstLineChars="200"/>
        <w:rPr>
          <w:rFonts w:ascii="宋体" w:hAnsi="宋体" w:eastAsia="宋体" w:cs="宋体"/>
          <w:color w:val="000000" w:themeColor="text1"/>
          <w:kern w:val="2"/>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品目1-10：</w:t>
      </w:r>
      <w:r>
        <w:rPr>
          <w:rFonts w:hint="eastAsia" w:ascii="宋体" w:hAnsi="宋体" w:eastAsia="宋体" w:cs="宋体"/>
          <w:color w:val="000000" w:themeColor="text1"/>
          <w:kern w:val="2"/>
          <w:sz w:val="28"/>
          <w:szCs w:val="28"/>
          <w:highlight w:val="none"/>
          <w:u w:val="single"/>
          <w14:textFill>
            <w14:solidFill>
              <w14:schemeClr w14:val="tx1"/>
            </w14:solidFill>
          </w14:textFill>
        </w:rPr>
        <w:t>拾音器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1）内置数字语音处理电路和微处理芯片，两级动态数字降噪处理。</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2）镀银震膜电容咪头。自适应动态降噪处理技术，内置高速DSP数字信号处理器。</w:t>
      </w:r>
    </w:p>
    <w:p>
      <w:pPr>
        <w:pStyle w:val="18"/>
        <w:spacing w:line="360" w:lineRule="auto"/>
        <w:ind w:firstLine="562" w:firstLineChars="200"/>
        <w:rPr>
          <w:rFonts w:ascii="宋体" w:hAnsi="宋体" w:eastAsia="宋体" w:cs="宋体"/>
          <w:color w:val="000000" w:themeColor="text1"/>
          <w:kern w:val="2"/>
          <w:sz w:val="28"/>
          <w:szCs w:val="28"/>
          <w:highlight w:val="none"/>
          <w:u w:val="single"/>
          <w14:textFill>
            <w14:solidFill>
              <w14:schemeClr w14:val="tx1"/>
            </w14:solidFill>
          </w14:textFill>
        </w:rPr>
      </w:pPr>
      <w:bookmarkStart w:id="238" w:name="_Hlk103622343"/>
      <w:r>
        <w:rPr>
          <w:rFonts w:hint="eastAsia" w:ascii="宋体" w:hAnsi="宋体" w:eastAsia="宋体" w:cs="宋体"/>
          <w:b/>
          <w:bCs/>
          <w:color w:val="000000" w:themeColor="text1"/>
          <w:kern w:val="2"/>
          <w:sz w:val="28"/>
          <w:szCs w:val="28"/>
          <w:highlight w:val="none"/>
          <w14:textFill>
            <w14:solidFill>
              <w14:schemeClr w14:val="tx1"/>
            </w14:solidFill>
          </w14:textFill>
        </w:rPr>
        <w:t>品目1-11</w:t>
      </w:r>
      <w:r>
        <w:rPr>
          <w:rFonts w:hint="eastAsia" w:ascii="宋体" w:hAnsi="宋体" w:eastAsia="宋体" w:cs="宋体"/>
          <w:color w:val="000000" w:themeColor="text1"/>
          <w:kern w:val="2"/>
          <w:sz w:val="28"/>
          <w:szCs w:val="28"/>
          <w:highlight w:val="none"/>
          <w14:textFill>
            <w14:solidFill>
              <w14:schemeClr w14:val="tx1"/>
            </w14:solidFill>
          </w14:textFill>
        </w:rPr>
        <w:t>：</w:t>
      </w:r>
      <w:bookmarkStart w:id="239" w:name="_Hlk103677057"/>
      <w:r>
        <w:rPr>
          <w:rFonts w:hint="eastAsia" w:ascii="宋体" w:hAnsi="宋体" w:eastAsia="宋体" w:cs="宋体"/>
          <w:color w:val="000000" w:themeColor="text1"/>
          <w:kern w:val="2"/>
          <w:sz w:val="28"/>
          <w:szCs w:val="28"/>
          <w:highlight w:val="none"/>
          <w:u w:val="single"/>
          <w14:textFill>
            <w14:solidFill>
              <w14:schemeClr w14:val="tx1"/>
            </w14:solidFill>
          </w14:textFill>
        </w:rPr>
        <w:t>黑板</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1）尺寸与所配一体机吻合，尺寸标准：≥</w:t>
      </w:r>
      <w:r>
        <w:rPr>
          <w:rFonts w:ascii="宋体" w:hAnsi="宋体" w:eastAsia="宋体" w:cs="宋体"/>
          <w:color w:val="000000" w:themeColor="text1"/>
          <w:kern w:val="2"/>
          <w:sz w:val="28"/>
          <w:szCs w:val="28"/>
          <w:highlight w:val="none"/>
          <w14:textFill>
            <w14:solidFill>
              <w14:schemeClr w14:val="tx1"/>
            </w14:solidFill>
          </w14:textFill>
        </w:rPr>
        <w:t>20</w:t>
      </w:r>
      <w:r>
        <w:rPr>
          <w:rFonts w:hint="eastAsia" w:ascii="宋体" w:hAnsi="宋体" w:eastAsia="宋体" w:cs="宋体"/>
          <w:color w:val="000000" w:themeColor="text1"/>
          <w:kern w:val="2"/>
          <w:sz w:val="28"/>
          <w:szCs w:val="28"/>
          <w:highlight w:val="none"/>
          <w14:textFill>
            <w14:solidFill>
              <w14:schemeClr w14:val="tx1"/>
            </w14:solidFill>
          </w14:textFill>
        </w:rPr>
        <w:t>00mm*</w:t>
      </w:r>
      <w:r>
        <w:rPr>
          <w:rFonts w:ascii="宋体" w:hAnsi="宋体" w:eastAsia="宋体" w:cs="宋体"/>
          <w:color w:val="000000" w:themeColor="text1"/>
          <w:kern w:val="2"/>
          <w:sz w:val="28"/>
          <w:szCs w:val="28"/>
          <w:highlight w:val="none"/>
          <w14:textFill>
            <w14:solidFill>
              <w14:schemeClr w14:val="tx1"/>
            </w14:solidFill>
          </w14:textFill>
        </w:rPr>
        <w:t>12</w:t>
      </w:r>
      <w:r>
        <w:rPr>
          <w:rFonts w:hint="eastAsia" w:ascii="宋体" w:hAnsi="宋体" w:eastAsia="宋体" w:cs="宋体"/>
          <w:color w:val="000000" w:themeColor="text1"/>
          <w:kern w:val="2"/>
          <w:sz w:val="28"/>
          <w:szCs w:val="28"/>
          <w:highlight w:val="none"/>
          <w14:textFill>
            <w14:solidFill>
              <w14:schemeClr w14:val="tx1"/>
            </w14:solidFill>
          </w14:textFill>
        </w:rPr>
        <w:t>00mm。一体机和黑板拼接后需在一个平面且有一体化外边框，边框</w:t>
      </w:r>
      <w:r>
        <w:rPr>
          <w:rFonts w:ascii="宋体" w:hAnsi="宋体" w:eastAsia="宋体" w:cs="宋体"/>
          <w:color w:val="000000" w:themeColor="text1"/>
          <w:kern w:val="2"/>
          <w:sz w:val="28"/>
          <w:szCs w:val="28"/>
          <w:highlight w:val="none"/>
          <w14:textFill>
            <w14:solidFill>
              <w14:schemeClr w14:val="tx1"/>
            </w14:solidFill>
          </w14:textFill>
        </w:rPr>
        <w:t>颜色</w:t>
      </w:r>
      <w:r>
        <w:rPr>
          <w:rFonts w:hint="eastAsia" w:ascii="宋体" w:hAnsi="宋体" w:eastAsia="宋体" w:cs="宋体"/>
          <w:color w:val="000000" w:themeColor="text1"/>
          <w:kern w:val="2"/>
          <w:sz w:val="28"/>
          <w:szCs w:val="28"/>
          <w:highlight w:val="none"/>
          <w14:textFill>
            <w14:solidFill>
              <w14:schemeClr w14:val="tx1"/>
            </w14:solidFill>
          </w14:textFill>
        </w:rPr>
        <w:t>和</w:t>
      </w:r>
      <w:r>
        <w:rPr>
          <w:rFonts w:ascii="宋体" w:hAnsi="宋体" w:eastAsia="宋体" w:cs="宋体"/>
          <w:color w:val="000000" w:themeColor="text1"/>
          <w:kern w:val="2"/>
          <w:sz w:val="28"/>
          <w:szCs w:val="28"/>
          <w:highlight w:val="none"/>
          <w14:textFill>
            <w14:solidFill>
              <w14:schemeClr w14:val="tx1"/>
            </w14:solidFill>
          </w14:textFill>
        </w:rPr>
        <w:t>宽度</w:t>
      </w:r>
      <w:r>
        <w:rPr>
          <w:rFonts w:hint="eastAsia" w:ascii="宋体" w:hAnsi="宋体" w:eastAsia="宋体" w:cs="宋体"/>
          <w:color w:val="000000" w:themeColor="text1"/>
          <w:kern w:val="2"/>
          <w:sz w:val="28"/>
          <w:szCs w:val="28"/>
          <w:highlight w:val="none"/>
          <w14:textFill>
            <w14:solidFill>
              <w14:schemeClr w14:val="tx1"/>
            </w14:solidFill>
          </w14:textFill>
        </w:rPr>
        <w:t>可</w:t>
      </w:r>
      <w:r>
        <w:rPr>
          <w:rFonts w:ascii="宋体" w:hAnsi="宋体" w:eastAsia="宋体" w:cs="宋体"/>
          <w:color w:val="000000" w:themeColor="text1"/>
          <w:kern w:val="2"/>
          <w:sz w:val="28"/>
          <w:szCs w:val="28"/>
          <w:highlight w:val="none"/>
          <w14:textFill>
            <w14:solidFill>
              <w14:schemeClr w14:val="tx1"/>
            </w14:solidFill>
          </w14:textFill>
        </w:rPr>
        <w:t>根据实际情况调整</w:t>
      </w:r>
      <w:r>
        <w:rPr>
          <w:rFonts w:hint="eastAsia" w:ascii="宋体" w:hAnsi="宋体" w:eastAsia="宋体" w:cs="宋体"/>
          <w:color w:val="000000" w:themeColor="text1"/>
          <w:kern w:val="2"/>
          <w:sz w:val="28"/>
          <w:szCs w:val="28"/>
          <w:highlight w:val="none"/>
          <w14:textFill>
            <w14:solidFill>
              <w14:schemeClr w14:val="tx1"/>
            </w14:solidFill>
          </w14:textFill>
        </w:rPr>
        <w:t>，要求美观坚固</w:t>
      </w:r>
      <w:r>
        <w:rPr>
          <w:rFonts w:ascii="宋体" w:hAnsi="宋体" w:eastAsia="宋体" w:cs="宋体"/>
          <w:color w:val="000000" w:themeColor="text1"/>
          <w:kern w:val="2"/>
          <w:sz w:val="28"/>
          <w:szCs w:val="28"/>
          <w:highlight w:val="none"/>
          <w14:textFill>
            <w14:solidFill>
              <w14:schemeClr w14:val="tx1"/>
            </w14:solidFill>
          </w14:textFill>
        </w:rPr>
        <w:t>。</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2）书写面板采用进口书写</w:t>
      </w:r>
      <w:r>
        <w:rPr>
          <w:rFonts w:hint="eastAsia" w:ascii="宋体" w:hAnsi="宋体" w:eastAsia="宋体" w:cs="宋体"/>
          <w:kern w:val="2"/>
          <w:sz w:val="28"/>
          <w:szCs w:val="28"/>
          <w:highlight w:val="none"/>
        </w:rPr>
        <w:t>黑板</w:t>
      </w:r>
      <w:r>
        <w:rPr>
          <w:rFonts w:hint="eastAsia" w:ascii="宋体" w:hAnsi="宋体" w:eastAsia="宋体" w:cs="宋体"/>
          <w:color w:val="000000" w:themeColor="text1"/>
          <w:kern w:val="2"/>
          <w:sz w:val="28"/>
          <w:szCs w:val="28"/>
          <w:highlight w:val="none"/>
          <w14:textFill>
            <w14:solidFill>
              <w14:schemeClr w14:val="tx1"/>
            </w14:solidFill>
          </w14:textFill>
        </w:rPr>
        <w:t>，厚度≥0.30mm，光泽度不超过10Gu，表面粗糙度不小于2.0。甲醛释放量不超过0.04mg/L，涂层重金属含量无超标现象。</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ascii="宋体" w:hAnsi="宋体" w:eastAsia="宋体" w:cs="宋体"/>
          <w:color w:val="000000" w:themeColor="text1"/>
          <w:kern w:val="2"/>
          <w:sz w:val="28"/>
          <w:szCs w:val="28"/>
          <w:highlight w:val="none"/>
          <w14:textFill>
            <w14:solidFill>
              <w14:schemeClr w14:val="tx1"/>
            </w14:solidFill>
          </w14:textFill>
        </w:rPr>
        <w:t>3</w:t>
      </w:r>
      <w:r>
        <w:rPr>
          <w:rFonts w:hint="eastAsia" w:ascii="宋体" w:hAnsi="宋体" w:eastAsia="宋体" w:cs="宋体"/>
          <w:color w:val="000000" w:themeColor="text1"/>
          <w:kern w:val="2"/>
          <w:sz w:val="28"/>
          <w:szCs w:val="28"/>
          <w:highlight w:val="none"/>
          <w14:textFill>
            <w14:solidFill>
              <w14:schemeClr w14:val="tx1"/>
            </w14:solidFill>
          </w14:textFill>
        </w:rPr>
        <w:t>）需要拆除原黑板，清运垃圾。</w:t>
      </w:r>
    </w:p>
    <w:bookmarkEnd w:id="238"/>
    <w:bookmarkEnd w:id="239"/>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bCs/>
          <w:color w:val="000000" w:themeColor="text1"/>
          <w:kern w:val="2"/>
          <w:sz w:val="28"/>
          <w:szCs w:val="28"/>
          <w:highlight w:val="none"/>
          <w14:textFill>
            <w14:solidFill>
              <w14:schemeClr w14:val="tx1"/>
            </w14:solidFill>
          </w14:textFill>
        </w:rPr>
        <w:t>品目1-12</w:t>
      </w:r>
      <w:r>
        <w:rPr>
          <w:rFonts w:hint="eastAsia" w:ascii="宋体" w:hAnsi="宋体" w:eastAsia="宋体" w:cs="宋体"/>
          <w:color w:val="000000" w:themeColor="text1"/>
          <w:kern w:val="2"/>
          <w:sz w:val="28"/>
          <w:szCs w:val="28"/>
          <w:highlight w:val="none"/>
          <w14:textFill>
            <w14:solidFill>
              <w14:schemeClr w14:val="tx1"/>
            </w14:solidFill>
          </w14:textFill>
        </w:rPr>
        <w:t>：</w:t>
      </w:r>
      <w:r>
        <w:rPr>
          <w:rFonts w:hint="eastAsia" w:ascii="宋体" w:hAnsi="宋体" w:eastAsia="宋体" w:cs="宋体"/>
          <w:snapToGrid w:val="0"/>
          <w:color w:val="000000" w:themeColor="text1"/>
          <w:sz w:val="28"/>
          <w:szCs w:val="28"/>
          <w:highlight w:val="none"/>
          <w:u w:val="single"/>
          <w14:textFill>
            <w14:solidFill>
              <w14:schemeClr w14:val="tx1"/>
            </w14:solidFill>
          </w14:textFill>
        </w:rPr>
        <w:t>主控桌</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bookmarkStart w:id="240" w:name="_Hlk104238955"/>
      <w:r>
        <w:rPr>
          <w:rFonts w:hint="eastAsia" w:ascii="宋体" w:hAnsi="宋体" w:eastAsia="宋体" w:cs="宋体"/>
          <w:color w:val="000000" w:themeColor="text1"/>
          <w:kern w:val="2"/>
          <w:sz w:val="28"/>
          <w:szCs w:val="28"/>
          <w:highlight w:val="none"/>
          <w14:textFill>
            <w14:solidFill>
              <w14:schemeClr w14:val="tx1"/>
            </w14:solidFill>
          </w14:textFill>
        </w:rPr>
        <w:t>1) 规格：≤L*W*H（mm）：1000*715*1082。</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 材料：钢木结合，主体采用≥1.2mm冷轧钢材。桌面及背面采用≥18mm高密度纤维板材料。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3）上层：分为显示区域和操作台面两部分。倾斜式设计，安装显示器、中控面板、等设备。</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4）下层：三面拆装式，整体外形为喇叭式设计，呼应整体外观，独立隐藏式走线通道。</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5）机柜：≥独立8U机柜，可根据教室需求选配，接入第三方设备，机柜与下层主体之间用滑块式轨道连接，可整体滑动，机柜内部配置层板均为可滑动式设计。</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6）预留与1-3相匹配的嵌入安装位置，嵌入讲桌后无明显缝隙。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7）提供输入接口：USB3.0 x2、Type-C x1、HDMIx1、网线接口x1。</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8）讲桌正面配置独立≥18mm厚高密度纤维板，</w:t>
      </w:r>
      <w:bookmarkEnd w:id="240"/>
      <w:r>
        <w:rPr>
          <w:rFonts w:hint="eastAsia" w:ascii="宋体" w:hAnsi="宋体" w:eastAsia="宋体" w:cs="宋体"/>
          <w:color w:val="000000" w:themeColor="text1"/>
          <w:kern w:val="2"/>
          <w:sz w:val="28"/>
          <w:szCs w:val="28"/>
          <w:highlight w:val="none"/>
          <w14:textFill>
            <w14:solidFill>
              <w14:schemeClr w14:val="tx1"/>
            </w14:solidFill>
          </w14:textFill>
        </w:rPr>
        <w:t>根据学校要求设计印制LOGO。</w:t>
      </w:r>
    </w:p>
    <w:p>
      <w:pPr>
        <w:pStyle w:val="18"/>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品目1-13：</w:t>
      </w:r>
      <w:bookmarkStart w:id="241" w:name="_Hlk103622645"/>
      <w:r>
        <w:rPr>
          <w:rFonts w:hint="eastAsia" w:ascii="宋体" w:hAnsi="宋体" w:eastAsia="宋体" w:cs="宋体"/>
          <w:snapToGrid w:val="0"/>
          <w:color w:val="000000" w:themeColor="text1"/>
          <w:sz w:val="28"/>
          <w:szCs w:val="28"/>
          <w:highlight w:val="none"/>
          <w:u w:val="single"/>
          <w14:textFill>
            <w14:solidFill>
              <w14:schemeClr w14:val="tx1"/>
            </w14:solidFill>
          </w14:textFill>
        </w:rPr>
        <w:t>综合布线</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满足本项目所需线材配件，均使用知名品牌。网线为六类线，电源线等线材符合国家标准。</w:t>
      </w:r>
    </w:p>
    <w:bookmarkEnd w:id="241"/>
    <w:p>
      <w:pPr>
        <w:pStyle w:val="18"/>
        <w:spacing w:line="360" w:lineRule="auto"/>
        <w:ind w:firstLine="562" w:firstLineChars="200"/>
        <w:rPr>
          <w:rFonts w:ascii="宋体" w:hAnsi="宋体" w:eastAsia="宋体" w:cs="宋体"/>
          <w:b/>
          <w:bCs/>
          <w:color w:val="000000" w:themeColor="text1"/>
          <w:kern w:val="2"/>
          <w:sz w:val="28"/>
          <w:szCs w:val="28"/>
          <w:highlight w:val="none"/>
          <w14:textFill>
            <w14:solidFill>
              <w14:schemeClr w14:val="tx1"/>
            </w14:solidFill>
          </w14:textFill>
        </w:rPr>
      </w:pPr>
      <w:r>
        <w:rPr>
          <w:rFonts w:hint="eastAsia" w:ascii="宋体" w:hAnsi="宋体" w:eastAsia="宋体" w:cs="宋体"/>
          <w:b/>
          <w:bCs/>
          <w:color w:val="000000" w:themeColor="text1"/>
          <w:kern w:val="2"/>
          <w:sz w:val="28"/>
          <w:szCs w:val="28"/>
          <w:highlight w:val="none"/>
          <w14:textFill>
            <w14:solidFill>
              <w14:schemeClr w14:val="tx1"/>
            </w14:solidFill>
          </w14:textFill>
        </w:rPr>
        <w:t>品目2：精品录播教室</w:t>
      </w:r>
    </w:p>
    <w:tbl>
      <w:tblPr>
        <w:tblStyle w:val="33"/>
        <w:tblW w:w="8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2192"/>
        <w:gridCol w:w="2574"/>
        <w:gridCol w:w="1559"/>
        <w:gridCol w:w="1134"/>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746" w:type="dxa"/>
            <w:gridSpan w:val="6"/>
            <w:shd w:val="clear" w:color="auto" w:fill="auto"/>
            <w:noWrap/>
            <w:vAlign w:val="center"/>
          </w:tcPr>
          <w:p>
            <w:pPr>
              <w:spacing w:beforeLines="50" w:afterLines="50"/>
              <w:jc w:val="center"/>
              <w:rPr>
                <w:rFonts w:ascii="宋体" w:hAnsi="宋体" w:eastAsia="宋体" w:cs="宋体"/>
                <w:b/>
                <w:bCs/>
                <w:color w:val="000000" w:themeColor="text1"/>
                <w:sz w:val="28"/>
                <w:szCs w:val="28"/>
                <w:highlight w:val="none"/>
                <w14:textFill>
                  <w14:solidFill>
                    <w14:schemeClr w14:val="tx1"/>
                  </w14:solidFill>
                </w14:textFill>
              </w:rPr>
            </w:pPr>
            <w:bookmarkStart w:id="242" w:name="_Hlk103626681"/>
            <w:r>
              <w:rPr>
                <w:rFonts w:hint="eastAsia" w:ascii="宋体" w:hAnsi="宋体" w:eastAsia="宋体" w:cs="宋体"/>
                <w:b/>
                <w:bCs/>
                <w:color w:val="000000" w:themeColor="text1"/>
                <w:sz w:val="28"/>
                <w:szCs w:val="28"/>
                <w:highlight w:val="none"/>
                <w14:textFill>
                  <w14:solidFill>
                    <w14:schemeClr w14:val="tx1"/>
                  </w14:solidFill>
                </w14:textFill>
              </w:rPr>
              <w:t>精品录播教室设备清单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2192"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设备名称</w:t>
            </w:r>
          </w:p>
        </w:tc>
        <w:tc>
          <w:tcPr>
            <w:tcW w:w="257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基本规格（参考型号）</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数量</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2192"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一体机</w:t>
            </w:r>
          </w:p>
        </w:tc>
        <w:tc>
          <w:tcPr>
            <w:tcW w:w="257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2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2192"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一体机（含移动支架）</w:t>
            </w:r>
          </w:p>
        </w:tc>
        <w:tc>
          <w:tcPr>
            <w:tcW w:w="257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4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2192"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智慧教学系统</w:t>
            </w:r>
          </w:p>
        </w:tc>
        <w:tc>
          <w:tcPr>
            <w:tcW w:w="257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套</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w:t>
            </w:r>
          </w:p>
        </w:tc>
        <w:tc>
          <w:tcPr>
            <w:tcW w:w="2192"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云桌面系统软件</w:t>
            </w:r>
          </w:p>
        </w:tc>
        <w:tc>
          <w:tcPr>
            <w:tcW w:w="257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点</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显示器</w:t>
            </w:r>
          </w:p>
        </w:tc>
        <w:tc>
          <w:tcPr>
            <w:tcW w:w="257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计算机</w:t>
            </w:r>
          </w:p>
        </w:tc>
        <w:tc>
          <w:tcPr>
            <w:tcW w:w="2574" w:type="dxa"/>
            <w:shd w:val="clear" w:color="auto" w:fill="auto"/>
          </w:tcPr>
          <w:p>
            <w:pPr>
              <w:spacing w:beforeLines="50" w:afterLines="50"/>
              <w:ind w:firstLine="700" w:firstLineChars="25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智能融合终端</w:t>
            </w:r>
          </w:p>
        </w:tc>
        <w:tc>
          <w:tcPr>
            <w:tcW w:w="2574" w:type="dxa"/>
            <w:shd w:val="clear" w:color="auto" w:fill="auto"/>
          </w:tcPr>
          <w:p>
            <w:pPr>
              <w:spacing w:beforeLines="50" w:afterLines="50"/>
              <w:ind w:firstLine="700" w:firstLineChars="25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智能控制面板</w:t>
            </w:r>
          </w:p>
        </w:tc>
        <w:tc>
          <w:tcPr>
            <w:tcW w:w="2574" w:type="dxa"/>
            <w:shd w:val="clear" w:color="auto" w:fill="auto"/>
          </w:tcPr>
          <w:p>
            <w:pPr>
              <w:spacing w:beforeLines="50" w:afterLines="50"/>
              <w:ind w:firstLine="700" w:firstLineChars="25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vAlign w:val="center"/>
          </w:tcPr>
          <w:p>
            <w:pPr>
              <w:spacing w:line="360" w:lineRule="auto"/>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音箱</w:t>
            </w:r>
          </w:p>
        </w:tc>
        <w:tc>
          <w:tcPr>
            <w:tcW w:w="2574"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对</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无线麦克风</w:t>
            </w:r>
          </w:p>
        </w:tc>
        <w:tc>
          <w:tcPr>
            <w:tcW w:w="2574"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只</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智能球型摄像机(云台摄像机)</w:t>
            </w:r>
          </w:p>
        </w:tc>
        <w:tc>
          <w:tcPr>
            <w:tcW w:w="2574"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2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拾音器</w:t>
            </w:r>
          </w:p>
        </w:tc>
        <w:tc>
          <w:tcPr>
            <w:tcW w:w="2574"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个</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4K录播主机</w:t>
            </w:r>
          </w:p>
        </w:tc>
        <w:tc>
          <w:tcPr>
            <w:tcW w:w="2574"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14</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4K摄像机</w:t>
            </w:r>
          </w:p>
        </w:tc>
        <w:tc>
          <w:tcPr>
            <w:tcW w:w="2574"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4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15</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教师跟踪定位设备</w:t>
            </w:r>
          </w:p>
        </w:tc>
        <w:tc>
          <w:tcPr>
            <w:tcW w:w="2574"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16</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学生跟踪定位设备</w:t>
            </w:r>
          </w:p>
        </w:tc>
        <w:tc>
          <w:tcPr>
            <w:tcW w:w="2574"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17</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控制面板</w:t>
            </w:r>
          </w:p>
        </w:tc>
        <w:tc>
          <w:tcPr>
            <w:tcW w:w="2574"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18</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音频处理器</w:t>
            </w:r>
          </w:p>
        </w:tc>
        <w:tc>
          <w:tcPr>
            <w:tcW w:w="2574"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19</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学生话筒</w:t>
            </w:r>
          </w:p>
        </w:tc>
        <w:tc>
          <w:tcPr>
            <w:tcW w:w="2574"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只</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6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20</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教师麦克风</w:t>
            </w:r>
          </w:p>
        </w:tc>
        <w:tc>
          <w:tcPr>
            <w:tcW w:w="2574"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只</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21</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主控桌</w:t>
            </w:r>
          </w:p>
        </w:tc>
        <w:tc>
          <w:tcPr>
            <w:tcW w:w="2574"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张</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22</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提词器</w:t>
            </w:r>
          </w:p>
        </w:tc>
        <w:tc>
          <w:tcPr>
            <w:tcW w:w="2574"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23</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综合布线</w:t>
            </w:r>
          </w:p>
        </w:tc>
        <w:tc>
          <w:tcPr>
            <w:tcW w:w="2574"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套</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24</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学生桌椅</w:t>
            </w:r>
          </w:p>
        </w:tc>
        <w:tc>
          <w:tcPr>
            <w:tcW w:w="2574"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位</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24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25</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吸顶空调</w:t>
            </w:r>
          </w:p>
        </w:tc>
        <w:tc>
          <w:tcPr>
            <w:tcW w:w="2574"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26</w:t>
            </w:r>
          </w:p>
        </w:tc>
        <w:tc>
          <w:tcPr>
            <w:tcW w:w="2192"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环境改造</w:t>
            </w:r>
          </w:p>
        </w:tc>
        <w:tc>
          <w:tcPr>
            <w:tcW w:w="2574"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559"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间</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87"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bookmarkEnd w:id="242"/>
    </w:tbl>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品目2-1</w:t>
      </w:r>
      <w:r>
        <w:rPr>
          <w:rFonts w:hint="eastAsia" w:ascii="宋体" w:hAnsi="宋体" w:eastAsia="宋体" w:cs="宋体"/>
          <w:snapToGrid w:val="0"/>
          <w:color w:val="000000" w:themeColor="text1"/>
          <w:sz w:val="28"/>
          <w:szCs w:val="28"/>
          <w:highlight w:val="none"/>
          <w14:textFill>
            <w14:solidFill>
              <w14:schemeClr w14:val="tx1"/>
            </w14:solidFill>
          </w14:textFill>
        </w:rPr>
        <w:t>：</w:t>
      </w:r>
      <w:r>
        <w:rPr>
          <w:rFonts w:hint="eastAsia" w:ascii="宋体" w:hAnsi="宋体" w:eastAsia="宋体" w:cs="宋体"/>
          <w:snapToGrid w:val="0"/>
          <w:color w:val="000000" w:themeColor="text1"/>
          <w:sz w:val="28"/>
          <w:szCs w:val="28"/>
          <w:highlight w:val="none"/>
          <w:u w:val="single"/>
          <w14:textFill>
            <w14:solidFill>
              <w14:schemeClr w14:val="tx1"/>
            </w14:solidFill>
          </w14:textFill>
        </w:rPr>
        <w:t xml:space="preserve">触控一体机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bookmarkStart w:id="243" w:name="_Hlk102212487"/>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1)整机采用UHD超高清LED 液晶屏，整机屏幕采用≥86英寸液晶显示器。显示比例16:9，分辨率≥3840*2160。玻璃表面硬度≥莫氏7H。支持20点或以上触控。</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 整机内置2.0声道扬声器，2*15W，额定总功率≥30W（提供佐证材料）。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 嵌入式系统版本不低于Android 8.0，内存≥2GB，存储空间≥8GB。（提供佐证材料）。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4)前置输入接口≥3路USB接口（至少包括1路Type-C）。整机内置非独立摄像头，可拍摄≥800万像素数的照片，拍摄角度不小于120°。（提供佐证材料）。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 设备支持物理按键一键启动录屏功能，可将屏幕中显示的课件、音频内容与老师人声同时录制。</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 具备护眼功能，可以在任意通道任意画面任意软件所有显示内容下实现画面纹理的实时调整。支持透明度调节。支持色温调节。具备视觉舒适度（VICO）体系认证。整机支持色彩空间可选，包含标准模式和sRGB模式。（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 OPS电脑主板采用H310芯片组，搭载Intel 酷睿≥i7</w:t>
      </w:r>
      <w:r>
        <w:rPr>
          <w:rFonts w:ascii="宋体" w:hAnsi="宋体" w:eastAsia="宋体" w:cs="宋体"/>
          <w:color w:val="000000" w:themeColor="text1"/>
          <w:kern w:val="2"/>
          <w:sz w:val="28"/>
          <w:szCs w:val="28"/>
          <w:highlight w:val="non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CPU。独立显存，显存≥4</w:t>
      </w:r>
      <w:r>
        <w:rPr>
          <w:rFonts w:ascii="宋体" w:hAnsi="宋体" w:eastAsia="宋体" w:cs="宋体"/>
          <w:color w:val="000000" w:themeColor="text1"/>
          <w:kern w:val="2"/>
          <w:sz w:val="28"/>
          <w:szCs w:val="28"/>
          <w:highlight w:val="none"/>
          <w14:textFill>
            <w14:solidFill>
              <w14:schemeClr w14:val="tx1"/>
            </w14:solidFill>
          </w14:textFill>
        </w:rPr>
        <w:t>G</w:t>
      </w:r>
      <w:r>
        <w:rPr>
          <w:rFonts w:hint="eastAsia" w:ascii="宋体" w:hAnsi="宋体" w:eastAsia="宋体" w:cs="宋体"/>
          <w:color w:val="000000" w:themeColor="text1"/>
          <w:kern w:val="2"/>
          <w:sz w:val="28"/>
          <w:szCs w:val="28"/>
          <w:highlight w:val="none"/>
          <w14:textFill>
            <w14:solidFill>
              <w14:schemeClr w14:val="tx1"/>
            </w14:solidFill>
          </w14:textFill>
        </w:rPr>
        <w:t>。内存：16GB DDR4笔记本内存或以上配置。硬盘：≥512GB SSD固态硬盘。</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8)整机具备前置Type-C接口，可外接电脑进行数据接换。（提供佐证材料）。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 整机Wi-Fi及AP热点支持频段2.4GHz/5GHz,支持IEEE802.11 a/b/g/n/ac/ax,支持Wi-Fi6。</w:t>
      </w:r>
    </w:p>
    <w:p>
      <w:pPr>
        <w:pStyle w:val="18"/>
        <w:spacing w:line="360" w:lineRule="auto"/>
        <w:ind w:firstLine="562" w:firstLineChars="200"/>
        <w:rPr>
          <w:rFonts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b/>
          <w:bCs/>
          <w:color w:val="000000" w:themeColor="text1"/>
          <w:kern w:val="2"/>
          <w:sz w:val="28"/>
          <w:szCs w:val="28"/>
          <w:highlight w:val="none"/>
          <w14:textFill>
            <w14:solidFill>
              <w14:schemeClr w14:val="tx1"/>
            </w14:solidFill>
          </w14:textFill>
        </w:rPr>
        <w:t>品目2-2</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一体机（含移动支架）</w:t>
      </w:r>
    </w:p>
    <w:p>
      <w:pPr>
        <w:pStyle w:val="18"/>
        <w:spacing w:line="360" w:lineRule="auto"/>
        <w:ind w:firstLine="560" w:firstLineChars="200"/>
        <w:rPr>
          <w:rFonts w:ascii="宋体" w:hAnsi="宋体" w:eastAsia="宋体" w:cs="宋体"/>
          <w:snapToGrid w:val="0"/>
          <w:color w:val="000000" w:themeColor="text1"/>
          <w:sz w:val="28"/>
          <w:szCs w:val="28"/>
          <w:highlight w:val="none"/>
          <w14:textFill>
            <w14:solidFill>
              <w14:schemeClr w14:val="tx1"/>
            </w14:solidFill>
          </w14:textFill>
        </w:rPr>
      </w:pPr>
      <w:r>
        <w:rPr>
          <w:rFonts w:hint="eastAsia" w:ascii="宋体" w:hAnsi="宋体" w:eastAsia="宋体" w:cs="宋体"/>
          <w:snapToGrid w:val="0"/>
          <w:color w:val="000000" w:themeColor="text1"/>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snapToGrid w:val="0"/>
          <w:color w:val="000000" w:themeColor="text1"/>
          <w:sz w:val="28"/>
          <w:szCs w:val="28"/>
          <w:highlight w:val="none"/>
          <w14:textFill>
            <w14:solidFill>
              <w14:schemeClr w14:val="tx1"/>
            </w14:solidFill>
          </w14:textFill>
        </w:rPr>
      </w:pPr>
      <w:r>
        <w:rPr>
          <w:rFonts w:hint="eastAsia" w:ascii="宋体" w:hAnsi="宋体" w:eastAsia="宋体" w:cs="宋体"/>
          <w:snapToGrid w:val="0"/>
          <w:color w:val="000000" w:themeColor="text1"/>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1)整机屏幕采用≥70英寸液晶显示器。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2)整机采用UHD超高清LED 液晶屏，显示比例16:9，分辨率≥3840*2160。</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3)玻璃表面硬度≥莫氏7H。</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4)整机内置2.0声道扬声器，2*15W，额定总功率≥30W（提供佐证材料）。（提供佐证材料）。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 整机支持色彩空间可选，包含标准模式和sRGB模式。（提供佐证材料）。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6)设备支持物理按键一键启动录屏功能，可将屏幕中显示的课件、音频内容与老师人声同时录制。</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7)具备护眼功能，可以在任意通道任意画面任意软件所有显示内容下实现画面纹理的实时调整。支持透明度调节。支持色温调节。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8)外接电脑设备经双头Type-C线连接至整机，可外接电脑进行数据接换。（提供佐证材料）。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9)嵌入式系统版本不低于Android 8.0，内存≥2GB，存储空间≥8GB。（提供佐证材料）。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10)具备视觉舒适度（VICO）体系认证。（提供佐证材料）。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11)整机内置非独立摄像头，可拍摄≥800万像素数的照片，拍摄角度不小于120°。（提供佐证材料）。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12) 主板采用H310芯片组，搭载Intel酷睿≥i7</w:t>
      </w:r>
      <w:r>
        <w:rPr>
          <w:rFonts w:ascii="宋体" w:hAnsi="宋体" w:eastAsia="宋体" w:cs="宋体"/>
          <w:color w:val="000000" w:themeColor="text1"/>
          <w:kern w:val="2"/>
          <w:sz w:val="28"/>
          <w:szCs w:val="28"/>
          <w:highlight w:val="non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CPU。独立显存，显存≥4</w:t>
      </w:r>
      <w:r>
        <w:rPr>
          <w:rFonts w:ascii="宋体" w:hAnsi="宋体" w:eastAsia="宋体" w:cs="宋体"/>
          <w:color w:val="000000" w:themeColor="text1"/>
          <w:kern w:val="2"/>
          <w:sz w:val="28"/>
          <w:szCs w:val="28"/>
          <w:highlight w:val="none"/>
          <w14:textFill>
            <w14:solidFill>
              <w14:schemeClr w14:val="tx1"/>
            </w14:solidFill>
          </w14:textFill>
        </w:rPr>
        <w:t>G</w:t>
      </w:r>
      <w:r>
        <w:rPr>
          <w:rFonts w:hint="eastAsia" w:ascii="宋体" w:hAnsi="宋体" w:eastAsia="宋体" w:cs="宋体"/>
          <w:color w:val="000000" w:themeColor="text1"/>
          <w:kern w:val="2"/>
          <w:sz w:val="28"/>
          <w:szCs w:val="28"/>
          <w:highlight w:val="none"/>
          <w14:textFill>
            <w14:solidFill>
              <w14:schemeClr w14:val="tx1"/>
            </w14:solidFill>
          </w14:textFill>
        </w:rPr>
        <w:t>。内存：16GB DDR4笔记本内存或以上配置。硬盘：≥256GB SSD固态硬盘。</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13）配套移动支架。</w:t>
      </w:r>
    </w:p>
    <w:bookmarkEnd w:id="243"/>
    <w:p>
      <w:pPr>
        <w:spacing w:line="360" w:lineRule="auto"/>
        <w:ind w:firstLine="560" w:firstLineChars="200"/>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14）</w:t>
      </w:r>
      <w:r>
        <w:rPr>
          <w:rFonts w:hint="eastAsia" w:ascii="宋体" w:hAnsi="宋体" w:eastAsia="宋体" w:cs="宋体"/>
          <w:b/>
          <w:color w:val="000000" w:themeColor="text1"/>
          <w:sz w:val="28"/>
          <w:szCs w:val="28"/>
          <w:highlight w:val="none"/>
          <w14:textFill>
            <w14:solidFill>
              <w14:schemeClr w14:val="tx1"/>
            </w14:solidFill>
          </w14:textFill>
        </w:rPr>
        <w:t xml:space="preserve"> </w:t>
      </w:r>
      <w:r>
        <w:rPr>
          <w:rFonts w:hint="eastAsia" w:ascii="宋体" w:hAnsi="宋体" w:eastAsia="宋体" w:cs="宋体"/>
          <w:snapToGrid w:val="0"/>
          <w:color w:val="000000" w:themeColor="text1"/>
          <w:sz w:val="28"/>
          <w:szCs w:val="28"/>
          <w:highlight w:val="none"/>
          <w14:textFill>
            <w14:solidFill>
              <w14:schemeClr w14:val="tx1"/>
            </w14:solidFill>
          </w14:textFill>
        </w:rPr>
        <w:t>常态化授课软件（1套）</w:t>
      </w:r>
      <w:r>
        <w:rPr>
          <w:rFonts w:hint="eastAsia" w:ascii="宋体" w:hAnsi="宋体" w:eastAsia="宋体" w:cs="宋体"/>
          <w:b/>
          <w:color w:val="000000" w:themeColor="text1"/>
          <w:sz w:val="28"/>
          <w:szCs w:val="28"/>
          <w:highlight w:val="none"/>
          <w14:textFill>
            <w14:solidFill>
              <w14:schemeClr w14:val="tx1"/>
            </w14:solidFill>
          </w14:textFill>
        </w:rPr>
        <w:t xml:space="preserve">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（1）公网连接：不需借助任何外接设备，在公网环境下即可支持学生端手机、平板同教师端进行连接。</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（2）扫码连接：支持学生端通过输入连接码和扫描二维码两种方式，进入课堂，同步完成考勤签到。</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（3）互动反馈系统：具备公网互动反馈功能，将所有学生端和教师端连接一起构建成互动反馈系统，在系统里面教师可以单选，多选，判断，观点，抢答，抽选，提问箱，文件下发，批注下发。</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具体功能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1）具备统计考勤。</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2）具备班级创建。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3）具备互动答题系统。</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4）具备抢答抽选。</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5）具备学情报告。</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6）具备资料下发。</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7）具备批注分发。</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8）具备授课小工具。</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9）具备无线传屏。</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10）具备课堂互动记录。</w:t>
      </w:r>
    </w:p>
    <w:p>
      <w:pPr>
        <w:kinsoku w:val="0"/>
        <w:autoSpaceDE w:val="0"/>
        <w:autoSpaceDN w:val="0"/>
        <w:adjustRightInd w:val="0"/>
        <w:snapToGrid w:val="0"/>
        <w:spacing w:line="360" w:lineRule="auto"/>
        <w:textAlignment w:val="baseline"/>
        <w:rPr>
          <w:rFonts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品目2-3：</w:t>
      </w:r>
      <w:r>
        <w:rPr>
          <w:rFonts w:hint="eastAsia" w:ascii="宋体" w:hAnsi="宋体" w:eastAsia="宋体" w:cs="宋体"/>
          <w:color w:val="000000" w:themeColor="text1"/>
          <w:sz w:val="28"/>
          <w:szCs w:val="28"/>
          <w:highlight w:val="none"/>
          <w:u w:val="single"/>
          <w14:textFill>
            <w14:solidFill>
              <w14:schemeClr w14:val="tx1"/>
            </w14:solidFill>
          </w14:textFill>
        </w:rPr>
        <w:t xml:space="preserve">智慧教学系统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1）包含教师端、小组端和学生客户端软件（IOS、Android、Windows），满足日常课堂师生互动教学（点名、大屏广播、随机选人、抢答、测试、反馈、投票、讨论等活动）。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2）离线教学，客户端软件均须支持离线登陆，在仅有教室局域网或断网情况下不影响大屏广播、无线投屏、教学互动、文件分享等功能。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3）屏幕广播：需支持教师通过屏幕广播将各种形式的教学内容广播给小组屏及学生端，让教室每一个角落的学生都能清晰地看到教学过程。</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无线投屏：教师端具备投屏功能（允许、禁止投屏、查看投屏信号、终止投屏信号等）支持IOS/Android/Windows等系统环境，每一个投屏的内容都以非独占的方式显示，支持≥6个屏幕的同时投屏与同屏对比、展示等（大小、位置可随意改变）。</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5）分组研讨：教师端需提供随机分组、固定分组和自由分组等多种分组方式。教师可实时获取各小组讨论画面，须支持将任意小组的展示画面调取到教师大屏上进行远程接管控制、转播、同步展示。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成果展示：教师可通过教师大屏或教师移动终端调取小组的展示成果到教师大屏上进行展示和讲评，并可将该小组的成果广播至其他小组屏上进行同步显示。另外，教师还可同时调取多个小组的成果进行多屏展示对比。</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全媒体教学板：教学大屏端和小组端的软件都需提供全媒体教学板，可内嵌PPT、pdf阅读器、媒体播放器、图片查看器等信号源接入到同一画板。每个影像可以实现双指缩放、旋转、拖动、甩屏等手势操作。可以在每个影像内实现批注，且批注内容随着单个影像的缩放而同步等比例缩放。</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文档支持：教学大屏端和小组端的软件需支持通用的Office文档格式、pdf、图片、视频等格式，打开的文档同时支持全屏展示和教学板内展示二种状态。持二种状态下的相互切换，并保持文档原有的版式、内容、动画效果不变，如PPT。支持多个文档的同时开启与操作。</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PPT预览与跳转：教学大屏端和小组端的软件在打开PPT时，需提供PPT的跳转入口，执行后在当前放映幻灯片中可浮现所有幻灯片的预览图，上下滑动可以预览所有幻灯片，单击某一张幻灯片的预览图则跳转到对应幻灯片中播放。</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10）PPT连动与复制：播放PPT时，需支持双屏同步显示，也可以支持一屏播放PPT动画，另一屏显示PPT上一页的内容，且保持PPT原有的版式、内容、动画效果一致，当PPT播放到下一页/切换到上一页后，另一屏屏幕内容会自动跟随切换。</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11）动态批注：可以动态的在教学大屏端和小组端上对讨论内容（包含图片、视频、APP等）进行批注，并可以将批注的书写过程同步到所有学生屏幕，使课堂讲解变得更有针对性。</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12）文件共享：教师可将课堂相关文件，如备课资料、课堂笔记、课后作业等通过共享文件快速发送给学生，节省课堂时间。</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13）课堂互动：需提供抢答、抽答、弹幕等课中互动工具，提高学生课堂注意力，创造积极的课堂氛围。</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14）教学工具：需提供包括白板、绘笔、屏幕快照、视频直播录制等互动教学工具。</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15）BYOD支持：需支持老师和学生自带移动终端，且可以使用Android、iOS、windows操作系统，广泛支持各种品牌的平板、手机和电脑，适应各种大小的屏幕和分辨率。</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16）协助模块：须支持教师端远程接管、重启\关闭等多种命令功能。支持一键关闭所有的小组电脑。</w:t>
      </w:r>
    </w:p>
    <w:p>
      <w:pPr>
        <w:pStyle w:val="18"/>
        <w:spacing w:line="360" w:lineRule="auto"/>
        <w:ind w:firstLine="562"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b/>
          <w:bCs/>
          <w:color w:val="000000" w:themeColor="text1"/>
          <w:kern w:val="2"/>
          <w:sz w:val="28"/>
          <w:szCs w:val="28"/>
          <w:highlight w:val="none"/>
          <w14:textFill>
            <w14:solidFill>
              <w14:schemeClr w14:val="tx1"/>
            </w14:solidFill>
          </w14:textFill>
        </w:rPr>
        <w:t>品目2-4</w:t>
      </w:r>
      <w:r>
        <w:rPr>
          <w:rFonts w:hint="eastAsia" w:ascii="宋体" w:hAnsi="宋体" w:eastAsia="宋体" w:cs="宋体"/>
          <w:color w:val="000000" w:themeColor="text1"/>
          <w:kern w:val="2"/>
          <w:sz w:val="28"/>
          <w:szCs w:val="28"/>
          <w:highlight w:val="none"/>
          <w14:textFill>
            <w14:solidFill>
              <w14:schemeClr w14:val="tx1"/>
            </w14:solidFill>
          </w14:textFill>
        </w:rPr>
        <w:t>：</w:t>
      </w:r>
      <w:r>
        <w:rPr>
          <w:rFonts w:hint="eastAsia" w:ascii="宋体" w:hAnsi="宋体" w:eastAsia="宋体" w:cs="宋体"/>
          <w:color w:val="000000" w:themeColor="text1"/>
          <w:kern w:val="2"/>
          <w:sz w:val="28"/>
          <w:szCs w:val="28"/>
          <w:highlight w:val="none"/>
          <w:u w:val="single"/>
          <w14:textFill>
            <w14:solidFill>
              <w14:schemeClr w14:val="tx1"/>
            </w14:solidFill>
          </w14:textFill>
        </w:rPr>
        <w:t>云桌面系统软件</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bookmarkStart w:id="244" w:name="_Hlk102212739"/>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1）管理架构要求：为便于不同教师管理操作需求，需提供C/S主控端管理模式和B/S架构web管理模式。</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2）系统支持要求：支持客户端UEFI启动模式，硬盘支持MBR和GPT分区格式，支持WindowsXP、win7、LINUX、unix、最新Win10等操作系统桌面。</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3）镜像映射与扩容要求：服务器端镜像支持映射模式，支持镜像在服务器端直接映射成系统盘符操作。（提供佐证材料）。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4）跨网段要求：云桌面系统支持在现有网络交换机参数配置不允许再做调整情况下无条件跨VLAN。通过网络引导终端电脑启动操作系统。（提供佐证材料）。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5）数据维护功能要求：支持客户终端上的节点在还原状态下都能保留个性化数据。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6）集成管理要求：主管理界面应支持镜像管理、方案管理、任务计划、网络拓扑、客户端管理等基本管理功能。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7）WEB管理要求：支持多账户管理功能模块。</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8）快照管理要求：支持镜像手动快照和自动快照两个功能模式，便于管理人员和操作员根据自动向导提示逐步完成软件安装操作。（提供佐证材料）。</w:t>
      </w:r>
    </w:p>
    <w:bookmarkEnd w:id="244"/>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品目2-5：</w:t>
      </w:r>
      <w:r>
        <w:rPr>
          <w:rFonts w:hint="eastAsia" w:ascii="宋体" w:hAnsi="宋体" w:eastAsia="宋体" w:cs="宋体"/>
          <w:color w:val="000000" w:themeColor="text1"/>
          <w:sz w:val="28"/>
          <w:szCs w:val="28"/>
          <w:highlight w:val="none"/>
          <w:u w:val="single"/>
          <w14:textFill>
            <w14:solidFill>
              <w14:schemeClr w14:val="tx1"/>
            </w14:solidFill>
          </w14:textFill>
        </w:rPr>
        <w:t>显示器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1）1LED显示器，屏幕尺寸≥21.5英寸。分辨率≥1920x1080，屏幕比例：16：9。</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2）可视角度≥170/160°,刷新率≥60Hz;视频接口;D-Sub，HDMI.  支持vesa10Ⅹ10标准壁挂接口,所有接口与显示器平行。</w:t>
      </w:r>
    </w:p>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品目2-6：</w:t>
      </w:r>
      <w:r>
        <w:rPr>
          <w:rFonts w:hint="eastAsia" w:ascii="宋体" w:hAnsi="宋体" w:eastAsia="宋体" w:cs="宋体"/>
          <w:snapToGrid w:val="0"/>
          <w:color w:val="000000" w:themeColor="text1"/>
          <w:sz w:val="28"/>
          <w:szCs w:val="28"/>
          <w:highlight w:val="none"/>
          <w:u w:val="single"/>
          <w14:textFill>
            <w14:solidFill>
              <w14:schemeClr w14:val="tx1"/>
            </w14:solidFill>
          </w14:textFill>
        </w:rPr>
        <w:t>计算机</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bookmarkStart w:id="245" w:name="_Hlk103456546"/>
      <w:r>
        <w:rPr>
          <w:rFonts w:hint="eastAsia" w:ascii="宋体" w:hAnsi="宋体" w:eastAsia="宋体" w:cs="宋体"/>
          <w:color w:val="000000" w:themeColor="text1"/>
          <w:kern w:val="2"/>
          <w:sz w:val="28"/>
          <w:szCs w:val="28"/>
          <w:highlight w:val="none"/>
          <w14:textFill>
            <w14:solidFill>
              <w14:schemeClr w14:val="tx1"/>
            </w14:solidFill>
          </w14:textFill>
        </w:rPr>
        <w:t>1）可立可卧式机箱。</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2）芯片组：intel Q470芯片组。</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3）处理器：不低于酷睿 i7，主频≥2.9GHZ，8C核心。</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4)内存：≥16G DDR4。</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5)硬盘：≥512G 固态硬盘。</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6)显卡：intel核芯显卡 630或以上 。</w:t>
      </w:r>
    </w:p>
    <w:p>
      <w:pPr>
        <w:pStyle w:val="18"/>
        <w:spacing w:line="360" w:lineRule="auto"/>
        <w:ind w:left="120" w:leftChars="50" w:firstLine="420" w:firstLineChars="15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7）端口：前置4个USB接口，后置5个USB接口，1个VGA、1个HDMI、1个DP，1个串口。</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8）电源：≥210W。</w:t>
      </w:r>
    </w:p>
    <w:bookmarkEnd w:id="245"/>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品目2-7：</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智能融合终端</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1）标准≥1U机架式设计。</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2)主机为一体化设计，具备交换机功能、功放功能、音频接入接口功能，网络中控功能，音频广播、视频广播等功能。支持跨校区、跨网段、跨楼宇间的智能化控制与音视频广播应用。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3）主板采用工业级高速嵌入式MIPS CPU，定制LINUX操作系统。具备WEB操作端，可对主机IP地址、教室命名、显示设备控制码配置。</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4）主机具备≥4口千兆交换机，支持≥4路VLAN划分。</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5）主机具备</w:t>
      </w:r>
      <w:r>
        <w:rPr>
          <w:rFonts w:ascii="宋体" w:hAnsi="宋体" w:eastAsia="宋体" w:cs="宋体"/>
          <w:color w:val="000000" w:themeColor="text1"/>
          <w:kern w:val="2"/>
          <w:sz w:val="28"/>
          <w:szCs w:val="28"/>
          <w:highlight w:val="none"/>
          <w14:textFill>
            <w14:solidFill>
              <w14:schemeClr w14:val="tx1"/>
            </w14:solidFill>
          </w14:textFill>
        </w:rPr>
        <w:t>3*2</w:t>
      </w:r>
      <w:r>
        <w:rPr>
          <w:rFonts w:hint="eastAsia" w:ascii="宋体" w:hAnsi="宋体" w:eastAsia="宋体" w:cs="宋体"/>
          <w:color w:val="000000" w:themeColor="text1"/>
          <w:kern w:val="2"/>
          <w:sz w:val="28"/>
          <w:szCs w:val="28"/>
          <w:highlight w:val="none"/>
          <w14:textFill>
            <w14:solidFill>
              <w14:schemeClr w14:val="tx1"/>
            </w14:solidFill>
          </w14:textFill>
        </w:rPr>
        <w:t xml:space="preserve"> HDMI视频矩阵。</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6）具备≥2路控制接口。</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7）具备≥3路电源输出。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8）支持对教室多媒体设备进行一键控制。</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9）主机具备音视频硬解码模块，需实现新闻联播（C</w:t>
      </w:r>
      <w:r>
        <w:rPr>
          <w:rFonts w:ascii="宋体" w:hAnsi="宋体" w:eastAsia="宋体" w:cs="宋体"/>
          <w:color w:val="000000" w:themeColor="text1"/>
          <w:kern w:val="2"/>
          <w:sz w:val="28"/>
          <w:szCs w:val="28"/>
          <w:highlight w:val="none"/>
          <w14:textFill>
            <w14:solidFill>
              <w14:schemeClr w14:val="tx1"/>
            </w14:solidFill>
          </w14:textFill>
        </w:rPr>
        <w:t>CTV1</w:t>
      </w:r>
      <w:r>
        <w:rPr>
          <w:rFonts w:hint="eastAsia" w:ascii="宋体" w:hAnsi="宋体" w:eastAsia="宋体" w:cs="宋体"/>
          <w:color w:val="000000" w:themeColor="text1"/>
          <w:kern w:val="2"/>
          <w:sz w:val="28"/>
          <w:szCs w:val="28"/>
          <w:highlight w:val="none"/>
          <w14:textFill>
            <w14:solidFill>
              <w14:schemeClr w14:val="tx1"/>
            </w14:solidFill>
          </w14:textFill>
        </w:rPr>
        <w:t>）等五套有线电视节目在线实时观看、会议实时直播接收等，并支持在关机/开机情况下接收来自集中管控系统的音视频广播实现自动播放。</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10）支持远程实时、定时管控，实现对教室设备的随时管、实时管等应用。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11）</w:t>
      </w:r>
      <w:r>
        <w:rPr>
          <w:rFonts w:hint="eastAsia" w:ascii="宋体" w:hAnsi="宋体" w:eastAsia="宋体" w:cs="宋体"/>
          <w:color w:val="000000" w:themeColor="text1"/>
          <w:sz w:val="28"/>
          <w:szCs w:val="28"/>
          <w:highlight w:val="none"/>
          <w14:textFill>
            <w14:solidFill>
              <w14:schemeClr w14:val="tx1"/>
            </w14:solidFill>
          </w14:textFill>
        </w:rPr>
        <w:t>集成物联网控制模块。</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12）与集中管控平台为统一品牌。</w:t>
      </w:r>
    </w:p>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品目2-8：</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智能控制面板</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1）面板具备一键开关机、音视频广播一键暂停/开始以及故障一键报修按键等。</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2）具备液晶触摸屏。</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3）集成权限控制功能，支持插卡/刷卡/扫描二维码开机功能。</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4）具备设备一键报修功能，可通过面板直接向集中管控室拨打语音对讲实现远程求助。</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5）具备与智能融合终端通信接口。</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6）与智能融合信息终端为统一品牌。</w:t>
      </w:r>
    </w:p>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品目2-9：</w:t>
      </w:r>
      <w:r>
        <w:rPr>
          <w:rFonts w:hint="eastAsia" w:ascii="宋体" w:hAnsi="宋体" w:eastAsia="宋体" w:cs="宋体"/>
          <w:snapToGrid w:val="0"/>
          <w:color w:val="000000" w:themeColor="text1"/>
          <w:sz w:val="28"/>
          <w:szCs w:val="28"/>
          <w:highlight w:val="none"/>
          <w:u w:val="single"/>
          <w14:textFill>
            <w14:solidFill>
              <w14:schemeClr w14:val="tx1"/>
            </w14:solidFill>
          </w14:textFill>
        </w:rPr>
        <w:t>音箱</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1）频率响应：不劣于80Hz ～ 20 kHz、定阻输入：≥8 Ω、灵敏度： ≥90 dB。</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2）额定功率：≥30 W。</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3）低音单元≥6寸，高音单元≤1寸。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4）扩声模块频率响应:80 Hz ~ 20 kHz、信噪比: ≥90dBA、总谐波失真: ≤0.05%。</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品目2-10：</w:t>
      </w:r>
      <w:r>
        <w:rPr>
          <w:rFonts w:hint="eastAsia" w:ascii="宋体" w:hAnsi="宋体" w:eastAsia="宋体" w:cs="宋体"/>
          <w:bCs/>
          <w:color w:val="000000" w:themeColor="text1"/>
          <w:sz w:val="28"/>
          <w:szCs w:val="28"/>
          <w:highlight w:val="none"/>
          <w14:textFill>
            <w14:solidFill>
              <w14:schemeClr w14:val="tx1"/>
            </w14:solidFill>
          </w14:textFill>
        </w:rPr>
        <w:t>无线</w:t>
      </w:r>
      <w:r>
        <w:rPr>
          <w:rFonts w:hint="eastAsia" w:ascii="宋体" w:hAnsi="宋体" w:eastAsia="宋体" w:cs="宋体"/>
          <w:snapToGrid w:val="0"/>
          <w:color w:val="000000" w:themeColor="text1"/>
          <w:sz w:val="28"/>
          <w:szCs w:val="28"/>
          <w:highlight w:val="none"/>
          <w:u w:val="single"/>
          <w14:textFill>
            <w14:solidFill>
              <w14:schemeClr w14:val="tx1"/>
            </w14:solidFill>
          </w14:textFill>
        </w:rPr>
        <w:t>麦克风</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1）采用数字调制/解调技术。 </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2）即开即用，无需对频。</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3)内置锂电池，续航时间≥7小时。</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4)具备话筒、激光笔和无线PPT翻页三种功能。</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5)具有充电底座或者充电仓，支持固定充电和IC卡解锁。</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6)接收直线距离：≥15m。</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品目2-11：</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智能球型摄像机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1)≥400万像素红外网络高清球型摄像机。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2）视频输出支持2560×1440@30fps，红外距离≥20米。</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3）支持≥4倍光学变倍，16倍数字变倍。</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4）支持最低照度可达彩色≤0.05Lux，黑白≤0.005Lux。</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5）支持水平手控速度不小于80°/S，垂直手控速度不小于80°/S，云台定位精度为±0.1°。</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6）水平旋转范围为0°-330°，垂直旋转范围为0°-90°。</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7）支持不少于200个预置位，支持30条巡航路径。</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8）信噪比≥60dB，网络延时不大于120ms。</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9）动态范围不小于105dB。</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10）支持智能红外、透雾、强光抑制、电子防抖、数字降噪、防红外过曝功能。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11）支持区域遮盖功能，支持设置不少于24个不规则四边形区域，可设置不同颜色。支持自动定位、断电记忆功能。支持定时抓拍或报警联动抓图上传ftp功能。</w:t>
      </w:r>
    </w:p>
    <w:p>
      <w:pPr>
        <w:pStyle w:val="18"/>
        <w:spacing w:line="360" w:lineRule="auto"/>
        <w:ind w:firstLine="562"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品目2-12：</w:t>
      </w:r>
      <w:r>
        <w:rPr>
          <w:rFonts w:hint="eastAsia" w:ascii="宋体" w:hAnsi="宋体" w:eastAsia="宋体" w:cs="宋体"/>
          <w:color w:val="000000" w:themeColor="text1"/>
          <w:kern w:val="2"/>
          <w:sz w:val="28"/>
          <w:szCs w:val="28"/>
          <w:highlight w:val="none"/>
          <w:u w:val="single"/>
          <w14:textFill>
            <w14:solidFill>
              <w14:schemeClr w14:val="tx1"/>
            </w14:solidFill>
          </w14:textFill>
        </w:rPr>
        <w:t>拾音器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1）内置数字语音处理电路和微处理芯片，两级动态数字降噪处理。</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2）镀银震膜电容咪头。自适应动态降噪处理技术，内置高速DSP数字信号处理器。</w:t>
      </w:r>
    </w:p>
    <w:p>
      <w:pPr>
        <w:spacing w:line="360" w:lineRule="auto"/>
        <w:ind w:firstLine="562" w:firstLineChars="200"/>
        <w:rPr>
          <w:rFonts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b/>
          <w:bCs/>
          <w:color w:val="000000" w:themeColor="text1"/>
          <w:kern w:val="2"/>
          <w:sz w:val="28"/>
          <w:szCs w:val="28"/>
          <w:highlight w:val="none"/>
          <w14:textFill>
            <w14:solidFill>
              <w14:schemeClr w14:val="tx1"/>
            </w14:solidFill>
          </w14:textFill>
        </w:rPr>
        <w:t>品目2-13</w:t>
      </w:r>
      <w:r>
        <w:rPr>
          <w:rFonts w:hint="eastAsia" w:ascii="宋体" w:hAnsi="宋体" w:eastAsia="宋体" w:cs="宋体"/>
          <w:color w:val="000000" w:themeColor="text1"/>
          <w:kern w:val="2"/>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4K录播主机</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2.技术指标及参数要求：</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一.整体设计</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1.)录播主机≤1U机架式设备。</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2).录播主机具备录制、导播、自动跟踪、存储、直播、点播、互动等多功能功于一体。</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二.主机性能</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1)支持高清视频输入接口3G-SDI in≥4、HDMI in≥2。高清输出接口HDMI out≥3。采集和输出分辨率支持3840*2160@30fps的4K标准。</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2)支持标准H.265、H.264视频编解码协议，要求支持3840*2160@30fps、1080P@30fps等分辨率格式编解码。</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3)支持连接4K超高清摄像机采用SDI方式传输。</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4.)接口：Digital mic≥2、线性音频输入接口Line in≥2。线性音频输出接口Line out≥1、耳机监听接口≥1。Console控制接口≥2，支持RS232/422协议。USB 3.0≥2。</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5)存储容量≥2T存储空间，用于录制视频文件的本地存储。</w:t>
      </w:r>
    </w:p>
    <w:p>
      <w:pPr>
        <w:spacing w:line="360" w:lineRule="auto"/>
        <w:ind w:firstLine="562" w:firstLineChars="200"/>
        <w:rPr>
          <w:rFonts w:ascii="宋体" w:hAnsi="宋体" w:eastAsia="宋体" w:cs="宋体"/>
          <w:snapToGrid w:val="0"/>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三．</w:t>
      </w:r>
      <w:r>
        <w:rPr>
          <w:rFonts w:hint="eastAsia" w:ascii="宋体" w:hAnsi="宋体" w:eastAsia="宋体" w:cs="宋体"/>
          <w:snapToGrid w:val="0"/>
          <w:color w:val="000000" w:themeColor="text1"/>
          <w:sz w:val="28"/>
          <w:szCs w:val="28"/>
          <w:highlight w:val="none"/>
          <w14:textFill>
            <w14:solidFill>
              <w14:schemeClr w14:val="tx1"/>
            </w14:solidFill>
          </w14:textFill>
        </w:rPr>
        <w:t>超高清录播管理软件</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1)录播管理软件在出厂时内嵌于高清录播主机中。采用B/S架构设计，使用主流浏览器通过网络即可访问软件后台进行管理应用。</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3)在断网情况下也可以对本地教室进行视频录制，支持4K高清分辨率录制，采用MP4视频格式封装,并将录制文件保存在录播主机的内置硬盘中。</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4)支持电影模式下实现多路信号的复合成一路画面进行录制。资源模式下支持摄像机画面、电脑画面均可独立录制封装。</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5)支持高低双码流同步录制，并要求支持自定义录制文件的分辨率、码流。</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6)支持U盘等外设设备接入主机后，实现本机与U盘同步录制保存的功能。</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7)要求内置录制画面跟踪功能，完成摄像机的画面拍摄和跟踪检测，实现课堂教师、学生行为的全自动跟踪。</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8)支持录制、暂停、结束等基本功能操作，并支持通过外接控制设备以及网页web登录控制等方式进行录制控制。</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9)支持教学场景信号与电脑课件信号以互相独立的信号进行传输。（提供佐证材料）。</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10)支持对接获取互动云系统的通讯录数据。支持通过通讯录选择互动对象直接呼叫。</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11)通过录播主机的网络导播界面，需支持主讲端在互动过程中对其余互动参与者的发言权限进行控制，支持单人禁言/开启以及全场禁言/开启的控制方式。（提供佐证材料）。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12)要求录播主机支持网络检测功能，双向互动过程中，可实现1080P@30FPS画质，并支持网络自适应功能。网络通讯情况，包括上下行丢包率数据、带宽数据。互动画面中可叠加显示各互动点的视频码流和丢包率。</w:t>
      </w:r>
    </w:p>
    <w:p>
      <w:pPr>
        <w:spacing w:line="360" w:lineRule="auto"/>
        <w:ind w:firstLine="562" w:firstLineChars="200"/>
        <w:rPr>
          <w:rFonts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品目2-14：</w:t>
      </w:r>
      <w:r>
        <w:rPr>
          <w:rFonts w:hint="eastAsia" w:ascii="宋体" w:hAnsi="宋体" w:eastAsia="宋体" w:cs="宋体"/>
          <w:color w:val="000000" w:themeColor="text1"/>
          <w:sz w:val="28"/>
          <w:szCs w:val="28"/>
          <w:highlight w:val="none"/>
          <w:u w:val="single"/>
          <w14:textFill>
            <w14:solidFill>
              <w14:schemeClr w14:val="tx1"/>
            </w14:solidFill>
          </w14:textFill>
        </w:rPr>
        <w:t>4K摄像机</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2.技术指标及参数要求：</w:t>
      </w:r>
      <w:bookmarkStart w:id="246" w:name="_Hlk102310513"/>
    </w:p>
    <w:bookmarkEnd w:id="246"/>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1)视频输出接口：SDI≥1、HDMI≥1，同步输出4K图像。</w:t>
      </w:r>
    </w:p>
    <w:p>
      <w:pPr>
        <w:spacing w:line="360" w:lineRule="auto"/>
        <w:ind w:left="425" w:firstLine="140" w:firstLineChars="5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2)传感器类型：CMOS</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3)传感器像素：为充分保障视频的高清效果，图像采集、输出分辨率支持3840*2160,满足4K分辨率要求。</w:t>
      </w:r>
    </w:p>
    <w:p>
      <w:pPr>
        <w:spacing w:line="360" w:lineRule="auto"/>
        <w:ind w:left="425"/>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4)镜头焦距：≥10倍光学变焦，≥15倍数字变焦。</w:t>
      </w:r>
    </w:p>
    <w:p>
      <w:pPr>
        <w:spacing w:line="360" w:lineRule="auto"/>
        <w:ind w:left="425"/>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5)水平转动速度范围：1.0°～ 94.2°/s，垂直转动速度范围：1.0°～ 74.8°/s，水平视场角：72.0°～ 6.7°，垂直视场角：43.2°～ 3.7°。</w:t>
      </w:r>
    </w:p>
    <w:p>
      <w:pPr>
        <w:spacing w:line="360" w:lineRule="auto"/>
        <w:ind w:left="425"/>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6)支持水平、垂直翻转。</w:t>
      </w:r>
    </w:p>
    <w:p>
      <w:pPr>
        <w:spacing w:line="360" w:lineRule="auto"/>
        <w:ind w:left="425"/>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7)数字降噪：2D&amp;3D数字降噪 。</w:t>
      </w:r>
    </w:p>
    <w:p>
      <w:pPr>
        <w:spacing w:line="360" w:lineRule="auto"/>
        <w:ind w:left="425"/>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8)摄像机管理软件采用B/S架构，支持通用浏览器直接访问进行管理。</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9)支持网络参数设置与修改，支持一键恢复默认参数。</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品目2-15</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教师跟踪定位设备</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2.技术指标及参数要求：</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1)扫描方式：逐行扫描。</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2)输出帧率：30fps。</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3)摄像元件：≥1/3 " 。</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4)有效像素：1920×1080。</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5)采用B/S架构设计，支持通用浏览器进行远程访问进行管理。</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6)采用图像识别定位分析技术，智能识别教学行为，根据预设的跟踪分析逻辑触发跟踪信号，与录播主机进行跟踪数据对接。</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7)支持多个区域屏蔽功能，避免屏蔽区域内的干扰，提高系统识别效果。</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8)支持对指定区域进行跟踪分析，支持同时划分多个检测区域。</w:t>
      </w:r>
    </w:p>
    <w:p>
      <w:pPr>
        <w:spacing w:line="360" w:lineRule="auto"/>
        <w:ind w:left="425"/>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9)具有“模糊防抖”功能，避免人员小幅度活动时引起的摄像机画面抖动现象。</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品目2-16：</w:t>
      </w:r>
      <w:r>
        <w:rPr>
          <w:rFonts w:hint="eastAsia" w:ascii="宋体" w:hAnsi="宋体" w:eastAsia="宋体" w:cs="宋体"/>
          <w:snapToGrid w:val="0"/>
          <w:color w:val="000000" w:themeColor="text1"/>
          <w:sz w:val="28"/>
          <w:szCs w:val="28"/>
          <w:highlight w:val="none"/>
          <w:u w:val="single"/>
          <w14:textFill>
            <w14:solidFill>
              <w14:schemeClr w14:val="tx1"/>
            </w14:solidFill>
          </w14:textFill>
        </w:rPr>
        <w:t>学生跟踪定位设备</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2.技术指标及参数要求：</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bookmarkStart w:id="247" w:name="_Hlk102311493"/>
      <w:r>
        <w:rPr>
          <w:rFonts w:hint="eastAsia" w:ascii="宋体" w:hAnsi="宋体" w:eastAsia="宋体" w:cs="宋体"/>
          <w:color w:val="000000" w:themeColor="text1"/>
          <w:sz w:val="28"/>
          <w:szCs w:val="28"/>
          <w:highlight w:val="none"/>
          <w14:textFill>
            <w14:solidFill>
              <w14:schemeClr w14:val="tx1"/>
            </w14:solidFill>
          </w14:textFill>
        </w:rPr>
        <w:t>1)扫描方式：逐行扫描。</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2)输出帧率：30fps。</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3)摄像元件：≥1/3 " 。</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4)有效像素：1920×1080。</w:t>
      </w:r>
    </w:p>
    <w:bookmarkEnd w:id="247"/>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5)采用B/S架构设计，支持通用浏览器进行远程访问进行管理。</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6)采用图像识别定位分析技术，智能识别教学行为。</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7)支持学生起立跟踪功能，支持当学生起立特写跟踪拍摄。</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8)支持多个学生起立跟踪功能，多学生起立切换为学生全景拍摄。</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9)支持自定义规定时间间隔自动切换为学生全景画面。</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10)支持多个区域屏蔽功能，避免屏蔽区域内的干扰，提高系统识别效果。</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11)支持对指定区域进行跟踪分析，支持同时划分多个检测区域。</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12)具有“模糊防抖”功能，避免人员小幅度活动时引起的摄像机画面抖动现象。</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bookmarkStart w:id="248" w:name="_Hlk102311481"/>
      <w:r>
        <w:rPr>
          <w:rFonts w:hint="eastAsia" w:ascii="宋体" w:hAnsi="宋体" w:eastAsia="宋体" w:cs="宋体"/>
          <w:b/>
          <w:color w:val="000000" w:themeColor="text1"/>
          <w:sz w:val="28"/>
          <w:szCs w:val="28"/>
          <w:highlight w:val="none"/>
          <w14:textFill>
            <w14:solidFill>
              <w14:schemeClr w14:val="tx1"/>
            </w14:solidFill>
          </w14:textFill>
        </w:rPr>
        <w:t>品目2-17：</w:t>
      </w:r>
      <w:bookmarkEnd w:id="248"/>
      <w:r>
        <w:rPr>
          <w:rFonts w:hint="eastAsia" w:ascii="宋体" w:hAnsi="宋体" w:eastAsia="宋体" w:cs="宋体"/>
          <w:snapToGrid w:val="0"/>
          <w:color w:val="000000" w:themeColor="text1"/>
          <w:sz w:val="28"/>
          <w:szCs w:val="28"/>
          <w:highlight w:val="none"/>
          <w:u w:val="single"/>
          <w14:textFill>
            <w14:solidFill>
              <w14:schemeClr w14:val="tx1"/>
            </w14:solidFill>
          </w14:textFill>
        </w:rPr>
        <w:t>控制面板</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2.技术指标及参数要求：</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 支持一键式系统电源开关控制。</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2)一键式录制、停止、锁定电脑信号。</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3)支持录播模式和互动模式。</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4)支持通过面板一键发起与远端设备互动连接，远程“一键静音”等功能。</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品目2-18：</w:t>
      </w:r>
      <w:r>
        <w:rPr>
          <w:rFonts w:hint="eastAsia" w:ascii="宋体" w:hAnsi="宋体" w:eastAsia="宋体" w:cs="宋体"/>
          <w:snapToGrid w:val="0"/>
          <w:color w:val="000000" w:themeColor="text1"/>
          <w:sz w:val="28"/>
          <w:szCs w:val="28"/>
          <w:highlight w:val="none"/>
          <w:u w:val="single"/>
          <w14:textFill>
            <w14:solidFill>
              <w14:schemeClr w14:val="tx1"/>
            </w14:solidFill>
          </w14:textFill>
        </w:rPr>
        <w:t>音频处理器</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2.技术指标及参数要求：</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1)采样率≤48K，高速DSP处理芯片。</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2)内置功放功能，支持直接对接无源扬声器进行扩音，无需额外另配功放设备。</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3)支持至少4路模拟输入+1路立体声输入+2路无线输入。支持4路模拟输出+2路功放输出的音频信号处理。</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4)频率响应：20-20KHz。</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5)THD+N：≤0.003 。</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6)动态范围：≥100dB。</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7)支持DSP音频处理功能，包含反馈消除、回声消除、噪声消除、全功能矩阵混音功能等。</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8)支持场景预设功能，可通过场景预设切换相应配置。</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9)USB背景音乐播放与录制功能，支持通过USB接口自动读取并选择播放U盘中的MP3、WAV等格式的音频文件。</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10)采用C/S或B/S软件架构设计，支持对音频处理矩阵进行管理。直观、图形化软件控制界面。 </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11)提供输入输出信道的快捷控制方式，每个通道的处理器都可以快速直通和启用，选中不同的信道，会自动切换信道信息。</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12)支持通过扩展器调整输入的动态范围。</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13)支持通过改变输入输出压缩比例来自动控制增益的幅度，自动提升和压缩话筒音量，使之以恒定的电平输出。</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14)支持通过压缩器减少信号高于用户确定的阈值的动态范围，信号电平低于阈值保持不变。</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品目2-19：</w:t>
      </w:r>
      <w:r>
        <w:rPr>
          <w:rFonts w:hint="eastAsia" w:ascii="宋体" w:hAnsi="宋体" w:eastAsia="宋体" w:cs="宋体"/>
          <w:snapToGrid w:val="0"/>
          <w:color w:val="000000" w:themeColor="text1"/>
          <w:sz w:val="28"/>
          <w:szCs w:val="28"/>
          <w:highlight w:val="none"/>
          <w:u w:val="single"/>
          <w14:textFill>
            <w14:solidFill>
              <w14:schemeClr w14:val="tx1"/>
            </w14:solidFill>
          </w14:textFill>
        </w:rPr>
        <w:t>学生话筒</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2.技术指标及参数要求：</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1)单体：背极式驻极体。</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2)频率响应：40Hz—16kHz。</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3)灵敏度：-29dB±3dB（1dB=1V/Pa at 1kHz）。</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4)输出抗阻：500Ω±20%（at 1kHz）。</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5)最大声压级：130dB（T.H.D≤1% at 1kHz）。</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6)信噪比：70dB（1KHz at 1Pa）。</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品目2-20：</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教师麦克风</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2.技术指标及参数要求：</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1）360°全指向数字阵列麦克风。</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2）内置嵌入式软件和音频处理模块，免配置即插即用。</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3）拾音距离≥3米拾音距离。</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4）灵敏度：-26dBFS。</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5）信噪比：≥64dB(A)。</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6)频率响应：20Hz-16kHz。</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7)采样率：≥32K采样的宽带音频采样。</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8)本地音频处理延时≤18ms，扩声听感无回声。</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品目2-21：</w:t>
      </w:r>
      <w:r>
        <w:rPr>
          <w:rFonts w:hint="eastAsia" w:ascii="宋体" w:hAnsi="宋体" w:eastAsia="宋体" w:cs="宋体"/>
          <w:snapToGrid w:val="0"/>
          <w:color w:val="000000" w:themeColor="text1"/>
          <w:sz w:val="28"/>
          <w:szCs w:val="28"/>
          <w:highlight w:val="none"/>
          <w:u w:val="single"/>
          <w14:textFill>
            <w14:solidFill>
              <w14:schemeClr w14:val="tx1"/>
            </w14:solidFill>
          </w14:textFill>
        </w:rPr>
        <w:t>主控桌</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 规格：≤L*W*H（mm）：1000*715*1082。</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 材料：钢木结合，主体采用≥1.2mm冷轧钢材。桌面及背面采用≥18mm高密度纤维板材料。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3）上层：分为显示区域和操作台面两部分。倾斜式设计，安装显示器、中控面板、等设备。</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4）下层：三面拆装式，整体外形为喇叭式设计，呼应整体外观，独立隐藏式走线通道。</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5）机柜：≥独立8U机柜，可根据教室需求选配，接入第三方设备，机柜与下层主体之间用滑块式轨道连接，可整体滑动，机柜内部配置层板均为可滑动式设计。</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6）预留与2-5相匹配的嵌入安装位置，嵌入讲桌后无明显缝隙。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7）提供输入接口：USB3.0 x2、Type-C x1、HDMIx1、网线接口x1。</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8）讲桌正面配置独立≥18mm厚高密度纤维板，根据学校要求设计印制LOGO。</w:t>
      </w:r>
    </w:p>
    <w:p>
      <w:pPr>
        <w:pStyle w:val="18"/>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品目2-22：</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提词器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1)≥20英寸。</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2)支持双屏显示。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3)支持word、PPT、TXT等格式文本。</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4)玻璃透光率≥ 97%。</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5)兼容单反、摄像机等拍摄设备。</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6)配套三脚架展开高度≥180cm。</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7)配套脚踏板控制器。</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品目2-23：</w:t>
      </w:r>
      <w:r>
        <w:rPr>
          <w:rFonts w:hint="eastAsia" w:ascii="宋体" w:hAnsi="宋体" w:eastAsia="宋体" w:cs="宋体"/>
          <w:color w:val="000000" w:themeColor="text1"/>
          <w:kern w:val="2"/>
          <w:sz w:val="28"/>
          <w:szCs w:val="28"/>
          <w:highlight w:val="none"/>
          <w14:textFill>
            <w14:solidFill>
              <w14:schemeClr w14:val="tx1"/>
            </w14:solidFill>
          </w14:textFill>
        </w:rPr>
        <w:t>综合布线</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满足本项目所需线材配件，均使用知名品牌。网线为六类线，电源线等线材符合国家标准。</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bookmarkStart w:id="249" w:name="_Hlk103429185"/>
      <w:bookmarkStart w:id="250" w:name="_Hlk103628971"/>
      <w:r>
        <w:rPr>
          <w:rFonts w:hint="eastAsia" w:ascii="宋体" w:hAnsi="宋体" w:eastAsia="宋体" w:cs="宋体"/>
          <w:b/>
          <w:color w:val="000000" w:themeColor="text1"/>
          <w:sz w:val="28"/>
          <w:szCs w:val="28"/>
          <w:highlight w:val="none"/>
          <w14:textFill>
            <w14:solidFill>
              <w14:schemeClr w14:val="tx1"/>
            </w14:solidFill>
          </w14:textFill>
        </w:rPr>
        <w:t>品目2-24：</w:t>
      </w:r>
      <w:bookmarkEnd w:id="249"/>
      <w:bookmarkEnd w:id="250"/>
      <w:bookmarkStart w:id="251" w:name="_Hlk103429446"/>
      <w:r>
        <w:rPr>
          <w:rFonts w:hint="eastAsia" w:ascii="宋体" w:hAnsi="宋体" w:eastAsia="宋体" w:cs="宋体"/>
          <w:snapToGrid w:val="0"/>
          <w:color w:val="000000" w:themeColor="text1"/>
          <w:sz w:val="28"/>
          <w:szCs w:val="28"/>
          <w:highlight w:val="none"/>
          <w:u w:val="single"/>
          <w14:textFill>
            <w14:solidFill>
              <w14:schemeClr w14:val="tx1"/>
            </w14:solidFill>
          </w14:textFill>
        </w:rPr>
        <w:t>学生桌椅</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桌子</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1）基材：采用优质E1级三胺板。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2）台面贴面：选用双贴三聚胺氰浸渍面纸饰面。</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3）封边：双色PVC封边、厚度大于或等于2mm。</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4）下架：选用优质钢材下架，选用优质钢材≥1.2mm，经打磨、抛光、酸洗、磷化、防腐等工艺处理，静电粉末喷涂处理,连接配件用铝合金。</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5）配件：固定脚垫带调节脚。</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6）含铝合金置物架，可折叠，台面底下连接平衡码为铝合金。</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7）可拼成外直径1.6M的六边形。单张的尺寸727*550*750H(单位：MM)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  椅子</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1）架子采用异型扁管喷涂，铁管厚度≥1.3mm。</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2）背板采用尼龙塑料加网布进口特网靠背，靠背连接件为工程塑料ABS坐板采用定型海绵加耐污弹力布饰面。</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3）可移动万向轮灵活耐用。</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品目2-25：</w:t>
      </w:r>
      <w:r>
        <w:rPr>
          <w:rFonts w:hint="eastAsia" w:ascii="宋体" w:hAnsi="宋体" w:eastAsia="宋体" w:cs="宋体"/>
          <w:snapToGrid w:val="0"/>
          <w:color w:val="000000" w:themeColor="text1"/>
          <w:sz w:val="28"/>
          <w:szCs w:val="28"/>
          <w:highlight w:val="none"/>
          <w:u w:val="single"/>
          <w14:textFill>
            <w14:solidFill>
              <w14:schemeClr w14:val="tx1"/>
            </w14:solidFill>
          </w14:textFill>
        </w:rPr>
        <w:t xml:space="preserve">吸顶空调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1)3P双制吸顶空调。</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2)制冷量（W）</w:t>
      </w:r>
      <w:bookmarkStart w:id="252" w:name="_Hlk103680765"/>
      <w:r>
        <w:rPr>
          <w:rFonts w:hint="eastAsia" w:ascii="宋体" w:hAnsi="宋体" w:eastAsia="宋体" w:cs="宋体"/>
          <w:color w:val="000000" w:themeColor="text1"/>
          <w:kern w:val="2"/>
          <w:sz w:val="28"/>
          <w:szCs w:val="28"/>
          <w:highlight w:val="none"/>
          <w14:textFill>
            <w14:solidFill>
              <w14:schemeClr w14:val="tx1"/>
            </w14:solidFill>
          </w14:textFill>
        </w:rPr>
        <w:t>≥</w:t>
      </w:r>
      <w:bookmarkEnd w:id="252"/>
      <w:r>
        <w:rPr>
          <w:rFonts w:hint="eastAsia" w:ascii="宋体" w:hAnsi="宋体" w:eastAsia="宋体" w:cs="宋体"/>
          <w:color w:val="000000" w:themeColor="text1"/>
          <w:kern w:val="2"/>
          <w:sz w:val="28"/>
          <w:szCs w:val="28"/>
          <w:highlight w:val="none"/>
          <w14:textFill>
            <w14:solidFill>
              <w14:schemeClr w14:val="tx1"/>
            </w14:solidFill>
          </w14:textFill>
        </w:rPr>
        <w:t>7200，制热量（W）≥7700。</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3)制冷功率（W）</w:t>
      </w:r>
      <w:bookmarkStart w:id="253" w:name="_Hlk103680914"/>
      <w:r>
        <w:rPr>
          <w:rFonts w:hint="eastAsia" w:ascii="宋体" w:hAnsi="宋体" w:eastAsia="宋体" w:cs="宋体"/>
          <w:color w:val="000000" w:themeColor="text1"/>
          <w:kern w:val="2"/>
          <w:sz w:val="28"/>
          <w:szCs w:val="28"/>
          <w:highlight w:val="none"/>
          <w14:textFill>
            <w14:solidFill>
              <w14:schemeClr w14:val="tx1"/>
            </w14:solidFill>
          </w14:textFill>
        </w:rPr>
        <w:t>≤</w:t>
      </w:r>
      <w:bookmarkEnd w:id="253"/>
      <w:r>
        <w:rPr>
          <w:rFonts w:hint="eastAsia" w:ascii="宋体" w:hAnsi="宋体" w:eastAsia="宋体" w:cs="宋体"/>
          <w:color w:val="000000" w:themeColor="text1"/>
          <w:kern w:val="2"/>
          <w:sz w:val="28"/>
          <w:szCs w:val="28"/>
          <w:highlight w:val="none"/>
          <w14:textFill>
            <w14:solidFill>
              <w14:schemeClr w14:val="tx1"/>
            </w14:solidFill>
          </w14:textFill>
        </w:rPr>
        <w:t>2200, 制热功率(W) ≤2200。</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4能效等级≥3级。</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品目2-26：</w:t>
      </w:r>
      <w:r>
        <w:rPr>
          <w:rFonts w:hint="eastAsia" w:ascii="宋体" w:hAnsi="宋体" w:eastAsia="宋体" w:cs="宋体"/>
          <w:snapToGrid w:val="0"/>
          <w:color w:val="000000" w:themeColor="text1"/>
          <w:sz w:val="28"/>
          <w:szCs w:val="28"/>
          <w:highlight w:val="none"/>
          <w:u w:val="single"/>
          <w14:textFill>
            <w14:solidFill>
              <w14:schemeClr w14:val="tx1"/>
            </w14:solidFill>
          </w14:textFill>
        </w:rPr>
        <w:t>环境改造</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29"/>
        <w:spacing w:before="0" w:beforeAutospacing="0" w:after="0" w:afterAutospacing="0" w:line="360" w:lineRule="auto"/>
        <w:ind w:firstLine="420" w:firstLineChars="150"/>
        <w:rPr>
          <w:rFonts w:eastAsia="宋体"/>
          <w:snapToGrid w:val="0"/>
          <w:color w:val="000000" w:themeColor="text1"/>
          <w:sz w:val="28"/>
          <w:szCs w:val="28"/>
          <w:highlight w:val="none"/>
          <w14:textFill>
            <w14:solidFill>
              <w14:schemeClr w14:val="tx1"/>
            </w14:solidFill>
          </w14:textFill>
        </w:rPr>
      </w:pPr>
      <w:r>
        <w:rPr>
          <w:rFonts w:hint="eastAsia" w:eastAsia="宋体"/>
          <w:snapToGrid w:val="0"/>
          <w:color w:val="000000" w:themeColor="text1"/>
          <w:sz w:val="28"/>
          <w:szCs w:val="28"/>
          <w:highlight w:val="none"/>
          <w14:textFill>
            <w14:solidFill>
              <w14:schemeClr w14:val="tx1"/>
            </w14:solidFill>
          </w14:textFill>
        </w:rPr>
        <w:t>1)吊顶：定制造型吊顶。</w:t>
      </w:r>
    </w:p>
    <w:p>
      <w:pPr>
        <w:pStyle w:val="29"/>
        <w:spacing w:before="0" w:beforeAutospacing="0" w:after="0" w:afterAutospacing="0" w:line="360" w:lineRule="auto"/>
        <w:ind w:firstLine="420" w:firstLineChars="150"/>
        <w:rPr>
          <w:rFonts w:eastAsia="宋体"/>
          <w:snapToGrid w:val="0"/>
          <w:color w:val="000000" w:themeColor="text1"/>
          <w:sz w:val="28"/>
          <w:szCs w:val="28"/>
          <w:highlight w:val="none"/>
          <w14:textFill>
            <w14:solidFill>
              <w14:schemeClr w14:val="tx1"/>
            </w14:solidFill>
          </w14:textFill>
        </w:rPr>
      </w:pPr>
      <w:r>
        <w:rPr>
          <w:rFonts w:hint="eastAsia" w:eastAsia="宋体"/>
          <w:snapToGrid w:val="0"/>
          <w:color w:val="000000" w:themeColor="text1"/>
          <w:sz w:val="28"/>
          <w:szCs w:val="28"/>
          <w:highlight w:val="none"/>
          <w14:textFill>
            <w14:solidFill>
              <w14:schemeClr w14:val="tx1"/>
            </w14:solidFill>
          </w14:textFill>
        </w:rPr>
        <w:t>2)护眼灯：采用LED正白平板灯,光通量3600-3800（LM），外壳材质铝+亚克力，寿命50000（H）。</w:t>
      </w:r>
    </w:p>
    <w:p>
      <w:pPr>
        <w:pStyle w:val="29"/>
        <w:spacing w:before="0" w:beforeAutospacing="0" w:after="0" w:afterAutospacing="0" w:line="360" w:lineRule="auto"/>
        <w:ind w:firstLine="420" w:firstLineChars="150"/>
        <w:rPr>
          <w:rFonts w:eastAsia="宋体"/>
          <w:snapToGrid w:val="0"/>
          <w:color w:val="000000" w:themeColor="text1"/>
          <w:sz w:val="28"/>
          <w:szCs w:val="28"/>
          <w:highlight w:val="none"/>
          <w14:textFill>
            <w14:solidFill>
              <w14:schemeClr w14:val="tx1"/>
            </w14:solidFill>
          </w14:textFill>
        </w:rPr>
      </w:pPr>
      <w:r>
        <w:rPr>
          <w:rFonts w:hint="eastAsia" w:eastAsia="宋体"/>
          <w:snapToGrid w:val="0"/>
          <w:color w:val="000000" w:themeColor="text1"/>
          <w:sz w:val="28"/>
          <w:szCs w:val="28"/>
          <w:highlight w:val="none"/>
          <w14:textFill>
            <w14:solidFill>
              <w14:schemeClr w14:val="tx1"/>
            </w14:solidFill>
          </w14:textFill>
        </w:rPr>
        <w:t>3)其他：教室门做隔音美观处理、窗户隔音降噪美观处理、包暖气片、窗帘盒、配备面板插座及开关面板灯、踢脚线处理及遮光窗帘等。</w:t>
      </w:r>
    </w:p>
    <w:p>
      <w:pPr>
        <w:pStyle w:val="29"/>
        <w:spacing w:before="0" w:beforeAutospacing="0" w:after="0" w:afterAutospacing="0" w:line="360" w:lineRule="auto"/>
        <w:ind w:firstLine="420" w:firstLineChars="150"/>
        <w:rPr>
          <w:rFonts w:eastAsia="宋体"/>
          <w:snapToGrid w:val="0"/>
          <w:color w:val="000000" w:themeColor="text1"/>
          <w:sz w:val="28"/>
          <w:szCs w:val="28"/>
          <w:highlight w:val="none"/>
          <w14:textFill>
            <w14:solidFill>
              <w14:schemeClr w14:val="tx1"/>
            </w14:solidFill>
          </w14:textFill>
        </w:rPr>
      </w:pPr>
      <w:r>
        <w:rPr>
          <w:rFonts w:hint="eastAsia" w:eastAsia="宋体"/>
          <w:snapToGrid w:val="0"/>
          <w:color w:val="000000" w:themeColor="text1"/>
          <w:sz w:val="28"/>
          <w:szCs w:val="28"/>
          <w:highlight w:val="none"/>
          <w14:textFill>
            <w14:solidFill>
              <w14:schemeClr w14:val="tx1"/>
            </w14:solidFill>
          </w14:textFill>
        </w:rPr>
        <w:t>4)墙壁工程：根据吊顶设计墙壁、讲台背景墙和墙面吸音处理等。</w:t>
      </w:r>
    </w:p>
    <w:p>
      <w:pPr>
        <w:pStyle w:val="29"/>
        <w:spacing w:before="0" w:beforeAutospacing="0" w:after="0" w:afterAutospacing="0" w:line="360" w:lineRule="auto"/>
        <w:ind w:firstLine="420" w:firstLineChars="150"/>
        <w:rPr>
          <w:rFonts w:eastAsia="宋体"/>
          <w:snapToGrid w:val="0"/>
          <w:color w:val="000000" w:themeColor="text1"/>
          <w:sz w:val="28"/>
          <w:szCs w:val="28"/>
          <w:highlight w:val="none"/>
          <w14:textFill>
            <w14:solidFill>
              <w14:schemeClr w14:val="tx1"/>
            </w14:solidFill>
          </w14:textFill>
        </w:rPr>
      </w:pPr>
      <w:r>
        <w:rPr>
          <w:rFonts w:hint="eastAsia" w:eastAsia="宋体"/>
          <w:snapToGrid w:val="0"/>
          <w:color w:val="000000" w:themeColor="text1"/>
          <w:sz w:val="28"/>
          <w:szCs w:val="28"/>
          <w:highlight w:val="none"/>
          <w14:textFill>
            <w14:solidFill>
              <w14:schemeClr w14:val="tx1"/>
            </w14:solidFill>
          </w14:textFill>
        </w:rPr>
        <w:t>5)色调：墙面、地面、窗帘等着色配合协调，可提供不同色调材料搭配供选择。</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snapToGrid w:val="0"/>
          <w:color w:val="000000" w:themeColor="text1"/>
          <w:sz w:val="28"/>
          <w:szCs w:val="28"/>
          <w:highlight w:val="none"/>
          <w14:textFill>
            <w14:solidFill>
              <w14:schemeClr w14:val="tx1"/>
            </w14:solidFill>
          </w14:textFill>
        </w:rPr>
        <w:t>6)地面：铺设塑胶地板。</w:t>
      </w:r>
    </w:p>
    <w:bookmarkEnd w:id="251"/>
    <w:p>
      <w:pPr>
        <w:pStyle w:val="18"/>
        <w:spacing w:line="360" w:lineRule="auto"/>
        <w:ind w:firstLine="562" w:firstLineChars="200"/>
        <w:rPr>
          <w:rFonts w:ascii="宋体" w:hAnsi="宋体" w:eastAsia="宋体" w:cs="宋体"/>
          <w:b/>
          <w:bCs/>
          <w:color w:val="000000" w:themeColor="text1"/>
          <w:kern w:val="2"/>
          <w:sz w:val="28"/>
          <w:szCs w:val="28"/>
          <w:highlight w:val="none"/>
          <w14:textFill>
            <w14:solidFill>
              <w14:schemeClr w14:val="tx1"/>
            </w14:solidFill>
          </w14:textFill>
        </w:rPr>
      </w:pPr>
      <w:r>
        <w:rPr>
          <w:rFonts w:hint="eastAsia" w:ascii="宋体" w:hAnsi="宋体" w:eastAsia="宋体" w:cs="宋体"/>
          <w:b/>
          <w:bCs/>
          <w:color w:val="000000" w:themeColor="text1"/>
          <w:kern w:val="2"/>
          <w:sz w:val="28"/>
          <w:szCs w:val="28"/>
          <w:highlight w:val="none"/>
          <w14:textFill>
            <w14:solidFill>
              <w14:schemeClr w14:val="tx1"/>
            </w14:solidFill>
          </w14:textFill>
        </w:rPr>
        <w:t>品目3： 多功能教室</w:t>
      </w:r>
    </w:p>
    <w:tbl>
      <w:tblPr>
        <w:tblStyle w:val="33"/>
        <w:tblpPr w:leftFromText="180" w:rightFromText="180" w:vertAnchor="text" w:horzAnchor="margin" w:tblpXSpec="center" w:tblpY="197"/>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2333"/>
        <w:gridCol w:w="2410"/>
        <w:gridCol w:w="1276"/>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330" w:type="dxa"/>
            <w:gridSpan w:val="6"/>
            <w:shd w:val="clear" w:color="auto" w:fill="auto"/>
            <w:noWrap/>
            <w:vAlign w:val="center"/>
          </w:tcPr>
          <w:p>
            <w:pPr>
              <w:spacing w:beforeLines="50" w:afterLines="50"/>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多功能教室设备清单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2333"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设备名称</w:t>
            </w:r>
          </w:p>
        </w:tc>
        <w:tc>
          <w:tcPr>
            <w:tcW w:w="241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基本规格（参考型号）</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w:t>
            </w:r>
          </w:p>
        </w:tc>
        <w:tc>
          <w:tcPr>
            <w:tcW w:w="85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数量</w:t>
            </w:r>
          </w:p>
        </w:tc>
        <w:tc>
          <w:tcPr>
            <w:tcW w:w="851"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2333"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一体机（含支架）</w:t>
            </w:r>
          </w:p>
        </w:tc>
        <w:tc>
          <w:tcPr>
            <w:tcW w:w="241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85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851"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2333"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云桌面系统软件</w:t>
            </w:r>
          </w:p>
        </w:tc>
        <w:tc>
          <w:tcPr>
            <w:tcW w:w="24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点</w:t>
            </w:r>
          </w:p>
        </w:tc>
        <w:tc>
          <w:tcPr>
            <w:tcW w:w="85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851"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2333"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显示器</w:t>
            </w:r>
          </w:p>
        </w:tc>
        <w:tc>
          <w:tcPr>
            <w:tcW w:w="24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85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851"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w:t>
            </w:r>
          </w:p>
        </w:tc>
        <w:tc>
          <w:tcPr>
            <w:tcW w:w="2333"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计算机</w:t>
            </w:r>
          </w:p>
        </w:tc>
        <w:tc>
          <w:tcPr>
            <w:tcW w:w="24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85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851"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w:t>
            </w:r>
          </w:p>
        </w:tc>
        <w:tc>
          <w:tcPr>
            <w:tcW w:w="2333"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智能融合终端</w:t>
            </w:r>
          </w:p>
        </w:tc>
        <w:tc>
          <w:tcPr>
            <w:tcW w:w="24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85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851"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w:t>
            </w:r>
          </w:p>
        </w:tc>
        <w:tc>
          <w:tcPr>
            <w:tcW w:w="2333"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智能控制面板</w:t>
            </w:r>
          </w:p>
        </w:tc>
        <w:tc>
          <w:tcPr>
            <w:tcW w:w="24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85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851"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w:t>
            </w:r>
          </w:p>
        </w:tc>
        <w:tc>
          <w:tcPr>
            <w:tcW w:w="2333"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音箱</w:t>
            </w:r>
          </w:p>
        </w:tc>
        <w:tc>
          <w:tcPr>
            <w:tcW w:w="24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对</w:t>
            </w:r>
          </w:p>
        </w:tc>
        <w:tc>
          <w:tcPr>
            <w:tcW w:w="85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851"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w:t>
            </w:r>
          </w:p>
        </w:tc>
        <w:tc>
          <w:tcPr>
            <w:tcW w:w="2333"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sz w:val="28"/>
                <w:szCs w:val="28"/>
                <w:highlight w:val="none"/>
              </w:rPr>
              <w:t>无线麦</w:t>
            </w:r>
            <w:r>
              <w:rPr>
                <w:rFonts w:hint="eastAsia" w:ascii="宋体" w:hAnsi="宋体" w:eastAsia="宋体" w:cs="宋体"/>
                <w:color w:val="000000" w:themeColor="text1"/>
                <w:sz w:val="28"/>
                <w:szCs w:val="28"/>
                <w:highlight w:val="none"/>
                <w14:textFill>
                  <w14:solidFill>
                    <w14:schemeClr w14:val="tx1"/>
                  </w14:solidFill>
                </w14:textFill>
              </w:rPr>
              <w:t>克风</w:t>
            </w:r>
          </w:p>
        </w:tc>
        <w:tc>
          <w:tcPr>
            <w:tcW w:w="24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只</w:t>
            </w:r>
          </w:p>
        </w:tc>
        <w:tc>
          <w:tcPr>
            <w:tcW w:w="85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851"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w:t>
            </w:r>
          </w:p>
        </w:tc>
        <w:tc>
          <w:tcPr>
            <w:tcW w:w="2333"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智能球型摄像机（云台摄像机）</w:t>
            </w:r>
          </w:p>
        </w:tc>
        <w:tc>
          <w:tcPr>
            <w:tcW w:w="24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85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851"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w:t>
            </w:r>
          </w:p>
        </w:tc>
        <w:tc>
          <w:tcPr>
            <w:tcW w:w="2333"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拾音器</w:t>
            </w:r>
          </w:p>
        </w:tc>
        <w:tc>
          <w:tcPr>
            <w:tcW w:w="24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85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851"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w:t>
            </w:r>
          </w:p>
        </w:tc>
        <w:tc>
          <w:tcPr>
            <w:tcW w:w="2333"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主控桌</w:t>
            </w:r>
          </w:p>
        </w:tc>
        <w:tc>
          <w:tcPr>
            <w:tcW w:w="24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张</w:t>
            </w:r>
          </w:p>
        </w:tc>
        <w:tc>
          <w:tcPr>
            <w:tcW w:w="85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851"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w:t>
            </w:r>
          </w:p>
        </w:tc>
        <w:tc>
          <w:tcPr>
            <w:tcW w:w="2333"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综合布线</w:t>
            </w:r>
          </w:p>
        </w:tc>
        <w:tc>
          <w:tcPr>
            <w:tcW w:w="24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套</w:t>
            </w:r>
          </w:p>
        </w:tc>
        <w:tc>
          <w:tcPr>
            <w:tcW w:w="85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851"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bl>
    <w:p>
      <w:pPr>
        <w:spacing w:line="360" w:lineRule="auto"/>
        <w:ind w:firstLine="562" w:firstLineChars="200"/>
        <w:rPr>
          <w:rFonts w:ascii="宋体" w:hAnsi="宋体" w:eastAsia="宋体" w:cs="宋体"/>
          <w:snapToGrid w:val="0"/>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品目3-1</w:t>
      </w:r>
      <w:r>
        <w:rPr>
          <w:rFonts w:hint="eastAsia" w:ascii="宋体" w:hAnsi="宋体" w:eastAsia="宋体" w:cs="宋体"/>
          <w:snapToGrid w:val="0"/>
          <w:color w:val="000000" w:themeColor="text1"/>
          <w:sz w:val="28"/>
          <w:szCs w:val="28"/>
          <w:highlight w:val="none"/>
          <w14:textFill>
            <w14:solidFill>
              <w14:schemeClr w14:val="tx1"/>
            </w14:solidFill>
          </w14:textFill>
        </w:rPr>
        <w:t xml:space="preserve">：触控一体机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1)整机采用UHD超高清LED 液晶屏，整机屏幕采用≥86英寸液晶显示器。显示比例16:9，分辨率≥3840*2160。玻璃表面硬度≥莫氏7H。支持20点或以上触控。</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 整机内置2.0声道扬声器，2*15W，额定总功率≥30W（提供佐证材料）。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 嵌入式系统版本不低于Android 8.0，内存≥2GB，存储空间≥8GB。（提供佐证材料）。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4)前置输入接口≥3路USB接口（至少包括1路Type-C）。整机内置非独立摄像头，可拍摄≥800万像素数的照片，拍摄角度不小于120°。（提供佐证材料）。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 设备支持物理按键一键启动录屏功能，可将屏幕中显示的课件、音频内容与老师人声同时录制。</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 具备护眼功能，可以在任意通道任意画面任意软件所有显示内容下实现画面纹理的实时调整。支持透明度调节。支持色温调节。具备视觉舒适度（VICO）体系认证。整机支持色彩空间可选，包含标准模式和sRGB模式。（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 OPS电脑主板采用H310芯片组，搭载Intel 酷睿≥i7CPU。独立显存，显存≥4</w:t>
      </w:r>
      <w:r>
        <w:rPr>
          <w:rFonts w:ascii="宋体" w:hAnsi="宋体" w:eastAsia="宋体" w:cs="宋体"/>
          <w:color w:val="000000" w:themeColor="text1"/>
          <w:kern w:val="2"/>
          <w:sz w:val="28"/>
          <w:szCs w:val="28"/>
          <w:highlight w:val="none"/>
          <w14:textFill>
            <w14:solidFill>
              <w14:schemeClr w14:val="tx1"/>
            </w14:solidFill>
          </w14:textFill>
        </w:rPr>
        <w:t>G</w:t>
      </w:r>
      <w:r>
        <w:rPr>
          <w:rFonts w:hint="eastAsia" w:ascii="宋体" w:hAnsi="宋体" w:eastAsia="宋体" w:cs="宋体"/>
          <w:color w:val="000000" w:themeColor="text1"/>
          <w:kern w:val="2"/>
          <w:sz w:val="28"/>
          <w:szCs w:val="28"/>
          <w:highlight w:val="none"/>
          <w14:textFill>
            <w14:solidFill>
              <w14:schemeClr w14:val="tx1"/>
            </w14:solidFill>
          </w14:textFill>
        </w:rPr>
        <w:t>。内存：16GB DDR4笔记本内存或以上配置。硬盘：≥512GB SSD固态硬盘。</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8)整机具备前置Type-C接口，可外接电脑进行数据接换。（提供佐证材料）。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 整机Wi-Fi及AP热点支持频段2.4GHz/5GHz,支持IEEE802.11 a/b/g/n/ac/ax,支持Wi-Fi6。</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10)配套移动支架。</w:t>
      </w:r>
    </w:p>
    <w:p>
      <w:pPr>
        <w:spacing w:line="360" w:lineRule="auto"/>
        <w:ind w:firstLine="560" w:firstLineChars="200"/>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snapToGrid w:val="0"/>
          <w:color w:val="000000" w:themeColor="text1"/>
          <w:sz w:val="28"/>
          <w:szCs w:val="28"/>
          <w:highlight w:val="none"/>
          <w14:textFill>
            <w14:solidFill>
              <w14:schemeClr w14:val="tx1"/>
            </w14:solidFill>
          </w14:textFill>
        </w:rPr>
        <w:t>11）常态化授课软件（1套）</w:t>
      </w:r>
      <w:r>
        <w:rPr>
          <w:rFonts w:hint="eastAsia" w:ascii="宋体" w:hAnsi="宋体" w:eastAsia="宋体" w:cs="宋体"/>
          <w:b/>
          <w:color w:val="000000" w:themeColor="text1"/>
          <w:sz w:val="28"/>
          <w:szCs w:val="28"/>
          <w:highlight w:val="none"/>
          <w14:textFill>
            <w14:solidFill>
              <w14:schemeClr w14:val="tx1"/>
            </w14:solidFill>
          </w14:textFill>
        </w:rPr>
        <w:t xml:space="preserve">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（1）公网连接：不需借助任何外接设备，在公网环境下即可支持学生端手机、平板同教师端进行连接。</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（2）扫码连接：支持学生端通过输入连接码和扫描二维码两种方式，进入课堂，同步完成考勤签到。</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（3）互动反馈系统：具备公网互动反馈功能，将所有学生端和教师端连接一起构建成互动反馈系统，在系统里面教师可以单选，多选，判断，观点，抢答，抽选，提问箱，文件下发，批注下发。</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具体功能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1）具备统计考勤。</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2）具备班级创建。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3）具备互动答题系统。</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4）具备抢答抽选。</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5）具备学情报告。</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6）具备资料下发。</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7）具备批注分发。</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8）具备授课小工具。</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9）具备无线传屏。</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10）具备课堂互动记录。</w:t>
      </w:r>
    </w:p>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品目3-2：</w:t>
      </w:r>
      <w:r>
        <w:rPr>
          <w:rFonts w:hint="eastAsia" w:ascii="宋体" w:hAnsi="宋体" w:eastAsia="宋体" w:cs="宋体"/>
          <w:snapToGrid w:val="0"/>
          <w:color w:val="000000" w:themeColor="text1"/>
          <w:sz w:val="28"/>
          <w:szCs w:val="28"/>
          <w:highlight w:val="none"/>
          <w:u w:val="single"/>
          <w14:textFill>
            <w14:solidFill>
              <w14:schemeClr w14:val="tx1"/>
            </w14:solidFill>
          </w14:textFill>
        </w:rPr>
        <w:t>云桌面系统软件</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1）管理架构要求：为便于不同教师管理操作需求，需提供C/S主控端管理模式和B/S架构web管理模式。</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2）系统支持要求：支持客户端UEFI启动模式，硬盘支持MBR和GPT分区格式，支持WindowsXP、win7、LINUX、unix、最新Win10等操作系统桌面。</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3）镜像映射与扩容要求：服务器端镜像支持映射模式，支持镜像在服务器端直接映射成系统盘符操作。（提供佐证材料）。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4）跨网段要求：云桌面系统支持在现有网络交换机参数配置不允许再做调整情况下无条件跨VLAN。通过网络引导终端电脑启动操作系统。（提供佐证材料）。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5）数据维护功能要求：支持客户终端上的节点在还原状态下都能保留个性化数据。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6）集成管理要求：主管理界面应支持镜像管理、方案管理、任务计划、网络拓扑、客户端管理等基本管理功能。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7）WEB管理要求：支持多账户管理功能模块。</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8）快照管理要求：支持镜像手动快照和自动快照两个功能模式，便于管理人员和操作员根据自动向导提示逐步完成软件安装操作。（提供佐证材料）。</w:t>
      </w:r>
    </w:p>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品目3-3：</w:t>
      </w:r>
      <w:r>
        <w:rPr>
          <w:rFonts w:hint="eastAsia" w:ascii="宋体" w:hAnsi="宋体" w:eastAsia="宋体" w:cs="宋体"/>
          <w:color w:val="000000" w:themeColor="text1"/>
          <w:sz w:val="28"/>
          <w:szCs w:val="28"/>
          <w:highlight w:val="none"/>
          <w:u w:val="single"/>
          <w14:textFill>
            <w14:solidFill>
              <w14:schemeClr w14:val="tx1"/>
            </w14:solidFill>
          </w14:textFill>
        </w:rPr>
        <w:t>显示器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1.LED显示器，屏幕尺寸≥21.5英寸。分辨率≥1920x1080，屏幕比例：16：9。</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2.可视角度≥170/160°,刷新率≥60Hz;视频接口;D-Sub，HDMI.  支持vesa10Ⅹ10标准壁挂接口,所有接口与显示器平行。</w:t>
      </w:r>
    </w:p>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品目3-4：</w:t>
      </w:r>
      <w:r>
        <w:rPr>
          <w:rFonts w:hint="eastAsia" w:ascii="宋体" w:hAnsi="宋体" w:eastAsia="宋体" w:cs="宋体"/>
          <w:snapToGrid w:val="0"/>
          <w:color w:val="000000" w:themeColor="text1"/>
          <w:sz w:val="28"/>
          <w:szCs w:val="28"/>
          <w:highlight w:val="none"/>
          <w:u w:val="single"/>
          <w14:textFill>
            <w14:solidFill>
              <w14:schemeClr w14:val="tx1"/>
            </w14:solidFill>
          </w14:textFill>
        </w:rPr>
        <w:t>计算机</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1）可立可卧式机箱。</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2）芯片组：intel Q470芯片组。</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3)处理器：不低于i7，主频≥2.9GHZ，8C核心。</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4)内存：≥16G DDR4。</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5)硬盘：≥512G固态硬盘。</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6)显卡：intel核芯显卡 630或以上 。</w:t>
      </w:r>
    </w:p>
    <w:p>
      <w:pPr>
        <w:pStyle w:val="18"/>
        <w:spacing w:line="360" w:lineRule="auto"/>
        <w:ind w:left="120" w:leftChars="50" w:firstLine="420" w:firstLineChars="15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7）端口：前置4个USB接口，后置5个USB接口，1个VGA、1个HDMI、1个DP，1个串口。</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8）电源：≥210W。</w:t>
      </w:r>
    </w:p>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品目3-5：</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智能融合终端</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1）标准≥1U机架式设计。</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2)主机为一体化设计，具备交换机功能、功放功能、音频接入接口功能，网络中控功能，音频广播、视频广播等功能。支持跨校区、跨网段、跨楼宇间的智能化控制与音视频广播应用。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3）主板采用工业级高速嵌入式MIPS CPU，定制LINUX操作系统。具备WEB操作端，可对主机IP地址、教室命名、显示设备控制码配置。</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4）主机具备≥4口千兆交换机，支持≥4路VLAN划分。</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5）主机具备</w:t>
      </w:r>
      <w:r>
        <w:rPr>
          <w:rFonts w:ascii="宋体" w:hAnsi="宋体" w:eastAsia="宋体" w:cs="宋体"/>
          <w:color w:val="000000" w:themeColor="text1"/>
          <w:kern w:val="2"/>
          <w:sz w:val="28"/>
          <w:szCs w:val="28"/>
          <w:highlight w:val="none"/>
          <w14:textFill>
            <w14:solidFill>
              <w14:schemeClr w14:val="tx1"/>
            </w14:solidFill>
          </w14:textFill>
        </w:rPr>
        <w:t>3*2</w:t>
      </w:r>
      <w:r>
        <w:rPr>
          <w:rFonts w:hint="eastAsia" w:ascii="宋体" w:hAnsi="宋体" w:eastAsia="宋体" w:cs="宋体"/>
          <w:color w:val="000000" w:themeColor="text1"/>
          <w:kern w:val="2"/>
          <w:sz w:val="28"/>
          <w:szCs w:val="28"/>
          <w:highlight w:val="none"/>
          <w14:textFill>
            <w14:solidFill>
              <w14:schemeClr w14:val="tx1"/>
            </w14:solidFill>
          </w14:textFill>
        </w:rPr>
        <w:t xml:space="preserve"> HDMI视频矩阵。</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6）具备≥2路控制接口。</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7）具备≥3路电源输出。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8）支持对教室多媒体设备进行一键控制。</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9）主机具备音视频硬解码模块，需实现新闻联播（C</w:t>
      </w:r>
      <w:r>
        <w:rPr>
          <w:rFonts w:ascii="宋体" w:hAnsi="宋体" w:eastAsia="宋体" w:cs="宋体"/>
          <w:color w:val="000000" w:themeColor="text1"/>
          <w:kern w:val="2"/>
          <w:sz w:val="28"/>
          <w:szCs w:val="28"/>
          <w:highlight w:val="none"/>
          <w14:textFill>
            <w14:solidFill>
              <w14:schemeClr w14:val="tx1"/>
            </w14:solidFill>
          </w14:textFill>
        </w:rPr>
        <w:t>CTV1</w:t>
      </w:r>
      <w:r>
        <w:rPr>
          <w:rFonts w:hint="eastAsia" w:ascii="宋体" w:hAnsi="宋体" w:eastAsia="宋体" w:cs="宋体"/>
          <w:color w:val="000000" w:themeColor="text1"/>
          <w:kern w:val="2"/>
          <w:sz w:val="28"/>
          <w:szCs w:val="28"/>
          <w:highlight w:val="none"/>
          <w14:textFill>
            <w14:solidFill>
              <w14:schemeClr w14:val="tx1"/>
            </w14:solidFill>
          </w14:textFill>
        </w:rPr>
        <w:t>）等五套等有线电视节目在线实时观看、会议实时直播接收等，并支持在关机/开机情况下接收来自集中管控系统的音视频广播实现自动播放。</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10）支持远程实时、定时管控，实现对教室设备的随时管、实时管等应用。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11）</w:t>
      </w:r>
      <w:r>
        <w:rPr>
          <w:rFonts w:hint="eastAsia" w:ascii="宋体" w:hAnsi="宋体" w:eastAsia="宋体" w:cs="宋体"/>
          <w:color w:val="000000" w:themeColor="text1"/>
          <w:sz w:val="28"/>
          <w:szCs w:val="28"/>
          <w:highlight w:val="none"/>
          <w14:textFill>
            <w14:solidFill>
              <w14:schemeClr w14:val="tx1"/>
            </w14:solidFill>
          </w14:textFill>
        </w:rPr>
        <w:t>集成物联网控制模块。</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12）与集中管控平台为统一品牌。</w:t>
      </w:r>
    </w:p>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品目3-6：</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智能控制面板</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1）面板具备一键开关机、音视频广播一键暂停/开始以及故障一键报修按键等。</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2）具备液晶触摸屏。</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3）集成权限控制功能，支持插卡/刷卡/扫描二维码开机功能。</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4）具备设备一键报修功能，可通过面板直接向集中管控室拨打语音对讲实现远程求助。</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5）具备与智能融合终端通信接口。</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6）与智能融合信息终端为统一品牌。</w:t>
      </w:r>
    </w:p>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品目3-7：</w:t>
      </w:r>
      <w:r>
        <w:rPr>
          <w:rFonts w:hint="eastAsia" w:ascii="宋体" w:hAnsi="宋体" w:eastAsia="宋体" w:cs="宋体"/>
          <w:snapToGrid w:val="0"/>
          <w:color w:val="000000" w:themeColor="text1"/>
          <w:sz w:val="28"/>
          <w:szCs w:val="28"/>
          <w:highlight w:val="none"/>
          <w:u w:val="single"/>
          <w14:textFill>
            <w14:solidFill>
              <w14:schemeClr w14:val="tx1"/>
            </w14:solidFill>
          </w14:textFill>
        </w:rPr>
        <w:t>音箱</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1）频率响应：不劣于80Hz ～ 20 kHz、定阻输入：≥8 Ω、灵敏度： ≥90 dB。</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2）额定功率：≥30 W。</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3）低音单元≥6寸，高音单元≤1寸。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4）扩声模块频率响应:80 Hz ~ 20 kHz、信噪比: ≥90dBA、总谐波失真: ≤0.05%。</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品目3-8：</w:t>
      </w:r>
      <w:r>
        <w:rPr>
          <w:rFonts w:hint="eastAsia" w:ascii="宋体" w:hAnsi="宋体" w:eastAsia="宋体" w:cs="宋体"/>
          <w:bCs/>
          <w:color w:val="000000" w:themeColor="text1"/>
          <w:sz w:val="28"/>
          <w:szCs w:val="28"/>
          <w:highlight w:val="none"/>
          <w14:textFill>
            <w14:solidFill>
              <w14:schemeClr w14:val="tx1"/>
            </w14:solidFill>
          </w14:textFill>
        </w:rPr>
        <w:t>无线</w:t>
      </w:r>
      <w:r>
        <w:rPr>
          <w:rFonts w:hint="eastAsia" w:ascii="宋体" w:hAnsi="宋体" w:eastAsia="宋体" w:cs="宋体"/>
          <w:snapToGrid w:val="0"/>
          <w:color w:val="000000" w:themeColor="text1"/>
          <w:sz w:val="28"/>
          <w:szCs w:val="28"/>
          <w:highlight w:val="none"/>
          <w:u w:val="single"/>
          <w14:textFill>
            <w14:solidFill>
              <w14:schemeClr w14:val="tx1"/>
            </w14:solidFill>
          </w14:textFill>
        </w:rPr>
        <w:t>麦克风</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1）采用数字调制/解调技术。 </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2）即开即用，无需对频。</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3)内置锂电池，续航时间≥7小时。</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4)具备话筒、激光笔和无线PPT翻页三种功能。</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5)具有充电底座或者充电仓，支持固定充电和IC卡解锁。</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6)接收直线距离：≥15m。</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品目3-9：</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智能球型摄像机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1)≥400万像素红外网络高清球型摄像机。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2）视频输出支持2560×1440@30fps，红外距离≥20米。</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3）支持≥4倍光学变倍，16倍数字变倍。</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4）支持最低照度可达彩色≤0.05Lux，黑白≤0.005Lux。</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5）支持水平手控速度不小于80°/S，垂直手控速度不小于80°/S，云台定位精度为±0.1°。</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6）水平旋转范围为0°-330°，垂直旋转范围为0°-90°。</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7）支持不少于200个预置位，支持30条巡航路径。</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8）信噪比≥60dB，网络延时不大于120ms。</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9）动态范围不小于105dB。</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10）支持智能红外、透雾、强光抑制、电子防抖、数字降噪、防红外过曝功能。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11）支持区域遮盖功能，支持设置不少于24个不规则四边形区域，可设置不同颜色。支持自动定位、断电记忆功能。支持定时抓拍或报警联动抓图上传ftp功能。</w:t>
      </w:r>
    </w:p>
    <w:p>
      <w:pPr>
        <w:pStyle w:val="18"/>
        <w:spacing w:line="360" w:lineRule="auto"/>
        <w:ind w:firstLine="562"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品目3-10：</w:t>
      </w:r>
      <w:r>
        <w:rPr>
          <w:rFonts w:hint="eastAsia" w:ascii="宋体" w:hAnsi="宋体" w:eastAsia="宋体" w:cs="宋体"/>
          <w:b/>
          <w:bCs/>
          <w:color w:val="000000" w:themeColor="text1"/>
          <w:kern w:val="2"/>
          <w:sz w:val="28"/>
          <w:szCs w:val="28"/>
          <w:highlight w:val="none"/>
          <w:u w:val="single"/>
          <w14:textFill>
            <w14:solidFill>
              <w14:schemeClr w14:val="tx1"/>
            </w14:solidFill>
          </w14:textFill>
        </w:rPr>
        <w:t>拾音器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1）内置数字语音处理电路和微处理芯片，两级动态数字降噪处理。</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2）镀银震膜电容咪头。自适应动态降噪处理技术，内置高速DSP数字信号处理器。</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bCs/>
          <w:color w:val="000000" w:themeColor="text1"/>
          <w:kern w:val="2"/>
          <w:sz w:val="28"/>
          <w:szCs w:val="28"/>
          <w:highlight w:val="none"/>
          <w14:textFill>
            <w14:solidFill>
              <w14:schemeClr w14:val="tx1"/>
            </w14:solidFill>
          </w14:textFill>
        </w:rPr>
        <w:t>品目3-11：</w:t>
      </w:r>
      <w:r>
        <w:rPr>
          <w:rFonts w:hint="eastAsia" w:ascii="宋体" w:hAnsi="宋体" w:eastAsia="宋体" w:cs="宋体"/>
          <w:snapToGrid w:val="0"/>
          <w:color w:val="000000" w:themeColor="text1"/>
          <w:sz w:val="28"/>
          <w:szCs w:val="28"/>
          <w:highlight w:val="none"/>
          <w:u w:val="single"/>
          <w14:textFill>
            <w14:solidFill>
              <w14:schemeClr w14:val="tx1"/>
            </w14:solidFill>
          </w14:textFill>
        </w:rPr>
        <w:t>主控桌</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 规格：≤L*W*H（mm）：1000*715*1082。</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 材料：钢木结合，主体采用≥1.2mm冷轧钢材。桌面及背面采用≥18mm高密度纤维板材料。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3）上层：分为显示区域和操作台面两部分。倾斜式设计，安装显示器、中控面板、等设备。</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4）下层：三面拆装式，整体外形为喇叭式设计，呼应整体外观，独立隐藏式走线通道。</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5）机柜：≥独立8U机柜，可根据教室需求选配，接入第三方设备，机柜与下层主体之间用滑块式轨道连接，可整体滑动，机柜内部配置层板均为可滑动式设计。</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6）预留与3-3相匹配的嵌入安装位置，嵌入讲桌后无明显缝隙。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7）提供输入接口：USB3.0 x2、Type-C x1、HDMIx1、网线接口x1。</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8）讲桌正面配置独立≥18mm厚高密度纤维板，根据学校要求设计印制LOGO。</w:t>
      </w:r>
    </w:p>
    <w:p>
      <w:pPr>
        <w:pStyle w:val="18"/>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品目3-12：</w:t>
      </w:r>
      <w:bookmarkStart w:id="254" w:name="_Hlk103626425"/>
      <w:r>
        <w:rPr>
          <w:rFonts w:hint="eastAsia" w:ascii="宋体" w:hAnsi="宋体" w:eastAsia="宋体" w:cs="宋体"/>
          <w:color w:val="000000" w:themeColor="text1"/>
          <w:kern w:val="2"/>
          <w:sz w:val="28"/>
          <w:szCs w:val="28"/>
          <w:highlight w:val="none"/>
          <w14:textFill>
            <w14:solidFill>
              <w14:schemeClr w14:val="tx1"/>
            </w14:solidFill>
          </w14:textFill>
        </w:rPr>
        <w:t>综合布线</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满足本项目所需线材配件，均使用知名品牌。网线为六类线，电源线等线材符合国家标准。</w:t>
      </w:r>
    </w:p>
    <w:bookmarkEnd w:id="254"/>
    <w:p>
      <w:pPr>
        <w:pStyle w:val="18"/>
        <w:spacing w:line="360" w:lineRule="auto"/>
        <w:ind w:firstLine="562" w:firstLineChars="200"/>
        <w:rPr>
          <w:rFonts w:ascii="宋体" w:hAnsi="宋体" w:eastAsia="宋体" w:cs="宋体"/>
          <w:b/>
          <w:bCs/>
          <w:color w:val="000000" w:themeColor="text1"/>
          <w:kern w:val="2"/>
          <w:sz w:val="28"/>
          <w:szCs w:val="28"/>
          <w:highlight w:val="none"/>
          <w14:textFill>
            <w14:solidFill>
              <w14:schemeClr w14:val="tx1"/>
            </w14:solidFill>
          </w14:textFill>
        </w:rPr>
      </w:pPr>
      <w:bookmarkStart w:id="255" w:name="_Hlk103627118"/>
      <w:r>
        <w:rPr>
          <w:rFonts w:hint="eastAsia" w:ascii="宋体" w:hAnsi="宋体" w:eastAsia="宋体" w:cs="宋体"/>
          <w:b/>
          <w:bCs/>
          <w:color w:val="000000" w:themeColor="text1"/>
          <w:kern w:val="2"/>
          <w:sz w:val="28"/>
          <w:szCs w:val="28"/>
          <w:highlight w:val="none"/>
          <w14:textFill>
            <w14:solidFill>
              <w14:schemeClr w14:val="tx1"/>
            </w14:solidFill>
          </w14:textFill>
        </w:rPr>
        <w:t xml:space="preserve">品目4：阶梯教室 </w:t>
      </w:r>
    </w:p>
    <w:tbl>
      <w:tblPr>
        <w:tblStyle w:val="3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30"/>
        <w:gridCol w:w="3210"/>
        <w:gridCol w:w="1134"/>
        <w:gridCol w:w="113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897" w:type="dxa"/>
            <w:gridSpan w:val="6"/>
            <w:shd w:val="clear" w:color="auto" w:fill="auto"/>
            <w:noWrap/>
            <w:vAlign w:val="center"/>
          </w:tcPr>
          <w:p>
            <w:pPr>
              <w:spacing w:beforeLines="50" w:afterLines="50"/>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阶梯教室设备清单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8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203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设备名称</w:t>
            </w:r>
          </w:p>
        </w:tc>
        <w:tc>
          <w:tcPr>
            <w:tcW w:w="321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基本规格（参考型号）</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数量</w:t>
            </w:r>
          </w:p>
        </w:tc>
        <w:tc>
          <w:tcPr>
            <w:tcW w:w="709"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8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203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云桌面系统软件</w:t>
            </w:r>
          </w:p>
        </w:tc>
        <w:tc>
          <w:tcPr>
            <w:tcW w:w="321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点</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709"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8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203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笔记本电脑</w:t>
            </w:r>
          </w:p>
        </w:tc>
        <w:tc>
          <w:tcPr>
            <w:tcW w:w="32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709"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8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203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智能融合终端</w:t>
            </w:r>
          </w:p>
        </w:tc>
        <w:tc>
          <w:tcPr>
            <w:tcW w:w="32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709" w:type="dxa"/>
            <w:shd w:val="clear" w:color="auto" w:fill="auto"/>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8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w:t>
            </w:r>
          </w:p>
        </w:tc>
        <w:tc>
          <w:tcPr>
            <w:tcW w:w="203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智能控制面板</w:t>
            </w:r>
          </w:p>
        </w:tc>
        <w:tc>
          <w:tcPr>
            <w:tcW w:w="32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709"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8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w:t>
            </w:r>
          </w:p>
        </w:tc>
        <w:tc>
          <w:tcPr>
            <w:tcW w:w="203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音箱</w:t>
            </w:r>
          </w:p>
        </w:tc>
        <w:tc>
          <w:tcPr>
            <w:tcW w:w="32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对</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709"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8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w:t>
            </w:r>
          </w:p>
        </w:tc>
        <w:tc>
          <w:tcPr>
            <w:tcW w:w="203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sz w:val="28"/>
                <w:szCs w:val="28"/>
                <w:highlight w:val="none"/>
              </w:rPr>
              <w:t>无线麦</w:t>
            </w:r>
            <w:r>
              <w:rPr>
                <w:rFonts w:hint="eastAsia" w:ascii="宋体" w:hAnsi="宋体" w:eastAsia="宋体" w:cs="宋体"/>
                <w:color w:val="000000" w:themeColor="text1"/>
                <w:sz w:val="28"/>
                <w:szCs w:val="28"/>
                <w:highlight w:val="none"/>
                <w14:textFill>
                  <w14:solidFill>
                    <w14:schemeClr w14:val="tx1"/>
                  </w14:solidFill>
                </w14:textFill>
              </w:rPr>
              <w:t>克风</w:t>
            </w:r>
          </w:p>
        </w:tc>
        <w:tc>
          <w:tcPr>
            <w:tcW w:w="32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只</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709"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8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w:t>
            </w:r>
          </w:p>
        </w:tc>
        <w:tc>
          <w:tcPr>
            <w:tcW w:w="203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智能摄像机</w:t>
            </w:r>
          </w:p>
        </w:tc>
        <w:tc>
          <w:tcPr>
            <w:tcW w:w="32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709"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8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w:t>
            </w:r>
          </w:p>
        </w:tc>
        <w:tc>
          <w:tcPr>
            <w:tcW w:w="203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智能球型摄像机（云台摄像机）</w:t>
            </w:r>
          </w:p>
        </w:tc>
        <w:tc>
          <w:tcPr>
            <w:tcW w:w="32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709"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8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w:t>
            </w:r>
          </w:p>
        </w:tc>
        <w:tc>
          <w:tcPr>
            <w:tcW w:w="203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拾音器</w:t>
            </w:r>
          </w:p>
        </w:tc>
        <w:tc>
          <w:tcPr>
            <w:tcW w:w="32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个</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709"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8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w:t>
            </w:r>
          </w:p>
        </w:tc>
        <w:tc>
          <w:tcPr>
            <w:tcW w:w="203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综合布线</w:t>
            </w:r>
          </w:p>
        </w:tc>
        <w:tc>
          <w:tcPr>
            <w:tcW w:w="3210"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套</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709" w:type="dxa"/>
            <w:shd w:val="clear" w:color="auto" w:fill="auto"/>
            <w:noWrap/>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p>
        </w:tc>
      </w:tr>
      <w:bookmarkEnd w:id="255"/>
    </w:tbl>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品目4-1：</w:t>
      </w:r>
      <w:r>
        <w:rPr>
          <w:rFonts w:hint="eastAsia" w:ascii="宋体" w:hAnsi="宋体" w:eastAsia="宋体" w:cs="宋体"/>
          <w:snapToGrid w:val="0"/>
          <w:color w:val="000000" w:themeColor="text1"/>
          <w:sz w:val="28"/>
          <w:szCs w:val="28"/>
          <w:highlight w:val="none"/>
          <w:u w:val="single"/>
          <w14:textFill>
            <w14:solidFill>
              <w14:schemeClr w14:val="tx1"/>
            </w14:solidFill>
          </w14:textFill>
        </w:rPr>
        <w:t>云桌面系统软件</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1）管理架构要求：为便于不同教师管理操作需求，需提供C/S主控端管理模式和B/S架构web管理模式。</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2）系统支持要求：支持客户端UEFI启动模式，硬盘支持MBR和GPT分区格式，支持WindowsXP、win7、LINUX、unix、最新Win10等操作系统桌面。</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3）镜像映射与扩容要求：服务器端镜像支持映射模式，支持镜像在服务器端直接映射成系统盘符操作。（提供佐证材料）。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4）跨网段要求：云桌面系统支持在现有网络交换机参数配置不允许再做调整情况下无条件跨VLAN。通过网络引导终端电脑启动操作系统。（提供佐证材料）。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5）数据维护功能要求：支持客户终端上的节点在还原状态下都能保留个性化数据。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6）集成管理要求：主管理界面应支持镜像管理、方案管理、任务计划、网络拓扑、客户端管理等基本管理功能。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7）WEB管理要求：支持多账户管理功能模块。</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8）快照管理要求：支持镜像手动快照和自动快照两个功能模式，便于管理人员和操作员根据自动向导提示逐步完成软件安装操作。（提供佐证材料）。</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品目4-2：</w:t>
      </w:r>
      <w:r>
        <w:rPr>
          <w:rFonts w:hint="eastAsia" w:ascii="宋体" w:hAnsi="宋体" w:eastAsia="宋体" w:cs="宋体"/>
          <w:snapToGrid w:val="0"/>
          <w:color w:val="000000" w:themeColor="text1"/>
          <w:sz w:val="28"/>
          <w:szCs w:val="28"/>
          <w:highlight w:val="none"/>
          <w:u w:val="single"/>
          <w14:textFill>
            <w14:solidFill>
              <w14:schemeClr w14:val="tx1"/>
            </w14:solidFill>
          </w14:textFill>
        </w:rPr>
        <w:t>笔记本电脑</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1)处理器：≥Intel i5。</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2)内存：≥8GB DDR4-3200，≥2个独立内存插槽。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3)硬盘：≥512GB M.2 PCIe NVMe 固态硬盘。</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4)独立显卡：≥NVIDIA GeForce MX570 ，≥2 GB DDR6 显存。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5)屏幕：≤14.0寸 IPS屏。</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6)其他：摄像头（带物理防窥拨片 ）、指纹识别、包鼠套装。</w:t>
      </w:r>
    </w:p>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品目4-3：</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智能融合终端</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1）标准≥1U机架式设计。</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2)主机为一体化设计，具备交换机功能、功放功能、音频接入接口功能，网络中控功能，音频广播、视频广播等功能。支持跨校区、跨网段、跨楼宇间的智能化控制与音视频广播应用。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3）主板采用工业级高速嵌入式MIPS CPU，定制LINUX操作系统。具备WEB操作端，可对主机IP地址、教室命名、显示设备控制码配置。</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4）主机具备≥4口千兆交换机，支持≥4路VLAN划分。</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5）主机具备</w:t>
      </w:r>
      <w:r>
        <w:rPr>
          <w:rFonts w:ascii="宋体" w:hAnsi="宋体" w:eastAsia="宋体" w:cs="宋体"/>
          <w:color w:val="000000" w:themeColor="text1"/>
          <w:kern w:val="2"/>
          <w:sz w:val="28"/>
          <w:szCs w:val="28"/>
          <w:highlight w:val="none"/>
          <w14:textFill>
            <w14:solidFill>
              <w14:schemeClr w14:val="tx1"/>
            </w14:solidFill>
          </w14:textFill>
        </w:rPr>
        <w:t>3*2</w:t>
      </w:r>
      <w:r>
        <w:rPr>
          <w:rFonts w:hint="eastAsia" w:ascii="宋体" w:hAnsi="宋体" w:eastAsia="宋体" w:cs="宋体"/>
          <w:color w:val="000000" w:themeColor="text1"/>
          <w:kern w:val="2"/>
          <w:sz w:val="28"/>
          <w:szCs w:val="28"/>
          <w:highlight w:val="none"/>
          <w14:textFill>
            <w14:solidFill>
              <w14:schemeClr w14:val="tx1"/>
            </w14:solidFill>
          </w14:textFill>
        </w:rPr>
        <w:t xml:space="preserve"> HDMI视频矩阵。</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6）具备≥2路控制接口。</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7）具备≥3路电源输出。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8）支持对教室多媒体设备进行一键控制。</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9）主机具备音视频硬解码模块，需实现新闻联播（C</w:t>
      </w:r>
      <w:r>
        <w:rPr>
          <w:rFonts w:ascii="宋体" w:hAnsi="宋体" w:eastAsia="宋体" w:cs="宋体"/>
          <w:color w:val="000000" w:themeColor="text1"/>
          <w:kern w:val="2"/>
          <w:sz w:val="28"/>
          <w:szCs w:val="28"/>
          <w:highlight w:val="none"/>
          <w14:textFill>
            <w14:solidFill>
              <w14:schemeClr w14:val="tx1"/>
            </w14:solidFill>
          </w14:textFill>
        </w:rPr>
        <w:t>CTV1</w:t>
      </w:r>
      <w:r>
        <w:rPr>
          <w:rFonts w:hint="eastAsia" w:ascii="宋体" w:hAnsi="宋体" w:eastAsia="宋体" w:cs="宋体"/>
          <w:color w:val="000000" w:themeColor="text1"/>
          <w:kern w:val="2"/>
          <w:sz w:val="28"/>
          <w:szCs w:val="28"/>
          <w:highlight w:val="none"/>
          <w14:textFill>
            <w14:solidFill>
              <w14:schemeClr w14:val="tx1"/>
            </w14:solidFill>
          </w14:textFill>
        </w:rPr>
        <w:t>）等五套等有线电视节目在线实时观看、会议实时直播接收等，并支持在关机/开机情况下接收来自集中管控系统的音视频广播实现自动播放。</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10）支持远程实时、定时管控，实现对教室设备的随时管、实时管等应用。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11）</w:t>
      </w:r>
      <w:r>
        <w:rPr>
          <w:rFonts w:hint="eastAsia" w:ascii="宋体" w:hAnsi="宋体" w:eastAsia="宋体" w:cs="宋体"/>
          <w:color w:val="000000" w:themeColor="text1"/>
          <w:sz w:val="28"/>
          <w:szCs w:val="28"/>
          <w:highlight w:val="none"/>
          <w14:textFill>
            <w14:solidFill>
              <w14:schemeClr w14:val="tx1"/>
            </w14:solidFill>
          </w14:textFill>
        </w:rPr>
        <w:t>集成物联网控制模块。</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12）与集中管控平台为统一品牌。</w:t>
      </w:r>
    </w:p>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品目4-4：</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智能控制面板</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1）面板具备一键开关机、音视频广播一键暂停/开始以及故障一键报修按键等。</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2）具备液晶触摸屏。</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3）集成权限控制功能，支持插卡/刷卡/扫描二维码开机功能。</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4）具备设备一键报修功能，可通过面板直接向集中管控室拨打语音对讲实现远程求助。</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5）具备与智能融合终端通信接口。</w:t>
      </w:r>
    </w:p>
    <w:p>
      <w:pPr>
        <w:pStyle w:val="18"/>
        <w:spacing w:line="360" w:lineRule="auto"/>
        <w:ind w:firstLine="560" w:firstLineChars="200"/>
        <w:rPr>
          <w:rFonts w:ascii="宋体" w:hAnsi="宋体" w:eastAsia="宋体" w:cs="宋体"/>
          <w:snapToGrid w:val="0"/>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6）与智能融合信息终端为统一品牌。</w:t>
      </w:r>
    </w:p>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品目4-5：</w:t>
      </w:r>
      <w:r>
        <w:rPr>
          <w:rFonts w:hint="eastAsia" w:ascii="宋体" w:hAnsi="宋体" w:eastAsia="宋体" w:cs="宋体"/>
          <w:snapToGrid w:val="0"/>
          <w:color w:val="000000" w:themeColor="text1"/>
          <w:sz w:val="28"/>
          <w:szCs w:val="28"/>
          <w:highlight w:val="none"/>
          <w:u w:val="single"/>
          <w14:textFill>
            <w14:solidFill>
              <w14:schemeClr w14:val="tx1"/>
            </w14:solidFill>
          </w14:textFill>
        </w:rPr>
        <w:t>音箱</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1）频率响应：不劣于80Hz ～ 20 kHz、定阻输入：≥8 Ω、灵敏度： ≥90 dB。</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2）额定功率：≥30 W。</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3）低音单元≥6寸，高音单元≤1寸。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4）扩声模块频率响应:80 Hz ~ 20 kHz、信噪比: ≥90dBA、总谐波失真: ≤0.05%。</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品目4-6：</w:t>
      </w:r>
      <w:r>
        <w:rPr>
          <w:rFonts w:hint="eastAsia" w:ascii="宋体" w:hAnsi="宋体" w:eastAsia="宋体" w:cs="宋体"/>
          <w:bCs/>
          <w:color w:val="000000" w:themeColor="text1"/>
          <w:sz w:val="28"/>
          <w:szCs w:val="28"/>
          <w:highlight w:val="none"/>
          <w14:textFill>
            <w14:solidFill>
              <w14:schemeClr w14:val="tx1"/>
            </w14:solidFill>
          </w14:textFill>
        </w:rPr>
        <w:t>无线</w:t>
      </w:r>
      <w:r>
        <w:rPr>
          <w:rFonts w:hint="eastAsia" w:ascii="宋体" w:hAnsi="宋体" w:eastAsia="宋体" w:cs="宋体"/>
          <w:snapToGrid w:val="0"/>
          <w:color w:val="000000" w:themeColor="text1"/>
          <w:sz w:val="28"/>
          <w:szCs w:val="28"/>
          <w:highlight w:val="none"/>
          <w:u w:val="single"/>
          <w14:textFill>
            <w14:solidFill>
              <w14:schemeClr w14:val="tx1"/>
            </w14:solidFill>
          </w14:textFill>
        </w:rPr>
        <w:t>麦克风</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1）采用数字调制/解调技术。 </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2）即开即用，无需对频。</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3)内置锂电池，续航时间≥7小时。</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4)具备话筒、激光笔和无线PPT翻页三种功能。</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5)具有充电底座或者充电仓，支持固定充电和IC卡解锁。</w:t>
      </w:r>
    </w:p>
    <w:p>
      <w:pPr>
        <w:pStyle w:val="18"/>
        <w:spacing w:line="360" w:lineRule="auto"/>
        <w:ind w:left="557" w:leftChars="232"/>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6)接收直线距离：≥15m。</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品目4-7：</w:t>
      </w:r>
      <w:bookmarkStart w:id="256" w:name="_Hlk104044150"/>
      <w:r>
        <w:rPr>
          <w:rFonts w:hint="eastAsia" w:ascii="宋体" w:hAnsi="宋体" w:eastAsia="宋体" w:cs="宋体"/>
          <w:snapToGrid w:val="0"/>
          <w:color w:val="000000" w:themeColor="text1"/>
          <w:sz w:val="28"/>
          <w:szCs w:val="28"/>
          <w:highlight w:val="none"/>
          <w:u w:val="single"/>
          <w14:textFill>
            <w14:solidFill>
              <w14:schemeClr w14:val="tx1"/>
            </w14:solidFill>
          </w14:textFill>
        </w:rPr>
        <w:t>智能摄像机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1)≥800万6寸32倍网络红外智能球机。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2）视频输出支持3840×2160@30fps，分辨力不小于1600TVL。</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3）摄像机内置镜头，支持不小于32倍光学变倍，镜头最大焦距不小于192mm（提供佐证材料）。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4）支持最低照度可达彩色0.0003 lx，黑白0.0001 lx，支持水平手控速度不小于800°/S，垂直手控速度不小于300°/s。水平旋转范围为360°连续旋转，垂直旋转范围为-20°~90°。</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5）支持300个预置位，可按照所设置的预置位完成不小于8条巡航路径，每条巡航路径可设置不小于32个预置点。</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6）具有三种滤光片，在白天、夜晚及有雾情况下可自动切换不同的滤光片进行成像。滤光片透过率不小于95%。</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7)支持7路报警输入接口，2路报警输出接口，支持1路音频输入和输出接口。最大支持512GB的SD卡。</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8）具备较强的网络自适应能力，在丢包率为32%的网络环境下，可正常显示监视画面。</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9）支持采用H.264、MJPEG、H.265视频编码标准。支持smart265功能。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10）支持区域入侵、越界入侵、徘徊、物品遗留、物品移除、人员聚集、快速移动、进入区域、离开区域等行为分析功能。人脸检测功能。音频异常侦测功能。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11）具有自动、关闭、开启光学透雾设置选项，透雾等级0-100可调。当检测到雾的浓度达到设定的阈值时，可自动在算法透雾和光学透雾之间进行切换。</w:t>
      </w:r>
    </w:p>
    <w:bookmarkEnd w:id="256"/>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bookmarkStart w:id="257" w:name="_Hlk103679144"/>
      <w:r>
        <w:rPr>
          <w:rFonts w:hint="eastAsia" w:ascii="宋体" w:hAnsi="宋体" w:eastAsia="宋体" w:cs="宋体"/>
          <w:b/>
          <w:color w:val="000000" w:themeColor="text1"/>
          <w:sz w:val="28"/>
          <w:szCs w:val="28"/>
          <w:highlight w:val="none"/>
          <w14:textFill>
            <w14:solidFill>
              <w14:schemeClr w14:val="tx1"/>
            </w14:solidFill>
          </w14:textFill>
        </w:rPr>
        <w:t>品目4-8：</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智能球型摄像机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1)≥400万像素红外网络高清球型摄像机。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2）视频输出支持2560×1440@30fps，红外距离≥20米。</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3）支持≥4倍光学变倍，16倍数字变倍。</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4）支持最低照度可达彩色≤0.05Lux，黑白≤0.005Lux。</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5）支持水平手控速度不小于80°/S，垂直手控速度不小于80°/S，云台定位精度为±0.1°。</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6）水平旋转范围为0°-330°，垂直旋转范围为0°-90°。</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7）支持不少于200个预置位，支持30条巡航路径。</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8）信噪比≥60dB，网络延时不大于120ms。</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9）动态范围不小于105dB。</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10）支持智能红外、透雾、强光抑制、电子防抖、数字降噪、防红外过曝功能。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11）支持区域遮盖功能，支持设置不少于24个不规则四边形区域，可设置不同颜色。支持自动定位、断电记忆功能。支持定时抓拍或报警联动抓图上传ftp功能。</w:t>
      </w:r>
    </w:p>
    <w:bookmarkEnd w:id="257"/>
    <w:p>
      <w:pPr>
        <w:pStyle w:val="18"/>
        <w:spacing w:line="360" w:lineRule="auto"/>
        <w:ind w:firstLine="562"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品目4-9：</w:t>
      </w:r>
      <w:r>
        <w:rPr>
          <w:rFonts w:hint="eastAsia" w:ascii="宋体" w:hAnsi="宋体" w:eastAsia="宋体" w:cs="宋体"/>
          <w:color w:val="000000" w:themeColor="text1"/>
          <w:kern w:val="2"/>
          <w:sz w:val="28"/>
          <w:szCs w:val="28"/>
          <w:highlight w:val="none"/>
          <w:u w:val="single"/>
          <w14:textFill>
            <w14:solidFill>
              <w14:schemeClr w14:val="tx1"/>
            </w14:solidFill>
          </w14:textFill>
        </w:rPr>
        <w:t>拾音器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1）内置数字语音处理电路和微处理芯片，两级动态数字降噪处理。</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2）镀银震膜电容咪头。自适应动态降噪处理技术，内置高速DSP数字信号处理器。</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bCs/>
          <w:color w:val="000000" w:themeColor="text1"/>
          <w:kern w:val="2"/>
          <w:sz w:val="28"/>
          <w:szCs w:val="28"/>
          <w:highlight w:val="none"/>
          <w14:textFill>
            <w14:solidFill>
              <w14:schemeClr w14:val="tx1"/>
            </w14:solidFill>
          </w14:textFill>
        </w:rPr>
        <w:t>品目4-10：</w:t>
      </w:r>
      <w:r>
        <w:rPr>
          <w:rFonts w:hint="eastAsia" w:ascii="宋体" w:hAnsi="宋体" w:eastAsia="宋体" w:cs="宋体"/>
          <w:color w:val="000000" w:themeColor="text1"/>
          <w:kern w:val="2"/>
          <w:sz w:val="28"/>
          <w:szCs w:val="28"/>
          <w:highlight w:val="none"/>
          <w14:textFill>
            <w14:solidFill>
              <w14:schemeClr w14:val="tx1"/>
            </w14:solidFill>
          </w14:textFill>
        </w:rPr>
        <w:t>综合布线</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满足本项目所需线材配件，均使用知名品牌。网线为六类线，电源线等线材符合国家标准。</w:t>
      </w:r>
    </w:p>
    <w:p>
      <w:pPr>
        <w:pStyle w:val="18"/>
        <w:spacing w:line="360" w:lineRule="auto"/>
        <w:ind w:firstLine="562" w:firstLineChars="200"/>
        <w:rPr>
          <w:rFonts w:ascii="宋体" w:hAnsi="宋体" w:eastAsia="宋体" w:cs="宋体"/>
          <w:b/>
          <w:bCs/>
          <w:color w:val="000000" w:themeColor="text1"/>
          <w:kern w:val="2"/>
          <w:sz w:val="28"/>
          <w:szCs w:val="28"/>
          <w:highlight w:val="none"/>
          <w14:textFill>
            <w14:solidFill>
              <w14:schemeClr w14:val="tx1"/>
            </w14:solidFill>
          </w14:textFill>
        </w:rPr>
      </w:pPr>
      <w:bookmarkStart w:id="258" w:name="_Hlk103627884"/>
      <w:r>
        <w:rPr>
          <w:rFonts w:hint="eastAsia" w:ascii="宋体" w:hAnsi="宋体" w:eastAsia="宋体" w:cs="宋体"/>
          <w:b/>
          <w:bCs/>
          <w:color w:val="000000" w:themeColor="text1"/>
          <w:kern w:val="2"/>
          <w:sz w:val="28"/>
          <w:szCs w:val="28"/>
          <w:highlight w:val="none"/>
          <w14:textFill>
            <w14:solidFill>
              <w14:schemeClr w14:val="tx1"/>
            </w14:solidFill>
          </w14:textFill>
        </w:rPr>
        <w:t>品目5：自强校区控制中心</w:t>
      </w:r>
    </w:p>
    <w:tbl>
      <w:tblPr>
        <w:tblStyle w:val="33"/>
        <w:tblW w:w="9039" w:type="dxa"/>
        <w:tblInd w:w="0" w:type="dxa"/>
        <w:tblLayout w:type="autofit"/>
        <w:tblCellMar>
          <w:top w:w="0" w:type="dxa"/>
          <w:left w:w="108" w:type="dxa"/>
          <w:bottom w:w="0" w:type="dxa"/>
          <w:right w:w="108" w:type="dxa"/>
        </w:tblCellMar>
      </w:tblPr>
      <w:tblGrid>
        <w:gridCol w:w="780"/>
        <w:gridCol w:w="2580"/>
        <w:gridCol w:w="2418"/>
        <w:gridCol w:w="1134"/>
        <w:gridCol w:w="1276"/>
        <w:gridCol w:w="851"/>
      </w:tblGrid>
      <w:tr>
        <w:tblPrEx>
          <w:tblCellMar>
            <w:top w:w="0" w:type="dxa"/>
            <w:left w:w="108" w:type="dxa"/>
            <w:bottom w:w="0" w:type="dxa"/>
            <w:right w:w="108" w:type="dxa"/>
          </w:tblCellMar>
        </w:tblPrEx>
        <w:trPr>
          <w:trHeight w:val="398" w:hRule="atLeast"/>
        </w:trPr>
        <w:tc>
          <w:tcPr>
            <w:tcW w:w="903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自强校区控制中心设备清单</w:t>
            </w:r>
          </w:p>
        </w:tc>
      </w:tr>
      <w:tr>
        <w:tblPrEx>
          <w:tblCellMar>
            <w:top w:w="0" w:type="dxa"/>
            <w:left w:w="108" w:type="dxa"/>
            <w:bottom w:w="0" w:type="dxa"/>
            <w:right w:w="108" w:type="dxa"/>
          </w:tblCellMar>
        </w:tblPrEx>
        <w:trPr>
          <w:trHeight w:val="398"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2580" w:type="dxa"/>
            <w:tcBorders>
              <w:top w:val="single" w:color="auto" w:sz="4" w:space="0"/>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设备名称</w:t>
            </w:r>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基本规格（参考型号）</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2580"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LCD显示单元</w:t>
            </w:r>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6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2580"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大屏支架</w:t>
            </w:r>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套</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视频综合平台一体机</w:t>
            </w:r>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平台服务器</w:t>
            </w:r>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bookmarkStart w:id="259" w:name="RANGE!B7"/>
            <w:r>
              <w:rPr>
                <w:rFonts w:hint="eastAsia" w:ascii="宋体" w:hAnsi="宋体" w:eastAsia="宋体" w:cs="宋体"/>
                <w:color w:val="000000" w:themeColor="text1"/>
                <w:sz w:val="28"/>
                <w:szCs w:val="28"/>
                <w:highlight w:val="none"/>
                <w14:textFill>
                  <w14:solidFill>
                    <w14:schemeClr w14:val="tx1"/>
                  </w14:solidFill>
                </w14:textFill>
              </w:rPr>
              <w:t>教育综合安防管理</w:t>
            </w:r>
          </w:p>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平台</w:t>
            </w:r>
            <w:bookmarkEnd w:id="259"/>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套</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bookmarkStart w:id="260" w:name="RANGE!B8"/>
            <w:r>
              <w:rPr>
                <w:rFonts w:hint="eastAsia" w:ascii="宋体" w:hAnsi="宋体" w:eastAsia="宋体" w:cs="宋体"/>
                <w:color w:val="000000" w:themeColor="text1"/>
                <w:sz w:val="28"/>
                <w:szCs w:val="28"/>
                <w:highlight w:val="none"/>
                <w14:textFill>
                  <w14:solidFill>
                    <w14:schemeClr w14:val="tx1"/>
                  </w14:solidFill>
                </w14:textFill>
              </w:rPr>
              <w:t>网络存储设备</w:t>
            </w:r>
            <w:bookmarkEnd w:id="260"/>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控制电脑</w:t>
            </w:r>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套</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2 </w:t>
            </w:r>
          </w:p>
        </w:tc>
        <w:tc>
          <w:tcPr>
            <w:tcW w:w="851"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音箱</w:t>
            </w:r>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套</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2 </w:t>
            </w:r>
          </w:p>
        </w:tc>
        <w:tc>
          <w:tcPr>
            <w:tcW w:w="851"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交换机</w:t>
            </w:r>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控制台(含3把椅子)</w:t>
            </w:r>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张</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bookmarkStart w:id="261" w:name="_Hlk104108785"/>
            <w:bookmarkStart w:id="262" w:name="RANGE!B13"/>
            <w:r>
              <w:rPr>
                <w:rFonts w:hint="eastAsia" w:ascii="宋体" w:hAnsi="宋体" w:eastAsia="宋体" w:cs="宋体"/>
                <w:color w:val="000000" w:themeColor="text1"/>
                <w:sz w:val="28"/>
                <w:szCs w:val="28"/>
                <w:highlight w:val="none"/>
                <w14:textFill>
                  <w14:solidFill>
                    <w14:schemeClr w14:val="tx1"/>
                  </w14:solidFill>
                </w14:textFill>
              </w:rPr>
              <w:t>集中管控平台</w:t>
            </w:r>
            <w:bookmarkEnd w:id="261"/>
            <w:bookmarkEnd w:id="262"/>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套</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bookmarkStart w:id="263" w:name="RANGE!B14"/>
            <w:r>
              <w:rPr>
                <w:rFonts w:hint="eastAsia" w:ascii="宋体" w:hAnsi="宋体" w:eastAsia="宋体" w:cs="宋体"/>
                <w:color w:val="000000" w:themeColor="text1"/>
                <w:sz w:val="28"/>
                <w:szCs w:val="28"/>
                <w:highlight w:val="none"/>
                <w14:textFill>
                  <w14:solidFill>
                    <w14:schemeClr w14:val="tx1"/>
                  </w14:solidFill>
                </w14:textFill>
              </w:rPr>
              <w:t>集中管控平台服务器</w:t>
            </w:r>
            <w:bookmarkEnd w:id="263"/>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云桌面服务器</w:t>
            </w:r>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14</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视频直播服务器</w:t>
            </w:r>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15</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流媒体交互服务平台</w:t>
            </w:r>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套</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16</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视频融合客户端软件</w:t>
            </w:r>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点</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200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17</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服务器</w:t>
            </w:r>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2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18</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一体机</w:t>
            </w:r>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2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19</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智能融合终端</w:t>
            </w:r>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20</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智能控制面板</w:t>
            </w:r>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21</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无人机</w:t>
            </w:r>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39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22</w:t>
            </w:r>
          </w:p>
        </w:tc>
        <w:tc>
          <w:tcPr>
            <w:tcW w:w="2580"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环境改造</w:t>
            </w:r>
          </w:p>
        </w:tc>
        <w:tc>
          <w:tcPr>
            <w:tcW w:w="2418"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批</w:t>
            </w:r>
          </w:p>
        </w:tc>
        <w:tc>
          <w:tcPr>
            <w:tcW w:w="1276"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851" w:type="dxa"/>
            <w:tcBorders>
              <w:top w:val="nil"/>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bookmarkEnd w:id="258"/>
    </w:tbl>
    <w:p>
      <w:pPr>
        <w:spacing w:line="360" w:lineRule="auto"/>
        <w:ind w:firstLine="562" w:firstLineChars="200"/>
        <w:rPr>
          <w:rFonts w:ascii="宋体" w:hAnsi="宋体" w:eastAsia="宋体" w:cs="宋体"/>
          <w:b/>
          <w:color w:val="000000" w:themeColor="text1"/>
          <w:sz w:val="28"/>
          <w:szCs w:val="28"/>
          <w:highlight w:val="none"/>
          <w14:textFill>
            <w14:solidFill>
              <w14:schemeClr w14:val="tx1"/>
            </w14:solidFill>
          </w14:textFill>
        </w:rPr>
      </w:pP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品目5-1：</w:t>
      </w:r>
      <w:bookmarkStart w:id="264" w:name="_Hlk99492183"/>
      <w:r>
        <w:rPr>
          <w:rFonts w:hint="eastAsia" w:ascii="宋体" w:hAnsi="宋体" w:eastAsia="宋体" w:cs="宋体"/>
          <w:snapToGrid w:val="0"/>
          <w:color w:val="000000" w:themeColor="text1"/>
          <w:sz w:val="28"/>
          <w:szCs w:val="28"/>
          <w:highlight w:val="none"/>
          <w:u w:val="single"/>
          <w14:textFill>
            <w14:solidFill>
              <w14:schemeClr w14:val="tx1"/>
            </w14:solidFill>
          </w14:textFill>
        </w:rPr>
        <w:t>LCD显示单元</w:t>
      </w:r>
      <w:bookmarkEnd w:id="264"/>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1)LCD显示单元为：≥55寸。物理分辨率达到1920×1080，响应时间≤8ms。LCD显示单元物理拼缝≤0.88mm，亮度达到600cd/㎡，对比度达到1200:1，亮度鉴别等级为11级。拼接屏具有解析总数据量不超过3840 x 2160的任意分辨率信源的功能。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2)拼接屏具有实时分析当前画面亮度分布比例，自动调整亮度值的功能，具有动态调节画面对比度，可提高暗阶画面亮度，增强暗画面显示细节的功能。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3)防浪涌抗干扰:1.交流电源输入/输出端口：线对地抗脉冲干扰达到±2KV，线对线抗脉冲干扰达到±1KV。2.视频输入/输出端口（BNC/SDI）：线对地抗脉冲干扰达到±2KV。</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4)拼接屏具有十级灰阶色度、亮度校正的功能，使各灰阶整墙一致性达到80%。</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5)拼接屏具有检测并匹配与输入信源相同的颜色空间的功能，使显示画面不丢失暗阶、亮阶细节。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6)拼接屏具有R、G、B、C、M、Y、FLESH、Y-G、C-G、F、F-R、F-LIP、F-Y-HAIR、F-MEAT、F-DARK这15色独立调。</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8)拼接屏具有屏幕边缘渐进修正功能，修正屏间边缘颜色过渡不均匀。</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9)液晶拼接屏需满足中国电器电子产品有害物质限制使用的要求。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10)LCD显示单元具备智能光感护眼功能,液晶单元可自动识别环境光强弱,根据环境光变化调节屏幕亮度。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11)LCD显示单元具备能效等级为1级的CQC节能认证证书。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12)提供制造厂家针对本项目的售后服务承诺。</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品目5-2：</w:t>
      </w:r>
      <w:r>
        <w:rPr>
          <w:rFonts w:hint="eastAsia" w:ascii="宋体" w:hAnsi="宋体" w:eastAsia="宋体" w:cs="宋体"/>
          <w:snapToGrid w:val="0"/>
          <w:color w:val="000000" w:themeColor="text1"/>
          <w:sz w:val="28"/>
          <w:szCs w:val="28"/>
          <w:highlight w:val="none"/>
          <w:u w:val="single"/>
          <w14:textFill>
            <w14:solidFill>
              <w14:schemeClr w14:val="tx1"/>
            </w14:solidFill>
          </w14:textFill>
        </w:rPr>
        <w:t>大屏支架</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气动前维护落地支架，支架均采用SPCC优质冷轧钢板保障质量的源头。表面采用静电喷塑工艺，喷塑固化温度180-210度，涂层厚度80-100微米，对高防腐要求产品还可选择阴极电泳底漆工艺，防腐耐锈。</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品目5-3：</w:t>
      </w:r>
      <w:r>
        <w:rPr>
          <w:rFonts w:hint="eastAsia" w:ascii="宋体" w:hAnsi="宋体" w:eastAsia="宋体" w:cs="宋体"/>
          <w:snapToGrid w:val="0"/>
          <w:color w:val="000000" w:themeColor="text1"/>
          <w:sz w:val="28"/>
          <w:szCs w:val="28"/>
          <w:highlight w:val="none"/>
          <w:u w:val="single"/>
          <w14:textFill>
            <w14:solidFill>
              <w14:schemeClr w14:val="tx1"/>
            </w14:solidFill>
          </w14:textFill>
        </w:rPr>
        <w:t>视频综合平台一体机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1)框架式结构，机箱不小于13个板卡插槽。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2)产品支持在输出通道叠加图片LOGO，图片位置可调。</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3)产品主控板具有≥4个串口。</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4)支持视频输入通道参数设置功能，可对单个视频输入通道进行分辨率、帧率、码率、亮度、对比度、饱和度、色调、去噪等参数设置，图像显示模式可设定标准、室内、室外、弱光等显示模式进行设置。</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5)具备视频遮挡报警、视频丢失报警、非法访问报警、IP冲突报警等功能。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6)具备三码流编码功能：样机支持主码流、子码流、第三码流编码输出功能。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解码显示视频无卡顿，编码预览视频无卡顿。产品支持显示预案功能，可将样机的视频输出状态保存为场景，可设置多个场景并可对每个场景进行配置、清空、复制、修改、切换等操作，可实现多个场景轮巡切换、（预案）轮巡。</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8)支持1、2、4、6、8、9、12、16、32、36、48、64画面分割显示。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9)支持手动视频切换功能，支持将选定的视频输入切换到选定的视频输出，支持视音频同步切换、异步切换，画面切换时不出现黑屏。</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10)采用嵌入式非X86架构。</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品目5-4：</w:t>
      </w:r>
      <w:r>
        <w:rPr>
          <w:rFonts w:hint="eastAsia" w:ascii="宋体" w:hAnsi="宋体" w:eastAsia="宋体" w:cs="宋体"/>
          <w:snapToGrid w:val="0"/>
          <w:color w:val="000000" w:themeColor="text1"/>
          <w:sz w:val="28"/>
          <w:szCs w:val="28"/>
          <w:highlight w:val="none"/>
          <w:u w:val="single"/>
          <w14:textFill>
            <w14:solidFill>
              <w14:schemeClr w14:val="tx1"/>
            </w14:solidFill>
          </w14:textFill>
        </w:rPr>
        <w:t>平台服务器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1)2U双路标准机架式服务器。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2)CPU：1颗intel至强系列处理器，核数≥10核，主频≥2.2GHz。</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3）内存：≥32G*2 DDR4，16根内存插槽，最大支持扩展至2TB内存。</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4）硬盘：≥4块600G 10K 2.5寸 SAS硬盘。</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5）阵列卡：SAS_HBA卡, 支持RAID 0/1/10。</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6）PCIE扩展：最大可支持6个PCIE扩展插槽。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7）网口：2个千兆电口。</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8）其他接口：1个RJ45管理接口，后置2个USB 3.0接口，前置2个USB2.0接口，1个VGA接口。</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品目5-5：</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教育综合安防管理平台</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视频监控应用提供视频管理服务，实现视频预览、录像回放、视频上墙、视频事件监控服务等功能。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视频预览</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1）支持视频实时预览能力，实现预览窗口布局切换、预览画面自适应及全屏切换。</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2）支持云台控制、实时抓图、紧急录像、即时回放、主子码流切换、声音开启\关闭、辅屏预览（1个辅屏）、对讲、广播、报警输出控制的能力。</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3）支持智能规则展示的能力。</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4）支持资源视图管理能力，以视图形式管理监控点、视频预览轮巡等自定义资源组，其中视图类型包含公有视图和私有视图。</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5）支持全景视频监控预览能力，支持球型鹰眼、全景摄像机的全景模式。</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录像回放</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1）支持录像计划管理能力，支持实时录像计划、录像回传计划。</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2）支持录像回放能力，支持多画面同步回放和异步回放切换、超高倍速回放、分段回放、录像下载、录像剪辑、录像标签、录像锁定、录像抓图。</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图片监控</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1）支持视频预览与图片实时监控模式切换能力，实现图片监控模式。</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2）支持图片查询回放能力，实现按监控点、时间段展示抓拍图片。</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3）支持图片自动播放能力，支持图片自动播放速度可设置。</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4）支持图片下载能力。</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视频上墙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1）支持电视墙场景管理能力，实现场景窗口配置、场景切换计划配置以及轮巡计划的管理。</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2）支持上墙控制能力，实现场景一键上墙、场景切换、电视墙切换、监控点上下墙、轮巡控制操作。</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视频事件</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支持视频事件布撤防能力，可按计划模版进行布防，事件类型包括移动侦测、视频丢失、视频遮挡、报警输入、报警输出。</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品目5-6：</w:t>
      </w:r>
      <w:r>
        <w:rPr>
          <w:rFonts w:hint="eastAsia" w:ascii="宋体" w:hAnsi="宋体" w:eastAsia="宋体" w:cs="宋体"/>
          <w:snapToGrid w:val="0"/>
          <w:color w:val="000000" w:themeColor="text1"/>
          <w:sz w:val="28"/>
          <w:szCs w:val="28"/>
          <w:highlight w:val="none"/>
          <w:u w:val="single"/>
          <w14:textFill>
            <w14:solidFill>
              <w14:schemeClr w14:val="tx1"/>
            </w14:solidFill>
          </w14:textFill>
        </w:rPr>
        <w:t>网络存储设备</w:t>
      </w:r>
    </w:p>
    <w:p>
      <w:pPr>
        <w:spacing w:line="360" w:lineRule="auto"/>
        <w:ind w:firstLine="560" w:firstLineChars="200"/>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1)机架式，≥1颗64位多核处理器，≥16GB内存，内存支持扩展到≥256GB，内置240GB SSD固态硬盘，配置≥6个风扇，支持风扇热插拔冗余温控调速风扇。</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2)支持热插拔1+1AC220V 或 1+1 直流冗余金牌电源供电，机箱具备防尘滤网，采用双立柱防震设计。</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3)≥48盘位，≥1536Mbps接入带宽，≥48块8T企业级SATA硬盘，</w:t>
      </w:r>
      <w:bookmarkStart w:id="265" w:name="_Hlk102768095"/>
      <w:r>
        <w:rPr>
          <w:rFonts w:hint="eastAsia" w:ascii="宋体" w:hAnsi="宋体" w:eastAsia="宋体" w:cs="宋体"/>
          <w:color w:val="000000" w:themeColor="text1"/>
          <w:kern w:val="2"/>
          <w:sz w:val="28"/>
          <w:szCs w:val="28"/>
          <w:highlight w:val="none"/>
          <w14:textFill>
            <w14:solidFill>
              <w14:schemeClr w14:val="tx1"/>
            </w14:solidFill>
          </w14:textFill>
        </w:rPr>
        <w:t>支持24小时录制、存储30天以上。</w:t>
      </w:r>
    </w:p>
    <w:bookmarkEnd w:id="265"/>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4)支持硬盘交错/分时启动，节省功耗。</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5)网络中断后重新恢复，可续存断网期间存储在前端设备中的录像文件，并可通过IE浏览器设置自动回传和手动回传。支持256路4Mbps的录像回传。</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应能接入并存储3072Mbps视频图像，同时转发3072Mbps的视频图像，同时下载3072Mbps的视频图像。同时回放600Mbps的视频图像。在转发模式下，可进行4096路2Mbps视频码流转发。在总带宽不变的情况下，接入、转发、回放间的性能值可自由调整。</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根据业务需要配置重构速度，支持低速、中速、高速和全速四种重构速度配置，可通过客户端软件显示重构速度。RAID模式下，当RAID内某一块硬盘发生故障，更换该硬盘或热备盘替换时，可自动进行RAID重构。当RAID处于降级或重构状态下，不影响数据写入。可将损坏RAID按照RAID损坏等级进行重构。</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支持查看硬盘体检报告、硬盘深度体检和磁盘档案。支持下载单个硬盘或批量硬盘的报告，支持按时间显示硬盘的坏扇区、温度、振动变化趋势的曲线图。支持硬盘体检报告打印输出。支持查看硬盘体检的历史记录、硬盘健康状态，包括健康、亚健康、故障等。</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品目5-7：</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控制电脑</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kinsoku w:val="0"/>
        <w:autoSpaceDE w:val="0"/>
        <w:autoSpaceDN w:val="0"/>
        <w:adjustRightInd w:val="0"/>
        <w:snapToGrid w:val="0"/>
        <w:spacing w:line="360" w:lineRule="auto"/>
        <w:ind w:firstLine="560" w:firstLineChars="200"/>
        <w:textAlignment w:val="baseline"/>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1)处理器：不低于Intel Core i7。</w:t>
      </w:r>
    </w:p>
    <w:p>
      <w:pPr>
        <w:kinsoku w:val="0"/>
        <w:autoSpaceDE w:val="0"/>
        <w:autoSpaceDN w:val="0"/>
        <w:adjustRightInd w:val="0"/>
        <w:snapToGrid w:val="0"/>
        <w:spacing w:line="360" w:lineRule="auto"/>
        <w:ind w:firstLine="560" w:firstLineChars="200"/>
        <w:textAlignment w:val="baseline"/>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2)内存：8G DDR4内存或以上配置。</w:t>
      </w:r>
    </w:p>
    <w:p>
      <w:pPr>
        <w:kinsoku w:val="0"/>
        <w:autoSpaceDE w:val="0"/>
        <w:autoSpaceDN w:val="0"/>
        <w:adjustRightInd w:val="0"/>
        <w:snapToGrid w:val="0"/>
        <w:spacing w:line="360" w:lineRule="auto"/>
        <w:ind w:firstLine="560" w:firstLineChars="200"/>
        <w:textAlignment w:val="baseline"/>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3)硬盘：128G固态硬盘+1T机械硬盘或者以上配置。</w:t>
      </w:r>
    </w:p>
    <w:p>
      <w:pPr>
        <w:kinsoku w:val="0"/>
        <w:autoSpaceDE w:val="0"/>
        <w:autoSpaceDN w:val="0"/>
        <w:adjustRightInd w:val="0"/>
        <w:snapToGrid w:val="0"/>
        <w:spacing w:line="360" w:lineRule="auto"/>
        <w:ind w:firstLine="560" w:firstLineChars="200"/>
        <w:textAlignment w:val="baseline"/>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4)至少双显输出接口。</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5)≥23.8寸显示器，分辨率≥1920*1080，屏幕比例16：9，接口类型不少于VGA*1，HDMI*1。</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6)语音对讲麦克风：</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bookmarkStart w:id="266" w:name="_Hlk104201397"/>
      <w:r>
        <w:rPr>
          <w:rFonts w:hint="eastAsia" w:ascii="宋体" w:hAnsi="宋体" w:eastAsia="宋体" w:cs="宋体"/>
          <w:color w:val="000000" w:themeColor="text1"/>
          <w:kern w:val="2"/>
          <w:sz w:val="28"/>
          <w:szCs w:val="28"/>
          <w:highlight w:val="none"/>
          <w14:textFill>
            <w14:solidFill>
              <w14:schemeClr w14:val="tx1"/>
            </w14:solidFill>
          </w14:textFill>
        </w:rPr>
        <w:fldChar w:fldCharType="begin"/>
      </w:r>
      <w:r>
        <w:rPr>
          <w:rFonts w:hint="eastAsia" w:ascii="宋体" w:hAnsi="宋体" w:eastAsia="宋体" w:cs="宋体"/>
          <w:color w:val="000000" w:themeColor="text1"/>
          <w:kern w:val="2"/>
          <w:sz w:val="28"/>
          <w:szCs w:val="28"/>
          <w:highlight w:val="none"/>
          <w14:textFill>
            <w14:solidFill>
              <w14:schemeClr w14:val="tx1"/>
            </w14:solidFill>
          </w14:textFill>
        </w:rPr>
        <w:instrText xml:space="preserve"> = 1 \* GB3 </w:instrText>
      </w:r>
      <w:r>
        <w:rPr>
          <w:rFonts w:hint="eastAsia" w:ascii="宋体" w:hAnsi="宋体" w:eastAsia="宋体" w:cs="宋体"/>
          <w:color w:val="000000" w:themeColor="text1"/>
          <w:kern w:val="2"/>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2"/>
          <w:sz w:val="28"/>
          <w:szCs w:val="28"/>
          <w:highlight w:val="none"/>
          <w14:textFill>
            <w14:solidFill>
              <w14:schemeClr w14:val="tx1"/>
            </w14:solidFill>
          </w14:textFill>
        </w:rPr>
        <w:t>①</w:t>
      </w:r>
      <w:r>
        <w:rPr>
          <w:rFonts w:hint="eastAsia" w:ascii="宋体" w:hAnsi="宋体" w:eastAsia="宋体" w:cs="宋体"/>
          <w:color w:val="000000" w:themeColor="text1"/>
          <w:kern w:val="2"/>
          <w:sz w:val="28"/>
          <w:szCs w:val="28"/>
          <w:highlight w:val="none"/>
          <w14:textFill>
            <w14:solidFill>
              <w14:schemeClr w14:val="tx1"/>
            </w14:solidFill>
          </w14:textFill>
        </w:rPr>
        <w:fldChar w:fldCharType="end"/>
      </w:r>
      <w:bookmarkEnd w:id="266"/>
      <w:r>
        <w:rPr>
          <w:rFonts w:hint="eastAsia" w:ascii="宋体" w:hAnsi="宋体" w:eastAsia="宋体" w:cs="宋体"/>
          <w:color w:val="000000" w:themeColor="text1"/>
          <w:kern w:val="2"/>
          <w:sz w:val="28"/>
          <w:szCs w:val="28"/>
          <w:highlight w:val="none"/>
          <w14:textFill>
            <w14:solidFill>
              <w14:schemeClr w14:val="tx1"/>
            </w14:solidFill>
          </w14:textFill>
        </w:rPr>
        <w:t>具备3.5mm音频接口，支持与管理电脑、笔记本直连实现与教室端的语音对讲功能。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bookmarkStart w:id="267" w:name="_Hlk104201411"/>
      <w:r>
        <w:rPr>
          <w:rFonts w:hint="eastAsia" w:ascii="宋体" w:hAnsi="宋体" w:eastAsia="宋体" w:cs="宋体"/>
          <w:color w:val="000000" w:themeColor="text1"/>
          <w:kern w:val="2"/>
          <w:sz w:val="28"/>
          <w:szCs w:val="28"/>
          <w:highlight w:val="none"/>
          <w14:textFill>
            <w14:solidFill>
              <w14:schemeClr w14:val="tx1"/>
            </w14:solidFill>
          </w14:textFill>
        </w:rPr>
        <w:fldChar w:fldCharType="begin"/>
      </w:r>
      <w:r>
        <w:rPr>
          <w:rFonts w:hint="eastAsia" w:ascii="宋体" w:hAnsi="宋体" w:eastAsia="宋体" w:cs="宋体"/>
          <w:color w:val="000000" w:themeColor="text1"/>
          <w:kern w:val="2"/>
          <w:sz w:val="28"/>
          <w:szCs w:val="28"/>
          <w:highlight w:val="none"/>
          <w14:textFill>
            <w14:solidFill>
              <w14:schemeClr w14:val="tx1"/>
            </w14:solidFill>
          </w14:textFill>
        </w:rPr>
        <w:instrText xml:space="preserve"> = 2 \* GB3 </w:instrText>
      </w:r>
      <w:r>
        <w:rPr>
          <w:rFonts w:hint="eastAsia" w:ascii="宋体" w:hAnsi="宋体" w:eastAsia="宋体" w:cs="宋体"/>
          <w:color w:val="000000" w:themeColor="text1"/>
          <w:kern w:val="2"/>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2"/>
          <w:sz w:val="28"/>
          <w:szCs w:val="28"/>
          <w:highlight w:val="none"/>
          <w14:textFill>
            <w14:solidFill>
              <w14:schemeClr w14:val="tx1"/>
            </w14:solidFill>
          </w14:textFill>
        </w:rPr>
        <w:t>②</w:t>
      </w:r>
      <w:r>
        <w:rPr>
          <w:rFonts w:hint="eastAsia" w:ascii="宋体" w:hAnsi="宋体" w:eastAsia="宋体" w:cs="宋体"/>
          <w:color w:val="000000" w:themeColor="text1"/>
          <w:kern w:val="2"/>
          <w:sz w:val="28"/>
          <w:szCs w:val="28"/>
          <w:highlight w:val="none"/>
          <w14:textFill>
            <w14:solidFill>
              <w14:schemeClr w14:val="tx1"/>
            </w14:solidFill>
          </w14:textFill>
        </w:rPr>
        <w:fldChar w:fldCharType="end"/>
      </w:r>
      <w:bookmarkEnd w:id="267"/>
      <w:r>
        <w:rPr>
          <w:rFonts w:hint="eastAsia" w:ascii="宋体" w:hAnsi="宋体" w:eastAsia="宋体" w:cs="宋体"/>
          <w:color w:val="000000" w:themeColor="text1"/>
          <w:kern w:val="2"/>
          <w:sz w:val="28"/>
          <w:szCs w:val="28"/>
          <w:highlight w:val="none"/>
          <w14:textFill>
            <w14:solidFill>
              <w14:schemeClr w14:val="tx1"/>
            </w14:solidFill>
          </w14:textFill>
        </w:rPr>
        <w:t>心型指向拾音设计，具备拾音降噪功能。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bookmarkStart w:id="268" w:name="_Hlk104201422"/>
      <w:r>
        <w:rPr>
          <w:rFonts w:hint="eastAsia" w:ascii="宋体" w:hAnsi="宋体" w:eastAsia="宋体" w:cs="宋体"/>
          <w:color w:val="000000" w:themeColor="text1"/>
          <w:kern w:val="2"/>
          <w:sz w:val="28"/>
          <w:szCs w:val="28"/>
          <w:highlight w:val="none"/>
          <w14:textFill>
            <w14:solidFill>
              <w14:schemeClr w14:val="tx1"/>
            </w14:solidFill>
          </w14:textFill>
        </w:rPr>
        <w:fldChar w:fldCharType="begin"/>
      </w:r>
      <w:r>
        <w:rPr>
          <w:rFonts w:hint="eastAsia" w:ascii="宋体" w:hAnsi="宋体" w:eastAsia="宋体" w:cs="宋体"/>
          <w:color w:val="000000" w:themeColor="text1"/>
          <w:kern w:val="2"/>
          <w:sz w:val="28"/>
          <w:szCs w:val="28"/>
          <w:highlight w:val="none"/>
          <w14:textFill>
            <w14:solidFill>
              <w14:schemeClr w14:val="tx1"/>
            </w14:solidFill>
          </w14:textFill>
        </w:rPr>
        <w:instrText xml:space="preserve"> = 3 \* GB3 </w:instrText>
      </w:r>
      <w:r>
        <w:rPr>
          <w:rFonts w:hint="eastAsia" w:ascii="宋体" w:hAnsi="宋体" w:eastAsia="宋体" w:cs="宋体"/>
          <w:color w:val="000000" w:themeColor="text1"/>
          <w:kern w:val="2"/>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2"/>
          <w:sz w:val="28"/>
          <w:szCs w:val="28"/>
          <w:highlight w:val="none"/>
          <w14:textFill>
            <w14:solidFill>
              <w14:schemeClr w14:val="tx1"/>
            </w14:solidFill>
          </w14:textFill>
        </w:rPr>
        <w:t>③</w:t>
      </w:r>
      <w:r>
        <w:rPr>
          <w:rFonts w:hint="eastAsia" w:ascii="宋体" w:hAnsi="宋体" w:eastAsia="宋体" w:cs="宋体"/>
          <w:color w:val="000000" w:themeColor="text1"/>
          <w:kern w:val="2"/>
          <w:sz w:val="28"/>
          <w:szCs w:val="28"/>
          <w:highlight w:val="none"/>
          <w14:textFill>
            <w14:solidFill>
              <w14:schemeClr w14:val="tx1"/>
            </w14:solidFill>
          </w14:textFill>
        </w:rPr>
        <w:fldChar w:fldCharType="end"/>
      </w:r>
      <w:bookmarkEnd w:id="268"/>
      <w:r>
        <w:rPr>
          <w:rFonts w:hint="eastAsia" w:ascii="宋体" w:hAnsi="宋体" w:eastAsia="宋体" w:cs="宋体"/>
          <w:color w:val="000000" w:themeColor="text1"/>
          <w:kern w:val="2"/>
          <w:sz w:val="28"/>
          <w:szCs w:val="28"/>
          <w:highlight w:val="none"/>
          <w14:textFill>
            <w14:solidFill>
              <w14:schemeClr w14:val="tx1"/>
            </w14:solidFill>
          </w14:textFill>
        </w:rPr>
        <w:t>具备开关机按钮与开机指示灯。</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7)有源音箱：</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fldChar w:fldCharType="begin"/>
      </w:r>
      <w:r>
        <w:rPr>
          <w:rFonts w:hint="eastAsia" w:ascii="宋体" w:hAnsi="宋体" w:eastAsia="宋体" w:cs="宋体"/>
          <w:color w:val="000000" w:themeColor="text1"/>
          <w:kern w:val="2"/>
          <w:sz w:val="28"/>
          <w:szCs w:val="28"/>
          <w:highlight w:val="none"/>
          <w14:textFill>
            <w14:solidFill>
              <w14:schemeClr w14:val="tx1"/>
            </w14:solidFill>
          </w14:textFill>
        </w:rPr>
        <w:instrText xml:space="preserve"> = 1 \* GB3 </w:instrText>
      </w:r>
      <w:r>
        <w:rPr>
          <w:rFonts w:hint="eastAsia" w:ascii="宋体" w:hAnsi="宋体" w:eastAsia="宋体" w:cs="宋体"/>
          <w:color w:val="000000" w:themeColor="text1"/>
          <w:kern w:val="2"/>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2"/>
          <w:sz w:val="28"/>
          <w:szCs w:val="28"/>
          <w:highlight w:val="none"/>
          <w14:textFill>
            <w14:solidFill>
              <w14:schemeClr w14:val="tx1"/>
            </w14:solidFill>
          </w14:textFill>
        </w:rPr>
        <w:t>①</w:t>
      </w:r>
      <w:r>
        <w:rPr>
          <w:rFonts w:hint="eastAsia" w:ascii="宋体" w:hAnsi="宋体" w:eastAsia="宋体" w:cs="宋体"/>
          <w:color w:val="000000" w:themeColor="text1"/>
          <w:kern w:val="2"/>
          <w:sz w:val="28"/>
          <w:szCs w:val="28"/>
          <w:highlight w:val="none"/>
          <w14:textFill>
            <w14:solidFill>
              <w14:schemeClr w14:val="tx1"/>
            </w14:solidFill>
          </w14:textFill>
        </w:rPr>
        <w:fldChar w:fldCharType="end"/>
      </w:r>
      <w:r>
        <w:rPr>
          <w:rFonts w:hint="eastAsia" w:ascii="宋体" w:hAnsi="宋体" w:eastAsia="宋体" w:cs="宋体"/>
          <w:color w:val="000000" w:themeColor="text1"/>
          <w:kern w:val="2"/>
          <w:sz w:val="28"/>
          <w:szCs w:val="28"/>
          <w:highlight w:val="none"/>
          <w14:textFill>
            <w14:solidFill>
              <w14:schemeClr w14:val="tx1"/>
            </w14:solidFill>
          </w14:textFill>
        </w:rPr>
        <w:t>额定功率（W）:R/L 5W+5W。</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fldChar w:fldCharType="begin"/>
      </w:r>
      <w:r>
        <w:rPr>
          <w:rFonts w:hint="eastAsia" w:ascii="宋体" w:hAnsi="宋体" w:eastAsia="宋体" w:cs="宋体"/>
          <w:color w:val="000000" w:themeColor="text1"/>
          <w:kern w:val="2"/>
          <w:sz w:val="28"/>
          <w:szCs w:val="28"/>
          <w:highlight w:val="none"/>
          <w14:textFill>
            <w14:solidFill>
              <w14:schemeClr w14:val="tx1"/>
            </w14:solidFill>
          </w14:textFill>
        </w:rPr>
        <w:instrText xml:space="preserve"> = 2 \* GB3 </w:instrText>
      </w:r>
      <w:r>
        <w:rPr>
          <w:rFonts w:hint="eastAsia" w:ascii="宋体" w:hAnsi="宋体" w:eastAsia="宋体" w:cs="宋体"/>
          <w:color w:val="000000" w:themeColor="text1"/>
          <w:kern w:val="2"/>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2"/>
          <w:sz w:val="28"/>
          <w:szCs w:val="28"/>
          <w:highlight w:val="none"/>
          <w14:textFill>
            <w14:solidFill>
              <w14:schemeClr w14:val="tx1"/>
            </w14:solidFill>
          </w14:textFill>
        </w:rPr>
        <w:t>②</w:t>
      </w:r>
      <w:r>
        <w:rPr>
          <w:rFonts w:hint="eastAsia" w:ascii="宋体" w:hAnsi="宋体" w:eastAsia="宋体" w:cs="宋体"/>
          <w:color w:val="000000" w:themeColor="text1"/>
          <w:kern w:val="2"/>
          <w:sz w:val="28"/>
          <w:szCs w:val="28"/>
          <w:highlight w:val="none"/>
          <w14:textFill>
            <w14:solidFill>
              <w14:schemeClr w14:val="tx1"/>
            </w14:solidFill>
          </w14:textFill>
        </w:rPr>
        <w:fldChar w:fldCharType="end"/>
      </w:r>
      <w:r>
        <w:rPr>
          <w:rFonts w:hint="eastAsia" w:ascii="宋体" w:hAnsi="宋体" w:eastAsia="宋体" w:cs="宋体"/>
          <w:color w:val="000000" w:themeColor="text1"/>
          <w:kern w:val="2"/>
          <w:sz w:val="28"/>
          <w:szCs w:val="28"/>
          <w:highlight w:val="none"/>
          <w14:textFill>
            <w14:solidFill>
              <w14:schemeClr w14:val="tx1"/>
            </w14:solidFill>
          </w14:textFill>
        </w:rPr>
        <w:t xml:space="preserve"> 噪声声级：≤25db（A）。</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fldChar w:fldCharType="begin"/>
      </w:r>
      <w:r>
        <w:rPr>
          <w:rFonts w:hint="eastAsia" w:ascii="宋体" w:hAnsi="宋体" w:eastAsia="宋体" w:cs="宋体"/>
          <w:color w:val="000000" w:themeColor="text1"/>
          <w:kern w:val="2"/>
          <w:sz w:val="28"/>
          <w:szCs w:val="28"/>
          <w:highlight w:val="none"/>
          <w14:textFill>
            <w14:solidFill>
              <w14:schemeClr w14:val="tx1"/>
            </w14:solidFill>
          </w14:textFill>
        </w:rPr>
        <w:instrText xml:space="preserve"> = 3 \* GB3 </w:instrText>
      </w:r>
      <w:r>
        <w:rPr>
          <w:rFonts w:hint="eastAsia" w:ascii="宋体" w:hAnsi="宋体" w:eastAsia="宋体" w:cs="宋体"/>
          <w:color w:val="000000" w:themeColor="text1"/>
          <w:kern w:val="2"/>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2"/>
          <w:sz w:val="28"/>
          <w:szCs w:val="28"/>
          <w:highlight w:val="none"/>
          <w14:textFill>
            <w14:solidFill>
              <w14:schemeClr w14:val="tx1"/>
            </w14:solidFill>
          </w14:textFill>
        </w:rPr>
        <w:t>③</w:t>
      </w:r>
      <w:r>
        <w:rPr>
          <w:rFonts w:hint="eastAsia" w:ascii="宋体" w:hAnsi="宋体" w:eastAsia="宋体" w:cs="宋体"/>
          <w:color w:val="000000" w:themeColor="text1"/>
          <w:kern w:val="2"/>
          <w:sz w:val="28"/>
          <w:szCs w:val="28"/>
          <w:highlight w:val="none"/>
          <w14:textFill>
            <w14:solidFill>
              <w14:schemeClr w14:val="tx1"/>
            </w14:solidFill>
          </w14:textFill>
        </w:rPr>
        <w:fldChar w:fldCharType="end"/>
      </w:r>
      <w:r>
        <w:rPr>
          <w:rFonts w:hint="eastAsia" w:ascii="宋体" w:hAnsi="宋体" w:eastAsia="宋体" w:cs="宋体"/>
          <w:color w:val="000000" w:themeColor="text1"/>
          <w:kern w:val="2"/>
          <w:sz w:val="28"/>
          <w:szCs w:val="28"/>
          <w:highlight w:val="none"/>
          <w14:textFill>
            <w14:solidFill>
              <w14:schemeClr w14:val="tx1"/>
            </w14:solidFill>
          </w14:textFill>
        </w:rPr>
        <w:t>阻抗：6Ω。接口：3.5mm音频接口。</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品目5-8：</w:t>
      </w:r>
      <w:r>
        <w:rPr>
          <w:rFonts w:hint="eastAsia" w:ascii="宋体" w:hAnsi="宋体" w:eastAsia="宋体" w:cs="宋体"/>
          <w:snapToGrid w:val="0"/>
          <w:color w:val="000000" w:themeColor="text1"/>
          <w:sz w:val="28"/>
          <w:szCs w:val="28"/>
          <w:highlight w:val="none"/>
          <w:u w:val="single"/>
          <w14:textFill>
            <w14:solidFill>
              <w14:schemeClr w14:val="tx1"/>
            </w14:solidFill>
          </w14:textFill>
        </w:rPr>
        <w:t>音箱</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kinsoku w:val="0"/>
        <w:autoSpaceDE w:val="0"/>
        <w:autoSpaceDN w:val="0"/>
        <w:adjustRightInd w:val="0"/>
        <w:snapToGrid w:val="0"/>
        <w:spacing w:line="360" w:lineRule="auto"/>
        <w:ind w:firstLine="560" w:firstLineChars="200"/>
        <w:textAlignment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1）2.4G无线有源音箱   </w:t>
      </w:r>
    </w:p>
    <w:p>
      <w:pPr>
        <w:kinsoku w:val="0"/>
        <w:autoSpaceDE w:val="0"/>
        <w:autoSpaceDN w:val="0"/>
        <w:adjustRightInd w:val="0"/>
        <w:snapToGrid w:val="0"/>
        <w:spacing w:line="360" w:lineRule="auto"/>
        <w:ind w:firstLine="560" w:firstLineChars="200"/>
        <w:textAlignment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两单元二分频：5"全纸盆低音，3”纸盆高音。功率：≥50W，主箱内置功放具有短路和过载保护装置。频率范围：70Hz-20KHz。信噪比：≥82dB（A计权）。输入灵敏度：线路500mV，话筒15mV。调节形式：音乐音量、话筒音量。一路幻象话筒输入、一路3.5mm音频输入、一组立体声莲花音频输入、1组广播信号输入（定阻信号）。一组立体声莲花音频输出，一组副机音频输出。 </w:t>
      </w:r>
    </w:p>
    <w:p>
      <w:pPr>
        <w:kinsoku w:val="0"/>
        <w:autoSpaceDE w:val="0"/>
        <w:autoSpaceDN w:val="0"/>
        <w:adjustRightInd w:val="0"/>
        <w:snapToGrid w:val="0"/>
        <w:spacing w:line="360" w:lineRule="auto"/>
        <w:ind w:firstLine="560" w:firstLineChars="200"/>
        <w:textAlignment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2）2.4G无线话筒</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频率范围 ：2400 - 2483MHz,有效接收半径≥20米。调制方法：GFSK，开机自动进入对频状态,对频成功后自动开启发射。射频稳定度：≥0.005%（at25c）。发射功率：10dbm。发射器采用内置式麦克风设计（随机配置头戴麦克风），也支持外接话筒输入，可以手持、可以头戴。发射器配置LED液晶显示屏，可显示电池电量、充电状态、信号强弱、音量大小、工作模式等信息。发射器配置红外线激光教鞭功能， 特有动态音量增益调节（AGC）功能，带控制按键。发射器自带音量调节按键，具有一键静音功能，PPT无线翻页功能（选配）。本机配置2.4G和红外对频两种模式可切换，可有效的避免串频和干扰，任何一只无线话筒发射器都可以在任 意一台音箱上使用，互不干扰，确保使用干净、卫生、环保。内置高能聚合物锂电池，可反复充电，USB充电接口，连续使用时间大于8小时。锂电池工作电压：3.7V。特有动态音量增益调节（AGC）功能。</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品目5-9：</w:t>
      </w:r>
      <w:r>
        <w:rPr>
          <w:rFonts w:hint="eastAsia" w:ascii="宋体" w:hAnsi="宋体" w:eastAsia="宋体" w:cs="宋体"/>
          <w:snapToGrid w:val="0"/>
          <w:color w:val="000000" w:themeColor="text1"/>
          <w:sz w:val="28"/>
          <w:szCs w:val="28"/>
          <w:highlight w:val="none"/>
          <w:u w:val="single"/>
          <w14:textFill>
            <w14:solidFill>
              <w14:schemeClr w14:val="tx1"/>
            </w14:solidFill>
          </w14:textFill>
        </w:rPr>
        <w:t>交换机</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2.技术指标及参数要求：</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1）端口数量≥28个， 24个10/100/1000Base-T以太网端口，4个100/1000 Base-X SFP光口，控制端口1个Console口。</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2）背板带宽≥256Gbps 包转发率≥78Mpp。</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品目5-10：</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控制台（含3把椅子）</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2.技术指标及参数要求：</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1）参考尺寸：2400×900×750mm 。</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2）框架结构：内部主框架为1.5mm冷轧钢板，台面支撑件为1.5mm冷轧钢板，防静电喷塑处理。全拼装结构，可单独使用，也可多台连接。</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3）台面板：高压耐磨防火板（HPL)，整体厚度不低于25mm，大面板之间需做隐藏式箭头锁链接，整体连接后必须平整光滑无缝隙。</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4）台面边缘：台面边缘的手枕边应为聚氨酯材质加工形成，通过波浪式齿口与台面板链接，保证台面边位的平整性和可靠力度，确保工作人员长期工作的舒适度，避免疲劳及损伤肢体。</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5）后背板为航空铝型材材质，每根型材经过高压喷砂，酸洗除锈。再经过静电喷涂，高温加热使桌面整洁，进线灵活方便。</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6）前后门板：均采用优质冷轧钢板。厚度均为1.2mm厚，有散热孔。前后门均可开关或拆卸。</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7)布线散热：强弱电分离理线方式，使操作台理线更为简单。地柜配置地脚钉，与地面预留了充分的流动空间，方便散热。</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z w:val="28"/>
          <w:szCs w:val="28"/>
          <w:highlight w:val="none"/>
          <w14:textFill>
            <w14:solidFill>
              <w14:schemeClr w14:val="tx1"/>
            </w14:solidFill>
          </w14:textFill>
        </w:rPr>
        <w:t>8</w:t>
      </w:r>
      <w:r>
        <w:rPr>
          <w:rFonts w:hint="eastAsia" w:ascii="宋体" w:hAnsi="宋体" w:eastAsia="宋体" w:cs="宋体"/>
          <w:color w:val="000000" w:themeColor="text1"/>
          <w:sz w:val="28"/>
          <w:szCs w:val="28"/>
          <w:highlight w:val="none"/>
          <w14:textFill>
            <w14:solidFill>
              <w14:schemeClr w14:val="tx1"/>
            </w14:solidFill>
          </w14:textFill>
        </w:rPr>
        <w:t>)椅子：一体成型铝合金五星脚、软胶防滑轮、防爆托盘≥2</w:t>
      </w:r>
      <w:r>
        <w:rPr>
          <w:rFonts w:ascii="宋体" w:hAnsi="宋体" w:eastAsia="宋体" w:cs="宋体"/>
          <w:color w:val="000000" w:themeColor="text1"/>
          <w:sz w:val="28"/>
          <w:szCs w:val="28"/>
          <w:highlight w:val="none"/>
          <w14:textFill>
            <w14:solidFill>
              <w14:schemeClr w14:val="tx1"/>
            </w14:solidFill>
          </w14:textFill>
        </w:rPr>
        <w:t>mm</w:t>
      </w:r>
      <w:r>
        <w:rPr>
          <w:rFonts w:hint="eastAsia" w:ascii="宋体" w:hAnsi="宋体" w:eastAsia="宋体" w:cs="宋体"/>
          <w:color w:val="000000" w:themeColor="text1"/>
          <w:sz w:val="28"/>
          <w:szCs w:val="28"/>
          <w:highlight w:val="none"/>
          <w14:textFill>
            <w14:solidFill>
              <w14:schemeClr w14:val="tx1"/>
            </w14:solidFill>
          </w14:textFill>
        </w:rPr>
        <w:t>、国标气压棒。参考尺寸：高≥1</w:t>
      </w:r>
      <w:r>
        <w:rPr>
          <w:rFonts w:ascii="宋体" w:hAnsi="宋体" w:eastAsia="宋体" w:cs="宋体"/>
          <w:color w:val="000000" w:themeColor="text1"/>
          <w:sz w:val="28"/>
          <w:szCs w:val="28"/>
          <w:highlight w:val="none"/>
          <w14:textFill>
            <w14:solidFill>
              <w14:schemeClr w14:val="tx1"/>
            </w14:solidFill>
          </w14:textFill>
        </w:rPr>
        <w:t>20cm</w:t>
      </w:r>
      <w:r>
        <w:rPr>
          <w:rFonts w:hint="eastAsia" w:ascii="宋体" w:hAnsi="宋体" w:eastAsia="宋体" w:cs="宋体"/>
          <w:color w:val="000000" w:themeColor="text1"/>
          <w:sz w:val="28"/>
          <w:szCs w:val="28"/>
          <w:highlight w:val="none"/>
          <w14:textFill>
            <w14:solidFill>
              <w14:schemeClr w14:val="tx1"/>
            </w14:solidFill>
          </w14:textFill>
        </w:rPr>
        <w:t>、宽≥6</w:t>
      </w:r>
      <w:r>
        <w:rPr>
          <w:rFonts w:ascii="宋体" w:hAnsi="宋体" w:eastAsia="宋体" w:cs="宋体"/>
          <w:color w:val="000000" w:themeColor="text1"/>
          <w:sz w:val="28"/>
          <w:szCs w:val="28"/>
          <w:highlight w:val="none"/>
          <w14:textFill>
            <w14:solidFill>
              <w14:schemeClr w14:val="tx1"/>
            </w14:solidFill>
          </w14:textFill>
        </w:rPr>
        <w:t>4cm</w:t>
      </w:r>
      <w:r>
        <w:rPr>
          <w:rFonts w:hint="eastAsia" w:ascii="宋体" w:hAnsi="宋体" w:eastAsia="宋体" w:cs="宋体"/>
          <w:color w:val="000000" w:themeColor="text1"/>
          <w:sz w:val="28"/>
          <w:szCs w:val="28"/>
          <w:highlight w:val="none"/>
          <w14:textFill>
            <w14:solidFill>
              <w14:schemeClr w14:val="tx1"/>
            </w14:solidFill>
          </w14:textFill>
        </w:rPr>
        <w:t>、扶手高度≥</w:t>
      </w:r>
      <w:r>
        <w:rPr>
          <w:rFonts w:ascii="宋体" w:hAnsi="宋体" w:eastAsia="宋体" w:cs="宋体"/>
          <w:color w:val="000000" w:themeColor="text1"/>
          <w:sz w:val="28"/>
          <w:szCs w:val="28"/>
          <w:highlight w:val="none"/>
          <w14:textFill>
            <w14:solidFill>
              <w14:schemeClr w14:val="tx1"/>
            </w14:solidFill>
          </w14:textFill>
        </w:rPr>
        <w:t>70cm</w:t>
      </w:r>
      <w:r>
        <w:rPr>
          <w:rFonts w:hint="eastAsia" w:ascii="宋体" w:hAnsi="宋体" w:eastAsia="宋体" w:cs="宋体"/>
          <w:color w:val="000000" w:themeColor="text1"/>
          <w:sz w:val="28"/>
          <w:szCs w:val="28"/>
          <w:highlight w:val="none"/>
          <w14:textFill>
            <w14:solidFill>
              <w14:schemeClr w14:val="tx1"/>
            </w14:solidFill>
          </w14:textFill>
        </w:rPr>
        <w:t>、坐宽≥5</w:t>
      </w:r>
      <w:r>
        <w:rPr>
          <w:rFonts w:ascii="宋体" w:hAnsi="宋体" w:eastAsia="宋体" w:cs="宋体"/>
          <w:color w:val="000000" w:themeColor="text1"/>
          <w:sz w:val="28"/>
          <w:szCs w:val="28"/>
          <w:highlight w:val="none"/>
          <w14:textFill>
            <w14:solidFill>
              <w14:schemeClr w14:val="tx1"/>
            </w14:solidFill>
          </w14:textFill>
        </w:rPr>
        <w:t>5cm</w:t>
      </w:r>
      <w:r>
        <w:rPr>
          <w:rFonts w:hint="eastAsia" w:ascii="宋体" w:hAnsi="宋体" w:eastAsia="宋体" w:cs="宋体"/>
          <w:color w:val="000000" w:themeColor="text1"/>
          <w:sz w:val="28"/>
          <w:szCs w:val="28"/>
          <w:highlight w:val="none"/>
          <w14:textFill>
            <w14:solidFill>
              <w14:schemeClr w14:val="tx1"/>
            </w14:solidFill>
          </w14:textFill>
        </w:rPr>
        <w:t>。</w:t>
      </w:r>
    </w:p>
    <w:p>
      <w:pPr>
        <w:spacing w:line="360" w:lineRule="auto"/>
        <w:ind w:firstLine="562" w:firstLineChars="200"/>
        <w:rPr>
          <w:rFonts w:ascii="宋体" w:hAnsi="宋体" w:eastAsia="宋体" w:cs="宋体"/>
          <w:snapToGrid w:val="0"/>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品目5-11：</w:t>
      </w:r>
      <w:r>
        <w:rPr>
          <w:rFonts w:hint="eastAsia" w:ascii="宋体" w:hAnsi="宋体" w:eastAsia="宋体" w:cs="宋体"/>
          <w:snapToGrid w:val="0"/>
          <w:color w:val="000000" w:themeColor="text1"/>
          <w:sz w:val="28"/>
          <w:szCs w:val="28"/>
          <w:highlight w:val="none"/>
          <w:u w:val="single"/>
          <w14:textFill>
            <w14:solidFill>
              <w14:schemeClr w14:val="tx1"/>
            </w14:solidFill>
          </w14:textFill>
        </w:rPr>
        <w:t>集中管控平台</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1）客户端基于B/S架构，支持WEB端远程登录服务器，依据权限对融合终端远程管理。</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2）基于定制的Linux操作系统，具备MySql数据库。具备设备使用日志管理、用户管理、能耗统计、系统使用日志、服务器操作日志、登录日志等功能。</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 具备数据大屏展示界面，可从在线教室数量、离线教室数量、使用教室数量、未使用教室数量等数据展示。可对教室智能融合终端、投影仪、教学一体机等设备进行一键开关机、独立开关机操作。</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4)为方便运维、可显示教室智能融合终端IP信息，可通过IP信息访问终端主机进行配置。</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5)具备巡课功能，支持对教室前后摄像机进行拉流与画面展示，实现远程巡课功能。</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6)具备远程桌面运维功能，可通过PC管理端对教室终端电脑桌面的一键远程控制，帮助老师远程解决问题。</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7)具备IP语音对讲呼叫功能，教室端按键直接呼叫到集中管控室，同时集中管控端可联动显示教室摄像机画面实现可视化语音运维。</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8)具备对智能融合终端输出显示信号的一键切换，包括笔记本信号、台式机信号等。</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9)支持根据权限上传、预览、播放音视频广播资源，可对智能融合信息终端实现一键音视频广播功能。</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10)★支持实时、定时音视频广播设置，同时支持优先级设置，智能融合终端在开机或关机情况下均需要自动化接收音视频广播并进行自动化播放。（提供佐证材料和承诺函）。</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11)具备运行模式设置，可根据时间段、具体功能需求实现灵活的设置。</w:t>
      </w:r>
    </w:p>
    <w:p>
      <w:pPr>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12)★支持跨网段组播，</w:t>
      </w:r>
      <w:r>
        <w:rPr>
          <w:rFonts w:hint="eastAsia" w:ascii="宋体" w:hAnsi="宋体" w:eastAsia="宋体" w:cs="宋体"/>
          <w:color w:val="000000" w:themeColor="text1"/>
          <w:kern w:val="2"/>
          <w:sz w:val="28"/>
          <w:szCs w:val="28"/>
          <w:highlight w:val="none"/>
          <w14:textFill>
            <w14:solidFill>
              <w14:schemeClr w14:val="tx1"/>
            </w14:solidFill>
          </w14:textFill>
        </w:rPr>
        <w:t>支持跨校区跨楼宇实现智能化控制与音视频任务播放。</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13)具备媒体库操作栏，支持一键上传音视频资源，并且具备上传资源审核机制。</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14)通过微信小程序远程对智能融合终端进行实时、定时集中管控，以及音视频广播一键分发。</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15)提供远程维护功能，用户通过软件可发起远程请求，厂家技术人员可远程进行系统升级、维护、故障定位等服务。</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16)支持对音视频文件在线预览功能，确保音视频直播安全性。</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17)★具备呼叫台功能，支持一键语音广播，教室端智能融合终端在关机情况下也需要接收语音直播。</w:t>
      </w:r>
      <w:r>
        <w:rPr>
          <w:rFonts w:hint="eastAsia" w:ascii="宋体" w:hAnsi="宋体" w:eastAsia="宋体" w:cs="宋体"/>
          <w:color w:val="000000" w:themeColor="text1"/>
          <w:kern w:val="2"/>
          <w:sz w:val="28"/>
          <w:szCs w:val="28"/>
          <w:highlight w:val="none"/>
          <w14:textFill>
            <w14:solidFill>
              <w14:schemeClr w14:val="tx1"/>
            </w14:solidFill>
          </w14:textFill>
        </w:rPr>
        <w:t>（提供佐证材料和承诺函）。</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18)完全免费开放接口和协议等技术参数，实现与学校在用多媒体教学管理系统对接。学校在用多媒体教学管理系统完全免费开放接口和协议等技术参数（见承诺函），全力支持配合对接工作。</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19)提供数据备份，可手动备份到本地电脑。提供在线升级功能，可批量操作设备升级。可提供设备异常离线告警，可自动推送至微信管理账号，实时消息提醒。</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20)提供产品质量、平台软件著作权等相关资质。</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品目5-12：</w:t>
      </w:r>
      <w:r>
        <w:rPr>
          <w:rFonts w:hint="eastAsia" w:ascii="宋体" w:hAnsi="宋体" w:eastAsia="宋体" w:cs="宋体"/>
          <w:snapToGrid w:val="0"/>
          <w:color w:val="000000" w:themeColor="text1"/>
          <w:sz w:val="28"/>
          <w:szCs w:val="28"/>
          <w:highlight w:val="none"/>
          <w:u w:val="single"/>
          <w14:textFill>
            <w14:solidFill>
              <w14:schemeClr w14:val="tx1"/>
            </w14:solidFill>
          </w14:textFill>
        </w:rPr>
        <w:t>集中管控平台服务器</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1）处理器: ≥1 X Intel XEON Bronze 3104 6C/6T 1.7GHz 8.25M 85W。</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2）芯片组：≥采用INTEL C621芯片组。</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3）内存: ≥1 X 8GB/DDR4/2133。</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4）硬盘: ≥企业级3*2T SAS (7200Rpm)/ 3.5寸/企业级，最大支持4块热插拔3.5寸硬盘，可选内置2个2.5寸 SSD。</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5）RAID卡: LR382A/8口/SAS 12Gb/半高/PCIe 3.0 x8/1GB缓存/支持RAID 0,1,5,6,10,50,60,JBOD。</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6）板载网络：≥集成2个千兆网口。</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7）PCIE扩展：默认提供≥1个半高 PCI-E3.0 x8扩展插槽。</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8）其他端口: ≥USB2.0 接口4个，USB3.0 接口2个，VGA接口1个。</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9）风扇：≥6个易插拔风扇。</w:t>
      </w:r>
    </w:p>
    <w:p>
      <w:pPr>
        <w:spacing w:line="360" w:lineRule="auto"/>
        <w:ind w:firstLine="562" w:firstLineChars="200"/>
        <w:rPr>
          <w:rFonts w:ascii="宋体" w:hAnsi="宋体" w:eastAsia="宋体" w:cs="宋体"/>
          <w:snapToGrid w:val="0"/>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品目5-13：</w:t>
      </w:r>
      <w:r>
        <w:rPr>
          <w:rFonts w:hint="eastAsia" w:ascii="宋体" w:hAnsi="宋体" w:eastAsia="宋体" w:cs="宋体"/>
          <w:snapToGrid w:val="0"/>
          <w:color w:val="000000" w:themeColor="text1"/>
          <w:sz w:val="28"/>
          <w:szCs w:val="28"/>
          <w:highlight w:val="none"/>
          <w:u w:val="single"/>
          <w14:textFill>
            <w14:solidFill>
              <w14:schemeClr w14:val="tx1"/>
            </w14:solidFill>
          </w14:textFill>
        </w:rPr>
        <w:t>云桌面服务器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1)单台承载能力不低于150终端。</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2)2U机架式热插拔。</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3)CPU不低于英特尔 Silver 4210 (13.75M/2.2GHz/10C/85W)*1颗。CPU主频：2.2GHz。核心数量：十核心。线程数量：二十线程。L3缓存：25MB。</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4)内存不小于64GB DDR4。</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5)硬盘不小于1*480 GB SSD，1≥3*2.4T SAS 硬盘。</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6)支持RAID 0,1,5，双千兆以太网接口。</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品目5-14：</w:t>
      </w:r>
      <w:r>
        <w:rPr>
          <w:rFonts w:hint="eastAsia" w:ascii="宋体" w:hAnsi="宋体" w:eastAsia="宋体" w:cs="宋体"/>
          <w:snapToGrid w:val="0"/>
          <w:color w:val="000000" w:themeColor="text1"/>
          <w:sz w:val="28"/>
          <w:szCs w:val="28"/>
          <w:highlight w:val="none"/>
          <w:u w:val="single"/>
          <w14:textFill>
            <w14:solidFill>
              <w14:schemeClr w14:val="tx1"/>
            </w14:solidFill>
          </w14:textFill>
        </w:rPr>
        <w:t>视频直播服务器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1）采用Android操作系统，具备≥10寸触摸屏，可选择接收端教室进行一键视频直播推送，支持视频直播在线预览以及声音大小调节，可实现一键暂停/开始播放。</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2）可通过微信小程序对主机进行远程控制操作。</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3）具备≥1路HDMI输入、1路3.5mm音频输入以及1路RS485接口。</w:t>
      </w:r>
    </w:p>
    <w:p>
      <w:pPr>
        <w:pStyle w:val="18"/>
        <w:spacing w:line="360" w:lineRule="auto"/>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4)主机需与学校现用视频直播系统、网络电视盒兼容，实现定时、定点无人值守化观看新闻联播（C</w:t>
      </w:r>
      <w:r>
        <w:rPr>
          <w:rFonts w:ascii="宋体" w:hAnsi="宋体" w:eastAsia="宋体" w:cs="宋体"/>
          <w:color w:val="000000" w:themeColor="text1"/>
          <w:kern w:val="2"/>
          <w:sz w:val="28"/>
          <w:szCs w:val="28"/>
          <w:highlight w:val="none"/>
          <w14:textFill>
            <w14:solidFill>
              <w14:schemeClr w14:val="tx1"/>
            </w14:solidFill>
          </w14:textFill>
        </w:rPr>
        <w:t>CTV1</w:t>
      </w:r>
      <w:r>
        <w:rPr>
          <w:rFonts w:hint="eastAsia" w:ascii="宋体" w:hAnsi="宋体" w:eastAsia="宋体" w:cs="宋体"/>
          <w:color w:val="000000" w:themeColor="text1"/>
          <w:kern w:val="2"/>
          <w:sz w:val="28"/>
          <w:szCs w:val="28"/>
          <w:highlight w:val="none"/>
          <w14:textFill>
            <w14:solidFill>
              <w14:schemeClr w14:val="tx1"/>
            </w14:solidFill>
          </w14:textFill>
        </w:rPr>
        <w:t>）等五套等有线电视节目需求。</w:t>
      </w:r>
    </w:p>
    <w:p>
      <w:pPr>
        <w:spacing w:line="360" w:lineRule="auto"/>
        <w:ind w:firstLine="562" w:firstLineChars="200"/>
        <w:rPr>
          <w:rFonts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品目5-15：</w:t>
      </w:r>
      <w:r>
        <w:rPr>
          <w:rFonts w:hint="eastAsia" w:ascii="宋体" w:hAnsi="宋体" w:eastAsia="宋体" w:cs="宋体"/>
          <w:color w:val="000000" w:themeColor="text1"/>
          <w:sz w:val="28"/>
          <w:szCs w:val="28"/>
          <w:highlight w:val="none"/>
          <w:u w:val="single"/>
          <w14:textFill>
            <w14:solidFill>
              <w14:schemeClr w14:val="tx1"/>
            </w14:solidFill>
          </w14:textFill>
        </w:rPr>
        <w:t>流媒体交互服务平台</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 采用B/S+C/S结构，无需安装插件即符合各类浏览器（如：IE9 及以上版本，firefox，chrome 等）的播放需求。系统满足≥300间教室接入管理，支持公有云、私有云分布式部署，满足高并发在线学习的性能要求。支持随用户使用量的增大而只需增加相应的硬件或网络带宽等条件即可。</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 支持跨平台、支持多种操作系统，具有多级用户权限，支持根据用户的角色和权限开放相应的功能和数据权限。</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3)平台集成教学互动应用和智能硬件管理功能，为教学客户端、APP及微信端提供服务支撑，满足常用的直播、点播、评课、课堂互动等功能。</w:t>
      </w:r>
    </w:p>
    <w:p>
      <w:pPr>
        <w:spacing w:line="360" w:lineRule="auto"/>
        <w:ind w:firstLine="425" w:firstLineChars="152"/>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4) 基础门户模块：首页banner 滚动展示、通知公告、直播频道、资源专辑中心、网络云盘、互动研讨、摄像机驱动管理、教学督导等功能，并根据学校需求灵活搭配门户相应的功能模块，实现校园教学服务一体化。</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5)支持页面美化定制，可根据校方需求，对流媒体交互平台门户首页进行界面优化，提供相关定制服务承诺函，加盖公章。</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6)网络云盘：便于教师、学生在线存储个人文件，支持跨应用双向分享,支持课堂教学系统中直接调用云盘中的资源。资源分享功能，支持将个人的课件资源分享给指定的学生或分组。</w:t>
      </w:r>
    </w:p>
    <w:p>
      <w:pPr>
        <w:spacing w:line="360" w:lineRule="auto"/>
        <w:ind w:firstLine="425" w:firstLineChars="152"/>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7)</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摄像机驱动管理：提供平台认证服务，树形结构管理所有接入网络视频设备，支持批量导入/导出，支持一键启用/禁用，支持两个摄像机接入，支持管理端一键切换主副镜头等多种策略（提供功能界面截图及相关证明材料）。</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8)资源管理模块：管理、展示所有教学、学习所需的资源，支持视频文件、计算机课件、录播视频、微视频、试卷等。</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9)流媒体直播系统：支持RTMP、RTSP推拉流、HSL、html5等流媒体协议，支持但不限于WEB端（IE、Safari、谷歌、火狐浏览器），移动终端（Android、IOS）微信端收看直播,用户无需额外安装任何插件，通过浏览器/二维码访问相应地址即可观看视频直播。</w:t>
      </w:r>
      <w:bookmarkStart w:id="269" w:name="_Hlk104059991"/>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 1 \* GB3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①</w:t>
      </w:r>
      <w:r>
        <w:rPr>
          <w:rFonts w:hint="eastAsia" w:ascii="宋体" w:hAnsi="宋体" w:eastAsia="宋体" w:cs="宋体"/>
          <w:color w:val="000000" w:themeColor="text1"/>
          <w:sz w:val="28"/>
          <w:szCs w:val="28"/>
          <w:highlight w:val="none"/>
          <w14:textFill>
            <w14:solidFill>
              <w14:schemeClr w14:val="tx1"/>
            </w14:solidFill>
          </w14:textFill>
        </w:rPr>
        <w:fldChar w:fldCharType="end"/>
      </w:r>
      <w:bookmarkEnd w:id="269"/>
      <w:r>
        <w:rPr>
          <w:rFonts w:hint="eastAsia" w:ascii="宋体" w:hAnsi="宋体" w:eastAsia="宋体" w:cs="宋体"/>
          <w:color w:val="000000" w:themeColor="text1"/>
          <w:sz w:val="28"/>
          <w:szCs w:val="28"/>
          <w:highlight w:val="none"/>
          <w14:textFill>
            <w14:solidFill>
              <w14:schemeClr w14:val="tx1"/>
            </w14:solidFill>
          </w14:textFill>
        </w:rPr>
        <w:t xml:space="preserve">平台支持开展各类活动直播，支持预约/即时直播，支持自定义配置直播封面、主讲人、直播预告和直播时间。 </w:t>
      </w:r>
      <w:bookmarkStart w:id="270" w:name="_Hlk104060004"/>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 2 \* GB3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②</w:t>
      </w:r>
      <w:r>
        <w:rPr>
          <w:rFonts w:hint="eastAsia" w:ascii="宋体" w:hAnsi="宋体" w:eastAsia="宋体" w:cs="宋体"/>
          <w:color w:val="000000" w:themeColor="text1"/>
          <w:sz w:val="28"/>
          <w:szCs w:val="28"/>
          <w:highlight w:val="none"/>
          <w14:textFill>
            <w14:solidFill>
              <w14:schemeClr w14:val="tx1"/>
            </w14:solidFill>
          </w14:textFill>
        </w:rPr>
        <w:fldChar w:fldCharType="end"/>
      </w:r>
      <w:bookmarkEnd w:id="270"/>
      <w:r>
        <w:rPr>
          <w:rFonts w:hint="eastAsia" w:ascii="宋体" w:hAnsi="宋体" w:eastAsia="宋体" w:cs="宋体"/>
          <w:color w:val="000000" w:themeColor="text1"/>
          <w:sz w:val="28"/>
          <w:szCs w:val="28"/>
          <w:highlight w:val="none"/>
          <w14:textFill>
            <w14:solidFill>
              <w14:schemeClr w14:val="tx1"/>
            </w14:solidFill>
          </w14:textFill>
        </w:rPr>
        <w:t>课堂直播:支持通过教师客户端一键开启云直播，支持将计算机课件画面+教师视音频流推送，灵活开展在线直播云互动教学。</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10)流媒体点播系统：支持windows、IOS、Android等跨平台访问，支持二维码扫描进行直播、点播功能。支持多种评论方式：文字点评、星级点评、文字实时互动交流等,便于数据统计，质量反馈。</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11)在线教学系统： 支持开展各类的线上教学功能和线下课堂的辅助功能，帮助所有课程实现校内在线教学运行管理。</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教学督导：支持设定督导任务、督导评分标准、督导团队等。管理者可实时查看课堂教学情况：包含课程总数、督导员任务量、督导员数量、已完成任务数、总任务数、完成进度、督导记录等。督导组成员支持实时查看今日课程（在线巡课支持客户端直播/录播系统直播）、历史课程（回放）进行督导听课评价，支持关键点画面一键拍照存证等操作，并可形成督导的巡课记录及报告（提供功能界面截图及相关证明材料）。</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远程视音频互动模块（提供证明材料）：</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 1 \* GB3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①</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同时支持≥30路1080P视音频互动的接入，支持1920*1080分辨率，码流支持64K~6M等，支持各类常见网络环境，支持网络自适应功能。</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 2 \* GB3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②</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支持防火墙穿越技术，支持录播主机、互动终端等任何客户端不需要配置公网地址就可以实现视音频互动。</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 3 \* GB3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③</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支持点对点、一点对多点、多组同时在线视音频互动教学功能。</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 4 \* GB3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④</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 xml:space="preserve"> 浏览器快速接入：方便常态化应用，使用电脑入会无须安装任何客户端软件、插件、控件，使用电脑浏览器即可实时参与远程视音频交互。</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 5 \* GB3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⑤</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 xml:space="preserve"> 支持互动研讨教室创建、会控管理功能。支持同屏显示所有远程参与人员画面，支持自动跟随主讲人切换画面，支持计算机屏幕共享、协作白板、指定任意程序/窗口共享。</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 6 \* GB3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⑥</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 xml:space="preserve"> 支持互动授课模式、会议模式。授课模式支持老师实时预览远端画面。提供契合互动教学应用的简易操作模式。会议模式，支持快速会议、加入会议、预约会议等。</w:t>
      </w:r>
    </w:p>
    <w:p>
      <w:pPr>
        <w:spacing w:line="360" w:lineRule="auto"/>
        <w:ind w:firstLine="562" w:firstLineChars="200"/>
        <w:rPr>
          <w:rFonts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品目5-16：</w:t>
      </w:r>
      <w:r>
        <w:rPr>
          <w:rFonts w:hint="eastAsia" w:ascii="宋体" w:hAnsi="宋体" w:eastAsia="宋体" w:cs="宋体"/>
          <w:color w:val="000000" w:themeColor="text1"/>
          <w:sz w:val="28"/>
          <w:szCs w:val="28"/>
          <w:highlight w:val="none"/>
          <w:u w:val="single"/>
          <w14:textFill>
            <w14:solidFill>
              <w14:schemeClr w14:val="tx1"/>
            </w14:solidFill>
          </w14:textFill>
        </w:rPr>
        <w:t>视频融合客户端软件</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1）要求教师客户端支持在PC或虚拟机环境中安装运行，安装部署于教师授课设备，结合课获取云端备课资源灵活开展本地/在线直播视频教学、直播互动教学。</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2）在线授课功能：支持点对点、一点对多点、支持校园网/云端高并发运行，灵活开展在线直播云互动教学。</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 1 \* GB3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①</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)直播授课</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支持教师使用PC客户端或录播设备一键开启直播，支持系统声音和麦克风声音共存。支持视频直播，屏幕分享直播，画中画直播，还原线下教学场景。</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 2 \* GB3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②</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直播互动授课</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支持教师使用客户端或互动设备开启视音频互动授课(无须二次登录或切换窗口)，学生选择接入实时互动，可实时观看教师共享的画面，并与教师进行“面对面”沟通。</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3）满足日常教学应用的多样化需求，客户端须支持将已有录播或网络摄像机视频信号源，融合桥接给第三方软件应用，具备容错能力，满足开展常态化直播、远程视音频互动的教学场景需要。视频会议类：小鱼易联、ZOOM、腾讯会议、钉钉、 Teams等。网络直播及各类主流教学应用软件：B站、腾讯课堂、雨课堂、超星学习通、智慧树、智慧职教。</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4）教学资源：本地/网盘云文件、备课资源、题库、共享资源、第三方资源平台等，实现课堂教学的功能。 </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5)学生端：支持各类移动端、WEB端和微信服务端。支持微信扫码/暗号快速加入课堂。</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6)课堂中支持自动接收来自教师端的签到消息、随堂测试、分组讨论、投票、教师分发的视音频资料等活动。</w:t>
      </w:r>
    </w:p>
    <w:p>
      <w:pPr>
        <w:spacing w:line="360" w:lineRule="auto"/>
        <w:ind w:firstLine="425" w:firstLineChars="152"/>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7)支持学生发起课堂弹幕提问，包括文字、图片等内容，教师端支持实时展示和解答。</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8)支持学生端一键获取教师当前教学大屏的快照，方便课后进行回顾学习。</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9)资源点播：学生端具有点播录播直播、点播视频、计算机课件功能。</w:t>
      </w:r>
    </w:p>
    <w:p>
      <w:pPr>
        <w:spacing w:line="360" w:lineRule="auto"/>
        <w:ind w:firstLine="425" w:firstLineChars="152"/>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10)考试：支持实时参与教师发起的考试活动及查看历史考试相关详情。</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11)学生评教活动，参与课堂课结束后教师发起的调查问卷。</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12)计算机浏览器互动学习：支持学生计算机无需安装客户端通过浏览器即可参与课堂 互动学习答题、小组讨论的功能，支持直接通过浏览器实现远程视音频同步课堂。 </w:t>
      </w:r>
    </w:p>
    <w:p>
      <w:pPr>
        <w:spacing w:line="360" w:lineRule="auto"/>
        <w:ind w:firstLine="562" w:firstLineChars="200"/>
        <w:rPr>
          <w:rFonts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品目5-17：</w:t>
      </w:r>
      <w:r>
        <w:rPr>
          <w:rFonts w:hint="eastAsia" w:ascii="宋体" w:hAnsi="宋体" w:eastAsia="宋体" w:cs="宋体"/>
          <w:color w:val="000000" w:themeColor="text1"/>
          <w:sz w:val="28"/>
          <w:szCs w:val="28"/>
          <w:highlight w:val="none"/>
          <w:u w:val="single"/>
          <w14:textFill>
            <w14:solidFill>
              <w14:schemeClr w14:val="tx1"/>
            </w14:solidFill>
          </w14:textFill>
        </w:rPr>
        <w:t>服务器</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kinsoku w:val="0"/>
        <w:autoSpaceDE w:val="0"/>
        <w:autoSpaceDN w:val="0"/>
        <w:adjustRightInd w:val="0"/>
        <w:snapToGrid w:val="0"/>
        <w:spacing w:line="360" w:lineRule="auto"/>
        <w:ind w:firstLine="700" w:firstLineChars="250"/>
        <w:textAlignment w:val="baseline"/>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1）2U机架式。CPU：2颗Intel Xeon 4215 (8C,85W,2、5GHz) 处理器。</w:t>
      </w:r>
    </w:p>
    <w:p>
      <w:pPr>
        <w:kinsoku w:val="0"/>
        <w:autoSpaceDE w:val="0"/>
        <w:autoSpaceDN w:val="0"/>
        <w:adjustRightInd w:val="0"/>
        <w:snapToGrid w:val="0"/>
        <w:spacing w:line="360" w:lineRule="auto"/>
        <w:ind w:firstLine="700" w:firstLineChars="250"/>
        <w:textAlignment w:val="baseline"/>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2）内存：</w:t>
      </w:r>
      <w:bookmarkStart w:id="271" w:name="_Hlk104061178"/>
      <w:r>
        <w:rPr>
          <w:rFonts w:hint="eastAsia" w:ascii="宋体" w:hAnsi="宋体" w:eastAsia="宋体" w:cs="宋体"/>
          <w:color w:val="000000" w:themeColor="text1"/>
          <w:sz w:val="28"/>
          <w:szCs w:val="28"/>
          <w:highlight w:val="none"/>
          <w14:textFill>
            <w14:solidFill>
              <w14:schemeClr w14:val="tx1"/>
            </w14:solidFill>
          </w14:textFill>
        </w:rPr>
        <w:t>≥</w:t>
      </w:r>
      <w:bookmarkEnd w:id="271"/>
      <w:r>
        <w:rPr>
          <w:rFonts w:hint="eastAsia" w:ascii="宋体" w:hAnsi="宋体" w:eastAsia="宋体" w:cs="宋体"/>
          <w:color w:val="000000" w:themeColor="text1"/>
          <w:sz w:val="28"/>
          <w:szCs w:val="28"/>
          <w:highlight w:val="none"/>
          <w14:textFill>
            <w14:solidFill>
              <w14:schemeClr w14:val="tx1"/>
            </w14:solidFill>
          </w14:textFill>
        </w:rPr>
        <w:t>2</w:t>
      </w:r>
      <w:bookmarkStart w:id="272" w:name="_Hlk104061193"/>
      <w:r>
        <w:rPr>
          <w:rFonts w:hint="eastAsia" w:ascii="宋体" w:hAnsi="宋体" w:eastAsia="宋体" w:cs="宋体"/>
          <w:color w:val="000000" w:themeColor="text1"/>
          <w:sz w:val="28"/>
          <w:szCs w:val="28"/>
          <w:highlight w:val="none"/>
          <w14:textFill>
            <w14:solidFill>
              <w14:schemeClr w14:val="tx1"/>
            </w14:solidFill>
          </w14:textFill>
        </w:rPr>
        <w:t>*</w:t>
      </w:r>
      <w:bookmarkEnd w:id="272"/>
      <w:r>
        <w:rPr>
          <w:rFonts w:hint="eastAsia" w:ascii="宋体" w:hAnsi="宋体" w:eastAsia="宋体" w:cs="宋体"/>
          <w:color w:val="000000" w:themeColor="text1"/>
          <w:sz w:val="28"/>
          <w:szCs w:val="28"/>
          <w:highlight w:val="none"/>
          <w14:textFill>
            <w14:solidFill>
              <w14:schemeClr w14:val="tx1"/>
            </w14:solidFill>
          </w14:textFill>
        </w:rPr>
        <w:t>32GB Registered DDR4内存，内存插槽16个。</w:t>
      </w:r>
    </w:p>
    <w:p>
      <w:pPr>
        <w:kinsoku w:val="0"/>
        <w:autoSpaceDE w:val="0"/>
        <w:autoSpaceDN w:val="0"/>
        <w:adjustRightInd w:val="0"/>
        <w:snapToGrid w:val="0"/>
        <w:spacing w:line="360" w:lineRule="auto"/>
        <w:ind w:firstLine="700" w:firstLineChars="250"/>
        <w:textAlignment w:val="baseline"/>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3）硬盘：≥6*4TB 7200转企业级热插拔SATA硬盘。最大支持27块2、5英寸SAS/SATA/SSD硬盘。</w:t>
      </w:r>
    </w:p>
    <w:p>
      <w:pPr>
        <w:kinsoku w:val="0"/>
        <w:autoSpaceDE w:val="0"/>
        <w:autoSpaceDN w:val="0"/>
        <w:adjustRightInd w:val="0"/>
        <w:snapToGrid w:val="0"/>
        <w:spacing w:line="360" w:lineRule="auto"/>
        <w:ind w:firstLine="700" w:firstLineChars="250"/>
        <w:textAlignment w:val="baseline"/>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4）RAID：支持RAID0/1。</w:t>
      </w:r>
    </w:p>
    <w:p>
      <w:pPr>
        <w:kinsoku w:val="0"/>
        <w:autoSpaceDE w:val="0"/>
        <w:autoSpaceDN w:val="0"/>
        <w:adjustRightInd w:val="0"/>
        <w:snapToGrid w:val="0"/>
        <w:spacing w:line="360" w:lineRule="auto"/>
        <w:ind w:firstLine="700" w:firstLineChars="250"/>
        <w:textAlignment w:val="baseline"/>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5）千兆网络：1个万兆含模块，2个千兆网口，1个独立管理千兆网口。</w:t>
      </w:r>
    </w:p>
    <w:p>
      <w:pPr>
        <w:pStyle w:val="18"/>
        <w:spacing w:line="360" w:lineRule="auto"/>
        <w:ind w:firstLine="700" w:firstLineChars="25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6）电源：1+1冗余电源。</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品目5-18：</w:t>
      </w:r>
      <w:r>
        <w:rPr>
          <w:rFonts w:hint="eastAsia" w:ascii="宋体" w:hAnsi="宋体" w:eastAsia="宋体" w:cs="宋体"/>
          <w:snapToGrid w:val="0"/>
          <w:color w:val="000000" w:themeColor="text1"/>
          <w:sz w:val="28"/>
          <w:szCs w:val="28"/>
          <w:highlight w:val="none"/>
          <w14:textFill>
            <w14:solidFill>
              <w14:schemeClr w14:val="tx1"/>
            </w14:solidFill>
          </w14:textFill>
        </w:rPr>
        <w:t xml:space="preserve"> </w:t>
      </w:r>
      <w:r>
        <w:rPr>
          <w:rFonts w:hint="eastAsia" w:ascii="宋体" w:hAnsi="宋体" w:eastAsia="宋体" w:cs="宋体"/>
          <w:snapToGrid w:val="0"/>
          <w:color w:val="000000" w:themeColor="text1"/>
          <w:sz w:val="28"/>
          <w:szCs w:val="28"/>
          <w:highlight w:val="none"/>
          <w:u w:val="single"/>
          <w14:textFill>
            <w14:solidFill>
              <w14:schemeClr w14:val="tx1"/>
            </w14:solidFill>
          </w14:textFill>
        </w:rPr>
        <w:t xml:space="preserve">一体机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1)整机屏幕采用≥98英寸液晶显示器。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2)整机采用UHD超高清LED 液晶屏，显示比例16:9，分辨率≥3840*2160。</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3)玻璃表面硬度≥莫氏7H。</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4)整机内置2.0声道扬声器，2*15W，额定总功率≥30W（提供佐证材料）。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 整机支持色彩空间可选，包含标准模式和sRGB模式。（提供佐证材料）。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6)设备支持物理按键一键启动录屏功能，可将屏幕中显示的课件、音频内容与老师人声同时录制。</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7)具备护眼功能，可以在任意通道任意画面任意软件所有显示内容下实现画面纹理的实时调整。支持透明度调节。支持色温调节。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8)外接电脑设备经双头Type-C线连接至整机，可外接电脑进行数据接换。（提供佐证材料）。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9)嵌入式系统版本不低于Android 8.0，内存≥2GB，存储空间≥8GB。（提供佐证材料）。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10)具备视觉舒适度（VICO）体系认证。（提供佐证材料）。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11)整机内置非独立摄像头，可拍摄≥800万像素数的照片，拍摄角度不小于120°。（提供佐证材料）。</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12) 主板采用H310芯片组，搭载Intel 酷睿≥i7 CPU。独立显存，显存≥4</w:t>
      </w:r>
      <w:r>
        <w:rPr>
          <w:rFonts w:ascii="宋体" w:hAnsi="宋体" w:eastAsia="宋体" w:cs="宋体"/>
          <w:color w:val="000000" w:themeColor="text1"/>
          <w:kern w:val="2"/>
          <w:sz w:val="28"/>
          <w:szCs w:val="28"/>
          <w:highlight w:val="none"/>
          <w14:textFill>
            <w14:solidFill>
              <w14:schemeClr w14:val="tx1"/>
            </w14:solidFill>
          </w14:textFill>
        </w:rPr>
        <w:t>G</w:t>
      </w:r>
      <w:r>
        <w:rPr>
          <w:rFonts w:hint="eastAsia" w:ascii="宋体" w:hAnsi="宋体" w:eastAsia="宋体" w:cs="宋体"/>
          <w:color w:val="000000" w:themeColor="text1"/>
          <w:kern w:val="2"/>
          <w:sz w:val="28"/>
          <w:szCs w:val="28"/>
          <w:highlight w:val="none"/>
          <w14:textFill>
            <w14:solidFill>
              <w14:schemeClr w14:val="tx1"/>
            </w14:solidFill>
          </w14:textFill>
        </w:rPr>
        <w:t>。内存：16GB DDR4笔记本内存或以上配置。硬盘：≥512GB SSD固态硬盘。</w:t>
      </w:r>
    </w:p>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品目5-19：</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智能融合终端</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1）标准≥1U机架式设计。</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2)主机为一体化设计，具备交换机功能、功放功能、音频接入接口功能，网络中控功能，音频广播、视频广播等功能。支持跨校区、跨网段、跨楼宇间的智能化控制与音视频广播应用。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3）主板采用工业级高速嵌入式MIPS CPU，定制LINUX操作系统。具备WEB操作端，可对主机IP地址、教室命名、显示设备控制码配置。</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4）主机具备≥4口千兆交换机，支持≥4路VLAN划分。</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5）主机具备</w:t>
      </w:r>
      <w:r>
        <w:rPr>
          <w:rFonts w:ascii="宋体" w:hAnsi="宋体" w:eastAsia="宋体" w:cs="宋体"/>
          <w:color w:val="000000" w:themeColor="text1"/>
          <w:kern w:val="2"/>
          <w:sz w:val="28"/>
          <w:szCs w:val="28"/>
          <w:highlight w:val="none"/>
          <w14:textFill>
            <w14:solidFill>
              <w14:schemeClr w14:val="tx1"/>
            </w14:solidFill>
          </w14:textFill>
        </w:rPr>
        <w:t>3*2</w:t>
      </w:r>
      <w:r>
        <w:rPr>
          <w:rFonts w:hint="eastAsia" w:ascii="宋体" w:hAnsi="宋体" w:eastAsia="宋体" w:cs="宋体"/>
          <w:color w:val="000000" w:themeColor="text1"/>
          <w:kern w:val="2"/>
          <w:sz w:val="28"/>
          <w:szCs w:val="28"/>
          <w:highlight w:val="none"/>
          <w14:textFill>
            <w14:solidFill>
              <w14:schemeClr w14:val="tx1"/>
            </w14:solidFill>
          </w14:textFill>
        </w:rPr>
        <w:t xml:space="preserve"> HDMI视频矩阵。</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6）具备≥2路控制接口。</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7）具备≥3路电源输出。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8）支持对教室多媒体设备进行一键控制。</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9）主机具备音视频硬解码模块，需实现新闻联播（C</w:t>
      </w:r>
      <w:r>
        <w:rPr>
          <w:rFonts w:ascii="宋体" w:hAnsi="宋体" w:eastAsia="宋体" w:cs="宋体"/>
          <w:color w:val="000000" w:themeColor="text1"/>
          <w:kern w:val="2"/>
          <w:sz w:val="28"/>
          <w:szCs w:val="28"/>
          <w:highlight w:val="none"/>
          <w14:textFill>
            <w14:solidFill>
              <w14:schemeClr w14:val="tx1"/>
            </w14:solidFill>
          </w14:textFill>
        </w:rPr>
        <w:t>CTV1</w:t>
      </w:r>
      <w:r>
        <w:rPr>
          <w:rFonts w:hint="eastAsia" w:ascii="宋体" w:hAnsi="宋体" w:eastAsia="宋体" w:cs="宋体"/>
          <w:color w:val="000000" w:themeColor="text1"/>
          <w:kern w:val="2"/>
          <w:sz w:val="28"/>
          <w:szCs w:val="28"/>
          <w:highlight w:val="none"/>
          <w14:textFill>
            <w14:solidFill>
              <w14:schemeClr w14:val="tx1"/>
            </w14:solidFill>
          </w14:textFill>
        </w:rPr>
        <w:t>）等五套等有线电视节目在线实时观看、会议实时直播接收等，并支持在关机/开机情况下接收来自集中管控系统的音视频广播实现自动播放。</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10）支持远程实时、定时管控，实现对教室设备的随时管、实时管等应用。</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11）</w:t>
      </w:r>
      <w:r>
        <w:rPr>
          <w:rFonts w:hint="eastAsia" w:ascii="宋体" w:hAnsi="宋体" w:eastAsia="宋体" w:cs="宋体"/>
          <w:color w:val="000000" w:themeColor="text1"/>
          <w:sz w:val="28"/>
          <w:szCs w:val="28"/>
          <w:highlight w:val="none"/>
          <w14:textFill>
            <w14:solidFill>
              <w14:schemeClr w14:val="tx1"/>
            </w14:solidFill>
          </w14:textFill>
        </w:rPr>
        <w:t>集成物联网控制模块。</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12）与集中管控平台为统一品牌。</w:t>
      </w:r>
    </w:p>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品目5-20：</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智能控制面板</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1）面板具备一键开关机、音视频广播一键暂停/开始以及故障一键报修按键等。</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2）具备液晶触摸屏。</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3）集成权限控制功能，支持插卡/刷卡/扫描二维码开机功能。</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4）具备设备一键报修功能，可通过面板直接向集中管控室拨打语音对讲实现远程求助。</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5）具备与智能融合终端通信接口。</w:t>
      </w:r>
    </w:p>
    <w:p>
      <w:pPr>
        <w:pStyle w:val="18"/>
        <w:spacing w:line="360" w:lineRule="auto"/>
        <w:ind w:firstLine="560" w:firstLineChars="200"/>
        <w:rPr>
          <w:rFonts w:ascii="宋体" w:hAnsi="宋体" w:eastAsia="宋体" w:cs="宋体"/>
          <w:snapToGrid w:val="0"/>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6）与智能融合信息终端为统一品牌。</w:t>
      </w:r>
    </w:p>
    <w:p>
      <w:pPr>
        <w:spacing w:line="360" w:lineRule="auto"/>
        <w:ind w:firstLine="562" w:firstLineChars="200"/>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品目5-21：</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无人机</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1)主镜头CMOS≥4/3，像素≥2000万。副镜头CMOS≥1/2，像素≥1200万。</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2)续航时间≥46分钟。</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3)图传距离≥15公里，图传信号规格≥1080p/60fps。</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4)支持全向避障。</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5)视频最高支持录制≥5.1K50p，≥4K120p视频。</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6)遥控器需要附带屏幕，亮度≥1000尼特。</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7)附带2套ND镜套装。</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8)附带3个原厂电池及充电器。</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9)附带6对桨叶。</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10）包含2年随心换服务。</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11)内置存储≥1TB。</w:t>
      </w:r>
    </w:p>
    <w:p>
      <w:pPr>
        <w:pStyle w:val="18"/>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12)支持AppleProres422HQ编码格式。</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bookmarkStart w:id="273" w:name="_Hlk104059315"/>
      <w:r>
        <w:rPr>
          <w:rFonts w:hint="eastAsia" w:ascii="宋体" w:hAnsi="宋体" w:eastAsia="宋体" w:cs="宋体"/>
          <w:b/>
          <w:color w:val="000000" w:themeColor="text1"/>
          <w:sz w:val="28"/>
          <w:szCs w:val="28"/>
          <w:highlight w:val="none"/>
          <w14:textFill>
            <w14:solidFill>
              <w14:schemeClr w14:val="tx1"/>
            </w14:solidFill>
          </w14:textFill>
        </w:rPr>
        <w:t>品目5-22：</w:t>
      </w:r>
      <w:r>
        <w:rPr>
          <w:rFonts w:hint="eastAsia" w:ascii="宋体" w:hAnsi="宋体" w:eastAsia="宋体" w:cs="宋体"/>
          <w:snapToGrid w:val="0"/>
          <w:color w:val="000000" w:themeColor="text1"/>
          <w:sz w:val="28"/>
          <w:szCs w:val="28"/>
          <w:highlight w:val="none"/>
          <w:u w:val="single"/>
          <w14:textFill>
            <w14:solidFill>
              <w14:schemeClr w14:val="tx1"/>
            </w14:solidFill>
          </w14:textFill>
        </w:rPr>
        <w:t>环境改造</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拆除隔墙、安装吊顶、灯光、墙面粉刷等</w:t>
      </w:r>
      <w:r>
        <w:rPr>
          <w:rFonts w:hint="eastAsia" w:ascii="宋体" w:hAnsi="宋体" w:eastAsia="宋体" w:cs="宋体"/>
          <w:snapToGrid w:val="0"/>
          <w:color w:val="000000" w:themeColor="text1"/>
          <w:sz w:val="28"/>
          <w:szCs w:val="28"/>
          <w:highlight w:val="none"/>
          <w14:textFill>
            <w14:solidFill>
              <w14:schemeClr w14:val="tx1"/>
            </w14:solidFill>
          </w14:textFill>
        </w:rPr>
        <w:t>。</w:t>
      </w:r>
    </w:p>
    <w:bookmarkEnd w:id="273"/>
    <w:p>
      <w:pPr>
        <w:pStyle w:val="18"/>
        <w:spacing w:line="360" w:lineRule="auto"/>
        <w:ind w:firstLine="562" w:firstLineChars="200"/>
        <w:rPr>
          <w:rFonts w:ascii="宋体" w:hAnsi="宋体" w:eastAsia="宋体" w:cs="宋体"/>
          <w:b/>
          <w:bCs/>
          <w:color w:val="000000" w:themeColor="text1"/>
          <w:kern w:val="2"/>
          <w:sz w:val="28"/>
          <w:szCs w:val="28"/>
          <w:highlight w:val="none"/>
          <w14:textFill>
            <w14:solidFill>
              <w14:schemeClr w14:val="tx1"/>
            </w14:solidFill>
          </w14:textFill>
        </w:rPr>
      </w:pPr>
      <w:bookmarkStart w:id="274" w:name="_Hlk103628276"/>
      <w:r>
        <w:rPr>
          <w:rFonts w:hint="eastAsia" w:ascii="宋体" w:hAnsi="宋体" w:eastAsia="宋体" w:cs="宋体"/>
          <w:b/>
          <w:bCs/>
          <w:color w:val="000000" w:themeColor="text1"/>
          <w:kern w:val="2"/>
          <w:sz w:val="28"/>
          <w:szCs w:val="28"/>
          <w:highlight w:val="none"/>
          <w14:textFill>
            <w14:solidFill>
              <w14:schemeClr w14:val="tx1"/>
            </w14:solidFill>
          </w14:textFill>
        </w:rPr>
        <w:t>品目6：龙首校区控制中心</w:t>
      </w:r>
    </w:p>
    <w:bookmarkEnd w:id="274"/>
    <w:tbl>
      <w:tblPr>
        <w:tblStyle w:val="33"/>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660"/>
        <w:gridCol w:w="2543"/>
        <w:gridCol w:w="1276"/>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647" w:type="dxa"/>
            <w:gridSpan w:val="6"/>
            <w:shd w:val="clear" w:color="auto" w:fill="auto"/>
            <w:noWrap/>
            <w:vAlign w:val="center"/>
          </w:tcPr>
          <w:p>
            <w:pPr>
              <w:spacing w:beforeLines="50" w:afterLines="50"/>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龙首校区控制中心设备清单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58"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1660"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设备名称</w:t>
            </w:r>
          </w:p>
        </w:tc>
        <w:tc>
          <w:tcPr>
            <w:tcW w:w="2543"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基本规格（参考型号）</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数量</w:t>
            </w:r>
          </w:p>
        </w:tc>
        <w:tc>
          <w:tcPr>
            <w:tcW w:w="1134"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58"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166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硬盘录像机</w:t>
            </w:r>
          </w:p>
        </w:tc>
        <w:tc>
          <w:tcPr>
            <w:tcW w:w="2543"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1134"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58"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166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控制电脑</w:t>
            </w:r>
          </w:p>
        </w:tc>
        <w:tc>
          <w:tcPr>
            <w:tcW w:w="2543"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含两台24寸显示器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58"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166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音箱</w:t>
            </w:r>
          </w:p>
        </w:tc>
        <w:tc>
          <w:tcPr>
            <w:tcW w:w="2543"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套</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1134"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58"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w:t>
            </w:r>
          </w:p>
        </w:tc>
        <w:tc>
          <w:tcPr>
            <w:tcW w:w="1660"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交换机</w:t>
            </w:r>
          </w:p>
        </w:tc>
        <w:tc>
          <w:tcPr>
            <w:tcW w:w="2543" w:type="dxa"/>
            <w:shd w:val="clear" w:color="auto" w:fill="auto"/>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1276" w:type="dxa"/>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1134" w:type="dxa"/>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p>
        </w:tc>
      </w:tr>
    </w:tbl>
    <w:p>
      <w:pPr>
        <w:pStyle w:val="18"/>
        <w:spacing w:line="360" w:lineRule="auto"/>
        <w:rPr>
          <w:rFonts w:ascii="宋体" w:hAnsi="宋体" w:eastAsia="宋体" w:cs="宋体"/>
          <w:color w:val="000000" w:themeColor="text1"/>
          <w:sz w:val="28"/>
          <w:szCs w:val="28"/>
          <w:highlight w:val="none"/>
          <w14:textFill>
            <w14:solidFill>
              <w14:schemeClr w14:val="tx1"/>
            </w14:solidFill>
          </w14:textFill>
        </w:rPr>
      </w:pP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品目6-1：</w:t>
      </w:r>
      <w:r>
        <w:rPr>
          <w:rFonts w:hint="eastAsia" w:ascii="宋体" w:hAnsi="宋体" w:eastAsia="宋体" w:cs="宋体"/>
          <w:snapToGrid w:val="0"/>
          <w:color w:val="000000" w:themeColor="text1"/>
          <w:sz w:val="28"/>
          <w:szCs w:val="28"/>
          <w:highlight w:val="none"/>
          <w:u w:val="single"/>
          <w14:textFill>
            <w14:solidFill>
              <w14:schemeClr w14:val="tx1"/>
            </w14:solidFill>
          </w14:textFill>
        </w:rPr>
        <w:t>硬盘录像机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1)2U标准机架式。</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2)2个HDMI，2个VGA,HDMI+VGA组内同源。</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3)内置</w:t>
      </w:r>
      <w:bookmarkStart w:id="275" w:name="_Hlk104144235"/>
      <w:r>
        <w:rPr>
          <w:rFonts w:hint="eastAsia" w:ascii="宋体" w:hAnsi="宋体" w:eastAsia="宋体" w:cs="宋体"/>
          <w:color w:val="000000" w:themeColor="text1"/>
          <w:kern w:val="2"/>
          <w:sz w:val="28"/>
          <w:szCs w:val="28"/>
          <w:highlight w:val="none"/>
          <w14:textFill>
            <w14:solidFill>
              <w14:schemeClr w14:val="tx1"/>
            </w14:solidFill>
          </w14:textFill>
        </w:rPr>
        <w:t>≥</w:t>
      </w:r>
      <w:bookmarkEnd w:id="275"/>
      <w:r>
        <w:rPr>
          <w:rFonts w:hint="eastAsia" w:ascii="宋体" w:hAnsi="宋体" w:eastAsia="宋体" w:cs="宋体"/>
          <w:color w:val="000000" w:themeColor="text1"/>
          <w:kern w:val="2"/>
          <w:sz w:val="28"/>
          <w:szCs w:val="28"/>
          <w:highlight w:val="none"/>
          <w14:textFill>
            <w14:solidFill>
              <w14:schemeClr w14:val="tx1"/>
            </w14:solidFill>
          </w14:textFill>
        </w:rPr>
        <w:t>8块6T硬盘，支持存储30天以上。</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4)2个千兆网口,2个USB2.0接口、1个USB3.0接口,1个eSATA接口。</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5)支持RAID0、1、5、10，支持全局热备盘。</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6)报警IO：≥16进4出。</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7)软件性能：输入带宽：320M,32路H.264、H.265混合接入,最大支持16×1080P解码,支持H.265、H.264解码,Smart 2.0/整机热备/ANR/智能检索/智能回放/车牌检索/人脸检索/热度图/客流量统计/分时段回放/超高倍速回放/双系统备份。</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品目6-2：</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控制电脑</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kinsoku w:val="0"/>
        <w:autoSpaceDE w:val="0"/>
        <w:autoSpaceDN w:val="0"/>
        <w:adjustRightInd w:val="0"/>
        <w:snapToGrid w:val="0"/>
        <w:spacing w:line="360" w:lineRule="auto"/>
        <w:ind w:firstLine="560" w:firstLineChars="200"/>
        <w:textAlignment w:val="baseline"/>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1)处理器：不低于Intel Core i7。</w:t>
      </w:r>
    </w:p>
    <w:p>
      <w:pPr>
        <w:kinsoku w:val="0"/>
        <w:autoSpaceDE w:val="0"/>
        <w:autoSpaceDN w:val="0"/>
        <w:adjustRightInd w:val="0"/>
        <w:snapToGrid w:val="0"/>
        <w:spacing w:line="360" w:lineRule="auto"/>
        <w:ind w:firstLine="560" w:firstLineChars="200"/>
        <w:textAlignment w:val="baseline"/>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2)内存：8G DDR4内存或以上配置。</w:t>
      </w:r>
    </w:p>
    <w:p>
      <w:pPr>
        <w:kinsoku w:val="0"/>
        <w:autoSpaceDE w:val="0"/>
        <w:autoSpaceDN w:val="0"/>
        <w:adjustRightInd w:val="0"/>
        <w:snapToGrid w:val="0"/>
        <w:spacing w:line="360" w:lineRule="auto"/>
        <w:ind w:firstLine="560" w:firstLineChars="200"/>
        <w:textAlignment w:val="baseline"/>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3)硬盘：128G固态硬盘+1T机械硬盘或者以上配置。</w:t>
      </w:r>
    </w:p>
    <w:p>
      <w:pPr>
        <w:kinsoku w:val="0"/>
        <w:autoSpaceDE w:val="0"/>
        <w:autoSpaceDN w:val="0"/>
        <w:adjustRightInd w:val="0"/>
        <w:snapToGrid w:val="0"/>
        <w:spacing w:line="360" w:lineRule="auto"/>
        <w:ind w:firstLine="560" w:firstLineChars="200"/>
        <w:textAlignment w:val="baseline"/>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4)至少双显输出接口。</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5)≥23.8寸显示器，分辨率≥1920*1080，屏幕比例16：9，接口类型不少于VGA*1，HDMI*1。(配2台显示器)。</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bookmarkStart w:id="276" w:name="_Hlk102222229"/>
      <w:r>
        <w:rPr>
          <w:rFonts w:hint="eastAsia" w:ascii="宋体" w:hAnsi="宋体" w:eastAsia="宋体" w:cs="宋体"/>
          <w:b/>
          <w:color w:val="000000" w:themeColor="text1"/>
          <w:sz w:val="28"/>
          <w:szCs w:val="28"/>
          <w:highlight w:val="none"/>
          <w14:textFill>
            <w14:solidFill>
              <w14:schemeClr w14:val="tx1"/>
            </w14:solidFill>
          </w14:textFill>
        </w:rPr>
        <w:t>品目6-3：</w:t>
      </w:r>
      <w:r>
        <w:rPr>
          <w:rFonts w:hint="eastAsia" w:ascii="宋体" w:hAnsi="宋体" w:eastAsia="宋体" w:cs="宋体"/>
          <w:snapToGrid w:val="0"/>
          <w:color w:val="000000" w:themeColor="text1"/>
          <w:sz w:val="28"/>
          <w:szCs w:val="28"/>
          <w:highlight w:val="none"/>
          <w:u w:val="single"/>
          <w14:textFill>
            <w14:solidFill>
              <w14:schemeClr w14:val="tx1"/>
            </w14:solidFill>
          </w14:textFill>
        </w:rPr>
        <w:t>音箱</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kinsoku w:val="0"/>
        <w:autoSpaceDE w:val="0"/>
        <w:autoSpaceDN w:val="0"/>
        <w:adjustRightInd w:val="0"/>
        <w:snapToGrid w:val="0"/>
        <w:spacing w:line="360" w:lineRule="auto"/>
        <w:ind w:firstLine="560" w:firstLineChars="200"/>
        <w:textAlignment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1）2.4G无线有源音箱   </w:t>
      </w:r>
    </w:p>
    <w:p>
      <w:pPr>
        <w:kinsoku w:val="0"/>
        <w:autoSpaceDE w:val="0"/>
        <w:autoSpaceDN w:val="0"/>
        <w:adjustRightInd w:val="0"/>
        <w:snapToGrid w:val="0"/>
        <w:spacing w:line="360" w:lineRule="auto"/>
        <w:ind w:firstLine="560" w:firstLineChars="200"/>
        <w:textAlignment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两单元二分频：5"全纸盆低音，3”纸盆高音。≥50W，主箱内置功放具有短路和过载保护装置。频率范围：70Hz-20KHz。信噪比：≥82dB（A计权）。输入灵敏度：线路500mV，话筒15mV。调节形式：音乐音量、话筒音量。一路幻象话筒输入、一路3.5mm音频输入、一组立体声莲花音频输入、1组广播信号输入（定阻信号）。一组立体声莲花音频输出，一组副机音频输出。 </w:t>
      </w:r>
    </w:p>
    <w:p>
      <w:pPr>
        <w:kinsoku w:val="0"/>
        <w:autoSpaceDE w:val="0"/>
        <w:autoSpaceDN w:val="0"/>
        <w:adjustRightInd w:val="0"/>
        <w:snapToGrid w:val="0"/>
        <w:spacing w:line="360" w:lineRule="auto"/>
        <w:ind w:firstLine="560" w:firstLineChars="200"/>
        <w:textAlignment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2）2.4G无线话筒</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频率范围 ：2400 - 2483MHz,有效接收半径≥20米。调制方法：GFSK，开机自动进入对频状态,对频成功后自动开启发射。射频稳定度：≥0.005%（at25c）。发射功率：10dbm。发射器采用内置式麦克风设计（随机配置头戴麦克风），也支持外接话筒输入，可以手持、可以头戴。发射器配置LED液晶显示屏，可显示电池电量、充电状态、信号强弱、音量大小、工作模式等信息。发射器配置红外线激光教鞭功能， 特有动态音量增益调节（AGC）功能，带控制按键。发射器自带音量调节按键，具有一键静音功能，PPT无线翻页功能（选配）。本机配置2.4G和红外对频两种模式可切换，可有效的避免串频和干扰，任何一只无线话筒发射器都可以在任 意一台音箱上使用，互不干扰，确保使用干净、卫生、环保。内置高能聚合物锂电池，可反复充电，USB充电接口，连续使用时间大于8小时。锂电池工作电压：3.7V。特有动态音量增益调节（AGC）功能。</w:t>
      </w:r>
    </w:p>
    <w:bookmarkEnd w:id="276"/>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品目6-4：</w:t>
      </w:r>
      <w:r>
        <w:rPr>
          <w:rFonts w:hint="eastAsia" w:ascii="宋体" w:hAnsi="宋体" w:eastAsia="宋体" w:cs="宋体"/>
          <w:snapToGrid w:val="0"/>
          <w:color w:val="000000" w:themeColor="text1"/>
          <w:sz w:val="28"/>
          <w:szCs w:val="28"/>
          <w:highlight w:val="none"/>
          <w:u w:val="single"/>
          <w14:textFill>
            <w14:solidFill>
              <w14:schemeClr w14:val="tx1"/>
            </w14:solidFill>
          </w14:textFill>
        </w:rPr>
        <w:t>交换机</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2.技术指标及参数要求：</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1)端口数量≥28个， 24个10/100/1000Base-T以太网端口，4个100/1000 Base-X SFP光口，控制端口1个Console口。</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2)背板带宽≥256Gbps 包转发率≥78Mpp。</w:t>
      </w:r>
    </w:p>
    <w:p>
      <w:pPr>
        <w:pStyle w:val="18"/>
        <w:spacing w:line="360" w:lineRule="auto"/>
        <w:ind w:firstLine="562" w:firstLineChars="200"/>
        <w:rPr>
          <w:rFonts w:ascii="宋体" w:hAnsi="宋体" w:eastAsia="宋体" w:cs="宋体"/>
          <w:b/>
          <w:bCs/>
          <w:color w:val="000000" w:themeColor="text1"/>
          <w:kern w:val="2"/>
          <w:sz w:val="28"/>
          <w:szCs w:val="28"/>
          <w:highlight w:val="none"/>
          <w14:textFill>
            <w14:solidFill>
              <w14:schemeClr w14:val="tx1"/>
            </w14:solidFill>
          </w14:textFill>
        </w:rPr>
      </w:pPr>
      <w:r>
        <w:rPr>
          <w:rFonts w:hint="eastAsia" w:ascii="宋体" w:hAnsi="宋体" w:eastAsia="宋体" w:cs="宋体"/>
          <w:b/>
          <w:bCs/>
          <w:color w:val="000000" w:themeColor="text1"/>
          <w:kern w:val="2"/>
          <w:sz w:val="28"/>
          <w:szCs w:val="28"/>
          <w:highlight w:val="none"/>
          <w14:textFill>
            <w14:solidFill>
              <w14:schemeClr w14:val="tx1"/>
            </w14:solidFill>
          </w14:textFill>
        </w:rPr>
        <w:t xml:space="preserve">品目7：网络升级 </w:t>
      </w:r>
    </w:p>
    <w:tbl>
      <w:tblPr>
        <w:tblStyle w:val="33"/>
        <w:tblW w:w="8470" w:type="dxa"/>
        <w:jc w:val="center"/>
        <w:tblLayout w:type="fixed"/>
        <w:tblCellMar>
          <w:top w:w="0" w:type="dxa"/>
          <w:left w:w="108" w:type="dxa"/>
          <w:bottom w:w="0" w:type="dxa"/>
          <w:right w:w="108" w:type="dxa"/>
        </w:tblCellMar>
      </w:tblPr>
      <w:tblGrid>
        <w:gridCol w:w="833"/>
        <w:gridCol w:w="2127"/>
        <w:gridCol w:w="2835"/>
        <w:gridCol w:w="1134"/>
        <w:gridCol w:w="850"/>
        <w:gridCol w:w="691"/>
      </w:tblGrid>
      <w:tr>
        <w:tblPrEx>
          <w:tblCellMar>
            <w:top w:w="0" w:type="dxa"/>
            <w:left w:w="108" w:type="dxa"/>
            <w:bottom w:w="0" w:type="dxa"/>
            <w:right w:w="108" w:type="dxa"/>
          </w:tblCellMar>
        </w:tblPrEx>
        <w:trPr>
          <w:trHeight w:val="400" w:hRule="atLeast"/>
          <w:jc w:val="center"/>
        </w:trPr>
        <w:tc>
          <w:tcPr>
            <w:tcW w:w="847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网络升级设备清单</w:t>
            </w:r>
          </w:p>
        </w:tc>
      </w:tr>
      <w:tr>
        <w:tblPrEx>
          <w:tblCellMar>
            <w:top w:w="0" w:type="dxa"/>
            <w:left w:w="108" w:type="dxa"/>
            <w:bottom w:w="0" w:type="dxa"/>
            <w:right w:w="108" w:type="dxa"/>
          </w:tblCellMar>
        </w:tblPrEx>
        <w:trPr>
          <w:trHeight w:val="400"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设备名称</w:t>
            </w:r>
          </w:p>
        </w:tc>
        <w:tc>
          <w:tcPr>
            <w:tcW w:w="2835"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基本规格（参考型号）</w:t>
            </w:r>
          </w:p>
        </w:tc>
        <w:tc>
          <w:tcPr>
            <w:tcW w:w="1134" w:type="dxa"/>
            <w:tcBorders>
              <w:top w:val="single" w:color="auto" w:sz="4" w:space="0"/>
              <w:left w:val="nil"/>
              <w:bottom w:val="single" w:color="auto" w:sz="4" w:space="0"/>
              <w:right w:val="single" w:color="auto" w:sz="4" w:space="0"/>
            </w:tcBorders>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w:t>
            </w:r>
          </w:p>
        </w:tc>
        <w:tc>
          <w:tcPr>
            <w:tcW w:w="850" w:type="dxa"/>
            <w:tcBorders>
              <w:top w:val="single" w:color="auto" w:sz="4" w:space="0"/>
              <w:left w:val="nil"/>
              <w:bottom w:val="single" w:color="auto" w:sz="4" w:space="0"/>
              <w:right w:val="single" w:color="auto" w:sz="4" w:space="0"/>
            </w:tcBorders>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数量</w:t>
            </w:r>
          </w:p>
        </w:tc>
        <w:tc>
          <w:tcPr>
            <w:tcW w:w="691" w:type="dxa"/>
            <w:tcBorders>
              <w:top w:val="single" w:color="auto" w:sz="4" w:space="0"/>
              <w:left w:val="nil"/>
              <w:bottom w:val="single" w:color="auto" w:sz="4" w:space="0"/>
              <w:right w:val="single" w:color="auto" w:sz="4" w:space="0"/>
            </w:tcBorders>
          </w:tcPr>
          <w:p>
            <w:pPr>
              <w:kinsoku w:val="0"/>
              <w:autoSpaceDE w:val="0"/>
              <w:autoSpaceDN w:val="0"/>
              <w:adjustRightInd w:val="0"/>
              <w:snapToGrid w:val="0"/>
              <w:spacing w:line="360" w:lineRule="auto"/>
              <w:jc w:val="center"/>
              <w:textAlignment w:val="baseline"/>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00" w:hRule="atLeast"/>
          <w:jc w:val="center"/>
        </w:trPr>
        <w:tc>
          <w:tcPr>
            <w:tcW w:w="833" w:type="dxa"/>
            <w:tcBorders>
              <w:top w:val="nil"/>
              <w:left w:val="single" w:color="auto" w:sz="4" w:space="0"/>
              <w:bottom w:val="single" w:color="auto" w:sz="4" w:space="0"/>
              <w:right w:val="single" w:color="auto" w:sz="4" w:space="0"/>
            </w:tcBorders>
            <w:shd w:val="clear" w:color="auto" w:fill="auto"/>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2127"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楼层交换机</w:t>
            </w:r>
          </w:p>
        </w:tc>
        <w:tc>
          <w:tcPr>
            <w:tcW w:w="2835" w:type="dxa"/>
            <w:tcBorders>
              <w:top w:val="nil"/>
              <w:left w:val="nil"/>
              <w:bottom w:val="single" w:color="auto" w:sz="4" w:space="0"/>
              <w:right w:val="single" w:color="auto" w:sz="4" w:space="0"/>
            </w:tcBorders>
            <w:shd w:val="clear" w:color="auto" w:fill="auto"/>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台</w:t>
            </w:r>
          </w:p>
        </w:tc>
        <w:tc>
          <w:tcPr>
            <w:tcW w:w="850" w:type="dxa"/>
            <w:tcBorders>
              <w:top w:val="nil"/>
              <w:left w:val="nil"/>
              <w:bottom w:val="single" w:color="auto" w:sz="4" w:space="0"/>
              <w:right w:val="single" w:color="auto" w:sz="4" w:space="0"/>
            </w:tcBorders>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14 </w:t>
            </w:r>
          </w:p>
        </w:tc>
        <w:tc>
          <w:tcPr>
            <w:tcW w:w="691" w:type="dxa"/>
            <w:tcBorders>
              <w:top w:val="nil"/>
              <w:left w:val="nil"/>
              <w:bottom w:val="single" w:color="auto" w:sz="4" w:space="0"/>
              <w:right w:val="single" w:color="auto" w:sz="4" w:space="0"/>
            </w:tcBorders>
          </w:tcPr>
          <w:p>
            <w:pPr>
              <w:kinsoku w:val="0"/>
              <w:autoSpaceDE w:val="0"/>
              <w:autoSpaceDN w:val="0"/>
              <w:adjustRightInd w:val="0"/>
              <w:snapToGrid w:val="0"/>
              <w:spacing w:line="360" w:lineRule="auto"/>
              <w:jc w:val="center"/>
              <w:textAlignment w:val="baseline"/>
              <w:rPr>
                <w:rFonts w:ascii="宋体" w:hAnsi="宋体" w:eastAsia="宋体" w:cs="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00" w:hRule="atLeast"/>
          <w:jc w:val="center"/>
        </w:trPr>
        <w:tc>
          <w:tcPr>
            <w:tcW w:w="833" w:type="dxa"/>
            <w:tcBorders>
              <w:top w:val="nil"/>
              <w:left w:val="single" w:color="auto" w:sz="4" w:space="0"/>
              <w:bottom w:val="single" w:color="auto" w:sz="4" w:space="0"/>
              <w:right w:val="single" w:color="auto" w:sz="4" w:space="0"/>
            </w:tcBorders>
            <w:noWrap/>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2127" w:type="dxa"/>
            <w:tcBorders>
              <w:top w:val="nil"/>
              <w:left w:val="nil"/>
              <w:bottom w:val="single" w:color="auto" w:sz="4" w:space="0"/>
              <w:right w:val="single" w:color="auto" w:sz="4" w:space="0"/>
            </w:tcBorders>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线材、辅材及施工</w:t>
            </w:r>
          </w:p>
        </w:tc>
        <w:tc>
          <w:tcPr>
            <w:tcW w:w="2835" w:type="dxa"/>
            <w:tcBorders>
              <w:top w:val="nil"/>
              <w:left w:val="nil"/>
              <w:bottom w:val="single" w:color="auto" w:sz="4" w:space="0"/>
              <w:right w:val="single" w:color="auto" w:sz="4" w:space="0"/>
            </w:tcBorders>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见参数要求</w:t>
            </w:r>
          </w:p>
        </w:tc>
        <w:tc>
          <w:tcPr>
            <w:tcW w:w="1134" w:type="dxa"/>
            <w:tcBorders>
              <w:top w:val="nil"/>
              <w:left w:val="nil"/>
              <w:bottom w:val="single" w:color="auto" w:sz="4" w:space="0"/>
              <w:right w:val="single" w:color="auto" w:sz="4" w:space="0"/>
            </w:tcBorders>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套</w:t>
            </w:r>
          </w:p>
        </w:tc>
        <w:tc>
          <w:tcPr>
            <w:tcW w:w="850" w:type="dxa"/>
            <w:tcBorders>
              <w:top w:val="nil"/>
              <w:left w:val="nil"/>
              <w:bottom w:val="single" w:color="auto" w:sz="4" w:space="0"/>
              <w:right w:val="single" w:color="auto" w:sz="4" w:space="0"/>
            </w:tcBorders>
            <w:vAlign w:val="center"/>
          </w:tcPr>
          <w:p>
            <w:pPr>
              <w:spacing w:beforeLines="50" w:afterLines="5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1 </w:t>
            </w:r>
          </w:p>
        </w:tc>
        <w:tc>
          <w:tcPr>
            <w:tcW w:w="691" w:type="dxa"/>
            <w:tcBorders>
              <w:top w:val="nil"/>
              <w:left w:val="nil"/>
              <w:bottom w:val="single" w:color="auto" w:sz="4" w:space="0"/>
              <w:right w:val="single" w:color="auto" w:sz="4" w:space="0"/>
            </w:tcBorders>
          </w:tcPr>
          <w:p>
            <w:pPr>
              <w:kinsoku w:val="0"/>
              <w:autoSpaceDE w:val="0"/>
              <w:autoSpaceDN w:val="0"/>
              <w:adjustRightInd w:val="0"/>
              <w:snapToGrid w:val="0"/>
              <w:spacing w:line="360" w:lineRule="auto"/>
              <w:jc w:val="center"/>
              <w:textAlignment w:val="baseline"/>
              <w:rPr>
                <w:rFonts w:ascii="宋体" w:hAnsi="宋体" w:eastAsia="宋体" w:cs="宋体"/>
                <w:color w:val="000000" w:themeColor="text1"/>
                <w:sz w:val="28"/>
                <w:szCs w:val="28"/>
                <w:highlight w:val="none"/>
                <w14:textFill>
                  <w14:solidFill>
                    <w14:schemeClr w14:val="tx1"/>
                  </w14:solidFill>
                </w14:textFill>
              </w:rPr>
            </w:pPr>
          </w:p>
        </w:tc>
      </w:tr>
    </w:tbl>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品目7-1：</w:t>
      </w:r>
      <w:r>
        <w:rPr>
          <w:rFonts w:hint="eastAsia" w:ascii="宋体" w:hAnsi="宋体" w:eastAsia="宋体" w:cs="宋体"/>
          <w:snapToGrid w:val="0"/>
          <w:color w:val="000000" w:themeColor="text1"/>
          <w:sz w:val="28"/>
          <w:szCs w:val="28"/>
          <w:highlight w:val="none"/>
          <w:u w:val="single"/>
          <w14:textFill>
            <w14:solidFill>
              <w14:schemeClr w14:val="tx1"/>
            </w14:solidFill>
          </w14:textFill>
        </w:rPr>
        <w:t>楼层交换机</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2.技术指标及参数要求：</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1）传输速率10/100/1000Mbps,背板带宽336Gbps/3.36Tbps ,包转发率51Mpps/126Mpps 。</w:t>
      </w:r>
    </w:p>
    <w:p>
      <w:pPr>
        <w:pStyle w:val="18"/>
        <w:spacing w:line="360" w:lineRule="auto"/>
        <w:ind w:firstLine="560" w:firstLineChars="200"/>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2）端口数量28个 ,端口24个10/100/1000Base-T自适应以太网端口，4个千兆SFP口 ,控制端口1个Console口</w:t>
      </w:r>
    </w:p>
    <w:p>
      <w:pPr>
        <w:spacing w:line="360" w:lineRule="auto"/>
        <w:ind w:firstLine="562" w:firstLineChars="200"/>
        <w:rPr>
          <w:rFonts w:ascii="宋体" w:hAnsi="宋体" w:eastAsia="宋体" w:cs="宋体"/>
          <w:snapToGrid w:val="0"/>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品目7-2：</w:t>
      </w:r>
      <w:r>
        <w:rPr>
          <w:rFonts w:hint="eastAsia" w:ascii="宋体" w:hAnsi="宋体" w:eastAsia="宋体" w:cs="宋体"/>
          <w:snapToGrid w:val="0"/>
          <w:color w:val="000000" w:themeColor="text1"/>
          <w:sz w:val="28"/>
          <w:szCs w:val="28"/>
          <w:highlight w:val="none"/>
          <w:u w:val="single"/>
          <w14:textFill>
            <w14:solidFill>
              <w14:schemeClr w14:val="tx1"/>
            </w14:solidFill>
          </w14:textFill>
        </w:rPr>
        <w:t>线材辅材及施工</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1.主要用途：学校教学</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2.技术指标及参数要求：</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所有旧设备拆除，按学校要求放到指定位置。铺设教室光纤从中心机房到每个交换机，为录播教室、多功能教室、阶梯教室、控制中心、演播室布设光纤并架设无线网络；强、弱电线缆和各类辅助材料等，强、弱施工安装，垃圾清运。</w:t>
      </w:r>
    </w:p>
    <w:p>
      <w:pPr>
        <w:spacing w:line="360" w:lineRule="auto"/>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（二）安装、培训要求：该设备需要安装调试，现场培训该设备的使用方法，注意事项及如何保养。</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4"/>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pct"/>
            <w:shd w:val="clear" w:color="auto" w:fill="C0C0C0"/>
            <w:vAlign w:val="center"/>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技术支持及售后服务项目</w:t>
            </w:r>
          </w:p>
        </w:tc>
        <w:tc>
          <w:tcPr>
            <w:tcW w:w="3353" w:type="pct"/>
            <w:shd w:val="clear" w:color="auto" w:fill="C0C0C0"/>
          </w:tcPr>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具体服务内容及标准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7" w:type="pct"/>
            <w:vAlign w:val="center"/>
          </w:tcPr>
          <w:p>
            <w:pPr>
              <w:spacing w:line="360" w:lineRule="auto"/>
              <w:textAlignment w:val="baseline"/>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培训服务</w:t>
            </w:r>
          </w:p>
        </w:tc>
        <w:tc>
          <w:tcPr>
            <w:tcW w:w="3353" w:type="pct"/>
          </w:tcPr>
          <w:p>
            <w:pPr>
              <w:spacing w:line="360" w:lineRule="auto"/>
              <w:ind w:firstLine="565" w:firstLineChars="202"/>
              <w:textAlignment w:val="baseline"/>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需非常重视对用户的培训工作，成立了专业技术培训队伍，具有专业培训系统，以提升用户系统管理能力为目标实施培训服务。通过对培训工作进行策划，为用户提供量身制定的培训课程。确保用户能熟练地掌握系统的使用和简单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647" w:type="pct"/>
            <w:vAlign w:val="center"/>
          </w:tcPr>
          <w:p>
            <w:pPr>
              <w:spacing w:line="360" w:lineRule="auto"/>
              <w:textAlignment w:val="baseline"/>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技术交流与通告服务</w:t>
            </w:r>
          </w:p>
        </w:tc>
        <w:tc>
          <w:tcPr>
            <w:tcW w:w="3353" w:type="pct"/>
            <w:vAlign w:val="center"/>
          </w:tcPr>
          <w:p>
            <w:pPr>
              <w:spacing w:line="360" w:lineRule="auto"/>
              <w:textAlignment w:val="baseline"/>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定期组织技术交流和通告。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647" w:type="pct"/>
            <w:vAlign w:val="center"/>
          </w:tcPr>
          <w:p>
            <w:pPr>
              <w:spacing w:line="300" w:lineRule="auto"/>
              <w:textAlignment w:val="baseline"/>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咨询服务</w:t>
            </w:r>
          </w:p>
        </w:tc>
        <w:tc>
          <w:tcPr>
            <w:tcW w:w="3353" w:type="pct"/>
          </w:tcPr>
          <w:p>
            <w:pPr>
              <w:spacing w:line="300" w:lineRule="auto"/>
              <w:textAlignment w:val="baseline"/>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为用户提供技术咨询等技术支持服务，协助客户做好备份计划，完善工作日志、机房制度，订立操作守则等</w:t>
            </w:r>
          </w:p>
        </w:tc>
      </w:tr>
    </w:tbl>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outlineLvl w:val="2"/>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四</w:t>
      </w:r>
      <w:r>
        <w:rPr>
          <w:rFonts w:hint="eastAsia" w:ascii="宋体" w:hAnsi="宋体" w:eastAsia="宋体" w:cs="宋体"/>
          <w:b/>
          <w:bCs/>
          <w:color w:val="000000" w:themeColor="text1"/>
          <w:highlight w:val="none"/>
          <w14:textFill>
            <w14:solidFill>
              <w14:schemeClr w14:val="tx1"/>
            </w14:solidFill>
          </w14:textFill>
        </w:rPr>
        <w:t>、对接承诺函</w:t>
      </w:r>
      <w:r>
        <w:rPr>
          <w:highlight w:val="none"/>
        </w:rPr>
        <w:drawing>
          <wp:inline distT="0" distB="0" distL="114300" distR="114300">
            <wp:extent cx="5676900" cy="75723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cstate="print"/>
                    <a:stretch>
                      <a:fillRect/>
                    </a:stretch>
                  </pic:blipFill>
                  <pic:spPr>
                    <a:xfrm>
                      <a:off x="0" y="0"/>
                      <a:ext cx="5676900" cy="7572375"/>
                    </a:xfrm>
                    <a:prstGeom prst="rect">
                      <a:avLst/>
                    </a:prstGeom>
                    <a:noFill/>
                    <a:ln>
                      <a:noFill/>
                    </a:ln>
                  </pic:spPr>
                </pic:pic>
              </a:graphicData>
            </a:graphic>
          </wp:inline>
        </w:drawing>
      </w:r>
      <w:r>
        <w:rPr>
          <w:highlight w:val="none"/>
        </w:rPr>
        <w:drawing>
          <wp:inline distT="0" distB="0" distL="114300" distR="114300">
            <wp:extent cx="5676900" cy="708660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8" cstate="print"/>
                    <a:stretch>
                      <a:fillRect/>
                    </a:stretch>
                  </pic:blipFill>
                  <pic:spPr>
                    <a:xfrm>
                      <a:off x="0" y="0"/>
                      <a:ext cx="5676900" cy="7086600"/>
                    </a:xfrm>
                    <a:prstGeom prst="rect">
                      <a:avLst/>
                    </a:prstGeom>
                    <a:noFill/>
                    <a:ln>
                      <a:noFill/>
                    </a:ln>
                  </pic:spPr>
                </pic:pic>
              </a:graphicData>
            </a:graphic>
          </wp:inline>
        </w:drawing>
      </w:r>
      <w:r>
        <w:rPr>
          <w:highlight w:val="none"/>
        </w:rPr>
        <w:drawing>
          <wp:inline distT="0" distB="0" distL="114300" distR="114300">
            <wp:extent cx="5695950" cy="7153275"/>
            <wp:effectExtent l="0" t="0" r="0"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9" cstate="print"/>
                    <a:stretch>
                      <a:fillRect/>
                    </a:stretch>
                  </pic:blipFill>
                  <pic:spPr>
                    <a:xfrm>
                      <a:off x="0" y="0"/>
                      <a:ext cx="5695950" cy="7153275"/>
                    </a:xfrm>
                    <a:prstGeom prst="rect">
                      <a:avLst/>
                    </a:prstGeom>
                    <a:noFill/>
                    <a:ln>
                      <a:noFill/>
                    </a:ln>
                  </pic:spPr>
                </pic:pic>
              </a:graphicData>
            </a:graphic>
          </wp:inline>
        </w:drawing>
      </w:r>
      <w:r>
        <w:rPr>
          <w:rFonts w:hint="eastAsia" w:ascii="宋体" w:hAnsi="宋体" w:eastAsia="宋体" w:cs="宋体"/>
          <w:color w:val="000000" w:themeColor="text1"/>
          <w:highlight w:val="none"/>
          <w14:textFill>
            <w14:solidFill>
              <w14:schemeClr w14:val="tx1"/>
            </w14:solidFill>
          </w14:textFill>
        </w:rPr>
        <w:br w:type="page"/>
      </w:r>
    </w:p>
    <w:p>
      <w:pPr>
        <w:pStyle w:val="3"/>
        <w:rPr>
          <w:rFonts w:ascii="宋体" w:hAnsi="宋体" w:eastAsia="宋体" w:cs="宋体"/>
          <w:color w:val="000000" w:themeColor="text1"/>
          <w:highlight w:val="none"/>
          <w14:textFill>
            <w14:solidFill>
              <w14:schemeClr w14:val="tx1"/>
            </w14:solidFill>
          </w14:textFill>
        </w:rPr>
      </w:pPr>
      <w:bookmarkStart w:id="277" w:name="_Toc26386"/>
      <w:bookmarkStart w:id="278" w:name="_Toc19583"/>
      <w:r>
        <w:rPr>
          <w:rFonts w:hint="eastAsia" w:ascii="宋体" w:hAnsi="宋体" w:eastAsia="宋体" w:cs="宋体"/>
          <w:color w:val="000000" w:themeColor="text1"/>
          <w:highlight w:val="none"/>
          <w14:textFill>
            <w14:solidFill>
              <w14:schemeClr w14:val="tx1"/>
            </w14:solidFill>
          </w14:textFill>
        </w:rPr>
        <w:t>第四章  合同文本</w:t>
      </w:r>
      <w:bookmarkEnd w:id="222"/>
      <w:bookmarkEnd w:id="277"/>
      <w:bookmarkEnd w:id="278"/>
    </w:p>
    <w:p>
      <w:pPr>
        <w:jc w:val="right"/>
        <w:rPr>
          <w:rFonts w:ascii="宋体" w:hAnsi="宋体" w:eastAsia="宋体" w:cs="宋体"/>
          <w:b/>
          <w:color w:val="000000" w:themeColor="text1"/>
          <w:sz w:val="32"/>
          <w:szCs w:val="32"/>
          <w:highlight w:val="none"/>
          <w:bdr w:val="single" w:color="auto" w:sz="4" w:space="0"/>
          <w:shd w:val="pct10" w:color="auto" w:fill="FFFFFF"/>
          <w14:textFill>
            <w14:solidFill>
              <w14:schemeClr w14:val="tx1"/>
            </w14:solidFill>
          </w14:textFill>
        </w:rPr>
      </w:pPr>
      <w:bookmarkStart w:id="279" w:name="_Toc100219616"/>
      <w:r>
        <w:rPr>
          <w:rFonts w:hint="eastAsia" w:ascii="宋体" w:hAnsi="宋体" w:eastAsia="宋体" w:cs="宋体"/>
          <w:b/>
          <w:color w:val="000000" w:themeColor="text1"/>
          <w:sz w:val="32"/>
          <w:szCs w:val="32"/>
          <w:highlight w:val="none"/>
          <w:bdr w:val="single" w:color="auto" w:sz="4" w:space="0"/>
          <w:shd w:val="pct10" w:color="auto" w:fill="FFFFFF"/>
          <w14:textFill>
            <w14:solidFill>
              <w14:schemeClr w14:val="tx1"/>
            </w14:solidFill>
          </w14:textFill>
        </w:rPr>
        <w:t>政府采购项目</w:t>
      </w:r>
    </w:p>
    <w:p>
      <w:pPr>
        <w:spacing w:line="480" w:lineRule="auto"/>
        <w:jc w:val="center"/>
        <w:rPr>
          <w:rFonts w:ascii="宋体" w:hAnsi="宋体" w:eastAsia="宋体" w:cs="宋体"/>
          <w:b/>
          <w:bCs/>
          <w:color w:val="000000" w:themeColor="text1"/>
          <w:sz w:val="44"/>
          <w:szCs w:val="44"/>
          <w:highlight w:val="none"/>
          <w14:textFill>
            <w14:solidFill>
              <w14:schemeClr w14:val="tx1"/>
            </w14:solidFill>
          </w14:textFill>
        </w:rPr>
      </w:pPr>
    </w:p>
    <w:p>
      <w:pPr>
        <w:spacing w:line="480" w:lineRule="auto"/>
        <w:jc w:val="center"/>
        <w:rPr>
          <w:rFonts w:ascii="宋体" w:hAnsi="宋体" w:eastAsia="宋体" w:cs="宋体"/>
          <w:b/>
          <w:bCs/>
          <w:color w:val="000000" w:themeColor="text1"/>
          <w:sz w:val="44"/>
          <w:szCs w:val="44"/>
          <w:highlight w:val="none"/>
          <w14:textFill>
            <w14:solidFill>
              <w14:schemeClr w14:val="tx1"/>
            </w14:solidFill>
          </w14:textFill>
        </w:rPr>
      </w:pPr>
    </w:p>
    <w:p>
      <w:pPr>
        <w:jc w:val="center"/>
        <w:rPr>
          <w:rFonts w:ascii="宋体" w:hAnsi="宋体" w:eastAsia="宋体" w:cs="宋体"/>
          <w:b/>
          <w:color w:val="000000" w:themeColor="text1"/>
          <w:sz w:val="56"/>
          <w:szCs w:val="56"/>
          <w:highlight w:val="none"/>
          <w14:textFill>
            <w14:solidFill>
              <w14:schemeClr w14:val="tx1"/>
            </w14:solidFill>
          </w14:textFill>
        </w:rPr>
      </w:pPr>
      <w:r>
        <w:rPr>
          <w:rFonts w:hint="eastAsia" w:ascii="宋体" w:hAnsi="宋体" w:eastAsia="宋体" w:cs="宋体"/>
          <w:b/>
          <w:color w:val="000000" w:themeColor="text1"/>
          <w:sz w:val="56"/>
          <w:szCs w:val="56"/>
          <w:highlight w:val="none"/>
          <w14:textFill>
            <w14:solidFill>
              <w14:schemeClr w14:val="tx1"/>
            </w14:solidFill>
          </w14:textFill>
        </w:rPr>
        <w:t>西安铁路职业技术学院</w:t>
      </w:r>
    </w:p>
    <w:p>
      <w:pPr>
        <w:jc w:val="center"/>
        <w:rPr>
          <w:rFonts w:ascii="宋体" w:hAnsi="宋体" w:eastAsia="宋体" w:cs="宋体"/>
          <w:b/>
          <w:color w:val="000000" w:themeColor="text1"/>
          <w:sz w:val="56"/>
          <w:szCs w:val="56"/>
          <w:highlight w:val="none"/>
          <w14:textFill>
            <w14:solidFill>
              <w14:schemeClr w14:val="tx1"/>
            </w14:solidFill>
          </w14:textFill>
        </w:rPr>
      </w:pPr>
      <w:r>
        <w:rPr>
          <w:rFonts w:hint="eastAsia" w:ascii="宋体" w:hAnsi="宋体" w:eastAsia="宋体" w:cs="宋体"/>
          <w:b/>
          <w:color w:val="000000" w:themeColor="text1"/>
          <w:sz w:val="56"/>
          <w:szCs w:val="56"/>
          <w:highlight w:val="none"/>
          <w14:textFill>
            <w14:solidFill>
              <w14:schemeClr w14:val="tx1"/>
            </w14:solidFill>
          </w14:textFill>
        </w:rPr>
        <w:t>智慧教室建设项目</w:t>
      </w:r>
    </w:p>
    <w:p>
      <w:pPr>
        <w:jc w:val="center"/>
        <w:rPr>
          <w:rFonts w:ascii="宋体" w:hAnsi="宋体" w:eastAsia="宋体" w:cs="宋体"/>
          <w:b/>
          <w:color w:val="000000" w:themeColor="text1"/>
          <w:spacing w:val="-42"/>
          <w:sz w:val="52"/>
          <w:szCs w:val="52"/>
          <w:highlight w:val="none"/>
          <w14:textFill>
            <w14:solidFill>
              <w14:schemeClr w14:val="tx1"/>
            </w14:solidFill>
          </w14:textFill>
        </w:rPr>
      </w:pPr>
    </w:p>
    <w:p>
      <w:pPr>
        <w:pStyle w:val="18"/>
        <w:rPr>
          <w:rFonts w:ascii="宋体" w:hAnsi="宋体" w:eastAsia="宋体" w:cs="宋体"/>
          <w:color w:val="000000" w:themeColor="text1"/>
          <w:highlight w:val="none"/>
          <w14:textFill>
            <w14:solidFill>
              <w14:schemeClr w14:val="tx1"/>
            </w14:solidFill>
          </w14:textFill>
        </w:rPr>
      </w:pPr>
    </w:p>
    <w:p>
      <w:pPr>
        <w:tabs>
          <w:tab w:val="left" w:pos="7815"/>
        </w:tabs>
        <w:spacing w:line="1100" w:lineRule="exact"/>
        <w:rPr>
          <w:rFonts w:ascii="宋体" w:hAnsi="宋体" w:eastAsia="宋体" w:cs="宋体"/>
          <w:b/>
          <w:color w:val="000000" w:themeColor="text1"/>
          <w:sz w:val="52"/>
          <w:szCs w:val="52"/>
          <w:highlight w:val="none"/>
          <w14:textFill>
            <w14:solidFill>
              <w14:schemeClr w14:val="tx1"/>
            </w14:solidFill>
          </w14:textFill>
        </w:rPr>
      </w:pPr>
    </w:p>
    <w:p>
      <w:pPr>
        <w:spacing w:line="360" w:lineRule="auto"/>
        <w:ind w:firstLine="2125" w:firstLineChars="294"/>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72"/>
          <w:szCs w:val="72"/>
          <w:highlight w:val="none"/>
          <w14:textFill>
            <w14:solidFill>
              <w14:schemeClr w14:val="tx1"/>
            </w14:solidFill>
          </w14:textFill>
        </w:rPr>
        <w:t xml:space="preserve">  </w:t>
      </w:r>
      <w:bookmarkStart w:id="280" w:name="_Hlk71972824"/>
      <w:r>
        <w:rPr>
          <w:rFonts w:hint="eastAsia" w:ascii="宋体" w:hAnsi="宋体" w:eastAsia="宋体" w:cs="宋体"/>
          <w:b/>
          <w:color w:val="000000" w:themeColor="text1"/>
          <w:sz w:val="72"/>
          <w:szCs w:val="72"/>
          <w:highlight w:val="none"/>
          <w14:textFill>
            <w14:solidFill>
              <w14:schemeClr w14:val="tx1"/>
            </w14:solidFill>
          </w14:textFill>
        </w:rPr>
        <w:t>供货合同</w:t>
      </w:r>
    </w:p>
    <w:p>
      <w:pPr>
        <w:spacing w:line="360" w:lineRule="auto"/>
        <w:rPr>
          <w:rFonts w:ascii="宋体" w:hAnsi="宋体" w:eastAsia="宋体" w:cs="宋体"/>
          <w:b/>
          <w:color w:val="000000" w:themeColor="text1"/>
          <w:sz w:val="32"/>
          <w:szCs w:val="32"/>
          <w:highlight w:val="none"/>
          <w14:textFill>
            <w14:solidFill>
              <w14:schemeClr w14:val="tx1"/>
            </w14:solidFill>
          </w14:textFill>
        </w:rPr>
      </w:pPr>
    </w:p>
    <w:p>
      <w:pPr>
        <w:spacing w:line="360" w:lineRule="auto"/>
        <w:ind w:firstLine="1928" w:firstLineChars="600"/>
        <w:rPr>
          <w:rFonts w:ascii="宋体" w:hAnsi="宋体" w:eastAsia="宋体" w:cs="宋体"/>
          <w:b/>
          <w:color w:val="000000" w:themeColor="text1"/>
          <w:sz w:val="32"/>
          <w:szCs w:val="32"/>
          <w:highlight w:val="none"/>
          <w:u w:val="singl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编    号：</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政采-西安市-          </w:t>
      </w:r>
    </w:p>
    <w:p>
      <w:pPr>
        <w:spacing w:line="360" w:lineRule="auto"/>
        <w:ind w:firstLine="1928" w:firstLineChars="6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合同编号：</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SXWZ2022ZB-XTY-086    </w:t>
      </w:r>
      <w:r>
        <w:rPr>
          <w:rFonts w:hint="eastAsia" w:ascii="宋体" w:hAnsi="宋体" w:eastAsia="宋体" w:cs="宋体"/>
          <w:b/>
          <w:color w:val="000000" w:themeColor="text1"/>
          <w:sz w:val="32"/>
          <w:szCs w:val="32"/>
          <w:highlight w:val="none"/>
          <w14:textFill>
            <w14:solidFill>
              <w14:schemeClr w14:val="tx1"/>
            </w14:solidFill>
          </w14:textFill>
        </w:rPr>
        <w:t xml:space="preserve">  </w:t>
      </w:r>
    </w:p>
    <w:p>
      <w:pPr>
        <w:spacing w:line="360" w:lineRule="auto"/>
        <w:ind w:left="3521" w:leftChars="798" w:hanging="1606" w:hangingChars="5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货物名称：</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智慧教室建设项目      </w:t>
      </w:r>
    </w:p>
    <w:p>
      <w:pPr>
        <w:spacing w:line="360" w:lineRule="auto"/>
        <w:ind w:firstLine="1928" w:firstLineChars="600"/>
        <w:rPr>
          <w:rFonts w:ascii="宋体" w:hAnsi="宋体" w:eastAsia="宋体" w:cs="宋体"/>
          <w:b/>
          <w:color w:val="000000" w:themeColor="text1"/>
          <w:sz w:val="32"/>
          <w:szCs w:val="32"/>
          <w:highlight w:val="none"/>
          <w:u w:val="singl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买    方：</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西安铁路职业技术学院  </w:t>
      </w:r>
    </w:p>
    <w:p>
      <w:pPr>
        <w:spacing w:line="360" w:lineRule="auto"/>
        <w:ind w:firstLine="1928" w:firstLineChars="600"/>
        <w:rPr>
          <w:rFonts w:ascii="宋体" w:hAnsi="宋体" w:eastAsia="宋体" w:cs="宋体"/>
          <w:b/>
          <w:color w:val="000000" w:themeColor="text1"/>
          <w:sz w:val="32"/>
          <w:szCs w:val="32"/>
          <w:highlight w:val="none"/>
          <w:u w:val="singl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卖    方：</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p>
    <w:p>
      <w:pPr>
        <w:spacing w:line="360" w:lineRule="auto"/>
        <w:ind w:left="3843" w:leftChars="798" w:hanging="1928" w:hangingChars="600"/>
        <w:jc w:val="both"/>
        <w:rPr>
          <w:rFonts w:ascii="宋体" w:hAnsi="宋体" w:eastAsia="宋体" w:cs="宋体"/>
          <w:b/>
          <w:color w:val="000000" w:themeColor="text1"/>
          <w:sz w:val="32"/>
          <w:szCs w:val="32"/>
          <w:highlight w:val="none"/>
          <w:u w:val="singl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鉴 证 方：</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陕西万泽招标有限公司  </w:t>
      </w:r>
    </w:p>
    <w:p>
      <w:pPr>
        <w:spacing w:line="360" w:lineRule="auto"/>
        <w:ind w:left="3832" w:leftChars="1463" w:hanging="321" w:hangingChars="100"/>
        <w:jc w:val="both"/>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二零二二年   月</w:t>
      </w:r>
    </w:p>
    <w:p>
      <w:pPr>
        <w:spacing w:line="360" w:lineRule="auto"/>
        <w:ind w:firstLine="1928" w:firstLineChars="600"/>
        <w:rPr>
          <w:rFonts w:ascii="宋体" w:hAnsi="宋体" w:eastAsia="宋体" w:cs="宋体"/>
          <w:b/>
          <w:color w:val="000000" w:themeColor="text1"/>
          <w:sz w:val="32"/>
          <w:szCs w:val="32"/>
          <w:highlight w:val="none"/>
          <w14:textFill>
            <w14:solidFill>
              <w14:schemeClr w14:val="tx1"/>
            </w14:solidFill>
          </w14:textFill>
        </w:rPr>
        <w:sectPr>
          <w:headerReference r:id="rId5" w:type="first"/>
          <w:headerReference r:id="rId4" w:type="default"/>
          <w:footerReference r:id="rId6" w:type="default"/>
          <w:pgSz w:w="11906" w:h="16838"/>
          <w:pgMar w:top="1418" w:right="1133" w:bottom="1418" w:left="755" w:header="907" w:footer="1021" w:gutter="567"/>
          <w:cols w:space="720" w:num="1"/>
          <w:docGrid w:linePitch="312" w:charSpace="0"/>
        </w:sectPr>
      </w:pPr>
    </w:p>
    <w:bookmarkEnd w:id="280"/>
    <w:p>
      <w:pPr>
        <w:spacing w:line="480" w:lineRule="exact"/>
        <w:ind w:firstLine="3534" w:firstLineChars="800"/>
        <w:rPr>
          <w:rFonts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供货合同</w:t>
      </w:r>
    </w:p>
    <w:p>
      <w:pPr>
        <w:numPr>
          <w:ilvl w:val="0"/>
          <w:numId w:val="3"/>
        </w:numPr>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供货合同格式</w:t>
      </w:r>
    </w:p>
    <w:p>
      <w:pPr>
        <w:spacing w:line="600" w:lineRule="exact"/>
        <w:rPr>
          <w:rFonts w:ascii="宋体" w:hAnsi="宋体" w:eastAsia="宋体" w:cs="宋体"/>
          <w:color w:val="000000" w:themeColor="text1"/>
          <w:spacing w:val="-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b/>
          <w:bCs/>
          <w:color w:val="000000" w:themeColor="text1"/>
          <w:highlight w:val="none"/>
          <w14:textFill>
            <w14:solidFill>
              <w14:schemeClr w14:val="tx1"/>
            </w14:solidFill>
          </w14:textFill>
        </w:rPr>
        <w:t>西安铁路职业技术学院智慧教室建设项目</w:t>
      </w:r>
      <w:r>
        <w:rPr>
          <w:rFonts w:hint="eastAsia" w:ascii="宋体" w:hAnsi="宋体" w:eastAsia="宋体" w:cs="宋体"/>
          <w:b/>
          <w:bCs/>
          <w:color w:val="000000" w:themeColor="text1"/>
          <w:spacing w:val="-2"/>
          <w:highlight w:val="none"/>
          <w14:textFill>
            <w14:solidFill>
              <w14:schemeClr w14:val="tx1"/>
            </w14:solidFill>
          </w14:textFill>
        </w:rPr>
        <w:t>(项目编号：SXWZ2022ZB-XTY-086)</w:t>
      </w:r>
      <w:r>
        <w:rPr>
          <w:rFonts w:hint="eastAsia" w:ascii="宋体" w:hAnsi="宋体" w:eastAsia="宋体" w:cs="宋体"/>
          <w:color w:val="000000" w:themeColor="text1"/>
          <w:spacing w:val="-2"/>
          <w:highlight w:val="none"/>
          <w14:textFill>
            <w14:solidFill>
              <w14:schemeClr w14:val="tx1"/>
            </w14:solidFill>
          </w14:textFill>
        </w:rPr>
        <w:t>，在西安市财政局政府采购管理处的监督管理下，由</w:t>
      </w:r>
      <w:r>
        <w:rPr>
          <w:rFonts w:hint="eastAsia" w:ascii="宋体" w:hAnsi="宋体" w:eastAsia="宋体" w:cs="宋体"/>
          <w:b/>
          <w:bCs/>
          <w:color w:val="000000" w:themeColor="text1"/>
          <w:spacing w:val="-2"/>
          <w:highlight w:val="none"/>
          <w14:textFill>
            <w14:solidFill>
              <w14:schemeClr w14:val="tx1"/>
            </w14:solidFill>
          </w14:textFill>
        </w:rPr>
        <w:t>陕西万泽招标有限公司</w:t>
      </w:r>
      <w:r>
        <w:rPr>
          <w:rFonts w:hint="eastAsia" w:ascii="宋体" w:hAnsi="宋体" w:eastAsia="宋体" w:cs="宋体"/>
          <w:color w:val="000000" w:themeColor="text1"/>
          <w:spacing w:val="-2"/>
          <w:highlight w:val="none"/>
          <w14:textFill>
            <w14:solidFill>
              <w14:schemeClr w14:val="tx1"/>
            </w14:solidFill>
          </w14:textFill>
        </w:rPr>
        <w:t>组织公开招标。</w:t>
      </w:r>
      <w:r>
        <w:rPr>
          <w:rFonts w:hint="eastAsia" w:ascii="宋体" w:hAnsi="宋体" w:eastAsia="宋体" w:cs="宋体"/>
          <w:b/>
          <w:bCs/>
          <w:color w:val="000000" w:themeColor="text1"/>
          <w:spacing w:val="-2"/>
          <w:highlight w:val="none"/>
          <w14:textFill>
            <w14:solidFill>
              <w14:schemeClr w14:val="tx1"/>
            </w14:solidFill>
          </w14:textFill>
        </w:rPr>
        <w:t>西安铁路职业技术学院</w:t>
      </w:r>
      <w:r>
        <w:rPr>
          <w:rFonts w:hint="eastAsia" w:ascii="宋体" w:hAnsi="宋体" w:eastAsia="宋体" w:cs="宋体"/>
          <w:color w:val="000000" w:themeColor="text1"/>
          <w:spacing w:val="-2"/>
          <w:highlight w:val="none"/>
          <w14:textFill>
            <w14:solidFill>
              <w14:schemeClr w14:val="tx1"/>
            </w14:solidFill>
          </w14:textFill>
        </w:rPr>
        <w:t>(以下简称“买方”)确定</w:t>
      </w:r>
      <w:r>
        <w:rPr>
          <w:rFonts w:hint="eastAsia" w:ascii="宋体" w:hAnsi="宋体" w:eastAsia="宋体" w:cs="宋体"/>
          <w:color w:val="000000" w:themeColor="text1"/>
          <w:spacing w:val="-2"/>
          <w:highlight w:val="none"/>
          <w:u w:val="single"/>
          <w14:textFill>
            <w14:solidFill>
              <w14:schemeClr w14:val="tx1"/>
            </w14:solidFill>
          </w14:textFill>
        </w:rPr>
        <w:t xml:space="preserve">                         </w:t>
      </w:r>
      <w:r>
        <w:rPr>
          <w:rFonts w:hint="eastAsia" w:ascii="宋体" w:hAnsi="宋体" w:eastAsia="宋体" w:cs="宋体"/>
          <w:color w:val="000000" w:themeColor="text1"/>
          <w:spacing w:val="-2"/>
          <w:highlight w:val="none"/>
          <w14:textFill>
            <w14:solidFill>
              <w14:schemeClr w14:val="tx1"/>
            </w14:solidFill>
          </w14:textFill>
        </w:rPr>
        <w:t>（以下简称“卖方”）为中标供应商。</w:t>
      </w:r>
    </w:p>
    <w:p>
      <w:pPr>
        <w:spacing w:line="600" w:lineRule="exact"/>
        <w:ind w:firstLine="472" w:firstLineChars="200"/>
        <w:rPr>
          <w:rFonts w:ascii="宋体" w:hAnsi="宋体" w:eastAsia="宋体" w:cs="宋体"/>
          <w:color w:val="000000" w:themeColor="text1"/>
          <w:spacing w:val="-2"/>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依据《中华人民共和国民法典》和《中华人民共和国政府采购法》，买方通过公开招标采购</w:t>
      </w:r>
      <w:r>
        <w:rPr>
          <w:rFonts w:hint="eastAsia" w:ascii="宋体" w:hAnsi="宋体" w:eastAsia="宋体" w:cs="宋体"/>
          <w:color w:val="000000" w:themeColor="text1"/>
          <w:spacing w:val="-2"/>
          <w:highlight w:val="none"/>
          <w:u w:val="single"/>
          <w14:textFill>
            <w14:solidFill>
              <w14:schemeClr w14:val="tx1"/>
            </w14:solidFill>
          </w14:textFill>
        </w:rPr>
        <w:t>智慧教室建设项目</w:t>
      </w:r>
      <w:r>
        <w:rPr>
          <w:rFonts w:hint="eastAsia" w:ascii="宋体" w:hAnsi="宋体" w:eastAsia="宋体" w:cs="宋体"/>
          <w:color w:val="000000" w:themeColor="text1"/>
          <w:spacing w:val="-2"/>
          <w:highlight w:val="none"/>
          <w14:textFill>
            <w14:solidFill>
              <w14:schemeClr w14:val="tx1"/>
            </w14:solidFill>
          </w14:textFill>
        </w:rPr>
        <w:t>，并接受了卖方以价格</w:t>
      </w:r>
      <w:r>
        <w:rPr>
          <w:rFonts w:hint="eastAsia" w:ascii="宋体" w:hAnsi="宋体" w:eastAsia="宋体" w:cs="宋体"/>
          <w:color w:val="000000" w:themeColor="text1"/>
          <w:spacing w:val="-2"/>
          <w:highlight w:val="none"/>
          <w:u w:val="single"/>
          <w14:textFill>
            <w14:solidFill>
              <w14:schemeClr w14:val="tx1"/>
            </w14:solidFill>
          </w14:textFill>
        </w:rPr>
        <w:t xml:space="preserve">                       </w:t>
      </w:r>
      <w:r>
        <w:rPr>
          <w:rFonts w:hint="eastAsia" w:ascii="宋体" w:hAnsi="宋体" w:eastAsia="宋体" w:cs="宋体"/>
          <w:color w:val="000000" w:themeColor="text1"/>
          <w:spacing w:val="-2"/>
          <w:highlight w:val="none"/>
          <w14:textFill>
            <w14:solidFill>
              <w14:schemeClr w14:val="tx1"/>
            </w14:solidFill>
          </w14:textFill>
        </w:rPr>
        <w:t>(以下简称“合同价”)提供的货物和服务。</w:t>
      </w:r>
    </w:p>
    <w:p>
      <w:pPr>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本合同在此声明如下：</w:t>
      </w:r>
    </w:p>
    <w:p>
      <w:pPr>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1、本合同中的词语和术语的含义与合同条款中定义的相同。</w:t>
      </w:r>
    </w:p>
    <w:p>
      <w:pPr>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2、下述文件是本合同的一部分，并与本合同一起阅读和解释：</w:t>
      </w:r>
    </w:p>
    <w:p>
      <w:pPr>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1）合同条款</w:t>
      </w:r>
    </w:p>
    <w:p>
      <w:pPr>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2）合同条款附件</w:t>
      </w:r>
    </w:p>
    <w:p>
      <w:pPr>
        <w:spacing w:line="600" w:lineRule="exact"/>
        <w:ind w:firstLine="840" w:firstLineChars="35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附件1—货物清单</w:t>
      </w:r>
    </w:p>
    <w:p>
      <w:pPr>
        <w:spacing w:line="600" w:lineRule="exact"/>
        <w:ind w:firstLine="840" w:firstLineChars="35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附件2—售后服务方案</w:t>
      </w:r>
    </w:p>
    <w:p>
      <w:pPr>
        <w:spacing w:line="600" w:lineRule="exact"/>
        <w:ind w:firstLine="840" w:firstLineChars="35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附件3—培训方案</w:t>
      </w:r>
    </w:p>
    <w:p>
      <w:pPr>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3）中标通知书</w:t>
      </w:r>
    </w:p>
    <w:p>
      <w:pPr>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4）公开招标文件</w:t>
      </w:r>
    </w:p>
    <w:p>
      <w:pPr>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5）投标文件</w:t>
      </w:r>
    </w:p>
    <w:p>
      <w:pPr>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3、考虑到买方将按照本合同向卖方支付货款，卖方在此保证全部按照合同的规定向买方提供货物和服务，并修补缺陷。</w:t>
      </w:r>
    </w:p>
    <w:p>
      <w:pPr>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4、考虑到卖方提供的货物和服务并修补缺陷，买方在此保证按照合同规定的时间和方式向卖方支付合同价或其他按合同规定应支付的金额。</w:t>
      </w:r>
    </w:p>
    <w:p>
      <w:pPr>
        <w:spacing w:line="600" w:lineRule="exact"/>
        <w:ind w:firstLine="480" w:firstLineChars="200"/>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5、履约保证金</w:t>
      </w:r>
    </w:p>
    <w:p>
      <w:pPr>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供应商应在领取成交通知书后5个工作日内将履约保证金交纳至采购方账户，其数额为合同金额的5%（舍入到百元），供应商可通过支票、本票、汇票、网上银行支付等非现金形式交纳。采购方财务部门接到采购方确认质保期满且合同约定事项已经履行完毕的正式书面文件后，向供应商无息退还履约保证金。</w:t>
      </w:r>
    </w:p>
    <w:p>
      <w:pPr>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注：履约保证金转账信息</w:t>
      </w:r>
    </w:p>
    <w:p>
      <w:pPr>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名称：西安铁路职业技术学院</w:t>
      </w:r>
    </w:p>
    <w:p>
      <w:pPr>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纳税人识别号：12610100437202545W</w:t>
      </w:r>
    </w:p>
    <w:p>
      <w:pPr>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地址、电话：西安国际港务区港务大道396号    029-88092203 </w:t>
      </w:r>
    </w:p>
    <w:p>
      <w:pPr>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开户行及账号：建行西安经济技术开发区支行    </w:t>
      </w:r>
    </w:p>
    <w:p>
      <w:pPr>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61001930041052515973</w:t>
      </w:r>
    </w:p>
    <w:p>
      <w:pPr>
        <w:spacing w:line="60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5-2、中标人无正当理由不与采购人订立合同，在签订合同时向采购人提出附加条件，或者不按照招标文件要求提交履约保证金的，取消其中标资格。</w:t>
      </w:r>
    </w:p>
    <w:p>
      <w:pPr>
        <w:spacing w:line="600" w:lineRule="exact"/>
        <w:ind w:left="480" w:left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6、付款方式</w:t>
      </w:r>
    </w:p>
    <w:p>
      <w:pPr>
        <w:spacing w:line="600" w:lineRule="exact"/>
        <w:ind w:left="240" w:leftChars="100" w:firstLine="240" w:firstLineChars="100"/>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合同签订后，供应商持履约保证金交纳凭证、合同复印件、预付款发票，至采购方处办理合同总价款的30%预付款项。</w:t>
      </w:r>
    </w:p>
    <w:p>
      <w:pPr>
        <w:spacing w:line="600" w:lineRule="exact"/>
        <w:ind w:left="240" w:leftChars="100" w:firstLine="240" w:firstLineChars="100"/>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项目完成并验收合格（达到使用标准）后，采购方在30日内支付供应商合同总价款的70％剩余款项。</w:t>
      </w:r>
    </w:p>
    <w:p>
      <w:pPr>
        <w:spacing w:line="600" w:lineRule="exact"/>
        <w:ind w:left="240" w:leftChars="100" w:firstLine="240" w:firstLineChars="100"/>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结算方式：验收合格后填写政府采购项目验收单（一式伍份），供应商持成交通知书、供货合同、正式发票、政府采购项目验收单，与采购人结算。</w:t>
      </w:r>
    </w:p>
    <w:p>
      <w:pPr>
        <w:pStyle w:val="77"/>
        <w:numPr>
          <w:numId w:val="0"/>
        </w:numPr>
        <w:adjustRightInd w:val="0"/>
        <w:snapToGrid w:val="0"/>
        <w:spacing w:line="600" w:lineRule="exact"/>
        <w:ind w:left="120" w:leftChars="0"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交货期：合同签订后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个日历日。</w:t>
      </w:r>
    </w:p>
    <w:p>
      <w:pPr>
        <w:adjustRightInd w:val="0"/>
        <w:snapToGrid w:val="0"/>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bookmarkStart w:id="398" w:name="_GoBack"/>
      <w:bookmarkEnd w:id="398"/>
      <w:r>
        <w:rPr>
          <w:rFonts w:hint="eastAsia" w:ascii="宋体" w:hAnsi="宋体" w:eastAsia="宋体" w:cs="宋体"/>
          <w:color w:val="000000" w:themeColor="text1"/>
          <w:highlight w:val="none"/>
          <w14:textFill>
            <w14:solidFill>
              <w14:schemeClr w14:val="tx1"/>
            </w14:solidFill>
          </w14:textFill>
        </w:rPr>
        <w:t>质保期：验收合格后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年，软件终身免费升级。</w:t>
      </w:r>
    </w:p>
    <w:p>
      <w:pPr>
        <w:adjustRightInd w:val="0"/>
        <w:snapToGrid w:val="0"/>
        <w:spacing w:line="600" w:lineRule="exact"/>
        <w:ind w:firstLine="960" w:firstLineChars="4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交货地点：西安铁路职业技术学院指定地点。</w:t>
      </w:r>
    </w:p>
    <w:p>
      <w:pPr>
        <w:adjustRightInd w:val="0"/>
        <w:snapToGrid w:val="0"/>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8、本合同一式柒份，其中，买方伍份（西安市财政局政府采购管理处备案叁份），</w:t>
      </w:r>
    </w:p>
    <w:p>
      <w:pPr>
        <w:spacing w:line="60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卖方壹份，鉴证方备案壹份。</w:t>
      </w:r>
    </w:p>
    <w:p>
      <w:pPr>
        <w:numPr>
          <w:ilvl w:val="0"/>
          <w:numId w:val="4"/>
        </w:numPr>
        <w:adjustRightInd w:val="0"/>
        <w:snapToGrid w:val="0"/>
        <w:spacing w:line="6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本合同由买卖双方及鉴证方共同签字盖章，自最后一方签字盖章之日起生效。</w:t>
      </w:r>
    </w:p>
    <w:tbl>
      <w:tblPr>
        <w:tblStyle w:val="33"/>
        <w:tblpPr w:leftFromText="180" w:rightFromText="180" w:vertAnchor="text" w:horzAnchor="margin" w:tblpX="-371" w:tblpY="58"/>
        <w:tblOverlap w:val="never"/>
        <w:tblW w:w="9716" w:type="dxa"/>
        <w:tblInd w:w="0" w:type="dxa"/>
        <w:tblLayout w:type="fixed"/>
        <w:tblCellMar>
          <w:top w:w="0" w:type="dxa"/>
          <w:left w:w="108" w:type="dxa"/>
          <w:bottom w:w="0" w:type="dxa"/>
          <w:right w:w="108" w:type="dxa"/>
        </w:tblCellMar>
      </w:tblPr>
      <w:tblGrid>
        <w:gridCol w:w="5065"/>
        <w:gridCol w:w="4651"/>
      </w:tblGrid>
      <w:tr>
        <w:tblPrEx>
          <w:tblCellMar>
            <w:top w:w="0" w:type="dxa"/>
            <w:left w:w="108" w:type="dxa"/>
            <w:bottom w:w="0" w:type="dxa"/>
            <w:right w:w="108" w:type="dxa"/>
          </w:tblCellMar>
        </w:tblPrEx>
        <w:trPr>
          <w:trHeight w:val="3093" w:hRule="atLeast"/>
        </w:trPr>
        <w:tc>
          <w:tcPr>
            <w:tcW w:w="5065" w:type="dxa"/>
            <w:tcMar>
              <w:top w:w="113" w:type="dxa"/>
              <w:left w:w="113" w:type="dxa"/>
              <w:bottom w:w="113" w:type="dxa"/>
              <w:right w:w="113" w:type="dxa"/>
            </w:tcMar>
          </w:tcPr>
          <w:p>
            <w:pPr>
              <w:autoSpaceDE w:val="0"/>
              <w:autoSpaceDN w:val="0"/>
              <w:spacing w:line="600" w:lineRule="exact"/>
              <w:ind w:left="240" w:leftChars="1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买方名称：西安铁路职业技术学院 </w:t>
            </w:r>
          </w:p>
          <w:p>
            <w:pPr>
              <w:autoSpaceDE w:val="0"/>
              <w:autoSpaceDN w:val="0"/>
              <w:spacing w:line="600" w:lineRule="exact"/>
              <w:ind w:left="240" w:leftChars="1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地    址：西安市国际港务区港务大道396号 </w:t>
            </w:r>
          </w:p>
          <w:p>
            <w:pPr>
              <w:autoSpaceDE w:val="0"/>
              <w:autoSpaceDN w:val="0"/>
              <w:spacing w:line="600" w:lineRule="exact"/>
              <w:ind w:left="240" w:leftChars="1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邮    编：710026</w:t>
            </w:r>
          </w:p>
          <w:p>
            <w:pPr>
              <w:autoSpaceDE w:val="0"/>
              <w:autoSpaceDN w:val="0"/>
              <w:spacing w:line="600" w:lineRule="exact"/>
              <w:ind w:left="240" w:leftChars="1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    话：029-88092205</w:t>
            </w:r>
          </w:p>
          <w:p>
            <w:pPr>
              <w:autoSpaceDE w:val="0"/>
              <w:autoSpaceDN w:val="0"/>
              <w:spacing w:line="600" w:lineRule="exact"/>
              <w:ind w:left="240" w:leftChars="1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真：029-88092205</w:t>
            </w:r>
          </w:p>
          <w:p>
            <w:pPr>
              <w:autoSpaceDE w:val="0"/>
              <w:autoSpaceDN w:val="0"/>
              <w:spacing w:line="600" w:lineRule="exact"/>
              <w:ind w:left="240" w:leftChars="100"/>
              <w:rPr>
                <w:rFonts w:ascii="宋体" w:hAnsi="宋体" w:eastAsia="宋体" w:cs="宋体"/>
                <w:color w:val="000000" w:themeColor="text1"/>
                <w:highlight w:val="none"/>
                <w14:textFill>
                  <w14:solidFill>
                    <w14:schemeClr w14:val="tx1"/>
                  </w14:solidFill>
                </w14:textFill>
              </w:rPr>
            </w:pPr>
          </w:p>
          <w:p>
            <w:pPr>
              <w:autoSpaceDE w:val="0"/>
              <w:autoSpaceDN w:val="0"/>
              <w:spacing w:line="600" w:lineRule="exact"/>
              <w:ind w:left="240" w:leftChars="100"/>
              <w:rPr>
                <w:rFonts w:ascii="宋体" w:hAnsi="宋体" w:eastAsia="宋体" w:cs="宋体"/>
                <w:color w:val="000000" w:themeColor="text1"/>
                <w:highlight w:val="none"/>
                <w14:textFill>
                  <w14:solidFill>
                    <w14:schemeClr w14:val="tx1"/>
                  </w14:solidFill>
                </w14:textFill>
              </w:rPr>
            </w:pPr>
          </w:p>
          <w:p>
            <w:pPr>
              <w:autoSpaceDE w:val="0"/>
              <w:autoSpaceDN w:val="0"/>
              <w:spacing w:line="600" w:lineRule="exact"/>
              <w:ind w:left="240" w:leftChars="1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代表签字：</w:t>
            </w:r>
          </w:p>
          <w:p>
            <w:pPr>
              <w:spacing w:line="600" w:lineRule="exact"/>
              <w:ind w:left="240" w:leftChars="100"/>
              <w:rPr>
                <w:rFonts w:ascii="宋体" w:hAnsi="宋体" w:eastAsia="宋体" w:cs="宋体"/>
                <w:color w:val="000000" w:themeColor="text1"/>
                <w:highlight w:val="none"/>
                <w14:textFill>
                  <w14:solidFill>
                    <w14:schemeClr w14:val="tx1"/>
                  </w14:solidFill>
                </w14:textFill>
              </w:rPr>
            </w:pPr>
          </w:p>
          <w:p>
            <w:pPr>
              <w:spacing w:line="600" w:lineRule="exact"/>
              <w:ind w:left="240" w:leftChars="1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盖章：</w:t>
            </w:r>
          </w:p>
          <w:p>
            <w:pPr>
              <w:autoSpaceDE w:val="0"/>
              <w:autoSpaceDN w:val="0"/>
              <w:spacing w:line="60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年  月  日    </w:t>
            </w:r>
          </w:p>
        </w:tc>
        <w:tc>
          <w:tcPr>
            <w:tcW w:w="4651" w:type="dxa"/>
            <w:tcMar>
              <w:top w:w="113" w:type="dxa"/>
              <w:left w:w="113" w:type="dxa"/>
              <w:bottom w:w="113" w:type="dxa"/>
              <w:right w:w="113" w:type="dxa"/>
            </w:tcMar>
          </w:tcPr>
          <w:p>
            <w:pPr>
              <w:autoSpaceDE w:val="0"/>
              <w:autoSpaceDN w:val="0"/>
              <w:spacing w:line="60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卖方名称：</w:t>
            </w:r>
          </w:p>
          <w:p>
            <w:pPr>
              <w:autoSpaceDE w:val="0"/>
              <w:autoSpaceDN w:val="0"/>
              <w:spacing w:line="60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p>
          <w:p>
            <w:pPr>
              <w:autoSpaceDE w:val="0"/>
              <w:autoSpaceDN w:val="0"/>
              <w:spacing w:line="60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邮    编：</w:t>
            </w:r>
          </w:p>
          <w:p>
            <w:pPr>
              <w:autoSpaceDE w:val="0"/>
              <w:autoSpaceDN w:val="0"/>
              <w:spacing w:line="60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    话：</w:t>
            </w:r>
          </w:p>
          <w:p>
            <w:pPr>
              <w:autoSpaceDE w:val="0"/>
              <w:autoSpaceDN w:val="0"/>
              <w:spacing w:line="60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w:t>
            </w:r>
          </w:p>
          <w:p>
            <w:pPr>
              <w:autoSpaceDE w:val="0"/>
              <w:autoSpaceDN w:val="0"/>
              <w:spacing w:line="60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开户银行：</w:t>
            </w:r>
          </w:p>
          <w:p>
            <w:pPr>
              <w:autoSpaceDE w:val="0"/>
              <w:autoSpaceDN w:val="0"/>
              <w:spacing w:line="60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帐    号：</w:t>
            </w:r>
          </w:p>
          <w:p>
            <w:pPr>
              <w:autoSpaceDE w:val="0"/>
              <w:autoSpaceDN w:val="0"/>
              <w:spacing w:line="600" w:lineRule="exact"/>
              <w:rPr>
                <w:rFonts w:ascii="宋体" w:hAnsi="宋体" w:eastAsia="宋体" w:cs="宋体"/>
                <w:color w:val="000000" w:themeColor="text1"/>
                <w:highlight w:val="none"/>
                <w14:textFill>
                  <w14:solidFill>
                    <w14:schemeClr w14:val="tx1"/>
                  </w14:solidFill>
                </w14:textFill>
              </w:rPr>
            </w:pPr>
          </w:p>
          <w:p>
            <w:pPr>
              <w:autoSpaceDE w:val="0"/>
              <w:autoSpaceDN w:val="0"/>
              <w:spacing w:line="60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代表签字：</w:t>
            </w:r>
          </w:p>
          <w:p>
            <w:pPr>
              <w:spacing w:line="600" w:lineRule="exact"/>
              <w:ind w:left="240" w:leftChars="100"/>
              <w:rPr>
                <w:rFonts w:ascii="宋体" w:hAnsi="宋体" w:eastAsia="宋体" w:cs="宋体"/>
                <w:color w:val="000000" w:themeColor="text1"/>
                <w:highlight w:val="none"/>
                <w14:textFill>
                  <w14:solidFill>
                    <w14:schemeClr w14:val="tx1"/>
                  </w14:solidFill>
                </w14:textFill>
              </w:rPr>
            </w:pPr>
          </w:p>
          <w:p>
            <w:pPr>
              <w:spacing w:line="600" w:lineRule="exact"/>
              <w:ind w:left="240" w:leftChars="1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盖章：</w:t>
            </w:r>
          </w:p>
          <w:p>
            <w:pPr>
              <w:spacing w:line="600" w:lineRule="exact"/>
              <w:ind w:left="240" w:leftChars="1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年  月  日</w:t>
            </w:r>
          </w:p>
        </w:tc>
      </w:tr>
    </w:tbl>
    <w:p>
      <w:pPr>
        <w:spacing w:line="60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鉴证方名称：陕西万泽招标有限公司</w:t>
      </w:r>
    </w:p>
    <w:p>
      <w:pPr>
        <w:autoSpaceDE w:val="0"/>
        <w:autoSpaceDN w:val="0"/>
        <w:spacing w:line="60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址：西安市莲湖区西关正街英达大厦1507室</w:t>
      </w:r>
    </w:p>
    <w:p>
      <w:pPr>
        <w:tabs>
          <w:tab w:val="left" w:pos="420"/>
        </w:tabs>
        <w:autoSpaceDE w:val="0"/>
        <w:autoSpaceDN w:val="0"/>
        <w:spacing w:line="60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邮      编：710082</w:t>
      </w:r>
    </w:p>
    <w:p>
      <w:pPr>
        <w:autoSpaceDE w:val="0"/>
        <w:autoSpaceDN w:val="0"/>
        <w:spacing w:line="60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鉴证方代表签字：</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鉴证方盖章：                                年   月   日</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二、合同条款</w:t>
      </w:r>
    </w:p>
    <w:p>
      <w:pPr>
        <w:autoSpaceDE w:val="0"/>
        <w:autoSpaceDN w:val="0"/>
        <w:adjustRightInd w:val="0"/>
        <w:snapToGri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1、定义</w:t>
      </w:r>
    </w:p>
    <w:p>
      <w:pPr>
        <w:autoSpaceDE w:val="0"/>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本合同下列术语应解释为：</w:t>
      </w:r>
    </w:p>
    <w:p>
      <w:pPr>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1-1、“合同”系指买卖双方签署的、合同格式中载明的买卖双方所达成的协议，包括所有的附件、附录和公开招标文件所提到的构成合同的所有文件。</w:t>
      </w:r>
    </w:p>
    <w:p>
      <w:pPr>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1-2、“合同价”系指根据本合同规定卖方在正确地完全履行合同义务后买方应支付给卖方的价款。</w:t>
      </w:r>
    </w:p>
    <w:p>
      <w:pPr>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1-3、“货物”系指卖方根据本合同规定须向买方提供的一切产品、部件或其它材料。</w:t>
      </w:r>
    </w:p>
    <w:p>
      <w:pPr>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1-4、“服务”系指根据本合同规定卖方承担与供货有关的辅助服务如运输、保险以及其它的伴随服务，例如调试、提供技术援助、培训和合同中规定卖方应承担的其它义务。</w:t>
      </w:r>
    </w:p>
    <w:p>
      <w:pPr>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1-5、“项目现场”系指本合同项下货物安装、运行的场地。</w:t>
      </w:r>
    </w:p>
    <w:p>
      <w:pPr>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1-6、“合同条款”系指本合同条款。</w:t>
      </w:r>
    </w:p>
    <w:p>
      <w:pPr>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1-7、“买方”是指购买服务的单位即</w:t>
      </w:r>
      <w:r>
        <w:rPr>
          <w:rFonts w:hint="eastAsia" w:ascii="宋体" w:hAnsi="宋体" w:eastAsia="宋体" w:cs="宋体"/>
          <w:b/>
          <w:bCs/>
          <w:color w:val="000000" w:themeColor="text1"/>
          <w:highlight w:val="none"/>
          <w14:textFill>
            <w14:solidFill>
              <w14:schemeClr w14:val="tx1"/>
            </w14:solidFill>
          </w14:textFill>
        </w:rPr>
        <w:t>西安铁路职业技术学院</w:t>
      </w:r>
      <w:r>
        <w:rPr>
          <w:rFonts w:hint="eastAsia" w:ascii="宋体" w:hAnsi="宋体" w:eastAsia="宋体" w:cs="宋体"/>
          <w:color w:val="000000" w:themeColor="text1"/>
          <w:highlight w:val="none"/>
          <w14:textFill>
            <w14:solidFill>
              <w14:schemeClr w14:val="tx1"/>
            </w14:solidFill>
          </w14:textFill>
        </w:rPr>
        <w:t>。</w:t>
      </w:r>
    </w:p>
    <w:p>
      <w:pPr>
        <w:spacing w:line="480" w:lineRule="exact"/>
        <w:ind w:left="480" w:leftChars="200"/>
        <w:rPr>
          <w:rFonts w:ascii="宋体" w:hAnsi="宋体" w:eastAsia="宋体" w:cs="宋体"/>
          <w:b/>
          <w:bCs/>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1-8、“卖方”是指提供本合同内的服务的公司或其它实体即</w:t>
      </w:r>
      <w:r>
        <w:rPr>
          <w:rFonts w:hint="eastAsia" w:ascii="宋体" w:hAnsi="宋体" w:eastAsia="宋体" w:cs="宋体"/>
          <w:b/>
          <w:bCs/>
          <w:color w:val="000000" w:themeColor="text1"/>
          <w:highlight w:val="none"/>
          <w:u w:val="single"/>
          <w14:textFill>
            <w14:solidFill>
              <w14:schemeClr w14:val="tx1"/>
            </w14:solidFill>
          </w14:textFill>
        </w:rPr>
        <w:t xml:space="preserve">            </w:t>
      </w:r>
    </w:p>
    <w:p>
      <w:pPr>
        <w:spacing w:line="480" w:lineRule="exact"/>
        <w:ind w:left="480" w:left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1-9、“天”指日历天数。</w:t>
      </w:r>
    </w:p>
    <w:p>
      <w:pPr>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2、适用性</w:t>
      </w:r>
    </w:p>
    <w:p>
      <w:pPr>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本合同条款适用于没有被本项目公开招标文件规定条款、卖方的投标文件承诺条款所取代的范围。</w:t>
      </w:r>
    </w:p>
    <w:p>
      <w:pPr>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3、使用合同文件和资料</w:t>
      </w:r>
    </w:p>
    <w:p>
      <w:pPr>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没有买方事先书面同意，卖方不得将买方或代表买方提供的有关合同或任何合同条文、规格、计划、图纸、模型、资料提供给与履行本合同无关的任何其他人，即使向与履行本合同有关的人员提供，也应注意保密并限于履行合同必须的范围。</w:t>
      </w:r>
    </w:p>
    <w:p>
      <w:pPr>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3-2、没有买方事先书面同意，除了履行本合同之外，卖方不应使用合同条款第3-1条所列举的任何文件和资料。</w:t>
      </w:r>
    </w:p>
    <w:p>
      <w:pPr>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3-3、除了合同本身以外，合同条款第3-1条所列举的任何文件是买方的财产。如果买方有要求，卖方在完成合同后应将这些文件及全部复制件还给买方。</w:t>
      </w:r>
    </w:p>
    <w:p>
      <w:pPr>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4、专利权</w:t>
      </w:r>
    </w:p>
    <w:p>
      <w:pPr>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卖方应保证，买方在使用该货物或货物的任何一部分，免受第三方提出的侵犯（其专利权）、商标权、著作权或其它知识产权的起诉。</w:t>
      </w:r>
    </w:p>
    <w:p>
      <w:pPr>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5、技术规格</w:t>
      </w:r>
    </w:p>
    <w:p>
      <w:pPr>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合同下交付的产品必须等同或优于本项目公开招标文件《技术规格与要求》所述的标准。若卖方在其投标文件中承诺的技术标准优于本项目公开招标文件《技术规格与要求》所述标准的，按投标文件的承诺执行。</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6、检验和测试</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6-1、买方或其代表应有权检验和测试货物及其部件，以确认所供货物是否符合合同规格的要求，并且不承担额外的费用。买方要求进行的检验和测试，以及在何处进行这些检验和测试，以书面形式通知卖方。</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6-2、检验和测试在买方指定的交货地点进行。</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6-3、如果任何被检验或测试的货物或部件不能满足公开招标文件及合同的要求，买方可以拒绝接受该货物或部件，卖方应更换被拒绝的货物或部件，或者免费进行必要的修改以满足规格的要求。</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6-4、在交货前，卖方应让制造商对货物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6-5、如果在货物使用寿命期内，根据检验结果，发现货物的质量或规格与合同要求不符，或被证实有缺陷，包含潜在的缺陷或使用不合适的材料，买方应向卖方提出索赔。</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7、包装及运输</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7-1、卖方负责货物到达交货地点前的所有包装、运输、装卸及保险事项，相关费用应包括在合同总价中。</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7-3、货物的运输方式由卖方自行选择，但包装必须满足货物运输和装卸的要求，保证买方收到的是无任何损伤的货物。否则，因此造成的损失由卖方自行承担。 </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8、伴随服务</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8-1、卖方必须在合同生效后三十 (30)天内向买方提交所供货物的技术文件（中文技术文件），例如：货物说明、图纸、操作手册、使用说明、维护手册和／或服务指南等。</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8-2、卖方应向买方提供下列所有服务，包括本项目公开招标文件“商务条款”与“技术规格与要求”中规定的附加服务（如果有的话）：</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（1）实施或监督所供货物的现场组装 和/或试运行。</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（2）提供货物组装 和/或 维修所需的工具。</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（3）为所供货物的每一适当的单台货物提供详细的操作和维护手册。</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（4）在双方商定的一定期限内对所供货物实施运行或监督或维护或修理，但前提条件是该服务并不能免除卖方在合同保证期内所承担的义务。  </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（5）在卖方或制造厂和/或在项目现场就所供货物的组装、试运行、运行、维护和/或修理、软硬件升级对买方人员进行培训。</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8-3、卖方应提供本项目公开招标文件“商务条款”和“技术规格与要求”中规定的所有服务。为履行要求的伴随服务的报价或双方商定的费用应包括在合同价中。</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8-4、如果卖方或制造厂提供的伴随服务的费用未含在货物的合同价中，双方应事先就其达成协议，但其费用单价不应超过卖方向其他人提供类似服务所收取的现行单价。</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9、备品备件</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9-1、卖方可能被要求提供下列与备品备件有关的材料、通知和资料：</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（1）买方从卖方选购备品备件，但前提条件是该选择并不能免除卖方在合同保证期内所承担的义务。</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（2）在备品备件停止生产的情况下，卖方应事先将要停止生产的计划通知买方使买方有足够的时间采购所需的备品备件。</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（3）在备品备件停止生产后，如果买方要求，卖方应免费向买方提供备品备件的蓝图、图纸和规格。</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9-2、卖方应按照本项目公开招标文件“商务条款”和“技术规格与要求”中的规定提供所需的备品备件。</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10、质量保证</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10-1、</w:t>
      </w:r>
      <w:r>
        <w:rPr>
          <w:rFonts w:hint="eastAsia" w:ascii="宋体" w:hAnsi="宋体" w:eastAsia="宋体" w:cs="宋体"/>
          <w:b/>
          <w:bCs/>
          <w:color w:val="000000" w:themeColor="text1"/>
          <w:highlight w:val="none"/>
          <w14:textFill>
            <w14:solidFill>
              <w14:schemeClr w14:val="tx1"/>
            </w14:solidFill>
          </w14:textFill>
        </w:rPr>
        <w:t>质量保证期为验收合格后</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eastAsia="宋体" w:cs="宋体"/>
          <w:b/>
          <w:bCs/>
          <w:color w:val="000000" w:themeColor="text1"/>
          <w:highlight w:val="none"/>
          <w14:textFill>
            <w14:solidFill>
              <w14:schemeClr w14:val="tx1"/>
            </w14:solidFill>
          </w14:textFill>
        </w:rPr>
        <w:t>年，软件终身免费升级</w:t>
      </w:r>
      <w:r>
        <w:rPr>
          <w:rFonts w:hint="eastAsia" w:ascii="宋体" w:hAnsi="宋体" w:eastAsia="宋体" w:cs="宋体"/>
          <w:color w:val="000000" w:themeColor="text1"/>
          <w:highlight w:val="none"/>
          <w14:textFill>
            <w14:solidFill>
              <w14:schemeClr w14:val="tx1"/>
            </w14:solidFill>
          </w14:textFill>
        </w:rPr>
        <w:t>。</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10-2、卖方应保证合同项下所供货物是合同规定厂家制造的、全新的、未使用过的，并完全符合合同规定的质量、规格和性能要求的合格货物。卖方应保证其货物在正确安装、正常使用和保养条件下，在其使用寿命期内应具有满意的性能。在货物的质量保证期内，卖方对由于设计、工艺或材料的缺陷而产生的故障负责。</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10-3、根据检验结果或者在质量保证期内，如果货物的数量、质量或规格与合同不符，或证实货物是有缺陷的，包括潜在的缺陷，买方应尽快以书面形式向卖方提出所发现的缺陷。</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10-4、卖方收到通知后应在公开招标文件规定的时间内以合理的速度免费维修或更换有缺陷的货物或部件。</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10-5、如果卖方收到通知后在公开招标文件规定的时间内没有及时修补缺陷，买方可提出索赔，并可采取必要的补救措施，但其风险和费用将由卖方承担，买方根据合同规定对卖方行使的其他权力不受影响。</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11、索赔</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11-1、如果卖方对偏差负有责任，而买方在安装、调试、验收和质量保证期内提出了索赔，卖方应按照买方同意的下列一种或几种方式结合起来解决索赔事宜：</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卖方同意退货并用合同规定的货币将货款退还给买方，并承担由此发生的一切损失和费用，包括利息、银行手续费、运费、保险费、检验费、仓储费、装卸费以及为看管和保护退回货物所需的其它必要费用。</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（2）根据货物的偏差情况、损坏程度、以及买方所遭受损失的金额，经买卖双方商定降低货物的价格。</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用符合合同规定的规格、质量和性能要求的新零件、部件和/或货物来更换有缺陷的部分和/或修补缺陷部分，卖方应承担一切费用和风险并负担买方蒙受的全部直接损失费用。同时，卖方应按合同条款第10-1条规定，相应延长所更换货物的质量保证期。</w:t>
      </w:r>
    </w:p>
    <w:p>
      <w:pPr>
        <w:autoSpaceDE w:val="0"/>
        <w:autoSpaceDN w:val="0"/>
        <w:spacing w:line="48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12、变更指令</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12-1、买方可以在任何时候书面向卖方发出指令，在本合同的一般范围内变更下述一项或几项：</w:t>
      </w:r>
    </w:p>
    <w:p>
      <w:pPr>
        <w:autoSpaceDN w:val="0"/>
        <w:adjustRightInd w:val="0"/>
        <w:spacing w:line="480" w:lineRule="exact"/>
        <w:ind w:firstLine="480" w:firstLineChars="200"/>
        <w:rPr>
          <w:rFonts w:ascii="宋体" w:hAnsi="宋体" w:eastAsia="宋体" w:cs="宋体"/>
          <w:color w:val="000000" w:themeColor="text1"/>
          <w:spacing w:val="-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spacing w:val="-4"/>
          <w:highlight w:val="none"/>
          <w14:textFill>
            <w14:solidFill>
              <w14:schemeClr w14:val="tx1"/>
            </w14:solidFill>
          </w14:textFill>
        </w:rPr>
        <w:t>本合同项下提供的货物是专为买方制造时，变更图纸、设计或规格。</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（2）运输或包装的方法。</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（3）交货地点。</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（4）卖方提供的服务。</w:t>
      </w:r>
    </w:p>
    <w:p>
      <w:pPr>
        <w:autoSpaceDN w:val="0"/>
        <w:adjustRightInd w:val="0"/>
        <w:spacing w:line="480" w:lineRule="exact"/>
        <w:ind w:firstLine="464" w:firstLineChars="200"/>
        <w:rPr>
          <w:rFonts w:ascii="宋体" w:hAnsi="宋体" w:eastAsia="宋体" w:cs="宋体"/>
          <w:color w:val="000000" w:themeColor="text1"/>
          <w:spacing w:val="-4"/>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12-2、</w:t>
      </w:r>
      <w:r>
        <w:rPr>
          <w:rFonts w:hint="eastAsia" w:ascii="宋体" w:hAnsi="宋体" w:eastAsia="宋体" w:cs="宋体"/>
          <w:color w:val="000000" w:themeColor="text1"/>
          <w:highlight w:val="none"/>
          <w14:textFill>
            <w14:solidFill>
              <w14:schemeClr w14:val="tx1"/>
            </w14:solidFill>
          </w14:textFill>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13、合同修改</w:t>
      </w:r>
    </w:p>
    <w:p>
      <w:pPr>
        <w:autoSpaceDN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除了合同条款第12条的情况，不应对合同条款进行任何变更或修改，除非双方同意并签订书面的合同修改书。</w:t>
      </w:r>
    </w:p>
    <w:p>
      <w:pPr>
        <w:autoSpaceDN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14、转让</w:t>
      </w:r>
    </w:p>
    <w:p>
      <w:pPr>
        <w:autoSpaceDN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未经买方事先书面同意，卖方不得部分转让或全部转让其应履行的合同义务。</w:t>
      </w:r>
    </w:p>
    <w:p>
      <w:pPr>
        <w:autoSpaceDN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15、卖方履约延误</w:t>
      </w:r>
    </w:p>
    <w:p>
      <w:pPr>
        <w:autoSpaceDN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15-1、卖方应按照本项目公开招标文件“商务条款”中规定的交货时间交货和提供服务。</w:t>
      </w:r>
    </w:p>
    <w:p>
      <w:pPr>
        <w:autoSpaceDN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-2、在履行合同过程中，如果卖方遇到妨碍按时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autoSpaceDN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15-3、除合同条款第20条规定的情况外,除非拖延是根据合同条款第15-2条的规定取得同意而不收取误期赔偿费之外，卖方延误交货，将按合同条款第17条的规定被收取误期赔偿费。</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16、验收</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16-1、项目验收分初验和终验:</w:t>
      </w:r>
    </w:p>
    <w:p>
      <w:pPr>
        <w:spacing w:line="5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初验：货物到达交货地点后，由使用单位根据合同对货物的名称、品牌、规格、型号、产地、数量进行检查。</w:t>
      </w:r>
    </w:p>
    <w:p>
      <w:pPr>
        <w:spacing w:line="50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终验：所有货物安装完毕，正常使用10个日历日后，由采购人、使用单位进行验收，合格后签发《验收合格单》。</w:t>
      </w:r>
      <w:r>
        <w:rPr>
          <w:rFonts w:hint="eastAsia" w:ascii="宋体" w:hAnsi="宋体" w:eastAsia="宋体" w:cs="宋体"/>
          <w:color w:val="000000" w:themeColor="text1"/>
          <w:highlight w:val="none"/>
          <w14:textFill>
            <w14:solidFill>
              <w14:schemeClr w14:val="tx1"/>
            </w14:solidFill>
          </w14:textFill>
        </w:rPr>
        <w:cr/>
      </w:r>
      <w:r>
        <w:rPr>
          <w:rFonts w:hint="eastAsia" w:ascii="宋体" w:hAnsi="宋体" w:eastAsia="宋体" w:cs="宋体"/>
          <w:color w:val="000000" w:themeColor="text1"/>
          <w:highlight w:val="none"/>
          <w14:textFill>
            <w14:solidFill>
              <w14:schemeClr w14:val="tx1"/>
            </w14:solidFill>
          </w14:textFill>
        </w:rPr>
        <w:t xml:space="preserve">    16-2、验收不合格的中标供应商，必须在接到通知后7个日历日内确保货物通过验收。如接到通知后7个日历日内验收仍不合格，采购人可提出索赔或取消其供货合同。采购代理机构将把中标资格授予评审排序下一名的中标供应商。</w:t>
      </w:r>
    </w:p>
    <w:p>
      <w:pPr>
        <w:adjustRightInd w:val="0"/>
        <w:snapToGrid w:val="0"/>
        <w:spacing w:line="500" w:lineRule="exact"/>
        <w:ind w:firstLine="470" w:firstLineChars="196"/>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16-3、验收依据</w:t>
      </w:r>
    </w:p>
    <w:p>
      <w:pPr>
        <w:adjustRightInd w:val="0"/>
        <w:snapToGrid w:val="0"/>
        <w:spacing w:line="500" w:lineRule="exact"/>
        <w:ind w:firstLine="470" w:firstLineChars="196"/>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（1）合同文本及合同补充文件（条款）。 </w:t>
      </w:r>
    </w:p>
    <w:p>
      <w:pPr>
        <w:adjustRightInd w:val="0"/>
        <w:snapToGrid w:val="0"/>
        <w:spacing w:line="500" w:lineRule="exact"/>
        <w:ind w:firstLine="470" w:firstLineChars="196"/>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（2）产品的合法来源渠道证明文件。</w:t>
      </w:r>
    </w:p>
    <w:p>
      <w:pPr>
        <w:adjustRightInd w:val="0"/>
        <w:snapToGrid w:val="0"/>
        <w:spacing w:line="500" w:lineRule="exact"/>
        <w:ind w:firstLine="470" w:firstLineChars="196"/>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（3）公开招标文件。</w:t>
      </w:r>
    </w:p>
    <w:p>
      <w:pPr>
        <w:adjustRightInd w:val="0"/>
        <w:snapToGrid w:val="0"/>
        <w:spacing w:line="500" w:lineRule="exact"/>
        <w:ind w:firstLine="470" w:firstLineChars="196"/>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（4）中标供应商的投标文件。</w:t>
      </w:r>
    </w:p>
    <w:p>
      <w:pPr>
        <w:adjustRightInd w:val="0"/>
        <w:snapToGrid w:val="0"/>
        <w:spacing w:line="500" w:lineRule="exact"/>
        <w:ind w:firstLine="470" w:firstLineChars="196"/>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（5）合同货物清单。</w:t>
      </w:r>
    </w:p>
    <w:p>
      <w:pPr>
        <w:adjustRightInd w:val="0"/>
        <w:snapToGrid w:val="0"/>
        <w:spacing w:line="500" w:lineRule="exact"/>
        <w:ind w:firstLine="470" w:firstLineChars="196"/>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（6）生产厂家的企业资质、货物的执行标准。</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17、误期赔偿费</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合同条款第19条规定的情况外，如果卖方没有按照合同规定的时间交货和提供服务，买方应在不影响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18、违约终止合同</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18-1、在买方对卖方违约而采取的任何补救措施不受影响的情况下，买方可向卖方发出书面违约通知书，提出终止部分或全部合同：</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（1）如果卖方未能在合同规定的期限内或买方根据合同条款第15.2条的规定同意延长的期限内提供部分或全部货物。或误期赔偿费达到最高限额。</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（2）如果卖方未能履行合同规定的其它任何义务。</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（3）如果买方认为卖方在本合同的竞争和实施过程中有腐败和欺诈行为。为此目的，定义下述条件：</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“腐败行为”是指提供、给予、接受或索取任何有价值的物品来影响买方在采购过程或合同实施过程中的行为。</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“欺诈行为”是指为了影响采购过程或合同实施过程而谎报或隐瞒事实，损害买方利益的行为。</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19、不可抗力</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19-3、因合同一方迟延履行合同后发生不可抗力的，不能免除迟延履行方的相应责任。</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20、因破产而终止合同</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21、因买方的便利而终止合同</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21-1、买方可在任何时候出于自身的便利向卖方发出书面通知全部或部分终止合同，终止通知应明确该终止合同是出于买方的便利，并明确合同终止的程度，以及终止的生效日期。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21-2、对卖方收到终止通知后三十（30）天内已完成并准备装运的货物，买方应按原合同价格和条款予以接收，对于剩下的货物，买方可：</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（1）仅对部分货物按照原来的合同价格和条款予以接受。</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（2）取消对所剩货物的采购，并按双方商定的金额向卖方支付部分完成的货物和服务以及卖方以前已采购的材料和部件的费用。</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22、争议的解决</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因执行本合同所发生的或与本合同有关的一切争议,双方应通过友好协商解决。如果协商开始后六十（60）天还不能解决，双方可依以下一种方式解决：</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22-1、双方达成仲裁协议，向约定的仲裁委员会申请仲裁。</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22-2、向有管辖权的人民法院起诉。</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23、适用法律</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本合同应按照中华人民共和国的现行法律进行解释。</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24、通知</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24-1、本合同一方给对方的通知应用书面形式送到合同专用条款中规定的对方的地址。传真要经书面确认。</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24-2、通知以送到日期或通知书的生效日期为生效日期，两者中以晚的一个日期为准。</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25、税款</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25-1、按照中华人民共和国税法和有关部门的规定，买方需交纳的与本合同有关的一切税费均应由买方负担。</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25-2、按照中华人民共和国税法和有关部门的规定，卖方需交纳的与本合同有关的一切税费均应由卖方负担。</w:t>
      </w:r>
    </w:p>
    <w:p>
      <w:pPr>
        <w:autoSpaceDN w:val="0"/>
        <w:adjustRightIn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26、合同生效</w:t>
      </w:r>
    </w:p>
    <w:p>
      <w:pPr>
        <w:adjustRightInd w:val="0"/>
        <w:snapToGrid w:val="0"/>
        <w:spacing w:line="48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本合同由买卖双方及鉴证方共同签字盖章，自最后一方签字盖章之日起生效。</w:t>
      </w:r>
    </w:p>
    <w:p>
      <w:pPr>
        <w:spacing w:line="440" w:lineRule="exact"/>
        <w:rPr>
          <w:rFonts w:ascii="宋体" w:hAnsi="宋体" w:eastAsia="宋体" w:cs="宋体"/>
          <w:color w:val="000000" w:themeColor="text1"/>
          <w:highlight w:val="none"/>
          <w14:textFill>
            <w14:solidFill>
              <w14:schemeClr w14:val="tx1"/>
            </w14:solidFill>
          </w14:textFill>
        </w:rPr>
      </w:pPr>
    </w:p>
    <w:p>
      <w:pPr>
        <w:pStyle w:val="18"/>
        <w:rPr>
          <w:rFonts w:ascii="宋体" w:hAnsi="宋体" w:eastAsia="宋体" w:cs="宋体"/>
          <w:color w:val="000000" w:themeColor="text1"/>
          <w:sz w:val="24"/>
          <w:highlight w:val="none"/>
          <w14:textFill>
            <w14:solidFill>
              <w14:schemeClr w14:val="tx1"/>
            </w14:solidFill>
          </w14:textFill>
        </w:rPr>
      </w:pPr>
    </w:p>
    <w:p>
      <w:pPr>
        <w:pStyle w:val="18"/>
        <w:rPr>
          <w:rFonts w:ascii="宋体" w:hAnsi="宋体" w:eastAsia="宋体" w:cs="宋体"/>
          <w:color w:val="000000" w:themeColor="text1"/>
          <w:sz w:val="24"/>
          <w:highlight w:val="none"/>
          <w14:textFill>
            <w14:solidFill>
              <w14:schemeClr w14:val="tx1"/>
            </w14:solidFill>
          </w14:textFill>
        </w:rPr>
        <w:sectPr>
          <w:headerReference r:id="rId7" w:type="default"/>
          <w:pgSz w:w="11906" w:h="16838"/>
          <w:pgMar w:top="1418" w:right="1418" w:bottom="1418" w:left="1134" w:header="907" w:footer="1021" w:gutter="567"/>
          <w:cols w:space="720" w:num="1"/>
          <w:docGrid w:linePitch="312" w:charSpace="0"/>
        </w:sectPr>
      </w:pPr>
    </w:p>
    <w:p>
      <w:pPr>
        <w:spacing w:line="480" w:lineRule="exact"/>
        <w:ind w:firstLine="496" w:firstLineChars="200"/>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附件1—货物清单</w:t>
      </w:r>
    </w:p>
    <w:p>
      <w:pPr>
        <w:spacing w:line="500" w:lineRule="exact"/>
        <w:ind w:firstLine="496" w:firstLineChars="200"/>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附件2—售后服务方案</w:t>
      </w:r>
    </w:p>
    <w:p>
      <w:pPr>
        <w:spacing w:line="360" w:lineRule="auto"/>
        <w:ind w:firstLine="496" w:firstLineChars="200"/>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附件3—培训计划</w:t>
      </w:r>
    </w:p>
    <w:p>
      <w:pPr>
        <w:rPr>
          <w:rFonts w:ascii="宋体" w:hAnsi="宋体" w:eastAsia="宋体" w:cs="宋体"/>
          <w:color w:val="000000" w:themeColor="text1"/>
          <w:highlight w:val="none"/>
          <w14:textFill>
            <w14:solidFill>
              <w14:schemeClr w14:val="tx1"/>
            </w14:solidFill>
          </w14:textFill>
        </w:rPr>
      </w:pPr>
      <w:bookmarkStart w:id="281" w:name="_Toc5730"/>
      <w:r>
        <w:rPr>
          <w:rFonts w:hint="eastAsia" w:ascii="宋体" w:hAnsi="宋体" w:eastAsia="宋体" w:cs="宋体"/>
          <w:color w:val="000000" w:themeColor="text1"/>
          <w:highlight w:val="none"/>
          <w14:textFill>
            <w14:solidFill>
              <w14:schemeClr w14:val="tx1"/>
            </w14:solidFill>
          </w14:textFill>
        </w:rPr>
        <w:br w:type="page"/>
      </w:r>
    </w:p>
    <w:p>
      <w:pPr>
        <w:pStyle w:val="3"/>
        <w:rPr>
          <w:rFonts w:ascii="宋体" w:hAnsi="宋体" w:eastAsia="宋体" w:cs="宋体"/>
          <w:color w:val="000000" w:themeColor="text1"/>
          <w:highlight w:val="none"/>
          <w14:textFill>
            <w14:solidFill>
              <w14:schemeClr w14:val="tx1"/>
            </w14:solidFill>
          </w14:textFill>
        </w:rPr>
      </w:pPr>
      <w:bookmarkStart w:id="282" w:name="_Toc27364"/>
      <w:r>
        <w:rPr>
          <w:rFonts w:hint="eastAsia" w:ascii="宋体" w:hAnsi="宋体" w:eastAsia="宋体" w:cs="宋体"/>
          <w:color w:val="000000" w:themeColor="text1"/>
          <w:highlight w:val="none"/>
          <w14:textFill>
            <w14:solidFill>
              <w14:schemeClr w14:val="tx1"/>
            </w14:solidFill>
          </w14:textFill>
        </w:rPr>
        <w:t>第五章  投标文件构成及格式</w:t>
      </w:r>
      <w:bookmarkEnd w:id="279"/>
      <w:bookmarkEnd w:id="281"/>
      <w:bookmarkEnd w:id="282"/>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jc w:val="both"/>
        <w:rPr>
          <w:rFonts w:ascii="宋体" w:hAnsi="宋体" w:eastAsia="宋体" w:cs="宋体"/>
          <w:color w:val="000000" w:themeColor="text1"/>
          <w:sz w:val="32"/>
          <w:szCs w:val="32"/>
          <w:highlight w:val="none"/>
          <w14:textFill>
            <w14:solidFill>
              <w14:schemeClr w14:val="tx1"/>
            </w14:solidFill>
          </w14:textFill>
        </w:rPr>
      </w:pPr>
    </w:p>
    <w:p>
      <w:pPr>
        <w:jc w:val="center"/>
        <w:rPr>
          <w:rFonts w:ascii="宋体" w:hAnsi="宋体" w:eastAsia="宋体" w:cs="宋体"/>
          <w:b/>
          <w:bCs/>
          <w:color w:val="000000" w:themeColor="text1"/>
          <w:sz w:val="56"/>
          <w:szCs w:val="56"/>
          <w:highlight w:val="none"/>
          <w14:textFill>
            <w14:solidFill>
              <w14:schemeClr w14:val="tx1"/>
            </w14:solidFill>
          </w14:textFill>
        </w:rPr>
      </w:pPr>
      <w:bookmarkStart w:id="283" w:name="_Toc3219"/>
      <w:r>
        <w:rPr>
          <w:rFonts w:hint="eastAsia" w:ascii="宋体" w:hAnsi="宋体" w:eastAsia="宋体" w:cs="宋体"/>
          <w:b/>
          <w:bCs/>
          <w:color w:val="000000" w:themeColor="text1"/>
          <w:sz w:val="56"/>
          <w:szCs w:val="56"/>
          <w:highlight w:val="none"/>
          <w14:textFill>
            <w14:solidFill>
              <w14:schemeClr w14:val="tx1"/>
            </w14:solidFill>
          </w14:textFill>
        </w:rPr>
        <w:t>西安铁路职业技术学院</w:t>
      </w:r>
      <w:bookmarkEnd w:id="283"/>
    </w:p>
    <w:p>
      <w:pPr>
        <w:jc w:val="center"/>
        <w:rPr>
          <w:rFonts w:ascii="宋体" w:hAnsi="宋体" w:eastAsia="宋体" w:cs="宋体"/>
          <w:b/>
          <w:bCs/>
          <w:color w:val="000000" w:themeColor="text1"/>
          <w:sz w:val="56"/>
          <w:szCs w:val="56"/>
          <w:highlight w:val="none"/>
          <w14:textFill>
            <w14:solidFill>
              <w14:schemeClr w14:val="tx1"/>
            </w14:solidFill>
          </w14:textFill>
        </w:rPr>
      </w:pPr>
      <w:bookmarkStart w:id="284" w:name="_Toc7761"/>
      <w:r>
        <w:rPr>
          <w:rFonts w:hint="eastAsia" w:ascii="宋体" w:hAnsi="宋体" w:eastAsia="宋体" w:cs="宋体"/>
          <w:b/>
          <w:bCs/>
          <w:color w:val="000000" w:themeColor="text1"/>
          <w:sz w:val="56"/>
          <w:szCs w:val="56"/>
          <w:highlight w:val="none"/>
          <w14:textFill>
            <w14:solidFill>
              <w14:schemeClr w14:val="tx1"/>
            </w14:solidFill>
          </w14:textFill>
        </w:rPr>
        <w:t>智慧教室建设项目</w:t>
      </w:r>
      <w:bookmarkEnd w:id="284"/>
    </w:p>
    <w:p>
      <w:pPr>
        <w:snapToGrid w:val="0"/>
        <w:jc w:val="center"/>
        <w:rPr>
          <w:rFonts w:ascii="宋体" w:hAnsi="宋体" w:eastAsia="宋体" w:cs="宋体"/>
          <w:b/>
          <w:bCs/>
          <w:color w:val="000000" w:themeColor="text1"/>
          <w:sz w:val="56"/>
          <w:szCs w:val="56"/>
          <w:highlight w:val="none"/>
          <w14:textFill>
            <w14:solidFill>
              <w14:schemeClr w14:val="tx1"/>
            </w14:solidFill>
          </w14:textFill>
        </w:rPr>
      </w:pPr>
      <w:bookmarkStart w:id="285" w:name="_Toc17434"/>
    </w:p>
    <w:p>
      <w:pPr>
        <w:snapToGrid w:val="0"/>
        <w:jc w:val="center"/>
        <w:rPr>
          <w:rFonts w:ascii="宋体" w:hAnsi="宋体" w:eastAsia="宋体" w:cs="宋体"/>
          <w:b/>
          <w:bCs/>
          <w:color w:val="000000" w:themeColor="text1"/>
          <w:sz w:val="56"/>
          <w:szCs w:val="56"/>
          <w:highlight w:val="none"/>
          <w14:textFill>
            <w14:solidFill>
              <w14:schemeClr w14:val="tx1"/>
            </w14:solidFill>
          </w14:textFill>
        </w:rPr>
      </w:pPr>
    </w:p>
    <w:p>
      <w:pPr>
        <w:snapToGrid w:val="0"/>
        <w:jc w:val="center"/>
        <w:rPr>
          <w:rFonts w:ascii="宋体" w:hAnsi="宋体" w:eastAsia="宋体" w:cs="宋体"/>
          <w:b/>
          <w:bCs/>
          <w:color w:val="000000" w:themeColor="text1"/>
          <w:sz w:val="56"/>
          <w:szCs w:val="56"/>
          <w:highlight w:val="none"/>
          <w14:textFill>
            <w14:solidFill>
              <w14:schemeClr w14:val="tx1"/>
            </w14:solidFill>
          </w14:textFill>
        </w:rPr>
      </w:pPr>
      <w:r>
        <w:rPr>
          <w:rFonts w:hint="eastAsia" w:ascii="宋体" w:hAnsi="宋体" w:eastAsia="宋体" w:cs="宋体"/>
          <w:b/>
          <w:bCs/>
          <w:color w:val="000000" w:themeColor="text1"/>
          <w:sz w:val="56"/>
          <w:szCs w:val="56"/>
          <w:highlight w:val="none"/>
          <w14:textFill>
            <w14:solidFill>
              <w14:schemeClr w14:val="tx1"/>
            </w14:solidFill>
          </w14:textFill>
        </w:rPr>
        <w:t>投标文件</w:t>
      </w:r>
      <w:bookmarkEnd w:id="285"/>
    </w:p>
    <w:p>
      <w:pPr>
        <w:rPr>
          <w:rFonts w:ascii="宋体" w:hAnsi="宋体" w:eastAsia="宋体" w:cs="宋体"/>
          <w:color w:val="000000" w:themeColor="text1"/>
          <w:highlight w:val="none"/>
          <w14:textFill>
            <w14:solidFill>
              <w14:schemeClr w14:val="tx1"/>
            </w14:solidFill>
          </w14:textFill>
        </w:rPr>
      </w:pPr>
    </w:p>
    <w:p>
      <w:pPr>
        <w:rPr>
          <w:rFonts w:ascii="宋体" w:hAnsi="宋体" w:eastAsia="宋体" w:cs="宋体"/>
          <w:color w:val="000000" w:themeColor="text1"/>
          <w:highlight w:val="none"/>
          <w14:textFill>
            <w14:solidFill>
              <w14:schemeClr w14:val="tx1"/>
            </w14:solidFill>
          </w14:textFill>
        </w:rPr>
      </w:pPr>
    </w:p>
    <w:p>
      <w:pPr>
        <w:rPr>
          <w:rFonts w:ascii="宋体" w:hAnsi="宋体" w:eastAsia="宋体" w:cs="宋体"/>
          <w:color w:val="000000" w:themeColor="text1"/>
          <w:highlight w:val="none"/>
          <w14:textFill>
            <w14:solidFill>
              <w14:schemeClr w14:val="tx1"/>
            </w14:solidFill>
          </w14:textFill>
        </w:rPr>
      </w:pPr>
    </w:p>
    <w:p>
      <w:pPr>
        <w:rPr>
          <w:rFonts w:ascii="宋体" w:hAnsi="宋体" w:eastAsia="宋体" w:cs="宋体"/>
          <w:color w:val="000000" w:themeColor="text1"/>
          <w:highlight w:val="none"/>
          <w14:textFill>
            <w14:solidFill>
              <w14:schemeClr w14:val="tx1"/>
            </w14:solidFill>
          </w14:textFill>
        </w:rPr>
      </w:pPr>
    </w:p>
    <w:p>
      <w:pPr>
        <w:spacing w:line="560" w:lineRule="exact"/>
        <w:ind w:firstLine="656" w:firstLineChars="200"/>
        <w:jc w:val="center"/>
        <w:rPr>
          <w:rFonts w:ascii="宋体" w:hAnsi="宋体" w:eastAsia="宋体" w:cs="宋体"/>
          <w:color w:val="000000" w:themeColor="text1"/>
          <w:sz w:val="32"/>
          <w:szCs w:val="32"/>
          <w:highlight w:val="none"/>
          <w14:textFill>
            <w14:solidFill>
              <w14:schemeClr w14:val="tx1"/>
            </w14:solidFill>
          </w14:textFill>
        </w:rPr>
      </w:pPr>
      <w:bookmarkStart w:id="286" w:name="_Toc31589"/>
      <w:r>
        <w:rPr>
          <w:rFonts w:hint="eastAsia" w:ascii="宋体" w:hAnsi="宋体" w:eastAsia="宋体" w:cs="宋体"/>
          <w:b/>
          <w:bCs/>
          <w:color w:val="000000" w:themeColor="text1"/>
          <w:sz w:val="32"/>
          <w:szCs w:val="32"/>
          <w:highlight w:val="none"/>
          <w14:textFill>
            <w14:solidFill>
              <w14:schemeClr w14:val="tx1"/>
            </w14:solidFill>
          </w14:textFill>
        </w:rPr>
        <w:t>项目编号：SXWZ2022ZB-XTY-086</w:t>
      </w:r>
      <w:bookmarkEnd w:id="286"/>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snapToGrid w:val="0"/>
        <w:spacing w:line="480" w:lineRule="auto"/>
        <w:ind w:firstLine="1152" w:firstLineChars="4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zh-CN"/>
          <w14:textFill>
            <w14:solidFill>
              <w14:schemeClr w14:val="tx1"/>
            </w14:solidFill>
          </w14:textFill>
        </w:rPr>
        <w:t>供应商（单位名称及公章）：</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snapToGrid w:val="0"/>
        <w:spacing w:line="480" w:lineRule="auto"/>
        <w:ind w:firstLine="1152" w:firstLineChars="400"/>
        <w:jc w:val="both"/>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法定代表人或被授权人（签字或盖章）：</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snapToGrid w:val="0"/>
        <w:spacing w:line="480" w:lineRule="auto"/>
        <w:ind w:firstLine="1152" w:firstLineChars="400"/>
        <w:rPr>
          <w:rFonts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w:t>
      </w:r>
      <w:r>
        <w:rPr>
          <w:rFonts w:hint="eastAsia" w:ascii="宋体" w:hAnsi="宋体" w:eastAsia="宋体" w:cs="宋体"/>
          <w:color w:val="000000" w:themeColor="text1"/>
          <w:sz w:val="28"/>
          <w:szCs w:val="28"/>
          <w:highlight w:val="none"/>
          <w:lang w:val="zh-CN"/>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spacing w:line="560" w:lineRule="exact"/>
        <w:ind w:firstLine="896" w:firstLineChars="200"/>
        <w:jc w:val="center"/>
        <w:rPr>
          <w:rFonts w:ascii="宋体" w:hAnsi="宋体" w:eastAsia="宋体" w:cs="宋体"/>
          <w:color w:val="000000" w:themeColor="text1"/>
          <w:sz w:val="44"/>
          <w:szCs w:val="44"/>
          <w:highlight w:val="none"/>
          <w14:textFill>
            <w14:solidFill>
              <w14:schemeClr w14:val="tx1"/>
            </w14:solidFill>
          </w14:textFill>
        </w:rPr>
      </w:pPr>
    </w:p>
    <w:p>
      <w:pPr>
        <w:spacing w:line="560" w:lineRule="exact"/>
        <w:ind w:firstLine="896" w:firstLineChars="200"/>
        <w:jc w:val="center"/>
        <w:rPr>
          <w:rFonts w:ascii="宋体" w:hAnsi="宋体" w:eastAsia="宋体" w:cs="宋体"/>
          <w:color w:val="000000" w:themeColor="text1"/>
          <w:sz w:val="44"/>
          <w:szCs w:val="44"/>
          <w:highlight w:val="none"/>
          <w14:textFill>
            <w14:solidFill>
              <w14:schemeClr w14:val="tx1"/>
            </w14:solidFill>
          </w14:textFill>
        </w:rPr>
      </w:pPr>
      <w:bookmarkStart w:id="287" w:name="_Toc28284"/>
      <w:r>
        <w:rPr>
          <w:rFonts w:hint="eastAsia" w:ascii="宋体" w:hAnsi="宋体" w:eastAsia="宋体" w:cs="宋体"/>
          <w:color w:val="000000" w:themeColor="text1"/>
          <w:sz w:val="44"/>
          <w:szCs w:val="44"/>
          <w:highlight w:val="none"/>
          <w14:textFill>
            <w14:solidFill>
              <w14:schemeClr w14:val="tx1"/>
            </w14:solidFill>
          </w14:textFill>
        </w:rPr>
        <w:t>目    录</w:t>
      </w:r>
      <w:bookmarkEnd w:id="287"/>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pStyle w:val="20"/>
        <w:snapToGrid w:val="0"/>
        <w:spacing w:line="480" w:lineRule="auto"/>
        <w:ind w:firstLine="576" w:firstLineChars="200"/>
        <w:rPr>
          <w:rFonts w:hAnsi="宋体" w:eastAsia="宋体" w:cs="宋体"/>
          <w:b/>
          <w:bCs/>
          <w:color w:val="000000" w:themeColor="text1"/>
          <w:sz w:val="28"/>
          <w:szCs w:val="28"/>
          <w:highlight w:val="none"/>
          <w14:textFill>
            <w14:solidFill>
              <w14:schemeClr w14:val="tx1"/>
            </w14:solidFill>
          </w14:textFill>
        </w:rPr>
      </w:pPr>
      <w:r>
        <w:rPr>
          <w:rFonts w:hint="eastAsia" w:hAnsi="宋体" w:eastAsia="宋体" w:cs="宋体"/>
          <w:b/>
          <w:bCs/>
          <w:color w:val="000000" w:themeColor="text1"/>
          <w:sz w:val="28"/>
          <w:szCs w:val="28"/>
          <w:highlight w:val="none"/>
          <w14:textFill>
            <w14:solidFill>
              <w14:schemeClr w14:val="tx1"/>
            </w14:solidFill>
          </w14:textFill>
        </w:rPr>
        <w:t>第一部分   投标函</w:t>
      </w:r>
    </w:p>
    <w:p>
      <w:pPr>
        <w:snapToGrid w:val="0"/>
        <w:spacing w:line="480" w:lineRule="auto"/>
        <w:ind w:firstLine="576" w:firstLineChars="200"/>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第二</w:t>
      </w:r>
      <w:r>
        <w:rPr>
          <w:rFonts w:hint="eastAsia" w:ascii="宋体" w:hAnsi="宋体" w:eastAsia="宋体" w:cs="宋体"/>
          <w:b/>
          <w:bCs/>
          <w:color w:val="000000" w:themeColor="text1"/>
          <w:sz w:val="28"/>
          <w:szCs w:val="28"/>
          <w:highlight w:val="none"/>
          <w14:textFill>
            <w14:solidFill>
              <w14:schemeClr w14:val="tx1"/>
            </w14:solidFill>
          </w14:textFill>
        </w:rPr>
        <w:t>部分</w:t>
      </w:r>
      <w:r>
        <w:rPr>
          <w:rFonts w:hint="eastAsia" w:ascii="宋体" w:hAnsi="宋体" w:eastAsia="宋体" w:cs="宋体"/>
          <w:b/>
          <w:color w:val="000000" w:themeColor="text1"/>
          <w:sz w:val="28"/>
          <w:szCs w:val="28"/>
          <w:highlight w:val="none"/>
          <w14:textFill>
            <w14:solidFill>
              <w14:schemeClr w14:val="tx1"/>
            </w14:solidFill>
          </w14:textFill>
        </w:rPr>
        <w:t xml:space="preserve">   开标一览表 </w:t>
      </w:r>
    </w:p>
    <w:p>
      <w:pPr>
        <w:pStyle w:val="20"/>
        <w:snapToGrid w:val="0"/>
        <w:spacing w:line="480" w:lineRule="auto"/>
        <w:ind w:firstLine="576" w:firstLineChars="200"/>
        <w:rPr>
          <w:rFonts w:hAnsi="宋体" w:eastAsia="宋体" w:cs="宋体"/>
          <w:b/>
          <w:bCs/>
          <w:color w:val="000000" w:themeColor="text1"/>
          <w:sz w:val="28"/>
          <w:szCs w:val="28"/>
          <w:highlight w:val="none"/>
          <w14:textFill>
            <w14:solidFill>
              <w14:schemeClr w14:val="tx1"/>
            </w14:solidFill>
          </w14:textFill>
        </w:rPr>
      </w:pPr>
      <w:r>
        <w:rPr>
          <w:rFonts w:hint="eastAsia" w:hAnsi="宋体" w:eastAsia="宋体" w:cs="宋体"/>
          <w:b/>
          <w:bCs/>
          <w:color w:val="000000" w:themeColor="text1"/>
          <w:sz w:val="28"/>
          <w:szCs w:val="28"/>
          <w:highlight w:val="none"/>
          <w14:textFill>
            <w14:solidFill>
              <w14:schemeClr w14:val="tx1"/>
            </w14:solidFill>
          </w14:textFill>
        </w:rPr>
        <w:t xml:space="preserve">第三部分   </w:t>
      </w:r>
      <w:r>
        <w:rPr>
          <w:rFonts w:hint="eastAsia" w:hAnsi="宋体" w:eastAsia="宋体" w:cs="宋体"/>
          <w:b/>
          <w:color w:val="000000" w:themeColor="text1"/>
          <w:sz w:val="28"/>
          <w:szCs w:val="28"/>
          <w:highlight w:val="none"/>
          <w14:textFill>
            <w14:solidFill>
              <w14:schemeClr w14:val="tx1"/>
            </w14:solidFill>
          </w14:textFill>
        </w:rPr>
        <w:t>供应商资质证明资料</w:t>
      </w:r>
    </w:p>
    <w:p>
      <w:pPr>
        <w:pStyle w:val="20"/>
        <w:snapToGrid w:val="0"/>
        <w:spacing w:line="480" w:lineRule="auto"/>
        <w:ind w:firstLine="576" w:firstLineChars="200"/>
        <w:rPr>
          <w:rFonts w:hAnsi="宋体" w:eastAsia="宋体" w:cs="宋体"/>
          <w:b/>
          <w:bCs/>
          <w:color w:val="000000" w:themeColor="text1"/>
          <w:sz w:val="28"/>
          <w:szCs w:val="28"/>
          <w:highlight w:val="none"/>
          <w14:textFill>
            <w14:solidFill>
              <w14:schemeClr w14:val="tx1"/>
            </w14:solidFill>
          </w14:textFill>
        </w:rPr>
      </w:pPr>
      <w:r>
        <w:rPr>
          <w:rFonts w:hint="eastAsia" w:hAnsi="宋体" w:eastAsia="宋体" w:cs="宋体"/>
          <w:b/>
          <w:color w:val="000000" w:themeColor="text1"/>
          <w:sz w:val="28"/>
          <w:szCs w:val="28"/>
          <w:highlight w:val="none"/>
          <w14:textFill>
            <w14:solidFill>
              <w14:schemeClr w14:val="tx1"/>
            </w14:solidFill>
          </w14:textFill>
        </w:rPr>
        <w:t>第四</w:t>
      </w:r>
      <w:r>
        <w:rPr>
          <w:rFonts w:hint="eastAsia" w:hAnsi="宋体" w:eastAsia="宋体" w:cs="宋体"/>
          <w:b/>
          <w:bCs/>
          <w:color w:val="000000" w:themeColor="text1"/>
          <w:sz w:val="28"/>
          <w:szCs w:val="28"/>
          <w:highlight w:val="none"/>
          <w14:textFill>
            <w14:solidFill>
              <w14:schemeClr w14:val="tx1"/>
            </w14:solidFill>
          </w14:textFill>
        </w:rPr>
        <w:t>部分</w:t>
      </w:r>
      <w:r>
        <w:rPr>
          <w:rFonts w:hint="eastAsia" w:hAnsi="宋体" w:eastAsia="宋体" w:cs="宋体"/>
          <w:b/>
          <w:color w:val="000000" w:themeColor="text1"/>
          <w:sz w:val="28"/>
          <w:szCs w:val="28"/>
          <w:highlight w:val="none"/>
          <w14:textFill>
            <w14:solidFill>
              <w14:schemeClr w14:val="tx1"/>
            </w14:solidFill>
          </w14:textFill>
        </w:rPr>
        <w:t xml:space="preserve">   供应商概况</w:t>
      </w:r>
    </w:p>
    <w:p>
      <w:pPr>
        <w:pStyle w:val="20"/>
        <w:snapToGrid w:val="0"/>
        <w:spacing w:line="480" w:lineRule="auto"/>
        <w:ind w:firstLine="576" w:firstLineChars="200"/>
        <w:rPr>
          <w:rFonts w:hAnsi="宋体" w:eastAsia="宋体" w:cs="宋体"/>
          <w:b/>
          <w:color w:val="000000" w:themeColor="text1"/>
          <w:sz w:val="28"/>
          <w:szCs w:val="28"/>
          <w:highlight w:val="none"/>
          <w14:textFill>
            <w14:solidFill>
              <w14:schemeClr w14:val="tx1"/>
            </w14:solidFill>
          </w14:textFill>
        </w:rPr>
      </w:pPr>
      <w:r>
        <w:rPr>
          <w:rFonts w:hint="eastAsia" w:hAnsi="宋体" w:eastAsia="宋体" w:cs="宋体"/>
          <w:b/>
          <w:color w:val="000000" w:themeColor="text1"/>
          <w:sz w:val="28"/>
          <w:szCs w:val="28"/>
          <w:highlight w:val="none"/>
          <w14:textFill>
            <w14:solidFill>
              <w14:schemeClr w14:val="tx1"/>
            </w14:solidFill>
          </w14:textFill>
        </w:rPr>
        <w:t>第五</w:t>
      </w:r>
      <w:r>
        <w:rPr>
          <w:rFonts w:hint="eastAsia" w:hAnsi="宋体" w:eastAsia="宋体" w:cs="宋体"/>
          <w:b/>
          <w:bCs/>
          <w:color w:val="000000" w:themeColor="text1"/>
          <w:sz w:val="28"/>
          <w:szCs w:val="28"/>
          <w:highlight w:val="none"/>
          <w14:textFill>
            <w14:solidFill>
              <w14:schemeClr w14:val="tx1"/>
            </w14:solidFill>
          </w14:textFill>
        </w:rPr>
        <w:t>部分</w:t>
      </w:r>
      <w:r>
        <w:rPr>
          <w:rFonts w:hint="eastAsia" w:hAnsi="宋体" w:eastAsia="宋体" w:cs="宋体"/>
          <w:b/>
          <w:color w:val="000000" w:themeColor="text1"/>
          <w:sz w:val="28"/>
          <w:szCs w:val="28"/>
          <w:highlight w:val="none"/>
          <w14:textFill>
            <w14:solidFill>
              <w14:schemeClr w14:val="tx1"/>
            </w14:solidFill>
          </w14:textFill>
        </w:rPr>
        <w:t xml:space="preserve">   商务和技术响应偏离表</w:t>
      </w:r>
    </w:p>
    <w:p>
      <w:pPr>
        <w:pStyle w:val="20"/>
        <w:snapToGrid w:val="0"/>
        <w:spacing w:line="480" w:lineRule="auto"/>
        <w:ind w:firstLine="576" w:firstLineChars="200"/>
        <w:rPr>
          <w:rFonts w:hAnsi="宋体" w:eastAsia="宋体" w:cs="宋体"/>
          <w:b/>
          <w:color w:val="000000" w:themeColor="text1"/>
          <w:sz w:val="28"/>
          <w:szCs w:val="28"/>
          <w:highlight w:val="none"/>
          <w14:textFill>
            <w14:solidFill>
              <w14:schemeClr w14:val="tx1"/>
            </w14:solidFill>
          </w14:textFill>
        </w:rPr>
      </w:pPr>
      <w:r>
        <w:rPr>
          <w:rFonts w:hint="eastAsia" w:hAnsi="宋体" w:eastAsia="宋体" w:cs="宋体"/>
          <w:b/>
          <w:color w:val="000000" w:themeColor="text1"/>
          <w:sz w:val="28"/>
          <w:szCs w:val="28"/>
          <w:highlight w:val="none"/>
          <w14:textFill>
            <w14:solidFill>
              <w14:schemeClr w14:val="tx1"/>
            </w14:solidFill>
          </w14:textFill>
        </w:rPr>
        <w:t>第六</w:t>
      </w:r>
      <w:r>
        <w:rPr>
          <w:rFonts w:hint="eastAsia" w:hAnsi="宋体" w:eastAsia="宋体" w:cs="宋体"/>
          <w:b/>
          <w:bCs/>
          <w:color w:val="000000" w:themeColor="text1"/>
          <w:sz w:val="28"/>
          <w:szCs w:val="28"/>
          <w:highlight w:val="none"/>
          <w14:textFill>
            <w14:solidFill>
              <w14:schemeClr w14:val="tx1"/>
            </w14:solidFill>
          </w14:textFill>
        </w:rPr>
        <w:t>部分</w:t>
      </w:r>
      <w:r>
        <w:rPr>
          <w:rFonts w:hint="eastAsia" w:hAnsi="宋体" w:eastAsia="宋体" w:cs="宋体"/>
          <w:b/>
          <w:color w:val="000000" w:themeColor="text1"/>
          <w:sz w:val="28"/>
          <w:szCs w:val="28"/>
          <w:highlight w:val="none"/>
          <w14:textFill>
            <w14:solidFill>
              <w14:schemeClr w14:val="tx1"/>
            </w14:solidFill>
          </w14:textFill>
        </w:rPr>
        <w:t xml:space="preserve">   技术方案</w:t>
      </w:r>
    </w:p>
    <w:p>
      <w:pPr>
        <w:pStyle w:val="20"/>
        <w:snapToGrid w:val="0"/>
        <w:spacing w:line="480" w:lineRule="auto"/>
        <w:ind w:firstLine="576" w:firstLineChars="200"/>
        <w:rPr>
          <w:rFonts w:hAnsi="宋体" w:eastAsia="宋体" w:cs="宋体"/>
          <w:b/>
          <w:color w:val="000000" w:themeColor="text1"/>
          <w:sz w:val="28"/>
          <w:szCs w:val="28"/>
          <w:highlight w:val="none"/>
          <w14:textFill>
            <w14:solidFill>
              <w14:schemeClr w14:val="tx1"/>
            </w14:solidFill>
          </w14:textFill>
        </w:rPr>
      </w:pPr>
      <w:r>
        <w:rPr>
          <w:rFonts w:hint="eastAsia" w:hAnsi="宋体" w:eastAsia="宋体" w:cs="宋体"/>
          <w:b/>
          <w:color w:val="000000" w:themeColor="text1"/>
          <w:sz w:val="28"/>
          <w:szCs w:val="28"/>
          <w:highlight w:val="none"/>
          <w14:textFill>
            <w14:solidFill>
              <w14:schemeClr w14:val="tx1"/>
            </w14:solidFill>
          </w14:textFill>
        </w:rPr>
        <w:t>第七部分   售后服务及培训方案</w:t>
      </w:r>
    </w:p>
    <w:p>
      <w:pPr>
        <w:pStyle w:val="20"/>
        <w:snapToGrid w:val="0"/>
        <w:spacing w:line="480" w:lineRule="auto"/>
        <w:ind w:firstLine="576" w:firstLineChars="200"/>
        <w:rPr>
          <w:rFonts w:hAnsi="宋体" w:eastAsia="宋体" w:cs="宋体"/>
          <w:b/>
          <w:color w:val="000000" w:themeColor="text1"/>
          <w:sz w:val="28"/>
          <w:szCs w:val="28"/>
          <w:highlight w:val="none"/>
          <w14:textFill>
            <w14:solidFill>
              <w14:schemeClr w14:val="tx1"/>
            </w14:solidFill>
          </w14:textFill>
        </w:rPr>
      </w:pPr>
      <w:r>
        <w:rPr>
          <w:rFonts w:hint="eastAsia" w:hAnsi="宋体" w:eastAsia="宋体" w:cs="宋体"/>
          <w:b/>
          <w:color w:val="000000" w:themeColor="text1"/>
          <w:sz w:val="28"/>
          <w:szCs w:val="28"/>
          <w:highlight w:val="none"/>
          <w14:textFill>
            <w14:solidFill>
              <w14:schemeClr w14:val="tx1"/>
            </w14:solidFill>
          </w14:textFill>
        </w:rPr>
        <w:t>第八</w:t>
      </w:r>
      <w:r>
        <w:rPr>
          <w:rFonts w:hint="eastAsia" w:hAnsi="宋体" w:eastAsia="宋体" w:cs="宋体"/>
          <w:b/>
          <w:bCs/>
          <w:color w:val="000000" w:themeColor="text1"/>
          <w:sz w:val="28"/>
          <w:szCs w:val="28"/>
          <w:highlight w:val="none"/>
          <w14:textFill>
            <w14:solidFill>
              <w14:schemeClr w14:val="tx1"/>
            </w14:solidFill>
          </w14:textFill>
        </w:rPr>
        <w:t>部分</w:t>
      </w:r>
      <w:r>
        <w:rPr>
          <w:rFonts w:hint="eastAsia" w:hAnsi="宋体" w:eastAsia="宋体" w:cs="宋体"/>
          <w:b/>
          <w:color w:val="000000" w:themeColor="text1"/>
          <w:sz w:val="28"/>
          <w:szCs w:val="28"/>
          <w:highlight w:val="none"/>
          <w14:textFill>
            <w14:solidFill>
              <w14:schemeClr w14:val="tx1"/>
            </w14:solidFill>
          </w14:textFill>
        </w:rPr>
        <w:t xml:space="preserve">   供应商业绩一览表</w:t>
      </w:r>
    </w:p>
    <w:p>
      <w:pPr>
        <w:pStyle w:val="20"/>
        <w:snapToGrid w:val="0"/>
        <w:spacing w:line="480" w:lineRule="auto"/>
        <w:ind w:firstLine="576" w:firstLineChars="200"/>
        <w:rPr>
          <w:rFonts w:hAnsi="宋体" w:eastAsia="宋体" w:cs="宋体"/>
          <w:b/>
          <w:color w:val="000000" w:themeColor="text1"/>
          <w:sz w:val="28"/>
          <w:szCs w:val="28"/>
          <w:highlight w:val="none"/>
          <w14:textFill>
            <w14:solidFill>
              <w14:schemeClr w14:val="tx1"/>
            </w14:solidFill>
          </w14:textFill>
        </w:rPr>
      </w:pPr>
      <w:r>
        <w:rPr>
          <w:rFonts w:hint="eastAsia" w:hAnsi="宋体" w:eastAsia="宋体" w:cs="宋体"/>
          <w:b/>
          <w:color w:val="000000" w:themeColor="text1"/>
          <w:sz w:val="28"/>
          <w:szCs w:val="28"/>
          <w:highlight w:val="none"/>
          <w14:textFill>
            <w14:solidFill>
              <w14:schemeClr w14:val="tx1"/>
            </w14:solidFill>
          </w14:textFill>
        </w:rPr>
        <w:t>第九</w:t>
      </w:r>
      <w:r>
        <w:rPr>
          <w:rFonts w:hint="eastAsia" w:hAnsi="宋体" w:eastAsia="宋体" w:cs="宋体"/>
          <w:b/>
          <w:bCs/>
          <w:color w:val="000000" w:themeColor="text1"/>
          <w:sz w:val="28"/>
          <w:szCs w:val="28"/>
          <w:highlight w:val="none"/>
          <w14:textFill>
            <w14:solidFill>
              <w14:schemeClr w14:val="tx1"/>
            </w14:solidFill>
          </w14:textFill>
        </w:rPr>
        <w:t>部分</w:t>
      </w:r>
      <w:r>
        <w:rPr>
          <w:rFonts w:hint="eastAsia" w:hAnsi="宋体" w:eastAsia="宋体" w:cs="宋体"/>
          <w:b/>
          <w:color w:val="000000" w:themeColor="text1"/>
          <w:sz w:val="28"/>
          <w:szCs w:val="28"/>
          <w:highlight w:val="none"/>
          <w14:textFill>
            <w14:solidFill>
              <w14:schemeClr w14:val="tx1"/>
            </w14:solidFill>
          </w14:textFill>
        </w:rPr>
        <w:t xml:space="preserve">   供应商认为有必要说明的其他问题</w:t>
      </w:r>
    </w:p>
    <w:p>
      <w:pP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4"/>
        <w:ind w:firstLine="657"/>
        <w:jc w:val="center"/>
        <w:rPr>
          <w:rFonts w:ascii="宋体" w:hAnsi="宋体" w:eastAsia="宋体" w:cs="宋体"/>
          <w:color w:val="000000" w:themeColor="text1"/>
          <w:highlight w:val="none"/>
          <w14:textFill>
            <w14:solidFill>
              <w14:schemeClr w14:val="tx1"/>
            </w14:solidFill>
          </w14:textFill>
        </w:rPr>
      </w:pPr>
      <w:bookmarkStart w:id="288" w:name="_Toc9160"/>
      <w:bookmarkStart w:id="289" w:name="_Toc22015"/>
      <w:r>
        <w:rPr>
          <w:rFonts w:hint="eastAsia" w:ascii="宋体" w:hAnsi="宋体" w:eastAsia="宋体" w:cs="宋体"/>
          <w:color w:val="000000" w:themeColor="text1"/>
          <w:highlight w:val="none"/>
          <w14:textFill>
            <w14:solidFill>
              <w14:schemeClr w14:val="tx1"/>
            </w14:solidFill>
          </w14:textFill>
        </w:rPr>
        <w:t>第一部分  投标函</w:t>
      </w:r>
      <w:bookmarkEnd w:id="288"/>
      <w:bookmarkEnd w:id="289"/>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陕西万泽招标有限公司：</w:t>
      </w:r>
    </w:p>
    <w:p>
      <w:pPr>
        <w:spacing w:line="560" w:lineRule="exact"/>
        <w:ind w:firstLine="576"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我单位收到项目名称为：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（项目编号为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的招标文件，经详细研究，我公司决定参加本次招标活动。为此，我方郑重承诺以下诸点，并负法律责任。</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1．我方已详细阅读了招标文件，完全理解并同意招标文件的所有事项及内容。</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3．我方同意向贵单位提供与本次招标有关的全部证明材料，并保证所提交的证明材料真实、合法、有效。</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4．我方理解最低价不是中标的唯一条件，并尊重评标委员会的评审结果。</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5．我方投标文件在开启之日起___个日历日（应不少于90个日历日）内有效。</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6．若我方中标，我方承诺：（1）将投标文件有效期延长至合同执行完毕。（2）遵照招标文件中的要求，完成本项目的合同责任和义务。</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7．所有关于此次招标活动的函电，请按下列方式联系：</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供应商：（供应商全称并加盖公章）</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法定代表人或委托代理人：（签字或盖章）</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联系电话：</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通讯地址：</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邮    编：</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电子邮箱：</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    年  月  日</w:t>
      </w:r>
    </w:p>
    <w:p>
      <w:pP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4"/>
        <w:numPr>
          <w:ilvl w:val="0"/>
          <w:numId w:val="5"/>
        </w:numPr>
        <w:ind w:firstLine="657"/>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bookmarkStart w:id="290" w:name="_Toc9518"/>
      <w:bookmarkStart w:id="291" w:name="_Toc3282"/>
      <w:r>
        <w:rPr>
          <w:rFonts w:hint="eastAsia" w:ascii="宋体" w:hAnsi="宋体" w:eastAsia="宋体" w:cs="宋体"/>
          <w:color w:val="000000" w:themeColor="text1"/>
          <w:highlight w:val="none"/>
          <w14:textFill>
            <w14:solidFill>
              <w14:schemeClr w14:val="tx1"/>
            </w14:solidFill>
          </w14:textFill>
        </w:rPr>
        <w:t>开标一览表</w:t>
      </w:r>
      <w:bookmarkEnd w:id="290"/>
      <w:bookmarkEnd w:id="291"/>
    </w:p>
    <w:p>
      <w:pPr>
        <w:kinsoku w:val="0"/>
        <w:spacing w:line="360" w:lineRule="auto"/>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项目名称：                                    </w:t>
      </w:r>
    </w:p>
    <w:p>
      <w:pPr>
        <w:kinsoku w:val="0"/>
        <w:spacing w:line="360" w:lineRule="auto"/>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项目编号：</w:t>
      </w:r>
    </w:p>
    <w:p>
      <w:pPr>
        <w:kinsoku w:val="0"/>
        <w:spacing w:line="360" w:lineRule="auto"/>
        <w:rPr>
          <w:rFonts w:ascii="宋体" w:hAnsi="宋体" w:eastAsia="宋体" w:cs="宋体"/>
          <w:b/>
          <w:bCs/>
          <w:color w:val="000000" w:themeColor="text1"/>
          <w:spacing w:val="20"/>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    位：元</w:t>
      </w:r>
    </w:p>
    <w:tbl>
      <w:tblPr>
        <w:tblStyle w:val="33"/>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2485"/>
        <w:gridCol w:w="2420"/>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2259" w:type="dxa"/>
            <w:tcBorders>
              <w:tl2br w:val="single" w:color="auto" w:sz="4" w:space="0"/>
            </w:tcBorders>
          </w:tcPr>
          <w:p>
            <w:pPr>
              <w:kinsoku w:val="0"/>
              <w:spacing w:line="480" w:lineRule="auto"/>
              <w:ind w:firstLine="992" w:firstLineChars="4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报价内容</w:t>
            </w:r>
          </w:p>
          <w:p>
            <w:pPr>
              <w:kinsoku w:val="0"/>
              <w:spacing w:line="4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投标内容</w:t>
            </w:r>
          </w:p>
        </w:tc>
        <w:tc>
          <w:tcPr>
            <w:tcW w:w="2485" w:type="dxa"/>
            <w:vAlign w:val="center"/>
          </w:tcPr>
          <w:p>
            <w:pPr>
              <w:kinsoku w:val="0"/>
              <w:spacing w:line="48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投标总报价</w:t>
            </w:r>
          </w:p>
        </w:tc>
        <w:tc>
          <w:tcPr>
            <w:tcW w:w="2420" w:type="dxa"/>
            <w:vAlign w:val="center"/>
          </w:tcPr>
          <w:p>
            <w:pPr>
              <w:kinsoku w:val="0"/>
              <w:spacing w:line="48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交货期</w:t>
            </w:r>
          </w:p>
        </w:tc>
        <w:tc>
          <w:tcPr>
            <w:tcW w:w="3254" w:type="dxa"/>
            <w:vAlign w:val="center"/>
          </w:tcPr>
          <w:p>
            <w:pPr>
              <w:kinsoku w:val="0"/>
              <w:spacing w:line="48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2259" w:type="dxa"/>
            <w:vAlign w:val="center"/>
          </w:tcPr>
          <w:p>
            <w:pPr>
              <w:kinsoku w:val="0"/>
              <w:spacing w:line="4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西安铁路职业技术学院智慧教室建设项目</w:t>
            </w:r>
          </w:p>
        </w:tc>
        <w:tc>
          <w:tcPr>
            <w:tcW w:w="2485" w:type="dxa"/>
            <w:vAlign w:val="center"/>
          </w:tcPr>
          <w:p>
            <w:pPr>
              <w:kinsoku w:val="0"/>
              <w:spacing w:line="480" w:lineRule="auto"/>
              <w:rPr>
                <w:rFonts w:ascii="宋体" w:hAnsi="宋体" w:eastAsia="宋体" w:cs="宋体"/>
                <w:color w:val="000000" w:themeColor="text1"/>
                <w:szCs w:val="21"/>
                <w:highlight w:val="none"/>
                <w14:textFill>
                  <w14:solidFill>
                    <w14:schemeClr w14:val="tx1"/>
                  </w14:solidFill>
                </w14:textFill>
              </w:rPr>
            </w:pPr>
          </w:p>
        </w:tc>
        <w:tc>
          <w:tcPr>
            <w:tcW w:w="2420" w:type="dxa"/>
            <w:vAlign w:val="center"/>
          </w:tcPr>
          <w:p>
            <w:pPr>
              <w:kinsoku w:val="0"/>
              <w:spacing w:line="480" w:lineRule="auto"/>
              <w:ind w:firstLine="496" w:firstLineChars="200"/>
              <w:rPr>
                <w:rFonts w:ascii="宋体" w:hAnsi="宋体" w:eastAsia="宋体" w:cs="宋体"/>
                <w:color w:val="000000" w:themeColor="text1"/>
                <w:szCs w:val="21"/>
                <w:highlight w:val="none"/>
                <w14:textFill>
                  <w14:solidFill>
                    <w14:schemeClr w14:val="tx1"/>
                  </w14:solidFill>
                </w14:textFill>
              </w:rPr>
            </w:pPr>
          </w:p>
        </w:tc>
        <w:tc>
          <w:tcPr>
            <w:tcW w:w="3254" w:type="dxa"/>
            <w:vAlign w:val="center"/>
          </w:tcPr>
          <w:p>
            <w:pPr>
              <w:kinsoku w:val="0"/>
              <w:spacing w:line="480" w:lineRule="auto"/>
              <w:ind w:firstLine="496" w:firstLineChars="200"/>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0418" w:type="dxa"/>
            <w:gridSpan w:val="4"/>
            <w:vAlign w:val="center"/>
          </w:tcPr>
          <w:p>
            <w:pPr>
              <w:kinsoku w:val="0"/>
              <w:spacing w:line="4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投标总报价：人民币</w:t>
            </w:r>
            <w:r>
              <w:rPr>
                <w:rFonts w:hint="eastAsia" w:ascii="宋体" w:hAnsi="宋体" w:eastAsia="宋体" w:cs="宋体"/>
                <w:color w:val="000000" w:themeColor="text1"/>
                <w:szCs w:val="21"/>
                <w:highlight w:val="none"/>
                <w:u w:val="single"/>
                <w14:textFill>
                  <w14:solidFill>
                    <w14:schemeClr w14:val="tx1"/>
                  </w14:solidFill>
                </w14:textFill>
              </w:rPr>
              <w:t>（大写）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0418" w:type="dxa"/>
            <w:gridSpan w:val="4"/>
            <w:vAlign w:val="center"/>
          </w:tcPr>
          <w:p>
            <w:pPr>
              <w:kinsoku w:val="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p>
            <w:pPr>
              <w:kinsoku w:val="0"/>
              <w:ind w:firstLine="496"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1、表内报价内容以元为单位，精确到小数点后两位。 </w:t>
            </w:r>
          </w:p>
          <w:p>
            <w:pPr>
              <w:ind w:firstLine="496"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2、交货期、质保期要求详见第三章招标内容及要求中一、商务条款。</w:t>
            </w:r>
          </w:p>
        </w:tc>
      </w:tr>
    </w:tbl>
    <w:p>
      <w:pPr>
        <w:tabs>
          <w:tab w:val="left" w:pos="4000"/>
        </w:tabs>
        <w:snapToGrid w:val="0"/>
        <w:spacing w:line="300" w:lineRule="auto"/>
        <w:rPr>
          <w:rFonts w:ascii="宋体" w:hAnsi="宋体" w:eastAsia="宋体" w:cs="宋体"/>
          <w:b/>
          <w:bCs/>
          <w:color w:val="000000" w:themeColor="text1"/>
          <w:spacing w:val="20"/>
          <w:sz w:val="28"/>
          <w:szCs w:val="28"/>
          <w:highlight w:val="none"/>
          <w14:textFill>
            <w14:solidFill>
              <w14:schemeClr w14:val="tx1"/>
            </w14:solidFill>
          </w14:textFill>
        </w:rPr>
      </w:pPr>
    </w:p>
    <w:p>
      <w:pPr>
        <w:adjustRightInd w:val="0"/>
        <w:snapToGrid w:val="0"/>
        <w:spacing w:line="480" w:lineRule="auto"/>
        <w:rPr>
          <w:rFonts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供应商（单位名称及公章）：</w:t>
      </w:r>
    </w:p>
    <w:p>
      <w:pPr>
        <w:adjustRightInd w:val="0"/>
        <w:snapToGrid w:val="0"/>
        <w:spacing w:line="480" w:lineRule="auto"/>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法定代表人或被授权人（签字或盖章）：</w:t>
      </w:r>
    </w:p>
    <w:p>
      <w:pPr>
        <w:adjustRightInd w:val="0"/>
        <w:snapToGrid w:val="0"/>
        <w:spacing w:line="480" w:lineRule="auto"/>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期：年  月  日</w:t>
      </w:r>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2.2分项报价表</w:t>
      </w:r>
    </w:p>
    <w:p>
      <w:pPr>
        <w:wordWrap w:val="0"/>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项目名称：西安铁路职业技术学院智慧教室建设项目   </w:t>
      </w:r>
    </w:p>
    <w:p>
      <w:pPr>
        <w:wordWrap w:val="0"/>
        <w:spacing w:line="360" w:lineRule="auto"/>
        <w:rPr>
          <w:rFonts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w:t>
      </w:r>
      <w:r>
        <w:rPr>
          <w:rFonts w:hint="eastAsia" w:ascii="宋体" w:hAnsi="宋体" w:eastAsia="宋体" w:cs="宋体"/>
          <w:color w:val="000000" w:themeColor="text1"/>
          <w:highlight w:val="none"/>
          <w:u w:val="single"/>
          <w14:textFill>
            <w14:solidFill>
              <w14:schemeClr w14:val="tx1"/>
            </w14:solidFill>
          </w14:textFill>
        </w:rPr>
        <w:t xml:space="preserve"> SXWZ2022ZB-XTY-086</w:t>
      </w:r>
    </w:p>
    <w:p>
      <w:pPr>
        <w:wordWrap w:val="0"/>
        <w:spacing w:line="360" w:lineRule="auto"/>
        <w:rPr>
          <w:rFonts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共  页，第  页</w:t>
      </w:r>
    </w:p>
    <w:p>
      <w:pPr>
        <w:spacing w:line="560" w:lineRule="exact"/>
        <w:ind w:firstLine="496"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单位：元</w:t>
      </w:r>
    </w:p>
    <w:tbl>
      <w:tblPr>
        <w:tblStyle w:val="33"/>
        <w:tblW w:w="103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775"/>
        <w:gridCol w:w="1642"/>
        <w:gridCol w:w="1821"/>
        <w:gridCol w:w="1560"/>
        <w:gridCol w:w="1112"/>
        <w:gridCol w:w="16"/>
        <w:gridCol w:w="1097"/>
        <w:gridCol w:w="16"/>
        <w:gridCol w:w="1201"/>
        <w:gridCol w:w="16"/>
        <w:gridCol w:w="114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775" w:type="dxa"/>
            <w:shd w:val="clear" w:color="auto" w:fill="F1F1F1" w:themeFill="background1" w:themeFillShade="F2"/>
            <w:noWrap/>
            <w:tcMar>
              <w:top w:w="20" w:type="dxa"/>
              <w:left w:w="20" w:type="dxa"/>
              <w:bottom w:w="0" w:type="dxa"/>
              <w:right w:w="20" w:type="dxa"/>
            </w:tcMar>
            <w:vAlign w:val="center"/>
          </w:tcPr>
          <w:p>
            <w:pPr>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一</w:t>
            </w:r>
          </w:p>
        </w:tc>
        <w:tc>
          <w:tcPr>
            <w:tcW w:w="9624" w:type="dxa"/>
            <w:gridSpan w:val="10"/>
            <w:shd w:val="clear" w:color="auto" w:fill="F1F1F1" w:themeFill="background1" w:themeFillShade="F2"/>
            <w:noWrap/>
            <w:tcMar>
              <w:top w:w="20" w:type="dxa"/>
              <w:left w:w="20" w:type="dxa"/>
              <w:bottom w:w="0" w:type="dxa"/>
              <w:right w:w="20" w:type="dxa"/>
            </w:tcMar>
            <w:vAlign w:val="center"/>
          </w:tcPr>
          <w:p>
            <w:pPr>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产品购置费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92" w:hRule="atLeast"/>
          <w:jc w:val="center"/>
        </w:trPr>
        <w:tc>
          <w:tcPr>
            <w:tcW w:w="775" w:type="dxa"/>
            <w:shd w:val="clear" w:color="auto" w:fill="auto"/>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642" w:type="dxa"/>
            <w:shd w:val="clear" w:color="auto" w:fill="auto"/>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产品名称</w:t>
            </w:r>
          </w:p>
        </w:tc>
        <w:tc>
          <w:tcPr>
            <w:tcW w:w="1821" w:type="dxa"/>
            <w:shd w:val="clear" w:color="auto" w:fill="auto"/>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品牌及</w:t>
            </w:r>
          </w:p>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规格型号</w:t>
            </w:r>
          </w:p>
        </w:tc>
        <w:tc>
          <w:tcPr>
            <w:tcW w:w="1560" w:type="dxa"/>
            <w:shd w:val="clear" w:color="auto" w:fill="auto"/>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生产厂家</w:t>
            </w:r>
          </w:p>
        </w:tc>
        <w:tc>
          <w:tcPr>
            <w:tcW w:w="1112" w:type="dxa"/>
            <w:shd w:val="clear" w:color="auto" w:fill="auto"/>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是否小微企业产品</w:t>
            </w:r>
          </w:p>
        </w:tc>
        <w:tc>
          <w:tcPr>
            <w:tcW w:w="1113" w:type="dxa"/>
            <w:gridSpan w:val="2"/>
            <w:shd w:val="clear" w:color="auto" w:fill="auto"/>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数量</w:t>
            </w:r>
          </w:p>
        </w:tc>
        <w:tc>
          <w:tcPr>
            <w:tcW w:w="1217" w:type="dxa"/>
            <w:gridSpan w:val="2"/>
            <w:shd w:val="clear" w:color="auto" w:fill="auto"/>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单价</w:t>
            </w:r>
          </w:p>
        </w:tc>
        <w:tc>
          <w:tcPr>
            <w:tcW w:w="1159" w:type="dxa"/>
            <w:gridSpan w:val="2"/>
            <w:shd w:val="clear" w:color="auto" w:fill="auto"/>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821"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560"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59" w:type="dxa"/>
            <w:gridSpan w:val="2"/>
            <w:vAlign w:val="center"/>
          </w:tcPr>
          <w:p>
            <w:pP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821"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560"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59" w:type="dxa"/>
            <w:gridSpan w:val="2"/>
            <w:vAlign w:val="center"/>
          </w:tcPr>
          <w:p>
            <w:pP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821"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560"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59" w:type="dxa"/>
            <w:gridSpan w:val="2"/>
            <w:vAlign w:val="center"/>
          </w:tcPr>
          <w:p>
            <w:pP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821"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560"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59" w:type="dxa"/>
            <w:gridSpan w:val="2"/>
            <w:vAlign w:val="center"/>
          </w:tcPr>
          <w:p>
            <w:pP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821"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560"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59" w:type="dxa"/>
            <w:gridSpan w:val="2"/>
            <w:vAlign w:val="center"/>
          </w:tcPr>
          <w:p>
            <w:pP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821"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560"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59" w:type="dxa"/>
            <w:gridSpan w:val="2"/>
            <w:vAlign w:val="center"/>
          </w:tcPr>
          <w:p>
            <w:pP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shd w:val="clear" w:color="auto" w:fill="F1F1F1" w:themeFill="background1" w:themeFillShade="F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w:t>
            </w:r>
          </w:p>
        </w:tc>
        <w:tc>
          <w:tcPr>
            <w:tcW w:w="9624" w:type="dxa"/>
            <w:gridSpan w:val="10"/>
            <w:shd w:val="clear" w:color="auto" w:fill="F1F1F1" w:themeFill="background1" w:themeFillShade="F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其他费用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费用名称</w:t>
            </w:r>
          </w:p>
        </w:tc>
        <w:tc>
          <w:tcPr>
            <w:tcW w:w="4509" w:type="dxa"/>
            <w:gridSpan w:val="4"/>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费用描述</w:t>
            </w: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数量</w:t>
            </w: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单价</w:t>
            </w:r>
          </w:p>
        </w:tc>
        <w:tc>
          <w:tcPr>
            <w:tcW w:w="1143" w:type="dxa"/>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4509" w:type="dxa"/>
            <w:gridSpan w:val="4"/>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43" w:type="dxa"/>
            <w:vAlign w:val="center"/>
          </w:tcPr>
          <w:p>
            <w:pP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4509" w:type="dxa"/>
            <w:gridSpan w:val="4"/>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43" w:type="dxa"/>
            <w:vAlign w:val="center"/>
          </w:tcPr>
          <w:p>
            <w:pP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4509" w:type="dxa"/>
            <w:gridSpan w:val="4"/>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43" w:type="dxa"/>
            <w:vAlign w:val="center"/>
          </w:tcPr>
          <w:p>
            <w:pP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4509" w:type="dxa"/>
            <w:gridSpan w:val="4"/>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43" w:type="dxa"/>
            <w:vAlign w:val="center"/>
          </w:tcPr>
          <w:p>
            <w:pP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24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投标总报价</w:t>
            </w:r>
          </w:p>
        </w:tc>
        <w:tc>
          <w:tcPr>
            <w:tcW w:w="7982" w:type="dxa"/>
            <w:gridSpan w:val="9"/>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大写：                       小写：元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24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备注</w:t>
            </w:r>
          </w:p>
        </w:tc>
        <w:tc>
          <w:tcPr>
            <w:tcW w:w="7982" w:type="dxa"/>
            <w:gridSpan w:val="9"/>
            <w:noWrap/>
            <w:tcMar>
              <w:top w:w="20" w:type="dxa"/>
              <w:left w:w="20" w:type="dxa"/>
              <w:bottom w:w="0" w:type="dxa"/>
              <w:right w:w="20" w:type="dxa"/>
            </w:tcMar>
            <w:vAlign w:val="center"/>
          </w:tcPr>
          <w:p>
            <w:pPr>
              <w:spacing w:beforeLines="50"/>
              <w:jc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精确到小数点后两位</w:t>
            </w:r>
          </w:p>
        </w:tc>
      </w:tr>
    </w:tbl>
    <w:p>
      <w:pPr>
        <w:spacing w:line="56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说明：1.此表由供应商按项目情况自行列支，仅作参考。</w:t>
      </w:r>
    </w:p>
    <w:p>
      <w:pPr>
        <w:adjustRightInd w:val="0"/>
        <w:snapToGrid w:val="0"/>
        <w:spacing w:line="48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2.表格空间不足时，可自行扩展。</w:t>
      </w:r>
    </w:p>
    <w:p>
      <w:pPr>
        <w:adjustRightInd w:val="0"/>
        <w:snapToGrid w:val="0"/>
        <w:spacing w:line="480" w:lineRule="auto"/>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供应商（供应商名称及公章）：</w:t>
      </w:r>
    </w:p>
    <w:p>
      <w:pPr>
        <w:adjustRightInd w:val="0"/>
        <w:snapToGrid w:val="0"/>
        <w:spacing w:line="480" w:lineRule="auto"/>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法定代表人或被授权人（签字或盖章）：</w:t>
      </w:r>
    </w:p>
    <w:p>
      <w:pPr>
        <w:adjustRightInd w:val="0"/>
        <w:snapToGrid w:val="0"/>
        <w:spacing w:line="48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w:t>
      </w:r>
    </w:p>
    <w:p>
      <w:pPr>
        <w:adjustRightInd w:val="0"/>
        <w:snapToGrid w:val="0"/>
        <w:spacing w:line="480" w:lineRule="auto"/>
        <w:rPr>
          <w:rFonts w:ascii="宋体" w:hAnsi="宋体" w:eastAsia="宋体" w:cs="宋体"/>
          <w:color w:val="000000" w:themeColor="text1"/>
          <w:sz w:val="36"/>
          <w:szCs w:val="36"/>
          <w:highlight w:val="none"/>
          <w14:textFill>
            <w14:solidFill>
              <w14:schemeClr w14:val="tx1"/>
            </w14:solidFill>
          </w14:textFill>
        </w:rPr>
        <w:sectPr>
          <w:headerReference r:id="rId8" w:type="first"/>
          <w:footerReference r:id="rId10" w:type="first"/>
          <w:footerReference r:id="rId9" w:type="default"/>
          <w:pgSz w:w="11906" w:h="16838"/>
          <w:pgMar w:top="1440" w:right="1083" w:bottom="1440" w:left="1083" w:header="850" w:footer="992" w:gutter="0"/>
          <w:cols w:space="0" w:num="1"/>
          <w:titlePg/>
          <w:docGrid w:type="linesAndChars" w:linePitch="395" w:charSpace="1724"/>
        </w:sectPr>
      </w:pPr>
    </w:p>
    <w:p>
      <w:pPr>
        <w:spacing w:line="440" w:lineRule="exact"/>
        <w:jc w:val="center"/>
        <w:rPr>
          <w:rFonts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2.3关键零部件及备品备件清单</w:t>
      </w:r>
    </w:p>
    <w:p>
      <w:pPr>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项目编号：</w:t>
      </w:r>
    </w:p>
    <w:p>
      <w:pPr>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项目名称：                       </w:t>
      </w:r>
    </w:p>
    <w:tbl>
      <w:tblPr>
        <w:tblStyle w:val="33"/>
        <w:tblW w:w="90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1746"/>
        <w:gridCol w:w="1820"/>
        <w:gridCol w:w="1542"/>
        <w:gridCol w:w="1517"/>
        <w:gridCol w:w="1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746"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名称</w:t>
            </w:r>
          </w:p>
        </w:tc>
        <w:tc>
          <w:tcPr>
            <w:tcW w:w="1820"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型号、规格</w:t>
            </w:r>
          </w:p>
        </w:tc>
        <w:tc>
          <w:tcPr>
            <w:tcW w:w="1542"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国别、制造商</w:t>
            </w:r>
          </w:p>
        </w:tc>
        <w:tc>
          <w:tcPr>
            <w:tcW w:w="1517" w:type="dxa"/>
            <w:vAlign w:val="center"/>
          </w:tcPr>
          <w:p>
            <w:pPr>
              <w:spacing w:line="440" w:lineRule="exact"/>
              <w:jc w:val="center"/>
              <w:rPr>
                <w:rStyle w:val="41"/>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单价</w:t>
            </w:r>
          </w:p>
          <w:p>
            <w:pPr>
              <w:spacing w:line="440" w:lineRule="exact"/>
              <w:jc w:val="center"/>
              <w:rPr>
                <w:rStyle w:val="41"/>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（元）</w:t>
            </w:r>
          </w:p>
        </w:tc>
        <w:tc>
          <w:tcPr>
            <w:tcW w:w="1499"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746"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820"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42" w:type="dxa"/>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17"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499"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746"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820"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42" w:type="dxa"/>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17"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499"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746"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820"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42" w:type="dxa"/>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17"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499"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746"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820"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42" w:type="dxa"/>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17"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499"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746"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820"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42" w:type="dxa"/>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17"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499"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746"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820"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42" w:type="dxa"/>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17"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499"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746"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820"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42" w:type="dxa"/>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17"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499"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746"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820"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42" w:type="dxa"/>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17"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499"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r>
    </w:tbl>
    <w:p>
      <w:pPr>
        <w:spacing w:line="520" w:lineRule="exact"/>
        <w:rPr>
          <w:rFonts w:ascii="宋体" w:hAnsi="宋体" w:eastAsia="宋体" w:cs="宋体"/>
          <w:color w:val="000000" w:themeColor="text1"/>
          <w:highlight w:val="none"/>
          <w14:textFill>
            <w14:solidFill>
              <w14:schemeClr w14:val="tx1"/>
            </w14:solidFill>
          </w14:textFill>
        </w:rPr>
      </w:pPr>
    </w:p>
    <w:p>
      <w:pPr>
        <w:spacing w:line="560" w:lineRule="exact"/>
        <w:ind w:right="637" w:rightChars="25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法定代表人或被授权人签字或盖章：</w:t>
      </w:r>
    </w:p>
    <w:p>
      <w:pPr>
        <w:spacing w:line="520" w:lineRule="exact"/>
        <w:rPr>
          <w:rFonts w:ascii="宋体" w:hAnsi="宋体" w:eastAsia="宋体" w:cs="宋体"/>
          <w:color w:val="000000" w:themeColor="text1"/>
          <w:highlight w:val="none"/>
          <w14:textFill>
            <w14:solidFill>
              <w14:schemeClr w14:val="tx1"/>
            </w14:solidFill>
          </w14:textFill>
        </w:rPr>
      </w:pPr>
    </w:p>
    <w:p>
      <w:pPr>
        <w:spacing w:line="5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      章：</w:t>
      </w:r>
    </w:p>
    <w:p>
      <w:pPr>
        <w:spacing w:line="5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p>
    <w:p>
      <w:pPr>
        <w:spacing w:line="440" w:lineRule="exact"/>
        <w:rPr>
          <w:rFonts w:ascii="宋体" w:hAnsi="宋体" w:eastAsia="宋体" w:cs="宋体"/>
          <w:color w:val="000000" w:themeColor="text1"/>
          <w:highlight w:val="none"/>
          <w14:textFill>
            <w14:solidFill>
              <w14:schemeClr w14:val="tx1"/>
            </w14:solidFill>
          </w14:textFill>
        </w:rPr>
      </w:pPr>
    </w:p>
    <w:p>
      <w:pPr>
        <w:spacing w:line="312"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注：1.如果不提供详细关键零部件及备品备件清单将视为没有实质性响应招标文件。</w:t>
      </w:r>
    </w:p>
    <w:p>
      <w:pPr>
        <w:numPr>
          <w:ilvl w:val="0"/>
          <w:numId w:val="6"/>
        </w:numPr>
        <w:spacing w:line="312" w:lineRule="auto"/>
        <w:ind w:firstLine="496" w:firstLineChars="200"/>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供应商可适当调整该表格式，但不得减少信息内容。</w:t>
      </w:r>
    </w:p>
    <w:p>
      <w:pPr>
        <w:spacing w:line="312" w:lineRule="auto"/>
        <w:rPr>
          <w:rFonts w:ascii="宋体" w:hAnsi="宋体" w:eastAsia="宋体" w:cs="宋体"/>
          <w:bCs/>
          <w:color w:val="000000" w:themeColor="text1"/>
          <w:highlight w:val="none"/>
          <w14:textFill>
            <w14:solidFill>
              <w14:schemeClr w14:val="tx1"/>
            </w14:solidFill>
          </w14:textFill>
        </w:rPr>
      </w:pPr>
    </w:p>
    <w:p>
      <w:pPr>
        <w:spacing w:line="312" w:lineRule="auto"/>
        <w:rPr>
          <w:rFonts w:ascii="宋体" w:hAnsi="宋体" w:eastAsia="宋体" w:cs="宋体"/>
          <w:bCs/>
          <w:color w:val="000000" w:themeColor="text1"/>
          <w:highlight w:val="none"/>
          <w14:textFill>
            <w14:solidFill>
              <w14:schemeClr w14:val="tx1"/>
            </w14:solidFill>
          </w14:textFill>
        </w:rPr>
      </w:pPr>
    </w:p>
    <w:p>
      <w:pPr>
        <w:rPr>
          <w:rFonts w:ascii="宋体" w:hAnsi="宋体" w:eastAsia="宋体" w:cs="宋体"/>
          <w:color w:val="000000" w:themeColor="text1"/>
          <w:highlight w:val="none"/>
          <w14:textFill>
            <w14:solidFill>
              <w14:schemeClr w14:val="tx1"/>
            </w14:solidFill>
          </w14:textFill>
        </w:rPr>
      </w:pPr>
    </w:p>
    <w:p>
      <w:pPr>
        <w:spacing w:line="440" w:lineRule="exact"/>
        <w:jc w:val="center"/>
        <w:rPr>
          <w:rFonts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2.4耗材清单（如有）</w:t>
      </w:r>
    </w:p>
    <w:p>
      <w:pPr>
        <w:spacing w:line="440" w:lineRule="exact"/>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项目</w:t>
      </w:r>
      <w:r>
        <w:rPr>
          <w:rFonts w:hint="eastAsia" w:ascii="宋体" w:hAnsi="宋体" w:eastAsia="宋体" w:cs="宋体"/>
          <w:bCs/>
          <w:color w:val="000000" w:themeColor="text1"/>
          <w:spacing w:val="4"/>
          <w:highlight w:val="none"/>
          <w14:textFill>
            <w14:solidFill>
              <w14:schemeClr w14:val="tx1"/>
            </w14:solidFill>
          </w14:textFill>
        </w:rPr>
        <w:t>编号</w:t>
      </w:r>
      <w:r>
        <w:rPr>
          <w:rFonts w:hint="eastAsia" w:ascii="宋体" w:hAnsi="宋体" w:eastAsia="宋体" w:cs="宋体"/>
          <w:bCs/>
          <w:color w:val="000000" w:themeColor="text1"/>
          <w:highlight w:val="none"/>
          <w14:textFill>
            <w14:solidFill>
              <w14:schemeClr w14:val="tx1"/>
            </w14:solidFill>
          </w14:textFill>
        </w:rPr>
        <w:t>：</w:t>
      </w:r>
    </w:p>
    <w:p>
      <w:pPr>
        <w:spacing w:line="440" w:lineRule="exact"/>
        <w:rPr>
          <w:rFonts w:ascii="宋体" w:hAnsi="宋体" w:eastAsia="宋体" w:cs="宋体"/>
          <w:color w:val="000000" w:themeColor="text1"/>
          <w:spacing w:val="4"/>
          <w:highlight w:val="none"/>
          <w14:textFill>
            <w14:solidFill>
              <w14:schemeClr w14:val="tx1"/>
            </w14:solidFill>
          </w14:textFill>
        </w:rPr>
      </w:pPr>
      <w:r>
        <w:rPr>
          <w:rFonts w:hint="eastAsia" w:ascii="宋体" w:hAnsi="宋体" w:eastAsia="宋体" w:cs="宋体"/>
          <w:bCs/>
          <w:color w:val="000000" w:themeColor="text1"/>
          <w:spacing w:val="4"/>
          <w:highlight w:val="none"/>
          <w14:textFill>
            <w14:solidFill>
              <w14:schemeClr w14:val="tx1"/>
            </w14:solidFill>
          </w14:textFill>
        </w:rPr>
        <w:t>项目</w:t>
      </w:r>
      <w:r>
        <w:rPr>
          <w:rFonts w:hint="eastAsia" w:ascii="宋体" w:hAnsi="宋体" w:eastAsia="宋体" w:cs="宋体"/>
          <w:bCs/>
          <w:color w:val="000000" w:themeColor="text1"/>
          <w:highlight w:val="none"/>
          <w14:textFill>
            <w14:solidFill>
              <w14:schemeClr w14:val="tx1"/>
            </w14:solidFill>
          </w14:textFill>
        </w:rPr>
        <w:t>名称</w:t>
      </w:r>
      <w:r>
        <w:rPr>
          <w:rFonts w:hint="eastAsia" w:ascii="宋体" w:hAnsi="宋体" w:eastAsia="宋体" w:cs="宋体"/>
          <w:bCs/>
          <w:color w:val="000000" w:themeColor="text1"/>
          <w:spacing w:val="4"/>
          <w:highlight w:val="none"/>
          <w14:textFill>
            <w14:solidFill>
              <w14:schemeClr w14:val="tx1"/>
            </w14:solidFill>
          </w14:textFill>
        </w:rPr>
        <w:t xml:space="preserve">：                                      </w:t>
      </w:r>
    </w:p>
    <w:tbl>
      <w:tblPr>
        <w:tblStyle w:val="33"/>
        <w:tblW w:w="94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214"/>
        <w:gridCol w:w="1529"/>
        <w:gridCol w:w="1594"/>
        <w:gridCol w:w="1588"/>
        <w:gridCol w:w="1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214"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耗材名称</w:t>
            </w:r>
          </w:p>
        </w:tc>
        <w:tc>
          <w:tcPr>
            <w:tcW w:w="1529"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规格</w:t>
            </w:r>
          </w:p>
        </w:tc>
        <w:tc>
          <w:tcPr>
            <w:tcW w:w="1594"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单价（元）</w:t>
            </w:r>
          </w:p>
        </w:tc>
        <w:tc>
          <w:tcPr>
            <w:tcW w:w="1588"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预计年用量</w:t>
            </w:r>
          </w:p>
        </w:tc>
        <w:tc>
          <w:tcPr>
            <w:tcW w:w="1588"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214"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29"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94"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88"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88" w:type="dxa"/>
          </w:tcPr>
          <w:p>
            <w:pPr>
              <w:spacing w:line="440" w:lineRule="exact"/>
              <w:jc w:val="center"/>
              <w:rPr>
                <w:rFonts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214"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29"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94"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88"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88" w:type="dxa"/>
          </w:tcPr>
          <w:p>
            <w:pPr>
              <w:spacing w:line="440" w:lineRule="exact"/>
              <w:jc w:val="center"/>
              <w:rPr>
                <w:rFonts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63"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2214"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29"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94"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88" w:type="dxa"/>
            <w:vAlign w:val="center"/>
          </w:tcPr>
          <w:p>
            <w:pPr>
              <w:spacing w:line="440" w:lineRule="exact"/>
              <w:jc w:val="center"/>
              <w:rPr>
                <w:rFonts w:ascii="宋体" w:hAnsi="宋体" w:eastAsia="宋体" w:cs="宋体"/>
                <w:color w:val="000000" w:themeColor="text1"/>
                <w:highlight w:val="none"/>
                <w14:textFill>
                  <w14:solidFill>
                    <w14:schemeClr w14:val="tx1"/>
                  </w14:solidFill>
                </w14:textFill>
              </w:rPr>
            </w:pPr>
          </w:p>
        </w:tc>
        <w:tc>
          <w:tcPr>
            <w:tcW w:w="1588" w:type="dxa"/>
          </w:tcPr>
          <w:p>
            <w:pPr>
              <w:spacing w:line="440" w:lineRule="exact"/>
              <w:jc w:val="center"/>
              <w:rPr>
                <w:rFonts w:ascii="宋体" w:hAnsi="宋体" w:eastAsia="宋体" w:cs="宋体"/>
                <w:color w:val="000000" w:themeColor="text1"/>
                <w:highlight w:val="none"/>
                <w14:textFill>
                  <w14:solidFill>
                    <w14:schemeClr w14:val="tx1"/>
                  </w14:solidFill>
                </w14:textFill>
              </w:rPr>
            </w:pPr>
          </w:p>
        </w:tc>
      </w:tr>
    </w:tbl>
    <w:p>
      <w:pPr>
        <w:adjustRightInd w:val="0"/>
        <w:snapToGrid w:val="0"/>
        <w:spacing w:line="440" w:lineRule="exact"/>
        <w:ind w:left="141" w:leftChars="57" w:firstLine="1488" w:firstLineChars="600"/>
        <w:rPr>
          <w:rFonts w:ascii="宋体" w:hAnsi="宋体" w:eastAsia="宋体" w:cs="宋体"/>
          <w:b/>
          <w:bCs/>
          <w:color w:val="000000" w:themeColor="text1"/>
          <w:highlight w:val="none"/>
          <w14:textFill>
            <w14:solidFill>
              <w14:schemeClr w14:val="tx1"/>
            </w14:solidFill>
          </w14:textFill>
        </w:rPr>
      </w:pPr>
    </w:p>
    <w:p>
      <w:pPr>
        <w:spacing w:line="560" w:lineRule="exact"/>
        <w:ind w:right="637" w:rightChars="25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法定代表人或被授权人签字或盖章：</w:t>
      </w:r>
    </w:p>
    <w:p>
      <w:pPr>
        <w:spacing w:line="520" w:lineRule="exact"/>
        <w:rPr>
          <w:rFonts w:ascii="宋体" w:hAnsi="宋体" w:eastAsia="宋体" w:cs="宋体"/>
          <w:color w:val="000000" w:themeColor="text1"/>
          <w:highlight w:val="none"/>
          <w14:textFill>
            <w14:solidFill>
              <w14:schemeClr w14:val="tx1"/>
            </w14:solidFill>
          </w14:textFill>
        </w:rPr>
      </w:pPr>
    </w:p>
    <w:p>
      <w:pPr>
        <w:spacing w:line="5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      章：</w:t>
      </w:r>
    </w:p>
    <w:p>
      <w:pPr>
        <w:spacing w:line="520" w:lineRule="exact"/>
        <w:rPr>
          <w:rFonts w:ascii="宋体" w:hAnsi="宋体" w:eastAsia="宋体" w:cs="宋体"/>
          <w:color w:val="000000" w:themeColor="text1"/>
          <w:highlight w:val="none"/>
          <w14:textFill>
            <w14:solidFill>
              <w14:schemeClr w14:val="tx1"/>
            </w14:solidFill>
          </w14:textFill>
        </w:rPr>
      </w:pP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14:textFill>
            <w14:solidFill>
              <w14:schemeClr w14:val="tx1"/>
            </w14:solidFill>
          </w14:textFill>
        </w:rPr>
        <w:br w:type="page"/>
      </w:r>
    </w:p>
    <w:p>
      <w:pPr>
        <w:pStyle w:val="4"/>
        <w:ind w:firstLine="657"/>
        <w:jc w:val="center"/>
        <w:rPr>
          <w:rFonts w:ascii="宋体" w:hAnsi="宋体" w:eastAsia="宋体" w:cs="宋体"/>
          <w:color w:val="000000" w:themeColor="text1"/>
          <w:highlight w:val="none"/>
          <w14:textFill>
            <w14:solidFill>
              <w14:schemeClr w14:val="tx1"/>
            </w14:solidFill>
          </w14:textFill>
        </w:rPr>
      </w:pPr>
      <w:bookmarkStart w:id="292" w:name="_Toc26305"/>
      <w:bookmarkStart w:id="293" w:name="_Toc27005"/>
      <w:r>
        <w:rPr>
          <w:rFonts w:hint="eastAsia" w:ascii="宋体" w:hAnsi="宋体" w:eastAsia="宋体" w:cs="宋体"/>
          <w:color w:val="000000" w:themeColor="text1"/>
          <w:highlight w:val="none"/>
          <w14:textFill>
            <w14:solidFill>
              <w14:schemeClr w14:val="tx1"/>
            </w14:solidFill>
          </w14:textFill>
        </w:rPr>
        <w:t>第三部分  资格证明文件</w:t>
      </w:r>
      <w:bookmarkEnd w:id="292"/>
      <w:bookmarkEnd w:id="293"/>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按照招标文件第一章《投标邀请函》所列“供应商资格要求”提供各项资格证明文件，未按要求提供的，其投标文件将被视为无效文件。</w:t>
      </w:r>
    </w:p>
    <w:p>
      <w:pPr>
        <w:pStyle w:val="90"/>
        <w:spacing w:line="360" w:lineRule="auto"/>
        <w:ind w:firstLine="577"/>
        <w:rPr>
          <w:rFonts w:ascii="宋体" w:hAnsi="宋体" w:cs="宋体"/>
          <w:color w:val="000000" w:themeColor="text1"/>
          <w:sz w:val="28"/>
          <w:szCs w:val="28"/>
          <w:highlight w:val="none"/>
          <w14:textFill>
            <w14:solidFill>
              <w14:schemeClr w14:val="tx1"/>
            </w14:solidFill>
          </w14:textFill>
        </w:rPr>
      </w:pPr>
      <w:bookmarkStart w:id="294" w:name="_Toc13096"/>
      <w:bookmarkStart w:id="295" w:name="_Toc4250"/>
      <w:bookmarkStart w:id="296" w:name="_Toc22297"/>
      <w:r>
        <w:rPr>
          <w:rFonts w:hint="eastAsia" w:ascii="宋体" w:hAnsi="宋体" w:cs="宋体"/>
          <w:color w:val="000000" w:themeColor="text1"/>
          <w:sz w:val="28"/>
          <w:szCs w:val="28"/>
          <w:highlight w:val="none"/>
          <w14:textFill>
            <w14:solidFill>
              <w14:schemeClr w14:val="tx1"/>
            </w14:solidFill>
          </w14:textFill>
        </w:rPr>
        <w:t>（一）有效的登记注册证</w:t>
      </w:r>
      <w:bookmarkEnd w:id="294"/>
      <w:bookmarkEnd w:id="295"/>
      <w:bookmarkEnd w:id="296"/>
    </w:p>
    <w:p>
      <w:pPr>
        <w:pStyle w:val="90"/>
        <w:spacing w:line="360" w:lineRule="auto"/>
        <w:ind w:firstLine="577"/>
        <w:rPr>
          <w:rFonts w:ascii="宋体" w:hAnsi="宋体" w:cs="宋体"/>
          <w:color w:val="000000" w:themeColor="text1"/>
          <w:sz w:val="28"/>
          <w:szCs w:val="28"/>
          <w:highlight w:val="none"/>
          <w14:textFill>
            <w14:solidFill>
              <w14:schemeClr w14:val="tx1"/>
            </w14:solidFill>
          </w14:textFill>
        </w:rPr>
      </w:pPr>
      <w:bookmarkStart w:id="297" w:name="_Toc1260"/>
      <w:bookmarkStart w:id="298" w:name="_Toc19920"/>
      <w:bookmarkStart w:id="299" w:name="_Toc23603"/>
      <w:r>
        <w:rPr>
          <w:rFonts w:hint="eastAsia" w:ascii="宋体" w:hAnsi="宋体" w:cs="宋体"/>
          <w:color w:val="000000" w:themeColor="text1"/>
          <w:sz w:val="28"/>
          <w:szCs w:val="28"/>
          <w:highlight w:val="none"/>
          <w14:textFill>
            <w14:solidFill>
              <w14:schemeClr w14:val="tx1"/>
            </w14:solidFill>
          </w14:textFill>
        </w:rPr>
        <w:t>（二）社会保障资金缴纳证明</w:t>
      </w:r>
      <w:bookmarkEnd w:id="297"/>
      <w:bookmarkEnd w:id="298"/>
      <w:bookmarkEnd w:id="299"/>
    </w:p>
    <w:p>
      <w:pPr>
        <w:pStyle w:val="90"/>
        <w:spacing w:line="360" w:lineRule="auto"/>
        <w:ind w:firstLine="577"/>
        <w:rPr>
          <w:rFonts w:ascii="宋体" w:hAnsi="宋体" w:cs="宋体"/>
          <w:color w:val="000000" w:themeColor="text1"/>
          <w:sz w:val="28"/>
          <w:szCs w:val="28"/>
          <w:highlight w:val="none"/>
          <w14:textFill>
            <w14:solidFill>
              <w14:schemeClr w14:val="tx1"/>
            </w14:solidFill>
          </w14:textFill>
        </w:rPr>
      </w:pPr>
      <w:bookmarkStart w:id="300" w:name="_Toc3206"/>
      <w:bookmarkStart w:id="301" w:name="_Toc9361"/>
      <w:bookmarkStart w:id="302" w:name="_Toc11398"/>
      <w:r>
        <w:rPr>
          <w:rFonts w:hint="eastAsia" w:ascii="宋体" w:hAnsi="宋体" w:cs="宋体"/>
          <w:color w:val="000000" w:themeColor="text1"/>
          <w:sz w:val="28"/>
          <w:szCs w:val="28"/>
          <w:highlight w:val="none"/>
          <w14:textFill>
            <w14:solidFill>
              <w14:schemeClr w14:val="tx1"/>
            </w14:solidFill>
          </w14:textFill>
        </w:rPr>
        <w:t>（三）税收缴纳证明</w:t>
      </w:r>
      <w:bookmarkEnd w:id="300"/>
      <w:bookmarkEnd w:id="301"/>
      <w:bookmarkEnd w:id="302"/>
    </w:p>
    <w:p>
      <w:pPr>
        <w:pStyle w:val="90"/>
        <w:spacing w:line="360" w:lineRule="auto"/>
        <w:ind w:firstLine="577"/>
        <w:rPr>
          <w:rFonts w:ascii="宋体" w:hAnsi="宋体" w:cs="宋体"/>
          <w:color w:val="000000" w:themeColor="text1"/>
          <w:sz w:val="28"/>
          <w:szCs w:val="28"/>
          <w:highlight w:val="none"/>
          <w14:textFill>
            <w14:solidFill>
              <w14:schemeClr w14:val="tx1"/>
            </w14:solidFill>
          </w14:textFill>
        </w:rPr>
      </w:pPr>
      <w:bookmarkStart w:id="303" w:name="_Toc17171"/>
      <w:bookmarkStart w:id="304" w:name="_Toc20602"/>
      <w:bookmarkStart w:id="305" w:name="_Toc19603"/>
      <w:r>
        <w:rPr>
          <w:rFonts w:hint="eastAsia" w:ascii="宋体" w:hAnsi="宋体" w:cs="宋体"/>
          <w:color w:val="000000" w:themeColor="text1"/>
          <w:sz w:val="28"/>
          <w:szCs w:val="28"/>
          <w:highlight w:val="none"/>
          <w14:textFill>
            <w14:solidFill>
              <w14:schemeClr w14:val="tx1"/>
            </w14:solidFill>
          </w14:textFill>
        </w:rPr>
        <w:t>（四）财务状况证明</w:t>
      </w:r>
      <w:bookmarkEnd w:id="303"/>
      <w:bookmarkEnd w:id="304"/>
      <w:bookmarkEnd w:id="305"/>
    </w:p>
    <w:p>
      <w:pP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pStyle w:val="90"/>
        <w:ind w:firstLine="577"/>
        <w:rPr>
          <w:rFonts w:ascii="宋体" w:hAnsi="宋体" w:cs="宋体"/>
          <w:color w:val="000000" w:themeColor="text1"/>
          <w:sz w:val="28"/>
          <w:szCs w:val="28"/>
          <w:highlight w:val="none"/>
          <w14:textFill>
            <w14:solidFill>
              <w14:schemeClr w14:val="tx1"/>
            </w14:solidFill>
          </w14:textFill>
        </w:rPr>
      </w:pPr>
      <w:bookmarkStart w:id="306" w:name="_Toc10633"/>
      <w:bookmarkStart w:id="307" w:name="_Toc23305"/>
      <w:bookmarkStart w:id="308" w:name="_Toc31341"/>
      <w:r>
        <w:rPr>
          <w:rFonts w:hint="eastAsia" w:ascii="宋体" w:hAnsi="宋体" w:cs="宋体"/>
          <w:color w:val="000000" w:themeColor="text1"/>
          <w:sz w:val="28"/>
          <w:szCs w:val="28"/>
          <w:highlight w:val="none"/>
          <w14:textFill>
            <w14:solidFill>
              <w14:schemeClr w14:val="tx1"/>
            </w14:solidFill>
          </w14:textFill>
        </w:rPr>
        <w:t>（五）无重大违法记录声明（按下方给定格式进行填写）</w:t>
      </w:r>
      <w:bookmarkEnd w:id="306"/>
      <w:bookmarkEnd w:id="307"/>
      <w:bookmarkEnd w:id="308"/>
    </w:p>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无重大违法记录声明</w:t>
      </w:r>
    </w:p>
    <w:p>
      <w:pPr>
        <w:snapToGrid w:val="0"/>
        <w:spacing w:line="480" w:lineRule="auto"/>
        <w:ind w:firstLine="576" w:firstLineChars="200"/>
        <w:rPr>
          <w:rFonts w:ascii="宋体" w:hAnsi="宋体" w:eastAsia="宋体" w:cs="宋体"/>
          <w:color w:val="000000" w:themeColor="text1"/>
          <w:sz w:val="28"/>
          <w:szCs w:val="28"/>
          <w:highlight w:val="none"/>
          <w14:textFill>
            <w14:solidFill>
              <w14:schemeClr w14:val="tx1"/>
            </w14:solidFill>
          </w14:textFill>
        </w:rPr>
      </w:pPr>
    </w:p>
    <w:p>
      <w:pPr>
        <w:snapToGrid w:val="0"/>
        <w:spacing w:line="480" w:lineRule="auto"/>
        <w:ind w:firstLine="576"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我单位参与</w:t>
      </w:r>
      <w:r>
        <w:rPr>
          <w:rFonts w:hint="eastAsia" w:ascii="宋体" w:hAnsi="宋体" w:eastAsia="宋体" w:cs="宋体"/>
          <w:color w:val="000000" w:themeColor="text1"/>
          <w:sz w:val="28"/>
          <w:szCs w:val="28"/>
          <w:highlight w:val="none"/>
          <w:u w:val="single"/>
          <w14:textFill>
            <w14:solidFill>
              <w14:schemeClr w14:val="tx1"/>
            </w14:solidFill>
          </w14:textFill>
        </w:rPr>
        <w:t xml:space="preserve">陕西万泽招标有限公司 </w:t>
      </w:r>
      <w:r>
        <w:rPr>
          <w:rFonts w:hint="eastAsia" w:ascii="宋体" w:hAnsi="宋体" w:eastAsia="宋体" w:cs="宋体"/>
          <w:color w:val="000000" w:themeColor="text1"/>
          <w:sz w:val="28"/>
          <w:szCs w:val="28"/>
          <w:highlight w:val="none"/>
          <w14:textFill>
            <w14:solidFill>
              <w14:schemeClr w14:val="tx1"/>
            </w14:solidFill>
          </w14:textFill>
        </w:rPr>
        <w:t>组织的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（项目名称）              </w:t>
      </w:r>
      <w:r>
        <w:rPr>
          <w:rFonts w:hint="eastAsia" w:ascii="宋体" w:hAnsi="宋体" w:eastAsia="宋体" w:cs="宋体"/>
          <w:color w:val="000000" w:themeColor="text1"/>
          <w:sz w:val="28"/>
          <w:szCs w:val="28"/>
          <w:highlight w:val="none"/>
          <w14:textFill>
            <w14:solidFill>
              <w14:schemeClr w14:val="tx1"/>
            </w14:solidFill>
          </w14:textFill>
        </w:rPr>
        <w:t>公开招标，我单位郑重声明：我方参加本项目采购工作前三年内在经营活动中无重大违法活动记录，未被信用中国网（www.creditchina.gov.cn）列入失信被执行人、重大税收违法案件当事人名单，未被中国政府采购（www.ccgp.gov.cn）列入政府采购严重违法失信行为记录名单，符合《中华人民共和国政府采购法》规定的供应商资格条件，我方对此声明负全部法律责任。</w:t>
      </w:r>
    </w:p>
    <w:p>
      <w:pPr>
        <w:snapToGrid w:val="0"/>
        <w:spacing w:line="480" w:lineRule="auto"/>
        <w:ind w:firstLine="576"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特此声明。</w:t>
      </w:r>
    </w:p>
    <w:p>
      <w:pPr>
        <w:snapToGrid w:val="0"/>
        <w:spacing w:line="360" w:lineRule="auto"/>
        <w:rPr>
          <w:rFonts w:ascii="宋体" w:hAnsi="宋体" w:eastAsia="宋体" w:cs="宋体"/>
          <w:color w:val="000000" w:themeColor="text1"/>
          <w:sz w:val="28"/>
          <w:szCs w:val="28"/>
          <w:highlight w:val="none"/>
          <w14:textFill>
            <w14:solidFill>
              <w14:schemeClr w14:val="tx1"/>
            </w14:solidFill>
          </w14:textFill>
        </w:rPr>
      </w:pPr>
    </w:p>
    <w:p>
      <w:pPr>
        <w:snapToGrid w:val="0"/>
        <w:spacing w:line="360" w:lineRule="auto"/>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供应商（单位名称及公章）：</w:t>
      </w:r>
    </w:p>
    <w:p>
      <w:pPr>
        <w:pStyle w:val="20"/>
        <w:spacing w:line="360" w:lineRule="auto"/>
        <w:rPr>
          <w:rFonts w:hAnsi="宋体" w:eastAsia="宋体" w:cs="宋体"/>
          <w:color w:val="000000" w:themeColor="text1"/>
          <w:sz w:val="28"/>
          <w:szCs w:val="28"/>
          <w:highlight w:val="none"/>
          <w14:textFill>
            <w14:solidFill>
              <w14:schemeClr w14:val="tx1"/>
            </w14:solidFill>
          </w14:textFill>
        </w:rPr>
      </w:pPr>
      <w:r>
        <w:rPr>
          <w:rFonts w:hint="eastAsia" w:hAnsi="宋体" w:eastAsia="宋体" w:cs="宋体"/>
          <w:color w:val="000000" w:themeColor="text1"/>
          <w:sz w:val="28"/>
          <w:szCs w:val="28"/>
          <w:highlight w:val="none"/>
          <w14:textFill>
            <w14:solidFill>
              <w14:schemeClr w14:val="tx1"/>
            </w14:solidFill>
          </w14:textFill>
        </w:rPr>
        <w:t>法定代表人或被授权人（签字或盖章）：</w:t>
      </w:r>
    </w:p>
    <w:p>
      <w:pPr>
        <w:spacing w:line="360" w:lineRule="auto"/>
        <w:jc w:val="both"/>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90"/>
        <w:ind w:firstLine="577"/>
        <w:rPr>
          <w:rFonts w:ascii="宋体" w:hAnsi="宋体" w:cs="宋体"/>
          <w:color w:val="000000" w:themeColor="text1"/>
          <w:sz w:val="28"/>
          <w:szCs w:val="28"/>
          <w:highlight w:val="none"/>
          <w14:textFill>
            <w14:solidFill>
              <w14:schemeClr w14:val="tx1"/>
            </w14:solidFill>
          </w14:textFill>
        </w:rPr>
      </w:pPr>
      <w:bookmarkStart w:id="309" w:name="_Toc17421"/>
      <w:bookmarkStart w:id="310" w:name="_Toc19136"/>
      <w:bookmarkStart w:id="311" w:name="_Toc27180"/>
      <w:r>
        <w:rPr>
          <w:rFonts w:hint="eastAsia" w:ascii="宋体" w:hAnsi="宋体" w:cs="宋体"/>
          <w:color w:val="000000" w:themeColor="text1"/>
          <w:sz w:val="28"/>
          <w:szCs w:val="28"/>
          <w:highlight w:val="none"/>
          <w14:textFill>
            <w14:solidFill>
              <w14:schemeClr w14:val="tx1"/>
            </w14:solidFill>
          </w14:textFill>
        </w:rPr>
        <w:t>（六）法定代表人委托授权书或身份证明（按下方给定格式进行填写）</w:t>
      </w:r>
      <w:bookmarkEnd w:id="309"/>
      <w:bookmarkEnd w:id="310"/>
      <w:bookmarkEnd w:id="311"/>
    </w:p>
    <w:p>
      <w:pPr>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法定代表人证明书（格式）</w:t>
      </w:r>
    </w:p>
    <w:tbl>
      <w:tblPr>
        <w:tblStyle w:val="33"/>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2283"/>
        <w:gridCol w:w="1899"/>
        <w:gridCol w:w="178"/>
        <w:gridCol w:w="208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20" w:type="dxa"/>
            <w:gridSpan w:val="6"/>
            <w:vAlign w:val="center"/>
          </w:tcPr>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5" w:type="dxa"/>
            <w:vMerge w:val="restart"/>
            <w:vAlign w:val="center"/>
          </w:tcPr>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业</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人</w:t>
            </w:r>
          </w:p>
        </w:tc>
        <w:tc>
          <w:tcPr>
            <w:tcW w:w="2283" w:type="dxa"/>
            <w:vAlign w:val="center"/>
          </w:tcPr>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企业名称</w:t>
            </w:r>
          </w:p>
        </w:tc>
        <w:tc>
          <w:tcPr>
            <w:tcW w:w="6262" w:type="dxa"/>
            <w:gridSpan w:val="4"/>
            <w:vAlign w:val="center"/>
          </w:tcPr>
          <w:p>
            <w:pPr>
              <w:rPr>
                <w:rFonts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5" w:type="dxa"/>
            <w:vMerge w:val="continue"/>
            <w:vAlign w:val="center"/>
          </w:tcPr>
          <w:p>
            <w:pPr>
              <w:rPr>
                <w:rFonts w:ascii="宋体" w:hAnsi="宋体" w:eastAsia="宋体" w:cs="宋体"/>
                <w:color w:val="000000" w:themeColor="text1"/>
                <w:highlight w:val="none"/>
                <w14:textFill>
                  <w14:solidFill>
                    <w14:schemeClr w14:val="tx1"/>
                  </w14:solidFill>
                </w14:textFill>
              </w:rPr>
            </w:pPr>
          </w:p>
        </w:tc>
        <w:tc>
          <w:tcPr>
            <w:tcW w:w="2283" w:type="dxa"/>
            <w:vAlign w:val="center"/>
          </w:tcPr>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法定地址</w:t>
            </w:r>
          </w:p>
        </w:tc>
        <w:tc>
          <w:tcPr>
            <w:tcW w:w="6262" w:type="dxa"/>
            <w:gridSpan w:val="4"/>
            <w:vAlign w:val="center"/>
          </w:tcPr>
          <w:p>
            <w:pPr>
              <w:rPr>
                <w:rFonts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5" w:type="dxa"/>
            <w:vMerge w:val="continue"/>
            <w:vAlign w:val="center"/>
          </w:tcPr>
          <w:p>
            <w:pPr>
              <w:rPr>
                <w:rFonts w:ascii="宋体" w:hAnsi="宋体" w:eastAsia="宋体" w:cs="宋体"/>
                <w:color w:val="000000" w:themeColor="text1"/>
                <w:highlight w:val="none"/>
                <w14:textFill>
                  <w14:solidFill>
                    <w14:schemeClr w14:val="tx1"/>
                  </w14:solidFill>
                </w14:textFill>
              </w:rPr>
            </w:pPr>
          </w:p>
        </w:tc>
        <w:tc>
          <w:tcPr>
            <w:tcW w:w="2283" w:type="dxa"/>
            <w:vAlign w:val="center"/>
          </w:tcPr>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邮政编码</w:t>
            </w:r>
          </w:p>
        </w:tc>
        <w:tc>
          <w:tcPr>
            <w:tcW w:w="6262" w:type="dxa"/>
            <w:gridSpan w:val="4"/>
            <w:vAlign w:val="center"/>
          </w:tcPr>
          <w:p>
            <w:pPr>
              <w:rPr>
                <w:rFonts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75" w:type="dxa"/>
            <w:vMerge w:val="continue"/>
            <w:vAlign w:val="center"/>
          </w:tcPr>
          <w:p>
            <w:pPr>
              <w:rPr>
                <w:rFonts w:ascii="宋体" w:hAnsi="宋体" w:eastAsia="宋体" w:cs="宋体"/>
                <w:color w:val="000000" w:themeColor="text1"/>
                <w:highlight w:val="none"/>
                <w14:textFill>
                  <w14:solidFill>
                    <w14:schemeClr w14:val="tx1"/>
                  </w14:solidFill>
                </w14:textFill>
              </w:rPr>
            </w:pPr>
          </w:p>
        </w:tc>
        <w:tc>
          <w:tcPr>
            <w:tcW w:w="2283" w:type="dxa"/>
            <w:vAlign w:val="center"/>
          </w:tcPr>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工商登记机关</w:t>
            </w:r>
          </w:p>
        </w:tc>
        <w:tc>
          <w:tcPr>
            <w:tcW w:w="6262" w:type="dxa"/>
            <w:gridSpan w:val="4"/>
            <w:vAlign w:val="center"/>
          </w:tcPr>
          <w:p>
            <w:pPr>
              <w:rPr>
                <w:rFonts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75" w:type="dxa"/>
            <w:vMerge w:val="continue"/>
            <w:vAlign w:val="center"/>
          </w:tcPr>
          <w:p>
            <w:pPr>
              <w:rPr>
                <w:rFonts w:ascii="宋体" w:hAnsi="宋体" w:eastAsia="宋体" w:cs="宋体"/>
                <w:color w:val="000000" w:themeColor="text1"/>
                <w:highlight w:val="none"/>
                <w14:textFill>
                  <w14:solidFill>
                    <w14:schemeClr w14:val="tx1"/>
                  </w14:solidFill>
                </w14:textFill>
              </w:rPr>
            </w:pPr>
          </w:p>
        </w:tc>
        <w:tc>
          <w:tcPr>
            <w:tcW w:w="2283" w:type="dxa"/>
            <w:vAlign w:val="center"/>
          </w:tcPr>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统一社会信用代码</w:t>
            </w:r>
          </w:p>
        </w:tc>
        <w:tc>
          <w:tcPr>
            <w:tcW w:w="6262" w:type="dxa"/>
            <w:gridSpan w:val="4"/>
            <w:vAlign w:val="center"/>
          </w:tcPr>
          <w:p>
            <w:pPr>
              <w:rPr>
                <w:rFonts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5" w:type="dxa"/>
            <w:vMerge w:val="restart"/>
            <w:vAlign w:val="center"/>
          </w:tcPr>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定</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代</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表</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人</w:t>
            </w:r>
          </w:p>
        </w:tc>
        <w:tc>
          <w:tcPr>
            <w:tcW w:w="2283" w:type="dxa"/>
            <w:vAlign w:val="center"/>
          </w:tcPr>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2077" w:type="dxa"/>
            <w:gridSpan w:val="2"/>
            <w:vAlign w:val="center"/>
          </w:tcPr>
          <w:p>
            <w:pPr>
              <w:rPr>
                <w:rFonts w:ascii="宋体" w:hAnsi="宋体" w:eastAsia="宋体" w:cs="宋体"/>
                <w:color w:val="000000" w:themeColor="text1"/>
                <w:highlight w:val="none"/>
                <w14:textFill>
                  <w14:solidFill>
                    <w14:schemeClr w14:val="tx1"/>
                  </w14:solidFill>
                </w14:textFill>
              </w:rPr>
            </w:pPr>
          </w:p>
        </w:tc>
        <w:tc>
          <w:tcPr>
            <w:tcW w:w="2089" w:type="dxa"/>
            <w:vAlign w:val="center"/>
          </w:tcPr>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性别</w:t>
            </w:r>
          </w:p>
        </w:tc>
        <w:tc>
          <w:tcPr>
            <w:tcW w:w="2096" w:type="dxa"/>
            <w:vAlign w:val="center"/>
          </w:tcPr>
          <w:p>
            <w:pPr>
              <w:rPr>
                <w:rFonts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5" w:type="dxa"/>
            <w:vMerge w:val="continue"/>
            <w:vAlign w:val="center"/>
          </w:tcPr>
          <w:p>
            <w:pPr>
              <w:rPr>
                <w:rFonts w:ascii="宋体" w:hAnsi="宋体" w:eastAsia="宋体" w:cs="宋体"/>
                <w:color w:val="000000" w:themeColor="text1"/>
                <w:highlight w:val="none"/>
                <w14:textFill>
                  <w14:solidFill>
                    <w14:schemeClr w14:val="tx1"/>
                  </w14:solidFill>
                </w14:textFill>
              </w:rPr>
            </w:pPr>
          </w:p>
        </w:tc>
        <w:tc>
          <w:tcPr>
            <w:tcW w:w="2283" w:type="dxa"/>
            <w:vAlign w:val="center"/>
          </w:tcPr>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职务</w:t>
            </w:r>
          </w:p>
        </w:tc>
        <w:tc>
          <w:tcPr>
            <w:tcW w:w="2077" w:type="dxa"/>
            <w:gridSpan w:val="2"/>
            <w:vAlign w:val="center"/>
          </w:tcPr>
          <w:p>
            <w:pPr>
              <w:rPr>
                <w:rFonts w:ascii="宋体" w:hAnsi="宋体" w:eastAsia="宋体" w:cs="宋体"/>
                <w:color w:val="000000" w:themeColor="text1"/>
                <w:highlight w:val="none"/>
                <w14:textFill>
                  <w14:solidFill>
                    <w14:schemeClr w14:val="tx1"/>
                  </w14:solidFill>
                </w14:textFill>
              </w:rPr>
            </w:pPr>
          </w:p>
        </w:tc>
        <w:tc>
          <w:tcPr>
            <w:tcW w:w="2089" w:type="dxa"/>
            <w:vAlign w:val="center"/>
          </w:tcPr>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p>
        </w:tc>
        <w:tc>
          <w:tcPr>
            <w:tcW w:w="2096" w:type="dxa"/>
            <w:vAlign w:val="center"/>
          </w:tcPr>
          <w:p>
            <w:pPr>
              <w:rPr>
                <w:rFonts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575" w:type="dxa"/>
            <w:vMerge w:val="continue"/>
            <w:vAlign w:val="center"/>
          </w:tcPr>
          <w:p>
            <w:pPr>
              <w:rPr>
                <w:rFonts w:ascii="宋体" w:hAnsi="宋体" w:eastAsia="宋体" w:cs="宋体"/>
                <w:color w:val="000000" w:themeColor="text1"/>
                <w:highlight w:val="none"/>
                <w14:textFill>
                  <w14:solidFill>
                    <w14:schemeClr w14:val="tx1"/>
                  </w14:solidFill>
                </w14:textFill>
              </w:rPr>
            </w:pPr>
          </w:p>
        </w:tc>
        <w:tc>
          <w:tcPr>
            <w:tcW w:w="2283" w:type="dxa"/>
            <w:vAlign w:val="center"/>
          </w:tcPr>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传真</w:t>
            </w:r>
          </w:p>
        </w:tc>
        <w:tc>
          <w:tcPr>
            <w:tcW w:w="6262" w:type="dxa"/>
            <w:gridSpan w:val="4"/>
            <w:vAlign w:val="center"/>
          </w:tcPr>
          <w:p>
            <w:pPr>
              <w:rPr>
                <w:rFonts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575" w:type="dxa"/>
            <w:vMerge w:val="restart"/>
            <w:vAlign w:val="center"/>
          </w:tcPr>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定</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代</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表</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人</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身</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份</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证</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复</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印</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件</w:t>
            </w:r>
          </w:p>
        </w:tc>
        <w:tc>
          <w:tcPr>
            <w:tcW w:w="4182" w:type="dxa"/>
            <w:gridSpan w:val="2"/>
            <w:vMerge w:val="restart"/>
            <w:vAlign w:val="center"/>
          </w:tcPr>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（正反面）</w:t>
            </w:r>
          </w:p>
        </w:tc>
        <w:tc>
          <w:tcPr>
            <w:tcW w:w="4363" w:type="dxa"/>
            <w:gridSpan w:val="3"/>
            <w:vAlign w:val="center"/>
          </w:tcPr>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jc w:val="center"/>
        </w:trPr>
        <w:tc>
          <w:tcPr>
            <w:tcW w:w="575" w:type="dxa"/>
            <w:vMerge w:val="continue"/>
            <w:vAlign w:val="center"/>
          </w:tcPr>
          <w:p>
            <w:pPr>
              <w:rPr>
                <w:rFonts w:ascii="宋体" w:hAnsi="宋体" w:eastAsia="宋体" w:cs="宋体"/>
                <w:color w:val="000000" w:themeColor="text1"/>
                <w:highlight w:val="none"/>
                <w14:textFill>
                  <w14:solidFill>
                    <w14:schemeClr w14:val="tx1"/>
                  </w14:solidFill>
                </w14:textFill>
              </w:rPr>
            </w:pPr>
          </w:p>
        </w:tc>
        <w:tc>
          <w:tcPr>
            <w:tcW w:w="4182" w:type="dxa"/>
            <w:gridSpan w:val="2"/>
            <w:vMerge w:val="continue"/>
            <w:vAlign w:val="center"/>
          </w:tcPr>
          <w:p>
            <w:pPr>
              <w:rPr>
                <w:rFonts w:ascii="宋体" w:hAnsi="宋体" w:eastAsia="宋体" w:cs="宋体"/>
                <w:color w:val="000000" w:themeColor="text1"/>
                <w:highlight w:val="none"/>
                <w14:textFill>
                  <w14:solidFill>
                    <w14:schemeClr w14:val="tx1"/>
                  </w14:solidFill>
                </w14:textFill>
              </w:rPr>
            </w:pPr>
          </w:p>
        </w:tc>
        <w:tc>
          <w:tcPr>
            <w:tcW w:w="4363" w:type="dxa"/>
            <w:gridSpan w:val="3"/>
            <w:vAlign w:val="bottom"/>
          </w:tcPr>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（公章）</w:t>
            </w:r>
          </w:p>
          <w:p>
            <w:pPr>
              <w:rPr>
                <w:rFonts w:ascii="宋体" w:hAnsi="宋体" w:eastAsia="宋体" w:cs="宋体"/>
                <w:color w:val="000000" w:themeColor="text1"/>
                <w:highlight w:val="none"/>
                <w14:textFill>
                  <w14:solidFill>
                    <w14:schemeClr w14:val="tx1"/>
                  </w14:solidFill>
                </w14:textFill>
              </w:rPr>
            </w:pPr>
          </w:p>
          <w:p>
            <w:pPr>
              <w:rPr>
                <w:rFonts w:ascii="宋体" w:hAnsi="宋体" w:eastAsia="宋体" w:cs="宋体"/>
                <w:color w:val="000000" w:themeColor="text1"/>
                <w:highlight w:val="none"/>
                <w14:textFill>
                  <w14:solidFill>
                    <w14:schemeClr w14:val="tx1"/>
                  </w14:solidFill>
                </w14:textFill>
              </w:rPr>
            </w:pPr>
          </w:p>
          <w:p>
            <w:pPr>
              <w:rPr>
                <w:rFonts w:ascii="宋体" w:hAnsi="宋体" w:eastAsia="宋体" w:cs="宋体"/>
                <w:color w:val="000000" w:themeColor="text1"/>
                <w:highlight w:val="none"/>
                <w14:textFill>
                  <w14:solidFill>
                    <w14:schemeClr w14:val="tx1"/>
                  </w14:solidFill>
                </w14:textFill>
              </w:rPr>
            </w:pPr>
          </w:p>
          <w:p>
            <w:pPr>
              <w:rPr>
                <w:rFonts w:ascii="宋体" w:hAnsi="宋体" w:eastAsia="宋体" w:cs="宋体"/>
                <w:color w:val="000000" w:themeColor="text1"/>
                <w:highlight w:val="none"/>
                <w14:textFill>
                  <w14:solidFill>
                    <w14:schemeClr w14:val="tx1"/>
                  </w14:solidFill>
                </w14:textFill>
              </w:rPr>
            </w:pPr>
          </w:p>
        </w:tc>
      </w:tr>
    </w:tbl>
    <w:p>
      <w:pPr>
        <w:pStyle w:val="12"/>
        <w:rPr>
          <w:rFonts w:ascii="宋体" w:hAnsi="宋体" w:eastAsia="宋体" w:cs="宋体"/>
          <w:color w:val="000000" w:themeColor="text1"/>
          <w:highlight w:val="none"/>
          <w14:textFill>
            <w14:solidFill>
              <w14:schemeClr w14:val="tx1"/>
            </w14:solidFill>
          </w14:textFill>
        </w:rPr>
      </w:pPr>
    </w:p>
    <w:p>
      <w:pP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br w:type="page"/>
      </w:r>
    </w:p>
    <w:p>
      <w:pPr>
        <w:pageBreakBefore/>
        <w:tabs>
          <w:tab w:val="left" w:pos="210"/>
        </w:tabs>
        <w:spacing w:line="320" w:lineRule="exact"/>
        <w:ind w:firstLine="496" w:firstLineChars="200"/>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法定代表人授权委托书（格式）</w:t>
      </w:r>
    </w:p>
    <w:p>
      <w:pPr>
        <w:pStyle w:val="20"/>
        <w:spacing w:line="500" w:lineRule="exact"/>
        <w:rPr>
          <w:rFonts w:hAnsi="宋体" w:eastAsia="宋体" w:cs="宋体"/>
          <w:b/>
          <w:bCs/>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陕西万泽招标有限公司：</w:t>
      </w:r>
    </w:p>
    <w:p>
      <w:pPr>
        <w:pStyle w:val="20"/>
        <w:spacing w:line="500" w:lineRule="exact"/>
        <w:ind w:firstLine="496" w:firstLineChars="200"/>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本授权书声明：注册于（</w:t>
      </w:r>
      <w:r>
        <w:rPr>
          <w:rFonts w:hint="eastAsia" w:hAnsi="宋体" w:eastAsia="宋体" w:cs="宋体"/>
          <w:color w:val="000000" w:themeColor="text1"/>
          <w:sz w:val="24"/>
          <w:highlight w:val="none"/>
          <w:u w:val="single"/>
          <w14:textFill>
            <w14:solidFill>
              <w14:schemeClr w14:val="tx1"/>
            </w14:solidFill>
          </w14:textFill>
        </w:rPr>
        <w:t>工商行政管理局名称）之（委托单位全称）</w:t>
      </w:r>
      <w:r>
        <w:rPr>
          <w:rFonts w:hint="eastAsia" w:hAnsi="宋体" w:eastAsia="宋体" w:cs="宋体"/>
          <w:color w:val="000000" w:themeColor="text1"/>
          <w:sz w:val="24"/>
          <w:highlight w:val="none"/>
          <w14:textFill>
            <w14:solidFill>
              <w14:schemeClr w14:val="tx1"/>
            </w14:solidFill>
          </w14:textFill>
        </w:rPr>
        <w:t>的法定代表人</w:t>
      </w:r>
      <w:r>
        <w:rPr>
          <w:rFonts w:hint="eastAsia" w:hAnsi="宋体" w:eastAsia="宋体" w:cs="宋体"/>
          <w:color w:val="000000" w:themeColor="text1"/>
          <w:sz w:val="24"/>
          <w:highlight w:val="none"/>
          <w:u w:val="single"/>
          <w14:textFill>
            <w14:solidFill>
              <w14:schemeClr w14:val="tx1"/>
            </w14:solidFill>
          </w14:textFill>
        </w:rPr>
        <w:t>（姓名、性别）</w:t>
      </w:r>
      <w:r>
        <w:rPr>
          <w:rFonts w:hint="eastAsia" w:hAnsi="宋体" w:eastAsia="宋体" w:cs="宋体"/>
          <w:color w:val="000000" w:themeColor="text1"/>
          <w:sz w:val="24"/>
          <w:highlight w:val="none"/>
          <w14:textFill>
            <w14:solidFill>
              <w14:schemeClr w14:val="tx1"/>
            </w14:solidFill>
          </w14:textFill>
        </w:rPr>
        <w:t>授权</w:t>
      </w:r>
      <w:r>
        <w:rPr>
          <w:rFonts w:hint="eastAsia" w:hAnsi="宋体" w:eastAsia="宋体" w:cs="宋体"/>
          <w:color w:val="000000" w:themeColor="text1"/>
          <w:sz w:val="24"/>
          <w:highlight w:val="none"/>
          <w:u w:val="single"/>
          <w14:textFill>
            <w14:solidFill>
              <w14:schemeClr w14:val="tx1"/>
            </w14:solidFill>
          </w14:textFill>
        </w:rPr>
        <w:t>（被授权人姓名、性别、职务）</w:t>
      </w:r>
      <w:r>
        <w:rPr>
          <w:rFonts w:hint="eastAsia" w:hAnsi="宋体" w:eastAsia="宋体" w:cs="宋体"/>
          <w:color w:val="000000" w:themeColor="text1"/>
          <w:sz w:val="24"/>
          <w:highlight w:val="none"/>
          <w14:textFill>
            <w14:solidFill>
              <w14:schemeClr w14:val="tx1"/>
            </w14:solidFill>
          </w14:textFill>
        </w:rPr>
        <w:t>为本公司合法代理人，就贵方组织的有关</w:t>
      </w:r>
      <w:r>
        <w:rPr>
          <w:rFonts w:hint="eastAsia" w:hAnsi="宋体" w:eastAsia="宋体" w:cs="宋体"/>
          <w:color w:val="000000" w:themeColor="text1"/>
          <w:sz w:val="24"/>
          <w:highlight w:val="none"/>
          <w:u w:val="single"/>
          <w14:textFill>
            <w14:solidFill>
              <w14:schemeClr w14:val="tx1"/>
            </w14:solidFill>
          </w14:textFill>
        </w:rPr>
        <w:t>（项目名称）</w:t>
      </w:r>
      <w:r>
        <w:rPr>
          <w:rFonts w:hint="eastAsia" w:hAnsi="宋体" w:eastAsia="宋体" w:cs="宋体"/>
          <w:color w:val="000000" w:themeColor="text1"/>
          <w:sz w:val="24"/>
          <w:highlight w:val="none"/>
          <w14:textFill>
            <w14:solidFill>
              <w14:schemeClr w14:val="tx1"/>
            </w14:solidFill>
          </w14:textFill>
        </w:rPr>
        <w:t>（文件编号：____________________）的投标、洽谈、执行等具体事务，签署全部有关文件、文书、协议、合同，本公司对被授权人在本项目中的签名承担全部法律责任。</w:t>
      </w:r>
    </w:p>
    <w:p>
      <w:pPr>
        <w:pStyle w:val="20"/>
        <w:spacing w:line="500" w:lineRule="exact"/>
        <w:ind w:firstLine="496" w:firstLineChars="200"/>
        <w:rPr>
          <w:rFonts w:hAnsi="宋体" w:eastAsia="宋体" w:cs="宋体"/>
          <w:color w:val="000000" w:themeColor="text1"/>
          <w:sz w:val="10"/>
          <w:szCs w:val="10"/>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本授权书自投标文件递交截止之日起计算有效期为_____日历日。</w:t>
      </w:r>
    </w:p>
    <w:p>
      <w:pPr>
        <w:pStyle w:val="20"/>
        <w:spacing w:line="500" w:lineRule="exact"/>
        <w:ind w:firstLine="496" w:firstLineChars="200"/>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单位名称：__________（公章）</w:t>
      </w:r>
    </w:p>
    <w:p>
      <w:pPr>
        <w:pStyle w:val="20"/>
        <w:spacing w:line="500" w:lineRule="exact"/>
        <w:ind w:firstLine="496" w:firstLineChars="200"/>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法定代表人（签字或盖章）：________</w:t>
      </w:r>
    </w:p>
    <w:p>
      <w:pPr>
        <w:pStyle w:val="20"/>
        <w:spacing w:line="500" w:lineRule="exact"/>
        <w:ind w:firstLine="496" w:firstLineChars="200"/>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被授权人(签字)：___________性别：_______职务：____________</w:t>
      </w:r>
    </w:p>
    <w:p>
      <w:pPr>
        <w:pStyle w:val="20"/>
        <w:spacing w:line="500" w:lineRule="exact"/>
        <w:ind w:firstLine="496" w:firstLineChars="200"/>
        <w:rPr>
          <w:rFonts w:hAnsi="宋体" w:eastAsia="宋体" w:cs="宋体"/>
          <w:color w:val="000000" w:themeColor="text1"/>
          <w:sz w:val="24"/>
          <w:highlight w:val="none"/>
          <w:u w:val="singl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联系地址：____________________</w:t>
      </w:r>
    </w:p>
    <w:p>
      <w:pPr>
        <w:pStyle w:val="20"/>
        <w:spacing w:line="500" w:lineRule="exact"/>
        <w:ind w:firstLine="496" w:firstLineChars="200"/>
        <w:rPr>
          <w:rFonts w:hAnsi="宋体" w:eastAsia="宋体" w:cs="宋体"/>
          <w:color w:val="000000" w:themeColor="text1"/>
          <w:sz w:val="24"/>
          <w:highlight w:val="none"/>
          <w:u w:val="singl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联系电话：____________________传真：____________________</w:t>
      </w:r>
    </w:p>
    <w:p>
      <w:pPr>
        <w:pStyle w:val="20"/>
        <w:spacing w:line="500" w:lineRule="exact"/>
        <w:ind w:firstLine="496" w:firstLineChars="200"/>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法定代表人及被授权人身份证复印件</w:t>
      </w:r>
    </w:p>
    <w:tbl>
      <w:tblPr>
        <w:tblStyle w:val="3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3"/>
        <w:gridCol w:w="4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8" w:hRule="atLeast"/>
        </w:trPr>
        <w:tc>
          <w:tcPr>
            <w:tcW w:w="4443" w:type="dxa"/>
            <w:shd w:val="clear" w:color="auto" w:fill="D9D9D9"/>
            <w:vAlign w:val="center"/>
          </w:tcPr>
          <w:p>
            <w:pPr>
              <w:pStyle w:val="20"/>
              <w:spacing w:line="500" w:lineRule="exact"/>
              <w:rPr>
                <w:rFonts w:hAnsi="宋体" w:eastAsia="宋体" w:cs="宋体"/>
                <w:color w:val="000000" w:themeColor="text1"/>
                <w:sz w:val="24"/>
                <w:highlight w:val="none"/>
                <w:shd w:val="pct10" w:color="auto" w:fill="FFFFFF"/>
                <w14:textFill>
                  <w14:solidFill>
                    <w14:schemeClr w14:val="tx1"/>
                  </w14:solidFill>
                </w14:textFill>
              </w:rPr>
            </w:pPr>
            <w:r>
              <w:rPr>
                <w:rFonts w:hint="eastAsia" w:hAnsi="宋体" w:eastAsia="宋体" w:cs="宋体"/>
                <w:color w:val="000000" w:themeColor="text1"/>
                <w:sz w:val="24"/>
                <w:highlight w:val="none"/>
                <w:shd w:val="pct10" w:color="auto" w:fill="FFFFFF"/>
                <w14:textFill>
                  <w14:solidFill>
                    <w14:schemeClr w14:val="tx1"/>
                  </w14:solidFill>
                </w14:textFill>
              </w:rPr>
              <w:t>法定代表人身份证正反面复印件</w:t>
            </w:r>
          </w:p>
          <w:p>
            <w:pPr>
              <w:pStyle w:val="20"/>
              <w:spacing w:line="500" w:lineRule="exact"/>
              <w:rPr>
                <w:rFonts w:hAnsi="宋体" w:eastAsia="宋体" w:cs="宋体"/>
                <w:color w:val="000000" w:themeColor="text1"/>
                <w:sz w:val="24"/>
                <w:highlight w:val="none"/>
                <w:shd w:val="pct10" w:color="auto" w:fill="FFFFFF"/>
                <w14:textFill>
                  <w14:solidFill>
                    <w14:schemeClr w14:val="tx1"/>
                  </w14:solidFill>
                </w14:textFill>
              </w:rPr>
            </w:pPr>
          </w:p>
        </w:tc>
        <w:tc>
          <w:tcPr>
            <w:tcW w:w="4597" w:type="dxa"/>
            <w:shd w:val="clear" w:color="auto" w:fill="D9D9D9"/>
            <w:vAlign w:val="center"/>
          </w:tcPr>
          <w:p>
            <w:pPr>
              <w:pStyle w:val="20"/>
              <w:spacing w:line="500" w:lineRule="exact"/>
              <w:ind w:firstLine="496" w:firstLineChars="200"/>
              <w:rPr>
                <w:rFonts w:hAnsi="宋体" w:eastAsia="宋体" w:cs="宋体"/>
                <w:color w:val="000000" w:themeColor="text1"/>
                <w:sz w:val="24"/>
                <w:highlight w:val="none"/>
                <w:shd w:val="pct10" w:color="auto" w:fill="FFFFFF"/>
                <w14:textFill>
                  <w14:solidFill>
                    <w14:schemeClr w14:val="tx1"/>
                  </w14:solidFill>
                </w14:textFill>
              </w:rPr>
            </w:pPr>
            <w:r>
              <w:rPr>
                <w:rFonts w:hint="eastAsia" w:hAnsi="宋体" w:eastAsia="宋体" w:cs="宋体"/>
                <w:color w:val="000000" w:themeColor="text1"/>
                <w:sz w:val="24"/>
                <w:highlight w:val="none"/>
                <w:shd w:val="pct10" w:color="auto" w:fill="FFFFFF"/>
                <w14:textFill>
                  <w14:solidFill>
                    <w14:schemeClr w14:val="tx1"/>
                  </w14:solidFill>
                </w14:textFill>
              </w:rPr>
              <w:t>被授权人身份证正反面复印件</w:t>
            </w:r>
          </w:p>
          <w:p>
            <w:pPr>
              <w:pStyle w:val="20"/>
              <w:spacing w:line="500" w:lineRule="exact"/>
              <w:ind w:firstLine="496" w:firstLineChars="200"/>
              <w:rPr>
                <w:rFonts w:hAnsi="宋体" w:eastAsia="宋体" w:cs="宋体"/>
                <w:color w:val="000000" w:themeColor="text1"/>
                <w:sz w:val="24"/>
                <w:highlight w:val="none"/>
                <w:shd w:val="pct10" w:color="auto" w:fill="FFFFFF"/>
                <w14:textFill>
                  <w14:solidFill>
                    <w14:schemeClr w14:val="tx1"/>
                  </w14:solidFill>
                </w14:textFill>
              </w:rPr>
            </w:pPr>
          </w:p>
        </w:tc>
      </w:tr>
    </w:tbl>
    <w:p>
      <w:pPr>
        <w:spacing w:line="560" w:lineRule="exact"/>
        <w:ind w:firstLine="3341" w:firstLineChars="1019"/>
        <w:jc w:val="both"/>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90"/>
        <w:ind w:firstLine="577"/>
        <w:rPr>
          <w:rFonts w:ascii="宋体" w:hAnsi="宋体" w:cs="宋体"/>
          <w:color w:val="000000" w:themeColor="text1"/>
          <w:sz w:val="28"/>
          <w:szCs w:val="28"/>
          <w:highlight w:val="none"/>
          <w14:textFill>
            <w14:solidFill>
              <w14:schemeClr w14:val="tx1"/>
            </w14:solidFill>
          </w14:textFill>
        </w:rPr>
      </w:pPr>
      <w:bookmarkStart w:id="312" w:name="_Toc27420"/>
      <w:bookmarkStart w:id="313" w:name="_Toc20610"/>
      <w:bookmarkStart w:id="314" w:name="_Toc11832"/>
      <w:r>
        <w:rPr>
          <w:rFonts w:hint="eastAsia" w:ascii="宋体" w:hAnsi="宋体" w:cs="宋体"/>
          <w:color w:val="000000" w:themeColor="text1"/>
          <w:sz w:val="28"/>
          <w:szCs w:val="28"/>
          <w:highlight w:val="none"/>
          <w14:textFill>
            <w14:solidFill>
              <w14:schemeClr w14:val="tx1"/>
            </w14:solidFill>
          </w14:textFill>
        </w:rPr>
        <w:t>（七）</w:t>
      </w:r>
      <w:bookmarkEnd w:id="312"/>
      <w:bookmarkEnd w:id="313"/>
      <w:r>
        <w:rPr>
          <w:rFonts w:hint="eastAsia" w:ascii="宋体" w:hAnsi="宋体" w:cs="宋体"/>
          <w:color w:val="000000" w:themeColor="text1"/>
          <w:sz w:val="28"/>
          <w:szCs w:val="28"/>
          <w:highlight w:val="none"/>
          <w14:textFill>
            <w14:solidFill>
              <w14:schemeClr w14:val="tx1"/>
            </w14:solidFill>
          </w14:textFill>
        </w:rPr>
        <w:t>本项目不接受联合体投标（格式自拟）</w:t>
      </w:r>
      <w:bookmarkEnd w:id="314"/>
    </w:p>
    <w:p>
      <w:pPr>
        <w:rPr>
          <w:rFonts w:ascii="宋体" w:hAnsi="宋体" w:eastAsia="宋体" w:cs="宋体"/>
          <w:color w:val="000000" w:themeColor="text1"/>
          <w:highlight w:val="none"/>
          <w14:textFill>
            <w14:solidFill>
              <w14:schemeClr w14:val="tx1"/>
            </w14:solidFill>
          </w14:textFill>
        </w:rPr>
      </w:pPr>
      <w:bookmarkStart w:id="315" w:name="_Toc28294"/>
      <w:bookmarkStart w:id="316" w:name="_Toc9106"/>
      <w:bookmarkStart w:id="317" w:name="_Toc30568"/>
      <w:bookmarkStart w:id="318" w:name="_Toc32575"/>
      <w:bookmarkStart w:id="319" w:name="_Toc29109"/>
      <w:bookmarkStart w:id="320" w:name="_Toc14575"/>
      <w:bookmarkStart w:id="321" w:name="_Toc26570"/>
      <w:bookmarkStart w:id="322" w:name="_Toc18738"/>
      <w:r>
        <w:rPr>
          <w:rFonts w:hint="eastAsia" w:ascii="宋体" w:hAnsi="宋体" w:eastAsia="宋体" w:cs="宋体"/>
          <w:color w:val="000000" w:themeColor="text1"/>
          <w:highlight w:val="none"/>
          <w14:textFill>
            <w14:solidFill>
              <w14:schemeClr w14:val="tx1"/>
            </w14:solidFill>
          </w14:textFill>
        </w:rPr>
        <w:br w:type="page"/>
      </w:r>
    </w:p>
    <w:p>
      <w:pPr>
        <w:pStyle w:val="101"/>
        <w:spacing w:before="197" w:after="197"/>
        <w:ind w:firstLine="659"/>
        <w:jc w:val="center"/>
        <w:rPr>
          <w:rFonts w:ascii="宋体" w:hAnsi="宋体" w:eastAsia="宋体" w:cs="宋体"/>
          <w:color w:val="000000" w:themeColor="text1"/>
          <w:highlight w:val="none"/>
          <w14:textFill>
            <w14:solidFill>
              <w14:schemeClr w14:val="tx1"/>
            </w14:solidFill>
          </w14:textFill>
        </w:rPr>
      </w:pPr>
      <w:bookmarkStart w:id="323" w:name="_Toc26943"/>
      <w:bookmarkStart w:id="324" w:name="_Toc27179"/>
      <w:r>
        <w:rPr>
          <w:rFonts w:hint="eastAsia" w:ascii="宋体" w:hAnsi="宋体" w:eastAsia="宋体" w:cs="宋体"/>
          <w:color w:val="000000" w:themeColor="text1"/>
          <w:highlight w:val="none"/>
          <w14:textFill>
            <w14:solidFill>
              <w14:schemeClr w14:val="tx1"/>
            </w14:solidFill>
          </w14:textFill>
        </w:rPr>
        <w:t>第四部分  供应商概况</w:t>
      </w:r>
      <w:bookmarkEnd w:id="323"/>
      <w:bookmarkEnd w:id="324"/>
    </w:p>
    <w:tbl>
      <w:tblPr>
        <w:tblStyle w:val="93"/>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供应商全称</w:t>
            </w:r>
          </w:p>
        </w:tc>
        <w:tc>
          <w:tcPr>
            <w:tcW w:w="6756" w:type="dxa"/>
            <w:gridSpan w:val="5"/>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注册地址</w:t>
            </w:r>
          </w:p>
        </w:tc>
        <w:tc>
          <w:tcPr>
            <w:tcW w:w="2416"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成立时间</w:t>
            </w:r>
          </w:p>
        </w:tc>
        <w:tc>
          <w:tcPr>
            <w:tcW w:w="2929"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统一社会信用代码</w:t>
            </w:r>
          </w:p>
        </w:tc>
        <w:tc>
          <w:tcPr>
            <w:tcW w:w="2416"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单位性质</w:t>
            </w:r>
          </w:p>
        </w:tc>
        <w:tc>
          <w:tcPr>
            <w:tcW w:w="2929"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法定代表人</w:t>
            </w:r>
          </w:p>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（主要负责人）</w:t>
            </w:r>
          </w:p>
        </w:tc>
        <w:tc>
          <w:tcPr>
            <w:tcW w:w="2416"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所属行业</w:t>
            </w:r>
          </w:p>
        </w:tc>
        <w:tc>
          <w:tcPr>
            <w:tcW w:w="2929"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基本存款账户</w:t>
            </w:r>
          </w:p>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开户银行</w:t>
            </w:r>
          </w:p>
        </w:tc>
        <w:tc>
          <w:tcPr>
            <w:tcW w:w="2416"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基本存款</w:t>
            </w:r>
          </w:p>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账户账号</w:t>
            </w:r>
          </w:p>
        </w:tc>
        <w:tc>
          <w:tcPr>
            <w:tcW w:w="2929"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上年度</w:t>
            </w:r>
          </w:p>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营业收入*</w:t>
            </w:r>
          </w:p>
        </w:tc>
        <w:tc>
          <w:tcPr>
            <w:tcW w:w="2416"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资产总额</w:t>
            </w:r>
          </w:p>
        </w:tc>
        <w:tc>
          <w:tcPr>
            <w:tcW w:w="2929"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经营范围</w:t>
            </w:r>
          </w:p>
        </w:tc>
        <w:tc>
          <w:tcPr>
            <w:tcW w:w="6756" w:type="dxa"/>
            <w:gridSpan w:val="5"/>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资质证书名称</w:t>
            </w:r>
          </w:p>
        </w:tc>
        <w:tc>
          <w:tcPr>
            <w:tcW w:w="2416"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证书号</w:t>
            </w: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等级</w:t>
            </w:r>
          </w:p>
        </w:tc>
        <w:tc>
          <w:tcPr>
            <w:tcW w:w="2929"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2416"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2929"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2416"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2929"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vMerge w:val="restart"/>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从业人员总数</w:t>
            </w:r>
          </w:p>
        </w:tc>
        <w:tc>
          <w:tcPr>
            <w:tcW w:w="992" w:type="dxa"/>
            <w:vMerge w:val="restart"/>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24"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管理人员</w:t>
            </w:r>
          </w:p>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数量</w:t>
            </w: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64"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专业技术</w:t>
            </w:r>
          </w:p>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人员数量</w:t>
            </w:r>
          </w:p>
        </w:tc>
        <w:tc>
          <w:tcPr>
            <w:tcW w:w="1465"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vMerge w:val="continue"/>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992" w:type="dxa"/>
            <w:vMerge w:val="continue"/>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24"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残疾人</w:t>
            </w:r>
          </w:p>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数量</w:t>
            </w: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64"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少数民族</w:t>
            </w:r>
          </w:p>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数量</w:t>
            </w:r>
          </w:p>
        </w:tc>
        <w:tc>
          <w:tcPr>
            <w:tcW w:w="1465"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关系</w:t>
            </w:r>
          </w:p>
        </w:tc>
        <w:tc>
          <w:tcPr>
            <w:tcW w:w="6756" w:type="dxa"/>
            <w:gridSpan w:val="5"/>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6756" w:type="dxa"/>
            <w:gridSpan w:val="5"/>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6756" w:type="dxa"/>
            <w:gridSpan w:val="5"/>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说明</w:t>
            </w:r>
          </w:p>
        </w:tc>
        <w:tc>
          <w:tcPr>
            <w:tcW w:w="6756" w:type="dxa"/>
            <w:gridSpan w:val="5"/>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1.成立时间至提交投标文件截止时间不足一年的可不填写“上年度营业收入”。</w:t>
            </w:r>
          </w:p>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2.表格空间不足时，请自行扩展。</w:t>
            </w:r>
          </w:p>
        </w:tc>
      </w:tr>
    </w:tbl>
    <w:p>
      <w:pPr>
        <w:rPr>
          <w:rFonts w:ascii="宋体" w:hAnsi="宋体" w:eastAsia="宋体" w:cs="宋体"/>
          <w:color w:val="000000" w:themeColor="text1"/>
          <w:sz w:val="32"/>
          <w:szCs w:val="32"/>
          <w:highlight w:val="none"/>
          <w14:textFill>
            <w14:solidFill>
              <w14:schemeClr w14:val="tx1"/>
            </w14:solidFill>
          </w14:textFill>
        </w:rPr>
      </w:pPr>
    </w:p>
    <w:p>
      <w:pP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4"/>
        <w:ind w:firstLine="657"/>
        <w:jc w:val="center"/>
        <w:rPr>
          <w:rFonts w:ascii="宋体" w:hAnsi="宋体" w:eastAsia="宋体" w:cs="宋体"/>
          <w:color w:val="000000" w:themeColor="text1"/>
          <w:highlight w:val="none"/>
          <w14:textFill>
            <w14:solidFill>
              <w14:schemeClr w14:val="tx1"/>
            </w14:solidFill>
          </w14:textFill>
        </w:rPr>
      </w:pPr>
      <w:bookmarkStart w:id="325" w:name="_Toc667"/>
      <w:bookmarkStart w:id="326" w:name="_Toc6201"/>
      <w:r>
        <w:rPr>
          <w:rFonts w:hint="eastAsia" w:ascii="宋体" w:hAnsi="宋体" w:eastAsia="宋体" w:cs="宋体"/>
          <w:color w:val="000000" w:themeColor="text1"/>
          <w:highlight w:val="none"/>
          <w14:textFill>
            <w14:solidFill>
              <w14:schemeClr w14:val="tx1"/>
            </w14:solidFill>
          </w14:textFill>
        </w:rPr>
        <w:t xml:space="preserve">第五部分  </w:t>
      </w:r>
      <w:bookmarkEnd w:id="315"/>
      <w:bookmarkEnd w:id="316"/>
      <w:bookmarkEnd w:id="317"/>
      <w:bookmarkEnd w:id="318"/>
      <w:r>
        <w:rPr>
          <w:rFonts w:hint="eastAsia" w:ascii="宋体" w:hAnsi="宋体" w:eastAsia="宋体" w:cs="宋体"/>
          <w:color w:val="000000" w:themeColor="text1"/>
          <w:highlight w:val="none"/>
          <w14:textFill>
            <w14:solidFill>
              <w14:schemeClr w14:val="tx1"/>
            </w14:solidFill>
          </w14:textFill>
        </w:rPr>
        <w:t>商务和技术响应偏离表</w:t>
      </w:r>
      <w:bookmarkEnd w:id="325"/>
      <w:bookmarkEnd w:id="326"/>
    </w:p>
    <w:p>
      <w:pPr>
        <w:kinsoku w:val="0"/>
        <w:spacing w:line="480" w:lineRule="auto"/>
        <w:ind w:left="1269" w:hanging="1267" w:hangingChars="44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表1、商务响应偏差表</w:t>
      </w:r>
    </w:p>
    <w:tbl>
      <w:tblPr>
        <w:tblStyle w:val="33"/>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425"/>
        <w:gridCol w:w="1740"/>
        <w:gridCol w:w="275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56" w:type="dxa"/>
            <w:vAlign w:val="center"/>
          </w:tcPr>
          <w:p>
            <w:pPr>
              <w:pStyle w:val="20"/>
              <w:spacing w:line="480" w:lineRule="auto"/>
              <w:jc w:val="center"/>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序号</w:t>
            </w:r>
          </w:p>
        </w:tc>
        <w:tc>
          <w:tcPr>
            <w:tcW w:w="1425" w:type="dxa"/>
            <w:vAlign w:val="center"/>
          </w:tcPr>
          <w:p>
            <w:pPr>
              <w:pStyle w:val="20"/>
              <w:spacing w:line="480" w:lineRule="auto"/>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 xml:space="preserve"> 商务条款</w:t>
            </w:r>
          </w:p>
        </w:tc>
        <w:tc>
          <w:tcPr>
            <w:tcW w:w="1740" w:type="dxa"/>
            <w:vAlign w:val="center"/>
          </w:tcPr>
          <w:p>
            <w:pPr>
              <w:pStyle w:val="20"/>
              <w:spacing w:line="480" w:lineRule="auto"/>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商务要求内容</w:t>
            </w:r>
          </w:p>
        </w:tc>
        <w:tc>
          <w:tcPr>
            <w:tcW w:w="2755" w:type="dxa"/>
            <w:vAlign w:val="center"/>
          </w:tcPr>
          <w:p>
            <w:pPr>
              <w:pStyle w:val="20"/>
              <w:spacing w:line="480" w:lineRule="auto"/>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响应文件响应商务内容</w:t>
            </w:r>
          </w:p>
        </w:tc>
        <w:tc>
          <w:tcPr>
            <w:tcW w:w="1550" w:type="dxa"/>
            <w:vAlign w:val="center"/>
          </w:tcPr>
          <w:p>
            <w:pPr>
              <w:pStyle w:val="20"/>
              <w:spacing w:line="480" w:lineRule="auto"/>
              <w:jc w:val="center"/>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740" w:type="dxa"/>
            <w:vAlign w:val="center"/>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755" w:type="dxa"/>
            <w:vAlign w:val="center"/>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550" w:type="dxa"/>
            <w:vAlign w:val="center"/>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56" w:type="dxa"/>
          </w:tcPr>
          <w:p>
            <w:pPr>
              <w:pStyle w:val="20"/>
              <w:spacing w:line="240" w:lineRule="auto"/>
              <w:rPr>
                <w:rFonts w:hint="default" w:hAnsi="宋体" w:eastAsia="宋体" w:cs="宋体"/>
                <w:color w:val="000000" w:themeColor="text1"/>
                <w:sz w:val="24"/>
                <w:highlight w:val="none"/>
                <w:lang w:val="en-US" w:eastAsia="zh-CN"/>
                <w14:textFill>
                  <w14:solidFill>
                    <w14:schemeClr w14:val="tx1"/>
                  </w14:solidFill>
                </w14:textFill>
              </w:rPr>
            </w:pPr>
            <w:r>
              <w:rPr>
                <w:rFonts w:hint="eastAsia" w:hAnsi="宋体" w:eastAsia="宋体" w:cs="宋体"/>
                <w:color w:val="000000" w:themeColor="text1"/>
                <w:sz w:val="24"/>
                <w:highlight w:val="none"/>
                <w:lang w:val="en-US" w:eastAsia="zh-CN"/>
                <w14:textFill>
                  <w14:solidFill>
                    <w14:schemeClr w14:val="tx1"/>
                  </w14:solidFill>
                </w14:textFill>
              </w:rPr>
              <w:t>...</w:t>
            </w:r>
          </w:p>
        </w:tc>
        <w:tc>
          <w:tcPr>
            <w:tcW w:w="1425" w:type="dxa"/>
          </w:tcPr>
          <w:p>
            <w:pPr>
              <w:pStyle w:val="20"/>
              <w:spacing w:line="240" w:lineRule="auto"/>
              <w:rPr>
                <w:rFonts w:hint="eastAsia" w:hAnsi="宋体" w:eastAsia="宋体" w:cs="宋体"/>
                <w:color w:val="000000" w:themeColor="text1"/>
                <w:sz w:val="24"/>
                <w:highlight w:val="none"/>
                <w:lang w:eastAsia="zh-CN"/>
                <w14:textFill>
                  <w14:solidFill>
                    <w14:schemeClr w14:val="tx1"/>
                  </w14:solidFill>
                </w14:textFill>
              </w:rPr>
            </w:pPr>
            <w:r>
              <w:rPr>
                <w:rFonts w:hint="eastAsia" w:hAnsi="宋体" w:eastAsia="宋体" w:cs="宋体"/>
                <w:color w:val="000000" w:themeColor="text1"/>
                <w:sz w:val="24"/>
                <w:highlight w:val="none"/>
                <w:lang w:eastAsia="zh-CN"/>
                <w14:textFill>
                  <w14:solidFill>
                    <w14:schemeClr w14:val="tx1"/>
                  </w14:solidFill>
                </w14:textFill>
              </w:rPr>
              <w:t>其他合同条款</w:t>
            </w:r>
          </w:p>
        </w:tc>
        <w:tc>
          <w:tcPr>
            <w:tcW w:w="174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bl>
    <w:p>
      <w:pPr>
        <w:pStyle w:val="12"/>
        <w:spacing w:line="360" w:lineRule="auto"/>
        <w:ind w:left="140" w:firstLine="0"/>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1、本表须按“第三章招标内容及要求”中所列商务条款进行比较和响应。</w:t>
      </w:r>
    </w:p>
    <w:p>
      <w:pPr>
        <w:pStyle w:val="12"/>
        <w:spacing w:line="360" w:lineRule="auto"/>
        <w:ind w:firstLine="248" w:firstLineChars="100"/>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2、该表必须按照招标文件要求逐条如实填写，根据情况在“偏离情况”项填写正偏离或负偏离或无偏离，在“说明”项填写正偏离或负偏离原因。</w:t>
      </w:r>
    </w:p>
    <w:p>
      <w:pPr>
        <w:pStyle w:val="12"/>
        <w:spacing w:line="360" w:lineRule="auto"/>
        <w:ind w:left="140" w:firstLine="0"/>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3、该表可扩展。商务条款不允许负偏离。</w:t>
      </w:r>
    </w:p>
    <w:p>
      <w:pPr>
        <w:adjustRightInd w:val="0"/>
        <w:snapToGrid w:val="0"/>
        <w:spacing w:line="480" w:lineRule="auto"/>
        <w:rPr>
          <w:rFonts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供应商（单位名称及公章）：</w:t>
      </w:r>
    </w:p>
    <w:p>
      <w:pPr>
        <w:adjustRightInd w:val="0"/>
        <w:snapToGrid w:val="0"/>
        <w:spacing w:line="48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法定代表人或被授权人（签字或盖章）：</w:t>
      </w:r>
    </w:p>
    <w:p>
      <w:pPr>
        <w:adjustRightInd w:val="0"/>
        <w:snapToGrid w:val="0"/>
        <w:spacing w:line="480" w:lineRule="auto"/>
        <w:rPr>
          <w:rFonts w:ascii="宋体" w:hAnsi="宋体" w:eastAsia="宋体" w:cs="宋体"/>
          <w:color w:val="000000" w:themeColor="text1"/>
          <w:highlight w:val="none"/>
          <w14:textFill>
            <w14:solidFill>
              <w14:schemeClr w14:val="tx1"/>
            </w14:solidFill>
          </w14:textFill>
        </w:rPr>
        <w:sectPr>
          <w:pgSz w:w="11906" w:h="16838"/>
          <w:pgMar w:top="1440" w:right="1083" w:bottom="1440" w:left="1083" w:header="850" w:footer="992" w:gutter="0"/>
          <w:cols w:space="0" w:num="1"/>
          <w:titlePg/>
          <w:docGrid w:type="linesAndChars" w:linePitch="395" w:charSpace="1724"/>
        </w:sectPr>
      </w:pPr>
      <w:r>
        <w:rPr>
          <w:rFonts w:hint="eastAsia" w:ascii="宋体" w:hAnsi="宋体" w:eastAsia="宋体" w:cs="宋体"/>
          <w:color w:val="000000" w:themeColor="text1"/>
          <w:highlight w:val="none"/>
          <w14:textFill>
            <w14:solidFill>
              <w14:schemeClr w14:val="tx1"/>
            </w14:solidFill>
          </w14:textFill>
        </w:rPr>
        <w:t>日    期：年月日</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表2、服务响应偏差表</w:t>
      </w:r>
    </w:p>
    <w:tbl>
      <w:tblPr>
        <w:tblStyle w:val="33"/>
        <w:tblW w:w="875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35"/>
        <w:gridCol w:w="2084"/>
        <w:gridCol w:w="2216"/>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51" w:type="dxa"/>
            <w:vAlign w:val="center"/>
          </w:tcPr>
          <w:p>
            <w:pPr>
              <w:pStyle w:val="20"/>
              <w:spacing w:line="480" w:lineRule="auto"/>
              <w:jc w:val="center"/>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序号</w:t>
            </w:r>
          </w:p>
        </w:tc>
        <w:tc>
          <w:tcPr>
            <w:tcW w:w="2135" w:type="dxa"/>
            <w:vAlign w:val="center"/>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产品名称</w:t>
            </w:r>
          </w:p>
        </w:tc>
        <w:tc>
          <w:tcPr>
            <w:tcW w:w="2084" w:type="dxa"/>
            <w:vAlign w:val="center"/>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文件要求</w:t>
            </w:r>
          </w:p>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技术指标</w:t>
            </w:r>
          </w:p>
        </w:tc>
        <w:tc>
          <w:tcPr>
            <w:tcW w:w="2216" w:type="dxa"/>
            <w:vAlign w:val="center"/>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投标产品</w:t>
            </w:r>
          </w:p>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技术指标</w:t>
            </w:r>
          </w:p>
        </w:tc>
        <w:tc>
          <w:tcPr>
            <w:tcW w:w="1470" w:type="dxa"/>
            <w:vAlign w:val="center"/>
          </w:tcPr>
          <w:p>
            <w:pPr>
              <w:pStyle w:val="20"/>
              <w:spacing w:line="480" w:lineRule="auto"/>
              <w:jc w:val="center"/>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13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084" w:type="dxa"/>
            <w:vAlign w:val="center"/>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216" w:type="dxa"/>
            <w:vAlign w:val="center"/>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70" w:type="dxa"/>
            <w:vAlign w:val="center"/>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13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084"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21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7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13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084"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21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7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13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084"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21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7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13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084"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21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7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13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084"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21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7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13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084"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21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7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13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084"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21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7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13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084"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21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7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13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084"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21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7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bl>
    <w:p>
      <w:pPr>
        <w:pStyle w:val="12"/>
        <w:spacing w:line="360" w:lineRule="auto"/>
        <w:ind w:left="140" w:firstLine="0"/>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1、本表须按“第三章招标内容及要求”中所列项目概况、规格参数及相关要求进行比较和响应。</w:t>
      </w:r>
    </w:p>
    <w:p>
      <w:pPr>
        <w:pStyle w:val="12"/>
        <w:spacing w:line="360" w:lineRule="auto"/>
        <w:ind w:left="140" w:firstLine="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2、该表必须按照招标文件要求逐条如实填写，根据情况在“偏离情况”项填写正偏离或负偏离或无偏离，在“说明”项填写正偏离或负偏离原因。</w:t>
      </w:r>
    </w:p>
    <w:p>
      <w:pPr>
        <w:pStyle w:val="12"/>
        <w:spacing w:line="360" w:lineRule="auto"/>
        <w:ind w:left="140" w:firstLine="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3、该表可扩展。</w:t>
      </w:r>
    </w:p>
    <w:p>
      <w:pPr>
        <w:adjustRightInd w:val="0"/>
        <w:snapToGrid w:val="0"/>
        <w:spacing w:line="480" w:lineRule="auto"/>
        <w:rPr>
          <w:rFonts w:ascii="宋体" w:hAnsi="宋体" w:eastAsia="宋体" w:cs="宋体"/>
          <w:color w:val="000000" w:themeColor="text1"/>
          <w:highlight w:val="none"/>
          <w14:textFill>
            <w14:solidFill>
              <w14:schemeClr w14:val="tx1"/>
            </w14:solidFill>
          </w14:textFill>
        </w:rPr>
      </w:pPr>
    </w:p>
    <w:p>
      <w:pPr>
        <w:adjustRightInd w:val="0"/>
        <w:snapToGrid w:val="0"/>
        <w:spacing w:line="480" w:lineRule="auto"/>
        <w:rPr>
          <w:rFonts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供应商（单位名称及公章）：</w:t>
      </w:r>
    </w:p>
    <w:p>
      <w:pPr>
        <w:adjustRightInd w:val="0"/>
        <w:snapToGrid w:val="0"/>
        <w:spacing w:line="48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法定代表人或被授权人（签字或盖章）：</w:t>
      </w:r>
    </w:p>
    <w:p>
      <w:pPr>
        <w:adjustRightInd w:val="0"/>
        <w:snapToGrid w:val="0"/>
        <w:spacing w:line="48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期：年月日</w:t>
      </w:r>
    </w:p>
    <w:bookmarkEnd w:id="319"/>
    <w:bookmarkEnd w:id="320"/>
    <w:bookmarkEnd w:id="321"/>
    <w:bookmarkEnd w:id="322"/>
    <w:p>
      <w:pPr>
        <w:rPr>
          <w:rFonts w:ascii="宋体" w:hAnsi="宋体" w:eastAsia="宋体" w:cs="宋体"/>
          <w:color w:val="000000" w:themeColor="text1"/>
          <w:highlight w:val="none"/>
          <w14:textFill>
            <w14:solidFill>
              <w14:schemeClr w14:val="tx1"/>
            </w14:solidFill>
          </w14:textFill>
        </w:rPr>
      </w:pPr>
      <w:bookmarkStart w:id="327" w:name="_Toc258"/>
      <w:bookmarkStart w:id="328" w:name="_Toc24830"/>
      <w:r>
        <w:rPr>
          <w:rFonts w:hint="eastAsia" w:ascii="宋体" w:hAnsi="宋体" w:eastAsia="宋体" w:cs="宋体"/>
          <w:color w:val="000000" w:themeColor="text1"/>
          <w:highlight w:val="none"/>
          <w14:textFill>
            <w14:solidFill>
              <w14:schemeClr w14:val="tx1"/>
            </w14:solidFill>
          </w14:textFill>
        </w:rPr>
        <w:br w:type="page"/>
      </w:r>
    </w:p>
    <w:p>
      <w:pPr>
        <w:pStyle w:val="4"/>
        <w:spacing w:beforeLines="100" w:afterLines="150" w:line="500" w:lineRule="exact"/>
        <w:ind w:firstLine="657"/>
        <w:jc w:val="center"/>
        <w:rPr>
          <w:rFonts w:ascii="宋体" w:hAnsi="宋体" w:eastAsia="宋体" w:cs="宋体"/>
          <w:color w:val="000000" w:themeColor="text1"/>
          <w:highlight w:val="none"/>
          <w14:textFill>
            <w14:solidFill>
              <w14:schemeClr w14:val="tx1"/>
            </w14:solidFill>
          </w14:textFill>
        </w:rPr>
      </w:pPr>
      <w:bookmarkStart w:id="329" w:name="_Toc14799"/>
      <w:bookmarkStart w:id="330" w:name="_Toc7924"/>
      <w:r>
        <w:rPr>
          <w:rFonts w:hint="eastAsia" w:ascii="宋体" w:hAnsi="宋体" w:eastAsia="宋体" w:cs="宋体"/>
          <w:color w:val="000000" w:themeColor="text1"/>
          <w:highlight w:val="none"/>
          <w14:textFill>
            <w14:solidFill>
              <w14:schemeClr w14:val="tx1"/>
            </w14:solidFill>
          </w14:textFill>
        </w:rPr>
        <w:t xml:space="preserve">第六部分  </w:t>
      </w:r>
      <w:bookmarkEnd w:id="327"/>
      <w:bookmarkEnd w:id="328"/>
      <w:r>
        <w:rPr>
          <w:rFonts w:hint="eastAsia" w:ascii="宋体" w:hAnsi="宋体" w:eastAsia="宋体" w:cs="宋体"/>
          <w:color w:val="000000" w:themeColor="text1"/>
          <w:highlight w:val="none"/>
          <w14:textFill>
            <w14:solidFill>
              <w14:schemeClr w14:val="tx1"/>
            </w14:solidFill>
          </w14:textFill>
        </w:rPr>
        <w:t>技术方案</w:t>
      </w:r>
      <w:bookmarkEnd w:id="329"/>
      <w:bookmarkEnd w:id="330"/>
    </w:p>
    <w:p>
      <w:pPr>
        <w:spacing w:line="48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供应商可根据评审办法自行编写，格式不限。</w:t>
      </w:r>
    </w:p>
    <w:p>
      <w:pPr>
        <w:jc w:val="both"/>
        <w:rPr>
          <w:rFonts w:ascii="宋体" w:hAnsi="宋体" w:eastAsia="宋体" w:cs="宋体"/>
          <w:color w:val="000000" w:themeColor="text1"/>
          <w:highlight w:val="none"/>
          <w14:textFill>
            <w14:solidFill>
              <w14:schemeClr w14:val="tx1"/>
            </w14:solidFill>
          </w14:textFill>
        </w:rPr>
      </w:pPr>
    </w:p>
    <w:p>
      <w:pPr>
        <w:rPr>
          <w:rFonts w:ascii="宋体" w:hAnsi="宋体" w:eastAsia="宋体" w:cs="宋体"/>
          <w:color w:val="000000" w:themeColor="text1"/>
          <w:highlight w:val="none"/>
          <w14:textFill>
            <w14:solidFill>
              <w14:schemeClr w14:val="tx1"/>
            </w14:solidFill>
          </w14:textFill>
        </w:rPr>
      </w:pPr>
    </w:p>
    <w:p>
      <w:pP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br w:type="page"/>
      </w:r>
    </w:p>
    <w:p>
      <w:pPr>
        <w:pStyle w:val="4"/>
        <w:numPr>
          <w:ilvl w:val="0"/>
          <w:numId w:val="7"/>
        </w:numPr>
        <w:ind w:firstLine="657"/>
        <w:jc w:val="center"/>
        <w:rPr>
          <w:rFonts w:ascii="宋体" w:hAnsi="宋体" w:eastAsia="宋体" w:cs="宋体"/>
          <w:color w:val="000000" w:themeColor="text1"/>
          <w:highlight w:val="none"/>
          <w14:textFill>
            <w14:solidFill>
              <w14:schemeClr w14:val="tx1"/>
            </w14:solidFill>
          </w14:textFill>
        </w:rPr>
      </w:pPr>
      <w:bookmarkStart w:id="331" w:name="_Toc24882"/>
      <w:bookmarkStart w:id="332" w:name="_Toc11540"/>
      <w:bookmarkStart w:id="333" w:name="_Toc6020"/>
      <w:bookmarkStart w:id="334" w:name="_Toc3034"/>
      <w:bookmarkStart w:id="335" w:name="_Toc30983"/>
      <w:bookmarkStart w:id="336" w:name="_Toc12793"/>
      <w:bookmarkStart w:id="337" w:name="_Toc8494"/>
      <w:bookmarkStart w:id="338" w:name="_Toc11410"/>
      <w:r>
        <w:rPr>
          <w:rFonts w:hint="eastAsia" w:ascii="宋体" w:hAnsi="宋体" w:eastAsia="宋体" w:cs="宋体"/>
          <w:color w:val="000000" w:themeColor="text1"/>
          <w:highlight w:val="none"/>
          <w14:textFill>
            <w14:solidFill>
              <w14:schemeClr w14:val="tx1"/>
            </w14:solidFill>
          </w14:textFill>
        </w:rPr>
        <w:t xml:space="preserve">  </w:t>
      </w:r>
      <w:bookmarkStart w:id="339" w:name="_Toc28622"/>
      <w:bookmarkStart w:id="340" w:name="_Toc7551"/>
      <w:r>
        <w:rPr>
          <w:rFonts w:hint="eastAsia" w:ascii="宋体" w:hAnsi="宋体" w:eastAsia="宋体" w:cs="宋体"/>
          <w:color w:val="000000" w:themeColor="text1"/>
          <w:highlight w:val="none"/>
          <w14:textFill>
            <w14:solidFill>
              <w14:schemeClr w14:val="tx1"/>
            </w14:solidFill>
          </w14:textFill>
        </w:rPr>
        <w:t>售后服务及培训方案</w:t>
      </w:r>
      <w:bookmarkEnd w:id="339"/>
      <w:bookmarkEnd w:id="340"/>
    </w:p>
    <w:p>
      <w:pPr>
        <w:spacing w:line="48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供应商可根据评审办法自行编写，格式不限。</w:t>
      </w:r>
    </w:p>
    <w:p>
      <w:pP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4"/>
        <w:numPr>
          <w:ilvl w:val="0"/>
          <w:numId w:val="7"/>
        </w:numPr>
        <w:ind w:firstLine="657"/>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bookmarkStart w:id="341" w:name="_Toc30215"/>
      <w:bookmarkStart w:id="342" w:name="_Toc11774"/>
      <w:r>
        <w:rPr>
          <w:rFonts w:hint="eastAsia" w:ascii="宋体" w:hAnsi="宋体" w:eastAsia="宋体" w:cs="宋体"/>
          <w:color w:val="000000" w:themeColor="text1"/>
          <w:highlight w:val="none"/>
          <w14:textFill>
            <w14:solidFill>
              <w14:schemeClr w14:val="tx1"/>
            </w14:solidFill>
          </w14:textFill>
        </w:rPr>
        <w:t>供应商业绩一览表</w:t>
      </w:r>
      <w:bookmarkEnd w:id="331"/>
      <w:bookmarkEnd w:id="332"/>
      <w:bookmarkEnd w:id="333"/>
      <w:bookmarkEnd w:id="334"/>
      <w:bookmarkEnd w:id="341"/>
      <w:bookmarkEnd w:id="342"/>
    </w:p>
    <w:p>
      <w:pPr>
        <w:rPr>
          <w:rFonts w:ascii="宋体" w:hAnsi="宋体" w:eastAsia="宋体" w:cs="宋体"/>
          <w:color w:val="000000" w:themeColor="text1"/>
          <w:highlight w:val="none"/>
          <w14:textFill>
            <w14:solidFill>
              <w14:schemeClr w14:val="tx1"/>
            </w14:solidFill>
          </w14:textFill>
        </w:rPr>
      </w:pPr>
    </w:p>
    <w:tbl>
      <w:tblPr>
        <w:tblStyle w:val="33"/>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pPr>
              <w:spacing w:line="400" w:lineRule="exact"/>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年份</w:t>
            </w:r>
          </w:p>
        </w:tc>
        <w:tc>
          <w:tcPr>
            <w:tcW w:w="1508"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用户名称</w:t>
            </w:r>
          </w:p>
        </w:tc>
        <w:tc>
          <w:tcPr>
            <w:tcW w:w="1382"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项目名称</w:t>
            </w:r>
          </w:p>
        </w:tc>
        <w:tc>
          <w:tcPr>
            <w:tcW w:w="1399"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完成时间</w:t>
            </w:r>
          </w:p>
        </w:tc>
        <w:tc>
          <w:tcPr>
            <w:tcW w:w="1485" w:type="dxa"/>
            <w:vAlign w:val="center"/>
          </w:tcPr>
          <w:p>
            <w:pPr>
              <w:spacing w:line="400" w:lineRule="exact"/>
              <w:ind w:firstLine="124" w:firstLineChars="50"/>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合同金额</w:t>
            </w:r>
          </w:p>
        </w:tc>
        <w:tc>
          <w:tcPr>
            <w:tcW w:w="1576" w:type="dxa"/>
            <w:tcBorders>
              <w:right w:val="single" w:color="auto" w:sz="4" w:space="0"/>
            </w:tcBorders>
            <w:vAlign w:val="center"/>
          </w:tcPr>
          <w:p>
            <w:pPr>
              <w:spacing w:line="400" w:lineRule="exact"/>
              <w:ind w:left="241" w:hanging="239" w:hangingChars="97"/>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完成项目质量</w:t>
            </w:r>
          </w:p>
        </w:tc>
        <w:tc>
          <w:tcPr>
            <w:tcW w:w="1096" w:type="dxa"/>
            <w:tcBorders>
              <w:left w:val="single" w:color="auto" w:sz="4" w:space="0"/>
            </w:tcBorders>
            <w:vAlign w:val="center"/>
          </w:tcPr>
          <w:p>
            <w:pPr>
              <w:spacing w:line="400" w:lineRule="exact"/>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508"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382"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399"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485"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576" w:type="dxa"/>
            <w:tcBorders>
              <w:right w:val="single" w:color="auto" w:sz="4" w:space="0"/>
            </w:tcBorders>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096" w:type="dxa"/>
            <w:tcBorders>
              <w:left w:val="single" w:color="auto" w:sz="4" w:space="0"/>
            </w:tcBorders>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508"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382"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399"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485"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576" w:type="dxa"/>
            <w:tcBorders>
              <w:right w:val="single" w:color="auto" w:sz="4" w:space="0"/>
            </w:tcBorders>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096" w:type="dxa"/>
            <w:tcBorders>
              <w:left w:val="single" w:color="auto" w:sz="4" w:space="0"/>
            </w:tcBorders>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508"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382"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399"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485"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576" w:type="dxa"/>
            <w:tcBorders>
              <w:right w:val="single" w:color="auto" w:sz="4" w:space="0"/>
            </w:tcBorders>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096" w:type="dxa"/>
            <w:tcBorders>
              <w:left w:val="single" w:color="auto" w:sz="4" w:space="0"/>
            </w:tcBorders>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508" w:type="dxa"/>
            <w:tcBorders>
              <w:right w:val="single" w:color="auto" w:sz="4" w:space="0"/>
            </w:tcBorders>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382" w:type="dxa"/>
            <w:tcBorders>
              <w:left w:val="single" w:color="auto" w:sz="4" w:space="0"/>
            </w:tcBorders>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399"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485"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576" w:type="dxa"/>
            <w:tcBorders>
              <w:right w:val="single" w:color="auto" w:sz="4" w:space="0"/>
            </w:tcBorders>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096" w:type="dxa"/>
            <w:tcBorders>
              <w:left w:val="single" w:color="auto" w:sz="4" w:space="0"/>
            </w:tcBorders>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宋体" w:hAnsi="宋体" w:eastAsia="宋体" w:cs="宋体"/>
                <w:bCs/>
                <w:color w:val="000000" w:themeColor="text1"/>
                <w:highlight w:val="none"/>
                <w14:textFill>
                  <w14:solidFill>
                    <w14:schemeClr w14:val="tx1"/>
                  </w14:solidFill>
                </w14:textFill>
              </w:rPr>
            </w:pPr>
          </w:p>
        </w:tc>
        <w:tc>
          <w:tcPr>
            <w:tcW w:w="1508" w:type="dxa"/>
            <w:tcBorders>
              <w:left w:val="single" w:color="auto" w:sz="4" w:space="0"/>
              <w:right w:val="single" w:color="auto" w:sz="4" w:space="0"/>
            </w:tcBorders>
            <w:vAlign w:val="center"/>
          </w:tcPr>
          <w:p>
            <w:pPr>
              <w:spacing w:line="400" w:lineRule="exact"/>
              <w:rPr>
                <w:rFonts w:ascii="宋体" w:hAnsi="宋体" w:eastAsia="宋体" w:cs="宋体"/>
                <w:bCs/>
                <w:color w:val="000000" w:themeColor="text1"/>
                <w:highlight w:val="none"/>
                <w14:textFill>
                  <w14:solidFill>
                    <w14:schemeClr w14:val="tx1"/>
                  </w14:solidFill>
                </w14:textFill>
              </w:rPr>
            </w:pPr>
          </w:p>
        </w:tc>
        <w:tc>
          <w:tcPr>
            <w:tcW w:w="1382" w:type="dxa"/>
            <w:tcBorders>
              <w:left w:val="single" w:color="auto" w:sz="4" w:space="0"/>
              <w:right w:val="single" w:color="auto" w:sz="4" w:space="0"/>
            </w:tcBorders>
            <w:vAlign w:val="center"/>
          </w:tcPr>
          <w:p>
            <w:pPr>
              <w:spacing w:line="400" w:lineRule="exact"/>
              <w:rPr>
                <w:rFonts w:ascii="宋体" w:hAnsi="宋体" w:eastAsia="宋体" w:cs="宋体"/>
                <w:bCs/>
                <w:color w:val="000000" w:themeColor="text1"/>
                <w:highlight w:val="none"/>
                <w14:textFill>
                  <w14:solidFill>
                    <w14:schemeClr w14:val="tx1"/>
                  </w14:solidFill>
                </w14:textFill>
              </w:rPr>
            </w:pPr>
          </w:p>
        </w:tc>
        <w:tc>
          <w:tcPr>
            <w:tcW w:w="1399" w:type="dxa"/>
            <w:tcBorders>
              <w:left w:val="single" w:color="auto" w:sz="4" w:space="0"/>
              <w:right w:val="single" w:color="auto" w:sz="4" w:space="0"/>
            </w:tcBorders>
            <w:vAlign w:val="center"/>
          </w:tcPr>
          <w:p>
            <w:pPr>
              <w:spacing w:line="400" w:lineRule="exact"/>
              <w:rPr>
                <w:rFonts w:ascii="宋体" w:hAnsi="宋体" w:eastAsia="宋体" w:cs="宋体"/>
                <w:bCs/>
                <w:color w:val="000000" w:themeColor="text1"/>
                <w:highlight w:val="none"/>
                <w14:textFill>
                  <w14:solidFill>
                    <w14:schemeClr w14:val="tx1"/>
                  </w14:solidFill>
                </w14:textFill>
              </w:rPr>
            </w:pPr>
          </w:p>
        </w:tc>
        <w:tc>
          <w:tcPr>
            <w:tcW w:w="1485" w:type="dxa"/>
            <w:tcBorders>
              <w:left w:val="single" w:color="auto" w:sz="4" w:space="0"/>
              <w:right w:val="single" w:color="auto" w:sz="4" w:space="0"/>
            </w:tcBorders>
            <w:vAlign w:val="center"/>
          </w:tcPr>
          <w:p>
            <w:pPr>
              <w:spacing w:line="400" w:lineRule="exact"/>
              <w:rPr>
                <w:rFonts w:ascii="宋体" w:hAnsi="宋体" w:eastAsia="宋体" w:cs="宋体"/>
                <w:bCs/>
                <w:color w:val="000000" w:themeColor="text1"/>
                <w:highlight w:val="none"/>
                <w14:textFill>
                  <w14:solidFill>
                    <w14:schemeClr w14:val="tx1"/>
                  </w14:solidFill>
                </w14:textFill>
              </w:rPr>
            </w:pPr>
          </w:p>
        </w:tc>
        <w:tc>
          <w:tcPr>
            <w:tcW w:w="1576" w:type="dxa"/>
            <w:tcBorders>
              <w:left w:val="single" w:color="auto" w:sz="4" w:space="0"/>
              <w:right w:val="single" w:color="auto" w:sz="4" w:space="0"/>
            </w:tcBorders>
            <w:vAlign w:val="center"/>
          </w:tcPr>
          <w:p>
            <w:pPr>
              <w:spacing w:line="400" w:lineRule="exact"/>
              <w:rPr>
                <w:rFonts w:ascii="宋体" w:hAnsi="宋体" w:eastAsia="宋体" w:cs="宋体"/>
                <w:bCs/>
                <w:color w:val="000000" w:themeColor="text1"/>
                <w:highlight w:val="none"/>
                <w14:textFill>
                  <w14:solidFill>
                    <w14:schemeClr w14:val="tx1"/>
                  </w14:solidFill>
                </w14:textFill>
              </w:rPr>
            </w:pPr>
          </w:p>
        </w:tc>
        <w:tc>
          <w:tcPr>
            <w:tcW w:w="1096" w:type="dxa"/>
            <w:tcBorders>
              <w:left w:val="single" w:color="auto" w:sz="4" w:space="0"/>
            </w:tcBorders>
            <w:vAlign w:val="center"/>
          </w:tcPr>
          <w:p>
            <w:pPr>
              <w:spacing w:line="400" w:lineRule="exact"/>
              <w:rPr>
                <w:rFonts w:ascii="宋体" w:hAnsi="宋体" w:eastAsia="宋体" w:cs="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rPr>
                <w:rFonts w:ascii="宋体" w:hAnsi="宋体" w:eastAsia="宋体" w:cs="宋体"/>
                <w:bCs/>
                <w:color w:val="000000" w:themeColor="text1"/>
                <w:highlight w:val="none"/>
                <w14:textFill>
                  <w14:solidFill>
                    <w14:schemeClr w14:val="tx1"/>
                  </w14:solidFill>
                </w14:textFill>
              </w:rPr>
            </w:pPr>
          </w:p>
        </w:tc>
        <w:tc>
          <w:tcPr>
            <w:tcW w:w="1508" w:type="dxa"/>
            <w:vAlign w:val="center"/>
          </w:tcPr>
          <w:p>
            <w:pPr>
              <w:spacing w:line="400" w:lineRule="exact"/>
              <w:rPr>
                <w:rFonts w:ascii="宋体" w:hAnsi="宋体" w:eastAsia="宋体" w:cs="宋体"/>
                <w:bCs/>
                <w:color w:val="000000" w:themeColor="text1"/>
                <w:highlight w:val="none"/>
                <w14:textFill>
                  <w14:solidFill>
                    <w14:schemeClr w14:val="tx1"/>
                  </w14:solidFill>
                </w14:textFill>
              </w:rPr>
            </w:pPr>
          </w:p>
        </w:tc>
        <w:tc>
          <w:tcPr>
            <w:tcW w:w="1382" w:type="dxa"/>
            <w:vAlign w:val="center"/>
          </w:tcPr>
          <w:p>
            <w:pPr>
              <w:spacing w:line="400" w:lineRule="exact"/>
              <w:rPr>
                <w:rFonts w:ascii="宋体" w:hAnsi="宋体" w:eastAsia="宋体" w:cs="宋体"/>
                <w:bCs/>
                <w:color w:val="000000" w:themeColor="text1"/>
                <w:highlight w:val="none"/>
                <w14:textFill>
                  <w14:solidFill>
                    <w14:schemeClr w14:val="tx1"/>
                  </w14:solidFill>
                </w14:textFill>
              </w:rPr>
            </w:pPr>
          </w:p>
        </w:tc>
        <w:tc>
          <w:tcPr>
            <w:tcW w:w="1399" w:type="dxa"/>
            <w:vAlign w:val="center"/>
          </w:tcPr>
          <w:p>
            <w:pPr>
              <w:spacing w:line="400" w:lineRule="exact"/>
              <w:rPr>
                <w:rFonts w:ascii="宋体" w:hAnsi="宋体" w:eastAsia="宋体" w:cs="宋体"/>
                <w:bCs/>
                <w:color w:val="000000" w:themeColor="text1"/>
                <w:highlight w:val="none"/>
                <w14:textFill>
                  <w14:solidFill>
                    <w14:schemeClr w14:val="tx1"/>
                  </w14:solidFill>
                </w14:textFill>
              </w:rPr>
            </w:pPr>
          </w:p>
        </w:tc>
        <w:tc>
          <w:tcPr>
            <w:tcW w:w="1485" w:type="dxa"/>
            <w:tcBorders>
              <w:right w:val="single" w:color="auto" w:sz="4" w:space="0"/>
            </w:tcBorders>
            <w:vAlign w:val="center"/>
          </w:tcPr>
          <w:p>
            <w:pPr>
              <w:spacing w:line="400" w:lineRule="exact"/>
              <w:rPr>
                <w:rFonts w:ascii="宋体" w:hAnsi="宋体" w:eastAsia="宋体" w:cs="宋体"/>
                <w:bCs/>
                <w:color w:val="000000" w:themeColor="text1"/>
                <w:highlight w:val="none"/>
                <w14:textFill>
                  <w14:solidFill>
                    <w14:schemeClr w14:val="tx1"/>
                  </w14:solidFill>
                </w14:textFill>
              </w:rPr>
            </w:pPr>
          </w:p>
        </w:tc>
        <w:tc>
          <w:tcPr>
            <w:tcW w:w="1576" w:type="dxa"/>
            <w:tcBorders>
              <w:left w:val="single" w:color="auto" w:sz="4" w:space="0"/>
              <w:right w:val="single" w:color="auto" w:sz="4" w:space="0"/>
            </w:tcBorders>
            <w:vAlign w:val="center"/>
          </w:tcPr>
          <w:p>
            <w:pPr>
              <w:spacing w:line="400" w:lineRule="exact"/>
              <w:rPr>
                <w:rFonts w:ascii="宋体" w:hAnsi="宋体" w:eastAsia="宋体" w:cs="宋体"/>
                <w:bCs/>
                <w:color w:val="000000" w:themeColor="text1"/>
                <w:highlight w:val="none"/>
                <w14:textFill>
                  <w14:solidFill>
                    <w14:schemeClr w14:val="tx1"/>
                  </w14:solidFill>
                </w14:textFill>
              </w:rPr>
            </w:pPr>
          </w:p>
        </w:tc>
        <w:tc>
          <w:tcPr>
            <w:tcW w:w="1096" w:type="dxa"/>
            <w:tcBorders>
              <w:left w:val="single" w:color="auto" w:sz="4" w:space="0"/>
            </w:tcBorders>
            <w:vAlign w:val="center"/>
          </w:tcPr>
          <w:p>
            <w:pPr>
              <w:spacing w:line="400" w:lineRule="exact"/>
              <w:rPr>
                <w:rFonts w:ascii="宋体" w:hAnsi="宋体" w:eastAsia="宋体" w:cs="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508"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382"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399" w:type="dxa"/>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485" w:type="dxa"/>
            <w:tcBorders>
              <w:right w:val="single" w:color="auto" w:sz="4" w:space="0"/>
            </w:tcBorders>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576" w:type="dxa"/>
            <w:tcBorders>
              <w:left w:val="single" w:color="auto" w:sz="4" w:space="0"/>
              <w:right w:val="single" w:color="auto" w:sz="4" w:space="0"/>
            </w:tcBorders>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c>
          <w:tcPr>
            <w:tcW w:w="1096" w:type="dxa"/>
            <w:tcBorders>
              <w:left w:val="single" w:color="auto" w:sz="4" w:space="0"/>
            </w:tcBorders>
            <w:vAlign w:val="center"/>
          </w:tcPr>
          <w:p>
            <w:pPr>
              <w:spacing w:line="400" w:lineRule="exact"/>
              <w:jc w:val="center"/>
              <w:rPr>
                <w:rFonts w:ascii="宋体" w:hAnsi="宋体" w:eastAsia="宋体" w:cs="宋体"/>
                <w:bCs/>
                <w:color w:val="000000" w:themeColor="text1"/>
                <w:highlight w:val="none"/>
                <w14:textFill>
                  <w14:solidFill>
                    <w14:schemeClr w14:val="tx1"/>
                  </w14:solidFill>
                </w14:textFill>
              </w:rPr>
            </w:pPr>
          </w:p>
        </w:tc>
      </w:tr>
    </w:tbl>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注：供应商（仅限于供应商自己实施的）以上业绩需提供采购合同复印件加盖公章。</w:t>
      </w:r>
    </w:p>
    <w:p>
      <w:pPr>
        <w:spacing w:line="360" w:lineRule="auto"/>
        <w:rPr>
          <w:rFonts w:ascii="宋体" w:hAnsi="宋体" w:eastAsia="宋体" w:cs="宋体"/>
          <w:color w:val="000000" w:themeColor="text1"/>
          <w:highlight w:val="none"/>
          <w14:textFill>
            <w14:solidFill>
              <w14:schemeClr w14:val="tx1"/>
            </w14:solidFill>
          </w14:textFill>
        </w:rPr>
      </w:pPr>
    </w:p>
    <w:p>
      <w:pPr>
        <w:adjustRightInd w:val="0"/>
        <w:spacing w:line="600" w:lineRule="auto"/>
        <w:rPr>
          <w:rFonts w:ascii="宋体" w:hAnsi="宋体" w:eastAsia="宋体" w:cs="宋体"/>
          <w:bCs/>
          <w:color w:val="000000" w:themeColor="text1"/>
          <w:highlight w:val="none"/>
          <w:u w:val="singl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供应商名称：</w:t>
      </w:r>
      <w:r>
        <w:rPr>
          <w:rFonts w:hint="eastAsia" w:ascii="宋体" w:hAnsi="宋体" w:eastAsia="宋体" w:cs="宋体"/>
          <w:bCs/>
          <w:color w:val="000000" w:themeColor="text1"/>
          <w:highlight w:val="none"/>
          <w:u w:val="single"/>
          <w14:textFill>
            <w14:solidFill>
              <w14:schemeClr w14:val="tx1"/>
            </w14:solidFill>
          </w14:textFill>
        </w:rPr>
        <w:t xml:space="preserve">              （全称及公章）</w:t>
      </w:r>
    </w:p>
    <w:p>
      <w:pPr>
        <w:adjustRightInd w:val="0"/>
        <w:snapToGrid w:val="0"/>
        <w:spacing w:line="60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法定代表人或被授权人（签字或盖章）：</w:t>
      </w:r>
    </w:p>
    <w:p>
      <w:pPr>
        <w:adjustRightInd w:val="0"/>
        <w:snapToGrid w:val="0"/>
        <w:spacing w:line="600" w:lineRule="auto"/>
        <w:rPr>
          <w:rFonts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日    </w:t>
      </w:r>
      <w:r>
        <w:rPr>
          <w:rFonts w:hint="eastAsia" w:ascii="宋体" w:hAnsi="宋体" w:eastAsia="宋体" w:cs="宋体"/>
          <w:color w:val="000000" w:themeColor="text1"/>
          <w:highlight w:val="none"/>
          <w14:textFill>
            <w14:solidFill>
              <w14:schemeClr w14:val="tx1"/>
            </w14:solidFill>
          </w14:textFill>
        </w:rPr>
        <w:t xml:space="preserve">期:                   </w:t>
      </w:r>
      <w:bookmarkEnd w:id="335"/>
      <w:bookmarkEnd w:id="336"/>
      <w:bookmarkEnd w:id="337"/>
      <w:bookmarkEnd w:id="338"/>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4"/>
        <w:ind w:firstLine="657"/>
        <w:rPr>
          <w:rFonts w:ascii="宋体" w:hAnsi="宋体" w:eastAsia="宋体" w:cs="宋体"/>
          <w:color w:val="000000" w:themeColor="text1"/>
          <w:highlight w:val="none"/>
          <w14:textFill>
            <w14:solidFill>
              <w14:schemeClr w14:val="tx1"/>
            </w14:solidFill>
          </w14:textFill>
        </w:rPr>
      </w:pPr>
      <w:bookmarkStart w:id="343" w:name="_Toc18894"/>
      <w:bookmarkStart w:id="344" w:name="_Toc9666"/>
      <w:bookmarkStart w:id="345" w:name="_Toc29034"/>
      <w:bookmarkStart w:id="346" w:name="_Toc22400"/>
      <w:bookmarkStart w:id="347" w:name="_Toc14821"/>
      <w:bookmarkStart w:id="348" w:name="_Toc23432"/>
      <w:bookmarkStart w:id="349" w:name="_Toc2773"/>
      <w:r>
        <w:rPr>
          <w:rFonts w:hint="eastAsia" w:ascii="宋体" w:hAnsi="宋体" w:eastAsia="宋体" w:cs="宋体"/>
          <w:color w:val="000000" w:themeColor="text1"/>
          <w:highlight w:val="none"/>
          <w14:textFill>
            <w14:solidFill>
              <w14:schemeClr w14:val="tx1"/>
            </w14:solidFill>
          </w14:textFill>
        </w:rPr>
        <w:t>第九部分  供应商认为有必要说明的其他问题</w:t>
      </w:r>
      <w:bookmarkEnd w:id="343"/>
      <w:bookmarkEnd w:id="344"/>
      <w:bookmarkEnd w:id="345"/>
      <w:bookmarkEnd w:id="346"/>
      <w:bookmarkEnd w:id="347"/>
      <w:bookmarkEnd w:id="348"/>
      <w:bookmarkEnd w:id="349"/>
    </w:p>
    <w:p>
      <w:pPr>
        <w:rPr>
          <w:rFonts w:ascii="宋体" w:hAnsi="宋体" w:eastAsia="宋体" w:cs="宋体"/>
          <w:color w:val="000000" w:themeColor="text1"/>
          <w:highlight w:val="none"/>
          <w14:textFill>
            <w14:solidFill>
              <w14:schemeClr w14:val="tx1"/>
            </w14:solidFill>
          </w14:textFill>
        </w:rPr>
      </w:pP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供应商认为有必要提供的其他证明文件</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5"/>
        <w:adjustRightInd w:val="0"/>
        <w:spacing w:line="416" w:lineRule="atLeast"/>
        <w:ind w:firstLine="657"/>
        <w:textAlignment w:val="baseline"/>
        <w:rPr>
          <w:rFonts w:ascii="宋体" w:hAnsi="宋体" w:eastAsia="宋体" w:cs="宋体"/>
          <w:color w:val="000000" w:themeColor="text1"/>
          <w:highlight w:val="none"/>
          <w14:textFill>
            <w14:solidFill>
              <w14:schemeClr w14:val="tx1"/>
            </w14:solidFill>
          </w14:textFill>
        </w:rPr>
      </w:pPr>
      <w:bookmarkStart w:id="350" w:name="_Toc20129"/>
      <w:bookmarkStart w:id="351" w:name="_Toc22501"/>
      <w:bookmarkStart w:id="352" w:name="_Toc22866"/>
      <w:bookmarkStart w:id="353" w:name="_Toc9607"/>
      <w:bookmarkStart w:id="354" w:name="_Toc7273"/>
      <w:bookmarkStart w:id="355" w:name="_Toc8177"/>
      <w:bookmarkStart w:id="356" w:name="_Toc13737"/>
      <w:r>
        <w:rPr>
          <w:rFonts w:hint="eastAsia" w:ascii="宋体" w:hAnsi="宋体" w:eastAsia="宋体" w:cs="宋体"/>
          <w:color w:val="000000" w:themeColor="text1"/>
          <w:highlight w:val="none"/>
          <w14:textFill>
            <w14:solidFill>
              <w14:schemeClr w14:val="tx1"/>
            </w14:solidFill>
          </w14:textFill>
        </w:rPr>
        <w:t>附件一、中小企业申明</w:t>
      </w:r>
      <w:bookmarkEnd w:id="350"/>
      <w:bookmarkEnd w:id="351"/>
      <w:bookmarkEnd w:id="352"/>
      <w:bookmarkEnd w:id="353"/>
      <w:bookmarkEnd w:id="354"/>
      <w:bookmarkEnd w:id="355"/>
      <w:bookmarkEnd w:id="356"/>
    </w:p>
    <w:p>
      <w:pPr>
        <w:rPr>
          <w:rFonts w:ascii="宋体" w:hAnsi="宋体" w:eastAsia="宋体" w:cs="宋体"/>
          <w:color w:val="000000" w:themeColor="text1"/>
          <w:highlight w:val="none"/>
          <w14:textFill>
            <w14:solidFill>
              <w14:schemeClr w14:val="tx1"/>
            </w14:solidFill>
          </w14:textFill>
        </w:rPr>
      </w:pPr>
    </w:p>
    <w:p>
      <w:pPr>
        <w:spacing w:line="588" w:lineRule="exact"/>
        <w:ind w:firstLine="520" w:firstLineChars="200"/>
        <w:rPr>
          <w:rFonts w:ascii="宋体" w:hAnsi="宋体" w:eastAsia="宋体" w:cs="宋体"/>
          <w:color w:val="000000" w:themeColor="text1"/>
          <w:spacing w:val="6"/>
          <w:highlight w:val="none"/>
          <w14:textFill>
            <w14:solidFill>
              <w14:schemeClr w14:val="tx1"/>
            </w14:solidFill>
          </w14:textFill>
        </w:rPr>
      </w:pPr>
      <w:bookmarkStart w:id="357" w:name="_Toc15467"/>
      <w:bookmarkStart w:id="358" w:name="_Toc3198"/>
      <w:bookmarkStart w:id="359" w:name="_Toc30503"/>
      <w:bookmarkStart w:id="360" w:name="_Toc11130"/>
      <w:bookmarkStart w:id="361" w:name="_Toc11556"/>
      <w:r>
        <w:rPr>
          <w:rFonts w:hint="eastAsia" w:ascii="宋体" w:hAnsi="宋体" w:eastAsia="宋体" w:cs="宋体"/>
          <w:color w:val="000000" w:themeColor="text1"/>
          <w:spacing w:val="6"/>
          <w:highlight w:val="none"/>
          <w14:textFill>
            <w14:solidFill>
              <w14:schemeClr w14:val="tx1"/>
            </w14:solidFill>
          </w14:textFill>
        </w:rPr>
        <w:t>根据《政府采购促进中小企业发展管理办法》（财库[2020]46号）的规定，由供应商自行声明并对真实性负责。如有虚假，将依法承担相应责任。</w:t>
      </w:r>
    </w:p>
    <w:p>
      <w:pPr>
        <w:spacing w:line="588" w:lineRule="exact"/>
        <w:jc w:val="center"/>
        <w:rPr>
          <w:rFonts w:ascii="宋体" w:hAnsi="宋体" w:eastAsia="宋体" w:cs="宋体"/>
          <w:b/>
          <w:color w:val="000000" w:themeColor="text1"/>
          <w:spacing w:val="6"/>
          <w:highlight w:val="none"/>
          <w14:textFill>
            <w14:solidFill>
              <w14:schemeClr w14:val="tx1"/>
            </w14:solidFill>
          </w14:textFill>
        </w:rPr>
      </w:pPr>
      <w:r>
        <w:rPr>
          <w:rFonts w:hint="eastAsia" w:ascii="宋体" w:hAnsi="宋体" w:eastAsia="宋体" w:cs="宋体"/>
          <w:b/>
          <w:color w:val="000000" w:themeColor="text1"/>
          <w:spacing w:val="6"/>
          <w:highlight w:val="none"/>
          <w14:textFill>
            <w14:solidFill>
              <w14:schemeClr w14:val="tx1"/>
            </w14:solidFill>
          </w14:textFill>
        </w:rPr>
        <w:t>中小企业声明函（货物）</w:t>
      </w:r>
    </w:p>
    <w:p>
      <w:pPr>
        <w:pStyle w:val="18"/>
        <w:spacing w:before="55" w:line="360" w:lineRule="auto"/>
        <w:ind w:right="415" w:firstLine="640"/>
        <w:rPr>
          <w:rFonts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本公司</w:t>
      </w:r>
      <w:r>
        <w:rPr>
          <w:rFonts w:hint="eastAsia" w:ascii="宋体" w:hAnsi="宋体" w:eastAsia="宋体" w:cs="宋体"/>
          <w:color w:val="000000" w:themeColor="text1"/>
          <w:sz w:val="24"/>
          <w:highlight w:val="none"/>
          <w14:textFill>
            <w14:solidFill>
              <w14:schemeClr w14:val="tx1"/>
            </w14:solidFill>
          </w14:textFill>
        </w:rPr>
        <w:t>（联合体）</w:t>
      </w:r>
      <w:r>
        <w:rPr>
          <w:rFonts w:hint="eastAsia" w:ascii="宋体" w:hAnsi="宋体" w:eastAsia="宋体" w:cs="宋体"/>
          <w:color w:val="000000" w:themeColor="text1"/>
          <w:spacing w:val="6"/>
          <w:sz w:val="24"/>
          <w:highlight w:val="none"/>
          <w14:textFill>
            <w14:solidFill>
              <w14:schemeClr w14:val="tx1"/>
            </w14:solidFill>
          </w14:textFill>
        </w:rPr>
        <w:t>郑重声明，根据《政府采购促进中小企业发展管理办法》（财库﹝2020﹞46 号）的规定，本公司</w:t>
      </w:r>
      <w:r>
        <w:rPr>
          <w:rFonts w:hint="eastAsia" w:ascii="宋体" w:hAnsi="宋体" w:eastAsia="宋体" w:cs="宋体"/>
          <w:color w:val="000000" w:themeColor="text1"/>
          <w:sz w:val="24"/>
          <w:highlight w:val="none"/>
          <w14:textFill>
            <w14:solidFill>
              <w14:schemeClr w14:val="tx1"/>
            </w14:solidFill>
          </w14:textFill>
        </w:rPr>
        <w:t>（联合体）</w:t>
      </w:r>
      <w:r>
        <w:rPr>
          <w:rFonts w:hint="eastAsia" w:ascii="宋体" w:hAnsi="宋体" w:eastAsia="宋体" w:cs="宋体"/>
          <w:color w:val="000000" w:themeColor="text1"/>
          <w:spacing w:val="6"/>
          <w:sz w:val="24"/>
          <w:highlight w:val="none"/>
          <w14:textFill>
            <w14:solidFill>
              <w14:schemeClr w14:val="tx1"/>
            </w14:solidFill>
          </w14:textFill>
        </w:rPr>
        <w:t>参加</w:t>
      </w:r>
      <w:r>
        <w:rPr>
          <w:rFonts w:hint="eastAsia" w:ascii="宋体" w:hAnsi="宋体" w:eastAsia="宋体" w:cs="宋体"/>
          <w:color w:val="000000" w:themeColor="text1"/>
          <w:spacing w:val="6"/>
          <w:sz w:val="24"/>
          <w:highlight w:val="none"/>
          <w:u w:val="single"/>
          <w14:textFill>
            <w14:solidFill>
              <w14:schemeClr w14:val="tx1"/>
            </w14:solidFill>
          </w14:textFill>
        </w:rPr>
        <w:t>（单位名称）</w:t>
      </w:r>
      <w:r>
        <w:rPr>
          <w:rFonts w:hint="eastAsia" w:ascii="宋体" w:hAnsi="宋体" w:eastAsia="宋体" w:cs="宋体"/>
          <w:color w:val="000000" w:themeColor="text1"/>
          <w:spacing w:val="6"/>
          <w:sz w:val="24"/>
          <w:highlight w:val="none"/>
          <w14:textFill>
            <w14:solidFill>
              <w14:schemeClr w14:val="tx1"/>
            </w14:solidFill>
          </w14:textFill>
        </w:rPr>
        <w:t>的</w:t>
      </w:r>
      <w:r>
        <w:rPr>
          <w:rFonts w:hint="eastAsia" w:ascii="宋体" w:hAnsi="宋体" w:eastAsia="宋体" w:cs="宋体"/>
          <w:color w:val="000000" w:themeColor="text1"/>
          <w:spacing w:val="6"/>
          <w:sz w:val="24"/>
          <w:highlight w:val="none"/>
          <w:u w:val="single"/>
          <w14:textFill>
            <w14:solidFill>
              <w14:schemeClr w14:val="tx1"/>
            </w14:solidFill>
          </w14:textFill>
        </w:rPr>
        <w:t>（项目名称）</w:t>
      </w:r>
      <w:r>
        <w:rPr>
          <w:rFonts w:hint="eastAsia" w:ascii="宋体" w:hAnsi="宋体" w:eastAsia="宋体" w:cs="宋体"/>
          <w:color w:val="000000" w:themeColor="text1"/>
          <w:spacing w:val="6"/>
          <w:sz w:val="24"/>
          <w:highlight w:val="none"/>
          <w14:textFill>
            <w14:solidFill>
              <w14:schemeClr w14:val="tx1"/>
            </w14:solidFill>
          </w14:textFill>
        </w:rPr>
        <w:t>采购活动，提供的货物全部由符合政策要求的中小企业制造。相关企业的具体情况如下：</w:t>
      </w:r>
    </w:p>
    <w:p>
      <w:pPr>
        <w:pStyle w:val="113"/>
        <w:numPr>
          <w:ilvl w:val="0"/>
          <w:numId w:val="8"/>
        </w:numPr>
        <w:tabs>
          <w:tab w:val="left" w:pos="1183"/>
          <w:tab w:val="left" w:pos="1484"/>
          <w:tab w:val="left" w:pos="4662"/>
          <w:tab w:val="left" w:pos="6903"/>
        </w:tabs>
        <w:spacing w:line="360" w:lineRule="auto"/>
        <w:ind w:right="169" w:firstLine="521"/>
        <w:rPr>
          <w:rFonts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u w:val="single"/>
          <w14:textFill>
            <w14:solidFill>
              <w14:schemeClr w14:val="tx1"/>
            </w14:solidFill>
          </w14:textFill>
        </w:rPr>
        <w:t xml:space="preserve">（ 标 的 名 称 ） </w:t>
      </w:r>
      <w:r>
        <w:rPr>
          <w:rFonts w:hint="eastAsia" w:ascii="宋体" w:hAnsi="宋体" w:eastAsia="宋体" w:cs="宋体"/>
          <w:color w:val="000000" w:themeColor="text1"/>
          <w:spacing w:val="6"/>
          <w:highlight w:val="none"/>
          <w14:textFill>
            <w14:solidFill>
              <w14:schemeClr w14:val="tx1"/>
            </w14:solidFill>
          </w14:textFill>
        </w:rPr>
        <w:t xml:space="preserve">， 属 于 </w:t>
      </w:r>
      <w:r>
        <w:rPr>
          <w:rFonts w:hint="eastAsia" w:ascii="宋体" w:hAnsi="宋体" w:eastAsia="宋体" w:cs="宋体"/>
          <w:color w:val="000000" w:themeColor="text1"/>
          <w:spacing w:val="6"/>
          <w:highlight w:val="none"/>
          <w:u w:val="single"/>
          <w14:textFill>
            <w14:solidFill>
              <w14:schemeClr w14:val="tx1"/>
            </w14:solidFill>
          </w14:textFill>
        </w:rPr>
        <w:t xml:space="preserve">（ 所 属 行 业 ） </w:t>
      </w:r>
      <w:r>
        <w:rPr>
          <w:rFonts w:hint="eastAsia" w:ascii="宋体" w:hAnsi="宋体" w:eastAsia="宋体" w:cs="宋体"/>
          <w:color w:val="000000" w:themeColor="text1"/>
          <w:spacing w:val="6"/>
          <w:highlight w:val="none"/>
          <w14:textFill>
            <w14:solidFill>
              <w14:schemeClr w14:val="tx1"/>
            </w14:solidFill>
          </w14:textFill>
        </w:rPr>
        <w:t>行业。制造商为</w:t>
      </w:r>
      <w:r>
        <w:rPr>
          <w:rFonts w:hint="eastAsia" w:ascii="宋体" w:hAnsi="宋体" w:eastAsia="宋体" w:cs="宋体"/>
          <w:color w:val="000000" w:themeColor="text1"/>
          <w:spacing w:val="6"/>
          <w:highlight w:val="none"/>
          <w:u w:val="single"/>
          <w14:textFill>
            <w14:solidFill>
              <w14:schemeClr w14:val="tx1"/>
            </w14:solidFill>
          </w14:textFill>
        </w:rPr>
        <w:t>（企业名称）</w:t>
      </w:r>
      <w:r>
        <w:rPr>
          <w:rFonts w:hint="eastAsia" w:ascii="宋体" w:hAnsi="宋体" w:eastAsia="宋体" w:cs="宋体"/>
          <w:color w:val="000000" w:themeColor="text1"/>
          <w:spacing w:val="6"/>
          <w:highlight w:val="none"/>
          <w14:textFill>
            <w14:solidFill>
              <w14:schemeClr w14:val="tx1"/>
            </w14:solidFill>
          </w14:textFill>
        </w:rPr>
        <w:t>，从业人员</w:t>
      </w:r>
      <w:r>
        <w:rPr>
          <w:rFonts w:hint="eastAsia" w:ascii="宋体" w:hAnsi="宋体" w:eastAsia="宋体" w:cs="宋体"/>
          <w:color w:val="000000" w:themeColor="text1"/>
          <w:spacing w:val="6"/>
          <w:highlight w:val="none"/>
          <w:u w:val="single"/>
          <w14:textFill>
            <w14:solidFill>
              <w14:schemeClr w14:val="tx1"/>
            </w14:solidFill>
          </w14:textFill>
        </w:rPr>
        <w:tab/>
      </w:r>
      <w:r>
        <w:rPr>
          <w:rFonts w:hint="eastAsia" w:ascii="宋体" w:hAnsi="宋体" w:eastAsia="宋体" w:cs="宋体"/>
          <w:color w:val="000000" w:themeColor="text1"/>
          <w:spacing w:val="6"/>
          <w:highlight w:val="none"/>
          <w14:textFill>
            <w14:solidFill>
              <w14:schemeClr w14:val="tx1"/>
            </w14:solidFill>
          </w14:textFill>
        </w:rPr>
        <w:t>人，营业收入为</w:t>
      </w:r>
      <w:r>
        <w:rPr>
          <w:rFonts w:hint="eastAsia" w:ascii="宋体" w:hAnsi="宋体" w:eastAsia="宋体" w:cs="宋体"/>
          <w:color w:val="000000" w:themeColor="text1"/>
          <w:spacing w:val="6"/>
          <w:highlight w:val="none"/>
          <w:u w:val="single"/>
          <w14:textFill>
            <w14:solidFill>
              <w14:schemeClr w14:val="tx1"/>
            </w14:solidFill>
          </w14:textFill>
        </w:rPr>
        <w:tab/>
      </w:r>
      <w:r>
        <w:rPr>
          <w:rFonts w:hint="eastAsia" w:ascii="宋体" w:hAnsi="宋体" w:eastAsia="宋体" w:cs="宋体"/>
          <w:color w:val="000000" w:themeColor="text1"/>
          <w:spacing w:val="6"/>
          <w:highlight w:val="none"/>
          <w14:textFill>
            <w14:solidFill>
              <w14:schemeClr w14:val="tx1"/>
            </w14:solidFill>
          </w14:textFill>
        </w:rPr>
        <w:t>万元，资产总额为</w:t>
      </w:r>
      <w:r>
        <w:rPr>
          <w:rFonts w:hint="eastAsia" w:ascii="宋体" w:hAnsi="宋体" w:eastAsia="宋体" w:cs="宋体"/>
          <w:color w:val="000000" w:themeColor="text1"/>
          <w:spacing w:val="6"/>
          <w:highlight w:val="none"/>
          <w:u w:val="single"/>
          <w14:textFill>
            <w14:solidFill>
              <w14:schemeClr w14:val="tx1"/>
            </w14:solidFill>
          </w14:textFill>
        </w:rPr>
        <w:tab/>
      </w:r>
      <w:r>
        <w:rPr>
          <w:rFonts w:hint="eastAsia" w:ascii="宋体" w:hAnsi="宋体" w:eastAsia="宋体" w:cs="宋体"/>
          <w:color w:val="000000" w:themeColor="text1"/>
          <w:spacing w:val="6"/>
          <w:highlight w:val="none"/>
          <w14:textFill>
            <w14:solidFill>
              <w14:schemeClr w14:val="tx1"/>
            </w14:solidFill>
          </w14:textFill>
        </w:rPr>
        <w:t>万元，属于</w:t>
      </w:r>
      <w:r>
        <w:rPr>
          <w:rFonts w:hint="eastAsia" w:ascii="宋体" w:hAnsi="宋体" w:eastAsia="宋体" w:cs="宋体"/>
          <w:color w:val="000000" w:themeColor="text1"/>
          <w:spacing w:val="6"/>
          <w:highlight w:val="none"/>
          <w:u w:val="single"/>
          <w14:textFill>
            <w14:solidFill>
              <w14:schemeClr w14:val="tx1"/>
            </w14:solidFill>
          </w14:textFill>
        </w:rPr>
        <w:t>（中型企业、小型企业、微型企业）</w:t>
      </w:r>
      <w:r>
        <w:rPr>
          <w:rFonts w:hint="eastAsia" w:ascii="宋体" w:hAnsi="宋体" w:eastAsia="宋体" w:cs="宋体"/>
          <w:color w:val="000000" w:themeColor="text1"/>
          <w:spacing w:val="6"/>
          <w:highlight w:val="none"/>
          <w14:textFill>
            <w14:solidFill>
              <w14:schemeClr w14:val="tx1"/>
            </w14:solidFill>
          </w14:textFill>
        </w:rPr>
        <w:t>。</w:t>
      </w:r>
    </w:p>
    <w:p>
      <w:pPr>
        <w:pStyle w:val="113"/>
        <w:numPr>
          <w:ilvl w:val="0"/>
          <w:numId w:val="8"/>
        </w:numPr>
        <w:tabs>
          <w:tab w:val="left" w:pos="1165"/>
          <w:tab w:val="left" w:pos="1183"/>
          <w:tab w:val="left" w:pos="4362"/>
          <w:tab w:val="left" w:pos="6577"/>
        </w:tabs>
        <w:spacing w:line="360" w:lineRule="auto"/>
        <w:ind w:right="169" w:firstLine="521"/>
        <w:rPr>
          <w:rFonts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u w:val="single"/>
          <w14:textFill>
            <w14:solidFill>
              <w14:schemeClr w14:val="tx1"/>
            </w14:solidFill>
          </w14:textFill>
        </w:rPr>
        <w:t xml:space="preserve">（ 标 的 名 称 ） </w:t>
      </w:r>
      <w:r>
        <w:rPr>
          <w:rFonts w:hint="eastAsia" w:ascii="宋体" w:hAnsi="宋体" w:eastAsia="宋体" w:cs="宋体"/>
          <w:color w:val="000000" w:themeColor="text1"/>
          <w:spacing w:val="6"/>
          <w:highlight w:val="none"/>
          <w14:textFill>
            <w14:solidFill>
              <w14:schemeClr w14:val="tx1"/>
            </w14:solidFill>
          </w14:textFill>
        </w:rPr>
        <w:t xml:space="preserve">， 属 于 </w:t>
      </w:r>
      <w:r>
        <w:rPr>
          <w:rFonts w:hint="eastAsia" w:ascii="宋体" w:hAnsi="宋体" w:eastAsia="宋体" w:cs="宋体"/>
          <w:color w:val="000000" w:themeColor="text1"/>
          <w:spacing w:val="6"/>
          <w:highlight w:val="none"/>
          <w:u w:val="single"/>
          <w14:textFill>
            <w14:solidFill>
              <w14:schemeClr w14:val="tx1"/>
            </w14:solidFill>
          </w14:textFill>
        </w:rPr>
        <w:t xml:space="preserve">（ 所 属 行 业 ） </w:t>
      </w:r>
      <w:r>
        <w:rPr>
          <w:rFonts w:hint="eastAsia" w:ascii="宋体" w:hAnsi="宋体" w:eastAsia="宋体" w:cs="宋体"/>
          <w:color w:val="000000" w:themeColor="text1"/>
          <w:spacing w:val="6"/>
          <w:highlight w:val="none"/>
          <w14:textFill>
            <w14:solidFill>
              <w14:schemeClr w14:val="tx1"/>
            </w14:solidFill>
          </w14:textFill>
        </w:rPr>
        <w:t>行业。制造商为</w:t>
      </w:r>
      <w:r>
        <w:rPr>
          <w:rFonts w:hint="eastAsia" w:ascii="宋体" w:hAnsi="宋体" w:eastAsia="宋体" w:cs="宋体"/>
          <w:color w:val="000000" w:themeColor="text1"/>
          <w:spacing w:val="6"/>
          <w:highlight w:val="none"/>
          <w:u w:val="single"/>
          <w14:textFill>
            <w14:solidFill>
              <w14:schemeClr w14:val="tx1"/>
            </w14:solidFill>
          </w14:textFill>
        </w:rPr>
        <w:t>（企业名称）</w:t>
      </w:r>
      <w:r>
        <w:rPr>
          <w:rFonts w:hint="eastAsia" w:ascii="宋体" w:hAnsi="宋体" w:eastAsia="宋体" w:cs="宋体"/>
          <w:color w:val="000000" w:themeColor="text1"/>
          <w:spacing w:val="6"/>
          <w:highlight w:val="none"/>
          <w14:textFill>
            <w14:solidFill>
              <w14:schemeClr w14:val="tx1"/>
            </w14:solidFill>
          </w14:textFill>
        </w:rPr>
        <w:t>，从业人员人，营业收入为</w:t>
      </w:r>
      <w:r>
        <w:rPr>
          <w:rFonts w:hint="eastAsia" w:ascii="宋体" w:hAnsi="宋体" w:eastAsia="宋体" w:cs="宋体"/>
          <w:color w:val="000000" w:themeColor="text1"/>
          <w:spacing w:val="6"/>
          <w:highlight w:val="none"/>
          <w:u w:val="single"/>
          <w14:textFill>
            <w14:solidFill>
              <w14:schemeClr w14:val="tx1"/>
            </w14:solidFill>
          </w14:textFill>
        </w:rPr>
        <w:tab/>
      </w:r>
      <w:r>
        <w:rPr>
          <w:rFonts w:hint="eastAsia" w:ascii="宋体" w:hAnsi="宋体" w:eastAsia="宋体" w:cs="宋体"/>
          <w:color w:val="000000" w:themeColor="text1"/>
          <w:spacing w:val="6"/>
          <w:highlight w:val="none"/>
          <w14:textFill>
            <w14:solidFill>
              <w14:schemeClr w14:val="tx1"/>
            </w14:solidFill>
          </w14:textFill>
        </w:rPr>
        <w:t>万元，资产总额为</w:t>
      </w:r>
      <w:r>
        <w:rPr>
          <w:rFonts w:hint="eastAsia" w:ascii="宋体" w:hAnsi="宋体" w:eastAsia="宋体" w:cs="宋体"/>
          <w:color w:val="000000" w:themeColor="text1"/>
          <w:spacing w:val="6"/>
          <w:highlight w:val="none"/>
          <w:u w:val="single"/>
          <w14:textFill>
            <w14:solidFill>
              <w14:schemeClr w14:val="tx1"/>
            </w14:solidFill>
          </w14:textFill>
        </w:rPr>
        <w:tab/>
      </w:r>
      <w:r>
        <w:rPr>
          <w:rFonts w:hint="eastAsia" w:ascii="宋体" w:hAnsi="宋体" w:eastAsia="宋体" w:cs="宋体"/>
          <w:color w:val="000000" w:themeColor="text1"/>
          <w:spacing w:val="6"/>
          <w:highlight w:val="none"/>
          <w14:textFill>
            <w14:solidFill>
              <w14:schemeClr w14:val="tx1"/>
            </w14:solidFill>
          </w14:textFill>
        </w:rPr>
        <w:t>万元，属于</w:t>
      </w:r>
      <w:r>
        <w:rPr>
          <w:rFonts w:hint="eastAsia" w:ascii="宋体" w:hAnsi="宋体" w:eastAsia="宋体" w:cs="宋体"/>
          <w:color w:val="000000" w:themeColor="text1"/>
          <w:spacing w:val="6"/>
          <w:highlight w:val="none"/>
          <w:u w:val="single"/>
          <w14:textFill>
            <w14:solidFill>
              <w14:schemeClr w14:val="tx1"/>
            </w14:solidFill>
          </w14:textFill>
        </w:rPr>
        <w:t>（中型企业、小型企业、微型企业）</w:t>
      </w:r>
      <w:r>
        <w:rPr>
          <w:rFonts w:hint="eastAsia" w:ascii="宋体" w:hAnsi="宋体" w:eastAsia="宋体" w:cs="宋体"/>
          <w:color w:val="000000" w:themeColor="text1"/>
          <w:spacing w:val="6"/>
          <w:highlight w:val="none"/>
          <w14:textFill>
            <w14:solidFill>
              <w14:schemeClr w14:val="tx1"/>
            </w14:solidFill>
          </w14:textFill>
        </w:rPr>
        <w:t>。</w:t>
      </w:r>
    </w:p>
    <w:p>
      <w:pPr>
        <w:pStyle w:val="18"/>
        <w:spacing w:line="360" w:lineRule="auto"/>
        <w:ind w:left="860"/>
        <w:rPr>
          <w:rFonts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w:t>
      </w:r>
    </w:p>
    <w:p>
      <w:pPr>
        <w:pStyle w:val="18"/>
        <w:spacing w:before="105" w:line="360" w:lineRule="auto"/>
        <w:ind w:right="417" w:firstLine="645"/>
        <w:rPr>
          <w:rFonts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以上企业，不属于大企业的分支机构，不存在控股股东为大企业的情形，也不存在与大企业的负责人为同一人的情形。</w:t>
      </w:r>
    </w:p>
    <w:p>
      <w:pPr>
        <w:pStyle w:val="18"/>
        <w:spacing w:line="360" w:lineRule="auto"/>
        <w:ind w:right="372" w:firstLine="645"/>
        <w:rPr>
          <w:rFonts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本企业对上述声明内容的真实性负责。如有虚假，将依法承担相应责任。</w:t>
      </w:r>
    </w:p>
    <w:p>
      <w:pPr>
        <w:spacing w:line="360" w:lineRule="auto"/>
        <w:rPr>
          <w:rFonts w:ascii="宋体" w:hAnsi="宋体" w:eastAsia="宋体" w:cs="宋体"/>
          <w:color w:val="000000" w:themeColor="text1"/>
          <w:spacing w:val="6"/>
          <w:highlight w:val="none"/>
          <w14:textFill>
            <w14:solidFill>
              <w14:schemeClr w14:val="tx1"/>
            </w14:solidFill>
          </w14:textFill>
        </w:rPr>
      </w:pPr>
    </w:p>
    <w:p>
      <w:pPr>
        <w:spacing w:line="360" w:lineRule="auto"/>
        <w:rPr>
          <w:rFonts w:ascii="宋体" w:hAnsi="宋体" w:eastAsia="宋体" w:cs="宋体"/>
          <w:color w:val="000000" w:themeColor="text1"/>
          <w:spacing w:val="6"/>
          <w:highlight w:val="none"/>
          <w14:textFill>
            <w14:solidFill>
              <w14:schemeClr w14:val="tx1"/>
            </w14:solidFill>
          </w14:textFill>
        </w:rPr>
      </w:pPr>
    </w:p>
    <w:p>
      <w:pPr>
        <w:spacing w:line="360" w:lineRule="auto"/>
        <w:rPr>
          <w:rFonts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企业名称（盖章）：</w:t>
      </w:r>
    </w:p>
    <w:p>
      <w:pPr>
        <w:spacing w:line="588" w:lineRule="exact"/>
        <w:rPr>
          <w:rFonts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日期：</w:t>
      </w:r>
    </w:p>
    <w:p>
      <w:pPr>
        <w:rPr>
          <w:rFonts w:ascii="宋体" w:hAnsi="宋体" w:eastAsia="宋体" w:cs="宋体"/>
          <w:color w:val="000000" w:themeColor="text1"/>
          <w:highlight w:val="none"/>
          <w14:textFill>
            <w14:solidFill>
              <w14:schemeClr w14:val="tx1"/>
            </w14:solidFill>
          </w14:textFill>
        </w:rPr>
      </w:pPr>
    </w:p>
    <w:p>
      <w:pPr>
        <w:spacing w:line="360" w:lineRule="auto"/>
        <w:rPr>
          <w:rFonts w:ascii="宋体" w:hAnsi="宋体" w:eastAsia="宋体" w:cs="宋体"/>
          <w:color w:val="000000" w:themeColor="text1"/>
          <w:spacing w:val="6"/>
          <w:highlight w:val="none"/>
          <w14:textFill>
            <w14:solidFill>
              <w14:schemeClr w14:val="tx1"/>
            </w14:solidFill>
          </w14:textFill>
        </w:rPr>
        <w:sectPr>
          <w:headerReference r:id="rId11" w:type="default"/>
          <w:footerReference r:id="rId12" w:type="default"/>
          <w:pgSz w:w="11906" w:h="16838"/>
          <w:pgMar w:top="1440" w:right="1803" w:bottom="1440" w:left="1803" w:header="850" w:footer="992" w:gutter="0"/>
          <w:cols w:space="0" w:num="1"/>
          <w:titlePg/>
          <w:docGrid w:type="linesAndChars" w:linePitch="395" w:charSpace="1724"/>
        </w:sectPr>
      </w:pPr>
      <w:r>
        <w:rPr>
          <w:rFonts w:hint="eastAsia" w:ascii="宋体" w:hAnsi="宋体" w:eastAsia="宋体" w:cs="宋体"/>
          <w:color w:val="000000" w:themeColor="text1"/>
          <w:highlight w:val="none"/>
          <w14:textFill>
            <w14:solidFill>
              <w14:schemeClr w14:val="tx1"/>
            </w14:solidFill>
          </w14:textFill>
        </w:rPr>
        <w:t>注： 从业人员、营业收入、资产总额填报上一年度数据，无上一年度数据的新成立企业可不填报。</w:t>
      </w:r>
    </w:p>
    <w:bookmarkEnd w:id="357"/>
    <w:bookmarkEnd w:id="358"/>
    <w:bookmarkEnd w:id="359"/>
    <w:bookmarkEnd w:id="360"/>
    <w:bookmarkEnd w:id="361"/>
    <w:p>
      <w:pPr>
        <w:pStyle w:val="5"/>
        <w:adjustRightInd w:val="0"/>
        <w:spacing w:line="416" w:lineRule="atLeast"/>
        <w:textAlignment w:val="baseline"/>
        <w:rPr>
          <w:rFonts w:ascii="宋体" w:hAnsi="宋体" w:eastAsia="宋体" w:cs="宋体"/>
          <w:color w:val="000000" w:themeColor="text1"/>
          <w:highlight w:val="none"/>
          <w14:textFill>
            <w14:solidFill>
              <w14:schemeClr w14:val="tx1"/>
            </w14:solidFill>
          </w14:textFill>
        </w:rPr>
      </w:pPr>
      <w:bookmarkStart w:id="362" w:name="_Toc21174"/>
      <w:bookmarkStart w:id="363" w:name="_Toc14587"/>
      <w:bookmarkStart w:id="364" w:name="_Toc27685"/>
      <w:bookmarkStart w:id="365" w:name="_Toc21466"/>
      <w:r>
        <w:rPr>
          <w:rFonts w:hint="eastAsia" w:ascii="宋体" w:hAnsi="宋体" w:eastAsia="宋体" w:cs="宋体"/>
          <w:color w:val="000000" w:themeColor="text1"/>
          <w:highlight w:val="none"/>
          <w14:textFill>
            <w14:solidFill>
              <w14:schemeClr w14:val="tx1"/>
            </w14:solidFill>
          </w14:textFill>
        </w:rPr>
        <w:t>附件二、残疾人福利性单位声明</w:t>
      </w:r>
      <w:bookmarkEnd w:id="362"/>
      <w:bookmarkEnd w:id="363"/>
      <w:bookmarkEnd w:id="364"/>
      <w:bookmarkEnd w:id="365"/>
    </w:p>
    <w:p>
      <w:pPr>
        <w:spacing w:line="588" w:lineRule="exact"/>
        <w:ind w:firstLine="504" w:firstLineChars="200"/>
        <w:rPr>
          <w:rFonts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根据《三部门联合发布关于促进残疾人就业政府采购政策的通知》（财库〔2017〕141号）的规定，由供应商自行申明，并对申明真实性负责。如有虚假，将依法承担相应责任。</w:t>
      </w:r>
    </w:p>
    <w:p>
      <w:pPr>
        <w:rPr>
          <w:rFonts w:ascii="宋体" w:hAnsi="宋体" w:eastAsia="宋体" w:cs="宋体"/>
          <w:color w:val="000000" w:themeColor="text1"/>
          <w:highlight w:val="none"/>
          <w14:textFill>
            <w14:solidFill>
              <w14:schemeClr w14:val="tx1"/>
            </w14:solidFill>
          </w14:textFill>
        </w:rPr>
      </w:pPr>
    </w:p>
    <w:p>
      <w:pPr>
        <w:pStyle w:val="5"/>
        <w:adjustRightInd w:val="0"/>
        <w:spacing w:line="416" w:lineRule="atLeast"/>
        <w:textAlignment w:val="baseline"/>
        <w:rPr>
          <w:rFonts w:ascii="宋体" w:hAnsi="宋体" w:eastAsia="宋体" w:cs="宋体"/>
          <w:color w:val="000000" w:themeColor="text1"/>
          <w:highlight w:val="none"/>
          <w14:textFill>
            <w14:solidFill>
              <w14:schemeClr w14:val="tx1"/>
            </w14:solidFill>
          </w14:textFill>
        </w:rPr>
      </w:pPr>
      <w:bookmarkStart w:id="366" w:name="_Toc13817"/>
      <w:bookmarkStart w:id="367" w:name="_Toc2999"/>
      <w:bookmarkStart w:id="368" w:name="_Toc13075"/>
      <w:bookmarkStart w:id="369" w:name="_Toc3053"/>
      <w:bookmarkStart w:id="370" w:name="_Toc27385"/>
      <w:bookmarkStart w:id="371" w:name="_Toc2723"/>
      <w:bookmarkStart w:id="372" w:name="_Toc26193"/>
      <w:r>
        <w:rPr>
          <w:rFonts w:hint="eastAsia" w:ascii="宋体" w:hAnsi="宋体" w:eastAsia="宋体" w:cs="宋体"/>
          <w:color w:val="000000" w:themeColor="text1"/>
          <w:highlight w:val="none"/>
          <w14:textFill>
            <w14:solidFill>
              <w14:schemeClr w14:val="tx1"/>
            </w14:solidFill>
          </w14:textFill>
        </w:rPr>
        <w:t>附件三、监狱企业证明文件</w:t>
      </w:r>
      <w:bookmarkEnd w:id="366"/>
      <w:bookmarkEnd w:id="367"/>
      <w:bookmarkEnd w:id="368"/>
      <w:bookmarkEnd w:id="369"/>
      <w:bookmarkEnd w:id="370"/>
      <w:bookmarkEnd w:id="371"/>
      <w:bookmarkEnd w:id="372"/>
    </w:p>
    <w:p>
      <w:pPr>
        <w:rPr>
          <w:rFonts w:ascii="宋体" w:hAnsi="宋体" w:eastAsia="宋体" w:cs="宋体"/>
          <w:color w:val="000000" w:themeColor="text1"/>
          <w:highlight w:val="none"/>
          <w14:textFill>
            <w14:solidFill>
              <w14:schemeClr w14:val="tx1"/>
            </w14:solidFill>
          </w14:textFill>
        </w:rPr>
      </w:pPr>
    </w:p>
    <w:p>
      <w:pPr>
        <w:snapToGrid w:val="0"/>
        <w:spacing w:line="480" w:lineRule="auto"/>
        <w:ind w:firstLine="504" w:firstLineChars="200"/>
        <w:rPr>
          <w:rFonts w:ascii="宋体" w:hAnsi="宋体" w:eastAsia="宋体" w:cs="宋体"/>
          <w:b/>
          <w:bCs/>
          <w:color w:val="000000" w:themeColor="text1"/>
          <w:spacing w:val="48"/>
          <w:sz w:val="72"/>
          <w:szCs w:val="72"/>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说明：根据</w:t>
      </w:r>
      <w:r>
        <w:rPr>
          <w:rFonts w:hint="eastAsia" w:ascii="宋体" w:hAnsi="宋体" w:eastAsia="宋体" w:cs="宋体"/>
          <w:color w:val="000000" w:themeColor="text1"/>
          <w:highlight w:val="none"/>
          <w14:textFill>
            <w14:solidFill>
              <w14:schemeClr w14:val="tx1"/>
            </w14:solidFill>
          </w14:textFill>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5"/>
        <w:adjustRightInd w:val="0"/>
        <w:spacing w:line="416" w:lineRule="atLeast"/>
        <w:textAlignment w:val="baseline"/>
        <w:rPr>
          <w:rFonts w:ascii="宋体" w:hAnsi="宋体" w:eastAsia="宋体" w:cs="宋体"/>
          <w:color w:val="000000" w:themeColor="text1"/>
          <w:highlight w:val="none"/>
          <w14:textFill>
            <w14:solidFill>
              <w14:schemeClr w14:val="tx1"/>
            </w14:solidFill>
          </w14:textFill>
        </w:rPr>
      </w:pPr>
      <w:bookmarkStart w:id="373" w:name="_Toc563"/>
      <w:bookmarkStart w:id="374" w:name="_Toc15754"/>
      <w:bookmarkStart w:id="375" w:name="_Toc13303"/>
      <w:bookmarkStart w:id="376" w:name="_Toc27684"/>
      <w:bookmarkStart w:id="377" w:name="_Toc2126"/>
      <w:bookmarkStart w:id="378" w:name="_Toc13122"/>
      <w:bookmarkStart w:id="379" w:name="_Toc11969"/>
      <w:bookmarkStart w:id="380" w:name="_Toc18799"/>
      <w:bookmarkStart w:id="381" w:name="_Toc3267"/>
      <w:bookmarkStart w:id="382" w:name="_Toc22654"/>
      <w:bookmarkStart w:id="383" w:name="_Toc23930"/>
      <w:r>
        <w:rPr>
          <w:rFonts w:hint="eastAsia" w:ascii="宋体" w:hAnsi="宋体" w:eastAsia="宋体" w:cs="宋体"/>
          <w:color w:val="000000" w:themeColor="text1"/>
          <w:highlight w:val="none"/>
          <w14:textFill>
            <w14:solidFill>
              <w14:schemeClr w14:val="tx1"/>
            </w14:solidFill>
          </w14:textFill>
        </w:rPr>
        <w:t>附件四、“节能产品”，“环境标志产品”证明材料</w:t>
      </w:r>
      <w:bookmarkEnd w:id="373"/>
      <w:bookmarkEnd w:id="374"/>
      <w:bookmarkEnd w:id="375"/>
      <w:bookmarkEnd w:id="376"/>
      <w:bookmarkEnd w:id="377"/>
      <w:bookmarkEnd w:id="378"/>
      <w:bookmarkEnd w:id="379"/>
      <w:bookmarkEnd w:id="380"/>
      <w:bookmarkEnd w:id="381"/>
      <w:bookmarkEnd w:id="382"/>
      <w:bookmarkEnd w:id="383"/>
    </w:p>
    <w:p>
      <w:pPr>
        <w:spacing w:line="360" w:lineRule="auto"/>
        <w:ind w:firstLine="504" w:firstLineChars="200"/>
        <w:rPr>
          <w:rFonts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1、供应商提供的产品属于下列情形，应按照公开招标文件第三部分供应商须知总则第六款规定提供产品列入“节能产品品目清单”，“环境标志产品品目清单”相应产品的国家确定的认证机构出具的、处于有效期内的节能产品、环境标志产品认证证书。</w:t>
      </w:r>
    </w:p>
    <w:p>
      <w:pPr>
        <w:spacing w:line="360" w:lineRule="auto"/>
        <w:ind w:left="480" w:left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2、未按照上述要求提供的，评审时不予以考虑。</w:t>
      </w:r>
    </w:p>
    <w:p>
      <w:pPr>
        <w:spacing w:line="360" w:lineRule="auto"/>
        <w:ind w:left="480" w:leftChars="200"/>
        <w:rPr>
          <w:rFonts w:ascii="宋体" w:hAnsi="宋体" w:eastAsia="宋体" w:cs="宋体"/>
          <w:color w:val="000000" w:themeColor="text1"/>
          <w:highlight w:val="none"/>
          <w14:textFill>
            <w14:solidFill>
              <w14:schemeClr w14:val="tx1"/>
            </w14:solidFill>
          </w14:textFill>
        </w:rPr>
      </w:pPr>
    </w:p>
    <w:p>
      <w:pPr>
        <w:spacing w:line="360" w:lineRule="auto"/>
        <w:ind w:left="480" w:leftChars="200"/>
        <w:rPr>
          <w:rFonts w:ascii="宋体" w:hAnsi="宋体" w:eastAsia="宋体" w:cs="宋体"/>
          <w:color w:val="000000" w:themeColor="text1"/>
          <w:highlight w:val="none"/>
          <w14:textFill>
            <w14:solidFill>
              <w14:schemeClr w14:val="tx1"/>
            </w14:solidFill>
          </w14:textFill>
        </w:rPr>
      </w:pPr>
    </w:p>
    <w:p>
      <w:pPr>
        <w:snapToGrid w:val="0"/>
        <w:spacing w:line="360" w:lineRule="auto"/>
        <w:ind w:firstLine="480" w:firstLineChars="200"/>
        <w:rPr>
          <w:rFonts w:ascii="宋体" w:hAnsi="宋体" w:eastAsia="宋体" w:cs="宋体"/>
          <w:color w:val="000000" w:themeColor="text1"/>
          <w:highlight w:val="none"/>
          <w14:textFill>
            <w14:solidFill>
              <w14:schemeClr w14:val="tx1"/>
            </w14:solidFill>
          </w14:textFill>
        </w:rPr>
      </w:pPr>
    </w:p>
    <w:p>
      <w:pPr>
        <w:rPr>
          <w:rFonts w:ascii="宋体" w:hAnsi="宋体" w:eastAsia="宋体" w:cs="宋体"/>
          <w:color w:val="000000" w:themeColor="text1"/>
          <w:highlight w:val="none"/>
          <w14:textFill>
            <w14:solidFill>
              <w14:schemeClr w14:val="tx1"/>
            </w14:solidFill>
          </w14:textFill>
        </w:rPr>
      </w:pPr>
      <w:bookmarkStart w:id="384" w:name="_Toc364"/>
      <w:bookmarkStart w:id="385" w:name="_Toc3159"/>
      <w:bookmarkStart w:id="386" w:name="_Toc5338"/>
      <w:bookmarkStart w:id="387" w:name="_Toc4757"/>
      <w:bookmarkStart w:id="388" w:name="_Toc11924"/>
      <w:bookmarkStart w:id="389" w:name="_Toc654"/>
      <w:r>
        <w:rPr>
          <w:rFonts w:hint="eastAsia" w:ascii="宋体" w:hAnsi="宋体" w:eastAsia="宋体" w:cs="宋体"/>
          <w:color w:val="000000" w:themeColor="text1"/>
          <w:highlight w:val="none"/>
          <w14:textFill>
            <w14:solidFill>
              <w14:schemeClr w14:val="tx1"/>
            </w14:solidFill>
          </w14:textFill>
        </w:rPr>
        <w:br w:type="page"/>
      </w:r>
    </w:p>
    <w:bookmarkEnd w:id="384"/>
    <w:p>
      <w:pPr>
        <w:pStyle w:val="5"/>
        <w:adjustRightInd w:val="0"/>
        <w:spacing w:line="416" w:lineRule="atLeast"/>
        <w:textAlignment w:val="baseline"/>
        <w:rPr>
          <w:rFonts w:ascii="宋体" w:hAnsi="宋体" w:eastAsia="宋体" w:cs="宋体"/>
          <w:color w:val="000000" w:themeColor="text1"/>
          <w:highlight w:val="none"/>
          <w14:textFill>
            <w14:solidFill>
              <w14:schemeClr w14:val="tx1"/>
            </w14:solidFill>
          </w14:textFill>
        </w:rPr>
      </w:pPr>
      <w:bookmarkStart w:id="390" w:name="_Toc13538"/>
      <w:r>
        <w:rPr>
          <w:rFonts w:hint="eastAsia" w:ascii="宋体" w:hAnsi="宋体" w:eastAsia="宋体" w:cs="宋体"/>
          <w:color w:val="000000" w:themeColor="text1"/>
          <w:highlight w:val="none"/>
          <w14:textFill>
            <w14:solidFill>
              <w14:schemeClr w14:val="tx1"/>
            </w14:solidFill>
          </w14:textFill>
        </w:rPr>
        <w:t>附件五、质疑函样本</w:t>
      </w:r>
      <w:bookmarkEnd w:id="390"/>
    </w:p>
    <w:p>
      <w:pPr>
        <w:adjustRightInd w:val="0"/>
        <w:spacing w:line="416" w:lineRule="atLeast"/>
        <w:textAlignment w:val="baseline"/>
        <w:rPr>
          <w:rFonts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一、质疑供应商基本信息</w:t>
      </w:r>
    </w:p>
    <w:p>
      <w:pPr>
        <w:adjustRightInd w:val="0"/>
        <w:spacing w:line="416" w:lineRule="atLeast"/>
        <w:textAlignment w:val="baseline"/>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质疑供应商：                                        </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地址：                          邮编：                                                   </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联系人：                      联系电话：                              </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授权代表：                                          </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联系电话：                                            </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地址：                         邮编：                                                </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二、质疑项目基本情况</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质疑项目的名称：                                      </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质疑项目的编号：               ：                 </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采购人名称：                                         </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采购文件获取日期：                                           </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三、质疑事项具体内容</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质疑事项1：                                         </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事实依据：                                                                                               </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法律依据：                                                                                               </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质疑事项2</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四、与质疑事项相关的质疑请求</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请求：                                               </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签字(签章)：                   公章：                      </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日期：    </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质疑函制作说明：</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1.供应商提出质疑时，应提交质疑函和必要的证明材料。</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3.质疑供应商若对项目的某一分包进行质疑，质疑函中应列明具体分。</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4.质疑函的质疑事项应具体、明确，并有必要的事实依据和法律依据。</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5.质疑函的质疑请求应与质疑事项相关。</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bookmarkEnd w:id="385"/>
    <w:bookmarkEnd w:id="386"/>
    <w:bookmarkEnd w:id="387"/>
    <w:bookmarkEnd w:id="388"/>
    <w:bookmarkEnd w:id="389"/>
    <w:p>
      <w:pPr>
        <w:rPr>
          <w:rFonts w:ascii="宋体" w:hAnsi="宋体" w:eastAsia="宋体" w:cs="宋体"/>
          <w:b/>
          <w:bCs/>
          <w:color w:val="000000" w:themeColor="text1"/>
          <w:spacing w:val="48"/>
          <w:sz w:val="72"/>
          <w:szCs w:val="72"/>
          <w:highlight w:val="none"/>
          <w14:textFill>
            <w14:solidFill>
              <w14:schemeClr w14:val="tx1"/>
            </w14:solidFill>
          </w14:textFill>
        </w:rPr>
      </w:pPr>
      <w:r>
        <w:rPr>
          <w:rFonts w:hint="eastAsia" w:ascii="宋体" w:hAnsi="宋体" w:eastAsia="宋体" w:cs="宋体"/>
          <w:b/>
          <w:bCs/>
          <w:color w:val="000000" w:themeColor="text1"/>
          <w:spacing w:val="48"/>
          <w:sz w:val="72"/>
          <w:szCs w:val="72"/>
          <w:highlight w:val="none"/>
          <w14:textFill>
            <w14:solidFill>
              <w14:schemeClr w14:val="tx1"/>
            </w14:solidFill>
          </w14:textFill>
        </w:rPr>
        <w:br w:type="page"/>
      </w:r>
    </w:p>
    <w:p>
      <w:pPr>
        <w:rPr>
          <w:rFonts w:ascii="宋体" w:hAnsi="宋体" w:eastAsia="宋体" w:cs="宋体"/>
          <w:color w:val="000000" w:themeColor="text1"/>
          <w:sz w:val="72"/>
          <w:szCs w:val="72"/>
          <w:highlight w:val="none"/>
          <w14:textFill>
            <w14:solidFill>
              <w14:schemeClr w14:val="tx1"/>
            </w14:solidFill>
          </w14:textFill>
        </w:rPr>
      </w:pPr>
      <w:bookmarkStart w:id="391" w:name="_Toc613"/>
      <w:r>
        <w:rPr>
          <w:rFonts w:hint="eastAsia" w:ascii="宋体" w:hAnsi="宋体" w:eastAsia="宋体" w:cs="宋体"/>
          <w:b/>
          <w:bCs/>
          <w:color w:val="000000" w:themeColor="text1"/>
          <w:spacing w:val="48"/>
          <w:sz w:val="72"/>
          <w:szCs w:val="72"/>
          <w:highlight w:val="none"/>
          <w14:textFill>
            <w14:solidFill>
              <w14:schemeClr w14:val="tx1"/>
            </w14:solidFill>
          </w14:textFill>
        </w:rPr>
        <w:t>公平</w:t>
      </w:r>
      <w:bookmarkEnd w:id="391"/>
    </w:p>
    <w:p>
      <w:pPr>
        <w:rPr>
          <w:rFonts w:ascii="宋体" w:hAnsi="宋体" w:eastAsia="宋体" w:cs="宋体"/>
          <w:color w:val="000000" w:themeColor="text1"/>
          <w:sz w:val="72"/>
          <w:szCs w:val="72"/>
          <w:highlight w:val="none"/>
          <w14:textFill>
            <w14:solidFill>
              <w14:schemeClr w14:val="tx1"/>
            </w14:solidFill>
          </w14:textFill>
        </w:rPr>
      </w:pPr>
    </w:p>
    <w:p>
      <w:pPr>
        <w:jc w:val="center"/>
        <w:rPr>
          <w:rFonts w:ascii="宋体" w:hAnsi="宋体" w:eastAsia="宋体" w:cs="宋体"/>
          <w:b/>
          <w:bCs/>
          <w:color w:val="000000" w:themeColor="text1"/>
          <w:spacing w:val="48"/>
          <w:sz w:val="72"/>
          <w:szCs w:val="72"/>
          <w:highlight w:val="none"/>
          <w14:textFill>
            <w14:solidFill>
              <w14:schemeClr w14:val="tx1"/>
            </w14:solidFill>
          </w14:textFill>
        </w:rPr>
      </w:pPr>
    </w:p>
    <w:p>
      <w:pPr>
        <w:jc w:val="center"/>
        <w:rPr>
          <w:rFonts w:ascii="宋体" w:hAnsi="宋体" w:eastAsia="宋体" w:cs="宋体"/>
          <w:b/>
          <w:bCs/>
          <w:color w:val="000000" w:themeColor="text1"/>
          <w:spacing w:val="48"/>
          <w:sz w:val="72"/>
          <w:szCs w:val="72"/>
          <w:highlight w:val="none"/>
          <w14:textFill>
            <w14:solidFill>
              <w14:schemeClr w14:val="tx1"/>
            </w14:solidFill>
          </w14:textFill>
        </w:rPr>
      </w:pPr>
      <w:r>
        <w:rPr>
          <w:rFonts w:hint="eastAsia" w:ascii="宋体" w:hAnsi="宋体" w:eastAsia="宋体" w:cs="宋体"/>
          <w:b/>
          <w:bCs/>
          <w:color w:val="000000" w:themeColor="text1"/>
          <w:spacing w:val="48"/>
          <w:sz w:val="72"/>
          <w:szCs w:val="72"/>
          <w:highlight w:val="none"/>
          <w14:textFill>
            <w14:solidFill>
              <w14:schemeClr w14:val="tx1"/>
            </w14:solidFill>
          </w14:textFill>
        </w:rPr>
        <w:t>公正</w:t>
      </w:r>
    </w:p>
    <w:p>
      <w:pPr>
        <w:rPr>
          <w:rFonts w:ascii="宋体" w:hAnsi="宋体" w:eastAsia="宋体" w:cs="宋体"/>
          <w:b/>
          <w:bCs/>
          <w:color w:val="000000" w:themeColor="text1"/>
          <w:spacing w:val="48"/>
          <w:sz w:val="72"/>
          <w:szCs w:val="72"/>
          <w:highlight w:val="none"/>
          <w14:textFill>
            <w14:solidFill>
              <w14:schemeClr w14:val="tx1"/>
            </w14:solidFill>
          </w14:textFill>
        </w:rPr>
      </w:pPr>
    </w:p>
    <w:p>
      <w:pPr>
        <w:rPr>
          <w:rFonts w:ascii="宋体" w:hAnsi="宋体" w:eastAsia="宋体" w:cs="宋体"/>
          <w:b/>
          <w:bCs/>
          <w:color w:val="000000" w:themeColor="text1"/>
          <w:spacing w:val="48"/>
          <w:sz w:val="72"/>
          <w:szCs w:val="72"/>
          <w:highlight w:val="none"/>
          <w14:textFill>
            <w14:solidFill>
              <w14:schemeClr w14:val="tx1"/>
            </w14:solidFill>
          </w14:textFill>
        </w:rPr>
      </w:pPr>
    </w:p>
    <w:p>
      <w:pPr>
        <w:jc w:val="right"/>
        <w:rPr>
          <w:rFonts w:ascii="宋体" w:hAnsi="宋体" w:eastAsia="宋体" w:cs="宋体"/>
          <w:b/>
          <w:bCs/>
          <w:color w:val="000000" w:themeColor="text1"/>
          <w:spacing w:val="48"/>
          <w:sz w:val="72"/>
          <w:szCs w:val="72"/>
          <w:highlight w:val="none"/>
          <w14:textFill>
            <w14:solidFill>
              <w14:schemeClr w14:val="tx1"/>
            </w14:solidFill>
          </w14:textFill>
        </w:rPr>
      </w:pPr>
      <w:bookmarkStart w:id="392" w:name="_Toc29454"/>
      <w:r>
        <w:rPr>
          <w:rFonts w:hint="eastAsia" w:ascii="宋体" w:hAnsi="宋体" w:eastAsia="宋体" w:cs="宋体"/>
          <w:b/>
          <w:bCs/>
          <w:color w:val="000000" w:themeColor="text1"/>
          <w:spacing w:val="48"/>
          <w:sz w:val="72"/>
          <w:szCs w:val="72"/>
          <w:highlight w:val="none"/>
          <w14:textFill>
            <w14:solidFill>
              <w14:schemeClr w14:val="tx1"/>
            </w14:solidFill>
          </w14:textFill>
        </w:rPr>
        <w:t>公开</w:t>
      </w:r>
      <w:bookmarkEnd w:id="392"/>
    </w:p>
    <w:p>
      <w:pPr>
        <w:jc w:val="right"/>
        <w:rPr>
          <w:rFonts w:ascii="宋体" w:hAnsi="宋体" w:eastAsia="宋体" w:cs="宋体"/>
          <w:b/>
          <w:bCs/>
          <w:color w:val="000000" w:themeColor="text1"/>
          <w:spacing w:val="48"/>
          <w:sz w:val="32"/>
          <w:szCs w:val="32"/>
          <w:highlight w:val="none"/>
          <w14:textFill>
            <w14:solidFill>
              <w14:schemeClr w14:val="tx1"/>
            </w14:solidFill>
          </w14:textFill>
        </w:rPr>
      </w:pPr>
    </w:p>
    <w:p>
      <w:pPr>
        <w:ind w:firstLine="1059" w:firstLineChars="353"/>
        <w:rPr>
          <w:rFonts w:ascii="宋体" w:hAnsi="宋体" w:eastAsia="宋体" w:cs="宋体"/>
          <w:b/>
          <w:bCs/>
          <w:color w:val="000000" w:themeColor="text1"/>
          <w:sz w:val="30"/>
          <w:szCs w:val="30"/>
          <w:highlight w:val="none"/>
          <w14:textFill>
            <w14:solidFill>
              <w14:schemeClr w14:val="tx1"/>
            </w14:solidFill>
          </w14:textFill>
        </w:rPr>
      </w:pPr>
    </w:p>
    <w:p>
      <w:pPr>
        <w:ind w:firstLine="1059" w:firstLineChars="353"/>
        <w:rPr>
          <w:rFonts w:ascii="宋体" w:hAnsi="宋体" w:eastAsia="宋体" w:cs="宋体"/>
          <w:b/>
          <w:bCs/>
          <w:color w:val="000000" w:themeColor="text1"/>
          <w:sz w:val="30"/>
          <w:szCs w:val="30"/>
          <w:highlight w:val="none"/>
          <w14:textFill>
            <w14:solidFill>
              <w14:schemeClr w14:val="tx1"/>
            </w14:solidFill>
          </w14:textFill>
        </w:rPr>
      </w:pPr>
    </w:p>
    <w:p>
      <w:pPr>
        <w:rPr>
          <w:rFonts w:ascii="宋体" w:hAnsi="宋体" w:eastAsia="宋体" w:cs="宋体"/>
          <w:b/>
          <w:bCs/>
          <w:color w:val="000000" w:themeColor="text1"/>
          <w:sz w:val="30"/>
          <w:szCs w:val="30"/>
          <w:highlight w:val="none"/>
          <w14:textFill>
            <w14:solidFill>
              <w14:schemeClr w14:val="tx1"/>
            </w14:solidFill>
          </w14:textFill>
        </w:rPr>
      </w:pPr>
    </w:p>
    <w:p>
      <w:pPr>
        <w:rPr>
          <w:rFonts w:ascii="宋体" w:hAnsi="宋体" w:eastAsia="宋体" w:cs="宋体"/>
          <w:b/>
          <w:bCs/>
          <w:color w:val="000000" w:themeColor="text1"/>
          <w:sz w:val="30"/>
          <w:szCs w:val="30"/>
          <w:highlight w:val="none"/>
          <w14:textFill>
            <w14:solidFill>
              <w14:schemeClr w14:val="tx1"/>
            </w14:solidFill>
          </w14:textFill>
        </w:rPr>
      </w:pPr>
    </w:p>
    <w:p>
      <w:pPr>
        <w:spacing w:line="360" w:lineRule="auto"/>
        <w:rPr>
          <w:rFonts w:ascii="宋体" w:hAnsi="宋体" w:eastAsia="宋体" w:cs="宋体"/>
          <w:b/>
          <w:bCs/>
          <w:color w:val="000000" w:themeColor="text1"/>
          <w:sz w:val="30"/>
          <w:szCs w:val="30"/>
          <w:highlight w:val="none"/>
          <w14:textFill>
            <w14:solidFill>
              <w14:schemeClr w14:val="tx1"/>
            </w14:solidFill>
          </w14:textFill>
        </w:rPr>
      </w:pPr>
      <w:bookmarkStart w:id="393" w:name="_Toc30154"/>
      <w:r>
        <w:rPr>
          <w:rFonts w:hint="eastAsia" w:ascii="宋体" w:hAnsi="宋体" w:eastAsia="宋体" w:cs="宋体"/>
          <w:b/>
          <w:bCs/>
          <w:color w:val="000000" w:themeColor="text1"/>
          <w:sz w:val="30"/>
          <w:szCs w:val="30"/>
          <w:highlight w:val="none"/>
          <w14:textFill>
            <w14:solidFill>
              <w14:schemeClr w14:val="tx1"/>
            </w14:solidFill>
          </w14:textFill>
        </w:rPr>
        <w:t>企业名称：陕西万泽招标有限公司</w:t>
      </w:r>
      <w:bookmarkEnd w:id="393"/>
    </w:p>
    <w:p>
      <w:pPr>
        <w:spacing w:line="360" w:lineRule="auto"/>
        <w:rPr>
          <w:rFonts w:ascii="宋体" w:hAnsi="宋体" w:eastAsia="宋体" w:cs="宋体"/>
          <w:b/>
          <w:bCs/>
          <w:color w:val="000000" w:themeColor="text1"/>
          <w:sz w:val="30"/>
          <w:szCs w:val="30"/>
          <w:highlight w:val="none"/>
          <w14:textFill>
            <w14:solidFill>
              <w14:schemeClr w14:val="tx1"/>
            </w14:solidFill>
          </w14:textFill>
        </w:rPr>
      </w:pPr>
      <w:bookmarkStart w:id="394" w:name="_Toc24351"/>
      <w:r>
        <w:rPr>
          <w:rFonts w:hint="eastAsia" w:ascii="宋体" w:hAnsi="宋体" w:eastAsia="宋体" w:cs="宋体"/>
          <w:b/>
          <w:bCs/>
          <w:color w:val="000000" w:themeColor="text1"/>
          <w:sz w:val="30"/>
          <w:szCs w:val="30"/>
          <w:highlight w:val="none"/>
          <w14:textFill>
            <w14:solidFill>
              <w14:schemeClr w14:val="tx1"/>
            </w14:solidFill>
          </w14:textFill>
        </w:rPr>
        <w:t>地    址：西安市西关正街英达大厦1507室</w:t>
      </w:r>
      <w:bookmarkEnd w:id="394"/>
    </w:p>
    <w:p>
      <w:pPr>
        <w:spacing w:line="360" w:lineRule="auto"/>
        <w:rPr>
          <w:rFonts w:ascii="宋体" w:hAnsi="宋体" w:eastAsia="宋体" w:cs="宋体"/>
          <w:b/>
          <w:bCs/>
          <w:color w:val="000000" w:themeColor="text1"/>
          <w:sz w:val="30"/>
          <w:szCs w:val="30"/>
          <w:highlight w:val="none"/>
          <w14:textFill>
            <w14:solidFill>
              <w14:schemeClr w14:val="tx1"/>
            </w14:solidFill>
          </w14:textFill>
        </w:rPr>
      </w:pPr>
      <w:bookmarkStart w:id="395" w:name="_Toc16248"/>
      <w:r>
        <w:rPr>
          <w:rFonts w:hint="eastAsia" w:ascii="宋体" w:hAnsi="宋体" w:eastAsia="宋体" w:cs="宋体"/>
          <w:b/>
          <w:bCs/>
          <w:color w:val="000000" w:themeColor="text1"/>
          <w:sz w:val="30"/>
          <w:szCs w:val="30"/>
          <w:highlight w:val="none"/>
          <w14:textFill>
            <w14:solidFill>
              <w14:schemeClr w14:val="tx1"/>
            </w14:solidFill>
          </w14:textFill>
        </w:rPr>
        <w:t>邮政编码：710082</w:t>
      </w:r>
      <w:bookmarkEnd w:id="395"/>
    </w:p>
    <w:p>
      <w:pPr>
        <w:spacing w:line="360" w:lineRule="auto"/>
        <w:rPr>
          <w:rFonts w:ascii="宋体" w:hAnsi="宋体" w:eastAsia="宋体" w:cs="宋体"/>
          <w:b/>
          <w:bCs/>
          <w:color w:val="000000" w:themeColor="text1"/>
          <w:sz w:val="30"/>
          <w:szCs w:val="30"/>
          <w:highlight w:val="none"/>
          <w14:textFill>
            <w14:solidFill>
              <w14:schemeClr w14:val="tx1"/>
            </w14:solidFill>
          </w14:textFill>
        </w:rPr>
      </w:pPr>
      <w:bookmarkStart w:id="396" w:name="_Toc13967"/>
      <w:r>
        <w:rPr>
          <w:rFonts w:hint="eastAsia" w:ascii="宋体" w:hAnsi="宋体" w:eastAsia="宋体" w:cs="宋体"/>
          <w:b/>
          <w:bCs/>
          <w:color w:val="000000" w:themeColor="text1"/>
          <w:sz w:val="30"/>
          <w:szCs w:val="30"/>
          <w:highlight w:val="none"/>
          <w14:textFill>
            <w14:solidFill>
              <w14:schemeClr w14:val="tx1"/>
            </w14:solidFill>
          </w14:textFill>
        </w:rPr>
        <w:t>电    话：029-88319689</w:t>
      </w:r>
      <w:bookmarkEnd w:id="396"/>
    </w:p>
    <w:p>
      <w:pPr>
        <w:spacing w:line="360" w:lineRule="auto"/>
        <w:rPr>
          <w:rFonts w:ascii="宋体" w:hAnsi="宋体" w:eastAsia="宋体" w:cs="宋体"/>
          <w:color w:val="000000" w:themeColor="text1"/>
          <w:sz w:val="32"/>
          <w:szCs w:val="32"/>
          <w:highlight w:val="none"/>
          <w14:textFill>
            <w14:solidFill>
              <w14:schemeClr w14:val="tx1"/>
            </w14:solidFill>
          </w14:textFill>
        </w:rPr>
      </w:pPr>
      <w:bookmarkStart w:id="397" w:name="_Toc337"/>
      <w:r>
        <w:rPr>
          <w:rFonts w:hint="eastAsia" w:ascii="宋体" w:hAnsi="宋体" w:eastAsia="宋体" w:cs="宋体"/>
          <w:b/>
          <w:bCs/>
          <w:color w:val="000000" w:themeColor="text1"/>
          <w:sz w:val="30"/>
          <w:szCs w:val="30"/>
          <w:highlight w:val="none"/>
          <w14:textFill>
            <w14:solidFill>
              <w14:schemeClr w14:val="tx1"/>
            </w14:solidFill>
          </w14:textFill>
        </w:rPr>
        <w:t>传    真：029-88319689</w:t>
      </w:r>
      <w:bookmarkEnd w:id="397"/>
    </w:p>
    <w:sectPr>
      <w:headerReference r:id="rId13" w:type="default"/>
      <w:footerReference r:id="rId15" w:type="default"/>
      <w:headerReference r:id="rId14" w:type="even"/>
      <w:pgSz w:w="11906" w:h="16838"/>
      <w:pgMar w:top="1440" w:right="1800" w:bottom="1440" w:left="1800" w:header="851" w:footer="992" w:gutter="0"/>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7"/>
      </w:rPr>
    </w:pPr>
    <w:r>
      <w:fldChar w:fldCharType="begin"/>
    </w:r>
    <w:r>
      <w:rPr>
        <w:rStyle w:val="37"/>
      </w:rPr>
      <w:instrText xml:space="preserve">PAGE  </w:instrText>
    </w:r>
    <w:r>
      <w:fldChar w:fldCharType="separate"/>
    </w:r>
    <w:r>
      <w:rPr>
        <w:rStyle w:val="37"/>
      </w:rPr>
      <w:t>4</w:t>
    </w:r>
    <w:r>
      <w:fldChar w:fldCharType="end"/>
    </w:r>
  </w:p>
  <w:p>
    <w:pPr>
      <w:pStyle w:val="2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asci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第 </w:t>
                          </w:r>
                          <w:r>
                            <w:fldChar w:fldCharType="begin"/>
                          </w:r>
                          <w:r>
                            <w:instrText xml:space="preserve"> PAGE  \* MERGEFORMAT </w:instrText>
                          </w:r>
                          <w:r>
                            <w:fldChar w:fldCharType="separate"/>
                          </w:r>
                          <w:r>
                            <w:t>140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140</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第 </w:t>
                          </w:r>
                          <w:r>
                            <w:fldChar w:fldCharType="begin"/>
                          </w:r>
                          <w:r>
                            <w:instrText xml:space="preserve"> PAGE  \* MERGEFORMAT </w:instrText>
                          </w:r>
                          <w:r>
                            <w:fldChar w:fldCharType="separate"/>
                          </w:r>
                          <w:r>
                            <w:t>141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141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150"/>
        <w:tab w:val="right" w:pos="8420"/>
        <w:tab w:val="clear" w:pos="4153"/>
      </w:tabs>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第 </w:t>
                          </w:r>
                          <w:r>
                            <w:fldChar w:fldCharType="begin"/>
                          </w:r>
                          <w:r>
                            <w:instrText xml:space="preserve"> PAGE  \* MERGEFORMAT </w:instrText>
                          </w:r>
                          <w:r>
                            <w:fldChar w:fldCharType="separate"/>
                          </w:r>
                          <w:r>
                            <w:t>145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145</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陕西万泽招标有限公司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150"/>
        <w:tab w:val="right" w:pos="8420"/>
        <w:tab w:val="clear" w:pos="4153"/>
      </w:tabs>
      <w:rPr>
        <w:rFonts w:ascii="宋体" w:hAnsi="宋体" w:cs="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第 </w:t>
                          </w:r>
                          <w:r>
                            <w:fldChar w:fldCharType="begin"/>
                          </w:r>
                          <w:r>
                            <w:instrText xml:space="preserve"> PAGE  \* MERGEFORMAT </w:instrText>
                          </w:r>
                          <w:r>
                            <w:fldChar w:fldCharType="separate"/>
                          </w:r>
                          <w:r>
                            <w:t>152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152</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陕西万泽招标有限公司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tabs>
        <w:tab w:val="left" w:pos="2837"/>
      </w:tabs>
      <w:jc w:val="left"/>
      <w:rPr>
        <w:rFonts w:ascii="黑体" w:eastAsia="黑体"/>
        <w:sz w:val="21"/>
        <w:szCs w:val="21"/>
      </w:rPr>
    </w:pPr>
    <w:r>
      <w:rPr>
        <w:rFonts w:hint="eastAsia" w:ascii="黑体" w:eastAsia="黑体"/>
        <w:sz w:val="21"/>
        <w:szCs w:val="21"/>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r>
      <w:rPr>
        <w:rFonts w:hint="eastAsia" w:ascii="楷体" w:hAnsi="楷体" w:eastAsia="楷体" w:cs="楷体"/>
        <w:kern w:val="2"/>
        <w:sz w:val="21"/>
        <w:szCs w:val="21"/>
        <w:u w:val="single"/>
      </w:rPr>
      <w:t xml:space="preserve">西安铁路职业技术学院智慧教室建设项目（二次）                     </w:t>
    </w:r>
    <w:r>
      <w:rPr>
        <w:rFonts w:hint="eastAsia" w:ascii="楷体" w:hAnsi="楷体" w:eastAsia="楷体" w:cs="楷体"/>
        <w:sz w:val="21"/>
        <w:szCs w:val="21"/>
        <w:u w:val="single"/>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pPr>
    <w:r>
      <w:rPr>
        <w:rFonts w:hint="eastAsia" w:ascii="宋体"/>
        <w:sz w:val="15"/>
        <w:szCs w:val="15"/>
        <w:u w:val="single"/>
      </w:rPr>
      <w:t>西安铁路职业技术学院智慧教室建设项目                                                   SXWZ2022ZB-XTY-086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rPr>
        <w:rFonts w:ascii="宋体"/>
        <w:sz w:val="15"/>
        <w:szCs w:val="15"/>
        <w:highlight w:val="yellow"/>
        <w:u w:val="single"/>
      </w:rPr>
    </w:pPr>
    <w:r>
      <w:rPr>
        <w:rFonts w:hint="eastAsia" w:ascii="宋体"/>
        <w:sz w:val="15"/>
        <w:szCs w:val="15"/>
        <w:u w:val="single"/>
      </w:rPr>
      <w:t xml:space="preserve">西安铁路职业技术学院智慧教室建设项目 </w:t>
    </w:r>
    <w:r>
      <w:rPr>
        <w:rFonts w:ascii="宋体"/>
        <w:sz w:val="15"/>
        <w:szCs w:val="15"/>
        <w:u w:val="single"/>
      </w:rPr>
      <w:t xml:space="preserve">           </w:t>
    </w:r>
    <w:r>
      <w:rPr>
        <w:rFonts w:hint="eastAsia" w:ascii="宋体"/>
        <w:sz w:val="15"/>
        <w:szCs w:val="15"/>
        <w:u w:val="single"/>
        <w:lang w:val="en-US" w:eastAsia="zh-CN"/>
      </w:rPr>
      <w:t xml:space="preserve">                              </w:t>
    </w:r>
    <w:r>
      <w:rPr>
        <w:rFonts w:ascii="宋体"/>
        <w:sz w:val="15"/>
        <w:szCs w:val="15"/>
        <w:u w:val="single"/>
      </w:rPr>
      <w:t xml:space="preserve">     </w:t>
    </w:r>
    <w:r>
      <w:rPr>
        <w:rFonts w:hint="eastAsia" w:ascii="宋体"/>
        <w:sz w:val="15"/>
        <w:szCs w:val="15"/>
        <w:u w:val="single"/>
      </w:rPr>
      <w:t>SXWZ2022ZB-XTY-086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60D05"/>
    <w:multiLevelType w:val="singleLevel"/>
    <w:tmpl w:val="C8560D05"/>
    <w:lvl w:ilvl="0" w:tentative="0">
      <w:start w:val="2"/>
      <w:numFmt w:val="chineseCounting"/>
      <w:suff w:val="space"/>
      <w:lvlText w:val="第%1部分"/>
      <w:lvlJc w:val="left"/>
      <w:rPr>
        <w:rFonts w:hint="eastAsia"/>
      </w:rPr>
    </w:lvl>
  </w:abstractNum>
  <w:abstractNum w:abstractNumId="1">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2">
    <w:nsid w:val="221C489B"/>
    <w:multiLevelType w:val="singleLevel"/>
    <w:tmpl w:val="221C489B"/>
    <w:lvl w:ilvl="0" w:tentative="0">
      <w:start w:val="2"/>
      <w:numFmt w:val="chineseCounting"/>
      <w:suff w:val="nothing"/>
      <w:lvlText w:val="%1、"/>
      <w:lvlJc w:val="left"/>
      <w:rPr>
        <w:rFonts w:hint="eastAsia"/>
      </w:rPr>
    </w:lvl>
  </w:abstractNum>
  <w:abstractNum w:abstractNumId="3">
    <w:nsid w:val="55A6183C"/>
    <w:multiLevelType w:val="singleLevel"/>
    <w:tmpl w:val="55A6183C"/>
    <w:lvl w:ilvl="0" w:tentative="0">
      <w:start w:val="1"/>
      <w:numFmt w:val="chineseCounting"/>
      <w:suff w:val="nothing"/>
      <w:lvlText w:val="%1、"/>
      <w:lvlJc w:val="left"/>
    </w:lvl>
  </w:abstractNum>
  <w:abstractNum w:abstractNumId="4">
    <w:nsid w:val="584912DE"/>
    <w:multiLevelType w:val="singleLevel"/>
    <w:tmpl w:val="584912DE"/>
    <w:lvl w:ilvl="0" w:tentative="0">
      <w:start w:val="2"/>
      <w:numFmt w:val="decimal"/>
      <w:suff w:val="nothing"/>
      <w:lvlText w:val="%1."/>
      <w:lvlJc w:val="left"/>
    </w:lvl>
  </w:abstractNum>
  <w:abstractNum w:abstractNumId="5">
    <w:nsid w:val="61B69AB7"/>
    <w:multiLevelType w:val="singleLevel"/>
    <w:tmpl w:val="61B69AB7"/>
    <w:lvl w:ilvl="0" w:tentative="0">
      <w:start w:val="7"/>
      <w:numFmt w:val="chineseCounting"/>
      <w:suff w:val="space"/>
      <w:lvlText w:val="第%1部分"/>
      <w:lvlJc w:val="left"/>
      <w:rPr>
        <w:rFonts w:hint="eastAsia"/>
      </w:rPr>
    </w:lvl>
  </w:abstractNum>
  <w:abstractNum w:abstractNumId="6">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7">
    <w:nsid w:val="7F3D80B7"/>
    <w:multiLevelType w:val="singleLevel"/>
    <w:tmpl w:val="7F3D80B7"/>
    <w:lvl w:ilvl="0" w:tentative="0">
      <w:start w:val="9"/>
      <w:numFmt w:val="decimal"/>
      <w:suff w:val="nothing"/>
      <w:lvlText w:val="%1、"/>
      <w:lvlJc w:val="left"/>
    </w:lvl>
  </w:abstractNum>
  <w:num w:numId="1">
    <w:abstractNumId w:val="6"/>
  </w:num>
  <w:num w:numId="2">
    <w:abstractNumId w:val="2"/>
  </w:num>
  <w:num w:numId="3">
    <w:abstractNumId w:val="3"/>
  </w:num>
  <w:num w:numId="4">
    <w:abstractNumId w:val="7"/>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HorizontalSpacing w:val="120"/>
  <w:drawingGridVerticalSpacing w:val="210"/>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0NThjOWQ1YTdlYmRiZjExMTEwY2Q3YTRkNmI4YjI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0142"/>
    <w:rsid w:val="00021AF9"/>
    <w:rsid w:val="00022936"/>
    <w:rsid w:val="00022A4E"/>
    <w:rsid w:val="00022F41"/>
    <w:rsid w:val="00023261"/>
    <w:rsid w:val="000234CF"/>
    <w:rsid w:val="000235C8"/>
    <w:rsid w:val="000251DF"/>
    <w:rsid w:val="00027E6B"/>
    <w:rsid w:val="0003251F"/>
    <w:rsid w:val="00032BB4"/>
    <w:rsid w:val="00033377"/>
    <w:rsid w:val="00033B5A"/>
    <w:rsid w:val="000353DD"/>
    <w:rsid w:val="00036943"/>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1D2"/>
    <w:rsid w:val="00062D84"/>
    <w:rsid w:val="00063EEF"/>
    <w:rsid w:val="00064071"/>
    <w:rsid w:val="00064386"/>
    <w:rsid w:val="000652A3"/>
    <w:rsid w:val="00067A39"/>
    <w:rsid w:val="00067D44"/>
    <w:rsid w:val="0007053B"/>
    <w:rsid w:val="00070AA6"/>
    <w:rsid w:val="000724B1"/>
    <w:rsid w:val="0007534F"/>
    <w:rsid w:val="00076978"/>
    <w:rsid w:val="000770B7"/>
    <w:rsid w:val="00077B80"/>
    <w:rsid w:val="000857F2"/>
    <w:rsid w:val="000870E9"/>
    <w:rsid w:val="00090002"/>
    <w:rsid w:val="000906B5"/>
    <w:rsid w:val="00090DB4"/>
    <w:rsid w:val="000911CC"/>
    <w:rsid w:val="00092417"/>
    <w:rsid w:val="00093AD5"/>
    <w:rsid w:val="000951C6"/>
    <w:rsid w:val="000952F2"/>
    <w:rsid w:val="0009576A"/>
    <w:rsid w:val="00095A8D"/>
    <w:rsid w:val="00096428"/>
    <w:rsid w:val="00096A85"/>
    <w:rsid w:val="00097CDB"/>
    <w:rsid w:val="000A01A3"/>
    <w:rsid w:val="000A0237"/>
    <w:rsid w:val="000A0EFD"/>
    <w:rsid w:val="000A250B"/>
    <w:rsid w:val="000A2583"/>
    <w:rsid w:val="000A2B11"/>
    <w:rsid w:val="000A7453"/>
    <w:rsid w:val="000A7A6A"/>
    <w:rsid w:val="000B5741"/>
    <w:rsid w:val="000B5ACF"/>
    <w:rsid w:val="000B6858"/>
    <w:rsid w:val="000C048C"/>
    <w:rsid w:val="000C06C4"/>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3F6"/>
    <w:rsid w:val="000F0C8A"/>
    <w:rsid w:val="000F1A9A"/>
    <w:rsid w:val="000F22F4"/>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2AE"/>
    <w:rsid w:val="00131904"/>
    <w:rsid w:val="0013342E"/>
    <w:rsid w:val="001338D9"/>
    <w:rsid w:val="00133ADB"/>
    <w:rsid w:val="00134EE2"/>
    <w:rsid w:val="001351E3"/>
    <w:rsid w:val="00135AA2"/>
    <w:rsid w:val="00136723"/>
    <w:rsid w:val="00136D4A"/>
    <w:rsid w:val="00137E7B"/>
    <w:rsid w:val="00142244"/>
    <w:rsid w:val="001454AD"/>
    <w:rsid w:val="001455F6"/>
    <w:rsid w:val="001456C7"/>
    <w:rsid w:val="001510FB"/>
    <w:rsid w:val="00152476"/>
    <w:rsid w:val="0015361E"/>
    <w:rsid w:val="00153DFD"/>
    <w:rsid w:val="00156ED5"/>
    <w:rsid w:val="0016097D"/>
    <w:rsid w:val="001630D0"/>
    <w:rsid w:val="0016323C"/>
    <w:rsid w:val="00164101"/>
    <w:rsid w:val="00164EE1"/>
    <w:rsid w:val="00164F62"/>
    <w:rsid w:val="00165AFC"/>
    <w:rsid w:val="001664B2"/>
    <w:rsid w:val="00166804"/>
    <w:rsid w:val="00166FD9"/>
    <w:rsid w:val="00166FF0"/>
    <w:rsid w:val="00167ECE"/>
    <w:rsid w:val="0017054A"/>
    <w:rsid w:val="00171465"/>
    <w:rsid w:val="00171A61"/>
    <w:rsid w:val="00173749"/>
    <w:rsid w:val="00173A35"/>
    <w:rsid w:val="0017410F"/>
    <w:rsid w:val="00174285"/>
    <w:rsid w:val="00175756"/>
    <w:rsid w:val="00176F0E"/>
    <w:rsid w:val="00180642"/>
    <w:rsid w:val="00180AFD"/>
    <w:rsid w:val="0018316D"/>
    <w:rsid w:val="00184DE0"/>
    <w:rsid w:val="00184F72"/>
    <w:rsid w:val="00186779"/>
    <w:rsid w:val="001872B3"/>
    <w:rsid w:val="00187846"/>
    <w:rsid w:val="00191693"/>
    <w:rsid w:val="00191834"/>
    <w:rsid w:val="00191A7E"/>
    <w:rsid w:val="00193B5F"/>
    <w:rsid w:val="001947E8"/>
    <w:rsid w:val="00194890"/>
    <w:rsid w:val="00196A1C"/>
    <w:rsid w:val="001A0C97"/>
    <w:rsid w:val="001A0FC6"/>
    <w:rsid w:val="001A2103"/>
    <w:rsid w:val="001A5309"/>
    <w:rsid w:val="001A5764"/>
    <w:rsid w:val="001A7D44"/>
    <w:rsid w:val="001B0699"/>
    <w:rsid w:val="001B087C"/>
    <w:rsid w:val="001B0C7B"/>
    <w:rsid w:val="001B2019"/>
    <w:rsid w:val="001B49FD"/>
    <w:rsid w:val="001B4E91"/>
    <w:rsid w:val="001B5302"/>
    <w:rsid w:val="001C0BA3"/>
    <w:rsid w:val="001C0BBD"/>
    <w:rsid w:val="001C25ED"/>
    <w:rsid w:val="001C3A72"/>
    <w:rsid w:val="001C5BE5"/>
    <w:rsid w:val="001C7AA8"/>
    <w:rsid w:val="001D1BCB"/>
    <w:rsid w:val="001D22C0"/>
    <w:rsid w:val="001D2CE5"/>
    <w:rsid w:val="001D37B2"/>
    <w:rsid w:val="001D4171"/>
    <w:rsid w:val="001D52F1"/>
    <w:rsid w:val="001D576E"/>
    <w:rsid w:val="001D70BC"/>
    <w:rsid w:val="001E0376"/>
    <w:rsid w:val="001E1DFE"/>
    <w:rsid w:val="001E2843"/>
    <w:rsid w:val="001E2BB9"/>
    <w:rsid w:val="001E6A70"/>
    <w:rsid w:val="001E7761"/>
    <w:rsid w:val="001E790E"/>
    <w:rsid w:val="001F2059"/>
    <w:rsid w:val="001F23C9"/>
    <w:rsid w:val="001F2E77"/>
    <w:rsid w:val="001F49A1"/>
    <w:rsid w:val="001F4ACC"/>
    <w:rsid w:val="001F7532"/>
    <w:rsid w:val="001F7B5A"/>
    <w:rsid w:val="00201795"/>
    <w:rsid w:val="0020498C"/>
    <w:rsid w:val="00205018"/>
    <w:rsid w:val="002051A7"/>
    <w:rsid w:val="00205744"/>
    <w:rsid w:val="00207790"/>
    <w:rsid w:val="00210CFC"/>
    <w:rsid w:val="00210FBE"/>
    <w:rsid w:val="0021178B"/>
    <w:rsid w:val="00212328"/>
    <w:rsid w:val="002125C8"/>
    <w:rsid w:val="00213205"/>
    <w:rsid w:val="002137AF"/>
    <w:rsid w:val="002174B0"/>
    <w:rsid w:val="00220787"/>
    <w:rsid w:val="002209DE"/>
    <w:rsid w:val="00221727"/>
    <w:rsid w:val="00223EFE"/>
    <w:rsid w:val="00224257"/>
    <w:rsid w:val="00224642"/>
    <w:rsid w:val="002305E2"/>
    <w:rsid w:val="0023070C"/>
    <w:rsid w:val="00230C6A"/>
    <w:rsid w:val="00233D53"/>
    <w:rsid w:val="002345B9"/>
    <w:rsid w:val="002378CD"/>
    <w:rsid w:val="00237A3F"/>
    <w:rsid w:val="00237C8C"/>
    <w:rsid w:val="0024210D"/>
    <w:rsid w:val="002434A7"/>
    <w:rsid w:val="0024394B"/>
    <w:rsid w:val="00244C29"/>
    <w:rsid w:val="00247B11"/>
    <w:rsid w:val="00250468"/>
    <w:rsid w:val="00250A0D"/>
    <w:rsid w:val="00250B6E"/>
    <w:rsid w:val="002519B6"/>
    <w:rsid w:val="00252050"/>
    <w:rsid w:val="00253B74"/>
    <w:rsid w:val="00254492"/>
    <w:rsid w:val="002547E0"/>
    <w:rsid w:val="00255A2C"/>
    <w:rsid w:val="00255ADA"/>
    <w:rsid w:val="00255DBC"/>
    <w:rsid w:val="00256AC1"/>
    <w:rsid w:val="0025777A"/>
    <w:rsid w:val="00257B25"/>
    <w:rsid w:val="00260306"/>
    <w:rsid w:val="0026130D"/>
    <w:rsid w:val="00261898"/>
    <w:rsid w:val="00264014"/>
    <w:rsid w:val="0026501F"/>
    <w:rsid w:val="00266611"/>
    <w:rsid w:val="00267AE5"/>
    <w:rsid w:val="00267C8A"/>
    <w:rsid w:val="00267F98"/>
    <w:rsid w:val="00270B94"/>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39F"/>
    <w:rsid w:val="00291777"/>
    <w:rsid w:val="002926E2"/>
    <w:rsid w:val="0029384E"/>
    <w:rsid w:val="00294428"/>
    <w:rsid w:val="002961E2"/>
    <w:rsid w:val="00296372"/>
    <w:rsid w:val="00297703"/>
    <w:rsid w:val="00297866"/>
    <w:rsid w:val="002A16FA"/>
    <w:rsid w:val="002A3B25"/>
    <w:rsid w:val="002A62BF"/>
    <w:rsid w:val="002A671F"/>
    <w:rsid w:val="002A6815"/>
    <w:rsid w:val="002A703D"/>
    <w:rsid w:val="002A7FF7"/>
    <w:rsid w:val="002B35C4"/>
    <w:rsid w:val="002B36C2"/>
    <w:rsid w:val="002B59BE"/>
    <w:rsid w:val="002B65AB"/>
    <w:rsid w:val="002B696D"/>
    <w:rsid w:val="002B69BA"/>
    <w:rsid w:val="002C00B8"/>
    <w:rsid w:val="002C05A3"/>
    <w:rsid w:val="002C4511"/>
    <w:rsid w:val="002D2B5F"/>
    <w:rsid w:val="002D327B"/>
    <w:rsid w:val="002D3EA9"/>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4646"/>
    <w:rsid w:val="002F7D7D"/>
    <w:rsid w:val="002F7E10"/>
    <w:rsid w:val="00300067"/>
    <w:rsid w:val="00300513"/>
    <w:rsid w:val="00300B27"/>
    <w:rsid w:val="0030123B"/>
    <w:rsid w:val="00301E0D"/>
    <w:rsid w:val="00301FAE"/>
    <w:rsid w:val="003024CF"/>
    <w:rsid w:val="00303EC5"/>
    <w:rsid w:val="00306470"/>
    <w:rsid w:val="00310E94"/>
    <w:rsid w:val="00311862"/>
    <w:rsid w:val="00316D60"/>
    <w:rsid w:val="003172BB"/>
    <w:rsid w:val="00321DAC"/>
    <w:rsid w:val="00322208"/>
    <w:rsid w:val="003245F8"/>
    <w:rsid w:val="00325D47"/>
    <w:rsid w:val="00325EF1"/>
    <w:rsid w:val="00326169"/>
    <w:rsid w:val="003274DA"/>
    <w:rsid w:val="00327A6B"/>
    <w:rsid w:val="00330EA4"/>
    <w:rsid w:val="00332A7C"/>
    <w:rsid w:val="00335C58"/>
    <w:rsid w:val="00335E41"/>
    <w:rsid w:val="00337CFC"/>
    <w:rsid w:val="0034052E"/>
    <w:rsid w:val="003406B1"/>
    <w:rsid w:val="00343305"/>
    <w:rsid w:val="003443D3"/>
    <w:rsid w:val="003450CD"/>
    <w:rsid w:val="00345F35"/>
    <w:rsid w:val="00346A88"/>
    <w:rsid w:val="003509CA"/>
    <w:rsid w:val="00351734"/>
    <w:rsid w:val="00354FCF"/>
    <w:rsid w:val="003551E0"/>
    <w:rsid w:val="0035572B"/>
    <w:rsid w:val="00357885"/>
    <w:rsid w:val="00357EC3"/>
    <w:rsid w:val="00360830"/>
    <w:rsid w:val="00364896"/>
    <w:rsid w:val="00366A2C"/>
    <w:rsid w:val="003704E3"/>
    <w:rsid w:val="00371456"/>
    <w:rsid w:val="003721C2"/>
    <w:rsid w:val="0037380E"/>
    <w:rsid w:val="00373AE9"/>
    <w:rsid w:val="00374506"/>
    <w:rsid w:val="0037495D"/>
    <w:rsid w:val="003752C8"/>
    <w:rsid w:val="0037531B"/>
    <w:rsid w:val="00375819"/>
    <w:rsid w:val="00375C89"/>
    <w:rsid w:val="00376DAF"/>
    <w:rsid w:val="00377482"/>
    <w:rsid w:val="003774B2"/>
    <w:rsid w:val="003833FB"/>
    <w:rsid w:val="00383F8F"/>
    <w:rsid w:val="003872CB"/>
    <w:rsid w:val="00387AFC"/>
    <w:rsid w:val="00390290"/>
    <w:rsid w:val="0039216D"/>
    <w:rsid w:val="00392EBD"/>
    <w:rsid w:val="00393459"/>
    <w:rsid w:val="003943D1"/>
    <w:rsid w:val="0039449C"/>
    <w:rsid w:val="00395695"/>
    <w:rsid w:val="00396106"/>
    <w:rsid w:val="003A0002"/>
    <w:rsid w:val="003A0295"/>
    <w:rsid w:val="003A0D83"/>
    <w:rsid w:val="003A192D"/>
    <w:rsid w:val="003A224D"/>
    <w:rsid w:val="003A2A14"/>
    <w:rsid w:val="003B086A"/>
    <w:rsid w:val="003B0D75"/>
    <w:rsid w:val="003B2AF6"/>
    <w:rsid w:val="003B3207"/>
    <w:rsid w:val="003B417D"/>
    <w:rsid w:val="003C3325"/>
    <w:rsid w:val="003C61F3"/>
    <w:rsid w:val="003C630F"/>
    <w:rsid w:val="003C6AB2"/>
    <w:rsid w:val="003C7C29"/>
    <w:rsid w:val="003D2606"/>
    <w:rsid w:val="003D39C7"/>
    <w:rsid w:val="003D3A50"/>
    <w:rsid w:val="003D41E8"/>
    <w:rsid w:val="003D45F5"/>
    <w:rsid w:val="003D6B60"/>
    <w:rsid w:val="003D7026"/>
    <w:rsid w:val="003E010E"/>
    <w:rsid w:val="003E1D81"/>
    <w:rsid w:val="003E2F34"/>
    <w:rsid w:val="003E5CDB"/>
    <w:rsid w:val="003E7874"/>
    <w:rsid w:val="003F3882"/>
    <w:rsid w:val="003F5983"/>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B6E"/>
    <w:rsid w:val="00414D38"/>
    <w:rsid w:val="004155E3"/>
    <w:rsid w:val="00415649"/>
    <w:rsid w:val="004156E2"/>
    <w:rsid w:val="00415AB5"/>
    <w:rsid w:val="00415C11"/>
    <w:rsid w:val="00416478"/>
    <w:rsid w:val="00420875"/>
    <w:rsid w:val="004218EC"/>
    <w:rsid w:val="0042388D"/>
    <w:rsid w:val="00425038"/>
    <w:rsid w:val="0042688F"/>
    <w:rsid w:val="00427ABD"/>
    <w:rsid w:val="004317AB"/>
    <w:rsid w:val="00431DBF"/>
    <w:rsid w:val="00433512"/>
    <w:rsid w:val="0043432D"/>
    <w:rsid w:val="004351B4"/>
    <w:rsid w:val="00441423"/>
    <w:rsid w:val="00441D7B"/>
    <w:rsid w:val="00442F77"/>
    <w:rsid w:val="00444250"/>
    <w:rsid w:val="00444298"/>
    <w:rsid w:val="00444461"/>
    <w:rsid w:val="004456C5"/>
    <w:rsid w:val="00454666"/>
    <w:rsid w:val="004547F6"/>
    <w:rsid w:val="00454E16"/>
    <w:rsid w:val="0045726B"/>
    <w:rsid w:val="004574A4"/>
    <w:rsid w:val="00461F1D"/>
    <w:rsid w:val="0046230B"/>
    <w:rsid w:val="00463236"/>
    <w:rsid w:val="004657D3"/>
    <w:rsid w:val="0046690A"/>
    <w:rsid w:val="00467681"/>
    <w:rsid w:val="0046782F"/>
    <w:rsid w:val="00471E1E"/>
    <w:rsid w:val="0047278F"/>
    <w:rsid w:val="00473CE1"/>
    <w:rsid w:val="0047590B"/>
    <w:rsid w:val="00475D90"/>
    <w:rsid w:val="00482240"/>
    <w:rsid w:val="004846F1"/>
    <w:rsid w:val="004860D2"/>
    <w:rsid w:val="00490F98"/>
    <w:rsid w:val="00491349"/>
    <w:rsid w:val="00493684"/>
    <w:rsid w:val="00493E48"/>
    <w:rsid w:val="00496134"/>
    <w:rsid w:val="00496ACE"/>
    <w:rsid w:val="00497530"/>
    <w:rsid w:val="004A00FD"/>
    <w:rsid w:val="004A0A5F"/>
    <w:rsid w:val="004A570C"/>
    <w:rsid w:val="004A5CFF"/>
    <w:rsid w:val="004A61D7"/>
    <w:rsid w:val="004A6B5A"/>
    <w:rsid w:val="004B1026"/>
    <w:rsid w:val="004B13F6"/>
    <w:rsid w:val="004B5992"/>
    <w:rsid w:val="004B7CE1"/>
    <w:rsid w:val="004C093C"/>
    <w:rsid w:val="004C0B7A"/>
    <w:rsid w:val="004C0CA0"/>
    <w:rsid w:val="004C5B48"/>
    <w:rsid w:val="004C6493"/>
    <w:rsid w:val="004C7371"/>
    <w:rsid w:val="004D095C"/>
    <w:rsid w:val="004D2147"/>
    <w:rsid w:val="004D2D8E"/>
    <w:rsid w:val="004D2F54"/>
    <w:rsid w:val="004D4879"/>
    <w:rsid w:val="004D5A18"/>
    <w:rsid w:val="004D7112"/>
    <w:rsid w:val="004D7C23"/>
    <w:rsid w:val="004D7F2C"/>
    <w:rsid w:val="004E07B6"/>
    <w:rsid w:val="004E0B6D"/>
    <w:rsid w:val="004E16B0"/>
    <w:rsid w:val="004E63AF"/>
    <w:rsid w:val="004F01A5"/>
    <w:rsid w:val="004F04DD"/>
    <w:rsid w:val="004F2CC5"/>
    <w:rsid w:val="004F3159"/>
    <w:rsid w:val="004F411F"/>
    <w:rsid w:val="004F60D3"/>
    <w:rsid w:val="004F7234"/>
    <w:rsid w:val="004F7D8F"/>
    <w:rsid w:val="0050182A"/>
    <w:rsid w:val="00501CED"/>
    <w:rsid w:val="0050264E"/>
    <w:rsid w:val="00502DB5"/>
    <w:rsid w:val="00503C53"/>
    <w:rsid w:val="0050431E"/>
    <w:rsid w:val="005053C1"/>
    <w:rsid w:val="00506ECC"/>
    <w:rsid w:val="005078BB"/>
    <w:rsid w:val="00507E67"/>
    <w:rsid w:val="00510D3F"/>
    <w:rsid w:val="00511E18"/>
    <w:rsid w:val="00512B77"/>
    <w:rsid w:val="00512D71"/>
    <w:rsid w:val="00515ADE"/>
    <w:rsid w:val="00515E63"/>
    <w:rsid w:val="005176F4"/>
    <w:rsid w:val="005203BA"/>
    <w:rsid w:val="00521985"/>
    <w:rsid w:val="005220F8"/>
    <w:rsid w:val="00522932"/>
    <w:rsid w:val="0052539A"/>
    <w:rsid w:val="00525760"/>
    <w:rsid w:val="005309DD"/>
    <w:rsid w:val="005323B4"/>
    <w:rsid w:val="005330CB"/>
    <w:rsid w:val="0053320F"/>
    <w:rsid w:val="0053372D"/>
    <w:rsid w:val="00533735"/>
    <w:rsid w:val="005340C0"/>
    <w:rsid w:val="00534E48"/>
    <w:rsid w:val="0053507D"/>
    <w:rsid w:val="00535F18"/>
    <w:rsid w:val="00537136"/>
    <w:rsid w:val="005406CD"/>
    <w:rsid w:val="00544037"/>
    <w:rsid w:val="00544FDF"/>
    <w:rsid w:val="00545318"/>
    <w:rsid w:val="0054537C"/>
    <w:rsid w:val="00547AD0"/>
    <w:rsid w:val="005509F0"/>
    <w:rsid w:val="00551012"/>
    <w:rsid w:val="00553778"/>
    <w:rsid w:val="00553AC5"/>
    <w:rsid w:val="00554646"/>
    <w:rsid w:val="00554791"/>
    <w:rsid w:val="00555365"/>
    <w:rsid w:val="005555A0"/>
    <w:rsid w:val="005576F7"/>
    <w:rsid w:val="0056050F"/>
    <w:rsid w:val="00560BBE"/>
    <w:rsid w:val="005612F2"/>
    <w:rsid w:val="0056216F"/>
    <w:rsid w:val="005627E9"/>
    <w:rsid w:val="005642D3"/>
    <w:rsid w:val="005648C7"/>
    <w:rsid w:val="00567226"/>
    <w:rsid w:val="005676F6"/>
    <w:rsid w:val="00572506"/>
    <w:rsid w:val="0057253B"/>
    <w:rsid w:val="00573AC9"/>
    <w:rsid w:val="00574F7A"/>
    <w:rsid w:val="00575980"/>
    <w:rsid w:val="00576008"/>
    <w:rsid w:val="005801CF"/>
    <w:rsid w:val="00581DBA"/>
    <w:rsid w:val="00581F60"/>
    <w:rsid w:val="005829C2"/>
    <w:rsid w:val="00582A46"/>
    <w:rsid w:val="0058322B"/>
    <w:rsid w:val="00583A5C"/>
    <w:rsid w:val="0058471F"/>
    <w:rsid w:val="0058487A"/>
    <w:rsid w:val="00584D70"/>
    <w:rsid w:val="00585E3F"/>
    <w:rsid w:val="00591671"/>
    <w:rsid w:val="00592CFD"/>
    <w:rsid w:val="00593C8A"/>
    <w:rsid w:val="00594467"/>
    <w:rsid w:val="00594F66"/>
    <w:rsid w:val="005960B9"/>
    <w:rsid w:val="005A178E"/>
    <w:rsid w:val="005A1806"/>
    <w:rsid w:val="005A20E0"/>
    <w:rsid w:val="005A32F2"/>
    <w:rsid w:val="005A3DFC"/>
    <w:rsid w:val="005A43AB"/>
    <w:rsid w:val="005A4B53"/>
    <w:rsid w:val="005A5A7B"/>
    <w:rsid w:val="005A5B0F"/>
    <w:rsid w:val="005A69F8"/>
    <w:rsid w:val="005A6B45"/>
    <w:rsid w:val="005A7B9D"/>
    <w:rsid w:val="005B0579"/>
    <w:rsid w:val="005B18CA"/>
    <w:rsid w:val="005B1C32"/>
    <w:rsid w:val="005B2863"/>
    <w:rsid w:val="005B314D"/>
    <w:rsid w:val="005B353B"/>
    <w:rsid w:val="005B3828"/>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4F58"/>
    <w:rsid w:val="005E548A"/>
    <w:rsid w:val="005E5BCC"/>
    <w:rsid w:val="005E5CCE"/>
    <w:rsid w:val="005E6CCC"/>
    <w:rsid w:val="005F0DC1"/>
    <w:rsid w:val="005F1247"/>
    <w:rsid w:val="005F19BB"/>
    <w:rsid w:val="005F3B5B"/>
    <w:rsid w:val="005F6909"/>
    <w:rsid w:val="005F6C88"/>
    <w:rsid w:val="0060005D"/>
    <w:rsid w:val="00601DA4"/>
    <w:rsid w:val="006022C0"/>
    <w:rsid w:val="00602864"/>
    <w:rsid w:val="00602E42"/>
    <w:rsid w:val="00603657"/>
    <w:rsid w:val="006036E8"/>
    <w:rsid w:val="00603BB4"/>
    <w:rsid w:val="00603F22"/>
    <w:rsid w:val="0060447C"/>
    <w:rsid w:val="0060479B"/>
    <w:rsid w:val="00605B7A"/>
    <w:rsid w:val="00606A55"/>
    <w:rsid w:val="00611AC2"/>
    <w:rsid w:val="00611FFE"/>
    <w:rsid w:val="00612B54"/>
    <w:rsid w:val="00612CF1"/>
    <w:rsid w:val="00613324"/>
    <w:rsid w:val="00613BB6"/>
    <w:rsid w:val="006173B1"/>
    <w:rsid w:val="0061777B"/>
    <w:rsid w:val="00624066"/>
    <w:rsid w:val="0062454A"/>
    <w:rsid w:val="00624620"/>
    <w:rsid w:val="00624946"/>
    <w:rsid w:val="00625173"/>
    <w:rsid w:val="00627233"/>
    <w:rsid w:val="00627607"/>
    <w:rsid w:val="00627993"/>
    <w:rsid w:val="00630CCB"/>
    <w:rsid w:val="00631E71"/>
    <w:rsid w:val="0063350A"/>
    <w:rsid w:val="00633645"/>
    <w:rsid w:val="006340A0"/>
    <w:rsid w:val="0063581A"/>
    <w:rsid w:val="00635858"/>
    <w:rsid w:val="006360BD"/>
    <w:rsid w:val="00636BF4"/>
    <w:rsid w:val="0063749E"/>
    <w:rsid w:val="00637FE9"/>
    <w:rsid w:val="0064084E"/>
    <w:rsid w:val="00642CB1"/>
    <w:rsid w:val="00642E60"/>
    <w:rsid w:val="006431A9"/>
    <w:rsid w:val="00645187"/>
    <w:rsid w:val="006460E3"/>
    <w:rsid w:val="006466DF"/>
    <w:rsid w:val="00646A42"/>
    <w:rsid w:val="006518D0"/>
    <w:rsid w:val="00652393"/>
    <w:rsid w:val="00653D7C"/>
    <w:rsid w:val="00656003"/>
    <w:rsid w:val="00657150"/>
    <w:rsid w:val="006571DD"/>
    <w:rsid w:val="0065774D"/>
    <w:rsid w:val="0065792C"/>
    <w:rsid w:val="00662E32"/>
    <w:rsid w:val="0066668A"/>
    <w:rsid w:val="0066717A"/>
    <w:rsid w:val="00667CAB"/>
    <w:rsid w:val="006725F6"/>
    <w:rsid w:val="00675065"/>
    <w:rsid w:val="00675563"/>
    <w:rsid w:val="00675DAD"/>
    <w:rsid w:val="006814B5"/>
    <w:rsid w:val="00682389"/>
    <w:rsid w:val="00685346"/>
    <w:rsid w:val="00685390"/>
    <w:rsid w:val="00685B24"/>
    <w:rsid w:val="006870E8"/>
    <w:rsid w:val="00690BC5"/>
    <w:rsid w:val="00690C8E"/>
    <w:rsid w:val="00691341"/>
    <w:rsid w:val="006933DD"/>
    <w:rsid w:val="0069431C"/>
    <w:rsid w:val="0069471D"/>
    <w:rsid w:val="00695670"/>
    <w:rsid w:val="00695E20"/>
    <w:rsid w:val="00696569"/>
    <w:rsid w:val="006A2D90"/>
    <w:rsid w:val="006A3BA0"/>
    <w:rsid w:val="006A43F0"/>
    <w:rsid w:val="006A4EC6"/>
    <w:rsid w:val="006A6B87"/>
    <w:rsid w:val="006A6DF3"/>
    <w:rsid w:val="006A7769"/>
    <w:rsid w:val="006B0A7F"/>
    <w:rsid w:val="006B1E4B"/>
    <w:rsid w:val="006B20D5"/>
    <w:rsid w:val="006B34F6"/>
    <w:rsid w:val="006B4952"/>
    <w:rsid w:val="006B5EA1"/>
    <w:rsid w:val="006B62C2"/>
    <w:rsid w:val="006B6316"/>
    <w:rsid w:val="006B6C2F"/>
    <w:rsid w:val="006B7A21"/>
    <w:rsid w:val="006B7F10"/>
    <w:rsid w:val="006C042B"/>
    <w:rsid w:val="006C0920"/>
    <w:rsid w:val="006C2543"/>
    <w:rsid w:val="006C2938"/>
    <w:rsid w:val="006C2A45"/>
    <w:rsid w:val="006C4042"/>
    <w:rsid w:val="006C6C85"/>
    <w:rsid w:val="006C6F0B"/>
    <w:rsid w:val="006C700A"/>
    <w:rsid w:val="006C7C59"/>
    <w:rsid w:val="006D0312"/>
    <w:rsid w:val="006D044E"/>
    <w:rsid w:val="006D06D5"/>
    <w:rsid w:val="006D214E"/>
    <w:rsid w:val="006D2DEA"/>
    <w:rsid w:val="006D2E9C"/>
    <w:rsid w:val="006D30BC"/>
    <w:rsid w:val="006E1A0E"/>
    <w:rsid w:val="006E49A8"/>
    <w:rsid w:val="006E6E8B"/>
    <w:rsid w:val="006E7C76"/>
    <w:rsid w:val="006F04CD"/>
    <w:rsid w:val="006F07C9"/>
    <w:rsid w:val="006F0A6B"/>
    <w:rsid w:val="006F0EC9"/>
    <w:rsid w:val="006F0F75"/>
    <w:rsid w:val="006F3496"/>
    <w:rsid w:val="006F4633"/>
    <w:rsid w:val="006F5AC8"/>
    <w:rsid w:val="006F5F50"/>
    <w:rsid w:val="006F612A"/>
    <w:rsid w:val="006F721C"/>
    <w:rsid w:val="006F7A75"/>
    <w:rsid w:val="00703F7A"/>
    <w:rsid w:val="00704218"/>
    <w:rsid w:val="00706102"/>
    <w:rsid w:val="00711356"/>
    <w:rsid w:val="00713D33"/>
    <w:rsid w:val="00716375"/>
    <w:rsid w:val="00717B21"/>
    <w:rsid w:val="00720DE4"/>
    <w:rsid w:val="00721BAC"/>
    <w:rsid w:val="007224EA"/>
    <w:rsid w:val="007240F9"/>
    <w:rsid w:val="00724763"/>
    <w:rsid w:val="007276DE"/>
    <w:rsid w:val="007300AE"/>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44905"/>
    <w:rsid w:val="007552A7"/>
    <w:rsid w:val="00756543"/>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5A3"/>
    <w:rsid w:val="007A2D00"/>
    <w:rsid w:val="007A3433"/>
    <w:rsid w:val="007A5B38"/>
    <w:rsid w:val="007A7AC5"/>
    <w:rsid w:val="007B1707"/>
    <w:rsid w:val="007B1F48"/>
    <w:rsid w:val="007B4190"/>
    <w:rsid w:val="007B5A22"/>
    <w:rsid w:val="007B5BB0"/>
    <w:rsid w:val="007B7795"/>
    <w:rsid w:val="007B7DED"/>
    <w:rsid w:val="007C0E3E"/>
    <w:rsid w:val="007C1E2E"/>
    <w:rsid w:val="007C32E6"/>
    <w:rsid w:val="007C3891"/>
    <w:rsid w:val="007C551E"/>
    <w:rsid w:val="007C6103"/>
    <w:rsid w:val="007C7079"/>
    <w:rsid w:val="007C745E"/>
    <w:rsid w:val="007C7AE8"/>
    <w:rsid w:val="007C7E4A"/>
    <w:rsid w:val="007D20D8"/>
    <w:rsid w:val="007D249E"/>
    <w:rsid w:val="007D2EE8"/>
    <w:rsid w:val="007D4745"/>
    <w:rsid w:val="007D4BD1"/>
    <w:rsid w:val="007D5763"/>
    <w:rsid w:val="007D596E"/>
    <w:rsid w:val="007D6288"/>
    <w:rsid w:val="007D7193"/>
    <w:rsid w:val="007D7958"/>
    <w:rsid w:val="007D7D00"/>
    <w:rsid w:val="007E051D"/>
    <w:rsid w:val="007E1576"/>
    <w:rsid w:val="007E2BD2"/>
    <w:rsid w:val="007E390A"/>
    <w:rsid w:val="007E5F41"/>
    <w:rsid w:val="007E6CF2"/>
    <w:rsid w:val="007F0B94"/>
    <w:rsid w:val="007F0BE0"/>
    <w:rsid w:val="007F0FBD"/>
    <w:rsid w:val="007F1EB4"/>
    <w:rsid w:val="007F5493"/>
    <w:rsid w:val="007F5B53"/>
    <w:rsid w:val="007F60D5"/>
    <w:rsid w:val="007F6DC7"/>
    <w:rsid w:val="0080075E"/>
    <w:rsid w:val="00802948"/>
    <w:rsid w:val="00802AAC"/>
    <w:rsid w:val="00805E66"/>
    <w:rsid w:val="00806FED"/>
    <w:rsid w:val="00811115"/>
    <w:rsid w:val="008122DE"/>
    <w:rsid w:val="008134C7"/>
    <w:rsid w:val="0081362D"/>
    <w:rsid w:val="008139EB"/>
    <w:rsid w:val="00813CCF"/>
    <w:rsid w:val="00813D5F"/>
    <w:rsid w:val="008150A6"/>
    <w:rsid w:val="008151E2"/>
    <w:rsid w:val="00816091"/>
    <w:rsid w:val="00816112"/>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43D"/>
    <w:rsid w:val="00842D6E"/>
    <w:rsid w:val="00843A87"/>
    <w:rsid w:val="00843C41"/>
    <w:rsid w:val="0084500E"/>
    <w:rsid w:val="00845138"/>
    <w:rsid w:val="008455FB"/>
    <w:rsid w:val="0084584F"/>
    <w:rsid w:val="00847DB4"/>
    <w:rsid w:val="00850BC8"/>
    <w:rsid w:val="00850E33"/>
    <w:rsid w:val="0085172A"/>
    <w:rsid w:val="00853D88"/>
    <w:rsid w:val="00856715"/>
    <w:rsid w:val="00856DC0"/>
    <w:rsid w:val="008607CA"/>
    <w:rsid w:val="00861183"/>
    <w:rsid w:val="0086186E"/>
    <w:rsid w:val="00861CE7"/>
    <w:rsid w:val="00862E46"/>
    <w:rsid w:val="00864D01"/>
    <w:rsid w:val="00865BFC"/>
    <w:rsid w:val="00870585"/>
    <w:rsid w:val="0087394A"/>
    <w:rsid w:val="00873EAC"/>
    <w:rsid w:val="00874D32"/>
    <w:rsid w:val="00880D1C"/>
    <w:rsid w:val="00880EB6"/>
    <w:rsid w:val="00881B84"/>
    <w:rsid w:val="00885CC3"/>
    <w:rsid w:val="0088632D"/>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1607"/>
    <w:rsid w:val="008C64FB"/>
    <w:rsid w:val="008C6F63"/>
    <w:rsid w:val="008C771B"/>
    <w:rsid w:val="008C77A4"/>
    <w:rsid w:val="008D0DB7"/>
    <w:rsid w:val="008D2DAF"/>
    <w:rsid w:val="008D4EEC"/>
    <w:rsid w:val="008D5BFC"/>
    <w:rsid w:val="008E1C91"/>
    <w:rsid w:val="008E1E14"/>
    <w:rsid w:val="008E2EFF"/>
    <w:rsid w:val="008E3B9E"/>
    <w:rsid w:val="008E4674"/>
    <w:rsid w:val="008E4E0F"/>
    <w:rsid w:val="008E5935"/>
    <w:rsid w:val="008E738E"/>
    <w:rsid w:val="008F0A84"/>
    <w:rsid w:val="008F0CC3"/>
    <w:rsid w:val="008F3E84"/>
    <w:rsid w:val="008F44C7"/>
    <w:rsid w:val="008F5035"/>
    <w:rsid w:val="008F5056"/>
    <w:rsid w:val="00900C2F"/>
    <w:rsid w:val="00900DA8"/>
    <w:rsid w:val="0090408F"/>
    <w:rsid w:val="00906F8A"/>
    <w:rsid w:val="009079D8"/>
    <w:rsid w:val="009104E4"/>
    <w:rsid w:val="00910A37"/>
    <w:rsid w:val="00914B34"/>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49FD"/>
    <w:rsid w:val="009353AA"/>
    <w:rsid w:val="00935401"/>
    <w:rsid w:val="009358D0"/>
    <w:rsid w:val="00935965"/>
    <w:rsid w:val="0094003A"/>
    <w:rsid w:val="0094004A"/>
    <w:rsid w:val="00943FB0"/>
    <w:rsid w:val="0094638E"/>
    <w:rsid w:val="00946A82"/>
    <w:rsid w:val="00951071"/>
    <w:rsid w:val="0095333C"/>
    <w:rsid w:val="009544D9"/>
    <w:rsid w:val="00955186"/>
    <w:rsid w:val="00955282"/>
    <w:rsid w:val="00956990"/>
    <w:rsid w:val="00956EE8"/>
    <w:rsid w:val="009570F6"/>
    <w:rsid w:val="00957995"/>
    <w:rsid w:val="009648AF"/>
    <w:rsid w:val="00965C09"/>
    <w:rsid w:val="00966B6A"/>
    <w:rsid w:val="0097057C"/>
    <w:rsid w:val="009715C5"/>
    <w:rsid w:val="00971AF2"/>
    <w:rsid w:val="009723B8"/>
    <w:rsid w:val="00973ED9"/>
    <w:rsid w:val="009817A0"/>
    <w:rsid w:val="0098281C"/>
    <w:rsid w:val="009833A0"/>
    <w:rsid w:val="0098388D"/>
    <w:rsid w:val="0098423D"/>
    <w:rsid w:val="009850E9"/>
    <w:rsid w:val="00985DFA"/>
    <w:rsid w:val="00986315"/>
    <w:rsid w:val="00986617"/>
    <w:rsid w:val="009911E3"/>
    <w:rsid w:val="00994B4C"/>
    <w:rsid w:val="00994E42"/>
    <w:rsid w:val="00995178"/>
    <w:rsid w:val="009960E6"/>
    <w:rsid w:val="009A1C33"/>
    <w:rsid w:val="009A1D27"/>
    <w:rsid w:val="009A2439"/>
    <w:rsid w:val="009A2BFF"/>
    <w:rsid w:val="009A6D30"/>
    <w:rsid w:val="009B07A4"/>
    <w:rsid w:val="009B206F"/>
    <w:rsid w:val="009B28BB"/>
    <w:rsid w:val="009B3528"/>
    <w:rsid w:val="009B5F6F"/>
    <w:rsid w:val="009B60E1"/>
    <w:rsid w:val="009B7A7F"/>
    <w:rsid w:val="009B7A90"/>
    <w:rsid w:val="009B7BA4"/>
    <w:rsid w:val="009C1007"/>
    <w:rsid w:val="009C1F6E"/>
    <w:rsid w:val="009C2026"/>
    <w:rsid w:val="009C2514"/>
    <w:rsid w:val="009C3C03"/>
    <w:rsid w:val="009C3C6C"/>
    <w:rsid w:val="009C3EBA"/>
    <w:rsid w:val="009C4C61"/>
    <w:rsid w:val="009C5377"/>
    <w:rsid w:val="009C58A2"/>
    <w:rsid w:val="009C6276"/>
    <w:rsid w:val="009C7BA0"/>
    <w:rsid w:val="009D01C5"/>
    <w:rsid w:val="009D1B51"/>
    <w:rsid w:val="009D426B"/>
    <w:rsid w:val="009D43A5"/>
    <w:rsid w:val="009D52BF"/>
    <w:rsid w:val="009D5880"/>
    <w:rsid w:val="009D6255"/>
    <w:rsid w:val="009D6DD3"/>
    <w:rsid w:val="009E3F57"/>
    <w:rsid w:val="009E4F8A"/>
    <w:rsid w:val="009E6471"/>
    <w:rsid w:val="009E6771"/>
    <w:rsid w:val="009E67E4"/>
    <w:rsid w:val="009E754B"/>
    <w:rsid w:val="009F0511"/>
    <w:rsid w:val="009F092A"/>
    <w:rsid w:val="009F0F18"/>
    <w:rsid w:val="009F1DBD"/>
    <w:rsid w:val="009F22FE"/>
    <w:rsid w:val="009F750B"/>
    <w:rsid w:val="009F7FB5"/>
    <w:rsid w:val="00A00435"/>
    <w:rsid w:val="00A01FCD"/>
    <w:rsid w:val="00A025E8"/>
    <w:rsid w:val="00A03071"/>
    <w:rsid w:val="00A044F0"/>
    <w:rsid w:val="00A04ACA"/>
    <w:rsid w:val="00A0582B"/>
    <w:rsid w:val="00A05B11"/>
    <w:rsid w:val="00A06B7F"/>
    <w:rsid w:val="00A06FBD"/>
    <w:rsid w:val="00A074E9"/>
    <w:rsid w:val="00A07D9C"/>
    <w:rsid w:val="00A07DFC"/>
    <w:rsid w:val="00A108B8"/>
    <w:rsid w:val="00A109CC"/>
    <w:rsid w:val="00A11D7A"/>
    <w:rsid w:val="00A12741"/>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47CBE"/>
    <w:rsid w:val="00A5014E"/>
    <w:rsid w:val="00A54A38"/>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0DC7"/>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2848"/>
    <w:rsid w:val="00A96F13"/>
    <w:rsid w:val="00AA1080"/>
    <w:rsid w:val="00AA16D3"/>
    <w:rsid w:val="00AA18CA"/>
    <w:rsid w:val="00AA1D98"/>
    <w:rsid w:val="00AA3063"/>
    <w:rsid w:val="00AA3BFA"/>
    <w:rsid w:val="00AA4BCE"/>
    <w:rsid w:val="00AA5A0A"/>
    <w:rsid w:val="00AA5E84"/>
    <w:rsid w:val="00AA725C"/>
    <w:rsid w:val="00AA7BB1"/>
    <w:rsid w:val="00AB2C50"/>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2092"/>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062FA"/>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35DB4"/>
    <w:rsid w:val="00B40207"/>
    <w:rsid w:val="00B43464"/>
    <w:rsid w:val="00B45223"/>
    <w:rsid w:val="00B45C7D"/>
    <w:rsid w:val="00B461F3"/>
    <w:rsid w:val="00B46548"/>
    <w:rsid w:val="00B46BB4"/>
    <w:rsid w:val="00B47EFD"/>
    <w:rsid w:val="00B50604"/>
    <w:rsid w:val="00B50C36"/>
    <w:rsid w:val="00B51C5E"/>
    <w:rsid w:val="00B52083"/>
    <w:rsid w:val="00B52525"/>
    <w:rsid w:val="00B52A88"/>
    <w:rsid w:val="00B52B44"/>
    <w:rsid w:val="00B52D72"/>
    <w:rsid w:val="00B53BE4"/>
    <w:rsid w:val="00B53D05"/>
    <w:rsid w:val="00B54AE9"/>
    <w:rsid w:val="00B56BAC"/>
    <w:rsid w:val="00B56E5B"/>
    <w:rsid w:val="00B571F4"/>
    <w:rsid w:val="00B61F86"/>
    <w:rsid w:val="00B63550"/>
    <w:rsid w:val="00B64780"/>
    <w:rsid w:val="00B6494B"/>
    <w:rsid w:val="00B64BD5"/>
    <w:rsid w:val="00B64D7D"/>
    <w:rsid w:val="00B658BB"/>
    <w:rsid w:val="00B65E8E"/>
    <w:rsid w:val="00B6622F"/>
    <w:rsid w:val="00B67926"/>
    <w:rsid w:val="00B679FA"/>
    <w:rsid w:val="00B72B4C"/>
    <w:rsid w:val="00B75DE1"/>
    <w:rsid w:val="00B76EAC"/>
    <w:rsid w:val="00B810DE"/>
    <w:rsid w:val="00B81ECA"/>
    <w:rsid w:val="00B838D7"/>
    <w:rsid w:val="00B83DCC"/>
    <w:rsid w:val="00B84F8C"/>
    <w:rsid w:val="00B864A8"/>
    <w:rsid w:val="00B86A3E"/>
    <w:rsid w:val="00B903B2"/>
    <w:rsid w:val="00B9113C"/>
    <w:rsid w:val="00B91DE8"/>
    <w:rsid w:val="00B93C58"/>
    <w:rsid w:val="00B93ECE"/>
    <w:rsid w:val="00B96111"/>
    <w:rsid w:val="00B9753A"/>
    <w:rsid w:val="00B975ED"/>
    <w:rsid w:val="00B979E2"/>
    <w:rsid w:val="00B97A30"/>
    <w:rsid w:val="00B97D1F"/>
    <w:rsid w:val="00B97E9D"/>
    <w:rsid w:val="00BA25DB"/>
    <w:rsid w:val="00BA2CAB"/>
    <w:rsid w:val="00BA38E0"/>
    <w:rsid w:val="00BA4649"/>
    <w:rsid w:val="00BA51C2"/>
    <w:rsid w:val="00BA619F"/>
    <w:rsid w:val="00BA6A48"/>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04B3"/>
    <w:rsid w:val="00BC11D7"/>
    <w:rsid w:val="00BC1B9C"/>
    <w:rsid w:val="00BC283F"/>
    <w:rsid w:val="00BC2C14"/>
    <w:rsid w:val="00BC31EE"/>
    <w:rsid w:val="00BC3C19"/>
    <w:rsid w:val="00BC4B27"/>
    <w:rsid w:val="00BC5C23"/>
    <w:rsid w:val="00BD12E2"/>
    <w:rsid w:val="00BD15BE"/>
    <w:rsid w:val="00BD2E19"/>
    <w:rsid w:val="00BD3BF3"/>
    <w:rsid w:val="00BD5316"/>
    <w:rsid w:val="00BD6613"/>
    <w:rsid w:val="00BE41BE"/>
    <w:rsid w:val="00BE4EBB"/>
    <w:rsid w:val="00BE6F8C"/>
    <w:rsid w:val="00BE735F"/>
    <w:rsid w:val="00BF069C"/>
    <w:rsid w:val="00BF0B0F"/>
    <w:rsid w:val="00BF150A"/>
    <w:rsid w:val="00BF30A5"/>
    <w:rsid w:val="00BF3210"/>
    <w:rsid w:val="00BF3B09"/>
    <w:rsid w:val="00BF4A06"/>
    <w:rsid w:val="00C00340"/>
    <w:rsid w:val="00C0301D"/>
    <w:rsid w:val="00C03270"/>
    <w:rsid w:val="00C03937"/>
    <w:rsid w:val="00C048FB"/>
    <w:rsid w:val="00C04CFA"/>
    <w:rsid w:val="00C0602D"/>
    <w:rsid w:val="00C06FAF"/>
    <w:rsid w:val="00C07326"/>
    <w:rsid w:val="00C074A8"/>
    <w:rsid w:val="00C076EF"/>
    <w:rsid w:val="00C12DA4"/>
    <w:rsid w:val="00C133A8"/>
    <w:rsid w:val="00C15E59"/>
    <w:rsid w:val="00C15E84"/>
    <w:rsid w:val="00C16C84"/>
    <w:rsid w:val="00C20730"/>
    <w:rsid w:val="00C21DB4"/>
    <w:rsid w:val="00C224CD"/>
    <w:rsid w:val="00C25539"/>
    <w:rsid w:val="00C25C2B"/>
    <w:rsid w:val="00C2744F"/>
    <w:rsid w:val="00C33D5F"/>
    <w:rsid w:val="00C34648"/>
    <w:rsid w:val="00C34D95"/>
    <w:rsid w:val="00C357EB"/>
    <w:rsid w:val="00C37015"/>
    <w:rsid w:val="00C40072"/>
    <w:rsid w:val="00C408BD"/>
    <w:rsid w:val="00C411F3"/>
    <w:rsid w:val="00C4213E"/>
    <w:rsid w:val="00C438D5"/>
    <w:rsid w:val="00C45741"/>
    <w:rsid w:val="00C4699F"/>
    <w:rsid w:val="00C472A3"/>
    <w:rsid w:val="00C50B26"/>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119"/>
    <w:rsid w:val="00C8634C"/>
    <w:rsid w:val="00C86F92"/>
    <w:rsid w:val="00C90072"/>
    <w:rsid w:val="00C92637"/>
    <w:rsid w:val="00C93550"/>
    <w:rsid w:val="00C9533B"/>
    <w:rsid w:val="00C95976"/>
    <w:rsid w:val="00CA14A2"/>
    <w:rsid w:val="00CA408B"/>
    <w:rsid w:val="00CA47DA"/>
    <w:rsid w:val="00CA5299"/>
    <w:rsid w:val="00CA597B"/>
    <w:rsid w:val="00CB0748"/>
    <w:rsid w:val="00CB18BD"/>
    <w:rsid w:val="00CB1B09"/>
    <w:rsid w:val="00CB232C"/>
    <w:rsid w:val="00CB2D79"/>
    <w:rsid w:val="00CB2E90"/>
    <w:rsid w:val="00CB31D0"/>
    <w:rsid w:val="00CB4405"/>
    <w:rsid w:val="00CB4EF4"/>
    <w:rsid w:val="00CB5BD0"/>
    <w:rsid w:val="00CB63F6"/>
    <w:rsid w:val="00CB7EC8"/>
    <w:rsid w:val="00CC03DE"/>
    <w:rsid w:val="00CC042F"/>
    <w:rsid w:val="00CC11D6"/>
    <w:rsid w:val="00CC237A"/>
    <w:rsid w:val="00CC2A69"/>
    <w:rsid w:val="00CD2668"/>
    <w:rsid w:val="00CD2B6F"/>
    <w:rsid w:val="00CD2E23"/>
    <w:rsid w:val="00CD2FAC"/>
    <w:rsid w:val="00CD2FBB"/>
    <w:rsid w:val="00CD3879"/>
    <w:rsid w:val="00CD3AC4"/>
    <w:rsid w:val="00CD402E"/>
    <w:rsid w:val="00CD495B"/>
    <w:rsid w:val="00CD5161"/>
    <w:rsid w:val="00CD5C64"/>
    <w:rsid w:val="00CD69A5"/>
    <w:rsid w:val="00CD7C0B"/>
    <w:rsid w:val="00CD7C6C"/>
    <w:rsid w:val="00CE0AA8"/>
    <w:rsid w:val="00CE1F20"/>
    <w:rsid w:val="00CE3BDB"/>
    <w:rsid w:val="00CE4206"/>
    <w:rsid w:val="00CE4305"/>
    <w:rsid w:val="00CE44AB"/>
    <w:rsid w:val="00CE4BC6"/>
    <w:rsid w:val="00CE52BF"/>
    <w:rsid w:val="00CE5EA4"/>
    <w:rsid w:val="00CE70DB"/>
    <w:rsid w:val="00CF001E"/>
    <w:rsid w:val="00CF363A"/>
    <w:rsid w:val="00CF5090"/>
    <w:rsid w:val="00CF50D5"/>
    <w:rsid w:val="00CF5B0B"/>
    <w:rsid w:val="00CF5C9B"/>
    <w:rsid w:val="00CF6662"/>
    <w:rsid w:val="00D01058"/>
    <w:rsid w:val="00D01136"/>
    <w:rsid w:val="00D01FF3"/>
    <w:rsid w:val="00D03474"/>
    <w:rsid w:val="00D03476"/>
    <w:rsid w:val="00D03C0F"/>
    <w:rsid w:val="00D050E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9A"/>
    <w:rsid w:val="00D264F9"/>
    <w:rsid w:val="00D3129E"/>
    <w:rsid w:val="00D31768"/>
    <w:rsid w:val="00D320CC"/>
    <w:rsid w:val="00D33471"/>
    <w:rsid w:val="00D344EF"/>
    <w:rsid w:val="00D35D77"/>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3D3F"/>
    <w:rsid w:val="00D65B3B"/>
    <w:rsid w:val="00D65C26"/>
    <w:rsid w:val="00D6655A"/>
    <w:rsid w:val="00D73BEF"/>
    <w:rsid w:val="00D75DD7"/>
    <w:rsid w:val="00D8461E"/>
    <w:rsid w:val="00D848AF"/>
    <w:rsid w:val="00D84D41"/>
    <w:rsid w:val="00D85867"/>
    <w:rsid w:val="00D86986"/>
    <w:rsid w:val="00D86AE7"/>
    <w:rsid w:val="00D90438"/>
    <w:rsid w:val="00D90F7C"/>
    <w:rsid w:val="00D91BBB"/>
    <w:rsid w:val="00D93BBB"/>
    <w:rsid w:val="00D9483F"/>
    <w:rsid w:val="00D957E5"/>
    <w:rsid w:val="00D9612C"/>
    <w:rsid w:val="00D96B41"/>
    <w:rsid w:val="00DA02CE"/>
    <w:rsid w:val="00DA0DFD"/>
    <w:rsid w:val="00DA26D1"/>
    <w:rsid w:val="00DA3715"/>
    <w:rsid w:val="00DA3EA5"/>
    <w:rsid w:val="00DA7EC9"/>
    <w:rsid w:val="00DB18FC"/>
    <w:rsid w:val="00DB2769"/>
    <w:rsid w:val="00DB4762"/>
    <w:rsid w:val="00DB630A"/>
    <w:rsid w:val="00DB6473"/>
    <w:rsid w:val="00DC3ED2"/>
    <w:rsid w:val="00DC4AE1"/>
    <w:rsid w:val="00DC6B38"/>
    <w:rsid w:val="00DC767D"/>
    <w:rsid w:val="00DC7A15"/>
    <w:rsid w:val="00DD0CDD"/>
    <w:rsid w:val="00DD26EA"/>
    <w:rsid w:val="00DD3270"/>
    <w:rsid w:val="00DD35BB"/>
    <w:rsid w:val="00DD5EDD"/>
    <w:rsid w:val="00DD6B34"/>
    <w:rsid w:val="00DD7198"/>
    <w:rsid w:val="00DE3B48"/>
    <w:rsid w:val="00DF08A3"/>
    <w:rsid w:val="00DF0FF1"/>
    <w:rsid w:val="00DF1557"/>
    <w:rsid w:val="00DF3006"/>
    <w:rsid w:val="00DF49C5"/>
    <w:rsid w:val="00DF6B72"/>
    <w:rsid w:val="00DF7223"/>
    <w:rsid w:val="00DF7278"/>
    <w:rsid w:val="00DF749E"/>
    <w:rsid w:val="00DF7988"/>
    <w:rsid w:val="00E0112E"/>
    <w:rsid w:val="00E02056"/>
    <w:rsid w:val="00E023D6"/>
    <w:rsid w:val="00E037D5"/>
    <w:rsid w:val="00E07564"/>
    <w:rsid w:val="00E07EB9"/>
    <w:rsid w:val="00E10A87"/>
    <w:rsid w:val="00E114BC"/>
    <w:rsid w:val="00E11D50"/>
    <w:rsid w:val="00E13609"/>
    <w:rsid w:val="00E14B3C"/>
    <w:rsid w:val="00E16067"/>
    <w:rsid w:val="00E20E0B"/>
    <w:rsid w:val="00E212E3"/>
    <w:rsid w:val="00E22505"/>
    <w:rsid w:val="00E226B6"/>
    <w:rsid w:val="00E227F4"/>
    <w:rsid w:val="00E23903"/>
    <w:rsid w:val="00E2465F"/>
    <w:rsid w:val="00E2575E"/>
    <w:rsid w:val="00E25E0D"/>
    <w:rsid w:val="00E2687F"/>
    <w:rsid w:val="00E270B1"/>
    <w:rsid w:val="00E27DAA"/>
    <w:rsid w:val="00E27FDC"/>
    <w:rsid w:val="00E303C9"/>
    <w:rsid w:val="00E30E7D"/>
    <w:rsid w:val="00E31BA9"/>
    <w:rsid w:val="00E332F8"/>
    <w:rsid w:val="00E33659"/>
    <w:rsid w:val="00E400DE"/>
    <w:rsid w:val="00E4021E"/>
    <w:rsid w:val="00E40872"/>
    <w:rsid w:val="00E41594"/>
    <w:rsid w:val="00E4296F"/>
    <w:rsid w:val="00E43324"/>
    <w:rsid w:val="00E46A08"/>
    <w:rsid w:val="00E47BE1"/>
    <w:rsid w:val="00E518FB"/>
    <w:rsid w:val="00E5386F"/>
    <w:rsid w:val="00E56AE4"/>
    <w:rsid w:val="00E56C94"/>
    <w:rsid w:val="00E56FE8"/>
    <w:rsid w:val="00E57945"/>
    <w:rsid w:val="00E57C5E"/>
    <w:rsid w:val="00E6057C"/>
    <w:rsid w:val="00E607A7"/>
    <w:rsid w:val="00E60C5E"/>
    <w:rsid w:val="00E63BD1"/>
    <w:rsid w:val="00E6467D"/>
    <w:rsid w:val="00E64F0D"/>
    <w:rsid w:val="00E66BCF"/>
    <w:rsid w:val="00E70C32"/>
    <w:rsid w:val="00E71342"/>
    <w:rsid w:val="00E728E4"/>
    <w:rsid w:val="00E77471"/>
    <w:rsid w:val="00E777FC"/>
    <w:rsid w:val="00E83DB2"/>
    <w:rsid w:val="00E840FB"/>
    <w:rsid w:val="00E8555A"/>
    <w:rsid w:val="00E85DAF"/>
    <w:rsid w:val="00E86211"/>
    <w:rsid w:val="00E86A39"/>
    <w:rsid w:val="00E8703F"/>
    <w:rsid w:val="00E87864"/>
    <w:rsid w:val="00E9170D"/>
    <w:rsid w:val="00E9198A"/>
    <w:rsid w:val="00E92C29"/>
    <w:rsid w:val="00E931C1"/>
    <w:rsid w:val="00E93D73"/>
    <w:rsid w:val="00E94BE1"/>
    <w:rsid w:val="00E94BFD"/>
    <w:rsid w:val="00E94E0E"/>
    <w:rsid w:val="00E952C1"/>
    <w:rsid w:val="00E97186"/>
    <w:rsid w:val="00E97F6C"/>
    <w:rsid w:val="00EA04D2"/>
    <w:rsid w:val="00EA2655"/>
    <w:rsid w:val="00EA2FC1"/>
    <w:rsid w:val="00EA6401"/>
    <w:rsid w:val="00EA68DB"/>
    <w:rsid w:val="00EB04DB"/>
    <w:rsid w:val="00EB0764"/>
    <w:rsid w:val="00EB1322"/>
    <w:rsid w:val="00EB1A62"/>
    <w:rsid w:val="00EB4FC8"/>
    <w:rsid w:val="00EB6E57"/>
    <w:rsid w:val="00EB7A4C"/>
    <w:rsid w:val="00EC0DD8"/>
    <w:rsid w:val="00EC221A"/>
    <w:rsid w:val="00EC2A66"/>
    <w:rsid w:val="00EC3672"/>
    <w:rsid w:val="00EC44FF"/>
    <w:rsid w:val="00ED0960"/>
    <w:rsid w:val="00ED3782"/>
    <w:rsid w:val="00ED56C1"/>
    <w:rsid w:val="00ED6D82"/>
    <w:rsid w:val="00ED7D80"/>
    <w:rsid w:val="00EE1F49"/>
    <w:rsid w:val="00EE1F87"/>
    <w:rsid w:val="00EE36FA"/>
    <w:rsid w:val="00EE3720"/>
    <w:rsid w:val="00EE3F92"/>
    <w:rsid w:val="00EE4A01"/>
    <w:rsid w:val="00EE5B89"/>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518"/>
    <w:rsid w:val="00F13BB5"/>
    <w:rsid w:val="00F14992"/>
    <w:rsid w:val="00F16A50"/>
    <w:rsid w:val="00F21D20"/>
    <w:rsid w:val="00F22674"/>
    <w:rsid w:val="00F22B78"/>
    <w:rsid w:val="00F244F9"/>
    <w:rsid w:val="00F25220"/>
    <w:rsid w:val="00F25309"/>
    <w:rsid w:val="00F25320"/>
    <w:rsid w:val="00F26FA6"/>
    <w:rsid w:val="00F306D7"/>
    <w:rsid w:val="00F308B7"/>
    <w:rsid w:val="00F3137F"/>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556D"/>
    <w:rsid w:val="00F564CD"/>
    <w:rsid w:val="00F61702"/>
    <w:rsid w:val="00F62789"/>
    <w:rsid w:val="00F62E71"/>
    <w:rsid w:val="00F6306C"/>
    <w:rsid w:val="00F630C8"/>
    <w:rsid w:val="00F64C12"/>
    <w:rsid w:val="00F6552D"/>
    <w:rsid w:val="00F65CB7"/>
    <w:rsid w:val="00F667F5"/>
    <w:rsid w:val="00F67278"/>
    <w:rsid w:val="00F70470"/>
    <w:rsid w:val="00F710E9"/>
    <w:rsid w:val="00F733F0"/>
    <w:rsid w:val="00F742CA"/>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5C09"/>
    <w:rsid w:val="00FA7224"/>
    <w:rsid w:val="00FB01BB"/>
    <w:rsid w:val="00FB1072"/>
    <w:rsid w:val="00FB1215"/>
    <w:rsid w:val="00FB3D8E"/>
    <w:rsid w:val="00FB4CB0"/>
    <w:rsid w:val="00FB608E"/>
    <w:rsid w:val="00FB6392"/>
    <w:rsid w:val="00FC39BA"/>
    <w:rsid w:val="00FC3DAC"/>
    <w:rsid w:val="00FC62FB"/>
    <w:rsid w:val="00FD1428"/>
    <w:rsid w:val="00FD20C5"/>
    <w:rsid w:val="00FD221D"/>
    <w:rsid w:val="00FD2761"/>
    <w:rsid w:val="00FD309E"/>
    <w:rsid w:val="00FD37B5"/>
    <w:rsid w:val="00FD4568"/>
    <w:rsid w:val="00FD5B5E"/>
    <w:rsid w:val="00FD613E"/>
    <w:rsid w:val="00FD6F4D"/>
    <w:rsid w:val="00FE0559"/>
    <w:rsid w:val="00FE05A0"/>
    <w:rsid w:val="00FE1589"/>
    <w:rsid w:val="00FE3884"/>
    <w:rsid w:val="00FE3A5A"/>
    <w:rsid w:val="00FE3FCF"/>
    <w:rsid w:val="00FF2E19"/>
    <w:rsid w:val="00FF313E"/>
    <w:rsid w:val="00FF71BD"/>
    <w:rsid w:val="00FF756F"/>
    <w:rsid w:val="01174F9A"/>
    <w:rsid w:val="013B2B96"/>
    <w:rsid w:val="01B11FA1"/>
    <w:rsid w:val="01CB2F5B"/>
    <w:rsid w:val="020E2058"/>
    <w:rsid w:val="02E80535"/>
    <w:rsid w:val="033C42B2"/>
    <w:rsid w:val="03667C72"/>
    <w:rsid w:val="03912F41"/>
    <w:rsid w:val="03A82039"/>
    <w:rsid w:val="043B4C5B"/>
    <w:rsid w:val="044955CA"/>
    <w:rsid w:val="04ED41A7"/>
    <w:rsid w:val="05571F68"/>
    <w:rsid w:val="062E4A77"/>
    <w:rsid w:val="06DA4BFF"/>
    <w:rsid w:val="076B40FA"/>
    <w:rsid w:val="07A33243"/>
    <w:rsid w:val="0831084F"/>
    <w:rsid w:val="08365E65"/>
    <w:rsid w:val="0854278F"/>
    <w:rsid w:val="0898267C"/>
    <w:rsid w:val="090D12BC"/>
    <w:rsid w:val="097C4C0A"/>
    <w:rsid w:val="09945539"/>
    <w:rsid w:val="09BA7BCA"/>
    <w:rsid w:val="09E10052"/>
    <w:rsid w:val="09FB1114"/>
    <w:rsid w:val="0A2D14EA"/>
    <w:rsid w:val="0A3C2B9C"/>
    <w:rsid w:val="0A5E16A3"/>
    <w:rsid w:val="0AB539B9"/>
    <w:rsid w:val="0AD35BED"/>
    <w:rsid w:val="0B1A381C"/>
    <w:rsid w:val="0B5847B0"/>
    <w:rsid w:val="0B7C0033"/>
    <w:rsid w:val="0C061FF2"/>
    <w:rsid w:val="0C0D15D3"/>
    <w:rsid w:val="0C0F70F9"/>
    <w:rsid w:val="0C4C20FB"/>
    <w:rsid w:val="0CAE322A"/>
    <w:rsid w:val="0CDB522D"/>
    <w:rsid w:val="0D1644B7"/>
    <w:rsid w:val="0D166265"/>
    <w:rsid w:val="0D613984"/>
    <w:rsid w:val="0D6A2B09"/>
    <w:rsid w:val="0DB00467"/>
    <w:rsid w:val="0E2055ED"/>
    <w:rsid w:val="0E576B35"/>
    <w:rsid w:val="0E680D42"/>
    <w:rsid w:val="0E935B43"/>
    <w:rsid w:val="0E96765D"/>
    <w:rsid w:val="0F185481"/>
    <w:rsid w:val="0F543075"/>
    <w:rsid w:val="0F601A19"/>
    <w:rsid w:val="1057106E"/>
    <w:rsid w:val="10972147"/>
    <w:rsid w:val="10D12BCF"/>
    <w:rsid w:val="10F20D97"/>
    <w:rsid w:val="11217760"/>
    <w:rsid w:val="11CB5870"/>
    <w:rsid w:val="11D64215"/>
    <w:rsid w:val="120E39AF"/>
    <w:rsid w:val="12661A3D"/>
    <w:rsid w:val="131F7E9C"/>
    <w:rsid w:val="13225964"/>
    <w:rsid w:val="136F66CF"/>
    <w:rsid w:val="13734411"/>
    <w:rsid w:val="1380268A"/>
    <w:rsid w:val="13A97E33"/>
    <w:rsid w:val="13C46A1B"/>
    <w:rsid w:val="13D604FC"/>
    <w:rsid w:val="14290F74"/>
    <w:rsid w:val="148D32B1"/>
    <w:rsid w:val="15264D8E"/>
    <w:rsid w:val="155E4C4D"/>
    <w:rsid w:val="15B900D5"/>
    <w:rsid w:val="15CE3B81"/>
    <w:rsid w:val="16007AB2"/>
    <w:rsid w:val="16247C45"/>
    <w:rsid w:val="164B6F7F"/>
    <w:rsid w:val="166B13D0"/>
    <w:rsid w:val="1683496B"/>
    <w:rsid w:val="16A662AE"/>
    <w:rsid w:val="1706734A"/>
    <w:rsid w:val="17080368"/>
    <w:rsid w:val="17245C34"/>
    <w:rsid w:val="18384FC6"/>
    <w:rsid w:val="18BA4890"/>
    <w:rsid w:val="18BC23B6"/>
    <w:rsid w:val="190B50EC"/>
    <w:rsid w:val="191F1353"/>
    <w:rsid w:val="19202945"/>
    <w:rsid w:val="19467ED2"/>
    <w:rsid w:val="19534E25"/>
    <w:rsid w:val="1A18361C"/>
    <w:rsid w:val="1A584361"/>
    <w:rsid w:val="1A937147"/>
    <w:rsid w:val="1AD4799A"/>
    <w:rsid w:val="1AF760BA"/>
    <w:rsid w:val="1B1A7868"/>
    <w:rsid w:val="1B321584"/>
    <w:rsid w:val="1B4C6F1B"/>
    <w:rsid w:val="1BF27E9D"/>
    <w:rsid w:val="1BF41E67"/>
    <w:rsid w:val="1BF63E31"/>
    <w:rsid w:val="1C5172BA"/>
    <w:rsid w:val="1C6963B1"/>
    <w:rsid w:val="1C856F63"/>
    <w:rsid w:val="1D4B3D09"/>
    <w:rsid w:val="1D4D7A81"/>
    <w:rsid w:val="1D862F93"/>
    <w:rsid w:val="1DAA6C81"/>
    <w:rsid w:val="1E1C0ECD"/>
    <w:rsid w:val="1E2702D2"/>
    <w:rsid w:val="1E560BB7"/>
    <w:rsid w:val="1E6C3F37"/>
    <w:rsid w:val="1E7159F1"/>
    <w:rsid w:val="1E7C687F"/>
    <w:rsid w:val="1EBF675C"/>
    <w:rsid w:val="1ECB3353"/>
    <w:rsid w:val="1EE61F3B"/>
    <w:rsid w:val="1EFC175F"/>
    <w:rsid w:val="1F016D75"/>
    <w:rsid w:val="1F321241"/>
    <w:rsid w:val="1F460C2C"/>
    <w:rsid w:val="1F4E7AE0"/>
    <w:rsid w:val="1F8E612F"/>
    <w:rsid w:val="1FAB7E7B"/>
    <w:rsid w:val="200F54C2"/>
    <w:rsid w:val="201C373B"/>
    <w:rsid w:val="201D0482"/>
    <w:rsid w:val="20294D97"/>
    <w:rsid w:val="20531A94"/>
    <w:rsid w:val="20F36B91"/>
    <w:rsid w:val="2144119B"/>
    <w:rsid w:val="21997739"/>
    <w:rsid w:val="21E32762"/>
    <w:rsid w:val="221768AF"/>
    <w:rsid w:val="222B4109"/>
    <w:rsid w:val="22342FBD"/>
    <w:rsid w:val="227E248B"/>
    <w:rsid w:val="232A449B"/>
    <w:rsid w:val="23627FFE"/>
    <w:rsid w:val="23872716"/>
    <w:rsid w:val="23BD5235"/>
    <w:rsid w:val="23F073B8"/>
    <w:rsid w:val="244A4D1A"/>
    <w:rsid w:val="244D65B8"/>
    <w:rsid w:val="25180974"/>
    <w:rsid w:val="25493224"/>
    <w:rsid w:val="255045B2"/>
    <w:rsid w:val="256A4F48"/>
    <w:rsid w:val="25836BE3"/>
    <w:rsid w:val="25987D07"/>
    <w:rsid w:val="25A0096A"/>
    <w:rsid w:val="25B14925"/>
    <w:rsid w:val="25E62821"/>
    <w:rsid w:val="26176E7E"/>
    <w:rsid w:val="26C441AF"/>
    <w:rsid w:val="26FB22FC"/>
    <w:rsid w:val="271E423C"/>
    <w:rsid w:val="274F0899"/>
    <w:rsid w:val="278C389C"/>
    <w:rsid w:val="279B5A04"/>
    <w:rsid w:val="27B74703"/>
    <w:rsid w:val="27E27A70"/>
    <w:rsid w:val="27EE3C0E"/>
    <w:rsid w:val="28612632"/>
    <w:rsid w:val="286A1913"/>
    <w:rsid w:val="286D547B"/>
    <w:rsid w:val="28792F45"/>
    <w:rsid w:val="28F306BC"/>
    <w:rsid w:val="2927387C"/>
    <w:rsid w:val="29A053DC"/>
    <w:rsid w:val="29EE439A"/>
    <w:rsid w:val="2A21651D"/>
    <w:rsid w:val="2AA50EFC"/>
    <w:rsid w:val="2ABA24CE"/>
    <w:rsid w:val="2AE01F34"/>
    <w:rsid w:val="2AF94DA4"/>
    <w:rsid w:val="2B886128"/>
    <w:rsid w:val="2BCA4992"/>
    <w:rsid w:val="2BCF3D57"/>
    <w:rsid w:val="2BCF4DA0"/>
    <w:rsid w:val="2C302A48"/>
    <w:rsid w:val="2C365B84"/>
    <w:rsid w:val="2C772424"/>
    <w:rsid w:val="2C7768C8"/>
    <w:rsid w:val="2C815051"/>
    <w:rsid w:val="2CB35427"/>
    <w:rsid w:val="2CDA6E57"/>
    <w:rsid w:val="2CE13D42"/>
    <w:rsid w:val="2DBF048A"/>
    <w:rsid w:val="2DED016F"/>
    <w:rsid w:val="2E0917A2"/>
    <w:rsid w:val="2E141EF5"/>
    <w:rsid w:val="2E2A1A35"/>
    <w:rsid w:val="2E425517"/>
    <w:rsid w:val="2E6B4140"/>
    <w:rsid w:val="2E7A444E"/>
    <w:rsid w:val="2E861045"/>
    <w:rsid w:val="2EA9088F"/>
    <w:rsid w:val="2EB060C2"/>
    <w:rsid w:val="2EDE49DD"/>
    <w:rsid w:val="2EFA558F"/>
    <w:rsid w:val="2EFF4493"/>
    <w:rsid w:val="2F2D14C0"/>
    <w:rsid w:val="2F34284F"/>
    <w:rsid w:val="2F776BDF"/>
    <w:rsid w:val="30240B15"/>
    <w:rsid w:val="30997731"/>
    <w:rsid w:val="30B74016"/>
    <w:rsid w:val="30D2231F"/>
    <w:rsid w:val="30E6401D"/>
    <w:rsid w:val="30F027A5"/>
    <w:rsid w:val="31FE7144"/>
    <w:rsid w:val="32132BEF"/>
    <w:rsid w:val="3234271C"/>
    <w:rsid w:val="329D070B"/>
    <w:rsid w:val="33072028"/>
    <w:rsid w:val="334B63B9"/>
    <w:rsid w:val="335F00B6"/>
    <w:rsid w:val="336D632F"/>
    <w:rsid w:val="339715FE"/>
    <w:rsid w:val="33A4663C"/>
    <w:rsid w:val="33B57CD6"/>
    <w:rsid w:val="33EB36F8"/>
    <w:rsid w:val="33F055F4"/>
    <w:rsid w:val="34386694"/>
    <w:rsid w:val="344572AC"/>
    <w:rsid w:val="34B955A4"/>
    <w:rsid w:val="34D83C7C"/>
    <w:rsid w:val="350E3B42"/>
    <w:rsid w:val="35101668"/>
    <w:rsid w:val="351D48F1"/>
    <w:rsid w:val="3522139B"/>
    <w:rsid w:val="352E1AEE"/>
    <w:rsid w:val="353D7F83"/>
    <w:rsid w:val="35492DCC"/>
    <w:rsid w:val="35AD335B"/>
    <w:rsid w:val="35B04BF9"/>
    <w:rsid w:val="35D24411"/>
    <w:rsid w:val="362F5B1E"/>
    <w:rsid w:val="36453593"/>
    <w:rsid w:val="365442FF"/>
    <w:rsid w:val="368F480F"/>
    <w:rsid w:val="36963DEF"/>
    <w:rsid w:val="36A75FFC"/>
    <w:rsid w:val="36E85C72"/>
    <w:rsid w:val="36FB1EA4"/>
    <w:rsid w:val="371A7888"/>
    <w:rsid w:val="37386C54"/>
    <w:rsid w:val="37753A04"/>
    <w:rsid w:val="37E33064"/>
    <w:rsid w:val="386677F1"/>
    <w:rsid w:val="38A5656B"/>
    <w:rsid w:val="38A84DDA"/>
    <w:rsid w:val="38BE2EEF"/>
    <w:rsid w:val="3991089E"/>
    <w:rsid w:val="39B73932"/>
    <w:rsid w:val="39D569DC"/>
    <w:rsid w:val="3A134D35"/>
    <w:rsid w:val="3A3F654C"/>
    <w:rsid w:val="3A410516"/>
    <w:rsid w:val="3A8661CC"/>
    <w:rsid w:val="3A914FF9"/>
    <w:rsid w:val="3AC0143A"/>
    <w:rsid w:val="3ACF2D06"/>
    <w:rsid w:val="3AEF1D20"/>
    <w:rsid w:val="3B1F05D3"/>
    <w:rsid w:val="3B245E6D"/>
    <w:rsid w:val="3B8F315C"/>
    <w:rsid w:val="3BBF7944"/>
    <w:rsid w:val="3BDE67C1"/>
    <w:rsid w:val="3C0351DE"/>
    <w:rsid w:val="3C3C0F95"/>
    <w:rsid w:val="3C522566"/>
    <w:rsid w:val="3C634F70"/>
    <w:rsid w:val="3CD64F45"/>
    <w:rsid w:val="3CDD2778"/>
    <w:rsid w:val="3DC96858"/>
    <w:rsid w:val="3E5325C6"/>
    <w:rsid w:val="3E6B3DB3"/>
    <w:rsid w:val="3ECF4342"/>
    <w:rsid w:val="3ED32EAF"/>
    <w:rsid w:val="3EE576C2"/>
    <w:rsid w:val="3F033FEC"/>
    <w:rsid w:val="3F1854AC"/>
    <w:rsid w:val="3F8A0269"/>
    <w:rsid w:val="3FB15BEC"/>
    <w:rsid w:val="404D4884"/>
    <w:rsid w:val="40721429"/>
    <w:rsid w:val="40887158"/>
    <w:rsid w:val="41032081"/>
    <w:rsid w:val="41151DB4"/>
    <w:rsid w:val="41410DFB"/>
    <w:rsid w:val="41760AA5"/>
    <w:rsid w:val="4182569C"/>
    <w:rsid w:val="41894C7C"/>
    <w:rsid w:val="420B3CA1"/>
    <w:rsid w:val="421914AF"/>
    <w:rsid w:val="42611755"/>
    <w:rsid w:val="4285411E"/>
    <w:rsid w:val="42C121F4"/>
    <w:rsid w:val="42DF6B1E"/>
    <w:rsid w:val="43572B58"/>
    <w:rsid w:val="436C6603"/>
    <w:rsid w:val="43B92B1D"/>
    <w:rsid w:val="43D1290A"/>
    <w:rsid w:val="43DD536C"/>
    <w:rsid w:val="43E837B0"/>
    <w:rsid w:val="44421112"/>
    <w:rsid w:val="44D75CFE"/>
    <w:rsid w:val="45521829"/>
    <w:rsid w:val="45D65FB6"/>
    <w:rsid w:val="45DC10F2"/>
    <w:rsid w:val="45F043FE"/>
    <w:rsid w:val="460348D1"/>
    <w:rsid w:val="464716F8"/>
    <w:rsid w:val="465C2905"/>
    <w:rsid w:val="4665558C"/>
    <w:rsid w:val="469F45FA"/>
    <w:rsid w:val="46CE4EDF"/>
    <w:rsid w:val="474B4782"/>
    <w:rsid w:val="47F46BC7"/>
    <w:rsid w:val="48384D06"/>
    <w:rsid w:val="485E04E5"/>
    <w:rsid w:val="48A71E8C"/>
    <w:rsid w:val="494D658F"/>
    <w:rsid w:val="49667651"/>
    <w:rsid w:val="49C12AD9"/>
    <w:rsid w:val="49C777B9"/>
    <w:rsid w:val="4A45195C"/>
    <w:rsid w:val="4A673681"/>
    <w:rsid w:val="4A7D10F6"/>
    <w:rsid w:val="4A8204BA"/>
    <w:rsid w:val="4AB10DA0"/>
    <w:rsid w:val="4AE271AB"/>
    <w:rsid w:val="4B0613F2"/>
    <w:rsid w:val="4B074E64"/>
    <w:rsid w:val="4B217CD3"/>
    <w:rsid w:val="4B221C9D"/>
    <w:rsid w:val="4B3C126D"/>
    <w:rsid w:val="4B46598C"/>
    <w:rsid w:val="4B490FD8"/>
    <w:rsid w:val="4B5C6F5D"/>
    <w:rsid w:val="4BCA036B"/>
    <w:rsid w:val="4BCB5E91"/>
    <w:rsid w:val="4BCD3E94"/>
    <w:rsid w:val="4BDB2578"/>
    <w:rsid w:val="4C2F4672"/>
    <w:rsid w:val="4CA7392D"/>
    <w:rsid w:val="4D106251"/>
    <w:rsid w:val="4D8B3B2A"/>
    <w:rsid w:val="4EFF657E"/>
    <w:rsid w:val="4F215E37"/>
    <w:rsid w:val="4F4A3571"/>
    <w:rsid w:val="4F9273F2"/>
    <w:rsid w:val="4FB530E0"/>
    <w:rsid w:val="4FD80B7D"/>
    <w:rsid w:val="5060129E"/>
    <w:rsid w:val="506B19F1"/>
    <w:rsid w:val="50B500CA"/>
    <w:rsid w:val="50CA4969"/>
    <w:rsid w:val="50E023DF"/>
    <w:rsid w:val="50E27F05"/>
    <w:rsid w:val="50EF43D0"/>
    <w:rsid w:val="51600E2A"/>
    <w:rsid w:val="516C3C72"/>
    <w:rsid w:val="51931224"/>
    <w:rsid w:val="52067C23"/>
    <w:rsid w:val="521F0CE5"/>
    <w:rsid w:val="52976ACD"/>
    <w:rsid w:val="52ED493F"/>
    <w:rsid w:val="52FB52AE"/>
    <w:rsid w:val="538928BA"/>
    <w:rsid w:val="53C9715A"/>
    <w:rsid w:val="53D02297"/>
    <w:rsid w:val="54D65388"/>
    <w:rsid w:val="55006BAB"/>
    <w:rsid w:val="5539030F"/>
    <w:rsid w:val="55A41C2D"/>
    <w:rsid w:val="55AF412E"/>
    <w:rsid w:val="569021B1"/>
    <w:rsid w:val="56D26326"/>
    <w:rsid w:val="56D54068"/>
    <w:rsid w:val="56DA016C"/>
    <w:rsid w:val="57034731"/>
    <w:rsid w:val="570F52BB"/>
    <w:rsid w:val="5748483A"/>
    <w:rsid w:val="5789732C"/>
    <w:rsid w:val="57A23F4A"/>
    <w:rsid w:val="57EF1159"/>
    <w:rsid w:val="57FA3D86"/>
    <w:rsid w:val="58382B00"/>
    <w:rsid w:val="585B64A7"/>
    <w:rsid w:val="58A75E77"/>
    <w:rsid w:val="58AD4526"/>
    <w:rsid w:val="58BF0B2C"/>
    <w:rsid w:val="58F5279F"/>
    <w:rsid w:val="59084281"/>
    <w:rsid w:val="59282B75"/>
    <w:rsid w:val="595219A0"/>
    <w:rsid w:val="59585B86"/>
    <w:rsid w:val="596F4300"/>
    <w:rsid w:val="598549C6"/>
    <w:rsid w:val="5A2275C4"/>
    <w:rsid w:val="5A8042EB"/>
    <w:rsid w:val="5AA93841"/>
    <w:rsid w:val="5AC62645"/>
    <w:rsid w:val="5AD7215D"/>
    <w:rsid w:val="5B4672E2"/>
    <w:rsid w:val="5B490B80"/>
    <w:rsid w:val="5B5C4D58"/>
    <w:rsid w:val="5BE30FD5"/>
    <w:rsid w:val="5C2C38A3"/>
    <w:rsid w:val="5CA2679A"/>
    <w:rsid w:val="5D3C2062"/>
    <w:rsid w:val="5D5C103F"/>
    <w:rsid w:val="5D641CA2"/>
    <w:rsid w:val="5D8365CC"/>
    <w:rsid w:val="5DB9023F"/>
    <w:rsid w:val="5DF70D68"/>
    <w:rsid w:val="5E0A34F5"/>
    <w:rsid w:val="5E2A6A47"/>
    <w:rsid w:val="5E5B21D1"/>
    <w:rsid w:val="5EC944B2"/>
    <w:rsid w:val="5F3D27AA"/>
    <w:rsid w:val="5F441D8B"/>
    <w:rsid w:val="5F6917F1"/>
    <w:rsid w:val="5F7563E8"/>
    <w:rsid w:val="5FE61094"/>
    <w:rsid w:val="604007A4"/>
    <w:rsid w:val="604F4E8B"/>
    <w:rsid w:val="606D5311"/>
    <w:rsid w:val="60981866"/>
    <w:rsid w:val="611A2DA3"/>
    <w:rsid w:val="611C2337"/>
    <w:rsid w:val="61630BEE"/>
    <w:rsid w:val="619F774C"/>
    <w:rsid w:val="61A134C4"/>
    <w:rsid w:val="61B01959"/>
    <w:rsid w:val="61F21F72"/>
    <w:rsid w:val="621A6DD3"/>
    <w:rsid w:val="6292105F"/>
    <w:rsid w:val="63261923"/>
    <w:rsid w:val="6370314E"/>
    <w:rsid w:val="63780255"/>
    <w:rsid w:val="637846F9"/>
    <w:rsid w:val="63C1676C"/>
    <w:rsid w:val="63D57455"/>
    <w:rsid w:val="644B7717"/>
    <w:rsid w:val="6497295D"/>
    <w:rsid w:val="649C61C5"/>
    <w:rsid w:val="64AA2690"/>
    <w:rsid w:val="64BB489D"/>
    <w:rsid w:val="64DB4F3F"/>
    <w:rsid w:val="64DC3AA6"/>
    <w:rsid w:val="653351C2"/>
    <w:rsid w:val="6546685C"/>
    <w:rsid w:val="65496236"/>
    <w:rsid w:val="65901886"/>
    <w:rsid w:val="65D67B2F"/>
    <w:rsid w:val="66B772E6"/>
    <w:rsid w:val="66C57C55"/>
    <w:rsid w:val="66CA526B"/>
    <w:rsid w:val="680B5B3B"/>
    <w:rsid w:val="682E5386"/>
    <w:rsid w:val="68324E76"/>
    <w:rsid w:val="6841155D"/>
    <w:rsid w:val="68466B73"/>
    <w:rsid w:val="68955405"/>
    <w:rsid w:val="689C6793"/>
    <w:rsid w:val="693115D2"/>
    <w:rsid w:val="6942558D"/>
    <w:rsid w:val="69BD2E65"/>
    <w:rsid w:val="69CC12FA"/>
    <w:rsid w:val="6A582B8E"/>
    <w:rsid w:val="6A7654C6"/>
    <w:rsid w:val="6AA70556"/>
    <w:rsid w:val="6AC256AA"/>
    <w:rsid w:val="6ACF7ADC"/>
    <w:rsid w:val="6AE0505D"/>
    <w:rsid w:val="6B1940CB"/>
    <w:rsid w:val="6B3C75C9"/>
    <w:rsid w:val="6B752912"/>
    <w:rsid w:val="6BB169FA"/>
    <w:rsid w:val="6BDB5825"/>
    <w:rsid w:val="6C07661A"/>
    <w:rsid w:val="6C4E46B2"/>
    <w:rsid w:val="6C6B7C6F"/>
    <w:rsid w:val="6C6D0B73"/>
    <w:rsid w:val="6C735A5D"/>
    <w:rsid w:val="6CB93DB8"/>
    <w:rsid w:val="6D350F65"/>
    <w:rsid w:val="6DA00F9C"/>
    <w:rsid w:val="6DC01176"/>
    <w:rsid w:val="6E3B669F"/>
    <w:rsid w:val="6E5518BE"/>
    <w:rsid w:val="6E810905"/>
    <w:rsid w:val="6EA36ACE"/>
    <w:rsid w:val="6EAC0D50"/>
    <w:rsid w:val="6ED613DA"/>
    <w:rsid w:val="6EF2710D"/>
    <w:rsid w:val="6F26325B"/>
    <w:rsid w:val="6F4162E7"/>
    <w:rsid w:val="6F4436E1"/>
    <w:rsid w:val="6F4B0F13"/>
    <w:rsid w:val="6F75656A"/>
    <w:rsid w:val="6F8F0E00"/>
    <w:rsid w:val="70125898"/>
    <w:rsid w:val="70383246"/>
    <w:rsid w:val="70CE5958"/>
    <w:rsid w:val="70DC0075"/>
    <w:rsid w:val="70E909E4"/>
    <w:rsid w:val="71285068"/>
    <w:rsid w:val="71341C5F"/>
    <w:rsid w:val="716562BC"/>
    <w:rsid w:val="71BF425E"/>
    <w:rsid w:val="720C2BDC"/>
    <w:rsid w:val="72345C8F"/>
    <w:rsid w:val="725D4F25"/>
    <w:rsid w:val="727414F1"/>
    <w:rsid w:val="729F75AC"/>
    <w:rsid w:val="72B1108D"/>
    <w:rsid w:val="72C205A1"/>
    <w:rsid w:val="73320420"/>
    <w:rsid w:val="734168B5"/>
    <w:rsid w:val="73796D39"/>
    <w:rsid w:val="73C53042"/>
    <w:rsid w:val="73C6500C"/>
    <w:rsid w:val="73C90572"/>
    <w:rsid w:val="73EB6821"/>
    <w:rsid w:val="745E6FF3"/>
    <w:rsid w:val="74994CCD"/>
    <w:rsid w:val="74B530B7"/>
    <w:rsid w:val="75853FE0"/>
    <w:rsid w:val="75BE41ED"/>
    <w:rsid w:val="766528BB"/>
    <w:rsid w:val="767B0330"/>
    <w:rsid w:val="76C21ABB"/>
    <w:rsid w:val="76CF58C2"/>
    <w:rsid w:val="77130569"/>
    <w:rsid w:val="77613082"/>
    <w:rsid w:val="77A92C7B"/>
    <w:rsid w:val="781A1483"/>
    <w:rsid w:val="78210A63"/>
    <w:rsid w:val="7851759A"/>
    <w:rsid w:val="78DD0E2E"/>
    <w:rsid w:val="794B18B1"/>
    <w:rsid w:val="79960FDD"/>
    <w:rsid w:val="79A90D10"/>
    <w:rsid w:val="79CD2C51"/>
    <w:rsid w:val="79D42231"/>
    <w:rsid w:val="79F75F20"/>
    <w:rsid w:val="7A293BFF"/>
    <w:rsid w:val="7A2A01BC"/>
    <w:rsid w:val="7A835A05"/>
    <w:rsid w:val="7A886B78"/>
    <w:rsid w:val="7ACA4480"/>
    <w:rsid w:val="7B560A24"/>
    <w:rsid w:val="7BB67714"/>
    <w:rsid w:val="7C042B76"/>
    <w:rsid w:val="7C2A325D"/>
    <w:rsid w:val="7C6C2355"/>
    <w:rsid w:val="7CAE58D3"/>
    <w:rsid w:val="7CBC0D5A"/>
    <w:rsid w:val="7D052701"/>
    <w:rsid w:val="7D407BDD"/>
    <w:rsid w:val="7DC4436B"/>
    <w:rsid w:val="7DCE6F97"/>
    <w:rsid w:val="7DD13B93"/>
    <w:rsid w:val="7DEE53A4"/>
    <w:rsid w:val="7E046E5D"/>
    <w:rsid w:val="7E0E1A8A"/>
    <w:rsid w:val="7E5A6505"/>
    <w:rsid w:val="7F062761"/>
    <w:rsid w:val="7F2F56EB"/>
    <w:rsid w:val="7F96354A"/>
    <w:rsid w:val="7F9D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5"/>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66"/>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67"/>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68"/>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69"/>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70"/>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71"/>
    <w:semiHidden/>
    <w:unhideWhenUsed/>
    <w:qFormat/>
    <w:uiPriority w:val="9"/>
    <w:pPr>
      <w:numPr>
        <w:ilvl w:val="6"/>
        <w:numId w:val="1"/>
      </w:numPr>
      <w:spacing w:before="240" w:after="60"/>
      <w:outlineLvl w:val="6"/>
    </w:pPr>
  </w:style>
  <w:style w:type="paragraph" w:styleId="10">
    <w:name w:val="heading 8"/>
    <w:basedOn w:val="1"/>
    <w:next w:val="1"/>
    <w:link w:val="72"/>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73"/>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beforeLines="100" w:afterLines="100"/>
    </w:pPr>
    <w:rPr>
      <w:rFonts w:ascii="Calibri" w:hAnsi="Calibri" w:eastAsia="宋体"/>
      <w:kern w:val="32"/>
      <w:sz w:val="32"/>
    </w:rPr>
  </w:style>
  <w:style w:type="paragraph" w:styleId="12">
    <w:name w:val="Normal Indent"/>
    <w:basedOn w:val="1"/>
    <w:next w:val="13"/>
    <w:qFormat/>
    <w:uiPriority w:val="99"/>
    <w:pPr>
      <w:ind w:firstLine="420"/>
    </w:pPr>
  </w:style>
  <w:style w:type="paragraph" w:styleId="13">
    <w:name w:val="Body Text First Indent 2"/>
    <w:basedOn w:val="14"/>
    <w:next w:val="12"/>
    <w:qFormat/>
    <w:uiPriority w:val="0"/>
    <w:pPr>
      <w:ind w:firstLine="420"/>
    </w:pPr>
  </w:style>
  <w:style w:type="paragraph" w:styleId="14">
    <w:name w:val="Body Text Indent"/>
    <w:basedOn w:val="1"/>
    <w:next w:val="1"/>
    <w:qFormat/>
    <w:uiPriority w:val="99"/>
    <w:pPr>
      <w:spacing w:after="120"/>
      <w:ind w:left="420" w:leftChars="200"/>
    </w:pPr>
    <w:rPr>
      <w:sz w:val="20"/>
    </w:rPr>
  </w:style>
  <w:style w:type="paragraph" w:styleId="15">
    <w:name w:val="caption"/>
    <w:basedOn w:val="1"/>
    <w:next w:val="1"/>
    <w:semiHidden/>
    <w:unhideWhenUsed/>
    <w:qFormat/>
    <w:uiPriority w:val="35"/>
    <w:rPr>
      <w:rFonts w:eastAsia="黑体" w:asciiTheme="majorHAnsi" w:hAnsiTheme="majorHAnsi" w:cstheme="majorBidi"/>
      <w:sz w:val="20"/>
      <w:szCs w:val="20"/>
    </w:rPr>
  </w:style>
  <w:style w:type="paragraph" w:styleId="16">
    <w:name w:val="Document Map"/>
    <w:basedOn w:val="1"/>
    <w:link w:val="97"/>
    <w:semiHidden/>
    <w:unhideWhenUsed/>
    <w:qFormat/>
    <w:uiPriority w:val="99"/>
    <w:pPr>
      <w:spacing w:line="400" w:lineRule="exact"/>
      <w:jc w:val="both"/>
    </w:pPr>
    <w:rPr>
      <w:rFonts w:ascii="宋体" w:hAnsi="Calibri Light" w:eastAsia="宋体" w:cs="Calibri Light"/>
      <w:kern w:val="2"/>
      <w:sz w:val="18"/>
      <w:szCs w:val="18"/>
    </w:rPr>
  </w:style>
  <w:style w:type="paragraph" w:styleId="17">
    <w:name w:val="annotation text"/>
    <w:basedOn w:val="1"/>
    <w:link w:val="89"/>
    <w:unhideWhenUsed/>
    <w:qFormat/>
    <w:uiPriority w:val="99"/>
    <w:pPr>
      <w:spacing w:line="400" w:lineRule="exact"/>
    </w:pPr>
    <w:rPr>
      <w:rFonts w:ascii="Calibri Light" w:hAnsi="Calibri Light" w:eastAsia="华文仿宋" w:cs="Calibri Light"/>
      <w:kern w:val="2"/>
      <w:sz w:val="28"/>
      <w:szCs w:val="28"/>
    </w:rPr>
  </w:style>
  <w:style w:type="paragraph" w:styleId="18">
    <w:name w:val="Body Text"/>
    <w:basedOn w:val="1"/>
    <w:next w:val="1"/>
    <w:qFormat/>
    <w:uiPriority w:val="99"/>
    <w:rPr>
      <w:sz w:val="20"/>
    </w:rPr>
  </w:style>
  <w:style w:type="paragraph" w:styleId="19">
    <w:name w:val="toc 3"/>
    <w:basedOn w:val="1"/>
    <w:next w:val="1"/>
    <w:semiHidden/>
    <w:unhideWhenUsed/>
    <w:qFormat/>
    <w:uiPriority w:val="39"/>
    <w:pPr>
      <w:ind w:left="840" w:leftChars="400"/>
    </w:pPr>
  </w:style>
  <w:style w:type="paragraph" w:styleId="20">
    <w:name w:val="Plain Text"/>
    <w:basedOn w:val="1"/>
    <w:qFormat/>
    <w:uiPriority w:val="99"/>
    <w:pPr>
      <w:spacing w:line="324" w:lineRule="auto"/>
    </w:pPr>
    <w:rPr>
      <w:rFonts w:ascii="宋体" w:hAnsi="Courier New"/>
      <w:sz w:val="20"/>
    </w:rPr>
  </w:style>
  <w:style w:type="paragraph" w:styleId="21">
    <w:name w:val="Date"/>
    <w:basedOn w:val="1"/>
    <w:next w:val="1"/>
    <w:link w:val="62"/>
    <w:semiHidden/>
    <w:unhideWhenUsed/>
    <w:qFormat/>
    <w:uiPriority w:val="99"/>
    <w:pPr>
      <w:ind w:left="100" w:leftChars="2500"/>
    </w:pPr>
  </w:style>
  <w:style w:type="paragraph" w:styleId="22">
    <w:name w:val="Body Text Indent 2"/>
    <w:basedOn w:val="1"/>
    <w:unhideWhenUsed/>
    <w:qFormat/>
    <w:uiPriority w:val="0"/>
    <w:pPr>
      <w:spacing w:after="120" w:line="480" w:lineRule="auto"/>
      <w:ind w:left="420" w:leftChars="200"/>
    </w:pPr>
  </w:style>
  <w:style w:type="paragraph" w:styleId="23">
    <w:name w:val="Balloon Text"/>
    <w:basedOn w:val="1"/>
    <w:link w:val="88"/>
    <w:semiHidden/>
    <w:unhideWhenUsed/>
    <w:qFormat/>
    <w:uiPriority w:val="99"/>
    <w:rPr>
      <w:sz w:val="18"/>
      <w:szCs w:val="18"/>
    </w:rPr>
  </w:style>
  <w:style w:type="paragraph" w:styleId="24">
    <w:name w:val="footer"/>
    <w:basedOn w:val="1"/>
    <w:link w:val="64"/>
    <w:unhideWhenUsed/>
    <w:qFormat/>
    <w:uiPriority w:val="99"/>
    <w:pPr>
      <w:tabs>
        <w:tab w:val="center" w:pos="4153"/>
        <w:tab w:val="right" w:pos="8306"/>
      </w:tabs>
      <w:snapToGrid w:val="0"/>
      <w:spacing w:line="240" w:lineRule="atLeast"/>
    </w:pPr>
    <w:rPr>
      <w:sz w:val="18"/>
      <w:szCs w:val="18"/>
    </w:rPr>
  </w:style>
  <w:style w:type="paragraph" w:styleId="25">
    <w:name w:val="header"/>
    <w:basedOn w:val="1"/>
    <w:link w:val="63"/>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6">
    <w:name w:val="Subtitle"/>
    <w:basedOn w:val="1"/>
    <w:next w:val="1"/>
    <w:link w:val="75"/>
    <w:qFormat/>
    <w:uiPriority w:val="11"/>
    <w:pPr>
      <w:keepNext/>
      <w:spacing w:beforeLines="50" w:afterLines="50"/>
      <w:jc w:val="center"/>
      <w:outlineLvl w:val="1"/>
    </w:pPr>
    <w:rPr>
      <w:rFonts w:ascii="Calibri" w:hAnsi="Calibri" w:eastAsia="黑体" w:cstheme="majorBidi"/>
      <w:sz w:val="32"/>
    </w:rPr>
  </w:style>
  <w:style w:type="paragraph" w:styleId="27">
    <w:name w:val="toc 2"/>
    <w:basedOn w:val="1"/>
    <w:next w:val="1"/>
    <w:semiHidden/>
    <w:unhideWhenUsed/>
    <w:qFormat/>
    <w:uiPriority w:val="39"/>
    <w:pPr>
      <w:ind w:left="420" w:leftChars="200"/>
    </w:pPr>
  </w:style>
  <w:style w:type="paragraph" w:styleId="28">
    <w:name w:val="toc 9"/>
    <w:basedOn w:val="1"/>
    <w:next w:val="1"/>
    <w:unhideWhenUsed/>
    <w:qFormat/>
    <w:uiPriority w:val="39"/>
    <w:pPr>
      <w:ind w:left="3360" w:leftChars="1600"/>
    </w:pPr>
  </w:style>
  <w:style w:type="paragraph" w:styleId="29">
    <w:name w:val="Normal (Web)"/>
    <w:basedOn w:val="1"/>
    <w:qFormat/>
    <w:uiPriority w:val="99"/>
    <w:pPr>
      <w:spacing w:before="100" w:beforeAutospacing="1" w:after="100" w:afterAutospacing="1"/>
    </w:pPr>
    <w:rPr>
      <w:rFonts w:ascii="宋体" w:hAnsi="宋体" w:cs="宋体"/>
    </w:rPr>
  </w:style>
  <w:style w:type="paragraph" w:styleId="30">
    <w:name w:val="Title"/>
    <w:basedOn w:val="1"/>
    <w:next w:val="1"/>
    <w:link w:val="74"/>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1">
    <w:name w:val="annotation subject"/>
    <w:basedOn w:val="17"/>
    <w:next w:val="17"/>
    <w:link w:val="96"/>
    <w:semiHidden/>
    <w:unhideWhenUsed/>
    <w:qFormat/>
    <w:uiPriority w:val="99"/>
    <w:rPr>
      <w:b/>
      <w:bCs/>
    </w:rPr>
  </w:style>
  <w:style w:type="paragraph" w:styleId="32">
    <w:name w:val="Body Text First Indent"/>
    <w:basedOn w:val="18"/>
    <w:qFormat/>
    <w:uiPriority w:val="0"/>
    <w:pPr>
      <w:spacing w:line="300" w:lineRule="auto"/>
      <w:ind w:firstLine="602"/>
    </w:p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22"/>
    <w:rPr>
      <w:b/>
      <w:bCs/>
    </w:rPr>
  </w:style>
  <w:style w:type="character" w:styleId="37">
    <w:name w:val="page number"/>
    <w:basedOn w:val="35"/>
    <w:qFormat/>
    <w:uiPriority w:val="0"/>
    <w:rPr>
      <w:rFonts w:ascii="Times New Roman" w:hAnsi="Times New Roman" w:eastAsia="宋体" w:cs="Times New Roman"/>
    </w:rPr>
  </w:style>
  <w:style w:type="character" w:styleId="38">
    <w:name w:val="FollowedHyperlink"/>
    <w:basedOn w:val="35"/>
    <w:semiHidden/>
    <w:unhideWhenUsed/>
    <w:qFormat/>
    <w:uiPriority w:val="99"/>
    <w:rPr>
      <w:color w:val="954F72" w:themeColor="followedHyperlink"/>
      <w:u w:val="single"/>
      <w14:textFill>
        <w14:solidFill>
          <w14:schemeClr w14:val="folHlink"/>
        </w14:solidFill>
      </w14:textFill>
    </w:rPr>
  </w:style>
  <w:style w:type="character" w:styleId="39">
    <w:name w:val="Emphasis"/>
    <w:basedOn w:val="35"/>
    <w:qFormat/>
    <w:uiPriority w:val="20"/>
    <w:rPr>
      <w:rFonts w:asciiTheme="minorHAnsi" w:hAnsiTheme="minorHAnsi"/>
      <w:b/>
      <w:i/>
      <w:iCs/>
    </w:rPr>
  </w:style>
  <w:style w:type="character" w:styleId="40">
    <w:name w:val="Hyperlink"/>
    <w:basedOn w:val="35"/>
    <w:unhideWhenUsed/>
    <w:qFormat/>
    <w:uiPriority w:val="99"/>
    <w:rPr>
      <w:color w:val="0563C1" w:themeColor="hyperlink"/>
      <w:u w:val="single"/>
      <w14:textFill>
        <w14:solidFill>
          <w14:schemeClr w14:val="hlink"/>
        </w14:solidFill>
      </w14:textFill>
    </w:rPr>
  </w:style>
  <w:style w:type="character" w:styleId="41">
    <w:name w:val="annotation reference"/>
    <w:basedOn w:val="35"/>
    <w:semiHidden/>
    <w:unhideWhenUsed/>
    <w:qFormat/>
    <w:uiPriority w:val="99"/>
    <w:rPr>
      <w:sz w:val="21"/>
      <w:szCs w:val="21"/>
    </w:rPr>
  </w:style>
  <w:style w:type="paragraph" w:customStyle="1" w:styleId="42">
    <w:name w:val="※封面大标题"/>
    <w:basedOn w:val="1"/>
    <w:next w:val="1"/>
    <w:qFormat/>
    <w:uiPriority w:val="0"/>
    <w:pPr>
      <w:jc w:val="center"/>
    </w:pPr>
    <w:rPr>
      <w:rFonts w:ascii="华文中宋" w:hAnsi="华文中宋" w:eastAsia="华文中宋"/>
      <w:sz w:val="96"/>
      <w:szCs w:val="96"/>
    </w:rPr>
  </w:style>
  <w:style w:type="paragraph" w:customStyle="1" w:styleId="43">
    <w:name w:val="※封面题颌"/>
    <w:basedOn w:val="1"/>
    <w:next w:val="1"/>
    <w:qFormat/>
    <w:uiPriority w:val="0"/>
    <w:pPr>
      <w:jc w:val="center"/>
    </w:pPr>
    <w:rPr>
      <w:rFonts w:ascii="Calibri Light" w:hAnsi="Calibri Light" w:eastAsia="华文仿宋"/>
      <w:sz w:val="36"/>
      <w:szCs w:val="36"/>
    </w:rPr>
  </w:style>
  <w:style w:type="paragraph" w:customStyle="1" w:styleId="44">
    <w:name w:val="※封面题眉"/>
    <w:basedOn w:val="1"/>
    <w:next w:val="42"/>
    <w:qFormat/>
    <w:uiPriority w:val="0"/>
    <w:pPr>
      <w:jc w:val="center"/>
    </w:pPr>
    <w:rPr>
      <w:rFonts w:ascii="华文仿宋" w:hAnsi="华文仿宋" w:eastAsia="华文仿宋"/>
      <w:sz w:val="52"/>
      <w:szCs w:val="28"/>
    </w:rPr>
  </w:style>
  <w:style w:type="paragraph" w:customStyle="1" w:styleId="45">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6">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7">
    <w:name w:val="※目录（主）"/>
    <w:basedOn w:val="1"/>
    <w:qFormat/>
    <w:uiPriority w:val="0"/>
    <w:pPr>
      <w:tabs>
        <w:tab w:val="right" w:leader="hyphen" w:pos="8400"/>
      </w:tabs>
      <w:spacing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8">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9">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50">
    <w:name w:val="※小标题 一"/>
    <w:basedOn w:val="49"/>
    <w:next w:val="49"/>
    <w:qFormat/>
    <w:uiPriority w:val="0"/>
    <w:pPr>
      <w:spacing w:before="120" w:line="240" w:lineRule="auto"/>
      <w:outlineLvl w:val="2"/>
    </w:pPr>
    <w:rPr>
      <w:b/>
      <w:color w:val="203864" w:themeColor="accent5" w:themeShade="80"/>
      <w:sz w:val="32"/>
    </w:rPr>
  </w:style>
  <w:style w:type="paragraph" w:customStyle="1" w:styleId="51">
    <w:name w:val="※小标题（1）"/>
    <w:basedOn w:val="1"/>
    <w:next w:val="49"/>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2">
    <w:name w:val="※小标题（一）"/>
    <w:basedOn w:val="1"/>
    <w:next w:val="49"/>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3">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4">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5">
    <w:name w:val="※页眉"/>
    <w:basedOn w:val="49"/>
    <w:qFormat/>
    <w:uiPriority w:val="0"/>
    <w:pPr>
      <w:pBdr>
        <w:bottom w:val="single" w:color="auto" w:sz="4" w:space="1"/>
      </w:pBdr>
      <w:spacing w:line="240" w:lineRule="atLeast"/>
      <w:jc w:val="right"/>
    </w:pPr>
    <w:rPr>
      <w:rFonts w:ascii="宋体" w:hAnsi="宋体" w:eastAsia="宋体"/>
      <w:sz w:val="18"/>
    </w:rPr>
  </w:style>
  <w:style w:type="paragraph" w:customStyle="1" w:styleId="56">
    <w:name w:val="※章节标题（第X章）"/>
    <w:basedOn w:val="1"/>
    <w:qFormat/>
    <w:uiPriority w:val="0"/>
    <w:pPr>
      <w:jc w:val="center"/>
      <w:outlineLvl w:val="0"/>
    </w:pPr>
    <w:rPr>
      <w:rFonts w:ascii="Calibri Light" w:hAnsi="Calibri Light" w:eastAsia="黑体"/>
      <w:sz w:val="36"/>
      <w:szCs w:val="28"/>
    </w:rPr>
  </w:style>
  <w:style w:type="paragraph" w:customStyle="1" w:styleId="57">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8">
    <w:name w:val="※章节标题（第Z部分分项）"/>
    <w:basedOn w:val="57"/>
    <w:qFormat/>
    <w:uiPriority w:val="0"/>
    <w:pPr>
      <w:outlineLvl w:val="2"/>
    </w:pPr>
  </w:style>
  <w:style w:type="paragraph" w:customStyle="1" w:styleId="59">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0">
    <w:name w:val="※正文（缩进2）"/>
    <w:basedOn w:val="49"/>
    <w:qFormat/>
    <w:uiPriority w:val="0"/>
    <w:pPr>
      <w:ind w:firstLine="200" w:firstLineChars="200"/>
    </w:pPr>
  </w:style>
  <w:style w:type="paragraph" w:customStyle="1" w:styleId="61">
    <w:name w:val="※正文（缩进4）"/>
    <w:basedOn w:val="49"/>
    <w:qFormat/>
    <w:uiPriority w:val="0"/>
    <w:pPr>
      <w:ind w:firstLine="400" w:firstLineChars="400"/>
    </w:pPr>
  </w:style>
  <w:style w:type="character" w:customStyle="1" w:styleId="62">
    <w:name w:val="日期 Char"/>
    <w:basedOn w:val="35"/>
    <w:link w:val="21"/>
    <w:semiHidden/>
    <w:qFormat/>
    <w:uiPriority w:val="99"/>
    <w:rPr>
      <w:rFonts w:ascii="华文仿宋" w:hAnsi="华文仿宋" w:eastAsia="华文仿宋"/>
      <w:sz w:val="28"/>
      <w:szCs w:val="28"/>
    </w:rPr>
  </w:style>
  <w:style w:type="character" w:customStyle="1" w:styleId="63">
    <w:name w:val="页眉 Char"/>
    <w:basedOn w:val="35"/>
    <w:link w:val="25"/>
    <w:qFormat/>
    <w:uiPriority w:val="0"/>
    <w:rPr>
      <w:rFonts w:ascii="华文仿宋" w:hAnsi="华文仿宋" w:eastAsia="华文仿宋"/>
      <w:sz w:val="18"/>
      <w:szCs w:val="18"/>
    </w:rPr>
  </w:style>
  <w:style w:type="character" w:customStyle="1" w:styleId="64">
    <w:name w:val="页脚 Char"/>
    <w:basedOn w:val="35"/>
    <w:link w:val="24"/>
    <w:qFormat/>
    <w:uiPriority w:val="99"/>
    <w:rPr>
      <w:rFonts w:ascii="华文仿宋" w:hAnsi="华文仿宋" w:eastAsia="华文仿宋"/>
      <w:sz w:val="18"/>
      <w:szCs w:val="18"/>
    </w:rPr>
  </w:style>
  <w:style w:type="character" w:customStyle="1" w:styleId="65">
    <w:name w:val="标题 1 Char"/>
    <w:basedOn w:val="35"/>
    <w:link w:val="3"/>
    <w:qFormat/>
    <w:uiPriority w:val="9"/>
    <w:rPr>
      <w:rFonts w:ascii="方正小标宋_GBK" w:hAnsi="仿宋" w:eastAsia="方正小标宋_GBK"/>
      <w:sz w:val="44"/>
      <w:szCs w:val="44"/>
    </w:rPr>
  </w:style>
  <w:style w:type="character" w:customStyle="1" w:styleId="66">
    <w:name w:val="标题 2 Char"/>
    <w:basedOn w:val="35"/>
    <w:link w:val="4"/>
    <w:qFormat/>
    <w:uiPriority w:val="9"/>
    <w:rPr>
      <w:rFonts w:ascii="楷体" w:hAnsi="楷体" w:eastAsia="黑体"/>
      <w:sz w:val="32"/>
      <w:szCs w:val="32"/>
    </w:rPr>
  </w:style>
  <w:style w:type="character" w:customStyle="1" w:styleId="67">
    <w:name w:val="标题 3 Char"/>
    <w:basedOn w:val="35"/>
    <w:link w:val="5"/>
    <w:qFormat/>
    <w:uiPriority w:val="9"/>
    <w:rPr>
      <w:rFonts w:ascii="方正小标宋_GBK" w:hAnsi="仿宋" w:eastAsia="方正小标宋_GBK"/>
      <w:sz w:val="36"/>
      <w:szCs w:val="36"/>
    </w:rPr>
  </w:style>
  <w:style w:type="character" w:customStyle="1" w:styleId="68">
    <w:name w:val="标题 4 Char"/>
    <w:basedOn w:val="35"/>
    <w:link w:val="6"/>
    <w:semiHidden/>
    <w:qFormat/>
    <w:uiPriority w:val="9"/>
    <w:rPr>
      <w:rFonts w:cstheme="majorBidi"/>
      <w:b/>
      <w:bCs/>
      <w:sz w:val="28"/>
      <w:szCs w:val="28"/>
    </w:rPr>
  </w:style>
  <w:style w:type="character" w:customStyle="1" w:styleId="69">
    <w:name w:val="标题 5 Char"/>
    <w:basedOn w:val="35"/>
    <w:link w:val="7"/>
    <w:semiHidden/>
    <w:qFormat/>
    <w:uiPriority w:val="9"/>
    <w:rPr>
      <w:b/>
      <w:bCs/>
      <w:i/>
      <w:iCs/>
      <w:sz w:val="26"/>
      <w:szCs w:val="26"/>
    </w:rPr>
  </w:style>
  <w:style w:type="character" w:customStyle="1" w:styleId="70">
    <w:name w:val="标题 6 Char"/>
    <w:basedOn w:val="35"/>
    <w:link w:val="8"/>
    <w:semiHidden/>
    <w:qFormat/>
    <w:uiPriority w:val="9"/>
    <w:rPr>
      <w:rFonts w:cstheme="majorBidi"/>
      <w:b/>
      <w:bCs/>
    </w:rPr>
  </w:style>
  <w:style w:type="character" w:customStyle="1" w:styleId="71">
    <w:name w:val="标题 7 Char"/>
    <w:basedOn w:val="35"/>
    <w:link w:val="9"/>
    <w:semiHidden/>
    <w:qFormat/>
    <w:uiPriority w:val="9"/>
    <w:rPr>
      <w:sz w:val="24"/>
      <w:szCs w:val="24"/>
    </w:rPr>
  </w:style>
  <w:style w:type="character" w:customStyle="1" w:styleId="72">
    <w:name w:val="标题 8 Char"/>
    <w:basedOn w:val="35"/>
    <w:link w:val="10"/>
    <w:semiHidden/>
    <w:qFormat/>
    <w:uiPriority w:val="9"/>
    <w:rPr>
      <w:rFonts w:cstheme="majorBidi"/>
      <w:i/>
      <w:iCs/>
      <w:sz w:val="24"/>
      <w:szCs w:val="24"/>
    </w:rPr>
  </w:style>
  <w:style w:type="character" w:customStyle="1" w:styleId="73">
    <w:name w:val="标题 9 Char"/>
    <w:basedOn w:val="35"/>
    <w:link w:val="11"/>
    <w:semiHidden/>
    <w:qFormat/>
    <w:uiPriority w:val="9"/>
    <w:rPr>
      <w:rFonts w:asciiTheme="majorHAnsi" w:hAnsiTheme="majorHAnsi" w:eastAsiaTheme="majorEastAsia" w:cstheme="majorBidi"/>
    </w:rPr>
  </w:style>
  <w:style w:type="character" w:customStyle="1" w:styleId="74">
    <w:name w:val="标题 Char"/>
    <w:basedOn w:val="35"/>
    <w:link w:val="30"/>
    <w:qFormat/>
    <w:uiPriority w:val="10"/>
    <w:rPr>
      <w:rFonts w:asciiTheme="majorHAnsi" w:hAnsiTheme="majorHAnsi" w:eastAsiaTheme="majorEastAsia" w:cstheme="majorBidi"/>
      <w:b/>
      <w:bCs/>
      <w:kern w:val="28"/>
      <w:sz w:val="32"/>
      <w:szCs w:val="32"/>
    </w:rPr>
  </w:style>
  <w:style w:type="character" w:customStyle="1" w:styleId="75">
    <w:name w:val="副标题 Char"/>
    <w:basedOn w:val="35"/>
    <w:link w:val="26"/>
    <w:qFormat/>
    <w:uiPriority w:val="11"/>
    <w:rPr>
      <w:rFonts w:ascii="Calibri" w:hAnsi="Calibri" w:eastAsia="黑体" w:cstheme="majorBidi"/>
      <w:sz w:val="32"/>
      <w:szCs w:val="24"/>
    </w:rPr>
  </w:style>
  <w:style w:type="paragraph" w:styleId="76">
    <w:name w:val="No Spacing"/>
    <w:basedOn w:val="1"/>
    <w:qFormat/>
    <w:uiPriority w:val="1"/>
    <w:rPr>
      <w:szCs w:val="32"/>
    </w:rPr>
  </w:style>
  <w:style w:type="paragraph" w:styleId="77">
    <w:name w:val="List Paragraph"/>
    <w:basedOn w:val="1"/>
    <w:qFormat/>
    <w:uiPriority w:val="0"/>
    <w:pPr>
      <w:ind w:left="720"/>
      <w:contextualSpacing/>
    </w:pPr>
  </w:style>
  <w:style w:type="paragraph" w:styleId="78">
    <w:name w:val="Quote"/>
    <w:basedOn w:val="1"/>
    <w:next w:val="1"/>
    <w:link w:val="79"/>
    <w:qFormat/>
    <w:uiPriority w:val="29"/>
    <w:rPr>
      <w:i/>
    </w:rPr>
  </w:style>
  <w:style w:type="character" w:customStyle="1" w:styleId="79">
    <w:name w:val="引用 Char"/>
    <w:basedOn w:val="35"/>
    <w:link w:val="78"/>
    <w:qFormat/>
    <w:uiPriority w:val="29"/>
    <w:rPr>
      <w:i/>
      <w:sz w:val="24"/>
      <w:szCs w:val="24"/>
    </w:rPr>
  </w:style>
  <w:style w:type="paragraph" w:styleId="80">
    <w:name w:val="Intense Quote"/>
    <w:basedOn w:val="1"/>
    <w:next w:val="1"/>
    <w:link w:val="81"/>
    <w:qFormat/>
    <w:uiPriority w:val="30"/>
    <w:pPr>
      <w:ind w:left="720" w:right="720"/>
    </w:pPr>
    <w:rPr>
      <w:b/>
      <w:i/>
      <w:szCs w:val="22"/>
    </w:rPr>
  </w:style>
  <w:style w:type="character" w:customStyle="1" w:styleId="81">
    <w:name w:val="明显引用 Char"/>
    <w:basedOn w:val="35"/>
    <w:link w:val="80"/>
    <w:qFormat/>
    <w:uiPriority w:val="30"/>
    <w:rPr>
      <w:b/>
      <w:i/>
      <w:sz w:val="24"/>
    </w:rPr>
  </w:style>
  <w:style w:type="character" w:customStyle="1" w:styleId="82">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83">
    <w:name w:val="明显强调1"/>
    <w:basedOn w:val="35"/>
    <w:qFormat/>
    <w:uiPriority w:val="21"/>
    <w:rPr>
      <w:b/>
      <w:i/>
      <w:sz w:val="24"/>
      <w:szCs w:val="24"/>
      <w:u w:val="single"/>
    </w:rPr>
  </w:style>
  <w:style w:type="character" w:customStyle="1" w:styleId="84">
    <w:name w:val="不明显参考1"/>
    <w:basedOn w:val="35"/>
    <w:qFormat/>
    <w:uiPriority w:val="31"/>
    <w:rPr>
      <w:sz w:val="24"/>
      <w:szCs w:val="24"/>
      <w:u w:val="single"/>
    </w:rPr>
  </w:style>
  <w:style w:type="character" w:customStyle="1" w:styleId="85">
    <w:name w:val="明显参考1"/>
    <w:basedOn w:val="35"/>
    <w:qFormat/>
    <w:uiPriority w:val="32"/>
    <w:rPr>
      <w:b/>
      <w:sz w:val="24"/>
      <w:u w:val="single"/>
    </w:rPr>
  </w:style>
  <w:style w:type="character" w:customStyle="1" w:styleId="86">
    <w:name w:val="书籍标题1"/>
    <w:basedOn w:val="35"/>
    <w:qFormat/>
    <w:uiPriority w:val="33"/>
    <w:rPr>
      <w:rFonts w:asciiTheme="majorHAnsi" w:hAnsiTheme="majorHAnsi" w:eastAsiaTheme="majorEastAsia"/>
      <w:b/>
      <w:i/>
      <w:sz w:val="24"/>
      <w:szCs w:val="24"/>
    </w:rPr>
  </w:style>
  <w:style w:type="paragraph" w:customStyle="1" w:styleId="87">
    <w:name w:val="TOC 标题1"/>
    <w:basedOn w:val="3"/>
    <w:next w:val="1"/>
    <w:semiHidden/>
    <w:unhideWhenUsed/>
    <w:qFormat/>
    <w:uiPriority w:val="39"/>
    <w:pPr>
      <w:outlineLvl w:val="9"/>
    </w:pPr>
  </w:style>
  <w:style w:type="character" w:customStyle="1" w:styleId="88">
    <w:name w:val="批注框文本 Char"/>
    <w:basedOn w:val="35"/>
    <w:link w:val="23"/>
    <w:semiHidden/>
    <w:qFormat/>
    <w:uiPriority w:val="99"/>
    <w:rPr>
      <w:sz w:val="18"/>
      <w:szCs w:val="18"/>
    </w:rPr>
  </w:style>
  <w:style w:type="character" w:customStyle="1" w:styleId="89">
    <w:name w:val="批注文字 Char"/>
    <w:basedOn w:val="35"/>
    <w:link w:val="17"/>
    <w:qFormat/>
    <w:uiPriority w:val="99"/>
    <w:rPr>
      <w:rFonts w:ascii="Calibri Light" w:hAnsi="Calibri Light" w:eastAsia="华文仿宋" w:cs="Calibri Light"/>
      <w:kern w:val="2"/>
      <w:sz w:val="28"/>
      <w:szCs w:val="28"/>
    </w:rPr>
  </w:style>
  <w:style w:type="paragraph" w:customStyle="1" w:styleId="90">
    <w:name w:val="@正文"/>
    <w:basedOn w:val="49"/>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1">
    <w:name w:val="@一级小标题"/>
    <w:basedOn w:val="1"/>
    <w:next w:val="90"/>
    <w:qFormat/>
    <w:uiPriority w:val="0"/>
    <w:pPr>
      <w:keepNext/>
      <w:spacing w:before="120" w:after="60"/>
      <w:outlineLvl w:val="2"/>
    </w:pPr>
    <w:rPr>
      <w:rFonts w:ascii="Calibri" w:hAnsi="Calibri" w:eastAsia="黑体"/>
      <w:kern w:val="28"/>
      <w:sz w:val="28"/>
    </w:rPr>
  </w:style>
  <w:style w:type="paragraph" w:customStyle="1" w:styleId="92">
    <w:name w:val="@标题"/>
    <w:basedOn w:val="1"/>
    <w:next w:val="90"/>
    <w:qFormat/>
    <w:uiPriority w:val="0"/>
    <w:pPr>
      <w:keepNext/>
      <w:spacing w:beforeLines="50" w:afterLines="50"/>
      <w:jc w:val="center"/>
      <w:outlineLvl w:val="1"/>
    </w:pPr>
    <w:rPr>
      <w:rFonts w:ascii="Calibri" w:hAnsi="Calibri" w:eastAsia="黑体"/>
      <w:kern w:val="32"/>
      <w:sz w:val="32"/>
    </w:rPr>
  </w:style>
  <w:style w:type="table" w:customStyle="1" w:styleId="93">
    <w:name w:val="网格型1"/>
    <w:basedOn w:val="33"/>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页眉 Char1"/>
    <w:basedOn w:val="35"/>
    <w:semiHidden/>
    <w:qFormat/>
    <w:uiPriority w:val="99"/>
    <w:rPr>
      <w:rFonts w:cs="Calibri Light"/>
      <w:sz w:val="18"/>
      <w:szCs w:val="18"/>
    </w:rPr>
  </w:style>
  <w:style w:type="character" w:customStyle="1" w:styleId="95">
    <w:name w:val="页脚 Char1"/>
    <w:basedOn w:val="35"/>
    <w:semiHidden/>
    <w:qFormat/>
    <w:uiPriority w:val="99"/>
    <w:rPr>
      <w:rFonts w:cs="Calibri Light"/>
      <w:sz w:val="18"/>
      <w:szCs w:val="18"/>
    </w:rPr>
  </w:style>
  <w:style w:type="character" w:customStyle="1" w:styleId="96">
    <w:name w:val="批注主题 Char"/>
    <w:basedOn w:val="89"/>
    <w:link w:val="31"/>
    <w:semiHidden/>
    <w:qFormat/>
    <w:uiPriority w:val="99"/>
    <w:rPr>
      <w:rFonts w:ascii="Calibri Light" w:hAnsi="Calibri Light" w:eastAsia="华文仿宋" w:cs="Calibri Light"/>
      <w:b/>
      <w:bCs/>
      <w:kern w:val="2"/>
      <w:sz w:val="28"/>
      <w:szCs w:val="28"/>
    </w:rPr>
  </w:style>
  <w:style w:type="character" w:customStyle="1" w:styleId="97">
    <w:name w:val="文档结构图 Char"/>
    <w:basedOn w:val="35"/>
    <w:link w:val="16"/>
    <w:semiHidden/>
    <w:qFormat/>
    <w:uiPriority w:val="99"/>
    <w:rPr>
      <w:rFonts w:ascii="宋体" w:hAnsi="Calibri Light" w:eastAsia="宋体" w:cs="Calibri Light"/>
      <w:kern w:val="2"/>
      <w:sz w:val="18"/>
      <w:szCs w:val="18"/>
    </w:rPr>
  </w:style>
  <w:style w:type="character" w:styleId="98">
    <w:name w:val="Placeholder Text"/>
    <w:basedOn w:val="35"/>
    <w:semiHidden/>
    <w:qFormat/>
    <w:uiPriority w:val="99"/>
    <w:rPr>
      <w:color w:val="808080"/>
    </w:rPr>
  </w:style>
  <w:style w:type="character" w:customStyle="1" w:styleId="99">
    <w:name w:val="未处理的提及1"/>
    <w:basedOn w:val="35"/>
    <w:semiHidden/>
    <w:unhideWhenUsed/>
    <w:qFormat/>
    <w:uiPriority w:val="99"/>
    <w:rPr>
      <w:color w:val="605E5C"/>
      <w:shd w:val="clear" w:color="auto" w:fill="E1DFDD"/>
    </w:rPr>
  </w:style>
  <w:style w:type="paragraph" w:customStyle="1" w:styleId="100">
    <w:name w:val="样式1"/>
    <w:basedOn w:val="5"/>
    <w:link w:val="102"/>
    <w:qFormat/>
    <w:uiPriority w:val="0"/>
    <w:pPr>
      <w:jc w:val="left"/>
    </w:pPr>
    <w:rPr>
      <w:rFonts w:eastAsia="楷体"/>
      <w:sz w:val="32"/>
    </w:rPr>
  </w:style>
  <w:style w:type="paragraph" w:customStyle="1" w:styleId="101">
    <w:name w:val="样式2"/>
    <w:basedOn w:val="92"/>
    <w:link w:val="104"/>
    <w:qFormat/>
    <w:uiPriority w:val="0"/>
    <w:pPr>
      <w:spacing w:line="560" w:lineRule="exact"/>
      <w:ind w:firstLine="643" w:firstLineChars="200"/>
      <w:jc w:val="both"/>
    </w:pPr>
    <w:rPr>
      <w:rFonts w:ascii="仿宋_GB2312" w:hAnsi="仿宋" w:eastAsia="仿宋_GB2312"/>
      <w:b/>
      <w:bCs/>
      <w:szCs w:val="32"/>
    </w:rPr>
  </w:style>
  <w:style w:type="character" w:customStyle="1" w:styleId="102">
    <w:name w:val="样式1 字符"/>
    <w:basedOn w:val="66"/>
    <w:link w:val="100"/>
    <w:qFormat/>
    <w:uiPriority w:val="0"/>
    <w:rPr>
      <w:rFonts w:ascii="方正小标宋_GBK" w:hAnsi="仿宋" w:eastAsia="楷体"/>
      <w:sz w:val="32"/>
      <w:szCs w:val="36"/>
    </w:rPr>
  </w:style>
  <w:style w:type="paragraph" w:customStyle="1" w:styleId="103">
    <w:name w:val="样式3"/>
    <w:basedOn w:val="1"/>
    <w:link w:val="105"/>
    <w:qFormat/>
    <w:uiPriority w:val="0"/>
    <w:pPr>
      <w:spacing w:line="560" w:lineRule="exact"/>
      <w:jc w:val="center"/>
    </w:pPr>
    <w:rPr>
      <w:rFonts w:ascii="方正小标宋_GBK" w:hAnsi="仿宋" w:eastAsia="方正小标宋_GBK"/>
      <w:sz w:val="36"/>
      <w:szCs w:val="36"/>
    </w:rPr>
  </w:style>
  <w:style w:type="character" w:customStyle="1" w:styleId="104">
    <w:name w:val="样式2 字符"/>
    <w:basedOn w:val="35"/>
    <w:link w:val="101"/>
    <w:qFormat/>
    <w:uiPriority w:val="0"/>
    <w:rPr>
      <w:rFonts w:ascii="仿宋_GB2312" w:hAnsi="仿宋" w:eastAsia="仿宋_GB2312"/>
      <w:b/>
      <w:bCs/>
      <w:kern w:val="32"/>
      <w:sz w:val="32"/>
      <w:szCs w:val="32"/>
    </w:rPr>
  </w:style>
  <w:style w:type="character" w:customStyle="1" w:styleId="105">
    <w:name w:val="样式3 字符"/>
    <w:basedOn w:val="35"/>
    <w:link w:val="103"/>
    <w:qFormat/>
    <w:uiPriority w:val="0"/>
    <w:rPr>
      <w:rFonts w:ascii="方正小标宋_GBK" w:hAnsi="仿宋" w:eastAsia="方正小标宋_GBK"/>
      <w:sz w:val="36"/>
      <w:szCs w:val="36"/>
    </w:rPr>
  </w:style>
  <w:style w:type="paragraph" w:customStyle="1" w:styleId="106">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07">
    <w:name w:val="Table Paragraph"/>
    <w:basedOn w:val="1"/>
    <w:qFormat/>
    <w:uiPriority w:val="1"/>
  </w:style>
  <w:style w:type="paragraph" w:customStyle="1" w:styleId="108">
    <w:name w:val="纯文本1"/>
    <w:basedOn w:val="1"/>
    <w:qFormat/>
    <w:uiPriority w:val="0"/>
    <w:rPr>
      <w:rFonts w:ascii="宋体" w:hAnsi="Courier New" w:eastAsia="宋体"/>
      <w:szCs w:val="22"/>
    </w:rPr>
  </w:style>
  <w:style w:type="paragraph" w:customStyle="1" w:styleId="109">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10">
    <w:name w:val="WPSOffice手动目录 1"/>
    <w:qFormat/>
    <w:uiPriority w:val="0"/>
    <w:rPr>
      <w:rFonts w:ascii="Times New Roman" w:hAnsi="Times New Roman" w:eastAsia="宋体" w:cs="Times New Roman"/>
      <w:lang w:val="en-US" w:eastAsia="zh-CN" w:bidi="ar-SA"/>
    </w:rPr>
  </w:style>
  <w:style w:type="paragraph" w:customStyle="1" w:styleId="11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1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3">
    <w:name w:val="列出段落4"/>
    <w:basedOn w:val="1"/>
    <w:qFormat/>
    <w:uiPriority w:val="34"/>
    <w:pPr>
      <w:ind w:firstLine="420" w:firstLineChars="200"/>
    </w:pPr>
    <w:rPr>
      <w:rFonts w:cstheme="minorBidi"/>
      <w:szCs w:val="22"/>
    </w:rPr>
  </w:style>
  <w:style w:type="paragraph" w:customStyle="1" w:styleId="114">
    <w:name w:val="A正文"/>
    <w:basedOn w:val="1"/>
    <w:qFormat/>
    <w:uiPriority w:val="0"/>
    <w:pPr>
      <w:snapToGrid w:val="0"/>
      <w:spacing w:line="360" w:lineRule="auto"/>
      <w:ind w:firstLine="200" w:firstLineChars="200"/>
    </w:pPr>
    <w:rPr>
      <w:rFonts w:ascii="Times New Roman" w:hAnsi="Times New Roman"/>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43379-8C71-4711-8277-069EA2C105F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11976</Words>
  <Characters>68265</Characters>
  <Lines>568</Lines>
  <Paragraphs>160</Paragraphs>
  <TotalTime>30</TotalTime>
  <ScaleCrop>false</ScaleCrop>
  <LinksUpToDate>false</LinksUpToDate>
  <CharactersWithSpaces>80081</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2022-07-21T02:03:00Z</dcterms:created>
  <dc:creator>lenovo</dc:creator>
  <cp:lastModifiedBy>邱阳阳</cp:lastModifiedBy>
  <cp:lastPrinted>2022-06-02T03:00:00Z</cp:lastPrinted>
  <dcterms:modified xsi:type="dcterms:W3CDTF">2022-07-22T13:24:31Z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8F6F1B2685F54D52A1A57BE6C1F7BB75</vt:lpwstr>
  </property>
</Properties>
</file>