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0"/>
        </w:tabs>
        <w:autoSpaceDE w:val="0"/>
        <w:autoSpaceDN w:val="0"/>
        <w:adjustRightInd w:val="0"/>
        <w:spacing w:line="360" w:lineRule="auto"/>
        <w:jc w:val="right"/>
        <w:rPr>
          <w:rFonts w:ascii="宋体" w:hAnsi="宋体" w:cs="宋体"/>
          <w:b/>
          <w:bCs/>
          <w:sz w:val="32"/>
          <w:szCs w:val="32"/>
          <w:lang w:val="zh-CN"/>
        </w:rPr>
      </w:pPr>
      <w:r>
        <w:rPr>
          <w:rFonts w:hint="eastAsia" w:ascii="宋体" w:hAnsi="宋体" w:cs="宋体"/>
          <w:b/>
          <w:bCs/>
          <w:sz w:val="32"/>
          <w:szCs w:val="32"/>
          <w:lang w:val="zh-CN"/>
        </w:rPr>
        <w:t xml:space="preserve"> </w:t>
      </w:r>
      <w:r>
        <w:rPr>
          <w:rFonts w:hint="eastAsia" w:ascii="宋体" w:hAnsi="宋体" w:cs="宋体"/>
          <w:b/>
          <w:bCs/>
          <w:sz w:val="32"/>
          <w:szCs w:val="32"/>
          <w:bdr w:val="single" w:color="auto" w:sz="4" w:space="0"/>
          <w:lang w:val="zh-CN"/>
        </w:rPr>
        <w:t>政府采购项目</w:t>
      </w:r>
    </w:p>
    <w:p>
      <w:pPr>
        <w:jc w:val="center"/>
        <w:rPr>
          <w:rFonts w:ascii="宋体" w:hAnsi="宋体" w:cs="宋体"/>
          <w:sz w:val="48"/>
        </w:rPr>
      </w:pPr>
    </w:p>
    <w:p>
      <w:pPr>
        <w:ind w:firstLine="420"/>
        <w:rPr>
          <w:rFonts w:ascii="宋体" w:hAnsi="宋体" w:cs="宋体"/>
        </w:rPr>
      </w:pPr>
    </w:p>
    <w:p>
      <w:pPr>
        <w:spacing w:line="360" w:lineRule="auto"/>
        <w:jc w:val="center"/>
        <w:rPr>
          <w:rFonts w:ascii="宋体" w:hAnsi="宋体" w:cs="宋体"/>
          <w:b/>
          <w:spacing w:val="-6"/>
          <w:sz w:val="44"/>
          <w:szCs w:val="44"/>
        </w:rPr>
      </w:pPr>
      <w:r>
        <w:rPr>
          <w:rFonts w:hint="eastAsia" w:ascii="宋体" w:hAnsi="宋体" w:cs="宋体"/>
          <w:b/>
          <w:spacing w:val="-6"/>
          <w:sz w:val="44"/>
          <w:szCs w:val="44"/>
        </w:rPr>
        <w:t>西安文理学院养老服务管理专业实训室采购项目</w:t>
      </w:r>
    </w:p>
    <w:p>
      <w:pPr>
        <w:spacing w:line="360" w:lineRule="auto"/>
        <w:jc w:val="center"/>
        <w:rPr>
          <w:rFonts w:ascii="宋体" w:hAnsi="宋体" w:cs="宋体"/>
        </w:rPr>
      </w:pPr>
      <w:r>
        <w:rPr>
          <w:rFonts w:hint="eastAsia" w:ascii="宋体" w:hAnsi="宋体" w:cs="宋体"/>
          <w:b/>
          <w:spacing w:val="-6"/>
          <w:sz w:val="44"/>
          <w:szCs w:val="44"/>
        </w:rPr>
        <w:t>（项目编号：HLDZB2022-2021）</w:t>
      </w:r>
    </w:p>
    <w:p>
      <w:pPr>
        <w:pStyle w:val="33"/>
        <w:ind w:firstLine="420"/>
        <w:rPr>
          <w:rFonts w:ascii="宋体" w:hAnsi="宋体" w:eastAsia="宋体" w:cs="宋体"/>
          <w:color w:val="auto"/>
        </w:rPr>
      </w:pPr>
    </w:p>
    <w:p>
      <w:pPr>
        <w:jc w:val="center"/>
        <w:rPr>
          <w:rFonts w:ascii="宋体" w:hAnsi="宋体" w:cs="宋体"/>
          <w:b/>
          <w:kern w:val="0"/>
          <w:sz w:val="44"/>
          <w:szCs w:val="44"/>
        </w:rPr>
      </w:pPr>
    </w:p>
    <w:p>
      <w:pPr>
        <w:pStyle w:val="7"/>
        <w:rPr>
          <w:rFonts w:ascii="宋体" w:hAnsi="宋体" w:cs="宋体"/>
          <w:b/>
          <w:kern w:val="0"/>
          <w:sz w:val="44"/>
          <w:szCs w:val="44"/>
        </w:rPr>
      </w:pPr>
    </w:p>
    <w:p/>
    <w:p/>
    <w:p>
      <w:pPr>
        <w:jc w:val="center"/>
        <w:rPr>
          <w:rFonts w:ascii="宋体" w:hAnsi="宋体" w:cs="宋体"/>
          <w:b/>
          <w:kern w:val="0"/>
          <w:sz w:val="44"/>
          <w:szCs w:val="44"/>
        </w:rPr>
      </w:pPr>
      <w:r>
        <w:rPr>
          <w:rFonts w:hint="eastAsia" w:ascii="宋体" w:hAnsi="宋体" w:cs="宋体"/>
          <w:b/>
          <w:kern w:val="0"/>
          <w:sz w:val="44"/>
          <w:szCs w:val="44"/>
        </w:rPr>
        <w:t>竞</w:t>
      </w:r>
    </w:p>
    <w:p>
      <w:pPr>
        <w:jc w:val="center"/>
        <w:rPr>
          <w:rFonts w:ascii="宋体" w:hAnsi="宋体" w:cs="宋体"/>
          <w:b/>
          <w:kern w:val="0"/>
          <w:sz w:val="44"/>
          <w:szCs w:val="44"/>
        </w:rPr>
      </w:pPr>
      <w:r>
        <w:rPr>
          <w:rFonts w:hint="eastAsia" w:ascii="宋体" w:hAnsi="宋体" w:cs="宋体"/>
          <w:b/>
          <w:kern w:val="0"/>
          <w:sz w:val="44"/>
          <w:szCs w:val="44"/>
        </w:rPr>
        <w:t>争</w:t>
      </w:r>
    </w:p>
    <w:p>
      <w:pPr>
        <w:jc w:val="center"/>
        <w:rPr>
          <w:rFonts w:ascii="宋体" w:hAnsi="宋体" w:cs="宋体"/>
          <w:b/>
          <w:kern w:val="0"/>
          <w:sz w:val="44"/>
          <w:szCs w:val="44"/>
        </w:rPr>
      </w:pPr>
      <w:r>
        <w:rPr>
          <w:rFonts w:hint="eastAsia" w:ascii="宋体" w:hAnsi="宋体" w:cs="宋体"/>
          <w:b/>
          <w:kern w:val="0"/>
          <w:sz w:val="44"/>
          <w:szCs w:val="44"/>
        </w:rPr>
        <w:t>性</w:t>
      </w:r>
    </w:p>
    <w:p>
      <w:pPr>
        <w:jc w:val="center"/>
        <w:rPr>
          <w:rFonts w:ascii="宋体" w:hAnsi="宋体" w:cs="宋体"/>
          <w:b/>
          <w:kern w:val="0"/>
          <w:sz w:val="44"/>
          <w:szCs w:val="44"/>
        </w:rPr>
      </w:pPr>
      <w:bookmarkStart w:id="0" w:name="_Toc532549501"/>
      <w:r>
        <w:rPr>
          <w:rFonts w:hint="eastAsia" w:ascii="宋体" w:hAnsi="宋体" w:cs="宋体"/>
          <w:b/>
          <w:kern w:val="0"/>
          <w:sz w:val="44"/>
          <w:szCs w:val="44"/>
        </w:rPr>
        <w:t>谈</w:t>
      </w:r>
    </w:p>
    <w:p>
      <w:pPr>
        <w:jc w:val="center"/>
        <w:rPr>
          <w:rFonts w:ascii="宋体" w:hAnsi="宋体" w:cs="宋体"/>
          <w:b/>
          <w:kern w:val="0"/>
          <w:sz w:val="44"/>
          <w:szCs w:val="44"/>
        </w:rPr>
      </w:pPr>
      <w:r>
        <w:rPr>
          <w:rFonts w:hint="eastAsia" w:ascii="宋体" w:hAnsi="宋体" w:cs="宋体"/>
          <w:b/>
          <w:kern w:val="0"/>
          <w:sz w:val="44"/>
          <w:szCs w:val="44"/>
        </w:rPr>
        <w:t>判</w:t>
      </w:r>
    </w:p>
    <w:p>
      <w:pPr>
        <w:jc w:val="center"/>
        <w:rPr>
          <w:rFonts w:ascii="宋体" w:hAnsi="宋体" w:cs="宋体"/>
          <w:b/>
          <w:kern w:val="0"/>
          <w:sz w:val="44"/>
          <w:szCs w:val="44"/>
        </w:rPr>
      </w:pPr>
      <w:r>
        <w:rPr>
          <w:rFonts w:hint="eastAsia" w:ascii="宋体" w:hAnsi="宋体" w:cs="宋体"/>
          <w:b/>
          <w:kern w:val="0"/>
          <w:sz w:val="44"/>
          <w:szCs w:val="44"/>
        </w:rPr>
        <w:t>文</w:t>
      </w:r>
      <w:bookmarkEnd w:id="0"/>
      <w:bookmarkStart w:id="1" w:name="_Toc532549502"/>
    </w:p>
    <w:p>
      <w:pPr>
        <w:jc w:val="center"/>
        <w:rPr>
          <w:rFonts w:ascii="宋体" w:hAnsi="宋体" w:cs="宋体"/>
          <w:kern w:val="0"/>
        </w:rPr>
      </w:pPr>
      <w:r>
        <w:rPr>
          <w:rFonts w:hint="eastAsia" w:ascii="宋体" w:hAnsi="宋体" w:cs="宋体"/>
          <w:b/>
          <w:kern w:val="0"/>
          <w:sz w:val="44"/>
          <w:szCs w:val="44"/>
        </w:rPr>
        <w:t>件</w:t>
      </w:r>
      <w:bookmarkEnd w:id="1"/>
    </w:p>
    <w:p>
      <w:pPr>
        <w:rPr>
          <w:rFonts w:ascii="宋体" w:hAnsi="宋体" w:cs="宋体"/>
        </w:rPr>
      </w:pPr>
    </w:p>
    <w:p>
      <w:pPr>
        <w:autoSpaceDE w:val="0"/>
        <w:autoSpaceDN w:val="0"/>
        <w:adjustRightInd w:val="0"/>
        <w:snapToGrid w:val="0"/>
        <w:spacing w:line="360" w:lineRule="auto"/>
        <w:rPr>
          <w:rFonts w:ascii="宋体" w:hAnsi="宋体" w:cs="宋体"/>
          <w:b/>
          <w:bCs/>
          <w:sz w:val="32"/>
          <w:szCs w:val="32"/>
          <w:lang w:val="zh-CN"/>
        </w:rPr>
      </w:pPr>
    </w:p>
    <w:p>
      <w:pPr>
        <w:pStyle w:val="8"/>
        <w:rPr>
          <w:rFonts w:ascii="宋体" w:hAnsi="宋体" w:cs="宋体"/>
          <w:b/>
          <w:bCs/>
          <w:szCs w:val="32"/>
          <w:lang w:val="zh-CN"/>
        </w:rPr>
      </w:pPr>
    </w:p>
    <w:p>
      <w:pPr>
        <w:pStyle w:val="9"/>
        <w:rPr>
          <w:rFonts w:ascii="宋体" w:hAnsi="宋体" w:cs="宋体"/>
          <w:b/>
          <w:bCs/>
          <w:sz w:val="32"/>
          <w:szCs w:val="32"/>
          <w:lang w:val="zh-CN"/>
        </w:rPr>
      </w:pPr>
    </w:p>
    <w:p>
      <w:pPr>
        <w:pStyle w:val="9"/>
        <w:rPr>
          <w:rFonts w:ascii="宋体" w:hAnsi="宋体" w:cs="宋体"/>
          <w:b/>
          <w:bCs/>
          <w:sz w:val="32"/>
          <w:szCs w:val="32"/>
          <w:lang w:val="zh-CN"/>
        </w:rPr>
      </w:pPr>
    </w:p>
    <w:p>
      <w:pPr>
        <w:pStyle w:val="9"/>
        <w:rPr>
          <w:lang w:val="zh-CN"/>
        </w:rPr>
      </w:pPr>
    </w:p>
    <w:p>
      <w:pPr>
        <w:autoSpaceDE w:val="0"/>
        <w:autoSpaceDN w:val="0"/>
        <w:adjustRightInd w:val="0"/>
        <w:snapToGrid w:val="0"/>
        <w:spacing w:line="360" w:lineRule="auto"/>
        <w:rPr>
          <w:rFonts w:ascii="宋体" w:hAnsi="宋体" w:cs="宋体"/>
          <w:b/>
          <w:bCs/>
          <w:sz w:val="32"/>
          <w:szCs w:val="32"/>
          <w:lang w:val="zh-CN"/>
        </w:rPr>
      </w:pPr>
    </w:p>
    <w:p>
      <w:pPr>
        <w:autoSpaceDE w:val="0"/>
        <w:autoSpaceDN w:val="0"/>
        <w:adjustRightInd w:val="0"/>
        <w:snapToGrid w:val="0"/>
        <w:spacing w:line="360" w:lineRule="auto"/>
        <w:jc w:val="center"/>
        <w:rPr>
          <w:rFonts w:ascii="宋体" w:hAnsi="宋体" w:cs="宋体"/>
          <w:b/>
          <w:bCs/>
          <w:sz w:val="32"/>
          <w:szCs w:val="32"/>
          <w:lang w:val="zh-CN"/>
        </w:rPr>
      </w:pPr>
      <w:r>
        <w:rPr>
          <w:rFonts w:hint="eastAsia" w:ascii="宋体" w:hAnsi="宋体" w:cs="宋体"/>
          <w:b/>
          <w:bCs/>
          <w:sz w:val="32"/>
          <w:szCs w:val="32"/>
          <w:lang w:val="zh-CN"/>
        </w:rPr>
        <w:t>西安华力达项目管理有限公司</w:t>
      </w:r>
    </w:p>
    <w:p>
      <w:pPr>
        <w:autoSpaceDE w:val="0"/>
        <w:autoSpaceDN w:val="0"/>
        <w:adjustRightInd w:val="0"/>
        <w:snapToGrid w:val="0"/>
        <w:spacing w:line="360" w:lineRule="auto"/>
        <w:jc w:val="center"/>
        <w:rPr>
          <w:rFonts w:ascii="宋体" w:hAnsi="宋体" w:cs="宋体"/>
          <w:b/>
          <w:sz w:val="44"/>
          <w:szCs w:val="44"/>
        </w:rPr>
      </w:pPr>
      <w:r>
        <w:rPr>
          <w:rFonts w:hint="eastAsia" w:ascii="宋体" w:hAnsi="宋体" w:cs="宋体"/>
          <w:b/>
          <w:bCs/>
          <w:sz w:val="32"/>
          <w:szCs w:val="32"/>
          <w:lang w:val="zh-CN"/>
        </w:rPr>
        <w:t>二零二</w:t>
      </w:r>
      <w:r>
        <w:rPr>
          <w:rFonts w:hint="eastAsia" w:ascii="宋体" w:hAnsi="宋体" w:cs="宋体"/>
          <w:b/>
          <w:bCs/>
          <w:sz w:val="32"/>
          <w:szCs w:val="32"/>
        </w:rPr>
        <w:t>二</w:t>
      </w:r>
      <w:r>
        <w:rPr>
          <w:rFonts w:hint="eastAsia" w:ascii="宋体" w:hAnsi="宋体" w:cs="宋体"/>
          <w:b/>
          <w:bCs/>
          <w:sz w:val="32"/>
          <w:szCs w:val="32"/>
          <w:lang w:val="zh-CN"/>
        </w:rPr>
        <w:t>年</w:t>
      </w:r>
      <w:r>
        <w:rPr>
          <w:rFonts w:hint="eastAsia" w:ascii="宋体" w:hAnsi="宋体" w:cs="宋体"/>
          <w:b/>
          <w:bCs/>
          <w:sz w:val="32"/>
          <w:szCs w:val="32"/>
        </w:rPr>
        <w:t>九</w:t>
      </w:r>
      <w:r>
        <w:rPr>
          <w:rFonts w:hint="eastAsia" w:ascii="宋体" w:hAnsi="宋体" w:cs="宋体"/>
          <w:b/>
          <w:bCs/>
          <w:sz w:val="32"/>
          <w:szCs w:val="32"/>
          <w:lang w:val="zh-CN"/>
        </w:rPr>
        <w:t>月</w:t>
      </w:r>
    </w:p>
    <w:p>
      <w:pPr>
        <w:jc w:val="center"/>
        <w:rPr>
          <w:rFonts w:ascii="宋体" w:hAnsi="宋体" w:cs="宋体"/>
          <w:b/>
          <w:sz w:val="44"/>
          <w:szCs w:val="44"/>
        </w:rPr>
        <w:sectPr>
          <w:headerReference r:id="rId4" w:type="first"/>
          <w:headerReference r:id="rId3" w:type="default"/>
          <w:pgSz w:w="11906" w:h="16838"/>
          <w:pgMar w:top="1440" w:right="1080" w:bottom="1440" w:left="1080" w:header="720" w:footer="720" w:gutter="0"/>
          <w:cols w:space="720" w:num="1"/>
          <w:titlePg/>
          <w:docGrid w:linePitch="312" w:charSpace="0"/>
        </w:sectPr>
      </w:pPr>
    </w:p>
    <w:p>
      <w:pPr>
        <w:spacing w:line="360" w:lineRule="auto"/>
        <w:rPr>
          <w:rFonts w:hAnsi="宋体" w:cs="宋体"/>
          <w:b/>
          <w:sz w:val="36"/>
          <w:szCs w:val="36"/>
        </w:rPr>
      </w:pPr>
    </w:p>
    <w:p>
      <w:pPr>
        <w:spacing w:line="360" w:lineRule="auto"/>
        <w:jc w:val="center"/>
        <w:rPr>
          <w:rFonts w:ascii="宋体" w:hAnsi="宋体" w:cs="宋体"/>
          <w:b/>
          <w:bCs/>
          <w:sz w:val="40"/>
          <w:szCs w:val="40"/>
          <w:lang w:val="zh-CN"/>
        </w:rPr>
      </w:pPr>
      <w:r>
        <w:rPr>
          <w:rFonts w:hint="eastAsia" w:ascii="宋体" w:hAnsi="宋体" w:cs="宋体"/>
          <w:b/>
          <w:bCs/>
          <w:sz w:val="40"/>
          <w:szCs w:val="40"/>
          <w:lang w:val="zh-CN"/>
        </w:rPr>
        <w:t>温馨提示</w:t>
      </w:r>
    </w:p>
    <w:p>
      <w:pPr>
        <w:spacing w:line="360" w:lineRule="auto"/>
        <w:ind w:firstLine="545" w:firstLineChars="194"/>
        <w:rPr>
          <w:rFonts w:ascii="宋体" w:hAnsi="宋体" w:cs="宋体"/>
          <w:b/>
          <w:bCs/>
          <w:sz w:val="28"/>
          <w:szCs w:val="28"/>
          <w:lang w:val="zh-CN"/>
        </w:rPr>
      </w:pPr>
    </w:p>
    <w:p>
      <w:pPr>
        <w:spacing w:line="360" w:lineRule="auto"/>
        <w:ind w:firstLine="620" w:firstLineChars="194"/>
        <w:rPr>
          <w:rFonts w:ascii="宋体" w:hAnsi="宋体" w:cs="宋体"/>
          <w:sz w:val="32"/>
          <w:szCs w:val="32"/>
        </w:rPr>
      </w:pPr>
      <w:r>
        <w:rPr>
          <w:rFonts w:hint="eastAsia" w:ascii="宋体" w:hAnsi="宋体" w:cs="宋体"/>
          <w:bCs/>
          <w:sz w:val="32"/>
          <w:szCs w:val="32"/>
        </w:rPr>
        <w:t>领取谈判文件</w:t>
      </w:r>
      <w:r>
        <w:rPr>
          <w:rFonts w:hint="eastAsia" w:ascii="宋体" w:hAnsi="宋体" w:cs="宋体"/>
          <w:bCs/>
          <w:sz w:val="32"/>
          <w:szCs w:val="32"/>
          <w:lang w:val="zh-CN"/>
        </w:rPr>
        <w:t>后，请仔细阅读，如有疑问，</w:t>
      </w:r>
      <w:r>
        <w:rPr>
          <w:rFonts w:hint="eastAsia" w:ascii="宋体" w:hAnsi="宋体" w:cs="宋体"/>
          <w:sz w:val="32"/>
          <w:szCs w:val="32"/>
          <w:lang w:val="zh-CN"/>
        </w:rPr>
        <w:t>请来电咨询：029-89666676</w:t>
      </w:r>
      <w:r>
        <w:rPr>
          <w:rFonts w:hint="eastAsia" w:ascii="宋体" w:hAnsi="宋体" w:cs="宋体"/>
          <w:sz w:val="32"/>
          <w:szCs w:val="32"/>
        </w:rPr>
        <w:t>。</w:t>
      </w:r>
    </w:p>
    <w:p>
      <w:pPr>
        <w:widowControl/>
        <w:spacing w:line="540" w:lineRule="exact"/>
        <w:ind w:right="-197" w:rightChars="-94" w:firstLine="960" w:firstLineChars="300"/>
        <w:jc w:val="left"/>
        <w:rPr>
          <w:rFonts w:ascii="宋体" w:hAnsi="宋体" w:cs="宋体"/>
          <w:kern w:val="0"/>
          <w:sz w:val="32"/>
          <w:szCs w:val="32"/>
        </w:rPr>
      </w:pPr>
    </w:p>
    <w:p>
      <w:pPr>
        <w:widowControl/>
        <w:spacing w:line="540" w:lineRule="exact"/>
        <w:ind w:right="-197" w:rightChars="-94" w:firstLine="964" w:firstLineChars="300"/>
        <w:jc w:val="left"/>
        <w:rPr>
          <w:rFonts w:ascii="宋体" w:hAnsi="宋体" w:cs="宋体"/>
          <w:b/>
          <w:bCs/>
          <w:kern w:val="0"/>
          <w:sz w:val="32"/>
          <w:szCs w:val="32"/>
        </w:rPr>
      </w:pPr>
    </w:p>
    <w:p>
      <w:pPr>
        <w:widowControl/>
        <w:spacing w:line="540" w:lineRule="exact"/>
        <w:ind w:right="-197" w:rightChars="-94" w:firstLine="964" w:firstLineChars="300"/>
        <w:jc w:val="left"/>
        <w:rPr>
          <w:rFonts w:ascii="宋体" w:hAnsi="宋体" w:cs="宋体"/>
          <w:b/>
          <w:bCs/>
          <w:kern w:val="0"/>
          <w:sz w:val="32"/>
          <w:szCs w:val="32"/>
        </w:rPr>
      </w:pPr>
      <w:r>
        <w:rPr>
          <w:rFonts w:hint="eastAsia" w:ascii="宋体" w:hAnsi="宋体" w:cs="宋体"/>
          <w:b/>
          <w:bCs/>
          <w:kern w:val="0"/>
          <w:sz w:val="32"/>
          <w:szCs w:val="32"/>
        </w:rPr>
        <w:t>请将委托代理服务费汇至下列指定账户：</w:t>
      </w:r>
    </w:p>
    <w:p>
      <w:pPr>
        <w:widowControl/>
        <w:spacing w:line="540" w:lineRule="exact"/>
        <w:ind w:right="-197" w:rightChars="-94" w:firstLine="964" w:firstLineChars="300"/>
        <w:jc w:val="left"/>
        <w:rPr>
          <w:rFonts w:ascii="宋体" w:hAnsi="宋体" w:cs="宋体"/>
          <w:b/>
          <w:bCs/>
          <w:kern w:val="0"/>
          <w:sz w:val="32"/>
          <w:szCs w:val="32"/>
        </w:rPr>
      </w:pPr>
      <w:r>
        <w:rPr>
          <w:rFonts w:hint="eastAsia" w:ascii="宋体" w:hAnsi="宋体" w:cs="宋体"/>
          <w:b/>
          <w:bCs/>
          <w:kern w:val="0"/>
          <w:sz w:val="32"/>
          <w:szCs w:val="32"/>
        </w:rPr>
        <w:t>开户名称：西安华力达项目管理有限公司</w:t>
      </w:r>
    </w:p>
    <w:p>
      <w:pPr>
        <w:widowControl/>
        <w:spacing w:line="540" w:lineRule="exact"/>
        <w:ind w:right="-197" w:rightChars="-94" w:firstLine="964" w:firstLineChars="300"/>
        <w:jc w:val="left"/>
        <w:rPr>
          <w:rFonts w:ascii="宋体" w:hAnsi="宋体" w:cs="宋体"/>
          <w:b/>
          <w:bCs/>
          <w:kern w:val="0"/>
          <w:sz w:val="32"/>
          <w:szCs w:val="32"/>
        </w:rPr>
      </w:pPr>
      <w:r>
        <w:rPr>
          <w:rFonts w:hint="eastAsia" w:ascii="宋体" w:hAnsi="宋体" w:cs="宋体"/>
          <w:b/>
          <w:bCs/>
          <w:kern w:val="0"/>
          <w:sz w:val="32"/>
          <w:szCs w:val="32"/>
        </w:rPr>
        <w:t xml:space="preserve">开户行名称：中国建设银行股份有限公司西安长安西路支行 </w:t>
      </w:r>
    </w:p>
    <w:p>
      <w:pPr>
        <w:widowControl/>
        <w:spacing w:line="540" w:lineRule="exact"/>
        <w:ind w:right="-197" w:rightChars="-94" w:firstLine="964" w:firstLineChars="300"/>
        <w:jc w:val="left"/>
        <w:rPr>
          <w:rFonts w:ascii="宋体" w:hAnsi="宋体" w:cs="宋体"/>
          <w:b/>
          <w:bCs/>
          <w:kern w:val="0"/>
          <w:sz w:val="32"/>
          <w:szCs w:val="32"/>
        </w:rPr>
      </w:pPr>
      <w:r>
        <w:rPr>
          <w:rFonts w:hint="eastAsia" w:ascii="宋体" w:hAnsi="宋体" w:cs="宋体"/>
          <w:b/>
          <w:bCs/>
          <w:kern w:val="0"/>
          <w:sz w:val="32"/>
          <w:szCs w:val="32"/>
        </w:rPr>
        <w:t>账      号：61050177004300000418</w:t>
      </w:r>
    </w:p>
    <w:p>
      <w:pPr>
        <w:spacing w:line="360" w:lineRule="auto"/>
        <w:jc w:val="center"/>
        <w:rPr>
          <w:rFonts w:ascii="宋体" w:hAnsi="宋体" w:cs="宋体"/>
          <w:b/>
          <w:bCs/>
          <w:sz w:val="28"/>
          <w:szCs w:val="28"/>
        </w:rPr>
      </w:pPr>
      <w:r>
        <w:rPr>
          <w:rFonts w:hint="eastAsia" w:ascii="宋体" w:hAnsi="宋体" w:cs="宋体"/>
        </w:rPr>
        <w:br w:type="page"/>
      </w:r>
      <w:r>
        <w:rPr>
          <w:rFonts w:hint="eastAsia" w:ascii="宋体" w:hAnsi="宋体" w:cs="宋体"/>
          <w:b/>
          <w:bCs/>
          <w:sz w:val="28"/>
          <w:szCs w:val="28"/>
        </w:rPr>
        <w:t>特别</w:t>
      </w:r>
      <w:r>
        <w:rPr>
          <w:rFonts w:hint="eastAsia" w:ascii="宋体" w:hAnsi="宋体" w:cs="宋体"/>
          <w:b/>
          <w:bCs/>
          <w:sz w:val="28"/>
          <w:szCs w:val="28"/>
          <w:lang w:val="zh-CN"/>
        </w:rPr>
        <w:t>提示</w:t>
      </w:r>
    </w:p>
    <w:p>
      <w:pPr>
        <w:spacing w:line="336" w:lineRule="auto"/>
        <w:jc w:val="left"/>
        <w:rPr>
          <w:rFonts w:ascii="宋体" w:hAnsi="宋体" w:cs="宋体"/>
          <w:b/>
          <w:bCs/>
          <w:sz w:val="28"/>
          <w:szCs w:val="28"/>
        </w:rPr>
      </w:pPr>
      <w:r>
        <w:rPr>
          <w:rFonts w:hint="eastAsia" w:ascii="宋体" w:hAnsi="宋体" w:cs="宋体"/>
          <w:b/>
          <w:bCs/>
          <w:sz w:val="28"/>
          <w:szCs w:val="28"/>
        </w:rPr>
        <w:t>一、供应商入库</w:t>
      </w:r>
    </w:p>
    <w:p>
      <w:pPr>
        <w:pStyle w:val="17"/>
        <w:spacing w:before="0" w:beforeAutospacing="0" w:after="0" w:afterAutospacing="0" w:line="336" w:lineRule="auto"/>
        <w:ind w:firstLine="562" w:firstLineChars="200"/>
        <w:rPr>
          <w:rFonts w:cs="宋体"/>
          <w:b/>
          <w:sz w:val="28"/>
          <w:szCs w:val="28"/>
        </w:rPr>
      </w:pPr>
      <w:r>
        <w:rPr>
          <w:rFonts w:hint="eastAsia" w:cs="宋体"/>
          <w:b/>
          <w:sz w:val="28"/>
          <w:szCs w:val="28"/>
        </w:rPr>
        <w:t>请各供应商领取谈判文件后，按照陕西省财政厅《关于政府采购供应商注册登记有关事项的通知》要求，通过陕西省政府采购网注册登记加入陕西省政府采购供应商库。</w:t>
      </w:r>
    </w:p>
    <w:p>
      <w:pPr>
        <w:spacing w:line="336" w:lineRule="auto"/>
        <w:rPr>
          <w:rFonts w:ascii="宋体" w:hAnsi="宋体" w:cs="宋体"/>
          <w:b/>
          <w:kern w:val="0"/>
          <w:sz w:val="28"/>
          <w:szCs w:val="28"/>
        </w:rPr>
      </w:pPr>
      <w:r>
        <w:rPr>
          <w:rFonts w:hint="eastAsia" w:ascii="宋体" w:hAnsi="宋体" w:cs="宋体"/>
          <w:b/>
          <w:kern w:val="0"/>
          <w:sz w:val="28"/>
          <w:szCs w:val="28"/>
        </w:rPr>
        <w:t>入库流程：</w:t>
      </w:r>
    </w:p>
    <w:p>
      <w:pPr>
        <w:pStyle w:val="17"/>
        <w:spacing w:before="0" w:beforeAutospacing="0" w:after="0" w:afterAutospacing="0" w:line="336" w:lineRule="auto"/>
        <w:ind w:firstLine="562" w:firstLineChars="200"/>
        <w:rPr>
          <w:rFonts w:cs="宋体"/>
          <w:b/>
          <w:sz w:val="28"/>
          <w:szCs w:val="28"/>
        </w:rPr>
      </w:pPr>
      <w:r>
        <w:rPr>
          <w:rFonts w:hint="eastAsia" w:cs="宋体"/>
          <w:b/>
          <w:sz w:val="28"/>
          <w:szCs w:val="28"/>
        </w:rPr>
        <w:t>1.登陆陕西省政府采购网，自行注册并获取供应商用户名及密码。</w:t>
      </w:r>
    </w:p>
    <w:p>
      <w:pPr>
        <w:pStyle w:val="17"/>
        <w:spacing w:before="0" w:beforeAutospacing="0" w:after="0" w:afterAutospacing="0" w:line="336" w:lineRule="auto"/>
        <w:ind w:firstLine="562" w:firstLineChars="200"/>
        <w:rPr>
          <w:rFonts w:cs="宋体"/>
          <w:b/>
          <w:sz w:val="28"/>
          <w:szCs w:val="28"/>
        </w:rPr>
      </w:pPr>
      <w:r>
        <w:rPr>
          <w:rFonts w:hint="eastAsia" w:cs="宋体"/>
          <w:b/>
          <w:sz w:val="28"/>
          <w:szCs w:val="28"/>
        </w:rPr>
        <w:t>2.填写基本信息，在线提交相关材料扫描件。</w:t>
      </w:r>
    </w:p>
    <w:p>
      <w:pPr>
        <w:pStyle w:val="17"/>
        <w:spacing w:before="0" w:beforeAutospacing="0" w:after="0" w:afterAutospacing="0" w:line="336" w:lineRule="auto"/>
        <w:ind w:firstLine="562" w:firstLineChars="200"/>
        <w:rPr>
          <w:rFonts w:cs="宋体"/>
          <w:b/>
          <w:sz w:val="28"/>
          <w:szCs w:val="28"/>
        </w:rPr>
      </w:pPr>
      <w:r>
        <w:rPr>
          <w:rFonts w:hint="eastAsia" w:cs="宋体"/>
          <w:b/>
          <w:sz w:val="28"/>
          <w:szCs w:val="28"/>
        </w:rPr>
        <w:t>3.供应商填报信息后提交，供应商的基本信息将通过陕西省政府采购网进行公示。</w:t>
      </w:r>
    </w:p>
    <w:p>
      <w:pPr>
        <w:pStyle w:val="16"/>
        <w:spacing w:line="336" w:lineRule="auto"/>
        <w:ind w:firstLine="562" w:firstLineChars="200"/>
        <w:rPr>
          <w:rFonts w:hint="default" w:ascii="宋体" w:hAnsi="宋体" w:eastAsia="宋体" w:cs="宋体"/>
          <w:kern w:val="0"/>
          <w:sz w:val="28"/>
          <w:szCs w:val="28"/>
        </w:rPr>
      </w:pPr>
      <w:r>
        <w:rPr>
          <w:rFonts w:ascii="宋体" w:hAnsi="宋体" w:eastAsia="宋体" w:cs="宋体"/>
          <w:kern w:val="0"/>
          <w:sz w:val="28"/>
          <w:szCs w:val="28"/>
        </w:rPr>
        <w:t>详情见链接：</w:t>
      </w:r>
    </w:p>
    <w:p>
      <w:pPr>
        <w:pStyle w:val="16"/>
        <w:spacing w:line="336" w:lineRule="auto"/>
        <w:ind w:firstLine="643" w:firstLineChars="200"/>
        <w:rPr>
          <w:rFonts w:hint="default" w:ascii="宋体" w:hAnsi="宋体" w:eastAsia="宋体" w:cs="宋体"/>
          <w:kern w:val="0"/>
          <w:sz w:val="28"/>
          <w:szCs w:val="28"/>
        </w:rPr>
      </w:pPr>
      <w:r>
        <w:fldChar w:fldCharType="begin"/>
      </w:r>
      <w:r>
        <w:instrText xml:space="preserve"> HYPERLINK "http://www.ccgp-shaanxi.gov.cn/information/informationDetail.do?informationguid=8a85be3567ed23460167ed36804d0009" </w:instrText>
      </w:r>
      <w:r>
        <w:fldChar w:fldCharType="separate"/>
      </w:r>
      <w:r>
        <w:rPr>
          <w:rStyle w:val="25"/>
          <w:rFonts w:ascii="宋体" w:hAnsi="宋体" w:eastAsia="宋体" w:cs="宋体"/>
          <w:color w:val="auto"/>
          <w:sz w:val="28"/>
          <w:szCs w:val="28"/>
        </w:rPr>
        <w:t>http：//www.ccgp-shaanxi.gov.cn/information/informationDetail.do?informationguid=8a85be3567ed23460167ed36804d0009</w:t>
      </w:r>
      <w:r>
        <w:rPr>
          <w:rStyle w:val="25"/>
          <w:rFonts w:ascii="宋体" w:hAnsi="宋体" w:eastAsia="宋体" w:cs="宋体"/>
          <w:color w:val="auto"/>
          <w:sz w:val="28"/>
          <w:szCs w:val="28"/>
        </w:rPr>
        <w:fldChar w:fldCharType="end"/>
      </w:r>
    </w:p>
    <w:p>
      <w:pPr>
        <w:spacing w:line="336" w:lineRule="auto"/>
        <w:jc w:val="left"/>
        <w:rPr>
          <w:rFonts w:ascii="宋体" w:hAnsi="宋体" w:cs="宋体"/>
          <w:b/>
          <w:bCs/>
          <w:sz w:val="28"/>
          <w:szCs w:val="28"/>
        </w:rPr>
      </w:pPr>
      <w:r>
        <w:rPr>
          <w:rFonts w:hint="eastAsia" w:ascii="宋体" w:hAnsi="宋体" w:cs="宋体"/>
          <w:b/>
          <w:bCs/>
          <w:sz w:val="28"/>
          <w:szCs w:val="28"/>
        </w:rPr>
        <w:t>二、健康一码通</w:t>
      </w:r>
    </w:p>
    <w:p>
      <w:pPr>
        <w:pStyle w:val="12"/>
        <w:spacing w:line="336" w:lineRule="auto"/>
        <w:ind w:firstLine="562" w:firstLineChars="200"/>
        <w:rPr>
          <w:rFonts w:ascii="宋体" w:hAnsi="宋体" w:cs="宋体"/>
          <w:b/>
          <w:kern w:val="0"/>
          <w:sz w:val="28"/>
          <w:szCs w:val="28"/>
        </w:rPr>
      </w:pPr>
      <w:r>
        <w:rPr>
          <w:rFonts w:hint="eastAsia" w:ascii="宋体" w:hAnsi="宋体" w:cs="宋体"/>
          <w:b/>
          <w:kern w:val="0"/>
          <w:sz w:val="28"/>
          <w:szCs w:val="28"/>
        </w:rPr>
        <w:t>受疫情影响，请各供应商提前注册西安健康一码通，自备口罩等防护工具，做好个人防护。</w:t>
      </w:r>
    </w:p>
    <w:p>
      <w:pPr>
        <w:snapToGrid w:val="0"/>
        <w:spacing w:line="312" w:lineRule="auto"/>
        <w:rPr>
          <w:rFonts w:ascii="宋体" w:hAnsi="宋体" w:cs="宋体"/>
          <w:b/>
          <w:bCs/>
          <w:sz w:val="28"/>
          <w:szCs w:val="28"/>
        </w:rPr>
      </w:pPr>
      <w:r>
        <w:rPr>
          <w:rFonts w:hint="eastAsia" w:ascii="宋体" w:hAnsi="宋体" w:cs="宋体"/>
          <w:b/>
          <w:kern w:val="0"/>
          <w:sz w:val="28"/>
          <w:szCs w:val="28"/>
        </w:rPr>
        <w:t>三、</w:t>
      </w:r>
      <w:r>
        <w:rPr>
          <w:rFonts w:hint="eastAsia" w:ascii="宋体" w:hAnsi="宋体" w:cs="宋体"/>
          <w:b/>
          <w:bCs/>
          <w:sz w:val="28"/>
          <w:szCs w:val="28"/>
        </w:rPr>
        <w:t>关于放弃谈判的说明</w:t>
      </w:r>
    </w:p>
    <w:p>
      <w:pPr>
        <w:pStyle w:val="12"/>
        <w:spacing w:line="336" w:lineRule="auto"/>
        <w:ind w:firstLine="560" w:firstLineChars="200"/>
        <w:rPr>
          <w:rFonts w:ascii="宋体" w:hAnsi="宋体" w:cs="宋体"/>
          <w:b/>
          <w:kern w:val="0"/>
          <w:sz w:val="28"/>
          <w:szCs w:val="28"/>
        </w:rPr>
      </w:pPr>
      <w:r>
        <w:rPr>
          <w:rFonts w:hint="eastAsia" w:ascii="宋体" w:hAnsi="宋体" w:cs="宋体"/>
          <w:sz w:val="28"/>
          <w:szCs w:val="28"/>
        </w:rPr>
        <w:t>根据西安市财政局关于《促进政府采购公平竞争优化营商环境的通知》，供应商登记免费领取谈判文件的，如因为一些特殊原因不能参加本次谈判活动，</w:t>
      </w:r>
      <w:r>
        <w:rPr>
          <w:rFonts w:hint="eastAsia" w:ascii="宋体" w:hAnsi="宋体" w:cs="宋体"/>
          <w:b/>
          <w:bCs/>
          <w:sz w:val="28"/>
          <w:szCs w:val="28"/>
        </w:rPr>
        <w:t>请务必在提交谈判响应文件截止时间前一日（如为周末或节假日请相应提前至工作日）以书面形式告知我们</w:t>
      </w:r>
      <w:r>
        <w:rPr>
          <w:rFonts w:hint="eastAsia" w:ascii="宋体" w:hAnsi="宋体" w:cs="宋体"/>
          <w:sz w:val="28"/>
          <w:szCs w:val="28"/>
        </w:rPr>
        <w:t>，以便我们正常开展后期工作。否则，采购代理机构可以向财政部门反映并提供相应的佐证，</w:t>
      </w:r>
      <w:r>
        <w:rPr>
          <w:rFonts w:hint="eastAsia" w:ascii="宋体" w:hAnsi="宋体" w:cs="宋体"/>
          <w:b/>
          <w:bCs/>
          <w:sz w:val="28"/>
          <w:szCs w:val="28"/>
        </w:rPr>
        <w:t>供应商一年内累计出现三次该情况，将被监管部门记录为失信行为。</w:t>
      </w:r>
      <w:r>
        <w:rPr>
          <w:rFonts w:hint="eastAsia" w:ascii="宋体" w:hAnsi="宋体" w:cs="宋体"/>
          <w:sz w:val="28"/>
          <w:szCs w:val="28"/>
        </w:rPr>
        <w:t>感谢您的配合。</w:t>
      </w:r>
    </w:p>
    <w:p>
      <w:pPr>
        <w:sectPr>
          <w:headerReference r:id="rId6" w:type="first"/>
          <w:footerReference r:id="rId9" w:type="first"/>
          <w:headerReference r:id="rId5" w:type="default"/>
          <w:footerReference r:id="rId7" w:type="default"/>
          <w:footerReference r:id="rId8" w:type="even"/>
          <w:pgSz w:w="11906" w:h="16838"/>
          <w:pgMar w:top="1304" w:right="1304" w:bottom="1304" w:left="1304" w:header="851" w:footer="992" w:gutter="0"/>
          <w:pgNumType w:start="1"/>
          <w:cols w:space="720" w:num="1"/>
          <w:titlePg/>
          <w:docGrid w:type="lines" w:linePitch="312" w:charSpace="0"/>
        </w:sectPr>
      </w:pPr>
    </w:p>
    <w:p>
      <w:pPr>
        <w:pStyle w:val="14"/>
        <w:tabs>
          <w:tab w:val="right" w:leader="dot" w:pos="9298"/>
        </w:tabs>
        <w:snapToGrid w:val="0"/>
        <w:spacing w:line="360" w:lineRule="auto"/>
        <w:ind w:firstLine="0" w:firstLineChars="0"/>
        <w:jc w:val="center"/>
        <w:rPr>
          <w:rFonts w:ascii="宋体" w:hAnsi="宋体" w:cs="宋体"/>
          <w:sz w:val="24"/>
          <w:szCs w:val="24"/>
        </w:rPr>
      </w:pPr>
      <w:bookmarkStart w:id="2" w:name="_Toc7504"/>
      <w:bookmarkStart w:id="3" w:name="_Toc16048"/>
      <w:bookmarkStart w:id="4" w:name="_Toc547"/>
      <w:r>
        <w:rPr>
          <w:rFonts w:hint="eastAsia" w:ascii="宋体" w:hAnsi="宋体" w:cs="宋体"/>
          <w:sz w:val="36"/>
          <w:szCs w:val="36"/>
        </w:rPr>
        <w:t>目 录</w:t>
      </w:r>
      <w:bookmarkEnd w:id="2"/>
      <w:bookmarkEnd w:id="3"/>
      <w:bookmarkEnd w:id="4"/>
      <w:r>
        <w:rPr>
          <w:rFonts w:hint="eastAsia" w:ascii="宋体" w:hAnsi="宋体" w:cs="宋体"/>
          <w:sz w:val="24"/>
          <w:szCs w:val="24"/>
        </w:rPr>
        <w:fldChar w:fldCharType="begin"/>
      </w:r>
      <w:r>
        <w:rPr>
          <w:rFonts w:hint="eastAsia" w:ascii="宋体" w:hAnsi="宋体" w:cs="宋体"/>
          <w:sz w:val="24"/>
          <w:szCs w:val="24"/>
        </w:rPr>
        <w:instrText xml:space="preserve">TOC \o "1-3" \h \u </w:instrText>
      </w:r>
      <w:r>
        <w:rPr>
          <w:rFonts w:hint="eastAsia" w:ascii="宋体" w:hAnsi="宋体" w:cs="宋体"/>
          <w:sz w:val="24"/>
          <w:szCs w:val="24"/>
        </w:rPr>
        <w:fldChar w:fldCharType="separate"/>
      </w:r>
    </w:p>
    <w:p>
      <w:pPr>
        <w:pStyle w:val="14"/>
        <w:tabs>
          <w:tab w:val="right" w:leader="dot" w:pos="9298"/>
        </w:tabs>
        <w:adjustRightInd w:val="0"/>
        <w:snapToGrid w:val="0"/>
        <w:spacing w:line="360" w:lineRule="auto"/>
        <w:ind w:firstLine="0" w:firstLineChars="0"/>
        <w:rPr>
          <w:rFonts w:ascii="宋体" w:hAnsi="宋体" w:cs="宋体"/>
          <w:sz w:val="24"/>
          <w:szCs w:val="24"/>
        </w:rPr>
      </w:pPr>
      <w:r>
        <w:fldChar w:fldCharType="begin"/>
      </w:r>
      <w:r>
        <w:instrText xml:space="preserve"> HYPERLINK \l "_Toc3992" </w:instrText>
      </w:r>
      <w:r>
        <w:fldChar w:fldCharType="separate"/>
      </w:r>
      <w:r>
        <w:rPr>
          <w:rFonts w:hint="eastAsia" w:ascii="宋体" w:hAnsi="宋体" w:cs="宋体"/>
          <w:sz w:val="24"/>
          <w:szCs w:val="24"/>
        </w:rPr>
        <w:t>第一部分  竞争性谈判公告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_Toc3992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14"/>
        <w:tabs>
          <w:tab w:val="right" w:leader="dot" w:pos="9298"/>
        </w:tabs>
        <w:adjustRightInd w:val="0"/>
        <w:snapToGrid w:val="0"/>
        <w:spacing w:line="360" w:lineRule="auto"/>
        <w:ind w:firstLine="0" w:firstLineChars="0"/>
        <w:rPr>
          <w:rFonts w:ascii="宋体" w:hAnsi="宋体" w:cs="宋体"/>
          <w:sz w:val="24"/>
          <w:szCs w:val="24"/>
        </w:rPr>
      </w:pPr>
      <w:r>
        <w:fldChar w:fldCharType="begin"/>
      </w:r>
      <w:r>
        <w:instrText xml:space="preserve"> HYPERLINK \l "_Toc26857" </w:instrText>
      </w:r>
      <w:r>
        <w:fldChar w:fldCharType="separate"/>
      </w:r>
      <w:r>
        <w:rPr>
          <w:rFonts w:hint="eastAsia" w:ascii="宋体" w:hAnsi="宋体" w:cs="宋体"/>
          <w:bCs/>
          <w:sz w:val="24"/>
          <w:szCs w:val="24"/>
        </w:rPr>
        <w:t>第二部分  供应商须知前附表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_Toc26857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pPr>
        <w:pStyle w:val="14"/>
        <w:tabs>
          <w:tab w:val="right" w:leader="dot" w:pos="9298"/>
        </w:tabs>
        <w:adjustRightInd w:val="0"/>
        <w:snapToGrid w:val="0"/>
        <w:spacing w:line="360" w:lineRule="auto"/>
        <w:ind w:firstLine="0" w:firstLineChars="0"/>
        <w:rPr>
          <w:rFonts w:ascii="宋体" w:hAnsi="宋体" w:cs="宋体"/>
          <w:sz w:val="24"/>
          <w:szCs w:val="24"/>
        </w:rPr>
      </w:pPr>
      <w:r>
        <w:fldChar w:fldCharType="begin"/>
      </w:r>
      <w:r>
        <w:instrText xml:space="preserve"> HYPERLINK \l "_Toc31144" </w:instrText>
      </w:r>
      <w:r>
        <w:fldChar w:fldCharType="separate"/>
      </w:r>
      <w:r>
        <w:rPr>
          <w:rFonts w:hint="eastAsia" w:ascii="宋体" w:hAnsi="宋体" w:cs="宋体"/>
          <w:bCs/>
          <w:sz w:val="24"/>
          <w:szCs w:val="24"/>
        </w:rPr>
        <w:t>第三部分  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_Toc31144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rPr>
          <w:rFonts w:ascii="宋体" w:hAnsi="宋体" w:cs="宋体"/>
          <w:sz w:val="24"/>
          <w:szCs w:val="24"/>
        </w:rPr>
      </w:pPr>
      <w:r>
        <w:fldChar w:fldCharType="begin"/>
      </w:r>
      <w:r>
        <w:instrText xml:space="preserve"> HYPERLINK \l "_Toc10689" </w:instrText>
      </w:r>
      <w:r>
        <w:fldChar w:fldCharType="separate"/>
      </w:r>
      <w:r>
        <w:rPr>
          <w:rFonts w:hint="eastAsia" w:ascii="宋体" w:hAnsi="宋体" w:cs="宋体"/>
          <w:sz w:val="24"/>
          <w:szCs w:val="24"/>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_Toc10689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rPr>
          <w:rFonts w:ascii="宋体" w:hAnsi="宋体" w:cs="宋体"/>
          <w:sz w:val="24"/>
          <w:szCs w:val="24"/>
        </w:rPr>
      </w:pPr>
      <w:r>
        <w:fldChar w:fldCharType="begin"/>
      </w:r>
      <w:r>
        <w:instrText xml:space="preserve"> HYPERLINK \l "_Toc2340" </w:instrText>
      </w:r>
      <w:r>
        <w:fldChar w:fldCharType="separate"/>
      </w:r>
      <w:r>
        <w:rPr>
          <w:rFonts w:hint="eastAsia" w:ascii="宋体" w:hAnsi="宋体" w:cs="宋体"/>
          <w:sz w:val="24"/>
          <w:szCs w:val="24"/>
        </w:rPr>
        <w:t>二、竞争性谈判文件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_Toc2340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rPr>
          <w:rFonts w:ascii="宋体" w:hAnsi="宋体" w:cs="宋体"/>
          <w:sz w:val="24"/>
          <w:szCs w:val="24"/>
        </w:rPr>
      </w:pPr>
      <w:r>
        <w:fldChar w:fldCharType="begin"/>
      </w:r>
      <w:r>
        <w:instrText xml:space="preserve"> HYPERLINK \l "_Toc6114" </w:instrText>
      </w:r>
      <w:r>
        <w:fldChar w:fldCharType="separate"/>
      </w:r>
      <w:r>
        <w:rPr>
          <w:rFonts w:hint="eastAsia" w:ascii="宋体" w:hAnsi="宋体" w:cs="宋体"/>
          <w:bCs/>
          <w:sz w:val="24"/>
          <w:szCs w:val="24"/>
        </w:rPr>
        <w:t>三、竞争性谈判响应文件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_Toc6114 </w:instrText>
      </w:r>
      <w:r>
        <w:rPr>
          <w:rFonts w:hint="eastAsia" w:ascii="宋体" w:hAnsi="宋体" w:cs="宋体"/>
          <w:sz w:val="24"/>
          <w:szCs w:val="24"/>
        </w:rPr>
        <w:fldChar w:fldCharType="separate"/>
      </w:r>
      <w:r>
        <w:rPr>
          <w:rFonts w:hint="eastAsia"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rPr>
          <w:rFonts w:ascii="宋体" w:hAnsi="宋体" w:cs="宋体"/>
          <w:sz w:val="24"/>
          <w:szCs w:val="24"/>
        </w:rPr>
      </w:pPr>
      <w:r>
        <w:fldChar w:fldCharType="begin"/>
      </w:r>
      <w:r>
        <w:instrText xml:space="preserve"> HYPERLINK \l "_Toc12585" </w:instrText>
      </w:r>
      <w:r>
        <w:fldChar w:fldCharType="separate"/>
      </w:r>
      <w:r>
        <w:rPr>
          <w:rFonts w:hint="eastAsia" w:ascii="宋体" w:hAnsi="宋体" w:cs="宋体"/>
          <w:sz w:val="24"/>
          <w:szCs w:val="24"/>
        </w:rPr>
        <w:t>四、谈判响应文件的提交</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_Toc12585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"_Toc28740" </w:instrText>
      </w:r>
      <w:r>
        <w:fldChar w:fldCharType="separate"/>
      </w:r>
      <w:r>
        <w:rPr>
          <w:rFonts w:hint="eastAsia" w:ascii="宋体" w:hAnsi="宋体" w:cs="宋体"/>
          <w:sz w:val="24"/>
          <w:szCs w:val="24"/>
        </w:rPr>
        <w:t>五、谈判和评审</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_Toc28740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"_Toc16339" </w:instrText>
      </w:r>
      <w:r>
        <w:fldChar w:fldCharType="separate"/>
      </w:r>
      <w:r>
        <w:rPr>
          <w:rFonts w:hint="eastAsia" w:ascii="宋体" w:hAnsi="宋体" w:cs="宋体"/>
          <w:sz w:val="24"/>
          <w:szCs w:val="24"/>
        </w:rPr>
        <w:t>六、评审办法及内容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_Toc16339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"_Toc24948" </w:instrText>
      </w:r>
      <w:r>
        <w:fldChar w:fldCharType="separate"/>
      </w:r>
      <w:r>
        <w:rPr>
          <w:rFonts w:hint="eastAsia" w:ascii="宋体" w:hAnsi="宋体" w:cs="宋体"/>
          <w:sz w:val="24"/>
          <w:szCs w:val="24"/>
        </w:rPr>
        <w:t>七、定标</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_Toc24948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"_Toc26330" </w:instrText>
      </w:r>
      <w:r>
        <w:fldChar w:fldCharType="separate"/>
      </w:r>
      <w:r>
        <w:rPr>
          <w:rFonts w:hint="eastAsia" w:ascii="宋体" w:hAnsi="宋体" w:cs="宋体"/>
          <w:sz w:val="24"/>
          <w:szCs w:val="24"/>
        </w:rPr>
        <w:t>八、签订合同</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_Toc26330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"_Toc1597" </w:instrText>
      </w:r>
      <w:r>
        <w:fldChar w:fldCharType="separate"/>
      </w:r>
      <w:r>
        <w:rPr>
          <w:rFonts w:hint="eastAsia" w:ascii="宋体" w:hAnsi="宋体" w:cs="宋体"/>
          <w:sz w:val="24"/>
          <w:szCs w:val="24"/>
        </w:rPr>
        <w:t>九、成交服务费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_Toc1597 </w:instrText>
      </w:r>
      <w:r>
        <w:rPr>
          <w:rFonts w:hint="eastAsia" w:ascii="宋体" w:hAnsi="宋体" w:cs="宋体"/>
          <w:sz w:val="24"/>
          <w:szCs w:val="24"/>
        </w:rPr>
        <w:fldChar w:fldCharType="separate"/>
      </w:r>
      <w:r>
        <w:rPr>
          <w:rFonts w:hint="eastAsia" w:ascii="宋体" w:hAnsi="宋体" w:cs="宋体"/>
          <w:sz w:val="24"/>
          <w:szCs w:val="24"/>
        </w:rPr>
        <w:t>23</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"_Toc3588" </w:instrText>
      </w:r>
      <w:r>
        <w:fldChar w:fldCharType="separate"/>
      </w:r>
      <w:r>
        <w:rPr>
          <w:rFonts w:hint="eastAsia" w:ascii="宋体" w:hAnsi="宋体" w:cs="宋体"/>
          <w:sz w:val="24"/>
          <w:szCs w:val="24"/>
        </w:rPr>
        <w:t>十、采购项目需要落实的政府采购政策</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_Toc3588 </w:instrText>
      </w:r>
      <w:r>
        <w:rPr>
          <w:rFonts w:hint="eastAsia" w:ascii="宋体" w:hAnsi="宋体" w:cs="宋体"/>
          <w:sz w:val="24"/>
          <w:szCs w:val="24"/>
        </w:rPr>
        <w:fldChar w:fldCharType="separate"/>
      </w:r>
      <w:r>
        <w:rPr>
          <w:rFonts w:hint="eastAsia" w:ascii="宋体" w:hAnsi="宋体" w:cs="宋体"/>
          <w:sz w:val="24"/>
          <w:szCs w:val="24"/>
        </w:rPr>
        <w:t>24</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"_Toc9935" </w:instrText>
      </w:r>
      <w:r>
        <w:fldChar w:fldCharType="separate"/>
      </w:r>
      <w:r>
        <w:rPr>
          <w:rFonts w:hint="eastAsia" w:ascii="宋体" w:hAnsi="宋体" w:cs="宋体"/>
          <w:sz w:val="24"/>
          <w:szCs w:val="24"/>
        </w:rPr>
        <w:t>十一、质疑与投诉</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_Toc9935 </w:instrText>
      </w:r>
      <w:r>
        <w:rPr>
          <w:rFonts w:hint="eastAsia" w:ascii="宋体" w:hAnsi="宋体" w:cs="宋体"/>
          <w:sz w:val="24"/>
          <w:szCs w:val="24"/>
        </w:rPr>
        <w:fldChar w:fldCharType="separate"/>
      </w:r>
      <w:r>
        <w:rPr>
          <w:rFonts w:hint="eastAsia" w:ascii="宋体" w:hAnsi="宋体" w:cs="宋体"/>
          <w:sz w:val="24"/>
          <w:szCs w:val="24"/>
        </w:rPr>
        <w:t>25</w:t>
      </w:r>
      <w:r>
        <w:rPr>
          <w:rFonts w:hint="eastAsia" w:ascii="宋体" w:hAnsi="宋体" w:cs="宋体"/>
          <w:sz w:val="24"/>
          <w:szCs w:val="24"/>
        </w:rPr>
        <w:fldChar w:fldCharType="end"/>
      </w:r>
      <w:r>
        <w:rPr>
          <w:rFonts w:hint="eastAsia" w:ascii="宋体" w:hAnsi="宋体" w:cs="宋体"/>
          <w:sz w:val="24"/>
          <w:szCs w:val="24"/>
        </w:rPr>
        <w:fldChar w:fldCharType="end"/>
      </w:r>
    </w:p>
    <w:p>
      <w:pPr>
        <w:pStyle w:val="14"/>
        <w:tabs>
          <w:tab w:val="right" w:leader="dot" w:pos="9298"/>
        </w:tabs>
        <w:adjustRightInd w:val="0"/>
        <w:snapToGrid w:val="0"/>
        <w:spacing w:line="360" w:lineRule="auto"/>
        <w:ind w:firstLine="0" w:firstLineChars="0"/>
        <w:rPr>
          <w:rFonts w:ascii="宋体" w:hAnsi="宋体" w:cs="宋体"/>
          <w:sz w:val="24"/>
          <w:szCs w:val="24"/>
        </w:rPr>
      </w:pPr>
      <w:r>
        <w:fldChar w:fldCharType="begin"/>
      </w:r>
      <w:r>
        <w:instrText xml:space="preserve"> HYPERLINK \l "_Toc26170" </w:instrText>
      </w:r>
      <w:r>
        <w:fldChar w:fldCharType="separate"/>
      </w:r>
      <w:r>
        <w:rPr>
          <w:rFonts w:hint="eastAsia" w:ascii="宋体" w:hAnsi="宋体" w:cs="宋体"/>
          <w:sz w:val="24"/>
          <w:szCs w:val="24"/>
        </w:rPr>
        <w:t>第四部分  采购内容及商务、技术要求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_Toc26170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"_Toc31744" </w:instrText>
      </w:r>
      <w:r>
        <w:fldChar w:fldCharType="separate"/>
      </w:r>
      <w:r>
        <w:rPr>
          <w:rFonts w:hint="eastAsia" w:ascii="宋体" w:hAnsi="宋体" w:cs="宋体"/>
          <w:bCs/>
          <w:sz w:val="24"/>
          <w:szCs w:val="24"/>
        </w:rPr>
        <w:t>一、商务要</w:t>
      </w:r>
      <w:bookmarkStart w:id="5" w:name="_Hlt75342008"/>
      <w:bookmarkStart w:id="6" w:name="_Hlt75342009"/>
      <w:r>
        <w:rPr>
          <w:rFonts w:hint="eastAsia" w:ascii="宋体" w:hAnsi="宋体" w:cs="宋体"/>
          <w:bCs/>
          <w:sz w:val="24"/>
          <w:szCs w:val="24"/>
        </w:rPr>
        <w:t>求</w:t>
      </w:r>
      <w:bookmarkEnd w:id="5"/>
      <w:bookmarkEnd w:id="6"/>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_Toc31744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"_Toc10825" </w:instrText>
      </w:r>
      <w:r>
        <w:fldChar w:fldCharType="separate"/>
      </w:r>
      <w:r>
        <w:rPr>
          <w:rFonts w:hint="eastAsia" w:ascii="宋体" w:hAnsi="宋体" w:cs="宋体"/>
          <w:bCs/>
          <w:sz w:val="24"/>
          <w:szCs w:val="24"/>
        </w:rPr>
        <w:t>二、采购内容及要求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_Toc10825 </w:instrText>
      </w:r>
      <w:r>
        <w:rPr>
          <w:rFonts w:hint="eastAsia" w:ascii="宋体" w:hAnsi="宋体" w:cs="宋体"/>
          <w:sz w:val="24"/>
          <w:szCs w:val="24"/>
        </w:rPr>
        <w:fldChar w:fldCharType="separate"/>
      </w:r>
      <w:r>
        <w:rPr>
          <w:rFonts w:hint="eastAsia" w:ascii="宋体" w:hAnsi="宋体" w:cs="宋体"/>
          <w:sz w:val="24"/>
          <w:szCs w:val="24"/>
        </w:rPr>
        <w:t>28</w:t>
      </w:r>
      <w:r>
        <w:rPr>
          <w:rFonts w:hint="eastAsia" w:ascii="宋体" w:hAnsi="宋体" w:cs="宋体"/>
          <w:sz w:val="24"/>
          <w:szCs w:val="24"/>
        </w:rPr>
        <w:fldChar w:fldCharType="end"/>
      </w:r>
      <w:r>
        <w:rPr>
          <w:rFonts w:hint="eastAsia" w:ascii="宋体" w:hAnsi="宋体" w:cs="宋体"/>
          <w:sz w:val="24"/>
          <w:szCs w:val="24"/>
        </w:rPr>
        <w:fldChar w:fldCharType="end"/>
      </w:r>
    </w:p>
    <w:p>
      <w:pPr>
        <w:pStyle w:val="14"/>
        <w:tabs>
          <w:tab w:val="right" w:leader="dot" w:pos="9298"/>
        </w:tabs>
        <w:adjustRightInd w:val="0"/>
        <w:snapToGrid w:val="0"/>
        <w:spacing w:line="360" w:lineRule="auto"/>
        <w:ind w:firstLine="0" w:firstLineChars="0"/>
        <w:rPr>
          <w:rFonts w:ascii="宋体" w:hAnsi="宋体" w:cs="宋体"/>
          <w:sz w:val="24"/>
          <w:szCs w:val="24"/>
        </w:rPr>
      </w:pPr>
      <w:r>
        <w:fldChar w:fldCharType="begin"/>
      </w:r>
      <w:r>
        <w:instrText xml:space="preserve"> HYPERLINK \l "_Toc19855" </w:instrText>
      </w:r>
      <w:r>
        <w:fldChar w:fldCharType="separate"/>
      </w:r>
      <w:r>
        <w:rPr>
          <w:rFonts w:hint="eastAsia" w:ascii="宋体" w:hAnsi="宋体" w:cs="宋体"/>
          <w:bCs/>
          <w:sz w:val="24"/>
          <w:szCs w:val="24"/>
        </w:rPr>
        <w:t>第五部分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_Toc19855 </w:instrText>
      </w:r>
      <w:r>
        <w:rPr>
          <w:rFonts w:hint="eastAsia" w:ascii="宋体" w:hAnsi="宋体" w:cs="宋体"/>
          <w:sz w:val="24"/>
          <w:szCs w:val="24"/>
        </w:rPr>
        <w:fldChar w:fldCharType="separate"/>
      </w:r>
      <w:r>
        <w:rPr>
          <w:rFonts w:hint="eastAsia" w:ascii="宋体" w:hAnsi="宋体" w:cs="宋体"/>
          <w:sz w:val="24"/>
          <w:szCs w:val="24"/>
        </w:rPr>
        <w:t>70</w:t>
      </w:r>
      <w:r>
        <w:rPr>
          <w:rFonts w:hint="eastAsia" w:ascii="宋体" w:hAnsi="宋体" w:cs="宋体"/>
          <w:sz w:val="24"/>
          <w:szCs w:val="24"/>
        </w:rPr>
        <w:fldChar w:fldCharType="end"/>
      </w:r>
      <w:r>
        <w:rPr>
          <w:rFonts w:hint="eastAsia" w:ascii="宋体" w:hAnsi="宋体" w:cs="宋体"/>
          <w:sz w:val="24"/>
          <w:szCs w:val="24"/>
        </w:rPr>
        <w:fldChar w:fldCharType="end"/>
      </w:r>
    </w:p>
    <w:p>
      <w:pPr>
        <w:pStyle w:val="14"/>
        <w:tabs>
          <w:tab w:val="right" w:leader="dot" w:pos="9298"/>
        </w:tabs>
        <w:adjustRightInd w:val="0"/>
        <w:snapToGrid w:val="0"/>
        <w:spacing w:line="360" w:lineRule="auto"/>
        <w:ind w:firstLine="0" w:firstLineChars="0"/>
        <w:rPr>
          <w:rFonts w:ascii="宋体" w:hAnsi="宋体" w:cs="宋体"/>
          <w:sz w:val="24"/>
          <w:szCs w:val="24"/>
        </w:rPr>
      </w:pPr>
      <w:r>
        <w:fldChar w:fldCharType="begin"/>
      </w:r>
      <w:r>
        <w:instrText xml:space="preserve"> HYPERLINK \l "_Toc8845" </w:instrText>
      </w:r>
      <w:r>
        <w:fldChar w:fldCharType="separate"/>
      </w:r>
      <w:r>
        <w:rPr>
          <w:rFonts w:hint="eastAsia" w:ascii="宋体" w:hAnsi="宋体" w:cs="宋体"/>
          <w:bCs/>
          <w:sz w:val="24"/>
          <w:szCs w:val="24"/>
        </w:rPr>
        <w:t>第六部分  竞争性谈判响应文件格式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_Toc8845 </w:instrText>
      </w:r>
      <w:r>
        <w:rPr>
          <w:rFonts w:hint="eastAsia" w:ascii="宋体" w:hAnsi="宋体" w:cs="宋体"/>
          <w:sz w:val="24"/>
          <w:szCs w:val="24"/>
        </w:rPr>
        <w:fldChar w:fldCharType="separate"/>
      </w:r>
      <w:r>
        <w:rPr>
          <w:rFonts w:hint="eastAsia" w:ascii="宋体" w:hAnsi="宋体" w:cs="宋体"/>
          <w:sz w:val="24"/>
          <w:szCs w:val="24"/>
        </w:rPr>
        <w:t>75</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"_Toc19350" </w:instrText>
      </w:r>
      <w:r>
        <w:fldChar w:fldCharType="separate"/>
      </w:r>
      <w:r>
        <w:rPr>
          <w:rFonts w:hint="eastAsia" w:ascii="宋体" w:hAnsi="宋体" w:cs="宋体"/>
          <w:sz w:val="24"/>
          <w:szCs w:val="24"/>
        </w:rPr>
        <w:t>一、谈判函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_Toc19350 </w:instrText>
      </w:r>
      <w:r>
        <w:rPr>
          <w:rFonts w:hint="eastAsia" w:ascii="宋体" w:hAnsi="宋体" w:cs="宋体"/>
          <w:sz w:val="24"/>
          <w:szCs w:val="24"/>
        </w:rPr>
        <w:fldChar w:fldCharType="separate"/>
      </w:r>
      <w:r>
        <w:rPr>
          <w:rFonts w:hint="eastAsia" w:ascii="宋体" w:hAnsi="宋体" w:cs="宋体"/>
          <w:sz w:val="24"/>
          <w:szCs w:val="24"/>
        </w:rPr>
        <w:t>77</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"_Toc27420" </w:instrText>
      </w:r>
      <w:r>
        <w:fldChar w:fldCharType="separate"/>
      </w:r>
      <w:r>
        <w:rPr>
          <w:rFonts w:hint="eastAsia" w:ascii="宋体" w:hAnsi="宋体" w:cs="宋体"/>
          <w:bCs/>
          <w:sz w:val="24"/>
          <w:szCs w:val="24"/>
        </w:rPr>
        <w:t>二、谈判一览表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_Toc27420 </w:instrText>
      </w:r>
      <w:r>
        <w:rPr>
          <w:rFonts w:hint="eastAsia" w:ascii="宋体" w:hAnsi="宋体" w:cs="宋体"/>
          <w:sz w:val="24"/>
          <w:szCs w:val="24"/>
        </w:rPr>
        <w:fldChar w:fldCharType="separate"/>
      </w:r>
      <w:r>
        <w:rPr>
          <w:rFonts w:hint="eastAsia" w:ascii="宋体" w:hAnsi="宋体" w:cs="宋体"/>
          <w:sz w:val="24"/>
          <w:szCs w:val="24"/>
        </w:rPr>
        <w:t>78</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"_Toc17560" </w:instrText>
      </w:r>
      <w:r>
        <w:fldChar w:fldCharType="separate"/>
      </w:r>
      <w:r>
        <w:rPr>
          <w:rFonts w:hint="eastAsia" w:ascii="宋体" w:hAnsi="宋体" w:cs="宋体"/>
          <w:sz w:val="24"/>
          <w:szCs w:val="24"/>
        </w:rPr>
        <w:t>三、</w:t>
      </w:r>
      <w:r>
        <w:rPr>
          <w:rFonts w:hint="eastAsia" w:ascii="宋体" w:hAnsi="宋体" w:cs="宋体"/>
          <w:bCs/>
          <w:sz w:val="24"/>
          <w:szCs w:val="24"/>
        </w:rPr>
        <w:t>技术偏离表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_Toc17560 </w:instrText>
      </w:r>
      <w:r>
        <w:rPr>
          <w:rFonts w:hint="eastAsia" w:ascii="宋体" w:hAnsi="宋体" w:cs="宋体"/>
          <w:sz w:val="24"/>
          <w:szCs w:val="24"/>
        </w:rPr>
        <w:fldChar w:fldCharType="separate"/>
      </w:r>
      <w:r>
        <w:rPr>
          <w:rFonts w:hint="eastAsia" w:ascii="宋体" w:hAnsi="宋体" w:cs="宋体"/>
          <w:sz w:val="24"/>
          <w:szCs w:val="24"/>
        </w:rPr>
        <w:t>80</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"_Toc14381" </w:instrText>
      </w:r>
      <w:r>
        <w:fldChar w:fldCharType="separate"/>
      </w:r>
      <w:r>
        <w:rPr>
          <w:rFonts w:hint="eastAsia" w:ascii="宋体" w:hAnsi="宋体" w:cs="宋体"/>
          <w:sz w:val="24"/>
          <w:szCs w:val="24"/>
        </w:rPr>
        <w:t>四、商务响应偏离表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_Toc14381 </w:instrText>
      </w:r>
      <w:r>
        <w:rPr>
          <w:rFonts w:hint="eastAsia" w:ascii="宋体" w:hAnsi="宋体" w:cs="宋体"/>
          <w:sz w:val="24"/>
          <w:szCs w:val="24"/>
        </w:rPr>
        <w:fldChar w:fldCharType="separate"/>
      </w:r>
      <w:r>
        <w:rPr>
          <w:rFonts w:hint="eastAsia" w:ascii="宋体" w:hAnsi="宋体" w:cs="宋体"/>
          <w:sz w:val="24"/>
          <w:szCs w:val="24"/>
        </w:rPr>
        <w:t>81</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"_Toc9407" </w:instrText>
      </w:r>
      <w:r>
        <w:fldChar w:fldCharType="separate"/>
      </w:r>
      <w:r>
        <w:rPr>
          <w:rFonts w:hint="eastAsia" w:ascii="宋体" w:hAnsi="宋体" w:cs="宋体"/>
          <w:sz w:val="24"/>
          <w:szCs w:val="24"/>
        </w:rPr>
        <w:t>五、法定代表人证明书及法定代表人授权书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_Toc9407 </w:instrText>
      </w:r>
      <w:r>
        <w:rPr>
          <w:rFonts w:hint="eastAsia" w:ascii="宋体" w:hAnsi="宋体" w:cs="宋体"/>
          <w:sz w:val="24"/>
          <w:szCs w:val="24"/>
        </w:rPr>
        <w:fldChar w:fldCharType="separate"/>
      </w:r>
      <w:r>
        <w:rPr>
          <w:rFonts w:hint="eastAsia" w:ascii="宋体" w:hAnsi="宋体" w:cs="宋体"/>
          <w:sz w:val="24"/>
          <w:szCs w:val="24"/>
        </w:rPr>
        <w:t>82</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"_Toc29389" </w:instrText>
      </w:r>
      <w:r>
        <w:fldChar w:fldCharType="separate"/>
      </w:r>
      <w:r>
        <w:rPr>
          <w:rFonts w:hint="eastAsia" w:ascii="宋体" w:hAnsi="宋体" w:cs="宋体"/>
          <w:bCs/>
          <w:sz w:val="24"/>
          <w:szCs w:val="24"/>
        </w:rPr>
        <w:t>六、</w:t>
      </w:r>
      <w:r>
        <w:rPr>
          <w:rFonts w:hint="eastAsia" w:ascii="宋体" w:hAnsi="宋体" w:cs="宋体"/>
          <w:sz w:val="24"/>
          <w:szCs w:val="24"/>
        </w:rPr>
        <w:t>资格证明文件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_Toc29389 </w:instrText>
      </w:r>
      <w:r>
        <w:rPr>
          <w:rFonts w:hint="eastAsia" w:ascii="宋体" w:hAnsi="宋体" w:cs="宋体"/>
          <w:sz w:val="24"/>
          <w:szCs w:val="24"/>
        </w:rPr>
        <w:fldChar w:fldCharType="separate"/>
      </w:r>
      <w:r>
        <w:rPr>
          <w:rFonts w:hint="eastAsia" w:ascii="宋体" w:hAnsi="宋体" w:cs="宋体"/>
          <w:sz w:val="24"/>
          <w:szCs w:val="24"/>
        </w:rPr>
        <w:t>84</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"_Toc20549" </w:instrText>
      </w:r>
      <w:r>
        <w:fldChar w:fldCharType="separate"/>
      </w:r>
      <w:r>
        <w:rPr>
          <w:rFonts w:hint="eastAsia" w:ascii="宋体" w:hAnsi="宋体" w:cs="宋体"/>
          <w:sz w:val="24"/>
          <w:szCs w:val="24"/>
        </w:rPr>
        <w:t>七、</w:t>
      </w:r>
      <w:r>
        <w:rPr>
          <w:rFonts w:hint="eastAsia" w:ascii="宋体" w:hAnsi="宋体" w:cs="宋体"/>
          <w:bCs/>
          <w:sz w:val="24"/>
          <w:szCs w:val="24"/>
        </w:rPr>
        <w:t>采购产品与技术组织方案</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_Toc20549 </w:instrText>
      </w:r>
      <w:r>
        <w:rPr>
          <w:rFonts w:hint="eastAsia" w:ascii="宋体" w:hAnsi="宋体" w:cs="宋体"/>
          <w:sz w:val="24"/>
          <w:szCs w:val="24"/>
        </w:rPr>
        <w:fldChar w:fldCharType="separate"/>
      </w:r>
      <w:r>
        <w:rPr>
          <w:rFonts w:hint="eastAsia" w:ascii="宋体" w:hAnsi="宋体" w:cs="宋体"/>
          <w:sz w:val="24"/>
          <w:szCs w:val="24"/>
        </w:rPr>
        <w:t>85</w:t>
      </w:r>
      <w:r>
        <w:rPr>
          <w:rFonts w:hint="eastAsia" w:ascii="宋体" w:hAnsi="宋体" w:cs="宋体"/>
          <w:sz w:val="24"/>
          <w:szCs w:val="24"/>
        </w:rPr>
        <w:fldChar w:fldCharType="end"/>
      </w:r>
      <w:r>
        <w:rPr>
          <w:rFonts w:hint="eastAsia" w:ascii="宋体" w:hAnsi="宋体" w:cs="宋体"/>
          <w:sz w:val="24"/>
          <w:szCs w:val="24"/>
        </w:rPr>
        <w:fldChar w:fldCharType="end"/>
      </w:r>
    </w:p>
    <w:p>
      <w:pPr>
        <w:pStyle w:val="15"/>
        <w:tabs>
          <w:tab w:val="right" w:leader="dot" w:pos="9298"/>
        </w:tabs>
        <w:adjustRightInd w:val="0"/>
        <w:snapToGrid w:val="0"/>
        <w:spacing w:line="360" w:lineRule="auto"/>
        <w:ind w:left="0" w:leftChars="0" w:firstLine="420" w:firstLineChars="200"/>
        <w:rPr>
          <w:rFonts w:ascii="宋体" w:hAnsi="宋体" w:cs="宋体"/>
          <w:sz w:val="24"/>
          <w:szCs w:val="24"/>
        </w:rPr>
      </w:pPr>
      <w:r>
        <w:fldChar w:fldCharType="begin"/>
      </w:r>
      <w:r>
        <w:instrText xml:space="preserve"> HYPERLINK \l "_Toc6177" </w:instrText>
      </w:r>
      <w:r>
        <w:fldChar w:fldCharType="separate"/>
      </w:r>
      <w:r>
        <w:rPr>
          <w:rFonts w:hint="eastAsia" w:ascii="宋体" w:hAnsi="宋体" w:cs="宋体"/>
          <w:sz w:val="24"/>
          <w:szCs w:val="24"/>
        </w:rPr>
        <w:t>八、承诺书及承诺函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_Toc6177 </w:instrText>
      </w:r>
      <w:r>
        <w:rPr>
          <w:rFonts w:hint="eastAsia" w:ascii="宋体" w:hAnsi="宋体" w:cs="宋体"/>
          <w:sz w:val="24"/>
          <w:szCs w:val="24"/>
        </w:rPr>
        <w:fldChar w:fldCharType="separate"/>
      </w:r>
      <w:r>
        <w:rPr>
          <w:rFonts w:hint="eastAsia" w:ascii="宋体" w:hAnsi="宋体" w:cs="宋体"/>
          <w:sz w:val="24"/>
          <w:szCs w:val="24"/>
        </w:rPr>
        <w:t>86</w:t>
      </w:r>
      <w:r>
        <w:rPr>
          <w:rFonts w:hint="eastAsia" w:ascii="宋体" w:hAnsi="宋体" w:cs="宋体"/>
          <w:sz w:val="24"/>
          <w:szCs w:val="24"/>
        </w:rPr>
        <w:fldChar w:fldCharType="end"/>
      </w:r>
      <w:r>
        <w:rPr>
          <w:rFonts w:hint="eastAsia" w:ascii="宋体" w:hAnsi="宋体" w:cs="宋体"/>
          <w:sz w:val="24"/>
          <w:szCs w:val="24"/>
        </w:rPr>
        <w:fldChar w:fldCharType="end"/>
      </w:r>
    </w:p>
    <w:p/>
    <w:p>
      <w:pPr>
        <w:pStyle w:val="12"/>
      </w:pPr>
    </w:p>
    <w:p>
      <w:pPr>
        <w:snapToGrid w:val="0"/>
        <w:spacing w:line="360" w:lineRule="auto"/>
        <w:jc w:val="center"/>
        <w:outlineLvl w:val="0"/>
        <w:rPr>
          <w:rFonts w:ascii="宋体" w:hAnsi="宋体" w:cs="宋体"/>
          <w:b/>
          <w:bCs/>
          <w:sz w:val="36"/>
          <w:szCs w:val="36"/>
        </w:rPr>
      </w:pPr>
      <w:r>
        <w:rPr>
          <w:rFonts w:hint="eastAsia" w:ascii="宋体" w:hAnsi="宋体" w:cs="宋体"/>
          <w:sz w:val="24"/>
          <w:szCs w:val="24"/>
        </w:rPr>
        <w:fldChar w:fldCharType="end"/>
      </w:r>
      <w:bookmarkStart w:id="7" w:name="_Toc3992"/>
      <w:bookmarkStart w:id="8" w:name="_Toc11592_WPSOffice_Level1"/>
      <w:bookmarkStart w:id="9" w:name="_Toc15423"/>
      <w:bookmarkStart w:id="10" w:name="_Toc14446"/>
      <w:r>
        <w:rPr>
          <w:rFonts w:hint="eastAsia" w:ascii="宋体" w:hAnsi="宋体" w:cs="宋体"/>
          <w:b/>
          <w:bCs/>
          <w:sz w:val="36"/>
          <w:szCs w:val="36"/>
        </w:rPr>
        <w:t>第一部分  竞争性谈判公告</w:t>
      </w:r>
      <w:bookmarkEnd w:id="7"/>
      <w:bookmarkEnd w:id="8"/>
      <w:bookmarkEnd w:id="9"/>
      <w:bookmarkEnd w:id="10"/>
    </w:p>
    <w:p>
      <w:pPr>
        <w:pStyle w:val="28"/>
        <w:widowControl/>
        <w:spacing w:line="360" w:lineRule="auto"/>
        <w:rPr>
          <w:rFonts w:ascii="宋体" w:hAnsi="宋体" w:cs="宋体"/>
          <w:sz w:val="24"/>
          <w:szCs w:val="24"/>
        </w:rPr>
      </w:pPr>
      <w:bookmarkStart w:id="11" w:name="_Toc92598698"/>
      <w:r>
        <w:rPr>
          <w:rFonts w:hint="eastAsia" w:ascii="宋体" w:hAnsi="宋体" w:cs="宋体"/>
          <w:sz w:val="24"/>
          <w:szCs w:val="24"/>
        </w:rPr>
        <w:t>项目概况</w:t>
      </w:r>
    </w:p>
    <w:p>
      <w:pPr>
        <w:pStyle w:val="28"/>
        <w:widowControl/>
        <w:spacing w:line="360" w:lineRule="auto"/>
        <w:ind w:firstLine="482" w:firstLineChars="200"/>
        <w:rPr>
          <w:rFonts w:ascii="宋体" w:hAnsi="宋体" w:cs="宋体"/>
          <w:sz w:val="24"/>
          <w:szCs w:val="24"/>
        </w:rPr>
      </w:pPr>
      <w:r>
        <w:rPr>
          <w:rFonts w:hint="eastAsia" w:ascii="宋体" w:hAnsi="宋体" w:cs="宋体"/>
          <w:sz w:val="24"/>
          <w:szCs w:val="24"/>
        </w:rPr>
        <w:t>西安文理学院养老服务管理专业实训室采购项目潜在的供应商应在西安市经济技术开发区凤城八路168号西北国金中心F座5楼获取谈判文件，并于2022年09月</w:t>
      </w:r>
      <w:r>
        <w:rPr>
          <w:rFonts w:hint="eastAsia" w:ascii="宋体" w:hAnsi="宋体" w:cs="宋体"/>
          <w:sz w:val="24"/>
          <w:szCs w:val="24"/>
          <w:lang w:val="en-US" w:eastAsia="zh-CN"/>
        </w:rPr>
        <w:t>28</w:t>
      </w:r>
      <w:r>
        <w:rPr>
          <w:rFonts w:hint="eastAsia" w:ascii="宋体" w:hAnsi="宋体" w:cs="宋体"/>
          <w:sz w:val="24"/>
          <w:szCs w:val="24"/>
        </w:rPr>
        <w:t xml:space="preserve">日 </w:t>
      </w:r>
      <w:r>
        <w:rPr>
          <w:rFonts w:hint="eastAsia" w:ascii="宋体" w:hAnsi="宋体" w:cs="宋体"/>
          <w:sz w:val="24"/>
          <w:szCs w:val="24"/>
          <w:lang w:val="en-US" w:eastAsia="zh-CN"/>
        </w:rPr>
        <w:t>14</w:t>
      </w:r>
      <w:r>
        <w:rPr>
          <w:rFonts w:hint="eastAsia" w:ascii="宋体" w:hAnsi="宋体" w:cs="宋体"/>
          <w:sz w:val="24"/>
          <w:szCs w:val="24"/>
        </w:rPr>
        <w:t>时30分 （北京时间）前提交响应文件。</w:t>
      </w:r>
    </w:p>
    <w:p>
      <w:pPr>
        <w:pStyle w:val="17"/>
        <w:spacing w:before="150" w:beforeAutospacing="0" w:after="150" w:afterAutospacing="0" w:line="360" w:lineRule="auto"/>
        <w:outlineLvl w:val="1"/>
        <w:rPr>
          <w:rFonts w:cs="宋体"/>
          <w:b/>
          <w:bCs/>
        </w:rPr>
      </w:pPr>
      <w:r>
        <w:rPr>
          <w:rFonts w:hint="eastAsia" w:cs="宋体"/>
          <w:b/>
          <w:bCs/>
        </w:rPr>
        <w:t>一、项目基本情况：</w:t>
      </w:r>
    </w:p>
    <w:p>
      <w:pPr>
        <w:pStyle w:val="17"/>
        <w:spacing w:before="0" w:beforeAutospacing="0" w:after="0" w:afterAutospacing="0" w:line="360" w:lineRule="auto"/>
        <w:ind w:firstLine="420"/>
        <w:rPr>
          <w:rFonts w:cs="宋体"/>
        </w:rPr>
      </w:pPr>
      <w:r>
        <w:rPr>
          <w:rFonts w:hint="eastAsia" w:cs="宋体"/>
        </w:rPr>
        <w:t>项目编号：HLDZB2022-2021</w:t>
      </w:r>
    </w:p>
    <w:p>
      <w:pPr>
        <w:pStyle w:val="17"/>
        <w:spacing w:before="0" w:beforeAutospacing="0" w:after="0" w:afterAutospacing="0" w:line="360" w:lineRule="auto"/>
        <w:ind w:firstLine="420"/>
        <w:rPr>
          <w:rFonts w:cs="宋体"/>
        </w:rPr>
      </w:pPr>
      <w:r>
        <w:rPr>
          <w:rFonts w:hint="eastAsia" w:cs="宋体"/>
        </w:rPr>
        <w:t>项目名称：西安文理学院养老服务管理专业实训室采购项目</w:t>
      </w:r>
    </w:p>
    <w:p>
      <w:pPr>
        <w:pStyle w:val="17"/>
        <w:spacing w:before="0" w:beforeAutospacing="0" w:after="0" w:afterAutospacing="0" w:line="360" w:lineRule="auto"/>
        <w:ind w:firstLine="420"/>
        <w:rPr>
          <w:rFonts w:cs="宋体"/>
        </w:rPr>
      </w:pPr>
      <w:r>
        <w:rPr>
          <w:rFonts w:hint="eastAsia" w:cs="宋体"/>
        </w:rPr>
        <w:t>采购方式：竞争性谈判</w:t>
      </w:r>
    </w:p>
    <w:p>
      <w:pPr>
        <w:pStyle w:val="17"/>
        <w:spacing w:before="0" w:beforeAutospacing="0" w:after="0" w:afterAutospacing="0" w:line="360" w:lineRule="auto"/>
        <w:ind w:firstLine="420"/>
        <w:rPr>
          <w:rFonts w:cs="宋体"/>
        </w:rPr>
      </w:pPr>
      <w:r>
        <w:rPr>
          <w:rFonts w:hint="eastAsia" w:cs="宋体"/>
        </w:rPr>
        <w:t>预算金额：1,698,700.00元</w:t>
      </w:r>
    </w:p>
    <w:p>
      <w:pPr>
        <w:pStyle w:val="17"/>
        <w:spacing w:before="0" w:beforeAutospacing="0" w:after="0" w:afterAutospacing="0" w:line="360" w:lineRule="auto"/>
        <w:ind w:firstLine="420"/>
        <w:rPr>
          <w:rFonts w:cs="宋体"/>
        </w:rPr>
      </w:pPr>
      <w:r>
        <w:rPr>
          <w:rFonts w:hint="eastAsia" w:cs="宋体"/>
        </w:rPr>
        <w:t>采购需求：</w:t>
      </w:r>
    </w:p>
    <w:p>
      <w:pPr>
        <w:pStyle w:val="17"/>
        <w:spacing w:before="0" w:beforeAutospacing="0" w:after="0" w:afterAutospacing="0" w:line="360" w:lineRule="auto"/>
        <w:ind w:firstLine="850"/>
        <w:rPr>
          <w:rFonts w:cs="宋体"/>
        </w:rPr>
      </w:pPr>
      <w:r>
        <w:rPr>
          <w:rFonts w:hint="eastAsia" w:cs="宋体"/>
        </w:rPr>
        <w:t xml:space="preserve">合同包1（养老服务管理专业实训室建设）： </w:t>
      </w:r>
    </w:p>
    <w:p>
      <w:pPr>
        <w:pStyle w:val="17"/>
        <w:spacing w:before="0" w:beforeAutospacing="0" w:after="0" w:afterAutospacing="0" w:line="360" w:lineRule="auto"/>
        <w:ind w:firstLine="1134"/>
        <w:rPr>
          <w:rFonts w:cs="宋体"/>
        </w:rPr>
      </w:pPr>
      <w:r>
        <w:rPr>
          <w:rFonts w:hint="eastAsia" w:cs="宋体"/>
        </w:rPr>
        <w:t>合同包预算金额：1,698,700.00元</w:t>
      </w:r>
    </w:p>
    <w:p>
      <w:pPr>
        <w:pStyle w:val="17"/>
        <w:spacing w:before="0" w:beforeAutospacing="0" w:after="0" w:afterAutospacing="0" w:line="360" w:lineRule="auto"/>
        <w:ind w:firstLine="1134"/>
        <w:rPr>
          <w:rFonts w:cs="宋体"/>
        </w:rPr>
      </w:pPr>
      <w:r>
        <w:rPr>
          <w:rFonts w:hint="eastAsia" w:cs="宋体"/>
        </w:rPr>
        <w:t>合同包最高限价：1,698,700.00元</w:t>
      </w:r>
    </w:p>
    <w:tbl>
      <w:tblPr>
        <w:tblStyle w:val="21"/>
        <w:tblW w:w="0" w:type="auto"/>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486"/>
        <w:gridCol w:w="1439"/>
        <w:gridCol w:w="1140"/>
        <w:gridCol w:w="1725"/>
        <w:gridCol w:w="1455"/>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990"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品目号</w:t>
            </w:r>
          </w:p>
        </w:tc>
        <w:tc>
          <w:tcPr>
            <w:tcW w:w="1486"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品目名称</w:t>
            </w:r>
          </w:p>
        </w:tc>
        <w:tc>
          <w:tcPr>
            <w:tcW w:w="1439"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采购标的</w:t>
            </w:r>
          </w:p>
        </w:tc>
        <w:tc>
          <w:tcPr>
            <w:tcW w:w="1140"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数量</w:t>
            </w:r>
          </w:p>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（单位）</w:t>
            </w:r>
          </w:p>
        </w:tc>
        <w:tc>
          <w:tcPr>
            <w:tcW w:w="1725"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技术规格、参数及要求</w:t>
            </w:r>
          </w:p>
        </w:tc>
        <w:tc>
          <w:tcPr>
            <w:tcW w:w="1455"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品目预算(元)</w:t>
            </w:r>
          </w:p>
        </w:tc>
        <w:tc>
          <w:tcPr>
            <w:tcW w:w="1455"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990"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1-1</w:t>
            </w:r>
          </w:p>
        </w:tc>
        <w:tc>
          <w:tcPr>
            <w:tcW w:w="1486" w:type="dxa"/>
            <w:vAlign w:val="center"/>
          </w:tcPr>
          <w:p>
            <w:pPr>
              <w:pStyle w:val="17"/>
              <w:spacing w:before="0" w:beforeAutospacing="0" w:after="0" w:afterAutospacing="0" w:line="360" w:lineRule="auto"/>
              <w:jc w:val="center"/>
              <w:rPr>
                <w:rFonts w:cs="宋体"/>
                <w:color w:val="333333"/>
                <w:shd w:val="clear" w:color="auto" w:fill="FFFFFF"/>
              </w:rPr>
            </w:pPr>
            <w:r>
              <w:rPr>
                <w:rFonts w:cs="宋体"/>
                <w:color w:val="333333"/>
                <w:shd w:val="clear" w:color="auto" w:fill="FFFFFF"/>
              </w:rPr>
              <w:t>教学专用仪器</w:t>
            </w:r>
          </w:p>
        </w:tc>
        <w:tc>
          <w:tcPr>
            <w:tcW w:w="1439"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rPr>
              <w:t>西安文理学院养老服务管理专业实训室采购项目</w:t>
            </w:r>
          </w:p>
        </w:tc>
        <w:tc>
          <w:tcPr>
            <w:tcW w:w="1140"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1(套)</w:t>
            </w:r>
          </w:p>
        </w:tc>
        <w:tc>
          <w:tcPr>
            <w:tcW w:w="1725"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详见采购文件</w:t>
            </w:r>
          </w:p>
        </w:tc>
        <w:tc>
          <w:tcPr>
            <w:tcW w:w="1455"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1,698,700.00</w:t>
            </w:r>
          </w:p>
        </w:tc>
        <w:tc>
          <w:tcPr>
            <w:tcW w:w="1455" w:type="dxa"/>
            <w:vAlign w:val="center"/>
          </w:tcPr>
          <w:p>
            <w:pPr>
              <w:pStyle w:val="17"/>
              <w:spacing w:before="0" w:beforeAutospacing="0" w:after="0" w:afterAutospacing="0" w:line="360" w:lineRule="auto"/>
              <w:jc w:val="center"/>
              <w:rPr>
                <w:rFonts w:cs="宋体"/>
                <w:color w:val="333333"/>
                <w:shd w:val="clear" w:color="auto" w:fill="FFFFFF"/>
              </w:rPr>
            </w:pPr>
            <w:r>
              <w:rPr>
                <w:rFonts w:hint="eastAsia" w:cs="宋体"/>
                <w:color w:val="333333"/>
                <w:shd w:val="clear" w:color="auto" w:fill="FFFFFF"/>
              </w:rPr>
              <w:t>1,698,700.00</w:t>
            </w:r>
          </w:p>
        </w:tc>
      </w:tr>
    </w:tbl>
    <w:p>
      <w:pPr>
        <w:pStyle w:val="17"/>
        <w:spacing w:before="0" w:beforeAutospacing="0" w:after="0" w:afterAutospacing="0" w:line="360" w:lineRule="auto"/>
        <w:ind w:firstLine="420"/>
        <w:rPr>
          <w:rFonts w:cs="宋体"/>
        </w:rPr>
      </w:pPr>
      <w:r>
        <w:rPr>
          <w:rFonts w:hint="eastAsia" w:cs="宋体"/>
        </w:rPr>
        <w:t>本合同包不接受联合体投标</w:t>
      </w:r>
    </w:p>
    <w:p>
      <w:pPr>
        <w:pStyle w:val="17"/>
        <w:spacing w:before="0" w:beforeAutospacing="0" w:after="0" w:afterAutospacing="0" w:line="360" w:lineRule="auto"/>
        <w:ind w:firstLine="420"/>
        <w:rPr>
          <w:rFonts w:cs="宋体"/>
        </w:rPr>
      </w:pPr>
      <w:r>
        <w:rPr>
          <w:rFonts w:hint="eastAsia" w:cs="宋体"/>
        </w:rPr>
        <w:t>合同履行期限：无</w:t>
      </w:r>
    </w:p>
    <w:p>
      <w:pPr>
        <w:pStyle w:val="17"/>
        <w:spacing w:before="150" w:beforeAutospacing="0" w:after="150" w:afterAutospacing="0" w:line="360" w:lineRule="auto"/>
        <w:outlineLvl w:val="1"/>
        <w:rPr>
          <w:rFonts w:cs="宋体"/>
          <w:b/>
          <w:bCs/>
        </w:rPr>
      </w:pPr>
      <w:r>
        <w:rPr>
          <w:rFonts w:hint="eastAsia" w:cs="宋体"/>
          <w:b/>
          <w:bCs/>
        </w:rPr>
        <w:t xml:space="preserve">二、申请人的资格要求： </w:t>
      </w:r>
    </w:p>
    <w:p>
      <w:pPr>
        <w:pStyle w:val="17"/>
        <w:spacing w:before="0" w:beforeAutospacing="0" w:after="0" w:afterAutospacing="0" w:line="360" w:lineRule="auto"/>
        <w:ind w:firstLine="420"/>
        <w:rPr>
          <w:rFonts w:cs="宋体"/>
        </w:rPr>
      </w:pPr>
      <w:r>
        <w:rPr>
          <w:rFonts w:hint="eastAsia" w:cs="宋体"/>
        </w:rPr>
        <w:t>1.满足《中华人民共和国政府采购法》第二十二条规定；</w:t>
      </w:r>
    </w:p>
    <w:p>
      <w:pPr>
        <w:pStyle w:val="17"/>
        <w:spacing w:before="0" w:beforeAutospacing="0" w:after="0" w:afterAutospacing="0" w:line="360" w:lineRule="auto"/>
        <w:ind w:firstLine="420"/>
        <w:rPr>
          <w:rFonts w:cs="宋体"/>
        </w:rPr>
      </w:pPr>
      <w:r>
        <w:rPr>
          <w:rFonts w:hint="eastAsia" w:cs="宋体"/>
        </w:rPr>
        <w:t>2.落实政府采购政策需满足的资格要求：</w:t>
      </w:r>
    </w:p>
    <w:p>
      <w:pPr>
        <w:pStyle w:val="17"/>
        <w:spacing w:before="0" w:beforeAutospacing="0" w:after="0" w:afterAutospacing="0" w:line="360" w:lineRule="auto"/>
        <w:ind w:firstLine="420"/>
        <w:rPr>
          <w:rFonts w:cs="宋体"/>
        </w:rPr>
      </w:pPr>
      <w:r>
        <w:rPr>
          <w:rFonts w:hint="eastAsia" w:cs="宋体"/>
        </w:rPr>
        <w:t>合同包1(养老服务管理专业实训室建设)落实政府采购政策需满足的资格要求如下：</w:t>
      </w:r>
    </w:p>
    <w:p>
      <w:pPr>
        <w:pStyle w:val="17"/>
        <w:numPr>
          <w:ilvl w:val="0"/>
          <w:numId w:val="1"/>
        </w:numPr>
        <w:spacing w:before="0" w:beforeAutospacing="0" w:after="0" w:afterAutospacing="0" w:line="360" w:lineRule="auto"/>
        <w:ind w:firstLine="420"/>
        <w:rPr>
          <w:rFonts w:cs="宋体"/>
        </w:rPr>
      </w:pPr>
      <w:r>
        <w:rPr>
          <w:rFonts w:hint="eastAsia" w:cs="宋体"/>
        </w:rPr>
        <w:t>《财政部国家发展改革委关于印发〈节能产品政府采购实施意见〉的通知》（财库〔2004〕185号）</w:t>
      </w:r>
    </w:p>
    <w:p>
      <w:pPr>
        <w:pStyle w:val="17"/>
        <w:numPr>
          <w:ilvl w:val="0"/>
          <w:numId w:val="1"/>
        </w:numPr>
        <w:spacing w:before="0" w:beforeAutospacing="0" w:after="0" w:afterAutospacing="0" w:line="360" w:lineRule="auto"/>
        <w:ind w:firstLine="420"/>
        <w:rPr>
          <w:rFonts w:cs="宋体"/>
        </w:rPr>
      </w:pPr>
      <w:r>
        <w:rPr>
          <w:rFonts w:hint="eastAsia" w:cs="宋体"/>
        </w:rPr>
        <w:t>《国务院办公厅关于建立政府强制采购节能产品制度的通知》（国办发〔2007〕51号）</w:t>
      </w:r>
    </w:p>
    <w:p>
      <w:pPr>
        <w:pStyle w:val="17"/>
        <w:numPr>
          <w:ilvl w:val="0"/>
          <w:numId w:val="1"/>
        </w:numPr>
        <w:spacing w:before="0" w:beforeAutospacing="0" w:after="0" w:afterAutospacing="0" w:line="360" w:lineRule="auto"/>
        <w:ind w:firstLine="420"/>
        <w:rPr>
          <w:rFonts w:cs="宋体"/>
        </w:rPr>
      </w:pPr>
      <w:r>
        <w:rPr>
          <w:rFonts w:hint="eastAsia" w:cs="宋体"/>
        </w:rPr>
        <w:t>《财政部环保总局关于环境标志产品政府采购实施的意见》（财库〔2006〕90号）</w:t>
      </w:r>
    </w:p>
    <w:p>
      <w:pPr>
        <w:pStyle w:val="17"/>
        <w:numPr>
          <w:ilvl w:val="0"/>
          <w:numId w:val="1"/>
        </w:numPr>
        <w:spacing w:before="0" w:beforeAutospacing="0" w:after="0" w:afterAutospacing="0" w:line="360" w:lineRule="auto"/>
        <w:ind w:firstLine="420"/>
        <w:rPr>
          <w:rFonts w:cs="宋体"/>
        </w:rPr>
      </w:pPr>
      <w:r>
        <w:rPr>
          <w:rFonts w:hint="eastAsia" w:cs="宋体"/>
        </w:rPr>
        <w:t>《财政部司法部关于政府采购支持监狱企业发展有关问题的通知》（财库〔2014〕68号）</w:t>
      </w:r>
    </w:p>
    <w:p>
      <w:pPr>
        <w:pStyle w:val="17"/>
        <w:numPr>
          <w:ilvl w:val="0"/>
          <w:numId w:val="1"/>
        </w:numPr>
        <w:spacing w:before="0" w:beforeAutospacing="0" w:after="0" w:afterAutospacing="0" w:line="360" w:lineRule="auto"/>
        <w:ind w:firstLine="420"/>
        <w:rPr>
          <w:rFonts w:cs="宋体"/>
        </w:rPr>
      </w:pPr>
      <w:r>
        <w:rPr>
          <w:rFonts w:hint="eastAsia" w:cs="宋体"/>
        </w:rPr>
        <w:t>《三部门联合发布关于促进残疾人就业政府采购政策的通知》（财库〔2017〕141号）</w:t>
      </w:r>
    </w:p>
    <w:p>
      <w:pPr>
        <w:pStyle w:val="17"/>
        <w:numPr>
          <w:ilvl w:val="0"/>
          <w:numId w:val="1"/>
        </w:numPr>
        <w:spacing w:before="0" w:beforeAutospacing="0" w:after="0" w:afterAutospacing="0" w:line="360" w:lineRule="auto"/>
        <w:ind w:firstLine="420"/>
        <w:rPr>
          <w:rFonts w:cs="宋体"/>
        </w:rPr>
      </w:pPr>
      <w:r>
        <w:rPr>
          <w:rFonts w:hint="eastAsia" w:cs="宋体"/>
        </w:rPr>
        <w:t>《财政部发展改革委生态环境市场监管总局关于调整优化节能产品、环境标志产品政府采购执行机制的通知》（财库〔2019〕9号）</w:t>
      </w:r>
    </w:p>
    <w:p>
      <w:pPr>
        <w:pStyle w:val="17"/>
        <w:numPr>
          <w:ilvl w:val="0"/>
          <w:numId w:val="1"/>
        </w:numPr>
        <w:spacing w:before="0" w:beforeAutospacing="0" w:after="0" w:afterAutospacing="0" w:line="360" w:lineRule="auto"/>
        <w:ind w:firstLine="420"/>
        <w:rPr>
          <w:rFonts w:cs="宋体"/>
        </w:rPr>
      </w:pPr>
      <w:r>
        <w:rPr>
          <w:rFonts w:hint="eastAsia" w:cs="宋体"/>
        </w:rPr>
        <w:t>《关于运用政府采购政策支持乡村产业振兴的通知》（财库〔2021〕19号）</w:t>
      </w:r>
    </w:p>
    <w:p>
      <w:pPr>
        <w:pStyle w:val="17"/>
        <w:numPr>
          <w:ilvl w:val="0"/>
          <w:numId w:val="1"/>
        </w:numPr>
        <w:spacing w:before="0" w:beforeAutospacing="0" w:after="0" w:afterAutospacing="0" w:line="360" w:lineRule="auto"/>
        <w:ind w:firstLine="420"/>
        <w:rPr>
          <w:rFonts w:cs="宋体"/>
        </w:rPr>
      </w:pPr>
      <w:r>
        <w:rPr>
          <w:rFonts w:hint="eastAsia" w:cs="宋体"/>
        </w:rPr>
        <w:t>《陕西省中小企业政府采购信用融资办法》（陕财办采〔2018〕23号）</w:t>
      </w:r>
    </w:p>
    <w:p>
      <w:pPr>
        <w:pStyle w:val="17"/>
        <w:numPr>
          <w:ilvl w:val="0"/>
          <w:numId w:val="1"/>
        </w:numPr>
        <w:spacing w:before="0" w:beforeAutospacing="0" w:after="0" w:afterAutospacing="0" w:line="360" w:lineRule="auto"/>
        <w:ind w:firstLine="420"/>
        <w:rPr>
          <w:rFonts w:cs="宋体"/>
        </w:rPr>
      </w:pPr>
      <w:r>
        <w:rPr>
          <w:rFonts w:hint="eastAsia" w:cs="宋体"/>
        </w:rPr>
        <w:t>《政府采购促进中小企业发展管理办法》（财库〔2020〕46号）</w:t>
      </w:r>
    </w:p>
    <w:p>
      <w:pPr>
        <w:pStyle w:val="17"/>
        <w:numPr>
          <w:ilvl w:val="0"/>
          <w:numId w:val="1"/>
        </w:numPr>
        <w:spacing w:before="0" w:beforeAutospacing="0" w:after="0" w:afterAutospacing="0" w:line="360" w:lineRule="auto"/>
        <w:ind w:firstLine="420"/>
        <w:rPr>
          <w:rFonts w:cs="宋体"/>
        </w:rPr>
      </w:pPr>
      <w:r>
        <w:rPr>
          <w:rFonts w:hint="eastAsia" w:cs="宋体"/>
        </w:rPr>
        <w:t>《西安市财政局关于促进政府采购公平竞争优化营商环境得通知》（市财涵【2021】431号）</w:t>
      </w:r>
    </w:p>
    <w:p>
      <w:pPr>
        <w:pStyle w:val="17"/>
        <w:spacing w:before="0" w:beforeAutospacing="0" w:after="0" w:afterAutospacing="0" w:line="360" w:lineRule="auto"/>
        <w:ind w:firstLine="420"/>
        <w:rPr>
          <w:rFonts w:cs="宋体"/>
        </w:rPr>
      </w:pPr>
      <w:r>
        <w:rPr>
          <w:rFonts w:hint="eastAsia" w:cs="宋体"/>
        </w:rPr>
        <w:t>3.本项目的特定资格要求：</w:t>
      </w:r>
    </w:p>
    <w:p>
      <w:pPr>
        <w:pStyle w:val="17"/>
        <w:spacing w:before="0" w:beforeAutospacing="0" w:after="0" w:afterAutospacing="0" w:line="360" w:lineRule="auto"/>
        <w:ind w:firstLine="420"/>
        <w:rPr>
          <w:rFonts w:cs="宋体"/>
        </w:rPr>
      </w:pPr>
      <w:r>
        <w:rPr>
          <w:rFonts w:hint="eastAsia" w:cs="宋体"/>
        </w:rPr>
        <w:t>合同包1(养老服务管理专业实训室建设)特定资格要求如下：</w:t>
      </w:r>
    </w:p>
    <w:p>
      <w:pPr>
        <w:pStyle w:val="17"/>
        <w:numPr>
          <w:ilvl w:val="0"/>
          <w:numId w:val="2"/>
        </w:numPr>
        <w:spacing w:before="0" w:beforeAutospacing="0" w:after="0" w:afterAutospacing="0" w:line="360" w:lineRule="auto"/>
        <w:ind w:firstLine="420"/>
        <w:rPr>
          <w:rFonts w:cs="宋体"/>
        </w:rPr>
      </w:pPr>
      <w:r>
        <w:rPr>
          <w:rFonts w:hint="eastAsia" w:cs="宋体"/>
        </w:rPr>
        <w:t>具有独立承担民事责任的能力的企业法人、事业法人、其他组织或自然人，出具合法有效的营业执照等相关证明文件，自然人参与的提供其身份证明；</w:t>
      </w:r>
    </w:p>
    <w:p>
      <w:pPr>
        <w:pStyle w:val="17"/>
        <w:numPr>
          <w:ilvl w:val="0"/>
          <w:numId w:val="2"/>
        </w:numPr>
        <w:spacing w:before="0" w:beforeAutospacing="0" w:after="0" w:afterAutospacing="0" w:line="360" w:lineRule="auto"/>
        <w:ind w:firstLine="420"/>
        <w:rPr>
          <w:rFonts w:cs="宋体"/>
        </w:rPr>
      </w:pPr>
      <w:r>
        <w:rPr>
          <w:rFonts w:hint="eastAsia" w:cs="宋体"/>
        </w:rPr>
        <w:t>法定代表人直接参加谈判的，须出具法定代表人证明及法人身份证；法定代表人授权代表参加谈判的，须出具法定代表人授权书及授权代表身份证；</w:t>
      </w:r>
    </w:p>
    <w:p>
      <w:pPr>
        <w:pStyle w:val="17"/>
        <w:numPr>
          <w:ilvl w:val="0"/>
          <w:numId w:val="2"/>
        </w:numPr>
        <w:spacing w:before="0" w:beforeAutospacing="0" w:after="0" w:afterAutospacing="0" w:line="360" w:lineRule="auto"/>
        <w:ind w:firstLine="420"/>
        <w:rPr>
          <w:rFonts w:cs="宋体"/>
        </w:rPr>
      </w:pPr>
      <w:r>
        <w:rPr>
          <w:rFonts w:hint="eastAsia" w:cs="宋体"/>
        </w:rPr>
        <w:t>财务状况报告：提供经审计的2021年度财务报告或谈判前六个月内其本公司银行账户出具的资信证明；</w:t>
      </w:r>
    </w:p>
    <w:p>
      <w:pPr>
        <w:pStyle w:val="17"/>
        <w:numPr>
          <w:ilvl w:val="0"/>
          <w:numId w:val="2"/>
        </w:numPr>
        <w:spacing w:before="0" w:beforeAutospacing="0" w:after="0" w:afterAutospacing="0" w:line="360" w:lineRule="auto"/>
        <w:ind w:firstLine="420"/>
        <w:rPr>
          <w:rFonts w:cs="宋体"/>
        </w:rPr>
      </w:pPr>
      <w:r>
        <w:rPr>
          <w:rFonts w:hint="eastAsia" w:cs="宋体"/>
        </w:rPr>
        <w:t>税收缴纳证明：供应商提供截止至谈判时间前六个月任一月份的缴费凭据；依法免税的应提供相关文件证明；</w:t>
      </w:r>
    </w:p>
    <w:p>
      <w:pPr>
        <w:pStyle w:val="17"/>
        <w:numPr>
          <w:ilvl w:val="0"/>
          <w:numId w:val="2"/>
        </w:numPr>
        <w:spacing w:before="0" w:beforeAutospacing="0" w:after="0" w:afterAutospacing="0" w:line="360" w:lineRule="auto"/>
        <w:ind w:firstLine="420"/>
        <w:rPr>
          <w:rFonts w:cs="宋体"/>
        </w:rPr>
      </w:pPr>
      <w:r>
        <w:rPr>
          <w:rFonts w:hint="eastAsia" w:cs="宋体"/>
        </w:rPr>
        <w:t>社会保障资金缴纳证明：供应商提供截止至谈判时间前六个月任一月份的缴费凭据或社保机构开具的社会保险参保缴费情况证明；依法不需要缴纳社会保障资金的应提供相关文件证明；</w:t>
      </w:r>
    </w:p>
    <w:p>
      <w:pPr>
        <w:pStyle w:val="17"/>
        <w:numPr>
          <w:ilvl w:val="0"/>
          <w:numId w:val="2"/>
        </w:numPr>
        <w:spacing w:before="0" w:beforeAutospacing="0" w:after="0" w:afterAutospacing="0" w:line="360" w:lineRule="auto"/>
        <w:ind w:firstLine="420"/>
        <w:rPr>
          <w:rFonts w:cs="宋体"/>
        </w:rPr>
      </w:pPr>
      <w:r>
        <w:rPr>
          <w:rFonts w:hint="eastAsia" w:cs="宋体"/>
        </w:rPr>
        <w:t>供应商提供具有履行本合同所必需的设备和专业技术能力的承诺函；</w:t>
      </w:r>
    </w:p>
    <w:p>
      <w:pPr>
        <w:pStyle w:val="17"/>
        <w:numPr>
          <w:ilvl w:val="0"/>
          <w:numId w:val="2"/>
        </w:numPr>
        <w:spacing w:before="0" w:beforeAutospacing="0" w:after="0" w:afterAutospacing="0" w:line="360" w:lineRule="auto"/>
        <w:ind w:firstLine="420"/>
        <w:rPr>
          <w:rFonts w:cs="宋体"/>
        </w:rPr>
      </w:pPr>
      <w:r>
        <w:rPr>
          <w:rFonts w:hint="eastAsia" w:cs="宋体"/>
        </w:rPr>
        <w:t>供应商提供参加政府采购活动前三年内在经营活动中没有重大违法记录的承诺函；</w:t>
      </w:r>
    </w:p>
    <w:p>
      <w:pPr>
        <w:pStyle w:val="17"/>
        <w:numPr>
          <w:ilvl w:val="0"/>
          <w:numId w:val="2"/>
        </w:numPr>
        <w:spacing w:before="0" w:beforeAutospacing="0" w:after="0" w:afterAutospacing="0" w:line="360" w:lineRule="auto"/>
        <w:ind w:firstLine="420"/>
        <w:rPr>
          <w:rFonts w:cs="宋体"/>
        </w:rPr>
      </w:pPr>
      <w:r>
        <w:rPr>
          <w:rFonts w:hint="eastAsia" w:cs="宋体"/>
        </w:rPr>
        <w:t>符合《财政部关于在政府采购活动中查询及使用信用记录有关问题的通知》（财库【2016】125号）文件中信用查询的要求。</w:t>
      </w:r>
    </w:p>
    <w:p>
      <w:pPr>
        <w:pStyle w:val="17"/>
        <w:numPr>
          <w:ilvl w:val="0"/>
          <w:numId w:val="2"/>
        </w:numPr>
        <w:spacing w:before="0" w:beforeAutospacing="0" w:after="0" w:afterAutospacing="0" w:line="360" w:lineRule="auto"/>
        <w:ind w:firstLine="420"/>
        <w:rPr>
          <w:rFonts w:cs="宋体"/>
        </w:rPr>
      </w:pPr>
      <w:r>
        <w:rPr>
          <w:rFonts w:hint="eastAsia" w:cs="宋体"/>
        </w:rPr>
        <w:t>供应商不得为“信用中国”网站（www.creditchina.gov.cn）中列入失信被执行人和重大税收违法案件当事人名单的供应商。</w:t>
      </w:r>
    </w:p>
    <w:p>
      <w:pPr>
        <w:pStyle w:val="17"/>
        <w:spacing w:before="150" w:beforeAutospacing="0" w:after="0" w:afterAutospacing="0" w:line="360" w:lineRule="auto"/>
        <w:outlineLvl w:val="1"/>
        <w:rPr>
          <w:rFonts w:cs="宋体"/>
          <w:b/>
          <w:bCs/>
        </w:rPr>
      </w:pPr>
      <w:r>
        <w:rPr>
          <w:rFonts w:hint="eastAsia" w:cs="宋体"/>
          <w:b/>
          <w:bCs/>
        </w:rPr>
        <w:t xml:space="preserve">三、获取采购文件 </w:t>
      </w:r>
    </w:p>
    <w:p>
      <w:pPr>
        <w:pStyle w:val="17"/>
        <w:spacing w:before="0" w:beforeAutospacing="0" w:after="0" w:afterAutospacing="0" w:line="360" w:lineRule="auto"/>
        <w:ind w:firstLine="420"/>
        <w:rPr>
          <w:rFonts w:cs="宋体"/>
        </w:rPr>
      </w:pPr>
      <w:r>
        <w:rPr>
          <w:rFonts w:hint="eastAsia" w:cs="宋体"/>
        </w:rPr>
        <w:t>时间：2022年09月05日 至 2022年09月08日，每天上午 09：00：00 至 12：00：00 ，下午 14：00：00 至 17：00：00 （北京时间,法定节假日除外）</w:t>
      </w:r>
    </w:p>
    <w:p>
      <w:pPr>
        <w:widowControl/>
        <w:spacing w:line="360" w:lineRule="auto"/>
        <w:ind w:firstLine="420"/>
        <w:jc w:val="left"/>
        <w:rPr>
          <w:rFonts w:ascii="宋体" w:hAnsi="宋体" w:cs="宋体"/>
          <w:kern w:val="0"/>
          <w:sz w:val="24"/>
          <w:szCs w:val="24"/>
        </w:rPr>
      </w:pPr>
      <w:r>
        <w:rPr>
          <w:rFonts w:hint="eastAsia" w:ascii="宋体" w:hAnsi="宋体" w:cs="宋体"/>
          <w:kern w:val="0"/>
          <w:sz w:val="24"/>
          <w:szCs w:val="24"/>
        </w:rPr>
        <w:t>地点：西安市经济技术开发区凤城八路168号西北国金中心F座5楼</w:t>
      </w:r>
    </w:p>
    <w:p>
      <w:pPr>
        <w:widowControl/>
        <w:spacing w:line="360" w:lineRule="auto"/>
        <w:ind w:firstLine="420"/>
        <w:jc w:val="left"/>
        <w:rPr>
          <w:rFonts w:ascii="宋体" w:hAnsi="宋体" w:cs="宋体"/>
          <w:kern w:val="0"/>
          <w:sz w:val="24"/>
          <w:szCs w:val="24"/>
        </w:rPr>
      </w:pPr>
      <w:r>
        <w:rPr>
          <w:rFonts w:hint="eastAsia" w:ascii="宋体" w:hAnsi="宋体" w:cs="宋体"/>
          <w:kern w:val="0"/>
          <w:sz w:val="24"/>
          <w:szCs w:val="24"/>
        </w:rPr>
        <w:t>方式：现场获取</w:t>
      </w:r>
    </w:p>
    <w:p>
      <w:pPr>
        <w:widowControl/>
        <w:spacing w:line="360" w:lineRule="auto"/>
        <w:ind w:firstLine="420"/>
        <w:jc w:val="left"/>
        <w:rPr>
          <w:rFonts w:ascii="宋体" w:hAnsi="宋体" w:cs="宋体"/>
          <w:kern w:val="0"/>
          <w:sz w:val="24"/>
          <w:szCs w:val="24"/>
        </w:rPr>
      </w:pPr>
      <w:r>
        <w:rPr>
          <w:rFonts w:hint="eastAsia" w:ascii="宋体" w:hAnsi="宋体" w:cs="宋体"/>
          <w:kern w:val="0"/>
          <w:sz w:val="24"/>
          <w:szCs w:val="24"/>
        </w:rPr>
        <w:t>售价：免费获取</w:t>
      </w:r>
    </w:p>
    <w:p>
      <w:pPr>
        <w:pStyle w:val="17"/>
        <w:spacing w:before="150" w:beforeAutospacing="0" w:after="0" w:afterAutospacing="0" w:line="360" w:lineRule="auto"/>
        <w:outlineLvl w:val="1"/>
        <w:rPr>
          <w:rFonts w:cs="宋体"/>
          <w:b/>
          <w:bCs/>
        </w:rPr>
      </w:pPr>
      <w:r>
        <w:rPr>
          <w:rFonts w:hint="eastAsia" w:cs="宋体"/>
          <w:b/>
          <w:bCs/>
        </w:rPr>
        <w:t xml:space="preserve">四、响应文件提交 </w:t>
      </w:r>
    </w:p>
    <w:p>
      <w:pPr>
        <w:pStyle w:val="17"/>
        <w:spacing w:before="0" w:beforeAutospacing="0" w:after="0" w:afterAutospacing="0" w:line="360" w:lineRule="auto"/>
        <w:ind w:firstLine="420"/>
        <w:rPr>
          <w:rFonts w:cs="宋体"/>
        </w:rPr>
      </w:pPr>
      <w:r>
        <w:rPr>
          <w:rFonts w:hint="eastAsia" w:cs="宋体"/>
        </w:rPr>
        <w:t>截止时间：2022年09月</w:t>
      </w:r>
      <w:r>
        <w:rPr>
          <w:rFonts w:hint="eastAsia" w:cs="宋体"/>
          <w:lang w:val="en-US" w:eastAsia="zh-CN"/>
        </w:rPr>
        <w:t>28</w:t>
      </w:r>
      <w:r>
        <w:rPr>
          <w:rFonts w:hint="eastAsia" w:cs="宋体"/>
        </w:rPr>
        <w:t xml:space="preserve">日 </w:t>
      </w:r>
      <w:r>
        <w:rPr>
          <w:rFonts w:hint="eastAsia" w:cs="宋体"/>
          <w:lang w:val="en-US" w:eastAsia="zh-CN"/>
        </w:rPr>
        <w:t>14</w:t>
      </w:r>
      <w:r>
        <w:rPr>
          <w:rFonts w:hint="eastAsia" w:cs="宋体"/>
        </w:rPr>
        <w:t>时30分00秒 （北京时间）</w:t>
      </w:r>
    </w:p>
    <w:p>
      <w:pPr>
        <w:pStyle w:val="17"/>
        <w:spacing w:before="0" w:beforeAutospacing="0" w:after="0" w:afterAutospacing="0" w:line="360" w:lineRule="auto"/>
        <w:ind w:firstLine="420"/>
        <w:rPr>
          <w:rFonts w:cs="宋体"/>
        </w:rPr>
      </w:pPr>
      <w:r>
        <w:rPr>
          <w:rFonts w:hint="eastAsia" w:cs="宋体"/>
        </w:rPr>
        <w:t>地点：西安经济技术开发区凤城八路168号西北国金中心F座5楼开标厅</w:t>
      </w:r>
    </w:p>
    <w:p>
      <w:pPr>
        <w:pStyle w:val="17"/>
        <w:spacing w:before="0" w:beforeAutospacing="0" w:after="0" w:afterAutospacing="0" w:line="360" w:lineRule="auto"/>
        <w:rPr>
          <w:rFonts w:cs="宋体"/>
          <w:b/>
          <w:bCs/>
        </w:rPr>
      </w:pPr>
      <w:r>
        <w:rPr>
          <w:rFonts w:hint="eastAsia" w:cs="宋体"/>
          <w:b/>
          <w:bCs/>
        </w:rPr>
        <w:t>五、开启</w:t>
      </w:r>
    </w:p>
    <w:p>
      <w:pPr>
        <w:pStyle w:val="17"/>
        <w:spacing w:before="0" w:beforeAutospacing="0" w:after="0" w:afterAutospacing="0" w:line="360" w:lineRule="auto"/>
        <w:ind w:firstLine="420"/>
        <w:rPr>
          <w:rFonts w:cs="宋体"/>
        </w:rPr>
      </w:pPr>
      <w:r>
        <w:rPr>
          <w:rFonts w:hint="eastAsia" w:cs="宋体"/>
        </w:rPr>
        <w:t>时间：2022年09月</w:t>
      </w:r>
      <w:r>
        <w:rPr>
          <w:rFonts w:hint="eastAsia" w:cs="宋体"/>
          <w:lang w:val="en-US" w:eastAsia="zh-CN"/>
        </w:rPr>
        <w:t>28</w:t>
      </w:r>
      <w:r>
        <w:rPr>
          <w:rFonts w:hint="eastAsia" w:cs="宋体"/>
          <w:lang w:val="en-US" w:eastAsia="zh-CN"/>
        </w:rPr>
        <w:tab/>
      </w:r>
      <w:r>
        <w:rPr>
          <w:rFonts w:hint="eastAsia" w:cs="宋体"/>
        </w:rPr>
        <w:t xml:space="preserve">日 </w:t>
      </w:r>
      <w:r>
        <w:rPr>
          <w:rFonts w:hint="eastAsia" w:cs="宋体"/>
          <w:lang w:val="en-US" w:eastAsia="zh-CN"/>
        </w:rPr>
        <w:t>14</w:t>
      </w:r>
      <w:r>
        <w:rPr>
          <w:rFonts w:hint="eastAsia" w:cs="宋体"/>
        </w:rPr>
        <w:t>时30分00秒 （北京时间）</w:t>
      </w:r>
    </w:p>
    <w:p>
      <w:pPr>
        <w:pStyle w:val="17"/>
        <w:spacing w:before="0" w:beforeAutospacing="0" w:after="0" w:afterAutospacing="0" w:line="360" w:lineRule="auto"/>
        <w:ind w:firstLine="420"/>
        <w:rPr>
          <w:rFonts w:cs="宋体"/>
        </w:rPr>
      </w:pPr>
      <w:r>
        <w:rPr>
          <w:rFonts w:hint="eastAsia" w:cs="宋体"/>
        </w:rPr>
        <w:t>地点：西安经济技术开发区凤城八路168号西北国金中心F座5楼开标厅</w:t>
      </w:r>
    </w:p>
    <w:p>
      <w:pPr>
        <w:pStyle w:val="17"/>
        <w:spacing w:before="150" w:beforeAutospacing="0" w:after="0" w:afterAutospacing="0" w:line="360" w:lineRule="auto"/>
        <w:outlineLvl w:val="1"/>
        <w:rPr>
          <w:rFonts w:cs="宋体"/>
          <w:b/>
          <w:bCs/>
        </w:rPr>
      </w:pPr>
      <w:r>
        <w:rPr>
          <w:rFonts w:hint="eastAsia" w:cs="宋体"/>
          <w:b/>
          <w:bCs/>
        </w:rPr>
        <w:t>六、公告期限</w:t>
      </w:r>
    </w:p>
    <w:p>
      <w:pPr>
        <w:pStyle w:val="17"/>
        <w:spacing w:before="0" w:beforeAutospacing="0" w:after="0" w:afterAutospacing="0" w:line="360" w:lineRule="auto"/>
        <w:ind w:firstLine="420"/>
        <w:rPr>
          <w:rFonts w:cs="宋体"/>
        </w:rPr>
      </w:pPr>
      <w:r>
        <w:rPr>
          <w:rFonts w:hint="eastAsia" w:cs="宋体"/>
        </w:rPr>
        <w:t>本公告自发布之日起3个工作日</w:t>
      </w:r>
    </w:p>
    <w:p>
      <w:pPr>
        <w:pStyle w:val="17"/>
        <w:spacing w:before="150" w:beforeAutospacing="0" w:after="0" w:afterAutospacing="0" w:line="360" w:lineRule="auto"/>
        <w:outlineLvl w:val="1"/>
        <w:rPr>
          <w:rFonts w:cs="宋体"/>
          <w:b/>
          <w:bCs/>
        </w:rPr>
      </w:pPr>
      <w:r>
        <w:rPr>
          <w:rFonts w:hint="eastAsia" w:cs="宋体"/>
          <w:b/>
          <w:bCs/>
        </w:rPr>
        <w:t>七、其他补充事宜</w:t>
      </w:r>
    </w:p>
    <w:p>
      <w:pPr>
        <w:pStyle w:val="17"/>
        <w:spacing w:before="0" w:beforeAutospacing="0" w:after="0" w:afterAutospacing="0" w:line="360" w:lineRule="auto"/>
        <w:ind w:firstLine="420"/>
        <w:rPr>
          <w:rFonts w:cs="宋体"/>
        </w:rPr>
      </w:pPr>
      <w:r>
        <w:rPr>
          <w:rFonts w:hint="eastAsia" w:cs="宋体"/>
        </w:rPr>
        <w:t>1、获取谈判文件请携带有效期内的单位介绍信、经办人身份证原件及复印件（加盖供应商公章），经采购代理机构项目负责人审核无误后，方可领取谈判文件，谢绝邮寄；</w:t>
      </w:r>
    </w:p>
    <w:p>
      <w:pPr>
        <w:pStyle w:val="17"/>
        <w:spacing w:before="0" w:beforeAutospacing="0" w:after="0" w:afterAutospacing="0" w:line="360" w:lineRule="auto"/>
        <w:ind w:firstLine="420"/>
        <w:rPr>
          <w:rFonts w:cs="宋体"/>
        </w:rPr>
      </w:pPr>
      <w:r>
        <w:rPr>
          <w:rFonts w:hint="eastAsia" w:cs="宋体"/>
        </w:rPr>
        <w:t xml:space="preserve">2、受疫情影响，各供应商尽量委托一名代表到场参与谈判或报名，到场人员需自备口罩等防护工具，做好个人防护； </w:t>
      </w:r>
    </w:p>
    <w:p>
      <w:pPr>
        <w:pStyle w:val="17"/>
        <w:spacing w:before="0" w:beforeAutospacing="0" w:after="0" w:afterAutospacing="0" w:line="360" w:lineRule="auto"/>
        <w:ind w:firstLine="420"/>
        <w:rPr>
          <w:rFonts w:cs="宋体"/>
        </w:rPr>
      </w:pPr>
      <w:r>
        <w:rPr>
          <w:rFonts w:hint="eastAsia" w:cs="宋体"/>
        </w:rPr>
        <w:t>3、请各供应商领取谈判文件后，按照《陕西省财政厅关于政府采购供应商注册登记有关事项的通知》中的要求，通过陕西省政府采购网（http：//www.ccgp-shaanxi.gov.cn/）注册登记加入陕西省政府采购供应商库；</w:t>
      </w:r>
    </w:p>
    <w:p>
      <w:pPr>
        <w:pStyle w:val="17"/>
        <w:spacing w:before="0" w:beforeAutospacing="0" w:after="0" w:afterAutospacing="0" w:line="360" w:lineRule="auto"/>
        <w:ind w:firstLine="420"/>
        <w:rPr>
          <w:rFonts w:cs="宋体"/>
        </w:rPr>
      </w:pPr>
      <w:r>
        <w:rPr>
          <w:rFonts w:hint="eastAsia" w:cs="宋体"/>
        </w:rPr>
        <w:t>4、供应商登记免费领取采购文件后，如不参与项目谈判，应在递交响应文件截止时间前一日以书面形式告知采购代理机构。否则，采购代理机构可以向财政部门反映情况并提供相应的佐证。供应商一年内累计出现三次该情形，将被监管部门记录为失信行为。</w:t>
      </w:r>
    </w:p>
    <w:p>
      <w:pPr>
        <w:pStyle w:val="17"/>
        <w:spacing w:before="150" w:beforeAutospacing="0" w:after="0" w:afterAutospacing="0" w:line="360" w:lineRule="auto"/>
        <w:outlineLvl w:val="1"/>
        <w:rPr>
          <w:rFonts w:cs="宋体"/>
          <w:b/>
          <w:bCs/>
        </w:rPr>
      </w:pPr>
      <w:r>
        <w:rPr>
          <w:rFonts w:hint="eastAsia" w:cs="宋体"/>
          <w:b/>
          <w:bCs/>
        </w:rPr>
        <w:t xml:space="preserve">八、凡对本次采购提出询问，请按以下方式联系。 </w:t>
      </w:r>
    </w:p>
    <w:p>
      <w:pPr>
        <w:pStyle w:val="17"/>
        <w:spacing w:before="0" w:beforeAutospacing="0" w:after="0" w:afterAutospacing="0" w:line="360" w:lineRule="auto"/>
        <w:ind w:firstLine="420"/>
        <w:rPr>
          <w:rFonts w:cs="宋体"/>
        </w:rPr>
      </w:pPr>
      <w:r>
        <w:rPr>
          <w:rFonts w:hint="eastAsia" w:cs="宋体"/>
        </w:rPr>
        <w:t>1.采购人信息</w:t>
      </w:r>
    </w:p>
    <w:p>
      <w:pPr>
        <w:pStyle w:val="17"/>
        <w:spacing w:before="0" w:beforeAutospacing="0" w:after="0" w:afterAutospacing="0" w:line="360" w:lineRule="auto"/>
        <w:ind w:firstLine="850"/>
        <w:rPr>
          <w:rFonts w:cs="宋体"/>
        </w:rPr>
      </w:pPr>
      <w:r>
        <w:rPr>
          <w:rFonts w:hint="eastAsia" w:cs="宋体"/>
        </w:rPr>
        <w:t>名称：西安文理学院</w:t>
      </w:r>
    </w:p>
    <w:p>
      <w:pPr>
        <w:pStyle w:val="17"/>
        <w:spacing w:before="0" w:beforeAutospacing="0" w:after="0" w:afterAutospacing="0" w:line="360" w:lineRule="auto"/>
        <w:ind w:firstLine="850"/>
        <w:rPr>
          <w:rFonts w:cs="宋体"/>
        </w:rPr>
      </w:pPr>
      <w:r>
        <w:rPr>
          <w:rFonts w:hint="eastAsia" w:cs="宋体"/>
        </w:rPr>
        <w:t>地址：陕西省西安市雁塔区科技六路1号</w:t>
      </w:r>
    </w:p>
    <w:p>
      <w:pPr>
        <w:pStyle w:val="17"/>
        <w:spacing w:before="0" w:beforeAutospacing="0" w:after="0" w:afterAutospacing="0" w:line="360" w:lineRule="auto"/>
        <w:ind w:firstLine="850"/>
        <w:rPr>
          <w:rFonts w:cs="宋体"/>
        </w:rPr>
      </w:pPr>
      <w:r>
        <w:rPr>
          <w:rFonts w:hint="eastAsia" w:cs="宋体"/>
        </w:rPr>
        <w:t>联系方式：门老师029-88258528</w:t>
      </w:r>
    </w:p>
    <w:p>
      <w:pPr>
        <w:pStyle w:val="17"/>
        <w:spacing w:before="0" w:beforeAutospacing="0" w:after="0" w:afterAutospacing="0" w:line="360" w:lineRule="auto"/>
        <w:ind w:firstLine="420"/>
        <w:rPr>
          <w:rFonts w:cs="宋体"/>
        </w:rPr>
      </w:pPr>
      <w:r>
        <w:rPr>
          <w:rFonts w:hint="eastAsia" w:cs="宋体"/>
        </w:rPr>
        <w:t>2.采购代理机构信息</w:t>
      </w:r>
    </w:p>
    <w:p>
      <w:pPr>
        <w:pStyle w:val="17"/>
        <w:spacing w:before="0" w:beforeAutospacing="0" w:after="0" w:afterAutospacing="0" w:line="360" w:lineRule="auto"/>
        <w:ind w:firstLine="850"/>
        <w:rPr>
          <w:rFonts w:cs="宋体"/>
        </w:rPr>
      </w:pPr>
      <w:r>
        <w:rPr>
          <w:rFonts w:hint="eastAsia" w:cs="宋体"/>
        </w:rPr>
        <w:t>名称：西安华力达项目管理有限公司</w:t>
      </w:r>
    </w:p>
    <w:p>
      <w:pPr>
        <w:pStyle w:val="17"/>
        <w:spacing w:before="0" w:beforeAutospacing="0" w:after="0" w:afterAutospacing="0" w:line="360" w:lineRule="auto"/>
        <w:ind w:firstLine="850"/>
        <w:rPr>
          <w:rFonts w:cs="宋体"/>
        </w:rPr>
      </w:pPr>
      <w:r>
        <w:rPr>
          <w:rFonts w:hint="eastAsia" w:cs="宋体"/>
        </w:rPr>
        <w:t>联系地址：西安市经济技术开发区凤城八路168号西北国金中心F座5楼</w:t>
      </w:r>
    </w:p>
    <w:p>
      <w:pPr>
        <w:pStyle w:val="17"/>
        <w:spacing w:before="0" w:beforeAutospacing="0" w:after="0" w:afterAutospacing="0" w:line="360" w:lineRule="auto"/>
        <w:ind w:firstLine="850"/>
        <w:rPr>
          <w:rFonts w:cs="宋体"/>
        </w:rPr>
      </w:pPr>
      <w:r>
        <w:rPr>
          <w:rFonts w:hint="eastAsia" w:cs="宋体"/>
        </w:rPr>
        <w:t>联系方式：029-89666676</w:t>
      </w:r>
    </w:p>
    <w:p>
      <w:pPr>
        <w:pStyle w:val="17"/>
        <w:spacing w:before="0" w:beforeAutospacing="0" w:after="0" w:afterAutospacing="0" w:line="360" w:lineRule="auto"/>
        <w:ind w:firstLine="420"/>
        <w:rPr>
          <w:rFonts w:cs="宋体"/>
        </w:rPr>
      </w:pPr>
      <w:r>
        <w:rPr>
          <w:rFonts w:hint="eastAsia" w:cs="宋体"/>
        </w:rPr>
        <w:t>3.项目联系方式</w:t>
      </w:r>
    </w:p>
    <w:p>
      <w:pPr>
        <w:pStyle w:val="17"/>
        <w:spacing w:before="0" w:beforeAutospacing="0" w:after="0" w:afterAutospacing="0" w:line="360" w:lineRule="auto"/>
        <w:ind w:firstLine="850"/>
        <w:rPr>
          <w:rFonts w:cs="宋体"/>
        </w:rPr>
      </w:pPr>
      <w:r>
        <w:rPr>
          <w:rFonts w:hint="eastAsia" w:cs="宋体"/>
        </w:rPr>
        <w:t>项目联系人：张思瑶</w:t>
      </w:r>
    </w:p>
    <w:p>
      <w:pPr>
        <w:pStyle w:val="17"/>
        <w:spacing w:before="0" w:beforeAutospacing="0" w:after="0" w:afterAutospacing="0" w:line="360" w:lineRule="auto"/>
        <w:ind w:firstLine="850"/>
        <w:rPr>
          <w:rFonts w:cs="宋体"/>
        </w:rPr>
      </w:pPr>
      <w:r>
        <w:rPr>
          <w:rFonts w:hint="eastAsia" w:cs="宋体"/>
        </w:rPr>
        <w:t>电话：029-89666676</w:t>
      </w:r>
    </w:p>
    <w:p>
      <w:pPr>
        <w:pStyle w:val="17"/>
        <w:snapToGrid w:val="0"/>
        <w:spacing w:before="210" w:beforeAutospacing="0" w:after="210" w:afterAutospacing="0" w:line="360" w:lineRule="auto"/>
        <w:ind w:firstLine="420"/>
        <w:jc w:val="center"/>
        <w:rPr>
          <w:rFonts w:cs="宋体"/>
          <w:shd w:val="clear" w:color="auto" w:fill="FFFFFF"/>
        </w:rPr>
      </w:pPr>
    </w:p>
    <w:p>
      <w:pPr>
        <w:pStyle w:val="17"/>
        <w:adjustRightInd w:val="0"/>
        <w:snapToGrid w:val="0"/>
        <w:spacing w:before="0" w:beforeAutospacing="0" w:after="0" w:afterAutospacing="0" w:line="360" w:lineRule="auto"/>
        <w:ind w:firstLine="420"/>
        <w:jc w:val="right"/>
        <w:rPr>
          <w:rFonts w:cs="宋体"/>
        </w:rPr>
      </w:pPr>
      <w:r>
        <w:rPr>
          <w:rFonts w:hint="eastAsia" w:cs="宋体"/>
        </w:rPr>
        <w:t>西安华力达项目管理有限公司</w:t>
      </w:r>
    </w:p>
    <w:p>
      <w:pPr>
        <w:pStyle w:val="17"/>
        <w:snapToGrid w:val="0"/>
        <w:spacing w:before="210" w:beforeAutospacing="0" w:after="210" w:afterAutospacing="0" w:line="360" w:lineRule="auto"/>
        <w:ind w:firstLine="420"/>
        <w:jc w:val="center"/>
        <w:outlineLvl w:val="1"/>
        <w:rPr>
          <w:rFonts w:cs="宋体"/>
        </w:rPr>
      </w:pPr>
      <w:r>
        <w:rPr>
          <w:rFonts w:hint="eastAsia" w:cs="宋体"/>
          <w:shd w:val="clear" w:color="auto" w:fill="FFFFFF"/>
        </w:rPr>
        <w:t xml:space="preserve">                                                      2022年09月05日</w:t>
      </w:r>
    </w:p>
    <w:p>
      <w:pPr>
        <w:pStyle w:val="3"/>
        <w:jc w:val="center"/>
        <w:rPr>
          <w:rFonts w:hint="eastAsia" w:ascii="宋体" w:hAnsi="宋体" w:cs="宋体"/>
          <w:b w:val="0"/>
          <w:sz w:val="36"/>
          <w:szCs w:val="36"/>
        </w:rPr>
        <w:sectPr>
          <w:footerReference r:id="rId11" w:type="first"/>
          <w:footerReference r:id="rId10" w:type="default"/>
          <w:pgSz w:w="11906" w:h="16838"/>
          <w:pgMar w:top="1304" w:right="1342" w:bottom="1304" w:left="1104" w:header="851" w:footer="992" w:gutter="0"/>
          <w:cols w:space="720" w:num="1"/>
          <w:titlePg/>
          <w:docGrid w:type="lines" w:linePitch="312" w:charSpace="0"/>
        </w:sectPr>
      </w:pPr>
    </w:p>
    <w:p>
      <w:pPr>
        <w:pStyle w:val="3"/>
        <w:jc w:val="center"/>
        <w:rPr>
          <w:rFonts w:hint="eastAsia"/>
        </w:rPr>
        <w:sectPr>
          <w:pgSz w:w="11906" w:h="16838"/>
          <w:pgMar w:top="1304" w:right="1342" w:bottom="1304" w:left="1104" w:header="851" w:footer="992" w:gutter="0"/>
          <w:cols w:space="720" w:num="1"/>
          <w:titlePg/>
          <w:docGrid w:type="lines" w:linePitch="312" w:charSpace="0"/>
        </w:sectPr>
      </w:pPr>
      <w:r>
        <w:drawing>
          <wp:inline distT="0" distB="0" distL="114300" distR="114300">
            <wp:extent cx="6004560" cy="3467735"/>
            <wp:effectExtent l="0" t="0" r="15240" b="1841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stretch>
                      <a:fillRect/>
                    </a:stretch>
                  </pic:blipFill>
                  <pic:spPr>
                    <a:xfrm>
                      <a:off x="0" y="0"/>
                      <a:ext cx="6004560" cy="3467735"/>
                    </a:xfrm>
                    <a:prstGeom prst="rect">
                      <a:avLst/>
                    </a:prstGeom>
                    <a:noFill/>
                    <a:ln>
                      <a:noFill/>
                    </a:ln>
                  </pic:spPr>
                </pic:pic>
              </a:graphicData>
            </a:graphic>
          </wp:inline>
        </w:drawing>
      </w:r>
      <w:r>
        <w:drawing>
          <wp:inline distT="0" distB="0" distL="114300" distR="114300">
            <wp:extent cx="6000115" cy="3780155"/>
            <wp:effectExtent l="0" t="0" r="635" b="1079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4"/>
                    <a:stretch>
                      <a:fillRect/>
                    </a:stretch>
                  </pic:blipFill>
                  <pic:spPr>
                    <a:xfrm>
                      <a:off x="0" y="0"/>
                      <a:ext cx="6000115" cy="3780155"/>
                    </a:xfrm>
                    <a:prstGeom prst="rect">
                      <a:avLst/>
                    </a:prstGeom>
                    <a:noFill/>
                    <a:ln>
                      <a:noFill/>
                    </a:ln>
                  </pic:spPr>
                </pic:pic>
              </a:graphicData>
            </a:graphic>
          </wp:inline>
        </w:drawing>
      </w:r>
    </w:p>
    <w:bookmarkEnd w:id="11"/>
    <w:p>
      <w:pPr>
        <w:pStyle w:val="3"/>
        <w:jc w:val="center"/>
        <w:rPr>
          <w:rFonts w:ascii="宋体" w:hAnsi="宋体" w:cs="宋体"/>
          <w:b w:val="0"/>
          <w:sz w:val="36"/>
          <w:szCs w:val="36"/>
        </w:rPr>
      </w:pPr>
      <w:bookmarkStart w:id="12" w:name="_Toc14620"/>
      <w:bookmarkStart w:id="13" w:name="_Toc7359_WPSOffice_Level1"/>
      <w:bookmarkStart w:id="14" w:name="_Toc26857"/>
      <w:bookmarkStart w:id="15" w:name="_Toc300"/>
      <w:r>
        <w:rPr>
          <w:rFonts w:hint="eastAsia" w:ascii="宋体" w:hAnsi="宋体" w:cs="宋体"/>
          <w:bCs/>
          <w:sz w:val="36"/>
          <w:szCs w:val="36"/>
        </w:rPr>
        <w:t>第二部分  供应商须知前附表</w:t>
      </w:r>
      <w:bookmarkEnd w:id="12"/>
      <w:bookmarkEnd w:id="13"/>
      <w:bookmarkEnd w:id="14"/>
      <w:bookmarkEnd w:id="15"/>
    </w:p>
    <w:tbl>
      <w:tblPr>
        <w:tblStyle w:val="20"/>
        <w:tblpPr w:leftFromText="180" w:rightFromText="180" w:vertAnchor="text" w:horzAnchor="page" w:tblpX="1355" w:tblpY="18"/>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59"/>
        <w:gridCol w:w="1737"/>
        <w:gridCol w:w="70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trPr>
        <w:tc>
          <w:tcPr>
            <w:tcW w:w="559" w:type="dxa"/>
          </w:tcPr>
          <w:p>
            <w:pPr>
              <w:spacing w:before="156" w:beforeLines="50"/>
              <w:jc w:val="center"/>
              <w:rPr>
                <w:rFonts w:ascii="宋体" w:hAnsi="宋体" w:cs="宋体"/>
                <w:b/>
                <w:sz w:val="24"/>
                <w:szCs w:val="24"/>
              </w:rPr>
            </w:pPr>
            <w:r>
              <w:rPr>
                <w:rFonts w:hint="eastAsia" w:ascii="宋体" w:hAnsi="宋体" w:cs="宋体"/>
                <w:b/>
                <w:sz w:val="24"/>
                <w:szCs w:val="24"/>
              </w:rPr>
              <w:t>序号</w:t>
            </w:r>
          </w:p>
        </w:tc>
        <w:tc>
          <w:tcPr>
            <w:tcW w:w="1737" w:type="dxa"/>
            <w:vAlign w:val="center"/>
          </w:tcPr>
          <w:p>
            <w:pPr>
              <w:spacing w:before="156" w:beforeLines="50"/>
              <w:jc w:val="center"/>
              <w:rPr>
                <w:rFonts w:ascii="宋体" w:hAnsi="宋体" w:cs="宋体"/>
                <w:b/>
                <w:sz w:val="24"/>
                <w:szCs w:val="24"/>
              </w:rPr>
            </w:pPr>
            <w:r>
              <w:rPr>
                <w:rFonts w:hint="eastAsia" w:ascii="宋体" w:hAnsi="宋体" w:cs="宋体"/>
                <w:b/>
                <w:sz w:val="24"/>
                <w:szCs w:val="24"/>
              </w:rPr>
              <w:t>内容</w:t>
            </w:r>
          </w:p>
        </w:tc>
        <w:tc>
          <w:tcPr>
            <w:tcW w:w="7092" w:type="dxa"/>
          </w:tcPr>
          <w:p>
            <w:pPr>
              <w:spacing w:before="156" w:beforeLines="50"/>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559" w:type="dxa"/>
            <w:vAlign w:val="center"/>
          </w:tcPr>
          <w:p>
            <w:pPr>
              <w:spacing w:before="156" w:beforeLines="50"/>
              <w:jc w:val="center"/>
              <w:rPr>
                <w:rFonts w:ascii="宋体" w:hAnsi="宋体" w:cs="宋体"/>
                <w:bCs/>
                <w:sz w:val="24"/>
                <w:szCs w:val="24"/>
              </w:rPr>
            </w:pPr>
            <w:r>
              <w:rPr>
                <w:rFonts w:hint="eastAsia" w:ascii="宋体" w:hAnsi="宋体" w:cs="宋体"/>
                <w:bCs/>
                <w:sz w:val="24"/>
                <w:szCs w:val="24"/>
              </w:rPr>
              <w:t>1</w:t>
            </w:r>
          </w:p>
        </w:tc>
        <w:tc>
          <w:tcPr>
            <w:tcW w:w="1737" w:type="dxa"/>
            <w:vAlign w:val="center"/>
          </w:tcPr>
          <w:p>
            <w:pPr>
              <w:widowControl/>
              <w:snapToGrid w:val="0"/>
              <w:spacing w:line="360" w:lineRule="auto"/>
              <w:jc w:val="center"/>
              <w:rPr>
                <w:rFonts w:ascii="宋体" w:hAnsi="宋体" w:cs="宋体"/>
                <w:sz w:val="24"/>
                <w:szCs w:val="24"/>
              </w:rPr>
            </w:pPr>
            <w:r>
              <w:rPr>
                <w:rFonts w:hint="eastAsia" w:ascii="宋体" w:hAnsi="宋体" w:cs="宋体"/>
                <w:sz w:val="24"/>
                <w:szCs w:val="24"/>
              </w:rPr>
              <w:t>采购人</w:t>
            </w:r>
          </w:p>
        </w:tc>
        <w:tc>
          <w:tcPr>
            <w:tcW w:w="7092" w:type="dxa"/>
            <w:vAlign w:val="center"/>
          </w:tcPr>
          <w:p>
            <w:pPr>
              <w:widowControl/>
              <w:tabs>
                <w:tab w:val="left" w:pos="1620"/>
              </w:tabs>
              <w:wordWrap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名称：西安文理学院</w:t>
            </w:r>
          </w:p>
          <w:p>
            <w:pPr>
              <w:widowControl/>
              <w:tabs>
                <w:tab w:val="left" w:pos="1620"/>
              </w:tabs>
              <w:wordWrap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 xml:space="preserve">地址：陕西省西安市雁塔区科技六路1号 </w:t>
            </w:r>
          </w:p>
          <w:p>
            <w:pPr>
              <w:widowControl/>
              <w:tabs>
                <w:tab w:val="left" w:pos="1620"/>
              </w:tabs>
              <w:wordWrap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联系人：门老师</w:t>
            </w:r>
          </w:p>
          <w:p>
            <w:pPr>
              <w:widowControl/>
              <w:tabs>
                <w:tab w:val="left" w:pos="1620"/>
              </w:tabs>
              <w:wordWrap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联系电话：029-88258528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559" w:type="dxa"/>
            <w:tcBorders>
              <w:top w:val="single" w:color="auto" w:sz="4" w:space="0"/>
            </w:tcBorders>
            <w:vAlign w:val="center"/>
          </w:tcPr>
          <w:p>
            <w:pPr>
              <w:spacing w:before="156" w:beforeLines="50"/>
              <w:jc w:val="center"/>
              <w:rPr>
                <w:rFonts w:ascii="宋体" w:hAnsi="宋体" w:cs="宋体"/>
                <w:bCs/>
                <w:sz w:val="24"/>
                <w:szCs w:val="24"/>
              </w:rPr>
            </w:pPr>
            <w:r>
              <w:rPr>
                <w:rFonts w:hint="eastAsia" w:ascii="宋体" w:hAnsi="宋体" w:cs="宋体"/>
                <w:bCs/>
                <w:sz w:val="24"/>
                <w:szCs w:val="24"/>
              </w:rPr>
              <w:t>2</w:t>
            </w:r>
          </w:p>
        </w:tc>
        <w:tc>
          <w:tcPr>
            <w:tcW w:w="1737" w:type="dxa"/>
            <w:tcBorders>
              <w:top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采购代理机构</w:t>
            </w:r>
            <w:bookmarkStart w:id="181" w:name="_GoBack"/>
            <w:bookmarkEnd w:id="181"/>
          </w:p>
        </w:tc>
        <w:tc>
          <w:tcPr>
            <w:tcW w:w="7092" w:type="dxa"/>
            <w:tcBorders>
              <w:top w:val="single" w:color="auto" w:sz="4" w:space="0"/>
            </w:tcBorders>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名称：西安华力达项目管理有限公司</w:t>
            </w:r>
          </w:p>
          <w:p>
            <w:pPr>
              <w:spacing w:line="360" w:lineRule="auto"/>
              <w:ind w:firstLine="240" w:firstLineChars="100"/>
              <w:jc w:val="left"/>
              <w:rPr>
                <w:rFonts w:ascii="宋体" w:hAnsi="宋体" w:cs="宋体"/>
                <w:sz w:val="24"/>
                <w:szCs w:val="24"/>
              </w:rPr>
            </w:pPr>
            <w:r>
              <w:rPr>
                <w:rFonts w:hint="eastAsia" w:ascii="宋体" w:hAnsi="宋体" w:cs="宋体"/>
                <w:sz w:val="24"/>
                <w:szCs w:val="24"/>
              </w:rPr>
              <w:t>地址：西安市经济技术开发区凤城八路168号西北国金中心F座5楼</w:t>
            </w:r>
          </w:p>
          <w:p>
            <w:pPr>
              <w:spacing w:line="360" w:lineRule="auto"/>
              <w:ind w:firstLine="240" w:firstLineChars="100"/>
              <w:jc w:val="left"/>
              <w:rPr>
                <w:rFonts w:ascii="宋体" w:hAnsi="宋体" w:cs="宋体"/>
                <w:sz w:val="24"/>
                <w:szCs w:val="24"/>
              </w:rPr>
            </w:pPr>
            <w:r>
              <w:rPr>
                <w:rFonts w:hint="eastAsia" w:ascii="宋体" w:hAnsi="宋体" w:cs="宋体"/>
                <w:sz w:val="24"/>
                <w:szCs w:val="24"/>
              </w:rPr>
              <w:t>联系人：张思瑶</w:t>
            </w:r>
          </w:p>
          <w:p>
            <w:pPr>
              <w:spacing w:line="360" w:lineRule="auto"/>
              <w:ind w:firstLine="240" w:firstLineChars="100"/>
              <w:jc w:val="left"/>
              <w:rPr>
                <w:rFonts w:ascii="宋体" w:hAnsi="宋体" w:cs="宋体"/>
                <w:sz w:val="24"/>
                <w:szCs w:val="24"/>
              </w:rPr>
            </w:pPr>
            <w:r>
              <w:rPr>
                <w:rFonts w:hint="eastAsia" w:ascii="宋体" w:hAnsi="宋体" w:cs="宋体"/>
                <w:sz w:val="24"/>
                <w:szCs w:val="24"/>
              </w:rPr>
              <w:t>联系方式：029-89666676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559" w:type="dxa"/>
            <w:vAlign w:val="center"/>
          </w:tcPr>
          <w:p>
            <w:pPr>
              <w:ind w:firstLine="240" w:firstLineChars="100"/>
              <w:rPr>
                <w:rFonts w:ascii="宋体" w:hAnsi="宋体" w:cs="宋体"/>
                <w:sz w:val="24"/>
                <w:szCs w:val="24"/>
              </w:rPr>
            </w:pPr>
            <w:r>
              <w:rPr>
                <w:rFonts w:hint="eastAsia" w:ascii="宋体" w:hAnsi="宋体" w:cs="宋体"/>
                <w:sz w:val="24"/>
                <w:szCs w:val="24"/>
              </w:rPr>
              <w:t>3</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监督机构</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西安市财政局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559" w:type="dxa"/>
            <w:vAlign w:val="center"/>
          </w:tcPr>
          <w:p>
            <w:pPr>
              <w:ind w:firstLine="240" w:firstLineChars="100"/>
              <w:rPr>
                <w:rFonts w:ascii="宋体" w:hAnsi="宋体" w:cs="宋体"/>
                <w:sz w:val="24"/>
                <w:szCs w:val="24"/>
              </w:rPr>
            </w:pPr>
            <w:r>
              <w:rPr>
                <w:rFonts w:hint="eastAsia" w:ascii="宋体" w:hAnsi="宋体" w:cs="宋体"/>
                <w:sz w:val="24"/>
                <w:szCs w:val="24"/>
              </w:rPr>
              <w:t>4</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采购项目名称</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西安文理学院养老服务管理专业实训室采购项目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559" w:type="dxa"/>
            <w:vAlign w:val="center"/>
          </w:tcPr>
          <w:p>
            <w:pPr>
              <w:ind w:firstLine="240" w:firstLineChars="100"/>
              <w:rPr>
                <w:rFonts w:ascii="宋体" w:hAnsi="宋体" w:cs="宋体"/>
                <w:sz w:val="24"/>
                <w:szCs w:val="24"/>
              </w:rPr>
            </w:pPr>
            <w:r>
              <w:rPr>
                <w:rFonts w:hint="eastAsia" w:ascii="宋体" w:hAnsi="宋体" w:cs="宋体"/>
                <w:sz w:val="24"/>
                <w:szCs w:val="24"/>
              </w:rPr>
              <w:t>5</w:t>
            </w:r>
          </w:p>
        </w:tc>
        <w:tc>
          <w:tcPr>
            <w:tcW w:w="1737" w:type="dxa"/>
            <w:vAlign w:val="center"/>
          </w:tcPr>
          <w:p>
            <w:pPr>
              <w:widowControl/>
              <w:snapToGrid w:val="0"/>
              <w:spacing w:line="360" w:lineRule="auto"/>
              <w:jc w:val="center"/>
              <w:rPr>
                <w:rFonts w:ascii="宋体" w:hAnsi="宋体" w:cs="宋体"/>
                <w:sz w:val="24"/>
                <w:szCs w:val="24"/>
              </w:rPr>
            </w:pPr>
            <w:r>
              <w:rPr>
                <w:rFonts w:hint="eastAsia" w:ascii="宋体" w:hAnsi="宋体" w:cs="宋体"/>
                <w:sz w:val="24"/>
                <w:szCs w:val="24"/>
              </w:rPr>
              <w:t>采购项目编号</w:t>
            </w:r>
          </w:p>
        </w:tc>
        <w:tc>
          <w:tcPr>
            <w:tcW w:w="7092" w:type="dxa"/>
            <w:vAlign w:val="center"/>
          </w:tcPr>
          <w:p>
            <w:pPr>
              <w:widowControl/>
              <w:tabs>
                <w:tab w:val="left" w:pos="1620"/>
              </w:tabs>
              <w:wordWrap w:val="0"/>
              <w:snapToGrid w:val="0"/>
              <w:spacing w:line="360" w:lineRule="auto"/>
              <w:ind w:firstLine="240" w:firstLineChars="100"/>
              <w:jc w:val="left"/>
              <w:rPr>
                <w:rFonts w:ascii="宋体" w:hAnsi="宋体" w:cs="宋体"/>
                <w:sz w:val="24"/>
                <w:szCs w:val="24"/>
              </w:rPr>
            </w:pPr>
            <w:r>
              <w:rPr>
                <w:rFonts w:hint="eastAsia" w:ascii="宋体" w:hAnsi="宋体" w:cs="宋体"/>
                <w:sz w:val="24"/>
                <w:szCs w:val="24"/>
              </w:rPr>
              <w:t>HLDZB2022-2021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559" w:type="dxa"/>
            <w:vAlign w:val="center"/>
          </w:tcPr>
          <w:p>
            <w:pPr>
              <w:ind w:firstLine="240" w:firstLineChars="100"/>
              <w:rPr>
                <w:rFonts w:ascii="宋体" w:hAnsi="宋体" w:cs="宋体"/>
                <w:sz w:val="24"/>
                <w:szCs w:val="24"/>
              </w:rPr>
            </w:pPr>
            <w:r>
              <w:rPr>
                <w:rFonts w:hint="eastAsia" w:ascii="宋体" w:hAnsi="宋体" w:cs="宋体"/>
                <w:sz w:val="24"/>
                <w:szCs w:val="24"/>
              </w:rPr>
              <w:t>6</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资金来源</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财政资金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559" w:type="dxa"/>
            <w:vAlign w:val="center"/>
          </w:tcPr>
          <w:p>
            <w:pPr>
              <w:ind w:firstLine="240" w:firstLineChars="100"/>
              <w:rPr>
                <w:rFonts w:ascii="宋体" w:hAnsi="宋体" w:cs="宋体"/>
                <w:sz w:val="24"/>
                <w:szCs w:val="24"/>
              </w:rPr>
            </w:pPr>
            <w:r>
              <w:rPr>
                <w:rFonts w:hint="eastAsia" w:ascii="宋体" w:hAnsi="宋体" w:cs="宋体"/>
                <w:sz w:val="24"/>
                <w:szCs w:val="24"/>
              </w:rPr>
              <w:t>7</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采购预算金额</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1,698,700.00元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559" w:type="dxa"/>
            <w:vAlign w:val="center"/>
          </w:tcPr>
          <w:p>
            <w:pPr>
              <w:jc w:val="center"/>
              <w:rPr>
                <w:rFonts w:ascii="宋体" w:hAnsi="宋体" w:cs="宋体"/>
                <w:sz w:val="24"/>
                <w:szCs w:val="24"/>
              </w:rPr>
            </w:pPr>
            <w:r>
              <w:rPr>
                <w:rFonts w:hint="eastAsia" w:ascii="宋体" w:hAnsi="宋体" w:cs="宋体"/>
                <w:sz w:val="24"/>
                <w:szCs w:val="24"/>
              </w:rPr>
              <w:t>8</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联合体谈判</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559" w:type="dxa"/>
            <w:vAlign w:val="center"/>
          </w:tcPr>
          <w:p>
            <w:pPr>
              <w:jc w:val="center"/>
              <w:rPr>
                <w:rFonts w:ascii="宋体" w:hAnsi="宋体" w:cs="宋体"/>
                <w:color w:val="000000"/>
                <w:sz w:val="24"/>
                <w:szCs w:val="24"/>
              </w:rPr>
            </w:pPr>
            <w:r>
              <w:rPr>
                <w:rFonts w:hint="eastAsia" w:ascii="宋体" w:hAnsi="宋体" w:cs="宋体"/>
                <w:color w:val="000000"/>
                <w:sz w:val="24"/>
                <w:szCs w:val="24"/>
              </w:rPr>
              <w:t>9</w:t>
            </w:r>
          </w:p>
        </w:tc>
        <w:tc>
          <w:tcPr>
            <w:tcW w:w="1737"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现场踏勘</w:t>
            </w:r>
          </w:p>
        </w:tc>
        <w:tc>
          <w:tcPr>
            <w:tcW w:w="7092" w:type="dxa"/>
            <w:vAlign w:val="center"/>
          </w:tcPr>
          <w:p>
            <w:pPr>
              <w:spacing w:line="360" w:lineRule="auto"/>
              <w:jc w:val="left"/>
              <w:rPr>
                <w:rFonts w:ascii="宋体" w:hAnsi="宋体" w:cs="宋体"/>
                <w:color w:val="000000"/>
                <w:sz w:val="24"/>
                <w:szCs w:val="24"/>
              </w:rPr>
            </w:pPr>
            <w:r>
              <w:rPr>
                <w:rFonts w:hint="eastAsia" w:ascii="宋体" w:hAnsi="宋体" w:cs="宋体"/>
                <w:color w:val="000000"/>
                <w:sz w:val="24"/>
                <w:szCs w:val="24"/>
              </w:rPr>
              <w:t xml:space="preserve"> 本项目不组织现场踏勘，如有需要请自行前往。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559" w:type="dxa"/>
            <w:vAlign w:val="center"/>
          </w:tcPr>
          <w:p>
            <w:pPr>
              <w:jc w:val="center"/>
              <w:rPr>
                <w:rFonts w:ascii="宋体" w:hAnsi="宋体" w:cs="宋体"/>
                <w:color w:val="000000"/>
                <w:sz w:val="24"/>
                <w:szCs w:val="24"/>
              </w:rPr>
            </w:pPr>
            <w:r>
              <w:rPr>
                <w:rFonts w:hint="eastAsia" w:ascii="宋体" w:hAnsi="宋体" w:cs="宋体"/>
                <w:color w:val="000000"/>
                <w:sz w:val="24"/>
                <w:szCs w:val="24"/>
              </w:rPr>
              <w:t>10</w:t>
            </w:r>
          </w:p>
        </w:tc>
        <w:tc>
          <w:tcPr>
            <w:tcW w:w="1737" w:type="dxa"/>
            <w:vAlign w:val="center"/>
          </w:tcPr>
          <w:p>
            <w:pPr>
              <w:spacing w:line="360" w:lineRule="auto"/>
              <w:jc w:val="center"/>
              <w:rPr>
                <w:rFonts w:ascii="宋体" w:hAnsi="宋体" w:cs="宋体"/>
                <w:color w:val="000000"/>
                <w:sz w:val="24"/>
                <w:szCs w:val="24"/>
              </w:rPr>
            </w:pPr>
            <w:r>
              <w:rPr>
                <w:rFonts w:hint="eastAsia" w:ascii="宋体" w:hAnsi="宋体" w:cs="宋体"/>
                <w:color w:val="000000"/>
                <w:sz w:val="24"/>
                <w:szCs w:val="24"/>
              </w:rPr>
              <w:t>备选方案</w:t>
            </w:r>
          </w:p>
        </w:tc>
        <w:tc>
          <w:tcPr>
            <w:tcW w:w="7092" w:type="dxa"/>
            <w:vAlign w:val="center"/>
          </w:tcPr>
          <w:p>
            <w:pPr>
              <w:spacing w:line="360" w:lineRule="auto"/>
              <w:ind w:firstLine="240" w:firstLineChars="100"/>
              <w:jc w:val="left"/>
              <w:rPr>
                <w:rFonts w:ascii="宋体" w:hAnsi="宋体" w:cs="宋体"/>
                <w:color w:val="000000"/>
                <w:sz w:val="24"/>
                <w:szCs w:val="24"/>
              </w:rPr>
            </w:pPr>
            <w:r>
              <w:rPr>
                <w:rFonts w:hint="eastAsia" w:ascii="宋体" w:hAnsi="宋体" w:cs="宋体"/>
                <w:color w:val="000000"/>
                <w:sz w:val="24"/>
                <w:szCs w:val="24"/>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11</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打包</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本次采购采用整体打包方式，供应商可根据自身的资质情况和经营范围对本项目进行谈判，不得将其自行分解或只对本次项目中的品目进行不完全谈判，任何不完全的谈判将按无效谈判处理。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12</w:t>
            </w:r>
          </w:p>
        </w:tc>
        <w:tc>
          <w:tcPr>
            <w:tcW w:w="1737" w:type="dxa"/>
            <w:vAlign w:val="center"/>
          </w:tcPr>
          <w:p>
            <w:pPr>
              <w:spacing w:line="360" w:lineRule="auto"/>
              <w:jc w:val="center"/>
              <w:rPr>
                <w:rFonts w:ascii="宋体" w:hAnsi="宋体" w:cs="宋体"/>
                <w:sz w:val="24"/>
                <w:szCs w:val="24"/>
              </w:rPr>
            </w:pPr>
            <w:r>
              <w:rPr>
                <w:rFonts w:hint="eastAsia" w:ascii="宋体" w:hAnsi="宋体" w:cs="宋体"/>
                <w:sz w:val="24"/>
                <w:szCs w:val="24"/>
              </w:rPr>
              <w:t>谈判有效期</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谈判响应文件从谈判之日起，谈判有效期为90日历天。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878"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13</w:t>
            </w:r>
          </w:p>
        </w:tc>
        <w:tc>
          <w:tcPr>
            <w:tcW w:w="1737" w:type="dxa"/>
            <w:vAlign w:val="center"/>
          </w:tcPr>
          <w:p>
            <w:pPr>
              <w:jc w:val="center"/>
              <w:rPr>
                <w:rFonts w:ascii="宋体" w:hAnsi="宋体" w:cs="宋体"/>
                <w:sz w:val="24"/>
                <w:szCs w:val="24"/>
              </w:rPr>
            </w:pPr>
            <w:r>
              <w:rPr>
                <w:rFonts w:hint="eastAsia" w:ascii="宋体" w:hAnsi="宋体" w:cs="宋体"/>
                <w:sz w:val="24"/>
                <w:szCs w:val="24"/>
              </w:rPr>
              <w:t>资格</w:t>
            </w:r>
          </w:p>
          <w:p>
            <w:pPr>
              <w:jc w:val="center"/>
              <w:rPr>
                <w:rFonts w:ascii="宋体" w:hAnsi="宋体" w:cs="宋体"/>
                <w:sz w:val="24"/>
                <w:szCs w:val="24"/>
              </w:rPr>
            </w:pPr>
            <w:r>
              <w:rPr>
                <w:rFonts w:hint="eastAsia" w:ascii="宋体" w:hAnsi="宋体" w:cs="宋体"/>
                <w:sz w:val="24"/>
                <w:szCs w:val="24"/>
              </w:rPr>
              <w:t>要求</w:t>
            </w:r>
          </w:p>
        </w:tc>
        <w:tc>
          <w:tcPr>
            <w:tcW w:w="7092" w:type="dxa"/>
          </w:tcPr>
          <w:p>
            <w:pPr>
              <w:spacing w:line="360" w:lineRule="auto"/>
              <w:jc w:val="left"/>
              <w:rPr>
                <w:rFonts w:ascii="宋体" w:hAnsi="宋体" w:cs="宋体"/>
                <w:sz w:val="24"/>
                <w:szCs w:val="24"/>
              </w:rPr>
            </w:pPr>
            <w:r>
              <w:rPr>
                <w:rFonts w:hint="eastAsia" w:ascii="宋体" w:hAnsi="宋体" w:cs="宋体"/>
                <w:sz w:val="24"/>
                <w:szCs w:val="24"/>
              </w:rPr>
              <w:t>满足《中华人民共和国政府采购法》第二十二条规定,提供以下资料：</w:t>
            </w:r>
          </w:p>
          <w:p>
            <w:pPr>
              <w:spacing w:line="360" w:lineRule="auto"/>
              <w:jc w:val="left"/>
              <w:rPr>
                <w:rFonts w:ascii="宋体" w:hAnsi="宋体" w:cs="宋体"/>
                <w:sz w:val="24"/>
                <w:szCs w:val="24"/>
              </w:rPr>
            </w:pPr>
            <w:r>
              <w:rPr>
                <w:rFonts w:hint="eastAsia" w:ascii="宋体" w:hAnsi="宋体" w:cs="宋体"/>
                <w:sz w:val="24"/>
                <w:szCs w:val="24"/>
              </w:rPr>
              <w:t>1、供应商应具有独立承担民事责任能力的企业法人、事业法人、其他组织或自然人，出具合法有效的营业执照等相关证明文件，自然人参与的提供其身份证明；</w:t>
            </w:r>
          </w:p>
          <w:p>
            <w:pPr>
              <w:spacing w:line="360" w:lineRule="auto"/>
              <w:jc w:val="left"/>
              <w:rPr>
                <w:rFonts w:ascii="宋体" w:hAnsi="宋体" w:cs="宋体"/>
                <w:sz w:val="24"/>
                <w:szCs w:val="24"/>
              </w:rPr>
            </w:pPr>
            <w:r>
              <w:rPr>
                <w:rFonts w:hint="eastAsia" w:ascii="宋体" w:hAnsi="宋体" w:cs="宋体"/>
                <w:sz w:val="24"/>
                <w:szCs w:val="24"/>
              </w:rPr>
              <w:t>2、法定代表人直接参加磋商的，须出具法定代表人证明及法人身份证；法定代表人授权代表参加磋商的，须出具法定代表人授权书及授权代表身份证；</w:t>
            </w:r>
          </w:p>
          <w:p>
            <w:pPr>
              <w:spacing w:line="360" w:lineRule="auto"/>
              <w:jc w:val="left"/>
              <w:rPr>
                <w:rFonts w:ascii="宋体" w:hAnsi="宋体" w:cs="宋体"/>
                <w:sz w:val="24"/>
                <w:szCs w:val="24"/>
              </w:rPr>
            </w:pPr>
            <w:r>
              <w:rPr>
                <w:rFonts w:hint="eastAsia" w:ascii="宋体" w:hAnsi="宋体" w:cs="宋体"/>
                <w:sz w:val="24"/>
                <w:szCs w:val="24"/>
              </w:rPr>
              <w:t>3、财务状况报告：提供经审计的2021年度财务报告或磋商前六个月内其本公司账户银行出具的资信证明；</w:t>
            </w:r>
          </w:p>
          <w:p>
            <w:pPr>
              <w:spacing w:line="360" w:lineRule="auto"/>
              <w:jc w:val="left"/>
              <w:rPr>
                <w:rFonts w:ascii="宋体" w:hAnsi="宋体" w:cs="宋体"/>
                <w:sz w:val="24"/>
                <w:szCs w:val="24"/>
              </w:rPr>
            </w:pPr>
            <w:r>
              <w:rPr>
                <w:rFonts w:hint="eastAsia" w:ascii="宋体" w:hAnsi="宋体" w:cs="宋体"/>
                <w:sz w:val="24"/>
                <w:szCs w:val="24"/>
              </w:rPr>
              <w:t>4、税收缴纳证明：供应商提供截止至磋商时间前六个月任一月份的缴费凭据；依法免税的应提供相关文件证明；</w:t>
            </w:r>
          </w:p>
          <w:p>
            <w:pPr>
              <w:spacing w:line="360" w:lineRule="auto"/>
              <w:jc w:val="left"/>
              <w:rPr>
                <w:rFonts w:ascii="宋体" w:hAnsi="宋体" w:cs="宋体"/>
                <w:sz w:val="24"/>
                <w:szCs w:val="24"/>
              </w:rPr>
            </w:pPr>
            <w:r>
              <w:rPr>
                <w:rFonts w:hint="eastAsia" w:ascii="宋体" w:hAnsi="宋体" w:cs="宋体"/>
                <w:sz w:val="24"/>
                <w:szCs w:val="24"/>
              </w:rPr>
              <w:t>5、社会保障资金缴纳证明：供应商提供截止至磋商时间前六个月任一月份的缴费凭据或社保机构开具的社会保险参保缴费情况证明；依法不需要缴纳社会保障资金的应提供相关文件证明；</w:t>
            </w:r>
          </w:p>
          <w:p>
            <w:pPr>
              <w:spacing w:line="360" w:lineRule="auto"/>
              <w:jc w:val="left"/>
              <w:rPr>
                <w:rFonts w:ascii="宋体" w:hAnsi="宋体" w:cs="宋体"/>
                <w:sz w:val="24"/>
                <w:szCs w:val="24"/>
              </w:rPr>
            </w:pPr>
            <w:r>
              <w:rPr>
                <w:rFonts w:hint="eastAsia" w:ascii="宋体" w:hAnsi="宋体" w:cs="宋体"/>
                <w:sz w:val="24"/>
                <w:szCs w:val="24"/>
              </w:rPr>
              <w:t>6、供应商提供具有履行本合同所必需的设备和专业技术能力的书面声明（并提供证明材料）；</w:t>
            </w:r>
          </w:p>
          <w:p>
            <w:pPr>
              <w:spacing w:line="360" w:lineRule="auto"/>
              <w:jc w:val="left"/>
              <w:rPr>
                <w:rFonts w:ascii="宋体" w:hAnsi="宋体" w:cs="宋体"/>
                <w:sz w:val="24"/>
                <w:szCs w:val="24"/>
              </w:rPr>
            </w:pPr>
            <w:r>
              <w:rPr>
                <w:rFonts w:hint="eastAsia" w:ascii="宋体" w:hAnsi="宋体" w:cs="宋体"/>
                <w:sz w:val="24"/>
                <w:szCs w:val="24"/>
              </w:rPr>
              <w:t>7、供应商提供参加采购活动前三年内在经营活动中没有重大违法记录的书面声明；</w:t>
            </w:r>
          </w:p>
          <w:p>
            <w:pPr>
              <w:spacing w:line="360" w:lineRule="auto"/>
              <w:jc w:val="left"/>
              <w:rPr>
                <w:rFonts w:ascii="宋体" w:hAnsi="宋体" w:cs="宋体"/>
                <w:sz w:val="24"/>
                <w:szCs w:val="24"/>
              </w:rPr>
            </w:pPr>
            <w:r>
              <w:rPr>
                <w:rFonts w:hint="eastAsia" w:ascii="宋体" w:hAnsi="宋体" w:cs="宋体"/>
                <w:sz w:val="24"/>
                <w:szCs w:val="24"/>
              </w:rPr>
              <w:t>8、符合《财政部关于在政府采购活动中查询及使用信用记录有关问题的通知》（财库【2016】125号）文件中信用查询的要求；</w:t>
            </w:r>
          </w:p>
          <w:p>
            <w:pPr>
              <w:spacing w:line="360" w:lineRule="auto"/>
              <w:jc w:val="left"/>
              <w:rPr>
                <w:rFonts w:ascii="宋体" w:hAnsi="宋体" w:cs="宋体"/>
                <w:sz w:val="24"/>
                <w:szCs w:val="24"/>
              </w:rPr>
            </w:pPr>
            <w:r>
              <w:rPr>
                <w:rFonts w:hint="eastAsia" w:ascii="宋体" w:hAnsi="宋体" w:cs="宋体"/>
                <w:sz w:val="24"/>
                <w:szCs w:val="24"/>
              </w:rPr>
              <w:t>9、供应商不得为“信用中国”网站（www.creditchina.gov.cn）中列入失信被执行人和重大税收违法案件当事人名单的供应商。</w:t>
            </w:r>
          </w:p>
          <w:p>
            <w:pPr>
              <w:spacing w:line="360" w:lineRule="auto"/>
              <w:jc w:val="left"/>
              <w:rPr>
                <w:rFonts w:ascii="宋体" w:hAnsi="宋体" w:cs="宋体"/>
                <w:color w:val="FF0000"/>
                <w:sz w:val="24"/>
                <w:szCs w:val="24"/>
              </w:rPr>
            </w:pPr>
            <w:r>
              <w:rPr>
                <w:rFonts w:hint="eastAsia" w:ascii="宋体" w:hAnsi="宋体" w:cs="宋体"/>
                <w:sz w:val="24"/>
                <w:szCs w:val="24"/>
              </w:rPr>
              <w:t>以上1-8项为资格审查必备资质，须在谈判响应文件正副本中附完整的资格证明材料复印件并加盖公章。资格证明文件无效或缺项响应文件按无效响应文件处理。依法免税或不需要缴纳社会保障资金的供应商提供相应证明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72"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14</w:t>
            </w:r>
          </w:p>
        </w:tc>
        <w:tc>
          <w:tcPr>
            <w:tcW w:w="1737" w:type="dxa"/>
            <w:vAlign w:val="center"/>
          </w:tcPr>
          <w:p>
            <w:pPr>
              <w:jc w:val="center"/>
              <w:rPr>
                <w:rFonts w:ascii="宋体" w:hAnsi="宋体" w:cs="宋体"/>
                <w:color w:val="000000"/>
                <w:sz w:val="24"/>
                <w:szCs w:val="24"/>
              </w:rPr>
            </w:pPr>
            <w:r>
              <w:rPr>
                <w:rFonts w:hint="eastAsia" w:ascii="宋体" w:hAnsi="宋体" w:cs="宋体"/>
                <w:color w:val="000000"/>
                <w:sz w:val="24"/>
                <w:szCs w:val="24"/>
              </w:rPr>
              <w:t>谈判</w:t>
            </w:r>
          </w:p>
          <w:p>
            <w:pPr>
              <w:jc w:val="center"/>
              <w:rPr>
                <w:rFonts w:ascii="宋体" w:hAnsi="宋体" w:cs="宋体"/>
                <w:sz w:val="24"/>
                <w:szCs w:val="24"/>
              </w:rPr>
            </w:pPr>
            <w:r>
              <w:rPr>
                <w:rFonts w:hint="eastAsia" w:ascii="宋体" w:hAnsi="宋体" w:cs="宋体"/>
                <w:color w:val="000000"/>
                <w:sz w:val="24"/>
                <w:szCs w:val="24"/>
              </w:rPr>
              <w:t>保证金</w:t>
            </w:r>
          </w:p>
        </w:tc>
        <w:tc>
          <w:tcPr>
            <w:tcW w:w="7092" w:type="dxa"/>
            <w:vAlign w:val="center"/>
          </w:tcPr>
          <w:p>
            <w:pPr>
              <w:spacing w:line="500" w:lineRule="exact"/>
              <w:ind w:firstLine="240" w:firstLineChars="100"/>
              <w:rPr>
                <w:rFonts w:ascii="宋体" w:hAnsi="宋体" w:cs="宋体"/>
                <w:sz w:val="24"/>
                <w:szCs w:val="24"/>
              </w:rPr>
            </w:pPr>
            <w:r>
              <w:rPr>
                <w:rFonts w:hint="eastAsia" w:ascii="宋体" w:hAnsi="宋体" w:cs="宋体"/>
                <w:sz w:val="24"/>
                <w:szCs w:val="24"/>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67"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15</w:t>
            </w:r>
          </w:p>
        </w:tc>
        <w:tc>
          <w:tcPr>
            <w:tcW w:w="1737" w:type="dxa"/>
            <w:vAlign w:val="center"/>
          </w:tcPr>
          <w:p>
            <w:pPr>
              <w:jc w:val="center"/>
              <w:rPr>
                <w:rFonts w:ascii="宋体" w:hAnsi="宋体" w:cs="宋体"/>
                <w:sz w:val="24"/>
                <w:szCs w:val="24"/>
              </w:rPr>
            </w:pPr>
            <w:r>
              <w:rPr>
                <w:rFonts w:hint="eastAsia" w:ascii="宋体" w:hAnsi="宋体" w:cs="宋体"/>
                <w:sz w:val="24"/>
                <w:szCs w:val="24"/>
              </w:rPr>
              <w:t>谈判响应文件</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谈判响应文件正本</w:t>
            </w:r>
            <w:r>
              <w:rPr>
                <w:rFonts w:hint="eastAsia" w:ascii="宋体" w:hAnsi="宋体" w:cs="宋体"/>
                <w:sz w:val="24"/>
                <w:szCs w:val="24"/>
                <w:u w:val="single"/>
              </w:rPr>
              <w:t xml:space="preserve"> 1</w:t>
            </w:r>
            <w:r>
              <w:rPr>
                <w:rFonts w:hint="eastAsia" w:ascii="宋体" w:hAnsi="宋体" w:cs="宋体"/>
                <w:sz w:val="24"/>
                <w:szCs w:val="24"/>
              </w:rPr>
              <w:t>份、副本</w:t>
            </w:r>
            <w:r>
              <w:rPr>
                <w:rFonts w:hint="eastAsia" w:ascii="宋体" w:hAnsi="宋体" w:cs="宋体"/>
                <w:sz w:val="24"/>
                <w:szCs w:val="24"/>
                <w:u w:val="single"/>
              </w:rPr>
              <w:t xml:space="preserve"> 2</w:t>
            </w:r>
            <w:r>
              <w:rPr>
                <w:rFonts w:hint="eastAsia" w:ascii="宋体" w:hAnsi="宋体" w:cs="宋体"/>
                <w:sz w:val="24"/>
                <w:szCs w:val="24"/>
              </w:rPr>
              <w:t>份，分别胶装装订成册，且封面须清楚地标明“正本”或“副本”；若正本和副本不符，以正本书面文件为准；同时提供与正本内容一致的电子版（U盘、</w:t>
            </w:r>
            <w:r>
              <w:rPr>
                <w:rFonts w:hint="eastAsia" w:ascii="宋体" w:hAnsi="宋体" w:cs="宋体"/>
                <w:b/>
                <w:bCs/>
                <w:sz w:val="24"/>
                <w:szCs w:val="24"/>
              </w:rPr>
              <w:t>电子文档应为PDF与WORD格式各一份</w:t>
            </w:r>
            <w:r>
              <w:rPr>
                <w:rFonts w:hint="eastAsia" w:ascii="宋体" w:hAnsi="宋体" w:cs="宋体"/>
                <w:sz w:val="24"/>
                <w:szCs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16</w:t>
            </w:r>
          </w:p>
        </w:tc>
        <w:tc>
          <w:tcPr>
            <w:tcW w:w="1737" w:type="dxa"/>
            <w:vAlign w:val="center"/>
          </w:tcPr>
          <w:p>
            <w:pPr>
              <w:jc w:val="center"/>
              <w:rPr>
                <w:rFonts w:ascii="宋体" w:hAnsi="宋体" w:cs="宋体"/>
                <w:sz w:val="24"/>
                <w:szCs w:val="24"/>
              </w:rPr>
            </w:pPr>
            <w:r>
              <w:rPr>
                <w:rFonts w:hint="eastAsia" w:ascii="宋体" w:hAnsi="宋体" w:cs="宋体"/>
                <w:sz w:val="24"/>
                <w:szCs w:val="24"/>
              </w:rPr>
              <w:t>文件密封</w:t>
            </w:r>
          </w:p>
        </w:tc>
        <w:tc>
          <w:tcPr>
            <w:tcW w:w="7092" w:type="dxa"/>
            <w:vAlign w:val="center"/>
          </w:tcPr>
          <w:p>
            <w:pPr>
              <w:spacing w:line="360" w:lineRule="auto"/>
              <w:ind w:firstLine="240" w:firstLineChars="100"/>
              <w:jc w:val="left"/>
              <w:rPr>
                <w:rFonts w:ascii="宋体" w:hAnsi="宋体" w:cs="宋体"/>
                <w:sz w:val="24"/>
                <w:szCs w:val="24"/>
              </w:rPr>
            </w:pPr>
            <w:r>
              <w:rPr>
                <w:rFonts w:hint="eastAsia" w:ascii="宋体" w:hAnsi="宋体" w:cs="宋体"/>
                <w:sz w:val="24"/>
                <w:szCs w:val="24"/>
              </w:rPr>
              <w:t>谈判响应文件正本、所有的副本、电子版需分开密封装在单独的封袋中（封袋不得有破损），且在封袋正面标明“正本”“副本”“电子版”“谈判时启封”等字样。封袋应加贴封条，并在封线处加盖供应商鲜章，封袋正面要粘贴供应商全称、项目名称、编号等标识、且谈判响应文件袋上应加盖供应商公章。如果未按上述规定进行密封，供应商的谈判响应文件有权被拒绝。</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97"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17</w:t>
            </w:r>
          </w:p>
        </w:tc>
        <w:tc>
          <w:tcPr>
            <w:tcW w:w="1737" w:type="dxa"/>
            <w:vAlign w:val="center"/>
          </w:tcPr>
          <w:p>
            <w:pPr>
              <w:spacing w:line="520" w:lineRule="exact"/>
              <w:jc w:val="center"/>
              <w:rPr>
                <w:rFonts w:ascii="宋体" w:hAnsi="宋体" w:cs="宋体"/>
                <w:sz w:val="24"/>
                <w:szCs w:val="24"/>
              </w:rPr>
            </w:pPr>
            <w:r>
              <w:rPr>
                <w:rFonts w:hint="eastAsia" w:ascii="宋体" w:hAnsi="宋体" w:cs="宋体"/>
                <w:sz w:val="24"/>
                <w:szCs w:val="24"/>
              </w:rPr>
              <w:t>是否允许采购进口产品</w:t>
            </w:r>
          </w:p>
        </w:tc>
        <w:tc>
          <w:tcPr>
            <w:tcW w:w="7092" w:type="dxa"/>
            <w:vAlign w:val="center"/>
          </w:tcPr>
          <w:p>
            <w:pPr>
              <w:spacing w:line="520" w:lineRule="exact"/>
              <w:ind w:firstLine="240" w:firstLineChars="100"/>
              <w:jc w:val="left"/>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79"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18</w:t>
            </w:r>
          </w:p>
        </w:tc>
        <w:tc>
          <w:tcPr>
            <w:tcW w:w="1737" w:type="dxa"/>
            <w:vAlign w:val="center"/>
          </w:tcPr>
          <w:p>
            <w:pPr>
              <w:spacing w:line="520" w:lineRule="exact"/>
              <w:jc w:val="center"/>
              <w:rPr>
                <w:rFonts w:ascii="宋体" w:hAnsi="宋体" w:cs="宋体"/>
                <w:sz w:val="24"/>
                <w:szCs w:val="24"/>
              </w:rPr>
            </w:pPr>
            <w:r>
              <w:rPr>
                <w:rFonts w:hint="eastAsia" w:ascii="宋体" w:hAnsi="宋体" w:cs="宋体"/>
                <w:sz w:val="24"/>
                <w:szCs w:val="24"/>
              </w:rPr>
              <w:t>质疑与投诉</w:t>
            </w:r>
          </w:p>
        </w:tc>
        <w:tc>
          <w:tcPr>
            <w:tcW w:w="7092" w:type="dxa"/>
            <w:vAlign w:val="center"/>
          </w:tcPr>
          <w:p>
            <w:pPr>
              <w:spacing w:line="520" w:lineRule="exact"/>
              <w:ind w:firstLine="240" w:firstLineChars="100"/>
              <w:jc w:val="left"/>
              <w:rPr>
                <w:rFonts w:ascii="宋体" w:hAnsi="宋体" w:cs="宋体"/>
                <w:sz w:val="24"/>
                <w:szCs w:val="24"/>
              </w:rPr>
            </w:pPr>
            <w:r>
              <w:rPr>
                <w:rFonts w:hint="eastAsia" w:ascii="宋体" w:hAnsi="宋体" w:cs="宋体"/>
                <w:sz w:val="24"/>
                <w:szCs w:val="24"/>
              </w:rPr>
              <w:t>质疑、投诉的接收和处理严格按照《中华人民共和国政府采购法》、《政府采购质疑和投诉办法》、《财政部关于加强政府采购供应商投诉受理审查工作的通知》、《陕西省财政厅关于进一步规范政府采购活动的通知》（陕财办采资（2014）143号）等的相关规定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93" w:hRule="atLeast"/>
        </w:trPr>
        <w:tc>
          <w:tcPr>
            <w:tcW w:w="559" w:type="dxa"/>
            <w:vAlign w:val="center"/>
          </w:tcPr>
          <w:p>
            <w:pPr>
              <w:jc w:val="center"/>
              <w:rPr>
                <w:rFonts w:ascii="宋体" w:hAnsi="宋体" w:cs="宋体"/>
                <w:sz w:val="24"/>
                <w:szCs w:val="24"/>
              </w:rPr>
            </w:pPr>
            <w:r>
              <w:rPr>
                <w:rFonts w:hint="eastAsia" w:ascii="宋体" w:hAnsi="宋体" w:cs="宋体"/>
                <w:sz w:val="24"/>
                <w:szCs w:val="24"/>
              </w:rPr>
              <w:t>19</w:t>
            </w:r>
          </w:p>
        </w:tc>
        <w:tc>
          <w:tcPr>
            <w:tcW w:w="1737" w:type="dxa"/>
            <w:vAlign w:val="center"/>
          </w:tcPr>
          <w:p>
            <w:pPr>
              <w:spacing w:line="520" w:lineRule="exact"/>
              <w:jc w:val="center"/>
              <w:rPr>
                <w:rFonts w:ascii="宋体" w:hAnsi="宋体" w:cs="宋体"/>
                <w:sz w:val="24"/>
                <w:szCs w:val="24"/>
              </w:rPr>
            </w:pPr>
            <w:r>
              <w:rPr>
                <w:rFonts w:hint="eastAsia" w:ascii="宋体" w:hAnsi="宋体" w:cs="宋体"/>
                <w:sz w:val="24"/>
                <w:szCs w:val="24"/>
              </w:rPr>
              <w:t>小微企业</w:t>
            </w:r>
          </w:p>
        </w:tc>
        <w:tc>
          <w:tcPr>
            <w:tcW w:w="7092" w:type="dxa"/>
            <w:vAlign w:val="center"/>
          </w:tcPr>
          <w:p>
            <w:pPr>
              <w:spacing w:line="520" w:lineRule="exact"/>
              <w:jc w:val="left"/>
              <w:rPr>
                <w:rFonts w:ascii="宋体" w:hAnsi="宋体" w:cs="宋体"/>
                <w:sz w:val="24"/>
                <w:szCs w:val="24"/>
              </w:rPr>
            </w:pPr>
            <w:r>
              <w:rPr>
                <w:rFonts w:hint="eastAsia" w:ascii="宋体" w:hAnsi="宋体" w:cs="宋体"/>
                <w:sz w:val="24"/>
                <w:szCs w:val="24"/>
              </w:rPr>
              <w:t>根据《政府采购促进中小企业发展暂行办法》，供应商提供的《中小企业声明函》</w:t>
            </w:r>
            <w:r>
              <w:rPr>
                <w:rFonts w:hint="eastAsia" w:ascii="宋体" w:hAnsi="宋体" w:cs="宋体"/>
                <w:b/>
                <w:bCs/>
                <w:sz w:val="24"/>
                <w:szCs w:val="24"/>
              </w:rPr>
              <w:t>（附件一）</w:t>
            </w:r>
            <w:r>
              <w:rPr>
                <w:rFonts w:hint="eastAsia" w:ascii="宋体" w:hAnsi="宋体" w:cs="宋体"/>
                <w:sz w:val="24"/>
                <w:szCs w:val="24"/>
              </w:rPr>
              <w:t>。其划型标准严格按照国家工信部、国家统计局、国家发改委、财政部出台的《中小企业划型标准规定》（工信部联企业[2011]300号）执行。供应商提供的《中小企业声明函》资料必须真实，否则，按照有关规定予以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93" w:hRule="atLeast"/>
        </w:trPr>
        <w:tc>
          <w:tcPr>
            <w:tcW w:w="559" w:type="dxa"/>
            <w:vAlign w:val="center"/>
          </w:tcPr>
          <w:p>
            <w:pPr>
              <w:spacing w:line="360" w:lineRule="auto"/>
              <w:jc w:val="center"/>
              <w:rPr>
                <w:rFonts w:ascii="宋体" w:hAnsi="宋体" w:cs="宋体"/>
                <w:sz w:val="24"/>
                <w:szCs w:val="24"/>
              </w:rPr>
            </w:pPr>
            <w:r>
              <w:rPr>
                <w:rFonts w:hint="eastAsia" w:ascii="宋体" w:hAnsi="宋体" w:cs="宋体"/>
                <w:sz w:val="24"/>
                <w:szCs w:val="24"/>
              </w:rPr>
              <w:t>20</w:t>
            </w:r>
          </w:p>
        </w:tc>
        <w:tc>
          <w:tcPr>
            <w:tcW w:w="1737" w:type="dxa"/>
            <w:vAlign w:val="center"/>
          </w:tcPr>
          <w:p>
            <w:pPr>
              <w:spacing w:line="360" w:lineRule="auto"/>
              <w:jc w:val="center"/>
              <w:rPr>
                <w:rFonts w:ascii="宋体" w:hAnsi="宋体" w:cs="宋体"/>
                <w:sz w:val="24"/>
                <w:szCs w:val="24"/>
              </w:rPr>
            </w:pPr>
            <w:r>
              <w:rPr>
                <w:rFonts w:hint="eastAsia" w:ascii="宋体" w:hAnsi="宋体" w:cs="宋体"/>
                <w:color w:val="000000"/>
                <w:sz w:val="24"/>
                <w:szCs w:val="24"/>
              </w:rPr>
              <w:t>其他</w:t>
            </w:r>
          </w:p>
        </w:tc>
        <w:tc>
          <w:tcPr>
            <w:tcW w:w="7092" w:type="dxa"/>
            <w:vAlign w:val="center"/>
          </w:tcPr>
          <w:p>
            <w:pPr>
              <w:spacing w:line="360" w:lineRule="auto"/>
              <w:jc w:val="left"/>
              <w:rPr>
                <w:rFonts w:ascii="宋体" w:hAnsi="宋体" w:cs="宋体"/>
                <w:sz w:val="24"/>
                <w:szCs w:val="24"/>
              </w:rPr>
            </w:pPr>
            <w:r>
              <w:rPr>
                <w:rFonts w:hint="eastAsia" w:ascii="宋体" w:hAnsi="宋体" w:cs="宋体"/>
                <w:sz w:val="24"/>
                <w:szCs w:val="24"/>
              </w:rPr>
              <w:t>如供应商有中小企业声明、残疾人福利性单位声明、监狱企业证明文件、节能产品、环境产品等须在目录中体现，如因目录中未体现所产生政策性优惠未进行享受的由供应商自己承担责任。</w:t>
            </w:r>
          </w:p>
        </w:tc>
      </w:tr>
    </w:tbl>
    <w:p>
      <w:pPr>
        <w:pStyle w:val="3"/>
        <w:jc w:val="center"/>
        <w:rPr>
          <w:rFonts w:ascii="宋体" w:hAnsi="宋体" w:cs="宋体"/>
          <w:sz w:val="36"/>
          <w:szCs w:val="36"/>
        </w:rPr>
      </w:pPr>
      <w:bookmarkStart w:id="16" w:name="_Toc92598699"/>
      <w:bookmarkStart w:id="17" w:name="_Toc92598710"/>
      <w:r>
        <w:rPr>
          <w:rFonts w:hint="eastAsia" w:ascii="宋体" w:hAnsi="宋体" w:cs="宋体"/>
          <w:b w:val="0"/>
          <w:sz w:val="21"/>
          <w:szCs w:val="21"/>
        </w:rPr>
        <w:br w:type="page"/>
      </w:r>
      <w:bookmarkStart w:id="18" w:name="_Toc31144"/>
      <w:bookmarkStart w:id="19" w:name="_Toc27931"/>
      <w:bookmarkStart w:id="20" w:name="_Toc28290"/>
      <w:bookmarkStart w:id="21" w:name="_Toc32600_WPSOffice_Level1"/>
      <w:r>
        <w:rPr>
          <w:rFonts w:hint="eastAsia" w:ascii="宋体" w:hAnsi="宋体" w:cs="宋体"/>
          <w:bCs/>
          <w:sz w:val="36"/>
          <w:szCs w:val="36"/>
        </w:rPr>
        <w:t>第三部分  供应商须知</w:t>
      </w:r>
      <w:bookmarkEnd w:id="18"/>
      <w:bookmarkEnd w:id="19"/>
      <w:bookmarkEnd w:id="20"/>
      <w:bookmarkEnd w:id="21"/>
    </w:p>
    <w:bookmarkEnd w:id="16"/>
    <w:p>
      <w:pPr>
        <w:spacing w:line="360" w:lineRule="auto"/>
        <w:jc w:val="center"/>
        <w:outlineLvl w:val="1"/>
        <w:rPr>
          <w:rFonts w:ascii="宋体" w:hAnsi="宋体" w:cs="宋体"/>
          <w:b/>
          <w:sz w:val="32"/>
          <w:szCs w:val="32"/>
        </w:rPr>
      </w:pPr>
      <w:bookmarkStart w:id="22" w:name="_Toc24654_WPSOffice_Level2"/>
      <w:bookmarkStart w:id="23" w:name="_Toc10689"/>
      <w:bookmarkStart w:id="24" w:name="_Toc28797"/>
      <w:r>
        <w:rPr>
          <w:rFonts w:hint="eastAsia" w:ascii="宋体" w:hAnsi="宋体" w:cs="宋体"/>
          <w:b/>
          <w:sz w:val="32"/>
          <w:szCs w:val="32"/>
        </w:rPr>
        <w:t>一、总则</w:t>
      </w:r>
      <w:bookmarkEnd w:id="22"/>
      <w:bookmarkEnd w:id="23"/>
      <w:bookmarkEnd w:id="24"/>
    </w:p>
    <w:p>
      <w:pPr>
        <w:numPr>
          <w:ilvl w:val="0"/>
          <w:numId w:val="3"/>
        </w:numPr>
        <w:tabs>
          <w:tab w:val="left" w:pos="360"/>
        </w:tabs>
        <w:spacing w:line="500" w:lineRule="exact"/>
        <w:ind w:firstLine="480" w:firstLineChars="200"/>
        <w:outlineLvl w:val="2"/>
        <w:rPr>
          <w:rFonts w:ascii="宋体" w:hAnsi="宋体" w:cs="宋体"/>
          <w:sz w:val="24"/>
          <w:szCs w:val="24"/>
        </w:rPr>
      </w:pPr>
      <w:bookmarkStart w:id="25" w:name="_Toc6742"/>
      <w:bookmarkStart w:id="26" w:name="_Toc358364319"/>
      <w:bookmarkStart w:id="27" w:name="_Toc9257"/>
      <w:bookmarkStart w:id="28" w:name="_Toc380336725"/>
      <w:bookmarkStart w:id="29" w:name="_Toc92598700"/>
      <w:r>
        <w:rPr>
          <w:rFonts w:hint="eastAsia" w:ascii="宋体" w:hAnsi="宋体" w:cs="宋体"/>
          <w:sz w:val="24"/>
          <w:szCs w:val="24"/>
        </w:rPr>
        <w:t>适用范围</w:t>
      </w:r>
      <w:bookmarkEnd w:id="25"/>
      <w:bookmarkEnd w:id="26"/>
      <w:bookmarkEnd w:id="27"/>
      <w:bookmarkEnd w:id="28"/>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本次采购属政府采购，采购人、采购代理机构、供应商、谈判小组的相关行为均受《中华人民共和国政府采购法》及实施条例、财政部规章及政府采购项目所在地有关法规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numPr>
          <w:ilvl w:val="0"/>
          <w:numId w:val="3"/>
        </w:numPr>
        <w:tabs>
          <w:tab w:val="left" w:pos="360"/>
        </w:tabs>
        <w:snapToGrid w:val="0"/>
        <w:spacing w:line="360" w:lineRule="auto"/>
        <w:ind w:firstLine="480" w:firstLineChars="200"/>
        <w:outlineLvl w:val="2"/>
        <w:rPr>
          <w:rFonts w:ascii="宋体" w:hAnsi="宋体" w:cs="宋体"/>
          <w:sz w:val="24"/>
          <w:szCs w:val="24"/>
        </w:rPr>
      </w:pPr>
      <w:r>
        <w:rPr>
          <w:rFonts w:hint="eastAsia" w:ascii="宋体" w:hAnsi="宋体" w:cs="宋体"/>
          <w:sz w:val="24"/>
          <w:szCs w:val="24"/>
        </w:rPr>
        <w:t>名词解释</w:t>
      </w:r>
    </w:p>
    <w:p>
      <w:pPr>
        <w:widowControl/>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2.1、采购人：西安文理学院</w:t>
      </w:r>
    </w:p>
    <w:p>
      <w:pPr>
        <w:widowControl/>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2.2、监督机构：西安市财政局</w:t>
      </w:r>
    </w:p>
    <w:p>
      <w:pPr>
        <w:widowControl/>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2.3、采购代理机构：西安华力达项目管理有限公司</w:t>
      </w:r>
    </w:p>
    <w:p>
      <w:pPr>
        <w:widowControl/>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2.4、供应商：</w:t>
      </w:r>
      <w:r>
        <w:rPr>
          <w:rFonts w:hint="eastAsia" w:ascii="宋体" w:hAnsi="宋体" w:cs="宋体"/>
          <w:sz w:val="24"/>
          <w:szCs w:val="24"/>
        </w:rPr>
        <w:t>参与本项目谈判活动的</w:t>
      </w:r>
      <w:r>
        <w:rPr>
          <w:rFonts w:hint="eastAsia" w:ascii="宋体" w:hAnsi="宋体" w:cs="宋体"/>
          <w:color w:val="000000"/>
          <w:sz w:val="24"/>
          <w:szCs w:val="24"/>
        </w:rPr>
        <w:t>法人、其他组织或自然人</w:t>
      </w:r>
      <w:r>
        <w:rPr>
          <w:rFonts w:hint="eastAsia" w:ascii="宋体" w:hAnsi="宋体" w:cs="宋体"/>
          <w:kern w:val="0"/>
          <w:sz w:val="24"/>
          <w:szCs w:val="24"/>
        </w:rPr>
        <w:t>。</w:t>
      </w:r>
    </w:p>
    <w:p>
      <w:pPr>
        <w:widowControl/>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2.5 “货物” 是指各种形态和种类的物品，包括原材料、燃料、设备、产品等。按照财政部《政府采购进口产品管理办法》（财库[2007]119号）的有关规定，本谈判文件涉及的所有采购内容除特别标注为“可接受进口产品”外，均必须采购国产产品。进口产品特指“通过中国海关报关验放进入中国境内且产自关境外的产品”。</w:t>
      </w:r>
    </w:p>
    <w:p>
      <w:pPr>
        <w:adjustRightInd w:val="0"/>
        <w:snapToGrid w:val="0"/>
        <w:spacing w:line="360" w:lineRule="auto"/>
        <w:ind w:firstLine="480" w:firstLineChars="200"/>
        <w:rPr>
          <w:rFonts w:ascii="宋体" w:hAnsi="宋体" w:cs="宋体"/>
          <w:sz w:val="24"/>
        </w:rPr>
      </w:pPr>
      <w:r>
        <w:rPr>
          <w:rFonts w:hint="eastAsia" w:ascii="宋体" w:hAnsi="宋体" w:cs="宋体"/>
          <w:kern w:val="0"/>
          <w:sz w:val="24"/>
          <w:szCs w:val="24"/>
        </w:rPr>
        <w:t>2.5 “服务”指除了货物和工程外的其他政府采购对象。包含除货物以外规定由供应商承担的与货物有关的辅助服务。</w:t>
      </w:r>
    </w:p>
    <w:p>
      <w:pPr>
        <w:numPr>
          <w:ilvl w:val="0"/>
          <w:numId w:val="3"/>
        </w:numPr>
        <w:tabs>
          <w:tab w:val="left" w:pos="360"/>
        </w:tabs>
        <w:snapToGrid w:val="0"/>
        <w:spacing w:line="360" w:lineRule="auto"/>
        <w:ind w:firstLine="480" w:firstLineChars="200"/>
        <w:outlineLvl w:val="2"/>
        <w:rPr>
          <w:rFonts w:ascii="宋体" w:hAnsi="宋体" w:cs="宋体"/>
          <w:sz w:val="24"/>
          <w:szCs w:val="24"/>
        </w:rPr>
      </w:pPr>
      <w:bookmarkStart w:id="30" w:name="_Toc17676"/>
      <w:bookmarkStart w:id="31" w:name="_Toc358364321"/>
      <w:bookmarkStart w:id="32" w:name="_Toc380336727"/>
      <w:bookmarkStart w:id="33" w:name="_Toc23781"/>
      <w:r>
        <w:rPr>
          <w:rFonts w:hint="eastAsia" w:ascii="宋体" w:hAnsi="宋体" w:cs="宋体"/>
          <w:sz w:val="24"/>
          <w:szCs w:val="24"/>
        </w:rPr>
        <w:t>合格的</w:t>
      </w:r>
      <w:bookmarkEnd w:id="30"/>
      <w:bookmarkEnd w:id="31"/>
      <w:bookmarkEnd w:id="32"/>
      <w:bookmarkEnd w:id="33"/>
      <w:r>
        <w:rPr>
          <w:rFonts w:hint="eastAsia" w:ascii="宋体" w:hAnsi="宋体" w:cs="宋体"/>
          <w:sz w:val="24"/>
          <w:szCs w:val="24"/>
        </w:rPr>
        <w:t>供应商</w:t>
      </w:r>
    </w:p>
    <w:p>
      <w:pPr>
        <w:tabs>
          <w:tab w:val="left" w:pos="0"/>
          <w:tab w:val="left" w:pos="2718"/>
        </w:tabs>
        <w:snapToGrid w:val="0"/>
        <w:spacing w:line="360" w:lineRule="auto"/>
        <w:ind w:firstLine="480" w:firstLineChars="200"/>
        <w:rPr>
          <w:rFonts w:ascii="宋体" w:hAnsi="宋体" w:cs="宋体"/>
          <w:sz w:val="24"/>
          <w:szCs w:val="24"/>
        </w:rPr>
      </w:pPr>
      <w:bookmarkStart w:id="34" w:name="_Toc22444"/>
      <w:bookmarkStart w:id="35" w:name="_Toc380336728"/>
      <w:bookmarkStart w:id="36" w:name="_Toc358364322"/>
      <w:bookmarkStart w:id="37" w:name="_Toc540"/>
      <w:r>
        <w:rPr>
          <w:rFonts w:hint="eastAsia" w:ascii="宋体" w:hAnsi="宋体" w:cs="宋体"/>
          <w:sz w:val="24"/>
          <w:szCs w:val="24"/>
        </w:rPr>
        <w:t>3.1具有本项目生产、制造、加工、供应或实施能力，符合、承认并承诺履行本谈判文件各项规定的国内供应商。</w:t>
      </w:r>
    </w:p>
    <w:p>
      <w:pPr>
        <w:tabs>
          <w:tab w:val="left" w:pos="0"/>
          <w:tab w:val="left" w:pos="2718"/>
        </w:tabs>
        <w:snapToGrid w:val="0"/>
        <w:spacing w:line="360" w:lineRule="auto"/>
        <w:ind w:firstLine="480" w:firstLineChars="200"/>
        <w:rPr>
          <w:rFonts w:ascii="宋体" w:hAnsi="宋体" w:cs="宋体"/>
          <w:sz w:val="24"/>
          <w:szCs w:val="24"/>
        </w:rPr>
      </w:pPr>
      <w:r>
        <w:rPr>
          <w:rFonts w:hint="eastAsia" w:ascii="宋体" w:hAnsi="宋体" w:cs="宋体"/>
          <w:sz w:val="24"/>
          <w:szCs w:val="24"/>
        </w:rPr>
        <w:t>3.2供应商应遵守有关的国家法律、法规和条例，具备《中华人民共和国政府采购法》和本文件中规定的条件：</w:t>
      </w:r>
    </w:p>
    <w:p>
      <w:pPr>
        <w:numPr>
          <w:ilvl w:val="0"/>
          <w:numId w:val="4"/>
        </w:numPr>
        <w:tabs>
          <w:tab w:val="left" w:pos="0"/>
          <w:tab w:val="left" w:pos="2718"/>
        </w:tabs>
        <w:snapToGrid w:val="0"/>
        <w:spacing w:line="360" w:lineRule="auto"/>
        <w:ind w:firstLine="480" w:firstLineChars="200"/>
        <w:rPr>
          <w:rFonts w:ascii="宋体" w:hAnsi="宋体" w:cs="宋体"/>
          <w:sz w:val="24"/>
          <w:szCs w:val="24"/>
        </w:rPr>
      </w:pPr>
      <w:r>
        <w:rPr>
          <w:rFonts w:hint="eastAsia" w:ascii="宋体" w:hAnsi="宋体" w:cs="宋体"/>
          <w:sz w:val="24"/>
          <w:szCs w:val="24"/>
        </w:rPr>
        <w:t>具有独立承担民事责任的能力；</w:t>
      </w:r>
    </w:p>
    <w:p>
      <w:pPr>
        <w:numPr>
          <w:ilvl w:val="0"/>
          <w:numId w:val="4"/>
        </w:numPr>
        <w:tabs>
          <w:tab w:val="left" w:pos="0"/>
          <w:tab w:val="left" w:pos="2718"/>
        </w:tabs>
        <w:snapToGrid w:val="0"/>
        <w:spacing w:line="360" w:lineRule="auto"/>
        <w:ind w:firstLine="480" w:firstLineChars="200"/>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4"/>
        </w:numPr>
        <w:tabs>
          <w:tab w:val="left" w:pos="0"/>
          <w:tab w:val="left" w:pos="2718"/>
        </w:tabs>
        <w:snapToGrid w:val="0"/>
        <w:spacing w:line="360" w:lineRule="auto"/>
        <w:ind w:firstLine="480" w:firstLineChars="200"/>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4"/>
        </w:numPr>
        <w:tabs>
          <w:tab w:val="left" w:pos="0"/>
          <w:tab w:val="left" w:pos="2718"/>
        </w:tabs>
        <w:snapToGrid w:val="0"/>
        <w:spacing w:line="360" w:lineRule="auto"/>
        <w:ind w:firstLine="480" w:firstLineChars="200"/>
      </w:pPr>
      <w:r>
        <w:rPr>
          <w:rFonts w:hint="eastAsia" w:ascii="宋体" w:hAnsi="宋体" w:cs="宋体"/>
          <w:sz w:val="24"/>
          <w:szCs w:val="24"/>
        </w:rPr>
        <w:t>具有依法缴纳税收和社会保障资金的良好记录；</w:t>
      </w:r>
    </w:p>
    <w:p>
      <w:pPr>
        <w:numPr>
          <w:ilvl w:val="0"/>
          <w:numId w:val="4"/>
        </w:numPr>
        <w:tabs>
          <w:tab w:val="left" w:pos="0"/>
          <w:tab w:val="left" w:pos="2718"/>
        </w:tabs>
        <w:snapToGrid w:val="0"/>
        <w:spacing w:line="360" w:lineRule="auto"/>
        <w:ind w:firstLine="480" w:firstLineChars="200"/>
      </w:pPr>
      <w:r>
        <w:rPr>
          <w:rFonts w:hint="eastAsia" w:ascii="宋体" w:hAnsi="宋体" w:cs="宋体"/>
          <w:sz w:val="24"/>
          <w:szCs w:val="24"/>
        </w:rPr>
        <w:t>参加此项采购活动前三年内，在经营活动中没有重大违法记录；</w:t>
      </w:r>
    </w:p>
    <w:p>
      <w:pPr>
        <w:numPr>
          <w:ilvl w:val="0"/>
          <w:numId w:val="4"/>
        </w:numPr>
        <w:tabs>
          <w:tab w:val="left" w:pos="0"/>
          <w:tab w:val="left" w:pos="2718"/>
        </w:tabs>
        <w:snapToGrid w:val="0"/>
        <w:spacing w:line="360" w:lineRule="auto"/>
        <w:ind w:firstLine="480" w:firstLineChars="200"/>
      </w:pPr>
      <w:r>
        <w:rPr>
          <w:rFonts w:hint="eastAsia" w:ascii="宋体" w:hAnsi="宋体" w:cs="宋体"/>
          <w:sz w:val="24"/>
          <w:szCs w:val="24"/>
        </w:rPr>
        <w:t>法律、行政法规规定的其他条件。</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3.3供应商领取谈判文件时应登记备案，并提供有效联系方式。</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3.4如供应商代表不是法定代表人，须持有《法定代表人授权委托书》 (按谈判文件提供的格式填写)。</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3.5供应商应独立于采购人，不得直接或间接地与采购人为采购本次采购的货物进行设计、编制技术规格和其它文件所委托的咨询公司或其附属机构有任何关联。</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3.6供应商不得存在下列情形之一：</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（2）与其他供应商的法定代表人（或者负责人）为同一人，或者与其他供应商存在直接控股、管理关系；</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3）受到刑事处罚，或者受到三万元以上罚款，责令停产停业、在一年至三年内禁止参加政府采购活动、暂扣或吊销许可证、暂扣或吊销执照等情形之一的行政处罚，或者存在财政部门认定的其他重大违法记录。</w:t>
      </w:r>
    </w:p>
    <w:bookmarkEnd w:id="34"/>
    <w:bookmarkEnd w:id="35"/>
    <w:bookmarkEnd w:id="36"/>
    <w:bookmarkEnd w:id="37"/>
    <w:p>
      <w:pPr>
        <w:widowControl/>
        <w:wordWrap w:val="0"/>
        <w:snapToGrid w:val="0"/>
        <w:spacing w:line="360" w:lineRule="auto"/>
        <w:ind w:right="-92" w:rightChars="-44" w:firstLine="480" w:firstLineChars="200"/>
        <w:rPr>
          <w:rFonts w:ascii="宋体" w:hAnsi="宋体" w:cs="宋体"/>
          <w:kern w:val="0"/>
          <w:sz w:val="24"/>
          <w:szCs w:val="24"/>
        </w:rPr>
      </w:pPr>
      <w:bookmarkStart w:id="38" w:name="_Toc217446047"/>
      <w:bookmarkStart w:id="39" w:name="_Toc217446037"/>
      <w:bookmarkStart w:id="40" w:name="_Toc183682345"/>
      <w:bookmarkStart w:id="41" w:name="_Toc183582208"/>
      <w:bookmarkStart w:id="42" w:name="_Toc15351"/>
      <w:r>
        <w:rPr>
          <w:rFonts w:hint="eastAsia" w:ascii="宋体" w:hAnsi="宋体" w:cs="宋体"/>
          <w:kern w:val="0"/>
          <w:sz w:val="24"/>
          <w:szCs w:val="24"/>
        </w:rPr>
        <w:t>4</w:t>
      </w:r>
      <w:bookmarkEnd w:id="38"/>
      <w:r>
        <w:rPr>
          <w:rFonts w:hint="eastAsia" w:ascii="宋体" w:hAnsi="宋体" w:cs="宋体"/>
          <w:kern w:val="0"/>
          <w:sz w:val="24"/>
          <w:szCs w:val="24"/>
        </w:rPr>
        <w:t>、费用</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 xml:space="preserve"> 供应商应承担所有与准备和参加谈判有关的费用，采购代理机构（或采购人)在任何情况下均无义务和责任承担这些费用。</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5、采购进口产品</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5.1 除供应商须知前附表另有规定外，本项目拒绝进口产品参加采购活动。</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5.2 本项目第五部分采购要求中同意购买进口产品的，采购活动不限制满足谈判文件要求的国产产品参与本次采购。</w:t>
      </w:r>
    </w:p>
    <w:p>
      <w:pPr>
        <w:widowControl/>
        <w:wordWrap w:val="0"/>
        <w:snapToGrid w:val="0"/>
        <w:spacing w:line="360" w:lineRule="auto"/>
        <w:ind w:right="-92" w:rightChars="-44" w:firstLine="480" w:firstLineChars="200"/>
        <w:rPr>
          <w:rFonts w:ascii="宋体" w:hAnsi="宋体" w:cs="宋体"/>
          <w:sz w:val="24"/>
          <w:szCs w:val="24"/>
        </w:rPr>
      </w:pPr>
      <w:r>
        <w:rPr>
          <w:rFonts w:hint="eastAsia" w:ascii="宋体" w:hAnsi="宋体" w:cs="宋体"/>
          <w:sz w:val="24"/>
          <w:szCs w:val="24"/>
        </w:rPr>
        <w:t>6、政府采购政策支持</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 xml:space="preserve">6.1对列入财政部、国家发改委发布的《节能产品政府采购清单》且属于应当“强制采购的节能产品”，按照规定实行强制采购。 </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widowControl/>
        <w:wordWrap w:val="0"/>
        <w:snapToGrid w:val="0"/>
        <w:spacing w:line="360" w:lineRule="auto"/>
        <w:ind w:right="-92" w:rightChars="-44" w:firstLine="480" w:firstLineChars="200"/>
        <w:rPr>
          <w:rFonts w:ascii="宋体" w:hAnsi="宋体" w:cs="宋体"/>
          <w:kern w:val="0"/>
          <w:sz w:val="24"/>
          <w:szCs w:val="24"/>
        </w:rPr>
      </w:pPr>
      <w:r>
        <w:rPr>
          <w:rFonts w:hint="eastAsia" w:ascii="宋体" w:hAnsi="宋体" w:cs="宋体"/>
          <w:kern w:val="0"/>
          <w:sz w:val="24"/>
          <w:szCs w:val="24"/>
        </w:rPr>
        <w:t>6.3产品同时属于“非强制采购节能产品”、环境标志产品的，评审时只有其中一项能享受优先待遇（供应商自行选择，并在报价文件中填写相关信息及数据）。</w:t>
      </w:r>
    </w:p>
    <w:bookmarkEnd w:id="39"/>
    <w:bookmarkEnd w:id="40"/>
    <w:bookmarkEnd w:id="41"/>
    <w:p>
      <w:pPr>
        <w:pStyle w:val="4"/>
        <w:spacing w:before="156" w:beforeLines="50" w:after="156" w:afterLines="50"/>
        <w:rPr>
          <w:rFonts w:ascii="宋体" w:hAnsi="宋体" w:eastAsia="宋体" w:cs="宋体"/>
          <w:sz w:val="28"/>
          <w:szCs w:val="18"/>
        </w:rPr>
      </w:pPr>
      <w:bookmarkStart w:id="43" w:name="_Toc2340"/>
      <w:bookmarkStart w:id="44" w:name="_Toc19736_WPSOffice_Level2"/>
      <w:bookmarkStart w:id="45" w:name="_Toc27264"/>
      <w:r>
        <w:rPr>
          <w:rFonts w:hint="eastAsia" w:ascii="宋体" w:hAnsi="宋体" w:eastAsia="宋体" w:cs="宋体"/>
          <w:sz w:val="28"/>
          <w:szCs w:val="18"/>
        </w:rPr>
        <w:t>二、</w:t>
      </w:r>
      <w:bookmarkEnd w:id="29"/>
      <w:r>
        <w:rPr>
          <w:rFonts w:hint="eastAsia" w:ascii="宋体" w:hAnsi="宋体" w:eastAsia="宋体" w:cs="宋体"/>
          <w:sz w:val="28"/>
          <w:szCs w:val="18"/>
        </w:rPr>
        <w:t>竞争性谈判文件</w:t>
      </w:r>
      <w:bookmarkEnd w:id="42"/>
      <w:bookmarkEnd w:id="43"/>
      <w:bookmarkEnd w:id="44"/>
      <w:bookmarkEnd w:id="45"/>
    </w:p>
    <w:p>
      <w:pPr>
        <w:tabs>
          <w:tab w:val="left" w:pos="0"/>
        </w:tabs>
        <w:adjustRightInd w:val="0"/>
        <w:snapToGrid w:val="0"/>
        <w:spacing w:line="360" w:lineRule="auto"/>
        <w:ind w:firstLine="480" w:firstLineChars="200"/>
        <w:jc w:val="left"/>
        <w:rPr>
          <w:rFonts w:ascii="宋体" w:hAnsi="宋体" w:cs="宋体"/>
          <w:sz w:val="24"/>
          <w:szCs w:val="24"/>
        </w:rPr>
      </w:pPr>
      <w:bookmarkStart w:id="46" w:name="_Toc92598701"/>
      <w:r>
        <w:rPr>
          <w:rFonts w:hint="eastAsia" w:ascii="宋体" w:hAnsi="宋体" w:cs="宋体"/>
          <w:sz w:val="24"/>
          <w:szCs w:val="24"/>
        </w:rPr>
        <w:t>1、竞争性谈判文件是供应商准备谈判响应文件和参加谈判的依据，同时也是评审的重要依据，具有准法律文件性质。竞争性谈判文件用以阐明采购项目所需的资质、技术、服务及报价等要求、谈判程序、有关规定和注意事项以及合同主要条款等。</w:t>
      </w:r>
    </w:p>
    <w:p>
      <w:pPr>
        <w:tabs>
          <w:tab w:val="left" w:pos="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供应商应认真阅读和充分理解竞争性谈判文件中所有的事项、格式条款和规范要求。供应商没有对竞争性谈判文件全面做出实质性响应是供应商的风险。没有按照竞争性谈判文件要求作出实质性响应的谈判响应文件将被拒绝。</w:t>
      </w:r>
    </w:p>
    <w:p>
      <w:pPr>
        <w:spacing w:line="360" w:lineRule="auto"/>
        <w:ind w:firstLine="480" w:firstLineChars="200"/>
        <w:rPr>
          <w:rFonts w:ascii="宋体" w:hAnsi="宋体" w:cs="宋体"/>
          <w:sz w:val="24"/>
          <w:szCs w:val="24"/>
        </w:rPr>
      </w:pPr>
      <w:r>
        <w:rPr>
          <w:rFonts w:hint="eastAsia" w:ascii="宋体" w:hAnsi="宋体" w:cs="宋体"/>
          <w:sz w:val="24"/>
          <w:szCs w:val="24"/>
        </w:rPr>
        <w:t>2、竞争性谈判文件的澄清：任何要求对竞争性谈判文件进行澄清的供应商，均应在竞争性谈判响应文件提交截止期前2日按竞争性谈判文件中的通讯地址以书面形式通知采购代理机构。采购代理机构将视情况确定采用适当方式予以澄清或以书面形式予以答复，并在其认为必要时，将不标明询问来源的书面答复发送每个领取竞争性谈判文件的供应商。</w:t>
      </w:r>
    </w:p>
    <w:p>
      <w:pPr>
        <w:spacing w:line="360" w:lineRule="auto"/>
        <w:ind w:firstLine="480" w:firstLineChars="200"/>
        <w:rPr>
          <w:rFonts w:ascii="宋体" w:hAnsi="宋体" w:cs="宋体"/>
          <w:sz w:val="24"/>
          <w:szCs w:val="24"/>
        </w:rPr>
      </w:pPr>
      <w:r>
        <w:rPr>
          <w:rFonts w:hint="eastAsia" w:ascii="宋体" w:hAnsi="宋体" w:cs="宋体"/>
          <w:sz w:val="24"/>
          <w:szCs w:val="24"/>
        </w:rPr>
        <w:t>3、竞争性谈判文件的修改：</w:t>
      </w:r>
    </w:p>
    <w:p>
      <w:pPr>
        <w:spacing w:line="360" w:lineRule="auto"/>
        <w:ind w:firstLine="480" w:firstLineChars="200"/>
        <w:rPr>
          <w:rFonts w:ascii="宋体" w:hAnsi="宋体" w:cs="宋体"/>
          <w:sz w:val="24"/>
          <w:szCs w:val="24"/>
        </w:rPr>
      </w:pPr>
      <w:r>
        <w:rPr>
          <w:rFonts w:hint="eastAsia" w:ascii="宋体" w:hAnsi="宋体" w:cs="宋体"/>
          <w:sz w:val="24"/>
          <w:szCs w:val="24"/>
        </w:rPr>
        <w:t>3.1 在竞争性谈判响应文件提交截止3日前，无论出于何种原因，采购代理机构可主动地或在解答供应商提出的澄清问题时，对竞争性谈判文件进行修改。</w:t>
      </w:r>
    </w:p>
    <w:p>
      <w:pPr>
        <w:spacing w:line="360" w:lineRule="auto"/>
        <w:ind w:firstLine="480" w:firstLineChars="200"/>
        <w:rPr>
          <w:rFonts w:ascii="宋体" w:hAnsi="宋体" w:cs="宋体"/>
          <w:sz w:val="24"/>
          <w:szCs w:val="24"/>
        </w:rPr>
      </w:pPr>
      <w:r>
        <w:rPr>
          <w:rFonts w:hint="eastAsia" w:ascii="宋体" w:hAnsi="宋体" w:cs="宋体"/>
          <w:sz w:val="24"/>
          <w:szCs w:val="24"/>
        </w:rPr>
        <w:t>3.2 竞争性谈判文件的修改将以书面形式通知所有供应商，并作为竞争性谈判文件的补充，与其具有同等法律效力。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cs="宋体"/>
          <w:b/>
          <w:bCs/>
          <w:sz w:val="24"/>
          <w:szCs w:val="24"/>
        </w:rPr>
      </w:pPr>
      <w:r>
        <w:rPr>
          <w:rFonts w:hint="eastAsia" w:ascii="宋体" w:hAnsi="宋体" w:cs="宋体"/>
          <w:sz w:val="24"/>
          <w:szCs w:val="24"/>
        </w:rPr>
        <w:t>3.3 为方便供应商对竞争性谈判文件修改或澄清内容有充分的时间进行补充修改，代理机构可适当延长谈判截止时间和谈判时间，在竞争性谈判文件要求提交谈判响应文件的截止期三日前，将变更时间书面通知所有领取竞争性谈判文件的供应商。</w:t>
      </w:r>
    </w:p>
    <w:p>
      <w:pPr>
        <w:spacing w:line="360" w:lineRule="auto"/>
        <w:ind w:firstLine="480" w:firstLineChars="200"/>
        <w:rPr>
          <w:rFonts w:ascii="宋体" w:hAnsi="宋体" w:cs="宋体"/>
          <w:sz w:val="24"/>
          <w:szCs w:val="24"/>
        </w:rPr>
      </w:pPr>
      <w:r>
        <w:rPr>
          <w:rFonts w:hint="eastAsia" w:ascii="宋体" w:hAnsi="宋体" w:cs="宋体"/>
          <w:sz w:val="24"/>
          <w:szCs w:val="24"/>
        </w:rPr>
        <w:t>4、供应商必须从采购代理机构领取竞争性谈判文件，供应商自行转让或复制竞争性谈判文件视为无效。竞争性谈判文件一经售出，一律不退，仅作为本次竞争性谈判使用。</w:t>
      </w:r>
    </w:p>
    <w:p>
      <w:pPr>
        <w:spacing w:line="360" w:lineRule="auto"/>
        <w:ind w:firstLine="480" w:firstLineChars="200"/>
        <w:rPr>
          <w:rFonts w:ascii="宋体" w:hAnsi="宋体" w:cs="宋体"/>
          <w:sz w:val="24"/>
          <w:szCs w:val="24"/>
        </w:rPr>
      </w:pPr>
      <w:r>
        <w:rPr>
          <w:rFonts w:hint="eastAsia" w:ascii="宋体" w:hAnsi="宋体" w:cs="宋体"/>
          <w:sz w:val="24"/>
          <w:szCs w:val="24"/>
        </w:rPr>
        <w:t>5、供应商应仔细阅读竞争性谈判文件，对竞争性谈判文件中有疑义或异议的部分及时函告，否则视为同意竞争性谈判文件的一切条款和要求，并承担法律责任。</w:t>
      </w:r>
    </w:p>
    <w:p>
      <w:pPr>
        <w:spacing w:line="360" w:lineRule="auto"/>
        <w:ind w:firstLine="480" w:firstLineChars="200"/>
        <w:rPr>
          <w:rFonts w:ascii="宋体" w:hAnsi="宋体" w:cs="宋体"/>
          <w:sz w:val="24"/>
          <w:szCs w:val="24"/>
        </w:rPr>
      </w:pPr>
      <w:r>
        <w:rPr>
          <w:rFonts w:hint="eastAsia" w:ascii="宋体" w:hAnsi="宋体" w:cs="宋体"/>
          <w:sz w:val="24"/>
          <w:szCs w:val="24"/>
        </w:rPr>
        <w:t>6、竞争性谈判文件的解释权归采购代理机构。</w:t>
      </w:r>
    </w:p>
    <w:p>
      <w:pPr>
        <w:pStyle w:val="4"/>
        <w:spacing w:before="156" w:beforeLines="50" w:after="156" w:afterLines="50"/>
        <w:rPr>
          <w:rFonts w:ascii="宋体" w:hAnsi="宋体" w:eastAsia="宋体" w:cs="宋体"/>
          <w:b w:val="0"/>
          <w:sz w:val="20"/>
        </w:rPr>
      </w:pPr>
      <w:bookmarkStart w:id="47" w:name="_Toc25281"/>
      <w:bookmarkStart w:id="48" w:name="_Toc6633_WPSOffice_Level2"/>
      <w:bookmarkStart w:id="49" w:name="_Toc28622"/>
      <w:bookmarkStart w:id="50" w:name="_Toc8908"/>
      <w:bookmarkStart w:id="51" w:name="_Toc6114"/>
      <w:r>
        <w:rPr>
          <w:rStyle w:val="29"/>
          <w:rFonts w:hint="eastAsia" w:ascii="宋体" w:hAnsi="宋体" w:eastAsia="宋体" w:cs="宋体"/>
          <w:b/>
          <w:bCs/>
          <w:sz w:val="28"/>
          <w:szCs w:val="18"/>
        </w:rPr>
        <w:t>三、</w:t>
      </w:r>
      <w:bookmarkEnd w:id="46"/>
      <w:r>
        <w:rPr>
          <w:rStyle w:val="29"/>
          <w:rFonts w:hint="eastAsia" w:ascii="宋体" w:hAnsi="宋体" w:eastAsia="宋体" w:cs="宋体"/>
          <w:b/>
          <w:bCs/>
          <w:sz w:val="28"/>
          <w:szCs w:val="18"/>
        </w:rPr>
        <w:t>竞争性谈判响应文件</w:t>
      </w:r>
      <w:bookmarkEnd w:id="47"/>
      <w:bookmarkEnd w:id="48"/>
      <w:bookmarkEnd w:id="49"/>
      <w:bookmarkEnd w:id="50"/>
      <w:bookmarkEnd w:id="51"/>
    </w:p>
    <w:p>
      <w:pPr>
        <w:spacing w:before="156" w:beforeLines="50" w:after="156" w:afterLines="50" w:line="360" w:lineRule="auto"/>
        <w:ind w:firstLine="482" w:firstLineChars="200"/>
        <w:outlineLvl w:val="2"/>
        <w:rPr>
          <w:rFonts w:ascii="宋体" w:hAnsi="宋体" w:cs="宋体"/>
          <w:b/>
          <w:bCs/>
          <w:sz w:val="24"/>
          <w:szCs w:val="24"/>
        </w:rPr>
      </w:pPr>
      <w:r>
        <w:rPr>
          <w:rFonts w:hint="eastAsia" w:ascii="宋体" w:hAnsi="宋体" w:cs="宋体"/>
          <w:b/>
          <w:bCs/>
          <w:sz w:val="24"/>
          <w:szCs w:val="24"/>
        </w:rPr>
        <w:t>1、</w:t>
      </w:r>
      <w:bookmarkStart w:id="52" w:name="_Toc17549"/>
      <w:r>
        <w:rPr>
          <w:rFonts w:hint="eastAsia" w:ascii="宋体" w:hAnsi="宋体" w:cs="宋体"/>
          <w:b/>
          <w:bCs/>
          <w:sz w:val="24"/>
          <w:szCs w:val="24"/>
        </w:rPr>
        <w:t>谈判响应文件的编制</w:t>
      </w:r>
      <w:bookmarkEnd w:id="52"/>
    </w:p>
    <w:p>
      <w:pPr>
        <w:pStyle w:val="10"/>
        <w:snapToGrid w:val="0"/>
        <w:spacing w:line="360" w:lineRule="auto"/>
        <w:ind w:firstLine="480" w:firstLineChars="200"/>
        <w:jc w:val="left"/>
        <w:rPr>
          <w:rFonts w:hAnsi="宋体" w:cs="宋体"/>
          <w:bCs/>
          <w:sz w:val="24"/>
          <w:szCs w:val="24"/>
        </w:rPr>
      </w:pPr>
      <w:r>
        <w:rPr>
          <w:rFonts w:hint="eastAsia" w:hAnsi="宋体" w:cs="宋体"/>
          <w:bCs/>
          <w:sz w:val="24"/>
          <w:szCs w:val="24"/>
        </w:rPr>
        <w:t>谈判响应文件需根据代理机构发售的竞争性谈判文件格式和顺序认真编制。具体内容包括：</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（1）谈判函</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（2）谈判一览表 </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（3）技术偏离表</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（4）商务响应偏离表</w:t>
      </w:r>
    </w:p>
    <w:p>
      <w:pPr>
        <w:pStyle w:val="10"/>
        <w:snapToGrid w:val="0"/>
        <w:spacing w:line="360" w:lineRule="auto"/>
        <w:ind w:firstLine="480" w:firstLineChars="200"/>
        <w:jc w:val="left"/>
        <w:rPr>
          <w:rFonts w:hAnsi="宋体" w:cs="宋体"/>
          <w:kern w:val="0"/>
          <w:sz w:val="24"/>
          <w:szCs w:val="24"/>
        </w:rPr>
      </w:pPr>
      <w:r>
        <w:rPr>
          <w:rFonts w:hint="eastAsia" w:hAnsi="宋体" w:cs="宋体"/>
          <w:sz w:val="24"/>
          <w:szCs w:val="24"/>
        </w:rPr>
        <w:t>（5）法定代表人证明书及法定代表人授权书</w:t>
      </w:r>
    </w:p>
    <w:p>
      <w:pPr>
        <w:pStyle w:val="10"/>
        <w:snapToGrid w:val="0"/>
        <w:spacing w:line="360" w:lineRule="auto"/>
        <w:ind w:firstLine="480" w:firstLineChars="200"/>
        <w:jc w:val="left"/>
        <w:rPr>
          <w:rFonts w:hAnsi="宋体" w:cs="宋体"/>
          <w:kern w:val="0"/>
          <w:sz w:val="24"/>
          <w:szCs w:val="24"/>
        </w:rPr>
      </w:pPr>
      <w:r>
        <w:rPr>
          <w:rFonts w:hint="eastAsia" w:hAnsi="宋体" w:cs="宋体"/>
          <w:kern w:val="0"/>
          <w:sz w:val="24"/>
          <w:szCs w:val="24"/>
        </w:rPr>
        <w:t>（6）资格证明文件</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（7）采购产品与技术组织方案</w:t>
      </w:r>
    </w:p>
    <w:p>
      <w:pPr>
        <w:pStyle w:val="10"/>
        <w:snapToGrid w:val="0"/>
        <w:spacing w:line="360" w:lineRule="auto"/>
        <w:ind w:firstLine="480" w:firstLineChars="200"/>
        <w:jc w:val="left"/>
        <w:rPr>
          <w:rFonts w:hAnsi="宋体" w:cs="宋体"/>
          <w:sz w:val="24"/>
          <w:szCs w:val="24"/>
        </w:rPr>
      </w:pPr>
      <w:r>
        <w:rPr>
          <w:rFonts w:hint="eastAsia" w:hAnsi="宋体" w:cs="宋体"/>
          <w:sz w:val="24"/>
          <w:szCs w:val="24"/>
        </w:rPr>
        <w:t>（8）承诺书及承诺函</w:t>
      </w:r>
    </w:p>
    <w:p>
      <w:pPr>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（9）供应商认为有必要说明的其他问题</w:t>
      </w:r>
    </w:p>
    <w:p>
      <w:pPr>
        <w:spacing w:before="156" w:beforeLines="50" w:after="156" w:afterLines="50" w:line="360" w:lineRule="auto"/>
        <w:ind w:firstLine="482" w:firstLineChars="200"/>
        <w:outlineLvl w:val="2"/>
        <w:rPr>
          <w:rFonts w:ascii="宋体" w:hAnsi="宋体" w:cs="宋体"/>
          <w:b/>
          <w:bCs/>
          <w:sz w:val="24"/>
          <w:szCs w:val="24"/>
        </w:rPr>
      </w:pPr>
      <w:r>
        <w:rPr>
          <w:rFonts w:hint="eastAsia" w:ascii="宋体" w:hAnsi="宋体" w:cs="宋体"/>
          <w:b/>
          <w:bCs/>
          <w:sz w:val="24"/>
          <w:szCs w:val="24"/>
        </w:rPr>
        <w:t>2、资格审查资料：</w:t>
      </w:r>
    </w:p>
    <w:p>
      <w:pPr>
        <w:spacing w:line="360" w:lineRule="auto"/>
        <w:ind w:firstLine="480" w:firstLineChars="200"/>
        <w:rPr>
          <w:rFonts w:ascii="宋体" w:hAnsi="宋体" w:cs="宋体"/>
          <w:sz w:val="24"/>
          <w:szCs w:val="24"/>
        </w:rPr>
      </w:pPr>
      <w:r>
        <w:rPr>
          <w:rFonts w:hint="eastAsia" w:ascii="宋体" w:hAnsi="宋体" w:cs="宋体"/>
          <w:sz w:val="24"/>
          <w:szCs w:val="24"/>
        </w:rPr>
        <w:t>2.1、供应商应具有独立承担民事责任的能力的企业法人、事业法人、其他组织或自然人，出具合法有效的营业执照等相关证明文件，自然人参与的提供其身份证明；</w:t>
      </w:r>
    </w:p>
    <w:p>
      <w:pPr>
        <w:spacing w:line="360" w:lineRule="auto"/>
        <w:ind w:firstLine="480" w:firstLineChars="200"/>
        <w:rPr>
          <w:rFonts w:ascii="宋体" w:hAnsi="宋体" w:cs="宋体"/>
          <w:sz w:val="24"/>
          <w:szCs w:val="24"/>
        </w:rPr>
      </w:pPr>
      <w:r>
        <w:rPr>
          <w:rFonts w:hint="eastAsia" w:ascii="宋体" w:hAnsi="宋体" w:cs="宋体"/>
          <w:sz w:val="24"/>
          <w:szCs w:val="24"/>
        </w:rPr>
        <w:t>2.2、法定代表人直接参加谈判的，须出具法定代表人证明及法人身份证；法定代表人授权代表参加谈判的，须出具法定代表人授权书及授权代表身份证；</w:t>
      </w:r>
    </w:p>
    <w:p>
      <w:pPr>
        <w:spacing w:line="360" w:lineRule="auto"/>
        <w:ind w:firstLine="480" w:firstLineChars="200"/>
        <w:rPr>
          <w:rFonts w:ascii="宋体" w:hAnsi="宋体" w:cs="宋体"/>
          <w:sz w:val="24"/>
          <w:szCs w:val="24"/>
        </w:rPr>
      </w:pPr>
      <w:r>
        <w:rPr>
          <w:rFonts w:hint="eastAsia" w:ascii="宋体" w:hAnsi="宋体" w:cs="宋体"/>
          <w:sz w:val="24"/>
          <w:szCs w:val="24"/>
        </w:rPr>
        <w:t>2.3、财务状况报告：提供经审计的2021年度财务报告或谈判前六个月内其本公司银行账户出具的资信证明；</w:t>
      </w:r>
    </w:p>
    <w:p>
      <w:pPr>
        <w:spacing w:line="360" w:lineRule="auto"/>
        <w:ind w:firstLine="480" w:firstLineChars="200"/>
        <w:rPr>
          <w:rFonts w:ascii="宋体" w:hAnsi="宋体" w:cs="宋体"/>
          <w:sz w:val="24"/>
          <w:szCs w:val="24"/>
        </w:rPr>
      </w:pPr>
      <w:r>
        <w:rPr>
          <w:rFonts w:hint="eastAsia" w:ascii="宋体" w:hAnsi="宋体" w:cs="宋体"/>
          <w:sz w:val="24"/>
          <w:szCs w:val="24"/>
        </w:rPr>
        <w:t>2.4、税收缴纳证明：供应商提供截止至谈判时间前六个月任一月份的缴费凭据；依法免税的应提供相关文件证明；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2.5、社会保障资金缴纳证明：供应商提供截止至谈判时间前六个月任一月份的缴费凭据或社保机构开具的社会保险参保缴费情况证明；依法不需要缴纳社会保障资金的应提供相关文件证明；</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2.6、供应商提供具有履行本合同所必需的设备和专业技术能力的承诺函； </w:t>
      </w:r>
    </w:p>
    <w:p>
      <w:pPr>
        <w:spacing w:line="360" w:lineRule="auto"/>
        <w:ind w:firstLine="480" w:firstLineChars="200"/>
        <w:rPr>
          <w:rFonts w:ascii="宋体" w:hAnsi="宋体" w:cs="宋体"/>
          <w:sz w:val="24"/>
          <w:szCs w:val="24"/>
        </w:rPr>
      </w:pPr>
      <w:r>
        <w:rPr>
          <w:rFonts w:hint="eastAsia" w:ascii="宋体" w:hAnsi="宋体" w:cs="宋体"/>
          <w:sz w:val="24"/>
          <w:szCs w:val="24"/>
        </w:rPr>
        <w:t>2.7、供应商提供参加政府采购活动前三年内在经营活动中没有重大违法记录的承诺函；</w:t>
      </w:r>
    </w:p>
    <w:p>
      <w:pPr>
        <w:spacing w:line="360" w:lineRule="auto"/>
        <w:ind w:firstLine="480" w:firstLineChars="200"/>
        <w:rPr>
          <w:rFonts w:ascii="宋体" w:hAnsi="宋体" w:cs="宋体"/>
          <w:sz w:val="24"/>
          <w:szCs w:val="24"/>
        </w:rPr>
      </w:pPr>
      <w:r>
        <w:rPr>
          <w:rFonts w:hint="eastAsia" w:ascii="宋体" w:hAnsi="宋体" w:cs="宋体"/>
          <w:sz w:val="24"/>
          <w:szCs w:val="24"/>
        </w:rPr>
        <w:t>2.8、符合《财政部关于在政府采购活动中查询及使用信用记录有关问题的通知》（财库【2016】125号）文件中信用查询的要求。以采购代理机构于谈判响应文件截止日当天查询结果为准。</w:t>
      </w:r>
    </w:p>
    <w:p>
      <w:pPr>
        <w:spacing w:line="360" w:lineRule="auto"/>
        <w:ind w:firstLine="480" w:firstLineChars="200"/>
        <w:rPr>
          <w:rFonts w:ascii="宋体" w:hAnsi="宋体" w:cs="宋体"/>
          <w:sz w:val="24"/>
          <w:szCs w:val="24"/>
        </w:rPr>
      </w:pPr>
      <w:r>
        <w:rPr>
          <w:rFonts w:hint="eastAsia" w:ascii="宋体" w:hAnsi="宋体" w:cs="宋体"/>
          <w:sz w:val="24"/>
          <w:szCs w:val="24"/>
        </w:rPr>
        <w:t>2.9、供应商不得为“信用中国”网站（www.creditchina.gov.cn）中列入失信被执行人和重大税收违法案件当事人名单的供应商</w:t>
      </w:r>
    </w:p>
    <w:p>
      <w:pPr>
        <w:spacing w:line="360" w:lineRule="auto"/>
        <w:ind w:firstLine="480" w:firstLineChars="200"/>
        <w:rPr>
          <w:rFonts w:ascii="宋体" w:hAnsi="宋体" w:cs="宋体"/>
          <w:sz w:val="24"/>
          <w:szCs w:val="24"/>
        </w:rPr>
      </w:pPr>
      <w:r>
        <w:rPr>
          <w:rFonts w:hint="eastAsia" w:ascii="宋体" w:hAnsi="宋体" w:cs="宋体"/>
          <w:sz w:val="24"/>
          <w:szCs w:val="24"/>
        </w:rPr>
        <w:t>。</w:t>
      </w:r>
    </w:p>
    <w:p>
      <w:pPr>
        <w:spacing w:line="360" w:lineRule="auto"/>
        <w:ind w:firstLine="482" w:firstLineChars="200"/>
        <w:rPr>
          <w:rFonts w:ascii="宋体" w:hAnsi="宋体" w:cs="宋体"/>
          <w:b/>
          <w:sz w:val="24"/>
          <w:szCs w:val="24"/>
        </w:rPr>
      </w:pPr>
      <w:r>
        <w:rPr>
          <w:rFonts w:hint="eastAsia" w:ascii="宋体" w:hAnsi="宋体" w:cs="宋体"/>
          <w:b/>
          <w:sz w:val="24"/>
          <w:szCs w:val="24"/>
        </w:rPr>
        <w:t>以上2.1-2.8项为资格审查必备资质，须在谈判响应文件正副本中附完整的资格证明材料复印件并加盖公章。资格证明文件无效或缺项响应文件按无效响应文件处理。依法免税或不需要缴纳社会保障资金的供应商提供相应证明文件；</w:t>
      </w:r>
    </w:p>
    <w:p>
      <w:pPr>
        <w:spacing w:before="156" w:beforeLines="50" w:after="156" w:afterLines="50" w:line="360" w:lineRule="auto"/>
        <w:ind w:firstLine="482" w:firstLineChars="200"/>
        <w:outlineLvl w:val="2"/>
        <w:rPr>
          <w:rFonts w:ascii="宋体" w:hAnsi="宋体" w:cs="宋体"/>
          <w:b/>
          <w:bCs/>
          <w:sz w:val="24"/>
          <w:szCs w:val="24"/>
        </w:rPr>
      </w:pPr>
      <w:r>
        <w:rPr>
          <w:rFonts w:hint="eastAsia" w:ascii="宋体" w:hAnsi="宋体" w:cs="宋体"/>
          <w:b/>
          <w:bCs/>
          <w:sz w:val="24"/>
          <w:szCs w:val="24"/>
        </w:rPr>
        <w:t>3、采购内容填写说明：</w:t>
      </w:r>
    </w:p>
    <w:p>
      <w:pPr>
        <w:spacing w:line="360" w:lineRule="auto"/>
        <w:ind w:firstLine="480" w:firstLineChars="200"/>
        <w:rPr>
          <w:rFonts w:ascii="宋体" w:hAnsi="宋体" w:cs="宋体"/>
          <w:sz w:val="24"/>
          <w:szCs w:val="24"/>
        </w:rPr>
      </w:pPr>
      <w:r>
        <w:rPr>
          <w:rFonts w:hint="eastAsia" w:ascii="宋体" w:hAnsi="宋体" w:cs="宋体"/>
          <w:sz w:val="24"/>
          <w:szCs w:val="24"/>
        </w:rPr>
        <w:t>竞争性谈判响应文件按统一格式填写，装订成册。</w:t>
      </w:r>
    </w:p>
    <w:p>
      <w:pPr>
        <w:spacing w:before="156" w:beforeLines="50" w:after="156" w:afterLines="50" w:line="360" w:lineRule="auto"/>
        <w:ind w:firstLine="482" w:firstLineChars="200"/>
        <w:outlineLvl w:val="2"/>
        <w:rPr>
          <w:rFonts w:ascii="宋体" w:hAnsi="宋体" w:cs="宋体"/>
          <w:b/>
          <w:bCs/>
          <w:sz w:val="24"/>
          <w:szCs w:val="24"/>
        </w:rPr>
      </w:pPr>
      <w:r>
        <w:rPr>
          <w:rFonts w:hint="eastAsia" w:ascii="宋体" w:hAnsi="宋体" w:cs="宋体"/>
          <w:b/>
          <w:bCs/>
          <w:sz w:val="24"/>
          <w:szCs w:val="24"/>
        </w:rPr>
        <w:t>4、谈判报价：</w:t>
      </w:r>
    </w:p>
    <w:p>
      <w:pPr>
        <w:spacing w:line="360" w:lineRule="auto"/>
        <w:ind w:firstLine="360" w:firstLineChars="150"/>
        <w:rPr>
          <w:rFonts w:ascii="宋体" w:hAnsi="宋体" w:cs="宋体"/>
          <w:sz w:val="24"/>
          <w:szCs w:val="24"/>
        </w:rPr>
      </w:pPr>
      <w:r>
        <w:rPr>
          <w:rFonts w:hint="eastAsia" w:ascii="宋体" w:hAnsi="宋体" w:cs="宋体"/>
          <w:sz w:val="24"/>
          <w:szCs w:val="24"/>
        </w:rPr>
        <w:t>（1）供应商应在谈判报价表中标明完成本次谈判所要求的货物、服务且验收合格的所有费用，包括包含产品价格、运杂费、人工服务费、产品发放、调换货过程中产生的一切相关费用等。谈判报价表中标明本次货物、服务的所有单项价格和总价，任何有选择的报价将不予接受，否则按无效谈判处理。</w:t>
      </w:r>
    </w:p>
    <w:p>
      <w:pPr>
        <w:spacing w:line="360" w:lineRule="auto"/>
        <w:ind w:firstLine="360" w:firstLineChars="150"/>
        <w:rPr>
          <w:rFonts w:ascii="宋体" w:hAnsi="宋体" w:cs="宋体"/>
          <w:sz w:val="24"/>
          <w:szCs w:val="24"/>
        </w:rPr>
      </w:pPr>
      <w:r>
        <w:rPr>
          <w:rFonts w:hint="eastAsia" w:ascii="宋体" w:hAnsi="宋体" w:cs="宋体"/>
          <w:sz w:val="24"/>
          <w:szCs w:val="24"/>
        </w:rPr>
        <w:t>（2）谈判单位应在竞争性谈判响应文件中的谈判报价一览表上内容填写。</w:t>
      </w:r>
    </w:p>
    <w:p>
      <w:pPr>
        <w:spacing w:line="360" w:lineRule="auto"/>
        <w:ind w:left="420"/>
        <w:rPr>
          <w:rFonts w:ascii="宋体" w:hAnsi="宋体" w:cs="宋体"/>
          <w:sz w:val="24"/>
        </w:rPr>
      </w:pPr>
      <w:r>
        <w:rPr>
          <w:rFonts w:hint="eastAsia" w:ascii="宋体" w:hAnsi="宋体" w:cs="宋体"/>
          <w:sz w:val="24"/>
          <w:szCs w:val="24"/>
        </w:rPr>
        <w:t>（3）谈判报价表成交的价格，在合同执行过程中，不得以任何理由变更</w:t>
      </w:r>
      <w:r>
        <w:rPr>
          <w:rFonts w:hint="eastAsia" w:ascii="宋体" w:hAnsi="宋体" w:cs="宋体"/>
          <w:sz w:val="24"/>
        </w:rPr>
        <w:t>。</w:t>
      </w:r>
    </w:p>
    <w:p>
      <w:pPr>
        <w:spacing w:line="360" w:lineRule="auto"/>
        <w:ind w:firstLine="360" w:firstLineChars="150"/>
        <w:rPr>
          <w:rFonts w:ascii="宋体" w:hAnsi="宋体" w:cs="宋体"/>
          <w:sz w:val="24"/>
          <w:szCs w:val="24"/>
        </w:rPr>
      </w:pPr>
      <w:r>
        <w:rPr>
          <w:rFonts w:hint="eastAsia" w:ascii="宋体" w:hAnsi="宋体" w:cs="宋体"/>
          <w:sz w:val="24"/>
          <w:szCs w:val="24"/>
        </w:rPr>
        <w:t>（4）凡因供应商对竞争性谈判文件阅读不深、理解不透、误解、疏漏、或因市场行情了解不清造成的后果和风险均由供应商自负。</w:t>
      </w:r>
    </w:p>
    <w:p>
      <w:pPr>
        <w:spacing w:line="360" w:lineRule="auto"/>
        <w:ind w:firstLine="360" w:firstLineChars="150"/>
        <w:rPr>
          <w:rFonts w:ascii="宋体" w:hAnsi="宋体" w:cs="宋体"/>
          <w:kern w:val="0"/>
          <w:sz w:val="24"/>
          <w:szCs w:val="24"/>
        </w:rPr>
      </w:pPr>
      <w:r>
        <w:rPr>
          <w:rFonts w:hint="eastAsia" w:ascii="宋体" w:hAnsi="宋体" w:cs="宋体"/>
          <w:sz w:val="24"/>
          <w:szCs w:val="24"/>
        </w:rPr>
        <w:t>（5）</w:t>
      </w:r>
      <w:r>
        <w:rPr>
          <w:rFonts w:hint="eastAsia" w:ascii="宋体" w:hAnsi="宋体" w:cs="宋体"/>
          <w:kern w:val="0"/>
          <w:sz w:val="24"/>
          <w:szCs w:val="24"/>
        </w:rPr>
        <w:t>谈判报价不在谈判时公开宣布。</w:t>
      </w:r>
    </w:p>
    <w:p>
      <w:pPr>
        <w:widowControl/>
        <w:tabs>
          <w:tab w:val="left" w:pos="1620"/>
        </w:tabs>
        <w:wordWrap w:val="0"/>
        <w:spacing w:line="360" w:lineRule="auto"/>
        <w:ind w:right="-197" w:rightChars="-94" w:firstLine="361" w:firstLineChars="150"/>
        <w:jc w:val="left"/>
        <w:rPr>
          <w:rFonts w:ascii="宋体" w:hAnsi="宋体" w:cs="宋体"/>
          <w:b/>
          <w:kern w:val="0"/>
          <w:sz w:val="24"/>
          <w:szCs w:val="24"/>
        </w:rPr>
      </w:pPr>
      <w:r>
        <w:rPr>
          <w:rFonts w:hint="eastAsia" w:ascii="宋体" w:hAnsi="宋体" w:cs="宋体"/>
          <w:b/>
          <w:kern w:val="0"/>
          <w:sz w:val="24"/>
          <w:szCs w:val="24"/>
        </w:rPr>
        <w:t>（6）本次谈判采取二轮报价，即：谈判响应文件中的谈判报价为第一轮报价；在谈判现场按谈判小组要求报出的价格为第二轮报价。第二轮报价即为最终报价，若第二轮报价出现相同报价的情况，可进行再次报价，直至产生唯一最低报价。</w:t>
      </w:r>
    </w:p>
    <w:p>
      <w:pPr>
        <w:spacing w:before="156" w:beforeLines="50" w:after="156" w:afterLines="50" w:line="360" w:lineRule="auto"/>
        <w:ind w:firstLine="482" w:firstLineChars="200"/>
        <w:outlineLvl w:val="2"/>
        <w:rPr>
          <w:rFonts w:ascii="宋体" w:hAnsi="宋体" w:cs="宋体"/>
          <w:b/>
          <w:bCs/>
          <w:sz w:val="24"/>
          <w:szCs w:val="24"/>
        </w:rPr>
      </w:pPr>
      <w:r>
        <w:rPr>
          <w:rFonts w:hint="eastAsia" w:ascii="宋体" w:hAnsi="宋体" w:cs="宋体"/>
          <w:b/>
          <w:bCs/>
          <w:sz w:val="24"/>
          <w:szCs w:val="24"/>
        </w:rPr>
        <w:t>5、谈判保证金：无</w:t>
      </w:r>
    </w:p>
    <w:p>
      <w:pPr>
        <w:spacing w:before="156" w:beforeLines="50" w:after="156" w:afterLines="50" w:line="360" w:lineRule="auto"/>
        <w:ind w:firstLine="482" w:firstLineChars="200"/>
        <w:outlineLvl w:val="2"/>
        <w:rPr>
          <w:rFonts w:ascii="宋体" w:hAnsi="宋体" w:cs="宋体"/>
          <w:b/>
          <w:bCs/>
          <w:sz w:val="24"/>
          <w:szCs w:val="24"/>
        </w:rPr>
      </w:pPr>
      <w:r>
        <w:rPr>
          <w:rFonts w:hint="eastAsia" w:ascii="宋体" w:hAnsi="宋体" w:cs="宋体"/>
          <w:b/>
          <w:bCs/>
          <w:sz w:val="24"/>
          <w:szCs w:val="24"/>
        </w:rPr>
        <w:t>6、竞争性谈判响应文件有效期：</w:t>
      </w:r>
    </w:p>
    <w:p>
      <w:pPr>
        <w:spacing w:line="360" w:lineRule="auto"/>
        <w:ind w:firstLine="480" w:firstLineChars="200"/>
        <w:rPr>
          <w:rFonts w:ascii="宋体" w:hAnsi="宋体" w:cs="宋体"/>
          <w:sz w:val="24"/>
          <w:szCs w:val="24"/>
        </w:rPr>
      </w:pPr>
      <w:r>
        <w:rPr>
          <w:rFonts w:hint="eastAsia" w:ascii="宋体" w:hAnsi="宋体" w:cs="宋体"/>
          <w:sz w:val="24"/>
          <w:szCs w:val="24"/>
        </w:rPr>
        <w:t>6-1、竞争性谈判响应文件有效期为自谈判之日起算九十（90）个日历日，如果成交延期到合同期满。</w:t>
      </w:r>
    </w:p>
    <w:p>
      <w:pPr>
        <w:spacing w:line="360" w:lineRule="auto"/>
        <w:ind w:firstLine="480" w:firstLineChars="200"/>
        <w:rPr>
          <w:rFonts w:ascii="宋体" w:hAnsi="宋体" w:cs="宋体"/>
          <w:sz w:val="24"/>
          <w:szCs w:val="24"/>
        </w:rPr>
      </w:pPr>
      <w:r>
        <w:rPr>
          <w:rFonts w:hint="eastAsia" w:ascii="宋体" w:hAnsi="宋体" w:cs="宋体"/>
          <w:sz w:val="24"/>
          <w:szCs w:val="24"/>
        </w:rPr>
        <w:t>6-2、在特殊情况下，采购人可与供应商协商延长竞争性谈判响应文件的有效期,这种要求和答复均应以书面形式进行。</w:t>
      </w:r>
    </w:p>
    <w:p>
      <w:pPr>
        <w:spacing w:line="360" w:lineRule="auto"/>
        <w:ind w:firstLine="480" w:firstLineChars="200"/>
        <w:rPr>
          <w:rFonts w:ascii="宋体" w:hAnsi="宋体" w:cs="宋体"/>
          <w:sz w:val="24"/>
          <w:szCs w:val="24"/>
        </w:rPr>
      </w:pPr>
      <w:r>
        <w:rPr>
          <w:rFonts w:hint="eastAsia" w:ascii="宋体" w:hAnsi="宋体" w:cs="宋体"/>
          <w:sz w:val="24"/>
          <w:szCs w:val="24"/>
        </w:rPr>
        <w:t>6-3、供应商可拒绝接受延期要求而不会导致谈判保证金被没收。同意延长有效期的供应商不能修改竞争性谈判响应文件。</w:t>
      </w:r>
    </w:p>
    <w:p>
      <w:pPr>
        <w:spacing w:line="360" w:lineRule="auto"/>
        <w:ind w:firstLine="480" w:firstLineChars="200"/>
        <w:outlineLvl w:val="2"/>
        <w:rPr>
          <w:rFonts w:ascii="宋体" w:hAnsi="宋体" w:cs="宋体"/>
          <w:sz w:val="24"/>
          <w:szCs w:val="24"/>
        </w:rPr>
      </w:pPr>
      <w:r>
        <w:rPr>
          <w:rFonts w:hint="eastAsia" w:ascii="宋体" w:hAnsi="宋体" w:cs="宋体"/>
          <w:sz w:val="24"/>
          <w:szCs w:val="24"/>
        </w:rPr>
        <w:t>7、本次谈判项目不接受联合体谈判。</w:t>
      </w:r>
    </w:p>
    <w:p>
      <w:pPr>
        <w:spacing w:before="93" w:beforeLines="30" w:after="93" w:afterLines="30" w:line="360" w:lineRule="auto"/>
        <w:rPr>
          <w:rFonts w:ascii="宋体" w:hAnsi="宋体" w:cs="宋体"/>
          <w:b/>
          <w:sz w:val="24"/>
          <w:szCs w:val="24"/>
        </w:rPr>
      </w:pPr>
      <w:r>
        <w:rPr>
          <w:rFonts w:hint="eastAsia" w:ascii="宋体" w:hAnsi="宋体" w:cs="宋体"/>
          <w:b/>
          <w:sz w:val="24"/>
          <w:szCs w:val="24"/>
        </w:rPr>
        <w:t>7、竞争性谈判响应文件的式样和签署</w:t>
      </w:r>
    </w:p>
    <w:p>
      <w:pPr>
        <w:spacing w:line="360" w:lineRule="auto"/>
        <w:ind w:firstLine="480" w:firstLineChars="200"/>
        <w:rPr>
          <w:rFonts w:ascii="宋体" w:hAnsi="宋体" w:cs="宋体"/>
          <w:sz w:val="24"/>
          <w:szCs w:val="24"/>
        </w:rPr>
      </w:pPr>
      <w:r>
        <w:rPr>
          <w:rFonts w:hint="eastAsia" w:ascii="宋体" w:hAnsi="宋体" w:cs="宋体"/>
          <w:sz w:val="24"/>
          <w:szCs w:val="24"/>
        </w:rPr>
        <w:t>1、供应商须依据竞争性谈判文件内容和谈判响应文件格式的要求编制谈判响应文件；</w:t>
      </w:r>
    </w:p>
    <w:p>
      <w:pPr>
        <w:spacing w:line="360" w:lineRule="auto"/>
        <w:ind w:firstLine="480" w:firstLineChars="200"/>
        <w:rPr>
          <w:rFonts w:ascii="宋体" w:hAnsi="宋体" w:cs="宋体"/>
          <w:sz w:val="24"/>
          <w:szCs w:val="24"/>
        </w:rPr>
      </w:pPr>
      <w:r>
        <w:rPr>
          <w:rFonts w:hint="eastAsia" w:ascii="宋体" w:hAnsi="宋体" w:cs="宋体"/>
          <w:sz w:val="24"/>
          <w:szCs w:val="24"/>
        </w:rPr>
        <w:t>谈判响应文件的正本须打印或用不褪色蓝（黑）墨水（汁）书写，谈判响应文件的打印和书写应清楚工整，任何行间插字、涂改和增删，必须由供应商的法定代表人或其授权代表签字或加盖个人印章，字迹潦草或表达不清或可能导致非唯一理解的谈判响应文件可能视为无效文件；所有的副本可以为正本的复印件。在每一页的正下方清楚标明页码；</w:t>
      </w:r>
    </w:p>
    <w:p>
      <w:pPr>
        <w:tabs>
          <w:tab w:val="left" w:pos="0"/>
        </w:tabs>
        <w:spacing w:line="360" w:lineRule="auto"/>
        <w:ind w:left="420" w:leftChars="200"/>
        <w:rPr>
          <w:rFonts w:ascii="宋体" w:hAnsi="宋体" w:cs="宋体"/>
          <w:sz w:val="24"/>
          <w:szCs w:val="24"/>
        </w:rPr>
      </w:pPr>
      <w:r>
        <w:rPr>
          <w:rFonts w:hint="eastAsia" w:ascii="宋体" w:hAnsi="宋体" w:cs="宋体"/>
          <w:sz w:val="24"/>
          <w:szCs w:val="24"/>
        </w:rPr>
        <w:t>2、谈判响应文件的装订</w:t>
      </w:r>
    </w:p>
    <w:p>
      <w:pPr>
        <w:tabs>
          <w:tab w:val="left" w:pos="0"/>
        </w:tabs>
        <w:spacing w:line="360" w:lineRule="auto"/>
        <w:ind w:firstLine="480" w:firstLineChars="200"/>
        <w:rPr>
          <w:rFonts w:ascii="宋体" w:hAnsi="宋体" w:cs="宋体"/>
          <w:b/>
          <w:bCs/>
          <w:sz w:val="24"/>
          <w:szCs w:val="24"/>
        </w:rPr>
      </w:pPr>
      <w:r>
        <w:rPr>
          <w:rFonts w:hint="eastAsia" w:ascii="宋体" w:hAnsi="宋体" w:cs="宋体"/>
          <w:sz w:val="24"/>
          <w:szCs w:val="24"/>
        </w:rPr>
        <w:t>谈判响应文件正本壹份、副本贰份，分别胶装装订成册，且封面须清楚地标明“正本”或“副本”；若正本和副本不符，以正本书面文件为准；同时提供与正本内容一致的电子版（U盘、</w:t>
      </w:r>
      <w:r>
        <w:rPr>
          <w:rFonts w:hint="eastAsia" w:ascii="宋体" w:hAnsi="宋体" w:cs="宋体"/>
          <w:b/>
          <w:bCs/>
          <w:sz w:val="24"/>
          <w:szCs w:val="24"/>
        </w:rPr>
        <w:t>电子文档应为PDF与WORD格式各一份）。</w:t>
      </w:r>
    </w:p>
    <w:p>
      <w:pPr>
        <w:spacing w:line="360" w:lineRule="auto"/>
        <w:ind w:firstLine="480" w:firstLineChars="200"/>
        <w:rPr>
          <w:rFonts w:ascii="宋体" w:hAnsi="宋体" w:cs="宋体"/>
          <w:sz w:val="24"/>
          <w:szCs w:val="24"/>
        </w:rPr>
      </w:pPr>
      <w:r>
        <w:rPr>
          <w:rFonts w:hint="eastAsia" w:ascii="宋体" w:hAnsi="宋体" w:cs="宋体"/>
          <w:sz w:val="24"/>
          <w:szCs w:val="24"/>
        </w:rPr>
        <w:t>竞争性谈判响应文件的正本和副本不得采用活页夹的可随时拆换的方式装订，不得有零散页。谈判文件应严格按照“谈判文件格式”的目录次序装订。</w:t>
      </w:r>
    </w:p>
    <w:p>
      <w:pPr>
        <w:spacing w:line="360" w:lineRule="auto"/>
        <w:ind w:firstLine="480" w:firstLineChars="200"/>
        <w:rPr>
          <w:rFonts w:ascii="宋体" w:hAnsi="宋体" w:cs="宋体"/>
          <w:sz w:val="24"/>
          <w:szCs w:val="24"/>
        </w:rPr>
      </w:pPr>
      <w:r>
        <w:rPr>
          <w:rFonts w:hint="eastAsia" w:ascii="宋体" w:hAnsi="宋体" w:cs="宋体"/>
          <w:sz w:val="24"/>
          <w:szCs w:val="24"/>
        </w:rPr>
        <w:t>3、谈判响应文件的签署</w:t>
      </w:r>
    </w:p>
    <w:p>
      <w:pPr>
        <w:spacing w:line="360" w:lineRule="auto"/>
        <w:ind w:firstLine="480" w:firstLineChars="200"/>
        <w:rPr>
          <w:rFonts w:ascii="宋体" w:hAnsi="宋体" w:cs="宋体"/>
          <w:sz w:val="24"/>
          <w:szCs w:val="24"/>
        </w:rPr>
      </w:pPr>
      <w:r>
        <w:rPr>
          <w:rFonts w:hint="eastAsia" w:ascii="宋体" w:hAnsi="宋体" w:cs="宋体"/>
          <w:sz w:val="24"/>
          <w:szCs w:val="24"/>
        </w:rPr>
        <w:t>供应商在谈判响应文件中指定的页面的落款处，按竞争性谈判文件要求由供应商的法定代表人或其授权代表在规定的签章处签字或盖章。</w:t>
      </w:r>
    </w:p>
    <w:p>
      <w:pPr>
        <w:spacing w:line="360" w:lineRule="auto"/>
        <w:ind w:firstLine="480" w:firstLineChars="200"/>
        <w:rPr>
          <w:rFonts w:ascii="宋体" w:hAnsi="宋体" w:cs="宋体"/>
          <w:sz w:val="24"/>
          <w:szCs w:val="24"/>
        </w:rPr>
      </w:pPr>
      <w:r>
        <w:rPr>
          <w:rFonts w:hint="eastAsia" w:ascii="宋体" w:hAnsi="宋体" w:cs="宋体"/>
          <w:sz w:val="24"/>
          <w:szCs w:val="24"/>
        </w:rPr>
        <w:t>4、除供应商对错处做必要修改外，竞争性谈判响应文件不得行间插字、涂改和增删，如有修改错漏处，必须由谈判法定代表人或其授权人代表签字或盖章。</w:t>
      </w:r>
    </w:p>
    <w:p>
      <w:pPr>
        <w:spacing w:line="360" w:lineRule="auto"/>
        <w:ind w:firstLine="480" w:firstLineChars="200"/>
        <w:rPr>
          <w:rFonts w:ascii="宋体" w:hAnsi="宋体" w:cs="宋体"/>
          <w:sz w:val="24"/>
          <w:szCs w:val="24"/>
        </w:rPr>
      </w:pPr>
      <w:r>
        <w:rPr>
          <w:rFonts w:hint="eastAsia" w:ascii="宋体" w:hAnsi="宋体" w:cs="宋体"/>
          <w:sz w:val="24"/>
          <w:szCs w:val="24"/>
        </w:rPr>
        <w:t>5、</w:t>
      </w:r>
      <w:bookmarkStart w:id="53" w:name="_Toc92598703"/>
      <w:r>
        <w:rPr>
          <w:rFonts w:hint="eastAsia" w:ascii="宋体" w:hAnsi="宋体" w:cs="宋体"/>
          <w:sz w:val="24"/>
          <w:szCs w:val="24"/>
        </w:rPr>
        <w:t>谈判响应文件的密封</w:t>
      </w:r>
    </w:p>
    <w:p>
      <w:pPr>
        <w:spacing w:line="360" w:lineRule="auto"/>
        <w:ind w:firstLine="480" w:firstLineChars="200"/>
        <w:rPr>
          <w:rFonts w:ascii="宋体" w:hAnsi="宋体" w:cs="宋体"/>
          <w:sz w:val="24"/>
          <w:szCs w:val="24"/>
        </w:rPr>
      </w:pPr>
      <w:r>
        <w:rPr>
          <w:rFonts w:hint="eastAsia" w:ascii="宋体" w:hAnsi="宋体" w:cs="宋体"/>
          <w:sz w:val="24"/>
          <w:szCs w:val="24"/>
        </w:rPr>
        <w:t>5.1谈判响应文件正本、所有的副本、电子版需分开密封装在单独的封袋中（封袋不得有破损），且在封袋正面标明“正本”“副本”“电子版”等字样。封袋应加贴封条，并在封线处加盖供应商鲜章，封袋正面要粘贴供应商全称、项目名称、编号、谈判时启封等标识、且谈判响应文件袋上应加盖供应商公章，如果未按上述规定进行密封，供应商的谈判响应文件有权被拒绝。</w:t>
      </w:r>
    </w:p>
    <w:p>
      <w:pPr>
        <w:spacing w:line="360" w:lineRule="auto"/>
        <w:ind w:firstLine="480" w:firstLineChars="200"/>
        <w:rPr>
          <w:rFonts w:ascii="宋体" w:hAnsi="宋体" w:cs="宋体"/>
          <w:sz w:val="24"/>
          <w:szCs w:val="24"/>
        </w:rPr>
      </w:pPr>
      <w:r>
        <w:rPr>
          <w:rFonts w:hint="eastAsia" w:ascii="宋体" w:hAnsi="宋体" w:cs="宋体"/>
          <w:sz w:val="24"/>
          <w:szCs w:val="24"/>
        </w:rPr>
        <w:t>5.2如果供应商未按上述要求密封及加写标记，误投或过早启封的谈判响应文件，将自行承担其谈判响应文件被视为无效谈判响应文件的风险。</w:t>
      </w:r>
    </w:p>
    <w:p>
      <w:pPr>
        <w:spacing w:line="360" w:lineRule="auto"/>
        <w:ind w:firstLine="480" w:firstLineChars="200"/>
        <w:rPr>
          <w:rFonts w:ascii="宋体" w:hAnsi="宋体" w:cs="宋体"/>
          <w:sz w:val="24"/>
          <w:szCs w:val="24"/>
        </w:rPr>
      </w:pPr>
      <w:r>
        <w:rPr>
          <w:rFonts w:hint="eastAsia" w:ascii="宋体" w:hAnsi="宋体" w:cs="宋体"/>
          <w:sz w:val="24"/>
          <w:szCs w:val="24"/>
        </w:rPr>
        <w:t>5.3本次谈判只接受简体中文文字的谈判响应文件；如谈判响应文件中出现外文资料，必须配以中文译文。否则，由此引发的一切责任由供应商自负。</w:t>
      </w:r>
    </w:p>
    <w:p>
      <w:pPr>
        <w:spacing w:line="360" w:lineRule="auto"/>
        <w:ind w:firstLine="480" w:firstLineChars="200"/>
        <w:rPr>
          <w:rFonts w:ascii="宋体" w:hAnsi="宋体" w:cs="宋体"/>
          <w:sz w:val="24"/>
          <w:szCs w:val="24"/>
        </w:rPr>
      </w:pPr>
      <w:r>
        <w:rPr>
          <w:rFonts w:hint="eastAsia" w:ascii="宋体" w:hAnsi="宋体" w:cs="宋体"/>
          <w:sz w:val="24"/>
          <w:szCs w:val="24"/>
        </w:rPr>
        <w:t>5.4拒绝接受以电话、传真、电子邮件形式的谈判。</w:t>
      </w:r>
    </w:p>
    <w:p>
      <w:pPr>
        <w:pStyle w:val="4"/>
        <w:rPr>
          <w:rFonts w:ascii="宋体" w:hAnsi="宋体" w:eastAsia="宋体" w:cs="宋体"/>
          <w:sz w:val="28"/>
          <w:szCs w:val="18"/>
        </w:rPr>
      </w:pPr>
      <w:bookmarkStart w:id="54" w:name="_Toc29529_WPSOffice_Level2"/>
      <w:bookmarkStart w:id="55" w:name="_Toc21595"/>
      <w:bookmarkStart w:id="56" w:name="_Toc8382"/>
      <w:bookmarkStart w:id="57" w:name="_Toc12585"/>
      <w:r>
        <w:rPr>
          <w:rFonts w:hint="eastAsia" w:ascii="宋体" w:hAnsi="宋体" w:eastAsia="宋体" w:cs="宋体"/>
          <w:sz w:val="28"/>
          <w:szCs w:val="18"/>
        </w:rPr>
        <w:t>四、谈判响应文件的</w:t>
      </w:r>
      <w:bookmarkEnd w:id="53"/>
      <w:bookmarkEnd w:id="54"/>
      <w:bookmarkEnd w:id="55"/>
      <w:bookmarkEnd w:id="56"/>
      <w:bookmarkEnd w:id="57"/>
      <w:r>
        <w:rPr>
          <w:rFonts w:hint="eastAsia" w:ascii="宋体" w:hAnsi="宋体" w:eastAsia="宋体" w:cs="宋体"/>
          <w:sz w:val="28"/>
          <w:szCs w:val="18"/>
        </w:rPr>
        <w:t>提交</w:t>
      </w:r>
    </w:p>
    <w:p>
      <w:pPr>
        <w:tabs>
          <w:tab w:val="left" w:pos="360"/>
        </w:tabs>
        <w:spacing w:line="360" w:lineRule="auto"/>
        <w:ind w:firstLine="480" w:firstLineChars="200"/>
        <w:jc w:val="left"/>
        <w:outlineLvl w:val="2"/>
        <w:rPr>
          <w:rFonts w:ascii="宋体" w:hAnsi="宋体" w:cs="宋体"/>
          <w:sz w:val="24"/>
          <w:szCs w:val="16"/>
        </w:rPr>
      </w:pPr>
      <w:bookmarkStart w:id="58" w:name="_Toc3685"/>
      <w:r>
        <w:rPr>
          <w:rFonts w:hint="eastAsia" w:ascii="宋体" w:hAnsi="宋体" w:cs="宋体"/>
          <w:sz w:val="24"/>
          <w:szCs w:val="16"/>
        </w:rPr>
        <w:t>1、谈判响应文件</w:t>
      </w:r>
      <w:bookmarkEnd w:id="58"/>
      <w:r>
        <w:rPr>
          <w:rFonts w:hint="eastAsia" w:ascii="宋体" w:hAnsi="宋体" w:cs="宋体"/>
          <w:sz w:val="24"/>
          <w:szCs w:val="16"/>
        </w:rPr>
        <w:t>提交</w:t>
      </w:r>
    </w:p>
    <w:p>
      <w:pPr>
        <w:widowControl/>
        <w:numPr>
          <w:ilvl w:val="0"/>
          <w:numId w:val="5"/>
        </w:numPr>
        <w:tabs>
          <w:tab w:val="left" w:pos="0"/>
        </w:tabs>
        <w:spacing w:line="360" w:lineRule="auto"/>
        <w:ind w:firstLine="480" w:firstLineChars="200"/>
        <w:jc w:val="left"/>
        <w:rPr>
          <w:rFonts w:ascii="宋体" w:hAnsi="宋体" w:cs="宋体"/>
          <w:sz w:val="24"/>
          <w:szCs w:val="24"/>
        </w:rPr>
      </w:pPr>
      <w:r>
        <w:rPr>
          <w:rFonts w:hint="eastAsia" w:ascii="宋体" w:hAnsi="宋体" w:cs="宋体"/>
          <w:sz w:val="24"/>
          <w:szCs w:val="24"/>
        </w:rPr>
        <w:t>供应商必须在竞争性谈判文件规定的谈判响应文件提交截止时间之前，将全部谈判响应文件提交至代理机构项目工作人员；代理机构项目承办人在竞争性谈判文件规定的谈判响应文件提交截止时间前，只负责谈判响应文件的接收、清点、造册登记工作，并请供应商代表签字确认，对其有效性不负任何责任。</w:t>
      </w:r>
    </w:p>
    <w:p>
      <w:pPr>
        <w:widowControl/>
        <w:numPr>
          <w:ilvl w:val="0"/>
          <w:numId w:val="5"/>
        </w:numPr>
        <w:tabs>
          <w:tab w:val="left" w:pos="0"/>
        </w:tabs>
        <w:spacing w:line="360" w:lineRule="auto"/>
        <w:ind w:firstLine="480" w:firstLineChars="200"/>
        <w:jc w:val="left"/>
        <w:rPr>
          <w:rFonts w:ascii="宋体" w:hAnsi="宋体" w:cs="宋体"/>
          <w:sz w:val="24"/>
          <w:szCs w:val="24"/>
        </w:rPr>
      </w:pPr>
      <w:r>
        <w:rPr>
          <w:rFonts w:hint="eastAsia" w:ascii="宋体" w:hAnsi="宋体" w:cs="宋体"/>
          <w:sz w:val="24"/>
          <w:szCs w:val="24"/>
        </w:rPr>
        <w:t>代理机构在宣布提交谈判响应文件时间截止之后，拒绝接收任何人送达、提交的谈判响应文件；</w:t>
      </w:r>
    </w:p>
    <w:p>
      <w:pPr>
        <w:widowControl/>
        <w:numPr>
          <w:ilvl w:val="0"/>
          <w:numId w:val="5"/>
        </w:numPr>
        <w:tabs>
          <w:tab w:val="left" w:pos="0"/>
        </w:tabs>
        <w:spacing w:line="360" w:lineRule="auto"/>
        <w:ind w:firstLine="480" w:firstLineChars="200"/>
        <w:jc w:val="left"/>
        <w:rPr>
          <w:rFonts w:ascii="宋体" w:hAnsi="宋体" w:cs="宋体"/>
          <w:sz w:val="24"/>
          <w:szCs w:val="24"/>
        </w:rPr>
      </w:pPr>
      <w:r>
        <w:rPr>
          <w:rFonts w:hint="eastAsia" w:ascii="宋体" w:hAnsi="宋体" w:cs="宋体"/>
          <w:sz w:val="24"/>
          <w:szCs w:val="24"/>
        </w:rPr>
        <w:t>代理机构不接受邮寄的谈判响应文件；</w:t>
      </w:r>
    </w:p>
    <w:p>
      <w:pPr>
        <w:widowControl/>
        <w:numPr>
          <w:ilvl w:val="0"/>
          <w:numId w:val="5"/>
        </w:numPr>
        <w:tabs>
          <w:tab w:val="left" w:pos="0"/>
        </w:tabs>
        <w:spacing w:line="360" w:lineRule="auto"/>
        <w:ind w:firstLine="480" w:firstLineChars="200"/>
        <w:jc w:val="left"/>
        <w:rPr>
          <w:rFonts w:ascii="宋体" w:hAnsi="宋体" w:cs="宋体"/>
          <w:sz w:val="24"/>
          <w:szCs w:val="16"/>
        </w:rPr>
      </w:pPr>
      <w:r>
        <w:rPr>
          <w:rFonts w:hint="eastAsia" w:ascii="宋体" w:hAnsi="宋体" w:cs="宋体"/>
          <w:sz w:val="24"/>
          <w:szCs w:val="24"/>
        </w:rPr>
        <w:t>无论供应商成交与否，其谈判响应文件恕不退还。</w:t>
      </w:r>
      <w:bookmarkStart w:id="59" w:name="_Toc12741"/>
    </w:p>
    <w:p>
      <w:pPr>
        <w:widowControl/>
        <w:tabs>
          <w:tab w:val="left" w:pos="0"/>
        </w:tabs>
        <w:spacing w:line="360" w:lineRule="auto"/>
        <w:ind w:firstLine="480" w:firstLineChars="200"/>
        <w:jc w:val="left"/>
        <w:rPr>
          <w:rFonts w:ascii="宋体" w:hAnsi="宋体" w:cs="宋体"/>
          <w:sz w:val="24"/>
          <w:szCs w:val="16"/>
        </w:rPr>
      </w:pPr>
      <w:r>
        <w:rPr>
          <w:rFonts w:hint="eastAsia" w:ascii="宋体" w:hAnsi="宋体" w:cs="宋体"/>
          <w:sz w:val="24"/>
          <w:szCs w:val="16"/>
        </w:rPr>
        <w:t>2、谈判响应文件的修改和撤回</w:t>
      </w:r>
      <w:bookmarkEnd w:id="59"/>
    </w:p>
    <w:p>
      <w:pPr>
        <w:widowControl/>
        <w:tabs>
          <w:tab w:val="left" w:pos="0"/>
        </w:tabs>
        <w:spacing w:line="360" w:lineRule="auto"/>
        <w:ind w:firstLine="480" w:firstLineChars="200"/>
        <w:jc w:val="left"/>
        <w:rPr>
          <w:rFonts w:ascii="宋体" w:hAnsi="宋体" w:cs="宋体"/>
          <w:sz w:val="24"/>
          <w:szCs w:val="24"/>
        </w:rPr>
      </w:pPr>
      <w:r>
        <w:rPr>
          <w:rFonts w:hint="eastAsia" w:ascii="宋体" w:hAnsi="宋体" w:cs="宋体"/>
          <w:sz w:val="24"/>
          <w:szCs w:val="24"/>
        </w:rPr>
        <w:t>在谈判截止时间之后，供应商不得对其提交的谈判响应文件做任何修改或撤回。</w:t>
      </w:r>
    </w:p>
    <w:p>
      <w:pPr>
        <w:pStyle w:val="4"/>
        <w:rPr>
          <w:rFonts w:ascii="宋体" w:hAnsi="宋体" w:eastAsia="宋体" w:cs="宋体"/>
          <w:sz w:val="28"/>
          <w:szCs w:val="18"/>
        </w:rPr>
      </w:pPr>
      <w:bookmarkStart w:id="60" w:name="_Toc92598704"/>
      <w:bookmarkStart w:id="61" w:name="_Toc31509_WPSOffice_Level2"/>
      <w:bookmarkStart w:id="62" w:name="_Toc2056"/>
      <w:bookmarkStart w:id="63" w:name="_Toc28740"/>
      <w:bookmarkStart w:id="64" w:name="_Toc16938"/>
      <w:r>
        <w:rPr>
          <w:rFonts w:hint="eastAsia" w:ascii="宋体" w:hAnsi="宋体" w:eastAsia="宋体" w:cs="宋体"/>
          <w:sz w:val="28"/>
          <w:szCs w:val="18"/>
        </w:rPr>
        <w:t>五、谈判和</w:t>
      </w:r>
      <w:bookmarkEnd w:id="60"/>
      <w:r>
        <w:rPr>
          <w:rFonts w:hint="eastAsia" w:ascii="宋体" w:hAnsi="宋体" w:eastAsia="宋体" w:cs="宋体"/>
          <w:sz w:val="28"/>
          <w:szCs w:val="18"/>
        </w:rPr>
        <w:t>评审</w:t>
      </w:r>
      <w:bookmarkEnd w:id="61"/>
      <w:bookmarkEnd w:id="62"/>
      <w:bookmarkEnd w:id="63"/>
      <w:bookmarkEnd w:id="64"/>
    </w:p>
    <w:p>
      <w:pPr>
        <w:spacing w:line="360" w:lineRule="auto"/>
        <w:ind w:firstLine="480" w:firstLineChars="200"/>
        <w:rPr>
          <w:rFonts w:ascii="宋体" w:hAnsi="宋体" w:cs="宋体"/>
          <w:sz w:val="24"/>
          <w:szCs w:val="24"/>
        </w:rPr>
      </w:pPr>
      <w:r>
        <w:rPr>
          <w:rFonts w:hint="eastAsia" w:ascii="宋体" w:hAnsi="宋体" w:cs="宋体"/>
          <w:sz w:val="24"/>
          <w:szCs w:val="24"/>
        </w:rPr>
        <w:t>采购代理机构组织谈判、评审工作，谈判整个过程接受监督机构的监督和指导。</w:t>
      </w:r>
    </w:p>
    <w:p>
      <w:pPr>
        <w:spacing w:line="360" w:lineRule="auto"/>
        <w:ind w:firstLine="482" w:firstLineChars="200"/>
        <w:rPr>
          <w:rFonts w:ascii="宋体" w:hAnsi="宋体" w:cs="宋体"/>
          <w:b/>
          <w:sz w:val="24"/>
          <w:szCs w:val="24"/>
        </w:rPr>
      </w:pPr>
      <w:r>
        <w:rPr>
          <w:rFonts w:hint="eastAsia" w:ascii="宋体" w:hAnsi="宋体" w:cs="宋体"/>
          <w:b/>
          <w:sz w:val="24"/>
          <w:szCs w:val="24"/>
        </w:rPr>
        <w:t>1、谈判</w:t>
      </w:r>
    </w:p>
    <w:p>
      <w:pPr>
        <w:spacing w:line="360" w:lineRule="auto"/>
        <w:ind w:firstLine="480" w:firstLineChars="200"/>
        <w:rPr>
          <w:rFonts w:ascii="宋体" w:hAnsi="宋体" w:cs="宋体"/>
          <w:sz w:val="24"/>
          <w:szCs w:val="24"/>
        </w:rPr>
      </w:pPr>
      <w:r>
        <w:rPr>
          <w:rFonts w:hint="eastAsia" w:ascii="宋体" w:hAnsi="宋体" w:cs="宋体"/>
          <w:sz w:val="24"/>
          <w:szCs w:val="24"/>
        </w:rPr>
        <w:t>1-1、采购代理机构按文件规定的时间、地点组织谈判。</w:t>
      </w:r>
    </w:p>
    <w:p>
      <w:pPr>
        <w:spacing w:line="360" w:lineRule="auto"/>
        <w:ind w:firstLine="480" w:firstLineChars="200"/>
        <w:rPr>
          <w:rFonts w:ascii="宋体" w:hAnsi="宋体" w:cs="宋体"/>
          <w:sz w:val="24"/>
          <w:szCs w:val="24"/>
        </w:rPr>
      </w:pPr>
      <w:r>
        <w:rPr>
          <w:rFonts w:hint="eastAsia" w:ascii="宋体" w:hAnsi="宋体" w:cs="宋体"/>
          <w:sz w:val="24"/>
          <w:szCs w:val="24"/>
        </w:rPr>
        <w:t>1-2、谈判大会由采购代理机构主持，采购人代表等有关人员参加。</w:t>
      </w:r>
    </w:p>
    <w:p>
      <w:pPr>
        <w:spacing w:line="360" w:lineRule="auto"/>
        <w:ind w:firstLine="480" w:firstLineChars="200"/>
        <w:rPr>
          <w:rFonts w:ascii="宋体" w:hAnsi="宋体" w:cs="宋体"/>
          <w:sz w:val="24"/>
          <w:szCs w:val="24"/>
        </w:rPr>
      </w:pPr>
      <w:r>
        <w:rPr>
          <w:rFonts w:hint="eastAsia" w:ascii="宋体" w:hAnsi="宋体" w:cs="宋体"/>
          <w:sz w:val="24"/>
          <w:szCs w:val="24"/>
        </w:rPr>
        <w:t>1-3、供应商应派法定代表人或者授权代表出席谈判会，参加谈判的代表应签名报到，以证明其出席。供应商的法定代表人或授权代表未出席谈判会的，视为其认同谈判过程及结果。</w:t>
      </w:r>
    </w:p>
    <w:p>
      <w:pPr>
        <w:spacing w:line="360" w:lineRule="auto"/>
        <w:ind w:firstLine="480" w:firstLineChars="200"/>
        <w:rPr>
          <w:rFonts w:ascii="宋体" w:hAnsi="宋体" w:cs="宋体"/>
          <w:sz w:val="24"/>
          <w:szCs w:val="24"/>
        </w:rPr>
      </w:pPr>
      <w:r>
        <w:rPr>
          <w:rFonts w:hint="eastAsia" w:ascii="宋体" w:hAnsi="宋体" w:cs="宋体"/>
          <w:sz w:val="24"/>
          <w:szCs w:val="24"/>
        </w:rPr>
        <w:t>1-4、谈判程序：</w:t>
      </w:r>
    </w:p>
    <w:p>
      <w:pPr>
        <w:spacing w:line="360" w:lineRule="auto"/>
        <w:ind w:firstLine="480" w:firstLineChars="200"/>
        <w:rPr>
          <w:rFonts w:ascii="宋体" w:hAnsi="宋体" w:cs="宋体"/>
          <w:sz w:val="24"/>
          <w:szCs w:val="24"/>
        </w:rPr>
      </w:pPr>
      <w:r>
        <w:rPr>
          <w:rFonts w:hint="eastAsia" w:ascii="宋体" w:hAnsi="宋体" w:cs="宋体"/>
          <w:sz w:val="24"/>
          <w:szCs w:val="24"/>
        </w:rPr>
        <w:t>1-4-1、宣读谈判会议现场纪律。</w:t>
      </w:r>
    </w:p>
    <w:p>
      <w:pPr>
        <w:spacing w:line="360" w:lineRule="auto"/>
        <w:ind w:firstLine="480" w:firstLineChars="200"/>
        <w:rPr>
          <w:rFonts w:ascii="宋体" w:hAnsi="宋体" w:cs="宋体"/>
          <w:sz w:val="24"/>
          <w:szCs w:val="24"/>
        </w:rPr>
      </w:pPr>
      <w:r>
        <w:rPr>
          <w:rFonts w:hint="eastAsia" w:ascii="宋体" w:hAnsi="宋体" w:cs="宋体"/>
          <w:sz w:val="24"/>
          <w:szCs w:val="24"/>
        </w:rPr>
        <w:t>1-4-2、公布在谈判截止时间前提交谈判响应文件的供应商名称。</w:t>
      </w:r>
    </w:p>
    <w:p>
      <w:pPr>
        <w:spacing w:line="360" w:lineRule="auto"/>
        <w:ind w:firstLine="480" w:firstLineChars="200"/>
        <w:rPr>
          <w:rFonts w:ascii="宋体" w:hAnsi="宋体" w:cs="宋体"/>
          <w:sz w:val="24"/>
          <w:szCs w:val="24"/>
        </w:rPr>
      </w:pPr>
      <w:r>
        <w:rPr>
          <w:rFonts w:hint="eastAsia" w:ascii="宋体" w:hAnsi="宋体" w:cs="宋体"/>
          <w:sz w:val="24"/>
          <w:szCs w:val="24"/>
        </w:rPr>
        <w:t>1-4-3、查验谈判响应文件的密封情况。</w:t>
      </w:r>
    </w:p>
    <w:p>
      <w:pPr>
        <w:spacing w:line="360" w:lineRule="auto"/>
        <w:ind w:firstLine="480" w:firstLineChars="200"/>
        <w:rPr>
          <w:rFonts w:ascii="宋体" w:hAnsi="宋体" w:cs="宋体"/>
          <w:sz w:val="24"/>
          <w:szCs w:val="24"/>
        </w:rPr>
      </w:pPr>
      <w:r>
        <w:rPr>
          <w:rFonts w:hint="eastAsia" w:ascii="宋体" w:hAnsi="宋体" w:cs="宋体"/>
          <w:sz w:val="24"/>
          <w:szCs w:val="24"/>
        </w:rPr>
        <w:t>1-4-4、开启谈判响应文件，查验谈判响应文件份数。</w:t>
      </w:r>
    </w:p>
    <w:p>
      <w:pPr>
        <w:spacing w:line="360" w:lineRule="auto"/>
        <w:ind w:firstLine="480" w:firstLineChars="200"/>
        <w:rPr>
          <w:rFonts w:ascii="宋体" w:hAnsi="宋体" w:cs="宋体"/>
          <w:sz w:val="24"/>
          <w:szCs w:val="24"/>
        </w:rPr>
      </w:pPr>
      <w:r>
        <w:rPr>
          <w:rFonts w:hint="eastAsia" w:ascii="宋体" w:hAnsi="宋体" w:cs="宋体"/>
          <w:sz w:val="24"/>
          <w:szCs w:val="24"/>
        </w:rPr>
        <w:t>1-4-5、评审。</w:t>
      </w:r>
    </w:p>
    <w:p>
      <w:pPr>
        <w:spacing w:line="360" w:lineRule="auto"/>
        <w:ind w:firstLine="480" w:firstLineChars="200"/>
        <w:rPr>
          <w:rFonts w:ascii="宋体" w:hAnsi="宋体" w:cs="宋体"/>
          <w:sz w:val="24"/>
          <w:szCs w:val="24"/>
        </w:rPr>
      </w:pPr>
      <w:r>
        <w:rPr>
          <w:rFonts w:hint="eastAsia" w:ascii="宋体" w:hAnsi="宋体" w:cs="宋体"/>
          <w:sz w:val="24"/>
          <w:szCs w:val="24"/>
        </w:rPr>
        <w:t>1-5、采购代理机构对谈判过程做好记录，并存档备案。</w:t>
      </w:r>
    </w:p>
    <w:p>
      <w:pPr>
        <w:spacing w:line="360" w:lineRule="auto"/>
        <w:ind w:firstLine="482" w:firstLineChars="200"/>
        <w:rPr>
          <w:rFonts w:ascii="宋体" w:hAnsi="宋体" w:cs="宋体"/>
          <w:b/>
          <w:sz w:val="24"/>
          <w:szCs w:val="24"/>
        </w:rPr>
      </w:pPr>
      <w:r>
        <w:rPr>
          <w:rFonts w:hint="eastAsia" w:ascii="宋体" w:hAnsi="宋体" w:cs="宋体"/>
          <w:b/>
          <w:sz w:val="24"/>
          <w:szCs w:val="24"/>
        </w:rPr>
        <w:t>2、评审</w:t>
      </w:r>
    </w:p>
    <w:p>
      <w:pPr>
        <w:spacing w:line="360" w:lineRule="auto"/>
        <w:ind w:firstLine="480" w:firstLineChars="200"/>
        <w:rPr>
          <w:rFonts w:ascii="宋体" w:hAnsi="宋体" w:cs="宋体"/>
          <w:sz w:val="24"/>
          <w:szCs w:val="24"/>
        </w:rPr>
      </w:pPr>
      <w:r>
        <w:rPr>
          <w:rFonts w:hint="eastAsia" w:ascii="宋体" w:hAnsi="宋体" w:cs="宋体"/>
          <w:sz w:val="24"/>
          <w:szCs w:val="24"/>
        </w:rPr>
        <w:t>为确保评审工作公平、公正，依据《政府采购法》的有关规定成立评审小组。谈判小组由采购人及有关专家组成。有关专家人选在陕西省政府购买信息平台专家库中随机抽取，采购人不得以评审专家身份参加本采购项目评审。评审小组成员应当遵守并履行下列义务：</w:t>
      </w:r>
    </w:p>
    <w:p>
      <w:pPr>
        <w:spacing w:line="360" w:lineRule="auto"/>
        <w:ind w:firstLine="480" w:firstLineChars="200"/>
        <w:rPr>
          <w:rFonts w:ascii="宋体" w:hAnsi="宋体" w:cs="宋体"/>
          <w:sz w:val="24"/>
          <w:szCs w:val="24"/>
        </w:rPr>
      </w:pPr>
      <w:r>
        <w:rPr>
          <w:rFonts w:hint="eastAsia" w:ascii="宋体" w:hAnsi="宋体" w:cs="宋体"/>
          <w:sz w:val="24"/>
          <w:szCs w:val="24"/>
        </w:rPr>
        <w:t>2-1、确认竞争性谈判文件并评审供应商及竞争性谈判响应文件有效性，出现下列情况之一者，按无效谈判响应文件处理。</w:t>
      </w:r>
    </w:p>
    <w:p>
      <w:pPr>
        <w:spacing w:line="360" w:lineRule="auto"/>
        <w:ind w:firstLine="480" w:firstLineChars="200"/>
        <w:rPr>
          <w:rFonts w:ascii="宋体" w:hAnsi="宋体" w:cs="宋体"/>
          <w:sz w:val="24"/>
          <w:szCs w:val="24"/>
        </w:rPr>
      </w:pPr>
      <w:r>
        <w:rPr>
          <w:rFonts w:hint="eastAsia" w:ascii="宋体" w:hAnsi="宋体" w:cs="宋体"/>
          <w:sz w:val="24"/>
          <w:szCs w:val="24"/>
        </w:rPr>
        <w:t>（1）供应商没有经过正常渠道领取竞争性谈判文件或供应商的名称与登记领取竞争性谈判文件单位的名称不符的；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（2）不同供应商单位负责人为同一人或者存在控股、管理关系的；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w:t>
      </w:r>
      <w:r>
        <w:rPr>
          <w:rFonts w:hint="eastAsia" w:ascii="宋体" w:hAnsi="宋体"/>
          <w:sz w:val="24"/>
        </w:rPr>
        <w:t>谈判响应</w:t>
      </w:r>
      <w:r>
        <w:rPr>
          <w:rFonts w:ascii="宋体" w:hAnsi="宋体"/>
          <w:sz w:val="24"/>
        </w:rPr>
        <w:t>文件</w:t>
      </w:r>
      <w:r>
        <w:rPr>
          <w:rFonts w:hint="eastAsia" w:ascii="宋体" w:hAnsi="宋体"/>
          <w:sz w:val="24"/>
        </w:rPr>
        <w:t>的有效性和符合性不符合要求的</w:t>
      </w:r>
      <w:r>
        <w:rPr>
          <w:rFonts w:hint="eastAsia" w:ascii="宋体" w:hAnsi="宋体" w:cs="宋体"/>
          <w:sz w:val="24"/>
          <w:szCs w:val="24"/>
        </w:rPr>
        <w:t>；</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（4）谈判响应文件未实质性响应谈判文件要求的；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（5）谈判响应文件未按谈判文件要求的数量、计量单位、报价货币；</w:t>
      </w:r>
    </w:p>
    <w:p>
      <w:pPr>
        <w:snapToGrid w:val="0"/>
        <w:spacing w:line="360" w:lineRule="auto"/>
        <w:ind w:firstLine="480" w:firstLineChars="200"/>
        <w:rPr>
          <w:rFonts w:ascii="宋体" w:hAnsi="宋体"/>
          <w:sz w:val="24"/>
        </w:rPr>
      </w:pPr>
      <w:r>
        <w:rPr>
          <w:rFonts w:hint="eastAsia" w:ascii="宋体" w:hAnsi="宋体" w:cs="宋体"/>
          <w:sz w:val="24"/>
          <w:szCs w:val="24"/>
        </w:rPr>
        <w:t>（6）</w:t>
      </w:r>
      <w:r>
        <w:rPr>
          <w:rFonts w:hint="eastAsia" w:ascii="宋体" w:hAnsi="宋体"/>
          <w:sz w:val="24"/>
        </w:rPr>
        <w:t>无谈判响应有效期或有效期达不到谈判文件要求的；</w:t>
      </w:r>
    </w:p>
    <w:p>
      <w:pPr>
        <w:pStyle w:val="12"/>
        <w:spacing w:line="360" w:lineRule="auto"/>
        <w:ind w:firstLine="480" w:firstLineChars="200"/>
        <w:rPr>
          <w:rFonts w:ascii="宋体" w:hAnsi="宋体"/>
          <w:sz w:val="24"/>
        </w:rPr>
      </w:pPr>
      <w:r>
        <w:rPr>
          <w:rFonts w:hint="eastAsia" w:ascii="宋体" w:hAnsi="宋体"/>
          <w:sz w:val="24"/>
        </w:rPr>
        <w:t>（7）供应商针对同一项目提交两份或多份内容不同的谈判响应文件，未书面声明哪一份是有效的或出现选择性报价的；</w:t>
      </w:r>
    </w:p>
    <w:p>
      <w:pPr>
        <w:kinsoku w:val="0"/>
        <w:snapToGrid w:val="0"/>
        <w:spacing w:line="360" w:lineRule="auto"/>
        <w:ind w:firstLine="480" w:firstLineChars="200"/>
        <w:rPr>
          <w:rFonts w:ascii="宋体" w:hAnsi="宋体"/>
          <w:sz w:val="24"/>
        </w:rPr>
      </w:pPr>
      <w:r>
        <w:rPr>
          <w:rFonts w:hint="eastAsia" w:ascii="宋体" w:hAnsi="宋体"/>
          <w:sz w:val="24"/>
        </w:rPr>
        <w:t>（8）供应商有串通谈判、弄虚作假（包括但不限于虚假资质、虚假证明、虚假应答等）、行贿等违法行为的；</w:t>
      </w:r>
    </w:p>
    <w:p>
      <w:pPr>
        <w:pStyle w:val="12"/>
        <w:spacing w:line="360" w:lineRule="auto"/>
        <w:ind w:firstLine="480" w:firstLineChars="200"/>
        <w:rPr>
          <w:rFonts w:ascii="宋体" w:hAnsi="宋体"/>
          <w:sz w:val="24"/>
        </w:rPr>
      </w:pPr>
      <w:r>
        <w:rPr>
          <w:rFonts w:hint="eastAsia" w:ascii="宋体" w:hAnsi="宋体"/>
          <w:sz w:val="24"/>
        </w:rPr>
        <w:t>（9）谈判响应文件附加了采购人难以接受的条件或条款的。</w:t>
      </w:r>
    </w:p>
    <w:p>
      <w:pPr>
        <w:pStyle w:val="12"/>
        <w:spacing w:line="360" w:lineRule="auto"/>
        <w:ind w:firstLine="480" w:firstLineChars="200"/>
        <w:rPr>
          <w:rFonts w:ascii="宋体" w:hAnsi="宋体"/>
          <w:sz w:val="24"/>
        </w:rPr>
      </w:pPr>
      <w:r>
        <w:rPr>
          <w:rFonts w:hint="eastAsia" w:ascii="宋体" w:hAnsi="宋体"/>
          <w:sz w:val="24"/>
        </w:rPr>
        <w:t>（10）在政府采购或其他重大项目履约过程中有不良记录，未能按期履约的；</w:t>
      </w:r>
    </w:p>
    <w:p>
      <w:pPr>
        <w:pStyle w:val="12"/>
        <w:spacing w:line="360" w:lineRule="auto"/>
        <w:ind w:firstLine="480" w:firstLineChars="200"/>
        <w:rPr>
          <w:rFonts w:ascii="宋体" w:hAnsi="宋体"/>
          <w:sz w:val="24"/>
        </w:rPr>
      </w:pPr>
      <w:r>
        <w:rPr>
          <w:rFonts w:hint="eastAsia" w:ascii="宋体" w:hAnsi="宋体"/>
          <w:sz w:val="24"/>
        </w:rPr>
        <w:t>（11）谈判报价与市场价格偏离较大、低于成本、形成不正当竞争的；</w:t>
      </w:r>
    </w:p>
    <w:p>
      <w:pPr>
        <w:pStyle w:val="12"/>
        <w:spacing w:line="360" w:lineRule="auto"/>
        <w:ind w:firstLine="480" w:firstLineChars="200"/>
        <w:rPr>
          <w:rFonts w:ascii="宋体" w:hAnsi="宋体"/>
          <w:sz w:val="24"/>
        </w:rPr>
      </w:pPr>
      <w:r>
        <w:rPr>
          <w:rFonts w:hint="eastAsia" w:ascii="宋体" w:hAnsi="宋体"/>
          <w:sz w:val="24"/>
        </w:rPr>
        <w:t>（12）谈判报价子目出现漏项或报价数量与要求不符的；</w:t>
      </w:r>
    </w:p>
    <w:p>
      <w:pPr>
        <w:pStyle w:val="12"/>
        <w:spacing w:line="360" w:lineRule="auto"/>
        <w:ind w:firstLine="480" w:firstLineChars="200"/>
        <w:rPr>
          <w:rFonts w:ascii="宋体" w:hAnsi="宋体"/>
          <w:sz w:val="24"/>
        </w:rPr>
      </w:pPr>
      <w:r>
        <w:rPr>
          <w:rFonts w:hint="eastAsia" w:ascii="宋体" w:hAnsi="宋体"/>
          <w:sz w:val="24"/>
        </w:rPr>
        <w:t>（13）谈判产品的采购需求及要求与谈判文件要求出现重大负偏差的；</w:t>
      </w:r>
    </w:p>
    <w:p>
      <w:pPr>
        <w:pStyle w:val="12"/>
        <w:spacing w:line="360" w:lineRule="auto"/>
        <w:ind w:firstLine="480" w:firstLineChars="200"/>
        <w:rPr>
          <w:rFonts w:ascii="宋体" w:hAnsi="宋体"/>
          <w:sz w:val="24"/>
        </w:rPr>
      </w:pPr>
      <w:r>
        <w:rPr>
          <w:rFonts w:hint="eastAsia" w:ascii="宋体" w:hAnsi="宋体"/>
          <w:sz w:val="24"/>
        </w:rPr>
        <w:t>（14）提供虚假技术性能指标的。</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2-2、谈判小组要求供应商对竞争性谈判响应文件有关事项做出解释或者澄清；</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2-3、按照竞争性谈判文件的要求和评审标准进行评审，推荐成交候选单位名单，对评审意见承担个人责任；</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2-4、对评审过程和结果以及供应商的商业秘密保密；</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2-5、参与评议报告的起草；</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2-6、配合采购代理机构答复供应商提出的质疑；</w:t>
      </w:r>
    </w:p>
    <w:p>
      <w:pPr>
        <w:spacing w:line="360" w:lineRule="auto"/>
        <w:ind w:firstLine="480" w:firstLineChars="200"/>
        <w:rPr>
          <w:rFonts w:ascii="宋体" w:hAnsi="宋体" w:cs="宋体"/>
          <w:sz w:val="24"/>
          <w:szCs w:val="24"/>
        </w:rPr>
      </w:pPr>
      <w:r>
        <w:rPr>
          <w:rFonts w:hint="eastAsia" w:ascii="宋体" w:hAnsi="宋体" w:cs="宋体"/>
          <w:sz w:val="24"/>
          <w:szCs w:val="24"/>
        </w:rPr>
        <w:t>2-7、配合采购人的投诉处理工作。</w:t>
      </w:r>
    </w:p>
    <w:p>
      <w:pPr>
        <w:spacing w:line="360" w:lineRule="auto"/>
        <w:ind w:firstLine="480" w:firstLineChars="200"/>
        <w:rPr>
          <w:rFonts w:ascii="宋体" w:hAnsi="宋体" w:cs="宋体"/>
          <w:sz w:val="24"/>
          <w:szCs w:val="24"/>
        </w:rPr>
      </w:pPr>
      <w:r>
        <w:rPr>
          <w:rFonts w:hint="eastAsia" w:ascii="宋体" w:hAnsi="宋体" w:cs="宋体"/>
          <w:sz w:val="24"/>
          <w:szCs w:val="24"/>
        </w:rPr>
        <w:t>3、谈判小组有权对整个谈判过程中出现的一切问题，根据《中华人民共和国政府采购法》等相关法律法规的精神，本着公开、公平、公正的原则，进行处理。</w:t>
      </w:r>
    </w:p>
    <w:p>
      <w:pPr>
        <w:spacing w:line="360" w:lineRule="auto"/>
        <w:ind w:firstLine="480" w:firstLineChars="200"/>
        <w:rPr>
          <w:rFonts w:ascii="宋体" w:hAnsi="宋体" w:cs="宋体"/>
          <w:sz w:val="24"/>
          <w:szCs w:val="24"/>
        </w:rPr>
      </w:pPr>
      <w:r>
        <w:rPr>
          <w:rFonts w:hint="eastAsia" w:ascii="宋体" w:hAnsi="宋体" w:cs="宋体"/>
          <w:sz w:val="24"/>
          <w:szCs w:val="24"/>
        </w:rPr>
        <w:t>4、谈判小组与各谈判单位进行谈判。谈判单位根据谈判小组提出的要求进行澄清，并由谈判单位授权代表签字。</w:t>
      </w:r>
    </w:p>
    <w:p>
      <w:pPr>
        <w:spacing w:line="360" w:lineRule="auto"/>
        <w:ind w:firstLine="480" w:firstLineChars="200"/>
        <w:rPr>
          <w:rFonts w:ascii="宋体" w:hAnsi="宋体" w:cs="宋体"/>
          <w:sz w:val="24"/>
          <w:szCs w:val="24"/>
        </w:rPr>
      </w:pPr>
      <w:r>
        <w:rPr>
          <w:rFonts w:hint="eastAsia" w:ascii="宋体" w:hAnsi="宋体" w:cs="宋体"/>
          <w:sz w:val="24"/>
          <w:szCs w:val="24"/>
        </w:rPr>
        <w:t>5、凡与审查、澄清、评价和比较谈判的有关资料等内容，谈判小组不得向供应商及与评审无关的其他人透露。</w:t>
      </w:r>
    </w:p>
    <w:p>
      <w:pPr>
        <w:spacing w:line="360" w:lineRule="auto"/>
        <w:ind w:firstLine="480" w:firstLineChars="200"/>
        <w:rPr>
          <w:rFonts w:ascii="宋体" w:hAnsi="宋体" w:cs="宋体"/>
          <w:sz w:val="24"/>
          <w:szCs w:val="24"/>
        </w:rPr>
      </w:pPr>
      <w:r>
        <w:rPr>
          <w:rFonts w:hint="eastAsia" w:ascii="宋体" w:hAnsi="宋体" w:cs="宋体"/>
          <w:sz w:val="24"/>
          <w:szCs w:val="24"/>
        </w:rPr>
        <w:t>6、竞争性谈判响应文件出现下列情况，修正原则为：</w:t>
      </w:r>
    </w:p>
    <w:p>
      <w:pPr>
        <w:numPr>
          <w:ilvl w:val="0"/>
          <w:numId w:val="6"/>
        </w:numPr>
        <w:spacing w:line="360" w:lineRule="auto"/>
        <w:ind w:left="5" w:firstLine="480" w:firstLineChars="200"/>
        <w:jc w:val="left"/>
        <w:rPr>
          <w:rFonts w:ascii="宋体" w:hAnsi="宋体" w:cs="宋体"/>
          <w:sz w:val="24"/>
          <w:szCs w:val="24"/>
        </w:rPr>
      </w:pPr>
      <w:bookmarkStart w:id="65" w:name="_Toc92598705"/>
      <w:r>
        <w:rPr>
          <w:rFonts w:hint="eastAsia" w:ascii="宋体" w:hAnsi="宋体" w:cs="宋体"/>
          <w:sz w:val="24"/>
          <w:szCs w:val="24"/>
        </w:rPr>
        <w:t>谈判文件中响应一览表内容与响应函中相应内容不一致的，以响应一览表为准；</w:t>
      </w:r>
    </w:p>
    <w:p>
      <w:pPr>
        <w:numPr>
          <w:ilvl w:val="0"/>
          <w:numId w:val="6"/>
        </w:numPr>
        <w:spacing w:line="360" w:lineRule="auto"/>
        <w:ind w:left="5" w:firstLine="480" w:firstLineChars="200"/>
        <w:jc w:val="left"/>
        <w:rPr>
          <w:rFonts w:ascii="宋体" w:hAnsi="宋体" w:cs="宋体"/>
          <w:sz w:val="24"/>
          <w:szCs w:val="24"/>
        </w:rPr>
      </w:pPr>
      <w:r>
        <w:rPr>
          <w:rFonts w:hint="eastAsia" w:ascii="宋体" w:hAnsi="宋体" w:cs="宋体"/>
          <w:sz w:val="24"/>
          <w:szCs w:val="24"/>
        </w:rPr>
        <w:t>大写金额和小写金额不一致的，以大写金额为准；</w:t>
      </w:r>
    </w:p>
    <w:p>
      <w:pPr>
        <w:numPr>
          <w:ilvl w:val="0"/>
          <w:numId w:val="6"/>
        </w:numPr>
        <w:spacing w:line="360" w:lineRule="auto"/>
        <w:ind w:left="5" w:firstLine="480" w:firstLineChars="200"/>
        <w:jc w:val="left"/>
        <w:rPr>
          <w:rFonts w:ascii="宋体" w:hAnsi="宋体" w:cs="宋体"/>
          <w:sz w:val="24"/>
          <w:szCs w:val="24"/>
        </w:rPr>
      </w:pPr>
      <w:r>
        <w:rPr>
          <w:rFonts w:hint="eastAsia" w:ascii="宋体" w:hAnsi="宋体" w:cs="宋体"/>
          <w:sz w:val="24"/>
          <w:szCs w:val="24"/>
        </w:rPr>
        <w:t>单价金额小数点或者百分比有明显错位的，以响应一览表的总价为准，并修改单价；</w:t>
      </w:r>
    </w:p>
    <w:p>
      <w:pPr>
        <w:numPr>
          <w:ilvl w:val="0"/>
          <w:numId w:val="6"/>
        </w:numPr>
        <w:spacing w:line="360" w:lineRule="auto"/>
        <w:ind w:left="5" w:firstLine="480" w:firstLineChars="200"/>
        <w:jc w:val="left"/>
        <w:rPr>
          <w:rFonts w:ascii="宋体" w:hAnsi="宋体" w:cs="宋体"/>
          <w:sz w:val="24"/>
          <w:szCs w:val="24"/>
        </w:rPr>
      </w:pPr>
      <w:r>
        <w:rPr>
          <w:rFonts w:hint="eastAsia" w:ascii="宋体" w:hAnsi="宋体" w:cs="宋体"/>
          <w:sz w:val="24"/>
          <w:szCs w:val="24"/>
        </w:rPr>
        <w:t xml:space="preserve">总价金额与按单价汇总金额不一致的，以单价金额计算结果为准； </w:t>
      </w:r>
    </w:p>
    <w:p>
      <w:pPr>
        <w:numPr>
          <w:ilvl w:val="0"/>
          <w:numId w:val="6"/>
        </w:numPr>
        <w:spacing w:line="360" w:lineRule="auto"/>
        <w:ind w:left="5" w:firstLine="480" w:firstLineChars="200"/>
        <w:jc w:val="left"/>
        <w:rPr>
          <w:rFonts w:ascii="宋体" w:hAnsi="宋体" w:cs="宋体"/>
          <w:sz w:val="24"/>
          <w:szCs w:val="24"/>
        </w:rPr>
      </w:pPr>
      <w:r>
        <w:rPr>
          <w:rFonts w:hint="eastAsia" w:ascii="宋体" w:hAnsi="宋体" w:cs="宋体"/>
          <w:sz w:val="24"/>
          <w:szCs w:val="24"/>
        </w:rPr>
        <w:t>谈判响应文件正本与副本不一致的，以正本为准；</w:t>
      </w:r>
    </w:p>
    <w:p>
      <w:pPr>
        <w:spacing w:line="360" w:lineRule="auto"/>
        <w:ind w:firstLine="480" w:firstLineChars="200"/>
        <w:jc w:val="left"/>
        <w:rPr>
          <w:rFonts w:ascii="宋体" w:hAnsi="宋体" w:cs="宋体"/>
          <w:sz w:val="24"/>
          <w:szCs w:val="24"/>
        </w:rPr>
      </w:pPr>
      <w:r>
        <w:rPr>
          <w:rFonts w:hint="eastAsia" w:ascii="宋体" w:hAnsi="宋体" w:cs="宋体"/>
          <w:kern w:val="0"/>
          <w:sz w:val="24"/>
          <w:szCs w:val="24"/>
        </w:rPr>
        <w:t>同时出现两种以上不一致的，按照前款规定的顺序修正。修正后的报价按照《政府采购货物和服务招标谈判管理办法》第五十一条第二款的规定经供应商确认后产生约束力，供应商不确认的，其谈判响应文件无效。</w:t>
      </w:r>
    </w:p>
    <w:p>
      <w:pPr>
        <w:pStyle w:val="4"/>
        <w:rPr>
          <w:rFonts w:ascii="宋体" w:hAnsi="宋体" w:eastAsia="宋体" w:cs="宋体"/>
          <w:sz w:val="28"/>
          <w:szCs w:val="18"/>
        </w:rPr>
      </w:pPr>
      <w:bookmarkStart w:id="66" w:name="_Toc19685"/>
      <w:bookmarkStart w:id="67" w:name="_Toc13422"/>
      <w:bookmarkStart w:id="68" w:name="_Toc27820_WPSOffice_Level2"/>
      <w:bookmarkStart w:id="69" w:name="_Toc16339"/>
      <w:r>
        <w:rPr>
          <w:rFonts w:hint="eastAsia" w:ascii="宋体" w:hAnsi="宋体" w:eastAsia="宋体" w:cs="宋体"/>
          <w:sz w:val="28"/>
          <w:szCs w:val="18"/>
        </w:rPr>
        <w:t>六、评审办法及内容</w:t>
      </w:r>
      <w:bookmarkEnd w:id="65"/>
      <w:bookmarkEnd w:id="66"/>
      <w:bookmarkEnd w:id="67"/>
      <w:bookmarkEnd w:id="68"/>
      <w:bookmarkEnd w:id="69"/>
    </w:p>
    <w:p>
      <w:pPr>
        <w:spacing w:line="360" w:lineRule="auto"/>
        <w:ind w:firstLine="482" w:firstLineChars="200"/>
        <w:outlineLvl w:val="2"/>
        <w:rPr>
          <w:rFonts w:ascii="宋体" w:hAnsi="宋体" w:cs="宋体"/>
          <w:sz w:val="24"/>
          <w:szCs w:val="24"/>
        </w:rPr>
      </w:pPr>
      <w:r>
        <w:rPr>
          <w:rFonts w:hint="eastAsia" w:ascii="宋体" w:hAnsi="宋体" w:cs="宋体"/>
          <w:b/>
          <w:bCs/>
          <w:sz w:val="24"/>
          <w:szCs w:val="24"/>
        </w:rPr>
        <w:t>1、评审办法</w:t>
      </w:r>
      <w:r>
        <w:rPr>
          <w:rFonts w:hint="eastAsia" w:ascii="宋体" w:hAnsi="宋体" w:cs="宋体"/>
          <w:sz w:val="24"/>
          <w:szCs w:val="24"/>
        </w:rPr>
        <w:t>：经评审的最低价法。</w:t>
      </w:r>
    </w:p>
    <w:p>
      <w:pPr>
        <w:spacing w:line="360" w:lineRule="auto"/>
        <w:ind w:firstLine="482" w:firstLineChars="200"/>
        <w:outlineLvl w:val="2"/>
        <w:rPr>
          <w:rFonts w:ascii="宋体" w:hAnsi="宋体" w:cs="宋体"/>
          <w:b/>
          <w:sz w:val="24"/>
          <w:szCs w:val="24"/>
        </w:rPr>
      </w:pPr>
      <w:r>
        <w:rPr>
          <w:rFonts w:hint="eastAsia" w:ascii="宋体" w:hAnsi="宋体" w:cs="宋体"/>
          <w:b/>
          <w:bCs/>
          <w:sz w:val="24"/>
          <w:szCs w:val="24"/>
        </w:rPr>
        <w:t>2、评审程序</w:t>
      </w:r>
      <w:r>
        <w:rPr>
          <w:rFonts w:hint="eastAsia" w:ascii="宋体" w:hAnsi="宋体" w:cs="宋体"/>
          <w:b/>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谈判小组按照竞争性谈判文件的要求，对供应商的响应文件里资质、技术、商务部分进行符合性评审，未通过符合性评审的供应商不再进行下一轮报价。</w:t>
      </w:r>
    </w:p>
    <w:p>
      <w:pPr>
        <w:spacing w:line="360" w:lineRule="auto"/>
        <w:ind w:firstLine="480" w:firstLineChars="200"/>
        <w:rPr>
          <w:rFonts w:ascii="宋体" w:hAnsi="宋体" w:cs="宋体"/>
          <w:sz w:val="24"/>
          <w:szCs w:val="24"/>
        </w:rPr>
      </w:pPr>
      <w:r>
        <w:rPr>
          <w:rFonts w:hint="eastAsia" w:ascii="宋体" w:hAnsi="宋体" w:cs="宋体"/>
          <w:sz w:val="24"/>
          <w:szCs w:val="24"/>
        </w:rPr>
        <w:t>2.1、谈判小组所有成员集中与单一供应商分别进行谈判（谈判轮次不超过两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cs="宋体"/>
          <w:bCs/>
          <w:sz w:val="24"/>
        </w:rPr>
      </w:pPr>
      <w:r>
        <w:rPr>
          <w:rFonts w:hint="eastAsia" w:ascii="宋体" w:hAnsi="宋体" w:cs="宋体"/>
          <w:bCs/>
          <w:sz w:val="24"/>
          <w:szCs w:val="24"/>
        </w:rPr>
        <w:t>2.2</w:t>
      </w:r>
      <w:r>
        <w:rPr>
          <w:rFonts w:hint="eastAsia" w:ascii="宋体" w:hAnsi="宋体" w:cs="宋体"/>
          <w:bCs/>
          <w:sz w:val="24"/>
        </w:rPr>
        <w:t>对谈判文件作出的实质性变动是谈判文件的有效组成部分，谈判小组应当及时以书面形式同时通知所有参加谈判的供应商。</w:t>
      </w:r>
    </w:p>
    <w:p>
      <w:pPr>
        <w:spacing w:line="360" w:lineRule="auto"/>
        <w:ind w:firstLine="482" w:firstLineChars="200"/>
        <w:rPr>
          <w:rFonts w:ascii="宋体" w:hAnsi="宋体" w:cs="宋体"/>
          <w:b/>
          <w:sz w:val="24"/>
          <w:szCs w:val="24"/>
        </w:rPr>
      </w:pPr>
      <w:r>
        <w:rPr>
          <w:rFonts w:hint="eastAsia" w:ascii="宋体" w:hAnsi="宋体" w:cs="宋体"/>
          <w:b/>
          <w:sz w:val="24"/>
          <w:szCs w:val="24"/>
        </w:rPr>
        <w:t>2.3谈判实行两轮报价。第一轮报价后，谈判小组可以变更采购需求，第二轮报价为最终报价。如采购需求没有实质性变化，各供应商的报价应逐次降低，本次报价超过上次报价的，为无效报价。若第二轮报价出现相同最低报价的，可再次报价，直至产生唯一最低报价。</w:t>
      </w:r>
    </w:p>
    <w:p>
      <w:pPr>
        <w:spacing w:line="360" w:lineRule="auto"/>
        <w:ind w:firstLine="482" w:firstLineChars="200"/>
        <w:rPr>
          <w:rFonts w:ascii="宋体" w:hAnsi="宋体" w:cs="宋体"/>
          <w:b/>
          <w:sz w:val="24"/>
          <w:szCs w:val="24"/>
        </w:rPr>
      </w:pPr>
      <w:r>
        <w:rPr>
          <w:rFonts w:hint="eastAsia" w:ascii="宋体" w:hAnsi="宋体" w:cs="宋体"/>
          <w:b/>
          <w:sz w:val="24"/>
          <w:szCs w:val="24"/>
        </w:rPr>
        <w:t>2.4谈判小组认为供应商的报价明显低于其他通过符合性审查供应商的报价，有可能影响服务质量或者不能诚信履约的，要求其在评审现场合理的时间内提供书面说明，必要时提交相关证明材料；供应商不能证明其报价合理性的，谈判小组将其作为无效标处理。</w:t>
      </w:r>
    </w:p>
    <w:p>
      <w:pPr>
        <w:spacing w:line="360" w:lineRule="auto"/>
        <w:ind w:firstLine="480" w:firstLineChars="200"/>
        <w:rPr>
          <w:rFonts w:ascii="宋体" w:hAnsi="宋体" w:cs="宋体"/>
          <w:sz w:val="24"/>
          <w:szCs w:val="24"/>
        </w:rPr>
      </w:pPr>
      <w:r>
        <w:rPr>
          <w:rFonts w:hint="eastAsia" w:ascii="宋体" w:hAnsi="宋体" w:cs="宋体"/>
          <w:sz w:val="24"/>
          <w:szCs w:val="24"/>
        </w:rPr>
        <w:t>2.5谈判结束后，谈判小组要求参加谈判的各供应商在规定的时间内集中提交最终报价，除非在谈判中谈判小组调整或修改采购需求内容，否则</w:t>
      </w:r>
      <w:r>
        <w:rPr>
          <w:rFonts w:hint="eastAsia" w:ascii="宋体" w:hAnsi="宋体" w:cs="宋体"/>
          <w:b/>
          <w:bCs/>
          <w:sz w:val="24"/>
          <w:szCs w:val="24"/>
        </w:rPr>
        <w:t>采购人不接受高于前面轮次的谈判报价</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2.6谈判小组按照采购需求、质量和服务相等且报价最低的原则，按照最终评审价格由低到高的顺序推荐3名成交候选人。</w:t>
      </w:r>
    </w:p>
    <w:p>
      <w:pPr>
        <w:numPr>
          <w:ilvl w:val="0"/>
          <w:numId w:val="7"/>
        </w:numPr>
        <w:spacing w:line="360" w:lineRule="auto"/>
        <w:ind w:firstLine="482" w:firstLineChars="200"/>
        <w:outlineLvl w:val="2"/>
        <w:rPr>
          <w:rFonts w:ascii="宋体" w:hAnsi="宋体" w:cs="宋体"/>
          <w:sz w:val="24"/>
          <w:szCs w:val="24"/>
        </w:rPr>
      </w:pPr>
      <w:r>
        <w:rPr>
          <w:rFonts w:hint="eastAsia" w:ascii="宋体" w:hAnsi="宋体" w:cs="宋体"/>
          <w:b/>
          <w:sz w:val="24"/>
          <w:szCs w:val="24"/>
        </w:rPr>
        <w:t>评审内容</w:t>
      </w:r>
      <w:r>
        <w:rPr>
          <w:rFonts w:hint="eastAsia" w:ascii="宋体" w:hAnsi="宋体" w:cs="宋体"/>
          <w:sz w:val="24"/>
          <w:szCs w:val="24"/>
        </w:rPr>
        <w:t>：</w:t>
      </w:r>
    </w:p>
    <w:tbl>
      <w:tblPr>
        <w:tblStyle w:val="20"/>
        <w:tblpPr w:leftFromText="180" w:rightFromText="180" w:vertAnchor="text" w:horzAnchor="page" w:tblpX="1302" w:tblpY="271"/>
        <w:tblOverlap w:val="never"/>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017"/>
        <w:gridCol w:w="7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8" w:type="dxa"/>
            <w:vAlign w:val="center"/>
          </w:tcPr>
          <w:p>
            <w:pPr>
              <w:spacing w:line="360" w:lineRule="auto"/>
              <w:jc w:val="center"/>
              <w:rPr>
                <w:rFonts w:ascii="宋体" w:hAnsi="宋体" w:cs="宋体"/>
                <w:b/>
                <w:sz w:val="24"/>
                <w:szCs w:val="24"/>
              </w:rPr>
            </w:pPr>
            <w:r>
              <w:rPr>
                <w:rFonts w:hint="eastAsia" w:ascii="宋体" w:hAnsi="宋体" w:cs="宋体"/>
                <w:b/>
                <w:sz w:val="24"/>
                <w:szCs w:val="24"/>
              </w:rPr>
              <w:t>条款号</w:t>
            </w:r>
          </w:p>
        </w:tc>
        <w:tc>
          <w:tcPr>
            <w:tcW w:w="1017" w:type="dxa"/>
            <w:vAlign w:val="center"/>
          </w:tcPr>
          <w:p>
            <w:pPr>
              <w:jc w:val="center"/>
              <w:rPr>
                <w:rFonts w:ascii="宋体" w:hAnsi="宋体" w:cs="宋体"/>
                <w:b/>
                <w:sz w:val="24"/>
                <w:szCs w:val="24"/>
              </w:rPr>
            </w:pPr>
            <w:r>
              <w:rPr>
                <w:rFonts w:hint="eastAsia" w:ascii="宋体" w:hAnsi="宋体" w:cs="宋体"/>
                <w:b/>
                <w:sz w:val="24"/>
                <w:szCs w:val="24"/>
              </w:rPr>
              <w:t>审查</w:t>
            </w:r>
          </w:p>
          <w:p>
            <w:pPr>
              <w:jc w:val="center"/>
              <w:rPr>
                <w:rFonts w:ascii="宋体" w:hAnsi="宋体" w:cs="宋体"/>
                <w:b/>
                <w:sz w:val="24"/>
                <w:szCs w:val="24"/>
              </w:rPr>
            </w:pPr>
            <w:r>
              <w:rPr>
                <w:rFonts w:hint="eastAsia" w:ascii="宋体" w:hAnsi="宋体" w:cs="宋体"/>
                <w:b/>
                <w:sz w:val="24"/>
                <w:szCs w:val="24"/>
              </w:rPr>
              <w:t>因素</w:t>
            </w:r>
          </w:p>
        </w:tc>
        <w:tc>
          <w:tcPr>
            <w:tcW w:w="7422" w:type="dxa"/>
            <w:vAlign w:val="center"/>
          </w:tcPr>
          <w:p>
            <w:pPr>
              <w:spacing w:line="360" w:lineRule="auto"/>
              <w:jc w:val="center"/>
              <w:rPr>
                <w:rFonts w:ascii="宋体" w:hAnsi="宋体" w:cs="宋体"/>
                <w:b/>
                <w:sz w:val="24"/>
                <w:szCs w:val="24"/>
              </w:rPr>
            </w:pPr>
            <w:r>
              <w:rPr>
                <w:rFonts w:hint="eastAsia" w:ascii="宋体" w:hAnsi="宋体" w:cs="宋体"/>
                <w:b/>
                <w:sz w:val="24"/>
                <w:szCs w:val="24"/>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88" w:type="dxa"/>
            <w:vAlign w:val="center"/>
          </w:tcPr>
          <w:p>
            <w:pPr>
              <w:spacing w:line="360" w:lineRule="auto"/>
              <w:jc w:val="center"/>
              <w:rPr>
                <w:rFonts w:ascii="宋体" w:hAnsi="宋体" w:cs="宋体"/>
                <w:b/>
                <w:sz w:val="24"/>
                <w:szCs w:val="24"/>
              </w:rPr>
            </w:pPr>
            <w:r>
              <w:rPr>
                <w:rFonts w:hint="eastAsia" w:ascii="宋体" w:hAnsi="宋体" w:cs="宋体"/>
                <w:b/>
                <w:sz w:val="24"/>
                <w:szCs w:val="24"/>
              </w:rPr>
              <w:t>1</w:t>
            </w:r>
          </w:p>
        </w:tc>
        <w:tc>
          <w:tcPr>
            <w:tcW w:w="1017" w:type="dxa"/>
            <w:vAlign w:val="center"/>
          </w:tcPr>
          <w:p>
            <w:pPr>
              <w:jc w:val="center"/>
              <w:rPr>
                <w:rFonts w:ascii="宋体" w:hAnsi="宋体" w:cs="宋体"/>
                <w:b/>
                <w:sz w:val="24"/>
                <w:szCs w:val="24"/>
              </w:rPr>
            </w:pPr>
            <w:r>
              <w:rPr>
                <w:rFonts w:hint="eastAsia" w:ascii="宋体" w:hAnsi="宋体" w:cs="宋体"/>
                <w:b/>
                <w:sz w:val="24"/>
                <w:szCs w:val="24"/>
              </w:rPr>
              <w:t>资格</w:t>
            </w:r>
          </w:p>
          <w:p>
            <w:pPr>
              <w:jc w:val="center"/>
              <w:rPr>
                <w:rFonts w:ascii="宋体" w:hAnsi="宋体" w:cs="宋体"/>
                <w:b/>
                <w:sz w:val="24"/>
                <w:szCs w:val="24"/>
              </w:rPr>
            </w:pPr>
            <w:r>
              <w:rPr>
                <w:rFonts w:hint="eastAsia" w:ascii="宋体" w:hAnsi="宋体" w:cs="宋体"/>
                <w:b/>
                <w:sz w:val="24"/>
                <w:szCs w:val="24"/>
              </w:rPr>
              <w:t>审查</w:t>
            </w:r>
          </w:p>
        </w:tc>
        <w:tc>
          <w:tcPr>
            <w:tcW w:w="7422" w:type="dxa"/>
            <w:vAlign w:val="center"/>
          </w:tcPr>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1.供应商应具有独立承担民事责任的能力的企业法人、事业法人、其他组织或自然人，出具合法有效的营业执照等相关证明文件，自然人参与的提供其身份证明；</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2.法定代表人直接参加谈判的，须出具法定代表人证明及法人身份证；法定代表人授权代表参加谈判的，须出具法定代表人授权书及授权代表身份证；</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3.财务状况报告：提供经审计的2021年度财务报告或谈判前六个月内其本公司银行账户出具的资信证明；</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4.税收缴纳证明：供应商提供截止至谈判时间前六个月任一月份的缴费凭据；依法免税的应提供相关文件证明；</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5.社会保障资金缴纳证明：供应商提供截止至谈判时间前六个月任一月份的缴费凭据或社保机构开具的社会保险参保缴费情况证明；依法不需要缴纳社会保障资金的应提供相关文件证明；</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6.供应商提供具有履行本合同所必需的设备和专业技术能力的承诺函；</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7.供应商提供参加政府采购活动前三年内在经营活动中没有重大违法记录的承诺函；</w:t>
            </w:r>
          </w:p>
          <w:p>
            <w:pPr>
              <w:widowControl/>
              <w:tabs>
                <w:tab w:val="left" w:pos="1620"/>
              </w:tabs>
              <w:wordWrap w:val="0"/>
              <w:spacing w:line="360" w:lineRule="auto"/>
              <w:ind w:right="-57" w:rightChars="-27"/>
              <w:rPr>
                <w:rFonts w:ascii="宋体" w:hAnsi="宋体" w:cs="宋体"/>
                <w:kern w:val="0"/>
                <w:sz w:val="24"/>
                <w:szCs w:val="24"/>
              </w:rPr>
            </w:pPr>
            <w:r>
              <w:rPr>
                <w:rFonts w:hint="eastAsia" w:ascii="宋体" w:hAnsi="宋体" w:cs="宋体"/>
                <w:kern w:val="0"/>
                <w:sz w:val="24"/>
                <w:szCs w:val="24"/>
              </w:rPr>
              <w:t>8.符合《财政部关于在政府采购活动中查询及使用信用记录有关问题的通知》（财库【2016】125号）文件中信用查询的要求。以采购代理机构于谈判响应文件截止日当天查询结果为准。</w:t>
            </w:r>
          </w:p>
          <w:p>
            <w:pPr>
              <w:widowControl/>
              <w:tabs>
                <w:tab w:val="left" w:pos="1620"/>
              </w:tabs>
              <w:wordWrap w:val="0"/>
              <w:spacing w:line="360" w:lineRule="auto"/>
              <w:ind w:right="-57" w:rightChars="-27"/>
              <w:rPr>
                <w:rFonts w:ascii="宋体" w:hAnsi="宋体" w:cs="宋体"/>
                <w:b/>
                <w:color w:val="000000"/>
                <w:sz w:val="24"/>
                <w:szCs w:val="24"/>
              </w:rPr>
            </w:pPr>
            <w:r>
              <w:rPr>
                <w:rFonts w:hint="eastAsia" w:ascii="宋体" w:hAnsi="宋体" w:cs="宋体"/>
                <w:kern w:val="0"/>
                <w:sz w:val="24"/>
                <w:szCs w:val="24"/>
              </w:rPr>
              <w:t>9.供应商不得为“信用中国”网站（www.creditchina.gov.cn）中列入失信被执行人和重大税收违法案件当事人名单的供应商。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restart"/>
            <w:vAlign w:val="center"/>
          </w:tcPr>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p>
          <w:p>
            <w:pPr>
              <w:spacing w:line="360" w:lineRule="auto"/>
              <w:jc w:val="center"/>
              <w:rPr>
                <w:rFonts w:ascii="宋体" w:hAnsi="宋体" w:cs="宋体"/>
                <w:b/>
                <w:sz w:val="24"/>
                <w:szCs w:val="24"/>
              </w:rPr>
            </w:pPr>
            <w:r>
              <w:rPr>
                <w:rFonts w:hint="eastAsia" w:ascii="宋体" w:hAnsi="宋体" w:cs="宋体"/>
                <w:b/>
                <w:sz w:val="24"/>
                <w:szCs w:val="24"/>
              </w:rPr>
              <w:t>2</w:t>
            </w:r>
          </w:p>
        </w:tc>
        <w:tc>
          <w:tcPr>
            <w:tcW w:w="1017" w:type="dxa"/>
            <w:vMerge w:val="restart"/>
            <w:vAlign w:val="center"/>
          </w:tcPr>
          <w:p>
            <w:pPr>
              <w:jc w:val="center"/>
              <w:rPr>
                <w:rFonts w:ascii="宋体" w:hAnsi="宋体" w:cs="宋体"/>
                <w:b/>
                <w:sz w:val="24"/>
                <w:szCs w:val="24"/>
              </w:rPr>
            </w:pPr>
          </w:p>
          <w:p>
            <w:pPr>
              <w:jc w:val="center"/>
              <w:rPr>
                <w:rFonts w:ascii="宋体" w:hAnsi="宋体" w:cs="宋体"/>
                <w:b/>
                <w:sz w:val="24"/>
                <w:szCs w:val="24"/>
              </w:rPr>
            </w:pPr>
          </w:p>
          <w:p>
            <w:pPr>
              <w:jc w:val="center"/>
              <w:rPr>
                <w:rFonts w:ascii="宋体" w:hAnsi="宋体" w:cs="宋体"/>
                <w:b/>
                <w:sz w:val="24"/>
                <w:szCs w:val="24"/>
              </w:rPr>
            </w:pPr>
            <w:r>
              <w:rPr>
                <w:rFonts w:hint="eastAsia" w:ascii="宋体" w:hAnsi="宋体" w:cs="宋体"/>
                <w:b/>
                <w:sz w:val="24"/>
                <w:szCs w:val="24"/>
              </w:rPr>
              <w:t>符合性</w:t>
            </w:r>
          </w:p>
          <w:p>
            <w:pPr>
              <w:jc w:val="center"/>
              <w:rPr>
                <w:rFonts w:ascii="宋体" w:hAnsi="宋体" w:cs="宋体"/>
                <w:b/>
                <w:sz w:val="24"/>
                <w:szCs w:val="24"/>
              </w:rPr>
            </w:pPr>
            <w:r>
              <w:rPr>
                <w:rFonts w:hint="eastAsia" w:ascii="宋体" w:hAnsi="宋体" w:cs="宋体"/>
                <w:b/>
                <w:sz w:val="24"/>
                <w:szCs w:val="24"/>
              </w:rPr>
              <w:t>审查</w:t>
            </w:r>
          </w:p>
        </w:tc>
        <w:tc>
          <w:tcPr>
            <w:tcW w:w="7422" w:type="dxa"/>
            <w:vAlign w:val="center"/>
          </w:tcPr>
          <w:p>
            <w:pPr>
              <w:ind w:left="360" w:hanging="360" w:hangingChars="150"/>
              <w:rPr>
                <w:rFonts w:ascii="宋体" w:hAnsi="宋体" w:cs="宋体"/>
                <w:sz w:val="24"/>
                <w:szCs w:val="24"/>
              </w:rPr>
            </w:pPr>
            <w:r>
              <w:rPr>
                <w:rFonts w:hint="eastAsia" w:ascii="宋体" w:hAnsi="宋体" w:cs="宋体"/>
                <w:sz w:val="24"/>
                <w:szCs w:val="24"/>
              </w:rPr>
              <w:t>1.供应商名称：与营业执照等证明材料一致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p>
        </w:tc>
        <w:tc>
          <w:tcPr>
            <w:tcW w:w="1017" w:type="dxa"/>
            <w:vMerge w:val="continue"/>
            <w:vAlign w:val="center"/>
          </w:tcPr>
          <w:p>
            <w:pPr>
              <w:jc w:val="center"/>
              <w:rPr>
                <w:rFonts w:ascii="宋体" w:hAnsi="宋体" w:cs="宋体"/>
                <w:b/>
                <w:sz w:val="24"/>
                <w:szCs w:val="24"/>
              </w:rPr>
            </w:pPr>
          </w:p>
        </w:tc>
        <w:tc>
          <w:tcPr>
            <w:tcW w:w="7422" w:type="dxa"/>
            <w:vAlign w:val="center"/>
          </w:tcPr>
          <w:p>
            <w:pPr>
              <w:rPr>
                <w:rFonts w:ascii="宋体" w:hAnsi="宋体" w:cs="宋体"/>
                <w:sz w:val="24"/>
                <w:szCs w:val="24"/>
              </w:rPr>
            </w:pPr>
            <w:r>
              <w:rPr>
                <w:rFonts w:hint="eastAsia" w:ascii="宋体" w:hAnsi="宋体" w:cs="宋体"/>
                <w:sz w:val="24"/>
                <w:szCs w:val="24"/>
              </w:rPr>
              <w:t>2.签字盖章：谈判响应文件的签署、盖章合格、有效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r>
              <w:rPr>
                <w:rFonts w:hint="eastAsia" w:ascii="宋体" w:hAnsi="宋体" w:cs="宋体"/>
                <w:b/>
                <w:sz w:val="24"/>
                <w:szCs w:val="24"/>
              </w:rPr>
              <w:t>3.供货周期</w:t>
            </w:r>
          </w:p>
        </w:tc>
        <w:tc>
          <w:tcPr>
            <w:tcW w:w="1017" w:type="dxa"/>
            <w:vMerge w:val="continue"/>
            <w:vAlign w:val="center"/>
          </w:tcPr>
          <w:p>
            <w:pPr>
              <w:jc w:val="center"/>
              <w:rPr>
                <w:rFonts w:ascii="宋体" w:hAnsi="宋体" w:cs="宋体"/>
                <w:b/>
                <w:sz w:val="24"/>
                <w:szCs w:val="24"/>
              </w:rPr>
            </w:pPr>
          </w:p>
        </w:tc>
        <w:tc>
          <w:tcPr>
            <w:tcW w:w="7422" w:type="dxa"/>
            <w:vAlign w:val="center"/>
          </w:tcPr>
          <w:p>
            <w:pPr>
              <w:rPr>
                <w:rFonts w:ascii="宋体" w:hAnsi="宋体" w:cs="宋体"/>
                <w:sz w:val="24"/>
                <w:szCs w:val="24"/>
              </w:rPr>
            </w:pPr>
            <w:r>
              <w:rPr>
                <w:rFonts w:hint="eastAsia" w:ascii="宋体" w:hAnsi="宋体" w:cs="宋体"/>
                <w:sz w:val="24"/>
                <w:szCs w:val="24"/>
              </w:rPr>
              <w:t>3.供货周期：符合谈判文件要求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tcPr>
          <w:p>
            <w:pPr>
              <w:spacing w:line="360" w:lineRule="auto"/>
              <w:rPr>
                <w:rFonts w:ascii="宋体" w:hAnsi="宋体" w:cs="宋体"/>
                <w:b/>
                <w:sz w:val="24"/>
                <w:szCs w:val="24"/>
              </w:rPr>
            </w:pPr>
          </w:p>
        </w:tc>
        <w:tc>
          <w:tcPr>
            <w:tcW w:w="1017" w:type="dxa"/>
            <w:vMerge w:val="continue"/>
            <w:vAlign w:val="center"/>
          </w:tcPr>
          <w:p>
            <w:pPr>
              <w:spacing w:line="360" w:lineRule="auto"/>
              <w:rPr>
                <w:rFonts w:ascii="宋体" w:hAnsi="宋体" w:cs="宋体"/>
                <w:sz w:val="24"/>
                <w:szCs w:val="24"/>
              </w:rPr>
            </w:pPr>
          </w:p>
        </w:tc>
        <w:tc>
          <w:tcPr>
            <w:tcW w:w="7422" w:type="dxa"/>
            <w:vAlign w:val="center"/>
          </w:tcPr>
          <w:p>
            <w:pPr>
              <w:rPr>
                <w:rFonts w:ascii="宋体" w:hAnsi="宋体" w:cs="宋体"/>
                <w:sz w:val="24"/>
                <w:szCs w:val="24"/>
              </w:rPr>
            </w:pPr>
            <w:r>
              <w:rPr>
                <w:rFonts w:hint="eastAsia" w:ascii="宋体" w:hAnsi="宋体" w:cs="宋体"/>
                <w:sz w:val="24"/>
                <w:szCs w:val="24"/>
              </w:rPr>
              <w:t>4.谈判报价没有超出采购预算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p>
        </w:tc>
        <w:tc>
          <w:tcPr>
            <w:tcW w:w="1017" w:type="dxa"/>
            <w:vMerge w:val="continue"/>
            <w:vAlign w:val="center"/>
          </w:tcPr>
          <w:p>
            <w:pPr>
              <w:spacing w:line="360" w:lineRule="auto"/>
              <w:jc w:val="center"/>
              <w:rPr>
                <w:rFonts w:ascii="宋体" w:hAnsi="宋体" w:cs="宋体"/>
                <w:b/>
                <w:sz w:val="24"/>
                <w:szCs w:val="24"/>
              </w:rPr>
            </w:pPr>
          </w:p>
        </w:tc>
        <w:tc>
          <w:tcPr>
            <w:tcW w:w="7422" w:type="dxa"/>
            <w:vAlign w:val="center"/>
          </w:tcPr>
          <w:p>
            <w:pPr>
              <w:rPr>
                <w:rFonts w:ascii="宋体" w:hAnsi="宋体" w:cs="宋体"/>
                <w:sz w:val="24"/>
                <w:szCs w:val="24"/>
              </w:rPr>
            </w:pPr>
            <w:r>
              <w:rPr>
                <w:rFonts w:hint="eastAsia" w:ascii="宋体" w:hAnsi="宋体" w:cs="宋体"/>
                <w:sz w:val="24"/>
                <w:szCs w:val="24"/>
              </w:rPr>
              <w:t>5.如澄清、补正、说明的内容与谈判响应文件内容有重大相悖或矛盾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restart"/>
            <w:vAlign w:val="center"/>
          </w:tcPr>
          <w:p>
            <w:pPr>
              <w:spacing w:line="360" w:lineRule="auto"/>
              <w:jc w:val="center"/>
              <w:rPr>
                <w:rFonts w:ascii="宋体" w:hAnsi="宋体" w:cs="宋体"/>
                <w:b/>
                <w:sz w:val="24"/>
                <w:szCs w:val="24"/>
              </w:rPr>
            </w:pPr>
            <w:r>
              <w:rPr>
                <w:rFonts w:hint="eastAsia" w:ascii="宋体" w:hAnsi="宋体" w:cs="宋体"/>
                <w:b/>
                <w:sz w:val="24"/>
                <w:szCs w:val="24"/>
              </w:rPr>
              <w:t>3</w:t>
            </w:r>
          </w:p>
        </w:tc>
        <w:tc>
          <w:tcPr>
            <w:tcW w:w="1017" w:type="dxa"/>
            <w:vMerge w:val="restart"/>
            <w:vAlign w:val="center"/>
          </w:tcPr>
          <w:p>
            <w:pPr>
              <w:spacing w:line="360" w:lineRule="auto"/>
              <w:jc w:val="center"/>
              <w:rPr>
                <w:rFonts w:ascii="宋体" w:hAnsi="宋体" w:cs="宋体"/>
                <w:b/>
                <w:sz w:val="24"/>
                <w:szCs w:val="24"/>
              </w:rPr>
            </w:pPr>
            <w:r>
              <w:rPr>
                <w:rFonts w:hint="eastAsia" w:ascii="宋体" w:hAnsi="宋体" w:cs="宋体"/>
                <w:b/>
                <w:sz w:val="24"/>
                <w:szCs w:val="24"/>
              </w:rPr>
              <w:t>技术</w:t>
            </w:r>
          </w:p>
          <w:p>
            <w:pPr>
              <w:spacing w:line="360" w:lineRule="auto"/>
              <w:jc w:val="center"/>
              <w:rPr>
                <w:rFonts w:ascii="宋体" w:hAnsi="宋体" w:cs="宋体"/>
                <w:b/>
                <w:sz w:val="24"/>
                <w:szCs w:val="24"/>
              </w:rPr>
            </w:pPr>
            <w:r>
              <w:rPr>
                <w:rFonts w:hint="eastAsia" w:ascii="宋体" w:hAnsi="宋体" w:cs="宋体"/>
                <w:b/>
                <w:sz w:val="24"/>
                <w:szCs w:val="24"/>
              </w:rPr>
              <w:t>审查</w:t>
            </w:r>
          </w:p>
        </w:tc>
        <w:tc>
          <w:tcPr>
            <w:tcW w:w="7422" w:type="dxa"/>
            <w:vAlign w:val="center"/>
          </w:tcPr>
          <w:p>
            <w:pPr>
              <w:spacing w:line="360" w:lineRule="auto"/>
              <w:rPr>
                <w:rFonts w:ascii="宋体" w:hAnsi="宋体" w:cs="宋体"/>
                <w:sz w:val="24"/>
                <w:szCs w:val="24"/>
              </w:rPr>
            </w:pPr>
            <w:r>
              <w:rPr>
                <w:rFonts w:hint="eastAsia" w:ascii="宋体" w:hAnsi="宋体" w:cs="宋体"/>
                <w:sz w:val="24"/>
                <w:szCs w:val="24"/>
              </w:rPr>
              <w:t>1.是否按竞争性谈判文件要求提供产品的技术要求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p>
        </w:tc>
        <w:tc>
          <w:tcPr>
            <w:tcW w:w="1017" w:type="dxa"/>
            <w:vMerge w:val="continue"/>
            <w:vAlign w:val="center"/>
          </w:tcPr>
          <w:p>
            <w:pPr>
              <w:spacing w:line="360" w:lineRule="auto"/>
              <w:jc w:val="center"/>
              <w:rPr>
                <w:rFonts w:ascii="宋体" w:hAnsi="宋体" w:cs="宋体"/>
                <w:b/>
                <w:sz w:val="24"/>
                <w:szCs w:val="24"/>
              </w:rPr>
            </w:pPr>
          </w:p>
        </w:tc>
        <w:tc>
          <w:tcPr>
            <w:tcW w:w="7422" w:type="dxa"/>
            <w:vAlign w:val="center"/>
          </w:tcPr>
          <w:p>
            <w:pPr>
              <w:rPr>
                <w:rFonts w:ascii="宋体" w:hAnsi="宋体" w:cs="宋体"/>
                <w:sz w:val="24"/>
                <w:szCs w:val="24"/>
              </w:rPr>
            </w:pPr>
            <w:r>
              <w:rPr>
                <w:rFonts w:hint="eastAsia" w:ascii="宋体" w:hAnsi="宋体" w:cs="宋体"/>
                <w:sz w:val="24"/>
                <w:szCs w:val="24"/>
              </w:rPr>
              <w:t>2.产品供货渠道是否明确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p>
        </w:tc>
        <w:tc>
          <w:tcPr>
            <w:tcW w:w="1017" w:type="dxa"/>
            <w:vMerge w:val="continue"/>
            <w:vAlign w:val="center"/>
          </w:tcPr>
          <w:p>
            <w:pPr>
              <w:spacing w:line="360" w:lineRule="auto"/>
              <w:jc w:val="center"/>
              <w:rPr>
                <w:rFonts w:ascii="宋体" w:hAnsi="宋体" w:cs="宋体"/>
                <w:b/>
                <w:sz w:val="24"/>
                <w:szCs w:val="24"/>
              </w:rPr>
            </w:pPr>
          </w:p>
        </w:tc>
        <w:tc>
          <w:tcPr>
            <w:tcW w:w="7422" w:type="dxa"/>
            <w:vAlign w:val="center"/>
          </w:tcPr>
          <w:p>
            <w:pPr>
              <w:spacing w:line="360" w:lineRule="auto"/>
              <w:rPr>
                <w:rFonts w:ascii="宋体" w:hAnsi="宋体" w:cs="宋体"/>
                <w:sz w:val="24"/>
                <w:szCs w:val="24"/>
              </w:rPr>
            </w:pPr>
            <w:r>
              <w:rPr>
                <w:rFonts w:hint="eastAsia" w:ascii="宋体" w:hAnsi="宋体" w:cs="宋体"/>
                <w:sz w:val="24"/>
                <w:szCs w:val="24"/>
              </w:rPr>
              <w:t>3.谈判报价及货物数量有无漏项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p>
        </w:tc>
        <w:tc>
          <w:tcPr>
            <w:tcW w:w="1017" w:type="dxa"/>
            <w:vMerge w:val="continue"/>
            <w:vAlign w:val="center"/>
          </w:tcPr>
          <w:p>
            <w:pPr>
              <w:spacing w:line="360" w:lineRule="auto"/>
              <w:jc w:val="center"/>
              <w:rPr>
                <w:rFonts w:ascii="宋体" w:hAnsi="宋体" w:cs="宋体"/>
                <w:b/>
                <w:sz w:val="24"/>
                <w:szCs w:val="24"/>
              </w:rPr>
            </w:pPr>
          </w:p>
        </w:tc>
        <w:tc>
          <w:tcPr>
            <w:tcW w:w="7422" w:type="dxa"/>
            <w:vAlign w:val="center"/>
          </w:tcPr>
          <w:p>
            <w:pPr>
              <w:spacing w:line="360" w:lineRule="auto"/>
              <w:rPr>
                <w:rFonts w:ascii="宋体" w:hAnsi="宋体" w:cs="宋体"/>
                <w:sz w:val="24"/>
                <w:szCs w:val="24"/>
              </w:rPr>
            </w:pPr>
            <w:r>
              <w:rPr>
                <w:rFonts w:hint="eastAsia" w:ascii="宋体" w:hAnsi="宋体" w:cs="宋体"/>
                <w:sz w:val="24"/>
                <w:szCs w:val="24"/>
              </w:rPr>
              <w:t>4.技术指标达到采购要求，不允许降低产品档次或影响产品性能、功能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88" w:type="dxa"/>
            <w:vMerge w:val="continue"/>
            <w:vAlign w:val="center"/>
          </w:tcPr>
          <w:p>
            <w:pPr>
              <w:spacing w:line="360" w:lineRule="auto"/>
              <w:jc w:val="center"/>
              <w:rPr>
                <w:rFonts w:ascii="宋体" w:hAnsi="宋体" w:cs="宋体"/>
                <w:b/>
                <w:sz w:val="24"/>
                <w:szCs w:val="24"/>
              </w:rPr>
            </w:pPr>
          </w:p>
        </w:tc>
        <w:tc>
          <w:tcPr>
            <w:tcW w:w="1017" w:type="dxa"/>
            <w:vMerge w:val="continue"/>
            <w:vAlign w:val="center"/>
          </w:tcPr>
          <w:p>
            <w:pPr>
              <w:spacing w:line="360" w:lineRule="auto"/>
              <w:jc w:val="center"/>
              <w:rPr>
                <w:rFonts w:ascii="宋体" w:hAnsi="宋体" w:cs="宋体"/>
                <w:b/>
                <w:sz w:val="24"/>
                <w:szCs w:val="24"/>
              </w:rPr>
            </w:pPr>
          </w:p>
        </w:tc>
        <w:tc>
          <w:tcPr>
            <w:tcW w:w="7422" w:type="dxa"/>
            <w:vAlign w:val="center"/>
          </w:tcPr>
          <w:p>
            <w:pPr>
              <w:spacing w:line="360" w:lineRule="auto"/>
              <w:rPr>
                <w:rFonts w:ascii="宋体" w:hAnsi="宋体" w:cs="宋体"/>
                <w:sz w:val="24"/>
                <w:szCs w:val="24"/>
              </w:rPr>
            </w:pPr>
            <w:r>
              <w:rPr>
                <w:rFonts w:hint="eastAsia" w:ascii="宋体" w:hAnsi="宋体" w:cs="宋体"/>
                <w:sz w:val="24"/>
                <w:szCs w:val="24"/>
              </w:rPr>
              <w:t>5.技术要求中带“△”项为演示项，必须在现场完整视频演示，不接受PPT演示，演示项不得缺项漏项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27" w:type="dxa"/>
            <w:gridSpan w:val="3"/>
            <w:vAlign w:val="center"/>
          </w:tcPr>
          <w:p>
            <w:pPr>
              <w:spacing w:line="360" w:lineRule="auto"/>
              <w:rPr>
                <w:rFonts w:ascii="宋体" w:hAnsi="宋体" w:cs="宋体"/>
                <w:b/>
                <w:sz w:val="24"/>
                <w:szCs w:val="24"/>
              </w:rPr>
            </w:pPr>
            <w:r>
              <w:rPr>
                <w:rFonts w:hint="eastAsia" w:ascii="宋体" w:hAnsi="宋体" w:cs="宋体"/>
                <w:b/>
                <w:sz w:val="24"/>
                <w:szCs w:val="24"/>
              </w:rPr>
              <w:t>说明：以上任何一项因素不符合审查标准的供应商，不再进入下一轮报价。</w:t>
            </w:r>
          </w:p>
        </w:tc>
      </w:tr>
    </w:tbl>
    <w:p>
      <w:pPr>
        <w:pStyle w:val="4"/>
        <w:rPr>
          <w:rFonts w:ascii="宋体" w:hAnsi="宋体" w:eastAsia="宋体" w:cs="宋体"/>
          <w:sz w:val="28"/>
          <w:szCs w:val="18"/>
        </w:rPr>
      </w:pPr>
      <w:bookmarkStart w:id="70" w:name="_Toc24568"/>
      <w:bookmarkStart w:id="71" w:name="_Toc29650"/>
      <w:bookmarkStart w:id="72" w:name="_Toc24948"/>
      <w:bookmarkStart w:id="73" w:name="_Toc28342_WPSOffice_Level2"/>
      <w:r>
        <w:rPr>
          <w:rFonts w:hint="eastAsia" w:ascii="宋体" w:hAnsi="宋体" w:eastAsia="宋体" w:cs="宋体"/>
          <w:sz w:val="28"/>
          <w:szCs w:val="18"/>
        </w:rPr>
        <w:t>七、定标</w:t>
      </w:r>
      <w:bookmarkEnd w:id="70"/>
      <w:bookmarkEnd w:id="71"/>
      <w:bookmarkEnd w:id="72"/>
      <w:bookmarkEnd w:id="73"/>
    </w:p>
    <w:p>
      <w:pPr>
        <w:spacing w:line="360" w:lineRule="auto"/>
        <w:ind w:firstLine="480" w:firstLineChars="200"/>
        <w:rPr>
          <w:rFonts w:ascii="宋体" w:hAnsi="宋体" w:cs="宋体"/>
          <w:sz w:val="24"/>
          <w:szCs w:val="24"/>
        </w:rPr>
      </w:pPr>
      <w:bookmarkStart w:id="74" w:name="_Toc92598707"/>
      <w:r>
        <w:rPr>
          <w:rFonts w:hint="eastAsia" w:ascii="宋体" w:hAnsi="宋体" w:cs="宋体"/>
          <w:sz w:val="24"/>
          <w:szCs w:val="24"/>
        </w:rPr>
        <w:t>1、成交复函：采购人自收到评审报告之日起4个工作日内，在评审报告确定的成交候选人名单中按顺序确定成交人，复函采购代理机构。</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2、采购代理机构在接到采购人的复函后，在财政部门指定的政府采购信息发布媒体上发布成交公告。公示成交结果的同时，采购代理机构向成交单位发出“成交通知书”。</w:t>
      </w:r>
    </w:p>
    <w:p>
      <w:pPr>
        <w:spacing w:line="360" w:lineRule="auto"/>
        <w:ind w:firstLine="480" w:firstLineChars="200"/>
        <w:rPr>
          <w:rFonts w:ascii="宋体" w:hAnsi="宋体" w:cs="宋体"/>
          <w:sz w:val="24"/>
          <w:szCs w:val="24"/>
        </w:rPr>
      </w:pPr>
      <w:r>
        <w:rPr>
          <w:rFonts w:hint="eastAsia" w:ascii="宋体" w:hAnsi="宋体" w:cs="宋体"/>
          <w:sz w:val="24"/>
          <w:szCs w:val="24"/>
        </w:rPr>
        <w:t>3、采购代理机构将评审过程及成交人情况书面报监督机构备案。</w:t>
      </w:r>
    </w:p>
    <w:p>
      <w:pPr>
        <w:pStyle w:val="4"/>
        <w:rPr>
          <w:rFonts w:ascii="宋体" w:hAnsi="宋体" w:eastAsia="宋体" w:cs="宋体"/>
          <w:sz w:val="28"/>
          <w:szCs w:val="18"/>
        </w:rPr>
      </w:pPr>
      <w:bookmarkStart w:id="75" w:name="_Toc1162"/>
      <w:bookmarkStart w:id="76" w:name="_Toc26330"/>
      <w:bookmarkStart w:id="77" w:name="_Toc20630_WPSOffice_Level2"/>
      <w:bookmarkStart w:id="78" w:name="_Toc7916"/>
      <w:r>
        <w:rPr>
          <w:rFonts w:hint="eastAsia" w:ascii="宋体" w:hAnsi="宋体" w:eastAsia="宋体" w:cs="宋体"/>
          <w:sz w:val="28"/>
          <w:szCs w:val="18"/>
        </w:rPr>
        <w:t>八、签订合同</w:t>
      </w:r>
      <w:bookmarkEnd w:id="74"/>
      <w:bookmarkEnd w:id="75"/>
      <w:bookmarkEnd w:id="76"/>
      <w:bookmarkEnd w:id="77"/>
      <w:bookmarkEnd w:id="78"/>
    </w:p>
    <w:p>
      <w:pPr>
        <w:spacing w:line="360" w:lineRule="auto"/>
        <w:ind w:firstLine="480" w:firstLineChars="200"/>
        <w:jc w:val="left"/>
        <w:rPr>
          <w:rFonts w:ascii="宋体" w:hAnsi="宋体" w:cs="宋体"/>
          <w:sz w:val="24"/>
          <w:szCs w:val="24"/>
        </w:rPr>
      </w:pPr>
      <w:bookmarkStart w:id="79" w:name="_Toc92598708"/>
      <w:r>
        <w:rPr>
          <w:rFonts w:hint="eastAsia" w:ascii="宋体" w:hAnsi="宋体" w:cs="宋体"/>
          <w:sz w:val="24"/>
          <w:szCs w:val="24"/>
        </w:rPr>
        <w:t>1、成交通知书发出后，成交单位应依据成交通知书与采购人在30天内洽谈合同条款，并签订合同，同时送代理机构归档，谈判文件及成交人的谈判响应文件均作为合同的组成部分。</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2、所签订的合同不得对谈判文件和成交供应商的响应文件作实质性修改。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3、谈判文件、成交供应商的响应文件及澄清文件等，均作为合同的附件，是签订合同的依据。</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4、根据需要，代理机构应协助采购人监督、协调和处理履约过程中出现的问题。</w:t>
      </w:r>
    </w:p>
    <w:p>
      <w:pPr>
        <w:widowControl/>
        <w:spacing w:line="360" w:lineRule="auto"/>
        <w:ind w:firstLine="480" w:firstLineChars="200"/>
        <w:rPr>
          <w:rFonts w:ascii="宋体" w:hAnsi="宋体" w:cs="宋体"/>
          <w:sz w:val="24"/>
          <w:szCs w:val="24"/>
        </w:rPr>
      </w:pPr>
      <w:r>
        <w:rPr>
          <w:rFonts w:hint="eastAsia" w:ascii="宋体" w:hAnsi="宋体" w:cs="宋体"/>
          <w:sz w:val="24"/>
          <w:szCs w:val="24"/>
        </w:rPr>
        <w:t>5、陕西省财政厅政府采购与行政事业单位资产管理处在合同履行期间以及履行期后，可以随时检查项目的执行情况，对采购标准、采购内容进行调查核实，并对发现的问题进行处理。</w:t>
      </w:r>
    </w:p>
    <w:p>
      <w:pPr>
        <w:pStyle w:val="4"/>
        <w:rPr>
          <w:rFonts w:ascii="宋体" w:hAnsi="宋体" w:eastAsia="宋体" w:cs="宋体"/>
          <w:sz w:val="28"/>
          <w:szCs w:val="18"/>
        </w:rPr>
      </w:pPr>
      <w:bookmarkStart w:id="80" w:name="_Toc22199"/>
      <w:bookmarkStart w:id="81" w:name="_Toc28073_WPSOffice_Level2"/>
      <w:bookmarkStart w:id="82" w:name="_Toc1597"/>
      <w:bookmarkStart w:id="83" w:name="_Toc31919"/>
      <w:r>
        <w:rPr>
          <w:rFonts w:hint="eastAsia" w:ascii="宋体" w:hAnsi="宋体" w:eastAsia="宋体" w:cs="宋体"/>
          <w:sz w:val="28"/>
          <w:szCs w:val="18"/>
        </w:rPr>
        <w:t>九、成交服务费</w:t>
      </w:r>
      <w:bookmarkEnd w:id="79"/>
      <w:bookmarkEnd w:id="80"/>
      <w:bookmarkEnd w:id="81"/>
      <w:bookmarkEnd w:id="82"/>
      <w:bookmarkEnd w:id="83"/>
    </w:p>
    <w:p>
      <w:pPr>
        <w:spacing w:line="360" w:lineRule="auto"/>
        <w:ind w:firstLine="480" w:firstLineChars="200"/>
        <w:rPr>
          <w:rFonts w:ascii="宋体" w:hAnsi="宋体" w:cs="宋体"/>
          <w:sz w:val="24"/>
          <w:szCs w:val="24"/>
        </w:rPr>
      </w:pPr>
      <w:r>
        <w:rPr>
          <w:rFonts w:hint="eastAsia" w:ascii="宋体" w:hAnsi="宋体" w:cs="宋体"/>
          <w:sz w:val="24"/>
          <w:szCs w:val="24"/>
        </w:rPr>
        <w:t>1、成交供应商在领取《成交通知书》之前，应向采购代理机构缴纳成交服务费。</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2、成交服务费：参考《国家计委关于印发〈招标代理服务费管理暂行办法〉的通知》（计价格【2002】1980号）、《国家发展和改革委员会办公厅关于招标代理服务收费有关问题的通知》（发改办价格〔2003〕857号）规定，不足陆仟元按陆仟元收取,具体金额将在结果公告中公布。</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3、成交服务费，可以采取现金、支票、银行汇票、电汇、网银等方式缴纳。</w:t>
      </w:r>
    </w:p>
    <w:p>
      <w:pPr>
        <w:spacing w:line="360" w:lineRule="auto"/>
        <w:ind w:firstLine="482" w:firstLineChars="200"/>
        <w:jc w:val="left"/>
        <w:rPr>
          <w:rFonts w:ascii="宋体" w:hAnsi="宋体" w:cs="宋体"/>
          <w:b/>
          <w:sz w:val="24"/>
          <w:szCs w:val="24"/>
        </w:rPr>
      </w:pPr>
      <w:r>
        <w:rPr>
          <w:rFonts w:hint="eastAsia" w:ascii="宋体" w:hAnsi="宋体" w:cs="宋体"/>
          <w:b/>
          <w:sz w:val="24"/>
          <w:szCs w:val="24"/>
        </w:rPr>
        <w:t>招标代理服务费交纳转账信息：</w:t>
      </w:r>
    </w:p>
    <w:p>
      <w:pPr>
        <w:spacing w:line="360" w:lineRule="auto"/>
        <w:ind w:firstLine="482" w:firstLineChars="200"/>
        <w:jc w:val="left"/>
        <w:rPr>
          <w:rFonts w:ascii="宋体" w:hAnsi="宋体" w:cs="宋体"/>
          <w:b/>
          <w:sz w:val="24"/>
          <w:szCs w:val="24"/>
        </w:rPr>
      </w:pPr>
      <w:r>
        <w:rPr>
          <w:rFonts w:hint="eastAsia" w:ascii="宋体" w:hAnsi="宋体" w:cs="宋体"/>
          <w:b/>
          <w:sz w:val="24"/>
          <w:szCs w:val="24"/>
        </w:rPr>
        <w:t>银行户名：西安华力达项目管理有限公司</w:t>
      </w:r>
    </w:p>
    <w:p>
      <w:pPr>
        <w:spacing w:line="360" w:lineRule="auto"/>
        <w:ind w:firstLine="482" w:firstLineChars="200"/>
        <w:jc w:val="left"/>
        <w:rPr>
          <w:rFonts w:ascii="宋体" w:hAnsi="宋体" w:cs="宋体"/>
          <w:b/>
          <w:sz w:val="24"/>
          <w:szCs w:val="24"/>
        </w:rPr>
      </w:pPr>
      <w:r>
        <w:rPr>
          <w:rFonts w:hint="eastAsia" w:ascii="宋体" w:hAnsi="宋体" w:cs="宋体"/>
          <w:b/>
          <w:sz w:val="24"/>
          <w:szCs w:val="24"/>
        </w:rPr>
        <w:t>开户行名称：中国建设银行股份有限公司西安长安西路支行</w:t>
      </w:r>
    </w:p>
    <w:p>
      <w:pPr>
        <w:spacing w:line="360" w:lineRule="auto"/>
        <w:ind w:firstLine="482" w:firstLineChars="200"/>
        <w:jc w:val="left"/>
        <w:rPr>
          <w:rFonts w:ascii="宋体" w:hAnsi="宋体" w:cs="宋体"/>
          <w:b/>
          <w:sz w:val="24"/>
          <w:szCs w:val="24"/>
        </w:rPr>
      </w:pPr>
      <w:r>
        <w:rPr>
          <w:rFonts w:hint="eastAsia" w:ascii="宋体" w:hAnsi="宋体" w:cs="宋体"/>
          <w:b/>
          <w:sz w:val="24"/>
          <w:szCs w:val="24"/>
        </w:rPr>
        <w:t>账      号：61050177004300000418</w:t>
      </w:r>
    </w:p>
    <w:p>
      <w:pPr>
        <w:spacing w:line="360" w:lineRule="auto"/>
        <w:ind w:firstLine="480" w:firstLineChars="200"/>
        <w:jc w:val="left"/>
        <w:rPr>
          <w:rFonts w:ascii="宋体" w:hAnsi="宋体" w:cs="宋体"/>
          <w:b/>
          <w:sz w:val="24"/>
          <w:szCs w:val="24"/>
        </w:rPr>
      </w:pPr>
      <w:r>
        <w:rPr>
          <w:rFonts w:hint="eastAsia" w:ascii="宋体" w:hAnsi="宋体" w:cs="宋体"/>
          <w:sz w:val="24"/>
          <w:szCs w:val="24"/>
        </w:rPr>
        <w:t>供应商应将成交服务费计算入谈判总报价，但不在分项报价中单独列出</w:t>
      </w:r>
    </w:p>
    <w:p>
      <w:pPr>
        <w:pStyle w:val="4"/>
        <w:spacing w:before="10" w:after="10" w:line="360" w:lineRule="auto"/>
        <w:rPr>
          <w:rFonts w:ascii="宋体" w:hAnsi="宋体" w:eastAsia="宋体" w:cs="宋体"/>
          <w:sz w:val="28"/>
          <w:szCs w:val="28"/>
        </w:rPr>
      </w:pPr>
      <w:bookmarkStart w:id="84" w:name="_Toc18981"/>
      <w:bookmarkStart w:id="85" w:name="_Toc3588"/>
      <w:bookmarkStart w:id="86" w:name="_Toc7752_WPSOffice_Level2"/>
      <w:r>
        <w:rPr>
          <w:rFonts w:hint="eastAsia" w:ascii="宋体" w:hAnsi="宋体" w:eastAsia="宋体" w:cs="宋体"/>
          <w:sz w:val="28"/>
          <w:szCs w:val="28"/>
        </w:rPr>
        <w:t>十、采购项目需要落实的政府采购政策</w:t>
      </w:r>
      <w:bookmarkEnd w:id="84"/>
      <w:bookmarkEnd w:id="85"/>
      <w:bookmarkEnd w:id="86"/>
    </w:p>
    <w:p>
      <w:pPr>
        <w:spacing w:line="360" w:lineRule="auto"/>
        <w:ind w:firstLine="482" w:firstLineChars="200"/>
        <w:rPr>
          <w:rFonts w:ascii="宋体" w:hAnsi="宋体" w:cs="宋体"/>
          <w:b/>
          <w:sz w:val="24"/>
          <w:szCs w:val="24"/>
        </w:rPr>
      </w:pPr>
      <w:r>
        <w:rPr>
          <w:rFonts w:hint="eastAsia" w:ascii="宋体" w:hAnsi="宋体" w:cs="宋体"/>
          <w:b/>
          <w:sz w:val="24"/>
          <w:szCs w:val="24"/>
        </w:rPr>
        <w:t>1.《政府采购促进中小企业发展暂行办法》的通知--财库[2011]181号</w:t>
      </w:r>
    </w:p>
    <w:p>
      <w:pPr>
        <w:spacing w:line="360" w:lineRule="auto"/>
        <w:ind w:firstLine="480" w:firstLineChars="200"/>
        <w:rPr>
          <w:rFonts w:ascii="宋体" w:hAnsi="宋体" w:cs="宋体"/>
          <w:sz w:val="24"/>
          <w:szCs w:val="24"/>
        </w:rPr>
      </w:pPr>
      <w:r>
        <w:rPr>
          <w:rFonts w:hint="eastAsia" w:ascii="宋体" w:hAnsi="宋体" w:cs="宋体"/>
          <w:sz w:val="24"/>
          <w:szCs w:val="24"/>
        </w:rPr>
        <w:t>根据《政府采购促进中小企业发展暂行办法》（财库（2011）181号）规定，参加政府采购活动的中小企业应当提供《中小企业声明函》。供应商提供的《中小企业声明函》资料必须真实，否则，按照有关规定予以处理。</w:t>
      </w:r>
    </w:p>
    <w:p>
      <w:pPr>
        <w:spacing w:line="360" w:lineRule="auto"/>
        <w:ind w:firstLine="480" w:firstLineChars="200"/>
        <w:rPr>
          <w:rFonts w:ascii="宋体" w:hAnsi="宋体" w:cs="宋体"/>
          <w:sz w:val="24"/>
          <w:szCs w:val="24"/>
        </w:rPr>
      </w:pPr>
      <w:r>
        <w:rPr>
          <w:rFonts w:hint="eastAsia" w:ascii="宋体" w:hAnsi="宋体" w:cs="宋体"/>
          <w:sz w:val="24"/>
          <w:szCs w:val="24"/>
        </w:rPr>
        <w:t>谈判小组对供应商提供的《中小企业声明函》进行核实后，根据《政府采购促进中小企业发展暂行办法》的相关规定，对小型和微型企业制造（生产）的价格给予6%的扣除，用扣除后的价格参与评审。</w:t>
      </w:r>
    </w:p>
    <w:p>
      <w:pPr>
        <w:spacing w:line="360" w:lineRule="auto"/>
        <w:ind w:firstLine="480" w:firstLineChars="200"/>
        <w:rPr>
          <w:rFonts w:ascii="宋体" w:hAnsi="宋体" w:cs="宋体"/>
          <w:sz w:val="24"/>
          <w:szCs w:val="24"/>
        </w:rPr>
      </w:pPr>
      <w:r>
        <w:rPr>
          <w:rFonts w:hint="eastAsia" w:ascii="宋体" w:hAnsi="宋体" w:cs="宋体"/>
          <w:sz w:val="24"/>
          <w:szCs w:val="24"/>
        </w:rPr>
        <w:t>小企业（含小微、微型企业）应当同时符合以下条件：（1）供应商为小企业，且符合中小企业划分标准；（2）提供本企业制造的货物、承担的工程或者服务，或者提供其他小企业制造的货物。如果提供的货物为大型企业注册商标的货物，视同大中型企业。</w:t>
      </w:r>
    </w:p>
    <w:p>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 xml:space="preserve">2.财政部司法部关于政府采购支持监狱企业发展有关问题的通知—财库〔2014〕68号 </w:t>
      </w:r>
    </w:p>
    <w:p>
      <w:pPr>
        <w:spacing w:line="360" w:lineRule="auto"/>
        <w:ind w:firstLine="480" w:firstLineChars="200"/>
        <w:rPr>
          <w:rFonts w:ascii="宋体" w:hAnsi="宋体" w:cs="宋体"/>
          <w:sz w:val="24"/>
          <w:szCs w:val="24"/>
        </w:rPr>
      </w:pPr>
      <w:r>
        <w:rPr>
          <w:rFonts w:hint="eastAsia" w:ascii="宋体" w:hAnsi="宋体" w:cs="宋体"/>
          <w:sz w:val="24"/>
          <w:szCs w:val="24"/>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pacing w:line="360" w:lineRule="auto"/>
        <w:ind w:firstLine="480" w:firstLineChars="200"/>
        <w:rPr>
          <w:rFonts w:ascii="宋体" w:hAnsi="宋体" w:cs="宋体"/>
          <w:sz w:val="24"/>
          <w:szCs w:val="24"/>
        </w:rPr>
      </w:pPr>
      <w:r>
        <w:rPr>
          <w:rFonts w:hint="eastAsia" w:ascii="宋体" w:hAnsi="宋体" w:cs="宋体"/>
          <w:sz w:val="24"/>
          <w:szCs w:val="24"/>
        </w:rPr>
        <w:t>谈判小组对监狱企业的价格给予6%的扣除，用扣除后的价格参与评审。</w:t>
      </w:r>
    </w:p>
    <w:p>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3.《关于政府采购优先购买福利性企业产品和服务的意见》（陕民发（2015）1号）</w:t>
      </w:r>
    </w:p>
    <w:p>
      <w:pPr>
        <w:spacing w:line="360" w:lineRule="auto"/>
        <w:ind w:firstLine="480" w:firstLineChars="200"/>
        <w:rPr>
          <w:rFonts w:ascii="宋体" w:hAnsi="宋体" w:cs="宋体"/>
          <w:sz w:val="24"/>
          <w:szCs w:val="24"/>
        </w:rPr>
      </w:pPr>
      <w:r>
        <w:rPr>
          <w:rFonts w:hint="eastAsia" w:ascii="宋体" w:hAnsi="宋体" w:cs="宋体"/>
          <w:sz w:val="24"/>
          <w:szCs w:val="24"/>
        </w:rPr>
        <w:t>根据《关于政府采购优先购买福利性企业产品和服务的意见》（陕民发（2015）1号）规定，在政府采购活动中，本省福利性企业享受我省规定的采购扶持政策。</w:t>
      </w:r>
    </w:p>
    <w:p>
      <w:pPr>
        <w:spacing w:line="360" w:lineRule="auto"/>
        <w:ind w:firstLine="480" w:firstLineChars="200"/>
        <w:rPr>
          <w:rFonts w:ascii="宋体" w:hAnsi="宋体" w:cs="宋体"/>
          <w:sz w:val="24"/>
          <w:szCs w:val="24"/>
        </w:rPr>
      </w:pPr>
      <w:r>
        <w:rPr>
          <w:rFonts w:hint="eastAsia" w:ascii="宋体" w:hAnsi="宋体" w:cs="宋体"/>
          <w:sz w:val="24"/>
          <w:szCs w:val="24"/>
        </w:rPr>
        <w:t>谈判小组对供应商提供的福利企业的承诺函进行核实后，根据相关规定，对福利企业的价格给予6%的扣除，用扣除后的价格参与评审。</w:t>
      </w:r>
    </w:p>
    <w:p>
      <w:pPr>
        <w:spacing w:line="360" w:lineRule="auto"/>
        <w:ind w:firstLine="482" w:firstLineChars="200"/>
        <w:rPr>
          <w:rFonts w:ascii="宋体" w:hAnsi="宋体" w:cs="宋体"/>
          <w:b/>
          <w:color w:val="000000"/>
          <w:kern w:val="0"/>
          <w:sz w:val="24"/>
          <w:szCs w:val="24"/>
        </w:rPr>
      </w:pPr>
      <w:r>
        <w:rPr>
          <w:rFonts w:hint="eastAsia" w:ascii="宋体" w:hAnsi="宋体" w:cs="宋体"/>
          <w:b/>
          <w:color w:val="000000"/>
          <w:kern w:val="0"/>
          <w:sz w:val="24"/>
          <w:szCs w:val="24"/>
        </w:rPr>
        <w:t>4.《国务院办公厅关于建立政府强制采购节能产品制度的通知》—国办发〔2007〕51号</w:t>
      </w:r>
    </w:p>
    <w:p>
      <w:pPr>
        <w:spacing w:line="360" w:lineRule="auto"/>
        <w:ind w:firstLine="480" w:firstLineChars="200"/>
        <w:rPr>
          <w:rFonts w:ascii="宋体" w:hAnsi="宋体" w:cs="宋体"/>
          <w:sz w:val="24"/>
          <w:szCs w:val="24"/>
        </w:rPr>
      </w:pPr>
      <w:r>
        <w:rPr>
          <w:rFonts w:hint="eastAsia" w:ascii="宋体" w:hAnsi="宋体" w:cs="宋体"/>
          <w:sz w:val="24"/>
          <w:szCs w:val="24"/>
        </w:rPr>
        <w:t>各级政府机构使用财政性资金进行政府采购活动时，在技术、服务等指标满足采购需求的前提下，要优先采购节能产品，对部分节能效果、性能等达到要求的产品，实行强制采购。</w:t>
      </w:r>
    </w:p>
    <w:p>
      <w:pPr>
        <w:spacing w:line="360" w:lineRule="auto"/>
        <w:ind w:firstLine="482" w:firstLineChars="200"/>
        <w:rPr>
          <w:rFonts w:ascii="宋体" w:hAnsi="宋体" w:cs="宋体"/>
          <w:b/>
          <w:sz w:val="24"/>
          <w:szCs w:val="24"/>
        </w:rPr>
      </w:pPr>
      <w:r>
        <w:rPr>
          <w:rFonts w:hint="eastAsia" w:ascii="宋体" w:hAnsi="宋体" w:cs="宋体"/>
          <w:b/>
          <w:sz w:val="24"/>
          <w:szCs w:val="24"/>
        </w:rPr>
        <w:t xml:space="preserve">5.《节能产品政府采购实施意见》--（财库[2004]185号） </w:t>
      </w:r>
    </w:p>
    <w:p>
      <w:pPr>
        <w:spacing w:line="360" w:lineRule="auto"/>
        <w:ind w:firstLine="480" w:firstLineChars="200"/>
        <w:rPr>
          <w:rFonts w:ascii="宋体" w:hAnsi="宋体" w:cs="宋体"/>
          <w:sz w:val="24"/>
          <w:szCs w:val="24"/>
        </w:rPr>
      </w:pPr>
      <w:r>
        <w:rPr>
          <w:rFonts w:hint="eastAsia" w:ascii="宋体" w:hAnsi="宋体" w:cs="宋体"/>
          <w:sz w:val="24"/>
          <w:szCs w:val="24"/>
        </w:rPr>
        <w:t>根据《节能产品政府采购实施意见》--（财库[2004]185号）规定，采购人采购的产品在</w:t>
      </w:r>
      <w:r>
        <w:rPr>
          <w:rFonts w:hint="eastAsia" w:ascii="宋体" w:hAnsi="宋体" w:cs="宋体"/>
          <w:color w:val="000000"/>
          <w:sz w:val="24"/>
          <w:szCs w:val="24"/>
        </w:rPr>
        <w:t>品目清单中并具有认证证书的，</w:t>
      </w:r>
      <w:r>
        <w:rPr>
          <w:rFonts w:hint="eastAsia" w:ascii="宋体" w:hAnsi="宋体" w:cs="宋体"/>
          <w:sz w:val="24"/>
          <w:szCs w:val="24"/>
        </w:rPr>
        <w:t>在技术、服务等指标同等条件下，应当优先采购节能清单所列的节能产品。</w:t>
      </w:r>
    </w:p>
    <w:p>
      <w:pPr>
        <w:spacing w:line="360" w:lineRule="auto"/>
        <w:ind w:firstLine="480" w:firstLineChars="200"/>
        <w:rPr>
          <w:rFonts w:ascii="宋体" w:hAnsi="宋体" w:cs="宋体"/>
          <w:sz w:val="24"/>
          <w:szCs w:val="24"/>
        </w:rPr>
      </w:pPr>
      <w:r>
        <w:rPr>
          <w:rFonts w:hint="eastAsia" w:ascii="宋体" w:hAnsi="宋体" w:cs="宋体"/>
          <w:sz w:val="24"/>
          <w:szCs w:val="24"/>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pacing w:line="360" w:lineRule="auto"/>
        <w:ind w:firstLine="482" w:firstLineChars="200"/>
        <w:rPr>
          <w:rFonts w:ascii="宋体" w:hAnsi="宋体" w:cs="宋体"/>
          <w:b/>
          <w:sz w:val="24"/>
          <w:szCs w:val="24"/>
        </w:rPr>
      </w:pPr>
      <w:r>
        <w:rPr>
          <w:rFonts w:hint="eastAsia" w:ascii="宋体" w:hAnsi="宋体" w:cs="宋体"/>
          <w:b/>
          <w:sz w:val="24"/>
          <w:szCs w:val="24"/>
        </w:rPr>
        <w:t>6.《环境标志产品政府采购实施的意见》--财库[2006]90号</w:t>
      </w:r>
    </w:p>
    <w:p>
      <w:pPr>
        <w:spacing w:line="360" w:lineRule="auto"/>
        <w:ind w:firstLine="480" w:firstLineChars="200"/>
        <w:rPr>
          <w:rFonts w:ascii="宋体" w:hAnsi="宋体" w:cs="宋体"/>
          <w:sz w:val="24"/>
          <w:szCs w:val="24"/>
        </w:rPr>
      </w:pPr>
      <w:r>
        <w:rPr>
          <w:rFonts w:hint="eastAsia" w:ascii="宋体" w:hAnsi="宋体" w:cs="宋体"/>
          <w:sz w:val="24"/>
          <w:szCs w:val="24"/>
        </w:rPr>
        <w:t>根据《环境标志产品政府采购实施的意见》--财库[2006]90号规定，采购人采购的产品在</w:t>
      </w:r>
      <w:r>
        <w:rPr>
          <w:rFonts w:hint="eastAsia" w:ascii="宋体" w:hAnsi="宋体" w:cs="宋体"/>
          <w:color w:val="000000"/>
          <w:sz w:val="24"/>
          <w:szCs w:val="24"/>
        </w:rPr>
        <w:t>品目清单中并具有认证证书的</w:t>
      </w:r>
      <w:r>
        <w:rPr>
          <w:rFonts w:hint="eastAsia" w:ascii="宋体" w:hAnsi="宋体" w:cs="宋体"/>
          <w:sz w:val="24"/>
          <w:szCs w:val="24"/>
        </w:rPr>
        <w:t>，在性能、技术、服务等指标同等条件下，应当优先采购清单中的产品。</w:t>
      </w:r>
    </w:p>
    <w:p>
      <w:pPr>
        <w:spacing w:line="360" w:lineRule="auto"/>
        <w:ind w:firstLine="480" w:firstLineChars="200"/>
        <w:rPr>
          <w:rFonts w:ascii="宋体" w:hAnsi="宋体" w:cs="宋体"/>
          <w:sz w:val="24"/>
          <w:szCs w:val="24"/>
        </w:rPr>
      </w:pPr>
      <w:r>
        <w:rPr>
          <w:rFonts w:hint="eastAsia" w:ascii="宋体" w:hAnsi="宋体" w:cs="宋体"/>
          <w:sz w:val="24"/>
          <w:szCs w:val="24"/>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pacing w:line="360" w:lineRule="auto"/>
        <w:ind w:firstLine="482" w:firstLineChars="200"/>
        <w:rPr>
          <w:rFonts w:ascii="宋体" w:hAnsi="宋体" w:cs="宋体"/>
          <w:b/>
          <w:kern w:val="0"/>
          <w:sz w:val="24"/>
          <w:szCs w:val="24"/>
        </w:rPr>
      </w:pPr>
      <w:r>
        <w:rPr>
          <w:rFonts w:hint="eastAsia" w:ascii="宋体" w:hAnsi="宋体" w:cs="宋体"/>
          <w:b/>
          <w:kern w:val="0"/>
          <w:sz w:val="24"/>
          <w:szCs w:val="24"/>
        </w:rPr>
        <w:t>7.《关于促进残疾人就业政府采购政策的通知》财库〔2017〕141号</w:t>
      </w:r>
    </w:p>
    <w:p>
      <w:pPr>
        <w:spacing w:line="360" w:lineRule="auto"/>
        <w:ind w:firstLine="480" w:firstLineChars="200"/>
        <w:rPr>
          <w:rFonts w:ascii="宋体" w:hAnsi="宋体" w:cs="宋体"/>
          <w:sz w:val="24"/>
          <w:szCs w:val="24"/>
        </w:rPr>
      </w:pPr>
      <w:r>
        <w:rPr>
          <w:rFonts w:hint="eastAsia" w:ascii="宋体" w:hAnsi="宋体" w:cs="宋体"/>
          <w:sz w:val="24"/>
          <w:szCs w:val="24"/>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8.《关于运用政府采购政策支持乡村产业振兴的通知》（财库〔2021〕19号）</w:t>
      </w:r>
    </w:p>
    <w:p>
      <w:pPr>
        <w:spacing w:line="360" w:lineRule="auto"/>
        <w:ind w:firstLine="480" w:firstLineChars="200"/>
        <w:rPr>
          <w:rFonts w:ascii="宋体" w:hAnsi="宋体" w:cs="宋体"/>
          <w:sz w:val="24"/>
          <w:szCs w:val="24"/>
        </w:rPr>
      </w:pPr>
      <w:r>
        <w:rPr>
          <w:rFonts w:hint="eastAsia" w:ascii="宋体" w:hAnsi="宋体" w:cs="宋体"/>
          <w:sz w:val="24"/>
          <w:szCs w:val="24"/>
        </w:rPr>
        <w:t>充分认识运用好政府采购政策支持打赢脱贫攻坚战的重要性，鼓励采用优先采购、预留采购份额方式采购贫困地区农副产品，鼓励优先采购聘用建档立卡贫困人员物业公司提供的物业服务。</w:t>
      </w:r>
    </w:p>
    <w:p>
      <w:pPr>
        <w:pStyle w:val="4"/>
        <w:rPr>
          <w:rFonts w:ascii="宋体" w:hAnsi="宋体" w:eastAsia="宋体" w:cs="宋体"/>
          <w:sz w:val="28"/>
          <w:szCs w:val="18"/>
        </w:rPr>
      </w:pPr>
      <w:bookmarkStart w:id="87" w:name="_Toc16436"/>
      <w:bookmarkStart w:id="88" w:name="_Toc9935"/>
      <w:bookmarkStart w:id="89" w:name="_Toc25014"/>
      <w:bookmarkStart w:id="90" w:name="_Toc17689_WPSOffice_Level2"/>
      <w:r>
        <w:rPr>
          <w:rFonts w:hint="eastAsia" w:ascii="宋体" w:hAnsi="宋体" w:eastAsia="宋体" w:cs="宋体"/>
          <w:sz w:val="28"/>
          <w:szCs w:val="18"/>
        </w:rPr>
        <w:t>十一、质疑与投诉</w:t>
      </w:r>
      <w:bookmarkEnd w:id="87"/>
      <w:bookmarkEnd w:id="88"/>
      <w:bookmarkEnd w:id="89"/>
      <w:bookmarkEnd w:id="90"/>
    </w:p>
    <w:p>
      <w:pPr>
        <w:autoSpaceDE w:val="0"/>
        <w:autoSpaceDN w:val="0"/>
        <w:adjustRightInd w:val="0"/>
        <w:spacing w:line="360" w:lineRule="auto"/>
        <w:ind w:firstLine="482" w:firstLineChars="200"/>
        <w:outlineLvl w:val="2"/>
        <w:rPr>
          <w:rFonts w:ascii="宋体" w:hAnsi="宋体" w:cs="宋体"/>
          <w:b/>
          <w:sz w:val="24"/>
          <w:szCs w:val="24"/>
        </w:rPr>
      </w:pPr>
      <w:r>
        <w:rPr>
          <w:rFonts w:hint="eastAsia" w:ascii="宋体" w:hAnsi="宋体" w:cs="宋体"/>
          <w:b/>
          <w:sz w:val="24"/>
          <w:szCs w:val="24"/>
        </w:rPr>
        <w:t>11.1 质疑</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 xml:space="preserve">.1.1 </w:t>
      </w:r>
      <w:r>
        <w:rPr>
          <w:rFonts w:hint="eastAsia" w:ascii="宋体" w:hAnsi="宋体" w:cs="宋体"/>
          <w:sz w:val="24"/>
          <w:szCs w:val="24"/>
        </w:rPr>
        <w:t>供应商</w:t>
      </w:r>
      <w:r>
        <w:rPr>
          <w:rFonts w:hint="eastAsia" w:ascii="宋体" w:hAnsi="宋体" w:cs="宋体"/>
          <w:sz w:val="24"/>
          <w:szCs w:val="24"/>
          <w:lang w:val="zh-CN"/>
        </w:rPr>
        <w:t>认为谈判文件、采购过程和</w:t>
      </w:r>
      <w:r>
        <w:rPr>
          <w:rFonts w:hint="eastAsia" w:ascii="宋体" w:hAnsi="宋体" w:cs="宋体"/>
          <w:sz w:val="24"/>
          <w:szCs w:val="24"/>
        </w:rPr>
        <w:t>成交</w:t>
      </w:r>
      <w:r>
        <w:rPr>
          <w:rFonts w:hint="eastAsia" w:ascii="宋体" w:hAnsi="宋体" w:cs="宋体"/>
          <w:sz w:val="24"/>
          <w:szCs w:val="24"/>
          <w:lang w:val="zh-CN"/>
        </w:rPr>
        <w:t>结果使自己的权益受到损害的，可以在知道或者应知其权益受到损害之日起七个工作日内，以书面形式向采购人提出质疑。</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.1.2 提出质疑的应当是参与所质疑项目采购活动的</w:t>
      </w:r>
      <w:r>
        <w:rPr>
          <w:rFonts w:hint="eastAsia" w:ascii="宋体" w:hAnsi="宋体" w:cs="宋体"/>
          <w:sz w:val="24"/>
          <w:szCs w:val="24"/>
        </w:rPr>
        <w:t>供应商</w:t>
      </w:r>
      <w:r>
        <w:rPr>
          <w:rFonts w:hint="eastAsia" w:ascii="宋体" w:hAnsi="宋体" w:cs="宋体"/>
          <w:sz w:val="24"/>
          <w:szCs w:val="24"/>
          <w:lang w:val="zh-CN"/>
        </w:rPr>
        <w:t>。</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.1.3 提出质疑应当提交质疑函和必要的证明材料。质疑函应当包括下列内容：</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供应商</w:t>
      </w:r>
      <w:r>
        <w:rPr>
          <w:rFonts w:hint="eastAsia" w:ascii="宋体" w:hAnsi="宋体" w:cs="宋体"/>
          <w:sz w:val="24"/>
          <w:szCs w:val="24"/>
          <w:lang w:val="zh-CN"/>
        </w:rPr>
        <w:t>的姓名或者名称、地址、邮编、联系人及联系电话；</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（2）质疑项目的名称、编号；</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（3）具体、明确的质疑事项和与质疑事项相关的请求；</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（4）事实依据；</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（5）必要的法律依据；</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（6）提出质疑的日期。</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rPr>
        <w:t>供应商</w:t>
      </w:r>
      <w:r>
        <w:rPr>
          <w:rFonts w:hint="eastAsia" w:ascii="宋体" w:hAnsi="宋体" w:cs="宋体"/>
          <w:sz w:val="24"/>
          <w:szCs w:val="24"/>
          <w:lang w:val="zh-CN"/>
        </w:rPr>
        <w:t>为自然人的，应当由本人签字；</w:t>
      </w:r>
      <w:r>
        <w:rPr>
          <w:rFonts w:hint="eastAsia" w:ascii="宋体" w:hAnsi="宋体" w:cs="宋体"/>
          <w:sz w:val="24"/>
          <w:szCs w:val="24"/>
        </w:rPr>
        <w:t>供应商</w:t>
      </w:r>
      <w:r>
        <w:rPr>
          <w:rFonts w:hint="eastAsia" w:ascii="宋体" w:hAnsi="宋体" w:cs="宋体"/>
          <w:sz w:val="24"/>
          <w:szCs w:val="24"/>
          <w:lang w:val="zh-CN"/>
        </w:rPr>
        <w:t>为法人或者其他组织的，应当由法定代表人、主要负责人，或者其授权代表签字或者盖章，并加盖公章。</w:t>
      </w:r>
    </w:p>
    <w:p>
      <w:pPr>
        <w:autoSpaceDE w:val="0"/>
        <w:autoSpaceDN w:val="0"/>
        <w:adjustRightInd w:val="0"/>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 xml:space="preserve">.1.4 </w:t>
      </w:r>
      <w:r>
        <w:rPr>
          <w:rFonts w:hint="eastAsia" w:ascii="宋体" w:hAnsi="宋体" w:cs="宋体"/>
          <w:sz w:val="24"/>
          <w:szCs w:val="24"/>
        </w:rPr>
        <w:t>供应商</w:t>
      </w:r>
      <w:r>
        <w:rPr>
          <w:rFonts w:hint="eastAsia" w:ascii="宋体" w:hAnsi="宋体" w:cs="宋体"/>
          <w:sz w:val="24"/>
          <w:szCs w:val="24"/>
          <w:lang w:val="zh-CN"/>
        </w:rPr>
        <w:t>可以委托代理人进行质疑和投诉。其授权委托书应当载明代理人的姓名或者名称、代理事项、具体权限、期限和相关事项。</w:t>
      </w:r>
      <w:r>
        <w:rPr>
          <w:rFonts w:hint="eastAsia" w:ascii="宋体" w:hAnsi="宋体" w:cs="宋体"/>
          <w:sz w:val="24"/>
          <w:szCs w:val="24"/>
        </w:rPr>
        <w:t>供应商</w:t>
      </w:r>
      <w:r>
        <w:rPr>
          <w:rFonts w:hint="eastAsia" w:ascii="宋体" w:hAnsi="宋体" w:cs="宋体"/>
          <w:sz w:val="24"/>
          <w:szCs w:val="24"/>
          <w:lang w:val="zh-CN"/>
        </w:rPr>
        <w:t>为自然人的，应当由本人签字；</w:t>
      </w:r>
      <w:r>
        <w:rPr>
          <w:rFonts w:hint="eastAsia" w:ascii="宋体" w:hAnsi="宋体" w:cs="宋体"/>
          <w:sz w:val="24"/>
          <w:szCs w:val="24"/>
        </w:rPr>
        <w:t>供应商</w:t>
      </w:r>
      <w:r>
        <w:rPr>
          <w:rFonts w:hint="eastAsia" w:ascii="宋体" w:hAnsi="宋体" w:cs="宋体"/>
          <w:sz w:val="24"/>
          <w:szCs w:val="24"/>
          <w:lang w:val="zh-CN"/>
        </w:rPr>
        <w:t>为法人或者其他组织的，应当由法定代表人、主要负责人签字或者盖章，并加盖公章。代理人提出质疑和投诉，应当提交</w:t>
      </w:r>
      <w:r>
        <w:rPr>
          <w:rFonts w:hint="eastAsia" w:ascii="宋体" w:hAnsi="宋体" w:cs="宋体"/>
          <w:sz w:val="24"/>
          <w:szCs w:val="24"/>
        </w:rPr>
        <w:t>供应商</w:t>
      </w:r>
      <w:r>
        <w:rPr>
          <w:rFonts w:hint="eastAsia" w:ascii="宋体" w:hAnsi="宋体" w:cs="宋体"/>
          <w:sz w:val="24"/>
          <w:szCs w:val="24"/>
          <w:lang w:val="zh-CN"/>
        </w:rPr>
        <w:t>签署的授权委托书。</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 xml:space="preserve">.1.5 </w:t>
      </w:r>
      <w:r>
        <w:rPr>
          <w:rFonts w:hint="eastAsia" w:ascii="宋体" w:hAnsi="宋体" w:cs="宋体"/>
          <w:sz w:val="24"/>
          <w:szCs w:val="24"/>
        </w:rPr>
        <w:t>有下列情形之一的，属于无效质疑：</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①质疑人不是参与本次政府采购项目的服务商或潜在服务商；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②质疑人与质疑事项不存在利害关系的；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③未在法定期限内提出质疑的；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④质疑未以书面形式提出，或质疑函主要内容构成不完整的；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⑤质疑函没有合法有效的签字、盖章或授权的；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⑥以非法手段取得证据、材料的；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⑦质疑答复后，同一质疑人就同一事项再次提出质疑的；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⑧不符合法律、法规、规章和政府采购监管机构规定的其他条件的。</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 xml:space="preserve">.1.6 </w:t>
      </w:r>
      <w:r>
        <w:rPr>
          <w:rFonts w:hint="eastAsia" w:ascii="宋体" w:hAnsi="宋体" w:cs="宋体"/>
          <w:sz w:val="24"/>
          <w:szCs w:val="24"/>
        </w:rPr>
        <w:t>符合要求的质疑，采购代理机构将予以受理并答复，具体联系方式如下：</w:t>
      </w:r>
    </w:p>
    <w:p>
      <w:pPr>
        <w:autoSpaceDE w:val="0"/>
        <w:autoSpaceDN w:val="0"/>
        <w:adjustRightInd w:val="0"/>
        <w:spacing w:line="360" w:lineRule="auto"/>
        <w:ind w:firstLine="480" w:firstLineChars="200"/>
        <w:rPr>
          <w:rFonts w:ascii="宋体" w:hAnsi="宋体" w:cs="宋体"/>
          <w:sz w:val="24"/>
          <w:szCs w:val="24"/>
          <w:u w:val="single"/>
        </w:rPr>
      </w:pPr>
      <w:r>
        <w:rPr>
          <w:rFonts w:hint="eastAsia" w:ascii="宋体" w:hAnsi="宋体" w:cs="宋体"/>
          <w:sz w:val="24"/>
          <w:szCs w:val="24"/>
        </w:rPr>
        <w:t>联系人：张思瑶</w:t>
      </w:r>
    </w:p>
    <w:p>
      <w:pPr>
        <w:autoSpaceDE w:val="0"/>
        <w:autoSpaceDN w:val="0"/>
        <w:adjustRightInd w:val="0"/>
        <w:spacing w:line="360" w:lineRule="auto"/>
        <w:ind w:firstLine="480" w:firstLineChars="200"/>
        <w:rPr>
          <w:rFonts w:ascii="宋体" w:hAnsi="宋体" w:cs="宋体"/>
          <w:sz w:val="24"/>
          <w:szCs w:val="24"/>
          <w:u w:val="single"/>
        </w:rPr>
      </w:pPr>
      <w:r>
        <w:rPr>
          <w:rFonts w:hint="eastAsia" w:ascii="宋体" w:hAnsi="宋体" w:cs="宋体"/>
          <w:sz w:val="24"/>
          <w:szCs w:val="24"/>
        </w:rPr>
        <w:t>联系电话：029-89666676</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地址：西安市经济技术开发区凤城八路168号西北国金中心F座5楼</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lang w:val="zh-CN"/>
        </w:rPr>
        <w:t>1</w:t>
      </w:r>
      <w:r>
        <w:rPr>
          <w:rFonts w:hint="eastAsia" w:ascii="宋体" w:hAnsi="宋体" w:cs="宋体"/>
          <w:sz w:val="24"/>
          <w:szCs w:val="24"/>
        </w:rPr>
        <w:t>1</w:t>
      </w:r>
      <w:r>
        <w:rPr>
          <w:rFonts w:hint="eastAsia" w:ascii="宋体" w:hAnsi="宋体" w:cs="宋体"/>
          <w:sz w:val="24"/>
          <w:szCs w:val="24"/>
          <w:lang w:val="zh-CN"/>
        </w:rPr>
        <w:t xml:space="preserve">.1.7 </w:t>
      </w:r>
      <w:r>
        <w:rPr>
          <w:rFonts w:hint="eastAsia" w:ascii="宋体" w:hAnsi="宋体" w:cs="宋体"/>
          <w:sz w:val="24"/>
          <w:szCs w:val="24"/>
        </w:rPr>
        <w:t>采购代理机构或采购人将在收到书面质疑后7个工作日内做出答复，并以书面形式通知质疑人和其他有关供应商。</w:t>
      </w:r>
    </w:p>
    <w:p>
      <w:pPr>
        <w:autoSpaceDE w:val="0"/>
        <w:autoSpaceDN w:val="0"/>
        <w:adjustRightInd w:val="0"/>
        <w:spacing w:line="360" w:lineRule="auto"/>
        <w:ind w:firstLine="482" w:firstLineChars="200"/>
        <w:outlineLvl w:val="2"/>
        <w:rPr>
          <w:rFonts w:ascii="宋体" w:hAnsi="宋体" w:cs="宋体"/>
          <w:b/>
          <w:sz w:val="24"/>
          <w:szCs w:val="24"/>
        </w:rPr>
      </w:pPr>
      <w:r>
        <w:rPr>
          <w:rFonts w:hint="eastAsia" w:ascii="宋体" w:hAnsi="宋体" w:cs="宋体"/>
          <w:b/>
          <w:sz w:val="24"/>
          <w:szCs w:val="24"/>
        </w:rPr>
        <w:t>11.2 投诉</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11.2.1 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11.2.2 投诉的事项不得超出已质疑事项的范围。</w:t>
      </w:r>
    </w:p>
    <w:p>
      <w:pPr>
        <w:autoSpaceDE w:val="0"/>
        <w:autoSpaceDN w:val="0"/>
        <w:adjustRightInd w:val="0"/>
        <w:spacing w:line="360" w:lineRule="auto"/>
        <w:ind w:firstLine="482" w:firstLineChars="200"/>
        <w:rPr>
          <w:rFonts w:ascii="宋体" w:hAnsi="宋体" w:cs="宋体"/>
          <w:b/>
          <w:sz w:val="36"/>
          <w:szCs w:val="36"/>
        </w:rPr>
      </w:pPr>
      <w:r>
        <w:rPr>
          <w:rFonts w:hint="eastAsia" w:ascii="宋体" w:hAnsi="宋体" w:cs="宋体"/>
          <w:b/>
          <w:sz w:val="24"/>
          <w:szCs w:val="24"/>
        </w:rPr>
        <w:t>11.2.3 供应商在全国范围12个月内三次以上投诉查无实据的，由财政部门列入不良行为记录名单。供应商捏造事实、提供虚假材料或者以非法手段取得证明材料进行投诉的，由财政部门列入不良行为记录名单，禁止其1至3年内参加政府采购活动。</w:t>
      </w:r>
      <w:r>
        <w:rPr>
          <w:rFonts w:hint="eastAsia" w:ascii="宋体" w:hAnsi="宋体" w:cs="宋体"/>
          <w:b/>
          <w:sz w:val="36"/>
          <w:szCs w:val="36"/>
        </w:rPr>
        <w:br w:type="page"/>
      </w:r>
    </w:p>
    <w:p>
      <w:pPr>
        <w:autoSpaceDE w:val="0"/>
        <w:autoSpaceDN w:val="0"/>
        <w:adjustRightInd w:val="0"/>
        <w:spacing w:line="360" w:lineRule="auto"/>
        <w:ind w:firstLine="643" w:firstLineChars="200"/>
        <w:jc w:val="center"/>
        <w:outlineLvl w:val="0"/>
        <w:rPr>
          <w:rFonts w:ascii="宋体" w:hAnsi="宋体" w:cs="宋体"/>
          <w:sz w:val="24"/>
          <w:szCs w:val="24"/>
        </w:rPr>
      </w:pPr>
      <w:bookmarkStart w:id="91" w:name="_Toc28751"/>
      <w:bookmarkStart w:id="92" w:name="_Toc30222_WPSOffice_Level1"/>
      <w:bookmarkStart w:id="93" w:name="_Toc26170"/>
      <w:bookmarkStart w:id="94" w:name="_Toc16029"/>
      <w:r>
        <w:rPr>
          <w:rStyle w:val="30"/>
          <w:rFonts w:hint="eastAsia" w:ascii="宋体" w:hAnsi="宋体" w:cs="宋体"/>
        </w:rPr>
        <w:t xml:space="preserve">第四部分 </w:t>
      </w:r>
      <w:bookmarkEnd w:id="17"/>
      <w:bookmarkStart w:id="95" w:name="_Toc92598711"/>
      <w:r>
        <w:rPr>
          <w:rStyle w:val="30"/>
          <w:rFonts w:hint="eastAsia" w:ascii="宋体" w:hAnsi="宋体" w:cs="宋体"/>
        </w:rPr>
        <w:t xml:space="preserve"> 采购内容及商务、技术要求</w:t>
      </w:r>
      <w:bookmarkEnd w:id="91"/>
      <w:bookmarkEnd w:id="92"/>
      <w:bookmarkEnd w:id="93"/>
      <w:bookmarkEnd w:id="94"/>
    </w:p>
    <w:p>
      <w:pPr>
        <w:outlineLvl w:val="1"/>
        <w:rPr>
          <w:rFonts w:ascii="宋体" w:hAnsi="宋体" w:cs="宋体"/>
          <w:b/>
          <w:bCs/>
          <w:sz w:val="28"/>
          <w:szCs w:val="24"/>
        </w:rPr>
      </w:pPr>
      <w:bookmarkStart w:id="96" w:name="_Toc4810"/>
      <w:bookmarkStart w:id="97" w:name="_Toc31744"/>
      <w:bookmarkStart w:id="98" w:name="_Toc17572_WPSOffice_Level2"/>
      <w:r>
        <w:rPr>
          <w:rFonts w:hint="eastAsia" w:ascii="宋体" w:hAnsi="宋体" w:cs="宋体"/>
          <w:b/>
          <w:bCs/>
          <w:sz w:val="28"/>
          <w:szCs w:val="24"/>
        </w:rPr>
        <w:t>一、商务要求</w:t>
      </w:r>
      <w:bookmarkEnd w:id="96"/>
      <w:bookmarkEnd w:id="97"/>
      <w:bookmarkEnd w:id="98"/>
    </w:p>
    <w:p>
      <w:pPr>
        <w:spacing w:line="360" w:lineRule="auto"/>
        <w:rPr>
          <w:rFonts w:ascii="宋体" w:hAnsi="宋体" w:cs="宋体"/>
          <w:sz w:val="24"/>
          <w:szCs w:val="24"/>
        </w:rPr>
      </w:pPr>
      <w:r>
        <w:rPr>
          <w:rFonts w:hint="eastAsia" w:ascii="宋体" w:hAnsi="宋体" w:cs="宋体"/>
          <w:sz w:val="24"/>
          <w:szCs w:val="24"/>
        </w:rPr>
        <w:t>1.项目名称：西安文理学院养老服务管理专业实训室采购项目</w:t>
      </w:r>
    </w:p>
    <w:p>
      <w:pPr>
        <w:spacing w:line="360" w:lineRule="auto"/>
        <w:rPr>
          <w:rFonts w:ascii="宋体" w:hAnsi="宋体" w:cs="宋体"/>
          <w:color w:val="000000"/>
          <w:sz w:val="24"/>
          <w:szCs w:val="24"/>
        </w:rPr>
      </w:pPr>
      <w:r>
        <w:rPr>
          <w:rFonts w:hint="eastAsia" w:ascii="宋体" w:hAnsi="宋体" w:cs="宋体"/>
          <w:sz w:val="24"/>
          <w:szCs w:val="24"/>
        </w:rPr>
        <w:t>2.</w:t>
      </w:r>
      <w:r>
        <w:rPr>
          <w:rFonts w:hint="eastAsia" w:ascii="宋体" w:hAnsi="宋体" w:cs="宋体"/>
          <w:color w:val="000000"/>
          <w:sz w:val="24"/>
          <w:szCs w:val="24"/>
        </w:rPr>
        <w:t>供货周期：</w:t>
      </w:r>
      <w:r>
        <w:rPr>
          <w:rFonts w:asciiTheme="minorEastAsia" w:hAnsiTheme="minorEastAsia" w:eastAsiaTheme="minorEastAsia"/>
          <w:sz w:val="24"/>
          <w:szCs w:val="24"/>
        </w:rPr>
        <w:t>45个工作日</w:t>
      </w:r>
    </w:p>
    <w:p>
      <w:pPr>
        <w:spacing w:line="360" w:lineRule="auto"/>
        <w:rPr>
          <w:rFonts w:ascii="宋体" w:hAnsi="宋体" w:cs="宋体"/>
          <w:sz w:val="24"/>
          <w:szCs w:val="24"/>
        </w:rPr>
      </w:pPr>
      <w:r>
        <w:rPr>
          <w:rFonts w:hint="eastAsia" w:ascii="宋体" w:hAnsi="宋体" w:cs="宋体"/>
          <w:sz w:val="24"/>
          <w:szCs w:val="24"/>
        </w:rPr>
        <w:t>3.交货地点：西安文理学院</w:t>
      </w:r>
    </w:p>
    <w:p>
      <w:pPr>
        <w:spacing w:line="360" w:lineRule="auto"/>
        <w:rPr>
          <w:rFonts w:ascii="宋体" w:hAnsi="宋体" w:cs="宋体"/>
          <w:sz w:val="24"/>
          <w:szCs w:val="24"/>
        </w:rPr>
      </w:pPr>
      <w:r>
        <w:rPr>
          <w:rFonts w:hint="eastAsia" w:ascii="宋体" w:hAnsi="宋体" w:cs="宋体"/>
          <w:sz w:val="24"/>
          <w:szCs w:val="24"/>
        </w:rPr>
        <w:t>4.付款方式：银行转账</w:t>
      </w:r>
    </w:p>
    <w:p>
      <w:pPr>
        <w:spacing w:line="360" w:lineRule="auto"/>
        <w:rPr>
          <w:rFonts w:ascii="宋体" w:hAnsi="宋体" w:cs="宋体"/>
          <w:sz w:val="24"/>
          <w:szCs w:val="24"/>
        </w:rPr>
      </w:pPr>
      <w:r>
        <w:rPr>
          <w:rFonts w:hint="eastAsia" w:ascii="宋体" w:hAnsi="宋体" w:cs="宋体"/>
          <w:sz w:val="24"/>
          <w:szCs w:val="24"/>
        </w:rPr>
        <w:t>4.1支付方式：</w:t>
      </w:r>
      <w:r>
        <w:rPr>
          <w:rFonts w:ascii="宋体" w:hAnsi="宋体" w:cs="宋体"/>
          <w:sz w:val="24"/>
          <w:szCs w:val="24"/>
        </w:rPr>
        <w:t>合同签订首付30%，项目验收后五日内付65%，验收后一年付5%。</w:t>
      </w:r>
    </w:p>
    <w:p>
      <w:pPr>
        <w:spacing w:line="360" w:lineRule="auto"/>
        <w:rPr>
          <w:rFonts w:ascii="宋体" w:hAnsi="宋体" w:cs="宋体"/>
          <w:sz w:val="24"/>
          <w:szCs w:val="24"/>
        </w:rPr>
      </w:pPr>
      <w:r>
        <w:rPr>
          <w:rFonts w:hint="eastAsia" w:ascii="宋体" w:hAnsi="宋体" w:cs="宋体"/>
          <w:sz w:val="24"/>
          <w:szCs w:val="24"/>
        </w:rPr>
        <w:t>4.2货币单位：人民币</w:t>
      </w:r>
    </w:p>
    <w:p>
      <w:pPr>
        <w:numPr>
          <w:ilvl w:val="0"/>
          <w:numId w:val="8"/>
        </w:numPr>
        <w:spacing w:line="360" w:lineRule="auto"/>
        <w:rPr>
          <w:rFonts w:ascii="宋体" w:hAnsi="宋体" w:cs="宋体"/>
          <w:sz w:val="24"/>
          <w:szCs w:val="24"/>
        </w:rPr>
      </w:pPr>
      <w:r>
        <w:rPr>
          <w:rFonts w:hint="eastAsia" w:ascii="宋体" w:hAnsi="宋体" w:cs="宋体"/>
          <w:sz w:val="24"/>
          <w:szCs w:val="24"/>
        </w:rPr>
        <w:t>质保期：</w:t>
      </w:r>
      <w:r>
        <w:rPr>
          <w:sz w:val="24"/>
          <w:szCs w:val="24"/>
        </w:rPr>
        <w:t>三年</w:t>
      </w:r>
    </w:p>
    <w:p>
      <w:pPr>
        <w:spacing w:line="360" w:lineRule="auto"/>
        <w:rPr>
          <w:rFonts w:ascii="宋体" w:hAnsi="宋体" w:cs="宋体"/>
          <w:sz w:val="24"/>
          <w:szCs w:val="24"/>
        </w:rPr>
      </w:pPr>
      <w:r>
        <w:rPr>
          <w:rFonts w:hint="eastAsia" w:ascii="宋体" w:hAnsi="宋体" w:cs="宋体"/>
          <w:sz w:val="24"/>
          <w:szCs w:val="24"/>
        </w:rPr>
        <w:t>6.质量：符合国家质量和规范标准。</w:t>
      </w:r>
    </w:p>
    <w:p>
      <w:pPr>
        <w:spacing w:line="360" w:lineRule="auto"/>
        <w:rPr>
          <w:rFonts w:ascii="宋体" w:hAnsi="宋体" w:cs="宋体"/>
          <w:sz w:val="24"/>
          <w:szCs w:val="24"/>
        </w:rPr>
      </w:pPr>
      <w:r>
        <w:rPr>
          <w:rFonts w:hint="eastAsia" w:ascii="宋体" w:hAnsi="宋体" w:cs="宋体"/>
          <w:sz w:val="24"/>
          <w:szCs w:val="24"/>
        </w:rPr>
        <w:t>7.验收：由采购人负责组织验收或者邀请专家、质检机构进行验收。</w:t>
      </w:r>
    </w:p>
    <w:p>
      <w:pPr>
        <w:spacing w:line="360" w:lineRule="auto"/>
      </w:pPr>
      <w:r>
        <w:rPr>
          <w:rFonts w:hint="eastAsia" w:ascii="宋体" w:hAnsi="宋体" w:cs="宋体"/>
          <w:sz w:val="24"/>
          <w:szCs w:val="24"/>
        </w:rPr>
        <w:t>8.验收标准：验收以合同、谈判文件、响应文件、澄清、及国家相应的标准、规范等为依据。</w:t>
      </w:r>
    </w:p>
    <w:p>
      <w:pPr>
        <w:spacing w:line="360" w:lineRule="auto"/>
        <w:outlineLvl w:val="1"/>
        <w:rPr>
          <w:rFonts w:ascii="宋体" w:hAnsi="宋体" w:cs="宋体"/>
          <w:b/>
          <w:bCs/>
          <w:sz w:val="28"/>
          <w:szCs w:val="24"/>
        </w:rPr>
      </w:pPr>
      <w:bookmarkStart w:id="99" w:name="_Toc10825"/>
      <w:bookmarkStart w:id="100" w:name="_Toc32626_WPSOffice_Level2"/>
      <w:bookmarkStart w:id="101" w:name="_Toc5256"/>
      <w:r>
        <w:rPr>
          <w:rFonts w:hint="eastAsia" w:ascii="宋体" w:hAnsi="宋体" w:cs="宋体"/>
          <w:b/>
          <w:bCs/>
          <w:sz w:val="28"/>
          <w:szCs w:val="24"/>
        </w:rPr>
        <w:t>二、采购内容及技术要求</w:t>
      </w:r>
      <w:bookmarkEnd w:id="99"/>
      <w:bookmarkEnd w:id="100"/>
      <w:bookmarkEnd w:id="101"/>
    </w:p>
    <w:tbl>
      <w:tblPr>
        <w:tblStyle w:val="20"/>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88"/>
        <w:gridCol w:w="6108"/>
        <w:gridCol w:w="709"/>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sz w:val="24"/>
                <w:szCs w:val="24"/>
              </w:rPr>
              <w:t>1. 基础照护实训区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产品名称</w:t>
            </w:r>
          </w:p>
        </w:tc>
        <w:tc>
          <w:tcPr>
            <w:tcW w:w="3155"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评估桌</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1.实木：橡胶木实木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2.板材：密度板　</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3.木皮：榉木皮　</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4.油漆：水性油漆</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5.尺寸：≥800*800*750mm</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评估椅</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1.腿底部加装防滑垫</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2.扶手应注意不要突出，以免老人磕碰</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3.坐垫采用高密度海绵，防渗漏 PU 面料</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护理床</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床面尺寸：≥1980*1000*360</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整体尺寸：≥2080*1070*490</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便空尺寸：≥200*270</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新型插式脚轮、硬质棉加宽床垫、餐桌板</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适老床头柜</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尺寸：≥450*420*750MM，材质：ABS 材质</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适老床边桌</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长×宽×高：≥765*385*875mm，高度调节范围：≥700-1140mm</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电动起身椅</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适用于老年人起身、落座困难者；</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靠背和搁脚可以电动放置任意角度，可以 160°伸展。</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尺寸：≥83*92*103cm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材质：棉麻面料，高弹力海绵，静音轮</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智能测温餐碗/勺</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智能变频恒温,可显示温度,双侧把手,方便拿握</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智能测温水壶</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电子水壶, 功能：水烧开后鸣叫,可显示温度</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定时药盒</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可同时设置5组闹铃，七格一周药量，需装有强力磁铁</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老人电话机</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大按键、可设置亲情号、按按键可报按键数字号码、来电显示</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多功能胸挂式放大镜</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光学助视器，适用于三级视力残疾人以上（部分二级视力残疾人）的人群使用</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12</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智能拐杖</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手柄长度：≥15.3cm，高≥66—89cm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手柄材质：ABS材质，管身材质：铝合金，倾倒自动报警</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13</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流食壶</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长嘴式，斜躺时可喝水或流食，同时可搭配双耳杯托</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14</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听诊器</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悬浮式可调振动膜 85cm 单腔型</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步行测量贴纸</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主要功能：测量老年人步行状况</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技术要求：</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 ≥5m透明背胶地贴</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 具有刻度显示</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16</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康复训练用阶梯</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适合患者上下阶梯抬腿步态训练</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材质：优质实木、表面清漆、高级防滑胶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适合患者上下阶梯抬腿步态训练。</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外形尺寸：（L*W*H）≥1540*830*1170±30mm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梯面总高：≥300mm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三梯：高度：≥100，宽度：≥270，长度：≥760</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二梯：高度：≥150，宽度：≥270，长度：≥760</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17</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日常生活评估辅具展板</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主要功能：用于日常生活能力评估</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技术要求：含穿衣器、穿扣器、拉链辅助器、穿袜器</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18</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体征数据测量评估展板</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主要功能：用于体征数据测量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技术要求：含角度尺、听诊器、多功能关节活动测量表、握力器、手电筒、体温计、听力音叉</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19</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智能电子血压计(医用)</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带臂桶,自动绑带,一键测压，LCD屏显</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压疮仿真模型</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1.模型模拟老年病人臀部，显示压疮的四个临床分期：淤血红润期、炎症浸润期、浅度溃疡期、坏死溃疡期。</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2.模型显示的病变有：窦、瘘、腐痂、压疮感染、骨头暴露、焦痂、缝合的伤口、疱疹和念珠菌感染</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3.可进行压疮的评估、伤口的长度、深度的测量，以及进行治疗与护理</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4.可以使用以下物品进行治疗：藻酸盐生物合成物、胶原、薄纱、氢化可力丁、水凝胶、皮肤替代物、透明薄膜，以及伤口的填充物</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21</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氧气流量湿化瓶</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组成由：流量计、流量调节阀、氧气输出插头、氧气输入接头、氧气加湿器管、湿化瓶，工作压力：0.2mp~0.3mpa，最大流量：10L/min，流量范围：1-10L/min</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22</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设备带</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包含：设备带2条，可支持4个床位、氧气终端4个、吸引终端4个、插座4个、呼叫分机4个、设备带封头4个</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23</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照护实训基础工具耗材套装</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装内包含：不锈钢无菌持物钳，不锈钢长镊子，不锈钢无菌持物筒，18cm剪刀，不锈钢14cm换药碗，11.5寸不锈钢治疗盘，不锈钢油膏缸药膏缸/纱布缸/棉球缸，500ml速干手消毒液，100ml碘伏消毒液,不锈钢弯盘，4L圆形医用垃圾桶；中老年人运动套装。开口水杯不锈钢，尺寸 14.5*8.2cm 容量 450ml</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餐巾/毛巾≥34×72cm。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餐巾纸≥133m*195mm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一次性使用灌注器≥80 毫升</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一次性无菌纱布独立包装，≥7cm*9cm 80 袋/盒</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医用胶布 防过敏，≥0.9*400cm(1 盒 13 卷)</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别针2 号别针，≥38mm 长</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肩枕≥67*15cm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塑料脸盆≥35cm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压舌板≥150x18mm 一次性压舌板</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凡士林油≥500ml</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大浴巾≥70×150cm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一次性口罩/一次性成人纸尿裤</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一次性手套</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弹力足踝矫形器</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36-40,41-44码各俩个,人体工学设计,防磨内衬可拆洗</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25</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非接触式测温枪</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快速非接触式电子测温,语音播报,发烧提示</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26</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扫床护理车</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≥90*90*45cm 不锈钢质地</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双层治疗护理车</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≥70*40*86.5cm 不锈钢质地</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28</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电动轮椅车</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可折叠可平躺,折叠尺寸：≥73cm *52cm *29cm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轮椅座高：≥43cm</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轮椅宽度：≥68cm</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靠背高度：≥43cm</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靠背宽度：≥44cm</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实心后轮：≥12寸</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实心前轮：≥7寸</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扶手高度：≥67cm</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轮椅净重：≥26kg </w:t>
            </w:r>
          </w:p>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全铝合金电动，可续航≥15公里，手/电切换，智能遥杆，5档变速，倒车提醒，电磁刹车，越障高度≥40mm，越沟宽度100mm</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29</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手功能训练器</w:t>
            </w:r>
          </w:p>
        </w:tc>
        <w:tc>
          <w:tcPr>
            <w:tcW w:w="3155" w:type="pct"/>
            <w:shd w:val="clear" w:color="auto" w:fill="auto"/>
            <w:vAlign w:val="center"/>
          </w:tcPr>
          <w:p>
            <w:pPr>
              <w:autoSpaceDE w:val="0"/>
              <w:autoSpaceDN w:val="0"/>
              <w:adjustRightIn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上肢锻炼手指握力 20磅（4件套）康复中后期训练</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30</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吞咽康复训练器</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无毒硅胶质地,内涵:舌肌/唇肌/咀嚼/呼吸发音 等矫正模块</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31</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适老化沙发</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完全按照适老化设计的专用家具，方便老人起居</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包含三人位1个、单人位2个</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32</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茶几</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储物空间和高度按照适老化设计</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33</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电动升降桌</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升降款，方便老人根据自身高度调节</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34</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床上用品</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被子、被套、床单、枕头、枕套，U型枕各一件，材质：棉，颜色：纯色</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b/>
                <w:bCs/>
                <w:kern w:val="0"/>
                <w:sz w:val="24"/>
                <w:szCs w:val="24"/>
              </w:rPr>
              <w:t>2. 智慧照护实训区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产品名称</w:t>
            </w:r>
          </w:p>
        </w:tc>
        <w:tc>
          <w:tcPr>
            <w:tcW w:w="3155"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规格  </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35</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多功能照护智能桌</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智能桌自带保温、加热功能；</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配备3D结构光模组，自动监测老人桌前状态；</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装配嵌入式智能药盒，定时提醒老人用药；实时监测配置远程随访功能，健康数据实时上传，方便医患互动；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保温加热器：恒温可调式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嵌入式智能药盒：1个，包括用药提醒</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△3D视觉行为采样识别功能：基于老年人姿态和动作识别与分析算法模型的3D智能视频技术（需提供有效证明材料，材料形式包括但不限于图片、视频等形态的功能展示）</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交互平板：安卓系统，≥13寸</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随访系统软件：远程音视频，健康数据展示，病例展示</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社交系统软件：视频交流</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交互式益智游戏：10种以上</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安全装置：锁紧器，姿态传感器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供电系统：充电器、保护器、安全插头</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智能机械手软硬件接口</w:t>
            </w:r>
          </w:p>
          <w:p>
            <w:pP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可与智慧康养管理系统进行数据对接可与智慧康养管理系统进行数据对接</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36</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助力外骨骼</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1、通过主动力矩发生器，对穿戴者腰部及上肢提供一定的主动力矩，以实现腰部保护或搬运助力作用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2、针对抬起与放下两个动作提供主动助力</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3、具有手臂支撑模块，直立行走时，通过产品的刚性结构，把负载大部分重量传导至人体肩部、腰部，极大减缓人体手臂疲劳</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4、电池模块具有快拆特性</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系统重量: ＜8kg</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续航时间: 4-6小时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充电时间: ≤1小时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适配身高: 160cm-180cm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最大行走速度: ≈5公里/小时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关节运动范围: 屈伸-45°~135°</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助力效果: 最大60Nm </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防护等级: IP54</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工作温度: 0°C~40°C</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可支持智能姿态监测</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可与智慧康养管理系统进行数据对接并且支持基于数据的姿态自学习</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37</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智能护理床</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升降模式：背部、腿部、背部腿部同时升降、整体升降</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倾斜模式：前后倾斜、左右倾斜</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一键控制：倾斜模式、平躺模式、休闲模式、离床模式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带CPR功能，带称重</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尺寸：≥2170×960×480~680mm</w:t>
            </w:r>
          </w:p>
          <w:p>
            <w:pP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带智能床架和移位器接口，可与智慧康养管理系统进行数据对接</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tcBorders>
              <w:bottom w:val="single" w:color="auto" w:sz="4" w:space="0"/>
            </w:tcBorders>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38</w:t>
            </w:r>
          </w:p>
        </w:tc>
        <w:tc>
          <w:tcPr>
            <w:tcW w:w="717" w:type="pct"/>
            <w:tcBorders>
              <w:bottom w:val="single" w:color="auto" w:sz="4" w:space="0"/>
            </w:tcBorders>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智能洗浴机</w:t>
            </w:r>
          </w:p>
        </w:tc>
        <w:tc>
          <w:tcPr>
            <w:tcW w:w="3155" w:type="pct"/>
            <w:tcBorders>
              <w:bottom w:val="single" w:color="auto" w:sz="4" w:space="0"/>
            </w:tcBorders>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侧开门，水力按摩，气泡按摩等多种按摩方式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三分钟满水/恒温设定/坐背加热/超高速水流</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配置高清多媒体屏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臭氧杀菌/带温度控制/水量控制和报警接口</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尺寸：≥760*420*1400mm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重量：≥80kg</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容量：≥260L</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设定温度范围35-45℃，加热时间：≤30分钟（以45℃为标准）</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注水速度：≤3Min</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额定电压：AC220V-240V，额定功率：≤3500W</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绝缘电阻＞100MΩ</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带温度控制、水量控制和报警接口</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可与智慧康养管理系统进行数据对接</w:t>
            </w:r>
          </w:p>
        </w:tc>
        <w:tc>
          <w:tcPr>
            <w:tcW w:w="366" w:type="pct"/>
            <w:tcBorders>
              <w:bottom w:val="single" w:color="auto" w:sz="4" w:space="0"/>
            </w:tcBorders>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tcBorders>
              <w:bottom w:val="single" w:color="auto" w:sz="4" w:space="0"/>
            </w:tcBorders>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39</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助力马桶</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外观尺寸：约L780×W580×H680mm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整机重量：≤22Kg，承载能力：≤120Kg</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运行噪音：≤50dB</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起身高度：≤266mm，起身角度：≤22°</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升降速度：≤9mm/s</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产品材质：Q235 管材规格约25*25*t1.5/30*50*t1.5 板材规格t2.0/5.0</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电池参数：18650电池组</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待机时长：≥7天（24h），续航次数：≥70次，充电时长 ：≤2.5h</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适用马桶要求：高≤400mm，宽度≤395mm，适用市面上95%马桶</w:t>
            </w:r>
          </w:p>
          <w:p>
            <w:pPr>
              <w:widowControl/>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包含肌张力检测功能，并配套测试软件</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40</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高级全功能老年护理人</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高分子材料制成，肤质仿真度高</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关节灵活，可实现10种以上体位：去枕平卧位，屈膝仰卧位、半坐卧位、端坐位、俯卧位、头低足高位、头高足低位、侧卧位、截石位、昏迷体位</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床上擦浴及更衣</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多种移动和搬运法：移向床头法、轮椅使用法、平车运送法、担架运送法、轴线翻身法，肢体约束法、肩部约束法、全身约束法</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鼻饲：托起头部使下颌靠近胸骨柄，可抽出模拟胃液</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洗胃术：可经口、鼻进行洗胃器洗胃、电动吸引器洗胃、胃管洗胃、洗胃机洗胃，胃容量为200ml</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导尿：男女互换生殖器，男性抬起阴茎与腹壁成60°角，导尿管顺利插入，作成功后可导出模拟尿液</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灌肠： 可实现大量不保留灌肠、小量不保留灌肠、清洁灌肠和保留灌肠等多种灌肠方式，可注入灌肠液约200ml</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造瘘口护理：可进行结肠、回肠的造瘘口清洗，冲洗液可储存</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口腔护理: 有活动义齿</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气管切开术后护理</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乳房护理</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注射给药：臀部、股外侧肌肉注射，上臂三角肌皮下注射；可注射真实药液，注射模块可更换</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其他护理操作：吸氧、雾化吸入疗法、冷热疗法护理、外阴擦洗、外阴湿热敷、尿道冲洗等多项护理操作</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左手可练习静脉穿刺和静脉输液</w:t>
            </w:r>
          </w:p>
          <w:p>
            <w:pP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进行模拟褥疮护理</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41</w:t>
            </w:r>
          </w:p>
        </w:tc>
        <w:tc>
          <w:tcPr>
            <w:tcW w:w="717"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健康检测一体化机器人</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一体化、移动式多功能健康检测</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包含：12导心电、血压、血氧、脉率、体温、血糖、心率、血脂等检测项目，AI智能诊断，专业心电分析：搭载人工智能心电诊断软件系统，智能诊断16大类，100种以上心电异常事件，准确率95%以上</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支持中医体质辨识；可实现视频问诊，语音提示</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提供3D视觉系统和机械手接口/运动导轨，支持目测和触诊（测）,支持脑电和肌电功能检测。</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慢病管理：慢病监测，个人健康全程追踪，提供健康干预、指导、随访等慢病精细化管理</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自动生成报告：根据用户数据，自动生成分析报告，可联网出具健康报告，体检报告等</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诊疗数据收集：实现生命周期健康管理信息服务功能，实现用户信息、角色和组织机构统一化管理</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大容量电池：持久续航，≥4小时户外使用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软件自动更新，WIFI、3G/4G/5G无线传输</w:t>
            </w:r>
          </w:p>
        </w:tc>
        <w:tc>
          <w:tcPr>
            <w:tcW w:w="366"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w:t>
            </w:r>
          </w:p>
        </w:tc>
        <w:tc>
          <w:tcPr>
            <w:tcW w:w="717"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脑电肌电控制训练手套</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可实现单指运动、多指运动、全手掌运动、对指运动、智能模仿手部抓握伸屈等训练模式；</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程序控制被动训练：机器带动训练，可单指也可循环手指；</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肌电控制主动训练：可采集肌电信号，解码运动意图，对患者进行主动训练</w:t>
            </w:r>
            <w:r>
              <w:rPr>
                <w:rFonts w:asciiTheme="minorEastAsia" w:hAnsiTheme="minorEastAsia" w:eastAsiaTheme="minorEastAsia" w:cstheme="minorEastAsia"/>
                <w:kern w:val="0"/>
                <w:sz w:val="24"/>
                <w:szCs w:val="24"/>
              </w:rPr>
              <w:t>；</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△脑控主动训练：由脑机接口采集脑电信号，解码运动意图，进行主动训练（需提供有效证明材料，材料形式包括但不限于图片、视频等形态的功能展示）；</w:t>
            </w:r>
          </w:p>
          <w:p>
            <w:pPr>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预设动作：≥9种（大拇指持续抓握、食指/中指/无名指持续抓握、两指对握、三指对握、持续进行抓握动作、张开手不动、握拳不动、抓握一次、自定义）</w:t>
            </w:r>
          </w:p>
          <w:p>
            <w:pPr>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连接方式: 蓝牙</w:t>
            </w:r>
          </w:p>
          <w:p>
            <w:pPr>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驱动方式: 气动</w:t>
            </w:r>
          </w:p>
          <w:p>
            <w:pPr>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可调参数: 抓握频次等</w:t>
            </w:r>
          </w:p>
          <w:p>
            <w:pPr>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可与智慧康养管理系统进行数据对接</w:t>
            </w:r>
          </w:p>
        </w:tc>
        <w:tc>
          <w:tcPr>
            <w:tcW w:w="366"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43</w:t>
            </w:r>
          </w:p>
        </w:tc>
        <w:tc>
          <w:tcPr>
            <w:tcW w:w="717"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养老智能家居及安全系统</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养老室内空间智能家居系统包含智能音箱系统、智能灯光系统、智能窗帘</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包含燃气、烟雾、温度、湿度、门窗开关、电源开关等感应传感器和异常报警装置</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含空调，空气净化器、风扇等智能小家电</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可实现APP远程控制</w:t>
            </w:r>
          </w:p>
        </w:tc>
        <w:tc>
          <w:tcPr>
            <w:tcW w:w="366"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shd w:val="clear" w:color="auto" w:fill="auto"/>
            <w:vAlign w:val="center"/>
          </w:tcPr>
          <w:p>
            <w:pPr>
              <w:widowControl/>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3. 智慧居家娱乐区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44</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老年居家体感游艺系统</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选配基于国际先进技术研发的体感游戏主机+手柄+智能运动环，可同时支持不少于4人参与</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预装≥五款正版适合老年人的体感游戏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游戏高清显示大屏≥65寸/自适应安全保护装置</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可支持穿戴式动态体征参数采集和数据分析</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控制器：配备体感手柄和智能运动环</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体感运动环采用玻璃钢纤维材质，可记录运动数据，包含心率，时长、热量消耗等</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游戏运行介质：机身存储；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内置存储32GB，支持蓝牙</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产品尺寸：长≥350mm；宽≥240mm；高≥95mm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信号输</w:t>
            </w:r>
            <w:r>
              <w:rPr>
                <w:rFonts w:hint="eastAsia" w:asciiTheme="minorEastAsia" w:hAnsiTheme="minorEastAsia" w:eastAsiaTheme="minorEastAsia" w:cstheme="minorEastAsia"/>
                <w:kern w:val="0"/>
                <w:sz w:val="24"/>
                <w:szCs w:val="24"/>
              </w:rPr>
              <w:t>出接口：HDMI 2.0，HDMI 2.1，HDMI 1.4，HDMI 1.2，可外接投影、大屏和电视机</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输出分辨率：1080P</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可支持云服务器在线游戏联机游戏</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虚拟骑行娱乐与康复训练系统</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集成虚拟现实系统+运动骑行器和体征监测器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虚拟显示头盔/3D眼镜/高清液晶数字屏</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可模拟多种骑行模式，场景数量：≥10</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包含安全监测装置</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产品功率：≤1.2KW</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体验人数：≥1人</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产品净重：≥150kg</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≥4.5m*4.5m位置追踪</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场地要求：≥3m*2m*3m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电动缸：1组电缸+伺服器+控制卡</w:t>
            </w:r>
          </w:p>
          <w:p>
            <w:pPr>
              <w:widowControl/>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含内置控制主机（不低于此配置参数I5-6402P；1050ti 240G；8G DDR4）</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46</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老年桌面益智游戏套组</w:t>
            </w:r>
          </w:p>
        </w:tc>
        <w:tc>
          <w:tcPr>
            <w:tcW w:w="3155" w:type="pct"/>
            <w:shd w:val="clear" w:color="auto" w:fill="auto"/>
            <w:vAlign w:val="center"/>
          </w:tcPr>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套组中包括适合老年人的积木、卡牌和智能益智游艺设备</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一、康养仿生观赏机器鱼</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机器鱼可实现全身运动，可通过手机APP端编程及实时操控操控、可通过编程、语音识别等方式进行互动式的游动、转弯、加速、减速、多彩灯光控制等功能，可由养老机构进行功能配置或由力所能及的老年人参与简单编程和操控。通过过安装、调试及系统编程，可使老年人了解机械原理、电子系统设计、嵌入式编程、安卓手机编程、系统集成等基础知识。通过机器鱼教学实验环节</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1、尺寸≥ 195(L)*96(H)*41.5mm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2、速度调节 多档</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3、转弯半径 ≤50cm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4、游动频率 2～4Hz</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5、输入功率：100～220V AC 50/60Hz</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6、单次使用时间≥1小时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7、手机安卓系统可控</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二、智能人脸识别游艺套件</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1.主要部件：本套装含AI</w:t>
            </w:r>
            <w:r>
              <w:rPr>
                <w:rFonts w:asciiTheme="minorEastAsia" w:hAnsiTheme="minorEastAsia" w:eastAsiaTheme="minorEastAsia" w:cstheme="minorEastAsia"/>
                <w:kern w:val="0"/>
                <w:sz w:val="24"/>
                <w:szCs w:val="24"/>
              </w:rPr>
              <w:t>智能芯片</w:t>
            </w:r>
            <w:r>
              <w:rPr>
                <w:rFonts w:hint="eastAsia" w:asciiTheme="minorEastAsia" w:hAnsiTheme="minorEastAsia" w:eastAsiaTheme="minorEastAsia" w:cstheme="minorEastAsia"/>
                <w:kern w:val="0"/>
                <w:sz w:val="24"/>
                <w:szCs w:val="24"/>
              </w:rPr>
              <w:t>主控板（标配）</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rPr>
              <w:t>扩展模块、摄像头模块、机械臂结构支架、舵机控制板 、总线舵机、电源适配器、</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2.主控板技术参数描述：</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供电方式Micro USB，Flash存储16MB，尺寸约68.5mm*53.4mm</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△三、AI编程智能车（需提供有效证明材料，材料形式包括但不限于图片、视频等形态的功能展示）</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产品功能：产品基于老年人认知发展理论和老年人思维发展水平而设计，具备编程启蒙功能的游艺机器车，让老年人有效参与脑力训练。产品需针对60-80岁老人培养其逻辑思维与问题解决能力进行开发，整体结构采用模块化设计，机器人头部可拆卸，可兼容乐高类拼插积木，让老人可以发挥创意，进行DIY结构搭建；产品内置摄像头，图像识别高效准确，能适应各种复杂的使用场景；呼吸灯模块，在不同的状态下显示不同的灯光效果，让使用者可以清晰的了解电量、充电、行驶等的不同状态；内置的蜂鸣器模块，可以进行音乐铃声的播放，让使用者通过音乐感知小车的当前状态；外置独立按键，一键驱动，让使用更加便捷，极大的降低了老人的使用门槛</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2.技术参数描述：内置电源，摄像头不低于30万像素</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3.配套课程资料：</w:t>
            </w:r>
          </w:p>
          <w:p>
            <w:pPr>
              <w:widowControl/>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配套课程及其资料；课程通过云平台展示，可以通过手机电脑学习，含相关任务活动、玩法讲解、程序编写、教学资源、讲解视频</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tcPr>
          <w:p>
            <w:pPr>
              <w:widowControl/>
              <w:jc w:val="center"/>
              <w:rPr>
                <w:rFonts w:asciiTheme="minorEastAsia" w:hAnsiTheme="minorEastAsia" w:eastAsiaTheme="minorEastAsia" w:cstheme="minorEastAsia"/>
                <w:b/>
                <w:bCs/>
                <w:kern w:val="0"/>
                <w:sz w:val="24"/>
                <w:szCs w:val="24"/>
              </w:rPr>
            </w:pPr>
          </w:p>
        </w:tc>
        <w:tc>
          <w:tcPr>
            <w:tcW w:w="4619" w:type="pct"/>
            <w:gridSpan w:val="4"/>
            <w:shd w:val="clear" w:color="auto" w:fill="auto"/>
            <w:vAlign w:val="center"/>
          </w:tcPr>
          <w:p>
            <w:pPr>
              <w:widowControl/>
              <w:jc w:val="center"/>
              <w:rPr>
                <w:rFonts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4. 总控制台及大数据运营中心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序号</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产品名称</w:t>
            </w:r>
          </w:p>
        </w:tc>
        <w:tc>
          <w:tcPr>
            <w:tcW w:w="3155"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规格</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数量</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47</w:t>
            </w:r>
          </w:p>
        </w:tc>
        <w:tc>
          <w:tcPr>
            <w:tcW w:w="717" w:type="pct"/>
            <w:shd w:val="clear" w:color="auto" w:fill="auto"/>
            <w:vAlign w:val="center"/>
          </w:tcPr>
          <w:p>
            <w:pPr>
              <w:widowControl/>
              <w:ind w:left="-16" w:leftChars="-35" w:hanging="57" w:hangingChars="24"/>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智慧康养管理系统</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智慧康养管理系统内部管理流程，主要包括：来访接待、评估管理、入住管理、养护管理、膳食管理、健康管理、设备管理、移动APP、大屏展示、员工管理以及系统管理等功能。</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平台通过来访接待、入住管理等模块，完成咨询登记、入住登记、预约登记、试住登记等信息的动态统一管理。做好接待工作，维护机构形象。</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通过养护管理、膳食管理、健康管理等模块，合理安排老人的生活起居、膳食、健康、安全、活动等内容，并通过移动APP，让机构、家属，动态掌握老人的康养内容，使服务走向移动信息时代；</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结合智能化硬件实现对老人的异常信息进行监控，当发生各类报警时，告警监控系统自动弹出报警提示窗口，值班人员可以查看具体由哪个设备、关联老人具体位置，进行快速的应急处置。</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平台提供实时、动态、准确、全面、完整的运营数据分析及运营决策数据支撑，通过中央监控大屏实现对多种养老数据的动态地综合的展示，成为养老机构运营管理“驾驶舱”。</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为保障长者与家属等的信息安全，系统针对不同部门的管理权限、工作权限、系统权限进行设置，做到不同部门、不同层级、不同人员能查询到权限内的相关数据并做处理。</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具体功能模块划分如下：</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员工管理：护工管理、护理组管理、排班管理、护理设置</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来访接待：咨询接待、预约登记、来访登记、回访记录</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评估管理：能力评估、健康评估、风险评估</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入住管理：入住申请、入住办理、退住管理、合同管理</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养护管理：生活护理计划、医疗护理计划、康复护理计划、查房归档</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膳食管理：菜品维护、套餐管理、点餐管理</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健康管理：慢病管理、自带药管理、外出管理</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设备管理：资产管理、实验室配套智能设备状态管理及信息采集和汇总</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系统管理：账户管理、基础设置、系统设置</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48</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康养大数据科研平台</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此平台可承接真实康养大数据产业研发项目</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具备创建数据项目、创建数据集、设置标注规则、分配数据任务、审核数据内容、导出数据处理结果等功能</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软/硬件大数据采集、分析、呈现，信息采集数据支持有线方式传输（采用RS232串口）或无线方式传输（WIFI模组）；支持预留mqtt、http、edp等通信协议接口。</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提供各类分析模型对采集的数据信息进行展示；支持编配与展示设备状态等可视化数据信息</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移动用户端（安卓）康养数据查询和展示</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移动运营端（安卓）管理数据呈现和展示</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可与数字大屏联动，提供信息集中展示</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49</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交互服务器</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不低于此配置参数P620 3945 128G 512G SSD+2*2T T400 </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50</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数字标牌显示器</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≤65寸，支持高清，带HDMI/USB/无线接口</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51</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交换机及机柜</w:t>
            </w:r>
          </w:p>
          <w:p>
            <w:pPr>
              <w:jc w:val="center"/>
              <w:rPr>
                <w:rFonts w:asciiTheme="minorEastAsia" w:hAnsiTheme="minorEastAsia" w:eastAsiaTheme="minorEastAsia" w:cstheme="minorEastAsia"/>
                <w:sz w:val="24"/>
                <w:szCs w:val="24"/>
              </w:rPr>
            </w:pPr>
          </w:p>
          <w:p>
            <w:pPr>
              <w:jc w:val="center"/>
              <w:rPr>
                <w:rFonts w:asciiTheme="minorEastAsia" w:hAnsiTheme="minorEastAsia" w:eastAsiaTheme="minorEastAsia" w:cstheme="minorEastAsia"/>
                <w:kern w:val="0"/>
                <w:sz w:val="24"/>
                <w:szCs w:val="24"/>
              </w:rPr>
            </w:pPr>
          </w:p>
          <w:p>
            <w:pPr>
              <w:jc w:val="center"/>
              <w:rPr>
                <w:rFonts w:asciiTheme="minorEastAsia" w:hAnsiTheme="minorEastAsia" w:eastAsiaTheme="minorEastAsia" w:cstheme="minorEastAsia"/>
                <w:sz w:val="24"/>
                <w:szCs w:val="24"/>
              </w:rPr>
            </w:pP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24口交换机：</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交换容量：≥330Gbps</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包转发率：≥40Mpps</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固定端口：24个10/100/1000Base-T以太网端口，4个千兆SFP</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电源类型：内置AC电源</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类型：机架式</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接口基础：支持VLAN、支持802.1Q、支持端口UP/DOWN检测、支持端口自协商、支持接口MTU设置、支持VLANIF接口、支持链路聚合、静态端口聚合</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安全特性：支持端口安全；支持广播、组播、位置单播风暴控制；支持端口隔离</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1米高落地网络机柜，含PDU</w:t>
            </w:r>
          </w:p>
          <w:p>
            <w:pPr>
              <w:widowControl/>
              <w:spacing w:line="290" w:lineRule="exact"/>
              <w:jc w:val="left"/>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42u服务器机柜，含PDU</w:t>
            </w:r>
          </w:p>
          <w:p>
            <w:pPr>
              <w:widowControl/>
              <w:spacing w:line="290" w:lineRule="exact"/>
              <w:jc w:val="left"/>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材质：优质冷轧钢、脱脂静电喷塑</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防护等级：IP20</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52</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应用及数据库服务器</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不低于此配置参数 ≤2U机架式服务器主机,</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kern w:val="0"/>
                <w:sz w:val="24"/>
                <w:szCs w:val="24"/>
              </w:rPr>
              <w:t>16核32线程 32G内存/2*4T硬盘</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53</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UPS</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额定容量不低于6KVA；输入电压范围：120～276VAC；输入频率工作范围：45-65Hz；输入功率因数：≥0.99；旁路输入：220/230/240VAC单相三线  旁路同步跟踪范围 ±10%；输出电压：220/230/240VAC ±1% ；输出频率与输入同步；</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蓄电池不低于16块，包含电池柜</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采用高性能、高可靠性的全密封阀控式免维护铅酸蓄电池，单体蓄电池容量不小于65AH，额定电压12V。环境温度20℃～25℃，浮充设计寿命≥10年</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采用ABS阻燃材料，符合UL94V-0标准</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54</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监控摄像头</w:t>
            </w:r>
          </w:p>
        </w:tc>
        <w:tc>
          <w:tcPr>
            <w:tcW w:w="3155" w:type="pct"/>
            <w:shd w:val="clear" w:color="auto" w:fill="auto"/>
            <w:vAlign w:val="center"/>
          </w:tcPr>
          <w:p>
            <w:pPr>
              <w:widowControl/>
              <w:jc w:val="left"/>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≥2.7英寸传感器</w:t>
            </w:r>
          </w:p>
          <w:p>
            <w:pPr>
              <w:widowControl/>
              <w:jc w:val="left"/>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云台旋转角度：水平≥345度；垂直≥120度</w:t>
            </w:r>
          </w:p>
          <w:p>
            <w:pPr>
              <w:widowControl/>
              <w:jc w:val="left"/>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WIFI频段：5GHz双频</w:t>
            </w:r>
          </w:p>
          <w:p>
            <w:pPr>
              <w:widowControl/>
              <w:jc w:val="left"/>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拍摄参数：≥红外夜视距离30m</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像素：≥800万</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55</w:t>
            </w:r>
          </w:p>
        </w:tc>
        <w:tc>
          <w:tcPr>
            <w:tcW w:w="717"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电子白板</w:t>
            </w:r>
          </w:p>
        </w:tc>
        <w:tc>
          <w:tcPr>
            <w:tcW w:w="3155" w:type="pct"/>
            <w:shd w:val="clear" w:color="auto" w:fill="auto"/>
            <w:vAlign w:val="center"/>
          </w:tcPr>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屏体尺寸：≥85英寸，液晶LED</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A规屏，显示比例(16：9) </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 xml:space="preserve">亮度：≥500cd/cm2  </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对比度：≥5000:1</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插拔式OPS微型PC设计，采用Intel I5 6代 处理器或以上、≥4GB内存、128G固态硬盘；开放式可插接INTEL规范接口（OPS接口），双面合计80针</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支持WIFI无线网络，带双天线，带RJ45接口100M/1000Mbs</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具备电源（POWER）开关按键、RESET（重置）孔</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接口：不少于LINE OUT*1，MIC IN*1，HDMI*1，RJ45*1，WIFI*2，USB*4</w:t>
            </w:r>
          </w:p>
          <w:p>
            <w:pPr>
              <w:widowControl/>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支持电源：AC input:100-240V/50-60HZ ；DC output:19V/5A</w:t>
            </w:r>
          </w:p>
        </w:tc>
        <w:tc>
          <w:tcPr>
            <w:tcW w:w="366"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p>
        </w:tc>
        <w:tc>
          <w:tcPr>
            <w:tcW w:w="379" w:type="pct"/>
            <w:shd w:val="clear" w:color="auto" w:fill="auto"/>
            <w:vAlign w:val="center"/>
          </w:tcPr>
          <w:p>
            <w:pPr>
              <w:widowControl/>
              <w:jc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套</w:t>
            </w:r>
          </w:p>
        </w:tc>
      </w:tr>
    </w:tbl>
    <w:p>
      <w:pPr>
        <w:pStyle w:val="2"/>
      </w:pPr>
    </w:p>
    <w:bookmarkEnd w:id="95"/>
    <w:p>
      <w:pPr>
        <w:pStyle w:val="3"/>
        <w:jc w:val="center"/>
        <w:rPr>
          <w:rFonts w:ascii="宋体" w:hAnsi="宋体" w:cs="宋体"/>
          <w:b w:val="0"/>
          <w:sz w:val="36"/>
          <w:szCs w:val="36"/>
        </w:rPr>
      </w:pPr>
      <w:r>
        <w:rPr>
          <w:rFonts w:hint="eastAsia" w:ascii="宋体" w:hAnsi="宋体" w:cs="宋体"/>
          <w:b w:val="0"/>
          <w:sz w:val="36"/>
          <w:szCs w:val="36"/>
        </w:rPr>
        <w:br w:type="page"/>
      </w:r>
      <w:bookmarkStart w:id="102" w:name="_Toc6059"/>
      <w:bookmarkStart w:id="103" w:name="_Toc26345"/>
      <w:bookmarkStart w:id="104" w:name="_Toc19855"/>
      <w:bookmarkStart w:id="105" w:name="_Toc14989_WPSOffice_Level1"/>
      <w:r>
        <w:rPr>
          <w:rStyle w:val="29"/>
          <w:rFonts w:hint="eastAsia" w:ascii="宋体" w:hAnsi="宋体" w:cs="宋体"/>
          <w:b/>
          <w:bCs/>
        </w:rPr>
        <w:t>第五部分  拟签订的合同文本</w:t>
      </w:r>
      <w:bookmarkEnd w:id="102"/>
      <w:bookmarkEnd w:id="103"/>
      <w:bookmarkEnd w:id="104"/>
      <w:bookmarkEnd w:id="105"/>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甲方（采购人）：西安文理学院</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 xml:space="preserve">乙方（成交人）： </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u w:val="single"/>
        </w:rPr>
        <w:t>西安文理学院养老服务管理专业实训室采购项目</w:t>
      </w:r>
      <w:r>
        <w:rPr>
          <w:rFonts w:hint="eastAsia" w:ascii="宋体" w:hAnsi="宋体" w:cs="宋体"/>
          <w:bCs/>
          <w:sz w:val="24"/>
          <w:szCs w:val="24"/>
        </w:rPr>
        <w:t>(项目编号：</w:t>
      </w:r>
      <w:r>
        <w:rPr>
          <w:rFonts w:hint="eastAsia" w:ascii="宋体" w:hAnsi="宋体" w:cs="宋体"/>
          <w:bCs/>
          <w:sz w:val="24"/>
          <w:szCs w:val="24"/>
          <w:u w:val="single"/>
        </w:rPr>
        <w:t>HLDZB2022-2021</w:t>
      </w:r>
      <w:r>
        <w:rPr>
          <w:rFonts w:hint="eastAsia" w:ascii="宋体" w:hAnsi="宋体" w:cs="宋体"/>
          <w:bCs/>
          <w:sz w:val="24"/>
          <w:szCs w:val="24"/>
        </w:rPr>
        <w:t>)在由西安华力达项目管理有限公司组织竞争性谈判采购，</w:t>
      </w:r>
      <w:r>
        <w:rPr>
          <w:rFonts w:hint="eastAsia" w:ascii="宋体" w:hAnsi="宋体" w:cs="宋体"/>
          <w:bCs/>
          <w:sz w:val="24"/>
          <w:szCs w:val="24"/>
          <w:u w:val="single"/>
        </w:rPr>
        <w:t>西安文理学院</w:t>
      </w:r>
      <w:r>
        <w:rPr>
          <w:rFonts w:hint="eastAsia" w:ascii="宋体" w:hAnsi="宋体" w:cs="宋体"/>
          <w:bCs/>
          <w:sz w:val="24"/>
          <w:szCs w:val="24"/>
        </w:rPr>
        <w:t>(以下简称“甲方”)确定</w:t>
      </w:r>
      <w:r>
        <w:rPr>
          <w:rFonts w:hint="eastAsia" w:ascii="宋体" w:hAnsi="宋体" w:cs="宋体"/>
          <w:bCs/>
          <w:sz w:val="24"/>
          <w:szCs w:val="24"/>
          <w:u w:val="single"/>
        </w:rPr>
        <w:t xml:space="preserve">           </w:t>
      </w:r>
      <w:r>
        <w:rPr>
          <w:rFonts w:hint="eastAsia" w:ascii="宋体" w:hAnsi="宋体" w:cs="宋体"/>
          <w:bCs/>
          <w:sz w:val="24"/>
          <w:szCs w:val="24"/>
        </w:rPr>
        <w:t>（以下简称“乙方”）为成交人。</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依据《中华人民共和国合同法》和《中华人民共和国政府采购法》，经双方协商按下述条款和条件签署本合同。</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一、合同价款</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（一）合同总价款为人民币（大写）</w:t>
      </w:r>
      <w:r>
        <w:rPr>
          <w:rFonts w:hint="eastAsia" w:ascii="宋体" w:hAnsi="宋体" w:cs="宋体"/>
          <w:bCs/>
          <w:sz w:val="24"/>
          <w:szCs w:val="24"/>
          <w:u w:val="single"/>
        </w:rPr>
        <w:t xml:space="preserve">        </w:t>
      </w:r>
      <w:r>
        <w:rPr>
          <w:rFonts w:hint="eastAsia" w:ascii="宋体" w:hAnsi="宋体" w:cs="宋体"/>
          <w:bCs/>
          <w:sz w:val="24"/>
          <w:szCs w:val="24"/>
        </w:rPr>
        <w:t>（￥</w:t>
      </w:r>
      <w:r>
        <w:rPr>
          <w:rFonts w:hint="eastAsia" w:ascii="宋体" w:hAnsi="宋体" w:cs="宋体"/>
          <w:bCs/>
          <w:sz w:val="24"/>
          <w:szCs w:val="24"/>
          <w:u w:val="single"/>
        </w:rPr>
        <w:t xml:space="preserve">      </w:t>
      </w:r>
      <w:r>
        <w:rPr>
          <w:rFonts w:hint="eastAsia" w:ascii="宋体" w:hAnsi="宋体" w:cs="宋体"/>
          <w:bCs/>
          <w:sz w:val="24"/>
          <w:szCs w:val="24"/>
        </w:rPr>
        <w:t>）。</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（二）合同总价包括：</w:t>
      </w:r>
      <w:r>
        <w:rPr>
          <w:rFonts w:hint="eastAsia" w:ascii="宋体" w:hAnsi="宋体" w:cs="宋体"/>
          <w:sz w:val="24"/>
          <w:szCs w:val="24"/>
          <w:lang w:val="zh-CN"/>
        </w:rPr>
        <w:t>完成本次</w:t>
      </w:r>
      <w:r>
        <w:rPr>
          <w:rFonts w:hint="eastAsia" w:ascii="宋体" w:hAnsi="宋体" w:cs="宋体"/>
          <w:sz w:val="24"/>
          <w:szCs w:val="24"/>
        </w:rPr>
        <w:t>采购</w:t>
      </w:r>
      <w:r>
        <w:rPr>
          <w:rFonts w:hint="eastAsia" w:ascii="宋体" w:hAnsi="宋体" w:cs="宋体"/>
          <w:sz w:val="24"/>
          <w:szCs w:val="24"/>
          <w:lang w:val="zh-CN"/>
        </w:rPr>
        <w:t>所要求的货物、服务且验收合格的所有费用，包括产品费、安装调试费、运杂费（含保险）、仓储保管费、施工费、人工费、拆装费、税金、验收费国家按现行税收政策征收的一切税费等。</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（三）合同总价一次性包死，不受市场价格变化因素的影响。</w:t>
      </w:r>
    </w:p>
    <w:p>
      <w:pPr>
        <w:autoSpaceDE w:val="0"/>
        <w:autoSpaceDN w:val="0"/>
        <w:adjustRightInd w:val="0"/>
        <w:spacing w:line="360" w:lineRule="auto"/>
        <w:ind w:firstLine="482" w:firstLineChars="200"/>
        <w:outlineLvl w:val="1"/>
        <w:rPr>
          <w:rFonts w:ascii="宋体" w:hAnsi="宋体" w:cs="宋体"/>
          <w:bCs/>
          <w:sz w:val="24"/>
          <w:szCs w:val="24"/>
        </w:rPr>
      </w:pPr>
      <w:r>
        <w:rPr>
          <w:rFonts w:hint="eastAsia" w:ascii="宋体" w:hAnsi="宋体" w:cs="宋体"/>
          <w:b/>
          <w:bCs/>
          <w:sz w:val="24"/>
          <w:szCs w:val="24"/>
        </w:rPr>
        <w:t>二、产品清单</w:t>
      </w:r>
      <w:r>
        <w:rPr>
          <w:rFonts w:hint="eastAsia" w:ascii="宋体" w:hAnsi="宋体" w:cs="宋体"/>
          <w:bCs/>
          <w:sz w:val="24"/>
          <w:szCs w:val="24"/>
        </w:rPr>
        <w:t>（附后）</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三、款项结算</w:t>
      </w:r>
    </w:p>
    <w:p>
      <w:pPr>
        <w:spacing w:line="400" w:lineRule="exact"/>
        <w:ind w:firstLine="480" w:firstLineChars="200"/>
        <w:rPr>
          <w:rFonts w:ascii="宋体" w:hAnsi="宋体"/>
          <w:bCs/>
          <w:sz w:val="24"/>
          <w:szCs w:val="28"/>
        </w:rPr>
      </w:pPr>
      <w:r>
        <w:rPr>
          <w:rFonts w:hint="eastAsia" w:ascii="宋体" w:hAnsi="宋体"/>
          <w:bCs/>
          <w:sz w:val="24"/>
          <w:szCs w:val="28"/>
        </w:rPr>
        <w:t>（一）付款方式：</w:t>
      </w:r>
      <w:r>
        <w:rPr>
          <w:rFonts w:hint="eastAsia" w:ascii="宋体" w:hAnsi="宋体"/>
          <w:bCs/>
          <w:sz w:val="24"/>
          <w:szCs w:val="28"/>
          <w:u w:val="single"/>
        </w:rPr>
        <w:t xml:space="preserve">                                         </w:t>
      </w:r>
      <w:r>
        <w:rPr>
          <w:rFonts w:hint="eastAsia" w:ascii="宋体" w:hAnsi="宋体"/>
          <w:bCs/>
          <w:sz w:val="24"/>
          <w:szCs w:val="28"/>
        </w:rPr>
        <w:t>。</w:t>
      </w:r>
    </w:p>
    <w:p>
      <w:pPr>
        <w:tabs>
          <w:tab w:val="left" w:pos="480"/>
        </w:tabs>
        <w:spacing w:line="400" w:lineRule="exact"/>
        <w:ind w:firstLine="480" w:firstLineChars="200"/>
        <w:rPr>
          <w:rFonts w:ascii="宋体" w:hAnsi="宋体"/>
          <w:bCs/>
          <w:sz w:val="24"/>
          <w:szCs w:val="21"/>
        </w:rPr>
      </w:pPr>
      <w:r>
        <w:rPr>
          <w:rFonts w:hint="eastAsia" w:ascii="宋体" w:hAnsi="宋体"/>
          <w:sz w:val="24"/>
          <w:szCs w:val="21"/>
        </w:rPr>
        <w:t>（二）支付方式：银行转帐。</w:t>
      </w:r>
    </w:p>
    <w:p>
      <w:pPr>
        <w:autoSpaceDE w:val="0"/>
        <w:autoSpaceDN w:val="0"/>
        <w:adjustRightInd w:val="0"/>
        <w:spacing w:line="360" w:lineRule="auto"/>
        <w:ind w:firstLine="480" w:firstLineChars="200"/>
        <w:outlineLvl w:val="1"/>
        <w:rPr>
          <w:rFonts w:ascii="宋体" w:hAnsi="宋体" w:cs="宋体"/>
          <w:b/>
          <w:bCs/>
          <w:sz w:val="24"/>
          <w:szCs w:val="24"/>
        </w:rPr>
      </w:pPr>
      <w:r>
        <w:rPr>
          <w:rFonts w:hint="eastAsia" w:ascii="宋体" w:hAnsi="宋体" w:cs="宋体"/>
          <w:bCs/>
          <w:sz w:val="24"/>
          <w:szCs w:val="24"/>
        </w:rPr>
        <w:t>四、双方的权利</w:t>
      </w:r>
      <w:r>
        <w:rPr>
          <w:rFonts w:hint="eastAsia" w:ascii="宋体" w:hAnsi="宋体" w:cs="宋体"/>
          <w:b/>
          <w:bCs/>
          <w:sz w:val="24"/>
          <w:szCs w:val="24"/>
        </w:rPr>
        <w:t>和义务</w:t>
      </w:r>
    </w:p>
    <w:p>
      <w:pPr>
        <w:autoSpaceDE w:val="0"/>
        <w:autoSpaceDN w:val="0"/>
        <w:adjustRightInd w:val="0"/>
        <w:spacing w:line="360" w:lineRule="auto"/>
        <w:ind w:firstLine="480" w:firstLineChars="200"/>
        <w:outlineLvl w:val="2"/>
        <w:rPr>
          <w:rFonts w:ascii="宋体" w:hAnsi="宋体" w:cs="宋体"/>
          <w:bCs/>
          <w:sz w:val="24"/>
          <w:szCs w:val="24"/>
        </w:rPr>
      </w:pPr>
      <w:r>
        <w:rPr>
          <w:rFonts w:hint="eastAsia" w:ascii="宋体" w:hAnsi="宋体" w:cs="宋体"/>
          <w:bCs/>
          <w:sz w:val="24"/>
          <w:szCs w:val="24"/>
        </w:rPr>
        <w:t>（一）甲方的权利与义务</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1.甲方提供安装条件其中包括水、电、气到位。</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2.甲方在收到货物通知后，应按谈判文件的需求进行核实，如发现不符合合同规定或短缺，及时提出，甲方在收到货后，组织人员按提供的技术参数指标进行验收，逾期未提出异议，则视为验收合格。甲方必须按交货时间交付乙方安装现场，并现场配合。</w:t>
      </w:r>
    </w:p>
    <w:p>
      <w:pPr>
        <w:autoSpaceDE w:val="0"/>
        <w:autoSpaceDN w:val="0"/>
        <w:adjustRightInd w:val="0"/>
        <w:spacing w:line="360" w:lineRule="auto"/>
        <w:ind w:firstLine="480" w:firstLineChars="200"/>
        <w:outlineLvl w:val="2"/>
        <w:rPr>
          <w:rFonts w:ascii="宋体" w:hAnsi="宋体" w:cs="宋体"/>
          <w:bCs/>
          <w:sz w:val="24"/>
          <w:szCs w:val="24"/>
        </w:rPr>
      </w:pPr>
      <w:r>
        <w:rPr>
          <w:rFonts w:hint="eastAsia" w:ascii="宋体" w:hAnsi="宋体" w:cs="宋体"/>
          <w:bCs/>
          <w:sz w:val="24"/>
          <w:szCs w:val="24"/>
        </w:rPr>
        <w:t>（二）乙方的权利与义务</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1.乙方负责产品安装与调试在合同约定的时间完工。</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2.乙方所提供的产品必须是采购需求产品，运输及安装全过程中的安全由乙方负责。</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3.在作业现场安装及调试过程中，乙方应积极配合甲方与水、电、气安装人员进行配合，最终完成产品的安装调试（联调）工作。</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五、交货地点及供货周期</w:t>
      </w:r>
    </w:p>
    <w:p>
      <w:pPr>
        <w:autoSpaceDE w:val="0"/>
        <w:autoSpaceDN w:val="0"/>
        <w:adjustRightInd w:val="0"/>
        <w:spacing w:line="360" w:lineRule="auto"/>
        <w:ind w:firstLine="480" w:firstLineChars="200"/>
        <w:rPr>
          <w:rFonts w:ascii="宋体" w:hAnsi="宋体" w:cs="宋体"/>
          <w:bCs/>
          <w:color w:val="FF0000"/>
          <w:sz w:val="24"/>
          <w:szCs w:val="24"/>
        </w:rPr>
      </w:pPr>
      <w:r>
        <w:rPr>
          <w:rFonts w:hint="eastAsia" w:ascii="宋体" w:hAnsi="宋体" w:cs="宋体"/>
          <w:bCs/>
          <w:sz w:val="24"/>
          <w:szCs w:val="24"/>
        </w:rPr>
        <w:t>（一）交货地点：</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color w:val="000000"/>
          <w:sz w:val="24"/>
          <w:szCs w:val="24"/>
        </w:rPr>
        <w:t>（二）</w:t>
      </w:r>
      <w:r>
        <w:rPr>
          <w:rFonts w:hint="eastAsia" w:ascii="宋体" w:hAnsi="宋体" w:cs="宋体"/>
          <w:sz w:val="24"/>
          <w:szCs w:val="24"/>
        </w:rPr>
        <w:t>供货周期：</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六、运输</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（一）乙方负责所有产品的运输，确保采购产品安全、完整到达甲方指定地点。运杂费用已包含在合同总价内，包括从产品供应地点所含的运输费、装卸费、仓储费、保险费等。</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（二）运输方式由乙方自行选择，但必须保证按期交货所有采购货物在运输、搬运的过程中，造成甲方损失的，由乙方为甲方修复或更新。</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七、质量保证</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（一）乙方选用的产品保证技术指标先进、质量性能可靠、进货渠道正常，配置合理，满足谈判文件要求。</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（二）产品符合国家有关规范要求，确保整个产品达到最佳运行状态。</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（三）各种产品具有良好的外观，适合各种安装场所的使用。</w:t>
      </w:r>
    </w:p>
    <w:p>
      <w:pPr>
        <w:autoSpaceDE w:val="0"/>
        <w:autoSpaceDN w:val="0"/>
        <w:adjustRightInd w:val="0"/>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（四）产品自安装、调试正常运行并验收合格之日起：</w:t>
      </w:r>
    </w:p>
    <w:p>
      <w:pPr>
        <w:autoSpaceDE w:val="0"/>
        <w:autoSpaceDN w:val="0"/>
        <w:adjustRightInd w:val="0"/>
        <w:spacing w:line="360" w:lineRule="auto"/>
        <w:ind w:firstLine="600" w:firstLineChars="250"/>
        <w:rPr>
          <w:rFonts w:ascii="宋体" w:hAnsi="宋体" w:cs="宋体"/>
          <w:bCs/>
          <w:color w:val="000000"/>
          <w:sz w:val="24"/>
          <w:szCs w:val="24"/>
        </w:rPr>
      </w:pPr>
      <w:r>
        <w:rPr>
          <w:rFonts w:hint="eastAsia" w:ascii="宋体" w:hAnsi="宋体" w:cs="宋体"/>
          <w:bCs/>
          <w:color w:val="000000"/>
          <w:sz w:val="24"/>
          <w:szCs w:val="24"/>
        </w:rPr>
        <w:t>1.免费保修</w:t>
      </w:r>
      <w:r>
        <w:rPr>
          <w:rFonts w:hint="eastAsia" w:ascii="宋体" w:hAnsi="宋体" w:cs="宋体"/>
          <w:bCs/>
          <w:color w:val="000000"/>
          <w:sz w:val="24"/>
          <w:szCs w:val="24"/>
          <w:u w:val="single"/>
        </w:rPr>
        <w:t xml:space="preserve">    </w:t>
      </w:r>
      <w:r>
        <w:rPr>
          <w:rFonts w:hint="eastAsia" w:ascii="宋体" w:hAnsi="宋体" w:cs="宋体"/>
          <w:bCs/>
          <w:color w:val="000000"/>
          <w:sz w:val="24"/>
          <w:szCs w:val="24"/>
        </w:rPr>
        <w:t>年，终身维护，免费保修期内，同一主要部件出现质量问题经过两次维修后仍无法正常使用，可以更换同型号、同规格的产品，服务响应时间不超过2小时（工作日），解决问题不超过2小时（工作日），对问题较大短期内暂不能解决的，为不影响甲方正常工作，乙方在三日内免费提供替代产品，确保产品正常运行；</w:t>
      </w:r>
    </w:p>
    <w:p>
      <w:pPr>
        <w:autoSpaceDE w:val="0"/>
        <w:autoSpaceDN w:val="0"/>
        <w:adjustRightInd w:val="0"/>
        <w:spacing w:line="360" w:lineRule="auto"/>
        <w:ind w:firstLine="600" w:firstLineChars="250"/>
        <w:rPr>
          <w:rFonts w:ascii="宋体" w:hAnsi="宋体" w:cs="宋体"/>
          <w:bCs/>
          <w:sz w:val="24"/>
          <w:szCs w:val="24"/>
        </w:rPr>
      </w:pPr>
      <w:r>
        <w:rPr>
          <w:rFonts w:hint="eastAsia" w:ascii="宋体" w:hAnsi="宋体" w:cs="宋体"/>
          <w:bCs/>
          <w:sz w:val="24"/>
          <w:szCs w:val="24"/>
        </w:rPr>
        <w:t>2.30天内，如出现质量问题，可以选择换货或退货；</w:t>
      </w:r>
    </w:p>
    <w:p>
      <w:pPr>
        <w:autoSpaceDE w:val="0"/>
        <w:autoSpaceDN w:val="0"/>
        <w:adjustRightInd w:val="0"/>
        <w:spacing w:line="360" w:lineRule="auto"/>
        <w:ind w:firstLine="600" w:firstLineChars="250"/>
        <w:rPr>
          <w:rFonts w:ascii="宋体" w:hAnsi="宋体" w:cs="宋体"/>
          <w:bCs/>
          <w:sz w:val="24"/>
          <w:szCs w:val="24"/>
        </w:rPr>
      </w:pPr>
      <w:r>
        <w:rPr>
          <w:rFonts w:hint="eastAsia" w:ascii="宋体" w:hAnsi="宋体" w:cs="宋体"/>
          <w:bCs/>
          <w:sz w:val="24"/>
          <w:szCs w:val="24"/>
        </w:rPr>
        <w:t>3.30至60天内，如出现质量问题，可选择换货。</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八、售后服务</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（一）质保期内：</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1.乙方所供产品发生质量问题，接到甲方通知后，应于当日派出专业的维修人员到产品现场进行检测维修，发生的全部费用由乙方承担，若需将产品送回生产厂，乙方承担往返费用；</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2.乙方定期派技术人员到产品现场走访，对产品给予检查维护；</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3.乙方排除产品故障的期限不得超过48小时（工作日）。否则甲方有权指定第三方维修，维修费用由乙方承担。</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（二）质保期结束前，乙方应对所供产品进行系统测试，全面保养维护，维护内容包括：检查所有产品的各类连接件等，确保产品的正常运行。</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九、技术与服务</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（一）技术资料：</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1.产品合格证；</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 xml:space="preserve">2.产品使用说明书（中文）； </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3.调试记录，测试报告；</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4.其它资料等。</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（二）服务承诺：以谈判文件、澄清表、合同和随产品的相关文件为准，但至少应包括：</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1.乙方对其所售产品负责备品配件的供应,长期提供有偿维修、技术咨询等服务。</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2.服务响应时限：7*24小时服务。</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3.派专人对所供产品提供售后服务，并每月定期对所供产品进行巡检，做好巡检记录。</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4.在产品安装过程中，应注意用水、用电、用气的安全，安装人员出现伤亡事故由乙方自行承担。</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（三）人员培训：当产品安装调试结束后，乙方应对所使用人员进行培训，确保采购人能独立使用。</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十、违约责任</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（一）按《合同法》中的相关条款执行。</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（二）乙方工期每超过一天，扣除乙方合同总价款的0.2%，迟交产品超过30天，甲方有权拒收产品。</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三）按合同要求提供产品或产品质量不能满足采购技术要求，乙方必须无条件更换产品，提高技术，完善质量，否则，甲方会同监督机构、采购代理机构有权终止合同并对乙方违约行为进行追究，同时按政府采购供应商管理办法进行相应的处罚。</w:t>
      </w:r>
    </w:p>
    <w:p>
      <w:pPr>
        <w:autoSpaceDE w:val="0"/>
        <w:autoSpaceDN w:val="0"/>
        <w:adjustRightInd w:val="0"/>
        <w:snapToGrid w:val="0"/>
        <w:spacing w:line="360" w:lineRule="auto"/>
        <w:ind w:firstLine="630"/>
        <w:rPr>
          <w:rFonts w:ascii="宋体" w:hAnsi="宋体" w:cs="宋体"/>
          <w:bCs/>
          <w:sz w:val="24"/>
          <w:szCs w:val="24"/>
        </w:rPr>
      </w:pPr>
      <w:r>
        <w:rPr>
          <w:rFonts w:hint="eastAsia" w:ascii="宋体" w:hAnsi="宋体" w:cs="宋体"/>
          <w:bCs/>
          <w:sz w:val="24"/>
          <w:szCs w:val="24"/>
        </w:rPr>
        <w:t>（四）任何一方因不可抗力原因不能履行协议时，应尽快通知对方，双方均设法补偿。如仍无法履约协议，可协商延缓或撤销协议，双方责任免除。</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十一、验收</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（一）项目验收：所有货物安装、调试完毕，正常使用后，由成交人、采购人、监督机构三方进行验收，合格后签发《验收合格证明书》。</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（二）验收不合格的成交人，必须在接到通知后7个日历日内整改，确保货物通过验收。如接到通知后7个日历日内验收仍不合格，采购人可提出索赔或取消其供货合同。</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（三）验收依据</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1.产品合格证；</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 xml:space="preserve">2.产品使用说明书（中文）； </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3.调试记录，测试报告；</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4.其它资料等。</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十二、合同争议解决的方式</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本合同在履行过程中发生的争议，由甲、乙双方当事人协商解决，协商不成的按下列第</w:t>
      </w:r>
      <w:r>
        <w:rPr>
          <w:rFonts w:hint="eastAsia" w:ascii="宋体" w:hAnsi="宋体" w:cs="宋体"/>
          <w:bCs/>
          <w:sz w:val="24"/>
          <w:szCs w:val="24"/>
          <w:u w:val="single"/>
        </w:rPr>
        <w:t>（二）</w:t>
      </w:r>
      <w:r>
        <w:rPr>
          <w:rFonts w:hint="eastAsia" w:ascii="宋体" w:hAnsi="宋体" w:cs="宋体"/>
          <w:bCs/>
          <w:sz w:val="24"/>
          <w:szCs w:val="24"/>
        </w:rPr>
        <w:t>种方式解决：</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（一）提交仲裁委员会仲裁；</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（二）依法向甲方所在地人民法院起诉。</w:t>
      </w:r>
    </w:p>
    <w:p>
      <w:pPr>
        <w:autoSpaceDE w:val="0"/>
        <w:autoSpaceDN w:val="0"/>
        <w:adjustRightInd w:val="0"/>
        <w:spacing w:line="360" w:lineRule="auto"/>
        <w:ind w:firstLine="482" w:firstLineChars="200"/>
        <w:outlineLvl w:val="1"/>
        <w:rPr>
          <w:rFonts w:ascii="宋体" w:hAnsi="宋体" w:cs="宋体"/>
          <w:b/>
          <w:bCs/>
          <w:sz w:val="24"/>
          <w:szCs w:val="24"/>
        </w:rPr>
      </w:pPr>
      <w:r>
        <w:rPr>
          <w:rFonts w:hint="eastAsia" w:ascii="宋体" w:hAnsi="宋体" w:cs="宋体"/>
          <w:b/>
          <w:bCs/>
          <w:sz w:val="24"/>
          <w:szCs w:val="24"/>
        </w:rPr>
        <w:t>十三、合同生效</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（一）本合同经双方签字盖章后生效。</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（二）本合同须经甲、乙双方的法定代表人（授权代理人）在合同书上签字并加盖本单位公章后正式生效。</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（三）合同生效后，甲、乙双方须严格执行本合同条款的规定，全面履行合同，违者按《中华人民共和国合同法》的有关规定承担相应责任。</w:t>
      </w:r>
    </w:p>
    <w:p>
      <w:pPr>
        <w:autoSpaceDE w:val="0"/>
        <w:autoSpaceDN w:val="0"/>
        <w:adjustRightInd w:val="0"/>
        <w:spacing w:line="360" w:lineRule="auto"/>
        <w:ind w:firstLine="480" w:firstLineChars="200"/>
        <w:rPr>
          <w:rFonts w:ascii="宋体" w:hAnsi="宋体" w:cs="宋体"/>
          <w:bCs/>
          <w:sz w:val="24"/>
          <w:szCs w:val="24"/>
        </w:rPr>
      </w:pPr>
      <w:r>
        <w:rPr>
          <w:rFonts w:hint="eastAsia" w:ascii="宋体" w:hAnsi="宋体" w:cs="宋体"/>
          <w:bCs/>
          <w:sz w:val="24"/>
          <w:szCs w:val="24"/>
        </w:rPr>
        <w:t>（四）本合同一式</w:t>
      </w:r>
      <w:r>
        <w:rPr>
          <w:rFonts w:hint="eastAsia" w:ascii="宋体" w:hAnsi="宋体" w:cs="宋体"/>
          <w:bCs/>
          <w:sz w:val="24"/>
          <w:szCs w:val="24"/>
          <w:u w:val="single"/>
        </w:rPr>
        <w:t xml:space="preserve">   </w:t>
      </w:r>
      <w:r>
        <w:rPr>
          <w:rFonts w:hint="eastAsia" w:ascii="宋体" w:hAnsi="宋体" w:cs="宋体"/>
          <w:bCs/>
          <w:sz w:val="24"/>
          <w:szCs w:val="24"/>
        </w:rPr>
        <w:t>份，甲乙双方各执</w:t>
      </w:r>
      <w:r>
        <w:rPr>
          <w:rFonts w:hint="eastAsia" w:ascii="宋体" w:hAnsi="宋体" w:cs="宋体"/>
          <w:bCs/>
          <w:sz w:val="24"/>
          <w:szCs w:val="24"/>
          <w:u w:val="single"/>
        </w:rPr>
        <w:t xml:space="preserve">    </w:t>
      </w:r>
      <w:r>
        <w:rPr>
          <w:rFonts w:hint="eastAsia" w:ascii="宋体" w:hAnsi="宋体" w:cs="宋体"/>
          <w:bCs/>
          <w:sz w:val="24"/>
          <w:szCs w:val="24"/>
        </w:rPr>
        <w:t>份。</w:t>
      </w:r>
    </w:p>
    <w:p>
      <w:pPr>
        <w:autoSpaceDE w:val="0"/>
        <w:autoSpaceDN w:val="0"/>
        <w:adjustRightInd w:val="0"/>
        <w:spacing w:line="360" w:lineRule="auto"/>
        <w:ind w:firstLine="480" w:firstLineChars="200"/>
        <w:rPr>
          <w:rFonts w:ascii="宋体" w:hAnsi="宋体" w:cs="宋体"/>
          <w:spacing w:val="-20"/>
          <w:kern w:val="0"/>
          <w:sz w:val="24"/>
          <w:szCs w:val="24"/>
        </w:rPr>
      </w:pPr>
      <w:r>
        <w:rPr>
          <w:rFonts w:hint="eastAsia" w:ascii="宋体" w:hAnsi="宋体" w:cs="宋体"/>
          <w:bCs/>
          <w:sz w:val="24"/>
          <w:szCs w:val="24"/>
        </w:rPr>
        <w:t>（五）本合同如有未尽事宜，甲、乙双方协商解决。</w:t>
      </w:r>
    </w:p>
    <w:tbl>
      <w:tblPr>
        <w:tblStyle w:val="20"/>
        <w:tblW w:w="0" w:type="auto"/>
        <w:jc w:val="center"/>
        <w:tblLayout w:type="fixed"/>
        <w:tblCellMar>
          <w:top w:w="0" w:type="dxa"/>
          <w:left w:w="108" w:type="dxa"/>
          <w:bottom w:w="0" w:type="dxa"/>
          <w:right w:w="108" w:type="dxa"/>
        </w:tblCellMar>
      </w:tblPr>
      <w:tblGrid>
        <w:gridCol w:w="4201"/>
        <w:gridCol w:w="4202"/>
      </w:tblGrid>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甲  方</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乙  方</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ind w:firstLine="700" w:firstLineChars="350"/>
              <w:rPr>
                <w:rFonts w:ascii="宋体" w:hAnsi="宋体" w:cs="宋体"/>
                <w:spacing w:val="-20"/>
                <w:kern w:val="0"/>
                <w:sz w:val="24"/>
                <w:szCs w:val="24"/>
              </w:rPr>
            </w:pPr>
            <w:r>
              <w:rPr>
                <w:rFonts w:hint="eastAsia" w:ascii="宋体" w:hAnsi="宋体" w:cs="宋体"/>
                <w:spacing w:val="-20"/>
                <w:kern w:val="0"/>
                <w:sz w:val="24"/>
                <w:szCs w:val="24"/>
              </w:rPr>
              <w:t>（盖章）</w:t>
            </w:r>
          </w:p>
        </w:tc>
        <w:tc>
          <w:tcPr>
            <w:tcW w:w="4202" w:type="dxa"/>
            <w:vAlign w:val="center"/>
          </w:tcPr>
          <w:p>
            <w:pPr>
              <w:autoSpaceDE w:val="0"/>
              <w:autoSpaceDN w:val="0"/>
              <w:adjustRightInd w:val="0"/>
              <w:ind w:firstLine="800" w:firstLineChars="400"/>
              <w:rPr>
                <w:rFonts w:ascii="宋体" w:hAnsi="宋体" w:cs="宋体"/>
                <w:spacing w:val="-20"/>
                <w:kern w:val="0"/>
                <w:sz w:val="24"/>
                <w:szCs w:val="24"/>
              </w:rPr>
            </w:pPr>
            <w:r>
              <w:rPr>
                <w:rFonts w:hint="eastAsia" w:ascii="宋体" w:hAnsi="宋体" w:cs="宋体"/>
                <w:spacing w:val="-20"/>
                <w:kern w:val="0"/>
                <w:sz w:val="24"/>
                <w:szCs w:val="24"/>
              </w:rPr>
              <w:t>（盖章）</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 xml:space="preserve">地址： </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地址：</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邮编：</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邮编：</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 xml:space="preserve">法定代表人： </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法定代表人：</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被授权代表：</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被授权代表：</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电话：</w:t>
            </w:r>
          </w:p>
        </w:tc>
        <w:tc>
          <w:tcPr>
            <w:tcW w:w="4202" w:type="dxa"/>
            <w:vAlign w:val="center"/>
          </w:tcPr>
          <w:p>
            <w:pPr>
              <w:autoSpaceDE w:val="0"/>
              <w:autoSpaceDN w:val="0"/>
              <w:adjustRightInd w:val="0"/>
              <w:ind w:left="600" w:hanging="600" w:hangingChars="300"/>
              <w:rPr>
                <w:rFonts w:ascii="宋体" w:hAnsi="宋体" w:cs="宋体"/>
                <w:spacing w:val="-20"/>
                <w:kern w:val="0"/>
                <w:sz w:val="24"/>
                <w:szCs w:val="24"/>
              </w:rPr>
            </w:pPr>
            <w:r>
              <w:rPr>
                <w:rFonts w:hint="eastAsia" w:ascii="宋体" w:hAnsi="宋体" w:cs="宋体"/>
                <w:spacing w:val="-20"/>
                <w:kern w:val="0"/>
                <w:sz w:val="24"/>
                <w:szCs w:val="24"/>
              </w:rPr>
              <w:t>电话：</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传真：</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传真：</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开户银行：</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开户银行：</w:t>
            </w:r>
          </w:p>
        </w:tc>
      </w:tr>
      <w:tr>
        <w:tblPrEx>
          <w:tblCellMar>
            <w:top w:w="0" w:type="dxa"/>
            <w:left w:w="108" w:type="dxa"/>
            <w:bottom w:w="0" w:type="dxa"/>
            <w:right w:w="108" w:type="dxa"/>
          </w:tblCellMar>
        </w:tblPrEx>
        <w:trPr>
          <w:trHeight w:val="567" w:hRule="exact"/>
          <w:jc w:val="center"/>
        </w:trPr>
        <w:tc>
          <w:tcPr>
            <w:tcW w:w="4201"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日期：</w:t>
            </w:r>
          </w:p>
        </w:tc>
        <w:tc>
          <w:tcPr>
            <w:tcW w:w="4202" w:type="dxa"/>
            <w:vAlign w:val="center"/>
          </w:tcPr>
          <w:p>
            <w:pPr>
              <w:autoSpaceDE w:val="0"/>
              <w:autoSpaceDN w:val="0"/>
              <w:adjustRightInd w:val="0"/>
              <w:rPr>
                <w:rFonts w:ascii="宋体" w:hAnsi="宋体" w:cs="宋体"/>
                <w:spacing w:val="-20"/>
                <w:kern w:val="0"/>
                <w:sz w:val="24"/>
                <w:szCs w:val="24"/>
              </w:rPr>
            </w:pPr>
            <w:r>
              <w:rPr>
                <w:rFonts w:hint="eastAsia" w:ascii="宋体" w:hAnsi="宋体" w:cs="宋体"/>
                <w:spacing w:val="-20"/>
                <w:kern w:val="0"/>
                <w:sz w:val="24"/>
                <w:szCs w:val="24"/>
              </w:rPr>
              <w:t>日期：</w:t>
            </w:r>
          </w:p>
        </w:tc>
      </w:tr>
    </w:tbl>
    <w:p>
      <w:pPr>
        <w:ind w:firstLine="480" w:firstLineChars="200"/>
        <w:rPr>
          <w:rFonts w:ascii="宋体" w:hAnsi="宋体" w:cs="宋体"/>
          <w:bCs/>
          <w:sz w:val="24"/>
        </w:rPr>
      </w:pPr>
    </w:p>
    <w:p>
      <w:pPr>
        <w:ind w:firstLine="480" w:firstLineChars="200"/>
        <w:rPr>
          <w:rFonts w:ascii="宋体" w:hAnsi="宋体" w:cs="宋体"/>
          <w:bCs/>
          <w:sz w:val="24"/>
        </w:rPr>
      </w:pPr>
      <w:r>
        <w:rPr>
          <w:rFonts w:hint="eastAsia" w:ascii="宋体" w:hAnsi="宋体" w:cs="宋体"/>
          <w:bCs/>
          <w:sz w:val="24"/>
        </w:rPr>
        <w:t>备注：合同模板仅供参考，具体以实际签订合同为准。</w:t>
      </w: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bCs/>
          <w:sz w:val="24"/>
        </w:rPr>
      </w:pPr>
    </w:p>
    <w:p>
      <w:pPr>
        <w:pStyle w:val="7"/>
        <w:rPr>
          <w:rFonts w:ascii="宋体" w:hAnsi="宋体" w:cs="宋体"/>
          <w:bCs/>
          <w:sz w:val="24"/>
        </w:rPr>
      </w:pPr>
    </w:p>
    <w:p>
      <w:pPr>
        <w:rPr>
          <w:rFonts w:ascii="宋体" w:hAnsi="宋体" w:cs="宋体"/>
        </w:rPr>
      </w:pPr>
    </w:p>
    <w:p>
      <w:pPr>
        <w:pStyle w:val="7"/>
        <w:rPr>
          <w:rFonts w:ascii="宋体" w:hAnsi="宋体" w:cs="宋体"/>
          <w:bCs/>
          <w:sz w:val="24"/>
        </w:rPr>
      </w:pPr>
    </w:p>
    <w:p>
      <w:pPr>
        <w:rPr>
          <w:rFonts w:ascii="宋体" w:hAnsi="宋体" w:cs="宋体"/>
          <w:bCs/>
          <w:sz w:val="24"/>
        </w:rPr>
      </w:pPr>
    </w:p>
    <w:p>
      <w:pPr>
        <w:pStyle w:val="7"/>
        <w:rPr>
          <w:rFonts w:ascii="宋体" w:hAnsi="宋体" w:cs="宋体"/>
        </w:rPr>
      </w:pPr>
    </w:p>
    <w:p>
      <w:pPr>
        <w:pStyle w:val="3"/>
        <w:jc w:val="center"/>
        <w:rPr>
          <w:rStyle w:val="29"/>
          <w:rFonts w:ascii="宋体" w:hAnsi="宋体" w:cs="宋体"/>
          <w:b w:val="0"/>
        </w:rPr>
      </w:pPr>
      <w:bookmarkStart w:id="106" w:name="_Toc1359_WPSOffice_Level1"/>
      <w:bookmarkStart w:id="107" w:name="_Toc8845"/>
      <w:bookmarkStart w:id="108" w:name="_Toc9461"/>
      <w:bookmarkStart w:id="109" w:name="_Toc11169"/>
      <w:r>
        <w:rPr>
          <w:rStyle w:val="29"/>
          <w:rFonts w:hint="eastAsia" w:ascii="宋体" w:hAnsi="宋体" w:cs="宋体"/>
          <w:b/>
          <w:bCs/>
          <w:sz w:val="40"/>
          <w:szCs w:val="22"/>
        </w:rPr>
        <w:t>第六部分  竞争性谈判响应文件格式</w:t>
      </w:r>
      <w:bookmarkEnd w:id="106"/>
      <w:bookmarkEnd w:id="107"/>
      <w:bookmarkEnd w:id="108"/>
      <w:bookmarkEnd w:id="109"/>
    </w:p>
    <w:p>
      <w:pPr>
        <w:pStyle w:val="5"/>
        <w:spacing w:before="156" w:beforeLines="50"/>
        <w:ind w:right="280" w:firstLine="562"/>
        <w:jc w:val="right"/>
        <w:rPr>
          <w:rFonts w:ascii="宋体" w:hAnsi="宋体" w:cs="宋体"/>
          <w:b/>
          <w:sz w:val="28"/>
          <w:szCs w:val="28"/>
        </w:rPr>
      </w:pPr>
      <w:bookmarkStart w:id="110" w:name="_Toc674_WPSOffice_Level2"/>
      <w:bookmarkStart w:id="111" w:name="_Toc11012"/>
      <w:r>
        <w:rPr>
          <w:rFonts w:hint="eastAsia" w:ascii="宋体" w:hAnsi="宋体" w:cs="宋体"/>
          <w:b/>
          <w:sz w:val="28"/>
          <w:szCs w:val="28"/>
        </w:rPr>
        <w:t>正本/副本</w:t>
      </w:r>
      <w:bookmarkEnd w:id="110"/>
    </w:p>
    <w:p>
      <w:pPr>
        <w:spacing w:line="480" w:lineRule="auto"/>
        <w:rPr>
          <w:rFonts w:ascii="宋体" w:hAnsi="宋体" w:cs="宋体"/>
          <w:b/>
          <w:sz w:val="28"/>
          <w:szCs w:val="18"/>
        </w:rPr>
      </w:pPr>
      <w:bookmarkStart w:id="112" w:name="_Toc13930_WPSOffice_Level2"/>
      <w:r>
        <w:rPr>
          <w:rFonts w:hint="eastAsia" w:ascii="宋体" w:hAnsi="宋体" w:cs="宋体"/>
          <w:b/>
          <w:sz w:val="28"/>
          <w:szCs w:val="18"/>
        </w:rPr>
        <w:t>政府采购项目</w:t>
      </w:r>
      <w:bookmarkEnd w:id="112"/>
    </w:p>
    <w:p>
      <w:pPr>
        <w:spacing w:line="480" w:lineRule="auto"/>
        <w:rPr>
          <w:rFonts w:ascii="宋体" w:hAnsi="宋体" w:cs="宋体"/>
          <w:b/>
          <w:sz w:val="28"/>
          <w:szCs w:val="28"/>
        </w:rPr>
      </w:pPr>
      <w:bookmarkStart w:id="113" w:name="_Toc26175_WPSOffice_Level2"/>
      <w:r>
        <w:rPr>
          <w:rFonts w:hint="eastAsia" w:ascii="宋体" w:hAnsi="宋体" w:cs="宋体"/>
          <w:b/>
          <w:sz w:val="28"/>
          <w:szCs w:val="18"/>
        </w:rPr>
        <w:t>采购项目编号：</w:t>
      </w:r>
      <w:bookmarkEnd w:id="113"/>
      <w:r>
        <w:rPr>
          <w:rFonts w:hint="eastAsia" w:ascii="宋体" w:hAnsi="宋体" w:cs="宋体"/>
          <w:b/>
          <w:sz w:val="28"/>
          <w:szCs w:val="18"/>
        </w:rPr>
        <w:t>HLDZB2022-2021</w:t>
      </w:r>
      <w:r>
        <w:rPr>
          <w:rFonts w:hint="eastAsia" w:ascii="宋体" w:hAnsi="宋体" w:cs="宋体"/>
          <w:b/>
          <w:sz w:val="24"/>
          <w:szCs w:val="24"/>
        </w:rPr>
        <w:t xml:space="preserve">  </w:t>
      </w:r>
      <w:r>
        <w:rPr>
          <w:rFonts w:hint="eastAsia" w:ascii="宋体" w:hAnsi="宋体" w:cs="宋体"/>
          <w:b/>
          <w:sz w:val="28"/>
          <w:szCs w:val="28"/>
        </w:rPr>
        <w:t xml:space="preserve">           </w:t>
      </w:r>
      <w:bookmarkEnd w:id="111"/>
    </w:p>
    <w:p>
      <w:pPr>
        <w:spacing w:line="360" w:lineRule="auto"/>
        <w:rPr>
          <w:rFonts w:ascii="宋体" w:hAnsi="宋体" w:cs="宋体"/>
          <w:sz w:val="32"/>
          <w:szCs w:val="32"/>
        </w:rPr>
      </w:pPr>
    </w:p>
    <w:p>
      <w:pPr>
        <w:spacing w:line="360" w:lineRule="auto"/>
        <w:rPr>
          <w:rFonts w:ascii="宋体" w:hAnsi="宋体" w:cs="宋体"/>
          <w:sz w:val="32"/>
          <w:szCs w:val="32"/>
        </w:rPr>
      </w:pPr>
    </w:p>
    <w:p>
      <w:pPr>
        <w:spacing w:line="360" w:lineRule="auto"/>
        <w:jc w:val="center"/>
        <w:rPr>
          <w:rFonts w:ascii="宋体" w:hAnsi="宋体" w:cs="宋体"/>
          <w:sz w:val="32"/>
          <w:szCs w:val="32"/>
        </w:rPr>
      </w:pPr>
    </w:p>
    <w:p>
      <w:pPr>
        <w:adjustRightInd w:val="0"/>
        <w:snapToGrid w:val="0"/>
        <w:spacing w:line="360" w:lineRule="auto"/>
        <w:jc w:val="center"/>
        <w:rPr>
          <w:rFonts w:ascii="宋体" w:hAnsi="宋体" w:cs="宋体"/>
          <w:sz w:val="30"/>
        </w:rPr>
      </w:pPr>
      <w:r>
        <w:rPr>
          <w:rFonts w:hint="eastAsia" w:ascii="宋体" w:hAnsi="宋体" w:cs="宋体"/>
          <w:b/>
          <w:bCs/>
          <w:sz w:val="44"/>
          <w:szCs w:val="44"/>
        </w:rPr>
        <w:t>西安文理学院养老服务管理专业实训室采购项目</w:t>
      </w:r>
    </w:p>
    <w:p>
      <w:pPr>
        <w:adjustRightInd w:val="0"/>
        <w:snapToGrid w:val="0"/>
        <w:spacing w:line="360" w:lineRule="auto"/>
        <w:jc w:val="center"/>
        <w:rPr>
          <w:rFonts w:ascii="宋体" w:hAnsi="宋体" w:cs="宋体"/>
          <w:b/>
          <w:sz w:val="44"/>
          <w:szCs w:val="13"/>
        </w:rPr>
      </w:pPr>
    </w:p>
    <w:p>
      <w:pPr>
        <w:adjustRightInd w:val="0"/>
        <w:snapToGrid w:val="0"/>
        <w:spacing w:line="360" w:lineRule="auto"/>
        <w:jc w:val="center"/>
        <w:rPr>
          <w:rFonts w:ascii="宋体" w:hAnsi="宋体" w:cs="宋体"/>
          <w:b/>
          <w:sz w:val="44"/>
          <w:szCs w:val="13"/>
        </w:rPr>
      </w:pPr>
      <w:r>
        <w:rPr>
          <w:rFonts w:hint="eastAsia" w:ascii="宋体" w:hAnsi="宋体" w:cs="宋体"/>
          <w:b/>
          <w:sz w:val="44"/>
          <w:szCs w:val="13"/>
        </w:rPr>
        <w:t>竞争性谈判响应文件</w:t>
      </w:r>
    </w:p>
    <w:p>
      <w:pPr>
        <w:adjustRightInd w:val="0"/>
        <w:snapToGrid w:val="0"/>
        <w:spacing w:line="360" w:lineRule="auto"/>
        <w:jc w:val="center"/>
        <w:rPr>
          <w:rFonts w:ascii="宋体" w:hAnsi="宋体" w:cs="宋体"/>
          <w:sz w:val="30"/>
        </w:rPr>
      </w:pPr>
    </w:p>
    <w:p>
      <w:pPr>
        <w:adjustRightInd w:val="0"/>
        <w:snapToGrid w:val="0"/>
        <w:spacing w:line="360" w:lineRule="auto"/>
        <w:rPr>
          <w:rFonts w:ascii="宋体" w:hAnsi="宋体" w:cs="宋体"/>
          <w:sz w:val="30"/>
        </w:rPr>
      </w:pPr>
    </w:p>
    <w:p>
      <w:pPr>
        <w:adjustRightInd w:val="0"/>
        <w:snapToGrid w:val="0"/>
        <w:spacing w:line="360" w:lineRule="auto"/>
        <w:rPr>
          <w:rFonts w:ascii="宋体" w:hAnsi="宋体" w:cs="宋体"/>
          <w:sz w:val="30"/>
        </w:rPr>
      </w:pPr>
    </w:p>
    <w:p>
      <w:pPr>
        <w:pStyle w:val="5"/>
        <w:spacing w:before="156" w:beforeLines="50"/>
        <w:ind w:firstLine="1630" w:firstLineChars="580"/>
        <w:rPr>
          <w:rFonts w:ascii="宋体" w:hAnsi="宋体" w:cs="宋体"/>
          <w:b/>
          <w:bCs/>
          <w:sz w:val="28"/>
          <w:szCs w:val="28"/>
        </w:rPr>
      </w:pPr>
      <w:bookmarkStart w:id="114" w:name="_Toc18920_WPSOffice_Level2"/>
      <w:r>
        <w:rPr>
          <w:rFonts w:hint="eastAsia" w:ascii="宋体" w:hAnsi="宋体" w:cs="宋体"/>
          <w:b/>
          <w:bCs/>
          <w:sz w:val="28"/>
          <w:szCs w:val="28"/>
        </w:rPr>
        <w:t>供 应 商：</w:t>
      </w:r>
      <w:r>
        <w:rPr>
          <w:rFonts w:hint="eastAsia" w:ascii="宋体" w:hAnsi="宋体" w:cs="宋体"/>
          <w:b/>
          <w:bCs/>
          <w:sz w:val="28"/>
          <w:szCs w:val="28"/>
          <w:u w:val="single"/>
        </w:rPr>
        <w:t xml:space="preserve">                         </w:t>
      </w:r>
      <w:r>
        <w:rPr>
          <w:rFonts w:hint="eastAsia" w:ascii="宋体" w:hAnsi="宋体" w:cs="宋体"/>
          <w:b/>
          <w:bCs/>
          <w:sz w:val="28"/>
          <w:szCs w:val="28"/>
        </w:rPr>
        <w:t>（公章）</w:t>
      </w:r>
      <w:bookmarkEnd w:id="114"/>
    </w:p>
    <w:p>
      <w:pPr>
        <w:pStyle w:val="5"/>
        <w:spacing w:before="156" w:beforeLines="50"/>
        <w:ind w:firstLine="1630" w:firstLineChars="580"/>
        <w:rPr>
          <w:rFonts w:ascii="宋体" w:hAnsi="宋体" w:cs="宋体"/>
          <w:b/>
          <w:bCs/>
          <w:sz w:val="28"/>
          <w:szCs w:val="28"/>
        </w:rPr>
      </w:pPr>
      <w:bookmarkStart w:id="115" w:name="_Toc1893_WPSOffice_Level2"/>
      <w:r>
        <w:rPr>
          <w:rFonts w:hint="eastAsia" w:ascii="宋体" w:hAnsi="宋体" w:cs="宋体"/>
          <w:b/>
          <w:sz w:val="28"/>
          <w:szCs w:val="28"/>
        </w:rPr>
        <w:t>法定代表人或授权代表：</w:t>
      </w:r>
      <w:r>
        <w:rPr>
          <w:rFonts w:hint="eastAsia" w:ascii="宋体" w:hAnsi="宋体" w:cs="宋体"/>
          <w:b/>
          <w:sz w:val="28"/>
          <w:szCs w:val="28"/>
          <w:u w:val="single"/>
        </w:rPr>
        <w:t xml:space="preserve">             </w:t>
      </w:r>
      <w:r>
        <w:rPr>
          <w:rFonts w:hint="eastAsia" w:ascii="宋体" w:hAnsi="宋体" w:cs="宋体"/>
          <w:b/>
          <w:bCs/>
          <w:sz w:val="28"/>
          <w:szCs w:val="28"/>
        </w:rPr>
        <w:t>（签字）</w:t>
      </w:r>
      <w:bookmarkEnd w:id="115"/>
    </w:p>
    <w:p>
      <w:pPr>
        <w:pStyle w:val="5"/>
        <w:spacing w:before="156" w:beforeLines="50"/>
        <w:ind w:firstLine="1630" w:firstLineChars="580"/>
        <w:rPr>
          <w:rFonts w:ascii="宋体" w:hAnsi="宋体" w:cs="宋体"/>
          <w:b/>
          <w:bCs/>
          <w:sz w:val="28"/>
          <w:szCs w:val="28"/>
        </w:rPr>
      </w:pPr>
      <w:bookmarkStart w:id="116" w:name="_Toc4020_WPSOffice_Level2"/>
      <w:r>
        <w:rPr>
          <w:rFonts w:hint="eastAsia" w:ascii="宋体" w:hAnsi="宋体" w:cs="宋体"/>
          <w:b/>
          <w:bCs/>
          <w:sz w:val="28"/>
          <w:szCs w:val="28"/>
        </w:rPr>
        <w:t>日    期：</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bookmarkEnd w:id="116"/>
    </w:p>
    <w:p>
      <w:pPr>
        <w:spacing w:line="360" w:lineRule="auto"/>
        <w:rPr>
          <w:rFonts w:ascii="宋体" w:hAnsi="宋体" w:cs="宋体"/>
          <w:szCs w:val="21"/>
        </w:rPr>
      </w:pPr>
      <w:r>
        <w:rPr>
          <w:rFonts w:hint="eastAsia" w:ascii="宋体" w:hAnsi="宋体" w:cs="宋体"/>
          <w:szCs w:val="21"/>
        </w:rPr>
        <w:t xml:space="preserve"> </w:t>
      </w:r>
    </w:p>
    <w:p>
      <w:pPr>
        <w:adjustRightInd w:val="0"/>
        <w:snapToGrid w:val="0"/>
        <w:spacing w:line="360" w:lineRule="auto"/>
        <w:rPr>
          <w:rFonts w:ascii="宋体" w:hAnsi="宋体" w:cs="宋体"/>
          <w:b/>
          <w:sz w:val="42"/>
        </w:rPr>
      </w:pPr>
    </w:p>
    <w:p>
      <w:pPr>
        <w:jc w:val="center"/>
        <w:rPr>
          <w:rFonts w:ascii="宋体" w:hAnsi="宋体" w:cs="宋体"/>
          <w:b/>
          <w:sz w:val="44"/>
          <w:szCs w:val="44"/>
        </w:rPr>
      </w:pPr>
    </w:p>
    <w:p>
      <w:pPr>
        <w:jc w:val="center"/>
        <w:rPr>
          <w:rFonts w:ascii="宋体" w:hAnsi="宋体" w:cs="宋体"/>
          <w:b/>
          <w:sz w:val="24"/>
        </w:rPr>
      </w:pPr>
      <w:r>
        <w:rPr>
          <w:rFonts w:hint="eastAsia" w:ascii="宋体" w:hAnsi="宋体" w:cs="宋体"/>
          <w:b/>
          <w:sz w:val="44"/>
          <w:szCs w:val="44"/>
        </w:rPr>
        <w:t>目      录</w:t>
      </w:r>
      <w:bookmarkStart w:id="117" w:name="_Toc8547"/>
    </w:p>
    <w:p>
      <w:pPr>
        <w:spacing w:line="360" w:lineRule="auto"/>
        <w:ind w:firstLine="960" w:firstLineChars="400"/>
        <w:rPr>
          <w:rFonts w:ascii="宋体" w:hAnsi="宋体" w:cs="宋体"/>
          <w:b/>
          <w:bCs/>
          <w:sz w:val="24"/>
          <w:lang w:val="zh-CN"/>
        </w:rPr>
      </w:pPr>
      <w:r>
        <w:rPr>
          <w:rFonts w:hint="eastAsia" w:ascii="宋体" w:hAnsi="宋体" w:cs="宋体"/>
          <w:sz w:val="24"/>
        </w:rPr>
        <w:t xml:space="preserve">    </w:t>
      </w:r>
    </w:p>
    <w:bookmarkEnd w:id="117"/>
    <w:p>
      <w:pPr>
        <w:snapToGrid w:val="0"/>
        <w:spacing w:line="480" w:lineRule="auto"/>
        <w:ind w:firstLine="480" w:firstLineChars="200"/>
        <w:jc w:val="center"/>
        <w:rPr>
          <w:rFonts w:ascii="宋体" w:hAnsi="宋体" w:cs="宋体"/>
          <w:bCs/>
          <w:sz w:val="24"/>
          <w:szCs w:val="24"/>
        </w:rPr>
      </w:pPr>
    </w:p>
    <w:p>
      <w:pPr>
        <w:snapToGrid w:val="0"/>
        <w:spacing w:line="480" w:lineRule="auto"/>
        <w:ind w:firstLine="480" w:firstLineChars="200"/>
        <w:jc w:val="center"/>
        <w:rPr>
          <w:rFonts w:ascii="宋体" w:hAnsi="宋体" w:cs="宋体"/>
          <w:b/>
          <w:bCs/>
          <w:sz w:val="28"/>
          <w:szCs w:val="28"/>
        </w:rPr>
      </w:pPr>
      <w:r>
        <w:rPr>
          <w:rFonts w:hint="eastAsia" w:ascii="宋体" w:hAnsi="宋体" w:cs="宋体"/>
          <w:bCs/>
          <w:sz w:val="24"/>
          <w:szCs w:val="24"/>
        </w:rPr>
        <w:t>（请供应商自行编制目录，并标注连续页码）</w:t>
      </w:r>
    </w:p>
    <w:p>
      <w:pPr>
        <w:spacing w:line="360" w:lineRule="auto"/>
        <w:ind w:firstLine="2400" w:firstLineChars="800"/>
        <w:rPr>
          <w:rFonts w:ascii="宋体" w:hAnsi="宋体" w:cs="宋体"/>
          <w:sz w:val="30"/>
          <w:szCs w:val="30"/>
        </w:rPr>
      </w:pPr>
    </w:p>
    <w:p>
      <w:pPr>
        <w:spacing w:line="360" w:lineRule="auto"/>
        <w:rPr>
          <w:rFonts w:ascii="宋体" w:hAnsi="宋体" w:cs="宋体"/>
          <w:b/>
          <w:sz w:val="18"/>
          <w:szCs w:val="18"/>
        </w:rPr>
      </w:pPr>
    </w:p>
    <w:p>
      <w:pPr>
        <w:spacing w:line="360" w:lineRule="auto"/>
        <w:ind w:firstLine="211"/>
        <w:jc w:val="center"/>
        <w:outlineLvl w:val="1"/>
        <w:rPr>
          <w:rFonts w:ascii="宋体" w:hAnsi="宋体" w:cs="宋体"/>
          <w:b/>
          <w:sz w:val="32"/>
          <w:szCs w:val="32"/>
        </w:rPr>
      </w:pPr>
      <w:r>
        <w:rPr>
          <w:rFonts w:hint="eastAsia" w:ascii="宋体" w:hAnsi="宋体" w:cs="宋体"/>
          <w:b/>
          <w:sz w:val="32"/>
          <w:szCs w:val="32"/>
        </w:rPr>
        <w:br w:type="page"/>
      </w:r>
      <w:bookmarkStart w:id="118" w:name="_Toc18384_WPSOffice_Level2"/>
      <w:bookmarkStart w:id="119" w:name="_Toc16045"/>
      <w:bookmarkStart w:id="120" w:name="_Toc13392"/>
      <w:bookmarkStart w:id="121" w:name="_Toc19350"/>
      <w:r>
        <w:rPr>
          <w:rFonts w:hint="eastAsia" w:ascii="宋体" w:hAnsi="宋体" w:cs="宋体"/>
          <w:b/>
          <w:sz w:val="32"/>
          <w:szCs w:val="32"/>
        </w:rPr>
        <w:t>一、谈判函</w:t>
      </w:r>
      <w:bookmarkEnd w:id="118"/>
      <w:bookmarkEnd w:id="119"/>
      <w:bookmarkEnd w:id="120"/>
      <w:bookmarkEnd w:id="121"/>
    </w:p>
    <w:p>
      <w:pPr>
        <w:spacing w:line="360" w:lineRule="auto"/>
        <w:rPr>
          <w:rFonts w:ascii="宋体" w:hAnsi="宋体" w:cs="宋体"/>
          <w:b/>
          <w:bCs/>
          <w:sz w:val="24"/>
          <w:szCs w:val="24"/>
        </w:rPr>
      </w:pPr>
      <w:r>
        <w:rPr>
          <w:rFonts w:hint="eastAsia" w:ascii="宋体" w:hAnsi="宋体" w:cs="宋体"/>
          <w:b/>
          <w:bCs/>
          <w:sz w:val="24"/>
          <w:szCs w:val="24"/>
        </w:rPr>
        <w:t xml:space="preserve">西安华力达项目管理有限公司： </w:t>
      </w:r>
    </w:p>
    <w:p>
      <w:pPr>
        <w:spacing w:line="360" w:lineRule="auto"/>
        <w:rPr>
          <w:rFonts w:ascii="宋体" w:hAnsi="宋体" w:cs="宋体"/>
          <w:sz w:val="24"/>
          <w:szCs w:val="24"/>
        </w:rPr>
      </w:pPr>
      <w:r>
        <w:rPr>
          <w:rFonts w:hint="eastAsia" w:ascii="宋体" w:hAnsi="宋体" w:cs="宋体"/>
          <w:szCs w:val="21"/>
        </w:rPr>
        <w:t xml:space="preserve">    </w:t>
      </w:r>
      <w:r>
        <w:rPr>
          <w:rFonts w:hint="eastAsia" w:ascii="宋体" w:hAnsi="宋体" w:cs="宋体"/>
          <w:sz w:val="24"/>
          <w:szCs w:val="24"/>
        </w:rPr>
        <w:t>我单位收到编号为：</w:t>
      </w:r>
      <w:r>
        <w:rPr>
          <w:rFonts w:hint="eastAsia" w:ascii="宋体" w:hAnsi="宋体" w:cs="宋体"/>
          <w:sz w:val="24"/>
          <w:szCs w:val="24"/>
          <w:u w:val="single"/>
        </w:rPr>
        <w:t xml:space="preserve">            （项目名称）（采购项目编号）</w:t>
      </w:r>
      <w:r>
        <w:rPr>
          <w:rFonts w:hint="eastAsia" w:ascii="宋体" w:hAnsi="宋体" w:cs="宋体"/>
          <w:sz w:val="24"/>
          <w:szCs w:val="24"/>
        </w:rPr>
        <w:t>的竞争性谈判文件，经详细研究，我公司决定参加本次谈判活动。为此，我方郑重声明以下诸点，并负法律责任。</w:t>
      </w:r>
    </w:p>
    <w:p>
      <w:pPr>
        <w:spacing w:line="360" w:lineRule="auto"/>
        <w:ind w:firstLine="480" w:firstLineChars="200"/>
        <w:rPr>
          <w:rFonts w:ascii="宋体" w:hAnsi="宋体" w:cs="宋体"/>
          <w:sz w:val="24"/>
          <w:szCs w:val="24"/>
        </w:rPr>
      </w:pPr>
      <w:r>
        <w:rPr>
          <w:rFonts w:hint="eastAsia" w:ascii="宋体" w:hAnsi="宋体" w:cs="宋体"/>
          <w:sz w:val="24"/>
          <w:szCs w:val="24"/>
        </w:rPr>
        <w:t>1.愿意按照竞争性谈判文件中的全部要求，提供合格的产品及完善的技术服务，履行合同的责任和义务。</w:t>
      </w:r>
    </w:p>
    <w:p>
      <w:pPr>
        <w:spacing w:line="360" w:lineRule="auto"/>
        <w:ind w:firstLine="480" w:firstLineChars="200"/>
        <w:rPr>
          <w:rFonts w:ascii="宋体" w:hAnsi="宋体" w:cs="宋体"/>
          <w:sz w:val="24"/>
          <w:szCs w:val="24"/>
        </w:rPr>
      </w:pPr>
      <w:r>
        <w:rPr>
          <w:rFonts w:hint="eastAsia" w:ascii="宋体" w:hAnsi="宋体" w:cs="宋体"/>
          <w:sz w:val="24"/>
          <w:szCs w:val="24"/>
        </w:rPr>
        <w:t>2.如果我方最终成交，我方将履行竞争性谈判文件中规定的每一项要求，按期、保质、保量完成工作。我方谈判响应文件将成为合同的组成部分。</w:t>
      </w:r>
    </w:p>
    <w:p>
      <w:pPr>
        <w:spacing w:line="360" w:lineRule="auto"/>
        <w:ind w:firstLine="480" w:firstLineChars="200"/>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59264" behindDoc="0" locked="0" layoutInCell="1" allowOverlap="1">
                <wp:simplePos x="0" y="0"/>
                <wp:positionH relativeFrom="column">
                  <wp:posOffset>4933950</wp:posOffset>
                </wp:positionH>
                <wp:positionV relativeFrom="paragraph">
                  <wp:posOffset>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88.5pt;margin-top:0pt;height:0.05pt;width:0.05pt;z-index:251659264;mso-width-relative:page;mso-height-relative:page;" filled="f" stroked="t" coordsize="21600,21600" o:gfxdata="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b8mo0wAAAAUB&#10;AAAPAAAAAAAAAAEAIAAAACIAAABkcnMvZG93bnJldi54bWxQSwECFAAUAAAACACHTuJAOlOQiOcB&#10;AADWAwAADgAAAAAAAAABACAAAAAiAQAAZHJzL2Uyb0RvYy54bWxQSwUGAAAAAAYABgBZAQAAewUA&#10;AAAA&#10;">
                <v:fill on="f" focussize="0,0"/>
                <v:stroke color="#000000" joinstyle="round"/>
                <v:imagedata o:title=""/>
                <o:lock v:ext="edit" aspectratio="f"/>
              </v:line>
            </w:pict>
          </mc:Fallback>
        </mc:AlternateContent>
      </w:r>
      <w:r>
        <w:rPr>
          <w:rFonts w:hint="eastAsia" w:ascii="宋体" w:hAnsi="宋体" w:cs="宋体"/>
          <w:sz w:val="24"/>
          <w:szCs w:val="24"/>
        </w:rPr>
        <mc:AlternateContent>
          <mc:Choice Requires="wps">
            <w:drawing>
              <wp:anchor distT="0" distB="0" distL="114300" distR="114300" simplePos="0" relativeHeight="251660288" behindDoc="0" locked="0" layoutInCell="1" allowOverlap="1">
                <wp:simplePos x="0" y="0"/>
                <wp:positionH relativeFrom="column">
                  <wp:posOffset>4933950</wp:posOffset>
                </wp:positionH>
                <wp:positionV relativeFrom="paragraph">
                  <wp:posOffset>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88.5pt;margin-top:0pt;height:0.05pt;width:0.05pt;z-index:251660288;mso-width-relative:page;mso-height-relative:page;" filled="f" stroked="t" coordsize="21600,21600" o:gfxdata="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VvyajTAAAABQEA&#10;AA8AAAAAAAAAAQAgAAAAIgAAAGRycy9kb3ducmV2LnhtbFBLAQIUABQAAAAIAIdO4kAlYmpG5gEA&#10;ANYDAAAOAAAAAAAAAAEAIAAAACIBAABkcnMvZTJvRG9jLnhtbFBLBQYAAAAABgAGAFkBAAB6BQAA&#10;AAA=&#10;">
                <v:fill on="f" focussize="0,0"/>
                <v:stroke color="#000000" joinstyle="round"/>
                <v:imagedata o:title=""/>
                <o:lock v:ext="edit" aspectratio="f"/>
              </v:line>
            </w:pict>
          </mc:Fallback>
        </mc:AlternateContent>
      </w:r>
      <w:r>
        <w:rPr>
          <w:rFonts w:hint="eastAsia" w:ascii="宋体" w:hAnsi="宋体" w:cs="宋体"/>
          <w:sz w:val="24"/>
          <w:szCs w:val="24"/>
        </w:rPr>
        <w:t>3.按照竞争性谈判文件的规定，完成总体供货和服务的谈判总报价为：</w:t>
      </w:r>
    </w:p>
    <w:p>
      <w:pPr>
        <w:spacing w:line="360" w:lineRule="auto"/>
        <w:ind w:firstLine="480" w:firstLineChars="200"/>
        <w:rPr>
          <w:rFonts w:ascii="宋体" w:hAnsi="宋体" w:cs="宋体"/>
          <w:sz w:val="24"/>
          <w:szCs w:val="24"/>
        </w:rPr>
      </w:pPr>
      <w:r>
        <w:rPr>
          <w:rFonts w:hint="eastAsia" w:ascii="宋体" w:hAnsi="宋体" w:cs="宋体"/>
          <w:sz w:val="24"/>
          <w:szCs w:val="24"/>
        </w:rPr>
        <w:t>人民币（大写）：</w:t>
      </w:r>
      <w:r>
        <w:rPr>
          <w:rFonts w:hint="eastAsia" w:ascii="宋体" w:hAnsi="宋体" w:cs="宋体"/>
          <w:sz w:val="24"/>
          <w:szCs w:val="24"/>
          <w:u w:val="single"/>
        </w:rPr>
        <w:t xml:space="preserve">        </w:t>
      </w: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w:t>
      </w:r>
    </w:p>
    <w:p>
      <w:pPr>
        <w:spacing w:line="360" w:lineRule="auto"/>
        <w:ind w:firstLine="480" w:firstLineChars="200"/>
        <w:rPr>
          <w:rFonts w:ascii="宋体" w:hAnsi="宋体" w:cs="宋体"/>
          <w:sz w:val="24"/>
          <w:szCs w:val="24"/>
        </w:rPr>
      </w:pPr>
      <w:r>
        <w:rPr>
          <w:rFonts w:hint="eastAsia" w:ascii="宋体" w:hAnsi="宋体" w:cs="宋体"/>
          <w:sz w:val="24"/>
          <w:szCs w:val="24"/>
        </w:rPr>
        <w:t>4.我们已详细阅读了竞争性谈判文件，完全理解并同意放弃提出含糊不清和误解问题的权力。</w:t>
      </w:r>
    </w:p>
    <w:p>
      <w:pPr>
        <w:spacing w:line="360" w:lineRule="auto"/>
        <w:ind w:firstLine="480" w:firstLineChars="200"/>
        <w:rPr>
          <w:rFonts w:ascii="宋体" w:hAnsi="宋体" w:cs="宋体"/>
          <w:sz w:val="24"/>
          <w:szCs w:val="24"/>
        </w:rPr>
      </w:pPr>
      <w:r>
        <w:rPr>
          <w:rFonts w:hint="eastAsia" w:ascii="宋体" w:hAnsi="宋体" w:cs="宋体"/>
          <w:sz w:val="24"/>
          <w:szCs w:val="24"/>
        </w:rPr>
        <w:t>5.遵守谈判文件中的有关规定和收费标准。</w:t>
      </w:r>
    </w:p>
    <w:p>
      <w:pPr>
        <w:spacing w:line="360" w:lineRule="auto"/>
        <w:ind w:firstLine="480" w:firstLineChars="200"/>
        <w:rPr>
          <w:rFonts w:ascii="宋体" w:hAnsi="宋体" w:cs="宋体"/>
          <w:sz w:val="24"/>
          <w:szCs w:val="24"/>
        </w:rPr>
      </w:pPr>
      <w:r>
        <w:rPr>
          <w:rFonts w:hint="eastAsia" w:ascii="宋体" w:hAnsi="宋体" w:cs="宋体"/>
          <w:sz w:val="24"/>
          <w:szCs w:val="24"/>
        </w:rPr>
        <w:t>6..愿意向贵方提供任何与该项谈判有关的数据，情况和技术资料。</w:t>
      </w:r>
    </w:p>
    <w:p>
      <w:pPr>
        <w:spacing w:line="360" w:lineRule="auto"/>
        <w:ind w:firstLine="480" w:firstLineChars="200"/>
        <w:rPr>
          <w:rFonts w:ascii="宋体" w:hAnsi="宋体" w:cs="宋体"/>
          <w:sz w:val="24"/>
          <w:szCs w:val="24"/>
        </w:rPr>
      </w:pPr>
      <w:r>
        <w:rPr>
          <w:rFonts w:hint="eastAsia" w:ascii="宋体" w:hAnsi="宋体" w:cs="宋体"/>
          <w:sz w:val="24"/>
          <w:szCs w:val="24"/>
        </w:rPr>
        <w:t>7.我方谈判响应文件的有效期自谈判之日起算（90）个日历日，如果成交延期到合同期满。</w:t>
      </w:r>
    </w:p>
    <w:p>
      <w:pPr>
        <w:spacing w:line="360" w:lineRule="auto"/>
        <w:ind w:firstLine="480" w:firstLineChars="200"/>
        <w:rPr>
          <w:rFonts w:ascii="宋体" w:hAnsi="宋体" w:cs="宋体"/>
          <w:sz w:val="24"/>
          <w:szCs w:val="24"/>
        </w:rPr>
      </w:pPr>
      <w:r>
        <w:rPr>
          <w:rFonts w:hint="eastAsia" w:ascii="宋体" w:hAnsi="宋体" w:cs="宋体"/>
          <w:sz w:val="24"/>
          <w:szCs w:val="24"/>
        </w:rPr>
        <w:t>8.与本谈判有关的一切往来通信请寄：</w:t>
      </w:r>
    </w:p>
    <w:p>
      <w:pPr>
        <w:spacing w:line="360" w:lineRule="auto"/>
        <w:ind w:firstLine="480" w:firstLineChars="200"/>
        <w:rPr>
          <w:rFonts w:ascii="宋体" w:hAnsi="宋体" w:cs="宋体"/>
          <w:sz w:val="24"/>
          <w:szCs w:val="24"/>
        </w:rPr>
      </w:pPr>
      <w:r>
        <w:rPr>
          <w:rFonts w:hint="eastAsia" w:ascii="宋体" w:hAnsi="宋体" w:cs="宋体"/>
          <w:sz w:val="24"/>
          <w:szCs w:val="24"/>
        </w:rPr>
        <w:t>供应商全称（公章）：</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开 户 行：</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帐    号：</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szCs w:val="24"/>
          <w:u w:val="single"/>
        </w:rPr>
        <w:t xml:space="preserve">                                          </w:t>
      </w:r>
    </w:p>
    <w:p>
      <w:pPr>
        <w:adjustRightInd w:val="0"/>
        <w:snapToGrid w:val="0"/>
        <w:spacing w:line="360" w:lineRule="auto"/>
        <w:ind w:firstLine="3840" w:firstLineChars="1600"/>
        <w:jc w:val="left"/>
        <w:rPr>
          <w:rFonts w:ascii="宋体" w:hAnsi="宋体" w:cs="宋体"/>
          <w:sz w:val="24"/>
        </w:rPr>
      </w:pP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法定代表人/被授权人（签字）：</w:t>
      </w:r>
      <w:r>
        <w:rPr>
          <w:rFonts w:hint="eastAsia" w:ascii="宋体" w:hAnsi="宋体" w:cs="宋体"/>
          <w:sz w:val="24"/>
          <w:u w:val="single"/>
        </w:rPr>
        <w:t xml:space="preserve">            </w:t>
      </w:r>
    </w:p>
    <w:p>
      <w:pPr>
        <w:adjustRightInd w:val="0"/>
        <w:snapToGrid w:val="0"/>
        <w:spacing w:line="48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rPr>
          <w:rFonts w:ascii="宋体" w:hAnsi="宋体" w:cs="宋体"/>
          <w:sz w:val="24"/>
          <w:szCs w:val="24"/>
        </w:rPr>
      </w:pPr>
      <w:r>
        <w:rPr>
          <w:rFonts w:hint="eastAsia" w:ascii="宋体" w:hAnsi="宋体" w:cs="宋体"/>
          <w:sz w:val="24"/>
          <w:szCs w:val="24"/>
        </w:rPr>
        <w:br w:type="page"/>
      </w:r>
    </w:p>
    <w:p>
      <w:pPr>
        <w:pStyle w:val="8"/>
      </w:pPr>
    </w:p>
    <w:p>
      <w:pPr>
        <w:numPr>
          <w:ilvl w:val="0"/>
          <w:numId w:val="9"/>
        </w:numPr>
        <w:spacing w:line="360" w:lineRule="auto"/>
        <w:jc w:val="center"/>
        <w:outlineLvl w:val="1"/>
        <w:rPr>
          <w:rFonts w:ascii="宋体" w:hAnsi="宋体" w:cs="宋体"/>
          <w:b/>
          <w:bCs/>
          <w:sz w:val="32"/>
          <w:szCs w:val="32"/>
        </w:rPr>
      </w:pPr>
      <w:bookmarkStart w:id="122" w:name="_Toc281_WPSOffice_Level2"/>
      <w:bookmarkStart w:id="123" w:name="_Toc14932"/>
      <w:bookmarkStart w:id="124" w:name="_Toc27420"/>
      <w:bookmarkStart w:id="125" w:name="_Toc13949"/>
      <w:r>
        <w:rPr>
          <w:rFonts w:hint="eastAsia" w:ascii="宋体" w:hAnsi="宋体" w:cs="宋体"/>
          <w:b/>
          <w:bCs/>
          <w:sz w:val="32"/>
          <w:szCs w:val="32"/>
        </w:rPr>
        <w:t>谈判一览表</w:t>
      </w:r>
      <w:bookmarkEnd w:id="122"/>
      <w:bookmarkEnd w:id="123"/>
      <w:bookmarkEnd w:id="124"/>
      <w:bookmarkEnd w:id="125"/>
    </w:p>
    <w:p>
      <w:pPr>
        <w:pStyle w:val="7"/>
        <w:rPr>
          <w:rFonts w:ascii="宋体" w:hAnsi="宋体" w:cs="宋体"/>
        </w:rPr>
      </w:pPr>
    </w:p>
    <w:tbl>
      <w:tblPr>
        <w:tblStyle w:val="20"/>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5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989" w:type="dxa"/>
            <w:vAlign w:val="center"/>
          </w:tcPr>
          <w:p>
            <w:pPr>
              <w:spacing w:line="360" w:lineRule="auto"/>
              <w:jc w:val="center"/>
              <w:rPr>
                <w:rFonts w:ascii="宋体" w:hAnsi="宋体" w:cs="宋体"/>
                <w:b/>
                <w:sz w:val="24"/>
                <w:szCs w:val="24"/>
              </w:rPr>
            </w:pPr>
            <w:r>
              <w:rPr>
                <w:rFonts w:hint="eastAsia" w:ascii="宋体" w:hAnsi="宋体" w:cs="宋体"/>
                <w:b/>
                <w:sz w:val="24"/>
                <w:szCs w:val="24"/>
              </w:rPr>
              <w:t>项目名称</w:t>
            </w:r>
          </w:p>
        </w:tc>
        <w:tc>
          <w:tcPr>
            <w:tcW w:w="590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989" w:type="dxa"/>
            <w:vAlign w:val="center"/>
          </w:tcPr>
          <w:p>
            <w:pPr>
              <w:spacing w:line="360" w:lineRule="auto"/>
              <w:jc w:val="center"/>
              <w:rPr>
                <w:rFonts w:ascii="宋体" w:hAnsi="宋体" w:cs="宋体"/>
                <w:b/>
                <w:sz w:val="24"/>
                <w:szCs w:val="24"/>
              </w:rPr>
            </w:pPr>
            <w:r>
              <w:rPr>
                <w:rFonts w:hint="eastAsia" w:ascii="宋体" w:hAnsi="宋体" w:cs="宋体"/>
                <w:b/>
                <w:sz w:val="24"/>
                <w:szCs w:val="24"/>
              </w:rPr>
              <w:t>采购项目编号</w:t>
            </w:r>
          </w:p>
        </w:tc>
        <w:tc>
          <w:tcPr>
            <w:tcW w:w="5904" w:type="dxa"/>
            <w:vAlign w:val="center"/>
          </w:tcPr>
          <w:p>
            <w:pPr>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2989" w:type="dxa"/>
            <w:vAlign w:val="center"/>
          </w:tcPr>
          <w:p>
            <w:pPr>
              <w:spacing w:line="360" w:lineRule="auto"/>
              <w:jc w:val="center"/>
              <w:rPr>
                <w:rFonts w:ascii="宋体" w:hAnsi="宋体" w:cs="宋体"/>
                <w:b/>
                <w:sz w:val="24"/>
                <w:szCs w:val="24"/>
              </w:rPr>
            </w:pPr>
            <w:r>
              <w:rPr>
                <w:rFonts w:hint="eastAsia" w:ascii="宋体" w:hAnsi="宋体" w:cs="宋体"/>
                <w:b/>
                <w:sz w:val="24"/>
                <w:szCs w:val="24"/>
              </w:rPr>
              <w:t>谈判总报价</w:t>
            </w:r>
          </w:p>
          <w:p>
            <w:pPr>
              <w:spacing w:line="360" w:lineRule="auto"/>
              <w:jc w:val="center"/>
              <w:rPr>
                <w:rFonts w:ascii="宋体" w:hAnsi="宋体" w:cs="宋体"/>
                <w:b/>
                <w:sz w:val="24"/>
                <w:szCs w:val="24"/>
              </w:rPr>
            </w:pPr>
            <w:r>
              <w:rPr>
                <w:rFonts w:hint="eastAsia" w:ascii="宋体" w:hAnsi="宋体" w:cs="宋体"/>
                <w:b/>
                <w:sz w:val="24"/>
                <w:szCs w:val="24"/>
              </w:rPr>
              <w:t>（元）</w:t>
            </w:r>
          </w:p>
        </w:tc>
        <w:tc>
          <w:tcPr>
            <w:tcW w:w="5904" w:type="dxa"/>
            <w:vAlign w:val="center"/>
          </w:tcPr>
          <w:p>
            <w:pPr>
              <w:spacing w:line="360" w:lineRule="auto"/>
              <w:rPr>
                <w:rFonts w:ascii="宋体" w:hAnsi="宋体" w:cs="宋体"/>
                <w:b/>
                <w:sz w:val="24"/>
                <w:szCs w:val="24"/>
                <w:u w:val="single"/>
              </w:rPr>
            </w:pPr>
            <w:r>
              <w:rPr>
                <w:rFonts w:hint="eastAsia" w:ascii="宋体" w:hAnsi="宋体" w:cs="宋体"/>
                <w:b/>
                <w:sz w:val="24"/>
                <w:szCs w:val="24"/>
              </w:rPr>
              <w:t>大写：</w:t>
            </w:r>
            <w:r>
              <w:rPr>
                <w:rFonts w:hint="eastAsia" w:ascii="宋体" w:hAnsi="宋体" w:cs="宋体"/>
                <w:b/>
                <w:sz w:val="24"/>
                <w:szCs w:val="24"/>
                <w:u w:val="single"/>
              </w:rPr>
              <w:t xml:space="preserve">                                  </w:t>
            </w:r>
          </w:p>
          <w:p>
            <w:pPr>
              <w:spacing w:line="360" w:lineRule="auto"/>
              <w:rPr>
                <w:rFonts w:ascii="宋体" w:hAnsi="宋体" w:cs="宋体"/>
                <w:b/>
                <w:sz w:val="24"/>
                <w:szCs w:val="24"/>
                <w:u w:val="single"/>
              </w:rPr>
            </w:pPr>
            <w:r>
              <w:rPr>
                <w:rFonts w:hint="eastAsia" w:ascii="宋体" w:hAnsi="宋体" w:cs="宋体"/>
                <w:b/>
                <w:sz w:val="24"/>
                <w:szCs w:val="24"/>
              </w:rPr>
              <w:t>小写：</w:t>
            </w:r>
            <w:r>
              <w:rPr>
                <w:rFonts w:hint="eastAsia" w:ascii="宋体" w:hAnsi="宋体" w:cs="宋体"/>
                <w:b/>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989" w:type="dxa"/>
            <w:vAlign w:val="center"/>
          </w:tcPr>
          <w:p>
            <w:pPr>
              <w:spacing w:line="360" w:lineRule="auto"/>
              <w:jc w:val="center"/>
              <w:rPr>
                <w:rFonts w:ascii="宋体" w:hAnsi="宋体" w:cs="宋体"/>
                <w:b/>
                <w:sz w:val="24"/>
                <w:szCs w:val="24"/>
              </w:rPr>
            </w:pPr>
            <w:r>
              <w:rPr>
                <w:rFonts w:hint="eastAsia" w:ascii="宋体" w:hAnsi="宋体" w:cs="宋体"/>
                <w:b/>
                <w:sz w:val="24"/>
                <w:szCs w:val="24"/>
              </w:rPr>
              <w:t>供货周期</w:t>
            </w:r>
          </w:p>
        </w:tc>
        <w:tc>
          <w:tcPr>
            <w:tcW w:w="5904" w:type="dxa"/>
            <w:vAlign w:val="center"/>
          </w:tcPr>
          <w:p>
            <w:pPr>
              <w:spacing w:line="360" w:lineRule="auto"/>
              <w:ind w:firstLine="360" w:firstLineChars="15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2989" w:type="dxa"/>
            <w:vAlign w:val="center"/>
          </w:tcPr>
          <w:p>
            <w:pPr>
              <w:spacing w:line="360" w:lineRule="auto"/>
              <w:jc w:val="center"/>
              <w:rPr>
                <w:rFonts w:ascii="宋体" w:hAnsi="宋体" w:cs="宋体"/>
                <w:b/>
                <w:sz w:val="24"/>
                <w:szCs w:val="24"/>
              </w:rPr>
            </w:pPr>
            <w:r>
              <w:rPr>
                <w:rFonts w:hint="eastAsia" w:ascii="宋体" w:hAnsi="宋体" w:cs="宋体"/>
                <w:b/>
                <w:sz w:val="24"/>
                <w:szCs w:val="24"/>
              </w:rPr>
              <w:t>质量标准</w:t>
            </w:r>
          </w:p>
        </w:tc>
        <w:tc>
          <w:tcPr>
            <w:tcW w:w="5904" w:type="dxa"/>
            <w:vAlign w:val="center"/>
          </w:tcPr>
          <w:p>
            <w:pPr>
              <w:spacing w:line="360" w:lineRule="auto"/>
              <w:ind w:firstLine="360" w:firstLineChars="150"/>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893" w:type="dxa"/>
            <w:gridSpan w:val="2"/>
            <w:vAlign w:val="center"/>
          </w:tcPr>
          <w:p>
            <w:pPr>
              <w:widowControl/>
              <w:rPr>
                <w:rFonts w:ascii="宋体" w:hAnsi="宋体" w:cs="宋体"/>
                <w:bCs/>
                <w:kern w:val="0"/>
                <w:sz w:val="24"/>
              </w:rPr>
            </w:pPr>
            <w:r>
              <w:rPr>
                <w:rFonts w:hint="eastAsia" w:ascii="宋体" w:hAnsi="宋体" w:cs="宋体"/>
                <w:bCs/>
                <w:kern w:val="0"/>
                <w:sz w:val="24"/>
              </w:rPr>
              <w:t>说明：</w:t>
            </w:r>
          </w:p>
          <w:p>
            <w:pPr>
              <w:widowControl/>
              <w:numPr>
                <w:ilvl w:val="0"/>
                <w:numId w:val="10"/>
              </w:numPr>
              <w:ind w:firstLine="480" w:firstLineChars="200"/>
              <w:rPr>
                <w:rFonts w:ascii="宋体" w:hAnsi="宋体" w:cs="宋体"/>
                <w:bCs/>
                <w:kern w:val="0"/>
                <w:sz w:val="24"/>
              </w:rPr>
            </w:pPr>
            <w:r>
              <w:rPr>
                <w:rFonts w:hint="eastAsia" w:ascii="宋体" w:hAnsi="宋体" w:cs="宋体"/>
                <w:bCs/>
                <w:kern w:val="0"/>
                <w:sz w:val="24"/>
              </w:rPr>
              <w:t>报价总报价以元为单位，大小写不一致时，以大写为准。</w:t>
            </w:r>
          </w:p>
          <w:p>
            <w:pPr>
              <w:widowControl/>
              <w:numPr>
                <w:ilvl w:val="0"/>
                <w:numId w:val="10"/>
              </w:numPr>
              <w:ind w:firstLine="480" w:firstLineChars="200"/>
              <w:rPr>
                <w:rFonts w:ascii="宋体" w:hAnsi="宋体" w:cs="宋体"/>
                <w:sz w:val="24"/>
                <w:szCs w:val="24"/>
              </w:rPr>
            </w:pPr>
            <w:r>
              <w:rPr>
                <w:rFonts w:hint="eastAsia" w:ascii="宋体" w:hAnsi="宋体" w:cs="宋体"/>
                <w:sz w:val="24"/>
              </w:rPr>
              <w:t>除可填报项目外对本谈判一览表的任何修改将被视为非实质性响应谈判从而导致该谈判被拒绝。</w:t>
            </w:r>
          </w:p>
        </w:tc>
      </w:tr>
    </w:tbl>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spacing w:line="360" w:lineRule="auto"/>
        <w:ind w:firstLine="630" w:firstLineChars="300"/>
        <w:rPr>
          <w:rFonts w:ascii="宋体" w:hAnsi="宋体" w:cs="宋体"/>
          <w:szCs w:val="21"/>
        </w:rPr>
      </w:pPr>
    </w:p>
    <w:p>
      <w:pPr>
        <w:adjustRightInd w:val="0"/>
        <w:snapToGrid w:val="0"/>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法定代表人/被授权人（签字）：</w:t>
      </w:r>
      <w:r>
        <w:rPr>
          <w:rFonts w:hint="eastAsia" w:ascii="宋体" w:hAnsi="宋体" w:cs="宋体"/>
          <w:sz w:val="24"/>
          <w:u w:val="single"/>
        </w:rPr>
        <w:t xml:space="preserve">            </w:t>
      </w:r>
    </w:p>
    <w:p>
      <w:pPr>
        <w:adjustRightInd w:val="0"/>
        <w:snapToGrid w:val="0"/>
        <w:spacing w:line="48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jc w:val="center"/>
        <w:rPr>
          <w:rFonts w:ascii="宋体" w:hAnsi="宋体" w:cs="宋体"/>
          <w:b/>
          <w:sz w:val="32"/>
        </w:rPr>
      </w:pPr>
      <w:r>
        <w:rPr>
          <w:rFonts w:hint="eastAsia" w:ascii="宋体" w:hAnsi="宋体" w:cs="宋体"/>
          <w:szCs w:val="21"/>
        </w:rPr>
        <w:br w:type="page"/>
      </w:r>
      <w:bookmarkStart w:id="126" w:name="_Toc6460"/>
      <w:r>
        <w:rPr>
          <w:rFonts w:hint="eastAsia" w:ascii="宋体" w:hAnsi="宋体" w:cs="宋体"/>
          <w:b/>
          <w:sz w:val="32"/>
        </w:rPr>
        <w:t>分项报价表</w:t>
      </w:r>
      <w:bookmarkEnd w:id="126"/>
    </w:p>
    <w:p>
      <w:pPr>
        <w:widowControl/>
        <w:wordWrap w:val="0"/>
        <w:spacing w:line="360" w:lineRule="auto"/>
        <w:ind w:left="1200" w:hanging="1200" w:hangingChars="500"/>
        <w:jc w:val="left"/>
        <w:rPr>
          <w:rFonts w:ascii="宋体" w:hAnsi="宋体" w:cs="宋体"/>
          <w:b/>
          <w:sz w:val="36"/>
          <w:szCs w:val="36"/>
        </w:rPr>
      </w:pPr>
      <w:r>
        <w:rPr>
          <w:rFonts w:hint="eastAsia" w:ascii="宋体" w:hAnsi="宋体" w:cs="宋体"/>
          <w:sz w:val="24"/>
        </w:rPr>
        <w:t xml:space="preserve">项目名称：                                               </w:t>
      </w:r>
    </w:p>
    <w:tbl>
      <w:tblPr>
        <w:tblStyle w:val="20"/>
        <w:tblW w:w="0" w:type="auto"/>
        <w:tblInd w:w="0" w:type="dxa"/>
        <w:tblLayout w:type="fixed"/>
        <w:tblCellMar>
          <w:top w:w="0" w:type="dxa"/>
          <w:left w:w="28" w:type="dxa"/>
          <w:bottom w:w="0" w:type="dxa"/>
          <w:right w:w="28" w:type="dxa"/>
        </w:tblCellMar>
      </w:tblPr>
      <w:tblGrid>
        <w:gridCol w:w="1078"/>
        <w:gridCol w:w="600"/>
        <w:gridCol w:w="705"/>
        <w:gridCol w:w="690"/>
        <w:gridCol w:w="1230"/>
        <w:gridCol w:w="1965"/>
        <w:gridCol w:w="645"/>
        <w:gridCol w:w="1110"/>
        <w:gridCol w:w="1037"/>
      </w:tblGrid>
      <w:tr>
        <w:tblPrEx>
          <w:tblCellMar>
            <w:top w:w="0" w:type="dxa"/>
            <w:left w:w="28" w:type="dxa"/>
            <w:bottom w:w="0" w:type="dxa"/>
            <w:right w:w="28" w:type="dxa"/>
          </w:tblCellMar>
        </w:tblPrEx>
        <w:trPr>
          <w:trHeight w:val="875" w:hRule="atLeast"/>
        </w:trPr>
        <w:tc>
          <w:tcPr>
            <w:tcW w:w="1078" w:type="dxa"/>
            <w:vMerge w:val="restart"/>
            <w:tcBorders>
              <w:top w:val="single" w:color="auto" w:sz="6" w:space="0"/>
              <w:left w:val="single" w:color="auto" w:sz="6" w:space="0"/>
              <w:right w:val="single" w:color="auto" w:sz="4" w:space="0"/>
            </w:tcBorders>
            <w:vAlign w:val="center"/>
          </w:tcPr>
          <w:p>
            <w:pPr>
              <w:jc w:val="center"/>
              <w:rPr>
                <w:rFonts w:ascii="宋体" w:hAnsi="宋体" w:cs="宋体"/>
                <w:sz w:val="22"/>
                <w:szCs w:val="22"/>
              </w:rPr>
            </w:pPr>
            <w:r>
              <w:rPr>
                <w:rFonts w:hint="eastAsia" w:ascii="宋体" w:hAnsi="宋体" w:cs="宋体"/>
                <w:sz w:val="22"/>
                <w:szCs w:val="22"/>
              </w:rPr>
              <w:t>产品费用</w:t>
            </w:r>
          </w:p>
        </w:tc>
        <w:tc>
          <w:tcPr>
            <w:tcW w:w="600" w:type="dxa"/>
            <w:tcBorders>
              <w:top w:val="single" w:color="auto" w:sz="6" w:space="0"/>
              <w:left w:val="single" w:color="auto" w:sz="4" w:space="0"/>
              <w:bottom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序号</w:t>
            </w:r>
          </w:p>
        </w:tc>
        <w:tc>
          <w:tcPr>
            <w:tcW w:w="705"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名称</w:t>
            </w:r>
          </w:p>
        </w:tc>
        <w:tc>
          <w:tcPr>
            <w:tcW w:w="690" w:type="dxa"/>
            <w:tcBorders>
              <w:top w:val="single" w:color="auto" w:sz="6" w:space="0"/>
              <w:left w:val="single" w:color="auto" w:sz="6" w:space="0"/>
              <w:bottom w:val="single" w:color="auto" w:sz="6" w:space="0"/>
              <w:right w:val="single" w:color="auto" w:sz="4"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品牌</w:t>
            </w:r>
          </w:p>
        </w:tc>
        <w:tc>
          <w:tcPr>
            <w:tcW w:w="1230" w:type="dxa"/>
            <w:tcBorders>
              <w:top w:val="single" w:color="auto" w:sz="6" w:space="0"/>
              <w:left w:val="single" w:color="auto" w:sz="4"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型号和规格</w:t>
            </w:r>
          </w:p>
        </w:tc>
        <w:tc>
          <w:tcPr>
            <w:tcW w:w="1965"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原产地及制造厂名</w:t>
            </w:r>
          </w:p>
        </w:tc>
        <w:tc>
          <w:tcPr>
            <w:tcW w:w="645"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数量</w:t>
            </w:r>
          </w:p>
        </w:tc>
        <w:tc>
          <w:tcPr>
            <w:tcW w:w="1110"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单价</w:t>
            </w:r>
          </w:p>
          <w:p>
            <w:pPr>
              <w:spacing w:before="156" w:beforeLines="50" w:after="120"/>
              <w:jc w:val="center"/>
              <w:rPr>
                <w:rFonts w:ascii="宋体" w:hAnsi="宋体" w:cs="宋体"/>
                <w:sz w:val="22"/>
                <w:szCs w:val="22"/>
              </w:rPr>
            </w:pPr>
            <w:r>
              <w:rPr>
                <w:rFonts w:hint="eastAsia" w:ascii="宋体" w:hAnsi="宋体" w:cs="宋体"/>
                <w:sz w:val="22"/>
                <w:szCs w:val="22"/>
              </w:rPr>
              <w:t>（元）</w:t>
            </w:r>
          </w:p>
        </w:tc>
        <w:tc>
          <w:tcPr>
            <w:tcW w:w="1037" w:type="dxa"/>
            <w:tcBorders>
              <w:top w:val="single" w:color="auto" w:sz="6"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总价</w:t>
            </w:r>
          </w:p>
          <w:p>
            <w:pPr>
              <w:spacing w:before="156" w:beforeLines="50" w:after="120"/>
              <w:jc w:val="center"/>
              <w:rPr>
                <w:rFonts w:ascii="宋体" w:hAnsi="宋体" w:cs="宋体"/>
                <w:sz w:val="22"/>
                <w:szCs w:val="22"/>
              </w:rPr>
            </w:pPr>
            <w:r>
              <w:rPr>
                <w:rFonts w:hint="eastAsia" w:ascii="宋体" w:hAnsi="宋体" w:cs="宋体"/>
                <w:sz w:val="22"/>
                <w:szCs w:val="22"/>
              </w:rPr>
              <w:t>（元）</w:t>
            </w:r>
          </w:p>
        </w:tc>
      </w:tr>
      <w:tr>
        <w:tblPrEx>
          <w:tblCellMar>
            <w:top w:w="0" w:type="dxa"/>
            <w:left w:w="28" w:type="dxa"/>
            <w:bottom w:w="0" w:type="dxa"/>
            <w:right w:w="28" w:type="dxa"/>
          </w:tblCellMar>
        </w:tblPrEx>
        <w:trPr>
          <w:trHeight w:val="612" w:hRule="atLeast"/>
        </w:trPr>
        <w:tc>
          <w:tcPr>
            <w:tcW w:w="1078" w:type="dxa"/>
            <w:vMerge w:val="continue"/>
            <w:tcBorders>
              <w:left w:val="single" w:color="auto" w:sz="6" w:space="0"/>
              <w:right w:val="single" w:color="auto" w:sz="4" w:space="0"/>
            </w:tcBorders>
            <w:vAlign w:val="center"/>
          </w:tcPr>
          <w:p>
            <w:pPr>
              <w:spacing w:before="312" w:beforeLines="100"/>
              <w:jc w:val="center"/>
              <w:rPr>
                <w:rFonts w:ascii="宋体" w:hAnsi="宋体" w:cs="宋体"/>
                <w:sz w:val="22"/>
                <w:szCs w:val="22"/>
              </w:rPr>
            </w:pPr>
          </w:p>
        </w:tc>
        <w:tc>
          <w:tcPr>
            <w:tcW w:w="600" w:type="dxa"/>
            <w:tcBorders>
              <w:top w:val="single" w:color="auto" w:sz="6" w:space="0"/>
              <w:left w:val="single" w:color="auto" w:sz="4" w:space="0"/>
              <w:bottom w:val="single" w:color="auto" w:sz="4"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1</w:t>
            </w:r>
          </w:p>
        </w:tc>
        <w:tc>
          <w:tcPr>
            <w:tcW w:w="705" w:type="dxa"/>
            <w:tcBorders>
              <w:top w:val="single" w:color="auto" w:sz="6" w:space="0"/>
              <w:left w:val="single" w:color="auto" w:sz="6" w:space="0"/>
              <w:bottom w:val="single" w:color="auto" w:sz="4" w:space="0"/>
              <w:right w:val="single" w:color="auto" w:sz="6" w:space="0"/>
            </w:tcBorders>
            <w:vAlign w:val="center"/>
          </w:tcPr>
          <w:p>
            <w:pPr>
              <w:spacing w:before="156" w:beforeLines="50" w:after="120"/>
              <w:jc w:val="center"/>
              <w:rPr>
                <w:rFonts w:ascii="宋体" w:hAnsi="宋体" w:cs="宋体"/>
                <w:sz w:val="22"/>
                <w:szCs w:val="22"/>
              </w:rPr>
            </w:pPr>
          </w:p>
        </w:tc>
        <w:tc>
          <w:tcPr>
            <w:tcW w:w="690" w:type="dxa"/>
            <w:tcBorders>
              <w:top w:val="single" w:color="auto" w:sz="6" w:space="0"/>
              <w:left w:val="single" w:color="auto" w:sz="6" w:space="0"/>
              <w:bottom w:val="single" w:color="auto" w:sz="4" w:space="0"/>
              <w:right w:val="single" w:color="auto" w:sz="4" w:space="0"/>
            </w:tcBorders>
            <w:vAlign w:val="center"/>
          </w:tcPr>
          <w:p>
            <w:pPr>
              <w:spacing w:before="156" w:beforeLines="50" w:after="120"/>
              <w:jc w:val="center"/>
              <w:rPr>
                <w:rFonts w:ascii="宋体" w:hAnsi="宋体" w:cs="宋体"/>
                <w:sz w:val="22"/>
                <w:szCs w:val="22"/>
              </w:rPr>
            </w:pPr>
          </w:p>
        </w:tc>
        <w:tc>
          <w:tcPr>
            <w:tcW w:w="1230" w:type="dxa"/>
            <w:tcBorders>
              <w:top w:val="single" w:color="auto" w:sz="6" w:space="0"/>
              <w:left w:val="single" w:color="auto" w:sz="4" w:space="0"/>
              <w:bottom w:val="single" w:color="auto" w:sz="4" w:space="0"/>
              <w:right w:val="single" w:color="auto" w:sz="6" w:space="0"/>
            </w:tcBorders>
            <w:vAlign w:val="center"/>
          </w:tcPr>
          <w:p>
            <w:pPr>
              <w:spacing w:before="156" w:beforeLines="50" w:after="120"/>
              <w:jc w:val="center"/>
              <w:rPr>
                <w:rFonts w:ascii="宋体" w:hAnsi="宋体" w:cs="宋体"/>
                <w:sz w:val="22"/>
                <w:szCs w:val="22"/>
              </w:rPr>
            </w:pPr>
          </w:p>
        </w:tc>
        <w:tc>
          <w:tcPr>
            <w:tcW w:w="1965" w:type="dxa"/>
            <w:tcBorders>
              <w:top w:val="single" w:color="auto" w:sz="6" w:space="0"/>
              <w:left w:val="single" w:color="auto" w:sz="6" w:space="0"/>
              <w:bottom w:val="single" w:color="auto" w:sz="4" w:space="0"/>
              <w:right w:val="single" w:color="auto" w:sz="6" w:space="0"/>
            </w:tcBorders>
            <w:vAlign w:val="center"/>
          </w:tcPr>
          <w:p>
            <w:pPr>
              <w:spacing w:before="156" w:beforeLines="50" w:after="120"/>
              <w:jc w:val="center"/>
              <w:rPr>
                <w:rFonts w:ascii="宋体" w:hAnsi="宋体" w:cs="宋体"/>
                <w:sz w:val="22"/>
                <w:szCs w:val="22"/>
              </w:rPr>
            </w:pPr>
          </w:p>
        </w:tc>
        <w:tc>
          <w:tcPr>
            <w:tcW w:w="645" w:type="dxa"/>
            <w:tcBorders>
              <w:top w:val="single" w:color="auto" w:sz="6" w:space="0"/>
              <w:left w:val="single" w:color="auto" w:sz="6" w:space="0"/>
              <w:bottom w:val="single" w:color="auto" w:sz="4" w:space="0"/>
              <w:right w:val="single" w:color="auto" w:sz="6" w:space="0"/>
            </w:tcBorders>
            <w:vAlign w:val="center"/>
          </w:tcPr>
          <w:p>
            <w:pPr>
              <w:spacing w:before="156" w:beforeLines="50" w:after="120"/>
              <w:jc w:val="center"/>
              <w:rPr>
                <w:rFonts w:ascii="宋体" w:hAnsi="宋体" w:cs="宋体"/>
                <w:sz w:val="22"/>
                <w:szCs w:val="22"/>
              </w:rPr>
            </w:pPr>
          </w:p>
        </w:tc>
        <w:tc>
          <w:tcPr>
            <w:tcW w:w="1110" w:type="dxa"/>
            <w:tcBorders>
              <w:top w:val="single" w:color="auto" w:sz="6" w:space="0"/>
              <w:left w:val="single" w:color="auto" w:sz="6" w:space="0"/>
              <w:bottom w:val="single" w:color="auto" w:sz="4" w:space="0"/>
              <w:right w:val="single" w:color="auto" w:sz="6" w:space="0"/>
            </w:tcBorders>
            <w:vAlign w:val="center"/>
          </w:tcPr>
          <w:p>
            <w:pPr>
              <w:spacing w:before="156" w:beforeLines="50" w:after="120"/>
              <w:jc w:val="center"/>
              <w:rPr>
                <w:rFonts w:ascii="宋体" w:hAnsi="宋体" w:cs="宋体"/>
                <w:sz w:val="22"/>
                <w:szCs w:val="22"/>
              </w:rPr>
            </w:pPr>
          </w:p>
        </w:tc>
        <w:tc>
          <w:tcPr>
            <w:tcW w:w="1037" w:type="dxa"/>
            <w:tcBorders>
              <w:top w:val="single" w:color="auto" w:sz="6" w:space="0"/>
              <w:left w:val="single" w:color="auto" w:sz="6" w:space="0"/>
              <w:bottom w:val="single" w:color="auto" w:sz="4" w:space="0"/>
              <w:right w:val="single" w:color="auto" w:sz="6" w:space="0"/>
            </w:tcBorders>
            <w:vAlign w:val="center"/>
          </w:tcPr>
          <w:p>
            <w:pPr>
              <w:spacing w:before="156" w:beforeLines="50" w:after="120"/>
              <w:jc w:val="center"/>
              <w:rPr>
                <w:rFonts w:ascii="宋体" w:hAnsi="宋体" w:cs="宋体"/>
                <w:sz w:val="22"/>
                <w:szCs w:val="22"/>
              </w:rPr>
            </w:pPr>
          </w:p>
        </w:tc>
      </w:tr>
      <w:tr>
        <w:tblPrEx>
          <w:tblCellMar>
            <w:top w:w="0" w:type="dxa"/>
            <w:left w:w="28" w:type="dxa"/>
            <w:bottom w:w="0" w:type="dxa"/>
            <w:right w:w="28" w:type="dxa"/>
          </w:tblCellMar>
        </w:tblPrEx>
        <w:trPr>
          <w:trHeight w:val="608" w:hRule="atLeast"/>
        </w:trPr>
        <w:tc>
          <w:tcPr>
            <w:tcW w:w="1078" w:type="dxa"/>
            <w:vMerge w:val="continue"/>
            <w:tcBorders>
              <w:left w:val="single" w:color="auto" w:sz="6" w:space="0"/>
              <w:right w:val="single" w:color="auto" w:sz="4" w:space="0"/>
            </w:tcBorders>
            <w:vAlign w:val="center"/>
          </w:tcPr>
          <w:p>
            <w:pPr>
              <w:spacing w:before="312" w:beforeLines="100"/>
              <w:jc w:val="center"/>
              <w:rPr>
                <w:rFonts w:ascii="宋体" w:hAnsi="宋体" w:cs="宋体"/>
                <w:sz w:val="22"/>
                <w:szCs w:val="22"/>
              </w:rPr>
            </w:pPr>
          </w:p>
        </w:tc>
        <w:tc>
          <w:tcPr>
            <w:tcW w:w="600" w:type="dxa"/>
            <w:tcBorders>
              <w:top w:val="single" w:color="auto" w:sz="4" w:space="0"/>
              <w:left w:val="single" w:color="auto" w:sz="4" w:space="0"/>
              <w:bottom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2</w:t>
            </w:r>
          </w:p>
        </w:tc>
        <w:tc>
          <w:tcPr>
            <w:tcW w:w="70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690" w:type="dxa"/>
            <w:tcBorders>
              <w:top w:val="single" w:color="auto" w:sz="4" w:space="0"/>
              <w:left w:val="single" w:color="auto" w:sz="6" w:space="0"/>
              <w:bottom w:val="single" w:color="auto" w:sz="6" w:space="0"/>
              <w:right w:val="single" w:color="auto" w:sz="4" w:space="0"/>
            </w:tcBorders>
            <w:vAlign w:val="center"/>
          </w:tcPr>
          <w:p>
            <w:pPr>
              <w:spacing w:before="156" w:beforeLines="50" w:after="120"/>
              <w:jc w:val="center"/>
              <w:rPr>
                <w:rFonts w:ascii="宋体" w:hAnsi="宋体" w:cs="宋体"/>
                <w:sz w:val="22"/>
                <w:szCs w:val="22"/>
              </w:rPr>
            </w:pPr>
          </w:p>
        </w:tc>
        <w:tc>
          <w:tcPr>
            <w:tcW w:w="1230" w:type="dxa"/>
            <w:tcBorders>
              <w:top w:val="single" w:color="auto" w:sz="4" w:space="0"/>
              <w:left w:val="single" w:color="auto" w:sz="4"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96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64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110"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037"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r>
      <w:tr>
        <w:tblPrEx>
          <w:tblCellMar>
            <w:top w:w="0" w:type="dxa"/>
            <w:left w:w="28" w:type="dxa"/>
            <w:bottom w:w="0" w:type="dxa"/>
            <w:right w:w="28" w:type="dxa"/>
          </w:tblCellMar>
        </w:tblPrEx>
        <w:trPr>
          <w:trHeight w:val="612" w:hRule="atLeast"/>
        </w:trPr>
        <w:tc>
          <w:tcPr>
            <w:tcW w:w="1078" w:type="dxa"/>
            <w:vMerge w:val="continue"/>
            <w:tcBorders>
              <w:left w:val="single" w:color="auto" w:sz="6" w:space="0"/>
              <w:right w:val="single" w:color="auto" w:sz="4" w:space="0"/>
            </w:tcBorders>
            <w:vAlign w:val="center"/>
          </w:tcPr>
          <w:p>
            <w:pPr>
              <w:spacing w:before="312" w:beforeLines="100"/>
              <w:jc w:val="center"/>
              <w:rPr>
                <w:rFonts w:ascii="宋体" w:hAnsi="宋体" w:cs="宋体"/>
                <w:sz w:val="22"/>
                <w:szCs w:val="22"/>
              </w:rPr>
            </w:pPr>
          </w:p>
        </w:tc>
        <w:tc>
          <w:tcPr>
            <w:tcW w:w="600" w:type="dxa"/>
            <w:tcBorders>
              <w:top w:val="single" w:color="auto" w:sz="4" w:space="0"/>
              <w:left w:val="single" w:color="auto" w:sz="4" w:space="0"/>
              <w:bottom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3</w:t>
            </w:r>
          </w:p>
        </w:tc>
        <w:tc>
          <w:tcPr>
            <w:tcW w:w="70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690" w:type="dxa"/>
            <w:tcBorders>
              <w:top w:val="single" w:color="auto" w:sz="4" w:space="0"/>
              <w:left w:val="single" w:color="auto" w:sz="6" w:space="0"/>
              <w:bottom w:val="single" w:color="auto" w:sz="6" w:space="0"/>
              <w:right w:val="single" w:color="auto" w:sz="4" w:space="0"/>
            </w:tcBorders>
            <w:vAlign w:val="center"/>
          </w:tcPr>
          <w:p>
            <w:pPr>
              <w:spacing w:before="156" w:beforeLines="50" w:after="120"/>
              <w:jc w:val="center"/>
              <w:rPr>
                <w:rFonts w:ascii="宋体" w:hAnsi="宋体" w:cs="宋体"/>
                <w:sz w:val="22"/>
                <w:szCs w:val="22"/>
              </w:rPr>
            </w:pPr>
          </w:p>
        </w:tc>
        <w:tc>
          <w:tcPr>
            <w:tcW w:w="1230" w:type="dxa"/>
            <w:tcBorders>
              <w:top w:val="single" w:color="auto" w:sz="4" w:space="0"/>
              <w:left w:val="single" w:color="auto" w:sz="4"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96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64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110"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037"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r>
      <w:tr>
        <w:tblPrEx>
          <w:tblCellMar>
            <w:top w:w="0" w:type="dxa"/>
            <w:left w:w="28" w:type="dxa"/>
            <w:bottom w:w="0" w:type="dxa"/>
            <w:right w:w="28" w:type="dxa"/>
          </w:tblCellMar>
        </w:tblPrEx>
        <w:trPr>
          <w:trHeight w:val="823" w:hRule="atLeast"/>
        </w:trPr>
        <w:tc>
          <w:tcPr>
            <w:tcW w:w="1078" w:type="dxa"/>
            <w:vMerge w:val="continue"/>
            <w:tcBorders>
              <w:left w:val="single" w:color="auto" w:sz="6" w:space="0"/>
              <w:bottom w:val="single" w:color="auto" w:sz="6" w:space="0"/>
              <w:right w:val="single" w:color="auto" w:sz="4" w:space="0"/>
            </w:tcBorders>
            <w:vAlign w:val="center"/>
          </w:tcPr>
          <w:p>
            <w:pPr>
              <w:spacing w:before="312" w:beforeLines="100"/>
              <w:jc w:val="center"/>
              <w:rPr>
                <w:rFonts w:ascii="宋体" w:hAnsi="宋体" w:cs="宋体"/>
                <w:sz w:val="22"/>
                <w:szCs w:val="22"/>
              </w:rPr>
            </w:pPr>
          </w:p>
        </w:tc>
        <w:tc>
          <w:tcPr>
            <w:tcW w:w="600" w:type="dxa"/>
            <w:tcBorders>
              <w:top w:val="single" w:color="auto" w:sz="4" w:space="0"/>
              <w:left w:val="single" w:color="auto" w:sz="4" w:space="0"/>
              <w:bottom w:val="single" w:color="auto" w:sz="6" w:space="0"/>
            </w:tcBorders>
            <w:vAlign w:val="center"/>
          </w:tcPr>
          <w:p>
            <w:pPr>
              <w:spacing w:before="156" w:beforeLines="50" w:after="120"/>
              <w:jc w:val="center"/>
              <w:rPr>
                <w:rFonts w:ascii="宋体" w:hAnsi="宋体" w:cs="宋体"/>
                <w:sz w:val="22"/>
                <w:szCs w:val="22"/>
              </w:rPr>
            </w:pPr>
            <w:r>
              <w:rPr>
                <w:rFonts w:hint="eastAsia" w:ascii="宋体" w:hAnsi="宋体" w:cs="宋体"/>
                <w:sz w:val="22"/>
                <w:szCs w:val="22"/>
              </w:rPr>
              <w:t>……</w:t>
            </w:r>
          </w:p>
        </w:tc>
        <w:tc>
          <w:tcPr>
            <w:tcW w:w="70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690" w:type="dxa"/>
            <w:tcBorders>
              <w:top w:val="single" w:color="auto" w:sz="4" w:space="0"/>
              <w:left w:val="single" w:color="auto" w:sz="6" w:space="0"/>
              <w:bottom w:val="single" w:color="auto" w:sz="6" w:space="0"/>
              <w:right w:val="single" w:color="auto" w:sz="4" w:space="0"/>
            </w:tcBorders>
            <w:vAlign w:val="center"/>
          </w:tcPr>
          <w:p>
            <w:pPr>
              <w:spacing w:before="156" w:beforeLines="50" w:after="120"/>
              <w:jc w:val="center"/>
              <w:rPr>
                <w:rFonts w:ascii="宋体" w:hAnsi="宋体" w:cs="宋体"/>
                <w:sz w:val="22"/>
                <w:szCs w:val="22"/>
              </w:rPr>
            </w:pPr>
          </w:p>
        </w:tc>
        <w:tc>
          <w:tcPr>
            <w:tcW w:w="1230" w:type="dxa"/>
            <w:tcBorders>
              <w:top w:val="single" w:color="auto" w:sz="4" w:space="0"/>
              <w:left w:val="single" w:color="auto" w:sz="4"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96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645"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110"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c>
          <w:tcPr>
            <w:tcW w:w="1037" w:type="dxa"/>
            <w:tcBorders>
              <w:top w:val="single" w:color="auto" w:sz="4" w:space="0"/>
              <w:left w:val="single" w:color="auto" w:sz="6" w:space="0"/>
              <w:bottom w:val="single" w:color="auto" w:sz="6" w:space="0"/>
              <w:right w:val="single" w:color="auto" w:sz="6" w:space="0"/>
            </w:tcBorders>
            <w:vAlign w:val="center"/>
          </w:tcPr>
          <w:p>
            <w:pPr>
              <w:spacing w:before="156" w:beforeLines="50" w:after="120"/>
              <w:jc w:val="center"/>
              <w:rPr>
                <w:rFonts w:ascii="宋体" w:hAnsi="宋体" w:cs="宋体"/>
                <w:sz w:val="22"/>
                <w:szCs w:val="22"/>
              </w:rPr>
            </w:pPr>
          </w:p>
        </w:tc>
      </w:tr>
      <w:tr>
        <w:tblPrEx>
          <w:tblCellMar>
            <w:top w:w="0" w:type="dxa"/>
            <w:left w:w="28" w:type="dxa"/>
            <w:bottom w:w="0" w:type="dxa"/>
            <w:right w:w="28" w:type="dxa"/>
          </w:tblCellMar>
        </w:tblPrEx>
        <w:trPr>
          <w:trHeight w:val="515" w:hRule="atLeast"/>
        </w:trPr>
        <w:tc>
          <w:tcPr>
            <w:tcW w:w="238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安装调试费</w:t>
            </w:r>
          </w:p>
        </w:tc>
        <w:tc>
          <w:tcPr>
            <w:tcW w:w="6677"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宋体" w:hAnsi="宋体" w:cs="宋体"/>
                <w:sz w:val="22"/>
                <w:szCs w:val="22"/>
              </w:rPr>
            </w:pPr>
            <w:r>
              <w:rPr>
                <w:rFonts w:hint="eastAsia" w:ascii="宋体" w:hAnsi="宋体" w:cs="宋体"/>
                <w:sz w:val="22"/>
                <w:szCs w:val="22"/>
              </w:rPr>
              <w:t>……</w:t>
            </w:r>
          </w:p>
        </w:tc>
      </w:tr>
      <w:tr>
        <w:tblPrEx>
          <w:tblCellMar>
            <w:top w:w="0" w:type="dxa"/>
            <w:left w:w="28" w:type="dxa"/>
            <w:bottom w:w="0" w:type="dxa"/>
            <w:right w:w="28" w:type="dxa"/>
          </w:tblCellMar>
        </w:tblPrEx>
        <w:trPr>
          <w:trHeight w:val="515" w:hRule="atLeast"/>
        </w:trPr>
        <w:tc>
          <w:tcPr>
            <w:tcW w:w="238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运杂费</w:t>
            </w:r>
          </w:p>
        </w:tc>
        <w:tc>
          <w:tcPr>
            <w:tcW w:w="667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w:t>
            </w:r>
          </w:p>
        </w:tc>
      </w:tr>
      <w:tr>
        <w:tblPrEx>
          <w:tblCellMar>
            <w:top w:w="0" w:type="dxa"/>
            <w:left w:w="28" w:type="dxa"/>
            <w:bottom w:w="0" w:type="dxa"/>
            <w:right w:w="28" w:type="dxa"/>
          </w:tblCellMar>
        </w:tblPrEx>
        <w:trPr>
          <w:trHeight w:val="515" w:hRule="atLeast"/>
        </w:trPr>
        <w:tc>
          <w:tcPr>
            <w:tcW w:w="238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其他费用</w:t>
            </w:r>
          </w:p>
        </w:tc>
        <w:tc>
          <w:tcPr>
            <w:tcW w:w="667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w:t>
            </w:r>
          </w:p>
        </w:tc>
      </w:tr>
      <w:tr>
        <w:tblPrEx>
          <w:tblCellMar>
            <w:top w:w="0" w:type="dxa"/>
            <w:left w:w="28" w:type="dxa"/>
            <w:bottom w:w="0" w:type="dxa"/>
            <w:right w:w="28" w:type="dxa"/>
          </w:tblCellMar>
        </w:tblPrEx>
        <w:trPr>
          <w:trHeight w:val="515" w:hRule="atLeast"/>
        </w:trPr>
        <w:tc>
          <w:tcPr>
            <w:tcW w:w="2383"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w:t>
            </w:r>
          </w:p>
        </w:tc>
        <w:tc>
          <w:tcPr>
            <w:tcW w:w="6677"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hAnsi="宋体" w:cs="宋体"/>
                <w:sz w:val="22"/>
                <w:szCs w:val="22"/>
              </w:rPr>
            </w:pPr>
            <w:r>
              <w:rPr>
                <w:rFonts w:hint="eastAsia" w:ascii="宋体" w:hAnsi="宋体" w:cs="宋体"/>
                <w:sz w:val="22"/>
                <w:szCs w:val="22"/>
              </w:rPr>
              <w:t>……</w:t>
            </w:r>
          </w:p>
        </w:tc>
      </w:tr>
      <w:tr>
        <w:tblPrEx>
          <w:tblCellMar>
            <w:top w:w="0" w:type="dxa"/>
            <w:left w:w="28" w:type="dxa"/>
            <w:bottom w:w="0" w:type="dxa"/>
            <w:right w:w="28" w:type="dxa"/>
          </w:tblCellMar>
        </w:tblPrEx>
        <w:trPr>
          <w:trHeight w:val="515" w:hRule="atLeast"/>
        </w:trPr>
        <w:tc>
          <w:tcPr>
            <w:tcW w:w="2383" w:type="dxa"/>
            <w:gridSpan w:val="3"/>
            <w:tcBorders>
              <w:top w:val="single" w:color="auto" w:sz="4" w:space="0"/>
              <w:left w:val="single" w:color="auto" w:sz="6" w:space="0"/>
              <w:bottom w:val="single" w:color="auto" w:sz="6" w:space="0"/>
            </w:tcBorders>
            <w:vAlign w:val="center"/>
          </w:tcPr>
          <w:p>
            <w:pPr>
              <w:jc w:val="center"/>
              <w:rPr>
                <w:rFonts w:ascii="宋体" w:hAnsi="宋体" w:cs="宋体"/>
                <w:sz w:val="22"/>
                <w:szCs w:val="22"/>
              </w:rPr>
            </w:pPr>
            <w:r>
              <w:rPr>
                <w:rFonts w:hint="eastAsia" w:ascii="宋体" w:hAnsi="宋体" w:cs="宋体"/>
                <w:sz w:val="22"/>
                <w:szCs w:val="22"/>
                <w:lang w:val="zh-CN"/>
              </w:rPr>
              <w:t>金额总计</w:t>
            </w:r>
          </w:p>
        </w:tc>
        <w:tc>
          <w:tcPr>
            <w:tcW w:w="6677"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left"/>
              <w:rPr>
                <w:rFonts w:ascii="宋体" w:hAnsi="宋体" w:cs="宋体"/>
                <w:sz w:val="22"/>
                <w:szCs w:val="22"/>
              </w:rPr>
            </w:pPr>
            <w:r>
              <w:rPr>
                <w:rFonts w:hint="eastAsia" w:ascii="宋体" w:hAnsi="宋体" w:cs="宋体"/>
                <w:sz w:val="22"/>
                <w:szCs w:val="22"/>
              </w:rPr>
              <w:t>大写：                       小写：元</w:t>
            </w:r>
          </w:p>
        </w:tc>
      </w:tr>
      <w:tr>
        <w:tblPrEx>
          <w:tblCellMar>
            <w:top w:w="0" w:type="dxa"/>
            <w:left w:w="28" w:type="dxa"/>
            <w:bottom w:w="0" w:type="dxa"/>
            <w:right w:w="28" w:type="dxa"/>
          </w:tblCellMar>
        </w:tblPrEx>
        <w:trPr>
          <w:trHeight w:val="577" w:hRule="atLeast"/>
        </w:trPr>
        <w:tc>
          <w:tcPr>
            <w:tcW w:w="2383" w:type="dxa"/>
            <w:gridSpan w:val="3"/>
            <w:tcBorders>
              <w:top w:val="single" w:color="auto" w:sz="4" w:space="0"/>
              <w:left w:val="single" w:color="auto" w:sz="6" w:space="0"/>
              <w:bottom w:val="single" w:color="auto" w:sz="6" w:space="0"/>
            </w:tcBorders>
            <w:vAlign w:val="center"/>
          </w:tcPr>
          <w:p>
            <w:pPr>
              <w:jc w:val="center"/>
              <w:rPr>
                <w:rFonts w:ascii="宋体" w:hAnsi="宋体" w:cs="宋体"/>
                <w:sz w:val="22"/>
                <w:szCs w:val="22"/>
              </w:rPr>
            </w:pPr>
            <w:r>
              <w:rPr>
                <w:rFonts w:hint="eastAsia" w:ascii="宋体" w:hAnsi="宋体" w:cs="宋体"/>
                <w:sz w:val="22"/>
                <w:szCs w:val="22"/>
              </w:rPr>
              <w:t>备注</w:t>
            </w:r>
          </w:p>
        </w:tc>
        <w:tc>
          <w:tcPr>
            <w:tcW w:w="6677" w:type="dxa"/>
            <w:gridSpan w:val="6"/>
            <w:tcBorders>
              <w:top w:val="single" w:color="auto" w:sz="4" w:space="0"/>
              <w:left w:val="single" w:color="auto" w:sz="6" w:space="0"/>
              <w:bottom w:val="single" w:color="auto" w:sz="6" w:space="0"/>
              <w:right w:val="single" w:color="auto" w:sz="6" w:space="0"/>
            </w:tcBorders>
            <w:vAlign w:val="center"/>
          </w:tcPr>
          <w:p>
            <w:pPr>
              <w:spacing w:before="156" w:beforeLines="50"/>
              <w:jc w:val="center"/>
              <w:rPr>
                <w:rFonts w:ascii="宋体" w:hAnsi="宋体" w:cs="宋体"/>
                <w:sz w:val="22"/>
                <w:szCs w:val="22"/>
              </w:rPr>
            </w:pPr>
            <w:r>
              <w:rPr>
                <w:rFonts w:hint="eastAsia" w:ascii="宋体" w:hAnsi="宋体" w:cs="宋体"/>
                <w:sz w:val="22"/>
                <w:szCs w:val="22"/>
              </w:rPr>
              <w:t>保留小数点后两位。</w:t>
            </w:r>
          </w:p>
        </w:tc>
      </w:tr>
    </w:tbl>
    <w:p>
      <w:pPr>
        <w:spacing w:line="360" w:lineRule="auto"/>
        <w:rPr>
          <w:rFonts w:ascii="宋体" w:hAnsi="宋体" w:cs="宋体"/>
          <w:b/>
          <w:bCs/>
          <w:sz w:val="24"/>
          <w:szCs w:val="24"/>
        </w:rPr>
      </w:pPr>
      <w:r>
        <w:rPr>
          <w:rFonts w:hint="eastAsia" w:ascii="宋体" w:hAnsi="宋体" w:cs="宋体"/>
          <w:b/>
          <w:bCs/>
          <w:sz w:val="24"/>
          <w:szCs w:val="24"/>
        </w:rPr>
        <w:t>说明：</w:t>
      </w:r>
    </w:p>
    <w:p>
      <w:pPr>
        <w:snapToGrid w:val="0"/>
        <w:spacing w:line="360" w:lineRule="auto"/>
        <w:rPr>
          <w:rFonts w:ascii="宋体" w:hAnsi="宋体" w:cs="宋体"/>
          <w:sz w:val="24"/>
          <w:szCs w:val="24"/>
        </w:rPr>
      </w:pPr>
      <w:r>
        <w:rPr>
          <w:rFonts w:hint="eastAsia" w:ascii="宋体" w:hAnsi="宋体" w:cs="宋体"/>
          <w:sz w:val="24"/>
          <w:szCs w:val="24"/>
        </w:rPr>
        <w:t>1.所报货币为人民币。如果单价与总价不符时，以单价为准。</w:t>
      </w:r>
    </w:p>
    <w:p>
      <w:pPr>
        <w:snapToGrid w:val="0"/>
        <w:spacing w:line="360" w:lineRule="auto"/>
        <w:rPr>
          <w:rFonts w:ascii="宋体" w:hAnsi="宋体" w:cs="宋体"/>
          <w:sz w:val="24"/>
          <w:szCs w:val="24"/>
        </w:rPr>
      </w:pPr>
      <w:r>
        <w:rPr>
          <w:rFonts w:hint="eastAsia" w:ascii="宋体" w:hAnsi="宋体" w:cs="宋体"/>
          <w:sz w:val="24"/>
          <w:szCs w:val="24"/>
        </w:rPr>
        <w:t>2.报价包含所有过程中发生的一切费用。</w:t>
      </w:r>
    </w:p>
    <w:p>
      <w:pPr>
        <w:snapToGrid w:val="0"/>
        <w:spacing w:line="360" w:lineRule="auto"/>
        <w:rPr>
          <w:rFonts w:ascii="宋体" w:hAnsi="宋体" w:cs="宋体"/>
          <w:sz w:val="24"/>
          <w:szCs w:val="24"/>
        </w:rPr>
      </w:pPr>
      <w:r>
        <w:rPr>
          <w:rFonts w:hint="eastAsia" w:ascii="宋体" w:hAnsi="宋体" w:cs="宋体"/>
          <w:sz w:val="24"/>
          <w:szCs w:val="24"/>
        </w:rPr>
        <w:t>3.本表中的“</w:t>
      </w:r>
      <w:r>
        <w:rPr>
          <w:rFonts w:hint="eastAsia" w:ascii="宋体" w:hAnsi="宋体" w:cs="宋体"/>
          <w:sz w:val="24"/>
          <w:szCs w:val="24"/>
          <w:lang w:val="zh-CN"/>
        </w:rPr>
        <w:t>金额总计</w:t>
      </w:r>
      <w:r>
        <w:rPr>
          <w:rFonts w:hint="eastAsia" w:ascii="宋体" w:hAnsi="宋体" w:cs="宋体"/>
          <w:sz w:val="24"/>
          <w:szCs w:val="24"/>
        </w:rPr>
        <w:t>”应与“谈判一览表”中的“谈判总报价”一致。</w:t>
      </w:r>
    </w:p>
    <w:p>
      <w:pPr>
        <w:snapToGrid w:val="0"/>
        <w:spacing w:line="360" w:lineRule="auto"/>
        <w:rPr>
          <w:rFonts w:ascii="宋体" w:hAnsi="宋体" w:cs="宋体"/>
          <w:sz w:val="24"/>
          <w:szCs w:val="24"/>
        </w:rPr>
      </w:pPr>
      <w:r>
        <w:rPr>
          <w:rFonts w:hint="eastAsia" w:ascii="宋体" w:hAnsi="宋体" w:cs="宋体"/>
          <w:sz w:val="24"/>
          <w:szCs w:val="24"/>
        </w:rPr>
        <w:t>4.表格内容可根据实际需求进行调整，但不得删减其内容，如无品牌/型号和规格/原产地及制造厂名可填“/”。</w:t>
      </w:r>
    </w:p>
    <w:p>
      <w:pPr>
        <w:spacing w:line="360" w:lineRule="auto"/>
        <w:ind w:firstLine="211"/>
        <w:rPr>
          <w:rFonts w:ascii="宋体" w:hAnsi="宋体" w:cs="宋体"/>
          <w:szCs w:val="21"/>
        </w:rPr>
      </w:pPr>
    </w:p>
    <w:p>
      <w:pPr>
        <w:adjustRightInd w:val="0"/>
        <w:snapToGrid w:val="0"/>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法定代表人/被授权人（签字）：</w:t>
      </w:r>
      <w:r>
        <w:rPr>
          <w:rFonts w:hint="eastAsia" w:ascii="宋体" w:hAnsi="宋体" w:cs="宋体"/>
          <w:sz w:val="24"/>
          <w:u w:val="single"/>
        </w:rPr>
        <w:t xml:space="preserve">            </w:t>
      </w:r>
    </w:p>
    <w:p>
      <w:pPr>
        <w:adjustRightInd w:val="0"/>
        <w:snapToGrid w:val="0"/>
        <w:spacing w:line="48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10"/>
        <w:numPr>
          <w:ilvl w:val="0"/>
          <w:numId w:val="9"/>
        </w:numPr>
        <w:spacing w:after="156" w:afterLines="50" w:line="500" w:lineRule="exact"/>
        <w:jc w:val="center"/>
        <w:outlineLvl w:val="1"/>
        <w:rPr>
          <w:rFonts w:hAnsi="宋体" w:cs="宋体"/>
          <w:b/>
          <w:bCs/>
          <w:sz w:val="28"/>
          <w:szCs w:val="28"/>
        </w:rPr>
      </w:pPr>
      <w:r>
        <w:rPr>
          <w:rFonts w:hint="eastAsia" w:hAnsi="宋体" w:cs="宋体"/>
          <w:sz w:val="24"/>
          <w:szCs w:val="24"/>
        </w:rPr>
        <w:br w:type="page"/>
      </w:r>
      <w:bookmarkStart w:id="127" w:name="_Toc16414"/>
      <w:bookmarkStart w:id="128" w:name="_Toc30843_WPSOffice_Level2"/>
      <w:bookmarkStart w:id="129" w:name="_Toc17560"/>
      <w:bookmarkStart w:id="130" w:name="_Toc23926"/>
      <w:r>
        <w:rPr>
          <w:rFonts w:hint="eastAsia" w:hAnsi="宋体" w:cs="宋体"/>
          <w:b/>
          <w:bCs/>
          <w:sz w:val="28"/>
          <w:szCs w:val="28"/>
        </w:rPr>
        <w:t>技术偏离表</w:t>
      </w:r>
      <w:bookmarkEnd w:id="127"/>
      <w:bookmarkEnd w:id="128"/>
      <w:bookmarkEnd w:id="129"/>
      <w:bookmarkEnd w:id="130"/>
    </w:p>
    <w:p>
      <w:pPr>
        <w:kinsoku w:val="0"/>
        <w:spacing w:line="480" w:lineRule="auto"/>
        <w:ind w:left="1056" w:hanging="1056" w:hangingChars="440"/>
        <w:jc w:val="left"/>
        <w:rPr>
          <w:rFonts w:ascii="宋体" w:hAnsi="宋体" w:cs="宋体"/>
          <w:sz w:val="24"/>
          <w:szCs w:val="24"/>
        </w:rPr>
      </w:pPr>
      <w:r>
        <w:rPr>
          <w:rFonts w:hint="eastAsia" w:ascii="宋体" w:hAnsi="宋体" w:cs="宋体"/>
          <w:sz w:val="24"/>
          <w:szCs w:val="24"/>
        </w:rPr>
        <w:t xml:space="preserve">项目名称：                                            </w:t>
      </w:r>
    </w:p>
    <w:tbl>
      <w:tblPr>
        <w:tblStyle w:val="2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071"/>
        <w:gridCol w:w="2457"/>
        <w:gridCol w:w="2378"/>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13" w:type="dxa"/>
            <w:vAlign w:val="center"/>
          </w:tcPr>
          <w:p>
            <w:pPr>
              <w:pStyle w:val="10"/>
              <w:spacing w:line="480" w:lineRule="auto"/>
              <w:jc w:val="center"/>
              <w:rPr>
                <w:rFonts w:hAnsi="宋体" w:cs="宋体"/>
                <w:sz w:val="24"/>
                <w:szCs w:val="24"/>
              </w:rPr>
            </w:pPr>
            <w:r>
              <w:rPr>
                <w:rFonts w:hint="eastAsia" w:hAnsi="宋体" w:cs="宋体"/>
                <w:sz w:val="24"/>
                <w:szCs w:val="24"/>
              </w:rPr>
              <w:t>序号</w:t>
            </w:r>
          </w:p>
        </w:tc>
        <w:tc>
          <w:tcPr>
            <w:tcW w:w="2071" w:type="dxa"/>
            <w:vAlign w:val="center"/>
          </w:tcPr>
          <w:p>
            <w:pPr>
              <w:pStyle w:val="10"/>
              <w:spacing w:line="480" w:lineRule="auto"/>
              <w:ind w:firstLine="480" w:firstLineChars="200"/>
              <w:jc w:val="left"/>
              <w:rPr>
                <w:rFonts w:hAnsi="宋体" w:cs="宋体"/>
                <w:sz w:val="24"/>
                <w:szCs w:val="24"/>
              </w:rPr>
            </w:pPr>
            <w:r>
              <w:rPr>
                <w:rFonts w:hint="eastAsia" w:hAnsi="宋体" w:cs="宋体"/>
                <w:sz w:val="24"/>
                <w:szCs w:val="24"/>
              </w:rPr>
              <w:t>产品名称</w:t>
            </w:r>
          </w:p>
        </w:tc>
        <w:tc>
          <w:tcPr>
            <w:tcW w:w="2457" w:type="dxa"/>
            <w:vAlign w:val="center"/>
          </w:tcPr>
          <w:p>
            <w:pPr>
              <w:pStyle w:val="10"/>
              <w:spacing w:line="480" w:lineRule="auto"/>
              <w:jc w:val="center"/>
              <w:rPr>
                <w:rFonts w:hAnsi="宋体" w:cs="宋体"/>
                <w:sz w:val="24"/>
                <w:szCs w:val="24"/>
              </w:rPr>
            </w:pPr>
            <w:r>
              <w:rPr>
                <w:rFonts w:hint="eastAsia" w:hAnsi="宋体" w:cs="宋体"/>
                <w:sz w:val="24"/>
                <w:szCs w:val="24"/>
              </w:rPr>
              <w:t>谈判文件</w:t>
            </w:r>
          </w:p>
          <w:p>
            <w:pPr>
              <w:pStyle w:val="10"/>
              <w:spacing w:line="480" w:lineRule="auto"/>
              <w:jc w:val="center"/>
              <w:rPr>
                <w:rFonts w:hAnsi="宋体" w:cs="宋体"/>
                <w:sz w:val="24"/>
                <w:szCs w:val="24"/>
              </w:rPr>
            </w:pPr>
            <w:r>
              <w:rPr>
                <w:rFonts w:hint="eastAsia" w:hAnsi="宋体" w:cs="宋体"/>
                <w:sz w:val="24"/>
                <w:szCs w:val="24"/>
              </w:rPr>
              <w:t>技术指标</w:t>
            </w:r>
          </w:p>
        </w:tc>
        <w:tc>
          <w:tcPr>
            <w:tcW w:w="2378" w:type="dxa"/>
            <w:vAlign w:val="center"/>
          </w:tcPr>
          <w:p>
            <w:pPr>
              <w:pStyle w:val="10"/>
              <w:spacing w:line="480" w:lineRule="auto"/>
              <w:jc w:val="center"/>
              <w:rPr>
                <w:rFonts w:hAnsi="宋体" w:cs="宋体"/>
                <w:sz w:val="24"/>
                <w:szCs w:val="24"/>
              </w:rPr>
            </w:pPr>
            <w:r>
              <w:rPr>
                <w:rFonts w:hint="eastAsia" w:hAnsi="宋体" w:cs="宋体"/>
                <w:sz w:val="24"/>
                <w:szCs w:val="24"/>
              </w:rPr>
              <w:t>响应产品</w:t>
            </w:r>
          </w:p>
          <w:p>
            <w:pPr>
              <w:pStyle w:val="10"/>
              <w:spacing w:line="480" w:lineRule="auto"/>
              <w:jc w:val="center"/>
              <w:rPr>
                <w:rFonts w:hAnsi="宋体" w:cs="宋体"/>
                <w:sz w:val="24"/>
                <w:szCs w:val="24"/>
              </w:rPr>
            </w:pPr>
            <w:r>
              <w:rPr>
                <w:rFonts w:hint="eastAsia" w:hAnsi="宋体" w:cs="宋体"/>
                <w:sz w:val="24"/>
                <w:szCs w:val="24"/>
              </w:rPr>
              <w:t>技术指标</w:t>
            </w:r>
          </w:p>
        </w:tc>
        <w:tc>
          <w:tcPr>
            <w:tcW w:w="1322" w:type="dxa"/>
            <w:vAlign w:val="center"/>
          </w:tcPr>
          <w:p>
            <w:pPr>
              <w:pStyle w:val="10"/>
              <w:spacing w:line="480" w:lineRule="auto"/>
              <w:jc w:val="center"/>
              <w:rPr>
                <w:rFonts w:hAnsi="宋体" w:cs="宋体"/>
                <w:sz w:val="24"/>
                <w:szCs w:val="24"/>
              </w:rPr>
            </w:pPr>
            <w:r>
              <w:rPr>
                <w:rFonts w:hint="eastAsia" w:hAnsi="宋体" w:cs="宋体"/>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vAlign w:val="center"/>
          </w:tcPr>
          <w:p>
            <w:pPr>
              <w:pStyle w:val="10"/>
              <w:spacing w:line="480" w:lineRule="auto"/>
              <w:ind w:firstLine="480" w:firstLineChars="200"/>
              <w:jc w:val="left"/>
              <w:rPr>
                <w:rFonts w:hAnsi="宋体" w:cs="宋体"/>
                <w:sz w:val="24"/>
                <w:szCs w:val="24"/>
              </w:rPr>
            </w:pPr>
          </w:p>
        </w:tc>
        <w:tc>
          <w:tcPr>
            <w:tcW w:w="2378" w:type="dxa"/>
            <w:vAlign w:val="center"/>
          </w:tcPr>
          <w:p>
            <w:pPr>
              <w:pStyle w:val="10"/>
              <w:spacing w:line="480" w:lineRule="auto"/>
              <w:ind w:firstLine="480" w:firstLineChars="200"/>
              <w:jc w:val="left"/>
              <w:rPr>
                <w:rFonts w:hAnsi="宋体" w:cs="宋体"/>
                <w:sz w:val="24"/>
                <w:szCs w:val="24"/>
              </w:rPr>
            </w:pPr>
          </w:p>
        </w:tc>
        <w:tc>
          <w:tcPr>
            <w:tcW w:w="1322" w:type="dxa"/>
            <w:vAlign w:val="center"/>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13" w:type="dxa"/>
          </w:tcPr>
          <w:p>
            <w:pPr>
              <w:pStyle w:val="10"/>
              <w:spacing w:line="480" w:lineRule="auto"/>
              <w:ind w:firstLine="480" w:firstLineChars="200"/>
              <w:jc w:val="left"/>
              <w:rPr>
                <w:rFonts w:hAnsi="宋体" w:cs="宋体"/>
                <w:sz w:val="24"/>
                <w:szCs w:val="24"/>
              </w:rPr>
            </w:pPr>
          </w:p>
        </w:tc>
        <w:tc>
          <w:tcPr>
            <w:tcW w:w="2071" w:type="dxa"/>
          </w:tcPr>
          <w:p>
            <w:pPr>
              <w:pStyle w:val="10"/>
              <w:spacing w:line="480" w:lineRule="auto"/>
              <w:ind w:firstLine="480" w:firstLineChars="200"/>
              <w:jc w:val="left"/>
              <w:rPr>
                <w:rFonts w:hAnsi="宋体" w:cs="宋体"/>
                <w:sz w:val="24"/>
                <w:szCs w:val="24"/>
              </w:rPr>
            </w:pPr>
          </w:p>
        </w:tc>
        <w:tc>
          <w:tcPr>
            <w:tcW w:w="2457" w:type="dxa"/>
          </w:tcPr>
          <w:p>
            <w:pPr>
              <w:pStyle w:val="10"/>
              <w:spacing w:line="480" w:lineRule="auto"/>
              <w:ind w:firstLine="480" w:firstLineChars="200"/>
              <w:jc w:val="left"/>
              <w:rPr>
                <w:rFonts w:hAnsi="宋体" w:cs="宋体"/>
                <w:sz w:val="24"/>
                <w:szCs w:val="24"/>
              </w:rPr>
            </w:pPr>
          </w:p>
        </w:tc>
        <w:tc>
          <w:tcPr>
            <w:tcW w:w="2378" w:type="dxa"/>
          </w:tcPr>
          <w:p>
            <w:pPr>
              <w:pStyle w:val="10"/>
              <w:spacing w:line="480" w:lineRule="auto"/>
              <w:ind w:firstLine="480" w:firstLineChars="200"/>
              <w:jc w:val="left"/>
              <w:rPr>
                <w:rFonts w:hAnsi="宋体" w:cs="宋体"/>
                <w:sz w:val="24"/>
                <w:szCs w:val="24"/>
              </w:rPr>
            </w:pPr>
          </w:p>
        </w:tc>
        <w:tc>
          <w:tcPr>
            <w:tcW w:w="1322" w:type="dxa"/>
          </w:tcPr>
          <w:p>
            <w:pPr>
              <w:pStyle w:val="10"/>
              <w:spacing w:line="480" w:lineRule="auto"/>
              <w:ind w:firstLine="480" w:firstLineChars="200"/>
              <w:jc w:val="left"/>
              <w:rPr>
                <w:rFonts w:hAnsi="宋体" w:cs="宋体"/>
                <w:sz w:val="24"/>
                <w:szCs w:val="24"/>
              </w:rPr>
            </w:pPr>
          </w:p>
        </w:tc>
      </w:tr>
    </w:tbl>
    <w:p>
      <w:pPr>
        <w:pStyle w:val="10"/>
        <w:spacing w:line="360" w:lineRule="auto"/>
        <w:jc w:val="left"/>
        <w:rPr>
          <w:rFonts w:hAnsi="宋体" w:cs="宋体"/>
          <w:b/>
          <w:bCs/>
          <w:sz w:val="24"/>
          <w:szCs w:val="24"/>
        </w:rPr>
      </w:pPr>
      <w:r>
        <w:rPr>
          <w:rFonts w:hint="eastAsia" w:hAnsi="宋体" w:cs="宋体"/>
          <w:b/>
          <w:bCs/>
          <w:sz w:val="24"/>
          <w:szCs w:val="24"/>
        </w:rPr>
        <w:t>说明：</w:t>
      </w:r>
    </w:p>
    <w:p>
      <w:pPr>
        <w:pStyle w:val="10"/>
        <w:spacing w:line="360" w:lineRule="auto"/>
        <w:jc w:val="left"/>
        <w:rPr>
          <w:rFonts w:hAnsi="宋体" w:cs="宋体"/>
          <w:sz w:val="24"/>
          <w:szCs w:val="24"/>
        </w:rPr>
      </w:pPr>
      <w:r>
        <w:rPr>
          <w:rFonts w:hint="eastAsia" w:hAnsi="宋体" w:cs="宋体"/>
          <w:sz w:val="24"/>
          <w:szCs w:val="24"/>
        </w:rPr>
        <w:t>1.请按响应产品的实际技术参数，逐条对应谈判文件的“第四部分第二条采购内容及技术要求”中的技术参数认真填写本表。偏差说明填写：正偏离、符合或负偏离。</w:t>
      </w:r>
    </w:p>
    <w:p>
      <w:pPr>
        <w:pStyle w:val="10"/>
        <w:spacing w:line="360" w:lineRule="auto"/>
        <w:jc w:val="left"/>
        <w:rPr>
          <w:rFonts w:hAnsi="宋体" w:cs="宋体"/>
          <w:sz w:val="24"/>
        </w:rPr>
      </w:pPr>
      <w:bookmarkStart w:id="131" w:name="_Toc5400"/>
      <w:r>
        <w:rPr>
          <w:rFonts w:hint="eastAsia" w:hAnsi="宋体" w:cs="宋体"/>
          <w:sz w:val="24"/>
          <w:szCs w:val="24"/>
        </w:rPr>
        <w:t>2.供应商必须据实填写，不得虚假响应，否则将取消其谈判或成交资格，并按有关规定进行处罚。</w:t>
      </w:r>
      <w:bookmarkEnd w:id="131"/>
    </w:p>
    <w:p>
      <w:pPr>
        <w:adjustRightInd w:val="0"/>
        <w:snapToGrid w:val="0"/>
        <w:spacing w:line="480" w:lineRule="auto"/>
        <w:ind w:firstLine="2520" w:firstLineChars="1050"/>
        <w:jc w:val="left"/>
        <w:rPr>
          <w:rFonts w:ascii="宋体" w:hAnsi="宋体" w:cs="宋体"/>
          <w:sz w:val="24"/>
        </w:rPr>
      </w:pPr>
    </w:p>
    <w:p>
      <w:pPr>
        <w:adjustRightInd w:val="0"/>
        <w:snapToGrid w:val="0"/>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法定代表人/被授权人（签字）：</w:t>
      </w:r>
      <w:r>
        <w:rPr>
          <w:rFonts w:hint="eastAsia" w:ascii="宋体" w:hAnsi="宋体" w:cs="宋体"/>
          <w:sz w:val="24"/>
          <w:u w:val="single"/>
        </w:rPr>
        <w:t xml:space="preserve">            </w:t>
      </w:r>
    </w:p>
    <w:p>
      <w:pPr>
        <w:adjustRightInd w:val="0"/>
        <w:snapToGrid w:val="0"/>
        <w:spacing w:line="48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pStyle w:val="4"/>
        <w:jc w:val="center"/>
        <w:rPr>
          <w:rFonts w:ascii="宋体" w:hAnsi="宋体" w:eastAsia="宋体" w:cs="宋体"/>
        </w:rPr>
      </w:pPr>
      <w:r>
        <w:rPr>
          <w:rFonts w:hint="eastAsia" w:ascii="宋体" w:hAnsi="宋体" w:eastAsia="宋体" w:cs="宋体"/>
        </w:rPr>
        <w:br w:type="page"/>
      </w:r>
      <w:bookmarkStart w:id="132" w:name="_Toc6524"/>
      <w:bookmarkStart w:id="133" w:name="_Toc31057_WPSOffice_Level2"/>
      <w:bookmarkStart w:id="134" w:name="_Toc14381"/>
      <w:r>
        <w:rPr>
          <w:rFonts w:hint="eastAsia" w:ascii="宋体" w:hAnsi="宋体" w:eastAsia="宋体" w:cs="宋体"/>
        </w:rPr>
        <w:t>四、商务响应偏离表</w:t>
      </w:r>
      <w:bookmarkEnd w:id="132"/>
      <w:bookmarkEnd w:id="133"/>
      <w:bookmarkEnd w:id="134"/>
    </w:p>
    <w:tbl>
      <w:tblPr>
        <w:tblStyle w:val="20"/>
        <w:tblW w:w="0" w:type="auto"/>
        <w:jc w:val="center"/>
        <w:tblLayout w:type="fixed"/>
        <w:tblCellMar>
          <w:top w:w="0" w:type="dxa"/>
          <w:left w:w="28" w:type="dxa"/>
          <w:bottom w:w="0" w:type="dxa"/>
          <w:right w:w="28" w:type="dxa"/>
        </w:tblCellMar>
      </w:tblPr>
      <w:tblGrid>
        <w:gridCol w:w="840"/>
        <w:gridCol w:w="2451"/>
        <w:gridCol w:w="2986"/>
        <w:gridCol w:w="1357"/>
        <w:gridCol w:w="1368"/>
      </w:tblGrid>
      <w:tr>
        <w:trPr>
          <w:trHeight w:val="58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序号</w:t>
            </w:r>
          </w:p>
        </w:tc>
        <w:tc>
          <w:tcPr>
            <w:tcW w:w="2451"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谈判文件商务条款</w:t>
            </w:r>
          </w:p>
        </w:tc>
        <w:tc>
          <w:tcPr>
            <w:tcW w:w="2986"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谈判响应文件商务条款响应</w:t>
            </w:r>
          </w:p>
        </w:tc>
        <w:tc>
          <w:tcPr>
            <w:tcW w:w="1357"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偏离</w:t>
            </w:r>
          </w:p>
        </w:tc>
        <w:tc>
          <w:tcPr>
            <w:tcW w:w="1368" w:type="dxa"/>
            <w:tcBorders>
              <w:top w:val="single" w:color="000000" w:sz="6" w:space="0"/>
              <w:left w:val="nil"/>
              <w:bottom w:val="single" w:color="000000" w:sz="6"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偏离说明</w:t>
            </w: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1</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2</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3</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4</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5</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6</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6"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7</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r>
        <w:tblPrEx>
          <w:tblCellMar>
            <w:top w:w="0" w:type="dxa"/>
            <w:left w:w="28" w:type="dxa"/>
            <w:bottom w:w="0" w:type="dxa"/>
            <w:right w:w="28" w:type="dxa"/>
          </w:tblCellMar>
        </w:tblPrEx>
        <w:trPr>
          <w:cantSplit/>
          <w:trHeight w:val="607" w:hRule="atLeast"/>
          <w:jc w:val="center"/>
        </w:trPr>
        <w:tc>
          <w:tcPr>
            <w:tcW w:w="840" w:type="dxa"/>
            <w:tcBorders>
              <w:top w:val="single" w:color="auto" w:sz="4" w:space="0"/>
              <w:left w:val="single" w:color="auto" w:sz="4" w:space="0"/>
              <w:bottom w:val="single" w:color="auto" w:sz="4" w:space="0"/>
              <w:right w:val="single" w:color="000000" w:sz="6" w:space="0"/>
            </w:tcBorders>
            <w:vAlign w:val="center"/>
          </w:tcPr>
          <w:p>
            <w:pPr>
              <w:adjustRightInd w:val="0"/>
              <w:snapToGrid w:val="0"/>
              <w:jc w:val="center"/>
              <w:rPr>
                <w:rFonts w:ascii="宋体" w:hAnsi="宋体" w:cs="宋体"/>
                <w:sz w:val="24"/>
              </w:rPr>
            </w:pPr>
            <w:r>
              <w:rPr>
                <w:rFonts w:hint="eastAsia" w:ascii="宋体" w:hAnsi="宋体" w:cs="宋体"/>
                <w:sz w:val="24"/>
              </w:rPr>
              <w:t>…</w:t>
            </w:r>
          </w:p>
        </w:tc>
        <w:tc>
          <w:tcPr>
            <w:tcW w:w="2451"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2986"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57"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c>
          <w:tcPr>
            <w:tcW w:w="1368" w:type="dxa"/>
            <w:tcBorders>
              <w:top w:val="single" w:color="000000" w:sz="6" w:space="0"/>
              <w:left w:val="nil"/>
              <w:bottom w:val="single" w:color="000000" w:sz="6" w:space="0"/>
              <w:right w:val="single" w:color="000000" w:sz="6" w:space="0"/>
            </w:tcBorders>
          </w:tcPr>
          <w:p>
            <w:pPr>
              <w:adjustRightInd w:val="0"/>
              <w:snapToGrid w:val="0"/>
              <w:spacing w:line="360" w:lineRule="auto"/>
              <w:jc w:val="center"/>
              <w:rPr>
                <w:rFonts w:ascii="宋体" w:hAnsi="宋体" w:cs="宋体"/>
                <w:sz w:val="24"/>
              </w:rPr>
            </w:pPr>
          </w:p>
        </w:tc>
      </w:tr>
    </w:tbl>
    <w:p>
      <w:pPr>
        <w:spacing w:line="360" w:lineRule="auto"/>
        <w:jc w:val="left"/>
        <w:rPr>
          <w:rFonts w:ascii="宋体" w:hAnsi="宋体" w:cs="宋体"/>
          <w:sz w:val="24"/>
        </w:rPr>
      </w:pPr>
      <w:r>
        <w:rPr>
          <w:rFonts w:hint="eastAsia" w:ascii="宋体" w:hAnsi="宋体" w:cs="宋体"/>
          <w:sz w:val="24"/>
        </w:rPr>
        <w:t>说明：</w:t>
      </w:r>
    </w:p>
    <w:p>
      <w:pPr>
        <w:spacing w:line="360" w:lineRule="auto"/>
        <w:jc w:val="left"/>
        <w:rPr>
          <w:rFonts w:ascii="宋体" w:hAnsi="宋体" w:cs="宋体"/>
          <w:sz w:val="24"/>
        </w:rPr>
      </w:pPr>
      <w:r>
        <w:rPr>
          <w:rFonts w:hint="eastAsia" w:ascii="宋体" w:hAnsi="宋体" w:cs="宋体"/>
          <w:sz w:val="24"/>
        </w:rPr>
        <w:t>1.偏离填写：正偏离、负偏离、无偏离。偏离说明对偏离情况做出详细说明。</w:t>
      </w:r>
    </w:p>
    <w:p>
      <w:pPr>
        <w:spacing w:line="360" w:lineRule="auto"/>
        <w:jc w:val="left"/>
        <w:rPr>
          <w:rFonts w:ascii="宋体" w:hAnsi="宋体" w:cs="宋体"/>
          <w:sz w:val="24"/>
        </w:rPr>
      </w:pPr>
      <w:r>
        <w:rPr>
          <w:rFonts w:hint="eastAsia" w:ascii="宋体" w:hAnsi="宋体" w:cs="宋体"/>
          <w:sz w:val="24"/>
        </w:rPr>
        <w:t>2.表格不够用，各供应商可按此表复制。</w:t>
      </w:r>
    </w:p>
    <w:p>
      <w:pPr>
        <w:spacing w:line="360" w:lineRule="auto"/>
        <w:jc w:val="left"/>
        <w:rPr>
          <w:rFonts w:ascii="宋体" w:hAnsi="宋体" w:cs="宋体"/>
          <w:sz w:val="24"/>
        </w:rPr>
      </w:pPr>
      <w:r>
        <w:rPr>
          <w:rFonts w:hint="eastAsia" w:ascii="宋体" w:hAnsi="宋体" w:cs="宋体"/>
          <w:sz w:val="24"/>
        </w:rPr>
        <w:t>3.</w:t>
      </w:r>
      <w:r>
        <w:rPr>
          <w:rFonts w:hint="eastAsia" w:ascii="宋体" w:hAnsi="宋体" w:cs="宋体"/>
          <w:sz w:val="24"/>
          <w:szCs w:val="21"/>
        </w:rPr>
        <w:t>本表须对谈判</w:t>
      </w:r>
      <w:r>
        <w:rPr>
          <w:rFonts w:hint="eastAsia" w:ascii="宋体" w:hAnsi="宋体" w:cs="宋体"/>
          <w:sz w:val="24"/>
        </w:rPr>
        <w:t>文件“第四部分 第一项商务要求”</w:t>
      </w:r>
      <w:r>
        <w:rPr>
          <w:rFonts w:hint="eastAsia" w:ascii="宋体" w:hAnsi="宋体" w:cs="宋体"/>
          <w:sz w:val="24"/>
          <w:szCs w:val="21"/>
        </w:rPr>
        <w:t>中的</w:t>
      </w:r>
      <w:r>
        <w:rPr>
          <w:rFonts w:hint="eastAsia" w:ascii="宋体" w:hAnsi="宋体" w:cs="宋体"/>
          <w:sz w:val="24"/>
        </w:rPr>
        <w:t>相关内容</w:t>
      </w:r>
      <w:r>
        <w:rPr>
          <w:rFonts w:hint="eastAsia" w:ascii="宋体" w:hAnsi="宋体" w:cs="宋体"/>
          <w:sz w:val="24"/>
          <w:szCs w:val="21"/>
        </w:rPr>
        <w:t>按照顺序逐项填写不得空缺。</w:t>
      </w:r>
    </w:p>
    <w:p>
      <w:pPr>
        <w:spacing w:line="360" w:lineRule="auto"/>
        <w:jc w:val="left"/>
        <w:rPr>
          <w:rFonts w:ascii="宋体" w:hAnsi="宋体" w:cs="宋体"/>
          <w:sz w:val="24"/>
        </w:rPr>
      </w:pPr>
    </w:p>
    <w:p>
      <w:pPr>
        <w:pStyle w:val="5"/>
        <w:ind w:firstLine="560"/>
        <w:rPr>
          <w:rFonts w:ascii="宋体" w:hAnsi="宋体" w:cs="宋体"/>
          <w:sz w:val="28"/>
          <w:szCs w:val="28"/>
        </w:rPr>
      </w:pPr>
    </w:p>
    <w:p>
      <w:pPr>
        <w:adjustRightInd w:val="0"/>
        <w:snapToGrid w:val="0"/>
        <w:spacing w:line="360" w:lineRule="auto"/>
        <w:ind w:firstLine="3840" w:firstLineChars="1600"/>
        <w:jc w:val="left"/>
        <w:rPr>
          <w:rFonts w:ascii="宋体" w:hAnsi="宋体" w:cs="宋体"/>
          <w:sz w:val="24"/>
        </w:rPr>
      </w:pPr>
    </w:p>
    <w:p>
      <w:pPr>
        <w:adjustRightInd w:val="0"/>
        <w:snapToGrid w:val="0"/>
        <w:spacing w:line="360" w:lineRule="auto"/>
        <w:ind w:firstLine="3840" w:firstLineChars="1600"/>
        <w:jc w:val="left"/>
        <w:rPr>
          <w:rFonts w:ascii="宋体" w:hAnsi="宋体" w:cs="宋体"/>
          <w:sz w:val="24"/>
        </w:rPr>
      </w:pPr>
    </w:p>
    <w:p>
      <w:pPr>
        <w:adjustRightInd w:val="0"/>
        <w:snapToGrid w:val="0"/>
        <w:spacing w:line="360" w:lineRule="auto"/>
        <w:ind w:firstLine="3840" w:firstLineChars="1600"/>
        <w:jc w:val="left"/>
        <w:rPr>
          <w:rFonts w:ascii="宋体" w:hAnsi="宋体" w:cs="宋体"/>
          <w:sz w:val="24"/>
        </w:rPr>
      </w:pPr>
      <w:r>
        <w:rPr>
          <w:rFonts w:hint="eastAsia" w:ascii="宋体" w:hAnsi="宋体" w:cs="宋体"/>
          <w:sz w:val="24"/>
        </w:rPr>
        <w:t>供应商（公章）：</w:t>
      </w:r>
      <w:r>
        <w:rPr>
          <w:rFonts w:hint="eastAsia" w:ascii="宋体" w:hAnsi="宋体" w:cs="宋体"/>
          <w:sz w:val="24"/>
          <w:u w:val="single"/>
        </w:rPr>
        <w:t xml:space="preserve">                         </w:t>
      </w:r>
    </w:p>
    <w:p>
      <w:pPr>
        <w:adjustRightInd w:val="0"/>
        <w:snapToGrid w:val="0"/>
        <w:spacing w:line="360" w:lineRule="auto"/>
        <w:ind w:firstLine="3840" w:firstLineChars="1600"/>
        <w:jc w:val="left"/>
        <w:rPr>
          <w:rFonts w:ascii="宋体" w:hAnsi="宋体" w:cs="宋体"/>
          <w:sz w:val="24"/>
          <w:u w:val="single"/>
        </w:rPr>
      </w:pPr>
      <w:r>
        <w:rPr>
          <w:rFonts w:hint="eastAsia" w:ascii="宋体" w:hAnsi="宋体" w:cs="宋体"/>
          <w:sz w:val="24"/>
        </w:rPr>
        <w:t>法定代表人/被授权人（签字）：</w:t>
      </w:r>
      <w:r>
        <w:rPr>
          <w:rFonts w:hint="eastAsia" w:ascii="宋体" w:hAnsi="宋体" w:cs="宋体"/>
          <w:sz w:val="24"/>
          <w:u w:val="single"/>
        </w:rPr>
        <w:t xml:space="preserve">            </w:t>
      </w:r>
    </w:p>
    <w:p>
      <w:pPr>
        <w:adjustRightInd w:val="0"/>
        <w:snapToGrid w:val="0"/>
        <w:spacing w:line="480" w:lineRule="auto"/>
        <w:ind w:firstLine="3840" w:firstLineChars="1600"/>
        <w:rPr>
          <w:rFonts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adjustRightInd w:val="0"/>
        <w:snapToGrid w:val="0"/>
        <w:spacing w:line="480" w:lineRule="auto"/>
        <w:rPr>
          <w:rFonts w:ascii="宋体" w:hAnsi="宋体" w:cs="宋体"/>
          <w:sz w:val="24"/>
        </w:rPr>
      </w:pPr>
    </w:p>
    <w:p>
      <w:pPr>
        <w:rPr>
          <w:rFonts w:ascii="宋体" w:hAnsi="宋体" w:cs="宋体"/>
          <w:b/>
          <w:sz w:val="32"/>
          <w:szCs w:val="32"/>
        </w:rPr>
      </w:pPr>
      <w:bookmarkStart w:id="135" w:name="_Toc3555"/>
      <w:bookmarkStart w:id="136" w:name="_Toc9407"/>
      <w:bookmarkStart w:id="137" w:name="_Toc4047_WPSOffice_Level2"/>
      <w:bookmarkStart w:id="138" w:name="_Toc26184"/>
      <w:r>
        <w:rPr>
          <w:rFonts w:hint="eastAsia" w:ascii="宋体" w:hAnsi="宋体" w:cs="宋体"/>
          <w:b/>
          <w:sz w:val="32"/>
          <w:szCs w:val="32"/>
        </w:rPr>
        <w:br w:type="page"/>
      </w:r>
    </w:p>
    <w:p>
      <w:pPr>
        <w:spacing w:line="360" w:lineRule="auto"/>
        <w:jc w:val="center"/>
        <w:outlineLvl w:val="1"/>
        <w:rPr>
          <w:rFonts w:ascii="宋体" w:hAnsi="宋体" w:cs="宋体"/>
          <w:b/>
          <w:sz w:val="32"/>
          <w:szCs w:val="32"/>
        </w:rPr>
      </w:pPr>
      <w:r>
        <w:rPr>
          <w:rFonts w:hint="eastAsia" w:ascii="宋体" w:hAnsi="宋体" w:cs="宋体"/>
          <w:b/>
          <w:sz w:val="32"/>
          <w:szCs w:val="32"/>
        </w:rPr>
        <w:t>五、</w:t>
      </w:r>
      <w:bookmarkStart w:id="139" w:name="_Toc8388"/>
      <w:r>
        <w:rPr>
          <w:rFonts w:hint="eastAsia" w:ascii="宋体" w:hAnsi="宋体" w:cs="宋体"/>
          <w:b/>
          <w:sz w:val="32"/>
          <w:szCs w:val="32"/>
        </w:rPr>
        <w:t>法定代表人证明书及法定代表人授权书</w:t>
      </w:r>
      <w:bookmarkEnd w:id="135"/>
      <w:bookmarkEnd w:id="136"/>
      <w:bookmarkEnd w:id="137"/>
      <w:bookmarkEnd w:id="138"/>
      <w:bookmarkEnd w:id="139"/>
    </w:p>
    <w:p>
      <w:pPr>
        <w:jc w:val="center"/>
        <w:rPr>
          <w:rFonts w:ascii="宋体" w:hAnsi="宋体" w:cs="宋体"/>
          <w:b/>
          <w:sz w:val="24"/>
        </w:rPr>
      </w:pPr>
    </w:p>
    <w:p>
      <w:pPr>
        <w:pStyle w:val="31"/>
        <w:spacing w:line="500" w:lineRule="atLeast"/>
        <w:jc w:val="center"/>
        <w:rPr>
          <w:rFonts w:ascii="宋体" w:hAnsi="宋体" w:cs="宋体"/>
          <w:sz w:val="28"/>
          <w:szCs w:val="28"/>
        </w:rPr>
      </w:pPr>
      <w:r>
        <w:rPr>
          <w:rFonts w:hint="eastAsia" w:ascii="宋体" w:hAnsi="宋体" w:cs="宋体"/>
          <w:b/>
          <w:bCs/>
          <w:sz w:val="28"/>
          <w:szCs w:val="28"/>
        </w:rPr>
        <w:t>5.1、法定代表人身份证明书</w:t>
      </w:r>
    </w:p>
    <w:p>
      <w:pPr>
        <w:pStyle w:val="31"/>
        <w:spacing w:line="500" w:lineRule="atLeast"/>
        <w:ind w:firstLine="480" w:firstLineChars="200"/>
        <w:jc w:val="left"/>
        <w:rPr>
          <w:rFonts w:ascii="宋体" w:hAnsi="宋体" w:cs="宋体"/>
          <w:sz w:val="24"/>
          <w:szCs w:val="24"/>
          <w:u w:val="single"/>
        </w:rPr>
      </w:pPr>
      <w:r>
        <w:rPr>
          <w:rFonts w:hint="eastAsia" w:ascii="宋体" w:hAnsi="宋体" w:cs="宋体"/>
          <w:sz w:val="24"/>
          <w:szCs w:val="24"/>
        </w:rPr>
        <w:t>供应商名称：</w:t>
      </w:r>
      <w:r>
        <w:rPr>
          <w:rFonts w:hint="eastAsia" w:ascii="宋体" w:hAnsi="宋体" w:cs="宋体"/>
          <w:sz w:val="24"/>
          <w:szCs w:val="24"/>
          <w:u w:val="single"/>
        </w:rPr>
        <w:t xml:space="preserve">                                               </w:t>
      </w:r>
    </w:p>
    <w:p>
      <w:pPr>
        <w:pStyle w:val="31"/>
        <w:spacing w:line="500" w:lineRule="atLeast"/>
        <w:ind w:firstLine="480" w:firstLineChars="200"/>
        <w:jc w:val="left"/>
        <w:rPr>
          <w:rFonts w:ascii="宋体" w:hAnsi="宋体" w:cs="宋体"/>
          <w:sz w:val="24"/>
          <w:szCs w:val="24"/>
        </w:rPr>
      </w:pPr>
      <w:r>
        <w:rPr>
          <w:rFonts w:hint="eastAsia" w:ascii="宋体" w:hAnsi="宋体" w:cs="宋体"/>
          <w:sz w:val="24"/>
          <w:szCs w:val="24"/>
        </w:rPr>
        <w:t>统一社会信用代码：</w:t>
      </w:r>
      <w:r>
        <w:rPr>
          <w:rFonts w:hint="eastAsia" w:ascii="宋体" w:hAnsi="宋体" w:cs="宋体"/>
          <w:sz w:val="24"/>
          <w:szCs w:val="24"/>
          <w:u w:val="single"/>
        </w:rPr>
        <w:t xml:space="preserve">                                         </w:t>
      </w:r>
    </w:p>
    <w:p>
      <w:pPr>
        <w:pStyle w:val="31"/>
        <w:spacing w:line="500" w:lineRule="atLeast"/>
        <w:ind w:firstLine="480" w:firstLineChars="200"/>
        <w:rPr>
          <w:rFonts w:ascii="宋体" w:hAnsi="宋体" w:cs="宋体"/>
          <w:sz w:val="24"/>
          <w:szCs w:val="24"/>
        </w:rPr>
      </w:pPr>
      <w:r>
        <w:rPr>
          <w:rFonts w:hint="eastAsia" w:ascii="宋体" w:hAnsi="宋体" w:cs="宋体"/>
          <w:sz w:val="24"/>
          <w:szCs w:val="24"/>
        </w:rPr>
        <w:t>注册地址：</w:t>
      </w:r>
      <w:r>
        <w:rPr>
          <w:rFonts w:hint="eastAsia" w:ascii="宋体" w:hAnsi="宋体" w:cs="宋体"/>
          <w:sz w:val="24"/>
          <w:szCs w:val="24"/>
          <w:u w:val="single"/>
        </w:rPr>
        <w:t xml:space="preserve">                                                 </w:t>
      </w:r>
    </w:p>
    <w:p>
      <w:pPr>
        <w:pStyle w:val="31"/>
        <w:spacing w:line="500" w:lineRule="atLeast"/>
        <w:ind w:firstLine="480" w:firstLineChars="200"/>
        <w:rPr>
          <w:rFonts w:ascii="宋体" w:hAnsi="宋体" w:cs="宋体"/>
          <w:sz w:val="24"/>
          <w:szCs w:val="24"/>
        </w:rPr>
      </w:pPr>
      <w:r>
        <w:rPr>
          <w:rFonts w:hint="eastAsia" w:ascii="宋体" w:hAnsi="宋体" w:cs="宋体"/>
          <w:sz w:val="24"/>
          <w:szCs w:val="24"/>
        </w:rPr>
        <w:t>成立时间：</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1"/>
        <w:spacing w:line="500" w:lineRule="atLeast"/>
        <w:ind w:firstLine="480" w:firstLineChars="200"/>
        <w:rPr>
          <w:rFonts w:ascii="宋体" w:hAnsi="宋体" w:cs="宋体"/>
          <w:sz w:val="24"/>
          <w:szCs w:val="24"/>
          <w:u w:val="single"/>
        </w:rPr>
      </w:pPr>
      <w:r>
        <w:rPr>
          <w:rFonts w:hint="eastAsia" w:ascii="宋体" w:hAnsi="宋体" w:cs="宋体"/>
          <w:sz w:val="24"/>
          <w:szCs w:val="24"/>
        </w:rPr>
        <w:t>经营范围：主营：</w:t>
      </w:r>
      <w:r>
        <w:rPr>
          <w:rFonts w:hint="eastAsia" w:ascii="宋体" w:hAnsi="宋体" w:cs="宋体"/>
          <w:sz w:val="24"/>
          <w:szCs w:val="24"/>
          <w:u w:val="single"/>
        </w:rPr>
        <w:t xml:space="preserve">                </w:t>
      </w:r>
      <w:r>
        <w:rPr>
          <w:rFonts w:hint="eastAsia" w:ascii="宋体" w:hAnsi="宋体" w:cs="宋体"/>
          <w:sz w:val="24"/>
          <w:szCs w:val="24"/>
        </w:rPr>
        <w:t>；兼营：</w:t>
      </w:r>
      <w:r>
        <w:rPr>
          <w:rFonts w:hint="eastAsia" w:ascii="宋体" w:hAnsi="宋体" w:cs="宋体"/>
          <w:sz w:val="24"/>
          <w:szCs w:val="24"/>
          <w:u w:val="single"/>
        </w:rPr>
        <w:t xml:space="preserve">                   </w:t>
      </w:r>
    </w:p>
    <w:p>
      <w:pPr>
        <w:pStyle w:val="31"/>
        <w:spacing w:line="500" w:lineRule="atLeast"/>
        <w:ind w:firstLine="480" w:firstLineChars="200"/>
        <w:rPr>
          <w:rFonts w:ascii="宋体" w:hAnsi="宋体" w:cs="宋体"/>
          <w:sz w:val="24"/>
          <w:szCs w:val="24"/>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31"/>
        <w:spacing w:line="500" w:lineRule="atLeast"/>
        <w:ind w:firstLine="480" w:firstLineChars="200"/>
        <w:jc w:val="left"/>
        <w:rPr>
          <w:rFonts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pPr>
        <w:pStyle w:val="31"/>
        <w:spacing w:line="500" w:lineRule="atLeast"/>
        <w:ind w:firstLine="480" w:firstLineChars="200"/>
        <w:rPr>
          <w:rFonts w:ascii="宋体" w:hAnsi="宋体" w:cs="宋体"/>
          <w:sz w:val="24"/>
          <w:szCs w:val="24"/>
        </w:rPr>
      </w:pPr>
      <w:r>
        <w:rPr>
          <w:rFonts w:hint="eastAsia" w:ascii="宋体" w:hAnsi="宋体" w:cs="宋体"/>
          <w:sz w:val="24"/>
          <w:szCs w:val="24"/>
        </w:rPr>
        <w:t>特此证明</w:t>
      </w:r>
    </w:p>
    <w:p>
      <w:pPr>
        <w:pStyle w:val="31"/>
        <w:spacing w:line="500" w:lineRule="atLeast"/>
        <w:ind w:firstLine="480" w:firstLineChars="200"/>
        <w:rPr>
          <w:rFonts w:ascii="宋体" w:hAnsi="宋体" w:cs="宋体"/>
          <w:sz w:val="24"/>
          <w:szCs w:val="24"/>
        </w:rPr>
      </w:pPr>
      <w:r>
        <w:rPr>
          <w:rFonts w:hint="eastAsia" w:ascii="宋体" w:hAnsi="宋体" w:cs="宋体"/>
          <w:sz w:val="24"/>
          <w:szCs w:val="24"/>
        </w:rPr>
        <w:t>法定代表人身份证复印件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8351" w:type="dxa"/>
            <w:vAlign w:val="center"/>
          </w:tcPr>
          <w:p>
            <w:pPr>
              <w:adjustRightInd w:val="0"/>
              <w:snapToGrid w:val="0"/>
              <w:spacing w:line="500" w:lineRule="atLeast"/>
              <w:jc w:val="center"/>
              <w:rPr>
                <w:rFonts w:ascii="宋体" w:hAnsi="宋体" w:cs="宋体"/>
                <w:sz w:val="24"/>
                <w:szCs w:val="24"/>
                <w:u w:val="single"/>
              </w:rPr>
            </w:pPr>
            <w:r>
              <w:rPr>
                <w:rFonts w:hint="eastAsia" w:ascii="宋体" w:hAnsi="宋体" w:cs="宋体"/>
                <w:sz w:val="24"/>
                <w:szCs w:val="24"/>
              </w:rPr>
              <w:t>法定代表人身份证复印件正、反面</w:t>
            </w:r>
          </w:p>
          <w:p>
            <w:pPr>
              <w:adjustRightInd w:val="0"/>
              <w:snapToGrid w:val="0"/>
              <w:spacing w:line="500" w:lineRule="atLeast"/>
              <w:jc w:val="center"/>
              <w:rPr>
                <w:rFonts w:ascii="宋体" w:hAnsi="宋体" w:cs="宋体"/>
                <w:sz w:val="24"/>
                <w:szCs w:val="24"/>
                <w:u w:val="single"/>
              </w:rPr>
            </w:pPr>
          </w:p>
        </w:tc>
      </w:tr>
    </w:tbl>
    <w:p>
      <w:pPr>
        <w:autoSpaceDE w:val="0"/>
        <w:autoSpaceDN w:val="0"/>
        <w:adjustRightInd w:val="0"/>
        <w:snapToGrid w:val="0"/>
        <w:spacing w:before="156" w:beforeLines="50" w:line="360" w:lineRule="auto"/>
        <w:ind w:firstLine="480" w:firstLineChars="200"/>
        <w:jc w:val="left"/>
        <w:rPr>
          <w:rFonts w:ascii="宋体" w:hAnsi="宋体" w:cs="宋体"/>
          <w:sz w:val="24"/>
        </w:rPr>
      </w:pPr>
      <w:r>
        <w:rPr>
          <w:rFonts w:hint="eastAsia" w:ascii="宋体" w:hAnsi="宋体" w:cs="宋体"/>
          <w:sz w:val="24"/>
        </w:rPr>
        <w:t>说明：本表仅限法定代表人参加谈判时提供。</w:t>
      </w:r>
    </w:p>
    <w:p>
      <w:pPr>
        <w:pStyle w:val="31"/>
        <w:spacing w:line="500" w:lineRule="atLeast"/>
        <w:rPr>
          <w:rFonts w:ascii="宋体" w:hAnsi="宋体" w:cs="宋体"/>
          <w:sz w:val="24"/>
          <w:szCs w:val="24"/>
        </w:rPr>
      </w:pPr>
    </w:p>
    <w:p>
      <w:pPr>
        <w:pStyle w:val="31"/>
        <w:spacing w:line="500" w:lineRule="atLeast"/>
        <w:ind w:firstLine="480" w:firstLineChars="200"/>
        <w:rPr>
          <w:rFonts w:ascii="宋体" w:hAnsi="宋体" w:cs="宋体"/>
          <w:sz w:val="24"/>
          <w:szCs w:val="24"/>
        </w:rPr>
      </w:pPr>
    </w:p>
    <w:p>
      <w:pPr>
        <w:pStyle w:val="31"/>
        <w:spacing w:line="500" w:lineRule="atLeast"/>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（公章）</w:t>
      </w:r>
    </w:p>
    <w:p>
      <w:pPr>
        <w:spacing w:line="500" w:lineRule="atLeast"/>
        <w:jc w:val="righ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500" w:lineRule="atLeast"/>
        <w:rPr>
          <w:rFonts w:ascii="宋体" w:hAnsi="宋体" w:cs="宋体"/>
          <w:sz w:val="24"/>
          <w:szCs w:val="24"/>
        </w:rPr>
      </w:pPr>
    </w:p>
    <w:p>
      <w:pPr>
        <w:spacing w:line="500" w:lineRule="atLeast"/>
        <w:rPr>
          <w:rFonts w:ascii="宋体" w:hAnsi="宋体" w:cs="宋体"/>
          <w:b/>
          <w:bCs/>
          <w:sz w:val="24"/>
          <w:szCs w:val="24"/>
        </w:rPr>
      </w:pPr>
      <w:r>
        <w:rPr>
          <w:rFonts w:hint="eastAsia" w:ascii="宋体" w:hAnsi="宋体" w:cs="宋体"/>
          <w:b/>
          <w:bCs/>
          <w:sz w:val="24"/>
          <w:szCs w:val="24"/>
        </w:rPr>
        <w:br w:type="page"/>
      </w:r>
    </w:p>
    <w:p>
      <w:pPr>
        <w:spacing w:line="500" w:lineRule="atLeast"/>
        <w:ind w:left="210" w:leftChars="100"/>
        <w:jc w:val="center"/>
        <w:rPr>
          <w:rFonts w:ascii="宋体" w:hAnsi="宋体" w:cs="宋体"/>
          <w:b/>
          <w:bCs/>
          <w:sz w:val="24"/>
          <w:szCs w:val="24"/>
        </w:rPr>
      </w:pPr>
      <w:r>
        <w:rPr>
          <w:rFonts w:hint="eastAsia" w:ascii="宋体" w:hAnsi="宋体" w:cs="宋体"/>
          <w:b/>
          <w:bCs/>
          <w:sz w:val="24"/>
          <w:szCs w:val="24"/>
        </w:rPr>
        <w:t>5.2、法定代表人授权委托书</w:t>
      </w:r>
    </w:p>
    <w:p>
      <w:pPr>
        <w:adjustRightInd w:val="0"/>
        <w:snapToGrid w:val="0"/>
        <w:spacing w:line="500" w:lineRule="atLeast"/>
        <w:ind w:firstLine="480" w:firstLineChars="200"/>
        <w:rPr>
          <w:rFonts w:ascii="宋体" w:hAnsi="宋体" w:cs="宋体"/>
          <w:sz w:val="24"/>
          <w:szCs w:val="24"/>
        </w:rPr>
      </w:pPr>
      <w:r>
        <w:rPr>
          <w:rFonts w:hint="eastAsia" w:ascii="宋体" w:hAnsi="宋体" w:cs="宋体"/>
          <w:sz w:val="24"/>
          <w:szCs w:val="24"/>
        </w:rPr>
        <w:t>注册于</w:t>
      </w:r>
      <w:r>
        <w:rPr>
          <w:rFonts w:hint="eastAsia" w:ascii="宋体" w:hAnsi="宋体" w:cs="宋体"/>
          <w:sz w:val="24"/>
          <w:szCs w:val="24"/>
          <w:u w:val="single"/>
        </w:rPr>
        <w:t xml:space="preserve">      （工商行政管理局名称/市场监督管理局）</w:t>
      </w:r>
      <w:r>
        <w:rPr>
          <w:rFonts w:hint="eastAsia" w:ascii="宋体" w:hAnsi="宋体" w:cs="宋体"/>
          <w:sz w:val="24"/>
          <w:szCs w:val="24"/>
        </w:rPr>
        <w:t>之</w:t>
      </w:r>
      <w:r>
        <w:rPr>
          <w:rFonts w:hint="eastAsia" w:ascii="宋体" w:hAnsi="宋体" w:cs="宋体"/>
          <w:sz w:val="24"/>
          <w:szCs w:val="24"/>
          <w:u w:val="single"/>
        </w:rPr>
        <w:t xml:space="preserve">           （供应商全称）</w:t>
      </w:r>
      <w:r>
        <w:rPr>
          <w:rFonts w:hint="eastAsia" w:ascii="宋体" w:hAnsi="宋体" w:cs="宋体"/>
          <w:sz w:val="24"/>
          <w:szCs w:val="24"/>
        </w:rPr>
        <w:t>法定代表人</w:t>
      </w:r>
      <w:r>
        <w:rPr>
          <w:rFonts w:hint="eastAsia" w:ascii="宋体" w:hAnsi="宋体" w:cs="宋体"/>
          <w:sz w:val="24"/>
          <w:szCs w:val="24"/>
          <w:u w:val="single"/>
        </w:rPr>
        <w:t>（姓名、职务）</w:t>
      </w:r>
      <w:r>
        <w:rPr>
          <w:rFonts w:hint="eastAsia" w:ascii="宋体" w:hAnsi="宋体" w:cs="宋体"/>
          <w:sz w:val="24"/>
          <w:szCs w:val="24"/>
        </w:rPr>
        <w:t>授权</w:t>
      </w:r>
      <w:r>
        <w:rPr>
          <w:rFonts w:hint="eastAsia" w:ascii="宋体" w:hAnsi="宋体" w:cs="宋体"/>
          <w:sz w:val="24"/>
          <w:szCs w:val="24"/>
          <w:u w:val="single"/>
        </w:rPr>
        <w:t>（被授权委托人姓名、职务）</w:t>
      </w:r>
      <w:r>
        <w:rPr>
          <w:rFonts w:hint="eastAsia" w:ascii="宋体" w:hAnsi="宋体" w:cs="宋体"/>
          <w:sz w:val="24"/>
          <w:szCs w:val="24"/>
        </w:rPr>
        <w:t>为本公司的合法代理人，就</w:t>
      </w:r>
      <w:r>
        <w:rPr>
          <w:rFonts w:hint="eastAsia" w:ascii="宋体" w:hAnsi="宋体" w:cs="宋体"/>
          <w:sz w:val="24"/>
          <w:szCs w:val="24"/>
          <w:u w:val="single"/>
        </w:rPr>
        <w:t>（项目名称）</w:t>
      </w:r>
      <w:r>
        <w:rPr>
          <w:rFonts w:hint="eastAsia" w:ascii="宋体" w:hAnsi="宋体" w:cs="宋体"/>
          <w:sz w:val="24"/>
          <w:szCs w:val="24"/>
        </w:rPr>
        <w:t>的谈判及合同的执行和完成，以本公司的名义处理一切与之有关的事宜。</w:t>
      </w:r>
    </w:p>
    <w:p>
      <w:pPr>
        <w:adjustRightInd w:val="0"/>
        <w:snapToGrid w:val="0"/>
        <w:spacing w:line="500" w:lineRule="atLeast"/>
        <w:ind w:firstLine="480" w:firstLineChars="200"/>
        <w:rPr>
          <w:rFonts w:ascii="宋体" w:hAnsi="宋体" w:cs="宋体"/>
          <w:sz w:val="24"/>
          <w:szCs w:val="24"/>
          <w:u w:val="single"/>
        </w:rPr>
      </w:pPr>
      <w:r>
        <w:rPr>
          <w:rFonts w:hint="eastAsia" w:ascii="宋体" w:hAnsi="宋体" w:cs="宋体"/>
          <w:sz w:val="24"/>
          <w:szCs w:val="24"/>
        </w:rPr>
        <w:t>附：被授权委托人姓名：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p>
    <w:p>
      <w:pPr>
        <w:adjustRightInd w:val="0"/>
        <w:snapToGrid w:val="0"/>
        <w:spacing w:line="500" w:lineRule="atLeast"/>
        <w:ind w:firstLine="480" w:firstLineChars="200"/>
        <w:rPr>
          <w:rFonts w:ascii="宋体" w:hAnsi="宋体" w:cs="宋体"/>
          <w:sz w:val="24"/>
          <w:szCs w:val="24"/>
        </w:rPr>
      </w:pPr>
      <w:r>
        <w:rPr>
          <w:rFonts w:hint="eastAsia" w:ascii="宋体" w:hAnsi="宋体" w:cs="宋体"/>
          <w:sz w:val="24"/>
          <w:szCs w:val="24"/>
        </w:rPr>
        <w:t>职    务：</w:t>
      </w:r>
      <w:r>
        <w:rPr>
          <w:rFonts w:hint="eastAsia" w:ascii="宋体" w:hAnsi="宋体" w:cs="宋体"/>
          <w:sz w:val="24"/>
          <w:szCs w:val="24"/>
          <w:u w:val="singl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p>
    <w:p>
      <w:pPr>
        <w:adjustRightInd w:val="0"/>
        <w:snapToGrid w:val="0"/>
        <w:spacing w:line="500" w:lineRule="atLeast"/>
        <w:ind w:firstLine="480" w:firstLineChars="200"/>
        <w:rPr>
          <w:rFonts w:ascii="宋体" w:hAnsi="宋体" w:cs="宋体"/>
          <w:sz w:val="24"/>
          <w:szCs w:val="24"/>
          <w:u w:val="single"/>
        </w:rPr>
      </w:pPr>
      <w:r>
        <w:rPr>
          <w:rFonts w:hint="eastAsia" w:ascii="宋体" w:hAnsi="宋体" w:cs="宋体"/>
          <w:sz w:val="24"/>
          <w:szCs w:val="24"/>
        </w:rPr>
        <w:t>通讯地址：</w:t>
      </w:r>
      <w:r>
        <w:rPr>
          <w:rFonts w:hint="eastAsia" w:ascii="宋体" w:hAnsi="宋体" w:cs="宋体"/>
          <w:sz w:val="24"/>
          <w:szCs w:val="24"/>
          <w:u w:val="single"/>
        </w:rPr>
        <w:t xml:space="preserve">                                          </w:t>
      </w:r>
    </w:p>
    <w:p>
      <w:pPr>
        <w:adjustRightInd w:val="0"/>
        <w:snapToGrid w:val="0"/>
        <w:spacing w:line="500" w:lineRule="atLeast"/>
        <w:ind w:firstLine="480" w:firstLineChars="200"/>
        <w:rPr>
          <w:rFonts w:ascii="宋体" w:hAnsi="宋体" w:cs="宋体"/>
          <w:sz w:val="24"/>
          <w:szCs w:val="24"/>
          <w:u w:val="single"/>
        </w:rPr>
      </w:pPr>
      <w:r>
        <w:rPr>
          <w:rFonts w:hint="eastAsia" w:ascii="宋体" w:hAnsi="宋体" w:cs="宋体"/>
          <w:sz w:val="24"/>
          <w:szCs w:val="24"/>
        </w:rPr>
        <w:t>邮政编码：</w:t>
      </w:r>
      <w:r>
        <w:rPr>
          <w:rFonts w:hint="eastAsia" w:ascii="宋体" w:hAnsi="宋体" w:cs="宋体"/>
          <w:sz w:val="24"/>
          <w:szCs w:val="24"/>
          <w:u w:val="single"/>
        </w:rPr>
        <w:t xml:space="preserve">                                          </w:t>
      </w:r>
    </w:p>
    <w:p>
      <w:pPr>
        <w:adjustRightInd w:val="0"/>
        <w:snapToGrid w:val="0"/>
        <w:spacing w:line="500" w:lineRule="atLeast"/>
        <w:ind w:firstLine="480" w:firstLineChars="200"/>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r>
        <w:rPr>
          <w:rFonts w:hint="eastAsia" w:ascii="宋体" w:hAnsi="宋体" w:cs="宋体"/>
          <w:sz w:val="24"/>
          <w:szCs w:val="24"/>
        </w:rPr>
        <w:t>传真：</w:t>
      </w:r>
      <w:r>
        <w:rPr>
          <w:rFonts w:hint="eastAsia" w:ascii="宋体" w:hAnsi="宋体" w:cs="宋体"/>
          <w:sz w:val="24"/>
          <w:szCs w:val="24"/>
          <w:u w:val="single"/>
        </w:rPr>
        <w:t xml:space="preserve">               </w:t>
      </w:r>
    </w:p>
    <w:p>
      <w:pPr>
        <w:adjustRightInd w:val="0"/>
        <w:snapToGrid w:val="0"/>
        <w:spacing w:line="500" w:lineRule="atLeast"/>
        <w:ind w:firstLine="480" w:firstLineChars="200"/>
        <w:rPr>
          <w:rFonts w:ascii="宋体" w:hAnsi="宋体" w:cs="宋体"/>
          <w:sz w:val="24"/>
          <w:szCs w:val="24"/>
        </w:rPr>
      </w:pPr>
      <w:r>
        <w:rPr>
          <w:rFonts w:hint="eastAsia" w:ascii="宋体" w:hAnsi="宋体" w:cs="宋体"/>
          <w:sz w:val="24"/>
          <w:szCs w:val="24"/>
        </w:rPr>
        <w:t>法定代表人/被授权委托人身份证复印件</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0"/>
        <w:gridCol w:w="4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8" w:hRule="atLeast"/>
          <w:jc w:val="center"/>
        </w:trPr>
        <w:tc>
          <w:tcPr>
            <w:tcW w:w="4440" w:type="dxa"/>
            <w:vAlign w:val="center"/>
          </w:tcPr>
          <w:p>
            <w:pPr>
              <w:adjustRightInd w:val="0"/>
              <w:snapToGrid w:val="0"/>
              <w:spacing w:line="500" w:lineRule="atLeast"/>
              <w:jc w:val="center"/>
              <w:rPr>
                <w:rFonts w:ascii="宋体" w:hAnsi="宋体" w:cs="宋体"/>
                <w:sz w:val="24"/>
                <w:szCs w:val="24"/>
              </w:rPr>
            </w:pPr>
            <w:r>
              <w:rPr>
                <w:rFonts w:hint="eastAsia" w:ascii="宋体" w:hAnsi="宋体" w:cs="宋体"/>
                <w:sz w:val="24"/>
                <w:szCs w:val="24"/>
              </w:rPr>
              <w:t>法定代表人身份证复印件</w:t>
            </w:r>
          </w:p>
          <w:p>
            <w:pPr>
              <w:adjustRightInd w:val="0"/>
              <w:snapToGrid w:val="0"/>
              <w:spacing w:line="500" w:lineRule="atLeast"/>
              <w:jc w:val="center"/>
              <w:rPr>
                <w:rFonts w:ascii="宋体" w:hAnsi="宋体" w:cs="宋体"/>
                <w:sz w:val="24"/>
                <w:szCs w:val="24"/>
              </w:rPr>
            </w:pPr>
            <w:r>
              <w:rPr>
                <w:rFonts w:hint="eastAsia" w:ascii="宋体" w:hAnsi="宋体" w:cs="宋体"/>
                <w:sz w:val="24"/>
                <w:szCs w:val="24"/>
              </w:rPr>
              <w:t>正、反面</w:t>
            </w:r>
          </w:p>
        </w:tc>
        <w:tc>
          <w:tcPr>
            <w:tcW w:w="4440" w:type="dxa"/>
            <w:vAlign w:val="center"/>
          </w:tcPr>
          <w:p>
            <w:pPr>
              <w:adjustRightInd w:val="0"/>
              <w:snapToGrid w:val="0"/>
              <w:spacing w:line="500" w:lineRule="atLeast"/>
              <w:jc w:val="center"/>
              <w:rPr>
                <w:rFonts w:ascii="宋体" w:hAnsi="宋体" w:cs="宋体"/>
                <w:sz w:val="24"/>
                <w:szCs w:val="24"/>
              </w:rPr>
            </w:pPr>
            <w:r>
              <w:rPr>
                <w:rFonts w:hint="eastAsia" w:ascii="宋体" w:hAnsi="宋体" w:cs="宋体"/>
                <w:sz w:val="24"/>
                <w:szCs w:val="24"/>
              </w:rPr>
              <w:t>被授权委托人身份证复印件</w:t>
            </w:r>
          </w:p>
          <w:p>
            <w:pPr>
              <w:adjustRightInd w:val="0"/>
              <w:snapToGrid w:val="0"/>
              <w:spacing w:line="500" w:lineRule="atLeast"/>
              <w:jc w:val="center"/>
              <w:rPr>
                <w:rFonts w:ascii="宋体" w:hAnsi="宋体" w:cs="宋体"/>
                <w:sz w:val="24"/>
                <w:szCs w:val="24"/>
              </w:rPr>
            </w:pPr>
            <w:r>
              <w:rPr>
                <w:rFonts w:hint="eastAsia" w:ascii="宋体" w:hAnsi="宋体" w:cs="宋体"/>
                <w:sz w:val="24"/>
                <w:szCs w:val="24"/>
              </w:rPr>
              <w:t>正、反面</w:t>
            </w:r>
          </w:p>
        </w:tc>
      </w:tr>
    </w:tbl>
    <w:p>
      <w:pPr>
        <w:adjustRightInd w:val="0"/>
        <w:snapToGrid w:val="0"/>
        <w:spacing w:line="500" w:lineRule="atLeast"/>
        <w:ind w:firstLine="630"/>
        <w:rPr>
          <w:rFonts w:ascii="宋体" w:hAnsi="宋体" w:cs="宋体"/>
          <w:sz w:val="24"/>
          <w:szCs w:val="24"/>
          <w:u w:val="single"/>
        </w:rPr>
      </w:pPr>
    </w:p>
    <w:p>
      <w:pPr>
        <w:adjustRightInd w:val="0"/>
        <w:snapToGrid w:val="0"/>
        <w:spacing w:line="500" w:lineRule="atLeast"/>
        <w:ind w:firstLine="63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w:t>
      </w:r>
      <w:r>
        <w:rPr>
          <w:rFonts w:hint="eastAsia" w:ascii="宋体" w:hAnsi="宋体" w:cs="宋体"/>
          <w:sz w:val="24"/>
          <w:szCs w:val="24"/>
        </w:rPr>
        <w:t>（公章）</w:t>
      </w:r>
    </w:p>
    <w:p>
      <w:pPr>
        <w:adjustRightInd w:val="0"/>
        <w:snapToGrid w:val="0"/>
        <w:spacing w:line="500" w:lineRule="atLeast"/>
        <w:ind w:firstLine="630"/>
        <w:rPr>
          <w:rFonts w:ascii="宋体" w:hAns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w:t>
      </w:r>
      <w:r>
        <w:rPr>
          <w:rFonts w:hint="eastAsia" w:ascii="宋体" w:hAnsi="宋体" w:cs="宋体"/>
          <w:sz w:val="24"/>
          <w:szCs w:val="24"/>
        </w:rPr>
        <w:t>（签字）</w:t>
      </w:r>
    </w:p>
    <w:p>
      <w:pPr>
        <w:adjustRightInd w:val="0"/>
        <w:snapToGrid w:val="0"/>
        <w:spacing w:line="500" w:lineRule="atLeast"/>
        <w:ind w:firstLine="630"/>
        <w:rPr>
          <w:rFonts w:ascii="宋体" w:hAnsi="宋体" w:cs="宋体"/>
          <w:sz w:val="24"/>
          <w:szCs w:val="24"/>
        </w:rPr>
      </w:pPr>
      <w:r>
        <w:rPr>
          <w:rFonts w:hint="eastAsia" w:ascii="宋体" w:hAnsi="宋体" w:cs="宋体"/>
          <w:sz w:val="24"/>
          <w:szCs w:val="24"/>
        </w:rPr>
        <w:t>被授权委托人：</w:t>
      </w:r>
      <w:r>
        <w:rPr>
          <w:rFonts w:hint="eastAsia" w:ascii="宋体" w:hAnsi="宋体" w:cs="宋体"/>
          <w:sz w:val="24"/>
          <w:szCs w:val="24"/>
          <w:u w:val="single"/>
        </w:rPr>
        <w:t xml:space="preserve">                              </w:t>
      </w:r>
      <w:r>
        <w:rPr>
          <w:rFonts w:hint="eastAsia" w:ascii="宋体" w:hAnsi="宋体" w:cs="宋体"/>
          <w:sz w:val="24"/>
          <w:szCs w:val="24"/>
        </w:rPr>
        <w:t>（签字）</w:t>
      </w:r>
    </w:p>
    <w:p>
      <w:pPr>
        <w:spacing w:line="480" w:lineRule="auto"/>
        <w:ind w:firstLine="720" w:firstLineChars="300"/>
        <w:rPr>
          <w:rFonts w:ascii="宋体" w:hAnsi="宋体" w:cs="宋体"/>
          <w:sz w:val="24"/>
          <w:szCs w:val="24"/>
        </w:rPr>
      </w:pPr>
    </w:p>
    <w:p>
      <w:pPr>
        <w:jc w:val="center"/>
        <w:outlineLvl w:val="1"/>
        <w:rPr>
          <w:rFonts w:ascii="宋体" w:hAnsi="宋体" w:cs="宋体"/>
          <w:b/>
          <w:sz w:val="32"/>
          <w:szCs w:val="32"/>
        </w:rPr>
      </w:pPr>
      <w:r>
        <w:rPr>
          <w:rFonts w:hint="eastAsia" w:ascii="宋体" w:hAnsi="宋体" w:cs="宋体"/>
          <w:b/>
          <w:bCs/>
          <w:sz w:val="32"/>
          <w:szCs w:val="32"/>
        </w:rPr>
        <w:br w:type="page"/>
      </w:r>
      <w:bookmarkStart w:id="140" w:name="_Toc29389"/>
      <w:bookmarkStart w:id="141" w:name="_Toc22404_WPSOffice_Level2"/>
      <w:bookmarkStart w:id="142" w:name="_Toc9910"/>
      <w:bookmarkStart w:id="143" w:name="_Toc572"/>
      <w:bookmarkStart w:id="144" w:name="_Toc23733"/>
      <w:r>
        <w:rPr>
          <w:rFonts w:hint="eastAsia" w:ascii="宋体" w:hAnsi="宋体" w:cs="宋体"/>
          <w:b/>
          <w:bCs/>
          <w:sz w:val="32"/>
          <w:szCs w:val="32"/>
        </w:rPr>
        <w:t>六、</w:t>
      </w:r>
      <w:r>
        <w:rPr>
          <w:rFonts w:hint="eastAsia" w:ascii="宋体" w:hAnsi="宋体" w:cs="宋体"/>
          <w:b/>
          <w:sz w:val="32"/>
          <w:szCs w:val="32"/>
        </w:rPr>
        <w:t>资格证明文件</w:t>
      </w:r>
      <w:bookmarkEnd w:id="140"/>
      <w:bookmarkEnd w:id="141"/>
      <w:bookmarkEnd w:id="142"/>
      <w:bookmarkEnd w:id="143"/>
      <w:bookmarkEnd w:id="144"/>
    </w:p>
    <w:p>
      <w:pPr>
        <w:widowControl/>
        <w:tabs>
          <w:tab w:val="left" w:pos="1620"/>
        </w:tabs>
        <w:wordWrap w:val="0"/>
        <w:spacing w:line="360" w:lineRule="auto"/>
        <w:ind w:right="-197" w:rightChars="-94"/>
        <w:jc w:val="left"/>
        <w:rPr>
          <w:rFonts w:ascii="宋体" w:hAnsi="宋体" w:cs="宋体"/>
          <w:b/>
          <w:bCs/>
          <w:sz w:val="24"/>
          <w:szCs w:val="24"/>
        </w:rPr>
      </w:pPr>
      <w:r>
        <w:rPr>
          <w:rFonts w:hint="eastAsia" w:ascii="宋体" w:hAnsi="宋体" w:cs="宋体"/>
          <w:b/>
          <w:bCs/>
          <w:sz w:val="24"/>
          <w:szCs w:val="24"/>
        </w:rPr>
        <w:t>包括但不限于以下内容：</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供应商应具有独立承担民事责任的能力的企业法人、事业法人、其他组织或自然人，出具合法有效的营业执照等相关证明文件，自然人参与的提供其身份证明；</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法定代表人直接参加谈判的，须出具法定代表人证明及法人身份证；法定代表人授权代表参加谈判的，须出具法定代表人授权书及授权代表身份证。</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财务状况报告：提供经审计的2021年度财务报告或谈判前六个月内其本公司银行账户出具的资信证明；</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税收缴纳证明：供应商提供截止至谈判时间前六个月任一月份的缴费凭据；依法免税的应提供相关文件证明；</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社会保障资金缴纳证明：供应商提供截止至谈判时间前六个月任一月份的缴费凭据或社保机构开具的社会保险参保缴费情况证明；依法不需要缴纳社会保障资金的应提供相关文件证明；</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供应商提供具有履行本合同所必需的设备和专业技术能力的承诺函；</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供应商提供参加政府采购活动前三年内在经营活动中没有重大违法记录的承诺函；</w:t>
      </w:r>
    </w:p>
    <w:p>
      <w:pPr>
        <w:numPr>
          <w:ilvl w:val="0"/>
          <w:numId w:val="11"/>
        </w:numPr>
        <w:spacing w:line="360" w:lineRule="auto"/>
        <w:ind w:left="420" w:leftChars="200"/>
        <w:rPr>
          <w:rFonts w:ascii="宋体" w:hAnsi="宋体" w:cs="宋体"/>
          <w:sz w:val="24"/>
          <w:szCs w:val="24"/>
        </w:rPr>
      </w:pPr>
      <w:r>
        <w:rPr>
          <w:rFonts w:hint="eastAsia" w:ascii="宋体" w:hAnsi="宋体" w:cs="宋体"/>
          <w:sz w:val="24"/>
          <w:szCs w:val="24"/>
        </w:rPr>
        <w:t>符合《财政部关于在政府采购活动中查询及使用信用记录有关问题的通知》（财库【2016】125号）文件中信用查询的要求；</w:t>
      </w:r>
    </w:p>
    <w:p>
      <w:pPr>
        <w:numPr>
          <w:ilvl w:val="0"/>
          <w:numId w:val="11"/>
        </w:numPr>
        <w:spacing w:line="360" w:lineRule="auto"/>
        <w:ind w:left="420" w:leftChars="200"/>
        <w:rPr>
          <w:rFonts w:ascii="宋体" w:hAnsi="宋体" w:cs="宋体"/>
          <w:sz w:val="24"/>
          <w:szCs w:val="24"/>
        </w:rPr>
      </w:pPr>
      <w:r>
        <w:rPr>
          <w:rFonts w:hint="eastAsia" w:ascii="宋体" w:hAnsi="宋体" w:cs="宋体"/>
          <w:kern w:val="0"/>
          <w:sz w:val="24"/>
          <w:szCs w:val="24"/>
        </w:rPr>
        <w:t>供应商不得为“信用中国”网站（www.creditchina.gov.cn）中列入失信被执行人和重大税收违法案件当事人名单的供应商。</w:t>
      </w:r>
    </w:p>
    <w:p>
      <w:pPr>
        <w:spacing w:line="360" w:lineRule="auto"/>
        <w:ind w:left="420" w:leftChars="200"/>
        <w:rPr>
          <w:rFonts w:ascii="宋体" w:hAnsi="宋体" w:cs="宋体"/>
          <w:b/>
          <w:sz w:val="24"/>
          <w:szCs w:val="24"/>
        </w:rPr>
      </w:pPr>
      <w:r>
        <w:rPr>
          <w:rFonts w:hint="eastAsia" w:ascii="宋体" w:hAnsi="宋体" w:cs="宋体"/>
          <w:b/>
          <w:sz w:val="24"/>
          <w:szCs w:val="24"/>
        </w:rPr>
        <w:t>注：1、若因所附文件模糊、无法辨认识别等造成的不利于供应商的后果，由供应商自行承担。</w:t>
      </w:r>
    </w:p>
    <w:p>
      <w:pPr>
        <w:spacing w:line="360" w:lineRule="auto"/>
        <w:ind w:left="420" w:leftChars="200"/>
        <w:rPr>
          <w:rFonts w:ascii="宋体" w:hAnsi="宋体" w:cs="宋体"/>
          <w:b/>
          <w:bCs/>
          <w:sz w:val="24"/>
          <w:szCs w:val="24"/>
        </w:rPr>
      </w:pPr>
      <w:r>
        <w:rPr>
          <w:rFonts w:hint="eastAsia" w:ascii="宋体" w:hAnsi="宋体" w:cs="宋体"/>
          <w:b/>
          <w:sz w:val="24"/>
          <w:szCs w:val="24"/>
        </w:rPr>
        <w:t>2、以上1-8项为资格审查必备资质，须在谈判响应文件正副本中附完整的资格证明材料复印件并加盖公章。资格证明文件无效或缺项响应文件按无效响应文件处理。依法免税或不需要缴纳社会保障资金的供应商提供相应证明文件。</w:t>
      </w:r>
    </w:p>
    <w:p>
      <w:pPr>
        <w:jc w:val="center"/>
        <w:outlineLvl w:val="1"/>
        <w:rPr>
          <w:rFonts w:ascii="宋体" w:hAnsi="宋体" w:cs="宋体"/>
          <w:b/>
          <w:bCs/>
          <w:sz w:val="32"/>
          <w:szCs w:val="32"/>
        </w:rPr>
      </w:pPr>
      <w:r>
        <w:rPr>
          <w:rFonts w:hint="eastAsia" w:ascii="宋体" w:hAnsi="宋体" w:cs="宋体"/>
          <w:b/>
          <w:sz w:val="32"/>
          <w:szCs w:val="32"/>
        </w:rPr>
        <w:br w:type="page"/>
      </w:r>
      <w:bookmarkStart w:id="145" w:name="_Toc22657"/>
      <w:bookmarkStart w:id="146" w:name="_Toc6636"/>
      <w:bookmarkStart w:id="147" w:name="_Toc18809"/>
      <w:bookmarkStart w:id="148" w:name="_Toc20549"/>
      <w:bookmarkStart w:id="149" w:name="_Toc7235_WPSOffice_Level2"/>
      <w:r>
        <w:rPr>
          <w:rFonts w:hint="eastAsia" w:ascii="宋体" w:hAnsi="宋体" w:cs="宋体"/>
          <w:b/>
          <w:sz w:val="32"/>
          <w:szCs w:val="32"/>
        </w:rPr>
        <w:t>七、</w:t>
      </w:r>
      <w:r>
        <w:rPr>
          <w:rFonts w:hint="eastAsia" w:ascii="宋体" w:hAnsi="宋体" w:cs="宋体"/>
          <w:b/>
          <w:bCs/>
          <w:sz w:val="32"/>
          <w:szCs w:val="32"/>
        </w:rPr>
        <w:t>采购产品与技术组织方案</w:t>
      </w:r>
      <w:bookmarkEnd w:id="145"/>
      <w:bookmarkEnd w:id="146"/>
      <w:bookmarkEnd w:id="147"/>
      <w:bookmarkEnd w:id="148"/>
      <w:bookmarkEnd w:id="149"/>
    </w:p>
    <w:p>
      <w:pPr>
        <w:pStyle w:val="11"/>
        <w:spacing w:line="360" w:lineRule="auto"/>
        <w:ind w:left="0" w:leftChars="0" w:firstLine="480" w:firstLineChars="200"/>
        <w:rPr>
          <w:rFonts w:ascii="宋体" w:hAnsi="宋体" w:cs="宋体"/>
          <w:sz w:val="24"/>
          <w:szCs w:val="24"/>
        </w:rPr>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供应商应按照竞争性谈判文件要求及“第四部分 采购内容及商务、技术要求”内容作出全面响应自行编制，不限格式，包括但不限于以下内容：</w:t>
      </w:r>
    </w:p>
    <w:p>
      <w:pPr>
        <w:numPr>
          <w:ilvl w:val="0"/>
          <w:numId w:val="12"/>
        </w:numPr>
        <w:spacing w:line="360" w:lineRule="auto"/>
        <w:ind w:firstLine="480" w:firstLineChars="200"/>
        <w:jc w:val="left"/>
        <w:rPr>
          <w:rFonts w:ascii="宋体" w:hAnsi="宋体" w:cs="宋体"/>
          <w:sz w:val="24"/>
          <w:szCs w:val="24"/>
        </w:rPr>
      </w:pPr>
      <w:r>
        <w:rPr>
          <w:rFonts w:hint="eastAsia" w:ascii="宋体" w:hAnsi="宋体" w:cs="宋体"/>
          <w:sz w:val="24"/>
          <w:szCs w:val="24"/>
        </w:rPr>
        <w:t>供货方案（包含供货计划、安排及组织措施）</w:t>
      </w:r>
    </w:p>
    <w:p>
      <w:pPr>
        <w:numPr>
          <w:ilvl w:val="0"/>
          <w:numId w:val="12"/>
        </w:numPr>
        <w:spacing w:line="360" w:lineRule="auto"/>
        <w:ind w:firstLine="480" w:firstLineChars="200"/>
        <w:jc w:val="left"/>
        <w:rPr>
          <w:rFonts w:ascii="宋体" w:hAnsi="宋体" w:cs="宋体"/>
          <w:sz w:val="24"/>
          <w:szCs w:val="24"/>
        </w:rPr>
      </w:pPr>
      <w:r>
        <w:rPr>
          <w:rFonts w:hint="eastAsia" w:ascii="宋体" w:hAnsi="宋体" w:cs="宋体"/>
          <w:sz w:val="24"/>
          <w:szCs w:val="24"/>
        </w:rPr>
        <w:t>人员的配备</w:t>
      </w:r>
    </w:p>
    <w:p>
      <w:pPr>
        <w:numPr>
          <w:ilvl w:val="0"/>
          <w:numId w:val="12"/>
        </w:numPr>
        <w:spacing w:line="360" w:lineRule="auto"/>
        <w:ind w:firstLine="480" w:firstLineChars="200"/>
        <w:jc w:val="left"/>
        <w:rPr>
          <w:rFonts w:ascii="宋体" w:hAnsi="宋体" w:cs="宋体"/>
          <w:sz w:val="24"/>
          <w:szCs w:val="24"/>
        </w:rPr>
      </w:pPr>
      <w:r>
        <w:rPr>
          <w:rFonts w:hint="eastAsia" w:ascii="宋体" w:hAnsi="宋体" w:cs="宋体"/>
          <w:sz w:val="24"/>
          <w:szCs w:val="24"/>
        </w:rPr>
        <w:t>货物来源渠道及质量保证</w:t>
      </w:r>
    </w:p>
    <w:p>
      <w:pPr>
        <w:numPr>
          <w:ilvl w:val="0"/>
          <w:numId w:val="12"/>
        </w:numPr>
        <w:spacing w:line="360" w:lineRule="auto"/>
        <w:ind w:firstLine="480" w:firstLineChars="200"/>
        <w:jc w:val="left"/>
        <w:rPr>
          <w:rFonts w:ascii="宋体" w:hAnsi="宋体" w:cs="宋体"/>
          <w:sz w:val="24"/>
          <w:szCs w:val="24"/>
        </w:rPr>
      </w:pPr>
      <w:r>
        <w:rPr>
          <w:rFonts w:hint="eastAsia" w:ascii="宋体" w:hAnsi="宋体" w:cs="宋体"/>
          <w:sz w:val="24"/>
          <w:szCs w:val="24"/>
        </w:rPr>
        <w:t>售后服务</w:t>
      </w:r>
    </w:p>
    <w:p>
      <w:pPr>
        <w:numPr>
          <w:ilvl w:val="0"/>
          <w:numId w:val="12"/>
        </w:numPr>
        <w:spacing w:line="360" w:lineRule="auto"/>
        <w:ind w:firstLine="480" w:firstLineChars="200"/>
        <w:jc w:val="left"/>
        <w:rPr>
          <w:rFonts w:ascii="宋体" w:hAnsi="宋体" w:cs="宋体"/>
          <w:sz w:val="24"/>
          <w:szCs w:val="24"/>
        </w:rPr>
      </w:pPr>
      <w:r>
        <w:rPr>
          <w:rFonts w:hint="eastAsia" w:ascii="宋体" w:hAnsi="宋体" w:cs="宋体"/>
          <w:sz w:val="24"/>
          <w:szCs w:val="24"/>
        </w:rPr>
        <w:t>供应商认为需要加以说明的其他内容</w:t>
      </w:r>
    </w:p>
    <w:p>
      <w:pPr>
        <w:pStyle w:val="11"/>
        <w:spacing w:line="360" w:lineRule="auto"/>
        <w:jc w:val="center"/>
        <w:outlineLvl w:val="1"/>
        <w:rPr>
          <w:rFonts w:ascii="宋体" w:hAnsi="宋体" w:cs="宋体"/>
          <w:b/>
          <w:sz w:val="32"/>
          <w:szCs w:val="32"/>
        </w:rPr>
      </w:pPr>
      <w:r>
        <w:rPr>
          <w:rFonts w:hint="eastAsia" w:ascii="宋体" w:hAnsi="宋体" w:cs="宋体"/>
          <w:b/>
          <w:sz w:val="24"/>
          <w:szCs w:val="24"/>
        </w:rPr>
        <w:br w:type="page"/>
      </w:r>
      <w:bookmarkStart w:id="150" w:name="_Toc16119"/>
      <w:bookmarkStart w:id="151" w:name="_Toc6177"/>
      <w:bookmarkStart w:id="152" w:name="_Toc541_WPSOffice_Level2"/>
      <w:bookmarkStart w:id="153" w:name="_Toc962"/>
      <w:r>
        <w:rPr>
          <w:rFonts w:hint="eastAsia" w:ascii="宋体" w:hAnsi="宋体" w:cs="宋体"/>
          <w:b/>
          <w:sz w:val="32"/>
          <w:szCs w:val="32"/>
        </w:rPr>
        <w:t>八、承诺书及</w:t>
      </w:r>
      <w:bookmarkEnd w:id="150"/>
      <w:bookmarkEnd w:id="151"/>
      <w:bookmarkEnd w:id="152"/>
      <w:bookmarkEnd w:id="153"/>
      <w:r>
        <w:rPr>
          <w:rFonts w:hint="eastAsia" w:ascii="宋体" w:hAnsi="宋体" w:cs="宋体"/>
          <w:b/>
          <w:sz w:val="32"/>
          <w:szCs w:val="32"/>
        </w:rPr>
        <w:t>承诺函</w:t>
      </w:r>
    </w:p>
    <w:p>
      <w:pPr>
        <w:autoSpaceDE w:val="0"/>
        <w:autoSpaceDN w:val="0"/>
        <w:adjustRightInd w:val="0"/>
        <w:spacing w:line="360" w:lineRule="auto"/>
        <w:jc w:val="left"/>
        <w:rPr>
          <w:rFonts w:ascii="宋体" w:hAnsi="宋体" w:cs="宋体"/>
          <w:sz w:val="24"/>
          <w:szCs w:val="24"/>
          <w:lang w:val="zh-CN"/>
        </w:rPr>
      </w:pPr>
    </w:p>
    <w:p>
      <w:pPr>
        <w:autoSpaceDE w:val="0"/>
        <w:autoSpaceDN w:val="0"/>
        <w:adjustRightInd w:val="0"/>
        <w:spacing w:line="360" w:lineRule="auto"/>
        <w:jc w:val="left"/>
        <w:rPr>
          <w:rFonts w:ascii="宋体" w:hAnsi="宋体" w:cs="宋体"/>
          <w:sz w:val="24"/>
          <w:szCs w:val="24"/>
          <w:lang w:val="zh-CN"/>
        </w:rPr>
      </w:pPr>
      <w:r>
        <w:rPr>
          <w:rFonts w:hint="eastAsia" w:ascii="宋体" w:hAnsi="宋体" w:cs="宋体"/>
          <w:sz w:val="24"/>
          <w:szCs w:val="24"/>
          <w:lang w:val="zh-CN"/>
        </w:rPr>
        <w:t>1.政府采购供应商拒绝政府采购领域商业贿赂承诺书（格式见附件一）</w:t>
      </w:r>
    </w:p>
    <w:p>
      <w:pPr>
        <w:autoSpaceDE w:val="0"/>
        <w:autoSpaceDN w:val="0"/>
        <w:adjustRightInd w:val="0"/>
        <w:spacing w:line="360" w:lineRule="auto"/>
        <w:jc w:val="left"/>
        <w:rPr>
          <w:rFonts w:ascii="宋体" w:hAns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供应商企业关系关联承诺书（格式见附件二）</w:t>
      </w:r>
    </w:p>
    <w:p>
      <w:pPr>
        <w:autoSpaceDE w:val="0"/>
        <w:autoSpaceDN w:val="0"/>
        <w:adjustRightInd w:val="0"/>
        <w:spacing w:line="360" w:lineRule="auto"/>
        <w:jc w:val="left"/>
        <w:rPr>
          <w:rFonts w:ascii="宋体" w:hAnsi="宋体" w:cs="宋体"/>
          <w:sz w:val="24"/>
          <w:szCs w:val="24"/>
        </w:rPr>
      </w:pPr>
      <w:r>
        <w:rPr>
          <w:rFonts w:hint="eastAsia" w:ascii="宋体" w:hAnsi="宋体" w:cs="宋体"/>
          <w:sz w:val="24"/>
          <w:szCs w:val="24"/>
        </w:rPr>
        <w:t>3.具备履行合同所必需的设备和专业技术能力的承诺函</w:t>
      </w:r>
      <w:r>
        <w:rPr>
          <w:rFonts w:hint="eastAsia" w:ascii="宋体" w:hAnsi="宋体" w:cs="宋体"/>
          <w:sz w:val="24"/>
          <w:szCs w:val="24"/>
          <w:lang w:val="zh-CN"/>
        </w:rPr>
        <w:t>（格式见附件</w:t>
      </w:r>
      <w:r>
        <w:rPr>
          <w:rFonts w:hint="eastAsia" w:ascii="宋体" w:hAnsi="宋体" w:cs="宋体"/>
          <w:sz w:val="24"/>
          <w:szCs w:val="24"/>
        </w:rPr>
        <w:t>三</w:t>
      </w:r>
      <w:r>
        <w:rPr>
          <w:rFonts w:hint="eastAsia" w:ascii="宋体" w:hAnsi="宋体" w:cs="宋体"/>
          <w:sz w:val="24"/>
          <w:szCs w:val="24"/>
          <w:lang w:val="zh-CN"/>
        </w:rPr>
        <w:t>）</w:t>
      </w:r>
    </w:p>
    <w:p>
      <w:pPr>
        <w:autoSpaceDE w:val="0"/>
        <w:autoSpaceDN w:val="0"/>
        <w:adjustRightInd w:val="0"/>
        <w:spacing w:line="360" w:lineRule="auto"/>
        <w:jc w:val="left"/>
        <w:rPr>
          <w:rFonts w:ascii="宋体" w:hAnsi="宋体" w:cs="宋体"/>
          <w:sz w:val="24"/>
          <w:szCs w:val="24"/>
          <w:lang w:val="zh-CN"/>
        </w:rPr>
      </w:pPr>
      <w:r>
        <w:rPr>
          <w:rFonts w:hint="eastAsia" w:ascii="宋体" w:hAnsi="宋体" w:cs="宋体"/>
          <w:sz w:val="24"/>
          <w:szCs w:val="24"/>
        </w:rPr>
        <w:t>4.参加政府采购活动前三年内无重大违法记录的承诺函</w:t>
      </w:r>
      <w:r>
        <w:rPr>
          <w:rFonts w:hint="eastAsia" w:ascii="宋体" w:hAnsi="宋体" w:cs="宋体"/>
          <w:sz w:val="24"/>
          <w:szCs w:val="24"/>
          <w:lang w:val="zh-CN"/>
        </w:rPr>
        <w:t>（格式见附件</w:t>
      </w:r>
      <w:r>
        <w:rPr>
          <w:rFonts w:hint="eastAsia" w:ascii="宋体" w:hAnsi="宋体" w:cs="宋体"/>
          <w:sz w:val="24"/>
          <w:szCs w:val="24"/>
        </w:rPr>
        <w:t>四</w:t>
      </w:r>
      <w:r>
        <w:rPr>
          <w:rFonts w:hint="eastAsia" w:ascii="宋体" w:hAnsi="宋体" w:cs="宋体"/>
          <w:sz w:val="24"/>
          <w:szCs w:val="24"/>
          <w:lang w:val="zh-CN"/>
        </w:rPr>
        <w:t>）</w:t>
      </w:r>
    </w:p>
    <w:p>
      <w:pPr>
        <w:autoSpaceDE w:val="0"/>
        <w:autoSpaceDN w:val="0"/>
        <w:adjustRightInd w:val="0"/>
        <w:spacing w:line="360" w:lineRule="auto"/>
        <w:jc w:val="left"/>
        <w:rPr>
          <w:rFonts w:ascii="宋体" w:hAnsi="宋体" w:cs="宋体"/>
          <w:b/>
          <w:bCs/>
          <w:sz w:val="24"/>
          <w:szCs w:val="24"/>
          <w:lang w:val="zh-CN"/>
        </w:rPr>
      </w:pPr>
      <w:r>
        <w:rPr>
          <w:rFonts w:hint="eastAsia" w:ascii="宋体" w:hAnsi="宋体" w:cs="宋体"/>
          <w:b/>
          <w:bCs/>
          <w:sz w:val="24"/>
          <w:szCs w:val="24"/>
          <w:lang w:val="zh-CN"/>
        </w:rPr>
        <w:t>注：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utoSpaceDE w:val="0"/>
        <w:autoSpaceDN w:val="0"/>
        <w:adjustRightInd w:val="0"/>
        <w:spacing w:line="360" w:lineRule="auto"/>
        <w:jc w:val="left"/>
        <w:rPr>
          <w:rFonts w:ascii="宋体" w:hAnsi="宋体" w:cs="宋体"/>
          <w:szCs w:val="21"/>
          <w:lang w:val="zh-CN"/>
        </w:rPr>
      </w:pPr>
    </w:p>
    <w:p>
      <w:pPr>
        <w:autoSpaceDE w:val="0"/>
        <w:autoSpaceDN w:val="0"/>
        <w:adjustRightInd w:val="0"/>
        <w:spacing w:line="360" w:lineRule="auto"/>
        <w:jc w:val="left"/>
        <w:rPr>
          <w:rFonts w:ascii="宋体" w:hAnsi="宋体" w:cs="宋体"/>
          <w:b/>
          <w:sz w:val="24"/>
          <w:szCs w:val="24"/>
          <w:lang w:val="zh-CN"/>
        </w:rPr>
      </w:pPr>
      <w:r>
        <w:rPr>
          <w:rFonts w:hint="eastAsia" w:ascii="宋体" w:hAnsi="宋体" w:cs="宋体"/>
          <w:szCs w:val="21"/>
          <w:lang w:val="zh-CN"/>
        </w:rPr>
        <w:br w:type="page"/>
      </w:r>
      <w:bookmarkStart w:id="154" w:name="_Toc27830"/>
      <w:r>
        <w:rPr>
          <w:rFonts w:hint="eastAsia" w:ascii="宋体" w:hAnsi="宋体" w:cs="宋体"/>
          <w:b/>
          <w:sz w:val="24"/>
          <w:szCs w:val="24"/>
          <w:lang w:val="zh-CN"/>
        </w:rPr>
        <w:t>附件一</w:t>
      </w:r>
      <w:bookmarkEnd w:id="154"/>
    </w:p>
    <w:p>
      <w:pPr>
        <w:autoSpaceDE w:val="0"/>
        <w:autoSpaceDN w:val="0"/>
        <w:adjustRightInd w:val="0"/>
        <w:spacing w:line="360" w:lineRule="auto"/>
        <w:jc w:val="center"/>
        <w:rPr>
          <w:rFonts w:ascii="宋体" w:hAnsi="宋体" w:cs="宋体"/>
          <w:b/>
          <w:sz w:val="24"/>
          <w:szCs w:val="24"/>
          <w:lang w:val="zh-CN"/>
        </w:rPr>
      </w:pPr>
      <w:bookmarkStart w:id="155" w:name="_Toc23872_WPSOffice_Level2"/>
      <w:r>
        <w:rPr>
          <w:rFonts w:hint="eastAsia" w:ascii="宋体" w:hAnsi="宋体" w:cs="宋体"/>
          <w:b/>
          <w:sz w:val="24"/>
          <w:szCs w:val="24"/>
          <w:lang w:val="zh-CN"/>
        </w:rPr>
        <w:t>政府采购供应商拒绝政府采购领域商业贿赂承诺书</w:t>
      </w:r>
      <w:bookmarkEnd w:id="155"/>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为响应党中央、国务院关于治理采购领域商业贿赂行为的号召，我公司再次承诺：</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1.在参与采购活动中遵纪守法、诚信经营、公平竞标。</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2.不向采购人、采购代理机构和采购评审专家进行任何形式的商业贿赂以谋取交易机会。</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3.不向采购代理机构和采购人提供虚假资质文件或采用虚假应标方式参与采购市场竞争并谋取中标、成交。</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4.不采取“围标、陪标”等商业欺诈手段获取采购订单。</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5.不采取不正当手段诋毁、排挤其他供应商。</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6.不在提供商品和服务时“偷梁换柱、以次充好”损害采购人的合法权益。</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7.不与采购人、采购代理机构、采购评审专家或其他供应商恶意串通，进行质疑和投诉，维护采购市场秩序。</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8.尊重和接受采购监督管理部门的监督和采购代理机构</w:t>
      </w:r>
      <w:r>
        <w:rPr>
          <w:rFonts w:hint="eastAsia" w:ascii="宋体" w:hAnsi="宋体" w:cs="宋体"/>
          <w:sz w:val="24"/>
          <w:szCs w:val="24"/>
        </w:rPr>
        <w:t>谈判</w:t>
      </w:r>
      <w:r>
        <w:rPr>
          <w:rFonts w:hint="eastAsia" w:ascii="宋体" w:hAnsi="宋体" w:cs="宋体"/>
          <w:sz w:val="24"/>
          <w:szCs w:val="24"/>
          <w:lang w:val="zh-CN"/>
        </w:rPr>
        <w:t>采购要求，承担因违约行为给采购人造成的损失。</w:t>
      </w:r>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9.不发生其他有悖于政府采购公开、公平、公正和诚信原则的行为。</w:t>
      </w:r>
    </w:p>
    <w:p>
      <w:pPr>
        <w:autoSpaceDE w:val="0"/>
        <w:autoSpaceDN w:val="0"/>
        <w:adjustRightInd w:val="0"/>
        <w:spacing w:line="360" w:lineRule="auto"/>
        <w:ind w:firstLine="480" w:firstLineChars="200"/>
        <w:jc w:val="left"/>
        <w:rPr>
          <w:rFonts w:ascii="宋体" w:hAnsi="宋体" w:cs="宋体"/>
          <w:sz w:val="24"/>
          <w:szCs w:val="24"/>
          <w:lang w:val="zh-CN"/>
        </w:rPr>
      </w:pPr>
    </w:p>
    <w:p>
      <w:pPr>
        <w:autoSpaceDE w:val="0"/>
        <w:autoSpaceDN w:val="0"/>
        <w:adjustRightInd w:val="0"/>
        <w:spacing w:line="360" w:lineRule="auto"/>
        <w:ind w:firstLine="480" w:firstLineChars="200"/>
        <w:jc w:val="left"/>
        <w:rPr>
          <w:rFonts w:ascii="宋体" w:hAnsi="宋体" w:cs="宋体"/>
          <w:sz w:val="24"/>
          <w:szCs w:val="24"/>
          <w:lang w:val="zh-CN"/>
        </w:rPr>
      </w:pPr>
    </w:p>
    <w:p>
      <w:pPr>
        <w:spacing w:line="360" w:lineRule="auto"/>
        <w:ind w:firstLine="2160" w:firstLineChars="900"/>
        <w:rPr>
          <w:rFonts w:ascii="宋体" w:hAnsi="宋体" w:cs="宋体"/>
          <w:sz w:val="24"/>
          <w:szCs w:val="24"/>
        </w:rPr>
      </w:pPr>
      <w:r>
        <w:rPr>
          <w:rFonts w:hint="eastAsia" w:ascii="宋体" w:hAnsi="宋体" w:cs="宋体"/>
          <w:sz w:val="24"/>
          <w:szCs w:val="24"/>
        </w:rPr>
        <w:t>供应商全称（公章）：</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u w:val="single"/>
        </w:rPr>
      </w:pPr>
      <w:r>
        <w:rPr>
          <w:rFonts w:hint="eastAsia" w:ascii="宋体" w:hAnsi="宋体" w:cs="宋体"/>
          <w:sz w:val="24"/>
          <w:szCs w:val="24"/>
        </w:rPr>
        <w:t>开 户 行：</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rPr>
      </w:pPr>
      <w:r>
        <w:rPr>
          <w:rFonts w:hint="eastAsia" w:ascii="宋体" w:hAnsi="宋体" w:cs="宋体"/>
          <w:sz w:val="24"/>
          <w:szCs w:val="24"/>
        </w:rPr>
        <w:t>帐    号：</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rPr>
      </w:pPr>
      <w:r>
        <w:rPr>
          <w:rFonts w:hint="eastAsia" w:ascii="宋体" w:hAnsi="宋体" w:cs="宋体"/>
          <w:sz w:val="24"/>
          <w:szCs w:val="24"/>
        </w:rPr>
        <w:t>传    真：</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u w:val="single"/>
        </w:rPr>
      </w:pPr>
      <w:r>
        <w:rPr>
          <w:rFonts w:hint="eastAsia" w:ascii="宋体" w:hAnsi="宋体" w:cs="宋体"/>
          <w:sz w:val="24"/>
          <w:szCs w:val="24"/>
        </w:rPr>
        <w:t>邮    编：</w:t>
      </w:r>
      <w:r>
        <w:rPr>
          <w:rFonts w:hint="eastAsia" w:ascii="宋体" w:hAnsi="宋体" w:cs="宋体"/>
          <w:sz w:val="24"/>
          <w:szCs w:val="24"/>
          <w:u w:val="single"/>
        </w:rPr>
        <w:t xml:space="preserve">                              </w:t>
      </w:r>
    </w:p>
    <w:p>
      <w:pPr>
        <w:spacing w:line="360" w:lineRule="auto"/>
        <w:ind w:left="1978" w:leftChars="942" w:firstLine="211"/>
        <w:rPr>
          <w:rFonts w:ascii="宋体" w:hAnsi="宋体" w:cs="宋体"/>
          <w:sz w:val="24"/>
          <w:szCs w:val="24"/>
          <w:u w:val="single"/>
        </w:rPr>
      </w:pPr>
      <w:r>
        <w:rPr>
          <w:rFonts w:hint="eastAsia" w:ascii="宋体" w:hAnsi="宋体" w:cs="宋体"/>
          <w:sz w:val="24"/>
          <w:szCs w:val="24"/>
        </w:rPr>
        <w:t xml:space="preserve">法定代表人或授权代表签字： </w:t>
      </w:r>
      <w:r>
        <w:rPr>
          <w:rFonts w:hint="eastAsia" w:ascii="宋体" w:hAnsi="宋体" w:cs="宋体"/>
          <w:sz w:val="24"/>
          <w:szCs w:val="24"/>
          <w:u w:val="single"/>
        </w:rPr>
        <w:t xml:space="preserve">             </w:t>
      </w:r>
    </w:p>
    <w:p>
      <w:pPr>
        <w:spacing w:line="360" w:lineRule="auto"/>
        <w:rPr>
          <w:rFonts w:ascii="宋体" w:hAnsi="宋体" w:cs="宋体"/>
          <w:b/>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utoSpaceDE w:val="0"/>
        <w:autoSpaceDN w:val="0"/>
        <w:adjustRightInd w:val="0"/>
        <w:spacing w:line="360" w:lineRule="auto"/>
        <w:ind w:firstLine="480" w:firstLineChars="200"/>
        <w:jc w:val="left"/>
        <w:rPr>
          <w:rFonts w:ascii="宋体" w:hAnsi="宋体" w:cs="宋体"/>
          <w:sz w:val="24"/>
          <w:szCs w:val="24"/>
          <w:lang w:val="zh-CN"/>
        </w:rPr>
      </w:pPr>
    </w:p>
    <w:p>
      <w:pPr>
        <w:autoSpaceDE w:val="0"/>
        <w:autoSpaceDN w:val="0"/>
        <w:adjustRightInd w:val="0"/>
        <w:spacing w:line="360" w:lineRule="auto"/>
        <w:jc w:val="left"/>
        <w:rPr>
          <w:rFonts w:ascii="宋体" w:hAnsi="宋体" w:cs="宋体"/>
          <w:szCs w:val="21"/>
          <w:lang w:val="zh-CN"/>
        </w:rPr>
      </w:pPr>
      <w:r>
        <w:rPr>
          <w:rFonts w:hint="eastAsia" w:ascii="宋体" w:hAnsi="宋体" w:cs="宋体"/>
          <w:sz w:val="24"/>
          <w:szCs w:val="24"/>
          <w:lang w:val="zh-CN"/>
        </w:rPr>
        <w:br w:type="page"/>
      </w:r>
      <w:bookmarkStart w:id="156" w:name="_Toc13319"/>
      <w:r>
        <w:rPr>
          <w:rFonts w:hint="eastAsia" w:ascii="宋体" w:hAnsi="宋体" w:cs="宋体"/>
          <w:b/>
          <w:sz w:val="28"/>
          <w:szCs w:val="28"/>
          <w:lang w:val="zh-CN"/>
        </w:rPr>
        <w:t>附件二</w:t>
      </w:r>
      <w:bookmarkEnd w:id="156"/>
    </w:p>
    <w:p>
      <w:pPr>
        <w:autoSpaceDE w:val="0"/>
        <w:autoSpaceDN w:val="0"/>
        <w:adjustRightInd w:val="0"/>
        <w:spacing w:line="360" w:lineRule="auto"/>
        <w:jc w:val="center"/>
        <w:rPr>
          <w:rFonts w:ascii="宋体" w:hAnsi="宋体" w:cs="宋体"/>
          <w:b/>
          <w:sz w:val="28"/>
          <w:szCs w:val="28"/>
          <w:lang w:val="zh-CN"/>
        </w:rPr>
      </w:pPr>
      <w:bookmarkStart w:id="157" w:name="_Toc27383_WPSOffice_Level2"/>
      <w:r>
        <w:rPr>
          <w:rFonts w:hint="eastAsia" w:ascii="宋体" w:hAnsi="宋体" w:cs="宋体"/>
          <w:b/>
          <w:sz w:val="28"/>
          <w:szCs w:val="28"/>
          <w:lang w:val="zh-CN"/>
        </w:rPr>
        <w:t>供应商企业关系关联承诺书</w:t>
      </w:r>
      <w:bookmarkEnd w:id="157"/>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一、供应商在本项目协商中，不存在与其它供应商负责人为同一人，有控股、管理等关联关系承诺。</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1.管理关系说明：</w:t>
      </w:r>
    </w:p>
    <w:p>
      <w:pPr>
        <w:autoSpaceDE w:val="0"/>
        <w:autoSpaceDN w:val="0"/>
        <w:adjustRightInd w:val="0"/>
        <w:spacing w:line="360" w:lineRule="auto"/>
        <w:ind w:firstLine="480" w:firstLineChars="200"/>
        <w:jc w:val="left"/>
        <w:rPr>
          <w:rFonts w:ascii="宋体" w:hAnsi="宋体" w:cs="宋体"/>
          <w:sz w:val="24"/>
          <w:szCs w:val="24"/>
        </w:rPr>
      </w:pPr>
      <w:r>
        <w:rPr>
          <w:rFonts w:hint="eastAsia" w:ascii="宋体" w:hAnsi="宋体" w:cs="宋体"/>
          <w:sz w:val="24"/>
          <w:szCs w:val="24"/>
        </w:rPr>
        <w:t>我单位管理的具有独立法人的下属单位有：</w:t>
      </w:r>
      <w:r>
        <w:rPr>
          <w:rFonts w:hint="eastAsia" w:ascii="宋体" w:hAnsi="宋体" w:cs="宋体"/>
          <w:sz w:val="24"/>
          <w:szCs w:val="24"/>
          <w:u w:val="single"/>
        </w:rPr>
        <w:t xml:space="preserve">                </w:t>
      </w:r>
      <w:r>
        <w:rPr>
          <w:rFonts w:hint="eastAsia" w:ascii="宋体" w:hAnsi="宋体" w:cs="宋体"/>
          <w:sz w:val="24"/>
          <w:szCs w:val="24"/>
        </w:rPr>
        <w:t>（没有填无）</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 xml:space="preserve">我单位的上级管理单位有 </w:t>
      </w:r>
      <w:r>
        <w:rPr>
          <w:rFonts w:hint="eastAsia" w:ascii="宋体" w:hAnsi="宋体" w:cs="宋体"/>
          <w:sz w:val="24"/>
          <w:szCs w:val="24"/>
          <w:u w:val="single"/>
        </w:rPr>
        <w:t xml:space="preserve">            </w:t>
      </w:r>
      <w:r>
        <w:rPr>
          <w:rFonts w:hint="eastAsia" w:ascii="宋体" w:hAnsi="宋体" w:cs="宋体"/>
          <w:sz w:val="24"/>
          <w:szCs w:val="24"/>
        </w:rPr>
        <w:t>（没有填无）</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2.股权关系说明：</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我单位控股的单位有</w:t>
      </w:r>
      <w:r>
        <w:rPr>
          <w:rFonts w:hint="eastAsia" w:ascii="宋体" w:hAnsi="宋体" w:cs="宋体"/>
          <w:sz w:val="24"/>
          <w:szCs w:val="24"/>
          <w:u w:val="single"/>
        </w:rPr>
        <w:t xml:space="preserve">          </w:t>
      </w:r>
      <w:r>
        <w:rPr>
          <w:rFonts w:hint="eastAsia" w:ascii="宋体" w:hAnsi="宋体" w:cs="宋体"/>
          <w:sz w:val="24"/>
          <w:szCs w:val="24"/>
        </w:rPr>
        <w:t>（没有填无）</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 xml:space="preserve">我单位被 </w:t>
      </w:r>
      <w:r>
        <w:rPr>
          <w:rFonts w:hint="eastAsia" w:ascii="宋体" w:hAnsi="宋体" w:cs="宋体"/>
          <w:sz w:val="24"/>
          <w:szCs w:val="24"/>
          <w:u w:val="single"/>
        </w:rPr>
        <w:t xml:space="preserve">             </w:t>
      </w:r>
      <w:r>
        <w:rPr>
          <w:rFonts w:hint="eastAsia" w:ascii="宋体" w:hAnsi="宋体" w:cs="宋体"/>
          <w:sz w:val="24"/>
          <w:szCs w:val="24"/>
        </w:rPr>
        <w:t>（没有填无）单位控股。</w:t>
      </w:r>
    </w:p>
    <w:p>
      <w:pPr>
        <w:autoSpaceDE w:val="0"/>
        <w:autoSpaceDN w:val="0"/>
        <w:adjustRightInd w:val="0"/>
        <w:spacing w:line="360" w:lineRule="auto"/>
        <w:ind w:firstLine="480" w:firstLineChars="200"/>
        <w:rPr>
          <w:rFonts w:ascii="宋体" w:hAnsi="宋体" w:cs="宋体"/>
          <w:sz w:val="24"/>
          <w:szCs w:val="24"/>
          <w:u w:val="single"/>
        </w:rPr>
      </w:pPr>
      <w:r>
        <w:rPr>
          <w:rFonts w:hint="eastAsia" w:ascii="宋体" w:hAnsi="宋体" w:cs="宋体"/>
          <w:sz w:val="24"/>
          <w:szCs w:val="24"/>
        </w:rPr>
        <w:t>3.单位负责人：</w:t>
      </w:r>
      <w:r>
        <w:rPr>
          <w:rFonts w:hint="eastAsia" w:ascii="宋体" w:hAnsi="宋体" w:cs="宋体"/>
          <w:sz w:val="24"/>
          <w:szCs w:val="24"/>
          <w:u w:val="single"/>
        </w:rPr>
        <w:t xml:space="preserve">             </w:t>
      </w:r>
      <w:r>
        <w:rPr>
          <w:rFonts w:hint="eastAsia" w:ascii="宋体" w:hAnsi="宋体" w:cs="宋体"/>
          <w:sz w:val="24"/>
          <w:szCs w:val="24"/>
        </w:rPr>
        <w:t xml:space="preserve">       </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二、我单位</w:t>
      </w:r>
      <w:r>
        <w:rPr>
          <w:rFonts w:hint="eastAsia" w:ascii="宋体" w:hAnsi="宋体" w:cs="宋体"/>
          <w:sz w:val="24"/>
          <w:szCs w:val="24"/>
          <w:u w:val="single"/>
        </w:rPr>
        <w:t xml:space="preserve">           </w:t>
      </w:r>
      <w:r>
        <w:rPr>
          <w:rFonts w:hint="eastAsia" w:ascii="宋体" w:hAnsi="宋体" w:cs="宋体"/>
          <w:sz w:val="24"/>
          <w:szCs w:val="24"/>
        </w:rPr>
        <w:t>（是或否）为采购项目提供过整体设计、规范编制或者项目管理、监理、检测等服务的供应商。</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三、其他与本项目有关的利害关系说明：</w:t>
      </w:r>
      <w:r>
        <w:rPr>
          <w:rFonts w:hint="eastAsia" w:ascii="宋体" w:hAnsi="宋体" w:cs="宋体"/>
          <w:sz w:val="24"/>
          <w:szCs w:val="24"/>
          <w:u w:val="single"/>
        </w:rPr>
        <w:t xml:space="preserve">      </w:t>
      </w:r>
      <w:r>
        <w:rPr>
          <w:rFonts w:hint="eastAsia" w:ascii="宋体" w:hAnsi="宋体" w:cs="宋体"/>
          <w:sz w:val="24"/>
          <w:szCs w:val="24"/>
        </w:rPr>
        <w:t>（没有填无）</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我单位承诺以上说明真实有效，无虚假内容或隐瞒。</w:t>
      </w:r>
    </w:p>
    <w:p>
      <w:pPr>
        <w:autoSpaceDE w:val="0"/>
        <w:autoSpaceDN w:val="0"/>
        <w:adjustRightInd w:val="0"/>
        <w:spacing w:line="288" w:lineRule="auto"/>
        <w:rPr>
          <w:rFonts w:ascii="宋体" w:hAnsi="宋体" w:cs="宋体"/>
          <w:sz w:val="24"/>
          <w:szCs w:val="24"/>
        </w:rPr>
      </w:pPr>
    </w:p>
    <w:p>
      <w:pPr>
        <w:spacing w:line="360" w:lineRule="auto"/>
        <w:ind w:firstLine="2640" w:firstLineChars="1100"/>
        <w:rPr>
          <w:rFonts w:ascii="宋体" w:hAnsi="宋体" w:cs="宋体"/>
          <w:sz w:val="24"/>
          <w:szCs w:val="24"/>
        </w:rPr>
      </w:pPr>
    </w:p>
    <w:p>
      <w:pPr>
        <w:spacing w:line="360" w:lineRule="auto"/>
        <w:ind w:firstLine="2640" w:firstLineChars="1100"/>
        <w:rPr>
          <w:rFonts w:ascii="宋体" w:hAnsi="宋体" w:cs="宋体"/>
          <w:sz w:val="24"/>
          <w:szCs w:val="24"/>
        </w:rPr>
      </w:pP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autoSpaceDE w:val="0"/>
        <w:autoSpaceDN w:val="0"/>
        <w:adjustRightInd w:val="0"/>
        <w:spacing w:line="360" w:lineRule="auto"/>
        <w:jc w:val="left"/>
        <w:rPr>
          <w:rFonts w:ascii="宋体" w:hAnsi="宋体" w:cs="宋体"/>
          <w:b/>
          <w:sz w:val="32"/>
        </w:rPr>
      </w:pPr>
    </w:p>
    <w:p>
      <w:pPr>
        <w:autoSpaceDE w:val="0"/>
        <w:autoSpaceDN w:val="0"/>
        <w:adjustRightInd w:val="0"/>
        <w:spacing w:line="360" w:lineRule="auto"/>
        <w:jc w:val="left"/>
        <w:rPr>
          <w:rFonts w:ascii="宋体" w:hAnsi="宋体" w:cs="宋体"/>
          <w:b/>
          <w:sz w:val="32"/>
        </w:rPr>
      </w:pPr>
    </w:p>
    <w:p>
      <w:pPr>
        <w:autoSpaceDE w:val="0"/>
        <w:autoSpaceDN w:val="0"/>
        <w:adjustRightInd w:val="0"/>
        <w:spacing w:line="360" w:lineRule="auto"/>
        <w:jc w:val="left"/>
        <w:rPr>
          <w:rFonts w:ascii="宋体" w:hAnsi="宋体" w:cs="宋体"/>
          <w:b/>
          <w:sz w:val="32"/>
        </w:rPr>
      </w:pPr>
    </w:p>
    <w:p>
      <w:pPr>
        <w:autoSpaceDE w:val="0"/>
        <w:autoSpaceDN w:val="0"/>
        <w:adjustRightInd w:val="0"/>
        <w:spacing w:line="360" w:lineRule="auto"/>
        <w:jc w:val="left"/>
        <w:rPr>
          <w:rFonts w:ascii="宋体" w:hAnsi="宋体" w:cs="宋体"/>
          <w:b/>
          <w:sz w:val="32"/>
        </w:rPr>
      </w:pPr>
    </w:p>
    <w:p>
      <w:pPr>
        <w:autoSpaceDE w:val="0"/>
        <w:autoSpaceDN w:val="0"/>
        <w:adjustRightInd w:val="0"/>
        <w:spacing w:line="360" w:lineRule="auto"/>
        <w:jc w:val="left"/>
        <w:rPr>
          <w:rFonts w:ascii="宋体" w:hAnsi="宋体" w:cs="宋体"/>
          <w:b/>
          <w:sz w:val="32"/>
        </w:rPr>
      </w:pPr>
    </w:p>
    <w:p>
      <w:pPr>
        <w:autoSpaceDE w:val="0"/>
        <w:autoSpaceDN w:val="0"/>
        <w:adjustRightInd w:val="0"/>
        <w:spacing w:line="360" w:lineRule="auto"/>
        <w:jc w:val="left"/>
        <w:rPr>
          <w:rFonts w:ascii="宋体" w:hAnsi="宋体" w:cs="宋体"/>
          <w:b/>
          <w:sz w:val="32"/>
        </w:rPr>
      </w:pPr>
      <w:r>
        <w:rPr>
          <w:rFonts w:hint="eastAsia" w:ascii="宋体" w:hAnsi="宋体" w:cs="宋体"/>
          <w:b/>
          <w:sz w:val="28"/>
          <w:szCs w:val="28"/>
          <w:lang w:val="zh-CN"/>
        </w:rPr>
        <w:t>附件三</w:t>
      </w:r>
    </w:p>
    <w:p>
      <w:pPr>
        <w:pStyle w:val="32"/>
        <w:spacing w:line="400" w:lineRule="exact"/>
        <w:jc w:val="center"/>
        <w:rPr>
          <w:rFonts w:ascii="宋体" w:hAnsi="宋体" w:cs="宋体"/>
          <w:b/>
          <w:sz w:val="28"/>
          <w:szCs w:val="28"/>
          <w:lang w:val="zh-CN"/>
        </w:rPr>
      </w:pPr>
      <w:r>
        <w:rPr>
          <w:rFonts w:hint="eastAsia" w:ascii="宋体" w:hAnsi="宋体" w:cs="宋体"/>
          <w:b/>
          <w:sz w:val="28"/>
          <w:szCs w:val="28"/>
          <w:lang w:val="zh-CN"/>
        </w:rPr>
        <w:t>具备履行合同所必需的设备和专业技术能力的承诺函</w:t>
      </w:r>
    </w:p>
    <w:p>
      <w:pPr>
        <w:pStyle w:val="32"/>
        <w:spacing w:line="400" w:lineRule="exact"/>
        <w:rPr>
          <w:rFonts w:ascii="宋体" w:hAnsi="宋体" w:cs="宋体"/>
          <w:sz w:val="24"/>
          <w:szCs w:val="24"/>
          <w:u w:val="single"/>
        </w:rPr>
      </w:pPr>
    </w:p>
    <w:p>
      <w:pPr>
        <w:pStyle w:val="32"/>
        <w:spacing w:line="400" w:lineRule="exact"/>
        <w:rPr>
          <w:rFonts w:ascii="宋体" w:hAnsi="宋体" w:cs="宋体"/>
          <w:sz w:val="24"/>
          <w:szCs w:val="24"/>
          <w:u w:val="single"/>
        </w:rPr>
      </w:pPr>
    </w:p>
    <w:p>
      <w:pPr>
        <w:pStyle w:val="32"/>
        <w:adjustRightInd w:val="0"/>
        <w:snapToGrid w:val="0"/>
        <w:spacing w:line="360" w:lineRule="auto"/>
        <w:rPr>
          <w:rFonts w:ascii="宋体" w:hAnsi="宋体" w:cs="宋体"/>
          <w:sz w:val="24"/>
          <w:szCs w:val="24"/>
          <w:u w:val="single"/>
        </w:rPr>
      </w:pPr>
      <w:r>
        <w:rPr>
          <w:rFonts w:hint="eastAsia" w:ascii="宋体" w:hAnsi="宋体" w:cs="宋体"/>
          <w:sz w:val="24"/>
          <w:szCs w:val="24"/>
          <w:u w:val="single"/>
        </w:rPr>
        <w:t xml:space="preserve">    （采购人名称）    ：</w:t>
      </w:r>
    </w:p>
    <w:p>
      <w:pPr>
        <w:pStyle w:val="32"/>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（供应商名称）    </w:t>
      </w:r>
      <w:r>
        <w:rPr>
          <w:rFonts w:hint="eastAsia" w:ascii="宋体" w:hAnsi="宋体" w:cs="宋体"/>
          <w:sz w:val="24"/>
          <w:szCs w:val="24"/>
        </w:rPr>
        <w:t xml:space="preserve"> 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日在中华人民共和国境内</w:t>
      </w:r>
      <w:r>
        <w:rPr>
          <w:rFonts w:hint="eastAsia" w:ascii="宋体" w:hAnsi="宋体" w:cs="宋体"/>
          <w:sz w:val="24"/>
          <w:szCs w:val="24"/>
          <w:u w:val="single"/>
        </w:rPr>
        <w:t xml:space="preserve">               （详细注册地址）     </w:t>
      </w:r>
      <w:r>
        <w:rPr>
          <w:rFonts w:hint="eastAsia" w:ascii="宋体" w:hAnsi="宋体" w:cs="宋体"/>
          <w:sz w:val="24"/>
          <w:szCs w:val="24"/>
        </w:rPr>
        <w:t>合法注册并经营，公司主营业务为</w:t>
      </w:r>
      <w:r>
        <w:rPr>
          <w:rFonts w:hint="eastAsia" w:ascii="宋体" w:hAnsi="宋体" w:cs="宋体"/>
          <w:sz w:val="24"/>
          <w:szCs w:val="24"/>
          <w:u w:val="single"/>
        </w:rPr>
        <w:t xml:space="preserve">         </w:t>
      </w:r>
      <w:r>
        <w:rPr>
          <w:rFonts w:hint="eastAsia" w:ascii="宋体" w:hAnsi="宋体" w:cs="宋体"/>
          <w:sz w:val="24"/>
          <w:szCs w:val="24"/>
        </w:rPr>
        <w:t>，营业（生产经营）面积为</w:t>
      </w:r>
      <w:r>
        <w:rPr>
          <w:rFonts w:hint="eastAsia" w:ascii="宋体" w:hAnsi="宋体" w:cs="宋体"/>
          <w:sz w:val="24"/>
          <w:szCs w:val="24"/>
          <w:u w:val="single"/>
        </w:rPr>
        <w:t xml:space="preserve">       </w:t>
      </w:r>
      <w:r>
        <w:rPr>
          <w:rFonts w:hint="eastAsia" w:ascii="宋体" w:hAnsi="宋体" w:cs="宋体"/>
          <w:sz w:val="24"/>
          <w:szCs w:val="24"/>
        </w:rPr>
        <w:t xml:space="preserve"> ，现有员工数量为</w:t>
      </w:r>
      <w:r>
        <w:rPr>
          <w:rFonts w:hint="eastAsia" w:ascii="宋体" w:hAnsi="宋体" w:cs="宋体"/>
          <w:sz w:val="24"/>
          <w:szCs w:val="24"/>
          <w:u w:val="single"/>
        </w:rPr>
        <w:t xml:space="preserve">       </w:t>
      </w:r>
      <w:r>
        <w:rPr>
          <w:rFonts w:hint="eastAsia" w:ascii="宋体" w:hAnsi="宋体" w:cs="宋体"/>
          <w:sz w:val="24"/>
          <w:szCs w:val="24"/>
        </w:rPr>
        <w:t>，其中与履行本合同相关的专业技术人员有（</w:t>
      </w:r>
      <w:r>
        <w:rPr>
          <w:rFonts w:hint="eastAsia" w:ascii="宋体" w:hAnsi="宋体" w:cs="宋体"/>
          <w:sz w:val="24"/>
          <w:szCs w:val="24"/>
          <w:u w:val="single"/>
        </w:rPr>
        <w:t xml:space="preserve">             专业能力、数量        </w:t>
      </w:r>
      <w:r>
        <w:rPr>
          <w:rFonts w:hint="eastAsia" w:ascii="宋体" w:hAnsi="宋体" w:cs="宋体"/>
          <w:sz w:val="24"/>
          <w:szCs w:val="24"/>
        </w:rPr>
        <w:t>），本公司郑重承诺，具有履行本合同所必需的设备和专业技术能力。</w:t>
      </w:r>
    </w:p>
    <w:p>
      <w:pPr>
        <w:pStyle w:val="32"/>
        <w:adjustRightInd w:val="0"/>
        <w:snapToGrid w:val="0"/>
        <w:spacing w:line="360" w:lineRule="auto"/>
        <w:ind w:firstLine="480" w:firstLineChars="200"/>
        <w:rPr>
          <w:rFonts w:ascii="宋体" w:hAnsi="宋体" w:cs="宋体"/>
          <w:sz w:val="24"/>
          <w:szCs w:val="24"/>
        </w:rPr>
      </w:pPr>
    </w:p>
    <w:p>
      <w:pPr>
        <w:pStyle w:val="32"/>
        <w:spacing w:line="400" w:lineRule="exact"/>
        <w:rPr>
          <w:rFonts w:ascii="宋体" w:hAnsi="宋体" w:cs="宋体"/>
          <w:sz w:val="24"/>
          <w:szCs w:val="24"/>
        </w:rPr>
      </w:pPr>
    </w:p>
    <w:p>
      <w:pPr>
        <w:pStyle w:val="32"/>
        <w:spacing w:line="400" w:lineRule="exact"/>
        <w:rPr>
          <w:rFonts w:ascii="宋体" w:hAnsi="宋体" w:cs="宋体"/>
          <w:sz w:val="24"/>
          <w:szCs w:val="24"/>
        </w:rPr>
      </w:pP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autoSpaceDE w:val="0"/>
        <w:autoSpaceDN w:val="0"/>
        <w:adjustRightInd w:val="0"/>
        <w:spacing w:line="360" w:lineRule="auto"/>
        <w:jc w:val="left"/>
        <w:rPr>
          <w:rFonts w:ascii="宋体" w:hAnsi="宋体" w:cs="宋体"/>
          <w:szCs w:val="21"/>
          <w:lang w:val="zh-CN"/>
        </w:rPr>
      </w:pPr>
      <w:r>
        <w:rPr>
          <w:rFonts w:hint="eastAsia" w:ascii="宋体" w:hAnsi="宋体" w:cs="宋体"/>
          <w:b/>
          <w:sz w:val="32"/>
        </w:rPr>
        <w:br w:type="page"/>
      </w:r>
      <w:bookmarkStart w:id="158" w:name="_Toc14038"/>
      <w:r>
        <w:rPr>
          <w:rFonts w:hint="eastAsia" w:ascii="宋体" w:hAnsi="宋体" w:cs="宋体"/>
          <w:b/>
          <w:sz w:val="28"/>
          <w:szCs w:val="28"/>
          <w:lang w:val="zh-CN"/>
        </w:rPr>
        <w:t>附件</w:t>
      </w:r>
      <w:bookmarkEnd w:id="158"/>
      <w:r>
        <w:rPr>
          <w:rFonts w:hint="eastAsia" w:ascii="宋体" w:hAnsi="宋体" w:cs="宋体"/>
          <w:b/>
          <w:sz w:val="28"/>
          <w:szCs w:val="28"/>
        </w:rPr>
        <w:t>四</w:t>
      </w:r>
    </w:p>
    <w:p>
      <w:pPr>
        <w:adjustRightInd w:val="0"/>
        <w:snapToGrid w:val="0"/>
        <w:spacing w:line="360" w:lineRule="auto"/>
        <w:ind w:firstLine="482" w:firstLineChars="200"/>
        <w:jc w:val="center"/>
        <w:rPr>
          <w:rFonts w:ascii="宋体" w:hAnsi="宋体" w:cs="宋体"/>
          <w:b/>
          <w:sz w:val="24"/>
        </w:rPr>
      </w:pPr>
    </w:p>
    <w:p>
      <w:pPr>
        <w:pStyle w:val="32"/>
        <w:spacing w:line="400" w:lineRule="exact"/>
        <w:jc w:val="center"/>
        <w:rPr>
          <w:rFonts w:ascii="宋体" w:hAnsi="宋体" w:cs="宋体"/>
          <w:b/>
          <w:sz w:val="28"/>
          <w:szCs w:val="28"/>
          <w:lang w:val="zh-CN"/>
        </w:rPr>
      </w:pPr>
      <w:r>
        <w:rPr>
          <w:rFonts w:hint="eastAsia" w:ascii="宋体" w:hAnsi="宋体" w:cs="宋体"/>
          <w:b/>
          <w:sz w:val="28"/>
          <w:szCs w:val="28"/>
          <w:lang w:val="zh-CN"/>
        </w:rPr>
        <w:t>参加政府采购活动前三年内无重大违法记录的承诺函</w:t>
      </w:r>
    </w:p>
    <w:p>
      <w:pPr>
        <w:pStyle w:val="12"/>
        <w:spacing w:line="360" w:lineRule="auto"/>
        <w:ind w:firstLine="480" w:firstLineChars="200"/>
        <w:rPr>
          <w:rFonts w:ascii="宋体" w:hAnsi="宋体" w:cs="宋体"/>
          <w:sz w:val="24"/>
          <w:szCs w:val="24"/>
        </w:rPr>
      </w:pPr>
      <w:r>
        <w:rPr>
          <w:rFonts w:hint="eastAsia" w:ascii="宋体" w:hAnsi="宋体" w:cs="宋体"/>
          <w:sz w:val="24"/>
          <w:szCs w:val="24"/>
        </w:rPr>
        <w:t xml:space="preserve"> </w:t>
      </w:r>
    </w:p>
    <w:p>
      <w:pPr>
        <w:pStyle w:val="12"/>
        <w:spacing w:line="360" w:lineRule="auto"/>
        <w:ind w:firstLine="480" w:firstLineChars="200"/>
        <w:rPr>
          <w:rFonts w:ascii="宋体" w:hAnsi="宋体" w:cs="宋体"/>
          <w:sz w:val="24"/>
          <w:szCs w:val="24"/>
        </w:rPr>
      </w:pPr>
    </w:p>
    <w:p>
      <w:pPr>
        <w:pStyle w:val="32"/>
        <w:adjustRightInd w:val="0"/>
        <w:snapToGrid w:val="0"/>
        <w:spacing w:line="360" w:lineRule="auto"/>
        <w:rPr>
          <w:rFonts w:ascii="宋体" w:hAnsi="宋体" w:cs="宋体"/>
          <w:sz w:val="24"/>
          <w:szCs w:val="24"/>
          <w:u w:val="single"/>
        </w:rPr>
      </w:pPr>
      <w:r>
        <w:rPr>
          <w:rFonts w:hint="eastAsia" w:ascii="宋体" w:hAnsi="宋体" w:cs="宋体"/>
          <w:sz w:val="24"/>
          <w:szCs w:val="24"/>
          <w:u w:val="single"/>
        </w:rPr>
        <w:t xml:space="preserve">    （采购人名称）    ：</w:t>
      </w:r>
    </w:p>
    <w:p>
      <w:pPr>
        <w:pStyle w:val="12"/>
        <w:spacing w:line="360" w:lineRule="auto"/>
        <w:ind w:firstLine="480" w:firstLineChars="200"/>
        <w:rPr>
          <w:rFonts w:ascii="宋体" w:hAnsi="宋体" w:cs="宋体"/>
          <w:sz w:val="24"/>
          <w:szCs w:val="24"/>
        </w:rPr>
      </w:pPr>
    </w:p>
    <w:p>
      <w:pPr>
        <w:pStyle w:val="12"/>
        <w:spacing w:line="360" w:lineRule="auto"/>
        <w:ind w:firstLine="480" w:firstLineChars="200"/>
        <w:rPr>
          <w:rFonts w:ascii="宋体" w:hAnsi="宋体" w:cs="宋体"/>
          <w:sz w:val="24"/>
          <w:szCs w:val="24"/>
        </w:rPr>
      </w:pPr>
      <w:r>
        <w:rPr>
          <w:rFonts w:hint="eastAsia" w:ascii="宋体" w:hAnsi="宋体" w:cs="宋体"/>
          <w:sz w:val="24"/>
          <w:szCs w:val="24"/>
        </w:rPr>
        <w:t>我方_______________（供应商名称）郑重声明在参加本次政府采购活动前3年内的经营活动没有重大违法记录。如有不实，我方将无条件地退出本项目的采购活动，并遵照《政府采购法》有关"提供虚假材料的规定"接受处罚。</w:t>
      </w:r>
    </w:p>
    <w:p>
      <w:pPr>
        <w:pStyle w:val="12"/>
        <w:spacing w:line="360" w:lineRule="auto"/>
        <w:ind w:firstLine="480" w:firstLineChars="200"/>
        <w:rPr>
          <w:rFonts w:ascii="宋体" w:hAnsi="宋体" w:cs="宋体"/>
          <w:sz w:val="24"/>
          <w:szCs w:val="24"/>
        </w:rPr>
      </w:pPr>
      <w:r>
        <w:rPr>
          <w:rFonts w:hint="eastAsia" w:ascii="宋体" w:hAnsi="宋体" w:cs="宋体"/>
          <w:sz w:val="24"/>
          <w:szCs w:val="24"/>
        </w:rPr>
        <w:t xml:space="preserve">     特此声明。</w:t>
      </w:r>
    </w:p>
    <w:p>
      <w:pPr>
        <w:pStyle w:val="32"/>
        <w:adjustRightInd w:val="0"/>
        <w:snapToGrid w:val="0"/>
        <w:spacing w:line="360" w:lineRule="auto"/>
        <w:ind w:firstLine="480" w:firstLineChars="200"/>
        <w:rPr>
          <w:rFonts w:ascii="宋体" w:hAnsi="宋体" w:cs="宋体"/>
          <w:sz w:val="24"/>
          <w:szCs w:val="24"/>
        </w:rPr>
      </w:pPr>
    </w:p>
    <w:p>
      <w:pPr>
        <w:pStyle w:val="32"/>
        <w:adjustRightInd w:val="0"/>
        <w:snapToGrid w:val="0"/>
        <w:spacing w:line="360" w:lineRule="auto"/>
        <w:ind w:firstLine="480" w:firstLineChars="200"/>
        <w:rPr>
          <w:rFonts w:ascii="宋体" w:hAnsi="宋体" w:cs="宋体"/>
          <w:sz w:val="24"/>
          <w:szCs w:val="24"/>
        </w:rPr>
      </w:pPr>
    </w:p>
    <w:p>
      <w:pPr>
        <w:pStyle w:val="32"/>
        <w:spacing w:line="400" w:lineRule="exact"/>
        <w:rPr>
          <w:rFonts w:ascii="宋体" w:hAnsi="宋体" w:cs="宋体"/>
          <w:sz w:val="24"/>
          <w:szCs w:val="24"/>
        </w:rPr>
      </w:pP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pStyle w:val="32"/>
        <w:spacing w:line="360" w:lineRule="auto"/>
        <w:ind w:firstLine="3840" w:firstLineChars="1600"/>
        <w:rPr>
          <w:rFonts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spacing w:line="360" w:lineRule="auto"/>
        <w:ind w:left="483" w:leftChars="230" w:firstLine="2280" w:firstLineChars="950"/>
        <w:jc w:val="right"/>
        <w:rPr>
          <w:rFonts w:ascii="宋体" w:hAnsi="宋体" w:cs="宋体"/>
          <w:sz w:val="24"/>
          <w:szCs w:val="24"/>
          <w:lang w:val="zh-CN"/>
        </w:rPr>
      </w:pPr>
    </w:p>
    <w:p>
      <w:pPr>
        <w:spacing w:line="360" w:lineRule="auto"/>
        <w:ind w:firstLine="420" w:firstLineChars="200"/>
        <w:jc w:val="center"/>
        <w:outlineLvl w:val="0"/>
        <w:rPr>
          <w:rFonts w:ascii="宋体" w:hAnsi="宋体" w:cs="宋体"/>
          <w:b/>
          <w:sz w:val="32"/>
          <w:szCs w:val="32"/>
        </w:rPr>
      </w:pPr>
      <w:r>
        <w:rPr>
          <w:rFonts w:hint="eastAsia" w:ascii="宋体" w:hAnsi="宋体" w:cs="宋体"/>
          <w:szCs w:val="21"/>
          <w:lang w:val="zh-CN"/>
        </w:rPr>
        <w:br w:type="page"/>
      </w:r>
      <w:bookmarkStart w:id="159" w:name="_Toc16019_WPSOffice_Level1"/>
      <w:r>
        <w:rPr>
          <w:rFonts w:hint="eastAsia" w:ascii="宋体" w:hAnsi="宋体" w:cs="宋体"/>
          <w:b/>
          <w:sz w:val="32"/>
          <w:szCs w:val="32"/>
        </w:rPr>
        <w:t>第七部分、供应商认为有必要说明的其他问题</w:t>
      </w:r>
      <w:bookmarkEnd w:id="159"/>
    </w:p>
    <w:p>
      <w:pPr>
        <w:autoSpaceDE w:val="0"/>
        <w:autoSpaceDN w:val="0"/>
        <w:adjustRightInd w:val="0"/>
        <w:spacing w:line="360" w:lineRule="auto"/>
        <w:ind w:firstLine="480" w:firstLineChars="200"/>
        <w:jc w:val="left"/>
        <w:rPr>
          <w:rFonts w:ascii="宋体" w:hAnsi="宋体" w:cs="宋体"/>
          <w:sz w:val="24"/>
          <w:szCs w:val="24"/>
          <w:lang w:val="zh-CN"/>
        </w:rPr>
      </w:pPr>
      <w:r>
        <w:rPr>
          <w:rFonts w:hint="eastAsia" w:ascii="宋体" w:hAnsi="宋体" w:cs="宋体"/>
          <w:sz w:val="24"/>
          <w:szCs w:val="24"/>
          <w:lang w:val="zh-CN"/>
        </w:rPr>
        <w:t>符合政府采购相关政策的供应商可按有关规定提供以下证明材料，</w:t>
      </w:r>
      <w:r>
        <w:rPr>
          <w:rFonts w:hint="eastAsia" w:ascii="宋体" w:hAnsi="宋体" w:cs="宋体"/>
          <w:b/>
          <w:sz w:val="24"/>
          <w:szCs w:val="24"/>
          <w:u w:val="single"/>
          <w:lang w:val="zh-CN"/>
        </w:rPr>
        <w:t>不符合政府采购相关政策的供应商不填写本部分内容。</w:t>
      </w:r>
    </w:p>
    <w:p>
      <w:pPr>
        <w:autoSpaceDE w:val="0"/>
        <w:autoSpaceDN w:val="0"/>
        <w:adjustRightInd w:val="0"/>
        <w:spacing w:line="360" w:lineRule="auto"/>
        <w:ind w:firstLine="480" w:firstLineChars="200"/>
        <w:jc w:val="left"/>
        <w:rPr>
          <w:rFonts w:ascii="宋体" w:hAnsi="宋体" w:cs="宋体"/>
          <w:sz w:val="24"/>
          <w:szCs w:val="24"/>
          <w:lang w:val="zh-CN"/>
        </w:rPr>
      </w:pPr>
      <w:bookmarkStart w:id="160" w:name="_Toc10707_WPSOffice_Level2"/>
      <w:r>
        <w:rPr>
          <w:rFonts w:hint="eastAsia" w:ascii="宋体" w:hAnsi="宋体" w:cs="宋体"/>
          <w:sz w:val="24"/>
          <w:szCs w:val="24"/>
          <w:lang w:val="zh-CN"/>
        </w:rPr>
        <w:t>1.中小企业声明函（附件一）；</w:t>
      </w:r>
      <w:bookmarkEnd w:id="160"/>
    </w:p>
    <w:p>
      <w:pPr>
        <w:autoSpaceDE w:val="0"/>
        <w:autoSpaceDN w:val="0"/>
        <w:adjustRightInd w:val="0"/>
        <w:spacing w:line="360" w:lineRule="auto"/>
        <w:ind w:firstLine="480" w:firstLineChars="200"/>
        <w:jc w:val="left"/>
        <w:rPr>
          <w:rFonts w:ascii="宋体" w:hAnsi="宋体" w:cs="宋体"/>
          <w:sz w:val="24"/>
          <w:szCs w:val="24"/>
          <w:lang w:val="zh-CN"/>
        </w:rPr>
      </w:pPr>
      <w:bookmarkStart w:id="161" w:name="_Toc32423_WPSOffice_Level2"/>
      <w:r>
        <w:rPr>
          <w:rFonts w:hint="eastAsia" w:ascii="宋体" w:hAnsi="宋体" w:cs="宋体"/>
          <w:sz w:val="24"/>
          <w:szCs w:val="24"/>
          <w:lang w:val="zh-CN"/>
        </w:rPr>
        <w:t>2.残疾人福利性单位声明函（附件二）；</w:t>
      </w:r>
      <w:bookmarkEnd w:id="161"/>
    </w:p>
    <w:p>
      <w:pPr>
        <w:autoSpaceDE w:val="0"/>
        <w:autoSpaceDN w:val="0"/>
        <w:adjustRightInd w:val="0"/>
        <w:spacing w:line="360" w:lineRule="auto"/>
        <w:ind w:firstLine="480" w:firstLineChars="200"/>
        <w:jc w:val="left"/>
        <w:rPr>
          <w:rFonts w:ascii="宋体" w:hAnsi="宋体" w:cs="宋体"/>
          <w:sz w:val="24"/>
          <w:szCs w:val="24"/>
          <w:lang w:val="zh-CN"/>
        </w:rPr>
      </w:pPr>
      <w:bookmarkStart w:id="162" w:name="_Toc28577_WPSOffice_Level2"/>
      <w:r>
        <w:rPr>
          <w:rFonts w:hint="eastAsia" w:ascii="宋体" w:hAnsi="宋体" w:cs="宋体"/>
          <w:sz w:val="24"/>
          <w:szCs w:val="24"/>
          <w:lang w:val="zh-CN"/>
        </w:rPr>
        <w:t>3.监狱企业证明文件；</w:t>
      </w:r>
      <w:bookmarkEnd w:id="162"/>
    </w:p>
    <w:p>
      <w:pPr>
        <w:autoSpaceDE w:val="0"/>
        <w:autoSpaceDN w:val="0"/>
        <w:adjustRightInd w:val="0"/>
        <w:spacing w:line="360" w:lineRule="auto"/>
        <w:ind w:firstLine="480" w:firstLineChars="200"/>
        <w:jc w:val="left"/>
        <w:rPr>
          <w:rFonts w:ascii="宋体" w:hAnsi="宋体" w:cs="宋体"/>
          <w:sz w:val="24"/>
          <w:szCs w:val="24"/>
          <w:lang w:val="zh-CN"/>
        </w:rPr>
      </w:pPr>
      <w:bookmarkStart w:id="163" w:name="_Toc29887_WPSOffice_Level2"/>
      <w:r>
        <w:rPr>
          <w:rFonts w:hint="eastAsia" w:ascii="宋体" w:hAnsi="宋体" w:cs="宋体"/>
          <w:sz w:val="24"/>
          <w:szCs w:val="24"/>
          <w:lang w:val="zh-CN"/>
        </w:rPr>
        <w:t>4.节能产品和环境标志产品证明材料；</w:t>
      </w:r>
      <w:bookmarkEnd w:id="163"/>
    </w:p>
    <w:p>
      <w:pPr>
        <w:autoSpaceDE w:val="0"/>
        <w:autoSpaceDN w:val="0"/>
        <w:adjustRightInd w:val="0"/>
        <w:spacing w:line="360" w:lineRule="auto"/>
        <w:ind w:firstLine="480" w:firstLineChars="200"/>
        <w:jc w:val="left"/>
        <w:rPr>
          <w:rFonts w:ascii="宋体" w:hAnsi="宋体" w:cs="宋体"/>
          <w:sz w:val="24"/>
          <w:szCs w:val="24"/>
          <w:lang w:val="zh-CN"/>
        </w:rPr>
      </w:pPr>
      <w:bookmarkStart w:id="164" w:name="_Toc10739_WPSOffice_Level2"/>
      <w:r>
        <w:rPr>
          <w:rFonts w:hint="eastAsia" w:ascii="宋体" w:hAnsi="宋体" w:cs="宋体"/>
          <w:sz w:val="24"/>
          <w:szCs w:val="24"/>
          <w:lang w:val="zh-CN"/>
        </w:rPr>
        <w:t>5.其他资料。</w:t>
      </w:r>
      <w:bookmarkEnd w:id="164"/>
    </w:p>
    <w:p>
      <w:pPr>
        <w:autoSpaceDE w:val="0"/>
        <w:autoSpaceDN w:val="0"/>
        <w:adjustRightInd w:val="0"/>
        <w:spacing w:line="360" w:lineRule="auto"/>
        <w:jc w:val="left"/>
        <w:rPr>
          <w:rFonts w:ascii="宋体" w:hAnsi="宋体" w:cs="宋体"/>
          <w:sz w:val="24"/>
          <w:szCs w:val="24"/>
          <w:lang w:val="zh-CN"/>
        </w:rPr>
      </w:pPr>
    </w:p>
    <w:p>
      <w:pPr>
        <w:autoSpaceDE w:val="0"/>
        <w:autoSpaceDN w:val="0"/>
        <w:adjustRightInd w:val="0"/>
        <w:spacing w:line="360" w:lineRule="auto"/>
        <w:jc w:val="left"/>
        <w:rPr>
          <w:rFonts w:ascii="宋体" w:hAnsi="宋体" w:cs="宋体"/>
          <w:sz w:val="24"/>
          <w:szCs w:val="24"/>
          <w:lang w:val="zh-CN"/>
        </w:rPr>
      </w:pPr>
    </w:p>
    <w:p>
      <w:pPr>
        <w:autoSpaceDE w:val="0"/>
        <w:autoSpaceDN w:val="0"/>
        <w:adjustRightInd w:val="0"/>
        <w:spacing w:line="360" w:lineRule="auto"/>
        <w:jc w:val="left"/>
        <w:rPr>
          <w:rFonts w:ascii="宋体" w:hAnsi="宋体" w:cs="宋体"/>
          <w:sz w:val="24"/>
          <w:szCs w:val="24"/>
          <w:lang w:val="zh-CN"/>
        </w:rPr>
      </w:pPr>
    </w:p>
    <w:p>
      <w:pPr>
        <w:autoSpaceDE w:val="0"/>
        <w:autoSpaceDN w:val="0"/>
        <w:adjustRightInd w:val="0"/>
        <w:spacing w:line="360" w:lineRule="auto"/>
        <w:jc w:val="left"/>
        <w:rPr>
          <w:rFonts w:ascii="宋体" w:hAnsi="宋体" w:cs="宋体"/>
          <w:b/>
          <w:szCs w:val="21"/>
          <w:lang w:val="zh-CN"/>
        </w:rPr>
      </w:pPr>
      <w:r>
        <w:rPr>
          <w:rFonts w:hint="eastAsia" w:ascii="宋体" w:hAnsi="宋体" w:cs="宋体"/>
          <w:sz w:val="24"/>
          <w:szCs w:val="24"/>
          <w:lang w:val="zh-CN"/>
        </w:rPr>
        <w:t>注：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r>
        <w:rPr>
          <w:rFonts w:hint="eastAsia" w:ascii="宋体" w:hAnsi="宋体" w:cs="宋体"/>
          <w:szCs w:val="21"/>
          <w:lang w:val="zh-CN"/>
        </w:rPr>
        <w:br w:type="page"/>
      </w:r>
    </w:p>
    <w:p>
      <w:pPr>
        <w:autoSpaceDE w:val="0"/>
        <w:autoSpaceDN w:val="0"/>
        <w:adjustRightInd w:val="0"/>
        <w:spacing w:line="360" w:lineRule="auto"/>
        <w:jc w:val="left"/>
        <w:rPr>
          <w:rFonts w:ascii="宋体" w:hAnsi="宋体" w:cs="宋体"/>
          <w:b/>
          <w:sz w:val="28"/>
          <w:szCs w:val="28"/>
          <w:lang w:val="zh-CN"/>
        </w:rPr>
      </w:pPr>
      <w:bookmarkStart w:id="165" w:name="_Toc1240"/>
      <w:r>
        <w:rPr>
          <w:rFonts w:hint="eastAsia" w:ascii="宋体" w:hAnsi="宋体" w:cs="宋体"/>
          <w:b/>
          <w:sz w:val="28"/>
          <w:szCs w:val="28"/>
          <w:lang w:val="zh-CN"/>
        </w:rPr>
        <w:t>附件一</w:t>
      </w:r>
      <w:bookmarkEnd w:id="165"/>
    </w:p>
    <w:p>
      <w:pPr>
        <w:keepNext/>
        <w:keepLines/>
        <w:spacing w:before="162" w:after="330" w:line="576" w:lineRule="auto"/>
        <w:ind w:firstLine="562" w:firstLineChars="200"/>
        <w:jc w:val="center"/>
        <w:rPr>
          <w:rFonts w:ascii="宋体" w:hAnsi="宋体" w:cs="宋体"/>
          <w:b/>
          <w:kern w:val="44"/>
          <w:sz w:val="28"/>
          <w:szCs w:val="28"/>
        </w:rPr>
      </w:pPr>
      <w:bookmarkStart w:id="166" w:name="_Toc5790_WPSOffice_Level2"/>
      <w:r>
        <w:rPr>
          <w:rFonts w:hint="eastAsia" w:ascii="宋体" w:hAnsi="宋体" w:cs="宋体"/>
          <w:b/>
          <w:kern w:val="44"/>
          <w:sz w:val="28"/>
          <w:szCs w:val="28"/>
        </w:rPr>
        <w:t>中小企业声明函（货物）</w:t>
      </w:r>
      <w:bookmarkEnd w:id="166"/>
    </w:p>
    <w:p>
      <w:pPr>
        <w:snapToGrid w:val="0"/>
        <w:spacing w:line="312" w:lineRule="auto"/>
        <w:ind w:firstLine="480" w:firstLineChars="200"/>
        <w:jc w:val="left"/>
        <w:rPr>
          <w:rFonts w:ascii="宋体" w:hAnsi="宋体" w:cs="宋体"/>
          <w:w w:val="95"/>
          <w:sz w:val="24"/>
        </w:rPr>
      </w:pPr>
      <w:r>
        <w:rPr>
          <w:rFonts w:hint="eastAsia" w:ascii="宋体" w:hAnsi="宋体" w:cs="宋体"/>
          <w:sz w:val="24"/>
        </w:rPr>
        <w:t>本公司（联合体）郑重声明，根据《政府采购促进中小企业发展管理办法》（财库﹝2020﹞46 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采购活动，提供的货物全部由符合政策要求的中小企业制造。相关企业（含联合体中的中小企业、签订分包意向协议的中小企业）的具体情况如下：</w:t>
      </w:r>
    </w:p>
    <w:p>
      <w:pPr>
        <w:tabs>
          <w:tab w:val="left" w:pos="1183"/>
          <w:tab w:val="left" w:pos="1484"/>
          <w:tab w:val="left" w:pos="4662"/>
          <w:tab w:val="left" w:pos="6903"/>
        </w:tabs>
        <w:snapToGrid w:val="0"/>
        <w:spacing w:line="312" w:lineRule="auto"/>
        <w:ind w:right="169" w:firstLine="480" w:firstLineChars="200"/>
        <w:jc w:val="left"/>
        <w:rPr>
          <w:rFonts w:ascii="宋体" w:hAnsi="宋体" w:cs="宋体"/>
          <w:sz w:val="24"/>
        </w:rPr>
      </w:pPr>
      <w:r>
        <w:rPr>
          <w:rFonts w:hint="eastAsia" w:ascii="宋体" w:hAnsi="宋体" w:cs="宋体"/>
          <w:sz w:val="24"/>
        </w:rPr>
        <w:t>1.</w:t>
      </w:r>
      <w:r>
        <w:rPr>
          <w:rFonts w:hint="eastAsia" w:ascii="宋体" w:hAnsi="宋体" w:cs="宋体"/>
          <w:w w:val="96"/>
          <w:sz w:val="24"/>
          <w:u w:val="single"/>
        </w:rPr>
        <w:t xml:space="preserve">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谈判文件中明确的所属行业）行业</w:t>
      </w:r>
      <w:r>
        <w:rPr>
          <w:rFonts w:hint="eastAsia" w:ascii="宋体" w:hAnsi="宋体" w:cs="宋体"/>
          <w:w w:val="99"/>
          <w:sz w:val="24"/>
        </w:rPr>
        <w:t>；</w:t>
      </w:r>
      <w:r>
        <w:rPr>
          <w:rFonts w:hint="eastAsia" w:ascii="宋体" w:hAnsi="宋体" w:cs="宋体"/>
          <w:sz w:val="24"/>
        </w:rPr>
        <w:t>制造商为</w:t>
      </w:r>
      <w:r>
        <w:rPr>
          <w:rFonts w:hint="eastAsia" w:ascii="宋体" w:hAnsi="宋体" w:cs="宋体"/>
          <w:w w:val="96"/>
          <w:sz w:val="24"/>
          <w:u w:val="single"/>
        </w:rPr>
        <w:t>（</w:t>
      </w:r>
      <w:r>
        <w:rPr>
          <w:rFonts w:hint="eastAsia" w:ascii="宋体" w:hAnsi="宋体" w:cs="宋体"/>
          <w:sz w:val="24"/>
          <w:u w:val="single"/>
        </w:rPr>
        <w:t>企业名称）</w:t>
      </w:r>
      <w:r>
        <w:rPr>
          <w:rFonts w:hint="eastAsia" w:ascii="宋体" w:hAnsi="宋体" w:cs="宋体"/>
          <w:w w:val="99"/>
          <w:sz w:val="24"/>
        </w:rPr>
        <w:t>，</w:t>
      </w:r>
      <w:r>
        <w:rPr>
          <w:rFonts w:hint="eastAsia" w:ascii="宋体" w:hAnsi="宋体" w:cs="宋体"/>
          <w:sz w:val="24"/>
        </w:rPr>
        <w:t xml:space="preserve">从业人员 </w:t>
      </w:r>
      <w:r>
        <w:rPr>
          <w:rFonts w:hint="eastAsia" w:ascii="宋体" w:hAnsi="宋体" w:cs="宋体"/>
          <w:w w:val="99"/>
          <w:sz w:val="24"/>
          <w:u w:val="single"/>
        </w:rPr>
        <w:t xml:space="preserve">    </w:t>
      </w:r>
      <w:r>
        <w:rPr>
          <w:rFonts w:hint="eastAsia" w:ascii="宋体" w:hAnsi="宋体" w:cs="宋体"/>
          <w:sz w:val="24"/>
        </w:rPr>
        <w:t>人</w:t>
      </w:r>
      <w:r>
        <w:rPr>
          <w:rFonts w:hint="eastAsia" w:ascii="宋体" w:hAnsi="宋体" w:cs="宋体"/>
          <w:w w:val="99"/>
          <w:sz w:val="24"/>
        </w:rPr>
        <w:t>，</w:t>
      </w:r>
      <w:r>
        <w:rPr>
          <w:rFonts w:hint="eastAsia" w:ascii="宋体" w:hAnsi="宋体" w:cs="宋体"/>
          <w:sz w:val="24"/>
        </w:rPr>
        <w:t>营业收入为</w:t>
      </w:r>
      <w:r>
        <w:rPr>
          <w:rFonts w:hint="eastAsia" w:ascii="宋体" w:hAnsi="宋体" w:cs="宋体"/>
          <w:sz w:val="24"/>
          <w:u w:val="single"/>
        </w:rPr>
        <w:t xml:space="preserve">      </w:t>
      </w:r>
      <w:r>
        <w:rPr>
          <w:rFonts w:hint="eastAsia" w:ascii="宋体" w:hAnsi="宋体" w:cs="宋体"/>
          <w:sz w:val="24"/>
        </w:rPr>
        <w:t xml:space="preserve">万元，资产总额为 </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w w:val="95"/>
          <w:sz w:val="24"/>
          <w:u w:val="single"/>
        </w:rPr>
        <w:t>（</w:t>
      </w:r>
      <w:r>
        <w:rPr>
          <w:rFonts w:hint="eastAsia" w:ascii="宋体" w:hAnsi="宋体" w:cs="宋体"/>
          <w:sz w:val="24"/>
          <w:u w:val="single"/>
        </w:rPr>
        <w:t>中型企业、小型企业、微型企业）</w:t>
      </w:r>
      <w:r>
        <w:rPr>
          <w:rFonts w:hint="eastAsia" w:ascii="宋体" w:hAnsi="宋体" w:cs="宋体"/>
          <w:w w:val="99"/>
          <w:sz w:val="24"/>
        </w:rPr>
        <w:t>；</w:t>
      </w:r>
    </w:p>
    <w:p>
      <w:pPr>
        <w:tabs>
          <w:tab w:val="left" w:pos="1165"/>
          <w:tab w:val="left" w:pos="1183"/>
          <w:tab w:val="left" w:pos="4362"/>
          <w:tab w:val="left" w:pos="6577"/>
        </w:tabs>
        <w:snapToGrid w:val="0"/>
        <w:spacing w:line="312" w:lineRule="auto"/>
        <w:ind w:firstLine="499" w:firstLineChars="208"/>
        <w:jc w:val="left"/>
        <w:rPr>
          <w:rFonts w:ascii="宋体" w:hAnsi="宋体" w:cs="宋体"/>
          <w:sz w:val="24"/>
          <w:u w:val="single"/>
        </w:rPr>
      </w:pPr>
      <w:r>
        <w:rPr>
          <w:rFonts w:hint="eastAsia" w:ascii="宋体" w:hAnsi="宋体" w:cs="宋体"/>
          <w:sz w:val="24"/>
        </w:rPr>
        <w:t>2.</w:t>
      </w:r>
      <w:r>
        <w:rPr>
          <w:rFonts w:hint="eastAsia" w:ascii="宋体" w:hAnsi="宋体" w:cs="宋体"/>
          <w:w w:val="96"/>
          <w:sz w:val="24"/>
          <w:u w:val="single"/>
        </w:rPr>
        <w:t xml:space="preserve"> </w:t>
      </w:r>
      <w:r>
        <w:rPr>
          <w:rFonts w:hint="eastAsia" w:ascii="宋体" w:hAnsi="宋体" w:cs="宋体"/>
          <w:sz w:val="24"/>
          <w:u w:val="single"/>
        </w:rPr>
        <w:t>（标的名称）</w:t>
      </w:r>
      <w:r>
        <w:rPr>
          <w:rFonts w:hint="eastAsia" w:ascii="宋体" w:hAnsi="宋体" w:cs="宋体"/>
          <w:sz w:val="24"/>
        </w:rPr>
        <w:t xml:space="preserve"> ，属于（</w:t>
      </w:r>
      <w:r>
        <w:rPr>
          <w:rFonts w:hint="eastAsia" w:ascii="宋体" w:hAnsi="宋体" w:cs="宋体"/>
          <w:sz w:val="24"/>
          <w:u w:val="single"/>
        </w:rPr>
        <w:t>谈判文件中明确的所属行业）行业</w:t>
      </w:r>
      <w:r>
        <w:rPr>
          <w:rFonts w:hint="eastAsia" w:ascii="宋体" w:hAnsi="宋体" w:cs="宋体"/>
          <w:w w:val="99"/>
          <w:sz w:val="24"/>
        </w:rPr>
        <w:t>；</w:t>
      </w:r>
      <w:r>
        <w:rPr>
          <w:rFonts w:hint="eastAsia" w:ascii="宋体" w:hAnsi="宋体" w:cs="宋体"/>
          <w:sz w:val="24"/>
        </w:rPr>
        <w:t>制造商为</w:t>
      </w:r>
      <w:r>
        <w:rPr>
          <w:rFonts w:hint="eastAsia" w:ascii="宋体" w:hAnsi="宋体" w:cs="宋体"/>
          <w:w w:val="96"/>
          <w:sz w:val="24"/>
          <w:u w:val="single"/>
        </w:rPr>
        <w:t>（</w:t>
      </w:r>
      <w:r>
        <w:rPr>
          <w:rFonts w:hint="eastAsia" w:ascii="宋体" w:hAnsi="宋体" w:cs="宋体"/>
          <w:sz w:val="24"/>
          <w:u w:val="single"/>
        </w:rPr>
        <w:t>企业名称）</w:t>
      </w:r>
      <w:r>
        <w:rPr>
          <w:rFonts w:hint="eastAsia" w:ascii="宋体" w:hAnsi="宋体" w:cs="宋体"/>
          <w:w w:val="99"/>
          <w:sz w:val="24"/>
        </w:rPr>
        <w:t>，</w:t>
      </w:r>
      <w:r>
        <w:rPr>
          <w:rFonts w:hint="eastAsia" w:ascii="宋体" w:hAnsi="宋体" w:cs="宋体"/>
          <w:sz w:val="24"/>
        </w:rPr>
        <w:t>从业人员</w:t>
      </w:r>
      <w:r>
        <w:rPr>
          <w:rFonts w:hint="eastAsia" w:ascii="宋体" w:hAnsi="宋体" w:cs="宋体"/>
          <w:w w:val="99"/>
          <w:sz w:val="24"/>
          <w:u w:val="single"/>
        </w:rPr>
        <w:t xml:space="preserve">    </w:t>
      </w:r>
      <w:r>
        <w:rPr>
          <w:rFonts w:hint="eastAsia" w:ascii="宋体" w:hAnsi="宋体" w:cs="宋体"/>
          <w:w w:val="99"/>
          <w:sz w:val="24"/>
        </w:rPr>
        <w:t>人，</w:t>
      </w:r>
      <w:r>
        <w:rPr>
          <w:rFonts w:hint="eastAsia" w:ascii="宋体" w:hAnsi="宋体" w:cs="宋体"/>
          <w:sz w:val="24"/>
        </w:rPr>
        <w:t>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w:t>
      </w:r>
      <w:r>
        <w:rPr>
          <w:rFonts w:hint="eastAsia" w:ascii="宋体" w:hAnsi="宋体" w:cs="宋体"/>
          <w:w w:val="95"/>
          <w:sz w:val="24"/>
        </w:rPr>
        <w:t>，</w:t>
      </w:r>
      <w:r>
        <w:rPr>
          <w:rFonts w:hint="eastAsia" w:ascii="宋体" w:hAnsi="宋体" w:cs="宋体"/>
          <w:sz w:val="24"/>
        </w:rPr>
        <w:t>属于</w:t>
      </w:r>
      <w:r>
        <w:rPr>
          <w:rFonts w:hint="eastAsia" w:ascii="宋体" w:hAnsi="宋体" w:cs="宋体"/>
          <w:sz w:val="24"/>
          <w:u w:val="single"/>
        </w:rPr>
        <w:t>（中型企业、小型企业、微型企业）；</w:t>
      </w:r>
    </w:p>
    <w:p>
      <w:pPr>
        <w:snapToGrid w:val="0"/>
        <w:spacing w:line="312" w:lineRule="auto"/>
        <w:ind w:left="860" w:firstLine="480" w:firstLineChars="200"/>
        <w:jc w:val="left"/>
        <w:rPr>
          <w:rFonts w:ascii="宋体" w:hAnsi="宋体" w:cs="宋体"/>
          <w:sz w:val="24"/>
        </w:rPr>
      </w:pPr>
      <w:r>
        <w:rPr>
          <w:rFonts w:hint="eastAsia" w:ascii="宋体" w:hAnsi="宋体" w:cs="宋体"/>
          <w:sz w:val="24"/>
        </w:rPr>
        <w:t>……</w:t>
      </w:r>
    </w:p>
    <w:p>
      <w:pPr>
        <w:snapToGrid w:val="0"/>
        <w:spacing w:line="312" w:lineRule="auto"/>
        <w:ind w:firstLine="480" w:firstLineChars="200"/>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snapToGrid w:val="0"/>
        <w:spacing w:line="312" w:lineRule="auto"/>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pPr>
        <w:snapToGrid w:val="0"/>
        <w:spacing w:line="312" w:lineRule="auto"/>
        <w:ind w:firstLine="3840" w:firstLineChars="1600"/>
        <w:rPr>
          <w:rFonts w:ascii="宋体" w:hAnsi="宋体" w:cs="宋体"/>
          <w:sz w:val="24"/>
        </w:rPr>
      </w:pPr>
    </w:p>
    <w:p>
      <w:pPr>
        <w:snapToGrid w:val="0"/>
        <w:spacing w:line="312" w:lineRule="auto"/>
        <w:rPr>
          <w:rFonts w:ascii="宋体" w:hAnsi="宋体" w:cs="宋体"/>
          <w:sz w:val="24"/>
        </w:rPr>
      </w:pPr>
      <w:r>
        <w:rPr>
          <w:rFonts w:hint="eastAsia" w:ascii="宋体" w:hAnsi="宋体" w:cs="宋体"/>
          <w:sz w:val="24"/>
        </w:rPr>
        <w:t>备注：</w:t>
      </w:r>
    </w:p>
    <w:p>
      <w:pPr>
        <w:numPr>
          <w:ilvl w:val="0"/>
          <w:numId w:val="13"/>
        </w:numPr>
        <w:snapToGrid w:val="0"/>
        <w:spacing w:line="312" w:lineRule="auto"/>
        <w:rPr>
          <w:rFonts w:ascii="宋体" w:hAnsi="宋体" w:cs="宋体"/>
          <w:sz w:val="24"/>
        </w:rPr>
      </w:pPr>
      <w:r>
        <w:rPr>
          <w:rFonts w:hint="eastAsia" w:ascii="宋体" w:hAnsi="宋体" w:cs="宋体"/>
          <w:sz w:val="24"/>
        </w:rPr>
        <w:t>供应商提供的货物全部由符合政策要求的中小企业制造的，应填写本表，否则不得享受相关中小企业扶持政策。</w:t>
      </w:r>
    </w:p>
    <w:p>
      <w:pPr>
        <w:numPr>
          <w:ilvl w:val="0"/>
          <w:numId w:val="13"/>
        </w:numPr>
        <w:snapToGrid w:val="0"/>
        <w:spacing w:line="312" w:lineRule="auto"/>
        <w:rPr>
          <w:rFonts w:ascii="宋体" w:hAnsi="宋体" w:cs="宋体"/>
          <w:sz w:val="24"/>
        </w:rPr>
      </w:pPr>
      <w:r>
        <w:rPr>
          <w:rFonts w:hint="eastAsia" w:ascii="宋体" w:hAnsi="宋体" w:cs="宋体"/>
          <w:sz w:val="24"/>
        </w:rPr>
        <w:t>从业人员、营业收入、资产总额填报上一年度数据，无上一年度数据的新成立企业可不填报。</w:t>
      </w:r>
    </w:p>
    <w:p>
      <w:pPr>
        <w:snapToGrid w:val="0"/>
        <w:spacing w:line="312" w:lineRule="auto"/>
        <w:rPr>
          <w:rFonts w:ascii="宋体" w:hAnsi="宋体" w:cs="宋体"/>
          <w:sz w:val="24"/>
        </w:rPr>
      </w:pPr>
      <w:r>
        <w:rPr>
          <w:rFonts w:hint="eastAsia" w:ascii="宋体" w:hAnsi="宋体" w:cs="宋体"/>
          <w:sz w:val="24"/>
        </w:rPr>
        <w:t>（3）根据《工业和信息化部、国家统计局、国家发展和改革委员会、财政部关于印发中小企业划型标准规定的通知》（工信部联企业〔2011〕300号），本项目采购标的对应的中小企业所属行业为</w:t>
      </w:r>
      <w:r>
        <w:rPr>
          <w:rFonts w:hint="eastAsia" w:ascii="宋体" w:hAnsi="宋体" w:cs="宋体"/>
          <w:bCs/>
          <w:kern w:val="0"/>
          <w:sz w:val="24"/>
          <w:szCs w:val="24"/>
          <w:lang w:bidi="ar"/>
        </w:rPr>
        <w:t>其他未列明行业</w:t>
      </w:r>
      <w:r>
        <w:rPr>
          <w:rFonts w:hint="eastAsia" w:ascii="宋体" w:hAnsi="宋体" w:cs="宋体"/>
          <w:sz w:val="24"/>
        </w:rPr>
        <w:t>。</w:t>
      </w:r>
    </w:p>
    <w:p>
      <w:pPr>
        <w:spacing w:line="360" w:lineRule="auto"/>
        <w:ind w:firstLine="474" w:firstLineChars="200"/>
        <w:rPr>
          <w:rFonts w:ascii="宋体" w:hAnsi="宋体" w:cs="宋体"/>
          <w:w w:val="99"/>
          <w:sz w:val="24"/>
        </w:rPr>
      </w:pPr>
    </w:p>
    <w:p>
      <w:pPr>
        <w:adjustRightInd w:val="0"/>
        <w:snapToGrid w:val="0"/>
        <w:spacing w:line="480" w:lineRule="auto"/>
        <w:ind w:firstLine="2520" w:firstLineChars="1050"/>
        <w:jc w:val="left"/>
        <w:rPr>
          <w:rFonts w:ascii="宋体" w:hAnsi="宋体" w:cs="宋体"/>
          <w:sz w:val="24"/>
          <w:u w:val="single"/>
        </w:rPr>
      </w:pPr>
      <w:bookmarkStart w:id="167" w:name="_Toc13686"/>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（单位名称及公章）</w:t>
      </w:r>
    </w:p>
    <w:p>
      <w:pPr>
        <w:adjustRightInd w:val="0"/>
        <w:snapToGrid w:val="0"/>
        <w:spacing w:line="480" w:lineRule="auto"/>
        <w:ind w:firstLine="2520" w:firstLineChars="1050"/>
        <w:rPr>
          <w:rFonts w:ascii="宋体" w:hAnsi="宋体" w:cs="宋体"/>
          <w:sz w:val="24"/>
          <w:u w:val="single"/>
        </w:rPr>
      </w:pPr>
      <w:r>
        <w:rPr>
          <w:rFonts w:hint="eastAsia" w:ascii="宋体" w:hAnsi="宋体" w:cs="宋体"/>
          <w:sz w:val="24"/>
        </w:rPr>
        <w:t>法定代表人/被授权人：</w:t>
      </w:r>
      <w:r>
        <w:rPr>
          <w:rFonts w:hint="eastAsia" w:ascii="宋体" w:hAnsi="宋体" w:cs="宋体"/>
          <w:sz w:val="24"/>
          <w:u w:val="single"/>
        </w:rPr>
        <w:t xml:space="preserve">            </w:t>
      </w:r>
      <w:r>
        <w:rPr>
          <w:rFonts w:hint="eastAsia" w:ascii="宋体" w:hAnsi="宋体" w:cs="宋体"/>
          <w:sz w:val="24"/>
        </w:rPr>
        <w:t>（签字或盖章）</w:t>
      </w:r>
    </w:p>
    <w:p>
      <w:pPr>
        <w:adjustRightInd w:val="0"/>
        <w:snapToGrid w:val="0"/>
        <w:spacing w:line="480" w:lineRule="auto"/>
        <w:ind w:firstLine="2520" w:firstLineChars="10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360" w:lineRule="auto"/>
        <w:jc w:val="left"/>
        <w:rPr>
          <w:rFonts w:ascii="宋体" w:hAnsi="宋体" w:cs="宋体"/>
          <w:b/>
          <w:sz w:val="28"/>
          <w:szCs w:val="28"/>
          <w:lang w:val="zh-CN"/>
        </w:rPr>
      </w:pPr>
      <w:r>
        <w:rPr>
          <w:rFonts w:hint="eastAsia" w:ascii="宋体" w:hAnsi="宋体" w:cs="宋体"/>
          <w:b/>
          <w:sz w:val="28"/>
          <w:szCs w:val="28"/>
          <w:lang w:val="zh-CN"/>
        </w:rPr>
        <w:t>附件二</w:t>
      </w:r>
      <w:bookmarkEnd w:id="167"/>
    </w:p>
    <w:p>
      <w:pPr>
        <w:spacing w:line="360" w:lineRule="auto"/>
        <w:jc w:val="center"/>
        <w:rPr>
          <w:rFonts w:ascii="宋体" w:hAnsi="宋体" w:cs="宋体"/>
          <w:szCs w:val="21"/>
          <w:lang w:val="zh-CN"/>
        </w:rPr>
      </w:pPr>
      <w:bookmarkStart w:id="168" w:name="OLE_LINK13"/>
      <w:bookmarkStart w:id="169" w:name="OLE_LINK14"/>
    </w:p>
    <w:p>
      <w:pPr>
        <w:spacing w:line="360" w:lineRule="auto"/>
        <w:jc w:val="center"/>
        <w:rPr>
          <w:rFonts w:ascii="宋体" w:hAnsi="宋体" w:cs="宋体"/>
          <w:b/>
          <w:sz w:val="28"/>
          <w:szCs w:val="28"/>
          <w:lang w:val="zh-CN"/>
        </w:rPr>
      </w:pPr>
      <w:bookmarkStart w:id="170" w:name="_Toc24056_WPSOffice_Level2"/>
      <w:r>
        <w:rPr>
          <w:rFonts w:hint="eastAsia" w:ascii="宋体" w:hAnsi="宋体" w:cs="宋体"/>
          <w:b/>
          <w:sz w:val="28"/>
          <w:szCs w:val="28"/>
          <w:lang w:val="zh-CN"/>
        </w:rPr>
        <w:t>残疾人福利性单位声明函</w:t>
      </w:r>
      <w:bookmarkEnd w:id="170"/>
    </w:p>
    <w:bookmarkEnd w:id="168"/>
    <w:bookmarkEnd w:id="169"/>
    <w:p>
      <w:pPr>
        <w:spacing w:line="360" w:lineRule="auto"/>
        <w:rPr>
          <w:rFonts w:ascii="宋体" w:hAnsi="宋体" w:cs="宋体"/>
          <w:sz w:val="24"/>
          <w:szCs w:val="24"/>
          <w:lang w:val="zh-CN"/>
        </w:rPr>
      </w:pP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sz w:val="24"/>
          <w:szCs w:val="24"/>
          <w:lang w:val="zh-CN"/>
        </w:rPr>
      </w:pPr>
      <w:r>
        <w:rPr>
          <w:rFonts w:hint="eastAsia" w:ascii="宋体" w:hAnsi="宋体" w:cs="宋体"/>
          <w:sz w:val="24"/>
          <w:szCs w:val="24"/>
          <w:lang w:val="zh-CN"/>
        </w:rPr>
        <w:t>本单位对上述声明的真实性负责。如有虚假，将依法承担相应责任。</w:t>
      </w:r>
    </w:p>
    <w:p>
      <w:pPr>
        <w:spacing w:line="360" w:lineRule="auto"/>
        <w:ind w:firstLine="420" w:firstLineChars="200"/>
        <w:rPr>
          <w:rFonts w:ascii="宋体" w:hAnsi="宋体" w:cs="宋体"/>
          <w:szCs w:val="21"/>
          <w:lang w:val="zh-CN"/>
        </w:rPr>
      </w:pPr>
    </w:p>
    <w:p>
      <w:pPr>
        <w:spacing w:line="360" w:lineRule="auto"/>
        <w:ind w:firstLine="420" w:firstLineChars="200"/>
        <w:rPr>
          <w:rFonts w:ascii="宋体" w:hAnsi="宋体" w:cs="宋体"/>
          <w:szCs w:val="21"/>
          <w:lang w:val="zh-CN"/>
        </w:rPr>
      </w:pPr>
    </w:p>
    <w:p>
      <w:pPr>
        <w:adjustRightInd w:val="0"/>
        <w:snapToGrid w:val="0"/>
        <w:spacing w:line="480" w:lineRule="auto"/>
        <w:ind w:firstLine="2520" w:firstLineChars="1050"/>
        <w:jc w:val="left"/>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（单位名称及公章）</w:t>
      </w:r>
    </w:p>
    <w:p>
      <w:pPr>
        <w:adjustRightInd w:val="0"/>
        <w:snapToGrid w:val="0"/>
        <w:spacing w:line="480" w:lineRule="auto"/>
        <w:ind w:firstLine="2520" w:firstLineChars="1050"/>
        <w:rPr>
          <w:rFonts w:ascii="宋体" w:hAnsi="宋体" w:cs="宋体"/>
          <w:sz w:val="24"/>
          <w:u w:val="single"/>
        </w:rPr>
      </w:pPr>
      <w:r>
        <w:rPr>
          <w:rFonts w:hint="eastAsia" w:ascii="宋体" w:hAnsi="宋体" w:cs="宋体"/>
          <w:sz w:val="24"/>
        </w:rPr>
        <w:t>法定代表人/被授权人：</w:t>
      </w:r>
      <w:r>
        <w:rPr>
          <w:rFonts w:hint="eastAsia" w:ascii="宋体" w:hAnsi="宋体" w:cs="宋体"/>
          <w:sz w:val="24"/>
          <w:u w:val="single"/>
        </w:rPr>
        <w:t xml:space="preserve">            </w:t>
      </w:r>
      <w:r>
        <w:rPr>
          <w:rFonts w:hint="eastAsia" w:ascii="宋体" w:hAnsi="宋体" w:cs="宋体"/>
          <w:sz w:val="24"/>
        </w:rPr>
        <w:t>（签字或盖章）</w:t>
      </w:r>
    </w:p>
    <w:p>
      <w:pPr>
        <w:adjustRightInd w:val="0"/>
        <w:snapToGrid w:val="0"/>
        <w:spacing w:line="480" w:lineRule="auto"/>
        <w:ind w:firstLine="2520" w:firstLineChars="105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djustRightInd w:val="0"/>
        <w:spacing w:line="416" w:lineRule="atLeast"/>
        <w:textAlignment w:val="baseline"/>
        <w:rPr>
          <w:rFonts w:ascii="宋体" w:hAnsi="宋体" w:cs="宋体"/>
          <w:kern w:val="1"/>
          <w:sz w:val="24"/>
          <w:szCs w:val="24"/>
        </w:rPr>
      </w:pPr>
    </w:p>
    <w:p>
      <w:pPr>
        <w:adjustRightInd w:val="0"/>
        <w:spacing w:line="416" w:lineRule="atLeast"/>
        <w:textAlignment w:val="baseline"/>
        <w:rPr>
          <w:rFonts w:ascii="宋体" w:hAnsi="宋体" w:cs="宋体"/>
          <w:kern w:val="1"/>
          <w:sz w:val="24"/>
          <w:szCs w:val="24"/>
        </w:rPr>
      </w:pPr>
    </w:p>
    <w:p>
      <w:pPr>
        <w:adjustRightInd w:val="0"/>
        <w:spacing w:line="416" w:lineRule="atLeast"/>
        <w:textAlignment w:val="baseline"/>
        <w:rPr>
          <w:rFonts w:ascii="宋体" w:hAnsi="宋体" w:cs="宋体"/>
          <w:kern w:val="1"/>
          <w:sz w:val="24"/>
          <w:szCs w:val="24"/>
        </w:rPr>
      </w:pPr>
    </w:p>
    <w:p>
      <w:pPr>
        <w:adjustRightInd w:val="0"/>
        <w:spacing w:line="416" w:lineRule="atLeast"/>
        <w:textAlignment w:val="baseline"/>
        <w:rPr>
          <w:rFonts w:ascii="宋体" w:hAnsi="宋体" w:cs="宋体"/>
          <w:kern w:val="1"/>
          <w:sz w:val="24"/>
          <w:szCs w:val="24"/>
        </w:rPr>
      </w:pPr>
    </w:p>
    <w:p>
      <w:pPr>
        <w:adjustRightInd w:val="0"/>
        <w:spacing w:line="416" w:lineRule="atLeast"/>
        <w:textAlignment w:val="baseline"/>
        <w:rPr>
          <w:rFonts w:ascii="宋体" w:hAnsi="宋体" w:cs="宋体"/>
          <w:kern w:val="1"/>
          <w:sz w:val="24"/>
          <w:szCs w:val="24"/>
        </w:rPr>
      </w:pPr>
    </w:p>
    <w:p>
      <w:pPr>
        <w:kinsoku w:val="0"/>
        <w:spacing w:line="360" w:lineRule="auto"/>
        <w:ind w:firstLine="480" w:firstLineChars="200"/>
        <w:jc w:val="left"/>
        <w:rPr>
          <w:rFonts w:ascii="宋体" w:hAnsi="宋体" w:cs="宋体"/>
          <w:sz w:val="24"/>
        </w:rPr>
      </w:pPr>
      <w:r>
        <w:rPr>
          <w:rFonts w:hint="eastAsia" w:ascii="宋体" w:hAnsi="宋体" w:cs="宋体"/>
          <w:sz w:val="24"/>
          <w:szCs w:val="24"/>
        </w:rPr>
        <w:t>说明：</w:t>
      </w:r>
      <w:r>
        <w:rPr>
          <w:rFonts w:hint="eastAsia" w:ascii="宋体" w:hAnsi="宋体" w:cs="宋体"/>
          <w:bCs/>
          <w:sz w:val="24"/>
          <w:szCs w:val="24"/>
        </w:rPr>
        <w:t>未按上述要求提供、</w:t>
      </w:r>
      <w:r>
        <w:rPr>
          <w:rFonts w:hint="eastAsia" w:ascii="宋体" w:hAnsi="宋体" w:cs="宋体"/>
          <w:sz w:val="24"/>
          <w:szCs w:val="24"/>
        </w:rPr>
        <w:t>填写</w:t>
      </w:r>
      <w:r>
        <w:rPr>
          <w:rFonts w:hint="eastAsia" w:ascii="宋体" w:hAnsi="宋体" w:cs="宋体"/>
          <w:bCs/>
          <w:sz w:val="24"/>
          <w:szCs w:val="24"/>
        </w:rPr>
        <w:t>的，评审时不予以考虑。供应商提供的《残疾人福利性单位声明函》必须真实有效，如果被举报经查实出具虚假声明函的，将被取消谈判资格，并按有关规定予以处理。</w:t>
      </w:r>
    </w:p>
    <w:p>
      <w:pPr>
        <w:adjustRightInd w:val="0"/>
        <w:spacing w:line="416" w:lineRule="atLeast"/>
        <w:jc w:val="left"/>
        <w:textAlignment w:val="baseline"/>
        <w:outlineLvl w:val="0"/>
        <w:rPr>
          <w:rFonts w:ascii="宋体" w:hAnsi="宋体" w:cs="宋体"/>
          <w:b/>
          <w:szCs w:val="21"/>
          <w:lang w:val="zh-CN"/>
        </w:rPr>
      </w:pPr>
      <w:r>
        <w:rPr>
          <w:rFonts w:hint="eastAsia" w:ascii="宋体" w:hAnsi="宋体" w:cs="宋体"/>
          <w:kern w:val="1"/>
          <w:sz w:val="24"/>
          <w:szCs w:val="24"/>
        </w:rPr>
        <w:br w:type="page"/>
      </w:r>
      <w:bookmarkStart w:id="171" w:name="_Toc2374_WPSOffice_Level1"/>
      <w:bookmarkStart w:id="172" w:name="_Toc14816"/>
      <w:bookmarkStart w:id="173" w:name="_Toc5961"/>
      <w:bookmarkStart w:id="174" w:name="_Toc27841"/>
      <w:bookmarkStart w:id="175" w:name="_Toc11103"/>
      <w:r>
        <w:rPr>
          <w:rFonts w:hint="eastAsia" w:ascii="宋体" w:hAnsi="宋体" w:cs="宋体"/>
          <w:b/>
          <w:sz w:val="28"/>
          <w:szCs w:val="28"/>
          <w:lang w:val="zh-CN"/>
        </w:rPr>
        <w:t>附件三</w:t>
      </w:r>
    </w:p>
    <w:p>
      <w:pPr>
        <w:keepNext/>
        <w:keepLines/>
        <w:spacing w:before="162" w:after="330" w:line="576" w:lineRule="auto"/>
        <w:ind w:firstLine="562" w:firstLineChars="200"/>
        <w:jc w:val="center"/>
        <w:rPr>
          <w:rFonts w:ascii="宋体" w:hAnsi="宋体" w:cs="宋体"/>
          <w:b/>
          <w:kern w:val="44"/>
          <w:sz w:val="28"/>
          <w:szCs w:val="28"/>
        </w:rPr>
      </w:pPr>
      <w:r>
        <w:rPr>
          <w:rFonts w:hint="eastAsia" w:ascii="宋体" w:hAnsi="宋体" w:cs="宋体"/>
          <w:b/>
          <w:kern w:val="44"/>
          <w:sz w:val="28"/>
          <w:szCs w:val="28"/>
        </w:rPr>
        <w:t>监狱企业证明文件</w:t>
      </w:r>
      <w:bookmarkEnd w:id="171"/>
      <w:bookmarkEnd w:id="172"/>
      <w:bookmarkEnd w:id="173"/>
      <w:bookmarkEnd w:id="174"/>
      <w:bookmarkEnd w:id="175"/>
    </w:p>
    <w:p>
      <w:pPr>
        <w:rPr>
          <w:rFonts w:ascii="宋体" w:hAnsi="宋体" w:cs="宋体"/>
          <w:sz w:val="24"/>
          <w:szCs w:val="24"/>
        </w:rPr>
      </w:pPr>
    </w:p>
    <w:p>
      <w:pPr>
        <w:snapToGrid w:val="0"/>
        <w:spacing w:line="360" w:lineRule="auto"/>
        <w:ind w:firstLine="504" w:firstLineChars="200"/>
        <w:rPr>
          <w:rFonts w:ascii="宋体" w:hAnsi="宋体" w:cs="宋体"/>
          <w:color w:val="000000"/>
          <w:sz w:val="24"/>
          <w:szCs w:val="24"/>
        </w:rPr>
      </w:pPr>
      <w:r>
        <w:rPr>
          <w:rFonts w:hint="eastAsia" w:ascii="宋体" w:hAnsi="宋体" w:cs="宋体"/>
          <w:spacing w:val="6"/>
          <w:sz w:val="24"/>
          <w:szCs w:val="24"/>
        </w:rPr>
        <w:t xml:space="preserve"> 说明：根据</w:t>
      </w:r>
      <w:r>
        <w:rPr>
          <w:rFonts w:hint="eastAsia" w:ascii="宋体" w:hAnsi="宋体" w:cs="宋体"/>
          <w:color w:val="000000"/>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rPr>
          <w:rFonts w:ascii="宋体" w:hAnsi="宋体" w:cs="宋体"/>
          <w:sz w:val="24"/>
          <w:szCs w:val="24"/>
        </w:rPr>
      </w:pPr>
      <w:bookmarkStart w:id="176" w:name="_Toc8510"/>
    </w:p>
    <w:p>
      <w:pPr>
        <w:adjustRightInd w:val="0"/>
        <w:spacing w:line="416" w:lineRule="atLeast"/>
        <w:textAlignment w:val="baseline"/>
        <w:outlineLvl w:val="0"/>
        <w:rPr>
          <w:rFonts w:ascii="宋体" w:hAnsi="宋体" w:cs="宋体"/>
          <w:sz w:val="24"/>
          <w:szCs w:val="24"/>
        </w:rPr>
      </w:pPr>
      <w:bookmarkStart w:id="177" w:name="_Toc30532"/>
      <w:bookmarkStart w:id="178" w:name="_Toc18534"/>
      <w:bookmarkStart w:id="179" w:name="_Toc9820"/>
      <w:bookmarkStart w:id="180" w:name="_Toc18166_WPSOffice_Level1"/>
      <w:r>
        <w:rPr>
          <w:rFonts w:hint="eastAsia" w:ascii="宋体" w:hAnsi="宋体" w:cs="宋体"/>
          <w:sz w:val="24"/>
          <w:szCs w:val="24"/>
        </w:rPr>
        <w:t>附件四：“节能产品”，“环境标志产品”证明材料</w:t>
      </w:r>
      <w:bookmarkEnd w:id="176"/>
      <w:bookmarkEnd w:id="177"/>
      <w:bookmarkEnd w:id="178"/>
      <w:bookmarkEnd w:id="179"/>
      <w:bookmarkEnd w:id="180"/>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说明：</w:t>
      </w:r>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1、供应商提供的产品属于下列情形，应按照谈判文件第三部分供应商须知总则第六款规定提供产品列入“节能产品”，“环境标志产品”所在页的复印件（该页包含制造商或企业名称或申请单位名称、规格型号、有效期截止日期等内容），并加盖供应商单位章。</w:t>
      </w:r>
    </w:p>
    <w:p>
      <w:pPr>
        <w:widowControl/>
        <w:numPr>
          <w:ilvl w:val="0"/>
          <w:numId w:val="14"/>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财政部、环境保护部发布的《节能产品政府采购清单》中标记的“强制采购节能产品”。</w:t>
      </w:r>
    </w:p>
    <w:p>
      <w:pPr>
        <w:widowControl/>
        <w:numPr>
          <w:ilvl w:val="0"/>
          <w:numId w:val="14"/>
        </w:numPr>
        <w:spacing w:line="360" w:lineRule="auto"/>
        <w:ind w:firstLine="504" w:firstLineChars="200"/>
        <w:rPr>
          <w:rFonts w:ascii="宋体" w:hAnsi="宋体" w:cs="宋体"/>
          <w:sz w:val="24"/>
          <w:szCs w:val="24"/>
        </w:rPr>
      </w:pPr>
      <w:r>
        <w:rPr>
          <w:rFonts w:hint="eastAsia" w:ascii="宋体" w:hAnsi="宋体" w:cs="宋体"/>
          <w:spacing w:val="6"/>
          <w:sz w:val="24"/>
          <w:szCs w:val="24"/>
        </w:rPr>
        <w:t>符合政府采购强制采购政策的</w:t>
      </w:r>
      <w:r>
        <w:rPr>
          <w:rFonts w:hint="eastAsia" w:ascii="宋体" w:hAnsi="宋体" w:cs="宋体"/>
          <w:sz w:val="24"/>
          <w:szCs w:val="24"/>
        </w:rPr>
        <w:t>财政部、环境保护部发布的《环境标志产品政府采购清单》中标记的的“环境标志产品”。</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2、未按照上述要求提供的，评审时不予以考虑。 </w:t>
      </w:r>
    </w:p>
    <w:p>
      <w:pPr>
        <w:tabs>
          <w:tab w:val="left" w:pos="4860"/>
        </w:tabs>
        <w:spacing w:line="360" w:lineRule="auto"/>
        <w:ind w:right="1560" w:firstLine="5400" w:firstLineChars="2250"/>
        <w:rPr>
          <w:rFonts w:ascii="宋体" w:hAnsi="宋体" w:cs="宋体"/>
          <w:kern w:val="1"/>
          <w:sz w:val="24"/>
          <w:szCs w:val="24"/>
        </w:rPr>
      </w:pPr>
    </w:p>
    <w:p/>
    <w:sectPr>
      <w:pgSz w:w="11906" w:h="16838"/>
      <w:pgMar w:top="1304" w:right="1342" w:bottom="1304" w:left="110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sz w:val="11"/>
        <w:szCs w:val="13"/>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r>
      <w:rPr>
        <w:lang w:val="zh-CN"/>
      </w:rPr>
      <w:t xml:space="preserve"> </w:t>
    </w:r>
  </w:p>
  <w:p>
    <w:pPr>
      <w:pStyle w:val="12"/>
      <w:spacing w:line="240" w:lineRule="exact"/>
      <w:ind w:right="357"/>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4"/>
      </w:rPr>
    </w:pPr>
    <w:r>
      <w:fldChar w:fldCharType="begin"/>
    </w:r>
    <w:r>
      <w:rPr>
        <w:rStyle w:val="24"/>
      </w:rPr>
      <w:instrText xml:space="preserve">PAGE  </w:instrText>
    </w:r>
    <w:r>
      <w:fldChar w:fldCharType="separate"/>
    </w:r>
    <w:r>
      <w:rPr>
        <w:rStyle w:val="24"/>
      </w:rPr>
      <w:t>1</w:t>
    </w:r>
    <w:r>
      <w:fldChar w:fldCharType="end"/>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2362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3620" cy="166370"/>
                      </a:xfrm>
                      <a:prstGeom prst="rect">
                        <a:avLst/>
                      </a:prstGeom>
                      <a:noFill/>
                      <a:ln w="15875">
                        <a:noFill/>
                      </a:ln>
                    </wps:spPr>
                    <wps:txbx>
                      <w:txbxContent>
                        <w:p>
                          <w:pPr>
                            <w:pStyle w:val="12"/>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lIns="0" tIns="0" rIns="0" bIns="0"/>
                  </wps:wsp>
                </a:graphicData>
              </a:graphic>
            </wp:anchor>
          </w:drawing>
        </mc:Choice>
        <mc:Fallback>
          <w:pict>
            <v:shape id="_x0000_s1026" o:spid="_x0000_s1026" o:spt="202" type="#_x0000_t202" style="position:absolute;left:0pt;margin-top:0pt;height:13.1pt;width:80.6pt;mso-position-horizontal:center;mso-position-horizontal-relative:margin;z-index:251660288;mso-width-relative:page;mso-height-relative:page;" filled="f" stroked="f" coordsize="21600,21600" o:gfxdata="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8NxF9QAAAAEAQAADwAAAAAAAAABACAAAAAiAAAAZHJzL2Rvd25yZXYueG1sUEsBAhQA&#10;FAAAAAgAh07iQEAvasO9AQAAcAMAAA4AAAAAAAAAAQAgAAAAIwEAAGRycy9lMm9Eb2MueG1sUEsF&#10;BgAAAAAGAAYAWQEAAFIFAAAAAA==&#10;">
              <v:fill on="f" focussize="0,0"/>
              <v:stroke on="f" weight="1.25pt"/>
              <v:imagedata o:title=""/>
              <o:lock v:ext="edit" aspectratio="f"/>
              <v:textbox inset="0mm,0mm,0mm,0mm">
                <w:txbxContent>
                  <w:p>
                    <w:pPr>
                      <w:pStyle w:val="12"/>
                      <w:jc w:val="center"/>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p>
    <w:pPr>
      <w:pStyle w:val="12"/>
      <w:jc w:val="center"/>
      <w:rPr>
        <w:szCs w:val="1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p>
                </w:txbxContent>
              </v:textbox>
            </v:shape>
          </w:pict>
        </mc:Fallback>
      </mc:AlternateContent>
    </w:r>
  </w:p>
  <w:p>
    <w:pPr>
      <w:pStyle w:val="12"/>
      <w:spacing w:line="240" w:lineRule="exact"/>
      <w:ind w:right="357"/>
      <w:rPr>
        <w:b/>
      </w:rPr>
    </w:pPr>
    <w:r>
      <w:rPr>
        <w:rFonts w:hint="eastAsia"/>
        <w:b/>
        <w:kern w:val="0"/>
        <w:szCs w:val="21"/>
      </w:rPr>
      <w:t>西安华力达项目管理有限公司                                                                                  地址：西安经济技术开发区凤城八路1</w:t>
    </w:r>
    <w:r>
      <w:rPr>
        <w:b/>
        <w:kern w:val="0"/>
        <w:szCs w:val="21"/>
      </w:rPr>
      <w:t>68</w:t>
    </w:r>
    <w:r>
      <w:rPr>
        <w:rFonts w:hint="eastAsia"/>
        <w:b/>
        <w:kern w:val="0"/>
        <w:szCs w:val="21"/>
      </w:rPr>
      <w:t>号西北国金中心F座</w:t>
    </w:r>
    <w:r>
      <w:rPr>
        <w:b/>
        <w:kern w:val="0"/>
        <w:szCs w:val="21"/>
      </w:rPr>
      <w:t>5</w:t>
    </w:r>
    <w:r>
      <w:rPr>
        <w:rFonts w:hint="eastAsia"/>
        <w:b/>
        <w:kern w:val="0"/>
        <w:szCs w:val="21"/>
      </w:rPr>
      <w:t>楼                            电话：029-</w:t>
    </w:r>
    <w:r>
      <w:rPr>
        <w:b/>
        <w:kern w:val="0"/>
        <w:szCs w:val="21"/>
      </w:rPr>
      <w:t>89666676</w:t>
    </w:r>
  </w:p>
  <w:p>
    <w:pPr>
      <w:pStyle w:val="12"/>
      <w:jc w:val="center"/>
      <w:rPr>
        <w:sz w:val="11"/>
        <w:szCs w:val="1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91260" cy="1384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91260" cy="138430"/>
                      </a:xfrm>
                      <a:prstGeom prst="rect">
                        <a:avLst/>
                      </a:prstGeom>
                      <a:noFill/>
                      <a:ln w="15875">
                        <a:noFill/>
                      </a:ln>
                    </wps:spPr>
                    <wps:txbx>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wps:txbx>
                    <wps:bodyPr lIns="0" tIns="0" rIns="0" bIns="0"/>
                  </wps:wsp>
                </a:graphicData>
              </a:graphic>
            </wp:anchor>
          </w:drawing>
        </mc:Choice>
        <mc:Fallback>
          <w:pict>
            <v:shape id="_x0000_s1026" o:spid="_x0000_s1026" o:spt="202" type="#_x0000_t202" style="position:absolute;left:0pt;margin-top:0pt;height:10.9pt;width:93.8pt;mso-position-horizontal:center;mso-position-horizontal-relative:margin;z-index:251661312;mso-width-relative:page;mso-height-relative:page;" filled="f" stroked="f" coordsize="21600,21600" o:gfxdata="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A5g0NQAAAAEAQAADwAAAAAAAAABACAAAAAiAAAAZHJzL2Rvd25yZXYueG1sUEsBAhQA&#10;FAAAAAgAh07iQHVbcIO9AQAAcAMAAA4AAAAAAAAAAQAgAAAAIwEAAGRycy9lMm9Eb2MueG1sUEsF&#10;BgAAAAAGAAYAWQEAAFIFAAAAAA==&#10;">
              <v:fill on="f" focussize="0,0"/>
              <v:stroke on="f" weight="1.25pt"/>
              <v:imagedata o:title=""/>
              <o:lock v:ext="edit" aspectratio="f"/>
              <v:textbox inset="0mm,0mm,0mm,0mm">
                <w:txbxContent>
                  <w:p>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95</w:t>
                    </w:r>
                    <w:r>
                      <w:fldChar w:fldCharType="end"/>
                    </w:r>
                    <w:r>
                      <w:t xml:space="preserve"> 页</w:t>
                    </w:r>
                  </w:p>
                </w:txbxContent>
              </v:textbox>
            </v:shape>
          </w:pict>
        </mc:Fallback>
      </mc:AlternateContent>
    </w:r>
  </w:p>
  <w:p>
    <w:pPr>
      <w:pStyle w:val="12"/>
      <w:jc w:val="center"/>
      <w:rPr>
        <w:sz w:val="11"/>
        <w:szCs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1620"/>
      </w:tabs>
      <w:spacing w:line="360" w:lineRule="auto"/>
      <w:ind w:right="-197" w:rightChars="-94"/>
      <w:jc w:val="left"/>
      <w:rPr>
        <w:u w:val="single"/>
      </w:rPr>
    </w:pPr>
    <w:r>
      <w:rPr>
        <w:rFonts w:hint="eastAsia" w:ascii="宋体" w:hAnsi="宋体"/>
        <w:b/>
        <w:sz w:val="18"/>
        <w:u w:val="single"/>
      </w:rPr>
      <w:t>项目名称：西安市灞桥区卫生和健康局居民健康档案开放网络信息安全等级保护项目                          项目编号：MZ2022-CS1017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distribute"/>
      <w:rPr>
        <w:b/>
        <w:bCs/>
        <w:sz w:val="16"/>
        <w:szCs w:val="18"/>
      </w:rPr>
    </w:pPr>
    <w:r>
      <w:rPr>
        <w:rFonts w:hint="eastAsia"/>
        <w:b/>
        <w:bCs/>
        <w:sz w:val="16"/>
        <w:szCs w:val="18"/>
      </w:rPr>
      <w:t xml:space="preserve">西安文理学院养老服务管理专业实训室采购项目 </w:t>
    </w:r>
    <w:r>
      <w:rPr>
        <w:b/>
        <w:bCs/>
        <w:sz w:val="16"/>
        <w:szCs w:val="18"/>
      </w:rPr>
      <w:t xml:space="preserve">      </w:t>
    </w:r>
    <w:r>
      <w:rPr>
        <w:rFonts w:hint="eastAsia"/>
        <w:b/>
        <w:bCs/>
        <w:sz w:val="16"/>
        <w:szCs w:val="18"/>
      </w:rPr>
      <w:t xml:space="preserve">                                     项目编号：HLDZB2022-2021</w:t>
    </w:r>
  </w:p>
  <w:p>
    <w:pPr>
      <w:pStyle w:val="13"/>
      <w:pBdr>
        <w:bottom w:val="none" w:color="auto" w:sz="0" w:space="1"/>
      </w:pBdr>
      <w:wordWrap w:val="0"/>
      <w:jc w:val="right"/>
      <w:rPr>
        <w:sz w:val="16"/>
        <w:szCs w:val="18"/>
      </w:rPr>
    </w:pPr>
    <w:r>
      <w:rPr>
        <w:rFonts w:hint="eastAsia"/>
        <w:sz w:val="16"/>
        <w:szCs w:val="18"/>
      </w:rPr>
      <w:t xml:space="preserve"> </w:t>
    </w:r>
    <w:r>
      <w:rPr>
        <w:sz w:val="16"/>
        <w:szCs w:val="1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AEC26"/>
    <w:multiLevelType w:val="singleLevel"/>
    <w:tmpl w:val="968AEC26"/>
    <w:lvl w:ilvl="0" w:tentative="0">
      <w:start w:val="1"/>
      <w:numFmt w:val="decimal"/>
      <w:lvlText w:val="%1."/>
      <w:lvlJc w:val="left"/>
      <w:pPr>
        <w:tabs>
          <w:tab w:val="left" w:pos="312"/>
        </w:tabs>
      </w:pPr>
    </w:lvl>
  </w:abstractNum>
  <w:abstractNum w:abstractNumId="1">
    <w:nsid w:val="9E907A6B"/>
    <w:multiLevelType w:val="singleLevel"/>
    <w:tmpl w:val="9E907A6B"/>
    <w:lvl w:ilvl="0" w:tentative="0">
      <w:start w:val="1"/>
      <w:numFmt w:val="decimal"/>
      <w:suff w:val="nothing"/>
      <w:lvlText w:val="（%1）"/>
      <w:lvlJc w:val="left"/>
    </w:lvl>
  </w:abstractNum>
  <w:abstractNum w:abstractNumId="2">
    <w:nsid w:val="A192E0D9"/>
    <w:multiLevelType w:val="singleLevel"/>
    <w:tmpl w:val="A192E0D9"/>
    <w:lvl w:ilvl="0" w:tentative="0">
      <w:start w:val="5"/>
      <w:numFmt w:val="decimal"/>
      <w:lvlText w:val="%1."/>
      <w:lvlJc w:val="left"/>
      <w:pPr>
        <w:tabs>
          <w:tab w:val="left" w:pos="312"/>
        </w:tabs>
      </w:pPr>
    </w:lvl>
  </w:abstractNum>
  <w:abstractNum w:abstractNumId="3">
    <w:nsid w:val="A378A590"/>
    <w:multiLevelType w:val="singleLevel"/>
    <w:tmpl w:val="A378A590"/>
    <w:lvl w:ilvl="0" w:tentative="0">
      <w:start w:val="1"/>
      <w:numFmt w:val="decimal"/>
      <w:suff w:val="nothing"/>
      <w:lvlText w:val="（%1）"/>
      <w:lvlJc w:val="left"/>
    </w:lvl>
  </w:abstractNum>
  <w:abstractNum w:abstractNumId="4">
    <w:nsid w:val="A9BD9196"/>
    <w:multiLevelType w:val="singleLevel"/>
    <w:tmpl w:val="A9BD9196"/>
    <w:lvl w:ilvl="0" w:tentative="0">
      <w:start w:val="1"/>
      <w:numFmt w:val="decimal"/>
      <w:suff w:val="nothing"/>
      <w:lvlText w:val="（%1）"/>
      <w:lvlJc w:val="left"/>
    </w:lvl>
  </w:abstractNum>
  <w:abstractNum w:abstractNumId="5">
    <w:nsid w:val="B3B296C2"/>
    <w:multiLevelType w:val="singleLevel"/>
    <w:tmpl w:val="B3B296C2"/>
    <w:lvl w:ilvl="0" w:tentative="0">
      <w:start w:val="1"/>
      <w:numFmt w:val="decimal"/>
      <w:lvlText w:val="%1."/>
      <w:lvlJc w:val="left"/>
      <w:pPr>
        <w:tabs>
          <w:tab w:val="left" w:pos="312"/>
        </w:tabs>
      </w:pPr>
    </w:lvl>
  </w:abstractNum>
  <w:abstractNum w:abstractNumId="6">
    <w:nsid w:val="C7E5B5E0"/>
    <w:multiLevelType w:val="singleLevel"/>
    <w:tmpl w:val="C7E5B5E0"/>
    <w:lvl w:ilvl="0" w:tentative="0">
      <w:start w:val="1"/>
      <w:numFmt w:val="decimal"/>
      <w:suff w:val="nothing"/>
      <w:lvlText w:val="（%1）"/>
      <w:lvlJc w:val="left"/>
    </w:lvl>
  </w:abstractNum>
  <w:abstractNum w:abstractNumId="7">
    <w:nsid w:val="EFDEF27D"/>
    <w:multiLevelType w:val="singleLevel"/>
    <w:tmpl w:val="EFDEF27D"/>
    <w:lvl w:ilvl="0" w:tentative="0">
      <w:start w:val="2"/>
      <w:numFmt w:val="chineseCounting"/>
      <w:suff w:val="nothing"/>
      <w:lvlText w:val="%1、"/>
      <w:lvlJc w:val="left"/>
      <w:rPr>
        <w:rFonts w:hint="eastAsia"/>
      </w:rPr>
    </w:lvl>
  </w:abstractNum>
  <w:abstractNum w:abstractNumId="8">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9">
    <w:nsid w:val="58BE5D1F"/>
    <w:multiLevelType w:val="singleLevel"/>
    <w:tmpl w:val="58BE5D1F"/>
    <w:lvl w:ilvl="0" w:tentative="0">
      <w:start w:val="1"/>
      <w:numFmt w:val="decimal"/>
      <w:suff w:val="nothing"/>
      <w:lvlText w:val="（%1）"/>
      <w:lvlJc w:val="left"/>
      <w:pPr>
        <w:ind w:left="0" w:firstLine="420"/>
      </w:pPr>
      <w:rPr>
        <w:rFonts w:hint="default"/>
      </w:rPr>
    </w:lvl>
  </w:abstractNum>
  <w:abstractNum w:abstractNumId="10">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11">
    <w:nsid w:val="58E5EC48"/>
    <w:multiLevelType w:val="singleLevel"/>
    <w:tmpl w:val="58E5EC48"/>
    <w:lvl w:ilvl="0" w:tentative="0">
      <w:start w:val="1"/>
      <w:numFmt w:val="decimal"/>
      <w:suff w:val="nothing"/>
      <w:lvlText w:val="（%1）"/>
      <w:lvlJc w:val="left"/>
    </w:lvl>
  </w:abstractNum>
  <w:abstractNum w:abstractNumId="12">
    <w:nsid w:val="59DADF1A"/>
    <w:multiLevelType w:val="singleLevel"/>
    <w:tmpl w:val="59DADF1A"/>
    <w:lvl w:ilvl="0" w:tentative="0">
      <w:start w:val="1"/>
      <w:numFmt w:val="lowerLetter"/>
      <w:lvlText w:val="%1."/>
      <w:lvlJc w:val="left"/>
      <w:pPr>
        <w:ind w:left="425" w:hanging="425"/>
      </w:pPr>
      <w:rPr>
        <w:rFonts w:hint="default"/>
      </w:rPr>
    </w:lvl>
  </w:abstractNum>
  <w:abstractNum w:abstractNumId="13">
    <w:nsid w:val="6AD37DCD"/>
    <w:multiLevelType w:val="singleLevel"/>
    <w:tmpl w:val="6AD37DCD"/>
    <w:lvl w:ilvl="0" w:tentative="0">
      <w:start w:val="1"/>
      <w:numFmt w:val="chineseCounting"/>
      <w:suff w:val="nothing"/>
      <w:lvlText w:val="（%1）"/>
      <w:lvlJc w:val="left"/>
      <w:rPr>
        <w:rFonts w:hint="eastAsia"/>
      </w:rPr>
    </w:lvl>
  </w:abstractNum>
  <w:num w:numId="1">
    <w:abstractNumId w:val="4"/>
  </w:num>
  <w:num w:numId="2">
    <w:abstractNumId w:val="1"/>
  </w:num>
  <w:num w:numId="3">
    <w:abstractNumId w:val="8"/>
  </w:num>
  <w:num w:numId="4">
    <w:abstractNumId w:val="6"/>
  </w:num>
  <w:num w:numId="5">
    <w:abstractNumId w:val="9"/>
  </w:num>
  <w:num w:numId="6">
    <w:abstractNumId w:val="12"/>
  </w:num>
  <w:num w:numId="7">
    <w:abstractNumId w:val="10"/>
  </w:num>
  <w:num w:numId="8">
    <w:abstractNumId w:val="2"/>
  </w:num>
  <w:num w:numId="9">
    <w:abstractNumId w:val="7"/>
  </w:num>
  <w:num w:numId="10">
    <w:abstractNumId w:val="5"/>
  </w:num>
  <w:num w:numId="11">
    <w:abstractNumId w:val="0"/>
  </w:num>
  <w:num w:numId="12">
    <w:abstractNumId w:val="13"/>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0YjNlYTk0MTYzNjc1YzMxZWIyNzQwMWM5YzQyNGEifQ=="/>
  </w:docVars>
  <w:rsids>
    <w:rsidRoot w:val="00527DF0"/>
    <w:rsid w:val="000848D2"/>
    <w:rsid w:val="000C25E7"/>
    <w:rsid w:val="0016230D"/>
    <w:rsid w:val="0024276A"/>
    <w:rsid w:val="0036440D"/>
    <w:rsid w:val="003C7A68"/>
    <w:rsid w:val="004171E4"/>
    <w:rsid w:val="00527DF0"/>
    <w:rsid w:val="00AD5B71"/>
    <w:rsid w:val="00C8512B"/>
    <w:rsid w:val="00CC0EB8"/>
    <w:rsid w:val="00D35D05"/>
    <w:rsid w:val="00E1290C"/>
    <w:rsid w:val="00E260C9"/>
    <w:rsid w:val="00E96F0B"/>
    <w:rsid w:val="01263685"/>
    <w:rsid w:val="01602A0A"/>
    <w:rsid w:val="020671E2"/>
    <w:rsid w:val="02FD0253"/>
    <w:rsid w:val="039C4D9B"/>
    <w:rsid w:val="04727334"/>
    <w:rsid w:val="05900697"/>
    <w:rsid w:val="059B7939"/>
    <w:rsid w:val="06045E4D"/>
    <w:rsid w:val="06E304A5"/>
    <w:rsid w:val="086C6472"/>
    <w:rsid w:val="08940A76"/>
    <w:rsid w:val="08A9564B"/>
    <w:rsid w:val="08F94E10"/>
    <w:rsid w:val="092C7240"/>
    <w:rsid w:val="0AC7549A"/>
    <w:rsid w:val="0B351728"/>
    <w:rsid w:val="0B7D1CC1"/>
    <w:rsid w:val="0C0F534B"/>
    <w:rsid w:val="0CBD298F"/>
    <w:rsid w:val="0D5D74AE"/>
    <w:rsid w:val="0E9C36ED"/>
    <w:rsid w:val="10295E95"/>
    <w:rsid w:val="10D50163"/>
    <w:rsid w:val="10DD43F1"/>
    <w:rsid w:val="110F2AEF"/>
    <w:rsid w:val="12D62297"/>
    <w:rsid w:val="13376429"/>
    <w:rsid w:val="15297550"/>
    <w:rsid w:val="161763D1"/>
    <w:rsid w:val="16637D2C"/>
    <w:rsid w:val="166B2F52"/>
    <w:rsid w:val="17273777"/>
    <w:rsid w:val="17D153A4"/>
    <w:rsid w:val="181218ED"/>
    <w:rsid w:val="19732DC9"/>
    <w:rsid w:val="19FE3760"/>
    <w:rsid w:val="1A183D13"/>
    <w:rsid w:val="1AC15CFA"/>
    <w:rsid w:val="1AF423BE"/>
    <w:rsid w:val="1CE16971"/>
    <w:rsid w:val="1E1F33B5"/>
    <w:rsid w:val="1E396257"/>
    <w:rsid w:val="1EB663BA"/>
    <w:rsid w:val="1ECE3705"/>
    <w:rsid w:val="1FA77703"/>
    <w:rsid w:val="20D904DE"/>
    <w:rsid w:val="215B7C77"/>
    <w:rsid w:val="2228008D"/>
    <w:rsid w:val="22C605F6"/>
    <w:rsid w:val="23246FAE"/>
    <w:rsid w:val="23B30E99"/>
    <w:rsid w:val="23ED3A83"/>
    <w:rsid w:val="255A00B7"/>
    <w:rsid w:val="26C11890"/>
    <w:rsid w:val="28724CBF"/>
    <w:rsid w:val="295F0758"/>
    <w:rsid w:val="29C000A4"/>
    <w:rsid w:val="2B25798C"/>
    <w:rsid w:val="2BDB0941"/>
    <w:rsid w:val="2CD0741C"/>
    <w:rsid w:val="2D9D6734"/>
    <w:rsid w:val="2E3F7B5F"/>
    <w:rsid w:val="2F4570CF"/>
    <w:rsid w:val="2F6C6E2A"/>
    <w:rsid w:val="30456A35"/>
    <w:rsid w:val="315A562B"/>
    <w:rsid w:val="31CB082A"/>
    <w:rsid w:val="32443880"/>
    <w:rsid w:val="3398530D"/>
    <w:rsid w:val="34146B80"/>
    <w:rsid w:val="342253EC"/>
    <w:rsid w:val="366A480D"/>
    <w:rsid w:val="37FE4BDB"/>
    <w:rsid w:val="386864BB"/>
    <w:rsid w:val="39D011BE"/>
    <w:rsid w:val="3AA71555"/>
    <w:rsid w:val="3B7346FF"/>
    <w:rsid w:val="3BBB5DDB"/>
    <w:rsid w:val="3C2A2E3E"/>
    <w:rsid w:val="3D8F401F"/>
    <w:rsid w:val="3EF05DA6"/>
    <w:rsid w:val="3F03232D"/>
    <w:rsid w:val="3FE329AB"/>
    <w:rsid w:val="404034B6"/>
    <w:rsid w:val="40555A03"/>
    <w:rsid w:val="40CC3E43"/>
    <w:rsid w:val="41270465"/>
    <w:rsid w:val="41560E56"/>
    <w:rsid w:val="418B2A44"/>
    <w:rsid w:val="41AA58E0"/>
    <w:rsid w:val="424503FA"/>
    <w:rsid w:val="432836F4"/>
    <w:rsid w:val="440467DA"/>
    <w:rsid w:val="440C4FCD"/>
    <w:rsid w:val="443508F1"/>
    <w:rsid w:val="44640A82"/>
    <w:rsid w:val="44E64BBE"/>
    <w:rsid w:val="45000BFB"/>
    <w:rsid w:val="454834F9"/>
    <w:rsid w:val="45685658"/>
    <w:rsid w:val="45B84949"/>
    <w:rsid w:val="45E8402E"/>
    <w:rsid w:val="462A4554"/>
    <w:rsid w:val="476878E5"/>
    <w:rsid w:val="47C66BB9"/>
    <w:rsid w:val="48C3571C"/>
    <w:rsid w:val="48F64434"/>
    <w:rsid w:val="49584855"/>
    <w:rsid w:val="4A2B1441"/>
    <w:rsid w:val="4AA719B0"/>
    <w:rsid w:val="4C0121A5"/>
    <w:rsid w:val="4C297E14"/>
    <w:rsid w:val="4C43303F"/>
    <w:rsid w:val="4CFB2742"/>
    <w:rsid w:val="4CFF5FC1"/>
    <w:rsid w:val="4D401CDE"/>
    <w:rsid w:val="4E6D53AA"/>
    <w:rsid w:val="4FCE76E2"/>
    <w:rsid w:val="4FFC6BB8"/>
    <w:rsid w:val="50536EEC"/>
    <w:rsid w:val="50B0172B"/>
    <w:rsid w:val="51380E48"/>
    <w:rsid w:val="517A6C7C"/>
    <w:rsid w:val="51F81B37"/>
    <w:rsid w:val="52374691"/>
    <w:rsid w:val="536E3CD2"/>
    <w:rsid w:val="551F277C"/>
    <w:rsid w:val="55B3374C"/>
    <w:rsid w:val="585376AB"/>
    <w:rsid w:val="589849A2"/>
    <w:rsid w:val="597A4752"/>
    <w:rsid w:val="5B17744B"/>
    <w:rsid w:val="5C4E46A0"/>
    <w:rsid w:val="5C4F6429"/>
    <w:rsid w:val="5CED1B60"/>
    <w:rsid w:val="5DC65EB1"/>
    <w:rsid w:val="5DFF4B5A"/>
    <w:rsid w:val="61BF6A0A"/>
    <w:rsid w:val="624502F4"/>
    <w:rsid w:val="628C4D3D"/>
    <w:rsid w:val="628F156F"/>
    <w:rsid w:val="636D4953"/>
    <w:rsid w:val="643B229B"/>
    <w:rsid w:val="658A5BA3"/>
    <w:rsid w:val="65DB3E18"/>
    <w:rsid w:val="66B94599"/>
    <w:rsid w:val="683E7D3E"/>
    <w:rsid w:val="6892331A"/>
    <w:rsid w:val="68E20693"/>
    <w:rsid w:val="69DC650B"/>
    <w:rsid w:val="69F17D6B"/>
    <w:rsid w:val="69FA62B5"/>
    <w:rsid w:val="6AC87522"/>
    <w:rsid w:val="6AE24730"/>
    <w:rsid w:val="6AF65673"/>
    <w:rsid w:val="6C272940"/>
    <w:rsid w:val="6C836F2A"/>
    <w:rsid w:val="6C9002F4"/>
    <w:rsid w:val="6CAB2386"/>
    <w:rsid w:val="6D4870C4"/>
    <w:rsid w:val="6E01310F"/>
    <w:rsid w:val="6E097EA9"/>
    <w:rsid w:val="6F07135C"/>
    <w:rsid w:val="6F790852"/>
    <w:rsid w:val="70E95AEC"/>
    <w:rsid w:val="70F86D11"/>
    <w:rsid w:val="71257F82"/>
    <w:rsid w:val="7152603A"/>
    <w:rsid w:val="715D03C3"/>
    <w:rsid w:val="73A2054E"/>
    <w:rsid w:val="73FC5756"/>
    <w:rsid w:val="75037AC2"/>
    <w:rsid w:val="75462DC2"/>
    <w:rsid w:val="76537BB0"/>
    <w:rsid w:val="76E8442E"/>
    <w:rsid w:val="77650A43"/>
    <w:rsid w:val="79984B30"/>
    <w:rsid w:val="7BE05ACF"/>
    <w:rsid w:val="7BFE2A26"/>
    <w:rsid w:val="7C99392D"/>
    <w:rsid w:val="7CA7588C"/>
    <w:rsid w:val="7CBD057F"/>
    <w:rsid w:val="7D3E3909"/>
    <w:rsid w:val="7D6E12A0"/>
    <w:rsid w:val="7D9A72EE"/>
    <w:rsid w:val="7DF11799"/>
    <w:rsid w:val="7E4159BB"/>
    <w:rsid w:val="7E532354"/>
    <w:rsid w:val="7FA84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9"/>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link w:val="34"/>
    <w:qFormat/>
    <w:uiPriority w:val="0"/>
    <w:pPr>
      <w:jc w:val="left"/>
    </w:pPr>
  </w:style>
  <w:style w:type="paragraph" w:styleId="7">
    <w:name w:val="Body Text"/>
    <w:basedOn w:val="1"/>
    <w:next w:val="1"/>
    <w:qFormat/>
    <w:uiPriority w:val="0"/>
    <w:pPr>
      <w:jc w:val="left"/>
    </w:pPr>
    <w:rPr>
      <w:rFonts w:ascii="Copperplate Gothic Bold" w:hAnsi="Copperplate Gothic Bold"/>
      <w:sz w:val="28"/>
    </w:rPr>
  </w:style>
  <w:style w:type="paragraph" w:styleId="8">
    <w:name w:val="Body Text Indent"/>
    <w:basedOn w:val="1"/>
    <w:next w:val="9"/>
    <w:qFormat/>
    <w:uiPriority w:val="0"/>
    <w:pPr>
      <w:ind w:firstLine="630"/>
    </w:pPr>
    <w:rPr>
      <w:sz w:val="32"/>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720" w:lineRule="auto"/>
      <w:ind w:firstLine="1749" w:firstLineChars="396"/>
    </w:pPr>
    <w:rPr>
      <w:b/>
      <w:sz w:val="44"/>
    </w:rPr>
  </w:style>
  <w:style w:type="paragraph" w:styleId="15">
    <w:name w:val="toc 2"/>
    <w:basedOn w:val="1"/>
    <w:next w:val="1"/>
    <w:qFormat/>
    <w:uiPriority w:val="0"/>
    <w:pPr>
      <w:ind w:left="420" w:leftChars="200"/>
    </w:pPr>
  </w:style>
  <w:style w:type="paragraph" w:styleId="16">
    <w:name w:val="Body Text 2"/>
    <w:basedOn w:val="1"/>
    <w:qFormat/>
    <w:uiPriority w:val="0"/>
    <w:rPr>
      <w:rFonts w:hint="eastAsia" w:ascii="楷体_GB2312" w:eastAsia="楷体_GB2312"/>
      <w:b/>
      <w:sz w:val="32"/>
    </w:rPr>
  </w:style>
  <w:style w:type="paragraph" w:styleId="17">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8">
    <w:name w:val="Title"/>
    <w:basedOn w:val="1"/>
    <w:next w:val="1"/>
    <w:link w:val="30"/>
    <w:qFormat/>
    <w:uiPriority w:val="0"/>
    <w:pPr>
      <w:spacing w:before="240" w:after="60"/>
      <w:jc w:val="center"/>
      <w:outlineLvl w:val="0"/>
    </w:pPr>
    <w:rPr>
      <w:rFonts w:ascii="等线 Light" w:hAnsi="等线 Light"/>
      <w:b/>
      <w:bCs/>
      <w:sz w:val="32"/>
      <w:szCs w:val="32"/>
    </w:rPr>
  </w:style>
  <w:style w:type="paragraph" w:styleId="19">
    <w:name w:val="annotation subject"/>
    <w:basedOn w:val="6"/>
    <w:next w:val="6"/>
    <w:link w:val="35"/>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rPr>
  </w:style>
  <w:style w:type="character" w:styleId="24">
    <w:name w:val="page number"/>
    <w:qFormat/>
    <w:uiPriority w:val="0"/>
  </w:style>
  <w:style w:type="character" w:styleId="25">
    <w:name w:val="Hyperlink"/>
    <w:qFormat/>
    <w:uiPriority w:val="0"/>
    <w:rPr>
      <w:color w:val="000000"/>
      <w:u w:val="none"/>
    </w:rPr>
  </w:style>
  <w:style w:type="character" w:styleId="26">
    <w:name w:val="annotation reference"/>
    <w:basedOn w:val="22"/>
    <w:qFormat/>
    <w:uiPriority w:val="0"/>
    <w:rPr>
      <w:sz w:val="21"/>
      <w:szCs w:val="21"/>
    </w:rPr>
  </w:style>
  <w:style w:type="paragraph" w:customStyle="1" w:styleId="27">
    <w:name w:val="Body Text First Indent1"/>
    <w:basedOn w:val="7"/>
    <w:next w:val="1"/>
    <w:qFormat/>
    <w:uiPriority w:val="0"/>
    <w:pPr>
      <w:tabs>
        <w:tab w:val="left" w:pos="-105"/>
      </w:tabs>
      <w:autoSpaceDE w:val="0"/>
      <w:autoSpaceDN w:val="0"/>
      <w:adjustRightInd w:val="0"/>
      <w:spacing w:after="120" w:line="440" w:lineRule="exact"/>
      <w:ind w:right="-147" w:rightChars="-70" w:firstLine="420"/>
      <w:outlineLvl w:val="2"/>
    </w:pPr>
    <w:rPr>
      <w:rFonts w:ascii="宋体" w:hAnsi="宋体"/>
      <w:sz w:val="24"/>
    </w:rPr>
  </w:style>
  <w:style w:type="paragraph" w:customStyle="1" w:styleId="28">
    <w:name w:val="title12"/>
    <w:basedOn w:val="1"/>
    <w:qFormat/>
    <w:uiPriority w:val="0"/>
    <w:pPr>
      <w:spacing w:before="150"/>
      <w:jc w:val="left"/>
    </w:pPr>
    <w:rPr>
      <w:b/>
      <w:kern w:val="0"/>
      <w:sz w:val="22"/>
      <w:szCs w:val="22"/>
    </w:rPr>
  </w:style>
  <w:style w:type="character" w:customStyle="1" w:styleId="29">
    <w:name w:val="标题 1 字符"/>
    <w:link w:val="3"/>
    <w:qFormat/>
    <w:uiPriority w:val="0"/>
    <w:rPr>
      <w:b/>
      <w:kern w:val="44"/>
      <w:sz w:val="32"/>
    </w:rPr>
  </w:style>
  <w:style w:type="character" w:customStyle="1" w:styleId="30">
    <w:name w:val="标题 字符"/>
    <w:link w:val="18"/>
    <w:qFormat/>
    <w:uiPriority w:val="0"/>
    <w:rPr>
      <w:rFonts w:ascii="等线 Light" w:hAnsi="等线 Light" w:cs="Times New Roman"/>
      <w:b/>
      <w:bCs/>
      <w:sz w:val="32"/>
      <w:szCs w:val="32"/>
    </w:rPr>
  </w:style>
  <w:style w:type="paragraph" w:customStyle="1" w:styleId="31">
    <w:name w:val="正文 New"/>
    <w:qFormat/>
    <w:uiPriority w:val="0"/>
    <w:pPr>
      <w:widowControl w:val="0"/>
      <w:jc w:val="both"/>
    </w:pPr>
    <w:rPr>
      <w:rFonts w:ascii="Calibri" w:hAnsi="Calibri" w:eastAsia="宋体" w:cs="Times New Roman"/>
      <w:kern w:val="2"/>
      <w:sz w:val="21"/>
      <w:szCs w:val="21"/>
      <w:lang w:val="en-US" w:eastAsia="zh-CN" w:bidi="ar-SA"/>
    </w:rPr>
  </w:style>
  <w:style w:type="paragraph" w:customStyle="1" w:styleId="32">
    <w:name w:val="Char1"/>
    <w:basedOn w:val="1"/>
    <w:qFormat/>
    <w:uiPriority w:val="0"/>
    <w:rPr>
      <w:szCs w:val="21"/>
    </w:rPr>
  </w:style>
  <w:style w:type="paragraph" w:customStyle="1" w:styleId="33">
    <w:name w:val="正文 A"/>
    <w:qFormat/>
    <w:uiPriority w:val="0"/>
    <w:rPr>
      <w:rFonts w:ascii="Arial Unicode MS" w:hAnsi="Arial Unicode MS" w:eastAsia="Arial Unicode MS" w:cs="Arial Unicode MS"/>
      <w:color w:val="000000"/>
      <w:sz w:val="21"/>
      <w:szCs w:val="21"/>
      <w:lang w:val="en-US" w:eastAsia="zh-CN" w:bidi="ar-SA"/>
    </w:rPr>
  </w:style>
  <w:style w:type="character" w:customStyle="1" w:styleId="34">
    <w:name w:val="批注文字 字符"/>
    <w:basedOn w:val="22"/>
    <w:link w:val="6"/>
    <w:qFormat/>
    <w:uiPriority w:val="0"/>
    <w:rPr>
      <w:kern w:val="2"/>
      <w:sz w:val="21"/>
    </w:rPr>
  </w:style>
  <w:style w:type="character" w:customStyle="1" w:styleId="35">
    <w:name w:val="批注主题 字符"/>
    <w:basedOn w:val="34"/>
    <w:link w:val="19"/>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30404</Words>
  <Characters>32677</Characters>
  <Lines>275</Lines>
  <Paragraphs>77</Paragraphs>
  <TotalTime>60</TotalTime>
  <ScaleCrop>false</ScaleCrop>
  <LinksUpToDate>false</LinksUpToDate>
  <CharactersWithSpaces>35478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2022-09-19T07:14:00Z</dcterms:created>
  <dc:creator>ervin</dc:creator>
  <cp:lastModifiedBy>10924</cp:lastModifiedBy>
  <dcterms:modified xsi:type="dcterms:W3CDTF">2022-09-28T02:41:53Z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1338C6222F754B35B41BAF5A840453DC</vt:lpwstr>
  </property>
</Properties>
</file>