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Theme="minorEastAsia" w:hAnsiTheme="minorEastAsia" w:cstheme="minorEastAsia"/>
          <w:b/>
          <w:sz w:val="28"/>
          <w:szCs w:val="28"/>
        </w:rPr>
      </w:pPr>
      <w:bookmarkStart w:id="0" w:name="OLE_LINK9"/>
      <w:r>
        <w:rPr>
          <w:rFonts w:hint="eastAsia" w:asciiTheme="minorEastAsia" w:hAnsiTheme="minorEastAsia" w:cstheme="minorEastAsia"/>
          <w:b/>
          <w:sz w:val="28"/>
          <w:szCs w:val="28"/>
        </w:rPr>
        <w:t>政府采购项目</w:t>
      </w:r>
    </w:p>
    <w:p>
      <w:pPr>
        <w:adjustRightInd w:val="0"/>
        <w:snapToGrid w:val="0"/>
        <w:spacing w:line="360" w:lineRule="auto"/>
        <w:jc w:val="left"/>
        <w:rPr>
          <w:rFonts w:hint="default" w:asciiTheme="minorEastAsia" w:hAnsiTheme="minorEastAsia" w:eastAsiaTheme="minorEastAsia" w:cstheme="minorEastAsia"/>
          <w:b/>
          <w:sz w:val="28"/>
          <w:szCs w:val="28"/>
          <w:lang w:val="en-US" w:eastAsia="zh-CN"/>
        </w:rPr>
      </w:pPr>
      <w:r>
        <w:rPr>
          <w:rFonts w:hint="eastAsia" w:asciiTheme="minorEastAsia" w:hAnsiTheme="minorEastAsia" w:cstheme="minorEastAsia"/>
          <w:b/>
          <w:sz w:val="28"/>
          <w:szCs w:val="28"/>
        </w:rPr>
        <w:t>项目编号：</w:t>
      </w:r>
      <w:r>
        <w:rPr>
          <w:rFonts w:hint="eastAsia" w:asciiTheme="minorEastAsia" w:hAnsiTheme="minorEastAsia" w:cstheme="minorEastAsia"/>
          <w:b/>
          <w:sz w:val="28"/>
          <w:szCs w:val="28"/>
          <w:lang w:eastAsia="zh-CN"/>
        </w:rPr>
        <w:t>SXWZ202</w:t>
      </w:r>
      <w:r>
        <w:rPr>
          <w:rFonts w:hint="eastAsia" w:asciiTheme="minorEastAsia" w:hAnsiTheme="minorEastAsia" w:cstheme="minorEastAsia"/>
          <w:b/>
          <w:sz w:val="28"/>
          <w:szCs w:val="28"/>
          <w:lang w:val="en-US" w:eastAsia="zh-CN"/>
        </w:rPr>
        <w:t>3</w:t>
      </w:r>
      <w:r>
        <w:rPr>
          <w:rFonts w:hint="eastAsia" w:asciiTheme="minorEastAsia" w:hAnsiTheme="minorEastAsia" w:cstheme="minorEastAsia"/>
          <w:b/>
          <w:sz w:val="28"/>
          <w:szCs w:val="28"/>
          <w:lang w:eastAsia="zh-CN"/>
        </w:rPr>
        <w:t>ZB-DYYY-</w:t>
      </w:r>
      <w:r>
        <w:rPr>
          <w:rFonts w:hint="eastAsia" w:asciiTheme="minorEastAsia" w:hAnsiTheme="minorEastAsia" w:cstheme="minorEastAsia"/>
          <w:b/>
          <w:sz w:val="28"/>
          <w:szCs w:val="28"/>
          <w:lang w:val="en-US" w:eastAsia="zh-CN"/>
        </w:rPr>
        <w:t>036</w:t>
      </w:r>
    </w:p>
    <w:p>
      <w:pPr>
        <w:adjustRightInd w:val="0"/>
        <w:snapToGrid w:val="0"/>
        <w:spacing w:line="360" w:lineRule="auto"/>
        <w:rPr>
          <w:rFonts w:asciiTheme="minorEastAsia" w:hAnsiTheme="minorEastAsia" w:cstheme="minorEastAsia"/>
          <w:b/>
          <w:sz w:val="52"/>
          <w:szCs w:val="52"/>
        </w:rPr>
      </w:pPr>
    </w:p>
    <w:p>
      <w:pPr>
        <w:adjustRightInd w:val="0"/>
        <w:snapToGrid w:val="0"/>
        <w:spacing w:line="360" w:lineRule="auto"/>
        <w:jc w:val="center"/>
        <w:rPr>
          <w:rFonts w:hint="eastAsia" w:ascii="宋体" w:hAnsi="宋体" w:eastAsia="宋体"/>
          <w:b/>
          <w:sz w:val="44"/>
          <w:szCs w:val="44"/>
          <w:lang w:eastAsia="zh-CN"/>
        </w:rPr>
      </w:pPr>
      <w:r>
        <w:rPr>
          <w:rFonts w:hint="eastAsia" w:ascii="宋体" w:hAnsi="宋体" w:eastAsia="宋体"/>
          <w:b/>
          <w:sz w:val="44"/>
          <w:szCs w:val="44"/>
          <w:lang w:eastAsia="zh-CN"/>
        </w:rPr>
        <w:t>西安市第一医院</w:t>
      </w:r>
      <w:r>
        <w:rPr>
          <w:rFonts w:hint="eastAsia" w:ascii="宋体" w:hAnsi="宋体" w:eastAsia="宋体"/>
          <w:b/>
          <w:sz w:val="44"/>
          <w:szCs w:val="44"/>
        </w:rPr>
        <w:t>老院区虚拟化内存扩容及3台服务节点扩容</w:t>
      </w:r>
      <w:r>
        <w:rPr>
          <w:rFonts w:hint="eastAsia" w:ascii="宋体" w:hAnsi="宋体" w:eastAsia="宋体"/>
          <w:b/>
          <w:sz w:val="44"/>
          <w:szCs w:val="44"/>
          <w:lang w:eastAsia="zh-CN"/>
        </w:rPr>
        <w:t>采购项目</w:t>
      </w:r>
    </w:p>
    <w:p>
      <w:pPr>
        <w:pStyle w:val="2"/>
      </w:pPr>
    </w:p>
    <w:p>
      <w:pPr>
        <w:adjustRightInd w:val="0"/>
        <w:snapToGrid w:val="0"/>
        <w:spacing w:line="360" w:lineRule="auto"/>
        <w:jc w:val="left"/>
        <w:rPr>
          <w:rFonts w:asciiTheme="minorEastAsia" w:hAnsiTheme="minorEastAsia" w:cstheme="minorEastAsia"/>
          <w:b/>
          <w:sz w:val="52"/>
          <w:szCs w:val="52"/>
        </w:rPr>
      </w:pPr>
    </w:p>
    <w:p/>
    <w:p>
      <w:pPr>
        <w:tabs>
          <w:tab w:val="left" w:pos="0"/>
        </w:tabs>
        <w:adjustRightInd w:val="0"/>
        <w:snapToGrid w:val="0"/>
        <w:spacing w:line="360" w:lineRule="auto"/>
        <w:jc w:val="center"/>
        <w:rPr>
          <w:rFonts w:asciiTheme="minorEastAsia" w:hAnsiTheme="minorEastAsia" w:cstheme="minorEastAsia"/>
          <w:b/>
          <w:sz w:val="84"/>
          <w:szCs w:val="84"/>
        </w:rPr>
      </w:pPr>
      <w:r>
        <w:rPr>
          <w:rFonts w:hint="eastAsia" w:asciiTheme="minorEastAsia" w:hAnsiTheme="minorEastAsia" w:cstheme="minorEastAsia"/>
          <w:b/>
          <w:i/>
          <w:sz w:val="44"/>
          <w:szCs w:val="44"/>
        </w:rPr>
        <w:drawing>
          <wp:anchor distT="0" distB="0" distL="114300" distR="114300" simplePos="0" relativeHeight="251662336" behindDoc="1" locked="0" layoutInCell="1" allowOverlap="1">
            <wp:simplePos x="0" y="0"/>
            <wp:positionH relativeFrom="column">
              <wp:posOffset>1740535</wp:posOffset>
            </wp:positionH>
            <wp:positionV relativeFrom="paragraph">
              <wp:posOffset>147955</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18" cstate="print"/>
                    <a:stretch>
                      <a:fillRect/>
                    </a:stretch>
                  </pic:blipFill>
                  <pic:spPr>
                    <a:xfrm>
                      <a:off x="0" y="0"/>
                      <a:ext cx="2312670" cy="1447800"/>
                    </a:xfrm>
                    <a:prstGeom prst="rect">
                      <a:avLst/>
                    </a:prstGeom>
                    <a:noFill/>
                    <a:ln w="9525">
                      <a:noFill/>
                      <a:miter/>
                    </a:ln>
                    <a:effectLst/>
                  </pic:spPr>
                </pic:pic>
              </a:graphicData>
            </a:graphic>
          </wp:anchor>
        </w:drawing>
      </w:r>
    </w:p>
    <w:p>
      <w:pPr>
        <w:tabs>
          <w:tab w:val="left" w:pos="0"/>
        </w:tabs>
        <w:adjustRightInd w:val="0"/>
        <w:snapToGrid w:val="0"/>
        <w:spacing w:line="360" w:lineRule="auto"/>
        <w:jc w:val="center"/>
        <w:rPr>
          <w:rFonts w:hint="eastAsia" w:asciiTheme="minorEastAsia" w:hAnsiTheme="minorEastAsia" w:cstheme="minorEastAsia"/>
          <w:b/>
          <w:sz w:val="84"/>
          <w:szCs w:val="84"/>
        </w:rPr>
      </w:pPr>
    </w:p>
    <w:p>
      <w:pPr>
        <w:tabs>
          <w:tab w:val="left" w:pos="0"/>
        </w:tabs>
        <w:adjustRightInd w:val="0"/>
        <w:snapToGrid w:val="0"/>
        <w:spacing w:line="360" w:lineRule="auto"/>
        <w:jc w:val="center"/>
        <w:rPr>
          <w:rFonts w:asciiTheme="minorEastAsia" w:hAnsiTheme="minorEastAsia" w:cstheme="minorEastAsia"/>
          <w:b/>
          <w:sz w:val="30"/>
        </w:rPr>
      </w:pPr>
      <w:r>
        <w:rPr>
          <w:rFonts w:hint="eastAsia" w:asciiTheme="minorEastAsia" w:hAnsiTheme="minorEastAsia" w:cstheme="minorEastAsia"/>
          <w:b/>
          <w:sz w:val="84"/>
          <w:szCs w:val="84"/>
        </w:rPr>
        <w:t>竞争性磋商文件</w:t>
      </w:r>
    </w:p>
    <w:p/>
    <w:p/>
    <w:p/>
    <w:p/>
    <w:p/>
    <w:p>
      <w:pPr>
        <w:adjustRightInd w:val="0"/>
        <w:snapToGrid w:val="0"/>
        <w:spacing w:line="360" w:lineRule="auto"/>
        <w:ind w:firstLine="2249" w:firstLineChars="800"/>
        <w:rPr>
          <w:rFonts w:hint="eastAsia" w:asciiTheme="minorEastAsia" w:hAnsiTheme="minorEastAsia" w:eastAsiaTheme="minorEastAsia" w:cstheme="minorEastAsia"/>
          <w:b/>
          <w:sz w:val="28"/>
          <w:szCs w:val="28"/>
          <w:lang w:eastAsia="zh-CN"/>
        </w:rPr>
      </w:pPr>
      <w:r>
        <w:rPr>
          <w:rFonts w:hint="eastAsia" w:asciiTheme="minorEastAsia" w:hAnsiTheme="minorEastAsia" w:cstheme="minorEastAsia"/>
          <w:b/>
          <w:sz w:val="28"/>
          <w:szCs w:val="28"/>
        </w:rPr>
        <w:t>采</w:t>
      </w:r>
      <w:r>
        <w:rPr>
          <w:rFonts w:hint="eastAsia" w:asciiTheme="minorEastAsia" w:hAnsiTheme="minorEastAsia" w:cstheme="minorEastAsia"/>
          <w:b/>
          <w:sz w:val="28"/>
          <w:szCs w:val="28"/>
          <w:lang w:val="en-US" w:eastAsia="zh-CN"/>
        </w:rPr>
        <w:t xml:space="preserve">   </w:t>
      </w:r>
      <w:r>
        <w:rPr>
          <w:rFonts w:hint="eastAsia" w:asciiTheme="minorEastAsia" w:hAnsiTheme="minorEastAsia" w:cstheme="minorEastAsia"/>
          <w:b/>
          <w:sz w:val="28"/>
          <w:szCs w:val="28"/>
        </w:rPr>
        <w:t>购</w:t>
      </w:r>
      <w:r>
        <w:rPr>
          <w:rFonts w:hint="eastAsia" w:asciiTheme="minorEastAsia" w:hAnsiTheme="minorEastAsia" w:cstheme="minorEastAsia"/>
          <w:b/>
          <w:sz w:val="28"/>
          <w:szCs w:val="28"/>
          <w:lang w:val="en-US" w:eastAsia="zh-CN"/>
        </w:rPr>
        <w:t xml:space="preserve">   </w:t>
      </w:r>
      <w:r>
        <w:rPr>
          <w:rFonts w:hint="eastAsia" w:asciiTheme="minorEastAsia" w:hAnsiTheme="minorEastAsia" w:cstheme="minorEastAsia"/>
          <w:b/>
          <w:sz w:val="28"/>
          <w:szCs w:val="28"/>
        </w:rPr>
        <w:t>人：西安市</w:t>
      </w:r>
      <w:r>
        <w:rPr>
          <w:rFonts w:hint="eastAsia" w:asciiTheme="minorEastAsia" w:hAnsiTheme="minorEastAsia" w:cstheme="minorEastAsia"/>
          <w:b/>
          <w:sz w:val="28"/>
          <w:szCs w:val="28"/>
          <w:lang w:eastAsia="zh-CN"/>
        </w:rPr>
        <w:t>第一医院</w:t>
      </w:r>
    </w:p>
    <w:p>
      <w:pPr>
        <w:adjustRightInd w:val="0"/>
        <w:snapToGrid w:val="0"/>
        <w:spacing w:line="360" w:lineRule="auto"/>
        <w:jc w:val="center"/>
        <w:rPr>
          <w:rFonts w:asciiTheme="minorEastAsia" w:hAnsiTheme="minorEastAsia" w:cstheme="minorEastAsia"/>
          <w:b/>
          <w:sz w:val="28"/>
          <w:szCs w:val="28"/>
        </w:rPr>
      </w:pPr>
      <w:r>
        <w:rPr>
          <w:rFonts w:hint="eastAsia" w:asciiTheme="minorEastAsia" w:hAnsiTheme="minorEastAsia" w:cstheme="minorEastAsia"/>
          <w:b/>
          <w:sz w:val="28"/>
          <w:szCs w:val="28"/>
        </w:rPr>
        <w:t>采购代理机构：陕西万泽招标有限公司</w:t>
      </w:r>
    </w:p>
    <w:p>
      <w:pPr>
        <w:adjustRightInd w:val="0"/>
        <w:snapToGrid w:val="0"/>
        <w:spacing w:line="360" w:lineRule="auto"/>
        <w:jc w:val="center"/>
        <w:rPr>
          <w:rFonts w:asciiTheme="minorEastAsia" w:hAnsiTheme="minorEastAsia" w:cstheme="minorEastAsia"/>
          <w:b/>
          <w:color w:val="FF0000"/>
          <w:sz w:val="28"/>
          <w:szCs w:val="28"/>
        </w:rPr>
      </w:pPr>
      <w:r>
        <w:rPr>
          <w:rFonts w:hint="eastAsia" w:asciiTheme="minorEastAsia" w:hAnsiTheme="minorEastAsia" w:cstheme="minorEastAsia"/>
          <w:b/>
          <w:sz w:val="28"/>
          <w:szCs w:val="28"/>
        </w:rPr>
        <w:t>二〇二</w:t>
      </w:r>
      <w:r>
        <w:rPr>
          <w:rFonts w:hint="eastAsia" w:asciiTheme="minorEastAsia" w:hAnsiTheme="minorEastAsia" w:cstheme="minorEastAsia"/>
          <w:b/>
          <w:sz w:val="28"/>
          <w:szCs w:val="28"/>
          <w:lang w:eastAsia="zh-CN"/>
        </w:rPr>
        <w:t>三</w:t>
      </w:r>
      <w:r>
        <w:rPr>
          <w:rFonts w:hint="eastAsia" w:asciiTheme="minorEastAsia" w:hAnsiTheme="minorEastAsia" w:cstheme="minorEastAsia"/>
          <w:b/>
          <w:sz w:val="28"/>
          <w:szCs w:val="28"/>
        </w:rPr>
        <w:t>年</w:t>
      </w:r>
      <w:r>
        <w:rPr>
          <w:rFonts w:hint="eastAsia" w:asciiTheme="minorEastAsia" w:hAnsiTheme="minorEastAsia" w:cstheme="minorEastAsia"/>
          <w:b/>
          <w:sz w:val="28"/>
          <w:szCs w:val="28"/>
          <w:lang w:eastAsia="zh-CN"/>
        </w:rPr>
        <w:t>三</w:t>
      </w:r>
      <w:r>
        <w:rPr>
          <w:rFonts w:hint="eastAsia" w:asciiTheme="minorEastAsia" w:hAnsiTheme="minorEastAsia" w:cstheme="minorEastAsia"/>
          <w:b/>
          <w:sz w:val="28"/>
          <w:szCs w:val="28"/>
        </w:rPr>
        <w:t>月</w:t>
      </w:r>
    </w:p>
    <w:p>
      <w:pPr>
        <w:adjustRightInd w:val="0"/>
        <w:snapToGrid w:val="0"/>
        <w:spacing w:line="600" w:lineRule="auto"/>
        <w:rPr>
          <w:rFonts w:asciiTheme="minorEastAsia" w:hAnsiTheme="minorEastAsia" w:cstheme="minorEastAsia"/>
          <w:b/>
          <w:sz w:val="36"/>
          <w:szCs w:val="36"/>
        </w:rPr>
        <w:sectPr>
          <w:headerReference r:id="rId4" w:type="first"/>
          <w:footerReference r:id="rId6"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pPr>
        <w:pStyle w:val="20"/>
        <w:tabs>
          <w:tab w:val="right" w:leader="dot" w:pos="8306"/>
        </w:tabs>
        <w:spacing w:line="360" w:lineRule="auto"/>
        <w:jc w:val="center"/>
        <w:rPr>
          <w:rFonts w:asciiTheme="minorEastAsia" w:hAnsiTheme="minorEastAsia" w:cstheme="minorEastAsia"/>
          <w:b/>
          <w:bCs/>
          <w:sz w:val="36"/>
          <w:szCs w:val="36"/>
        </w:rPr>
      </w:pPr>
      <w:r>
        <w:rPr>
          <w:rFonts w:hint="eastAsia" w:asciiTheme="minorEastAsia" w:hAnsiTheme="minorEastAsia" w:cstheme="minorEastAsia"/>
          <w:b/>
          <w:bCs/>
          <w:sz w:val="36"/>
          <w:szCs w:val="36"/>
        </w:rPr>
        <w:t>目 录</w:t>
      </w:r>
    </w:p>
    <w:p>
      <w:pPr>
        <w:pStyle w:val="20"/>
        <w:tabs>
          <w:tab w:val="right" w:leader="dot" w:pos="9298"/>
        </w:tabs>
      </w:pPr>
      <w:r>
        <w:rPr>
          <w:rFonts w:asciiTheme="minorEastAsia" w:hAnsiTheme="minorEastAsia" w:cstheme="minorEastAsia"/>
          <w:sz w:val="24"/>
          <w:szCs w:val="24"/>
        </w:rPr>
        <w:fldChar w:fldCharType="begin"/>
      </w:r>
      <w:r>
        <w:rPr>
          <w:rFonts w:asciiTheme="minorEastAsia" w:hAnsiTheme="minorEastAsia" w:cstheme="minorEastAsia"/>
          <w:sz w:val="24"/>
          <w:szCs w:val="24"/>
        </w:rPr>
        <w:instrText xml:space="preserve">TOC \o "1-2" \h \u </w:instrText>
      </w:r>
      <w:r>
        <w:rPr>
          <w:rFonts w:asciiTheme="minorEastAsia" w:hAnsiTheme="minorEastAsia" w:cstheme="minorEastAsia"/>
          <w:sz w:val="24"/>
          <w:szCs w:val="24"/>
        </w:rPr>
        <w:fldChar w:fldCharType="separate"/>
      </w:r>
      <w:r>
        <w:fldChar w:fldCharType="begin"/>
      </w:r>
      <w:r>
        <w:instrText xml:space="preserve"> HYPERLINK \l "_Toc10456" </w:instrText>
      </w:r>
      <w:r>
        <w:fldChar w:fldCharType="separate"/>
      </w:r>
      <w:r>
        <w:rPr>
          <w:rFonts w:hint="eastAsia" w:asciiTheme="minorEastAsia" w:hAnsiTheme="minorEastAsia" w:cstheme="minorEastAsia"/>
          <w:szCs w:val="36"/>
        </w:rPr>
        <w:t>第一部分  竞争性磋商公告</w:t>
      </w:r>
      <w:r>
        <w:tab/>
      </w:r>
      <w:r>
        <w:fldChar w:fldCharType="begin"/>
      </w:r>
      <w:r>
        <w:instrText xml:space="preserve"> PAGEREF _Toc10456 \h </w:instrText>
      </w:r>
      <w:r>
        <w:fldChar w:fldCharType="separate"/>
      </w:r>
      <w:r>
        <w:t>3</w:t>
      </w:r>
      <w:r>
        <w:fldChar w:fldCharType="end"/>
      </w:r>
      <w:r>
        <w:fldChar w:fldCharType="end"/>
      </w:r>
    </w:p>
    <w:p>
      <w:pPr>
        <w:pStyle w:val="20"/>
        <w:tabs>
          <w:tab w:val="right" w:leader="dot" w:pos="9298"/>
        </w:tabs>
      </w:pPr>
      <w:r>
        <w:fldChar w:fldCharType="begin"/>
      </w:r>
      <w:r>
        <w:instrText xml:space="preserve"> HYPERLINK \l "_Toc4870" </w:instrText>
      </w:r>
      <w:r>
        <w:fldChar w:fldCharType="separate"/>
      </w:r>
      <w:r>
        <w:rPr>
          <w:rFonts w:hint="eastAsia" w:asciiTheme="minorEastAsia" w:hAnsiTheme="minorEastAsia" w:cstheme="minorEastAsia"/>
          <w:szCs w:val="36"/>
        </w:rPr>
        <w:t xml:space="preserve">第二部分  </w:t>
      </w:r>
      <w:r>
        <w:rPr>
          <w:rFonts w:hint="eastAsia" w:ascii="宋体" w:hAnsi="宋体" w:cs="宋体"/>
          <w:szCs w:val="36"/>
        </w:rPr>
        <w:t>供应商须知前附表</w:t>
      </w:r>
      <w:r>
        <w:tab/>
      </w:r>
      <w:r>
        <w:fldChar w:fldCharType="begin"/>
      </w:r>
      <w:r>
        <w:instrText xml:space="preserve"> PAGEREF _Toc4870 \h </w:instrText>
      </w:r>
      <w:r>
        <w:fldChar w:fldCharType="separate"/>
      </w:r>
      <w:r>
        <w:t>6</w:t>
      </w:r>
      <w:r>
        <w:fldChar w:fldCharType="end"/>
      </w:r>
      <w:r>
        <w:fldChar w:fldCharType="end"/>
      </w:r>
    </w:p>
    <w:p>
      <w:pPr>
        <w:pStyle w:val="20"/>
        <w:tabs>
          <w:tab w:val="right" w:leader="dot" w:pos="9298"/>
        </w:tabs>
      </w:pPr>
      <w:r>
        <w:fldChar w:fldCharType="begin"/>
      </w:r>
      <w:r>
        <w:instrText xml:space="preserve"> HYPERLINK \l "_Toc21227" </w:instrText>
      </w:r>
      <w:r>
        <w:fldChar w:fldCharType="separate"/>
      </w:r>
      <w:r>
        <w:rPr>
          <w:rFonts w:hint="eastAsia"/>
        </w:rPr>
        <w:t>第三部分供应商须知</w:t>
      </w:r>
      <w:r>
        <w:tab/>
      </w:r>
      <w:r>
        <w:fldChar w:fldCharType="begin"/>
      </w:r>
      <w:r>
        <w:instrText xml:space="preserve"> PAGEREF _Toc21227 \h </w:instrText>
      </w:r>
      <w:r>
        <w:fldChar w:fldCharType="separate"/>
      </w:r>
      <w:r>
        <w:t>10</w:t>
      </w:r>
      <w:r>
        <w:fldChar w:fldCharType="end"/>
      </w:r>
      <w:r>
        <w:fldChar w:fldCharType="end"/>
      </w:r>
    </w:p>
    <w:p>
      <w:pPr>
        <w:pStyle w:val="21"/>
        <w:tabs>
          <w:tab w:val="right" w:leader="dot" w:pos="9298"/>
        </w:tabs>
      </w:pPr>
      <w:r>
        <w:fldChar w:fldCharType="begin"/>
      </w:r>
      <w:r>
        <w:instrText xml:space="preserve"> HYPERLINK \l "_Toc11161" </w:instrText>
      </w:r>
      <w:r>
        <w:fldChar w:fldCharType="separate"/>
      </w:r>
      <w:r>
        <w:rPr>
          <w:rFonts w:hint="eastAsia" w:ascii="宋体" w:hAnsi="宋体" w:cs="宋体"/>
        </w:rPr>
        <w:t>一、总则</w:t>
      </w:r>
      <w:r>
        <w:tab/>
      </w:r>
      <w:r>
        <w:fldChar w:fldCharType="begin"/>
      </w:r>
      <w:r>
        <w:instrText xml:space="preserve"> PAGEREF _Toc11161 \h </w:instrText>
      </w:r>
      <w:r>
        <w:fldChar w:fldCharType="separate"/>
      </w:r>
      <w:r>
        <w:t>10</w:t>
      </w:r>
      <w:r>
        <w:fldChar w:fldCharType="end"/>
      </w:r>
      <w:r>
        <w:fldChar w:fldCharType="end"/>
      </w:r>
    </w:p>
    <w:p>
      <w:pPr>
        <w:pStyle w:val="21"/>
        <w:tabs>
          <w:tab w:val="right" w:leader="dot" w:pos="9298"/>
        </w:tabs>
      </w:pPr>
      <w:r>
        <w:fldChar w:fldCharType="begin"/>
      </w:r>
      <w:r>
        <w:instrText xml:space="preserve"> HYPERLINK \l "_Toc23916" </w:instrText>
      </w:r>
      <w:r>
        <w:fldChar w:fldCharType="separate"/>
      </w:r>
      <w:r>
        <w:rPr>
          <w:rFonts w:hint="eastAsia" w:ascii="宋体" w:hAnsi="宋体" w:cs="宋体"/>
          <w:bCs/>
          <w:kern w:val="0"/>
          <w:szCs w:val="28"/>
        </w:rPr>
        <w:t>二、竞争性磋商文件</w:t>
      </w:r>
      <w:r>
        <w:tab/>
      </w:r>
      <w:r>
        <w:fldChar w:fldCharType="begin"/>
      </w:r>
      <w:r>
        <w:instrText xml:space="preserve"> PAGEREF _Toc23916 \h </w:instrText>
      </w:r>
      <w:r>
        <w:fldChar w:fldCharType="separate"/>
      </w:r>
      <w:r>
        <w:t>12</w:t>
      </w:r>
      <w:r>
        <w:fldChar w:fldCharType="end"/>
      </w:r>
      <w:r>
        <w:fldChar w:fldCharType="end"/>
      </w:r>
    </w:p>
    <w:p>
      <w:pPr>
        <w:pStyle w:val="21"/>
        <w:tabs>
          <w:tab w:val="right" w:leader="dot" w:pos="9298"/>
        </w:tabs>
      </w:pPr>
      <w:r>
        <w:fldChar w:fldCharType="begin"/>
      </w:r>
      <w:r>
        <w:instrText xml:space="preserve"> HYPERLINK \l "_Toc16555" </w:instrText>
      </w:r>
      <w:r>
        <w:fldChar w:fldCharType="separate"/>
      </w:r>
      <w:r>
        <w:rPr>
          <w:rFonts w:hint="eastAsia" w:ascii="宋体" w:hAnsi="宋体" w:cs="宋体"/>
        </w:rPr>
        <w:t>三、磋商响应文件</w:t>
      </w:r>
      <w:r>
        <w:tab/>
      </w:r>
      <w:r>
        <w:fldChar w:fldCharType="begin"/>
      </w:r>
      <w:r>
        <w:instrText xml:space="preserve"> PAGEREF _Toc16555 \h </w:instrText>
      </w:r>
      <w:r>
        <w:fldChar w:fldCharType="separate"/>
      </w:r>
      <w:r>
        <w:t>14</w:t>
      </w:r>
      <w:r>
        <w:fldChar w:fldCharType="end"/>
      </w:r>
      <w:r>
        <w:fldChar w:fldCharType="end"/>
      </w:r>
    </w:p>
    <w:p>
      <w:pPr>
        <w:pStyle w:val="21"/>
        <w:tabs>
          <w:tab w:val="right" w:leader="dot" w:pos="9298"/>
        </w:tabs>
      </w:pPr>
      <w:r>
        <w:fldChar w:fldCharType="begin"/>
      </w:r>
      <w:r>
        <w:instrText xml:space="preserve"> HYPERLINK \l "_Toc28520" </w:instrText>
      </w:r>
      <w:r>
        <w:fldChar w:fldCharType="separate"/>
      </w:r>
      <w:r>
        <w:rPr>
          <w:rFonts w:hint="eastAsia" w:ascii="宋体" w:hAnsi="宋体" w:cs="宋体"/>
          <w:bCs/>
          <w:kern w:val="0"/>
          <w:szCs w:val="28"/>
        </w:rPr>
        <w:t>四、磋商响应文件的递交</w:t>
      </w:r>
      <w:r>
        <w:tab/>
      </w:r>
      <w:r>
        <w:fldChar w:fldCharType="begin"/>
      </w:r>
      <w:r>
        <w:instrText xml:space="preserve"> PAGEREF _Toc28520 \h </w:instrText>
      </w:r>
      <w:r>
        <w:fldChar w:fldCharType="separate"/>
      </w:r>
      <w:r>
        <w:t>16</w:t>
      </w:r>
      <w:r>
        <w:fldChar w:fldCharType="end"/>
      </w:r>
      <w:r>
        <w:fldChar w:fldCharType="end"/>
      </w:r>
    </w:p>
    <w:p>
      <w:pPr>
        <w:pStyle w:val="21"/>
        <w:tabs>
          <w:tab w:val="right" w:leader="dot" w:pos="9298"/>
        </w:tabs>
      </w:pPr>
      <w:r>
        <w:fldChar w:fldCharType="begin"/>
      </w:r>
      <w:r>
        <w:instrText xml:space="preserve"> HYPERLINK \l "_Toc4886" </w:instrText>
      </w:r>
      <w:r>
        <w:fldChar w:fldCharType="separate"/>
      </w:r>
      <w:r>
        <w:rPr>
          <w:rFonts w:hint="eastAsia" w:ascii="宋体" w:hAnsi="宋体" w:cs="宋体"/>
          <w:bCs/>
          <w:kern w:val="0"/>
          <w:szCs w:val="28"/>
        </w:rPr>
        <w:t>五、磋商、评审、定标</w:t>
      </w:r>
      <w:r>
        <w:tab/>
      </w:r>
      <w:r>
        <w:fldChar w:fldCharType="begin"/>
      </w:r>
      <w:r>
        <w:instrText xml:space="preserve"> PAGEREF _Toc4886 \h </w:instrText>
      </w:r>
      <w:r>
        <w:fldChar w:fldCharType="separate"/>
      </w:r>
      <w:r>
        <w:t>17</w:t>
      </w:r>
      <w:r>
        <w:fldChar w:fldCharType="end"/>
      </w:r>
      <w:r>
        <w:fldChar w:fldCharType="end"/>
      </w:r>
    </w:p>
    <w:p>
      <w:pPr>
        <w:pStyle w:val="21"/>
        <w:tabs>
          <w:tab w:val="right" w:leader="dot" w:pos="9298"/>
        </w:tabs>
      </w:pPr>
      <w:r>
        <w:fldChar w:fldCharType="begin"/>
      </w:r>
      <w:r>
        <w:instrText xml:space="preserve"> HYPERLINK \l "_Toc10376" </w:instrText>
      </w:r>
      <w:r>
        <w:fldChar w:fldCharType="separate"/>
      </w:r>
      <w:r>
        <w:rPr>
          <w:rFonts w:hint="eastAsia" w:ascii="宋体" w:hAnsi="宋体" w:cs="宋体"/>
          <w:bCs/>
          <w:kern w:val="0"/>
          <w:szCs w:val="28"/>
        </w:rPr>
        <w:t>六、签订合同</w:t>
      </w:r>
      <w:r>
        <w:tab/>
      </w:r>
      <w:r>
        <w:fldChar w:fldCharType="begin"/>
      </w:r>
      <w:r>
        <w:instrText xml:space="preserve"> PAGEREF _Toc10376 \h </w:instrText>
      </w:r>
      <w:r>
        <w:fldChar w:fldCharType="separate"/>
      </w:r>
      <w:r>
        <w:t>20</w:t>
      </w:r>
      <w:r>
        <w:fldChar w:fldCharType="end"/>
      </w:r>
      <w:r>
        <w:fldChar w:fldCharType="end"/>
      </w:r>
    </w:p>
    <w:p>
      <w:pPr>
        <w:pStyle w:val="21"/>
        <w:tabs>
          <w:tab w:val="right" w:leader="dot" w:pos="9298"/>
        </w:tabs>
      </w:pPr>
      <w:r>
        <w:fldChar w:fldCharType="begin"/>
      </w:r>
      <w:r>
        <w:instrText xml:space="preserve"> HYPERLINK \l "_Toc30251" </w:instrText>
      </w:r>
      <w:r>
        <w:fldChar w:fldCharType="separate"/>
      </w:r>
      <w:r>
        <w:rPr>
          <w:rFonts w:hint="eastAsia"/>
        </w:rPr>
        <w:t>七、代理服务费</w:t>
      </w:r>
      <w:r>
        <w:tab/>
      </w:r>
      <w:r>
        <w:fldChar w:fldCharType="begin"/>
      </w:r>
      <w:r>
        <w:instrText xml:space="preserve"> PAGEREF _Toc30251 \h </w:instrText>
      </w:r>
      <w:r>
        <w:fldChar w:fldCharType="separate"/>
      </w:r>
      <w:r>
        <w:t>21</w:t>
      </w:r>
      <w:r>
        <w:fldChar w:fldCharType="end"/>
      </w:r>
      <w:r>
        <w:fldChar w:fldCharType="end"/>
      </w:r>
    </w:p>
    <w:p>
      <w:pPr>
        <w:pStyle w:val="21"/>
        <w:tabs>
          <w:tab w:val="right" w:leader="dot" w:pos="9298"/>
        </w:tabs>
      </w:pPr>
      <w:r>
        <w:fldChar w:fldCharType="begin"/>
      </w:r>
      <w:r>
        <w:instrText xml:space="preserve"> HYPERLINK \l "_Toc29961" </w:instrText>
      </w:r>
      <w:r>
        <w:fldChar w:fldCharType="separate"/>
      </w:r>
      <w:r>
        <w:rPr>
          <w:rFonts w:hint="eastAsia"/>
        </w:rPr>
        <w:t>八、履约验收</w:t>
      </w:r>
      <w:r>
        <w:tab/>
      </w:r>
      <w:r>
        <w:fldChar w:fldCharType="begin"/>
      </w:r>
      <w:r>
        <w:instrText xml:space="preserve"> PAGEREF _Toc29961 \h </w:instrText>
      </w:r>
      <w:r>
        <w:fldChar w:fldCharType="separate"/>
      </w:r>
      <w:r>
        <w:t>21</w:t>
      </w:r>
      <w:r>
        <w:fldChar w:fldCharType="end"/>
      </w:r>
      <w:r>
        <w:fldChar w:fldCharType="end"/>
      </w:r>
    </w:p>
    <w:p>
      <w:pPr>
        <w:pStyle w:val="21"/>
        <w:tabs>
          <w:tab w:val="right" w:leader="dot" w:pos="9298"/>
        </w:tabs>
      </w:pPr>
      <w:r>
        <w:fldChar w:fldCharType="begin"/>
      </w:r>
      <w:r>
        <w:instrText xml:space="preserve"> HYPERLINK \l "_Toc19471" </w:instrText>
      </w:r>
      <w:r>
        <w:fldChar w:fldCharType="separate"/>
      </w:r>
      <w:r>
        <w:rPr>
          <w:rFonts w:hint="eastAsia"/>
        </w:rPr>
        <w:t>九、质疑和投诉</w:t>
      </w:r>
      <w:r>
        <w:tab/>
      </w:r>
      <w:r>
        <w:fldChar w:fldCharType="begin"/>
      </w:r>
      <w:r>
        <w:instrText xml:space="preserve"> PAGEREF _Toc19471 \h </w:instrText>
      </w:r>
      <w:r>
        <w:fldChar w:fldCharType="separate"/>
      </w:r>
      <w:r>
        <w:t>21</w:t>
      </w:r>
      <w:r>
        <w:fldChar w:fldCharType="end"/>
      </w:r>
      <w:r>
        <w:fldChar w:fldCharType="end"/>
      </w:r>
    </w:p>
    <w:p>
      <w:pPr>
        <w:pStyle w:val="20"/>
        <w:tabs>
          <w:tab w:val="right" w:leader="dot" w:pos="9298"/>
        </w:tabs>
      </w:pPr>
      <w:r>
        <w:fldChar w:fldCharType="begin"/>
      </w:r>
      <w:r>
        <w:instrText xml:space="preserve"> HYPERLINK \l "_Toc27474" </w:instrText>
      </w:r>
      <w:r>
        <w:fldChar w:fldCharType="separate"/>
      </w:r>
      <w:r>
        <w:rPr>
          <w:rFonts w:hint="eastAsia"/>
        </w:rPr>
        <w:t>第四部分  评审办法</w:t>
      </w:r>
      <w:r>
        <w:tab/>
      </w:r>
      <w:r>
        <w:fldChar w:fldCharType="begin"/>
      </w:r>
      <w:r>
        <w:instrText xml:space="preserve"> PAGEREF _Toc27474 \h </w:instrText>
      </w:r>
      <w:r>
        <w:fldChar w:fldCharType="separate"/>
      </w:r>
      <w:r>
        <w:t>23</w:t>
      </w:r>
      <w:r>
        <w:fldChar w:fldCharType="end"/>
      </w:r>
      <w:r>
        <w:fldChar w:fldCharType="end"/>
      </w:r>
    </w:p>
    <w:p>
      <w:pPr>
        <w:pStyle w:val="20"/>
        <w:tabs>
          <w:tab w:val="right" w:leader="dot" w:pos="9298"/>
        </w:tabs>
      </w:pPr>
      <w:r>
        <w:fldChar w:fldCharType="begin"/>
      </w:r>
      <w:r>
        <w:instrText xml:space="preserve"> HYPERLINK \l "_Toc757" </w:instrText>
      </w:r>
      <w:r>
        <w:fldChar w:fldCharType="separate"/>
      </w:r>
      <w:r>
        <w:rPr>
          <w:rFonts w:hint="eastAsia" w:asciiTheme="minorEastAsia" w:hAnsiTheme="minorEastAsia" w:cstheme="minorEastAsia"/>
          <w:szCs w:val="36"/>
        </w:rPr>
        <w:t>第五部分  采购要求</w:t>
      </w:r>
      <w:r>
        <w:tab/>
      </w:r>
      <w:r>
        <w:fldChar w:fldCharType="begin"/>
      </w:r>
      <w:r>
        <w:instrText xml:space="preserve"> PAGEREF _Toc757 \h </w:instrText>
      </w:r>
      <w:r>
        <w:fldChar w:fldCharType="separate"/>
      </w:r>
      <w:r>
        <w:t>27</w:t>
      </w:r>
      <w:r>
        <w:fldChar w:fldCharType="end"/>
      </w:r>
      <w:r>
        <w:fldChar w:fldCharType="end"/>
      </w:r>
    </w:p>
    <w:p>
      <w:pPr>
        <w:pStyle w:val="20"/>
        <w:tabs>
          <w:tab w:val="right" w:leader="dot" w:pos="9298"/>
        </w:tabs>
      </w:pPr>
      <w:r>
        <w:fldChar w:fldCharType="begin"/>
      </w:r>
      <w:r>
        <w:instrText xml:space="preserve"> HYPERLINK \l "_Toc29809" </w:instrText>
      </w:r>
      <w:r>
        <w:fldChar w:fldCharType="separate"/>
      </w:r>
      <w:r>
        <w:rPr>
          <w:rFonts w:hint="eastAsia"/>
        </w:rPr>
        <w:t xml:space="preserve">第六部分 </w:t>
      </w:r>
      <w:r>
        <w:rPr>
          <w:rFonts w:hint="eastAsia"/>
          <w:lang w:val="en-US" w:eastAsia="zh-CN"/>
        </w:rPr>
        <w:t xml:space="preserve"> </w:t>
      </w:r>
      <w:r>
        <w:t>合同</w:t>
      </w:r>
      <w:r>
        <w:rPr>
          <w:rFonts w:hint="eastAsia"/>
        </w:rPr>
        <w:t>主要</w:t>
      </w:r>
      <w:r>
        <w:t>条款</w:t>
      </w:r>
      <w:r>
        <w:tab/>
      </w:r>
      <w:r>
        <w:fldChar w:fldCharType="end"/>
      </w:r>
      <w:r>
        <w:rPr>
          <w:rFonts w:hint="eastAsia" w:asciiTheme="minorEastAsia" w:hAnsiTheme="minorEastAsia" w:cstheme="minorEastAsia"/>
          <w:szCs w:val="24"/>
        </w:rPr>
        <w:t>29</w:t>
      </w:r>
    </w:p>
    <w:p>
      <w:pPr>
        <w:pStyle w:val="20"/>
        <w:tabs>
          <w:tab w:val="right" w:leader="dot" w:pos="9298"/>
        </w:tabs>
      </w:pPr>
      <w:r>
        <w:fldChar w:fldCharType="begin"/>
      </w:r>
      <w:r>
        <w:instrText xml:space="preserve"> HYPERLINK \l "_Toc27840" </w:instrText>
      </w:r>
      <w:r>
        <w:fldChar w:fldCharType="separate"/>
      </w:r>
      <w:r>
        <w:rPr>
          <w:rFonts w:hint="eastAsia" w:asciiTheme="minorEastAsia" w:hAnsiTheme="minorEastAsia" w:cstheme="minorEastAsia"/>
          <w:szCs w:val="36"/>
        </w:rPr>
        <w:t xml:space="preserve">第七部分  </w:t>
      </w:r>
      <w:r>
        <w:rPr>
          <w:rFonts w:hint="eastAsia" w:ascii="宋体" w:hAnsi="宋体" w:cs="宋体"/>
          <w:szCs w:val="36"/>
        </w:rPr>
        <w:t>磋商响应文件格式</w:t>
      </w:r>
      <w:r>
        <w:tab/>
      </w:r>
      <w:r>
        <w:fldChar w:fldCharType="begin"/>
      </w:r>
      <w:r>
        <w:instrText xml:space="preserve"> PAGEREF _Toc27840 \h </w:instrText>
      </w:r>
      <w:r>
        <w:fldChar w:fldCharType="separate"/>
      </w:r>
      <w:r>
        <w:t>42</w:t>
      </w:r>
      <w:r>
        <w:fldChar w:fldCharType="end"/>
      </w:r>
      <w:r>
        <w:fldChar w:fldCharType="end"/>
      </w:r>
    </w:p>
    <w:p>
      <w:pPr>
        <w:pStyle w:val="21"/>
        <w:tabs>
          <w:tab w:val="right" w:leader="dot" w:pos="9298"/>
        </w:tabs>
      </w:pPr>
      <w:r>
        <w:fldChar w:fldCharType="begin"/>
      </w:r>
      <w:r>
        <w:instrText xml:space="preserve"> HYPERLINK \l "_Toc31679" </w:instrText>
      </w:r>
      <w:r>
        <w:fldChar w:fldCharType="separate"/>
      </w:r>
      <w:r>
        <w:rPr>
          <w:rFonts w:hint="eastAsia" w:asciiTheme="minorEastAsia" w:hAnsiTheme="minorEastAsia" w:cstheme="minorEastAsia"/>
          <w:szCs w:val="36"/>
        </w:rPr>
        <w:t>第一章  磋商函</w:t>
      </w:r>
      <w:r>
        <w:tab/>
      </w:r>
      <w:r>
        <w:fldChar w:fldCharType="begin"/>
      </w:r>
      <w:r>
        <w:instrText xml:space="preserve"> PAGEREF _Toc31679 \h </w:instrText>
      </w:r>
      <w:r>
        <w:fldChar w:fldCharType="separate"/>
      </w:r>
      <w:r>
        <w:t>44</w:t>
      </w:r>
      <w:r>
        <w:fldChar w:fldCharType="end"/>
      </w:r>
      <w:r>
        <w:fldChar w:fldCharType="end"/>
      </w:r>
    </w:p>
    <w:p>
      <w:pPr>
        <w:pStyle w:val="21"/>
        <w:tabs>
          <w:tab w:val="right" w:leader="dot" w:pos="9298"/>
        </w:tabs>
      </w:pPr>
      <w:r>
        <w:fldChar w:fldCharType="begin"/>
      </w:r>
      <w:r>
        <w:instrText xml:space="preserve"> HYPERLINK \l "_Toc3185" </w:instrText>
      </w:r>
      <w:r>
        <w:fldChar w:fldCharType="separate"/>
      </w:r>
      <w:r>
        <w:rPr>
          <w:rFonts w:hint="eastAsia" w:asciiTheme="minorEastAsia" w:hAnsiTheme="minorEastAsia" w:cstheme="minorEastAsia"/>
          <w:szCs w:val="36"/>
        </w:rPr>
        <w:t>第二章  磋商一览表</w:t>
      </w:r>
      <w:r>
        <w:tab/>
      </w:r>
      <w:r>
        <w:fldChar w:fldCharType="begin"/>
      </w:r>
      <w:r>
        <w:instrText xml:space="preserve"> PAGEREF _Toc3185 \h </w:instrText>
      </w:r>
      <w:r>
        <w:fldChar w:fldCharType="separate"/>
      </w:r>
      <w:r>
        <w:t>45</w:t>
      </w:r>
      <w:r>
        <w:fldChar w:fldCharType="end"/>
      </w:r>
      <w:r>
        <w:fldChar w:fldCharType="end"/>
      </w:r>
    </w:p>
    <w:p>
      <w:pPr>
        <w:pStyle w:val="21"/>
        <w:tabs>
          <w:tab w:val="right" w:leader="dot" w:pos="9298"/>
        </w:tabs>
      </w:pPr>
      <w:r>
        <w:fldChar w:fldCharType="begin"/>
      </w:r>
      <w:r>
        <w:instrText xml:space="preserve"> HYPERLINK \l "_Toc28923" </w:instrText>
      </w:r>
      <w:r>
        <w:fldChar w:fldCharType="separate"/>
      </w:r>
      <w:r>
        <w:rPr>
          <w:rFonts w:hint="eastAsia"/>
        </w:rPr>
        <w:t>第三章</w:t>
      </w:r>
      <w:r>
        <w:rPr>
          <w:rFonts w:hint="eastAsia"/>
          <w:lang w:val="en-US" w:eastAsia="zh-CN"/>
        </w:rPr>
        <w:t xml:space="preserve">  </w:t>
      </w:r>
      <w:r>
        <w:rPr>
          <w:rFonts w:hint="eastAsia"/>
        </w:rPr>
        <w:t>分项报价表</w:t>
      </w:r>
      <w:r>
        <w:tab/>
      </w:r>
      <w:r>
        <w:fldChar w:fldCharType="begin"/>
      </w:r>
      <w:r>
        <w:instrText xml:space="preserve"> PAGEREF _Toc28923 \h </w:instrText>
      </w:r>
      <w:r>
        <w:fldChar w:fldCharType="separate"/>
      </w:r>
      <w:r>
        <w:t>46</w:t>
      </w:r>
      <w:r>
        <w:fldChar w:fldCharType="end"/>
      </w:r>
      <w:r>
        <w:fldChar w:fldCharType="end"/>
      </w:r>
    </w:p>
    <w:p>
      <w:pPr>
        <w:pStyle w:val="21"/>
        <w:tabs>
          <w:tab w:val="right" w:leader="dot" w:pos="9298"/>
        </w:tabs>
      </w:pPr>
      <w:r>
        <w:fldChar w:fldCharType="begin"/>
      </w:r>
      <w:r>
        <w:instrText xml:space="preserve"> HYPERLINK \l "_Toc20590" </w:instrText>
      </w:r>
      <w:r>
        <w:fldChar w:fldCharType="separate"/>
      </w:r>
      <w:r>
        <w:rPr>
          <w:rFonts w:hint="eastAsia"/>
        </w:rPr>
        <w:t>第四章  供应商资质证明资料</w:t>
      </w:r>
      <w:r>
        <w:tab/>
      </w:r>
      <w:r>
        <w:fldChar w:fldCharType="begin"/>
      </w:r>
      <w:r>
        <w:instrText xml:space="preserve"> PAGEREF _Toc20590 \h </w:instrText>
      </w:r>
      <w:r>
        <w:fldChar w:fldCharType="separate"/>
      </w:r>
      <w:r>
        <w:t>47</w:t>
      </w:r>
      <w:r>
        <w:fldChar w:fldCharType="end"/>
      </w:r>
      <w:r>
        <w:fldChar w:fldCharType="end"/>
      </w:r>
    </w:p>
    <w:p>
      <w:pPr>
        <w:pStyle w:val="21"/>
        <w:tabs>
          <w:tab w:val="right" w:leader="dot" w:pos="9298"/>
        </w:tabs>
      </w:pPr>
      <w:r>
        <w:fldChar w:fldCharType="begin"/>
      </w:r>
      <w:r>
        <w:instrText xml:space="preserve"> HYPERLINK \l "_Toc22544" </w:instrText>
      </w:r>
      <w:r>
        <w:fldChar w:fldCharType="separate"/>
      </w:r>
      <w:r>
        <w:rPr>
          <w:rFonts w:hint="eastAsia"/>
        </w:rPr>
        <w:t>第五章  商务和技术响应偏离表</w:t>
      </w:r>
      <w:r>
        <w:tab/>
      </w:r>
      <w:r>
        <w:fldChar w:fldCharType="begin"/>
      </w:r>
      <w:r>
        <w:instrText xml:space="preserve"> PAGEREF _Toc22544 \h </w:instrText>
      </w:r>
      <w:r>
        <w:fldChar w:fldCharType="separate"/>
      </w:r>
      <w:r>
        <w:t>54</w:t>
      </w:r>
      <w:r>
        <w:fldChar w:fldCharType="end"/>
      </w:r>
      <w:r>
        <w:fldChar w:fldCharType="end"/>
      </w:r>
    </w:p>
    <w:p>
      <w:pPr>
        <w:pStyle w:val="21"/>
        <w:tabs>
          <w:tab w:val="right" w:leader="dot" w:pos="9298"/>
        </w:tabs>
      </w:pPr>
      <w:r>
        <w:fldChar w:fldCharType="begin"/>
      </w:r>
      <w:r>
        <w:instrText xml:space="preserve"> HYPERLINK \l "_Toc10152" </w:instrText>
      </w:r>
      <w:r>
        <w:fldChar w:fldCharType="separate"/>
      </w:r>
      <w:r>
        <w:rPr>
          <w:rFonts w:hint="eastAsia"/>
          <w:szCs w:val="28"/>
        </w:rPr>
        <w:t>第六章</w:t>
      </w:r>
      <w:r>
        <w:rPr>
          <w:rFonts w:hint="eastAsia"/>
          <w:szCs w:val="28"/>
          <w:lang w:val="en-US" w:eastAsia="zh-CN"/>
        </w:rPr>
        <w:t xml:space="preserve">  </w:t>
      </w:r>
      <w:r>
        <w:rPr>
          <w:rFonts w:hint="eastAsia"/>
          <w:szCs w:val="28"/>
        </w:rPr>
        <w:t>技术支持资料</w:t>
      </w:r>
      <w:r>
        <w:tab/>
      </w:r>
      <w:r>
        <w:fldChar w:fldCharType="begin"/>
      </w:r>
      <w:r>
        <w:instrText xml:space="preserve"> PAGEREF _Toc10152 \h </w:instrText>
      </w:r>
      <w:r>
        <w:fldChar w:fldCharType="separate"/>
      </w:r>
      <w:r>
        <w:t>56</w:t>
      </w:r>
      <w:r>
        <w:fldChar w:fldCharType="end"/>
      </w:r>
      <w:r>
        <w:fldChar w:fldCharType="end"/>
      </w:r>
    </w:p>
    <w:p>
      <w:pPr>
        <w:pStyle w:val="21"/>
        <w:tabs>
          <w:tab w:val="right" w:leader="dot" w:pos="9298"/>
        </w:tabs>
      </w:pPr>
      <w:r>
        <w:fldChar w:fldCharType="begin"/>
      </w:r>
      <w:r>
        <w:instrText xml:space="preserve"> HYPERLINK \l "_Toc15381" </w:instrText>
      </w:r>
      <w:r>
        <w:fldChar w:fldCharType="separate"/>
      </w:r>
      <w:r>
        <w:rPr>
          <w:rFonts w:hint="eastAsia"/>
        </w:rPr>
        <w:t>第七章  供应商业绩一览表</w:t>
      </w:r>
      <w:r>
        <w:tab/>
      </w:r>
      <w:r>
        <w:fldChar w:fldCharType="begin"/>
      </w:r>
      <w:r>
        <w:instrText xml:space="preserve"> PAGEREF _Toc15381 \h </w:instrText>
      </w:r>
      <w:r>
        <w:fldChar w:fldCharType="separate"/>
      </w:r>
      <w:r>
        <w:t>57</w:t>
      </w:r>
      <w:r>
        <w:fldChar w:fldCharType="end"/>
      </w:r>
      <w:r>
        <w:fldChar w:fldCharType="end"/>
      </w:r>
    </w:p>
    <w:p>
      <w:pPr>
        <w:pStyle w:val="21"/>
        <w:tabs>
          <w:tab w:val="right" w:leader="dot" w:pos="9298"/>
        </w:tabs>
      </w:pPr>
      <w:r>
        <w:fldChar w:fldCharType="begin"/>
      </w:r>
      <w:r>
        <w:instrText xml:space="preserve"> HYPERLINK \l "_Toc4380" </w:instrText>
      </w:r>
      <w:r>
        <w:fldChar w:fldCharType="separate"/>
      </w:r>
      <w:r>
        <w:rPr>
          <w:rFonts w:hint="eastAsia"/>
        </w:rPr>
        <w:t>第八章  供应商认为有必要说明的其他问题</w:t>
      </w:r>
      <w:r>
        <w:tab/>
      </w:r>
      <w:r>
        <w:fldChar w:fldCharType="begin"/>
      </w:r>
      <w:r>
        <w:instrText xml:space="preserve"> PAGEREF _Toc4380 \h </w:instrText>
      </w:r>
      <w:r>
        <w:fldChar w:fldCharType="separate"/>
      </w:r>
      <w:r>
        <w:t>58</w:t>
      </w:r>
      <w:r>
        <w:fldChar w:fldCharType="end"/>
      </w:r>
      <w:r>
        <w:fldChar w:fldCharType="end"/>
      </w:r>
    </w:p>
    <w:p>
      <w:pPr>
        <w:pStyle w:val="21"/>
        <w:tabs>
          <w:tab w:val="right" w:leader="dot" w:pos="9298"/>
        </w:tabs>
      </w:pPr>
      <w:r>
        <w:fldChar w:fldCharType="begin"/>
      </w:r>
      <w:r>
        <w:instrText xml:space="preserve"> HYPERLINK \l "_Toc18255" </w:instrText>
      </w:r>
      <w:r>
        <w:fldChar w:fldCharType="separate"/>
      </w:r>
      <w:r>
        <w:rPr>
          <w:rFonts w:hint="eastAsia" w:asciiTheme="minorEastAsia" w:hAnsiTheme="minorEastAsia" w:cstheme="minorEastAsia"/>
          <w:szCs w:val="36"/>
        </w:rPr>
        <w:t>第九章  供应商承诺书</w:t>
      </w:r>
      <w:r>
        <w:tab/>
      </w:r>
      <w:r>
        <w:fldChar w:fldCharType="begin"/>
      </w:r>
      <w:r>
        <w:instrText xml:space="preserve"> PAGEREF _Toc18255 \h </w:instrText>
      </w:r>
      <w:r>
        <w:fldChar w:fldCharType="separate"/>
      </w:r>
      <w:r>
        <w:t>59</w:t>
      </w:r>
      <w:r>
        <w:fldChar w:fldCharType="end"/>
      </w:r>
      <w:r>
        <w:fldChar w:fldCharType="end"/>
      </w:r>
    </w:p>
    <w:p>
      <w:pPr>
        <w:pStyle w:val="21"/>
        <w:tabs>
          <w:tab w:val="right" w:leader="dot" w:pos="9298"/>
        </w:tabs>
      </w:pPr>
      <w:r>
        <w:fldChar w:fldCharType="begin"/>
      </w:r>
      <w:r>
        <w:instrText xml:space="preserve"> HYPERLINK \l "_Toc78" </w:instrText>
      </w:r>
      <w:r>
        <w:fldChar w:fldCharType="separate"/>
      </w:r>
      <w:r>
        <w:rPr>
          <w:rFonts w:hint="eastAsia" w:asciiTheme="minorEastAsia" w:hAnsiTheme="minorEastAsia" w:cstheme="minorEastAsia"/>
        </w:rPr>
        <w:t>附件一：封袋正面标识式样</w:t>
      </w:r>
      <w:r>
        <w:tab/>
      </w:r>
      <w:r>
        <w:fldChar w:fldCharType="begin"/>
      </w:r>
      <w:r>
        <w:instrText xml:space="preserve"> PAGEREF _Toc78 \h </w:instrText>
      </w:r>
      <w:r>
        <w:fldChar w:fldCharType="separate"/>
      </w:r>
      <w:r>
        <w:t>62</w:t>
      </w:r>
      <w:r>
        <w:fldChar w:fldCharType="end"/>
      </w:r>
      <w:r>
        <w:fldChar w:fldCharType="end"/>
      </w:r>
    </w:p>
    <w:p>
      <w:pPr>
        <w:pStyle w:val="21"/>
        <w:tabs>
          <w:tab w:val="right" w:leader="dot" w:pos="9298"/>
        </w:tabs>
      </w:pPr>
      <w:r>
        <w:fldChar w:fldCharType="begin"/>
      </w:r>
      <w:r>
        <w:instrText xml:space="preserve"> HYPERLINK \l "_Toc4153" </w:instrText>
      </w:r>
      <w:r>
        <w:fldChar w:fldCharType="separate"/>
      </w:r>
      <w:r>
        <w:rPr>
          <w:rFonts w:hint="eastAsia" w:ascii="宋体" w:hAnsi="宋体" w:cs="宋体"/>
        </w:rPr>
        <w:t>附件二、中小企业申明</w:t>
      </w:r>
      <w:r>
        <w:tab/>
      </w:r>
      <w:r>
        <w:fldChar w:fldCharType="begin"/>
      </w:r>
      <w:r>
        <w:instrText xml:space="preserve"> PAGEREF _Toc4153 \h </w:instrText>
      </w:r>
      <w:r>
        <w:fldChar w:fldCharType="separate"/>
      </w:r>
      <w:r>
        <w:t>64</w:t>
      </w:r>
      <w:r>
        <w:fldChar w:fldCharType="end"/>
      </w:r>
      <w:r>
        <w:fldChar w:fldCharType="end"/>
      </w:r>
    </w:p>
    <w:p>
      <w:pPr>
        <w:pStyle w:val="21"/>
        <w:tabs>
          <w:tab w:val="right" w:leader="dot" w:pos="9298"/>
        </w:tabs>
      </w:pPr>
      <w:r>
        <w:fldChar w:fldCharType="begin"/>
      </w:r>
      <w:r>
        <w:instrText xml:space="preserve"> HYPERLINK \l "_Toc1709" </w:instrText>
      </w:r>
      <w:r>
        <w:fldChar w:fldCharType="separate"/>
      </w:r>
      <w:r>
        <w:rPr>
          <w:rFonts w:hint="eastAsia"/>
        </w:rPr>
        <w:t>附件三、残疾人福利性单位声明</w:t>
      </w:r>
      <w:r>
        <w:tab/>
      </w:r>
      <w:r>
        <w:fldChar w:fldCharType="begin"/>
      </w:r>
      <w:r>
        <w:instrText xml:space="preserve"> PAGEREF _Toc1709 \h </w:instrText>
      </w:r>
      <w:r>
        <w:fldChar w:fldCharType="separate"/>
      </w:r>
      <w:r>
        <w:t>64</w:t>
      </w:r>
      <w:r>
        <w:fldChar w:fldCharType="end"/>
      </w:r>
      <w:r>
        <w:fldChar w:fldCharType="end"/>
      </w:r>
    </w:p>
    <w:p>
      <w:pPr>
        <w:pStyle w:val="21"/>
        <w:tabs>
          <w:tab w:val="right" w:leader="dot" w:pos="9298"/>
        </w:tabs>
      </w:pPr>
      <w:r>
        <w:fldChar w:fldCharType="begin"/>
      </w:r>
      <w:r>
        <w:instrText xml:space="preserve"> HYPERLINK \l "_Toc27619" </w:instrText>
      </w:r>
      <w:r>
        <w:fldChar w:fldCharType="separate"/>
      </w:r>
      <w:r>
        <w:rPr>
          <w:rFonts w:hint="eastAsia"/>
        </w:rPr>
        <w:t>附件四、监狱企业证明文件</w:t>
      </w:r>
      <w:r>
        <w:tab/>
      </w:r>
      <w:r>
        <w:fldChar w:fldCharType="begin"/>
      </w:r>
      <w:r>
        <w:instrText xml:space="preserve"> PAGEREF _Toc27619 \h </w:instrText>
      </w:r>
      <w:r>
        <w:fldChar w:fldCharType="separate"/>
      </w:r>
      <w:r>
        <w:t>66</w:t>
      </w:r>
      <w:r>
        <w:fldChar w:fldCharType="end"/>
      </w:r>
      <w:r>
        <w:fldChar w:fldCharType="end"/>
      </w:r>
    </w:p>
    <w:p>
      <w:pPr>
        <w:pStyle w:val="21"/>
        <w:tabs>
          <w:tab w:val="right" w:leader="dot" w:pos="9298"/>
        </w:tabs>
      </w:pPr>
      <w:r>
        <w:fldChar w:fldCharType="begin"/>
      </w:r>
      <w:r>
        <w:instrText xml:space="preserve"> HYPERLINK \l "_Toc28928" </w:instrText>
      </w:r>
      <w:r>
        <w:fldChar w:fldCharType="separate"/>
      </w:r>
      <w:r>
        <w:rPr>
          <w:rFonts w:hint="eastAsia" w:ascii="宋体" w:hAnsi="宋体" w:cs="宋体"/>
        </w:rPr>
        <w:t>附件五、“节能产品”，“环境标志产品”证明材料</w:t>
      </w:r>
      <w:r>
        <w:tab/>
      </w:r>
      <w:r>
        <w:fldChar w:fldCharType="begin"/>
      </w:r>
      <w:r>
        <w:instrText xml:space="preserve"> PAGEREF _Toc28928 \h </w:instrText>
      </w:r>
      <w:r>
        <w:fldChar w:fldCharType="separate"/>
      </w:r>
      <w:r>
        <w:t>66</w:t>
      </w:r>
      <w:r>
        <w:fldChar w:fldCharType="end"/>
      </w:r>
      <w:r>
        <w:fldChar w:fldCharType="end"/>
      </w:r>
    </w:p>
    <w:p>
      <w:pPr>
        <w:pStyle w:val="21"/>
        <w:tabs>
          <w:tab w:val="right" w:leader="dot" w:pos="9298"/>
        </w:tabs>
      </w:pPr>
      <w:r>
        <w:fldChar w:fldCharType="begin"/>
      </w:r>
      <w:r>
        <w:instrText xml:space="preserve"> HYPERLINK \l "_Toc22560" </w:instrText>
      </w:r>
      <w:r>
        <w:fldChar w:fldCharType="separate"/>
      </w:r>
      <w:r>
        <w:rPr>
          <w:rFonts w:hint="eastAsia"/>
        </w:rPr>
        <w:t>附件六、质疑函范本</w:t>
      </w:r>
      <w:r>
        <w:tab/>
      </w:r>
      <w:r>
        <w:fldChar w:fldCharType="begin"/>
      </w:r>
      <w:r>
        <w:instrText xml:space="preserve"> PAGEREF _Toc22560 \h </w:instrText>
      </w:r>
      <w:r>
        <w:fldChar w:fldCharType="separate"/>
      </w:r>
      <w:r>
        <w:t>67</w:t>
      </w:r>
      <w:r>
        <w:fldChar w:fldCharType="end"/>
      </w:r>
      <w:r>
        <w:fldChar w:fldCharType="end"/>
      </w:r>
    </w:p>
    <w:p>
      <w:pPr>
        <w:pStyle w:val="3"/>
        <w:spacing w:line="240" w:lineRule="auto"/>
        <w:rPr>
          <w:rFonts w:asciiTheme="minorEastAsia" w:hAnsiTheme="minorEastAsia" w:eastAsiaTheme="minorEastAsia" w:cstheme="minorEastAsia"/>
          <w:b w:val="0"/>
          <w:sz w:val="24"/>
          <w:szCs w:val="24"/>
        </w:rPr>
        <w:sectPr>
          <w:footerReference r:id="rId7" w:type="default"/>
          <w:pgSz w:w="11906" w:h="16838"/>
          <w:pgMar w:top="1440" w:right="1304" w:bottom="1440" w:left="1304" w:header="851" w:footer="992" w:gutter="0"/>
          <w:cols w:space="0" w:num="1"/>
          <w:docGrid w:type="lines" w:linePitch="325" w:charSpace="0"/>
        </w:sectPr>
      </w:pPr>
      <w:r>
        <w:rPr>
          <w:rFonts w:asciiTheme="minorEastAsia" w:hAnsiTheme="minorEastAsia" w:eastAsiaTheme="minorEastAsia" w:cstheme="minorEastAsia"/>
          <w:szCs w:val="24"/>
        </w:rPr>
        <w:fldChar w:fldCharType="end"/>
      </w:r>
    </w:p>
    <w:p>
      <w:pPr>
        <w:pStyle w:val="3"/>
        <w:spacing w:beforeLines="100" w:afterLines="150" w:line="600" w:lineRule="exact"/>
        <w:rPr>
          <w:rFonts w:asciiTheme="minorEastAsia" w:hAnsiTheme="minorEastAsia" w:eastAsiaTheme="minorEastAsia" w:cstheme="minorEastAsia"/>
          <w:sz w:val="36"/>
          <w:szCs w:val="36"/>
        </w:rPr>
      </w:pPr>
      <w:bookmarkStart w:id="1" w:name="_Toc26575"/>
      <w:bookmarkStart w:id="2" w:name="_Toc23156"/>
      <w:bookmarkStart w:id="3" w:name="_Toc10456"/>
      <w:r>
        <w:rPr>
          <w:rFonts w:hint="eastAsia" w:asciiTheme="minorEastAsia" w:hAnsiTheme="minorEastAsia" w:eastAsiaTheme="minorEastAsia" w:cstheme="minorEastAsia"/>
          <w:sz w:val="36"/>
          <w:szCs w:val="36"/>
        </w:rPr>
        <w:t xml:space="preserve">第一部分  </w:t>
      </w:r>
      <w:bookmarkEnd w:id="1"/>
      <w:bookmarkEnd w:id="2"/>
      <w:r>
        <w:rPr>
          <w:rFonts w:hint="eastAsia" w:asciiTheme="minorEastAsia" w:hAnsiTheme="minorEastAsia" w:eastAsiaTheme="minorEastAsia" w:cstheme="minorEastAsia"/>
          <w:sz w:val="36"/>
          <w:szCs w:val="36"/>
        </w:rPr>
        <w:t>竞争性磋商公告</w:t>
      </w:r>
      <w:bookmarkEnd w:id="3"/>
    </w:p>
    <w:p>
      <w:pPr>
        <w:widowControl/>
        <w:wordWrap w:val="0"/>
        <w:snapToGrid w:val="0"/>
        <w:spacing w:line="360" w:lineRule="auto"/>
        <w:ind w:right="-92" w:rightChars="-44" w:firstLine="480" w:firstLineChars="200"/>
        <w:jc w:val="left"/>
        <w:rPr>
          <w:rFonts w:asciiTheme="minorEastAsia" w:hAnsiTheme="minorEastAsia" w:cstheme="minorEastAsia"/>
          <w:b/>
          <w:bCs/>
          <w:kern w:val="0"/>
          <w:sz w:val="24"/>
          <w:szCs w:val="24"/>
        </w:rPr>
      </w:pPr>
      <w:r>
        <w:rPr>
          <w:rFonts w:hint="eastAsia" w:asciiTheme="minorEastAsia" w:hAnsiTheme="minorEastAsia" w:cstheme="minorEastAsia"/>
          <w:kern w:val="0"/>
          <w:sz w:val="24"/>
          <w:szCs w:val="24"/>
        </w:rPr>
        <w:t>陕西万泽招标有限公司受西安市</w:t>
      </w:r>
      <w:r>
        <w:rPr>
          <w:rFonts w:hint="eastAsia" w:asciiTheme="minorEastAsia" w:hAnsiTheme="minorEastAsia" w:cstheme="minorEastAsia"/>
          <w:kern w:val="0"/>
          <w:sz w:val="24"/>
          <w:szCs w:val="24"/>
          <w:lang w:eastAsia="zh-CN"/>
        </w:rPr>
        <w:t>第一医院</w:t>
      </w:r>
      <w:r>
        <w:rPr>
          <w:rFonts w:hint="eastAsia" w:asciiTheme="minorEastAsia" w:hAnsiTheme="minorEastAsia" w:cstheme="minorEastAsia"/>
          <w:kern w:val="0"/>
          <w:sz w:val="24"/>
          <w:szCs w:val="24"/>
        </w:rPr>
        <w:t>的委托，就</w:t>
      </w:r>
      <w:r>
        <w:rPr>
          <w:rFonts w:hint="eastAsia" w:asciiTheme="minorEastAsia" w:hAnsiTheme="minorEastAsia" w:cstheme="minorEastAsia"/>
          <w:kern w:val="0"/>
          <w:sz w:val="24"/>
          <w:szCs w:val="24"/>
          <w:lang w:eastAsia="zh-CN"/>
        </w:rPr>
        <w:t>西安市第一医院老院区虚拟化内存扩容及3台服务节点扩容采购项目</w:t>
      </w:r>
      <w:r>
        <w:rPr>
          <w:rFonts w:hint="eastAsia" w:asciiTheme="minorEastAsia" w:hAnsiTheme="minorEastAsia" w:cstheme="minorEastAsia"/>
          <w:kern w:val="0"/>
          <w:sz w:val="24"/>
          <w:szCs w:val="24"/>
        </w:rPr>
        <w:t>进行竞争性磋商，欢迎符合资格条件的、有能力提供本次项目所需货物和服务的供应商参加磋商。</w:t>
      </w:r>
    </w:p>
    <w:p>
      <w:pPr>
        <w:widowControl/>
        <w:numPr>
          <w:ilvl w:val="0"/>
          <w:numId w:val="2"/>
        </w:numPr>
        <w:wordWrap w:val="0"/>
        <w:snapToGrid w:val="0"/>
        <w:spacing w:line="360" w:lineRule="auto"/>
        <w:ind w:left="-60" w:leftChars="0" w:firstLine="48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项目名称：</w:t>
      </w:r>
      <w:r>
        <w:rPr>
          <w:rFonts w:hint="eastAsia" w:asciiTheme="minorEastAsia" w:hAnsiTheme="minorEastAsia" w:cstheme="minorEastAsia"/>
          <w:kern w:val="0"/>
          <w:sz w:val="24"/>
          <w:szCs w:val="24"/>
          <w:lang w:eastAsia="zh-CN"/>
        </w:rPr>
        <w:t>西安市第一医院老院区虚拟化内存扩容及3台服务节点扩容采购项目</w:t>
      </w: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项目编号：</w:t>
      </w:r>
      <w:r>
        <w:rPr>
          <w:rFonts w:hint="eastAsia" w:asciiTheme="minorEastAsia" w:hAnsiTheme="minorEastAsia" w:cstheme="minorEastAsia"/>
          <w:kern w:val="0"/>
          <w:sz w:val="24"/>
          <w:szCs w:val="24"/>
          <w:lang w:eastAsia="zh-CN"/>
        </w:rPr>
        <w:t>SXWZ2023ZB-DYYY-036</w:t>
      </w:r>
    </w:p>
    <w:p>
      <w:pPr>
        <w:widowControl/>
        <w:numPr>
          <w:ilvl w:val="0"/>
          <w:numId w:val="2"/>
        </w:numPr>
        <w:wordWrap w:val="0"/>
        <w:snapToGrid w:val="0"/>
        <w:spacing w:line="360" w:lineRule="auto"/>
        <w:ind w:left="-60" w:leftChars="0" w:firstLine="480" w:firstLineChars="0"/>
        <w:jc w:val="left"/>
        <w:rPr>
          <w:rFonts w:ascii="宋体" w:cs="宋体"/>
          <w:kern w:val="0"/>
          <w:sz w:val="24"/>
          <w:szCs w:val="24"/>
        </w:rPr>
      </w:pPr>
      <w:bookmarkStart w:id="4" w:name="_Toc20220_WPSOffice_Level2"/>
      <w:r>
        <w:rPr>
          <w:rFonts w:hint="eastAsia" w:ascii="宋体" w:hAnsi="宋体" w:cs="宋体"/>
          <w:kern w:val="0"/>
          <w:sz w:val="24"/>
          <w:szCs w:val="24"/>
        </w:rPr>
        <w:t>采购人名称：</w:t>
      </w:r>
      <w:bookmarkEnd w:id="4"/>
      <w:r>
        <w:rPr>
          <w:rFonts w:hint="eastAsia" w:asciiTheme="minorEastAsia" w:hAnsiTheme="minorEastAsia" w:cstheme="minorEastAsia"/>
          <w:kern w:val="0"/>
          <w:sz w:val="24"/>
          <w:szCs w:val="24"/>
        </w:rPr>
        <w:t>西安市</w:t>
      </w:r>
      <w:r>
        <w:rPr>
          <w:rFonts w:hint="eastAsia" w:asciiTheme="minorEastAsia" w:hAnsiTheme="minorEastAsia" w:cstheme="minorEastAsia"/>
          <w:kern w:val="0"/>
          <w:sz w:val="24"/>
          <w:szCs w:val="24"/>
          <w:lang w:eastAsia="zh-CN"/>
        </w:rPr>
        <w:t>第一医院</w:t>
      </w:r>
    </w:p>
    <w:p>
      <w:pPr>
        <w:widowControl/>
        <w:tabs>
          <w:tab w:val="left" w:pos="0"/>
        </w:tabs>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r>
        <w:rPr>
          <w:rFonts w:hint="eastAsia" w:ascii="宋体" w:hAnsi="宋体" w:cs="宋体"/>
          <w:kern w:val="0"/>
          <w:sz w:val="24"/>
          <w:szCs w:val="24"/>
          <w:lang w:eastAsia="zh-CN"/>
        </w:rPr>
        <w:t>西安市南大街粉巷30号</w:t>
      </w:r>
      <w:r>
        <w:rPr>
          <w:rFonts w:hint="eastAsia" w:ascii="宋体" w:hAnsi="宋体" w:cs="宋体"/>
          <w:kern w:val="0"/>
          <w:sz w:val="24"/>
          <w:szCs w:val="24"/>
        </w:rPr>
        <w:t xml:space="preserve">  </w:t>
      </w:r>
    </w:p>
    <w:p>
      <w:pPr>
        <w:widowControl/>
        <w:tabs>
          <w:tab w:val="left" w:pos="0"/>
        </w:tabs>
        <w:wordWrap w:val="0"/>
        <w:spacing w:line="360" w:lineRule="auto"/>
        <w:ind w:firstLine="960" w:firstLineChars="400"/>
        <w:jc w:val="left"/>
        <w:rPr>
          <w:rFonts w:hint="default" w:ascii="宋体" w:hAnsi="宋体" w:cs="宋体" w:eastAsiaTheme="minorEastAsia"/>
          <w:kern w:val="0"/>
          <w:sz w:val="24"/>
          <w:szCs w:val="24"/>
          <w:highlight w:val="yellow"/>
          <w:lang w:val="en-US" w:eastAsia="zh-CN"/>
        </w:rPr>
      </w:pPr>
      <w:r>
        <w:rPr>
          <w:rFonts w:ascii="宋体" w:hAnsi="宋体" w:cs="宋体"/>
          <w:kern w:val="0"/>
          <w:sz w:val="24"/>
          <w:szCs w:val="24"/>
          <w:highlight w:val="none"/>
        </w:rPr>
        <w:t>联</w:t>
      </w:r>
      <w:r>
        <w:rPr>
          <w:rFonts w:hint="eastAsia" w:ascii="宋体" w:hAnsi="宋体" w:cs="宋体"/>
          <w:kern w:val="0"/>
          <w:sz w:val="24"/>
          <w:szCs w:val="24"/>
          <w:highlight w:val="none"/>
        </w:rPr>
        <w:t>系方式：</w:t>
      </w:r>
      <w:r>
        <w:rPr>
          <w:rFonts w:hint="eastAsia" w:ascii="宋体" w:hAnsi="宋体" w:cs="宋体"/>
          <w:kern w:val="0"/>
          <w:sz w:val="24"/>
          <w:szCs w:val="24"/>
          <w:highlight w:val="none"/>
          <w:lang w:val="en-US" w:eastAsia="zh-CN"/>
        </w:rPr>
        <w:t>029-87630967</w:t>
      </w:r>
    </w:p>
    <w:p>
      <w:pPr>
        <w:widowControl/>
        <w:numPr>
          <w:ilvl w:val="0"/>
          <w:numId w:val="2"/>
        </w:numPr>
        <w:tabs>
          <w:tab w:val="left" w:pos="1620"/>
        </w:tabs>
        <w:wordWrap w:val="0"/>
        <w:spacing w:line="360" w:lineRule="auto"/>
        <w:ind w:left="-60" w:leftChars="0" w:firstLine="420" w:firstLineChars="0"/>
        <w:jc w:val="left"/>
        <w:rPr>
          <w:rFonts w:ascii="宋体" w:hAnsi="宋体" w:cs="宋体"/>
          <w:kern w:val="0"/>
          <w:sz w:val="24"/>
          <w:szCs w:val="24"/>
        </w:rPr>
      </w:pPr>
      <w:r>
        <w:rPr>
          <w:rFonts w:hint="eastAsia" w:ascii="宋体" w:hAnsi="宋体" w:cs="宋体"/>
          <w:kern w:val="0"/>
          <w:sz w:val="24"/>
          <w:szCs w:val="24"/>
        </w:rPr>
        <w:t>采</w:t>
      </w:r>
      <w:r>
        <w:rPr>
          <w:rFonts w:ascii="宋体" w:hAnsi="宋体" w:cs="宋体"/>
          <w:kern w:val="0"/>
          <w:sz w:val="24"/>
          <w:szCs w:val="24"/>
        </w:rPr>
        <w:t>购</w:t>
      </w:r>
      <w:r>
        <w:rPr>
          <w:rFonts w:hint="eastAsia" w:ascii="宋体" w:hAnsi="宋体" w:cs="宋体"/>
          <w:kern w:val="0"/>
          <w:sz w:val="24"/>
          <w:szCs w:val="24"/>
        </w:rPr>
        <w:t>代理机构名</w:t>
      </w:r>
      <w:r>
        <w:rPr>
          <w:rFonts w:ascii="宋体" w:hAnsi="宋体" w:cs="宋体"/>
          <w:kern w:val="0"/>
          <w:sz w:val="24"/>
          <w:szCs w:val="24"/>
        </w:rPr>
        <w:t>称</w:t>
      </w:r>
      <w:r>
        <w:rPr>
          <w:rFonts w:hint="eastAsia" w:ascii="宋体" w:hAnsi="宋体" w:cs="宋体"/>
          <w:kern w:val="0"/>
          <w:sz w:val="24"/>
          <w:szCs w:val="24"/>
        </w:rPr>
        <w:t>：</w:t>
      </w:r>
      <w:r>
        <w:rPr>
          <w:rFonts w:ascii="宋体" w:hAnsi="宋体" w:cs="宋体"/>
          <w:kern w:val="0"/>
          <w:sz w:val="24"/>
          <w:szCs w:val="24"/>
        </w:rPr>
        <w:t>陕</w:t>
      </w:r>
      <w:r>
        <w:rPr>
          <w:rFonts w:hint="eastAsia" w:ascii="宋体" w:hAnsi="宋体" w:cs="宋体"/>
          <w:kern w:val="0"/>
          <w:sz w:val="24"/>
          <w:szCs w:val="24"/>
        </w:rPr>
        <w:t>西</w:t>
      </w:r>
      <w:r>
        <w:rPr>
          <w:rFonts w:ascii="宋体" w:hAnsi="宋体" w:cs="宋体"/>
          <w:kern w:val="0"/>
          <w:sz w:val="24"/>
          <w:szCs w:val="24"/>
        </w:rPr>
        <w:t>万泽</w:t>
      </w:r>
      <w:r>
        <w:rPr>
          <w:rFonts w:hint="eastAsia" w:ascii="宋体" w:hAnsi="宋体" w:cs="宋体"/>
          <w:kern w:val="0"/>
          <w:sz w:val="24"/>
          <w:szCs w:val="24"/>
        </w:rPr>
        <w:t>招</w:t>
      </w:r>
      <w:r>
        <w:rPr>
          <w:rFonts w:ascii="宋体" w:hAnsi="宋体" w:cs="宋体"/>
          <w:kern w:val="0"/>
          <w:sz w:val="24"/>
          <w:szCs w:val="24"/>
        </w:rPr>
        <w:t>标有</w:t>
      </w:r>
      <w:r>
        <w:rPr>
          <w:rFonts w:hint="eastAsia" w:ascii="宋体" w:hAnsi="宋体" w:cs="宋体"/>
          <w:kern w:val="0"/>
          <w:sz w:val="24"/>
          <w:szCs w:val="24"/>
        </w:rPr>
        <w:t>限公司</w:t>
      </w:r>
    </w:p>
    <w:p>
      <w:pPr>
        <w:widowControl/>
        <w:wordWrap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地址：西安市</w:t>
      </w:r>
      <w:r>
        <w:rPr>
          <w:rFonts w:ascii="宋体" w:hAnsi="宋体" w:cs="宋体"/>
          <w:kern w:val="0"/>
          <w:sz w:val="24"/>
          <w:szCs w:val="24"/>
        </w:rPr>
        <w:t>莲湖区</w:t>
      </w:r>
      <w:r>
        <w:rPr>
          <w:rFonts w:hint="eastAsia" w:ascii="宋体" w:hAnsi="宋体" w:cs="宋体"/>
          <w:kern w:val="0"/>
          <w:sz w:val="24"/>
          <w:szCs w:val="24"/>
        </w:rPr>
        <w:t>西</w:t>
      </w:r>
      <w:r>
        <w:rPr>
          <w:rFonts w:ascii="宋体" w:hAnsi="宋体" w:cs="宋体"/>
          <w:kern w:val="0"/>
          <w:sz w:val="24"/>
          <w:szCs w:val="24"/>
        </w:rPr>
        <w:t>关</w:t>
      </w:r>
      <w:r>
        <w:rPr>
          <w:rFonts w:hint="eastAsia" w:ascii="宋体" w:hAnsi="宋体" w:cs="宋体"/>
          <w:kern w:val="0"/>
          <w:sz w:val="24"/>
          <w:szCs w:val="24"/>
        </w:rPr>
        <w:t>正街英</w:t>
      </w:r>
      <w:r>
        <w:rPr>
          <w:rFonts w:ascii="宋体" w:hAnsi="宋体" w:cs="宋体"/>
          <w:kern w:val="0"/>
          <w:sz w:val="24"/>
          <w:szCs w:val="24"/>
        </w:rPr>
        <w:t>达</w:t>
      </w:r>
      <w:r>
        <w:rPr>
          <w:rFonts w:hint="eastAsia" w:ascii="宋体" w:hAnsi="宋体" w:cs="宋体"/>
          <w:kern w:val="0"/>
          <w:sz w:val="24"/>
          <w:szCs w:val="24"/>
        </w:rPr>
        <w:t>大</w:t>
      </w:r>
      <w:r>
        <w:rPr>
          <w:rFonts w:ascii="宋体" w:hAnsi="宋体" w:cs="宋体"/>
          <w:kern w:val="0"/>
          <w:sz w:val="24"/>
          <w:szCs w:val="24"/>
        </w:rPr>
        <w:t>厦</w:t>
      </w:r>
      <w:r>
        <w:rPr>
          <w:rFonts w:hint="eastAsia" w:ascii="宋体" w:hAnsi="宋体" w:cs="宋体"/>
          <w:kern w:val="0"/>
          <w:sz w:val="24"/>
          <w:szCs w:val="24"/>
        </w:rPr>
        <w:t>1507室</w:t>
      </w:r>
    </w:p>
    <w:p>
      <w:pPr>
        <w:widowControl/>
        <w:wordWrap w:val="0"/>
        <w:spacing w:line="360" w:lineRule="auto"/>
        <w:ind w:firstLine="960" w:firstLineChars="400"/>
        <w:jc w:val="left"/>
        <w:rPr>
          <w:rFonts w:ascii="宋体" w:hAnsi="宋体" w:cs="宋体"/>
          <w:kern w:val="0"/>
          <w:sz w:val="24"/>
          <w:szCs w:val="24"/>
        </w:rPr>
      </w:pPr>
      <w:r>
        <w:rPr>
          <w:rFonts w:ascii="宋体" w:hAnsi="宋体" w:cs="宋体"/>
          <w:kern w:val="0"/>
          <w:sz w:val="24"/>
          <w:szCs w:val="24"/>
        </w:rPr>
        <w:t>联</w:t>
      </w:r>
      <w:r>
        <w:rPr>
          <w:rFonts w:hint="eastAsia" w:ascii="宋体" w:hAnsi="宋体" w:cs="宋体"/>
          <w:kern w:val="0"/>
          <w:sz w:val="24"/>
          <w:szCs w:val="24"/>
        </w:rPr>
        <w:t>系方式：</w:t>
      </w:r>
      <w:r>
        <w:rPr>
          <w:rFonts w:ascii="宋体" w:hAnsi="宋体" w:cs="宋体"/>
          <w:kern w:val="0"/>
          <w:sz w:val="24"/>
          <w:szCs w:val="24"/>
        </w:rPr>
        <w:t>029-</w:t>
      </w:r>
      <w:r>
        <w:rPr>
          <w:rFonts w:hint="eastAsia" w:ascii="宋体" w:hAnsi="宋体" w:cs="宋体"/>
          <w:kern w:val="0"/>
          <w:sz w:val="24"/>
          <w:szCs w:val="24"/>
        </w:rPr>
        <w:t>88319689</w:t>
      </w: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bCs/>
          <w:kern w:val="0"/>
          <w:sz w:val="24"/>
          <w:szCs w:val="24"/>
        </w:rPr>
      </w:pPr>
      <w:r>
        <w:rPr>
          <w:rFonts w:hint="eastAsia" w:asciiTheme="minorEastAsia" w:hAnsiTheme="minorEastAsia" w:cstheme="minorEastAsia"/>
          <w:kern w:val="0"/>
          <w:sz w:val="24"/>
          <w:szCs w:val="24"/>
        </w:rPr>
        <w:t>采购内容和要求：</w:t>
      </w:r>
    </w:p>
    <w:tbl>
      <w:tblPr>
        <w:tblStyle w:val="27"/>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34"/>
        <w:gridCol w:w="954"/>
        <w:gridCol w:w="1580"/>
        <w:gridCol w:w="1398"/>
        <w:gridCol w:w="1716"/>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序号</w:t>
            </w:r>
          </w:p>
        </w:tc>
        <w:tc>
          <w:tcPr>
            <w:tcW w:w="1834"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954"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58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采购预算金额</w:t>
            </w:r>
          </w:p>
        </w:tc>
        <w:tc>
          <w:tcPr>
            <w:tcW w:w="1398"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716"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44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834"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rPr>
              <w:t>双活存储扩容</w:t>
            </w:r>
            <w:r>
              <w:rPr>
                <w:rFonts w:hint="eastAsia" w:ascii="宋体" w:hAnsi="宋体" w:cs="宋体"/>
                <w:color w:val="auto"/>
                <w:kern w:val="0"/>
                <w:sz w:val="21"/>
                <w:szCs w:val="21"/>
                <w:highlight w:val="none"/>
                <w:lang w:eastAsia="zh-CN"/>
              </w:rPr>
              <w:t>服务</w:t>
            </w:r>
          </w:p>
        </w:tc>
        <w:tc>
          <w:tcPr>
            <w:tcW w:w="95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2套</w:t>
            </w:r>
          </w:p>
        </w:tc>
        <w:tc>
          <w:tcPr>
            <w:tcW w:w="1580" w:type="dxa"/>
            <w:vMerge w:val="restart"/>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eastAsia="宋体" w:cs="宋体"/>
                <w:kern w:val="0"/>
                <w:sz w:val="21"/>
                <w:szCs w:val="21"/>
                <w:highlight w:val="none"/>
                <w:lang w:val="en-US" w:eastAsia="zh-CN"/>
              </w:rPr>
              <w:t>990000.00</w:t>
            </w:r>
            <w:r>
              <w:rPr>
                <w:rFonts w:hint="eastAsia" w:ascii="宋体" w:hAnsi="宋体" w:cs="宋体"/>
                <w:sz w:val="21"/>
                <w:szCs w:val="21"/>
                <w:highlight w:val="none"/>
                <w:lang w:val="en-US" w:eastAsia="zh-CN"/>
              </w:rPr>
              <w:t>元</w:t>
            </w:r>
          </w:p>
        </w:tc>
        <w:tc>
          <w:tcPr>
            <w:tcW w:w="1398" w:type="dxa"/>
            <w:vMerge w:val="restart"/>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716" w:type="dxa"/>
            <w:vMerge w:val="restart"/>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财政性资金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44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834"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rPr>
              <w:t>虚拟化服务器内存扩容</w:t>
            </w:r>
            <w:r>
              <w:rPr>
                <w:rFonts w:hint="eastAsia" w:ascii="宋体" w:hAnsi="宋体" w:cs="宋体"/>
                <w:color w:val="auto"/>
                <w:kern w:val="0"/>
                <w:sz w:val="21"/>
                <w:szCs w:val="21"/>
                <w:highlight w:val="none"/>
                <w:lang w:eastAsia="zh-CN"/>
              </w:rPr>
              <w:t>服务</w:t>
            </w:r>
          </w:p>
        </w:tc>
        <w:tc>
          <w:tcPr>
            <w:tcW w:w="95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96套</w:t>
            </w:r>
          </w:p>
        </w:tc>
        <w:tc>
          <w:tcPr>
            <w:tcW w:w="1580" w:type="dxa"/>
            <w:vMerge w:val="continue"/>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p>
        </w:tc>
        <w:tc>
          <w:tcPr>
            <w:tcW w:w="1398" w:type="dxa"/>
            <w:vMerge w:val="continue"/>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p>
        </w:tc>
        <w:tc>
          <w:tcPr>
            <w:tcW w:w="1716" w:type="dxa"/>
            <w:vMerge w:val="continue"/>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44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r>
    </w:tbl>
    <w:p>
      <w:pPr>
        <w:widowControl/>
        <w:numPr>
          <w:ilvl w:val="0"/>
          <w:numId w:val="0"/>
        </w:numPr>
        <w:tabs>
          <w:tab w:val="left" w:pos="1620"/>
        </w:tabs>
        <w:wordWrap w:val="0"/>
        <w:snapToGrid w:val="0"/>
        <w:spacing w:line="360" w:lineRule="auto"/>
        <w:jc w:val="left"/>
        <w:rPr>
          <w:rFonts w:asciiTheme="minorEastAsia" w:hAnsiTheme="minorEastAsia" w:cstheme="minorEastAsia"/>
          <w:bCs/>
          <w:kern w:val="0"/>
          <w:sz w:val="24"/>
          <w:szCs w:val="24"/>
        </w:rPr>
      </w:pP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供应商资质要求：</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符合《中华人民共和国政府采购法》第二十二条规定，并提供以下材料：</w:t>
      </w:r>
    </w:p>
    <w:p>
      <w:pPr>
        <w:numPr>
          <w:ilvl w:val="0"/>
          <w:numId w:val="3"/>
        </w:numPr>
        <w:snapToGrid w:val="0"/>
        <w:spacing w:line="360" w:lineRule="auto"/>
        <w:ind w:firstLine="567"/>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社会保障资金缴纳证明：提供2022年1月至今已缴存的至少一个月的社会保障资金缴存单据或社保机构开具的社会保险参保缴费情况证明，单据或证明上应有社保机构或代收机构的公章；依法不需要缴纳社会保障资金的供应商应提供相关文件证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税收缴纳证明：提供2022年1月至今已缴纳的至少一个月的纳税证明或完税证明；依法免税的单位应提供相关证明材料；</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财务状况证明：提供经会计师事务所审计的2021年</w:t>
      </w:r>
      <w:r>
        <w:rPr>
          <w:rFonts w:hint="eastAsia" w:ascii="宋体" w:hAnsi="宋体" w:cs="宋体"/>
          <w:bCs/>
          <w:kern w:val="0"/>
          <w:sz w:val="24"/>
          <w:szCs w:val="24"/>
          <w:lang w:eastAsia="zh-CN"/>
        </w:rPr>
        <w:t>或</w:t>
      </w:r>
      <w:r>
        <w:rPr>
          <w:rFonts w:hint="eastAsia" w:ascii="宋体" w:hAnsi="宋体" w:cs="宋体"/>
          <w:bCs/>
          <w:kern w:val="0"/>
          <w:sz w:val="24"/>
          <w:szCs w:val="24"/>
          <w:lang w:val="en-US" w:eastAsia="zh-CN"/>
        </w:rPr>
        <w:t>2022年</w:t>
      </w:r>
      <w:r>
        <w:rPr>
          <w:rFonts w:hint="eastAsia" w:ascii="宋体" w:hAnsi="宋体" w:cs="宋体"/>
          <w:bCs/>
          <w:kern w:val="0"/>
          <w:sz w:val="24"/>
          <w:szCs w:val="24"/>
        </w:rPr>
        <w:t>财务审计报告，或在磋商日期前六个月内其基本开户银行出具的资信证明；</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供应商信誉证明：提供在参加政府采购活动前3年内在经营活动中没有重大违法记录，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w:t>
      </w:r>
    </w:p>
    <w:p>
      <w:pPr>
        <w:numPr>
          <w:ilvl w:val="0"/>
          <w:numId w:val="3"/>
        </w:numPr>
        <w:snapToGrid w:val="0"/>
        <w:spacing w:line="360" w:lineRule="auto"/>
        <w:ind w:firstLine="567"/>
        <w:jc w:val="left"/>
        <w:rPr>
          <w:rFonts w:ascii="宋体" w:hAnsi="宋体" w:cs="宋体"/>
          <w:bCs/>
          <w:kern w:val="0"/>
          <w:sz w:val="24"/>
          <w:szCs w:val="24"/>
        </w:rPr>
      </w:pPr>
      <w:r>
        <w:rPr>
          <w:rFonts w:hint="eastAsia" w:ascii="宋体" w:hAnsi="宋体" w:cs="宋体"/>
          <w:bCs/>
          <w:kern w:val="0"/>
          <w:sz w:val="24"/>
          <w:szCs w:val="24"/>
        </w:rPr>
        <w:t>非法定代表人</w:t>
      </w:r>
      <w:bookmarkStart w:id="251" w:name="_GoBack"/>
      <w:bookmarkEnd w:id="251"/>
      <w:r>
        <w:rPr>
          <w:rFonts w:hint="eastAsia" w:ascii="宋体" w:hAnsi="宋体" w:cs="宋体"/>
          <w:bCs/>
          <w:kern w:val="0"/>
          <w:sz w:val="24"/>
          <w:szCs w:val="24"/>
        </w:rPr>
        <w:t>参加投标的，须提供法定代表人授权委托书及被授权人身份证原件；法定代表人参加投标时,只须提供法定代表人身份证原件；</w:t>
      </w:r>
    </w:p>
    <w:p>
      <w:pPr>
        <w:numPr>
          <w:ilvl w:val="0"/>
          <w:numId w:val="0"/>
        </w:numPr>
        <w:snapToGrid w:val="0"/>
        <w:spacing w:line="360" w:lineRule="auto"/>
        <w:ind w:left="630" w:leftChars="0"/>
        <w:jc w:val="left"/>
        <w:rPr>
          <w:rFonts w:ascii="宋体" w:hAnsi="宋体" w:cs="宋体"/>
          <w:bCs/>
          <w:kern w:val="0"/>
          <w:sz w:val="24"/>
          <w:szCs w:val="24"/>
        </w:rPr>
      </w:pPr>
      <w:r>
        <w:rPr>
          <w:rFonts w:hint="eastAsia" w:ascii="宋体" w:hAnsi="宋体" w:cs="宋体"/>
          <w:bCs/>
          <w:kern w:val="0"/>
          <w:sz w:val="24"/>
          <w:szCs w:val="24"/>
          <w:lang w:val="en-US" w:eastAsia="zh-CN"/>
        </w:rPr>
        <w:t>7、</w:t>
      </w:r>
      <w:r>
        <w:rPr>
          <w:rFonts w:hint="eastAsia" w:ascii="宋体" w:hAnsi="宋体" w:cs="宋体"/>
          <w:bCs/>
          <w:kern w:val="0"/>
          <w:sz w:val="24"/>
          <w:szCs w:val="24"/>
        </w:rPr>
        <w:t>本项目不接受联合体磋商。</w:t>
      </w: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采购项目需要落实的政府采购政策： </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采购节能产品、鼓励环保产品、促进残疾人就业、扶持福利企业、支持中小微企业、支持监狱和戒毒企业、限制采购进口产品等政策，将落实相关政策，具体详见磋商文</w:t>
      </w:r>
      <w:r>
        <w:rPr>
          <w:rFonts w:hint="eastAsia" w:ascii="宋体" w:hAnsi="宋体" w:cs="宋体"/>
          <w:bCs/>
          <w:kern w:val="0"/>
          <w:sz w:val="24"/>
          <w:szCs w:val="24"/>
        </w:rPr>
        <w:t>件。</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1、《政府采购促进中小企业发展管理办法》（财库〔2020〕46号）；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2、《财政部 司法部关于政府采购支持监狱企业发展有关问题的通知》（财库〔2014〕68号）；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3、《国务院办公厅关于建立政府强制采购节能产品制度的通知》（国办发〔2007〕51号）；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4、《节能产品政府采购实施意见》（财库[2004]185号）；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5、《环境标志产品政府采购实施的意见》（财库[2006]90号）；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6、《三部门联合发布关于促进残疾人就业政府采购政策的通知》（财库〔2017〕141号）；</w:t>
      </w:r>
    </w:p>
    <w:p>
      <w:pPr>
        <w:widowControl/>
        <w:tabs>
          <w:tab w:val="left" w:pos="1620"/>
        </w:tabs>
        <w:wordWrap w:val="0"/>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7、《陕西省中小企业政府采购信用融资办法》（陕财办采〔2018〕23号）；</w:t>
      </w:r>
    </w:p>
    <w:p>
      <w:pPr>
        <w:widowControl/>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bCs/>
          <w:kern w:val="0"/>
          <w:sz w:val="24"/>
          <w:szCs w:val="24"/>
        </w:rPr>
        <w:t>8、其他需要落实的政府采购政策；</w:t>
      </w: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kern w:val="0"/>
          <w:sz w:val="24"/>
          <w:szCs w:val="24"/>
        </w:rPr>
      </w:pPr>
      <w:r>
        <w:rPr>
          <w:rFonts w:hint="eastAsia" w:ascii="宋体" w:hAnsi="宋体" w:cs="宋体"/>
          <w:kern w:val="0"/>
          <w:sz w:val="24"/>
          <w:szCs w:val="24"/>
        </w:rPr>
        <w:t>竞争性磋商文件</w:t>
      </w:r>
      <w:r>
        <w:rPr>
          <w:rFonts w:hint="eastAsia" w:asciiTheme="minorEastAsia" w:hAnsiTheme="minorEastAsia" w:cstheme="minorEastAsia"/>
          <w:kern w:val="0"/>
          <w:sz w:val="24"/>
          <w:szCs w:val="24"/>
        </w:rPr>
        <w:t>发售：</w:t>
      </w:r>
    </w:p>
    <w:p>
      <w:pPr>
        <w:snapToGri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kern w:val="0"/>
          <w:sz w:val="24"/>
          <w:szCs w:val="24"/>
          <w:highlight w:val="none"/>
        </w:rPr>
        <w:t>1、发售时</w:t>
      </w:r>
      <w:r>
        <w:rPr>
          <w:rFonts w:hint="eastAsia" w:asciiTheme="minorEastAsia" w:hAnsiTheme="minorEastAsia" w:cstheme="minorEastAsia"/>
          <w:color w:val="000000"/>
          <w:sz w:val="24"/>
          <w:szCs w:val="24"/>
          <w:highlight w:val="none"/>
        </w:rPr>
        <w:t>间：</w:t>
      </w:r>
      <w:r>
        <w:rPr>
          <w:rFonts w:hint="eastAsia" w:asciiTheme="minorEastAsia" w:hAnsiTheme="minorEastAsia" w:cstheme="minorEastAsia"/>
          <w:b/>
          <w:bCs/>
          <w:color w:val="000000"/>
          <w:sz w:val="24"/>
          <w:szCs w:val="24"/>
          <w:highlight w:val="none"/>
        </w:rPr>
        <w:t>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03</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28</w:t>
      </w:r>
      <w:r>
        <w:rPr>
          <w:rFonts w:hint="eastAsia" w:asciiTheme="minorEastAsia" w:hAnsiTheme="minorEastAsia" w:cstheme="minorEastAsia"/>
          <w:b/>
          <w:bCs/>
          <w:color w:val="000000"/>
          <w:sz w:val="24"/>
          <w:szCs w:val="24"/>
          <w:highlight w:val="none"/>
        </w:rPr>
        <w:t>日起至202</w:t>
      </w:r>
      <w:r>
        <w:rPr>
          <w:rFonts w:hint="eastAsia" w:asciiTheme="minorEastAsia" w:hAnsiTheme="minorEastAsia" w:cstheme="minorEastAsia"/>
          <w:b/>
          <w:bCs/>
          <w:color w:val="000000"/>
          <w:sz w:val="24"/>
          <w:szCs w:val="24"/>
          <w:highlight w:val="none"/>
          <w:lang w:val="en-US" w:eastAsia="zh-CN"/>
        </w:rPr>
        <w:t>3</w:t>
      </w:r>
      <w:r>
        <w:rPr>
          <w:rFonts w:hint="eastAsia" w:asciiTheme="minorEastAsia" w:hAnsiTheme="minorEastAsia" w:cstheme="minorEastAsia"/>
          <w:b/>
          <w:bCs/>
          <w:color w:val="000000"/>
          <w:sz w:val="24"/>
          <w:szCs w:val="24"/>
          <w:highlight w:val="none"/>
        </w:rPr>
        <w:t>年</w:t>
      </w:r>
      <w:r>
        <w:rPr>
          <w:rFonts w:hint="eastAsia" w:asciiTheme="minorEastAsia" w:hAnsiTheme="minorEastAsia" w:cstheme="minorEastAsia"/>
          <w:b/>
          <w:bCs/>
          <w:color w:val="000000"/>
          <w:sz w:val="24"/>
          <w:szCs w:val="24"/>
          <w:highlight w:val="none"/>
          <w:lang w:val="en-US" w:eastAsia="zh-CN"/>
        </w:rPr>
        <w:t>04</w:t>
      </w:r>
      <w:r>
        <w:rPr>
          <w:rFonts w:hint="eastAsia" w:asciiTheme="minorEastAsia" w:hAnsiTheme="minorEastAsia" w:cstheme="minorEastAsia"/>
          <w:b/>
          <w:bCs/>
          <w:color w:val="000000"/>
          <w:sz w:val="24"/>
          <w:szCs w:val="24"/>
          <w:highlight w:val="none"/>
        </w:rPr>
        <w:t>月</w:t>
      </w:r>
      <w:r>
        <w:rPr>
          <w:rFonts w:hint="eastAsia" w:asciiTheme="minorEastAsia" w:hAnsiTheme="minorEastAsia" w:cstheme="minorEastAsia"/>
          <w:b/>
          <w:bCs/>
          <w:color w:val="000000"/>
          <w:sz w:val="24"/>
          <w:szCs w:val="24"/>
          <w:highlight w:val="none"/>
          <w:lang w:val="en-US" w:eastAsia="zh-CN"/>
        </w:rPr>
        <w:t>04</w:t>
      </w:r>
      <w:r>
        <w:rPr>
          <w:rFonts w:hint="eastAsia" w:asciiTheme="minorEastAsia" w:hAnsiTheme="minorEastAsia" w:cstheme="minorEastAsia"/>
          <w:b/>
          <w:bCs/>
          <w:color w:val="000000"/>
          <w:sz w:val="24"/>
          <w:szCs w:val="24"/>
          <w:highlight w:val="none"/>
        </w:rPr>
        <w:t>日</w:t>
      </w:r>
      <w:r>
        <w:rPr>
          <w:rFonts w:hint="eastAsia" w:asciiTheme="minorEastAsia" w:hAnsiTheme="minorEastAsia" w:cstheme="minorEastAsia"/>
          <w:color w:val="000000"/>
          <w:sz w:val="24"/>
          <w:szCs w:val="24"/>
          <w:highlight w:val="none"/>
        </w:rPr>
        <w:t>止</w:t>
      </w:r>
    </w:p>
    <w:p>
      <w:pPr>
        <w:snapToGrid w:val="0"/>
        <w:spacing w:line="360" w:lineRule="auto"/>
        <w:ind w:firstLine="480" w:firstLineChars="200"/>
        <w:rPr>
          <w:rFonts w:asciiTheme="minorEastAsia" w:hAnsiTheme="minorEastAsia" w:cstheme="minorEastAsia"/>
          <w:color w:val="000000"/>
          <w:sz w:val="24"/>
          <w:szCs w:val="24"/>
          <w:highlight w:val="none"/>
        </w:rPr>
      </w:pPr>
      <w:r>
        <w:rPr>
          <w:rFonts w:hint="eastAsia" w:asciiTheme="minorEastAsia" w:hAnsiTheme="minorEastAsia" w:cstheme="minorEastAsia"/>
          <w:color w:val="000000"/>
          <w:sz w:val="24"/>
          <w:szCs w:val="24"/>
          <w:highlight w:val="none"/>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2、发售地点：西安市莲湖区西关正街英达大厦1507室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3、文件售价：¥0元/套。售后不退，谢绝邮寄。</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注：供应商领取标书时，请携带单位介绍信及经办人身份证原件及复印件加盖公章；</w:t>
      </w: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kern w:val="0"/>
          <w:sz w:val="24"/>
          <w:szCs w:val="24"/>
          <w:highlight w:val="none"/>
        </w:rPr>
      </w:pPr>
      <w:r>
        <w:rPr>
          <w:rFonts w:hint="eastAsia" w:ascii="宋体" w:hAnsi="宋体" w:cs="宋体"/>
          <w:kern w:val="0"/>
          <w:sz w:val="24"/>
          <w:szCs w:val="24"/>
          <w:highlight w:val="none"/>
        </w:rPr>
        <w:t>磋商响应文件递交截止时间及磋商时间和地点</w:t>
      </w:r>
      <w:r>
        <w:rPr>
          <w:rFonts w:hint="eastAsia" w:asciiTheme="minorEastAsia" w:hAnsiTheme="minorEastAsia" w:cstheme="minorEastAsia"/>
          <w:kern w:val="0"/>
          <w:sz w:val="24"/>
          <w:szCs w:val="24"/>
          <w:highlight w:val="none"/>
        </w:rPr>
        <w:t>：</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1、磋商响应文件递交截止时</w:t>
      </w:r>
      <w:r>
        <w:rPr>
          <w:rFonts w:hint="eastAsia" w:asciiTheme="minorEastAsia" w:hAnsiTheme="minorEastAsia" w:cstheme="minorEastAsia"/>
          <w:color w:val="000000"/>
          <w:sz w:val="24"/>
          <w:szCs w:val="24"/>
          <w:highlight w:val="none"/>
        </w:rPr>
        <w:t>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04</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10</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0时</w:t>
      </w:r>
    </w:p>
    <w:p>
      <w:pPr>
        <w:widowControl/>
        <w:wordWrap w:val="0"/>
        <w:snapToGrid w:val="0"/>
        <w:spacing w:line="360" w:lineRule="auto"/>
        <w:ind w:right="-199" w:rightChars="-95" w:firstLine="720" w:firstLineChars="3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2、磋商时间：</w:t>
      </w:r>
      <w:r>
        <w:rPr>
          <w:rFonts w:hint="eastAsia" w:asciiTheme="minorEastAsia" w:hAnsiTheme="minorEastAsia" w:cstheme="minorEastAsia"/>
          <w:b/>
          <w:bCs/>
          <w:kern w:val="0"/>
          <w:sz w:val="24"/>
          <w:szCs w:val="24"/>
          <w:highlight w:val="none"/>
        </w:rPr>
        <w:t>202</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年</w:t>
      </w:r>
      <w:r>
        <w:rPr>
          <w:rFonts w:hint="eastAsia" w:asciiTheme="minorEastAsia" w:hAnsiTheme="minorEastAsia" w:cstheme="minorEastAsia"/>
          <w:b/>
          <w:bCs/>
          <w:kern w:val="0"/>
          <w:sz w:val="24"/>
          <w:szCs w:val="24"/>
          <w:highlight w:val="none"/>
          <w:lang w:val="en-US" w:eastAsia="zh-CN"/>
        </w:rPr>
        <w:t>04</w:t>
      </w:r>
      <w:r>
        <w:rPr>
          <w:rFonts w:hint="eastAsia" w:asciiTheme="minorEastAsia" w:hAnsiTheme="minorEastAsia" w:cstheme="minorEastAsia"/>
          <w:b/>
          <w:bCs/>
          <w:kern w:val="0"/>
          <w:sz w:val="24"/>
          <w:szCs w:val="24"/>
          <w:highlight w:val="none"/>
        </w:rPr>
        <w:t>月</w:t>
      </w:r>
      <w:r>
        <w:rPr>
          <w:rFonts w:hint="eastAsia" w:asciiTheme="minorEastAsia" w:hAnsiTheme="minorEastAsia" w:cstheme="minorEastAsia"/>
          <w:b/>
          <w:bCs/>
          <w:kern w:val="0"/>
          <w:sz w:val="24"/>
          <w:szCs w:val="24"/>
          <w:highlight w:val="none"/>
          <w:lang w:val="en-US" w:eastAsia="zh-CN"/>
        </w:rPr>
        <w:t>10</w:t>
      </w:r>
      <w:r>
        <w:rPr>
          <w:rFonts w:hint="eastAsia" w:asciiTheme="minorEastAsia" w:hAnsiTheme="minorEastAsia" w:cstheme="minorEastAsia"/>
          <w:b/>
          <w:bCs/>
          <w:kern w:val="0"/>
          <w:sz w:val="24"/>
          <w:szCs w:val="24"/>
          <w:highlight w:val="none"/>
        </w:rPr>
        <w:t>日</w:t>
      </w:r>
      <w:r>
        <w:rPr>
          <w:rFonts w:hint="eastAsia" w:asciiTheme="minorEastAsia" w:hAnsiTheme="minorEastAsia" w:cstheme="minorEastAsia"/>
          <w:b/>
          <w:bCs/>
          <w:kern w:val="0"/>
          <w:sz w:val="24"/>
          <w:szCs w:val="24"/>
          <w:highlight w:val="none"/>
          <w:lang w:val="en-US" w:eastAsia="zh-CN"/>
        </w:rPr>
        <w:t>09</w:t>
      </w:r>
      <w:r>
        <w:rPr>
          <w:rFonts w:hint="eastAsia" w:asciiTheme="minorEastAsia" w:hAnsiTheme="minorEastAsia" w:cstheme="minorEastAsia"/>
          <w:b/>
          <w:bCs/>
          <w:kern w:val="0"/>
          <w:sz w:val="24"/>
          <w:szCs w:val="24"/>
          <w:highlight w:val="none"/>
        </w:rPr>
        <w:t>:</w:t>
      </w:r>
      <w:r>
        <w:rPr>
          <w:rFonts w:hint="eastAsia" w:asciiTheme="minorEastAsia" w:hAnsiTheme="minorEastAsia" w:cstheme="minorEastAsia"/>
          <w:b/>
          <w:bCs/>
          <w:kern w:val="0"/>
          <w:sz w:val="24"/>
          <w:szCs w:val="24"/>
          <w:highlight w:val="none"/>
          <w:lang w:val="en-US" w:eastAsia="zh-CN"/>
        </w:rPr>
        <w:t>3</w:t>
      </w:r>
      <w:r>
        <w:rPr>
          <w:rFonts w:hint="eastAsia" w:asciiTheme="minorEastAsia" w:hAnsiTheme="minorEastAsia" w:cstheme="minorEastAsia"/>
          <w:b/>
          <w:bCs/>
          <w:kern w:val="0"/>
          <w:sz w:val="24"/>
          <w:szCs w:val="24"/>
          <w:highlight w:val="none"/>
        </w:rPr>
        <w:t>0时</w:t>
      </w:r>
    </w:p>
    <w:p>
      <w:pPr>
        <w:widowControl/>
        <w:tabs>
          <w:tab w:val="left" w:pos="162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3、磋商地点：西安市莲湖区西关正街英达大厦</w:t>
      </w:r>
      <w:r>
        <w:rPr>
          <w:rFonts w:hint="eastAsia" w:asciiTheme="minorEastAsia" w:hAnsiTheme="minorEastAsia" w:cstheme="minorEastAsia"/>
          <w:kern w:val="0"/>
          <w:sz w:val="24"/>
          <w:szCs w:val="24"/>
          <w:highlight w:val="none"/>
          <w:lang w:val="en-US" w:eastAsia="zh-CN"/>
        </w:rPr>
        <w:t>1503</w:t>
      </w:r>
      <w:r>
        <w:rPr>
          <w:rFonts w:hint="eastAsia" w:asciiTheme="minorEastAsia" w:hAnsiTheme="minorEastAsia" w:cstheme="minorEastAsia"/>
          <w:kern w:val="0"/>
          <w:sz w:val="24"/>
          <w:szCs w:val="24"/>
          <w:highlight w:val="none"/>
        </w:rPr>
        <w:t>会议室</w:t>
      </w:r>
    </w:p>
    <w:p>
      <w:pPr>
        <w:widowControl/>
        <w:numPr>
          <w:ilvl w:val="0"/>
          <w:numId w:val="2"/>
        </w:numPr>
        <w:tabs>
          <w:tab w:val="left" w:pos="1620"/>
        </w:tabs>
        <w:wordWrap w:val="0"/>
        <w:snapToGrid w:val="0"/>
        <w:spacing w:line="360" w:lineRule="auto"/>
        <w:ind w:left="-60" w:leftChars="0" w:firstLine="480" w:firstLineChars="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其它应说明的事项：</w:t>
      </w:r>
    </w:p>
    <w:p>
      <w:pPr>
        <w:widowControl/>
        <w:wordWrap w:val="0"/>
        <w:snapToGrid w:val="0"/>
        <w:spacing w:line="360" w:lineRule="auto"/>
        <w:ind w:firstLine="480" w:firstLineChars="2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rPr>
        <w:t xml:space="preserve">   1、采购项目联系人：崔方明 刘嘉辉 </w:t>
      </w:r>
      <w:r>
        <w:rPr>
          <w:rFonts w:hint="eastAsia" w:asciiTheme="minorEastAsia" w:hAnsiTheme="minorEastAsia" w:cstheme="minorEastAsia"/>
          <w:kern w:val="0"/>
          <w:sz w:val="24"/>
          <w:szCs w:val="24"/>
          <w:highlight w:val="none"/>
          <w:lang w:val="en-US" w:eastAsia="zh-CN"/>
        </w:rPr>
        <w:t xml:space="preserve"> </w:t>
      </w:r>
      <w:r>
        <w:rPr>
          <w:rFonts w:hint="eastAsia" w:asciiTheme="minorEastAsia" w:hAnsiTheme="minorEastAsia" w:cstheme="minorEastAsia"/>
          <w:kern w:val="0"/>
          <w:sz w:val="24"/>
          <w:szCs w:val="24"/>
          <w:highlight w:val="none"/>
        </w:rPr>
        <w:t>许芳芳</w:t>
      </w:r>
      <w:r>
        <w:rPr>
          <w:rFonts w:hint="eastAsia" w:asciiTheme="minorEastAsia" w:hAnsiTheme="minorEastAsia" w:cstheme="minorEastAsia"/>
          <w:kern w:val="0"/>
          <w:sz w:val="24"/>
          <w:szCs w:val="24"/>
          <w:highlight w:val="none"/>
          <w:lang w:val="en-US" w:eastAsia="zh-CN"/>
        </w:rPr>
        <w:t xml:space="preserve"> 赵志文</w:t>
      </w:r>
    </w:p>
    <w:p>
      <w:pPr>
        <w:widowControl/>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联系方式（电话/传真）：029-88319689-804/811</w:t>
      </w:r>
    </w:p>
    <w:p>
      <w:pPr>
        <w:widowControl/>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2、采购代理机构开户名称：陕西万泽招标有限公司</w:t>
      </w:r>
    </w:p>
    <w:p>
      <w:pPr>
        <w:widowControl/>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3、开户行名称：西安银行朝阳门支行</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 xml:space="preserve">      账      号：211011580000015489</w:t>
      </w:r>
    </w:p>
    <w:p>
      <w:pPr>
        <w:widowControl/>
        <w:tabs>
          <w:tab w:val="left" w:pos="0"/>
        </w:tabs>
        <w:wordWrap w:val="0"/>
        <w:snapToGrid w:val="0"/>
        <w:spacing w:line="360" w:lineRule="auto"/>
        <w:ind w:firstLine="480" w:firstLineChars="20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十一、</w:t>
      </w:r>
      <w:r>
        <w:rPr>
          <w:rFonts w:hint="eastAsia" w:ascii="宋体" w:hAnsi="宋体" w:cs="宋体"/>
          <w:kern w:val="0"/>
          <w:sz w:val="24"/>
          <w:szCs w:val="24"/>
          <w:highlight w:val="none"/>
        </w:rPr>
        <w:t>竞争性磋商公告的公告期限为5个工作日。</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pP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陕西万泽招标有限公司</w:t>
      </w:r>
    </w:p>
    <w:p>
      <w:pPr>
        <w:widowControl/>
        <w:tabs>
          <w:tab w:val="left" w:pos="1620"/>
        </w:tabs>
        <w:snapToGrid w:val="0"/>
        <w:spacing w:line="360" w:lineRule="auto"/>
        <w:ind w:firstLine="420" w:firstLineChars="175"/>
        <w:jc w:val="righ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202</w:t>
      </w:r>
      <w:r>
        <w:rPr>
          <w:rFonts w:hint="eastAsia" w:asciiTheme="minorEastAsia" w:hAnsiTheme="minorEastAsia" w:cstheme="minorEastAsia"/>
          <w:kern w:val="0"/>
          <w:sz w:val="24"/>
          <w:szCs w:val="24"/>
          <w:highlight w:val="none"/>
          <w:lang w:val="en-US" w:eastAsia="zh-CN"/>
        </w:rPr>
        <w:t>3</w:t>
      </w:r>
      <w:r>
        <w:rPr>
          <w:rFonts w:hint="eastAsia" w:asciiTheme="minorEastAsia" w:hAnsi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03</w:t>
      </w:r>
      <w:r>
        <w:rPr>
          <w:rFonts w:hint="eastAsia" w:asciiTheme="minorEastAsia" w:hAnsiTheme="minorEastAsia" w:cstheme="minorEastAsia"/>
          <w:kern w:val="0"/>
          <w:sz w:val="24"/>
          <w:szCs w:val="24"/>
          <w:highlight w:val="none"/>
        </w:rPr>
        <w:t>月</w:t>
      </w:r>
      <w:r>
        <w:rPr>
          <w:rFonts w:hint="eastAsia" w:asciiTheme="minorEastAsia" w:hAnsiTheme="minorEastAsia" w:cstheme="minorEastAsia"/>
          <w:kern w:val="0"/>
          <w:sz w:val="24"/>
          <w:szCs w:val="24"/>
          <w:highlight w:val="none"/>
          <w:lang w:val="en-US" w:eastAsia="zh-CN"/>
        </w:rPr>
        <w:t>28</w:t>
      </w:r>
      <w:r>
        <w:rPr>
          <w:rFonts w:hint="eastAsia" w:asciiTheme="minorEastAsia" w:hAnsiTheme="minorEastAsia" w:cstheme="minorEastAsia"/>
          <w:kern w:val="0"/>
          <w:sz w:val="24"/>
          <w:szCs w:val="24"/>
          <w:highlight w:val="none"/>
        </w:rPr>
        <w:t>日</w:t>
      </w:r>
    </w:p>
    <w:p>
      <w:pPr>
        <w:rPr>
          <w:rFonts w:asciiTheme="minorEastAsia" w:hAnsiTheme="minorEastAsia" w:cstheme="minorEastAsia"/>
          <w:kern w:val="0"/>
          <w:sz w:val="24"/>
          <w:szCs w:val="24"/>
        </w:rPr>
      </w:pPr>
      <w:r>
        <w:rPr>
          <w:rFonts w:hint="eastAsia" w:asciiTheme="minorEastAsia" w:hAnsiTheme="minorEastAsia" w:cstheme="minorEastAsia"/>
          <w:kern w:val="0"/>
          <w:sz w:val="24"/>
          <w:szCs w:val="24"/>
        </w:rPr>
        <w:br w:type="page"/>
      </w:r>
    </w:p>
    <w:p>
      <w:pPr>
        <w:pStyle w:val="3"/>
        <w:spacing w:beforeLines="100" w:afterLines="50" w:line="600" w:lineRule="exact"/>
        <w:rPr>
          <w:rFonts w:asciiTheme="minorEastAsia" w:hAnsiTheme="minorEastAsia" w:eastAsiaTheme="minorEastAsia" w:cstheme="minorEastAsia"/>
          <w:sz w:val="36"/>
          <w:szCs w:val="36"/>
        </w:rPr>
      </w:pPr>
      <w:bookmarkStart w:id="5" w:name="_Toc30089"/>
      <w:bookmarkStart w:id="6" w:name="_Toc438048787"/>
      <w:bookmarkStart w:id="7" w:name="_Toc8689"/>
      <w:bookmarkStart w:id="8" w:name="_Toc4870"/>
      <w:bookmarkStart w:id="9" w:name="_Toc338"/>
      <w:bookmarkStart w:id="10" w:name="_Toc19272"/>
      <w:bookmarkStart w:id="11" w:name="_Toc262"/>
      <w:r>
        <w:rPr>
          <w:rFonts w:hint="eastAsia" w:asciiTheme="minorEastAsia" w:hAnsiTheme="minorEastAsia" w:eastAsiaTheme="minorEastAsia" w:cstheme="minorEastAsia"/>
          <w:sz w:val="36"/>
          <w:szCs w:val="36"/>
        </w:rPr>
        <w:t xml:space="preserve">第二部分  </w:t>
      </w:r>
      <w:bookmarkEnd w:id="5"/>
      <w:bookmarkEnd w:id="6"/>
      <w:bookmarkEnd w:id="7"/>
      <w:r>
        <w:rPr>
          <w:rFonts w:hint="eastAsia" w:ascii="宋体" w:hAnsi="宋体" w:cs="宋体"/>
          <w:sz w:val="36"/>
          <w:szCs w:val="36"/>
        </w:rPr>
        <w:t>供应商须知前附表</w:t>
      </w:r>
      <w:bookmarkEnd w:id="8"/>
    </w:p>
    <w:tbl>
      <w:tblPr>
        <w:tblStyle w:val="26"/>
        <w:tblpPr w:leftFromText="180" w:rightFromText="180" w:vertAnchor="text" w:horzAnchor="page" w:tblpX="1130" w:tblpY="309"/>
        <w:tblOverlap w:val="never"/>
        <w:tblW w:w="969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966"/>
        <w:gridCol w:w="819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序号</w:t>
            </w:r>
          </w:p>
        </w:tc>
        <w:tc>
          <w:tcPr>
            <w:tcW w:w="966" w:type="dxa"/>
            <w:vAlign w:val="center"/>
          </w:tcPr>
          <w:p>
            <w:pPr>
              <w:spacing w:beforeLines="50" w:line="360" w:lineRule="auto"/>
              <w:rPr>
                <w:rFonts w:asciiTheme="minorEastAsia" w:hAnsiTheme="minorEastAsia" w:cstheme="minorEastAsia"/>
                <w:b/>
                <w:szCs w:val="21"/>
              </w:rPr>
            </w:pPr>
            <w:r>
              <w:rPr>
                <w:rFonts w:hint="eastAsia" w:asciiTheme="minorEastAsia" w:hAnsiTheme="minorEastAsia" w:cstheme="minorEastAsia"/>
                <w:b/>
                <w:szCs w:val="21"/>
              </w:rPr>
              <w:t>条款</w:t>
            </w:r>
          </w:p>
        </w:tc>
        <w:tc>
          <w:tcPr>
            <w:tcW w:w="8193"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restart"/>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1</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项目名称</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lang w:eastAsia="zh-CN"/>
              </w:rPr>
              <w:t>西安市第一医院老院区虚拟化内存扩容及3台服务节点扩容采购项目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Lines="50" w:line="360" w:lineRule="auto"/>
              <w:jc w:val="center"/>
              <w:rPr>
                <w:rFonts w:asciiTheme="minorEastAsia" w:hAnsiTheme="minorEastAsia" w:cstheme="minorEastAsia"/>
                <w:bCs/>
                <w:szCs w:val="21"/>
              </w:rPr>
            </w:pPr>
          </w:p>
        </w:tc>
        <w:tc>
          <w:tcPr>
            <w:tcW w:w="966" w:type="dxa"/>
            <w:vAlign w:val="center"/>
          </w:tcPr>
          <w:p>
            <w:pPr>
              <w:pStyle w:val="14"/>
              <w:jc w:val="left"/>
              <w:rPr>
                <w:rFonts w:asciiTheme="minorEastAsia" w:hAnsiTheme="minorEastAsia" w:cstheme="minorEastAsia"/>
              </w:rPr>
            </w:pPr>
            <w:r>
              <w:rPr>
                <w:rFonts w:hint="eastAsia" w:hAnsi="宋体" w:cs="宋体"/>
              </w:rPr>
              <w:t>采购预算</w:t>
            </w:r>
          </w:p>
        </w:tc>
        <w:tc>
          <w:tcPr>
            <w:tcW w:w="8193" w:type="dxa"/>
            <w:vAlign w:val="center"/>
          </w:tcPr>
          <w:p>
            <w:pPr>
              <w:pStyle w:val="14"/>
              <w:jc w:val="left"/>
              <w:rPr>
                <w:rFonts w:asciiTheme="minorEastAsia" w:hAnsiTheme="minorEastAsia" w:cstheme="minorEastAsia"/>
              </w:rPr>
            </w:pPr>
            <w:r>
              <w:rPr>
                <w:rFonts w:hint="eastAsia" w:hAnsi="宋体" w:cs="宋体"/>
                <w:lang w:val="en-US" w:eastAsia="zh-CN"/>
              </w:rPr>
              <w:t>990000.00</w:t>
            </w:r>
            <w:r>
              <w:rPr>
                <w:rFonts w:hint="eastAsia" w:hAnsi="宋体" w:cs="宋体"/>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Lines="50" w:line="360" w:lineRule="auto"/>
              <w:jc w:val="center"/>
              <w:rPr>
                <w:rFonts w:asciiTheme="minorEastAsia" w:hAnsiTheme="minorEastAsia" w:cstheme="minorEastAsia"/>
                <w:bCs/>
                <w:szCs w:val="21"/>
              </w:rPr>
            </w:pPr>
          </w:p>
        </w:tc>
        <w:tc>
          <w:tcPr>
            <w:tcW w:w="966" w:type="dxa"/>
            <w:vAlign w:val="center"/>
          </w:tcPr>
          <w:p>
            <w:pPr>
              <w:pStyle w:val="14"/>
              <w:jc w:val="left"/>
              <w:rPr>
                <w:rFonts w:asciiTheme="minorEastAsia" w:hAnsiTheme="minorEastAsia" w:cstheme="minorEastAsia"/>
              </w:rPr>
            </w:pPr>
            <w:r>
              <w:rPr>
                <w:rFonts w:hint="eastAsia" w:hAnsi="宋体" w:cs="宋体"/>
              </w:rPr>
              <w:t>项目性质</w:t>
            </w:r>
          </w:p>
        </w:tc>
        <w:tc>
          <w:tcPr>
            <w:tcW w:w="8193" w:type="dxa"/>
            <w:vAlign w:val="center"/>
          </w:tcPr>
          <w:p>
            <w:pPr>
              <w:pStyle w:val="14"/>
              <w:jc w:val="left"/>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财政</w:t>
            </w:r>
            <w:r>
              <w:rPr>
                <w:rFonts w:hint="eastAsia" w:asciiTheme="minorEastAsia" w:hAnsiTheme="minorEastAsia" w:cstheme="minorEastAsia"/>
                <w:color w:val="auto"/>
                <w:lang w:val="en-US" w:eastAsia="zh-CN"/>
              </w:rPr>
              <w:t>性</w:t>
            </w:r>
            <w:r>
              <w:rPr>
                <w:rFonts w:hint="eastAsia" w:asciiTheme="minorEastAsia" w:hAnsiTheme="minorEastAsia" w:cstheme="minorEastAsia"/>
                <w:lang w:val="en-US" w:eastAsia="zh-CN"/>
              </w:rPr>
              <w:t>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atLeast"/>
        </w:trPr>
        <w:tc>
          <w:tcPr>
            <w:tcW w:w="540" w:type="dxa"/>
            <w:vMerge w:val="continue"/>
            <w:vAlign w:val="center"/>
          </w:tcPr>
          <w:p>
            <w:pPr>
              <w:spacing w:beforeLines="50" w:line="360" w:lineRule="auto"/>
              <w:jc w:val="center"/>
              <w:rPr>
                <w:rFonts w:asciiTheme="minorEastAsia" w:hAnsiTheme="minorEastAsia" w:cstheme="minorEastAsia"/>
                <w:bCs/>
                <w:szCs w:val="21"/>
              </w:rPr>
            </w:pPr>
          </w:p>
        </w:tc>
        <w:tc>
          <w:tcPr>
            <w:tcW w:w="966" w:type="dxa"/>
            <w:vAlign w:val="center"/>
          </w:tcPr>
          <w:p>
            <w:pPr>
              <w:spacing w:line="360" w:lineRule="auto"/>
              <w:rPr>
                <w:rFonts w:asciiTheme="minorEastAsia" w:hAnsiTheme="minorEastAsia" w:cstheme="minorEastAsia"/>
                <w:szCs w:val="21"/>
              </w:rPr>
            </w:pPr>
            <w:r>
              <w:rPr>
                <w:rFonts w:hint="eastAsia" w:ascii="宋体" w:hAnsi="宋体" w:cs="宋体"/>
                <w:szCs w:val="21"/>
              </w:rPr>
              <w:t>公告媒体</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陕西省政府采购网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44" w:hRule="atLeast"/>
        </w:trPr>
        <w:tc>
          <w:tcPr>
            <w:tcW w:w="540" w:type="dxa"/>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2</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采购人</w:t>
            </w:r>
          </w:p>
        </w:tc>
        <w:tc>
          <w:tcPr>
            <w:tcW w:w="8193" w:type="dxa"/>
            <w:vAlign w:val="center"/>
          </w:tcPr>
          <w:p>
            <w:pPr>
              <w:widowControl/>
              <w:wordWrap w:val="0"/>
              <w:spacing w:line="360" w:lineRule="auto"/>
              <w:rPr>
                <w:rFonts w:hint="eastAsia" w:eastAsiaTheme="minorEastAsia"/>
                <w:lang w:eastAsia="zh-CN"/>
              </w:rPr>
            </w:pPr>
            <w:r>
              <w:rPr>
                <w:rFonts w:hint="eastAsia"/>
              </w:rPr>
              <w:t>采购人名称：</w:t>
            </w:r>
            <w:r>
              <w:rPr>
                <w:rFonts w:hint="eastAsia" w:asciiTheme="minorEastAsia" w:hAnsiTheme="minorEastAsia" w:cstheme="minorEastAsia"/>
                <w:szCs w:val="21"/>
              </w:rPr>
              <w:t>西安市</w:t>
            </w:r>
            <w:r>
              <w:rPr>
                <w:rFonts w:hint="eastAsia" w:asciiTheme="minorEastAsia" w:hAnsiTheme="minorEastAsia" w:cstheme="minorEastAsia"/>
                <w:szCs w:val="21"/>
                <w:lang w:eastAsia="zh-CN"/>
              </w:rPr>
              <w:t>第一医院</w:t>
            </w:r>
          </w:p>
          <w:p>
            <w:pPr>
              <w:pStyle w:val="2"/>
            </w:pPr>
            <w:r>
              <w:rPr>
                <w:rFonts w:hint="eastAsia"/>
              </w:rPr>
              <w:t>地</w:t>
            </w:r>
            <w:r>
              <w:t xml:space="preserve">    </w:t>
            </w:r>
            <w:r>
              <w:rPr>
                <w:rFonts w:hint="eastAsia"/>
              </w:rPr>
              <w:t>址：</w:t>
            </w:r>
            <w:r>
              <w:rPr>
                <w:rFonts w:hint="eastAsia"/>
                <w:lang w:eastAsia="zh-CN"/>
              </w:rPr>
              <w:t>西安市南大街粉巷30号</w:t>
            </w:r>
            <w:r>
              <w:rPr>
                <w:rFonts w:hint="eastAsia"/>
              </w:rPr>
              <w:t xml:space="preserve">  </w:t>
            </w:r>
          </w:p>
          <w:p>
            <w:pPr>
              <w:pStyle w:val="2"/>
            </w:pPr>
            <w:r>
              <w:t>联</w:t>
            </w:r>
            <w:r>
              <w:rPr>
                <w:rFonts w:hint="eastAsia"/>
              </w:rPr>
              <w:t>系方式：</w:t>
            </w:r>
            <w:r>
              <w:rPr>
                <w:rFonts w:hint="eastAsia"/>
                <w:lang w:val="en-US" w:eastAsia="zh-CN"/>
              </w:rPr>
              <w:t>029-87630967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65" w:hRule="atLeast"/>
        </w:trPr>
        <w:tc>
          <w:tcPr>
            <w:tcW w:w="540" w:type="dxa"/>
            <w:tcBorders>
              <w:top w:val="single" w:color="auto" w:sz="4" w:space="0"/>
            </w:tcBorders>
            <w:vAlign w:val="center"/>
          </w:tcPr>
          <w:p>
            <w:pPr>
              <w:spacing w:beforeLines="50" w:line="360" w:lineRule="auto"/>
              <w:jc w:val="center"/>
              <w:rPr>
                <w:rFonts w:asciiTheme="minorEastAsia" w:hAnsiTheme="minorEastAsia" w:cstheme="minorEastAsia"/>
                <w:b/>
                <w:szCs w:val="21"/>
              </w:rPr>
            </w:pPr>
            <w:r>
              <w:rPr>
                <w:rFonts w:hint="eastAsia" w:asciiTheme="minorEastAsia" w:hAnsiTheme="minorEastAsia" w:cstheme="minorEastAsia"/>
                <w:bCs/>
                <w:szCs w:val="21"/>
              </w:rPr>
              <w:t>3</w:t>
            </w:r>
          </w:p>
        </w:tc>
        <w:tc>
          <w:tcPr>
            <w:tcW w:w="966"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采购代理机构</w:t>
            </w:r>
          </w:p>
        </w:tc>
        <w:tc>
          <w:tcPr>
            <w:tcW w:w="8193" w:type="dxa"/>
            <w:tcBorders>
              <w:top w:val="single" w:color="auto" w:sz="4" w:space="0"/>
            </w:tcBorders>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采购代理机构：陕西万泽招标有限公司</w:t>
            </w:r>
          </w:p>
          <w:p>
            <w:pPr>
              <w:spacing w:line="360" w:lineRule="auto"/>
              <w:rPr>
                <w:rFonts w:asciiTheme="minorEastAsia" w:hAnsiTheme="minorEastAsia" w:cstheme="minorEastAsia"/>
                <w:szCs w:val="21"/>
              </w:rPr>
            </w:pPr>
            <w:r>
              <w:rPr>
                <w:rFonts w:hint="eastAsia" w:asciiTheme="minorEastAsia" w:hAnsiTheme="minorEastAsia" w:cstheme="minorEastAsia"/>
                <w:szCs w:val="21"/>
              </w:rPr>
              <w:t>地        址：西安市莲湖区西关正街英达大厦1507室</w:t>
            </w:r>
          </w:p>
          <w:p>
            <w:pPr>
              <w:spacing w:line="360" w:lineRule="auto"/>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rPr>
              <w:t xml:space="preserve">联   系   人：崔方明   刘嘉辉   许芳芳  </w:t>
            </w:r>
            <w:r>
              <w:rPr>
                <w:rFonts w:hint="eastAsia" w:asciiTheme="minorEastAsia" w:hAnsiTheme="minorEastAsia" w:cstheme="minorEastAsia"/>
                <w:szCs w:val="21"/>
                <w:lang w:val="en-US" w:eastAsia="zh-CN"/>
              </w:rPr>
              <w:t>赵志文</w:t>
            </w:r>
          </w:p>
          <w:p>
            <w:pPr>
              <w:spacing w:line="360" w:lineRule="auto"/>
              <w:rPr>
                <w:rFonts w:asciiTheme="minorEastAsia" w:hAnsiTheme="minorEastAsia" w:cstheme="minorEastAsia"/>
                <w:szCs w:val="21"/>
              </w:rPr>
            </w:pPr>
            <w:r>
              <w:rPr>
                <w:rFonts w:hint="eastAsia" w:asciiTheme="minorEastAsia" w:hAnsiTheme="minorEastAsia" w:cstheme="minorEastAsia"/>
                <w:szCs w:val="21"/>
              </w:rPr>
              <w:t>电        话：029-88319689-804/811</w:t>
            </w:r>
          </w:p>
          <w:p>
            <w:pPr>
              <w:spacing w:line="360" w:lineRule="auto"/>
              <w:rPr>
                <w:rFonts w:asciiTheme="minorEastAsia" w:hAnsiTheme="minorEastAsia" w:cstheme="minorEastAsia"/>
                <w:szCs w:val="21"/>
              </w:rPr>
            </w:pPr>
            <w:r>
              <w:rPr>
                <w:rFonts w:hint="eastAsia" w:asciiTheme="minorEastAsia" w:hAnsiTheme="minorEastAsia" w:cstheme="minorEastAsia"/>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4</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联合体形式</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5</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备选</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方案</w:t>
            </w:r>
          </w:p>
        </w:tc>
        <w:tc>
          <w:tcPr>
            <w:tcW w:w="8193"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themeColor="text1"/>
                <w:szCs w:val="21"/>
                <w14:textFill>
                  <w14:solidFill>
                    <w14:schemeClr w14:val="tx1"/>
                  </w14:solidFill>
                </w14:textFill>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86"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6</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打包</w:t>
            </w:r>
          </w:p>
        </w:tc>
        <w:tc>
          <w:tcPr>
            <w:tcW w:w="8193" w:type="dxa"/>
            <w:vAlign w:val="center"/>
          </w:tcPr>
          <w:p>
            <w:pPr>
              <w:spacing w:line="360" w:lineRule="auto"/>
              <w:rPr>
                <w:rFonts w:asciiTheme="minorEastAsia" w:hAnsiTheme="minorEastAsia" w:cstheme="minorEastAsia"/>
                <w:szCs w:val="21"/>
              </w:rPr>
            </w:pPr>
            <w:r>
              <w:rPr>
                <w:rFonts w:hint="eastAsia" w:ascii="宋体" w:cs="宋体"/>
                <w:szCs w:val="21"/>
              </w:rPr>
              <w:t>本次采购不分包，供应商可根据自身的资质情况和经营范围对本项目进行磋商，不得自行分解或只对本次项目中的品目进行不完全磋商，任何不完全的磋商将按无效磋商处理。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7</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磋商</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有效期</w:t>
            </w:r>
          </w:p>
        </w:tc>
        <w:tc>
          <w:tcPr>
            <w:tcW w:w="8193" w:type="dxa"/>
            <w:vAlign w:val="center"/>
          </w:tcPr>
          <w:p>
            <w:pPr>
              <w:spacing w:line="360" w:lineRule="auto"/>
              <w:rPr>
                <w:rFonts w:asciiTheme="minorEastAsia" w:hAnsiTheme="minorEastAsia" w:cstheme="minorEastAsia"/>
                <w:szCs w:val="21"/>
              </w:rPr>
            </w:pPr>
            <w:r>
              <w:rPr>
                <w:rFonts w:hint="eastAsia" w:ascii="宋体" w:hAnsi="宋体" w:cs="宋体"/>
                <w:szCs w:val="21"/>
              </w:rPr>
              <w:t>自磋商响应文件递交截止之日起90 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46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8</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资格</w:t>
            </w:r>
          </w:p>
          <w:p>
            <w:pPr>
              <w:spacing w:line="360" w:lineRule="auto"/>
              <w:rPr>
                <w:rFonts w:asciiTheme="minorEastAsia" w:hAnsiTheme="minorEastAsia" w:cstheme="minorEastAsia"/>
                <w:szCs w:val="21"/>
              </w:rPr>
            </w:pPr>
            <w:r>
              <w:rPr>
                <w:rFonts w:hint="eastAsia" w:asciiTheme="minorEastAsia" w:hAnsiTheme="minorEastAsia" w:cstheme="minorEastAsia"/>
                <w:szCs w:val="21"/>
              </w:rPr>
              <w:t>要求</w:t>
            </w:r>
          </w:p>
        </w:tc>
        <w:tc>
          <w:tcPr>
            <w:tcW w:w="8193" w:type="dxa"/>
            <w:vAlign w:val="center"/>
          </w:tcPr>
          <w:p>
            <w:pPr>
              <w:snapToGrid w:val="0"/>
              <w:spacing w:line="360" w:lineRule="auto"/>
              <w:ind w:firstLine="472" w:firstLineChars="225"/>
              <w:jc w:val="left"/>
              <w:rPr>
                <w:rFonts w:ascii="宋体" w:hAnsi="宋体" w:cs="宋体"/>
                <w:bCs/>
                <w:kern w:val="0"/>
                <w:szCs w:val="21"/>
              </w:rPr>
            </w:pPr>
            <w:r>
              <w:rPr>
                <w:rFonts w:hint="eastAsia" w:ascii="宋体" w:hAnsi="宋体" w:cs="宋体"/>
                <w:bCs/>
                <w:kern w:val="0"/>
                <w:szCs w:val="21"/>
              </w:rPr>
              <w:t>符合《中华人民共和国政府采购法》第二十二条规定，并提供以下材料：</w:t>
            </w:r>
          </w:p>
          <w:p>
            <w:pPr>
              <w:adjustRightInd w:val="0"/>
              <w:snapToGrid w:val="0"/>
              <w:spacing w:line="360" w:lineRule="auto"/>
              <w:ind w:firstLine="480" w:firstLineChars="200"/>
              <w:rPr>
                <w:szCs w:val="20"/>
              </w:rPr>
            </w:pPr>
            <w:r>
              <w:rPr>
                <w:rFonts w:hint="eastAsia" w:ascii="宋体" w:hAnsi="宋体"/>
                <w:sz w:val="24"/>
                <w:szCs w:val="24"/>
              </w:rPr>
              <w:t>1、</w:t>
            </w:r>
            <w:r>
              <w:rPr>
                <w:rFonts w:hint="eastAsia" w:ascii="宋体" w:hAnsi="宋体" w:cs="宋体"/>
                <w:bCs/>
                <w:kern w:val="0"/>
                <w:szCs w:val="21"/>
              </w:rPr>
              <w:t>提供合格有效的法人或其他组织的营业执照等证明文件，自然人参与的提供其身份证原件</w:t>
            </w:r>
            <w:r>
              <w:rPr>
                <w:rFonts w:hint="eastAsia" w:ascii="宋体" w:hAnsi="宋体"/>
                <w:sz w:val="24"/>
                <w:szCs w:val="24"/>
              </w:rPr>
              <w:t>；</w:t>
            </w:r>
            <w:r>
              <w:rPr>
                <w:rFonts w:hint="eastAsia"/>
                <w:b/>
                <w:bCs/>
                <w:szCs w:val="20"/>
              </w:rPr>
              <w:t>提供复印件加盖供应商鲜章。</w:t>
            </w:r>
          </w:p>
          <w:p>
            <w:pPr>
              <w:adjustRightInd w:val="0"/>
              <w:snapToGrid w:val="0"/>
              <w:spacing w:line="360" w:lineRule="auto"/>
              <w:ind w:firstLine="420" w:firstLineChars="200"/>
              <w:rPr>
                <w:szCs w:val="20"/>
              </w:rPr>
            </w:pPr>
            <w:r>
              <w:rPr>
                <w:rFonts w:hint="eastAsia"/>
                <w:szCs w:val="20"/>
              </w:rPr>
              <w:t>2、社会保障资金缴纳证明：提供2022年1月至今已缴存的至少一个月的社会保障资金缴存单据或社保机构开具的社会保险参保缴费情况证明，单据或证明上应有社保机构或代收机构的公章；依法不需要缴纳社会保障资金的供应商应提供相关文件证明；</w:t>
            </w:r>
            <w:r>
              <w:rPr>
                <w:rFonts w:hint="eastAsia"/>
                <w:b/>
                <w:bCs/>
                <w:szCs w:val="20"/>
              </w:rPr>
              <w:t>提供复印件加盖供应商鲜章。</w:t>
            </w:r>
          </w:p>
          <w:p>
            <w:pPr>
              <w:adjustRightInd w:val="0"/>
              <w:snapToGrid w:val="0"/>
              <w:spacing w:line="360" w:lineRule="auto"/>
              <w:ind w:firstLine="420" w:firstLineChars="200"/>
              <w:rPr>
                <w:szCs w:val="20"/>
              </w:rPr>
            </w:pPr>
            <w:r>
              <w:rPr>
                <w:rFonts w:hint="eastAsia"/>
                <w:szCs w:val="20"/>
              </w:rPr>
              <w:t>3、税收缴纳证明：提供2022年1月至今已缴纳的至少一个月的纳税证明或完税证明；依法免税的单位应提供相关证明材料；</w:t>
            </w:r>
            <w:r>
              <w:rPr>
                <w:rFonts w:hint="eastAsia"/>
                <w:b/>
                <w:bCs/>
                <w:szCs w:val="20"/>
              </w:rPr>
              <w:t>提供复印件加盖供应商鲜章。</w:t>
            </w:r>
          </w:p>
          <w:p>
            <w:pPr>
              <w:adjustRightInd w:val="0"/>
              <w:snapToGrid w:val="0"/>
              <w:spacing w:line="360" w:lineRule="auto"/>
              <w:ind w:firstLine="420" w:firstLineChars="200"/>
              <w:rPr>
                <w:szCs w:val="20"/>
              </w:rPr>
            </w:pPr>
            <w:r>
              <w:rPr>
                <w:rFonts w:hint="eastAsia"/>
                <w:szCs w:val="20"/>
              </w:rPr>
              <w:t>4、财务状况证明：提供经会计师事务所审计的2021年</w:t>
            </w:r>
            <w:r>
              <w:rPr>
                <w:rFonts w:hint="eastAsia"/>
                <w:szCs w:val="20"/>
                <w:lang w:eastAsia="zh-CN"/>
              </w:rPr>
              <w:t>或</w:t>
            </w:r>
            <w:r>
              <w:rPr>
                <w:rFonts w:hint="eastAsia"/>
                <w:szCs w:val="20"/>
                <w:lang w:val="en-US" w:eastAsia="zh-CN"/>
              </w:rPr>
              <w:t>2022年</w:t>
            </w:r>
            <w:r>
              <w:rPr>
                <w:rFonts w:hint="eastAsia"/>
                <w:szCs w:val="20"/>
              </w:rPr>
              <w:t>财务审计报告，或在磋商日期前六个月内其基本开户银行出具的资信证明；</w:t>
            </w:r>
            <w:r>
              <w:rPr>
                <w:rFonts w:hint="eastAsia"/>
                <w:b/>
                <w:bCs/>
                <w:szCs w:val="20"/>
              </w:rPr>
              <w:t>提供复印件加盖供应商鲜章。</w:t>
            </w:r>
          </w:p>
          <w:p>
            <w:pPr>
              <w:adjustRightInd w:val="0"/>
              <w:snapToGrid w:val="0"/>
              <w:spacing w:line="360" w:lineRule="auto"/>
              <w:ind w:firstLine="420" w:firstLineChars="200"/>
              <w:rPr>
                <w:szCs w:val="20"/>
              </w:rPr>
            </w:pPr>
            <w:r>
              <w:rPr>
                <w:rFonts w:hint="eastAsia"/>
                <w:szCs w:val="20"/>
              </w:rPr>
              <w:t>5、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r>
              <w:rPr>
                <w:rFonts w:hint="eastAsia"/>
                <w:b/>
                <w:bCs/>
                <w:szCs w:val="20"/>
              </w:rPr>
              <w:t>提供声明原件，格式可参考招标文件第七部分。</w:t>
            </w:r>
          </w:p>
          <w:p>
            <w:pPr>
              <w:adjustRightInd w:val="0"/>
              <w:snapToGrid w:val="0"/>
              <w:spacing w:line="360" w:lineRule="auto"/>
              <w:ind w:firstLine="420" w:firstLineChars="200"/>
              <w:rPr>
                <w:rFonts w:hint="eastAsia"/>
                <w:szCs w:val="20"/>
              </w:rPr>
            </w:pPr>
            <w:r>
              <w:rPr>
                <w:rFonts w:hint="eastAsia"/>
                <w:szCs w:val="20"/>
              </w:rPr>
              <w:t>6、非法定代表人参加投标的，须提供法定代表人授权委托书原件及被授权人身份证原件；法定代表人参加投标时,只须提供法定代表人身份证原件；</w:t>
            </w:r>
          </w:p>
          <w:p>
            <w:pPr>
              <w:pStyle w:val="8"/>
              <w:spacing w:line="360" w:lineRule="auto"/>
              <w:ind w:firstLineChars="200"/>
            </w:pPr>
            <w:r>
              <w:rPr>
                <w:rFonts w:hint="eastAsia"/>
                <w:lang w:val="en-US" w:eastAsia="zh-CN"/>
              </w:rPr>
              <w:t>7</w:t>
            </w:r>
            <w:r>
              <w:rPr>
                <w:rFonts w:hint="eastAsia"/>
              </w:rPr>
              <w:t>、本项目不接受联合体磋商。</w:t>
            </w:r>
          </w:p>
          <w:p>
            <w:pPr>
              <w:pStyle w:val="8"/>
              <w:spacing w:line="360" w:lineRule="auto"/>
              <w:ind w:firstLine="422" w:firstLineChars="200"/>
              <w:rPr>
                <w:b/>
                <w:bCs/>
              </w:rPr>
            </w:pPr>
            <w:r>
              <w:rPr>
                <w:rFonts w:hint="eastAsia"/>
                <w:b/>
                <w:bCs/>
              </w:rPr>
              <w:t>注：</w:t>
            </w:r>
          </w:p>
          <w:p>
            <w:pPr>
              <w:pStyle w:val="8"/>
              <w:spacing w:line="360" w:lineRule="auto"/>
              <w:ind w:firstLine="422" w:firstLineChars="200"/>
              <w:rPr>
                <w:rFonts w:asciiTheme="minorEastAsia" w:hAnsiTheme="minorEastAsia" w:cstheme="minorEastAsia"/>
                <w:b/>
                <w:bCs/>
                <w:szCs w:val="21"/>
              </w:rPr>
            </w:pPr>
            <w:r>
              <w:rPr>
                <w:rFonts w:ascii="Calibri" w:hAnsi="Calibri" w:cs="Calibri"/>
                <w:b/>
                <w:bCs/>
                <w:szCs w:val="21"/>
              </w:rPr>
              <w:t>①</w:t>
            </w:r>
            <w:r>
              <w:rPr>
                <w:rFonts w:hint="eastAsia" w:asciiTheme="minorEastAsia" w:hAnsiTheme="minorEastAsia" w:cstheme="minorEastAsia"/>
                <w:b/>
                <w:bCs/>
                <w:szCs w:val="21"/>
              </w:rPr>
              <w:t>供应商应在磋商文件正本中附按照上述要求须提供的资格证明文件（身份证原件除外），作为资格审查的依据，资审时凡有一项不合格者，均按无效磋商处理。</w:t>
            </w:r>
          </w:p>
          <w:p>
            <w:pPr>
              <w:pStyle w:val="8"/>
              <w:spacing w:line="360" w:lineRule="auto"/>
              <w:ind w:right="170" w:rightChars="81" w:firstLine="422" w:firstLineChars="200"/>
              <w:rPr>
                <w:b/>
                <w:bCs/>
              </w:rPr>
            </w:pPr>
            <w:r>
              <w:rPr>
                <w:rFonts w:ascii="Calibri" w:hAnsi="Calibri" w:cs="Calibri"/>
                <w:b/>
                <w:bCs/>
                <w:szCs w:val="21"/>
              </w:rPr>
              <w:t>②</w:t>
            </w:r>
            <w:r>
              <w:rPr>
                <w:rFonts w:hint="eastAsia" w:asciiTheme="minorEastAsia" w:hAnsiTheme="minorEastAsia" w:cstheme="minorEastAsia"/>
                <w:b/>
                <w:bCs/>
                <w:szCs w:val="21"/>
              </w:rPr>
              <w:t>供应商自行承担所提供原件及其复印件的真实性、合法性及有效性，由于供应商未在响应文件中提供或所提供证明材料不合格的，将按无效响应处理。（如供应商的各类证书原件正在变更、年检中的，须有相应的行业管理部门出具书面证明，并提供相应的证书复印件加盖供应商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53"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9</w:t>
            </w:r>
          </w:p>
        </w:tc>
        <w:tc>
          <w:tcPr>
            <w:tcW w:w="966" w:type="dxa"/>
            <w:vAlign w:val="center"/>
          </w:tcPr>
          <w:p>
            <w:pPr>
              <w:jc w:val="center"/>
              <w:rPr>
                <w:rFonts w:ascii="宋体" w:hAnsi="宋体" w:cs="宋体"/>
                <w:color w:val="000000"/>
                <w:szCs w:val="21"/>
              </w:rPr>
            </w:pPr>
            <w:r>
              <w:rPr>
                <w:rFonts w:hint="eastAsia" w:ascii="宋体" w:hAnsi="宋体" w:cs="宋体"/>
                <w:color w:val="000000"/>
                <w:szCs w:val="21"/>
              </w:rPr>
              <w:t>磋商</w:t>
            </w:r>
          </w:p>
          <w:p>
            <w:pPr>
              <w:jc w:val="center"/>
              <w:rPr>
                <w:rFonts w:asciiTheme="minorEastAsia" w:hAnsiTheme="minorEastAsia" w:cstheme="minorEastAsia"/>
                <w:szCs w:val="21"/>
              </w:rPr>
            </w:pPr>
            <w:r>
              <w:rPr>
                <w:rFonts w:hint="eastAsia" w:ascii="宋体" w:hAnsi="宋体" w:cs="宋体"/>
                <w:color w:val="000000"/>
                <w:szCs w:val="21"/>
              </w:rPr>
              <w:t>保证金要求</w:t>
            </w:r>
          </w:p>
        </w:tc>
        <w:tc>
          <w:tcPr>
            <w:tcW w:w="8193" w:type="dxa"/>
            <w:vAlign w:val="center"/>
          </w:tcPr>
          <w:p>
            <w:pPr>
              <w:spacing w:line="500" w:lineRule="exact"/>
              <w:jc w:val="both"/>
              <w:rPr>
                <w:rFonts w:asciiTheme="minorEastAsia" w:hAnsiTheme="minorEastAsia" w:cstheme="minorEastAsia"/>
                <w:szCs w:val="21"/>
              </w:rPr>
            </w:pPr>
            <w:r>
              <w:rPr>
                <w:rFonts w:hint="eastAsia" w:ascii="宋体" w:hAnsi="宋体" w:cs="宋体"/>
                <w:szCs w:val="21"/>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5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10</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磋商</w:t>
            </w:r>
          </w:p>
          <w:p>
            <w:pPr>
              <w:spacing w:line="360" w:lineRule="auto"/>
              <w:rPr>
                <w:rFonts w:asciiTheme="minorEastAsia" w:hAnsiTheme="minorEastAsia" w:cstheme="minorEastAsia"/>
                <w:szCs w:val="21"/>
              </w:rPr>
            </w:pPr>
            <w:r>
              <w:rPr>
                <w:rFonts w:hint="eastAsia" w:asciiTheme="minorEastAsia" w:hAnsiTheme="minorEastAsia" w:cstheme="minorEastAsia"/>
                <w:szCs w:val="21"/>
              </w:rPr>
              <w:t>文件</w:t>
            </w:r>
          </w:p>
        </w:tc>
        <w:tc>
          <w:tcPr>
            <w:tcW w:w="8193" w:type="dxa"/>
            <w:vAlign w:val="center"/>
          </w:tcPr>
          <w:p>
            <w:pPr>
              <w:adjustRightInd w:val="0"/>
              <w:snapToGrid w:val="0"/>
              <w:spacing w:line="360" w:lineRule="auto"/>
              <w:ind w:firstLine="420" w:firstLineChars="200"/>
              <w:rPr>
                <w:rFonts w:asciiTheme="minorEastAsia" w:hAnsiTheme="minorEastAsia" w:cstheme="minorEastAsia"/>
                <w:szCs w:val="21"/>
              </w:rPr>
            </w:pPr>
            <w:r>
              <w:rPr>
                <w:rFonts w:hint="eastAsia" w:ascii="宋体" w:hAnsi="宋体" w:cs="宋体"/>
                <w:szCs w:val="21"/>
              </w:rPr>
              <w:t>磋商响应文件</w:t>
            </w:r>
            <w:r>
              <w:rPr>
                <w:rFonts w:hint="eastAsia" w:ascii="宋体" w:hAnsi="宋体" w:cs="宋体"/>
                <w:color w:val="000000"/>
                <w:szCs w:val="21"/>
              </w:rPr>
              <w:t>正本一份、副本叁份</w:t>
            </w:r>
            <w:r>
              <w:rPr>
                <w:rFonts w:hint="eastAsia" w:ascii="宋体" w:hAnsi="宋体" w:cs="宋体"/>
                <w:szCs w:val="21"/>
              </w:rPr>
              <w:t>，分别胶装装订成册，且封面须清楚地标明“正本”或“副本”；若正本和副本不符，以正本书面文件为准；同时提供与正本内容一致的电子版（</w:t>
            </w:r>
            <w:r>
              <w:rPr>
                <w:rFonts w:ascii="宋体" w:hAnsi="宋体" w:cs="宋体"/>
                <w:szCs w:val="21"/>
              </w:rPr>
              <w:t>U</w:t>
            </w:r>
            <w:r>
              <w:rPr>
                <w:rFonts w:hint="eastAsia" w:ascii="宋体" w:hAnsi="宋体" w:cs="宋体"/>
                <w:szCs w:val="21"/>
              </w:rPr>
              <w:t>盘、</w:t>
            </w:r>
            <w:r>
              <w:rPr>
                <w:rFonts w:hint="eastAsia" w:ascii="宋体" w:hAnsi="宋体" w:cs="宋体"/>
                <w:b/>
                <w:bCs/>
                <w:szCs w:val="21"/>
              </w:rPr>
              <w:t>电子文档应为</w:t>
            </w:r>
            <w:r>
              <w:rPr>
                <w:rFonts w:ascii="宋体" w:hAnsi="宋体" w:cs="宋体"/>
                <w:b/>
                <w:bCs/>
                <w:szCs w:val="21"/>
              </w:rPr>
              <w:t>PDF</w:t>
            </w:r>
            <w:r>
              <w:rPr>
                <w:rFonts w:hint="eastAsia" w:ascii="宋体" w:hAnsi="宋体" w:cs="宋体"/>
                <w:b/>
                <w:bCs/>
                <w:szCs w:val="21"/>
              </w:rPr>
              <w:t>与</w:t>
            </w:r>
            <w:r>
              <w:rPr>
                <w:rFonts w:ascii="宋体" w:hAnsi="宋体" w:cs="宋体"/>
                <w:b/>
                <w:bCs/>
                <w:szCs w:val="21"/>
              </w:rPr>
              <w:t>WORD</w:t>
            </w:r>
            <w:r>
              <w:rPr>
                <w:rFonts w:hint="eastAsia" w:ascii="宋体" w:hAnsi="宋体" w:cs="宋体"/>
                <w:b/>
                <w:bCs/>
                <w:szCs w:val="21"/>
              </w:rPr>
              <w:t>格式各一份</w:t>
            </w:r>
            <w:r>
              <w:rPr>
                <w:rFonts w:hint="eastAsia" w:ascii="宋体" w:hAnsi="宋体" w:cs="宋体"/>
                <w:szCs w:val="21"/>
              </w:rPr>
              <w:t>）、磋商一览表一份</w:t>
            </w:r>
            <w:r>
              <w:rPr>
                <w:rFonts w:hint="eastAsia" w:ascii="宋体" w:hAnsi="宋体" w:cs="宋体"/>
                <w:b/>
                <w:bCs/>
                <w:szCs w:val="21"/>
              </w:rPr>
              <w:t>（用于磋商唱标单独提交的“磋商一览表”应为原件）。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85"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11</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szCs w:val="21"/>
              </w:rPr>
              <w:t>包装密封</w:t>
            </w:r>
          </w:p>
        </w:tc>
        <w:tc>
          <w:tcPr>
            <w:tcW w:w="8193" w:type="dxa"/>
            <w:vAlign w:val="center"/>
          </w:tcPr>
          <w:p>
            <w:pPr>
              <w:adjustRightInd w:val="0"/>
              <w:snapToGrid w:val="0"/>
              <w:spacing w:line="360" w:lineRule="auto"/>
              <w:ind w:firstLine="420" w:firstLineChars="200"/>
              <w:rPr>
                <w:rFonts w:ascii="宋体" w:cs="宋体"/>
                <w:kern w:val="0"/>
                <w:szCs w:val="21"/>
              </w:rPr>
            </w:pPr>
            <w:r>
              <w:rPr>
                <w:rFonts w:hint="eastAsia" w:ascii="宋体" w:hAnsi="宋体" w:cs="宋体"/>
                <w:szCs w:val="21"/>
              </w:rPr>
              <w:t>磋商响应文件正本、所有的副本、电子版本、磋商一览表需分开密封装在单独的封袋中（封袋不得有破损），且在封袋正面标明“正本”“副本”“电子版”“磋商一览表”字样。封袋应加贴封条，并在封线处加盖供应商</w:t>
            </w:r>
            <w:r>
              <w:rPr>
                <w:rFonts w:hint="eastAsia" w:ascii="宋体" w:hAnsi="宋体" w:cs="宋体"/>
                <w:color w:val="000000"/>
                <w:szCs w:val="21"/>
              </w:rPr>
              <w:t>鲜章，封袋正面要粘贴供应商全称、项目名称、编号等标识</w:t>
            </w:r>
            <w:r>
              <w:rPr>
                <w:rFonts w:hint="eastAsia" w:ascii="宋体" w:hAnsi="宋体" w:cs="宋体"/>
                <w:szCs w:val="21"/>
              </w:rPr>
              <w:t>，且</w:t>
            </w:r>
            <w:r>
              <w:rPr>
                <w:rFonts w:hint="eastAsia" w:ascii="宋体" w:hAnsi="宋体" w:cs="宋体"/>
                <w:kern w:val="0"/>
                <w:szCs w:val="21"/>
              </w:rPr>
              <w:t>磋商响应文件袋上应加盖供应商公章（</w:t>
            </w:r>
            <w:r>
              <w:rPr>
                <w:rFonts w:hint="eastAsia" w:ascii="宋体" w:hAnsi="宋体" w:cs="宋体"/>
                <w:szCs w:val="21"/>
              </w:rPr>
              <w:t>封面标识见磋商响应文件</w:t>
            </w:r>
            <w:r>
              <w:rPr>
                <w:rFonts w:hint="eastAsia" w:ascii="宋体" w:hAnsi="宋体" w:cs="宋体"/>
                <w:b/>
                <w:bCs/>
                <w:szCs w:val="21"/>
              </w:rPr>
              <w:t>附件一</w:t>
            </w:r>
            <w:r>
              <w:rPr>
                <w:rFonts w:hint="eastAsia" w:ascii="宋体" w:hAnsi="宋体" w:cs="宋体"/>
                <w:szCs w:val="21"/>
              </w:rPr>
              <w:t>）</w:t>
            </w:r>
            <w:r>
              <w:rPr>
                <w:rFonts w:hint="eastAsia" w:ascii="宋体" w:hAnsi="宋体" w:cs="宋体"/>
                <w:kern w:val="0"/>
                <w:szCs w:val="21"/>
              </w:rPr>
              <w:t>如果未按上述规定进行密封，供应商的磋商响应文件有权被拒绝</w:t>
            </w:r>
            <w:r>
              <w:rPr>
                <w:rFonts w:hint="eastAsia" w:ascii="宋体" w:hAnsi="宋体" w:cs="宋体"/>
                <w:szCs w:val="21"/>
              </w:rPr>
              <w:t>。</w:t>
            </w:r>
          </w:p>
          <w:p>
            <w:pPr>
              <w:adjustRightInd w:val="0"/>
              <w:snapToGrid w:val="0"/>
              <w:spacing w:line="360" w:lineRule="auto"/>
              <w:ind w:firstLine="422" w:firstLineChars="200"/>
              <w:rPr>
                <w:rFonts w:asciiTheme="minorEastAsia" w:hAnsiTheme="minorEastAsia" w:cstheme="minorEastAsia"/>
                <w:szCs w:val="21"/>
              </w:rPr>
            </w:pPr>
            <w:r>
              <w:rPr>
                <w:rFonts w:hint="eastAsia" w:ascii="宋体" w:hAnsi="宋体" w:cs="宋体"/>
                <w:b/>
                <w:bCs/>
                <w:szCs w:val="21"/>
              </w:rPr>
              <w:t>如果供应商未按上述要求密封及加写标记，误投或过早启封的磋商响应文件，将自行承担其磋商响应文件被拒收的风险。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12</w:t>
            </w:r>
          </w:p>
        </w:tc>
        <w:tc>
          <w:tcPr>
            <w:tcW w:w="966" w:type="dxa"/>
            <w:vAlign w:val="center"/>
          </w:tcPr>
          <w:p>
            <w:pPr>
              <w:spacing w:line="360" w:lineRule="auto"/>
              <w:rPr>
                <w:rFonts w:asciiTheme="minorEastAsia" w:hAnsiTheme="minorEastAsia" w:cstheme="minorEastAsia"/>
                <w:szCs w:val="21"/>
              </w:rPr>
            </w:pPr>
            <w:r>
              <w:rPr>
                <w:rFonts w:hint="eastAsia" w:asciiTheme="minorEastAsia" w:hAnsiTheme="minorEastAsia" w:cstheme="minorEastAsia"/>
                <w:color w:val="000000"/>
                <w:szCs w:val="21"/>
              </w:rPr>
              <w:t>评审办法</w:t>
            </w:r>
          </w:p>
        </w:tc>
        <w:tc>
          <w:tcPr>
            <w:tcW w:w="8193" w:type="dxa"/>
            <w:vAlign w:val="center"/>
          </w:tcPr>
          <w:p>
            <w:pPr>
              <w:spacing w:line="360" w:lineRule="auto"/>
              <w:rPr>
                <w:rFonts w:asciiTheme="minorEastAsia" w:hAnsiTheme="minorEastAsia" w:cstheme="minorEastAsia"/>
                <w:b/>
                <w:bCs/>
                <w:color w:val="000000"/>
                <w:szCs w:val="21"/>
              </w:rPr>
            </w:pPr>
            <w:r>
              <w:rPr>
                <w:rFonts w:hint="eastAsia" w:ascii="宋体" w:hAnsi="宋体" w:cs="宋体"/>
                <w:szCs w:val="21"/>
              </w:rPr>
              <w:t>磋商多轮报价，综合评分（详见第四部分）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13</w:t>
            </w:r>
          </w:p>
        </w:tc>
        <w:tc>
          <w:tcPr>
            <w:tcW w:w="966" w:type="dxa"/>
            <w:vAlign w:val="center"/>
          </w:tcPr>
          <w:p>
            <w:pPr>
              <w:spacing w:line="360" w:lineRule="auto"/>
              <w:jc w:val="center"/>
              <w:rPr>
                <w:rFonts w:ascii="宋体" w:hAnsi="宋体" w:cs="宋体"/>
                <w:kern w:val="0"/>
                <w:szCs w:val="21"/>
              </w:rPr>
            </w:pPr>
            <w:r>
              <w:rPr>
                <w:rFonts w:hint="eastAsia" w:ascii="宋体" w:hAnsi="宋体" w:cs="宋体"/>
                <w:kern w:val="0"/>
                <w:szCs w:val="21"/>
              </w:rPr>
              <w:t>履约保</w:t>
            </w:r>
          </w:p>
          <w:p>
            <w:pPr>
              <w:spacing w:line="360" w:lineRule="auto"/>
              <w:jc w:val="center"/>
              <w:rPr>
                <w:rFonts w:asciiTheme="minorEastAsia" w:hAnsiTheme="minorEastAsia" w:cstheme="minorEastAsia"/>
                <w:color w:val="000000"/>
                <w:szCs w:val="21"/>
              </w:rPr>
            </w:pPr>
            <w:r>
              <w:rPr>
                <w:rFonts w:hint="eastAsia" w:ascii="宋体" w:hAnsi="宋体" w:cs="宋体"/>
                <w:kern w:val="0"/>
                <w:szCs w:val="21"/>
              </w:rPr>
              <w:t>证金</w:t>
            </w:r>
          </w:p>
        </w:tc>
        <w:tc>
          <w:tcPr>
            <w:tcW w:w="8193" w:type="dxa"/>
            <w:vAlign w:val="center"/>
          </w:tcPr>
          <w:p>
            <w:pPr>
              <w:spacing w:line="360" w:lineRule="auto"/>
              <w:ind w:firstLine="420" w:firstLineChars="200"/>
              <w:jc w:val="left"/>
            </w:pPr>
            <w:r>
              <w:rPr>
                <w:rFonts w:hint="eastAsia" w:ascii="宋体" w:hAnsi="宋体" w:cs="宋体"/>
                <w:kern w:val="0"/>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14</w:t>
            </w:r>
          </w:p>
        </w:tc>
        <w:tc>
          <w:tcPr>
            <w:tcW w:w="966" w:type="dxa"/>
            <w:vAlign w:val="center"/>
          </w:tcPr>
          <w:p>
            <w:pPr>
              <w:spacing w:line="360" w:lineRule="auto"/>
              <w:jc w:val="center"/>
              <w:rPr>
                <w:rFonts w:asciiTheme="minorEastAsia" w:hAnsiTheme="minorEastAsia" w:cstheme="minorEastAsia"/>
                <w:color w:val="000000"/>
                <w:szCs w:val="21"/>
              </w:rPr>
            </w:pPr>
            <w:r>
              <w:rPr>
                <w:rFonts w:hint="eastAsia" w:ascii="宋体" w:hAnsi="宋体" w:cs="宋体"/>
                <w:szCs w:val="21"/>
              </w:rPr>
              <w:t>履约验收</w:t>
            </w:r>
          </w:p>
        </w:tc>
        <w:tc>
          <w:tcPr>
            <w:tcW w:w="8193" w:type="dxa"/>
            <w:vAlign w:val="center"/>
          </w:tcPr>
          <w:p>
            <w:pPr>
              <w:spacing w:line="360" w:lineRule="auto"/>
              <w:rPr>
                <w:rFonts w:hAnsi="宋体" w:cs="宋体"/>
                <w:szCs w:val="21"/>
              </w:rPr>
            </w:pPr>
            <w:r>
              <w:rPr>
                <w:rFonts w:hint="eastAsia" w:hAnsi="宋体" w:cs="宋体"/>
                <w:szCs w:val="21"/>
              </w:rPr>
              <w:t>是否委托采购代理机构组织</w:t>
            </w:r>
            <w:r>
              <w:rPr>
                <w:rFonts w:hint="eastAsia" w:ascii="宋体" w:hAnsi="宋体" w:cs="宋体"/>
                <w:szCs w:val="21"/>
              </w:rPr>
              <w:t>履约验收</w:t>
            </w:r>
            <w:r>
              <w:rPr>
                <w:rFonts w:hint="eastAsia" w:hAnsi="宋体" w:cs="宋体"/>
                <w:szCs w:val="21"/>
              </w:rPr>
              <w:t>：</w:t>
            </w:r>
          </w:p>
          <w:p>
            <w:pPr>
              <w:spacing w:line="360" w:lineRule="auto"/>
            </w:pPr>
            <w:r>
              <w:rPr>
                <w:rFonts w:hint="eastAsia" w:hAnsi="宋体" w:cs="宋体"/>
                <w:szCs w:val="21"/>
                <w:u w:val="single"/>
              </w:rPr>
              <w:sym w:font="Wingdings" w:char="00FE"/>
            </w:r>
            <w:r>
              <w:rPr>
                <w:rFonts w:hint="eastAsia" w:hAnsi="宋体" w:cs="宋体"/>
                <w:szCs w:val="21"/>
                <w:u w:val="single"/>
              </w:rPr>
              <w:t>否</w:t>
            </w:r>
            <w:r>
              <w:rPr>
                <w:rFonts w:hint="eastAsia" w:hAnsi="宋体" w:cs="宋体"/>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15</w:t>
            </w:r>
          </w:p>
        </w:tc>
        <w:tc>
          <w:tcPr>
            <w:tcW w:w="966" w:type="dxa"/>
            <w:vAlign w:val="center"/>
          </w:tcPr>
          <w:p>
            <w:pPr>
              <w:spacing w:line="360" w:lineRule="auto"/>
              <w:rPr>
                <w:rFonts w:ascii="仿宋" w:hAnsi="仿宋"/>
              </w:rPr>
            </w:pPr>
            <w:r>
              <w:rPr>
                <w:rFonts w:hint="eastAsia" w:ascii="宋体" w:hAnsi="宋体" w:eastAsia="宋体" w:cs="宋体"/>
                <w:szCs w:val="21"/>
              </w:rPr>
              <w:t>项目性质</w:t>
            </w:r>
          </w:p>
        </w:tc>
        <w:tc>
          <w:tcPr>
            <w:tcW w:w="8193" w:type="dxa"/>
            <w:vAlign w:val="center"/>
          </w:tcPr>
          <w:p>
            <w:pPr>
              <w:spacing w:line="360" w:lineRule="auto"/>
              <w:jc w:val="left"/>
              <w:rPr>
                <w:rFonts w:ascii="宋体" w:hAnsi="宋体" w:eastAsia="宋体" w:cs="宋体"/>
                <w:szCs w:val="21"/>
              </w:rPr>
            </w:pPr>
            <w:r>
              <w:rPr>
                <w:rFonts w:hint="eastAsia" w:ascii="宋体" w:hAnsi="宋体" w:eastAsia="宋体" w:cs="宋体"/>
                <w:szCs w:val="21"/>
              </w:rPr>
              <w:t>☑非专门面向中小企业采购</w:t>
            </w:r>
          </w:p>
          <w:p>
            <w:pPr>
              <w:spacing w:line="360" w:lineRule="auto"/>
              <w:rPr>
                <w:rFonts w:ascii="宋体" w:hAnsi="宋体" w:eastAsia="宋体" w:cs="宋体"/>
                <w:szCs w:val="21"/>
              </w:rPr>
            </w:pPr>
            <w:r>
              <w:rPr>
                <w:rFonts w:hint="eastAsia" w:ascii="宋体" w:hAnsi="宋体" w:eastAsia="宋体" w:cs="宋体"/>
                <w:szCs w:val="21"/>
              </w:rPr>
              <w:t>对符合《政府采购促进中小企业发展管理办法》(财库{2020}46号)规定的小微企业(监狱企业视同小型、微型企业)的报价给予</w:t>
            </w:r>
            <w:r>
              <w:rPr>
                <w:rFonts w:hint="eastAsia" w:ascii="宋体" w:hAnsi="宋体" w:eastAsia="宋体" w:cs="宋体"/>
                <w:szCs w:val="21"/>
                <w:u w:val="single"/>
              </w:rPr>
              <w:t xml:space="preserve"> 10</w:t>
            </w:r>
            <w:r>
              <w:rPr>
                <w:rFonts w:hint="eastAsia" w:ascii="宋体" w:hAnsi="宋体" w:eastAsia="宋体" w:cs="宋体"/>
                <w:szCs w:val="21"/>
              </w:rPr>
              <w:t>％(6％-10％)的扣除,用扣除后的价格参加评审。</w:t>
            </w:r>
          </w:p>
          <w:p>
            <w:pPr>
              <w:spacing w:line="360" w:lineRule="auto"/>
              <w:jc w:val="left"/>
              <w:rPr>
                <w:rFonts w:ascii="宋体" w:hAnsi="宋体" w:eastAsia="宋体" w:cs="宋体"/>
                <w:szCs w:val="21"/>
              </w:rPr>
            </w:pPr>
            <w:r>
              <w:rPr>
                <w:rFonts w:hint="eastAsia" w:ascii="宋体" w:hAnsi="宋体" w:eastAsia="宋体" w:cs="宋体"/>
                <w:szCs w:val="21"/>
              </w:rPr>
              <w:t>根据《政府采购促进中小企业发展暂行办法》，投标人提供的《中小企业声明函》</w:t>
            </w:r>
            <w:r>
              <w:rPr>
                <w:rFonts w:hint="eastAsia" w:ascii="宋体" w:hAnsi="宋体" w:eastAsia="宋体" w:cs="宋体"/>
                <w:b/>
                <w:bCs/>
                <w:szCs w:val="21"/>
              </w:rPr>
              <w:t>（附件二）</w:t>
            </w:r>
            <w:r>
              <w:rPr>
                <w:rFonts w:hint="eastAsia" w:ascii="宋体" w:hAnsi="宋体" w:eastAsia="宋体" w:cs="宋体"/>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ascii="宋体" w:hAnsi="宋体" w:eastAsia="宋体" w:cs="宋体"/>
                <w:szCs w:val="21"/>
              </w:rPr>
            </w:pPr>
            <w:r>
              <w:rPr>
                <w:rFonts w:hint="eastAsia" w:ascii="宋体" w:hAnsi="宋体" w:eastAsia="宋体" w:cs="宋体"/>
                <w:szCs w:val="21"/>
              </w:rPr>
              <w:t>□专门面向中小企业采购</w:t>
            </w:r>
          </w:p>
          <w:p>
            <w:pPr>
              <w:spacing w:line="360" w:lineRule="auto"/>
              <w:jc w:val="left"/>
              <w:rPr>
                <w:rFonts w:ascii="仿宋" w:hAnsi="仿宋"/>
              </w:rPr>
            </w:pPr>
            <w:r>
              <w:rPr>
                <w:rFonts w:hint="eastAsia" w:ascii="宋体" w:hAnsi="宋体" w:eastAsia="宋体" w:cs="宋体"/>
                <w:szCs w:val="21"/>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Theme="minorEastAsia" w:hAnsiTheme="minorEastAsia" w:cstheme="minorEastAsia"/>
                <w:szCs w:val="21"/>
              </w:rPr>
              <w:t>16</w:t>
            </w:r>
          </w:p>
        </w:tc>
        <w:tc>
          <w:tcPr>
            <w:tcW w:w="966" w:type="dxa"/>
            <w:vAlign w:val="center"/>
          </w:tcPr>
          <w:p>
            <w:pPr>
              <w:pStyle w:val="14"/>
              <w:spacing w:line="336" w:lineRule="auto"/>
              <w:jc w:val="left"/>
              <w:rPr>
                <w:rFonts w:ascii="仿宋" w:hAnsi="仿宋"/>
              </w:rPr>
            </w:pPr>
            <w:r>
              <w:rPr>
                <w:rFonts w:hint="eastAsia" w:ascii="仿宋" w:hAnsi="仿宋"/>
              </w:rPr>
              <w:t>供应商信用查询</w:t>
            </w:r>
          </w:p>
        </w:tc>
        <w:tc>
          <w:tcPr>
            <w:tcW w:w="8193" w:type="dxa"/>
            <w:vAlign w:val="center"/>
          </w:tcPr>
          <w:p>
            <w:pPr>
              <w:pStyle w:val="14"/>
              <w:jc w:val="left"/>
              <w:rPr>
                <w:rFonts w:ascii="仿宋" w:hAnsi="仿宋"/>
              </w:rPr>
            </w:pPr>
            <w:r>
              <w:rPr>
                <w:rFonts w:ascii="仿宋" w:hAnsi="仿宋"/>
              </w:rPr>
              <w:t>1</w:t>
            </w:r>
            <w:r>
              <w:rPr>
                <w:rFonts w:hint="eastAsia" w:ascii="仿宋" w:hAnsi="仿宋"/>
              </w:rPr>
              <w:t>、“信用中国”（www.creditchina.gov.cn）和“中国政府采购”（ccgp.gov.cn）为供应商信用信息查询渠道。</w:t>
            </w:r>
          </w:p>
          <w:p>
            <w:pPr>
              <w:pStyle w:val="14"/>
              <w:jc w:val="left"/>
              <w:rPr>
                <w:rFonts w:ascii="仿宋" w:hAnsi="仿宋"/>
              </w:rPr>
            </w:pPr>
            <w:r>
              <w:rPr>
                <w:rFonts w:hint="eastAsia" w:ascii="仿宋" w:hAnsi="仿宋"/>
              </w:rPr>
              <w:t>2、供应商自行查询上述记录；</w:t>
            </w:r>
          </w:p>
          <w:p>
            <w:pPr>
              <w:pStyle w:val="14"/>
              <w:spacing w:line="336" w:lineRule="auto"/>
              <w:jc w:val="left"/>
              <w:rPr>
                <w:rFonts w:ascii="仿宋" w:hAnsi="仿宋"/>
              </w:rPr>
            </w:pPr>
            <w:r>
              <w:rPr>
                <w:rFonts w:ascii="仿宋" w:hAnsi="仿宋"/>
              </w:rPr>
              <w:t>3</w:t>
            </w:r>
            <w:r>
              <w:rPr>
                <w:rFonts w:hint="eastAsia" w:ascii="仿宋" w:hAnsi="仿宋"/>
              </w:rPr>
              <w:t>、如果供应商在磋商截止时间前已列入失信被执行人、重大税收违法案件当事人名单、政府采购严重违法失信行为记录名单，其响应无效。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8" w:hRule="atLeast"/>
        </w:trPr>
        <w:tc>
          <w:tcPr>
            <w:tcW w:w="540" w:type="dxa"/>
            <w:vAlign w:val="center"/>
          </w:tcPr>
          <w:p>
            <w:pPr>
              <w:spacing w:line="360" w:lineRule="auto"/>
              <w:jc w:val="center"/>
              <w:rPr>
                <w:rFonts w:asciiTheme="minorEastAsia" w:hAnsiTheme="minorEastAsia" w:cstheme="minorEastAsia"/>
                <w:szCs w:val="21"/>
              </w:rPr>
            </w:pPr>
            <w:r>
              <w:rPr>
                <w:rFonts w:hint="eastAsia" w:ascii="宋体"/>
                <w:szCs w:val="21"/>
              </w:rPr>
              <w:t>17</w:t>
            </w:r>
          </w:p>
        </w:tc>
        <w:tc>
          <w:tcPr>
            <w:tcW w:w="966" w:type="dxa"/>
            <w:vAlign w:val="center"/>
          </w:tcPr>
          <w:p>
            <w:pPr>
              <w:spacing w:line="360" w:lineRule="auto"/>
              <w:jc w:val="center"/>
              <w:rPr>
                <w:rFonts w:ascii="仿宋" w:hAnsi="仿宋"/>
              </w:rPr>
            </w:pPr>
            <w:r>
              <w:rPr>
                <w:rFonts w:hint="eastAsia" w:ascii="宋体" w:hAnsi="宋体" w:cs="宋体"/>
                <w:color w:val="000000"/>
                <w:szCs w:val="21"/>
              </w:rPr>
              <w:t>弃标须知</w:t>
            </w:r>
          </w:p>
        </w:tc>
        <w:tc>
          <w:tcPr>
            <w:tcW w:w="8193" w:type="dxa"/>
            <w:vAlign w:val="center"/>
          </w:tcPr>
          <w:p>
            <w:pPr>
              <w:spacing w:line="360" w:lineRule="auto"/>
              <w:ind w:firstLine="420" w:firstLineChars="200"/>
              <w:jc w:val="left"/>
              <w:rPr>
                <w:rFonts w:ascii="仿宋" w:hAnsi="仿宋"/>
              </w:rPr>
            </w:pPr>
            <w:r>
              <w:rPr>
                <w:rFonts w:hint="eastAsia" w:ascii="宋体" w:hAnsi="宋体" w:cs="宋体"/>
                <w:szCs w:val="21"/>
              </w:rPr>
              <w:t>根据市财函｛2021｝431号文第16条规定：供应商登记免费领取磋商响应文件的，如不参与项目磋商，应在递交磋商（或相应）文件截止时间前一日以书面形式告知招标代理机构。否则，招标代理机构可以向财政部门反应情况并提供佐证。供应商一年内累计出现三次该情形，将被监管部门记录为失信行为。</w:t>
            </w:r>
          </w:p>
        </w:tc>
      </w:tr>
    </w:tbl>
    <w:p>
      <w:r>
        <w:rPr>
          <w:rFonts w:hint="eastAsia"/>
        </w:rPr>
        <w:br w:type="page"/>
      </w:r>
    </w:p>
    <w:bookmarkEnd w:id="9"/>
    <w:bookmarkEnd w:id="10"/>
    <w:p>
      <w:pPr>
        <w:pStyle w:val="3"/>
      </w:pPr>
      <w:bookmarkStart w:id="12" w:name="_Toc30217"/>
      <w:bookmarkStart w:id="13" w:name="_Toc21227"/>
      <w:r>
        <w:rPr>
          <w:rFonts w:hint="eastAsia"/>
        </w:rPr>
        <w:t>第三部分供应商须知</w:t>
      </w:r>
      <w:bookmarkEnd w:id="12"/>
      <w:bookmarkEnd w:id="13"/>
    </w:p>
    <w:p>
      <w:pPr>
        <w:pStyle w:val="4"/>
        <w:rPr>
          <w:rFonts w:ascii="宋体" w:cs="宋体"/>
          <w:sz w:val="32"/>
          <w:szCs w:val="32"/>
        </w:rPr>
      </w:pPr>
      <w:bookmarkStart w:id="14" w:name="_Toc8591"/>
      <w:bookmarkStart w:id="15" w:name="_Toc26739"/>
      <w:bookmarkStart w:id="16" w:name="_Toc15316"/>
      <w:bookmarkStart w:id="17" w:name="_Toc11161"/>
      <w:r>
        <w:rPr>
          <w:rFonts w:hint="eastAsia" w:ascii="宋体" w:hAnsi="宋体" w:cs="宋体"/>
          <w:sz w:val="32"/>
          <w:szCs w:val="32"/>
        </w:rPr>
        <w:t>一、总则</w:t>
      </w:r>
      <w:bookmarkEnd w:id="14"/>
      <w:bookmarkEnd w:id="15"/>
      <w:bookmarkEnd w:id="16"/>
      <w:bookmarkEnd w:id="17"/>
    </w:p>
    <w:p>
      <w:pPr>
        <w:pStyle w:val="5"/>
        <w:numPr>
          <w:ilvl w:val="0"/>
          <w:numId w:val="4"/>
        </w:numPr>
      </w:pPr>
      <w:bookmarkStart w:id="18" w:name="_Toc358364319"/>
      <w:bookmarkStart w:id="19" w:name="_Toc9257"/>
      <w:bookmarkStart w:id="20" w:name="_Toc380336725"/>
      <w:bookmarkStart w:id="21" w:name="_Toc6742"/>
      <w:r>
        <w:rPr>
          <w:rFonts w:hint="eastAsia"/>
        </w:rPr>
        <w:t>适用范围</w:t>
      </w:r>
      <w:bookmarkEnd w:id="18"/>
      <w:bookmarkEnd w:id="19"/>
      <w:bookmarkEnd w:id="20"/>
      <w:bookmarkEnd w:id="21"/>
    </w:p>
    <w:p>
      <w:pPr>
        <w:widowControl/>
        <w:numPr>
          <w:ilvl w:val="1"/>
          <w:numId w:val="5"/>
        </w:numPr>
        <w:spacing w:line="500" w:lineRule="exact"/>
        <w:ind w:firstLine="480" w:firstLineChars="200"/>
        <w:rPr>
          <w:rFonts w:ascii="宋体" w:cs="宋体"/>
          <w:kern w:val="0"/>
          <w:sz w:val="24"/>
          <w:szCs w:val="24"/>
        </w:rPr>
      </w:pPr>
      <w:r>
        <w:rPr>
          <w:rFonts w:hint="eastAsia" w:ascii="宋体" w:hAnsi="宋体" w:cs="宋体"/>
          <w:kern w:val="0"/>
          <w:sz w:val="24"/>
          <w:szCs w:val="24"/>
        </w:rPr>
        <w:t>本磋商响应文件适用于本次招标活动的全过程。</w:t>
      </w:r>
    </w:p>
    <w:p>
      <w:pPr>
        <w:widowControl/>
        <w:numPr>
          <w:ilvl w:val="1"/>
          <w:numId w:val="5"/>
        </w:numPr>
        <w:spacing w:line="500" w:lineRule="exact"/>
        <w:ind w:firstLine="480" w:firstLineChars="200"/>
        <w:rPr>
          <w:rFonts w:ascii="宋体" w:cs="宋体"/>
          <w:kern w:val="0"/>
          <w:sz w:val="24"/>
          <w:szCs w:val="24"/>
        </w:rPr>
      </w:pPr>
      <w:r>
        <w:rPr>
          <w:rFonts w:hint="eastAsia" w:ascii="宋体" w:hAnsi="宋体" w:cs="宋体"/>
          <w:kern w:val="0"/>
          <w:sz w:val="24"/>
          <w:szCs w:val="24"/>
        </w:rPr>
        <w:t>本次项目采购人、采购代理机构、供应商、磋商小组的相关行为均受相关法规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5"/>
        <w:numPr>
          <w:ilvl w:val="0"/>
          <w:numId w:val="4"/>
        </w:numPr>
      </w:pPr>
      <w:bookmarkStart w:id="22" w:name="_Toc358364320"/>
      <w:bookmarkStart w:id="23" w:name="_Toc11287"/>
      <w:bookmarkStart w:id="24" w:name="_Toc7922"/>
      <w:bookmarkStart w:id="25" w:name="_Toc380336726"/>
      <w:r>
        <w:rPr>
          <w:rFonts w:hint="eastAsia"/>
        </w:rPr>
        <w:t>定义</w:t>
      </w:r>
      <w:bookmarkEnd w:id="22"/>
      <w:bookmarkEnd w:id="23"/>
      <w:bookmarkEnd w:id="24"/>
      <w:bookmarkEnd w:id="25"/>
    </w:p>
    <w:p>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2.1 </w:t>
      </w:r>
      <w:r>
        <w:rPr>
          <w:rFonts w:hint="eastAsia" w:ascii="宋体" w:hAnsi="宋体" w:cs="宋体"/>
          <w:kern w:val="0"/>
          <w:sz w:val="24"/>
          <w:szCs w:val="24"/>
        </w:rPr>
        <w:t>“采购人”是指国家机关、事业单位、团体组织。本次采购人名称、地址、电话见供应商须知前附表。</w:t>
      </w:r>
    </w:p>
    <w:p>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2.2 </w:t>
      </w:r>
      <w:r>
        <w:rPr>
          <w:rFonts w:hint="eastAsia" w:ascii="宋体" w:hAnsi="宋体" w:cs="宋体"/>
          <w:kern w:val="0"/>
          <w:sz w:val="24"/>
          <w:szCs w:val="24"/>
        </w:rPr>
        <w:t>“采购代理机构”是指接受采购人委托，代理招标项目的集中招标机构和其他招标代理机构。本次采购代理机构名称、地址、电话见供应商须知前附表。</w:t>
      </w:r>
    </w:p>
    <w:p>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2.3 </w:t>
      </w:r>
      <w:r>
        <w:rPr>
          <w:rFonts w:hint="eastAsia" w:ascii="宋体" w:hAnsi="宋体" w:cs="宋体"/>
          <w:kern w:val="0"/>
          <w:sz w:val="24"/>
          <w:szCs w:val="24"/>
        </w:rPr>
        <w:t>“供应商”是</w:t>
      </w:r>
      <w:r>
        <w:rPr>
          <w:rFonts w:hint="eastAsia" w:ascii="宋体" w:hAnsi="宋体" w:cs="宋体"/>
          <w:sz w:val="24"/>
          <w:szCs w:val="24"/>
        </w:rPr>
        <w:t>参与本项目磋商活动的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2.4 </w:t>
      </w:r>
      <w:r>
        <w:rPr>
          <w:rFonts w:hint="eastAsia" w:ascii="宋体" w:hAnsi="宋体" w:cs="宋体"/>
          <w:kern w:val="0"/>
          <w:sz w:val="24"/>
          <w:szCs w:val="24"/>
        </w:rPr>
        <w:t>“货物”是指各种形态和种类的物品，包括原材料、燃料、设备、产品等。</w:t>
      </w:r>
    </w:p>
    <w:p>
      <w:pPr>
        <w:widowControl/>
        <w:spacing w:line="500" w:lineRule="exact"/>
        <w:ind w:firstLine="480" w:firstLineChars="200"/>
        <w:rPr>
          <w:rFonts w:ascii="宋体" w:cs="宋体"/>
          <w:kern w:val="0"/>
          <w:sz w:val="24"/>
          <w:szCs w:val="24"/>
        </w:rPr>
      </w:pPr>
      <w:r>
        <w:rPr>
          <w:rFonts w:ascii="宋体" w:hAnsi="宋体" w:cs="宋体"/>
          <w:kern w:val="0"/>
          <w:sz w:val="24"/>
          <w:szCs w:val="24"/>
        </w:rPr>
        <w:t xml:space="preserve">2.5 </w:t>
      </w:r>
      <w:r>
        <w:rPr>
          <w:rFonts w:hint="eastAsia" w:ascii="宋体" w:hAnsi="宋体" w:cs="宋体"/>
          <w:kern w:val="0"/>
          <w:sz w:val="24"/>
          <w:szCs w:val="24"/>
        </w:rPr>
        <w:t>“服务”指除了货物和工程外的其他政府招标对象。包含除货物以外规定由供应商承担的与货物有关的辅助服务。</w:t>
      </w:r>
    </w:p>
    <w:p>
      <w:pPr>
        <w:pStyle w:val="5"/>
        <w:numPr>
          <w:ilvl w:val="0"/>
          <w:numId w:val="4"/>
        </w:numPr>
      </w:pPr>
      <w:bookmarkStart w:id="26" w:name="_Toc380336727"/>
      <w:bookmarkStart w:id="27" w:name="_Toc17676"/>
      <w:bookmarkStart w:id="28" w:name="_Toc23781"/>
      <w:bookmarkStart w:id="29" w:name="_Toc358364321"/>
      <w:r>
        <w:rPr>
          <w:rFonts w:hint="eastAsia"/>
        </w:rPr>
        <w:t>合格的</w:t>
      </w:r>
      <w:bookmarkEnd w:id="26"/>
      <w:bookmarkEnd w:id="27"/>
      <w:bookmarkEnd w:id="28"/>
      <w:bookmarkEnd w:id="29"/>
      <w:r>
        <w:rPr>
          <w:rFonts w:hint="eastAsia"/>
        </w:rPr>
        <w:t>供应商</w:t>
      </w:r>
    </w:p>
    <w:p>
      <w:pPr>
        <w:tabs>
          <w:tab w:val="left" w:pos="0"/>
        </w:tabs>
        <w:spacing w:line="500" w:lineRule="exact"/>
        <w:ind w:firstLine="480" w:firstLineChars="200"/>
        <w:jc w:val="left"/>
        <w:rPr>
          <w:rFonts w:ascii="宋体" w:cs="宋体"/>
          <w:sz w:val="24"/>
          <w:szCs w:val="24"/>
        </w:rPr>
      </w:pPr>
      <w:r>
        <w:rPr>
          <w:rFonts w:ascii="宋体" w:hAnsi="宋体" w:cs="宋体"/>
          <w:sz w:val="24"/>
          <w:szCs w:val="24"/>
        </w:rPr>
        <w:t>3.1</w:t>
      </w:r>
      <w:r>
        <w:rPr>
          <w:rFonts w:hint="eastAsia" w:ascii="宋体" w:hAnsi="宋体" w:cs="宋体"/>
          <w:sz w:val="24"/>
          <w:szCs w:val="24"/>
        </w:rPr>
        <w:t>具有本项目生产、制造、加工、供应或实施能力，符合、承认并承诺履行本磋商响应文件各项规定的国内供应商。</w:t>
      </w:r>
    </w:p>
    <w:p>
      <w:pPr>
        <w:tabs>
          <w:tab w:val="left" w:pos="0"/>
        </w:tabs>
        <w:spacing w:line="500" w:lineRule="exact"/>
        <w:ind w:firstLine="480" w:firstLineChars="200"/>
        <w:jc w:val="left"/>
        <w:rPr>
          <w:rFonts w:ascii="宋体" w:cs="宋体"/>
          <w:sz w:val="24"/>
          <w:szCs w:val="24"/>
        </w:rPr>
      </w:pPr>
      <w:r>
        <w:rPr>
          <w:rFonts w:ascii="宋体" w:hAnsi="宋体" w:cs="宋体"/>
          <w:sz w:val="24"/>
          <w:szCs w:val="24"/>
        </w:rPr>
        <w:t>3.2</w:t>
      </w:r>
      <w:r>
        <w:rPr>
          <w:rFonts w:hint="eastAsia" w:ascii="宋体" w:hAnsi="宋体" w:cs="宋体"/>
          <w:sz w:val="24"/>
          <w:szCs w:val="24"/>
        </w:rPr>
        <w:t>供应商应遵守有关的国家法律、法规和条例，具备《中华人民共和国政府采购法》和本文件中规定的条件：</w:t>
      </w:r>
    </w:p>
    <w:p>
      <w:pPr>
        <w:numPr>
          <w:ilvl w:val="0"/>
          <w:numId w:val="6"/>
        </w:numPr>
        <w:spacing w:line="500" w:lineRule="exact"/>
        <w:ind w:left="105" w:leftChars="50" w:firstLine="480" w:firstLineChars="200"/>
        <w:jc w:val="left"/>
        <w:rPr>
          <w:rFonts w:ascii="宋体" w:cs="宋体"/>
          <w:sz w:val="24"/>
          <w:szCs w:val="24"/>
        </w:rPr>
      </w:pPr>
      <w:r>
        <w:rPr>
          <w:rFonts w:hint="eastAsia" w:ascii="宋体" w:hAnsi="宋体" w:cs="宋体"/>
          <w:sz w:val="24"/>
          <w:szCs w:val="24"/>
        </w:rPr>
        <w:t>具有独立承担民事责任的能力；</w:t>
      </w:r>
    </w:p>
    <w:p>
      <w:pPr>
        <w:numPr>
          <w:ilvl w:val="0"/>
          <w:numId w:val="6"/>
        </w:numPr>
        <w:spacing w:line="500" w:lineRule="exact"/>
        <w:ind w:left="105" w:leftChars="50" w:firstLine="480" w:firstLineChars="200"/>
        <w:jc w:val="left"/>
        <w:rPr>
          <w:rFonts w:ascii="宋体" w:cs="宋体"/>
          <w:sz w:val="24"/>
          <w:szCs w:val="24"/>
        </w:rPr>
      </w:pPr>
      <w:r>
        <w:rPr>
          <w:rFonts w:hint="eastAsia" w:ascii="宋体" w:hAnsi="宋体" w:cs="宋体"/>
          <w:sz w:val="24"/>
          <w:szCs w:val="24"/>
        </w:rPr>
        <w:t>具有良好的商业信誉和健全的财务会计制度；</w:t>
      </w:r>
    </w:p>
    <w:p>
      <w:pPr>
        <w:numPr>
          <w:ilvl w:val="0"/>
          <w:numId w:val="6"/>
        </w:numPr>
        <w:spacing w:line="500" w:lineRule="exact"/>
        <w:ind w:left="105" w:leftChars="50" w:firstLine="480" w:firstLineChars="200"/>
        <w:jc w:val="left"/>
        <w:rPr>
          <w:rFonts w:ascii="宋体" w:cs="宋体"/>
          <w:sz w:val="24"/>
          <w:szCs w:val="24"/>
        </w:rPr>
      </w:pPr>
      <w:r>
        <w:rPr>
          <w:rFonts w:hint="eastAsia" w:ascii="宋体" w:hAnsi="宋体" w:cs="宋体"/>
          <w:sz w:val="24"/>
          <w:szCs w:val="24"/>
        </w:rPr>
        <w:t>具有履行合同所必需的设备和专业技术能力；</w:t>
      </w:r>
    </w:p>
    <w:p>
      <w:pPr>
        <w:numPr>
          <w:ilvl w:val="0"/>
          <w:numId w:val="6"/>
        </w:numPr>
        <w:spacing w:line="500" w:lineRule="exact"/>
        <w:ind w:left="105" w:leftChars="50" w:firstLine="480" w:firstLineChars="200"/>
        <w:jc w:val="left"/>
        <w:rPr>
          <w:rFonts w:ascii="宋体" w:cs="宋体"/>
          <w:sz w:val="24"/>
          <w:szCs w:val="24"/>
        </w:rPr>
      </w:pPr>
      <w:r>
        <w:rPr>
          <w:rFonts w:hint="eastAsia" w:ascii="宋体" w:hAnsi="宋体" w:cs="宋体"/>
          <w:sz w:val="24"/>
          <w:szCs w:val="24"/>
        </w:rPr>
        <w:t>具有依法缴纳税收和社会保障资金的良好记录；</w:t>
      </w:r>
    </w:p>
    <w:p>
      <w:pPr>
        <w:numPr>
          <w:ilvl w:val="0"/>
          <w:numId w:val="6"/>
        </w:numPr>
        <w:spacing w:line="500" w:lineRule="exact"/>
        <w:ind w:left="105" w:leftChars="50" w:firstLine="480" w:firstLineChars="200"/>
        <w:jc w:val="left"/>
        <w:rPr>
          <w:rFonts w:ascii="宋体" w:cs="宋体"/>
          <w:sz w:val="24"/>
          <w:szCs w:val="24"/>
        </w:rPr>
      </w:pPr>
      <w:r>
        <w:rPr>
          <w:rFonts w:hint="eastAsia" w:ascii="宋体" w:hAnsi="宋体" w:cs="宋体"/>
          <w:sz w:val="24"/>
          <w:szCs w:val="24"/>
        </w:rPr>
        <w:t>参加此项招标活动前三年内，在经营活动中没有重大违法记录；</w:t>
      </w:r>
    </w:p>
    <w:p>
      <w:pPr>
        <w:numPr>
          <w:ilvl w:val="0"/>
          <w:numId w:val="6"/>
        </w:numPr>
        <w:spacing w:line="500" w:lineRule="exact"/>
        <w:ind w:left="105" w:leftChars="50" w:firstLine="480" w:firstLineChars="200"/>
        <w:jc w:val="left"/>
        <w:rPr>
          <w:rFonts w:asci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80" w:firstLineChars="200"/>
        <w:rPr>
          <w:rFonts w:ascii="宋体" w:cs="宋体"/>
          <w:sz w:val="24"/>
          <w:szCs w:val="24"/>
        </w:rPr>
      </w:pPr>
      <w:r>
        <w:rPr>
          <w:rFonts w:ascii="宋体" w:hAnsi="宋体" w:cs="宋体"/>
          <w:sz w:val="24"/>
          <w:szCs w:val="24"/>
        </w:rPr>
        <w:t>3.3</w:t>
      </w:r>
      <w:r>
        <w:rPr>
          <w:rFonts w:hint="eastAsia" w:ascii="宋体" w:hAnsi="宋体" w:cs="宋体"/>
          <w:sz w:val="24"/>
          <w:szCs w:val="24"/>
        </w:rPr>
        <w:t>供应商购买磋商响应文件时应登记备案，并提供有效联系方式。</w:t>
      </w:r>
    </w:p>
    <w:p>
      <w:pPr>
        <w:tabs>
          <w:tab w:val="left" w:pos="0"/>
        </w:tabs>
        <w:spacing w:line="500" w:lineRule="exact"/>
        <w:ind w:firstLine="480" w:firstLineChars="200"/>
        <w:rPr>
          <w:rFonts w:ascii="宋体" w:cs="宋体"/>
          <w:sz w:val="24"/>
          <w:szCs w:val="24"/>
        </w:rPr>
      </w:pPr>
      <w:r>
        <w:rPr>
          <w:rFonts w:ascii="宋体" w:hAnsi="宋体" w:cs="宋体"/>
          <w:sz w:val="24"/>
          <w:szCs w:val="24"/>
        </w:rPr>
        <w:t>3.4</w:t>
      </w:r>
      <w:r>
        <w:rPr>
          <w:rFonts w:hint="eastAsia" w:ascii="宋体" w:hAnsi="宋体" w:cs="宋体"/>
          <w:sz w:val="24"/>
          <w:szCs w:val="24"/>
        </w:rPr>
        <w:t>如供应商代表不是法定代表人，须持有《法定代表人授权委托书》</w:t>
      </w:r>
      <w:r>
        <w:rPr>
          <w:rFonts w:ascii="宋体" w:hAnsi="宋体" w:cs="宋体"/>
          <w:sz w:val="24"/>
          <w:szCs w:val="24"/>
        </w:rPr>
        <w:t xml:space="preserve"> (</w:t>
      </w:r>
      <w:r>
        <w:rPr>
          <w:rFonts w:hint="eastAsia" w:ascii="宋体" w:hAnsi="宋体" w:cs="宋体"/>
          <w:sz w:val="24"/>
          <w:szCs w:val="24"/>
        </w:rPr>
        <w:t>按磋商响应文件提供的格式填写</w:t>
      </w:r>
      <w:r>
        <w:rPr>
          <w:rFonts w:ascii="宋体" w:hAnsi="宋体" w:cs="宋体"/>
          <w:sz w:val="24"/>
          <w:szCs w:val="24"/>
        </w:rPr>
        <w:t>)</w:t>
      </w:r>
      <w:r>
        <w:rPr>
          <w:rFonts w:hint="eastAsia" w:ascii="宋体" w:hAnsi="宋体" w:cs="宋体"/>
          <w:sz w:val="24"/>
          <w:szCs w:val="24"/>
        </w:rPr>
        <w:t>。</w:t>
      </w:r>
    </w:p>
    <w:p>
      <w:pPr>
        <w:tabs>
          <w:tab w:val="left" w:pos="0"/>
        </w:tabs>
        <w:spacing w:line="500" w:lineRule="exact"/>
        <w:ind w:firstLine="480" w:firstLineChars="200"/>
        <w:rPr>
          <w:rFonts w:ascii="宋体" w:cs="宋体"/>
          <w:kern w:val="0"/>
          <w:sz w:val="24"/>
          <w:szCs w:val="24"/>
        </w:rPr>
      </w:pPr>
      <w:r>
        <w:rPr>
          <w:rFonts w:ascii="宋体" w:hAnsi="宋体" w:cs="宋体"/>
          <w:sz w:val="24"/>
          <w:szCs w:val="24"/>
        </w:rPr>
        <w:t>3.5</w:t>
      </w:r>
      <w:r>
        <w:rPr>
          <w:rFonts w:hint="eastAsia" w:ascii="宋体" w:hAnsi="宋体" w:cs="宋体"/>
          <w:sz w:val="24"/>
          <w:szCs w:val="24"/>
        </w:rPr>
        <w:t>供应商应独立于招标人，不得直接或间接地与招标人为招标本次招标的货物进行设计、编制技术规格和其它文件所委托的咨询公司或其附属机构有任何关联。</w:t>
      </w:r>
    </w:p>
    <w:p>
      <w:pPr>
        <w:tabs>
          <w:tab w:val="left" w:pos="0"/>
        </w:tabs>
        <w:spacing w:line="500" w:lineRule="exact"/>
        <w:ind w:firstLine="480" w:firstLineChars="200"/>
        <w:rPr>
          <w:rFonts w:ascii="宋体" w:cs="宋体"/>
          <w:kern w:val="0"/>
          <w:sz w:val="24"/>
          <w:szCs w:val="24"/>
        </w:rPr>
      </w:pPr>
      <w:r>
        <w:rPr>
          <w:rFonts w:ascii="宋体" w:hAnsi="宋体" w:cs="宋体"/>
          <w:kern w:val="0"/>
          <w:sz w:val="24"/>
          <w:szCs w:val="24"/>
        </w:rPr>
        <w:t>3.6</w:t>
      </w:r>
      <w:r>
        <w:rPr>
          <w:rFonts w:hint="eastAsia" w:ascii="宋体" w:hAnsi="宋体" w:cs="宋体"/>
          <w:kern w:val="0"/>
          <w:sz w:val="24"/>
          <w:szCs w:val="24"/>
        </w:rPr>
        <w:t>供应商不得存在下列情形之一：</w:t>
      </w:r>
    </w:p>
    <w:p>
      <w:pPr>
        <w:tabs>
          <w:tab w:val="left" w:pos="0"/>
        </w:tabs>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）与招标人、招标代理机构存在隶属关系或者其他利害关系；</w:t>
      </w:r>
    </w:p>
    <w:p>
      <w:pPr>
        <w:tabs>
          <w:tab w:val="left" w:pos="0"/>
        </w:tabs>
        <w:spacing w:line="500" w:lineRule="exact"/>
        <w:ind w:firstLine="480" w:firstLineChars="200"/>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）与其他供应商的法定代表人（或者负责人）为同一人，或者与其他供应商存在直接控股、管理关系；</w:t>
      </w:r>
    </w:p>
    <w:p>
      <w:pPr>
        <w:tabs>
          <w:tab w:val="left" w:pos="0"/>
        </w:tabs>
        <w:spacing w:line="500" w:lineRule="exact"/>
        <w:ind w:firstLine="480" w:firstLineChars="200"/>
        <w:rPr>
          <w:rFonts w:ascii="宋体" w:cs="宋体"/>
          <w:kern w:val="0"/>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）受到刑事处罚，或者受到三万元以上罚款，责令停产停业、在一年至三年内禁止参加政府招标活动、暂扣或吊销许可证、暂扣或吊销执照等情形之一的行政处罚，或者存在财政部门认定的其</w:t>
      </w:r>
      <w:r>
        <w:rPr>
          <w:rFonts w:hint="eastAsia" w:ascii="宋体" w:hAnsi="宋体" w:cs="宋体"/>
          <w:kern w:val="0"/>
          <w:sz w:val="24"/>
          <w:szCs w:val="24"/>
        </w:rPr>
        <w:t>他重大违法记录。</w:t>
      </w:r>
    </w:p>
    <w:p>
      <w:pPr>
        <w:tabs>
          <w:tab w:val="left" w:pos="0"/>
        </w:tabs>
        <w:spacing w:line="500" w:lineRule="exact"/>
        <w:ind w:left="5" w:firstLine="444" w:firstLineChars="185"/>
        <w:rPr>
          <w:rFonts w:ascii="宋体" w:cs="宋体"/>
          <w:color w:val="000000"/>
          <w:kern w:val="0"/>
          <w:sz w:val="24"/>
          <w:szCs w:val="24"/>
        </w:rPr>
      </w:pPr>
      <w:r>
        <w:rPr>
          <w:rFonts w:hint="eastAsia" w:ascii="宋体" w:hAnsi="宋体" w:cs="宋体"/>
          <w:color w:val="000000"/>
          <w:kern w:val="0"/>
          <w:sz w:val="24"/>
          <w:szCs w:val="24"/>
        </w:rPr>
        <w:t>（</w:t>
      </w:r>
      <w:r>
        <w:rPr>
          <w:rFonts w:ascii="宋体" w:hAnsi="宋体" w:cs="宋体"/>
          <w:color w:val="000000"/>
          <w:kern w:val="0"/>
          <w:sz w:val="24"/>
          <w:szCs w:val="24"/>
        </w:rPr>
        <w:t>4</w:t>
      </w:r>
      <w:r>
        <w:rPr>
          <w:rFonts w:hint="eastAsia" w:ascii="宋体" w:hAnsi="宋体" w:cs="宋体"/>
          <w:color w:val="000000"/>
          <w:kern w:val="0"/>
          <w:sz w:val="24"/>
          <w:szCs w:val="24"/>
        </w:rPr>
        <w:t>）在投标截止日前被列入失信被执行人、重大税收违法案件当事人名单、政府招标严重违法失信行为记录名单（处罚期限届满的除外）（以信用中国网（</w:t>
      </w:r>
      <w:r>
        <w:rPr>
          <w:rFonts w:ascii="宋体" w:hAnsi="宋体" w:cs="宋体"/>
          <w:color w:val="000000"/>
          <w:kern w:val="0"/>
          <w:sz w:val="24"/>
          <w:szCs w:val="24"/>
        </w:rPr>
        <w:t>www.creditchina.gov.cn</w:t>
      </w:r>
      <w:r>
        <w:rPr>
          <w:rFonts w:hint="eastAsia" w:ascii="宋体" w:hAnsi="宋体" w:cs="宋体"/>
          <w:color w:val="000000"/>
          <w:kern w:val="0"/>
          <w:sz w:val="24"/>
          <w:szCs w:val="24"/>
        </w:rPr>
        <w:t>）、中国政府招标网（</w:t>
      </w:r>
      <w:r>
        <w:rPr>
          <w:rFonts w:ascii="宋体" w:hAnsi="宋体" w:cs="宋体"/>
          <w:color w:val="000000"/>
          <w:kern w:val="0"/>
          <w:sz w:val="24"/>
          <w:szCs w:val="24"/>
        </w:rPr>
        <w:t>www.ccgp.gov.cn</w:t>
      </w:r>
      <w:r>
        <w:rPr>
          <w:rFonts w:hint="eastAsia" w:ascii="宋体" w:hAnsi="宋体" w:cs="宋体"/>
          <w:color w:val="000000"/>
          <w:kern w:val="0"/>
          <w:sz w:val="24"/>
          <w:szCs w:val="24"/>
        </w:rPr>
        <w:t>）查询结果为准。</w:t>
      </w:r>
    </w:p>
    <w:p>
      <w:pPr>
        <w:pStyle w:val="5"/>
        <w:numPr>
          <w:ilvl w:val="0"/>
          <w:numId w:val="4"/>
        </w:numPr>
      </w:pPr>
      <w:bookmarkStart w:id="30" w:name="_Toc358364322"/>
      <w:bookmarkStart w:id="31" w:name="_Toc380336728"/>
      <w:bookmarkStart w:id="32" w:name="_Toc22444"/>
      <w:bookmarkStart w:id="33" w:name="_Toc540"/>
      <w:r>
        <w:rPr>
          <w:rFonts w:hint="eastAsia"/>
        </w:rPr>
        <w:t>费用</w:t>
      </w:r>
      <w:bookmarkEnd w:id="30"/>
      <w:bookmarkEnd w:id="31"/>
      <w:bookmarkEnd w:id="32"/>
      <w:bookmarkEnd w:id="33"/>
    </w:p>
    <w:p>
      <w:pPr>
        <w:widowControl/>
        <w:wordWrap w:val="0"/>
        <w:snapToGrid w:val="0"/>
        <w:spacing w:line="360" w:lineRule="auto"/>
        <w:ind w:right="-92" w:rightChars="-44" w:firstLine="480" w:firstLineChars="200"/>
        <w:jc w:val="left"/>
        <w:rPr>
          <w:rFonts w:ascii="宋体" w:cs="宋体"/>
          <w:kern w:val="0"/>
          <w:sz w:val="24"/>
          <w:szCs w:val="24"/>
        </w:rPr>
      </w:pPr>
      <w:r>
        <w:rPr>
          <w:rFonts w:hint="eastAsia" w:ascii="宋体" w:hAnsi="宋体" w:cs="宋体"/>
          <w:sz w:val="24"/>
          <w:szCs w:val="24"/>
        </w:rPr>
        <w:t>供应商</w:t>
      </w:r>
      <w:r>
        <w:rPr>
          <w:rFonts w:hint="eastAsia" w:ascii="宋体" w:hAnsi="宋体" w:cs="宋体"/>
          <w:kern w:val="0"/>
          <w:sz w:val="24"/>
          <w:szCs w:val="24"/>
        </w:rPr>
        <w:t>应承担所有与准备和参加投标有关的费用，招标代理机构（或采购人</w:t>
      </w:r>
      <w:r>
        <w:rPr>
          <w:rFonts w:ascii="宋体" w:hAnsi="宋体" w:cs="宋体"/>
          <w:kern w:val="0"/>
          <w:sz w:val="24"/>
          <w:szCs w:val="24"/>
        </w:rPr>
        <w:t>)</w:t>
      </w:r>
      <w:r>
        <w:rPr>
          <w:rFonts w:hint="eastAsia" w:ascii="宋体" w:hAnsi="宋体" w:cs="宋体"/>
          <w:kern w:val="0"/>
          <w:sz w:val="24"/>
          <w:szCs w:val="24"/>
        </w:rPr>
        <w:t>在任何情况下均无义务和责任承担这些费用。</w:t>
      </w:r>
    </w:p>
    <w:p>
      <w:pPr>
        <w:pStyle w:val="5"/>
        <w:numPr>
          <w:ilvl w:val="0"/>
          <w:numId w:val="4"/>
        </w:numPr>
      </w:pPr>
      <w:r>
        <w:rPr>
          <w:rFonts w:hint="eastAsia"/>
        </w:rPr>
        <w:t>采购进口产品</w:t>
      </w:r>
    </w:p>
    <w:p>
      <w:pPr>
        <w:widowControl/>
        <w:wordWrap w:val="0"/>
        <w:snapToGrid w:val="0"/>
        <w:spacing w:line="360" w:lineRule="auto"/>
        <w:ind w:right="-92" w:rightChars="-44" w:firstLine="480" w:firstLineChars="200"/>
        <w:jc w:val="left"/>
        <w:rPr>
          <w:rFonts w:ascii="宋体" w:cs="宋体"/>
          <w:kern w:val="0"/>
          <w:sz w:val="24"/>
          <w:szCs w:val="24"/>
        </w:rPr>
      </w:pPr>
      <w:r>
        <w:rPr>
          <w:rFonts w:ascii="宋体" w:hAnsi="宋体" w:cs="宋体"/>
          <w:kern w:val="0"/>
          <w:sz w:val="24"/>
          <w:szCs w:val="24"/>
        </w:rPr>
        <w:t xml:space="preserve">5.1 </w:t>
      </w:r>
      <w:r>
        <w:rPr>
          <w:rFonts w:hint="eastAsia" w:ascii="宋体" w:hAnsi="宋体" w:cs="宋体"/>
          <w:kern w:val="0"/>
          <w:sz w:val="24"/>
          <w:szCs w:val="24"/>
        </w:rPr>
        <w:t>除公告及供应商须知前附表另有规定外，本项目拒绝进口产品参加采购活动。</w:t>
      </w:r>
    </w:p>
    <w:p>
      <w:pPr>
        <w:widowControl/>
        <w:wordWrap w:val="0"/>
        <w:snapToGrid w:val="0"/>
        <w:spacing w:line="360" w:lineRule="auto"/>
        <w:ind w:right="-92" w:rightChars="-44" w:firstLine="480" w:firstLineChars="200"/>
        <w:jc w:val="left"/>
        <w:rPr>
          <w:rFonts w:ascii="宋体" w:cs="宋体"/>
          <w:kern w:val="0"/>
          <w:sz w:val="24"/>
          <w:szCs w:val="24"/>
        </w:rPr>
      </w:pPr>
      <w:r>
        <w:rPr>
          <w:rFonts w:ascii="宋体" w:hAnsi="宋体" w:cs="宋体"/>
          <w:kern w:val="0"/>
          <w:sz w:val="24"/>
          <w:szCs w:val="24"/>
        </w:rPr>
        <w:t xml:space="preserve">5.2 </w:t>
      </w:r>
      <w:r>
        <w:rPr>
          <w:rFonts w:hint="eastAsia" w:ascii="宋体" w:hAnsi="宋体" w:cs="宋体"/>
          <w:kern w:val="0"/>
          <w:sz w:val="24"/>
          <w:szCs w:val="24"/>
        </w:rPr>
        <w:t>本项目第五部分采购要求中同意购买进口产品的，采购活动不限制满足磋商响应文件要求的国产产品参与本次采购。</w:t>
      </w:r>
    </w:p>
    <w:p>
      <w:pPr>
        <w:widowControl/>
        <w:wordWrap w:val="0"/>
        <w:snapToGrid w:val="0"/>
        <w:spacing w:line="360" w:lineRule="auto"/>
        <w:ind w:right="-92" w:rightChars="-44" w:firstLine="480" w:firstLineChars="200"/>
        <w:jc w:val="left"/>
        <w:rPr>
          <w:rFonts w:ascii="宋体" w:cs="宋体"/>
          <w:color w:val="0000FF"/>
          <w:kern w:val="0"/>
          <w:sz w:val="24"/>
          <w:szCs w:val="24"/>
        </w:rPr>
      </w:pPr>
    </w:p>
    <w:p>
      <w:pPr>
        <w:widowControl/>
        <w:wordWrap w:val="0"/>
        <w:snapToGrid w:val="0"/>
        <w:spacing w:line="360" w:lineRule="auto"/>
        <w:ind w:right="-92" w:rightChars="-44"/>
        <w:jc w:val="left"/>
        <w:rPr>
          <w:rFonts w:ascii="宋体" w:cs="宋体"/>
          <w:color w:val="0000FF"/>
          <w:kern w:val="0"/>
          <w:sz w:val="24"/>
          <w:szCs w:val="24"/>
        </w:rPr>
        <w:sectPr>
          <w:pgSz w:w="11906" w:h="16838"/>
          <w:pgMar w:top="1440" w:right="1800" w:bottom="1440" w:left="1800" w:header="851" w:footer="992" w:gutter="0"/>
          <w:cols w:space="0" w:num="1"/>
          <w:docGrid w:type="lines" w:linePitch="325" w:charSpace="0"/>
        </w:sectPr>
      </w:pPr>
    </w:p>
    <w:p>
      <w:pPr>
        <w:widowControl/>
        <w:wordWrap w:val="0"/>
        <w:snapToGrid w:val="0"/>
        <w:spacing w:line="360" w:lineRule="auto"/>
        <w:ind w:right="-92" w:rightChars="-44" w:firstLine="480" w:firstLineChars="200"/>
        <w:jc w:val="left"/>
        <w:rPr>
          <w:rFonts w:asciiTheme="minorEastAsia" w:hAnsiTheme="minorEastAsia" w:cstheme="minorEastAsia"/>
          <w:kern w:val="0"/>
          <w:sz w:val="24"/>
          <w:szCs w:val="24"/>
        </w:rPr>
      </w:pPr>
    </w:p>
    <w:p>
      <w:pPr>
        <w:widowControl/>
        <w:spacing w:line="360" w:lineRule="auto"/>
        <w:jc w:val="center"/>
        <w:outlineLvl w:val="1"/>
        <w:rPr>
          <w:rFonts w:ascii="宋体" w:hAnsi="宋体" w:cs="宋体"/>
          <w:b/>
          <w:bCs/>
          <w:kern w:val="0"/>
          <w:sz w:val="32"/>
          <w:szCs w:val="28"/>
        </w:rPr>
      </w:pPr>
      <w:bookmarkStart w:id="34" w:name="_Toc816"/>
      <w:bookmarkStart w:id="35" w:name="_Toc1811"/>
      <w:bookmarkStart w:id="36" w:name="_Toc22254"/>
      <w:bookmarkStart w:id="37" w:name="_Toc24962"/>
      <w:bookmarkStart w:id="38" w:name="_Toc23916"/>
      <w:bookmarkStart w:id="39" w:name="_Toc30368"/>
      <w:bookmarkStart w:id="40" w:name="_Toc15601"/>
      <w:r>
        <w:rPr>
          <w:rFonts w:hint="eastAsia" w:ascii="宋体" w:hAnsi="宋体" w:cs="宋体"/>
          <w:b/>
          <w:bCs/>
          <w:kern w:val="0"/>
          <w:sz w:val="32"/>
          <w:szCs w:val="28"/>
        </w:rPr>
        <w:t>二、竞争性磋商文件</w:t>
      </w:r>
      <w:bookmarkEnd w:id="34"/>
      <w:bookmarkEnd w:id="35"/>
      <w:bookmarkEnd w:id="36"/>
      <w:bookmarkEnd w:id="37"/>
      <w:bookmarkEnd w:id="38"/>
    </w:p>
    <w:p>
      <w:pPr>
        <w:pStyle w:val="5"/>
        <w:numPr>
          <w:ilvl w:val="0"/>
          <w:numId w:val="7"/>
        </w:numPr>
        <w:rPr>
          <w:rFonts w:ascii="宋体" w:hAnsi="宋体" w:cs="宋体"/>
        </w:rPr>
      </w:pPr>
      <w:bookmarkStart w:id="41" w:name="_Toc5801"/>
      <w:r>
        <w:rPr>
          <w:rFonts w:hint="eastAsia" w:ascii="宋体" w:hAnsi="宋体" w:cs="宋体"/>
        </w:rPr>
        <w:t>竞争性磋商文件的构成</w:t>
      </w:r>
      <w:bookmarkEnd w:id="41"/>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竞争性磋商文件是供应商准备磋商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竞争性磋商公告；</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供应商须知前附表；</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供应商须知；</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评审标准；</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采购要求；</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合同条款；</w:t>
      </w:r>
    </w:p>
    <w:p>
      <w:pPr>
        <w:numPr>
          <w:ilvl w:val="0"/>
          <w:numId w:val="8"/>
        </w:numPr>
        <w:tabs>
          <w:tab w:val="left" w:pos="0"/>
        </w:tabs>
        <w:adjustRightInd w:val="0"/>
        <w:snapToGrid w:val="0"/>
        <w:spacing w:line="360" w:lineRule="auto"/>
        <w:jc w:val="left"/>
        <w:rPr>
          <w:rFonts w:ascii="宋体" w:hAnsi="宋体" w:cs="宋体"/>
          <w:sz w:val="24"/>
          <w:szCs w:val="24"/>
        </w:rPr>
      </w:pPr>
      <w:r>
        <w:rPr>
          <w:rFonts w:hint="eastAsia" w:ascii="宋体" w:hAnsi="宋体" w:cs="宋体"/>
          <w:sz w:val="24"/>
          <w:szCs w:val="24"/>
        </w:rPr>
        <w:t>磋商响应文件格式。</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rPr>
        <w:t>供应商应认真阅读和充分理解竞争性磋商文件中所有的事项、格式条款和规范要求。供应商没有对竞争性磋商文件全面做出实质性响应是供应商的风险。没有按照竞争性磋商文件要求作出实质性响应的磋商响应文件将被拒绝。</w:t>
      </w:r>
    </w:p>
    <w:p>
      <w:pPr>
        <w:pStyle w:val="5"/>
        <w:numPr>
          <w:ilvl w:val="0"/>
          <w:numId w:val="7"/>
        </w:numPr>
        <w:rPr>
          <w:rFonts w:ascii="宋体" w:hAnsi="宋体" w:cs="宋体"/>
        </w:rPr>
      </w:pPr>
      <w:bookmarkStart w:id="42" w:name="_Toc19797"/>
      <w:r>
        <w:rPr>
          <w:rFonts w:hint="eastAsia" w:ascii="宋体" w:hAnsi="宋体" w:cs="宋体"/>
        </w:rPr>
        <w:t>竞争性磋商文件的澄清</w:t>
      </w:r>
      <w:bookmarkEnd w:id="42"/>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2.1 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或因市场行情了解不清造成的后果和风险均由供应商自负。</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2.2任何对竞争性磋商文件进行询问或要求进行澄清的供应商，均应在收到竞争性磋商文件后二日内按竞争性磋商文件中的通讯地址以书面形式递交代理机构，采购人或代理机构对收到的任何询问或澄清要求将在三个工作日内作出书面答复。</w:t>
      </w:r>
    </w:p>
    <w:p>
      <w:pPr>
        <w:pStyle w:val="5"/>
        <w:numPr>
          <w:ilvl w:val="0"/>
          <w:numId w:val="7"/>
        </w:numPr>
        <w:rPr>
          <w:rFonts w:ascii="宋体" w:hAnsi="宋体" w:cs="宋体"/>
        </w:rPr>
      </w:pPr>
      <w:bookmarkStart w:id="43" w:name="_Toc6390"/>
      <w:r>
        <w:rPr>
          <w:rFonts w:hint="eastAsia" w:ascii="宋体" w:hAnsi="宋体" w:cs="宋体"/>
        </w:rPr>
        <w:t>竞争性磋商文件的修改</w:t>
      </w:r>
      <w:bookmarkEnd w:id="43"/>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3.1 在磋商截止时间五日前，无论出于何种原因，代理机构可主动地或在解答供应商提出的澄清问题时，对竞争性磋商文件进行修改。竞争性磋商文件的澄清和修改将以书面形式通知所有供应商，并作为竞争性磋商文件的补充，与其具有同等法律效力。</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3.2 为方便供应商对竞争性磋商文件修改或澄清内容有充分的时间进行补充修改，代理机构可适当延长磋商截止时间和磋商时间，在竞争性磋商文件要求提交磋商响应文件的截止期三日前，将变更时间书面通知所有购买竞争性磋商文件的供应商。</w:t>
      </w:r>
    </w:p>
    <w:p>
      <w:pPr>
        <w:pStyle w:val="5"/>
        <w:numPr>
          <w:ilvl w:val="0"/>
          <w:numId w:val="7"/>
        </w:numPr>
        <w:rPr>
          <w:rFonts w:ascii="宋体" w:hAnsi="宋体" w:cs="宋体"/>
        </w:rPr>
      </w:pPr>
      <w:bookmarkStart w:id="44" w:name="_Toc31188"/>
      <w:r>
        <w:rPr>
          <w:rFonts w:hint="eastAsia" w:ascii="宋体" w:hAnsi="宋体" w:cs="宋体"/>
        </w:rPr>
        <w:t>竞争性磋商文件的获取</w:t>
      </w:r>
      <w:bookmarkEnd w:id="44"/>
    </w:p>
    <w:p>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供应商必须从代理机构购买竞争性磋商文件，供应商自行转让或复制竞争性磋商文件视为无效。竞争性磋商文件一经售出，一律不退，仅作为本次竞争性磋商使用。</w:t>
      </w:r>
    </w:p>
    <w:p>
      <w:pPr>
        <w:pStyle w:val="5"/>
        <w:numPr>
          <w:ilvl w:val="0"/>
          <w:numId w:val="7"/>
        </w:numPr>
        <w:rPr>
          <w:rFonts w:ascii="宋体" w:hAnsi="宋体" w:cs="宋体"/>
        </w:rPr>
      </w:pPr>
      <w:bookmarkStart w:id="45" w:name="_Toc5095"/>
      <w:r>
        <w:rPr>
          <w:rFonts w:hint="eastAsia" w:ascii="宋体" w:hAnsi="宋体" w:cs="宋体"/>
        </w:rPr>
        <w:t>竞争性磋商文件的解释权归代理机构。</w:t>
      </w:r>
      <w:bookmarkEnd w:id="45"/>
    </w:p>
    <w:p>
      <w:pPr>
        <w:widowControl/>
        <w:numPr>
          <w:ilvl w:val="0"/>
          <w:numId w:val="9"/>
        </w:numPr>
        <w:spacing w:line="360" w:lineRule="auto"/>
        <w:ind w:firstLine="643" w:firstLineChars="200"/>
        <w:jc w:val="center"/>
        <w:outlineLvl w:val="1"/>
        <w:rPr>
          <w:rFonts w:ascii="宋体" w:hAnsi="宋体" w:cs="宋体"/>
          <w:b/>
          <w:bCs/>
          <w:kern w:val="0"/>
          <w:sz w:val="32"/>
          <w:szCs w:val="28"/>
        </w:rPr>
        <w:sectPr>
          <w:pgSz w:w="11906" w:h="16838"/>
          <w:pgMar w:top="1440" w:right="1706" w:bottom="1440" w:left="1800" w:header="851" w:footer="992" w:gutter="0"/>
          <w:cols w:space="720" w:num="1"/>
          <w:docGrid w:type="lines" w:linePitch="312" w:charSpace="0"/>
        </w:sectPr>
      </w:pPr>
    </w:p>
    <w:bookmarkEnd w:id="39"/>
    <w:bookmarkEnd w:id="40"/>
    <w:p>
      <w:pPr>
        <w:pStyle w:val="4"/>
        <w:rPr>
          <w:rFonts w:ascii="宋体" w:cs="宋体"/>
          <w:sz w:val="32"/>
          <w:szCs w:val="32"/>
        </w:rPr>
      </w:pPr>
      <w:bookmarkStart w:id="46" w:name="_Toc16088"/>
      <w:bookmarkStart w:id="47" w:name="_Toc16555"/>
      <w:bookmarkStart w:id="48" w:name="_Toc3298"/>
      <w:bookmarkStart w:id="49" w:name="_Toc12904"/>
      <w:r>
        <w:rPr>
          <w:rFonts w:hint="eastAsia" w:ascii="宋体" w:hAnsi="宋体" w:cs="宋体"/>
          <w:sz w:val="32"/>
          <w:szCs w:val="32"/>
        </w:rPr>
        <w:t>三、磋商响应文件</w:t>
      </w:r>
      <w:bookmarkEnd w:id="46"/>
      <w:bookmarkEnd w:id="47"/>
    </w:p>
    <w:p>
      <w:pPr>
        <w:pStyle w:val="5"/>
        <w:numPr>
          <w:ilvl w:val="0"/>
          <w:numId w:val="10"/>
        </w:numPr>
        <w:spacing w:line="500" w:lineRule="exact"/>
        <w:ind w:firstLine="562" w:firstLineChars="200"/>
        <w:rPr>
          <w:rFonts w:ascii="宋体" w:cs="宋体"/>
          <w:szCs w:val="28"/>
        </w:rPr>
      </w:pPr>
      <w:bookmarkStart w:id="50" w:name="_Toc17549"/>
      <w:r>
        <w:rPr>
          <w:rFonts w:hint="eastAsia" w:ascii="宋体" w:hAnsi="宋体" w:cs="宋体"/>
          <w:szCs w:val="28"/>
        </w:rPr>
        <w:t>磋商响应文件的编制</w:t>
      </w:r>
      <w:bookmarkEnd w:id="50"/>
    </w:p>
    <w:p>
      <w:pPr>
        <w:spacing w:line="500" w:lineRule="exact"/>
        <w:ind w:firstLine="480" w:firstLineChars="200"/>
        <w:jc w:val="left"/>
        <w:rPr>
          <w:rFonts w:ascii="宋体" w:cs="宋体"/>
          <w:sz w:val="24"/>
          <w:szCs w:val="24"/>
          <w:highlight w:val="yellow"/>
        </w:rPr>
      </w:pPr>
      <w:r>
        <w:rPr>
          <w:rFonts w:ascii="宋体" w:hAnsi="宋体" w:cs="宋体"/>
          <w:sz w:val="24"/>
          <w:szCs w:val="24"/>
        </w:rPr>
        <w:t xml:space="preserve">1.1 </w:t>
      </w:r>
      <w:r>
        <w:rPr>
          <w:rFonts w:hint="eastAsia" w:ascii="宋体" w:hAnsi="宋体" w:cs="宋体"/>
          <w:sz w:val="24"/>
          <w:szCs w:val="24"/>
        </w:rPr>
        <w:t>磋商响应文件应根据代理机构发售的磋商响应文件格式和顺序认真编制。具体内容包括：</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响应函；</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磋商一览表；</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分项报价表；</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供应商资质证明资料；</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 xml:space="preserve">商务和技术响应偏离表；  </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技术支持资料；</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cs="宋体"/>
          <w:sz w:val="24"/>
          <w:szCs w:val="24"/>
        </w:rPr>
        <w:t>供应商业绩一览表；</w:t>
      </w:r>
    </w:p>
    <w:p>
      <w:pPr>
        <w:numPr>
          <w:ilvl w:val="0"/>
          <w:numId w:val="11"/>
        </w:numPr>
        <w:tabs>
          <w:tab w:val="left" w:pos="0"/>
        </w:tabs>
        <w:adjustRightInd w:val="0"/>
        <w:snapToGrid w:val="0"/>
        <w:spacing w:line="440" w:lineRule="exact"/>
        <w:jc w:val="left"/>
        <w:rPr>
          <w:rFonts w:ascii="宋体" w:cs="宋体"/>
          <w:sz w:val="24"/>
          <w:szCs w:val="24"/>
        </w:rPr>
      </w:pPr>
      <w:r>
        <w:rPr>
          <w:rFonts w:hint="eastAsia" w:ascii="宋体" w:hAnsi="宋体" w:cs="宋体"/>
          <w:sz w:val="24"/>
          <w:szCs w:val="24"/>
        </w:rPr>
        <w:t>供应商认为有必要说明的其他问题；</w:t>
      </w:r>
    </w:p>
    <w:p>
      <w:pPr>
        <w:widowControl/>
        <w:spacing w:line="500" w:lineRule="exact"/>
        <w:ind w:firstLine="720" w:firstLineChars="300"/>
        <w:jc w:val="left"/>
        <w:rPr>
          <w:rFonts w:ascii="宋体" w:hAnsi="宋体" w:cs="宋体"/>
          <w:sz w:val="24"/>
          <w:szCs w:val="24"/>
        </w:rPr>
      </w:pPr>
      <w:r>
        <w:rPr>
          <w:rFonts w:hint="eastAsia" w:ascii="宋体" w:hAnsi="宋体" w:cs="宋体"/>
          <w:sz w:val="24"/>
          <w:szCs w:val="24"/>
        </w:rPr>
        <w:t>（9）供应商承诺书。</w:t>
      </w:r>
    </w:p>
    <w:p>
      <w:pPr>
        <w:pStyle w:val="5"/>
        <w:numPr>
          <w:ilvl w:val="0"/>
          <w:numId w:val="10"/>
        </w:numPr>
      </w:pPr>
      <w:bookmarkStart w:id="51" w:name="_Toc27646"/>
      <w:r>
        <w:rPr>
          <w:rFonts w:hint="eastAsia"/>
        </w:rPr>
        <w:t>响应报价</w:t>
      </w:r>
      <w:bookmarkEnd w:id="51"/>
    </w:p>
    <w:p>
      <w:pPr>
        <w:tabs>
          <w:tab w:val="left" w:pos="0"/>
        </w:tabs>
        <w:adjustRightInd w:val="0"/>
        <w:snapToGrid w:val="0"/>
        <w:spacing w:line="440" w:lineRule="exact"/>
        <w:ind w:firstLine="480" w:firstLineChars="200"/>
        <w:jc w:val="left"/>
        <w:rPr>
          <w:rFonts w:ascii="宋体" w:hAnsi="宋体" w:eastAsia="宋体" w:cs="宋体"/>
          <w:sz w:val="24"/>
          <w:szCs w:val="24"/>
        </w:rPr>
      </w:pPr>
      <w:bookmarkStart w:id="52" w:name="_Toc29200"/>
      <w:r>
        <w:rPr>
          <w:rFonts w:hint="eastAsia" w:ascii="宋体" w:hAnsi="宋体" w:eastAsia="宋体" w:cs="宋体"/>
          <w:sz w:val="24"/>
          <w:szCs w:val="24"/>
        </w:rPr>
        <w:t>2.1供应商应在响应报价表中标明本次招标所要求的货物、工程、服务且验收合格的所有费用，包括总报价、货物服务报价、技术培训费（如果有）、检测费、人工费、税金及进口产品（如果有）国家按现行税收政策征收的一切税费等。在合同实施期间，响应报价表中标明本项目所需的</w:t>
      </w:r>
      <w:r>
        <w:rPr>
          <w:rFonts w:hint="eastAsia" w:ascii="宋体" w:hAnsi="宋体" w:eastAsia="宋体" w:cs="宋体"/>
          <w:sz w:val="24"/>
          <w:szCs w:val="24"/>
          <w:lang w:val="en-US" w:eastAsia="zh-CN"/>
        </w:rPr>
        <w:t>单价合计</w:t>
      </w:r>
      <w:r>
        <w:rPr>
          <w:rFonts w:hint="eastAsia" w:ascii="宋体" w:hAnsi="宋体" w:eastAsia="宋体" w:cs="宋体"/>
          <w:sz w:val="24"/>
          <w:szCs w:val="24"/>
        </w:rPr>
        <w:t>，不受市场价变化的影响，不受实际数量变化的影响。任何有选择的报价将不予接受，否则按无效响应处理。</w:t>
      </w:r>
    </w:p>
    <w:p>
      <w:pPr>
        <w:tabs>
          <w:tab w:val="left" w:pos="0"/>
        </w:tabs>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2.2供应商成交后承担服务过程中发生的安全事故产生的所有法律及经济责任。</w:t>
      </w:r>
    </w:p>
    <w:p>
      <w:pPr>
        <w:tabs>
          <w:tab w:val="left" w:pos="0"/>
        </w:tabs>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2.3响应报价表成交的价格，在合同执行过程中，不得以任何理由变更。</w:t>
      </w:r>
    </w:p>
    <w:p>
      <w:pPr>
        <w:tabs>
          <w:tab w:val="left" w:pos="0"/>
        </w:tabs>
        <w:adjustRightInd w:val="0"/>
        <w:snapToGrid w:val="0"/>
        <w:spacing w:line="440" w:lineRule="exact"/>
        <w:ind w:firstLine="480" w:firstLineChars="200"/>
        <w:jc w:val="left"/>
        <w:rPr>
          <w:rFonts w:ascii="宋体" w:hAnsi="宋体" w:eastAsia="宋体" w:cs="宋体"/>
          <w:color w:val="0000FF"/>
          <w:sz w:val="24"/>
          <w:szCs w:val="24"/>
        </w:rPr>
      </w:pPr>
      <w:r>
        <w:rPr>
          <w:rFonts w:hint="eastAsia" w:ascii="宋体" w:hAnsi="宋体" w:eastAsia="宋体" w:cs="宋体"/>
          <w:sz w:val="24"/>
          <w:szCs w:val="24"/>
        </w:rPr>
        <w:t>2.4供应商应在磋商响应文件中的磋商一览表上，标明</w:t>
      </w:r>
      <w:r>
        <w:rPr>
          <w:rFonts w:hint="eastAsia" w:ascii="宋体" w:hAnsi="宋体" w:eastAsia="宋体" w:cs="宋体"/>
          <w:sz w:val="24"/>
          <w:szCs w:val="24"/>
          <w:lang w:val="en-US" w:eastAsia="zh-CN"/>
        </w:rPr>
        <w:t>总报价</w:t>
      </w:r>
      <w:r>
        <w:rPr>
          <w:rFonts w:hint="eastAsia" w:ascii="宋体" w:hAnsi="宋体" w:eastAsia="宋体" w:cs="宋体"/>
          <w:sz w:val="24"/>
          <w:szCs w:val="24"/>
        </w:rPr>
        <w:t>、</w:t>
      </w:r>
      <w:r>
        <w:rPr>
          <w:rFonts w:hint="eastAsia" w:ascii="宋体" w:hAnsi="宋体" w:eastAsia="宋体" w:cs="宋体"/>
          <w:sz w:val="24"/>
          <w:szCs w:val="24"/>
          <w:lang w:eastAsia="zh-CN"/>
        </w:rPr>
        <w:t>交付期、质保期</w:t>
      </w:r>
      <w:r>
        <w:rPr>
          <w:rFonts w:hint="eastAsia" w:ascii="宋体" w:hAnsi="宋体" w:eastAsia="宋体" w:cs="宋体"/>
          <w:sz w:val="24"/>
          <w:szCs w:val="24"/>
        </w:rPr>
        <w:t>等磋商文件要求的其他内容；任何有选择的报价不予接受。</w:t>
      </w:r>
    </w:p>
    <w:p>
      <w:pPr>
        <w:tabs>
          <w:tab w:val="left" w:pos="0"/>
        </w:tabs>
        <w:adjustRightInd w:val="0"/>
        <w:snapToGrid w:val="0"/>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2.5最低报价不是成交的唯一依据。</w:t>
      </w:r>
    </w:p>
    <w:p>
      <w:pPr>
        <w:pStyle w:val="5"/>
        <w:numPr>
          <w:ilvl w:val="0"/>
          <w:numId w:val="10"/>
        </w:numPr>
        <w:spacing w:line="500" w:lineRule="exact"/>
        <w:ind w:firstLine="562" w:firstLineChars="200"/>
        <w:rPr>
          <w:rFonts w:ascii="宋体" w:cs="宋体"/>
          <w:szCs w:val="28"/>
        </w:rPr>
      </w:pPr>
      <w:r>
        <w:rPr>
          <w:rFonts w:hint="eastAsia" w:ascii="宋体" w:hAnsi="宋体" w:cs="宋体"/>
          <w:szCs w:val="28"/>
        </w:rPr>
        <w:t>磋商货币</w:t>
      </w:r>
      <w:bookmarkEnd w:id="52"/>
    </w:p>
    <w:p>
      <w:pPr>
        <w:widowControl/>
        <w:spacing w:line="400" w:lineRule="exact"/>
        <w:ind w:firstLine="480" w:firstLineChars="200"/>
        <w:rPr>
          <w:rFonts w:ascii="宋体" w:hAnsi="宋体" w:cs="宋体"/>
          <w:kern w:val="0"/>
          <w:sz w:val="24"/>
          <w:szCs w:val="24"/>
        </w:rPr>
      </w:pPr>
      <w:bookmarkStart w:id="53" w:name="_Toc19668"/>
      <w:r>
        <w:rPr>
          <w:rFonts w:hint="eastAsia" w:ascii="宋体" w:hAnsi="宋体" w:cs="宋体"/>
          <w:kern w:val="0"/>
          <w:sz w:val="24"/>
          <w:szCs w:val="24"/>
        </w:rPr>
        <w:t>采购人只接受人民币作为唯一磋商货币。</w:t>
      </w:r>
    </w:p>
    <w:bookmarkEnd w:id="53"/>
    <w:p>
      <w:pPr>
        <w:pStyle w:val="5"/>
        <w:numPr>
          <w:ilvl w:val="0"/>
          <w:numId w:val="10"/>
        </w:numPr>
        <w:rPr>
          <w:rFonts w:ascii="宋体" w:hAnsi="宋体" w:eastAsia="宋体" w:cs="宋体"/>
        </w:rPr>
      </w:pPr>
      <w:bookmarkStart w:id="54" w:name="_Toc24827"/>
      <w:r>
        <w:rPr>
          <w:rFonts w:hint="eastAsia" w:ascii="宋体" w:hAnsi="宋体" w:eastAsia="宋体" w:cs="宋体"/>
        </w:rPr>
        <w:t>磋商有效期</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磋商有效期见供应商须知前附表，磋商有效期短于此规定期限的磋商响应文件，视为无效文件，其磋商响应文件将被拒绝。成交单位的磋商响应文件有效期延长至合同执行完毕。</w:t>
      </w:r>
    </w:p>
    <w:p>
      <w:pPr>
        <w:pStyle w:val="5"/>
        <w:numPr>
          <w:ilvl w:val="0"/>
          <w:numId w:val="10"/>
        </w:numPr>
        <w:spacing w:line="500" w:lineRule="exact"/>
        <w:ind w:firstLine="562" w:firstLineChars="200"/>
        <w:rPr>
          <w:rFonts w:ascii="宋体" w:cs="宋体"/>
          <w:szCs w:val="28"/>
        </w:rPr>
      </w:pPr>
      <w:r>
        <w:rPr>
          <w:rFonts w:hint="eastAsia" w:ascii="宋体" w:hAnsi="宋体" w:cs="宋体"/>
          <w:szCs w:val="28"/>
        </w:rPr>
        <w:t>磋商响应文件的装订、密封和签署</w:t>
      </w:r>
      <w:bookmarkEnd w:id="5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5</w:t>
      </w:r>
      <w:r>
        <w:rPr>
          <w:rFonts w:ascii="宋体" w:hAnsi="宋体" w:cs="宋体"/>
          <w:sz w:val="24"/>
          <w:szCs w:val="24"/>
        </w:rPr>
        <w:t xml:space="preserve">.1 </w:t>
      </w:r>
      <w:r>
        <w:rPr>
          <w:rFonts w:hint="eastAsia" w:ascii="宋体" w:hAnsi="宋体" w:cs="宋体"/>
          <w:sz w:val="24"/>
          <w:szCs w:val="24"/>
        </w:rPr>
        <w:t>供应商须依据竞争性磋商文件内容和磋商响应文件格式的要求编制磋商响应文件；</w:t>
      </w:r>
    </w:p>
    <w:p>
      <w:pPr>
        <w:tabs>
          <w:tab w:val="left" w:pos="0"/>
        </w:tabs>
        <w:spacing w:line="500" w:lineRule="exact"/>
        <w:ind w:firstLine="480" w:firstLineChars="200"/>
        <w:rPr>
          <w:rFonts w:ascii="宋体" w:cs="宋体"/>
          <w:b/>
          <w:bCs/>
          <w:sz w:val="24"/>
          <w:szCs w:val="24"/>
        </w:rPr>
      </w:pPr>
      <w:r>
        <w:rPr>
          <w:rFonts w:hint="eastAsia" w:ascii="宋体" w:hAnsi="宋体" w:cs="宋体"/>
          <w:sz w:val="24"/>
          <w:szCs w:val="24"/>
        </w:rPr>
        <w:t>磋商响应文件的正本须打印或用不褪色蓝（黑）墨水（汁）书写，磋商响应文件的打印（建议双面打印）和书写应清楚工整，任何行间插字、涂改和增删，必须由供应商的法定代表人或其授权代表签字或加盖个人印章，字迹潦草或表达不清或可能导致非唯一理解的磋商响应文件可能视为无效文件；所有的副本可以为正本的复印件，并在每一页的正下方清楚标明第几页、共几页等字样。</w:t>
      </w:r>
    </w:p>
    <w:p>
      <w:pPr>
        <w:tabs>
          <w:tab w:val="left" w:pos="0"/>
        </w:tabs>
        <w:spacing w:line="360" w:lineRule="auto"/>
        <w:ind w:firstLine="480" w:firstLineChars="200"/>
        <w:rPr>
          <w:rFonts w:ascii="宋体" w:hAnsi="宋体" w:eastAsia="宋体" w:cs="宋体"/>
          <w:sz w:val="24"/>
          <w:szCs w:val="24"/>
        </w:rPr>
      </w:pPr>
      <w:r>
        <w:rPr>
          <w:rFonts w:hint="eastAsia" w:ascii="宋体" w:hAnsi="宋体" w:cs="宋体"/>
          <w:sz w:val="24"/>
          <w:szCs w:val="24"/>
        </w:rPr>
        <w:t>5</w:t>
      </w:r>
      <w:r>
        <w:rPr>
          <w:rFonts w:ascii="宋体" w:hAnsi="宋体" w:cs="宋体"/>
          <w:sz w:val="24"/>
          <w:szCs w:val="24"/>
        </w:rPr>
        <w:t xml:space="preserve">.2 </w:t>
      </w:r>
      <w:r>
        <w:rPr>
          <w:rFonts w:hint="eastAsia" w:ascii="宋体" w:hAnsi="宋体" w:eastAsia="宋体" w:cs="宋体"/>
          <w:sz w:val="24"/>
          <w:szCs w:val="24"/>
        </w:rPr>
        <w:t>磋商响应文件的装订</w:t>
      </w:r>
    </w:p>
    <w:p>
      <w:pPr>
        <w:spacing w:line="500" w:lineRule="exact"/>
        <w:ind w:firstLine="480" w:firstLineChars="200"/>
        <w:jc w:val="left"/>
        <w:rPr>
          <w:rFonts w:ascii="宋体" w:cs="宋体"/>
          <w:color w:val="FF0000"/>
          <w:sz w:val="24"/>
          <w:szCs w:val="24"/>
        </w:rPr>
      </w:pPr>
      <w:r>
        <w:rPr>
          <w:rFonts w:hint="eastAsia" w:ascii="宋体" w:hAnsi="宋体" w:eastAsia="宋体" w:cs="宋体"/>
          <w:sz w:val="24"/>
          <w:szCs w:val="24"/>
        </w:rPr>
        <w:t>磋商响应文件</w:t>
      </w:r>
      <w:r>
        <w:rPr>
          <w:rFonts w:hint="eastAsia" w:ascii="宋体" w:hAnsi="宋体" w:eastAsia="宋体" w:cs="宋体"/>
          <w:b/>
          <w:bCs/>
          <w:sz w:val="24"/>
          <w:szCs w:val="24"/>
        </w:rPr>
        <w:t>正本壹份、副本叁份</w:t>
      </w:r>
      <w:r>
        <w:rPr>
          <w:rFonts w:hint="eastAsia" w:ascii="宋体" w:hAnsi="宋体" w:eastAsia="宋体" w:cs="宋体"/>
          <w:sz w:val="24"/>
          <w:szCs w:val="24"/>
        </w:rPr>
        <w:t>，分别胶装装订成册（散页无效），且封面须清楚地标明“正本”或“副本”；若正本和副本不符，以正本书面文件为准；同时提供与正本内容一致的</w:t>
      </w:r>
      <w:bookmarkStart w:id="55" w:name="OLE_LINK13"/>
      <w:r>
        <w:rPr>
          <w:rFonts w:hint="eastAsia" w:ascii="宋体" w:hAnsi="宋体" w:eastAsia="宋体" w:cs="宋体"/>
          <w:sz w:val="24"/>
          <w:szCs w:val="24"/>
        </w:rPr>
        <w:t>电子版</w:t>
      </w:r>
      <w:bookmarkEnd w:id="55"/>
      <w:r>
        <w:rPr>
          <w:rFonts w:hint="eastAsia" w:ascii="宋体" w:hAnsi="宋体" w:eastAsia="宋体" w:cs="宋体"/>
          <w:sz w:val="24"/>
          <w:szCs w:val="24"/>
        </w:rPr>
        <w:t>（</w:t>
      </w:r>
      <w:r>
        <w:rPr>
          <w:rFonts w:hint="eastAsia" w:ascii="宋体" w:hAnsi="宋体" w:eastAsia="宋体" w:cs="宋体"/>
          <w:b/>
          <w:bCs/>
          <w:sz w:val="24"/>
          <w:szCs w:val="24"/>
        </w:rPr>
        <w:t>U盘</w:t>
      </w:r>
      <w:r>
        <w:rPr>
          <w:rFonts w:hint="eastAsia" w:ascii="宋体" w:hAnsi="宋体" w:eastAsia="宋体" w:cs="宋体"/>
          <w:sz w:val="24"/>
          <w:szCs w:val="24"/>
        </w:rPr>
        <w:t>、</w:t>
      </w:r>
      <w:r>
        <w:rPr>
          <w:rFonts w:hint="eastAsia" w:ascii="宋体" w:hAnsi="宋体" w:eastAsia="宋体" w:cs="宋体"/>
          <w:b/>
          <w:bCs/>
          <w:sz w:val="24"/>
          <w:szCs w:val="24"/>
        </w:rPr>
        <w:t>电子文档应为PDF与WORD格式各一份</w:t>
      </w:r>
      <w:r>
        <w:rPr>
          <w:rFonts w:hint="eastAsia" w:ascii="宋体" w:hAnsi="宋体" w:eastAsia="宋体" w:cs="宋体"/>
          <w:sz w:val="24"/>
          <w:szCs w:val="24"/>
        </w:rPr>
        <w:t>）、磋商一览表壹份</w:t>
      </w:r>
      <w:r>
        <w:rPr>
          <w:rFonts w:hint="eastAsia" w:ascii="宋体" w:hAnsi="宋体" w:eastAsia="宋体" w:cs="宋体"/>
          <w:b/>
          <w:bCs/>
          <w:sz w:val="24"/>
          <w:szCs w:val="24"/>
        </w:rPr>
        <w:t>（</w:t>
      </w:r>
      <w:r>
        <w:rPr>
          <w:rFonts w:hint="eastAsia" w:ascii="宋体" w:hAnsi="宋体" w:eastAsia="宋体" w:cs="宋体"/>
          <w:sz w:val="24"/>
          <w:szCs w:val="24"/>
        </w:rPr>
        <w:t>单独提交的“磋商一览表”应为原件</w:t>
      </w:r>
      <w:r>
        <w:rPr>
          <w:rFonts w:hint="eastAsia" w:ascii="宋体" w:hAnsi="宋体" w:eastAsia="宋体" w:cs="宋体"/>
          <w:b/>
          <w:bCs/>
          <w:sz w:val="24"/>
          <w:szCs w:val="24"/>
        </w:rPr>
        <w:t>）</w:t>
      </w:r>
      <w:r>
        <w:rPr>
          <w:rFonts w:hint="eastAsia" w:ascii="宋体" w:hAnsi="宋体" w:cs="宋体"/>
          <w:sz w:val="24"/>
          <w:szCs w:val="24"/>
        </w:rPr>
        <w:t>。</w:t>
      </w:r>
    </w:p>
    <w:p>
      <w:pPr>
        <w:spacing w:line="360" w:lineRule="auto"/>
        <w:ind w:firstLine="480" w:firstLineChars="200"/>
        <w:jc w:val="left"/>
        <w:rPr>
          <w:rFonts w:ascii="宋体" w:hAnsi="宋体" w:eastAsia="宋体" w:cs="宋体"/>
          <w:sz w:val="24"/>
          <w:szCs w:val="24"/>
        </w:rPr>
      </w:pPr>
      <w:bookmarkStart w:id="56" w:name="_Toc22752"/>
      <w:r>
        <w:rPr>
          <w:rFonts w:hint="eastAsia" w:ascii="宋体" w:hAnsi="宋体" w:cs="宋体"/>
          <w:sz w:val="24"/>
          <w:szCs w:val="24"/>
        </w:rPr>
        <w:t>5.3</w:t>
      </w:r>
      <w:r>
        <w:rPr>
          <w:rFonts w:hint="eastAsia" w:ascii="宋体" w:hAnsi="宋体" w:eastAsia="宋体" w:cs="宋体"/>
          <w:sz w:val="24"/>
          <w:szCs w:val="24"/>
        </w:rPr>
        <w:t>磋商响应文件的签署</w:t>
      </w:r>
    </w:p>
    <w:p>
      <w:pPr>
        <w:numPr>
          <w:ilvl w:val="0"/>
          <w:numId w:val="12"/>
        </w:numPr>
        <w:spacing w:line="360" w:lineRule="auto"/>
        <w:jc w:val="left"/>
        <w:rPr>
          <w:rFonts w:ascii="宋体" w:hAnsi="宋体" w:eastAsia="宋体" w:cs="宋体"/>
          <w:sz w:val="24"/>
          <w:szCs w:val="24"/>
        </w:rPr>
      </w:pPr>
      <w:r>
        <w:rPr>
          <w:rFonts w:hint="eastAsia" w:ascii="宋体" w:hAnsi="宋体" w:eastAsia="宋体" w:cs="宋体"/>
          <w:sz w:val="24"/>
          <w:szCs w:val="24"/>
        </w:rPr>
        <w:t>供应商在磋商响应文件中指定的页面的落款处，按竞争性磋商文件要求由供应商的法定代表人或其授权代表在规定的签章处签字或盖章。</w:t>
      </w:r>
    </w:p>
    <w:p>
      <w:pPr>
        <w:numPr>
          <w:ilvl w:val="0"/>
          <w:numId w:val="12"/>
        </w:numPr>
        <w:spacing w:line="360" w:lineRule="auto"/>
        <w:jc w:val="left"/>
        <w:rPr>
          <w:rFonts w:ascii="宋体" w:hAnsi="宋体" w:eastAsia="宋体" w:cs="宋体"/>
          <w:sz w:val="24"/>
          <w:szCs w:val="24"/>
        </w:rPr>
      </w:pPr>
      <w:r>
        <w:rPr>
          <w:rFonts w:hint="eastAsia" w:ascii="宋体" w:hAnsi="宋体" w:eastAsia="宋体" w:cs="宋体"/>
          <w:sz w:val="24"/>
          <w:szCs w:val="24"/>
        </w:rPr>
        <w:t>供应商应按照磋商文件要求，在每一份磋商响应文件的正本和副本封面下方以及其他磋商文件要求的位置填写供应商全称并加盖公章。</w:t>
      </w:r>
    </w:p>
    <w:p>
      <w:pPr>
        <w:numPr>
          <w:ilvl w:val="0"/>
          <w:numId w:val="12"/>
        </w:numPr>
        <w:spacing w:line="360" w:lineRule="auto"/>
        <w:jc w:val="left"/>
        <w:rPr>
          <w:rFonts w:ascii="宋体" w:hAnsi="宋体" w:eastAsia="宋体" w:cs="宋体"/>
          <w:sz w:val="24"/>
          <w:szCs w:val="24"/>
        </w:rPr>
      </w:pPr>
      <w:r>
        <w:rPr>
          <w:rFonts w:hint="eastAsia" w:ascii="宋体" w:hAnsi="宋体" w:eastAsia="宋体" w:cs="宋体"/>
          <w:sz w:val="24"/>
          <w:szCs w:val="24"/>
        </w:rPr>
        <w:t>磋商响应文件应字迹清楚、内容齐全、不得涂改或增删。如有修改和增删，必须有供应商公章及法定代表人或其授权代表签字。</w:t>
      </w:r>
    </w:p>
    <w:p>
      <w:pPr>
        <w:numPr>
          <w:ilvl w:val="0"/>
          <w:numId w:val="12"/>
        </w:numPr>
        <w:spacing w:line="360" w:lineRule="auto"/>
        <w:jc w:val="left"/>
        <w:rPr>
          <w:rFonts w:ascii="宋体" w:hAnsi="宋体" w:eastAsia="宋体" w:cs="宋体"/>
          <w:sz w:val="24"/>
          <w:szCs w:val="24"/>
        </w:rPr>
      </w:pPr>
      <w:r>
        <w:rPr>
          <w:rFonts w:hint="eastAsia" w:ascii="宋体" w:hAnsi="宋体" w:eastAsia="宋体" w:cs="宋体"/>
          <w:sz w:val="24"/>
          <w:szCs w:val="24"/>
        </w:rPr>
        <w:t>因磋商响应文件字迹潦草或表达不清所引起的不利后果由供应商承担。</w:t>
      </w:r>
    </w:p>
    <w:p>
      <w:pPr>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.4磋商响应文件的密封</w:t>
      </w:r>
    </w:p>
    <w:p>
      <w:pPr>
        <w:spacing w:line="360" w:lineRule="auto"/>
        <w:ind w:firstLine="480" w:firstLineChars="200"/>
        <w:jc w:val="left"/>
        <w:rPr>
          <w:rFonts w:ascii="宋体" w:hAnsi="宋体" w:eastAsia="宋体" w:cs="宋体"/>
          <w:kern w:val="0"/>
          <w:sz w:val="24"/>
        </w:rPr>
      </w:pPr>
      <w:r>
        <w:rPr>
          <w:rFonts w:hint="eastAsia" w:ascii="宋体" w:hAnsi="宋体" w:eastAsia="宋体" w:cs="宋体"/>
          <w:sz w:val="24"/>
          <w:szCs w:val="24"/>
        </w:rPr>
        <w:t>磋商响应文件正本、所有的副本、电子版、磋商一览表需分开密封装在单独的封袋中（封袋不得有破损），且在封袋正面标明“正本”“副本”“电子版”“磋商一览表”字样。封袋应密封，并在封线处加盖供应商鲜章，封袋正面要粘贴供应商全称、项目名称、编号等标识、且</w:t>
      </w:r>
      <w:r>
        <w:rPr>
          <w:rFonts w:hint="eastAsia" w:ascii="宋体" w:hAnsi="宋体" w:eastAsia="宋体" w:cs="宋体"/>
          <w:kern w:val="0"/>
          <w:sz w:val="24"/>
        </w:rPr>
        <w:t>磋商响应文件袋上应加盖供应商公章（</w:t>
      </w:r>
      <w:r>
        <w:rPr>
          <w:rFonts w:hint="eastAsia" w:ascii="宋体" w:hAnsi="宋体" w:eastAsia="宋体" w:cs="宋体"/>
          <w:sz w:val="24"/>
          <w:szCs w:val="24"/>
        </w:rPr>
        <w:t>封面标识见竞争性磋商文件</w:t>
      </w:r>
      <w:r>
        <w:rPr>
          <w:rFonts w:hint="eastAsia" w:ascii="宋体" w:hAnsi="宋体" w:eastAsia="宋体" w:cs="宋体"/>
          <w:b/>
          <w:bCs/>
          <w:sz w:val="24"/>
          <w:szCs w:val="24"/>
        </w:rPr>
        <w:t>附件一</w:t>
      </w:r>
      <w:r>
        <w:rPr>
          <w:rFonts w:hint="eastAsia" w:ascii="宋体" w:hAnsi="宋体" w:eastAsia="宋体" w:cs="宋体"/>
          <w:sz w:val="24"/>
          <w:szCs w:val="24"/>
        </w:rPr>
        <w:t>）</w:t>
      </w:r>
      <w:r>
        <w:rPr>
          <w:rFonts w:hint="eastAsia" w:ascii="宋体" w:hAnsi="宋体" w:eastAsia="宋体" w:cs="宋体"/>
          <w:kern w:val="0"/>
          <w:sz w:val="24"/>
        </w:rPr>
        <w:t>如果未按上述规定进行密封，供应商的磋商响应文件有权被拒绝</w:t>
      </w:r>
      <w:r>
        <w:rPr>
          <w:rFonts w:hint="eastAsia" w:ascii="宋体" w:hAnsi="宋体" w:eastAsia="宋体" w:cs="宋体"/>
          <w:sz w:val="24"/>
          <w:szCs w:val="24"/>
        </w:rPr>
        <w:t>。</w:t>
      </w:r>
    </w:p>
    <w:p>
      <w:pPr>
        <w:spacing w:line="360" w:lineRule="auto"/>
        <w:ind w:firstLine="480" w:firstLineChars="200"/>
        <w:jc w:val="left"/>
        <w:rPr>
          <w:rFonts w:ascii="宋体" w:hAnsi="宋体" w:eastAsia="宋体" w:cs="宋体"/>
          <w:kern w:val="0"/>
          <w:sz w:val="24"/>
        </w:rPr>
      </w:pPr>
      <w:r>
        <w:rPr>
          <w:rFonts w:hint="eastAsia" w:ascii="宋体" w:hAnsi="宋体" w:eastAsia="宋体" w:cs="宋体"/>
          <w:sz w:val="24"/>
          <w:szCs w:val="24"/>
        </w:rPr>
        <w:t>如果供应商未按上述要求密封及加写标记，误投或过早启封的磋商响应文件，将自行承担其磋商响应文件被视为无效磋商响应文件的风险。</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5.</w:t>
      </w:r>
      <w:r>
        <w:rPr>
          <w:rFonts w:hint="eastAsia" w:ascii="宋体" w:hAnsi="宋体" w:eastAsia="宋体" w:cs="宋体"/>
          <w:sz w:val="24"/>
          <w:szCs w:val="24"/>
        </w:rPr>
        <w:t>5本次磋商只接受简体中文文字的磋商响应文件；如磋商响应文件中出现外文资料，必须配以中文译文。否则，由此引发的一切责任由供应商自负。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5.6拒绝接受以电话、传真、电子邮件形式的磋商。</w:t>
      </w:r>
    </w:p>
    <w:bookmarkEnd w:id="56"/>
    <w:p>
      <w:pPr>
        <w:pStyle w:val="5"/>
        <w:numPr>
          <w:ilvl w:val="0"/>
          <w:numId w:val="10"/>
        </w:numPr>
        <w:rPr>
          <w:rFonts w:ascii="宋体" w:hAnsi="宋体" w:eastAsia="宋体" w:cs="宋体"/>
          <w:sz w:val="24"/>
          <w:szCs w:val="24"/>
        </w:rPr>
      </w:pPr>
      <w:r>
        <w:rPr>
          <w:rFonts w:hint="eastAsia" w:ascii="宋体" w:hAnsi="宋体" w:eastAsia="宋体" w:cs="宋体"/>
        </w:rPr>
        <w:t>知识产权</w:t>
      </w:r>
    </w:p>
    <w:p>
      <w:pPr>
        <w:adjustRightInd w:val="0"/>
        <w:snapToGrid w:val="0"/>
        <w:spacing w:line="500" w:lineRule="exact"/>
        <w:ind w:firstLine="480" w:firstLineChars="200"/>
        <w:rPr>
          <w:rFonts w:ascii="宋体" w:cs="宋体"/>
          <w:sz w:val="24"/>
          <w:szCs w:val="24"/>
        </w:rPr>
      </w:pPr>
      <w:r>
        <w:rPr>
          <w:rFonts w:hint="eastAsia" w:ascii="宋体" w:hAnsi="宋体" w:cs="宋体"/>
          <w:sz w:val="24"/>
          <w:szCs w:val="24"/>
        </w:rPr>
        <w:t>6</w:t>
      </w:r>
      <w:r>
        <w:rPr>
          <w:rFonts w:ascii="宋体" w:hAnsi="宋体" w:cs="宋体"/>
          <w:sz w:val="24"/>
          <w:szCs w:val="24"/>
        </w:rPr>
        <w:t xml:space="preserve">.1 </w:t>
      </w:r>
      <w:r>
        <w:rPr>
          <w:rFonts w:hint="eastAsia" w:ascii="宋体" w:hAnsi="宋体" w:cs="宋体"/>
          <w:sz w:val="24"/>
          <w:szCs w:val="24"/>
        </w:rPr>
        <w:t>供应商应保证在本项目使用的任何货物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500" w:lineRule="exact"/>
        <w:ind w:firstLine="480" w:firstLineChars="200"/>
        <w:rPr>
          <w:rFonts w:ascii="宋体" w:cs="宋体"/>
          <w:sz w:val="24"/>
          <w:szCs w:val="24"/>
        </w:rPr>
      </w:pPr>
      <w:r>
        <w:rPr>
          <w:rFonts w:hint="eastAsia" w:ascii="宋体" w:hAnsi="宋体" w:cs="宋体"/>
          <w:sz w:val="24"/>
          <w:szCs w:val="24"/>
        </w:rPr>
        <w:t>6</w:t>
      </w:r>
      <w:r>
        <w:rPr>
          <w:rFonts w:ascii="宋体" w:hAnsi="宋体" w:cs="宋体"/>
          <w:sz w:val="24"/>
          <w:szCs w:val="24"/>
        </w:rPr>
        <w:t xml:space="preserve">.2 </w:t>
      </w:r>
      <w:r>
        <w:rPr>
          <w:rFonts w:hint="eastAsia" w:ascii="宋体" w:hAnsi="宋体" w:cs="宋体"/>
          <w:sz w:val="24"/>
          <w:szCs w:val="24"/>
        </w:rPr>
        <w:t>招标人享有本项目在实施过程中产生的知识成果及知识产权。</w:t>
      </w:r>
    </w:p>
    <w:p>
      <w:pPr>
        <w:adjustRightInd w:val="0"/>
        <w:snapToGrid w:val="0"/>
        <w:spacing w:line="500" w:lineRule="exact"/>
        <w:ind w:firstLine="480" w:firstLineChars="200"/>
        <w:rPr>
          <w:rFonts w:ascii="宋体" w:cs="宋体"/>
          <w:sz w:val="24"/>
          <w:szCs w:val="24"/>
        </w:rPr>
      </w:pPr>
      <w:r>
        <w:rPr>
          <w:rFonts w:hint="eastAsia" w:ascii="宋体" w:hAnsi="宋体" w:cs="宋体"/>
          <w:sz w:val="24"/>
          <w:szCs w:val="24"/>
        </w:rPr>
        <w:t>6</w:t>
      </w:r>
      <w:r>
        <w:rPr>
          <w:rFonts w:ascii="宋体" w:hAnsi="宋体" w:cs="宋体"/>
          <w:sz w:val="24"/>
          <w:szCs w:val="24"/>
        </w:rPr>
        <w:t xml:space="preserve">.3 </w:t>
      </w:r>
      <w:r>
        <w:rPr>
          <w:rFonts w:hint="eastAsia" w:ascii="宋体" w:hAnsi="宋体" w:cs="宋体"/>
          <w:sz w:val="24"/>
          <w:szCs w:val="24"/>
        </w:rPr>
        <w:t>供应商如欲在项目实施过程中采用自有知识成果，需在磋商响应文件中声明，并提供相关知识产权证明文件。使用该知识成果后，供应商须提供开发接口和开发手册等技术文档，并承诺提供无限期技术支持，招标人享有永久使用权。</w:t>
      </w:r>
    </w:p>
    <w:p>
      <w:pPr>
        <w:adjustRightInd w:val="0"/>
        <w:snapToGrid w:val="0"/>
        <w:spacing w:line="500" w:lineRule="exact"/>
        <w:ind w:firstLine="480" w:firstLineChars="200"/>
        <w:rPr>
          <w:rFonts w:ascii="宋体" w:cs="宋体"/>
          <w:sz w:val="24"/>
          <w:szCs w:val="24"/>
        </w:rPr>
      </w:pPr>
      <w:r>
        <w:rPr>
          <w:rFonts w:hint="eastAsia" w:ascii="宋体" w:hAnsi="宋体" w:cs="宋体"/>
          <w:sz w:val="24"/>
          <w:szCs w:val="24"/>
        </w:rPr>
        <w:t>6</w:t>
      </w:r>
      <w:r>
        <w:rPr>
          <w:rFonts w:ascii="宋体" w:hAnsi="宋体" w:cs="宋体"/>
          <w:sz w:val="24"/>
          <w:szCs w:val="24"/>
        </w:rPr>
        <w:t xml:space="preserve">.4 </w:t>
      </w:r>
      <w:r>
        <w:rPr>
          <w:rFonts w:hint="eastAsia" w:ascii="宋体" w:hAnsi="宋体" w:cs="宋体"/>
          <w:sz w:val="24"/>
          <w:szCs w:val="24"/>
        </w:rPr>
        <w:t>如供应商所不拥有的知识产权，则在磋商报价中必须包括合法获取该知识产权的相关费用。</w:t>
      </w:r>
    </w:p>
    <w:p>
      <w:bookmarkStart w:id="57" w:name="_Toc3736"/>
      <w:bookmarkStart w:id="58" w:name="_Toc1700"/>
      <w:bookmarkStart w:id="59" w:name="_Toc3565"/>
    </w:p>
    <w:bookmarkEnd w:id="57"/>
    <w:bookmarkEnd w:id="58"/>
    <w:bookmarkEnd w:id="59"/>
    <w:p>
      <w:pPr>
        <w:widowControl/>
        <w:spacing w:line="360" w:lineRule="auto"/>
        <w:jc w:val="center"/>
        <w:outlineLvl w:val="1"/>
        <w:rPr>
          <w:rFonts w:ascii="宋体" w:hAnsi="宋体" w:cs="宋体"/>
          <w:b/>
          <w:bCs/>
          <w:kern w:val="0"/>
          <w:sz w:val="32"/>
          <w:szCs w:val="28"/>
        </w:rPr>
      </w:pPr>
      <w:bookmarkStart w:id="60" w:name="_Toc28520"/>
      <w:bookmarkStart w:id="61" w:name="_Toc28373"/>
      <w:bookmarkStart w:id="62" w:name="_Toc32333"/>
      <w:bookmarkStart w:id="63" w:name="_Toc28110"/>
      <w:bookmarkStart w:id="64" w:name="_Toc13939"/>
      <w:bookmarkStart w:id="65" w:name="_Toc2796"/>
      <w:bookmarkStart w:id="66" w:name="_Toc26132"/>
      <w:r>
        <w:rPr>
          <w:rFonts w:hint="eastAsia" w:ascii="宋体" w:hAnsi="宋体" w:cs="宋体"/>
          <w:b/>
          <w:bCs/>
          <w:kern w:val="0"/>
          <w:sz w:val="32"/>
          <w:szCs w:val="28"/>
        </w:rPr>
        <w:t>四、磋商响应文件的递交</w:t>
      </w:r>
      <w:bookmarkEnd w:id="60"/>
      <w:bookmarkEnd w:id="61"/>
      <w:bookmarkEnd w:id="62"/>
    </w:p>
    <w:p>
      <w:pPr>
        <w:pStyle w:val="5"/>
        <w:numPr>
          <w:ilvl w:val="0"/>
          <w:numId w:val="13"/>
        </w:numPr>
        <w:ind w:firstLine="562" w:firstLineChars="200"/>
        <w:rPr>
          <w:rFonts w:ascii="宋体" w:hAnsi="宋体" w:cs="宋体"/>
        </w:rPr>
      </w:pPr>
      <w:bookmarkStart w:id="67" w:name="_Toc3685"/>
      <w:bookmarkStart w:id="68" w:name="_Toc27066"/>
      <w:bookmarkStart w:id="69" w:name="_Toc30333"/>
      <w:bookmarkStart w:id="70" w:name="_Toc24148"/>
      <w:bookmarkStart w:id="71" w:name="_Toc14415"/>
      <w:bookmarkStart w:id="72" w:name="_Toc27217"/>
      <w:r>
        <w:rPr>
          <w:rFonts w:hint="eastAsia" w:ascii="宋体" w:hAnsi="宋体" w:cs="宋体"/>
        </w:rPr>
        <w:t>磋商响应文件递交</w:t>
      </w:r>
      <w:bookmarkEnd w:id="67"/>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供应商必须在竞争性磋商文件规定的磋商响应文件递交截止时间之前，将全部磋商响应文件递交至代理机构项目工作人员；代理机构项目承办人在竞争性磋商文件规定的磋商响应文件递交截止时间前，只负责磋商响应文件的接收、清点、造册登记工作，并请供应商代表签字确认，对其有效性不负任何责任。</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1.2代理机构在宣布递交磋商响应文件时间截止之后，拒绝接收任何人送达、递交的磋商响应文件；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1.3代理机构不接受邮寄的磋商响应文件；</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1.4无论供应商成交与否，其磋商响应文件恕不退还。</w:t>
      </w:r>
    </w:p>
    <w:p>
      <w:pPr>
        <w:pStyle w:val="5"/>
        <w:numPr>
          <w:ilvl w:val="0"/>
          <w:numId w:val="13"/>
        </w:numPr>
        <w:ind w:firstLine="562" w:firstLineChars="200"/>
        <w:rPr>
          <w:rFonts w:ascii="宋体" w:hAnsi="宋体" w:cs="宋体"/>
        </w:rPr>
      </w:pPr>
      <w:bookmarkStart w:id="73" w:name="_Toc12741"/>
      <w:r>
        <w:rPr>
          <w:rFonts w:hint="eastAsia" w:ascii="宋体" w:hAnsi="宋体" w:cs="宋体"/>
        </w:rPr>
        <w:t>磋商响应文件的修改和撤回</w:t>
      </w:r>
      <w:bookmarkEnd w:id="73"/>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在磋商截止时间之后，供应商不得对其递交的磋商响应文件做任何修改或撤回。</w:t>
      </w:r>
    </w:p>
    <w:p>
      <w:pPr>
        <w:widowControl/>
        <w:spacing w:line="360" w:lineRule="auto"/>
        <w:jc w:val="center"/>
        <w:outlineLvl w:val="1"/>
        <w:rPr>
          <w:rFonts w:ascii="宋体" w:hAnsi="宋体" w:cs="宋体"/>
          <w:b/>
          <w:bCs/>
          <w:kern w:val="0"/>
          <w:sz w:val="32"/>
          <w:szCs w:val="28"/>
        </w:rPr>
      </w:pPr>
      <w:bookmarkStart w:id="74" w:name="_Toc2371"/>
      <w:bookmarkStart w:id="75" w:name="_Toc4886"/>
      <w:r>
        <w:rPr>
          <w:rFonts w:hint="eastAsia" w:ascii="宋体" w:hAnsi="宋体" w:cs="宋体"/>
          <w:b/>
          <w:bCs/>
          <w:kern w:val="0"/>
          <w:sz w:val="32"/>
          <w:szCs w:val="28"/>
        </w:rPr>
        <w:t>五、磋商、评审、定标</w:t>
      </w:r>
      <w:bookmarkEnd w:id="68"/>
      <w:bookmarkEnd w:id="69"/>
      <w:bookmarkEnd w:id="70"/>
      <w:bookmarkEnd w:id="71"/>
      <w:bookmarkEnd w:id="72"/>
      <w:bookmarkEnd w:id="74"/>
      <w:bookmarkEnd w:id="75"/>
    </w:p>
    <w:bookmarkEnd w:id="63"/>
    <w:bookmarkEnd w:id="64"/>
    <w:bookmarkEnd w:id="65"/>
    <w:bookmarkEnd w:id="66"/>
    <w:p>
      <w:pPr>
        <w:pStyle w:val="5"/>
        <w:numPr>
          <w:ilvl w:val="0"/>
          <w:numId w:val="14"/>
        </w:numPr>
        <w:spacing w:line="400" w:lineRule="exact"/>
        <w:ind w:firstLine="482" w:firstLineChars="200"/>
        <w:rPr>
          <w:rFonts w:ascii="宋体" w:hAnsi="宋体" w:cs="宋体"/>
          <w:sz w:val="24"/>
          <w:szCs w:val="24"/>
        </w:rPr>
      </w:pPr>
      <w:bookmarkStart w:id="76" w:name="_Toc28085"/>
      <w:bookmarkStart w:id="77" w:name="_Toc27940"/>
      <w:bookmarkStart w:id="78" w:name="_Toc386129876"/>
      <w:bookmarkStart w:id="79" w:name="_Toc385958808"/>
      <w:r>
        <w:rPr>
          <w:rFonts w:hint="eastAsia" w:ascii="宋体" w:hAnsi="宋体" w:cs="宋体"/>
          <w:sz w:val="24"/>
          <w:szCs w:val="24"/>
        </w:rPr>
        <w:t>磋商</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1.1采购代理机构按磋商公告中规定的时间和地点接收供应商递交的响应文件，主持磋商会议，邀请供应商代表参加。</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1.2 磋商时，由供应商或者其推选的代表检查响应文件的密封情况；经确认无误后，由采购代理机构工作人员拆封。代理机构指定专人负责将供应商的名称、项目名称、响应价格等进行记录，并存档备案。</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1.3磋商时，磋商响应文件中出现下列情况，修正原则为：</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（1）磋商文件中磋商一览表（报价表）内容与响应文件中相应内容不一致的，以磋商一览表（报价表）为准；报价精确到小数点后两位，不进行四舍五入；</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（2）大写金额和小写金额不一致的，以大写金额为准；</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（3）单价金额小数点或者百分比有明显错位的，以磋商一览表的</w:t>
      </w:r>
      <w:r>
        <w:rPr>
          <w:rFonts w:hint="eastAsia" w:ascii="宋体" w:hAnsi="宋体" w:cs="宋体"/>
          <w:sz w:val="24"/>
          <w:szCs w:val="24"/>
          <w:lang w:val="en-US" w:eastAsia="zh-CN"/>
        </w:rPr>
        <w:t>单价合计</w:t>
      </w:r>
      <w:r>
        <w:rPr>
          <w:rFonts w:hint="eastAsia" w:ascii="宋体" w:hAnsi="宋体" w:cs="宋体"/>
          <w:sz w:val="24"/>
          <w:szCs w:val="24"/>
        </w:rPr>
        <w:t>为准，并修改单价；</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（4）</w:t>
      </w:r>
      <w:r>
        <w:rPr>
          <w:rFonts w:hint="eastAsia" w:ascii="宋体" w:hAnsi="宋体" w:cs="宋体"/>
          <w:sz w:val="24"/>
          <w:szCs w:val="24"/>
          <w:lang w:val="en-US" w:eastAsia="zh-CN"/>
        </w:rPr>
        <w:t>单价合计</w:t>
      </w:r>
      <w:r>
        <w:rPr>
          <w:rFonts w:hint="eastAsia" w:ascii="宋体" w:hAnsi="宋体" w:cs="宋体"/>
          <w:sz w:val="24"/>
          <w:szCs w:val="24"/>
        </w:rPr>
        <w:t xml:space="preserve">金额与按单价汇总金额不一致的，以单价金额计算结果为准； </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（5）响应文件正本与副本不一致的，以正本为准；</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（6）磋商响应文件中单独密封递交的磋商一览表内容与磋商响应文件中明细表内容与正本不一致的，以单独密封递交的磋商一览表为准。</w:t>
      </w:r>
    </w:p>
    <w:p>
      <w:pPr>
        <w:widowControl/>
        <w:tabs>
          <w:tab w:val="left" w:pos="0"/>
        </w:tabs>
        <w:spacing w:line="460" w:lineRule="exact"/>
        <w:ind w:firstLine="480" w:firstLineChars="200"/>
        <w:jc w:val="left"/>
        <w:rPr>
          <w:rFonts w:ascii="宋体" w:hAnsi="宋体" w:cs="宋体"/>
          <w:sz w:val="24"/>
          <w:szCs w:val="24"/>
        </w:rPr>
      </w:pPr>
      <w:r>
        <w:rPr>
          <w:rFonts w:hint="eastAsia" w:ascii="宋体" w:hAnsi="宋体" w:cs="宋体"/>
          <w:sz w:val="24"/>
          <w:szCs w:val="24"/>
        </w:rPr>
        <w:t>同时出现两种以上不一致的，按照前款规定的顺序修正。修正后的报价按照《政府采购竞争性磋商采购方式管理暂行办法》的规定经供应商确认后产生约束力，供应商不确认的，其响应无效。</w:t>
      </w:r>
    </w:p>
    <w:p>
      <w:pPr>
        <w:pStyle w:val="5"/>
      </w:pPr>
      <w:r>
        <w:rPr>
          <w:rFonts w:hint="eastAsia"/>
        </w:rPr>
        <w:t>2、磋商小组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2.1采购人将根据本次采购项目的特点，参照《中华人民共和国政府采购法》及</w:t>
      </w:r>
      <w:r>
        <w:rPr>
          <w:rFonts w:hint="eastAsia" w:ascii="宋体" w:hAnsi="宋体" w:cs="宋体"/>
          <w:sz w:val="24"/>
        </w:rPr>
        <w:t>《政府采购竞争性磋商采购方式管理暂行办法》</w:t>
      </w:r>
      <w:r>
        <w:rPr>
          <w:rFonts w:hint="eastAsia" w:ascii="宋体" w:hAnsi="宋体" w:cs="宋体"/>
          <w:kern w:val="0"/>
          <w:sz w:val="24"/>
        </w:rPr>
        <w:t>等有关规定组建磋商小组。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2.2磋商小组由采购人代表和有关技术、经济等方面的专家组成，磋商小组产生方式符合国家和地方有关评审专家产生方式的规定。磋商小组负责评审活动。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2.3磋商小组成员有下列情形之一的，应当回避：</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2.3.1参加采购活动前3年内，与投标人存在劳动关系，或者担任过投标人的董事、监事，或者是投标人的控股股东或实际控制人；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2.3.2参加采购活动前3年内与投标人发生过法律纠纷；</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2.3.3与投标人的法定代表人或者负责人有夫妻、直系血亲、三代以内旁系血亲或者近姻亲关系；</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2.3.4与投标人有其他可能影响政府采购活动公平、公正进行的关系。评审专家发现本人与参加采购活动的投标人有利害关系的,应当主动提出回避。采购人或者采购代理机构发现评审专家与参加采购活动的投标人有利害关系的,应当要求其回避。</w:t>
      </w:r>
    </w:p>
    <w:p>
      <w:pPr>
        <w:widowControl/>
        <w:spacing w:line="360" w:lineRule="auto"/>
        <w:ind w:firstLine="480" w:firstLineChars="200"/>
        <w:rPr>
          <w:rFonts w:eastAsia="宋体"/>
        </w:rPr>
      </w:pPr>
      <w:r>
        <w:rPr>
          <w:rFonts w:hint="eastAsia" w:ascii="宋体" w:hAnsi="宋体" w:cs="宋体"/>
          <w:kern w:val="0"/>
          <w:sz w:val="24"/>
        </w:rPr>
        <w:t>2.4磋商小组对各供应商的磋商响应文件进行审查、评估和比较，并推荐出成交候选人。</w:t>
      </w:r>
    </w:p>
    <w:p>
      <w:pPr>
        <w:pStyle w:val="5"/>
      </w:pPr>
      <w:r>
        <w:rPr>
          <w:rFonts w:hint="eastAsia"/>
        </w:rPr>
        <w:t>3、磋商响应文件初审</w:t>
      </w:r>
      <w:bookmarkEnd w:id="76"/>
      <w:bookmarkEnd w:id="77"/>
      <w:bookmarkEnd w:id="78"/>
      <w:bookmarkEnd w:id="79"/>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3.1磋商响应文件的资格性审查</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依据法律法规和竞争性磋商文件的规定，</w:t>
      </w:r>
      <w:r>
        <w:rPr>
          <w:rFonts w:hint="eastAsia" w:ascii="宋体" w:hAnsi="宋体" w:cs="宋体"/>
          <w:kern w:val="0"/>
          <w:sz w:val="24"/>
          <w:szCs w:val="24"/>
          <w:lang w:val="en-US" w:eastAsia="zh-CN"/>
        </w:rPr>
        <w:t>采购代理机构或采购人</w:t>
      </w:r>
      <w:r>
        <w:rPr>
          <w:rFonts w:hint="eastAsia" w:ascii="宋体" w:hAnsi="宋体" w:cs="宋体"/>
          <w:kern w:val="0"/>
          <w:sz w:val="24"/>
          <w:szCs w:val="24"/>
        </w:rPr>
        <w:t>对磋商响应文件中的资格证明文件等进行审查，以确保供应商是否具备相应资格。</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3.2磋商响应文件符合性审查</w:t>
      </w:r>
    </w:p>
    <w:p>
      <w:pPr>
        <w:overflowPunct w:val="0"/>
        <w:adjustRightInd w:val="0"/>
        <w:snapToGrid w:val="0"/>
        <w:spacing w:line="360" w:lineRule="auto"/>
        <w:ind w:firstLine="480" w:firstLineChars="200"/>
        <w:rPr>
          <w:rFonts w:asciiTheme="minorEastAsia" w:hAnsiTheme="minorEastAsia" w:cstheme="minorEastAsia"/>
          <w:kern w:val="0"/>
          <w:sz w:val="24"/>
          <w:szCs w:val="24"/>
        </w:rPr>
      </w:pPr>
      <w:r>
        <w:rPr>
          <w:rFonts w:hint="eastAsia" w:asciiTheme="minorEastAsia" w:hAnsiTheme="minorEastAsia" w:cstheme="minorEastAsia"/>
          <w:kern w:val="0"/>
          <w:sz w:val="24"/>
          <w:szCs w:val="24"/>
        </w:rPr>
        <w:t>依据</w:t>
      </w:r>
      <w:r>
        <w:rPr>
          <w:rFonts w:hint="eastAsia" w:ascii="宋体" w:hAnsi="宋体" w:cs="宋体"/>
          <w:kern w:val="0"/>
          <w:sz w:val="24"/>
          <w:szCs w:val="24"/>
        </w:rPr>
        <w:t>法律法规和竞争性磋商文件的规定，由磋商小组对符合资格要求的供应商的响应文件有效性、完整性和对磋商文件的响应程度进行符合性审查，以确定是否对磋商文件的实质性内容作出响应，下列情况有一项不满足者（但不限于）不得进入下一轮评审：</w:t>
      </w:r>
    </w:p>
    <w:p>
      <w:pPr>
        <w:rPr>
          <w:sz w:val="24"/>
          <w:szCs w:val="24"/>
        </w:rPr>
      </w:pPr>
    </w:p>
    <w:tbl>
      <w:tblPr>
        <w:tblStyle w:val="27"/>
        <w:tblW w:w="87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419"/>
        <w:gridCol w:w="7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符合性</w:t>
            </w:r>
          </w:p>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审查</w:t>
            </w:r>
          </w:p>
        </w:tc>
        <w:tc>
          <w:tcPr>
            <w:tcW w:w="419"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1</w:t>
            </w:r>
          </w:p>
        </w:tc>
        <w:tc>
          <w:tcPr>
            <w:tcW w:w="7184"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供应商名称是否与营业执照、资质证书一致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9"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p>
        </w:tc>
        <w:tc>
          <w:tcPr>
            <w:tcW w:w="7184"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响应报价是否超过预算或最高限价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9"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3</w:t>
            </w:r>
          </w:p>
        </w:tc>
        <w:tc>
          <w:tcPr>
            <w:tcW w:w="7184"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响应文件签字、盖章是否满足竞争性磋商文件要求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9"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4</w:t>
            </w:r>
          </w:p>
        </w:tc>
        <w:tc>
          <w:tcPr>
            <w:tcW w:w="7184"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磋商有效期是否满足竞争性磋商文件要求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9" w:type="dxa"/>
          </w:tcPr>
          <w:p>
            <w:pPr>
              <w:overflowPunct w:val="0"/>
              <w:adjustRightInd w:val="0"/>
              <w:snapToGrid w:val="0"/>
              <w:spacing w:line="500" w:lineRule="exact"/>
              <w:rPr>
                <w:rFonts w:eastAsia="宋体" w:asciiTheme="minorEastAsia" w:hAnsiTheme="minorEastAsia" w:cstheme="minorEastAsia"/>
                <w:kern w:val="0"/>
                <w:sz w:val="24"/>
                <w:szCs w:val="24"/>
              </w:rPr>
            </w:pPr>
            <w:r>
              <w:rPr>
                <w:rFonts w:hint="eastAsia" w:asciiTheme="minorEastAsia" w:hAnsiTheme="minorEastAsia" w:cstheme="minorEastAsia"/>
                <w:kern w:val="0"/>
                <w:sz w:val="24"/>
                <w:szCs w:val="24"/>
              </w:rPr>
              <w:t>5</w:t>
            </w:r>
          </w:p>
        </w:tc>
        <w:tc>
          <w:tcPr>
            <w:tcW w:w="7184" w:type="dxa"/>
          </w:tcPr>
          <w:p>
            <w:pPr>
              <w:overflowPunct w:val="0"/>
              <w:adjustRightInd w:val="0"/>
              <w:snapToGrid w:val="0"/>
              <w:spacing w:line="500" w:lineRule="exact"/>
              <w:rPr>
                <w:rFonts w:eastAsia="宋体" w:asciiTheme="minorEastAsia" w:hAnsiTheme="minorEastAsia" w:cstheme="minorEastAsia"/>
                <w:kern w:val="0"/>
                <w:sz w:val="24"/>
                <w:szCs w:val="24"/>
              </w:rPr>
            </w:pPr>
            <w:r>
              <w:rPr>
                <w:rFonts w:hint="eastAsia" w:ascii="宋体" w:hAnsi="宋体" w:cs="宋体"/>
                <w:sz w:val="24"/>
                <w:szCs w:val="24"/>
              </w:rPr>
              <w:t>无与磋商文件商务要求条款不一致或增加了采购人难以接受的条款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22" w:type="dxa"/>
            <w:vMerge w:val="continue"/>
          </w:tcPr>
          <w:p>
            <w:pPr>
              <w:overflowPunct w:val="0"/>
              <w:adjustRightInd w:val="0"/>
              <w:snapToGrid w:val="0"/>
              <w:spacing w:line="500" w:lineRule="exact"/>
              <w:rPr>
                <w:rFonts w:asciiTheme="minorEastAsia" w:hAnsiTheme="minorEastAsia" w:cstheme="minorEastAsia"/>
                <w:kern w:val="0"/>
                <w:sz w:val="24"/>
                <w:szCs w:val="24"/>
              </w:rPr>
            </w:pPr>
          </w:p>
        </w:tc>
        <w:tc>
          <w:tcPr>
            <w:tcW w:w="419" w:type="dxa"/>
          </w:tcPr>
          <w:p>
            <w:pPr>
              <w:overflowPunct w:val="0"/>
              <w:adjustRightInd w:val="0"/>
              <w:snapToGrid w:val="0"/>
              <w:spacing w:line="500" w:lineRule="exact"/>
              <w:rPr>
                <w:rFonts w:eastAsia="宋体" w:asciiTheme="minorEastAsia" w:hAnsiTheme="minorEastAsia" w:cstheme="minorEastAsia"/>
                <w:kern w:val="0"/>
                <w:sz w:val="24"/>
                <w:szCs w:val="24"/>
              </w:rPr>
            </w:pPr>
            <w:r>
              <w:rPr>
                <w:rFonts w:hint="eastAsia" w:asciiTheme="minorEastAsia" w:hAnsiTheme="minorEastAsia" w:cstheme="minorEastAsia"/>
                <w:kern w:val="0"/>
                <w:sz w:val="24"/>
                <w:szCs w:val="24"/>
              </w:rPr>
              <w:t>6</w:t>
            </w:r>
          </w:p>
        </w:tc>
        <w:tc>
          <w:tcPr>
            <w:tcW w:w="7184" w:type="dxa"/>
          </w:tcPr>
          <w:p>
            <w:pPr>
              <w:overflowPunct w:val="0"/>
              <w:adjustRightInd w:val="0"/>
              <w:snapToGrid w:val="0"/>
              <w:spacing w:line="500" w:lineRule="exact"/>
              <w:rPr>
                <w:rFonts w:asciiTheme="minorEastAsia" w:hAnsiTheme="minorEastAsia" w:cstheme="minorEastAsia"/>
                <w:kern w:val="0"/>
                <w:sz w:val="24"/>
                <w:szCs w:val="24"/>
              </w:rPr>
            </w:pPr>
            <w:r>
              <w:rPr>
                <w:rFonts w:hint="eastAsia" w:asciiTheme="minorEastAsia" w:hAnsiTheme="minorEastAsia" w:cstheme="minorEastAsia"/>
                <w:kern w:val="0"/>
                <w:sz w:val="24"/>
                <w:szCs w:val="24"/>
              </w:rPr>
              <w:t>是否符合法律法规和磋商文件规定的其他实质性要求</w:t>
            </w:r>
          </w:p>
        </w:tc>
      </w:tr>
    </w:tbl>
    <w:p>
      <w:pPr>
        <w:overflowPunct w:val="0"/>
        <w:adjustRightInd w:val="0"/>
        <w:snapToGrid w:val="0"/>
        <w:spacing w:line="360" w:lineRule="auto"/>
        <w:ind w:firstLine="480" w:firstLineChars="200"/>
        <w:rPr>
          <w:rFonts w:ascii="宋体" w:hAnsi="宋体" w:cs="宋体"/>
          <w:kern w:val="0"/>
          <w:sz w:val="24"/>
        </w:rPr>
      </w:pPr>
      <w:bookmarkStart w:id="80" w:name="_Toc17705"/>
      <w:r>
        <w:rPr>
          <w:rFonts w:hint="eastAsia" w:ascii="宋体" w:hAnsi="宋体" w:cs="宋体"/>
          <w:kern w:val="0"/>
          <w:sz w:val="24"/>
        </w:rPr>
        <w:t>3.3经过对供应商及磋商响应文件审查，出现下列情况者（但不限于），视为未响应磋商文件实质性条款，其响应文件按无效处理。</w:t>
      </w:r>
    </w:p>
    <w:p>
      <w:pPr>
        <w:numPr>
          <w:ilvl w:val="0"/>
          <w:numId w:val="15"/>
        </w:numPr>
        <w:spacing w:line="360" w:lineRule="auto"/>
        <w:ind w:firstLine="480"/>
        <w:rPr>
          <w:rFonts w:ascii="宋体" w:hAnsi="宋体" w:cs="宋体"/>
          <w:sz w:val="24"/>
        </w:rPr>
      </w:pPr>
      <w:r>
        <w:rPr>
          <w:rFonts w:hint="eastAsia" w:ascii="宋体" w:hAnsi="宋体" w:cs="宋体"/>
          <w:sz w:val="24"/>
        </w:rPr>
        <w:t>供应商的响应报价超过采购预算或最高限价；</w:t>
      </w:r>
    </w:p>
    <w:p>
      <w:pPr>
        <w:numPr>
          <w:ilvl w:val="0"/>
          <w:numId w:val="15"/>
        </w:numPr>
        <w:spacing w:line="360" w:lineRule="auto"/>
        <w:ind w:firstLine="480"/>
        <w:rPr>
          <w:rFonts w:ascii="宋体" w:hAnsi="宋体" w:cs="宋体"/>
          <w:sz w:val="24"/>
        </w:rPr>
      </w:pPr>
      <w:r>
        <w:rPr>
          <w:rFonts w:hint="eastAsia" w:ascii="宋体" w:hAnsi="宋体" w:cs="宋体"/>
          <w:sz w:val="24"/>
        </w:rPr>
        <w:t>供应商未经过正常渠道购买竞争性磋商文件，或供应商名称与购买竞争性磋商文件时登记的供应商名称不符的；</w:t>
      </w:r>
    </w:p>
    <w:p>
      <w:pPr>
        <w:numPr>
          <w:ilvl w:val="0"/>
          <w:numId w:val="15"/>
        </w:numPr>
        <w:spacing w:line="360" w:lineRule="auto"/>
        <w:ind w:firstLine="480"/>
        <w:rPr>
          <w:rFonts w:ascii="宋体" w:hAnsi="宋体" w:cs="宋体"/>
          <w:sz w:val="24"/>
        </w:rPr>
      </w:pPr>
      <w:r>
        <w:rPr>
          <w:rFonts w:hint="eastAsia" w:ascii="宋体" w:hAnsi="宋体" w:cs="宋体"/>
          <w:sz w:val="24"/>
        </w:rPr>
        <w:t>磋商响应文件的签署、盖章不符合竞争性磋商文件要求；无磋商有效期或有效期达不到竞争性磋商文件要求的；</w:t>
      </w:r>
    </w:p>
    <w:p>
      <w:pPr>
        <w:numPr>
          <w:ilvl w:val="0"/>
          <w:numId w:val="15"/>
        </w:numPr>
        <w:spacing w:line="360" w:lineRule="auto"/>
        <w:ind w:firstLine="480"/>
        <w:rPr>
          <w:rFonts w:ascii="宋体" w:hAnsi="宋体" w:cs="宋体"/>
          <w:sz w:val="24"/>
        </w:rPr>
      </w:pPr>
      <w:r>
        <w:rPr>
          <w:rFonts w:hint="eastAsia" w:ascii="宋体" w:hAnsi="宋体" w:cs="宋体"/>
          <w:sz w:val="24"/>
        </w:rPr>
        <w:t>供应商针对同一项目递交两份或多份内容不同的磋商响应文件，未书面声明哪一份是有效的或出现选择性报价的；</w:t>
      </w:r>
    </w:p>
    <w:p>
      <w:pPr>
        <w:numPr>
          <w:ilvl w:val="0"/>
          <w:numId w:val="15"/>
        </w:numPr>
        <w:spacing w:line="360" w:lineRule="auto"/>
        <w:ind w:firstLine="480"/>
        <w:rPr>
          <w:rFonts w:ascii="宋体" w:hAnsi="宋体" w:cs="宋体"/>
          <w:sz w:val="24"/>
        </w:rPr>
      </w:pPr>
      <w:r>
        <w:rPr>
          <w:rFonts w:hint="eastAsia" w:ascii="宋体" w:hAnsi="宋体" w:cs="宋体"/>
          <w:sz w:val="24"/>
        </w:rPr>
        <w:t>供应商未按竞争性磋商文件要求提供产品的技术参数及产品供货渠道不明确的；</w:t>
      </w:r>
    </w:p>
    <w:p>
      <w:pPr>
        <w:numPr>
          <w:ilvl w:val="0"/>
          <w:numId w:val="15"/>
        </w:numPr>
        <w:spacing w:line="360" w:lineRule="auto"/>
        <w:ind w:firstLine="480"/>
        <w:rPr>
          <w:rFonts w:ascii="宋体" w:hAnsi="宋体" w:cs="宋体"/>
          <w:sz w:val="24"/>
        </w:rPr>
      </w:pPr>
      <w:r>
        <w:rPr>
          <w:rFonts w:hint="eastAsia" w:ascii="宋体" w:hAnsi="宋体" w:cs="宋体"/>
          <w:sz w:val="24"/>
        </w:rPr>
        <w:t>响应报价出现漏项或货物数量与要求不符的；</w:t>
      </w:r>
    </w:p>
    <w:p>
      <w:pPr>
        <w:numPr>
          <w:ilvl w:val="0"/>
          <w:numId w:val="15"/>
        </w:numPr>
        <w:spacing w:line="360" w:lineRule="auto"/>
        <w:ind w:firstLine="480"/>
        <w:rPr>
          <w:rFonts w:ascii="宋体" w:hAnsi="宋体" w:cs="宋体"/>
          <w:sz w:val="24"/>
        </w:rPr>
      </w:pPr>
      <w:r>
        <w:rPr>
          <w:rFonts w:hint="eastAsia" w:ascii="宋体" w:hAnsi="宋体" w:cs="宋体"/>
          <w:sz w:val="24"/>
        </w:rPr>
        <w:t>经磋商小组一致认定响应产品的技术参数、性能指标与竞争性磋商文件要求出现重大负偏差的；或者提供虚假证明（包括第三方的虚假证明），除按无效文件处理外，还将按照政府采购法的有关规定进行处罚；</w:t>
      </w:r>
    </w:p>
    <w:p>
      <w:pPr>
        <w:numPr>
          <w:ilvl w:val="0"/>
          <w:numId w:val="15"/>
        </w:numPr>
        <w:spacing w:line="360" w:lineRule="auto"/>
        <w:ind w:firstLine="480"/>
        <w:rPr>
          <w:rFonts w:ascii="宋体" w:hAnsi="宋体" w:cs="宋体"/>
          <w:sz w:val="24"/>
        </w:rPr>
      </w:pPr>
      <w:r>
        <w:rPr>
          <w:rFonts w:hint="eastAsia" w:ascii="宋体" w:hAnsi="宋体" w:cs="宋体"/>
          <w:sz w:val="24"/>
        </w:rPr>
        <w:t>磋商响应文件在商务响应方面（付款方式、服务期、服务承诺、验收条件等）与竞争性磋商文件要求不一致或附加了采购单位难以接受的条件或条款的；</w:t>
      </w:r>
    </w:p>
    <w:p>
      <w:pPr>
        <w:numPr>
          <w:ilvl w:val="0"/>
          <w:numId w:val="15"/>
        </w:numPr>
        <w:spacing w:line="360" w:lineRule="auto"/>
        <w:ind w:firstLine="480"/>
        <w:rPr>
          <w:rFonts w:ascii="宋体" w:hAnsi="宋体" w:cs="宋体"/>
          <w:kern w:val="0"/>
          <w:sz w:val="24"/>
        </w:rPr>
      </w:pPr>
      <w:r>
        <w:rPr>
          <w:rFonts w:hint="eastAsia" w:ascii="宋体" w:hAnsi="宋体" w:cs="宋体"/>
          <w:sz w:val="24"/>
        </w:rPr>
        <w:t>如澄清、说明的内容与磋商响应文件内容有重大相悖或矛盾，将被认定为无效磋商。</w:t>
      </w:r>
    </w:p>
    <w:p>
      <w:pPr>
        <w:pStyle w:val="2"/>
        <w:ind w:firstLine="480" w:firstLineChars="200"/>
        <w:rPr>
          <w:rFonts w:hint="eastAsia" w:ascii="宋体" w:hAnsi="宋体" w:cs="宋体" w:eastAsiaTheme="minorEastAsia"/>
          <w:kern w:val="2"/>
          <w:sz w:val="24"/>
          <w:szCs w:val="22"/>
          <w:lang w:val="en-US" w:eastAsia="zh-CN" w:bidi="ar-SA"/>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eastAsiaTheme="minorEastAsia"/>
          <w:kern w:val="2"/>
          <w:sz w:val="24"/>
          <w:szCs w:val="22"/>
          <w:lang w:val="en-US" w:eastAsia="zh-CN" w:bidi="ar-SA"/>
        </w:rPr>
        <w:t>加★项为关键参数，不满足按废标处理。</w:t>
      </w:r>
    </w:p>
    <w:p>
      <w:pPr>
        <w:pStyle w:val="5"/>
        <w:rPr>
          <w:rFonts w:ascii="宋体" w:hAnsi="宋体" w:cs="宋体"/>
        </w:rPr>
      </w:pPr>
      <w:r>
        <w:rPr>
          <w:rFonts w:hint="eastAsia" w:ascii="宋体" w:hAnsi="宋体" w:cs="宋体"/>
        </w:rPr>
        <w:t>4、磋商响应文件澄清</w:t>
      </w:r>
      <w:bookmarkEnd w:id="80"/>
    </w:p>
    <w:p>
      <w:pPr>
        <w:overflowPunct w:val="0"/>
        <w:adjustRightInd w:val="0"/>
        <w:snapToGrid w:val="0"/>
        <w:spacing w:line="360" w:lineRule="auto"/>
        <w:ind w:firstLine="480" w:firstLineChars="200"/>
        <w:rPr>
          <w:rFonts w:ascii="宋体" w:hAnsi="宋体" w:cs="宋体"/>
          <w:sz w:val="24"/>
        </w:rPr>
      </w:pPr>
      <w:r>
        <w:rPr>
          <w:rFonts w:hint="eastAsia" w:ascii="宋体" w:hAnsi="宋体" w:cs="宋体"/>
          <w:sz w:val="24"/>
          <w:szCs w:val="24"/>
        </w:rPr>
        <w:t>4.1在评审期间,采购代理机构可根据磋商小组对其磋商响应文件有疑义不清楚的内容，要求供应商对其磋商响应文件进行澄清，有关澄清的要求和答复应以书面形式</w:t>
      </w:r>
      <w:r>
        <w:rPr>
          <w:rFonts w:hint="eastAsia" w:ascii="宋体" w:hAnsi="宋体" w:cs="宋体"/>
          <w:sz w:val="24"/>
        </w:rPr>
        <w:t>提交，</w:t>
      </w:r>
      <w:r>
        <w:rPr>
          <w:rFonts w:hint="eastAsia" w:ascii="宋体" w:hAnsi="宋体" w:cs="宋体"/>
          <w:sz w:val="24"/>
          <w:szCs w:val="24"/>
        </w:rPr>
        <w:t>如磋商小组未变动实质性采购需求，供应商</w:t>
      </w:r>
      <w:r>
        <w:rPr>
          <w:rFonts w:hint="eastAsia" w:ascii="宋体" w:hAnsi="宋体" w:cs="宋体"/>
          <w:sz w:val="24"/>
        </w:rPr>
        <w:t>不得对实质性内容进行变动。</w:t>
      </w:r>
    </w:p>
    <w:p>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4.2供应商应采用书面形式进行澄清或说明，但不得超出磋商响应文件的范围或改变磋商响应文件的实质性内容。</w:t>
      </w:r>
    </w:p>
    <w:p>
      <w:pPr>
        <w:pStyle w:val="5"/>
      </w:pPr>
      <w:r>
        <w:rPr>
          <w:rFonts w:hint="eastAsia"/>
        </w:rPr>
        <w:t>5、评审</w:t>
      </w:r>
    </w:p>
    <w:p>
      <w:pPr>
        <w:spacing w:line="360" w:lineRule="auto"/>
        <w:ind w:firstLine="480" w:firstLineChars="200"/>
        <w:rPr>
          <w:rFonts w:ascii="宋体" w:hAnsi="宋体" w:cs="宋体"/>
          <w:sz w:val="24"/>
        </w:rPr>
      </w:pPr>
      <w:bookmarkStart w:id="81" w:name="_Toc12947"/>
      <w:r>
        <w:rPr>
          <w:rFonts w:hint="eastAsia" w:ascii="宋体" w:hAnsi="宋体" w:cs="宋体"/>
          <w:sz w:val="24"/>
        </w:rPr>
        <w:t xml:space="preserve">5.1磋商小组有权对在磋商、评审过程中出现的一切问题，根据《中华人民共和国政府采购法》和《政府采购竞争性磋商采购方式管理暂行办法》的条款，本着公开、公平、公正的原则进行处理。 </w:t>
      </w:r>
    </w:p>
    <w:p>
      <w:pPr>
        <w:spacing w:line="360" w:lineRule="auto"/>
        <w:ind w:firstLine="480" w:firstLineChars="200"/>
      </w:pPr>
      <w:r>
        <w:rPr>
          <w:rFonts w:hint="eastAsia" w:ascii="宋体" w:hAnsi="宋体" w:eastAsia="宋体" w:cs="宋体"/>
          <w:sz w:val="24"/>
        </w:rPr>
        <w:t>5.2磋商小组按照第四部分“评审标准”规定的方法、评审因素、标准和程序对投标文件进行评审。第四部分“评审标准”没有规定的方法、评审因素和标准，不作为评审依据。</w:t>
      </w:r>
    </w:p>
    <w:p>
      <w:pPr>
        <w:spacing w:line="360" w:lineRule="auto"/>
        <w:ind w:firstLine="480" w:firstLineChars="200"/>
        <w:rPr>
          <w:rFonts w:ascii="宋体" w:hAnsi="宋体" w:cs="宋体"/>
          <w:sz w:val="24"/>
        </w:rPr>
      </w:pPr>
      <w:r>
        <w:rPr>
          <w:rFonts w:hint="eastAsia" w:ascii="宋体" w:hAnsi="宋体" w:cs="宋体"/>
          <w:sz w:val="24"/>
        </w:rPr>
        <w:t>5.3磋商流程</w:t>
      </w:r>
    </w:p>
    <w:p>
      <w:pPr>
        <w:numPr>
          <w:ilvl w:val="0"/>
          <w:numId w:val="16"/>
        </w:numPr>
        <w:spacing w:line="360" w:lineRule="auto"/>
        <w:rPr>
          <w:rFonts w:ascii="宋体" w:hAnsi="宋体" w:cs="宋体"/>
          <w:sz w:val="24"/>
        </w:rPr>
      </w:pPr>
      <w:r>
        <w:rPr>
          <w:rFonts w:hint="eastAsia" w:ascii="宋体" w:hAnsi="宋体" w:cs="宋体"/>
          <w:sz w:val="24"/>
        </w:rPr>
        <w:t>磋商小组先对供应商作资格性/符合性审查，只有通过资格性/符合性审查的供应商，才能进入第二阶段的磋商，否则被淘汰。</w:t>
      </w:r>
    </w:p>
    <w:p>
      <w:pPr>
        <w:numPr>
          <w:ilvl w:val="0"/>
          <w:numId w:val="16"/>
        </w:numPr>
        <w:spacing w:line="360" w:lineRule="auto"/>
        <w:rPr>
          <w:rFonts w:ascii="宋体" w:hAnsi="宋体" w:cs="宋体"/>
          <w:sz w:val="24"/>
        </w:rPr>
      </w:pPr>
      <w:r>
        <w:rPr>
          <w:rFonts w:hint="eastAsia" w:ascii="宋体" w:hAnsi="宋体" w:cs="宋体"/>
          <w:sz w:val="24"/>
        </w:rPr>
        <w:t>磋商小组所有成员集中与单一供应商分别进行磋商（磋商轮次为多轮），并给予所有参加磋商的供应商平等的磋商机会。在磋商过程中，磋商小组可以根据磋商文件和磋商情况实质性变动采购需求中的技术、服务要求以及合同草案条款，但不得变动磋商文件中的其他内容。实质性变动的内容，须经采购人代表确认。</w:t>
      </w:r>
    </w:p>
    <w:p>
      <w:pPr>
        <w:numPr>
          <w:ilvl w:val="0"/>
          <w:numId w:val="16"/>
        </w:numPr>
        <w:spacing w:line="360" w:lineRule="auto"/>
        <w:rPr>
          <w:rFonts w:ascii="宋体" w:hAnsi="宋体" w:cs="宋体"/>
          <w:sz w:val="24"/>
        </w:rPr>
      </w:pPr>
      <w:r>
        <w:rPr>
          <w:rFonts w:hint="eastAsia" w:ascii="宋体" w:hAnsi="宋体" w:cs="宋体"/>
          <w:kern w:val="0"/>
          <w:sz w:val="24"/>
          <w:szCs w:val="24"/>
        </w:rPr>
        <w:t xml:space="preserve"> 如磋商小组认为某个供应商最终报价明显不合理且低于其他通过符合性审查供应商的最终报价，有可能影响服务质量或者不能诚信履约的，应当在评标现场要求供应商提供书面说明及相关证明材料。供应商未提供或提供的相关证明材料不能证明其报价合理性的，将视为无效投标。</w:t>
      </w:r>
    </w:p>
    <w:p>
      <w:pPr>
        <w:numPr>
          <w:ilvl w:val="0"/>
          <w:numId w:val="16"/>
        </w:numPr>
        <w:spacing w:line="360" w:lineRule="auto"/>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numPr>
          <w:ilvl w:val="0"/>
          <w:numId w:val="16"/>
        </w:numPr>
        <w:spacing w:line="360" w:lineRule="auto"/>
        <w:rPr>
          <w:rFonts w:ascii="宋体" w:hAnsi="宋体" w:cs="宋体"/>
          <w:sz w:val="24"/>
          <w:shd w:val="clear" w:color="FFFFFF" w:fill="D9D9D9"/>
        </w:rPr>
      </w:pPr>
      <w:r>
        <w:rPr>
          <w:rFonts w:hint="eastAsia" w:ascii="宋体" w:hAnsi="宋体" w:cs="宋体"/>
          <w:sz w:val="24"/>
        </w:rPr>
        <w:t>磋商结束后，磋商小组要求参加磋商的各供应商在规定的时间内集中提交最终报价。</w:t>
      </w:r>
    </w:p>
    <w:p>
      <w:pPr>
        <w:widowControl/>
        <w:numPr>
          <w:ilvl w:val="0"/>
          <w:numId w:val="16"/>
        </w:numPr>
        <w:spacing w:line="360" w:lineRule="auto"/>
        <w:jc w:val="left"/>
        <w:rPr>
          <w:rFonts w:ascii="宋体" w:hAnsi="宋体" w:cs="宋体"/>
          <w:sz w:val="24"/>
        </w:rPr>
      </w:pPr>
      <w:r>
        <w:rPr>
          <w:rFonts w:hint="eastAsia" w:ascii="宋体" w:hAnsi="宋体" w:cs="宋体"/>
          <w:sz w:val="24"/>
          <w:szCs w:val="24"/>
        </w:rPr>
        <w:t>在确定最终采购需求和提交最后报价的供应商后，由磋商小组采用综合评分法对提交最后报价的供应商进行综合评分。</w:t>
      </w:r>
      <w:r>
        <w:rPr>
          <w:rFonts w:hint="eastAsia" w:ascii="宋体" w:hAnsi="宋体" w:cs="宋体"/>
          <w:sz w:val="24"/>
        </w:rPr>
        <w:t>磋商小组第四部分评分标准规定的各项因素进行比较、自主打分、综合评审。磋商小组将评审得分汇总后，按评审总得分由高到低汇总排序，推荐1～3名成交候选人；</w:t>
      </w:r>
      <w:r>
        <w:rPr>
          <w:rFonts w:hint="eastAsia" w:ascii="宋体" w:hAnsi="宋体" w:cs="宋体"/>
          <w:sz w:val="24"/>
          <w:szCs w:val="24"/>
        </w:rPr>
        <w:t>评审得分相同的，按照最后报价由低到高的顺序推荐。评审得分且最后报价相同的，按照技术指标优劣顺序推荐。</w:t>
      </w:r>
    </w:p>
    <w:p>
      <w:pPr>
        <w:pStyle w:val="5"/>
        <w:rPr>
          <w:rFonts w:ascii="宋体" w:hAnsi="宋体" w:cs="宋体"/>
        </w:rPr>
      </w:pPr>
      <w:r>
        <w:rPr>
          <w:rFonts w:hint="eastAsia" w:ascii="宋体" w:hAnsi="宋体" w:cs="宋体"/>
        </w:rPr>
        <w:t>6、定标</w:t>
      </w:r>
      <w:bookmarkEnd w:id="81"/>
    </w:p>
    <w:p>
      <w:pPr>
        <w:spacing w:line="360" w:lineRule="auto"/>
        <w:ind w:left="420"/>
        <w:jc w:val="left"/>
        <w:rPr>
          <w:rFonts w:ascii="宋体" w:hAnsi="宋体" w:cs="宋体"/>
          <w:sz w:val="24"/>
        </w:rPr>
      </w:pPr>
      <w:r>
        <w:rPr>
          <w:rFonts w:hint="eastAsia" w:ascii="宋体" w:hAnsi="宋体" w:cs="宋体"/>
          <w:sz w:val="24"/>
        </w:rPr>
        <w:t>6.1代理机构在评审结束后1个工作日内将评审报告送达采购单位，采购单</w:t>
      </w:r>
    </w:p>
    <w:p>
      <w:pPr>
        <w:spacing w:line="360" w:lineRule="auto"/>
        <w:jc w:val="left"/>
        <w:rPr>
          <w:rFonts w:ascii="宋体" w:hAnsi="宋体" w:cs="宋体"/>
          <w:sz w:val="24"/>
        </w:rPr>
      </w:pPr>
      <w:r>
        <w:rPr>
          <w:rFonts w:hint="eastAsia" w:ascii="宋体" w:hAnsi="宋体" w:cs="宋体"/>
          <w:sz w:val="24"/>
        </w:rPr>
        <w:t>位在收到评审报告后4个工作日内，按照评审报告中推荐的成交候选人顺序确认第一成交候选人为成交单位，同时书面复函代理机构；</w:t>
      </w:r>
    </w:p>
    <w:p>
      <w:pPr>
        <w:spacing w:line="360" w:lineRule="auto"/>
        <w:ind w:firstLine="420" w:firstLineChars="175"/>
        <w:rPr>
          <w:rFonts w:ascii="宋体" w:hAnsi="宋体" w:cs="宋体"/>
          <w:sz w:val="24"/>
        </w:rPr>
      </w:pPr>
      <w:r>
        <w:rPr>
          <w:rFonts w:hint="eastAsia" w:ascii="宋体" w:hAnsi="宋体" w:cs="宋体"/>
          <w:sz w:val="24"/>
        </w:rPr>
        <w:t>6.2代理机构收到采购单位“成交复函”后1个工作日内，在财政部门指定的政府采购信息媒体上发布公告，并向成交供应商发出“成交通知书”。</w:t>
      </w:r>
    </w:p>
    <w:p>
      <w:pPr>
        <w:widowControl/>
        <w:spacing w:line="360" w:lineRule="auto"/>
        <w:jc w:val="center"/>
        <w:outlineLvl w:val="1"/>
        <w:rPr>
          <w:rFonts w:ascii="宋体" w:hAnsi="宋体" w:cs="宋体"/>
          <w:b/>
          <w:bCs/>
          <w:kern w:val="0"/>
          <w:sz w:val="32"/>
          <w:szCs w:val="28"/>
        </w:rPr>
      </w:pPr>
      <w:bookmarkStart w:id="82" w:name="_Toc794"/>
      <w:bookmarkStart w:id="83" w:name="_Toc1878"/>
      <w:bookmarkStart w:id="84" w:name="_Toc19972"/>
      <w:bookmarkStart w:id="85" w:name="_Toc442"/>
      <w:bookmarkStart w:id="86" w:name="_Toc10376"/>
      <w:bookmarkStart w:id="87" w:name="_Toc25308"/>
      <w:bookmarkStart w:id="88" w:name="_Toc740"/>
      <w:r>
        <w:rPr>
          <w:rFonts w:hint="eastAsia" w:ascii="宋体" w:hAnsi="宋体" w:cs="宋体"/>
          <w:b/>
          <w:bCs/>
          <w:kern w:val="0"/>
          <w:sz w:val="32"/>
          <w:szCs w:val="28"/>
        </w:rPr>
        <w:t>六、签订合同</w:t>
      </w:r>
      <w:bookmarkEnd w:id="82"/>
      <w:bookmarkEnd w:id="83"/>
      <w:bookmarkEnd w:id="84"/>
      <w:bookmarkEnd w:id="85"/>
      <w:bookmarkEnd w:id="86"/>
      <w:bookmarkEnd w:id="87"/>
      <w:bookmarkEnd w:id="88"/>
    </w:p>
    <w:p>
      <w:pPr>
        <w:spacing w:line="360" w:lineRule="auto"/>
        <w:ind w:firstLine="480" w:firstLineChars="200"/>
        <w:jc w:val="left"/>
        <w:rPr>
          <w:rFonts w:ascii="宋体" w:hAnsi="宋体" w:cs="宋体"/>
          <w:sz w:val="24"/>
        </w:rPr>
      </w:pPr>
      <w:r>
        <w:rPr>
          <w:rFonts w:hint="eastAsia" w:ascii="宋体" w:hAnsi="宋体" w:cs="宋体"/>
          <w:sz w:val="24"/>
        </w:rPr>
        <w:t>1、成交后，成交供应商与采购人洽谈合同条款，并签订供货合同，同时送</w:t>
      </w:r>
    </w:p>
    <w:p>
      <w:pPr>
        <w:spacing w:line="360" w:lineRule="auto"/>
        <w:jc w:val="left"/>
        <w:rPr>
          <w:rFonts w:ascii="宋体" w:hAnsi="宋体" w:cs="宋体"/>
          <w:sz w:val="24"/>
        </w:rPr>
      </w:pPr>
      <w:r>
        <w:rPr>
          <w:rFonts w:hint="eastAsia" w:ascii="宋体" w:hAnsi="宋体" w:cs="宋体"/>
          <w:sz w:val="24"/>
        </w:rPr>
        <w:t>代理机构归档，竞争性磋商文件及成交供应商的磋商响应文件均作为合同的组成部分。</w:t>
      </w:r>
    </w:p>
    <w:p>
      <w:pPr>
        <w:spacing w:line="360" w:lineRule="auto"/>
        <w:ind w:firstLine="480" w:firstLineChars="200"/>
        <w:jc w:val="left"/>
        <w:rPr>
          <w:rFonts w:ascii="宋体" w:hAnsi="宋体" w:cs="宋体"/>
          <w:sz w:val="24"/>
        </w:rPr>
      </w:pPr>
      <w:r>
        <w:rPr>
          <w:rFonts w:hint="eastAsia" w:ascii="宋体" w:hAnsi="宋体" w:cs="宋体"/>
          <w:sz w:val="24"/>
        </w:rPr>
        <w:t>2、根据需要，代理机构应协助采购人监督、协调和处理履约过程中出现的</w:t>
      </w:r>
    </w:p>
    <w:p>
      <w:pPr>
        <w:spacing w:line="360" w:lineRule="auto"/>
        <w:jc w:val="left"/>
        <w:rPr>
          <w:rFonts w:ascii="宋体" w:hAnsi="宋体" w:cs="宋体"/>
          <w:sz w:val="24"/>
        </w:rPr>
      </w:pPr>
      <w:r>
        <w:rPr>
          <w:rFonts w:hint="eastAsia" w:ascii="宋体" w:hAnsi="宋体" w:cs="宋体"/>
          <w:sz w:val="24"/>
        </w:rPr>
        <w:t>问题。</w:t>
      </w:r>
    </w:p>
    <w:p>
      <w:pPr>
        <w:spacing w:line="360" w:lineRule="auto"/>
        <w:ind w:firstLine="480" w:firstLineChars="200"/>
        <w:jc w:val="left"/>
        <w:rPr>
          <w:rFonts w:ascii="宋体" w:hAnsi="宋体" w:cs="宋体"/>
          <w:sz w:val="24"/>
        </w:rPr>
      </w:pPr>
      <w:r>
        <w:rPr>
          <w:rFonts w:hint="eastAsia" w:ascii="宋体" w:hAnsi="宋体" w:cs="宋体"/>
          <w:sz w:val="24"/>
        </w:rPr>
        <w:t>3、财政部门在合同履行期间以及履行期后，可以随时检查项目的执行情况，对采购标准、采购内容进行调查核实，并对发现的问题进行处理。</w:t>
      </w:r>
    </w:p>
    <w:p>
      <w:pPr>
        <w:pStyle w:val="4"/>
        <w:rPr>
          <w:sz w:val="32"/>
          <w:szCs w:val="32"/>
        </w:rPr>
      </w:pPr>
      <w:bookmarkStart w:id="89" w:name="_Toc30251"/>
      <w:bookmarkStart w:id="90" w:name="_Toc11330"/>
      <w:r>
        <w:rPr>
          <w:rFonts w:hint="eastAsia"/>
          <w:sz w:val="32"/>
          <w:szCs w:val="32"/>
        </w:rPr>
        <w:t>七、代理服务费</w:t>
      </w:r>
      <w:bookmarkEnd w:id="89"/>
      <w:bookmarkEnd w:id="90"/>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参照（计价格[2002]1980号）文件规定收费</w:t>
      </w:r>
      <w:r>
        <w:rPr>
          <w:rFonts w:hint="eastAsia" w:asciiTheme="minorEastAsia" w:hAnsiTheme="minorEastAsia" w:cstheme="minorEastAsia"/>
          <w:sz w:val="24"/>
          <w:szCs w:val="24"/>
          <w:u w:val="single"/>
          <w:lang w:eastAsia="zh-CN"/>
        </w:rPr>
        <w:t>下浮</w:t>
      </w:r>
      <w:r>
        <w:rPr>
          <w:rFonts w:hint="eastAsia" w:asciiTheme="minorEastAsia" w:hAnsiTheme="minorEastAsia" w:cstheme="minorEastAsia"/>
          <w:sz w:val="24"/>
          <w:szCs w:val="24"/>
          <w:u w:val="single"/>
          <w:lang w:val="en-US" w:eastAsia="zh-CN"/>
        </w:rPr>
        <w:t>20%</w:t>
      </w:r>
      <w:r>
        <w:rPr>
          <w:rFonts w:hint="eastAsia" w:asciiTheme="minorEastAsia" w:hAnsiTheme="minorEastAsia" w:cstheme="minorEastAsia"/>
          <w:sz w:val="24"/>
          <w:szCs w:val="24"/>
        </w:rPr>
        <w:t xml:space="preserve">标准收取，由中标人在领取中标通知书时向代理机构缴纳代理服务费。 </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供应商将招标代理服务费计入投标报价但不单独列明，中标单位在领取中标通知书前，须向招标代理机构一次性支付招标代理服务费；代理服务费以转账、电汇或现金等形式交纳。</w:t>
      </w:r>
    </w:p>
    <w:p>
      <w:pPr>
        <w:pStyle w:val="4"/>
        <w:rPr>
          <w:sz w:val="32"/>
          <w:szCs w:val="32"/>
        </w:rPr>
      </w:pPr>
      <w:bookmarkStart w:id="91" w:name="_Toc28500"/>
      <w:bookmarkStart w:id="92" w:name="_Toc29961"/>
      <w:r>
        <w:rPr>
          <w:rFonts w:hint="eastAsia"/>
          <w:sz w:val="32"/>
          <w:szCs w:val="32"/>
        </w:rPr>
        <w:t>八、履约验收</w:t>
      </w:r>
      <w:bookmarkEnd w:id="91"/>
      <w:bookmarkEnd w:id="92"/>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1、政府采购合同的履行、违约责任和解决争议的方法等适用《中华人民共和国民法典》。采购人按照政府采购合同规定的技术、服务、安全标准组织对供应商履约情况进行验收，并出具验收书。</w:t>
      </w:r>
    </w:p>
    <w:p>
      <w:pPr>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2、履约验收的费用及要求详见“供应商须知前附表”。</w:t>
      </w:r>
    </w:p>
    <w:p>
      <w:pPr>
        <w:pStyle w:val="18"/>
      </w:pPr>
    </w:p>
    <w:p>
      <w:pPr>
        <w:pStyle w:val="4"/>
        <w:rPr>
          <w:sz w:val="32"/>
          <w:szCs w:val="32"/>
        </w:rPr>
      </w:pPr>
      <w:bookmarkStart w:id="93" w:name="_Toc19471"/>
      <w:bookmarkStart w:id="94" w:name="_Toc13988"/>
      <w:bookmarkStart w:id="95" w:name="_Toc13048"/>
      <w:bookmarkStart w:id="96" w:name="_Toc11862"/>
      <w:bookmarkStart w:id="97" w:name="_Toc14280"/>
      <w:bookmarkStart w:id="98" w:name="_Toc29682"/>
      <w:bookmarkStart w:id="99" w:name="_Toc13674"/>
      <w:r>
        <w:rPr>
          <w:rFonts w:hint="eastAsia"/>
          <w:sz w:val="32"/>
          <w:szCs w:val="32"/>
        </w:rPr>
        <w:t>九、质疑和投诉</w:t>
      </w:r>
      <w:bookmarkEnd w:id="93"/>
      <w:bookmarkEnd w:id="94"/>
      <w:bookmarkEnd w:id="95"/>
      <w:bookmarkEnd w:id="96"/>
      <w:bookmarkEnd w:id="97"/>
      <w:bookmarkEnd w:id="98"/>
      <w:bookmarkEnd w:id="99"/>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.1供应商认为招标文件、采购过程和中标结果使自己的权益受到损害的，可以在知道或者应知其权益受到损害之日起七个工作日内，以书面原件形式向采购人或采购代理机构提出质疑，</w:t>
      </w:r>
      <w:r>
        <w:rPr>
          <w:rFonts w:hint="eastAsia" w:ascii="宋体" w:hAnsi="宋体" w:cs="宋体"/>
          <w:color w:val="333333"/>
          <w:sz w:val="24"/>
          <w:szCs w:val="24"/>
          <w:shd w:val="clear" w:color="auto" w:fill="FFFFFF"/>
        </w:rPr>
        <w:t>供应商应该在法定质疑期内一次性提出针对同一采购程序环节的质疑，</w:t>
      </w:r>
      <w:r>
        <w:rPr>
          <w:rFonts w:hint="eastAsia" w:asciiTheme="minorEastAsia" w:hAnsiTheme="minorEastAsia" w:cstheme="minorEastAsia"/>
          <w:sz w:val="24"/>
          <w:szCs w:val="24"/>
        </w:rPr>
        <w:t>逾期质疑无效。</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.2 质疑文件应当包括下列主要内容：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1）质疑供应商和相关供应商的名称、地址、联系人及联系电话等；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2）质疑项目及编号、质疑事项；</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3）认为采购文件、采购过程、中标和成交结果使自己的合法权益受到损害的法律依据、事实依据、相关证明材料及证据来源；</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4）提出质疑的日期。</w:t>
      </w:r>
    </w:p>
    <w:p>
      <w:pPr>
        <w:spacing w:line="360" w:lineRule="auto"/>
        <w:ind w:firstLine="482" w:firstLineChars="200"/>
        <w:rPr>
          <w:rFonts w:asciiTheme="minorEastAsia" w:hAnsiTheme="minorEastAsia" w:cstheme="minorEastAsia"/>
          <w:b/>
          <w:bCs/>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.3 质疑函应当署名。质疑供应商为自然人的，应当由本人签字；质疑供应商为法人或者其他组织的，应当由法定代表人或者主要负责人签字盖章并加盖公章。</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.4 供应商质疑应当有明确的请求和必要的证明材料。</w:t>
      </w:r>
      <w:r>
        <w:rPr>
          <w:rFonts w:hint="eastAsia" w:asciiTheme="minorEastAsia" w:hAnsiTheme="minorEastAsia" w:cstheme="minorEastAsia"/>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将依法处理。</w:t>
      </w:r>
    </w:p>
    <w:p>
      <w:pPr>
        <w:spacing w:line="360" w:lineRule="auto"/>
        <w:ind w:firstLine="482" w:firstLineChars="200"/>
        <w:rPr>
          <w:rFonts w:asciiTheme="minorEastAsia" w:hAnsiTheme="minorEastAsia" w:cstheme="minorEastAsia"/>
          <w:sz w:val="24"/>
          <w:szCs w:val="24"/>
        </w:rPr>
      </w:pPr>
      <w:r>
        <w:rPr>
          <w:rFonts w:hint="eastAsia" w:asciiTheme="minorEastAsia" w:hAnsiTheme="minorEastAsia" w:cstheme="minorEastAsia"/>
          <w:b/>
          <w:bCs/>
          <w:sz w:val="24"/>
          <w:szCs w:val="24"/>
          <w:lang w:val="en-US" w:eastAsia="zh-CN"/>
        </w:rPr>
        <w:t>1</w:t>
      </w:r>
      <w:r>
        <w:rPr>
          <w:rFonts w:hint="eastAsia" w:asciiTheme="minorEastAsia" w:hAnsiTheme="minorEastAsia" w:cstheme="minorEastAsia"/>
          <w:b/>
          <w:bCs/>
          <w:sz w:val="24"/>
          <w:szCs w:val="24"/>
        </w:rPr>
        <w:t>.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.7 质疑受理部门：陕西万泽招标有限公司。</w:t>
      </w:r>
    </w:p>
    <w:p>
      <w:pPr>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.8 提交质疑文件地点：西安市西关正街英达大厦1507室。</w:t>
      </w:r>
    </w:p>
    <w:p>
      <w:pPr>
        <w:spacing w:line="360" w:lineRule="auto"/>
        <w:ind w:right="-319" w:rightChars="-152"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rPr>
        <w:t>.9 本次采购活动中，采购代理机构对质疑回复等文件的送达方式为现场取件。</w:t>
      </w:r>
    </w:p>
    <w:p>
      <w:pPr>
        <w:ind w:firstLine="480" w:firstLineChars="200"/>
      </w:pPr>
      <w:r>
        <w:rPr>
          <w:rFonts w:hint="eastAsia"/>
          <w:b w:val="0"/>
          <w:bCs w:val="0"/>
          <w:sz w:val="24"/>
          <w:szCs w:val="24"/>
          <w:lang w:val="en-US" w:eastAsia="zh-CN"/>
        </w:rPr>
        <w:t>1.</w:t>
      </w:r>
      <w:r>
        <w:rPr>
          <w:rFonts w:hint="eastAsia"/>
          <w:b w:val="0"/>
          <w:bCs w:val="0"/>
          <w:sz w:val="24"/>
          <w:szCs w:val="24"/>
        </w:rPr>
        <w:t xml:space="preserve">10 </w:t>
      </w:r>
      <w:r>
        <w:rPr>
          <w:rFonts w:hint="eastAsia"/>
          <w:sz w:val="24"/>
          <w:szCs w:val="24"/>
        </w:rPr>
        <w:t>质疑函应当使用中文。质疑函范本详见财政部制定的范本即竞争性磋商文件附件六。</w:t>
      </w:r>
    </w:p>
    <w:p>
      <w:r>
        <w:rPr>
          <w:rFonts w:hint="eastAsia"/>
        </w:rPr>
        <w:br w:type="page"/>
      </w:r>
    </w:p>
    <w:p>
      <w:pPr>
        <w:pStyle w:val="3"/>
      </w:pPr>
      <w:bookmarkStart w:id="100" w:name="_Toc27474"/>
      <w:r>
        <w:rPr>
          <w:rFonts w:hint="eastAsia"/>
        </w:rPr>
        <w:t xml:space="preserve">第四部分  </w:t>
      </w:r>
      <w:bookmarkEnd w:id="48"/>
      <w:r>
        <w:rPr>
          <w:rFonts w:hint="eastAsia"/>
        </w:rPr>
        <w:t>评审办法</w:t>
      </w:r>
      <w:bookmarkEnd w:id="49"/>
      <w:bookmarkEnd w:id="100"/>
    </w:p>
    <w:p>
      <w:pPr>
        <w:spacing w:line="5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本次评标采用综合评分法，综合评分因素的主要因素为价格、技术、业绩、服务等以及对招标文件的响应程度。每一供应商的最终得分为所有评委评分的算数平均值。</w:t>
      </w:r>
    </w:p>
    <w:p>
      <w:pPr>
        <w:spacing w:line="500" w:lineRule="exact"/>
        <w:ind w:firstLine="482" w:firstLineChars="200"/>
        <w:jc w:val="center"/>
      </w:pPr>
      <w:r>
        <w:rPr>
          <w:rFonts w:hint="eastAsia" w:asciiTheme="minorEastAsia" w:hAnsiTheme="minorEastAsia" w:cstheme="minorEastAsia"/>
          <w:b/>
          <w:bCs/>
          <w:sz w:val="24"/>
          <w:szCs w:val="24"/>
        </w:rPr>
        <w:t>评审标准</w:t>
      </w:r>
    </w:p>
    <w:tbl>
      <w:tblPr>
        <w:tblStyle w:val="26"/>
        <w:tblpPr w:leftFromText="180" w:rightFromText="180" w:vertAnchor="text" w:horzAnchor="page" w:tblpX="1767" w:tblpY="365"/>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702"/>
        <w:gridCol w:w="819"/>
        <w:gridCol w:w="492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124" w:type="dxa"/>
            <w:vAlign w:val="center"/>
          </w:tcPr>
          <w:p>
            <w:pPr>
              <w:pStyle w:val="15"/>
              <w:rPr>
                <w:rFonts w:ascii="宋体" w:hAnsi="宋体" w:cs="宋体"/>
                <w:b/>
                <w:bCs/>
                <w:sz w:val="21"/>
                <w:szCs w:val="21"/>
              </w:rPr>
            </w:pPr>
            <w:r>
              <w:rPr>
                <w:rFonts w:hint="eastAsia" w:ascii="宋体" w:hAnsi="宋体" w:cs="宋体"/>
                <w:b/>
                <w:bCs/>
                <w:sz w:val="21"/>
                <w:szCs w:val="21"/>
              </w:rPr>
              <w:t>评审项及最高得分</w:t>
            </w:r>
          </w:p>
        </w:tc>
        <w:tc>
          <w:tcPr>
            <w:tcW w:w="702" w:type="dxa"/>
            <w:vAlign w:val="center"/>
          </w:tcPr>
          <w:p>
            <w:pPr>
              <w:jc w:val="center"/>
              <w:rPr>
                <w:rFonts w:ascii="宋体" w:hAnsi="宋体" w:cs="宋体"/>
                <w:b/>
                <w:bCs/>
                <w:szCs w:val="21"/>
              </w:rPr>
            </w:pPr>
            <w:r>
              <w:rPr>
                <w:rFonts w:hint="eastAsia" w:ascii="宋体" w:hAnsi="宋体" w:cs="宋体"/>
                <w:b/>
                <w:bCs/>
                <w:szCs w:val="21"/>
              </w:rPr>
              <w:t>评审</w:t>
            </w:r>
          </w:p>
          <w:p>
            <w:pPr>
              <w:jc w:val="center"/>
              <w:rPr>
                <w:rFonts w:ascii="宋体" w:hAnsi="宋体" w:cs="宋体"/>
                <w:b/>
                <w:bCs/>
                <w:szCs w:val="21"/>
              </w:rPr>
            </w:pPr>
            <w:r>
              <w:rPr>
                <w:rFonts w:hint="eastAsia" w:ascii="宋体" w:hAnsi="宋体" w:cs="宋体"/>
                <w:b/>
                <w:bCs/>
                <w:szCs w:val="21"/>
              </w:rPr>
              <w:t>内容</w:t>
            </w:r>
          </w:p>
        </w:tc>
        <w:tc>
          <w:tcPr>
            <w:tcW w:w="819" w:type="dxa"/>
            <w:vAlign w:val="center"/>
          </w:tcPr>
          <w:p>
            <w:pPr>
              <w:jc w:val="center"/>
              <w:rPr>
                <w:rFonts w:ascii="宋体" w:hAnsi="宋体" w:cs="宋体"/>
                <w:b/>
                <w:bCs/>
                <w:szCs w:val="21"/>
              </w:rPr>
            </w:pPr>
            <w:r>
              <w:rPr>
                <w:rFonts w:hint="eastAsia" w:ascii="宋体" w:hAnsi="宋体" w:cs="宋体"/>
                <w:b/>
                <w:bCs/>
                <w:szCs w:val="21"/>
              </w:rPr>
              <w:t>分项</w:t>
            </w:r>
          </w:p>
          <w:p>
            <w:pPr>
              <w:jc w:val="center"/>
              <w:rPr>
                <w:rFonts w:ascii="宋体" w:hAnsi="宋体" w:cs="宋体"/>
                <w:b/>
                <w:bCs/>
                <w:szCs w:val="21"/>
              </w:rPr>
            </w:pPr>
            <w:r>
              <w:rPr>
                <w:rFonts w:hint="eastAsia" w:ascii="宋体" w:hAnsi="宋体" w:cs="宋体"/>
                <w:b/>
                <w:bCs/>
                <w:szCs w:val="21"/>
              </w:rPr>
              <w:t>得分</w:t>
            </w:r>
          </w:p>
        </w:tc>
        <w:tc>
          <w:tcPr>
            <w:tcW w:w="4928" w:type="dxa"/>
            <w:vAlign w:val="center"/>
          </w:tcPr>
          <w:p>
            <w:pPr>
              <w:jc w:val="center"/>
              <w:rPr>
                <w:rFonts w:ascii="宋体" w:hAnsi="宋体" w:cs="宋体"/>
                <w:b/>
                <w:bCs/>
                <w:szCs w:val="21"/>
              </w:rPr>
            </w:pPr>
            <w:r>
              <w:rPr>
                <w:rFonts w:hint="eastAsia" w:ascii="宋体" w:hAnsi="宋体" w:cs="宋体"/>
                <w:b/>
                <w:bCs/>
                <w:szCs w:val="21"/>
              </w:rPr>
              <w:t>评审要素</w:t>
            </w:r>
          </w:p>
          <w:p>
            <w:pPr>
              <w:jc w:val="center"/>
              <w:rPr>
                <w:rFonts w:ascii="宋体" w:hAnsi="宋体" w:cs="宋体"/>
                <w:b/>
                <w:bCs/>
                <w:szCs w:val="21"/>
              </w:rPr>
            </w:pPr>
          </w:p>
        </w:tc>
        <w:tc>
          <w:tcPr>
            <w:tcW w:w="1324" w:type="dxa"/>
            <w:vAlign w:val="center"/>
          </w:tcPr>
          <w:p>
            <w:pPr>
              <w:jc w:val="center"/>
              <w:rPr>
                <w:rFonts w:ascii="宋体" w:hAnsi="宋体" w:cs="宋体"/>
                <w:b/>
                <w:bCs/>
                <w:szCs w:val="21"/>
              </w:rPr>
            </w:pPr>
            <w:r>
              <w:rPr>
                <w:rFonts w:hint="eastAsia" w:ascii="宋体" w:hAnsi="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1124" w:type="dxa"/>
            <w:vAlign w:val="center"/>
          </w:tcPr>
          <w:p>
            <w:pPr>
              <w:jc w:val="center"/>
              <w:rPr>
                <w:rFonts w:ascii="宋体" w:hAnsi="宋体" w:cs="宋体"/>
                <w:b/>
                <w:bCs/>
                <w:szCs w:val="21"/>
                <w:highlight w:val="none"/>
              </w:rPr>
            </w:pPr>
            <w:r>
              <w:rPr>
                <w:rFonts w:hint="eastAsia" w:ascii="宋体" w:hAnsi="宋体" w:cs="宋体"/>
                <w:szCs w:val="21"/>
                <w:highlight w:val="none"/>
              </w:rPr>
              <w:t>价格部分（</w:t>
            </w: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702" w:type="dxa"/>
            <w:vAlign w:val="center"/>
          </w:tcPr>
          <w:p>
            <w:pPr>
              <w:rPr>
                <w:rFonts w:ascii="宋体" w:hAnsi="宋体" w:cs="宋体"/>
                <w:b/>
                <w:bCs/>
                <w:szCs w:val="21"/>
                <w:highlight w:val="none"/>
              </w:rPr>
            </w:pPr>
            <w:r>
              <w:rPr>
                <w:rFonts w:hint="eastAsia" w:ascii="宋体" w:hAnsi="宋体" w:cs="宋体"/>
                <w:szCs w:val="21"/>
                <w:highlight w:val="none"/>
              </w:rPr>
              <w:t>响应报价得分</w:t>
            </w:r>
          </w:p>
        </w:tc>
        <w:tc>
          <w:tcPr>
            <w:tcW w:w="819" w:type="dxa"/>
            <w:vAlign w:val="center"/>
          </w:tcPr>
          <w:p>
            <w:pPr>
              <w:rPr>
                <w:rFonts w:ascii="宋体" w:hAnsi="宋体" w:cs="宋体"/>
                <w:b/>
                <w:bCs/>
                <w:szCs w:val="21"/>
                <w:highlight w:val="none"/>
              </w:rPr>
            </w:pPr>
            <w:r>
              <w:rPr>
                <w:rFonts w:hint="eastAsia" w:ascii="宋体" w:hAnsi="宋体" w:cs="宋体"/>
                <w:szCs w:val="21"/>
                <w:highlight w:val="none"/>
                <w:lang w:val="en-US" w:eastAsia="zh-CN"/>
              </w:rPr>
              <w:t>30</w:t>
            </w:r>
            <w:r>
              <w:rPr>
                <w:rFonts w:hint="eastAsia" w:ascii="宋体" w:hAnsi="宋体" w:cs="宋体"/>
                <w:szCs w:val="21"/>
                <w:highlight w:val="none"/>
              </w:rPr>
              <w:t>分</w:t>
            </w:r>
          </w:p>
        </w:tc>
        <w:tc>
          <w:tcPr>
            <w:tcW w:w="4928" w:type="dxa"/>
            <w:vAlign w:val="center"/>
          </w:tcPr>
          <w:p>
            <w:pPr>
              <w:numPr>
                <w:ilvl w:val="0"/>
                <w:numId w:val="17"/>
              </w:numPr>
              <w:rPr>
                <w:rFonts w:ascii="宋体" w:hAnsi="宋体" w:eastAsia="宋体" w:cs="宋体"/>
                <w:szCs w:val="21"/>
                <w:highlight w:val="none"/>
              </w:rPr>
            </w:pPr>
            <w:r>
              <w:rPr>
                <w:rFonts w:hint="eastAsia" w:ascii="宋体" w:hAnsi="宋体" w:eastAsia="宋体" w:cs="宋体"/>
                <w:szCs w:val="21"/>
                <w:highlight w:val="none"/>
              </w:rPr>
              <w:t>经初审合格的磋商文件，其磋商</w:t>
            </w:r>
            <w:r>
              <w:rPr>
                <w:rFonts w:hint="eastAsia" w:ascii="宋体" w:hAnsi="宋体" w:eastAsia="宋体" w:cs="宋体"/>
                <w:szCs w:val="21"/>
                <w:highlight w:val="none"/>
                <w:lang w:val="en-US" w:eastAsia="zh-CN"/>
              </w:rPr>
              <w:t>报价</w:t>
            </w:r>
            <w:r>
              <w:rPr>
                <w:rFonts w:hint="eastAsia" w:ascii="宋体" w:hAnsi="宋体" w:eastAsia="宋体" w:cs="宋体"/>
                <w:szCs w:val="21"/>
                <w:highlight w:val="none"/>
              </w:rPr>
              <w:t>为有效磋商报价；</w:t>
            </w:r>
          </w:p>
          <w:p>
            <w:pPr>
              <w:numPr>
                <w:ilvl w:val="0"/>
                <w:numId w:val="17"/>
              </w:numPr>
              <w:rPr>
                <w:rFonts w:ascii="宋体" w:hAnsi="宋体" w:eastAsia="宋体" w:cs="宋体"/>
                <w:szCs w:val="21"/>
                <w:highlight w:val="none"/>
              </w:rPr>
            </w:pPr>
            <w:r>
              <w:rPr>
                <w:rFonts w:hint="eastAsia" w:ascii="宋体" w:hAnsi="宋体" w:eastAsia="宋体" w:cs="宋体"/>
                <w:szCs w:val="21"/>
                <w:highlight w:val="none"/>
              </w:rPr>
              <w:t>满足磋商文件要求且最终提交价格最低的磋商报价为评标基准价。</w:t>
            </w:r>
          </w:p>
          <w:p>
            <w:pPr>
              <w:numPr>
                <w:ilvl w:val="0"/>
                <w:numId w:val="17"/>
              </w:numPr>
              <w:rPr>
                <w:rFonts w:ascii="宋体" w:hAnsi="宋体" w:eastAsia="宋体" w:cs="宋体"/>
                <w:szCs w:val="21"/>
                <w:highlight w:val="none"/>
              </w:rPr>
            </w:pPr>
            <w:r>
              <w:rPr>
                <w:rFonts w:hint="eastAsia" w:ascii="宋体" w:hAnsi="宋体" w:eastAsia="宋体" w:cs="宋体"/>
                <w:szCs w:val="21"/>
                <w:highlight w:val="none"/>
              </w:rPr>
              <w:t>磋商报价得分=(评审基准价／</w:t>
            </w:r>
            <w:r>
              <w:rPr>
                <w:rFonts w:hint="eastAsia" w:ascii="宋体" w:hAnsi="宋体" w:eastAsia="宋体" w:cs="宋体"/>
                <w:szCs w:val="21"/>
                <w:highlight w:val="none"/>
                <w:lang w:val="en-US" w:eastAsia="zh-CN"/>
              </w:rPr>
              <w:t>响应报价</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30</w:t>
            </w:r>
          </w:p>
          <w:p>
            <w:pPr>
              <w:pStyle w:val="68"/>
              <w:numPr>
                <w:ilvl w:val="0"/>
                <w:numId w:val="17"/>
              </w:numPr>
              <w:ind w:firstLineChars="0"/>
              <w:rPr>
                <w:rFonts w:ascii="宋体" w:hAnsi="宋体" w:eastAsia="宋体" w:cs="宋体"/>
                <w:szCs w:val="21"/>
                <w:highlight w:val="none"/>
              </w:rPr>
            </w:pPr>
            <w:r>
              <w:rPr>
                <w:rFonts w:hint="eastAsia" w:ascii="宋体" w:hAnsi="宋体" w:eastAsia="宋体" w:cs="宋体"/>
                <w:szCs w:val="21"/>
                <w:highlight w:val="none"/>
              </w:rPr>
              <w:t>磋商报价不完整的，本项得0分。</w:t>
            </w:r>
          </w:p>
        </w:tc>
        <w:tc>
          <w:tcPr>
            <w:tcW w:w="1324" w:type="dxa"/>
            <w:vAlign w:val="center"/>
          </w:tcPr>
          <w:p>
            <w:pPr>
              <w:pStyle w:val="68"/>
              <w:ind w:firstLine="0" w:firstLineChars="0"/>
              <w:rPr>
                <w:rFonts w:ascii="宋体" w:hAnsi="宋体" w:cs="宋体"/>
                <w:szCs w:val="21"/>
              </w:rPr>
            </w:pPr>
            <w:r>
              <w:rPr>
                <w:rFonts w:hint="eastAsia" w:ascii="宋体" w:hAnsi="宋体" w:cs="宋体"/>
                <w:szCs w:val="21"/>
              </w:rPr>
              <w:t>报价政策性优惠见评分办法备注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 w:hRule="atLeast"/>
        </w:trPr>
        <w:tc>
          <w:tcPr>
            <w:tcW w:w="1124" w:type="dxa"/>
            <w:vMerge w:val="restart"/>
            <w:vAlign w:val="center"/>
          </w:tcPr>
          <w:p>
            <w:pPr>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58</w:t>
            </w:r>
            <w:r>
              <w:rPr>
                <w:rFonts w:hint="eastAsia" w:ascii="宋体" w:hAnsi="宋体" w:cs="宋体"/>
                <w:szCs w:val="21"/>
                <w:highlight w:val="none"/>
              </w:rPr>
              <w:t>分）</w:t>
            </w:r>
          </w:p>
          <w:p>
            <w:pPr>
              <w:rPr>
                <w:highlight w:val="none"/>
              </w:rPr>
            </w:pPr>
          </w:p>
        </w:tc>
        <w:tc>
          <w:tcPr>
            <w:tcW w:w="702" w:type="dxa"/>
            <w:vAlign w:val="center"/>
          </w:tcPr>
          <w:p>
            <w:pPr>
              <w:adjustRightInd w:val="0"/>
              <w:snapToGrid w:val="0"/>
              <w:jc w:val="left"/>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技术参数</w:t>
            </w:r>
          </w:p>
        </w:tc>
        <w:tc>
          <w:tcPr>
            <w:tcW w:w="819" w:type="dxa"/>
            <w:vAlign w:val="center"/>
          </w:tcPr>
          <w:p>
            <w:pPr>
              <w:adjustRightInd w:val="0"/>
              <w:snapToGrid w:val="0"/>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4928" w:type="dxa"/>
            <w:vAlign w:val="top"/>
          </w:tcPr>
          <w:p>
            <w:pPr>
              <w:pStyle w:val="2"/>
              <w:adjustRightInd w:val="0"/>
              <w:snapToGrid w:val="0"/>
              <w:rPr>
                <w:rFonts w:hint="eastAsia"/>
              </w:rPr>
            </w:pPr>
            <w:r>
              <w:rPr>
                <w:rFonts w:hint="eastAsia"/>
              </w:rPr>
              <w:t>所投产品技术参数完全满足采购需求，得5分；</w:t>
            </w:r>
            <w:r>
              <w:rPr>
                <w:rFonts w:hint="eastAsia"/>
                <w:lang w:val="en-US" w:eastAsia="zh-CN"/>
              </w:rPr>
              <w:t>加</w:t>
            </w:r>
            <w:r>
              <w:rPr>
                <w:rFonts w:hint="eastAsia"/>
              </w:rPr>
              <w:t>★项为关键参数，不满足按废标处理，</w:t>
            </w:r>
            <w:r>
              <w:rPr>
                <w:rFonts w:hint="eastAsia"/>
                <w:lang w:eastAsia="zh-CN"/>
              </w:rPr>
              <w:t>非</w:t>
            </w:r>
            <w:r>
              <w:rPr>
                <w:rFonts w:hint="eastAsia"/>
              </w:rPr>
              <w:t>★</w:t>
            </w:r>
            <w:r>
              <w:rPr>
                <w:rFonts w:hint="eastAsia"/>
                <w:lang w:eastAsia="zh-CN"/>
              </w:rPr>
              <w:t>号项</w:t>
            </w:r>
            <w:r>
              <w:rPr>
                <w:rFonts w:hint="eastAsia"/>
                <w:lang w:val="en-US" w:eastAsia="zh-CN"/>
              </w:rPr>
              <w:t>为一般参数，负偏离一项扣1分，</w:t>
            </w:r>
            <w:r>
              <w:rPr>
                <w:rFonts w:hint="eastAsia"/>
              </w:rPr>
              <w:t>扣完为止。</w:t>
            </w:r>
          </w:p>
          <w:p>
            <w:pPr>
              <w:rPr>
                <w:rFonts w:hint="eastAsia"/>
                <w:lang w:val="en-US" w:eastAsia="zh-CN"/>
              </w:rPr>
            </w:pPr>
            <w:r>
              <w:rPr>
                <w:rFonts w:hint="eastAsia" w:ascii="宋体" w:hAnsi="宋体" w:cs="宋体"/>
                <w:b/>
                <w:bCs/>
                <w:color w:val="000000" w:themeColor="text1"/>
                <w:szCs w:val="21"/>
                <w:highlight w:val="none"/>
                <w14:textFill>
                  <w14:solidFill>
                    <w14:schemeClr w14:val="tx1"/>
                  </w14:solidFill>
                </w14:textFill>
              </w:rPr>
              <w:t>评审依据：投标人应提供详细的响应产品设备技术白皮书、认证证书、检测报告等相关佐证材料。</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1" w:hRule="atLeast"/>
        </w:trPr>
        <w:tc>
          <w:tcPr>
            <w:tcW w:w="1124" w:type="dxa"/>
            <w:vMerge w:val="continue"/>
            <w:vAlign w:val="center"/>
          </w:tcPr>
          <w:p>
            <w:pPr>
              <w:rPr>
                <w:highlight w:val="none"/>
              </w:rPr>
            </w:pPr>
          </w:p>
        </w:tc>
        <w:tc>
          <w:tcPr>
            <w:tcW w:w="702" w:type="dxa"/>
            <w:vAlign w:val="center"/>
          </w:tcPr>
          <w:p>
            <w:pP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000000" w:themeColor="text1"/>
                <w:szCs w:val="21"/>
                <w:highlight w:val="none"/>
                <w14:textFill>
                  <w14:solidFill>
                    <w14:schemeClr w14:val="tx1"/>
                  </w14:solidFill>
                </w14:textFill>
              </w:rPr>
              <w:t>产品技术资料</w:t>
            </w:r>
          </w:p>
        </w:tc>
        <w:tc>
          <w:tcPr>
            <w:tcW w:w="819" w:type="dxa"/>
            <w:vAlign w:val="center"/>
          </w:tcPr>
          <w:p>
            <w:pPr>
              <w:rPr>
                <w:rFonts w:hint="eastAsia" w:ascii="宋体" w:hAnsi="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10分</w:t>
            </w:r>
          </w:p>
        </w:tc>
        <w:tc>
          <w:tcPr>
            <w:tcW w:w="4928"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1、所响应设备（产品）技术资料详尽、齐全、表述真实一致，计3.1-5分；较详尽齐全计1.0-3分，未提供不得分；</w:t>
            </w:r>
          </w:p>
          <w:p>
            <w:pPr>
              <w:rPr>
                <w:rFonts w:hint="eastAsia" w:ascii="宋体" w:hAnsi="宋体" w:cs="宋体" w:eastAsiaTheme="minorEastAsia"/>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2、所投设备（产品）及备品备件符合国内、国际相关标准且无产权纠纷，无假货、水货、翻新货，提供所投产品来源渠道合法证明文件（包括但不限于销售协议、代理协议、原厂授权等）等，齐全计3.1-5分，较齐全计1.0-3分，未提供不得分</w:t>
            </w:r>
            <w:r>
              <w:rPr>
                <w:rFonts w:hint="eastAsia" w:ascii="宋体" w:hAnsi="宋体" w:cs="宋体"/>
                <w:color w:val="000000" w:themeColor="text1"/>
                <w:szCs w:val="21"/>
                <w:highlight w:val="none"/>
                <w:lang w:eastAsia="zh-CN"/>
                <w14:textFill>
                  <w14:solidFill>
                    <w14:schemeClr w14:val="tx1"/>
                  </w14:solidFill>
                </w14:textFill>
              </w:rPr>
              <w:t>。</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1124" w:type="dxa"/>
            <w:vMerge w:val="continue"/>
            <w:vAlign w:val="center"/>
          </w:tcPr>
          <w:p/>
        </w:tc>
        <w:tc>
          <w:tcPr>
            <w:tcW w:w="702" w:type="dxa"/>
            <w:vAlign w:val="center"/>
          </w:tcPr>
          <w:p>
            <w:pPr>
              <w:rPr>
                <w:rFonts w:ascii="宋体" w:hAnsi="宋体" w:eastAsia="宋体" w:cs="宋体"/>
                <w:bCs/>
                <w:szCs w:val="21"/>
              </w:rPr>
            </w:pPr>
            <w:r>
              <w:rPr>
                <w:rFonts w:hint="eastAsia" w:ascii="宋体" w:hAnsi="宋体" w:eastAsia="宋体" w:cs="宋体"/>
                <w:bCs/>
                <w:color w:val="auto"/>
                <w:kern w:val="2"/>
                <w:sz w:val="21"/>
                <w:szCs w:val="21"/>
                <w:lang w:val="en-US" w:eastAsia="zh-CN" w:bidi="ar-SA"/>
              </w:rPr>
              <w:t>实施方案</w:t>
            </w:r>
          </w:p>
        </w:tc>
        <w:tc>
          <w:tcPr>
            <w:tcW w:w="819" w:type="dxa"/>
            <w:vAlign w:val="center"/>
          </w:tcPr>
          <w:p>
            <w:pPr>
              <w:rPr>
                <w:rFonts w:ascii="宋体" w:hAnsi="宋体" w:cs="宋体"/>
                <w:szCs w:val="21"/>
              </w:rPr>
            </w:pPr>
            <w:r>
              <w:rPr>
                <w:rFonts w:hint="eastAsia" w:ascii="宋体" w:hAnsi="宋体" w:cs="宋体"/>
                <w:color w:val="auto"/>
                <w:sz w:val="21"/>
                <w:szCs w:val="21"/>
                <w:lang w:val="en-US" w:eastAsia="zh-CN"/>
              </w:rPr>
              <w:t>8分</w:t>
            </w:r>
          </w:p>
        </w:tc>
        <w:tc>
          <w:tcPr>
            <w:tcW w:w="4928" w:type="dxa"/>
            <w:vAlign w:val="center"/>
          </w:tcPr>
          <w:p>
            <w:pPr>
              <w:bidi w:val="0"/>
              <w:rPr>
                <w:rFonts w:hint="eastAsia"/>
              </w:rPr>
            </w:pPr>
            <w:r>
              <w:rPr>
                <w:rFonts w:hint="eastAsia" w:ascii="宋体" w:hAnsi="宋体" w:eastAsia="宋体" w:cs="宋体"/>
                <w:color w:val="000000"/>
                <w:kern w:val="0"/>
                <w:szCs w:val="21"/>
                <w:lang w:eastAsia="zh-CN"/>
              </w:rPr>
              <w:t>根据供应商对本项目内容的理解及医院的现状和需求制定详细的实施方案，包括</w:t>
            </w:r>
            <w:r>
              <w:rPr>
                <w:rFonts w:hint="eastAsia" w:ascii="宋体" w:hAnsi="宋体" w:eastAsia="宋体" w:cs="宋体"/>
                <w:color w:val="000000"/>
                <w:kern w:val="0"/>
                <w:szCs w:val="21"/>
              </w:rPr>
              <w:t>项目实施阶段划分及详细进度（项目实施方案、安全管理、质量管理、项</w:t>
            </w:r>
            <w:r>
              <w:rPr>
                <w:rFonts w:hint="eastAsia"/>
              </w:rPr>
              <w:t>目实施管理及验收管理、项目成果交付等各阶段实施方案）并提供项目实施过程进度表等，由评标委员会综合评审，按差别赋分。</w:t>
            </w:r>
          </w:p>
          <w:p>
            <w:pPr>
              <w:bidi w:val="0"/>
            </w:pPr>
            <w:r>
              <w:rPr>
                <w:rFonts w:hint="eastAsia"/>
                <w:lang w:val="en-US" w:eastAsia="zh-CN"/>
              </w:rPr>
              <w:t>1.</w:t>
            </w:r>
            <w:r>
              <w:rPr>
                <w:rFonts w:hint="eastAsia"/>
              </w:rPr>
              <w:t>方案细致完整、描述条理清晰，内容齐全，有较高的针对性，得</w:t>
            </w:r>
            <w:r>
              <w:rPr>
                <w:rFonts w:hint="eastAsia"/>
                <w:lang w:val="en-US" w:eastAsia="zh-CN"/>
              </w:rPr>
              <w:t>5</w:t>
            </w:r>
            <w:r>
              <w:rPr>
                <w:rFonts w:hint="eastAsia"/>
              </w:rPr>
              <w:t>.1-</w:t>
            </w:r>
            <w:r>
              <w:rPr>
                <w:rFonts w:hint="eastAsia"/>
                <w:lang w:val="en-US" w:eastAsia="zh-CN"/>
              </w:rPr>
              <w:t>8</w:t>
            </w:r>
            <w:r>
              <w:rPr>
                <w:rFonts w:hint="eastAsia"/>
              </w:rPr>
              <w:t>分；</w:t>
            </w:r>
          </w:p>
          <w:p>
            <w:pPr>
              <w:bidi w:val="0"/>
            </w:pPr>
            <w:r>
              <w:rPr>
                <w:rFonts w:hint="eastAsia"/>
              </w:rPr>
              <w:t>2.方案较完整，可基本实现及满足采购要求，得</w:t>
            </w:r>
            <w:r>
              <w:rPr>
                <w:rFonts w:hint="eastAsia"/>
                <w:lang w:val="en-US" w:eastAsia="zh-CN"/>
              </w:rPr>
              <w:t>3.1</w:t>
            </w:r>
            <w:r>
              <w:rPr>
                <w:rFonts w:hint="eastAsia"/>
              </w:rPr>
              <w:t>-</w:t>
            </w:r>
            <w:r>
              <w:rPr>
                <w:rFonts w:hint="eastAsia"/>
                <w:lang w:val="en-US" w:eastAsia="zh-CN"/>
              </w:rPr>
              <w:t>5</w:t>
            </w:r>
            <w:r>
              <w:rPr>
                <w:rFonts w:hint="eastAsia"/>
              </w:rPr>
              <w:t>分；</w:t>
            </w:r>
          </w:p>
          <w:p>
            <w:pPr>
              <w:bidi w:val="0"/>
              <w:rPr>
                <w:rFonts w:hint="eastAsia" w:ascii="宋体" w:hAnsi="宋体" w:cs="宋体"/>
                <w:color w:val="000000" w:themeColor="text1"/>
                <w:szCs w:val="21"/>
                <w:lang w:val="en-US" w:eastAsia="zh-CN"/>
                <w14:textFill>
                  <w14:solidFill>
                    <w14:schemeClr w14:val="tx1"/>
                  </w14:solidFill>
                </w14:textFill>
              </w:rPr>
            </w:pPr>
            <w:r>
              <w:rPr>
                <w:rFonts w:hint="eastAsia"/>
              </w:rPr>
              <w:t>3.方案有明显缺</w:t>
            </w:r>
            <w:r>
              <w:rPr>
                <w:rFonts w:hint="eastAsia" w:ascii="宋体" w:hAnsi="宋体" w:cs="宋体"/>
                <w:color w:val="000000" w:themeColor="text1"/>
                <w:szCs w:val="21"/>
                <w14:textFill>
                  <w14:solidFill>
                    <w14:schemeClr w14:val="tx1"/>
                  </w14:solidFill>
                </w14:textFill>
              </w:rPr>
              <w:t>陷，针对性较差</w:t>
            </w:r>
            <w:r>
              <w:rPr>
                <w:rFonts w:hint="eastAsia" w:ascii="宋体" w:hAnsi="宋体" w:cs="宋体"/>
                <w:color w:val="000000" w:themeColor="text1"/>
                <w:szCs w:val="21"/>
                <w:lang w:eastAsia="zh-CN"/>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0-3分，</w:t>
            </w:r>
          </w:p>
          <w:p>
            <w:pPr>
              <w:bidi w:val="0"/>
              <w:rPr>
                <w:rFonts w:hint="default"/>
                <w:lang w:val="en-US"/>
              </w:rPr>
            </w:pPr>
            <w:r>
              <w:rPr>
                <w:rFonts w:hint="eastAsia" w:ascii="宋体" w:hAnsi="宋体" w:cs="宋体"/>
                <w:color w:val="000000" w:themeColor="text1"/>
                <w:szCs w:val="21"/>
                <w:lang w:val="en-US" w:eastAsia="zh-CN"/>
                <w14:textFill>
                  <w14:solidFill>
                    <w14:schemeClr w14:val="tx1"/>
                  </w14:solidFill>
                </w14:textFill>
              </w:rPr>
              <w:t>未提供</w:t>
            </w:r>
            <w:r>
              <w:rPr>
                <w:rFonts w:hint="eastAsia" w:ascii="宋体" w:hAnsi="宋体" w:cs="宋体"/>
                <w:color w:val="000000" w:themeColor="text1"/>
                <w:szCs w:val="21"/>
                <w14:textFill>
                  <w14:solidFill>
                    <w14:schemeClr w14:val="tx1"/>
                  </w14:solidFill>
                </w14:textFill>
              </w:rPr>
              <w:t>不得分。</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124" w:type="dxa"/>
            <w:vMerge w:val="continue"/>
            <w:vAlign w:val="center"/>
          </w:tcPr>
          <w:p>
            <w:pPr>
              <w:pStyle w:val="6"/>
              <w:rPr>
                <w:rFonts w:hint="default"/>
                <w:highlight w:val="none"/>
              </w:rPr>
            </w:pPr>
          </w:p>
        </w:tc>
        <w:tc>
          <w:tcPr>
            <w:tcW w:w="702" w:type="dxa"/>
            <w:vAlign w:val="center"/>
          </w:tcPr>
          <w:p>
            <w:pPr>
              <w:adjustRightInd w:val="0"/>
              <w:snapToGrid w:val="0"/>
              <w:jc w:val="left"/>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技术</w:t>
            </w:r>
          </w:p>
          <w:p>
            <w:pPr>
              <w:adjustRightInd w:val="0"/>
              <w:snapToGrid w:val="0"/>
              <w:jc w:val="left"/>
              <w:rPr>
                <w:rFonts w:hint="eastAsia" w:ascii="宋体" w:hAnsi="宋体" w:cs="宋体"/>
                <w:szCs w:val="21"/>
                <w:highlight w:val="none"/>
                <w:lang w:val="zh-CN"/>
              </w:rPr>
            </w:pPr>
            <w:r>
              <w:rPr>
                <w:rFonts w:hint="eastAsia" w:ascii="宋体" w:hAnsi="宋体" w:eastAsia="宋体" w:cs="宋体"/>
                <w:kern w:val="0"/>
                <w:sz w:val="21"/>
                <w:szCs w:val="21"/>
                <w:highlight w:val="none"/>
              </w:rPr>
              <w:t>方案</w:t>
            </w:r>
          </w:p>
        </w:tc>
        <w:tc>
          <w:tcPr>
            <w:tcW w:w="819" w:type="dxa"/>
            <w:vAlign w:val="center"/>
          </w:tcPr>
          <w:p>
            <w:pPr>
              <w:adjustRightInd w:val="0"/>
              <w:snapToGrid w:val="0"/>
              <w:jc w:val="left"/>
              <w:rPr>
                <w:rFonts w:hint="eastAsia" w:ascii="宋体" w:hAnsi="宋体" w:cs="宋体"/>
                <w:szCs w:val="21"/>
                <w:highlight w:val="none"/>
                <w:lang w:val="en-US" w:eastAsia="zh-CN"/>
              </w:rPr>
            </w:pPr>
            <w:r>
              <w:rPr>
                <w:rFonts w:hint="eastAsia" w:ascii="宋体" w:hAnsi="宋体" w:eastAsia="宋体" w:cs="宋体"/>
                <w:kern w:val="0"/>
                <w:sz w:val="21"/>
                <w:szCs w:val="21"/>
                <w:highlight w:val="none"/>
                <w:lang w:val="en-US" w:eastAsia="zh-CN"/>
              </w:rPr>
              <w:t>15</w:t>
            </w:r>
            <w:r>
              <w:rPr>
                <w:rFonts w:hint="eastAsia" w:ascii="宋体" w:hAnsi="宋体" w:eastAsia="宋体" w:cs="宋体"/>
                <w:kern w:val="0"/>
                <w:sz w:val="21"/>
                <w:szCs w:val="21"/>
                <w:highlight w:val="none"/>
              </w:rPr>
              <w:t>分</w:t>
            </w:r>
          </w:p>
        </w:tc>
        <w:tc>
          <w:tcPr>
            <w:tcW w:w="4928" w:type="dxa"/>
            <w:vAlign w:val="top"/>
          </w:tcPr>
          <w:p>
            <w:pPr>
              <w:pStyle w:val="68"/>
              <w:numPr>
                <w:ilvl w:val="0"/>
                <w:numId w:val="18"/>
              </w:numPr>
              <w:autoSpaceDE/>
              <w:autoSpaceDN/>
              <w:spacing w:line="240" w:lineRule="auto"/>
              <w:ind w:left="0" w:firstLineChars="0"/>
              <w:rPr>
                <w:rFonts w:ascii="宋体" w:hAnsi="宋体" w:cs="宋体"/>
                <w:sz w:val="21"/>
                <w:highlight w:val="none"/>
              </w:rPr>
            </w:pPr>
            <w:r>
              <w:rPr>
                <w:rFonts w:hint="eastAsia" w:ascii="宋体" w:hAnsi="宋体" w:cs="宋体"/>
                <w:sz w:val="21"/>
                <w:highlight w:val="none"/>
                <w:lang w:val="en-US" w:eastAsia="zh-CN"/>
              </w:rPr>
              <w:t>1、</w:t>
            </w:r>
            <w:r>
              <w:rPr>
                <w:rFonts w:hint="eastAsia" w:ascii="宋体" w:hAnsi="宋体" w:cs="宋体"/>
                <w:sz w:val="21"/>
                <w:highlight w:val="none"/>
              </w:rPr>
              <w:t>设备供应商提供版本升级方案</w:t>
            </w:r>
            <w:r>
              <w:rPr>
                <w:rFonts w:hint="eastAsia" w:ascii="宋体" w:hAnsi="宋体" w:cs="宋体"/>
                <w:sz w:val="21"/>
                <w:highlight w:val="none"/>
                <w:lang w:eastAsia="zh-CN"/>
              </w:rPr>
              <w:t>，</w:t>
            </w:r>
            <w:r>
              <w:rPr>
                <w:rFonts w:hint="eastAsia" w:ascii="宋体" w:hAnsi="宋体" w:cs="宋体"/>
                <w:sz w:val="21"/>
                <w:highlight w:val="none"/>
              </w:rPr>
              <w:t>保证现网存储设备（华为Ocean</w:t>
            </w:r>
            <w:r>
              <w:rPr>
                <w:rFonts w:ascii="宋体" w:hAnsi="宋体" w:cs="宋体"/>
                <w:sz w:val="21"/>
                <w:highlight w:val="none"/>
              </w:rPr>
              <w:t>S</w:t>
            </w:r>
            <w:r>
              <w:rPr>
                <w:rFonts w:hint="eastAsia" w:ascii="宋体" w:hAnsi="宋体" w:cs="宋体"/>
                <w:sz w:val="21"/>
                <w:highlight w:val="none"/>
              </w:rPr>
              <w:t>tor</w:t>
            </w:r>
            <w:r>
              <w:rPr>
                <w:rFonts w:ascii="宋体" w:hAnsi="宋体" w:cs="宋体"/>
                <w:sz w:val="21"/>
                <w:highlight w:val="none"/>
              </w:rPr>
              <w:t xml:space="preserve"> 5510</w:t>
            </w:r>
            <w:r>
              <w:rPr>
                <w:rFonts w:hint="eastAsia" w:ascii="宋体" w:hAnsi="宋体" w:cs="宋体"/>
                <w:sz w:val="21"/>
                <w:highlight w:val="none"/>
              </w:rPr>
              <w:t>v5）与扩容设备的微码版本一致</w:t>
            </w:r>
            <w:r>
              <w:rPr>
                <w:rFonts w:hint="eastAsia" w:ascii="宋体" w:hAnsi="宋体" w:cs="宋体"/>
                <w:sz w:val="21"/>
                <w:highlight w:val="none"/>
                <w:lang w:eastAsia="zh-CN"/>
              </w:rPr>
              <w:t>。</w:t>
            </w:r>
            <w:r>
              <w:rPr>
                <w:rFonts w:hint="eastAsia" w:ascii="宋体" w:hAnsi="宋体" w:cs="宋体"/>
                <w:sz w:val="21"/>
                <w:highlight w:val="none"/>
              </w:rPr>
              <w:t>由评标委员会</w:t>
            </w:r>
            <w:r>
              <w:rPr>
                <w:rFonts w:hint="eastAsia" w:ascii="宋体" w:hAnsi="宋体" w:cs="宋体"/>
                <w:sz w:val="21"/>
                <w:highlight w:val="none"/>
                <w:lang w:val="en-US" w:eastAsia="zh-CN"/>
              </w:rPr>
              <w:t>对升级方案</w:t>
            </w:r>
            <w:r>
              <w:rPr>
                <w:rFonts w:hint="eastAsia" w:ascii="宋体" w:hAnsi="宋体" w:cs="宋体"/>
                <w:sz w:val="21"/>
                <w:highlight w:val="none"/>
              </w:rPr>
              <w:t>综合评审</w:t>
            </w:r>
            <w:r>
              <w:rPr>
                <w:rFonts w:hint="eastAsia" w:ascii="宋体" w:hAnsi="宋体" w:cs="宋体"/>
                <w:sz w:val="21"/>
                <w:highlight w:val="none"/>
                <w:lang w:val="en-US" w:eastAsia="zh-CN"/>
              </w:rPr>
              <w:t>0-5分。</w:t>
            </w:r>
          </w:p>
          <w:p>
            <w:pPr>
              <w:pStyle w:val="68"/>
              <w:numPr>
                <w:ilvl w:val="0"/>
                <w:numId w:val="18"/>
              </w:numPr>
              <w:autoSpaceDE/>
              <w:autoSpaceDN/>
              <w:spacing w:line="240" w:lineRule="auto"/>
              <w:ind w:left="0" w:firstLineChars="0"/>
              <w:rPr>
                <w:rFonts w:hint="eastAsia" w:ascii="宋体" w:hAnsi="宋体"/>
                <w:szCs w:val="21"/>
                <w:highlight w:val="none"/>
              </w:rPr>
            </w:pPr>
            <w:r>
              <w:rPr>
                <w:rFonts w:hint="eastAsia" w:ascii="宋体" w:hAnsi="宋体" w:cs="宋体"/>
                <w:sz w:val="21"/>
                <w:highlight w:val="none"/>
                <w:lang w:val="en-US" w:eastAsia="zh-CN"/>
              </w:rPr>
              <w:t>2、</w:t>
            </w:r>
            <w:r>
              <w:rPr>
                <w:rFonts w:hint="eastAsia" w:ascii="宋体" w:hAnsi="宋体" w:cs="宋体"/>
                <w:sz w:val="21"/>
                <w:highlight w:val="none"/>
              </w:rPr>
              <w:t>设备供应商在存储硬盘扩容完成后，</w:t>
            </w:r>
            <w:r>
              <w:rPr>
                <w:rFonts w:hint="eastAsia" w:ascii="宋体" w:hAnsi="宋体" w:cs="宋体"/>
                <w:sz w:val="21"/>
                <w:highlight w:val="none"/>
                <w:lang w:val="en-US" w:eastAsia="zh-CN"/>
              </w:rPr>
              <w:t>提供</w:t>
            </w:r>
            <w:r>
              <w:rPr>
                <w:rFonts w:hint="eastAsia" w:ascii="宋体" w:hAnsi="宋体" w:cs="宋体"/>
                <w:sz w:val="21"/>
                <w:highlight w:val="none"/>
              </w:rPr>
              <w:t>双活存储切换演练</w:t>
            </w:r>
            <w:r>
              <w:rPr>
                <w:rFonts w:hint="eastAsia" w:ascii="宋体" w:hAnsi="宋体" w:cs="宋体"/>
                <w:sz w:val="21"/>
                <w:highlight w:val="none"/>
                <w:lang w:eastAsia="zh-CN"/>
              </w:rPr>
              <w:t>；</w:t>
            </w:r>
            <w:r>
              <w:rPr>
                <w:rFonts w:hint="eastAsia" w:ascii="宋体" w:hAnsi="宋体" w:cs="宋体"/>
                <w:sz w:val="21"/>
                <w:highlight w:val="none"/>
              </w:rPr>
              <w:t>H</w:t>
            </w:r>
            <w:r>
              <w:rPr>
                <w:rFonts w:ascii="宋体" w:hAnsi="宋体" w:cs="宋体"/>
                <w:sz w:val="21"/>
                <w:highlight w:val="none"/>
              </w:rPr>
              <w:t>IS</w:t>
            </w:r>
            <w:r>
              <w:rPr>
                <w:rFonts w:hint="eastAsia" w:ascii="宋体" w:hAnsi="宋体" w:cs="宋体"/>
                <w:sz w:val="21"/>
                <w:highlight w:val="none"/>
              </w:rPr>
              <w:t>系统存储容量扩容</w:t>
            </w:r>
            <w:r>
              <w:rPr>
                <w:rFonts w:hint="eastAsia" w:ascii="宋体" w:hAnsi="宋体" w:cs="宋体"/>
                <w:sz w:val="21"/>
                <w:highlight w:val="none"/>
                <w:lang w:val="en-US" w:eastAsia="zh-CN"/>
              </w:rPr>
              <w:t>后，提供</w:t>
            </w:r>
            <w:r>
              <w:rPr>
                <w:rFonts w:hint="eastAsia" w:ascii="宋体" w:hAnsi="宋体" w:cs="宋体"/>
                <w:sz w:val="21"/>
                <w:highlight w:val="none"/>
              </w:rPr>
              <w:t>一次全院级的H</w:t>
            </w:r>
            <w:r>
              <w:rPr>
                <w:rFonts w:ascii="宋体" w:hAnsi="宋体" w:cs="宋体"/>
                <w:sz w:val="21"/>
                <w:highlight w:val="none"/>
              </w:rPr>
              <w:t>IS</w:t>
            </w:r>
            <w:r>
              <w:rPr>
                <w:rFonts w:hint="eastAsia" w:ascii="宋体" w:hAnsi="宋体" w:cs="宋体"/>
                <w:sz w:val="21"/>
                <w:highlight w:val="none"/>
              </w:rPr>
              <w:t>容灾演练</w:t>
            </w:r>
            <w:r>
              <w:rPr>
                <w:rFonts w:hint="eastAsia" w:ascii="宋体" w:hAnsi="宋体" w:cs="宋体"/>
                <w:sz w:val="21"/>
                <w:highlight w:val="none"/>
                <w:lang w:eastAsia="zh-CN"/>
              </w:rPr>
              <w:t>。</w:t>
            </w:r>
          </w:p>
          <w:p>
            <w:pPr>
              <w:pStyle w:val="68"/>
              <w:numPr>
                <w:ilvl w:val="0"/>
                <w:numId w:val="18"/>
              </w:numPr>
              <w:autoSpaceDE/>
              <w:autoSpaceDN/>
              <w:spacing w:line="240" w:lineRule="auto"/>
              <w:ind w:left="0" w:firstLineChars="0"/>
              <w:rPr>
                <w:rFonts w:hint="eastAsia" w:ascii="宋体" w:hAnsi="宋体"/>
                <w:szCs w:val="21"/>
                <w:highlight w:val="none"/>
              </w:rPr>
            </w:pPr>
            <w:r>
              <w:rPr>
                <w:rFonts w:hint="eastAsia" w:ascii="宋体" w:hAnsi="宋体" w:cs="宋体"/>
                <w:sz w:val="21"/>
                <w:highlight w:val="none"/>
                <w:lang w:val="en-US" w:eastAsia="zh-CN"/>
              </w:rPr>
              <w:t xml:space="preserve"> 演练方案详细、具体可行得7.1-10分；演练方案较详细、具体得3.1-7分；演练方案一般、可行性较低得0-3分。</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8" w:hRule="atLeast"/>
        </w:trPr>
        <w:tc>
          <w:tcPr>
            <w:tcW w:w="1124" w:type="dxa"/>
            <w:vMerge w:val="continue"/>
            <w:vAlign w:val="center"/>
          </w:tcPr>
          <w:p>
            <w:pPr>
              <w:pStyle w:val="6"/>
              <w:rPr>
                <w:rFonts w:hint="default"/>
                <w:highlight w:val="none"/>
              </w:rPr>
            </w:pPr>
          </w:p>
        </w:tc>
        <w:tc>
          <w:tcPr>
            <w:tcW w:w="702" w:type="dxa"/>
            <w:vAlign w:val="center"/>
          </w:tcPr>
          <w:p>
            <w:pPr>
              <w:spacing w:line="320" w:lineRule="exact"/>
              <w:rPr>
                <w:rFonts w:hint="eastAsia" w:ascii="宋体" w:hAnsi="宋体" w:cs="宋体" w:eastAsiaTheme="minorEastAsia"/>
                <w:color w:val="auto"/>
                <w:kern w:val="2"/>
                <w:sz w:val="21"/>
                <w:szCs w:val="21"/>
                <w:highlight w:val="none"/>
                <w:lang w:val="zh-CN" w:eastAsia="zh-CN" w:bidi="ar-SA"/>
              </w:rPr>
            </w:pPr>
            <w:r>
              <w:rPr>
                <w:rFonts w:hint="eastAsia" w:ascii="宋体" w:hAnsi="宋体" w:cs="宋体"/>
                <w:szCs w:val="21"/>
                <w:highlight w:val="none"/>
                <w:lang w:val="zh-CN"/>
              </w:rPr>
              <w:t>服务保障措施</w:t>
            </w:r>
          </w:p>
        </w:tc>
        <w:tc>
          <w:tcPr>
            <w:tcW w:w="819" w:type="dxa"/>
            <w:vAlign w:val="center"/>
          </w:tcPr>
          <w:p>
            <w:pPr>
              <w:spacing w:line="320" w:lineRule="exact"/>
              <w:rPr>
                <w:rFonts w:hint="eastAsia" w:ascii="宋体" w:hAnsi="宋体" w:cs="宋体" w:eastAsiaTheme="minorEastAsia"/>
                <w:color w:val="auto"/>
                <w:kern w:val="2"/>
                <w:sz w:val="21"/>
                <w:szCs w:val="21"/>
                <w:highlight w:val="none"/>
                <w:lang w:val="en-US" w:eastAsia="zh-CN" w:bidi="ar-SA"/>
              </w:rPr>
            </w:pP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4928" w:type="dxa"/>
            <w:vAlign w:val="center"/>
          </w:tcPr>
          <w:p>
            <w:pPr>
              <w:pStyle w:val="8"/>
              <w:ind w:firstLine="0" w:firstLineChars="0"/>
              <w:rPr>
                <w:rFonts w:hint="eastAsia" w:asciiTheme="minorHAnsi" w:hAnsiTheme="minorHAnsi" w:eastAsiaTheme="minorEastAsia" w:cstheme="minorBidi"/>
                <w:color w:val="auto"/>
                <w:kern w:val="2"/>
                <w:sz w:val="21"/>
                <w:szCs w:val="20"/>
                <w:highlight w:val="none"/>
                <w:lang w:val="en-US" w:eastAsia="zh-CN" w:bidi="ar-SA"/>
              </w:rPr>
            </w:pPr>
            <w:r>
              <w:rPr>
                <w:rFonts w:hint="eastAsia" w:ascii="宋体" w:hAnsi="宋体"/>
                <w:szCs w:val="21"/>
                <w:highlight w:val="none"/>
              </w:rPr>
              <w:t>供应商针对本项目</w:t>
            </w:r>
            <w:r>
              <w:rPr>
                <w:rFonts w:hint="eastAsia" w:ascii="宋体" w:hAnsi="宋体" w:cs="宋体"/>
                <w:szCs w:val="21"/>
                <w:highlight w:val="none"/>
              </w:rPr>
              <w:t>提供明确、具体、切合实际的保证措施。措施有效扎实，管理责任清晰，质量标准、实施方案具体、明确、切合实际的得</w:t>
            </w:r>
            <w:r>
              <w:rPr>
                <w:rFonts w:hint="eastAsia" w:ascii="宋体" w:hAnsi="宋体" w:cs="宋体"/>
                <w:szCs w:val="21"/>
                <w:highlight w:val="none"/>
                <w:lang w:val="en-US" w:eastAsia="zh-CN"/>
              </w:rPr>
              <w:t>4</w:t>
            </w: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分；措施明晰，具备可操作的得</w:t>
            </w:r>
            <w:r>
              <w:rPr>
                <w:rFonts w:hint="eastAsia" w:ascii="宋体" w:hAnsi="宋体" w:cs="宋体"/>
                <w:szCs w:val="21"/>
                <w:highlight w:val="none"/>
                <w:lang w:val="en-US" w:eastAsia="zh-CN"/>
              </w:rPr>
              <w:t>2</w:t>
            </w:r>
            <w:r>
              <w:rPr>
                <w:rFonts w:hint="eastAsia" w:ascii="宋体" w:hAnsi="宋体" w:cs="宋体"/>
                <w:szCs w:val="21"/>
                <w:highlight w:val="none"/>
              </w:rPr>
              <w:t>.1-</w:t>
            </w:r>
            <w:r>
              <w:rPr>
                <w:rFonts w:hint="eastAsia" w:ascii="宋体" w:hAnsi="宋体" w:cs="宋体"/>
                <w:szCs w:val="21"/>
                <w:highlight w:val="none"/>
                <w:lang w:val="en-US" w:eastAsia="zh-CN"/>
              </w:rPr>
              <w:t>4</w:t>
            </w:r>
            <w:r>
              <w:rPr>
                <w:rFonts w:hint="eastAsia" w:ascii="宋体" w:hAnsi="宋体" w:cs="宋体"/>
                <w:szCs w:val="21"/>
                <w:highlight w:val="none"/>
              </w:rPr>
              <w:t>分；措施可行性一般的得</w:t>
            </w:r>
            <w:r>
              <w:rPr>
                <w:rFonts w:hint="eastAsia" w:ascii="宋体" w:hAnsi="宋体" w:cs="宋体"/>
                <w:szCs w:val="21"/>
                <w:highlight w:val="none"/>
                <w:lang w:val="en-US" w:eastAsia="zh-CN"/>
              </w:rPr>
              <w:t>0</w:t>
            </w:r>
            <w:r>
              <w:rPr>
                <w:rFonts w:hint="eastAsia" w:ascii="宋体" w:hAnsi="宋体" w:cs="宋体"/>
                <w:szCs w:val="21"/>
                <w:highlight w:val="none"/>
              </w:rPr>
              <w:t>-</w:t>
            </w:r>
            <w:r>
              <w:rPr>
                <w:rFonts w:hint="eastAsia" w:ascii="宋体" w:hAnsi="宋体" w:cs="宋体"/>
                <w:szCs w:val="21"/>
                <w:highlight w:val="none"/>
                <w:lang w:val="en-US" w:eastAsia="zh-CN"/>
              </w:rPr>
              <w:t>2</w:t>
            </w:r>
            <w:r>
              <w:rPr>
                <w:rFonts w:hint="eastAsia" w:ascii="宋体" w:hAnsi="宋体" w:cs="宋体"/>
                <w:szCs w:val="21"/>
                <w:highlight w:val="none"/>
              </w:rPr>
              <w:t>分</w:t>
            </w:r>
            <w:r>
              <w:rPr>
                <w:rFonts w:hint="eastAsia" w:ascii="宋体" w:hAnsi="宋体" w:cs="宋体"/>
                <w:szCs w:val="21"/>
                <w:highlight w:val="none"/>
                <w:lang w:eastAsia="zh-CN"/>
              </w:rPr>
              <w:t>。</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124" w:type="dxa"/>
            <w:vMerge w:val="continue"/>
            <w:vAlign w:val="center"/>
          </w:tcPr>
          <w:p>
            <w:pPr>
              <w:pStyle w:val="6"/>
              <w:rPr>
                <w:rFonts w:hint="default"/>
                <w:highlight w:val="none"/>
              </w:rPr>
            </w:pPr>
          </w:p>
        </w:tc>
        <w:tc>
          <w:tcPr>
            <w:tcW w:w="702" w:type="dxa"/>
            <w:vAlign w:val="center"/>
          </w:tcPr>
          <w:p>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w:t>
            </w:r>
          </w:p>
          <w:p>
            <w:pPr>
              <w:jc w:val="center"/>
              <w:rPr>
                <w:rFonts w:hint="eastAsia" w:ascii="宋体" w:hAnsi="宋体" w:cs="宋体"/>
                <w:color w:val="auto"/>
                <w:sz w:val="21"/>
                <w:szCs w:val="21"/>
                <w:highlight w:val="none"/>
                <w:lang w:eastAsia="zh-CN"/>
              </w:rPr>
            </w:pPr>
            <w:r>
              <w:rPr>
                <w:rFonts w:hint="eastAsia" w:hAnsi="宋体"/>
                <w:bCs/>
                <w:szCs w:val="21"/>
                <w:highlight w:val="none"/>
                <w:lang w:val="en-US" w:eastAsia="zh-CN"/>
              </w:rPr>
              <w:t>方案</w:t>
            </w:r>
          </w:p>
        </w:tc>
        <w:tc>
          <w:tcPr>
            <w:tcW w:w="819" w:type="dxa"/>
            <w:vAlign w:val="center"/>
          </w:tcPr>
          <w:p>
            <w:pPr>
              <w:spacing w:line="400" w:lineRule="exact"/>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4928" w:type="dxa"/>
            <w:vAlign w:val="top"/>
          </w:tcPr>
          <w:p>
            <w:pPr>
              <w:spacing w:line="400" w:lineRule="exact"/>
              <w:rPr>
                <w:rFonts w:hint="eastAsia" w:eastAsiaTheme="minorEastAsia"/>
                <w:color w:val="auto"/>
                <w:highlight w:val="none"/>
                <w:lang w:val="en-US" w:eastAsia="zh-CN"/>
              </w:rPr>
            </w:pPr>
            <w:r>
              <w:rPr>
                <w:rFonts w:hint="eastAsia" w:ascii="宋体" w:hAnsi="宋体" w:cs="宋体"/>
                <w:color w:val="auto"/>
                <w:sz w:val="21"/>
                <w:szCs w:val="21"/>
                <w:highlight w:val="none"/>
              </w:rPr>
              <w:t>针对</w:t>
            </w:r>
            <w:r>
              <w:rPr>
                <w:rFonts w:hint="eastAsia" w:ascii="宋体" w:hAnsi="宋体" w:cs="宋体"/>
                <w:color w:val="auto"/>
                <w:sz w:val="21"/>
                <w:szCs w:val="21"/>
                <w:highlight w:val="none"/>
                <w:lang w:val="en-US" w:eastAsia="zh-CN"/>
              </w:rPr>
              <w:t>本项目提供应急方案，</w:t>
            </w:r>
            <w:r>
              <w:rPr>
                <w:rFonts w:hint="eastAsia" w:ascii="宋体" w:hAnsi="宋体"/>
                <w:color w:val="auto"/>
                <w:sz w:val="21"/>
                <w:szCs w:val="21"/>
                <w:highlight w:val="none"/>
              </w:rPr>
              <w:t>按其响应程度计</w:t>
            </w:r>
            <w:r>
              <w:rPr>
                <w:rFonts w:ascii="宋体" w:hAnsi="宋体"/>
                <w:color w:val="auto"/>
                <w:sz w:val="21"/>
                <w:szCs w:val="21"/>
                <w:highlight w:val="none"/>
              </w:rPr>
              <w:t>0</w:t>
            </w:r>
            <w:r>
              <w:rPr>
                <w:rFonts w:hint="eastAsia" w:ascii="宋体" w:hAnsi="宋体" w:cs="宋体"/>
                <w:color w:val="auto"/>
                <w:sz w:val="21"/>
                <w:szCs w:val="21"/>
                <w:highlight w:val="none"/>
              </w:rPr>
              <w:t>～</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8" w:hRule="atLeast"/>
        </w:trPr>
        <w:tc>
          <w:tcPr>
            <w:tcW w:w="1124" w:type="dxa"/>
            <w:vMerge w:val="continue"/>
            <w:vAlign w:val="center"/>
          </w:tcPr>
          <w:p>
            <w:pPr>
              <w:rPr>
                <w:highlight w:val="none"/>
              </w:rPr>
            </w:pPr>
          </w:p>
        </w:tc>
        <w:tc>
          <w:tcPr>
            <w:tcW w:w="702" w:type="dxa"/>
            <w:vAlign w:val="center"/>
          </w:tcPr>
          <w:p>
            <w:pPr>
              <w:rPr>
                <w:rFonts w:hint="eastAsia" w:ascii="宋体" w:hAnsi="宋体" w:cs="宋体" w:eastAsiaTheme="minorEastAsia"/>
                <w:szCs w:val="21"/>
                <w:highlight w:val="none"/>
                <w:lang w:eastAsia="zh-CN"/>
              </w:rPr>
            </w:pPr>
            <w:r>
              <w:rPr>
                <w:rFonts w:hint="eastAsia" w:ascii="宋体" w:hAnsi="宋体" w:cs="宋体"/>
                <w:szCs w:val="21"/>
                <w:highlight w:val="none"/>
              </w:rPr>
              <w:t>投入人员</w:t>
            </w:r>
            <w:r>
              <w:rPr>
                <w:rFonts w:hint="eastAsia" w:ascii="宋体" w:hAnsi="宋体" w:cs="宋体"/>
                <w:szCs w:val="21"/>
                <w:highlight w:val="none"/>
                <w:lang w:val="en-US" w:eastAsia="zh-CN"/>
              </w:rPr>
              <w:t>配备</w:t>
            </w:r>
          </w:p>
        </w:tc>
        <w:tc>
          <w:tcPr>
            <w:tcW w:w="819" w:type="dxa"/>
            <w:vAlign w:val="center"/>
          </w:tcPr>
          <w:p>
            <w:pPr>
              <w:rPr>
                <w:rFonts w:ascii="宋体" w:hAnsi="宋体" w:eastAsia="宋体" w:cs="宋体"/>
                <w:szCs w:val="21"/>
                <w:highlight w:val="none"/>
              </w:rPr>
            </w:pPr>
            <w:r>
              <w:rPr>
                <w:rFonts w:hint="eastAsia" w:ascii="宋体" w:hAnsi="宋体" w:cs="宋体"/>
                <w:szCs w:val="21"/>
                <w:highlight w:val="none"/>
              </w:rPr>
              <w:t>10分</w:t>
            </w:r>
          </w:p>
        </w:tc>
        <w:tc>
          <w:tcPr>
            <w:tcW w:w="4928" w:type="dxa"/>
            <w:vAlign w:val="center"/>
          </w:tcPr>
          <w:p>
            <w:pPr>
              <w:rPr>
                <w:highlight w:val="none"/>
              </w:rPr>
            </w:pPr>
            <w:r>
              <w:rPr>
                <w:rFonts w:hint="eastAsia"/>
                <w:highlight w:val="none"/>
              </w:rPr>
              <w:t>针对供应商拟投入工作人员配置结构完整、数量、资质、专业技术能力、从业工作经验等赋分，进行综合赋分：</w:t>
            </w:r>
          </w:p>
          <w:p>
            <w:pPr>
              <w:pStyle w:val="6"/>
              <w:rPr>
                <w:rFonts w:hint="default" w:ascii="Calibri" w:hAnsi="Calibri"/>
                <w:b w:val="0"/>
                <w:sz w:val="21"/>
                <w:highlight w:val="none"/>
              </w:rPr>
            </w:pPr>
            <w:r>
              <w:rPr>
                <w:rFonts w:ascii="Calibri" w:hAnsi="Calibri"/>
                <w:b w:val="0"/>
                <w:sz w:val="21"/>
                <w:highlight w:val="none"/>
              </w:rPr>
              <w:t>管理组织架构合理，人员配备完善，计7.1-10分；有管理组织架构、人员配备，能保证项目顺利实施，计4.1-7分；管理组织架构，人员配备欠缺的计1.1-4分；未提供不计分。</w:t>
            </w:r>
          </w:p>
          <w:p>
            <w:pPr>
              <w:pStyle w:val="6"/>
              <w:rPr>
                <w:rFonts w:hint="default"/>
                <w:highlight w:val="none"/>
              </w:rPr>
            </w:pPr>
            <w:r>
              <w:rPr>
                <w:rFonts w:ascii="Calibri" w:hAnsi="Calibri"/>
                <w:b w:val="0"/>
                <w:sz w:val="21"/>
                <w:highlight w:val="none"/>
              </w:rPr>
              <w:t>评审依据：需提供人员本年度任一个月缴纳社保的证明材料或与本单位签订的劳动合同为依据。未提供不得分。</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rPr>
        <w:tc>
          <w:tcPr>
            <w:tcW w:w="1124" w:type="dxa"/>
            <w:vMerge w:val="restart"/>
            <w:vAlign w:val="center"/>
          </w:tcPr>
          <w:p>
            <w:pPr>
              <w:jc w:val="center"/>
              <w:rPr>
                <w:rFonts w:hint="eastAsia"/>
                <w:lang w:val="en-US" w:eastAsia="zh-CN"/>
              </w:rPr>
            </w:pPr>
            <w:r>
              <w:rPr>
                <w:rFonts w:hint="eastAsia"/>
                <w:lang w:val="en-US" w:eastAsia="zh-CN"/>
              </w:rPr>
              <w:t>商务部分</w:t>
            </w:r>
          </w:p>
          <w:p>
            <w:pPr>
              <w:pStyle w:val="2"/>
              <w:rPr>
                <w:rFonts w:hint="default"/>
                <w:lang w:val="en-US" w:eastAsia="zh-CN"/>
              </w:rPr>
            </w:pPr>
            <w:r>
              <w:rPr>
                <w:rFonts w:hint="eastAsia" w:hAnsi="宋体"/>
                <w:szCs w:val="21"/>
                <w:highlight w:val="none"/>
                <w:lang w:val="en-US" w:eastAsia="zh-CN"/>
              </w:rPr>
              <w:t>（12分）</w:t>
            </w:r>
          </w:p>
        </w:tc>
        <w:tc>
          <w:tcPr>
            <w:tcW w:w="702" w:type="dxa"/>
            <w:vAlign w:val="center"/>
          </w:tcPr>
          <w:p>
            <w:pPr>
              <w:jc w:val="left"/>
              <w:rPr>
                <w:rFonts w:ascii="宋体" w:hAnsi="宋体" w:cs="宋体"/>
                <w:szCs w:val="21"/>
                <w:highlight w:val="none"/>
              </w:rPr>
            </w:pPr>
            <w:r>
              <w:rPr>
                <w:rFonts w:hint="eastAsia" w:ascii="宋体" w:hAnsi="宋体" w:cs="宋体"/>
                <w:szCs w:val="21"/>
                <w:highlight w:val="none"/>
              </w:rPr>
              <w:t>售后</w:t>
            </w:r>
          </w:p>
          <w:p>
            <w:pPr>
              <w:jc w:val="left"/>
              <w:rPr>
                <w:rFonts w:hint="eastAsia" w:ascii="宋体" w:hAnsi="宋体" w:cs="宋体"/>
                <w:szCs w:val="21"/>
                <w:highlight w:val="none"/>
              </w:rPr>
            </w:pPr>
            <w:r>
              <w:rPr>
                <w:rFonts w:hint="eastAsia" w:ascii="宋体" w:hAnsi="宋体" w:cs="宋体"/>
                <w:szCs w:val="21"/>
                <w:highlight w:val="none"/>
              </w:rPr>
              <w:t>服务</w:t>
            </w:r>
            <w:r>
              <w:rPr>
                <w:rFonts w:hint="eastAsia" w:ascii="宋体" w:hAnsi="宋体" w:cs="宋体"/>
                <w:szCs w:val="21"/>
                <w:highlight w:val="none"/>
                <w:lang w:val="en-US" w:eastAsia="zh-CN"/>
              </w:rPr>
              <w:t>及培训方案</w:t>
            </w:r>
          </w:p>
        </w:tc>
        <w:tc>
          <w:tcPr>
            <w:tcW w:w="819" w:type="dxa"/>
            <w:vAlign w:val="center"/>
          </w:tcPr>
          <w:p>
            <w:pPr>
              <w:snapToGrid w:val="0"/>
              <w:jc w:val="center"/>
              <w:rPr>
                <w:rFonts w:hint="eastAsia"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4928" w:type="dxa"/>
            <w:vAlign w:val="center"/>
          </w:tcPr>
          <w:p>
            <w:pPr>
              <w:spacing w:line="240" w:lineRule="auto"/>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售后服务（</w:t>
            </w:r>
            <w:r>
              <w:rPr>
                <w:rFonts w:hint="eastAsia"/>
                <w:sz w:val="21"/>
                <w:szCs w:val="21"/>
                <w:highlight w:val="none"/>
                <w:lang w:val="en-US" w:eastAsia="zh-CN"/>
              </w:rPr>
              <w:t>4</w:t>
            </w:r>
            <w:r>
              <w:rPr>
                <w:rFonts w:hint="eastAsia"/>
                <w:sz w:val="21"/>
                <w:szCs w:val="21"/>
                <w:highlight w:val="none"/>
              </w:rPr>
              <w:t>分）：对本次项目提交详尽的售后服务方案，内容包括但不限于：在接到故障报修请求的情况下，能够及时到达现场排除故障；产品交付用户后出现故障响应时间等</w:t>
            </w:r>
            <w:r>
              <w:rPr>
                <w:rFonts w:hint="eastAsia"/>
                <w:sz w:val="21"/>
                <w:szCs w:val="21"/>
                <w:highlight w:val="none"/>
                <w:lang w:eastAsia="zh-CN"/>
              </w:rPr>
              <w:t>，</w:t>
            </w:r>
            <w:r>
              <w:rPr>
                <w:rFonts w:hint="eastAsia"/>
                <w:sz w:val="21"/>
                <w:szCs w:val="21"/>
                <w:highlight w:val="none"/>
              </w:rPr>
              <w:t>有明确的升级年限承诺；有明确的的服务标准及方案。</w:t>
            </w:r>
          </w:p>
          <w:p>
            <w:pPr>
              <w:adjustRightInd w:val="0"/>
              <w:snapToGrid w:val="0"/>
              <w:spacing w:line="240" w:lineRule="auto"/>
              <w:rPr>
                <w:rFonts w:hint="eastAsia"/>
                <w:sz w:val="21"/>
                <w:szCs w:val="21"/>
                <w:highlight w:val="none"/>
              </w:rPr>
            </w:pPr>
            <w:r>
              <w:rPr>
                <w:rFonts w:hint="eastAsia"/>
                <w:sz w:val="21"/>
                <w:szCs w:val="21"/>
                <w:highlight w:val="none"/>
              </w:rPr>
              <w:t>（1）方案合理、明确、清晰，具有较强的可操作性，按其响应程度计</w:t>
            </w:r>
            <w:r>
              <w:rPr>
                <w:rFonts w:hint="eastAsia"/>
                <w:sz w:val="21"/>
                <w:szCs w:val="21"/>
                <w:highlight w:val="none"/>
                <w:lang w:val="en-US" w:eastAsia="zh-CN"/>
              </w:rPr>
              <w:t>2.1</w:t>
            </w:r>
            <w:r>
              <w:rPr>
                <w:rFonts w:hint="eastAsia"/>
                <w:sz w:val="21"/>
                <w:szCs w:val="21"/>
                <w:highlight w:val="none"/>
              </w:rPr>
              <w:t>-</w:t>
            </w:r>
            <w:r>
              <w:rPr>
                <w:rFonts w:hint="eastAsia"/>
                <w:sz w:val="21"/>
                <w:szCs w:val="21"/>
                <w:highlight w:val="none"/>
                <w:lang w:val="en-US" w:eastAsia="zh-CN"/>
              </w:rPr>
              <w:t>4</w:t>
            </w:r>
            <w:r>
              <w:rPr>
                <w:rFonts w:hint="eastAsia"/>
                <w:sz w:val="21"/>
                <w:szCs w:val="21"/>
                <w:highlight w:val="none"/>
              </w:rPr>
              <w:t>分；</w:t>
            </w:r>
          </w:p>
          <w:p>
            <w:pPr>
              <w:pStyle w:val="2"/>
              <w:spacing w:line="240" w:lineRule="auto"/>
              <w:rPr>
                <w:rFonts w:hint="eastAsia"/>
                <w:sz w:val="21"/>
                <w:szCs w:val="21"/>
                <w:highlight w:val="none"/>
              </w:rPr>
            </w:pPr>
            <w:r>
              <w:rPr>
                <w:rFonts w:hint="eastAsia"/>
                <w:sz w:val="21"/>
                <w:szCs w:val="21"/>
                <w:highlight w:val="none"/>
              </w:rPr>
              <w:t>（2）方案较为合理、明确、符合项目需求，具有可操作性，按其响应程度计1-</w:t>
            </w:r>
            <w:r>
              <w:rPr>
                <w:rFonts w:hint="eastAsia"/>
                <w:sz w:val="21"/>
                <w:szCs w:val="21"/>
                <w:highlight w:val="none"/>
                <w:lang w:val="en-US" w:eastAsia="zh-CN"/>
              </w:rPr>
              <w:t>2</w:t>
            </w:r>
            <w:r>
              <w:rPr>
                <w:rFonts w:hint="eastAsia"/>
                <w:sz w:val="21"/>
                <w:szCs w:val="21"/>
                <w:highlight w:val="none"/>
              </w:rPr>
              <w:t>分；</w:t>
            </w:r>
          </w:p>
          <w:p>
            <w:pPr>
              <w:spacing w:line="240" w:lineRule="auto"/>
              <w:rPr>
                <w:rFonts w:hint="eastAsia"/>
                <w:sz w:val="21"/>
                <w:szCs w:val="21"/>
                <w:highlight w:val="none"/>
              </w:rPr>
            </w:pPr>
            <w:r>
              <w:rPr>
                <w:rFonts w:hint="eastAsia"/>
                <w:sz w:val="21"/>
                <w:szCs w:val="21"/>
                <w:highlight w:val="none"/>
              </w:rPr>
              <w:t>（3）方案安排不合理、不符合项目需求，不具有可操作性，计0分。</w:t>
            </w:r>
          </w:p>
          <w:p>
            <w:pPr>
              <w:pStyle w:val="8"/>
              <w:spacing w:line="240" w:lineRule="auto"/>
              <w:ind w:firstLine="0" w:firstLineChars="0"/>
              <w:rPr>
                <w:rFonts w:hint="eastAsia" w:ascii="宋体" w:hAnsi="宋体" w:eastAsia="宋体" w:cs="宋体"/>
                <w:szCs w:val="21"/>
                <w:highlight w:val="none"/>
              </w:rPr>
            </w:pPr>
            <w:r>
              <w:rPr>
                <w:rFonts w:hint="eastAsia"/>
                <w:sz w:val="21"/>
                <w:szCs w:val="21"/>
                <w:highlight w:val="none"/>
                <w:lang w:val="en-US" w:eastAsia="zh-CN"/>
              </w:rPr>
              <w:t>2、</w:t>
            </w:r>
            <w:r>
              <w:rPr>
                <w:rFonts w:hint="eastAsia"/>
                <w:sz w:val="21"/>
                <w:szCs w:val="21"/>
                <w:highlight w:val="none"/>
              </w:rPr>
              <w:t>培训（</w:t>
            </w:r>
            <w:r>
              <w:rPr>
                <w:rFonts w:hint="eastAsia"/>
                <w:sz w:val="21"/>
                <w:szCs w:val="21"/>
                <w:highlight w:val="none"/>
                <w:lang w:val="en-US" w:eastAsia="zh-CN"/>
              </w:rPr>
              <w:t>3</w:t>
            </w:r>
            <w:r>
              <w:rPr>
                <w:rFonts w:hint="eastAsia"/>
                <w:sz w:val="21"/>
                <w:szCs w:val="21"/>
                <w:highlight w:val="none"/>
              </w:rPr>
              <w:t>分）：</w:t>
            </w:r>
            <w:r>
              <w:rPr>
                <w:rFonts w:hint="eastAsia"/>
                <w:sz w:val="21"/>
                <w:szCs w:val="21"/>
                <w:highlight w:val="none"/>
                <w:lang w:eastAsia="zh-CN"/>
              </w:rPr>
              <w:t>提供</w:t>
            </w:r>
            <w:r>
              <w:rPr>
                <w:rFonts w:hint="eastAsia"/>
                <w:sz w:val="21"/>
                <w:szCs w:val="21"/>
                <w:highlight w:val="none"/>
              </w:rPr>
              <w:t>切实可行的培训</w:t>
            </w:r>
            <w:r>
              <w:rPr>
                <w:rFonts w:hint="eastAsia"/>
                <w:sz w:val="21"/>
                <w:szCs w:val="21"/>
                <w:highlight w:val="none"/>
                <w:lang w:val="en-US" w:eastAsia="zh-CN"/>
              </w:rPr>
              <w:t>方案且</w:t>
            </w:r>
            <w:r>
              <w:rPr>
                <w:rFonts w:hint="eastAsia"/>
                <w:sz w:val="21"/>
                <w:szCs w:val="21"/>
                <w:highlight w:val="none"/>
              </w:rPr>
              <w:t>能够根据采购人要求指定培训方案，使采购人技术人员通过培训能够熟练掌握技术操作，并有完整的培训</w:t>
            </w:r>
            <w:r>
              <w:rPr>
                <w:rFonts w:hint="eastAsia"/>
                <w:sz w:val="21"/>
                <w:szCs w:val="21"/>
                <w:highlight w:val="none"/>
                <w:lang w:val="en-US" w:eastAsia="zh-CN"/>
              </w:rPr>
              <w:t>计划</w:t>
            </w:r>
            <w:r>
              <w:rPr>
                <w:rFonts w:hint="eastAsia"/>
                <w:sz w:val="21"/>
                <w:szCs w:val="21"/>
                <w:highlight w:val="none"/>
              </w:rPr>
              <w:t>，</w:t>
            </w:r>
            <w:r>
              <w:rPr>
                <w:rFonts w:hint="eastAsia"/>
                <w:sz w:val="21"/>
                <w:szCs w:val="21"/>
                <w:highlight w:val="none"/>
                <w:lang w:eastAsia="zh-CN"/>
              </w:rPr>
              <w:t>得</w:t>
            </w:r>
            <w:r>
              <w:rPr>
                <w:rFonts w:hint="eastAsia"/>
                <w:sz w:val="21"/>
                <w:szCs w:val="21"/>
                <w:highlight w:val="none"/>
                <w:lang w:val="en-US" w:eastAsia="zh-CN"/>
              </w:rPr>
              <w:t>1-3分</w:t>
            </w:r>
            <w:r>
              <w:rPr>
                <w:rFonts w:hint="eastAsia"/>
                <w:sz w:val="21"/>
                <w:szCs w:val="21"/>
                <w:highlight w:val="none"/>
              </w:rPr>
              <w:t>，</w:t>
            </w:r>
            <w:r>
              <w:rPr>
                <w:rFonts w:hint="eastAsia" w:ascii="宋体" w:hAnsi="宋体" w:cs="宋体"/>
                <w:sz w:val="21"/>
                <w:szCs w:val="21"/>
                <w:highlight w:val="none"/>
                <w:lang w:eastAsia="zh-CN"/>
              </w:rPr>
              <w:t>未提供不得分。</w:t>
            </w:r>
          </w:p>
        </w:tc>
        <w:tc>
          <w:tcPr>
            <w:tcW w:w="1324"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6" w:hRule="atLeast"/>
        </w:trPr>
        <w:tc>
          <w:tcPr>
            <w:tcW w:w="1124" w:type="dxa"/>
            <w:vMerge w:val="continue"/>
            <w:vAlign w:val="center"/>
          </w:tcPr>
          <w:p>
            <w:pPr>
              <w:jc w:val="center"/>
              <w:rPr>
                <w:rFonts w:hAnsi="宋体"/>
                <w:szCs w:val="21"/>
                <w:highlight w:val="none"/>
              </w:rPr>
            </w:pPr>
          </w:p>
        </w:tc>
        <w:tc>
          <w:tcPr>
            <w:tcW w:w="702" w:type="dxa"/>
            <w:shd w:val="clear" w:color="auto" w:fill="auto"/>
            <w:vAlign w:val="center"/>
          </w:tcPr>
          <w:p>
            <w:pPr>
              <w:jc w:val="center"/>
              <w:rPr>
                <w:rFonts w:hAnsi="宋体"/>
                <w:szCs w:val="21"/>
                <w:highlight w:val="none"/>
              </w:rPr>
            </w:pPr>
            <w:r>
              <w:rPr>
                <w:rFonts w:hint="eastAsia" w:hAnsi="宋体"/>
                <w:szCs w:val="21"/>
                <w:highlight w:val="none"/>
              </w:rPr>
              <w:t>业绩</w:t>
            </w:r>
          </w:p>
          <w:p>
            <w:pPr>
              <w:jc w:val="center"/>
              <w:rPr>
                <w:rFonts w:hAnsi="宋体"/>
                <w:bCs/>
                <w:szCs w:val="21"/>
                <w:highlight w:val="none"/>
              </w:rPr>
            </w:pPr>
          </w:p>
        </w:tc>
        <w:tc>
          <w:tcPr>
            <w:tcW w:w="819" w:type="dxa"/>
            <w:shd w:val="clear" w:color="auto" w:fill="auto"/>
            <w:vAlign w:val="center"/>
          </w:tcPr>
          <w:p>
            <w:pPr>
              <w:rPr>
                <w:rFonts w:hAnsi="宋体"/>
                <w:szCs w:val="21"/>
                <w:highlight w:val="none"/>
              </w:rPr>
            </w:pPr>
            <w:r>
              <w:rPr>
                <w:rFonts w:hint="eastAsia" w:hAnsi="宋体"/>
                <w:szCs w:val="21"/>
                <w:highlight w:val="none"/>
                <w:lang w:val="en-US" w:eastAsia="zh-CN"/>
              </w:rPr>
              <w:t>5</w:t>
            </w:r>
            <w:r>
              <w:rPr>
                <w:rFonts w:hint="eastAsia" w:hAnsi="宋体"/>
                <w:szCs w:val="21"/>
                <w:highlight w:val="none"/>
              </w:rPr>
              <w:t>分</w:t>
            </w:r>
          </w:p>
        </w:tc>
        <w:tc>
          <w:tcPr>
            <w:tcW w:w="4928" w:type="dxa"/>
            <w:shd w:val="clear" w:color="auto" w:fill="auto"/>
            <w:vAlign w:val="center"/>
          </w:tcPr>
          <w:p>
            <w:pPr>
              <w:jc w:val="both"/>
              <w:rPr>
                <w:rFonts w:hint="eastAsia"/>
                <w:color w:val="auto"/>
                <w:highlight w:val="none"/>
                <w:lang w:eastAsia="zh-CN"/>
              </w:rPr>
            </w:pPr>
            <w:r>
              <w:rPr>
                <w:rFonts w:hint="eastAsia"/>
                <w:color w:val="auto"/>
                <w:highlight w:val="none"/>
                <w:lang w:val="en-US" w:eastAsia="zh-CN"/>
              </w:rPr>
              <w:t>供应商</w:t>
            </w:r>
            <w:r>
              <w:rPr>
                <w:rFonts w:hint="eastAsia"/>
                <w:color w:val="auto"/>
                <w:highlight w:val="none"/>
                <w:lang w:eastAsia="zh-CN"/>
              </w:rPr>
              <w:t>须提供</w:t>
            </w:r>
            <w:r>
              <w:rPr>
                <w:rFonts w:hint="eastAsia"/>
                <w:color w:val="auto"/>
                <w:highlight w:val="none"/>
                <w:lang w:val="en-US" w:eastAsia="zh-CN"/>
              </w:rPr>
              <w:t>2020年1月至今类似</w:t>
            </w:r>
            <w:r>
              <w:rPr>
                <w:rFonts w:hint="eastAsia"/>
                <w:color w:val="auto"/>
                <w:highlight w:val="none"/>
                <w:lang w:eastAsia="zh-CN"/>
              </w:rPr>
              <w:t>业绩</w:t>
            </w:r>
            <w:r>
              <w:rPr>
                <w:rFonts w:hint="eastAsia"/>
                <w:color w:val="auto"/>
                <w:highlight w:val="none"/>
                <w:lang w:val="en-US" w:eastAsia="zh-CN"/>
              </w:rPr>
              <w:t>合同</w:t>
            </w:r>
            <w:r>
              <w:rPr>
                <w:rFonts w:hint="eastAsia"/>
                <w:color w:val="auto"/>
                <w:highlight w:val="none"/>
                <w:lang w:eastAsia="zh-CN"/>
              </w:rPr>
              <w:t>，</w:t>
            </w:r>
            <w:r>
              <w:rPr>
                <w:rFonts w:hint="eastAsia"/>
                <w:color w:val="auto"/>
                <w:highlight w:val="none"/>
                <w:lang w:val="en-US" w:eastAsia="zh-CN"/>
              </w:rPr>
              <w:t>每提供</w:t>
            </w:r>
            <w:r>
              <w:rPr>
                <w:rFonts w:hint="eastAsia"/>
                <w:color w:val="auto"/>
                <w:highlight w:val="none"/>
                <w:lang w:eastAsia="zh-CN"/>
              </w:rPr>
              <w:t>一个业绩得</w:t>
            </w:r>
            <w:r>
              <w:rPr>
                <w:rFonts w:hint="eastAsia"/>
                <w:color w:val="auto"/>
                <w:highlight w:val="none"/>
                <w:lang w:val="en-US" w:eastAsia="zh-CN"/>
              </w:rPr>
              <w:t>1</w:t>
            </w:r>
            <w:r>
              <w:rPr>
                <w:rFonts w:hint="eastAsia"/>
                <w:color w:val="auto"/>
                <w:highlight w:val="none"/>
                <w:lang w:eastAsia="zh-CN"/>
              </w:rPr>
              <w:t>分，最高得</w:t>
            </w:r>
            <w:r>
              <w:rPr>
                <w:rFonts w:hint="eastAsia"/>
                <w:color w:val="auto"/>
                <w:highlight w:val="none"/>
                <w:lang w:val="en-US" w:eastAsia="zh-CN"/>
              </w:rPr>
              <w:t>5</w:t>
            </w:r>
            <w:r>
              <w:rPr>
                <w:rFonts w:hint="eastAsia"/>
                <w:color w:val="auto"/>
                <w:highlight w:val="none"/>
                <w:lang w:eastAsia="zh-CN"/>
              </w:rPr>
              <w:t>分；</w:t>
            </w:r>
          </w:p>
          <w:p>
            <w:pPr>
              <w:jc w:val="both"/>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eastAsia="zh-CN"/>
              </w:rPr>
              <w:t>评审依据：须提供业绩合同证明材料复印件加盖公章，如合同关键页（即合同首页、合同标的物、合同金额页及双方签字盖章页）以合同签订时间为准。</w:t>
            </w:r>
          </w:p>
        </w:tc>
        <w:tc>
          <w:tcPr>
            <w:tcW w:w="1324" w:type="dxa"/>
          </w:tcPr>
          <w:p>
            <w:pP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1124" w:type="dxa"/>
            <w:vAlign w:val="center"/>
          </w:tcPr>
          <w:p>
            <w:pPr>
              <w:rPr>
                <w:rFonts w:hAnsi="宋体"/>
                <w:szCs w:val="21"/>
              </w:rPr>
            </w:pPr>
            <w:r>
              <w:rPr>
                <w:rFonts w:hint="eastAsia" w:hAnsi="宋体"/>
                <w:szCs w:val="21"/>
              </w:rPr>
              <w:t>备注</w:t>
            </w:r>
          </w:p>
        </w:tc>
        <w:tc>
          <w:tcPr>
            <w:tcW w:w="7773" w:type="dxa"/>
            <w:gridSpan w:val="4"/>
          </w:tcPr>
          <w:p>
            <w:pPr>
              <w:rPr>
                <w:rFonts w:hAnsi="宋体"/>
                <w:szCs w:val="21"/>
              </w:rPr>
            </w:pPr>
            <w:r>
              <w:rPr>
                <w:rFonts w:hint="eastAsia" w:hAnsi="宋体"/>
                <w:szCs w:val="21"/>
              </w:rPr>
              <w:t>1）各评委独立打分。</w:t>
            </w:r>
          </w:p>
          <w:p>
            <w:pPr>
              <w:rPr>
                <w:rFonts w:hAnsi="宋体"/>
                <w:szCs w:val="21"/>
              </w:rPr>
            </w:pPr>
            <w:r>
              <w:rPr>
                <w:rFonts w:hint="eastAsia" w:hAnsi="宋体"/>
                <w:szCs w:val="21"/>
              </w:rPr>
              <w:t>2）评委打分超过得分界限或未按本表规定赋分时，该评委的打分无效，不计入汇总分。</w:t>
            </w:r>
          </w:p>
          <w:p>
            <w:pPr>
              <w:rPr>
                <w:rFonts w:hAnsi="宋体"/>
                <w:szCs w:val="21"/>
              </w:rPr>
            </w:pPr>
            <w:r>
              <w:rPr>
                <w:rFonts w:hint="eastAsia" w:hAnsi="宋体"/>
                <w:szCs w:val="21"/>
              </w:rPr>
              <w:t>3）若出现综合得分相同的，按响应报价由低到高顺序排列名次；得分且响应报价相同的，按技术指标得分顺序排列名次。</w:t>
            </w:r>
          </w:p>
          <w:p>
            <w:pPr>
              <w:rPr>
                <w:rFonts w:hAnsi="宋体"/>
                <w:szCs w:val="21"/>
              </w:rPr>
            </w:pPr>
            <w:r>
              <w:rPr>
                <w:rFonts w:hint="eastAsia" w:hAnsi="宋体"/>
                <w:szCs w:val="21"/>
              </w:rPr>
              <w:t>4）最终结果数字保留二位小数，不进行四舍五入。</w:t>
            </w:r>
          </w:p>
        </w:tc>
      </w:tr>
    </w:tbl>
    <w:p>
      <w:pPr>
        <w:ind w:firstLine="240" w:firstLineChars="100"/>
        <w:rPr>
          <w:rFonts w:ascii="宋体" w:hAnsi="宋体" w:cs="宋体"/>
          <w:sz w:val="24"/>
          <w:szCs w:val="24"/>
        </w:rPr>
      </w:pPr>
      <w:r>
        <w:rPr>
          <w:rFonts w:hint="eastAsia" w:ascii="宋体" w:hAnsi="宋体" w:cs="宋体"/>
          <w:sz w:val="24"/>
          <w:szCs w:val="24"/>
        </w:rPr>
        <w:t>备注：</w:t>
      </w:r>
    </w:p>
    <w:p>
      <w:pPr>
        <w:spacing w:line="360" w:lineRule="auto"/>
        <w:ind w:firstLine="241" w:firstLineChars="100"/>
        <w:rPr>
          <w:rFonts w:ascii="宋体" w:cs="宋体"/>
          <w:b/>
          <w:bCs/>
          <w:sz w:val="24"/>
          <w:szCs w:val="24"/>
        </w:rPr>
      </w:pPr>
      <w:r>
        <w:rPr>
          <w:rFonts w:hint="eastAsia" w:ascii="宋体" w:hAnsi="宋体" w:cs="宋体"/>
          <w:b/>
          <w:bCs/>
          <w:sz w:val="24"/>
          <w:szCs w:val="24"/>
        </w:rPr>
        <w:t>（一）对小型或微型企业参加政府采购投标的扶持：</w:t>
      </w:r>
    </w:p>
    <w:p>
      <w:pPr>
        <w:spacing w:line="360" w:lineRule="auto"/>
        <w:ind w:firstLine="480" w:firstLineChars="200"/>
        <w:rPr>
          <w:rFonts w:ascii="宋体" w:eastAsia="宋体" w:cs="宋体"/>
          <w:sz w:val="24"/>
          <w:szCs w:val="24"/>
        </w:rPr>
      </w:pPr>
      <w:r>
        <w:rPr>
          <w:rFonts w:hint="eastAsia" w:ascii="宋体" w:hAnsi="宋体" w:cs="宋体"/>
          <w:sz w:val="24"/>
          <w:szCs w:val="24"/>
        </w:rPr>
        <w:t>根据《政府采购促进中小企业发展管理办法》（财库</w:t>
      </w:r>
      <w:r>
        <w:rPr>
          <w:rFonts w:ascii="宋体" w:hAnsi="宋体" w:cs="宋体"/>
          <w:sz w:val="24"/>
          <w:szCs w:val="24"/>
        </w:rPr>
        <w:t>[20</w:t>
      </w:r>
      <w:r>
        <w:rPr>
          <w:rFonts w:hint="eastAsia" w:ascii="宋体" w:hAnsi="宋体" w:cs="宋体"/>
          <w:sz w:val="24"/>
          <w:szCs w:val="24"/>
        </w:rPr>
        <w:t>20</w:t>
      </w:r>
      <w:r>
        <w:rPr>
          <w:rFonts w:ascii="宋体" w:hAnsi="宋体" w:cs="宋体"/>
          <w:sz w:val="24"/>
          <w:szCs w:val="24"/>
        </w:rPr>
        <w:t>]</w:t>
      </w:r>
      <w:r>
        <w:rPr>
          <w:rFonts w:hint="eastAsia" w:ascii="宋体" w:hAnsi="宋体" w:cs="宋体"/>
          <w:sz w:val="24"/>
          <w:szCs w:val="24"/>
        </w:rPr>
        <w:t>46号）的规定，对于非专门面向中小企业的项目，对小型和微型企业产品的价格给予10</w:t>
      </w:r>
      <w:r>
        <w:rPr>
          <w:rFonts w:ascii="宋体" w:hAnsi="宋体" w:cs="宋体"/>
          <w:sz w:val="24"/>
          <w:szCs w:val="24"/>
        </w:rPr>
        <w:t>%</w:t>
      </w:r>
      <w:r>
        <w:rPr>
          <w:rFonts w:hint="eastAsia" w:ascii="宋体" w:hAnsi="宋体" w:cs="宋体"/>
          <w:sz w:val="24"/>
          <w:szCs w:val="24"/>
        </w:rPr>
        <w:t>的扣除，用扣除后的价格参与评审；供应商可在投标文件中提供小型和微型企业声明，具体格式详见附件。</w:t>
      </w:r>
    </w:p>
    <w:p>
      <w:pPr>
        <w:spacing w:line="360" w:lineRule="auto"/>
        <w:ind w:firstLine="482" w:firstLineChars="200"/>
        <w:rPr>
          <w:rFonts w:ascii="宋体" w:eastAsia="宋体" w:cs="宋体"/>
          <w:b/>
          <w:bCs/>
          <w:sz w:val="24"/>
          <w:szCs w:val="24"/>
        </w:rPr>
      </w:pPr>
      <w:r>
        <w:rPr>
          <w:rFonts w:hint="eastAsia" w:ascii="宋体" w:eastAsia="宋体" w:cs="宋体"/>
          <w:b/>
          <w:bCs/>
          <w:sz w:val="24"/>
          <w:szCs w:val="24"/>
        </w:rPr>
        <w:t>（二）对监狱企业、残疾人福利企业的扶持</w:t>
      </w:r>
    </w:p>
    <w:p>
      <w:pPr>
        <w:spacing w:line="360" w:lineRule="auto"/>
        <w:ind w:firstLine="480" w:firstLineChars="200"/>
        <w:rPr>
          <w:rFonts w:ascii="宋体" w:hAnsi="宋体" w:cs="宋体"/>
          <w:sz w:val="24"/>
          <w:szCs w:val="24"/>
        </w:rPr>
      </w:pPr>
      <w:r>
        <w:rPr>
          <w:rFonts w:hint="eastAsia" w:ascii="宋体" w:cs="宋体"/>
          <w:sz w:val="24"/>
          <w:szCs w:val="24"/>
        </w:rPr>
        <w:t>根据</w:t>
      </w:r>
      <w:r>
        <w:rPr>
          <w:rFonts w:hint="eastAsia" w:ascii="宋体" w:eastAsia="宋体" w:cs="宋体"/>
          <w:sz w:val="24"/>
          <w:szCs w:val="24"/>
        </w:rPr>
        <w:t>《关于政府采购支持监狱企业发展有关问题的通知》（财库[2014]68号）</w:t>
      </w:r>
      <w:r>
        <w:rPr>
          <w:rFonts w:hint="eastAsia" w:ascii="宋体" w:hAnsi="宋体" w:cs="宋体"/>
          <w:sz w:val="24"/>
          <w:szCs w:val="24"/>
        </w:rPr>
        <w:t>（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（三）对同时属于小微企业、监狱企业或残疾人福利性单位的， 不重复享受政策。</w:t>
      </w:r>
    </w:p>
    <w:p>
      <w:pPr>
        <w:spacing w:line="360" w:lineRule="auto"/>
        <w:ind w:firstLine="482" w:firstLineChars="200"/>
        <w:rPr>
          <w:rFonts w:ascii="宋体" w:eastAsia="宋体" w:cs="宋体"/>
          <w:b/>
          <w:bCs/>
          <w:sz w:val="24"/>
          <w:szCs w:val="24"/>
        </w:rPr>
      </w:pPr>
      <w:r>
        <w:rPr>
          <w:rFonts w:hint="eastAsia" w:ascii="宋体" w:hAnsi="宋体" w:cs="宋体"/>
          <w:b/>
          <w:bCs/>
          <w:sz w:val="24"/>
          <w:szCs w:val="24"/>
        </w:rPr>
        <w:t>（四）对节能、环保政策的支持</w:t>
      </w:r>
    </w:p>
    <w:p>
      <w:pPr>
        <w:spacing w:line="360" w:lineRule="auto"/>
        <w:ind w:firstLine="480" w:firstLineChars="200"/>
        <w:rPr>
          <w:rFonts w:ascii="宋体" w:eastAsia="宋体" w:cs="Times New Roman"/>
          <w:sz w:val="24"/>
          <w:szCs w:val="24"/>
        </w:rPr>
      </w:pPr>
      <w:r>
        <w:rPr>
          <w:rFonts w:hint="eastAsia" w:ascii="宋体" w:hAnsi="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ascii="宋体" w:hAnsi="宋体" w:cs="宋体"/>
          <w:sz w:val="24"/>
          <w:szCs w:val="24"/>
        </w:rPr>
      </w:pPr>
      <w:r>
        <w:rPr>
          <w:rFonts w:hint="eastAsia" w:ascii="宋体" w:hAnsi="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ind w:firstLine="480" w:firstLineChars="200"/>
      </w:pPr>
      <w:r>
        <w:rPr>
          <w:rFonts w:hint="eastAsia" w:ascii="宋体" w:hAnsi="宋体" w:cs="宋体"/>
          <w:sz w:val="24"/>
          <w:szCs w:val="24"/>
        </w:rPr>
        <w:t>3、产品同时属于“非强制采购节能产品”、环境标志产品的，评审时只有其中一项能享受优先待遇（供应商自行选择，并在报价文件中填写相关信息及数据）。</w:t>
      </w:r>
    </w:p>
    <w:p>
      <w:pPr>
        <w:pStyle w:val="3"/>
        <w:pageBreakBefore/>
        <w:spacing w:beforeLines="100" w:afterLines="100" w:line="500" w:lineRule="exact"/>
        <w:rPr>
          <w:rFonts w:asciiTheme="minorEastAsia" w:hAnsiTheme="minorEastAsia" w:cstheme="minorEastAsia"/>
          <w:szCs w:val="32"/>
        </w:rPr>
      </w:pPr>
      <w:bookmarkStart w:id="101" w:name="_Toc15136"/>
      <w:bookmarkStart w:id="102" w:name="_Toc757"/>
      <w:bookmarkStart w:id="103" w:name="_Toc19586"/>
      <w:bookmarkStart w:id="104" w:name="_Toc473"/>
      <w:r>
        <w:rPr>
          <w:rFonts w:hint="eastAsia" w:asciiTheme="minorEastAsia" w:hAnsiTheme="minorEastAsia" w:eastAsiaTheme="minorEastAsia" w:cstheme="minorEastAsia"/>
          <w:sz w:val="36"/>
          <w:szCs w:val="36"/>
        </w:rPr>
        <w:t>第五部分  采购要求</w:t>
      </w:r>
      <w:bookmarkEnd w:id="101"/>
      <w:bookmarkEnd w:id="102"/>
    </w:p>
    <w:p>
      <w:pPr>
        <w:spacing w:line="360" w:lineRule="auto"/>
        <w:rPr>
          <w:rFonts w:ascii="宋体" w:hAnsi="宋体" w:eastAsia="宋体" w:cs="宋体"/>
          <w:b/>
          <w:sz w:val="24"/>
          <w:szCs w:val="24"/>
        </w:rPr>
      </w:pPr>
      <w:r>
        <w:rPr>
          <w:rFonts w:hint="eastAsia" w:ascii="宋体" w:hAnsi="宋体" w:eastAsia="宋体" w:cs="宋体"/>
          <w:b/>
          <w:sz w:val="24"/>
          <w:szCs w:val="24"/>
        </w:rPr>
        <w:t>一、商务要求</w:t>
      </w:r>
    </w:p>
    <w:p>
      <w:pPr>
        <w:spacing w:line="360" w:lineRule="auto"/>
        <w:ind w:right="57" w:rightChars="27" w:firstLine="480" w:firstLineChars="200"/>
        <w:rPr>
          <w:rFonts w:ascii="宋体" w:hAnsi="宋体" w:eastAsia="宋体" w:cs="宋体"/>
          <w:bCs/>
          <w:sz w:val="24"/>
          <w:szCs w:val="24"/>
        </w:rPr>
      </w:pPr>
      <w:r>
        <w:rPr>
          <w:rFonts w:hint="eastAsia" w:ascii="宋体" w:hAnsi="宋体" w:eastAsia="宋体" w:cs="宋体"/>
          <w:bCs/>
          <w:sz w:val="24"/>
          <w:szCs w:val="24"/>
        </w:rPr>
        <w:t>1、项目名称：</w:t>
      </w:r>
      <w:r>
        <w:rPr>
          <w:rFonts w:hint="eastAsia" w:ascii="宋体" w:hAnsi="宋体" w:eastAsia="宋体" w:cs="宋体"/>
          <w:kern w:val="0"/>
          <w:sz w:val="24"/>
          <w:szCs w:val="24"/>
          <w:lang w:eastAsia="zh-CN"/>
        </w:rPr>
        <w:t>西安市第一医院老院区虚拟化内存扩容及3台服务节点扩容采购项目</w:t>
      </w:r>
    </w:p>
    <w:p>
      <w:pPr>
        <w:tabs>
          <w:tab w:val="left" w:pos="420"/>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bCs/>
          <w:sz w:val="24"/>
          <w:szCs w:val="24"/>
        </w:rPr>
        <w:t>2、</w:t>
      </w:r>
      <w:r>
        <w:rPr>
          <w:rFonts w:hint="eastAsia" w:ascii="宋体" w:hAnsi="宋体" w:cs="宋体"/>
          <w:kern w:val="2"/>
          <w:sz w:val="24"/>
          <w:szCs w:val="24"/>
          <w:highlight w:val="none"/>
          <w:lang w:val="en-US" w:eastAsia="zh-CN" w:bidi="ar-SA"/>
        </w:rPr>
        <w:t>交付期：自合同签订之日起</w:t>
      </w:r>
      <w:r>
        <w:rPr>
          <w:rFonts w:hint="eastAsia" w:ascii="宋体" w:hAnsi="宋体" w:cs="宋体"/>
          <w:color w:val="auto"/>
          <w:kern w:val="2"/>
          <w:sz w:val="24"/>
          <w:szCs w:val="24"/>
          <w:highlight w:val="none"/>
          <w:u w:val="single"/>
          <w:lang w:val="en-US" w:eastAsia="zh-CN" w:bidi="ar-SA"/>
        </w:rPr>
        <w:t xml:space="preserve"> 30 </w:t>
      </w:r>
      <w:r>
        <w:rPr>
          <w:rFonts w:hint="eastAsia" w:ascii="宋体" w:hAnsi="宋体" w:cs="宋体"/>
          <w:kern w:val="2"/>
          <w:sz w:val="24"/>
          <w:szCs w:val="24"/>
          <w:highlight w:val="none"/>
          <w:lang w:val="en-US" w:eastAsia="zh-CN" w:bidi="ar-SA"/>
        </w:rPr>
        <w:t>日历日</w:t>
      </w:r>
      <w:r>
        <w:rPr>
          <w:rFonts w:hint="eastAsia" w:ascii="宋体" w:hAnsi="宋体" w:cs="宋体"/>
          <w:sz w:val="24"/>
          <w:szCs w:val="24"/>
          <w:highlight w:val="none"/>
          <w:lang w:eastAsia="zh-CN"/>
        </w:rPr>
        <w:t>；</w:t>
      </w:r>
    </w:p>
    <w:p>
      <w:pPr>
        <w:pStyle w:val="25"/>
        <w:spacing w:line="360" w:lineRule="auto"/>
        <w:ind w:firstLine="480" w:firstLineChars="200"/>
        <w:rPr>
          <w:rFonts w:ascii="宋体" w:hAnsi="宋体" w:eastAsia="宋体" w:cs="宋体"/>
          <w:sz w:val="24"/>
          <w:szCs w:val="24"/>
        </w:rPr>
      </w:pPr>
      <w:r>
        <w:rPr>
          <w:rFonts w:hint="eastAsia" w:ascii="宋体" w:hAnsi="宋体" w:cs="宋体"/>
          <w:sz w:val="24"/>
          <w:szCs w:val="24"/>
          <w:highlight w:val="none"/>
          <w:lang w:val="en-US" w:eastAsia="zh-CN"/>
        </w:rPr>
        <w:t>3、质保期</w:t>
      </w:r>
      <w:r>
        <w:rPr>
          <w:rFonts w:hint="eastAsia" w:ascii="宋体" w:hAnsi="宋体" w:cs="宋体"/>
          <w:sz w:val="24"/>
          <w:szCs w:val="24"/>
          <w:highlight w:val="none"/>
        </w:rPr>
        <w:t>：</w:t>
      </w:r>
      <w:r>
        <w:rPr>
          <w:rFonts w:hint="eastAsia" w:ascii="宋体" w:hAnsi="宋体" w:cs="宋体"/>
          <w:sz w:val="24"/>
          <w:szCs w:val="24"/>
          <w:highlight w:val="none"/>
          <w:lang w:val="en-US" w:eastAsia="zh-CN"/>
        </w:rPr>
        <w:t>自</w:t>
      </w:r>
      <w:r>
        <w:rPr>
          <w:rFonts w:hint="eastAsia" w:ascii="宋体" w:hAnsi="宋体" w:cs="宋体"/>
          <w:sz w:val="24"/>
          <w:szCs w:val="24"/>
          <w:highlight w:val="none"/>
        </w:rPr>
        <w:t>验收</w:t>
      </w:r>
      <w:r>
        <w:rPr>
          <w:rFonts w:hint="eastAsia" w:ascii="宋体" w:hAnsi="宋体" w:cs="宋体"/>
          <w:sz w:val="24"/>
          <w:szCs w:val="24"/>
          <w:highlight w:val="none"/>
          <w:lang w:val="en-US" w:eastAsia="zh-CN"/>
        </w:rPr>
        <w:t>合格</w:t>
      </w:r>
      <w:r>
        <w:rPr>
          <w:rFonts w:hint="eastAsia" w:ascii="宋体" w:hAnsi="宋体" w:cs="宋体"/>
          <w:sz w:val="24"/>
          <w:szCs w:val="24"/>
          <w:highlight w:val="none"/>
        </w:rPr>
        <w:t>之日起3年</w:t>
      </w:r>
      <w:r>
        <w:rPr>
          <w:rFonts w:hint="eastAsia" w:ascii="宋体" w:hAnsi="宋体" w:cs="宋体"/>
          <w:sz w:val="24"/>
          <w:szCs w:val="24"/>
          <w:highlight w:val="none"/>
          <w:lang w:eastAsia="zh-CN"/>
        </w:rPr>
        <w:t>原厂维保</w:t>
      </w:r>
      <w:r>
        <w:rPr>
          <w:rFonts w:hint="eastAsia" w:ascii="宋体" w:hAnsi="宋体" w:cs="宋体"/>
          <w:sz w:val="24"/>
          <w:szCs w:val="24"/>
          <w:highlight w:val="none"/>
          <w:lang w:val="en-US" w:eastAsia="zh-CN"/>
        </w:rPr>
        <w:t>；</w:t>
      </w:r>
    </w:p>
    <w:p>
      <w:pPr>
        <w:tabs>
          <w:tab w:val="left" w:pos="42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4</w:t>
      </w:r>
      <w:r>
        <w:rPr>
          <w:rFonts w:hint="eastAsia" w:ascii="宋体" w:hAnsi="宋体" w:eastAsia="宋体" w:cs="宋体"/>
          <w:bCs/>
          <w:sz w:val="24"/>
          <w:szCs w:val="24"/>
        </w:rPr>
        <w:t>、</w:t>
      </w:r>
      <w:r>
        <w:rPr>
          <w:rFonts w:hint="eastAsia" w:ascii="宋体" w:hAnsi="宋体" w:eastAsia="宋体" w:cs="宋体"/>
          <w:bCs/>
          <w:sz w:val="24"/>
          <w:szCs w:val="24"/>
          <w:lang w:val="en-US" w:eastAsia="zh-CN"/>
        </w:rPr>
        <w:t>交付</w:t>
      </w:r>
      <w:r>
        <w:rPr>
          <w:rFonts w:hint="eastAsia" w:ascii="宋体" w:hAnsi="宋体" w:eastAsia="宋体" w:cs="宋体"/>
          <w:bCs/>
          <w:sz w:val="24"/>
          <w:szCs w:val="24"/>
        </w:rPr>
        <w:t>地点：西安市</w:t>
      </w:r>
      <w:r>
        <w:rPr>
          <w:rFonts w:hint="eastAsia" w:ascii="宋体" w:hAnsi="宋体" w:eastAsia="宋体" w:cs="宋体"/>
          <w:bCs/>
          <w:sz w:val="24"/>
          <w:szCs w:val="24"/>
          <w:lang w:eastAsia="zh-CN"/>
        </w:rPr>
        <w:t>第一医院</w:t>
      </w:r>
      <w:r>
        <w:rPr>
          <w:rFonts w:hint="eastAsia" w:ascii="宋体" w:hAnsi="宋体" w:eastAsia="宋体" w:cs="宋体"/>
          <w:bCs/>
          <w:sz w:val="24"/>
          <w:szCs w:val="24"/>
        </w:rPr>
        <w:t>指定地点。</w:t>
      </w:r>
    </w:p>
    <w:p>
      <w:pPr>
        <w:tabs>
          <w:tab w:val="left" w:pos="420"/>
        </w:tabs>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、其他商务要求：详见第六部分合同条款</w:t>
      </w:r>
    </w:p>
    <w:bookmarkEnd w:id="103"/>
    <w:p>
      <w:pPr>
        <w:numPr>
          <w:ilvl w:val="0"/>
          <w:numId w:val="19"/>
        </w:numPr>
        <w:spacing w:line="360" w:lineRule="auto"/>
        <w:rPr>
          <w:rFonts w:ascii="宋体" w:hAnsi="宋体" w:eastAsia="宋体" w:cs="宋体"/>
          <w:b/>
          <w:bCs/>
          <w:sz w:val="24"/>
          <w:szCs w:val="24"/>
        </w:rPr>
      </w:pPr>
      <w:bookmarkStart w:id="105" w:name="_Toc31963"/>
      <w:r>
        <w:rPr>
          <w:rFonts w:hint="eastAsia" w:ascii="宋体" w:hAnsi="宋体" w:eastAsia="宋体" w:cs="宋体"/>
          <w:b/>
          <w:bCs/>
          <w:sz w:val="24"/>
          <w:szCs w:val="24"/>
        </w:rPr>
        <w:t>项目概况及内容</w:t>
      </w:r>
    </w:p>
    <w:p>
      <w:pPr>
        <w:bidi w:val="0"/>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一</w:t>
      </w:r>
      <w:r>
        <w:rPr>
          <w:rFonts w:hint="eastAsia"/>
          <w:b/>
          <w:bCs/>
          <w:sz w:val="28"/>
          <w:szCs w:val="28"/>
          <w:lang w:eastAsia="zh-CN"/>
        </w:rPr>
        <w:t>）项目概况</w:t>
      </w:r>
    </w:p>
    <w:tbl>
      <w:tblPr>
        <w:tblStyle w:val="27"/>
        <w:tblpPr w:leftFromText="180" w:rightFromText="180" w:vertAnchor="text" w:horzAnchor="page" w:tblpX="1312" w:tblpY="159"/>
        <w:tblOverlap w:val="never"/>
        <w:tblW w:w="9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34"/>
        <w:gridCol w:w="954"/>
        <w:gridCol w:w="1580"/>
        <w:gridCol w:w="1398"/>
        <w:gridCol w:w="1716"/>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682"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序号</w:t>
            </w:r>
          </w:p>
        </w:tc>
        <w:tc>
          <w:tcPr>
            <w:tcW w:w="1834"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954"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58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采购预算金额</w:t>
            </w:r>
          </w:p>
        </w:tc>
        <w:tc>
          <w:tcPr>
            <w:tcW w:w="1398"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716"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44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82"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834"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rPr>
              <w:t>双活存储扩容</w:t>
            </w:r>
            <w:r>
              <w:rPr>
                <w:rFonts w:hint="eastAsia" w:ascii="宋体" w:hAnsi="宋体" w:cs="宋体"/>
                <w:color w:val="auto"/>
                <w:kern w:val="0"/>
                <w:sz w:val="21"/>
                <w:szCs w:val="21"/>
                <w:highlight w:val="none"/>
                <w:lang w:eastAsia="zh-CN"/>
              </w:rPr>
              <w:t>服务</w:t>
            </w:r>
          </w:p>
        </w:tc>
        <w:tc>
          <w:tcPr>
            <w:tcW w:w="95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2套</w:t>
            </w:r>
          </w:p>
        </w:tc>
        <w:tc>
          <w:tcPr>
            <w:tcW w:w="1580" w:type="dxa"/>
            <w:vMerge w:val="restart"/>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eastAsia="宋体" w:cs="宋体"/>
                <w:kern w:val="0"/>
                <w:sz w:val="21"/>
                <w:szCs w:val="21"/>
                <w:highlight w:val="none"/>
                <w:lang w:val="en-US" w:eastAsia="zh-CN"/>
              </w:rPr>
              <w:t>990000.00</w:t>
            </w:r>
            <w:r>
              <w:rPr>
                <w:rFonts w:hint="eastAsia" w:ascii="宋体" w:hAnsi="宋体" w:cs="宋体"/>
                <w:sz w:val="21"/>
                <w:szCs w:val="21"/>
                <w:highlight w:val="none"/>
                <w:lang w:val="en-US" w:eastAsia="zh-CN"/>
              </w:rPr>
              <w:t>元</w:t>
            </w:r>
          </w:p>
        </w:tc>
        <w:tc>
          <w:tcPr>
            <w:tcW w:w="1398" w:type="dxa"/>
            <w:vMerge w:val="restart"/>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716" w:type="dxa"/>
            <w:vMerge w:val="restart"/>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财政资金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44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8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1834"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rPr>
              <w:t>虚拟化服</w:t>
            </w:r>
            <w:r>
              <w:rPr>
                <w:rFonts w:hint="eastAsia" w:ascii="宋体" w:hAnsi="宋体" w:cs="宋体"/>
                <w:color w:val="auto"/>
                <w:kern w:val="0"/>
                <w:sz w:val="21"/>
                <w:szCs w:val="21"/>
                <w:highlight w:val="none"/>
              </w:rPr>
              <w:t>务器内存扩容</w:t>
            </w:r>
            <w:r>
              <w:rPr>
                <w:rFonts w:hint="eastAsia" w:ascii="宋体" w:hAnsi="宋体" w:cs="宋体"/>
                <w:color w:val="auto"/>
                <w:kern w:val="0"/>
                <w:sz w:val="21"/>
                <w:szCs w:val="21"/>
                <w:highlight w:val="none"/>
                <w:lang w:eastAsia="zh-CN"/>
              </w:rPr>
              <w:t>服务</w:t>
            </w:r>
          </w:p>
        </w:tc>
        <w:tc>
          <w:tcPr>
            <w:tcW w:w="95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96套</w:t>
            </w:r>
          </w:p>
        </w:tc>
        <w:tc>
          <w:tcPr>
            <w:tcW w:w="1580" w:type="dxa"/>
            <w:vMerge w:val="continue"/>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p>
        </w:tc>
        <w:tc>
          <w:tcPr>
            <w:tcW w:w="1398" w:type="dxa"/>
            <w:vMerge w:val="continue"/>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p>
        </w:tc>
        <w:tc>
          <w:tcPr>
            <w:tcW w:w="1716" w:type="dxa"/>
            <w:vMerge w:val="continue"/>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44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r>
    </w:tbl>
    <w:p>
      <w:pPr>
        <w:bidi w:val="0"/>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二</w:t>
      </w:r>
      <w:r>
        <w:rPr>
          <w:rFonts w:hint="eastAsia"/>
          <w:b/>
          <w:bCs/>
          <w:sz w:val="28"/>
          <w:szCs w:val="28"/>
          <w:lang w:eastAsia="zh-CN"/>
        </w:rPr>
        <w:t>）技术要求：</w:t>
      </w:r>
    </w:p>
    <w:p>
      <w:pPr>
        <w:bidi w:val="0"/>
        <w:rPr>
          <w:rFonts w:hint="eastAsia" w:eastAsiaTheme="minorEastAsia"/>
          <w:b/>
          <w:bCs/>
          <w:sz w:val="24"/>
          <w:szCs w:val="24"/>
          <w:lang w:eastAsia="zh-CN"/>
        </w:rPr>
      </w:pPr>
      <w:r>
        <w:rPr>
          <w:rFonts w:hint="eastAsia"/>
          <w:b/>
          <w:bCs/>
          <w:sz w:val="24"/>
          <w:szCs w:val="24"/>
        </w:rPr>
        <w:t>1、双活存储扩容</w:t>
      </w:r>
      <w:r>
        <w:rPr>
          <w:rFonts w:hint="eastAsia"/>
          <w:b/>
          <w:bCs/>
          <w:sz w:val="24"/>
          <w:szCs w:val="24"/>
          <w:lang w:eastAsia="zh-CN"/>
        </w:rPr>
        <w:t>服务</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31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80"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68"/>
              <w:spacing w:line="330" w:lineRule="exact"/>
              <w:ind w:firstLine="0" w:firstLineChars="0"/>
              <w:jc w:val="both"/>
              <w:rPr>
                <w:rFonts w:ascii="宋体" w:hAnsi="宋体"/>
                <w:sz w:val="21"/>
              </w:rPr>
            </w:pPr>
            <w:r>
              <w:rPr>
                <w:rFonts w:hint="eastAsia" w:ascii="宋体" w:hAnsi="宋体"/>
                <w:sz w:val="21"/>
              </w:rPr>
              <w:t>指标项</w:t>
            </w:r>
          </w:p>
        </w:tc>
        <w:tc>
          <w:tcPr>
            <w:tcW w:w="3845" w:type="pct"/>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68"/>
              <w:spacing w:line="330" w:lineRule="exact"/>
              <w:ind w:firstLine="0" w:firstLineChars="0"/>
              <w:jc w:val="both"/>
              <w:rPr>
                <w:rFonts w:ascii="宋体" w:hAnsi="宋体"/>
                <w:sz w:val="21"/>
              </w:rPr>
            </w:pPr>
            <w:r>
              <w:rPr>
                <w:rFonts w:hint="eastAsia" w:ascii="宋体" w:hAnsi="宋体"/>
                <w:sz w:val="21"/>
              </w:rPr>
              <w:t>技术参数要求</w:t>
            </w:r>
          </w:p>
        </w:tc>
        <w:tc>
          <w:tcPr>
            <w:tcW w:w="47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68"/>
              <w:spacing w:line="240" w:lineRule="auto"/>
              <w:ind w:firstLine="0" w:firstLineChars="0"/>
              <w:jc w:val="center"/>
              <w:rPr>
                <w:rFonts w:ascii="宋体" w:hAnsi="宋体"/>
                <w:sz w:val="21"/>
              </w:rPr>
            </w:pPr>
            <w:r>
              <w:rPr>
                <w:rFonts w:hint="eastAsia" w:ascii="宋体" w:hAnsi="宋体"/>
                <w:sz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680" w:type="pct"/>
            <w:tcBorders>
              <w:top w:val="single" w:color="auto" w:sz="4" w:space="0"/>
              <w:left w:val="single" w:color="auto" w:sz="4" w:space="0"/>
              <w:bottom w:val="single" w:color="auto" w:sz="4" w:space="0"/>
              <w:right w:val="single" w:color="auto" w:sz="4" w:space="0"/>
            </w:tcBorders>
            <w:vAlign w:val="center"/>
          </w:tcPr>
          <w:p>
            <w:pPr>
              <w:spacing w:line="330" w:lineRule="exact"/>
              <w:rPr>
                <w:rFonts w:ascii="宋体" w:hAnsi="宋体" w:eastAsia="宋体" w:cs="Times New Roman"/>
                <w:kern w:val="0"/>
                <w:sz w:val="21"/>
                <w:szCs w:val="21"/>
              </w:rPr>
            </w:pPr>
            <w:r>
              <w:rPr>
                <w:rFonts w:hint="eastAsia" w:ascii="宋体" w:hAnsi="宋体" w:eastAsia="宋体" w:cs="Times New Roman"/>
                <w:kern w:val="0"/>
                <w:sz w:val="21"/>
                <w:szCs w:val="21"/>
              </w:rPr>
              <w:t>存储扩容</w:t>
            </w:r>
          </w:p>
        </w:tc>
        <w:tc>
          <w:tcPr>
            <w:tcW w:w="3845" w:type="pct"/>
            <w:tcBorders>
              <w:top w:val="single" w:color="auto" w:sz="4" w:space="0"/>
              <w:left w:val="single" w:color="auto" w:sz="4" w:space="0"/>
              <w:bottom w:val="single" w:color="auto" w:sz="4" w:space="0"/>
              <w:right w:val="single" w:color="auto" w:sz="4" w:space="0"/>
            </w:tcBorders>
          </w:tcPr>
          <w:p>
            <w:pPr>
              <w:pStyle w:val="68"/>
              <w:numPr>
                <w:ilvl w:val="0"/>
                <w:numId w:val="20"/>
              </w:numPr>
              <w:spacing w:line="330" w:lineRule="exact"/>
              <w:ind w:firstLineChars="0"/>
              <w:jc w:val="both"/>
              <w:rPr>
                <w:rFonts w:ascii="宋体" w:hAnsi="宋体"/>
                <w:sz w:val="21"/>
              </w:rPr>
            </w:pPr>
            <w:r>
              <w:rPr>
                <w:rFonts w:hint="eastAsia" w:ascii="宋体" w:hAnsi="宋体"/>
                <w:sz w:val="21"/>
              </w:rPr>
              <w:t>存储硬盘扩容，兼容现网存储系统的控制器，现网实配控制器数量≥2，可扩展至≥16个控制器；</w:t>
            </w:r>
          </w:p>
          <w:p>
            <w:pPr>
              <w:pStyle w:val="68"/>
              <w:numPr>
                <w:ilvl w:val="0"/>
                <w:numId w:val="20"/>
              </w:numPr>
              <w:spacing w:line="330" w:lineRule="exact"/>
              <w:ind w:firstLineChars="0"/>
              <w:jc w:val="both"/>
              <w:rPr>
                <w:rFonts w:ascii="宋体" w:hAnsi="宋体"/>
                <w:sz w:val="21"/>
              </w:rPr>
            </w:pPr>
            <w:r>
              <w:rPr>
                <w:rFonts w:hint="eastAsia" w:ascii="宋体" w:hAnsi="宋体"/>
                <w:sz w:val="21"/>
              </w:rPr>
              <w:t>兼容现网存储系统的支持RAID：支持RAID 0、RAID 1、、RAID 10、RAID50、RAID 5、RAID6等；</w:t>
            </w:r>
          </w:p>
          <w:p>
            <w:pPr>
              <w:pStyle w:val="68"/>
              <w:numPr>
                <w:ilvl w:val="0"/>
                <w:numId w:val="20"/>
              </w:numPr>
              <w:spacing w:line="330" w:lineRule="exact"/>
              <w:ind w:firstLineChars="0"/>
              <w:jc w:val="both"/>
              <w:rPr>
                <w:rFonts w:ascii="宋体" w:hAnsi="宋体"/>
                <w:sz w:val="21"/>
              </w:rPr>
            </w:pPr>
            <w:r>
              <w:rPr>
                <w:rFonts w:hint="eastAsia" w:ascii="宋体" w:hAnsi="宋体"/>
                <w:sz w:val="21"/>
              </w:rPr>
              <w:t>兼容现网存储系统的冗余组件：现网配置冗余电源、风扇、控制器、缓存断电保护功能；</w:t>
            </w:r>
          </w:p>
          <w:p>
            <w:pPr>
              <w:pStyle w:val="68"/>
              <w:numPr>
                <w:ilvl w:val="0"/>
                <w:numId w:val="20"/>
              </w:numPr>
              <w:spacing w:line="330" w:lineRule="exact"/>
              <w:ind w:firstLineChars="0"/>
              <w:jc w:val="both"/>
              <w:rPr>
                <w:rFonts w:ascii="宋体" w:hAnsi="宋体"/>
                <w:sz w:val="21"/>
              </w:rPr>
            </w:pPr>
            <w:r>
              <w:rPr>
                <w:rFonts w:hint="eastAsia" w:ascii="宋体" w:hAnsi="宋体"/>
                <w:sz w:val="21"/>
              </w:rPr>
              <w:t>兼容现网存储系统的热插拔：磁盘、电源、</w:t>
            </w:r>
            <w:r>
              <w:rPr>
                <w:rFonts w:ascii="宋体" w:hAnsi="宋体"/>
                <w:sz w:val="21"/>
              </w:rPr>
              <w:t>IO模块都可以不停机热插拔</w:t>
            </w:r>
          </w:p>
          <w:p>
            <w:pPr>
              <w:pStyle w:val="68"/>
              <w:numPr>
                <w:ilvl w:val="0"/>
                <w:numId w:val="20"/>
              </w:numPr>
              <w:spacing w:line="330" w:lineRule="exact"/>
              <w:ind w:firstLineChars="0"/>
              <w:jc w:val="both"/>
              <w:rPr>
                <w:rFonts w:ascii="宋体" w:hAnsi="宋体"/>
                <w:sz w:val="21"/>
              </w:rPr>
            </w:pPr>
            <w:r>
              <w:rPr>
                <w:rFonts w:hint="eastAsia" w:ascii="宋体" w:hAnsi="宋体"/>
                <w:sz w:val="21"/>
              </w:rPr>
              <w:t>兼容现网存储控制器在线升级，提供图形化一键式的控制器在线升级，存储自动完成内部升级，自动检查升级完成情况</w:t>
            </w:r>
          </w:p>
          <w:p>
            <w:pPr>
              <w:pStyle w:val="68"/>
              <w:numPr>
                <w:ilvl w:val="0"/>
                <w:numId w:val="20"/>
              </w:numPr>
              <w:spacing w:line="330" w:lineRule="exact"/>
              <w:ind w:firstLineChars="0"/>
              <w:jc w:val="both"/>
              <w:rPr>
                <w:rFonts w:ascii="宋体" w:hAnsi="宋体"/>
                <w:sz w:val="21"/>
              </w:rPr>
            </w:pPr>
            <w:r>
              <w:rPr>
                <w:rFonts w:hint="eastAsia" w:ascii="宋体" w:hAnsi="宋体"/>
                <w:sz w:val="21"/>
              </w:rPr>
              <w:t>兼容现网存储系统支持的故障快速恢复：</w:t>
            </w:r>
            <w:r>
              <w:rPr>
                <w:rFonts w:ascii="宋体" w:hAnsi="宋体"/>
                <w:sz w:val="21"/>
              </w:rPr>
              <w:t xml:space="preserve"> 提供快速恢复技术，能够保障硬盘失效后的故障时间最短，减少风险；</w:t>
            </w:r>
          </w:p>
          <w:p>
            <w:pPr>
              <w:pStyle w:val="68"/>
              <w:numPr>
                <w:ilvl w:val="0"/>
                <w:numId w:val="20"/>
              </w:numPr>
              <w:spacing w:line="330" w:lineRule="exact"/>
              <w:ind w:firstLineChars="0"/>
              <w:jc w:val="both"/>
              <w:rPr>
                <w:rFonts w:ascii="宋体" w:hAnsi="宋体"/>
                <w:sz w:val="21"/>
              </w:rPr>
            </w:pPr>
            <w:r>
              <w:rPr>
                <w:rFonts w:hint="eastAsia" w:ascii="宋体" w:hAnsi="宋体" w:cs="宋体"/>
                <w:color w:val="000000"/>
                <w:sz w:val="21"/>
              </w:rPr>
              <w:t>★</w:t>
            </w:r>
            <w:r>
              <w:rPr>
                <w:rFonts w:hint="eastAsia" w:ascii="宋体" w:hAnsi="宋体"/>
                <w:sz w:val="21"/>
              </w:rPr>
              <w:t>配置3</w:t>
            </w:r>
            <w:r>
              <w:rPr>
                <w:rFonts w:ascii="宋体" w:hAnsi="宋体"/>
                <w:sz w:val="21"/>
              </w:rPr>
              <w:t>7</w:t>
            </w:r>
            <w:r>
              <w:rPr>
                <w:rFonts w:hint="eastAsia" w:ascii="宋体" w:hAnsi="宋体"/>
                <w:sz w:val="21"/>
              </w:rPr>
              <w:t>块2.5寸企业级热插拔</w:t>
            </w:r>
            <w:r>
              <w:rPr>
                <w:rFonts w:ascii="宋体" w:hAnsi="宋体"/>
                <w:sz w:val="21"/>
              </w:rPr>
              <w:t>SAS</w:t>
            </w:r>
            <w:r>
              <w:rPr>
                <w:rFonts w:hint="eastAsia" w:ascii="宋体" w:hAnsi="宋体"/>
                <w:sz w:val="21"/>
              </w:rPr>
              <w:t>硬盘，单盘容量≥2</w:t>
            </w:r>
            <w:r>
              <w:rPr>
                <w:rFonts w:ascii="宋体" w:hAnsi="宋体"/>
                <w:sz w:val="21"/>
              </w:rPr>
              <w:t>.4</w:t>
            </w:r>
            <w:r>
              <w:rPr>
                <w:rFonts w:hint="eastAsia" w:ascii="宋体" w:hAnsi="宋体"/>
                <w:sz w:val="21"/>
              </w:rPr>
              <w:t>T；</w:t>
            </w:r>
          </w:p>
          <w:p>
            <w:pPr>
              <w:pStyle w:val="68"/>
              <w:numPr>
                <w:ilvl w:val="0"/>
                <w:numId w:val="20"/>
              </w:numPr>
              <w:spacing w:line="330" w:lineRule="exact"/>
              <w:ind w:firstLineChars="0"/>
              <w:jc w:val="both"/>
              <w:rPr>
                <w:rFonts w:ascii="宋体" w:hAnsi="宋体"/>
                <w:sz w:val="21"/>
              </w:rPr>
            </w:pPr>
            <w:r>
              <w:rPr>
                <w:rFonts w:hint="eastAsia" w:ascii="宋体" w:hAnsi="宋体" w:cs="宋体"/>
                <w:color w:val="000000"/>
                <w:sz w:val="21"/>
              </w:rPr>
              <w:t>★</w:t>
            </w:r>
            <w:r>
              <w:rPr>
                <w:rFonts w:hint="eastAsia" w:ascii="宋体" w:hAnsi="宋体"/>
                <w:sz w:val="21"/>
              </w:rPr>
              <w:t>配置2个2U 硬盘框，支持≥2</w:t>
            </w:r>
            <w:r>
              <w:rPr>
                <w:rFonts w:ascii="宋体" w:hAnsi="宋体"/>
                <w:sz w:val="21"/>
              </w:rPr>
              <w:t>5</w:t>
            </w:r>
            <w:r>
              <w:rPr>
                <w:rFonts w:hint="eastAsia" w:ascii="宋体" w:hAnsi="宋体"/>
                <w:sz w:val="21"/>
              </w:rPr>
              <w:t>盘位及配套设备；</w:t>
            </w:r>
          </w:p>
          <w:p>
            <w:pPr>
              <w:pStyle w:val="68"/>
              <w:numPr>
                <w:ilvl w:val="0"/>
                <w:numId w:val="20"/>
              </w:numPr>
              <w:spacing w:line="330" w:lineRule="exact"/>
              <w:ind w:firstLineChars="0"/>
              <w:jc w:val="both"/>
              <w:rPr>
                <w:rFonts w:ascii="宋体" w:hAnsi="宋体"/>
                <w:sz w:val="21"/>
              </w:rPr>
            </w:pPr>
            <w:r>
              <w:rPr>
                <w:rFonts w:hint="eastAsia" w:ascii="宋体" w:hAnsi="宋体"/>
                <w:sz w:val="21"/>
              </w:rPr>
              <w:t>存储硬盘扩容完成后，需对控制器及扩容设备微码进行检查验证，须统一升级至设备厂商推荐的稳定版本。</w:t>
            </w:r>
          </w:p>
          <w:p>
            <w:pPr>
              <w:pStyle w:val="68"/>
              <w:numPr>
                <w:ilvl w:val="0"/>
                <w:numId w:val="0"/>
              </w:numPr>
              <w:spacing w:line="330" w:lineRule="exact"/>
              <w:ind w:leftChars="0"/>
              <w:jc w:val="both"/>
              <w:rPr>
                <w:rFonts w:ascii="宋体" w:hAnsi="宋体" w:cs="宋体"/>
                <w:color w:val="000000"/>
                <w:sz w:val="21"/>
              </w:rPr>
            </w:pPr>
            <w:r>
              <w:rPr>
                <w:rFonts w:hint="eastAsia" w:ascii="宋体" w:hAnsi="宋体" w:cs="宋体"/>
                <w:color w:val="000000"/>
                <w:sz w:val="21"/>
                <w:lang w:val="en-US" w:eastAsia="zh-CN"/>
              </w:rPr>
              <w:t>10、</w:t>
            </w:r>
            <w:r>
              <w:rPr>
                <w:rFonts w:hint="eastAsia" w:ascii="宋体" w:hAnsi="宋体" w:cs="宋体"/>
                <w:color w:val="000000"/>
                <w:sz w:val="21"/>
              </w:rPr>
              <w:t>存储硬盘扩容完成后，需对双活存储进行切换演练，确保存储硬盘扩容后的双活可用性与数据一致性。</w:t>
            </w:r>
          </w:p>
          <w:p>
            <w:pPr>
              <w:pStyle w:val="68"/>
              <w:numPr>
                <w:ilvl w:val="0"/>
                <w:numId w:val="0"/>
              </w:numPr>
              <w:spacing w:line="330" w:lineRule="exact"/>
              <w:ind w:leftChars="0"/>
              <w:jc w:val="both"/>
              <w:rPr>
                <w:rFonts w:ascii="宋体" w:hAnsi="宋体" w:cs="宋体"/>
                <w:color w:val="000000"/>
                <w:sz w:val="21"/>
              </w:rPr>
            </w:pPr>
            <w:r>
              <w:rPr>
                <w:rFonts w:hint="eastAsia" w:ascii="宋体" w:hAnsi="宋体" w:cs="宋体"/>
                <w:color w:val="000000"/>
                <w:sz w:val="21"/>
                <w:lang w:val="en-US" w:eastAsia="zh-CN"/>
              </w:rPr>
              <w:t>11、</w:t>
            </w:r>
            <w:r>
              <w:rPr>
                <w:rFonts w:hint="eastAsia" w:ascii="宋体" w:hAnsi="宋体" w:cs="宋体"/>
                <w:color w:val="000000"/>
                <w:sz w:val="21"/>
              </w:rPr>
              <w:t>存储硬盘扩容完成后，需对H</w:t>
            </w:r>
            <w:r>
              <w:rPr>
                <w:rFonts w:ascii="宋体" w:hAnsi="宋体" w:cs="宋体"/>
                <w:color w:val="000000"/>
                <w:sz w:val="21"/>
              </w:rPr>
              <w:t>IS</w:t>
            </w:r>
            <w:r>
              <w:rPr>
                <w:rFonts w:hint="eastAsia" w:ascii="宋体" w:hAnsi="宋体" w:cs="宋体"/>
                <w:color w:val="000000"/>
                <w:sz w:val="21"/>
              </w:rPr>
              <w:t>系统进行存容量扩容，扩容完成后需进行一次全院级的H</w:t>
            </w:r>
            <w:r>
              <w:rPr>
                <w:rFonts w:ascii="宋体" w:hAnsi="宋体" w:cs="宋体"/>
                <w:color w:val="000000"/>
                <w:sz w:val="21"/>
              </w:rPr>
              <w:t>IS</w:t>
            </w:r>
            <w:r>
              <w:rPr>
                <w:rFonts w:hint="eastAsia" w:ascii="宋体" w:hAnsi="宋体" w:cs="宋体"/>
                <w:color w:val="000000"/>
                <w:sz w:val="21"/>
              </w:rPr>
              <w:t>容灾演练，容灾演练期间需保证HIS业务系统及数据安全稳定的运行。</w:t>
            </w:r>
          </w:p>
          <w:p>
            <w:pPr>
              <w:pStyle w:val="68"/>
              <w:numPr>
                <w:ilvl w:val="0"/>
                <w:numId w:val="0"/>
              </w:numPr>
              <w:spacing w:line="240" w:lineRule="auto"/>
              <w:ind w:leftChars="0"/>
              <w:rPr>
                <w:rFonts w:ascii="宋体" w:hAnsi="宋体"/>
                <w:sz w:val="21"/>
              </w:rPr>
            </w:pPr>
            <w:r>
              <w:rPr>
                <w:rFonts w:hint="eastAsia" w:ascii="宋体" w:hAnsi="宋体" w:cs="宋体"/>
                <w:color w:val="000000"/>
                <w:sz w:val="21"/>
                <w:lang w:val="en-US" w:eastAsia="zh-CN"/>
              </w:rPr>
              <w:t>12、</w:t>
            </w:r>
            <w:r>
              <w:rPr>
                <w:rFonts w:hint="eastAsia" w:ascii="宋体" w:hAnsi="宋体" w:cs="宋体"/>
                <w:color w:val="000000"/>
                <w:sz w:val="21"/>
              </w:rPr>
              <w:t>★</w:t>
            </w:r>
            <w:r>
              <w:rPr>
                <w:rFonts w:hint="eastAsia" w:ascii="宋体" w:hAnsi="宋体"/>
                <w:sz w:val="21"/>
              </w:rPr>
              <w:t>3年原厂维保服务，提供服务承诺证明文件并加盖原厂公章；</w:t>
            </w:r>
          </w:p>
        </w:tc>
        <w:tc>
          <w:tcPr>
            <w:tcW w:w="475" w:type="pct"/>
            <w:tcBorders>
              <w:top w:val="single" w:color="auto" w:sz="4" w:space="0"/>
              <w:left w:val="single" w:color="auto" w:sz="4" w:space="0"/>
              <w:bottom w:val="single" w:color="auto" w:sz="4" w:space="0"/>
              <w:right w:val="single" w:color="auto" w:sz="4" w:space="0"/>
            </w:tcBorders>
            <w:vAlign w:val="center"/>
          </w:tcPr>
          <w:p>
            <w:pPr>
              <w:pStyle w:val="68"/>
              <w:spacing w:line="240" w:lineRule="auto"/>
              <w:ind w:firstLine="0" w:firstLineChars="0"/>
              <w:jc w:val="center"/>
              <w:rPr>
                <w:rFonts w:ascii="宋体" w:hAnsi="宋体"/>
                <w:sz w:val="21"/>
              </w:rPr>
            </w:pPr>
            <w:r>
              <w:rPr>
                <w:rFonts w:hint="eastAsia" w:ascii="宋体" w:hAnsi="宋体"/>
                <w:sz w:val="21"/>
              </w:rPr>
              <w:t>2套</w:t>
            </w:r>
          </w:p>
        </w:tc>
      </w:tr>
    </w:tbl>
    <w:p>
      <w:pPr>
        <w:bidi w:val="0"/>
        <w:rPr>
          <w:rFonts w:hint="eastAsia" w:eastAsiaTheme="minorEastAsia"/>
          <w:b/>
          <w:bCs/>
          <w:sz w:val="24"/>
          <w:szCs w:val="24"/>
          <w:lang w:eastAsia="zh-CN"/>
        </w:rPr>
      </w:pPr>
      <w:r>
        <w:rPr>
          <w:rFonts w:hint="eastAsia"/>
          <w:b/>
          <w:bCs/>
          <w:sz w:val="24"/>
          <w:szCs w:val="24"/>
        </w:rPr>
        <w:t>2、虚拟化服务器内存扩容</w:t>
      </w:r>
      <w:r>
        <w:rPr>
          <w:rFonts w:hint="eastAsia"/>
          <w:b/>
          <w:bCs/>
          <w:sz w:val="24"/>
          <w:szCs w:val="24"/>
          <w:lang w:eastAsia="zh-CN"/>
        </w:rPr>
        <w:t>服务</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7453"/>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2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68"/>
              <w:spacing w:line="330" w:lineRule="exact"/>
              <w:ind w:firstLine="0" w:firstLineChars="0"/>
              <w:jc w:val="both"/>
              <w:rPr>
                <w:rFonts w:ascii="宋体" w:hAnsi="宋体"/>
                <w:sz w:val="21"/>
              </w:rPr>
            </w:pPr>
            <w:r>
              <w:rPr>
                <w:rFonts w:hint="eastAsia" w:ascii="宋体" w:hAnsi="宋体"/>
                <w:sz w:val="21"/>
              </w:rPr>
              <w:t>指标项</w:t>
            </w:r>
          </w:p>
        </w:tc>
        <w:tc>
          <w:tcPr>
            <w:tcW w:w="745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pStyle w:val="68"/>
              <w:spacing w:line="330" w:lineRule="exact"/>
              <w:ind w:firstLine="0" w:firstLineChars="0"/>
              <w:jc w:val="both"/>
              <w:rPr>
                <w:rFonts w:ascii="宋体" w:hAnsi="宋体"/>
                <w:sz w:val="21"/>
              </w:rPr>
            </w:pPr>
            <w:r>
              <w:rPr>
                <w:rFonts w:hint="eastAsia" w:ascii="宋体" w:hAnsi="宋体"/>
                <w:sz w:val="21"/>
              </w:rPr>
              <w:t>技术参数要求</w:t>
            </w:r>
          </w:p>
        </w:tc>
        <w:tc>
          <w:tcPr>
            <w:tcW w:w="76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68"/>
              <w:spacing w:line="240" w:lineRule="auto"/>
              <w:ind w:firstLine="0" w:firstLineChars="0"/>
              <w:jc w:val="center"/>
              <w:rPr>
                <w:rFonts w:ascii="宋体" w:hAnsi="宋体"/>
                <w:sz w:val="21"/>
              </w:rPr>
            </w:pPr>
            <w:r>
              <w:rPr>
                <w:rFonts w:hint="eastAsia" w:ascii="宋体" w:hAnsi="宋体"/>
                <w:sz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29" w:type="dxa"/>
            <w:tcBorders>
              <w:top w:val="single" w:color="auto" w:sz="4" w:space="0"/>
              <w:left w:val="single" w:color="auto" w:sz="4" w:space="0"/>
              <w:bottom w:val="single" w:color="auto" w:sz="4" w:space="0"/>
              <w:right w:val="single" w:color="auto" w:sz="4" w:space="0"/>
            </w:tcBorders>
            <w:vAlign w:val="center"/>
          </w:tcPr>
          <w:p>
            <w:pPr>
              <w:spacing w:line="330" w:lineRule="exact"/>
              <w:rPr>
                <w:rFonts w:ascii="宋体" w:hAnsi="宋体" w:eastAsia="宋体" w:cs="Times New Roman"/>
                <w:kern w:val="0"/>
                <w:sz w:val="21"/>
                <w:szCs w:val="21"/>
              </w:rPr>
            </w:pPr>
            <w:r>
              <w:rPr>
                <w:rFonts w:hint="eastAsia" w:ascii="宋体" w:hAnsi="宋体" w:eastAsia="宋体" w:cs="Times New Roman"/>
                <w:kern w:val="0"/>
                <w:sz w:val="21"/>
                <w:szCs w:val="21"/>
              </w:rPr>
              <w:t>虚拟化服务器内存扩容</w:t>
            </w:r>
          </w:p>
        </w:tc>
        <w:tc>
          <w:tcPr>
            <w:tcW w:w="7453" w:type="dxa"/>
            <w:tcBorders>
              <w:top w:val="single" w:color="auto" w:sz="4" w:space="0"/>
              <w:left w:val="single" w:color="auto" w:sz="4" w:space="0"/>
              <w:bottom w:val="single" w:color="auto" w:sz="4" w:space="0"/>
              <w:right w:val="single" w:color="auto" w:sz="4" w:space="0"/>
            </w:tcBorders>
          </w:tcPr>
          <w:p>
            <w:pPr>
              <w:spacing w:line="330" w:lineRule="exact"/>
              <w:rPr>
                <w:rFonts w:ascii="宋体" w:hAnsi="宋体" w:eastAsia="宋体" w:cs="Times New Roman"/>
                <w:kern w:val="0"/>
                <w:sz w:val="21"/>
                <w:szCs w:val="21"/>
              </w:rPr>
            </w:pPr>
            <w:r>
              <w:rPr>
                <w:rFonts w:hint="eastAsia" w:ascii="宋体" w:hAnsi="宋体" w:eastAsia="宋体" w:cs="Times New Roman"/>
                <w:kern w:val="0"/>
                <w:sz w:val="21"/>
                <w:szCs w:val="21"/>
              </w:rPr>
              <w:t>1、内存需兼容现网服务器，现网服务器内存为</w:t>
            </w:r>
            <w:r>
              <w:rPr>
                <w:rFonts w:ascii="宋体" w:hAnsi="宋体" w:eastAsia="宋体" w:cs="Times New Roman"/>
                <w:kern w:val="0"/>
                <w:sz w:val="21"/>
                <w:szCs w:val="21"/>
              </w:rPr>
              <w:t>DDR4 32G 2933Y HMAA4GR7AJR8N-WM</w:t>
            </w:r>
          </w:p>
          <w:p>
            <w:pPr>
              <w:spacing w:line="330" w:lineRule="exact"/>
              <w:rPr>
                <w:rFonts w:ascii="宋体" w:hAnsi="宋体" w:eastAsia="宋体" w:cs="Times New Roman"/>
                <w:kern w:val="0"/>
                <w:sz w:val="21"/>
                <w:szCs w:val="21"/>
              </w:rPr>
            </w:pPr>
            <w:r>
              <w:rPr>
                <w:rFonts w:hint="eastAsia" w:ascii="宋体" w:hAnsi="宋体" w:cs="宋体"/>
                <w:color w:val="000000"/>
                <w:sz w:val="21"/>
              </w:rPr>
              <w:t>★</w:t>
            </w:r>
            <w:r>
              <w:rPr>
                <w:rFonts w:ascii="宋体" w:hAnsi="宋体" w:eastAsia="宋体" w:cs="Times New Roman"/>
                <w:kern w:val="0"/>
                <w:sz w:val="21"/>
                <w:szCs w:val="21"/>
              </w:rPr>
              <w:t>2</w:t>
            </w:r>
            <w:r>
              <w:rPr>
                <w:rFonts w:hint="eastAsia" w:ascii="宋体" w:hAnsi="宋体" w:eastAsia="宋体" w:cs="Times New Roman"/>
                <w:kern w:val="0"/>
                <w:sz w:val="21"/>
                <w:szCs w:val="21"/>
              </w:rPr>
              <w:t>、3年原厂维保服务</w:t>
            </w:r>
          </w:p>
        </w:tc>
        <w:tc>
          <w:tcPr>
            <w:tcW w:w="765" w:type="dxa"/>
            <w:tcBorders>
              <w:top w:val="single" w:color="auto" w:sz="4" w:space="0"/>
              <w:left w:val="single" w:color="auto" w:sz="4" w:space="0"/>
              <w:bottom w:val="single" w:color="auto" w:sz="4" w:space="0"/>
              <w:right w:val="single" w:color="auto" w:sz="4" w:space="0"/>
            </w:tcBorders>
            <w:vAlign w:val="center"/>
          </w:tcPr>
          <w:p>
            <w:pPr>
              <w:pStyle w:val="68"/>
              <w:spacing w:line="240" w:lineRule="auto"/>
              <w:ind w:firstLine="0" w:firstLineChars="0"/>
              <w:jc w:val="center"/>
              <w:rPr>
                <w:rFonts w:hint="eastAsia" w:ascii="宋体" w:hAnsi="宋体" w:eastAsiaTheme="minorEastAsia"/>
                <w:sz w:val="21"/>
                <w:lang w:val="en-US" w:eastAsia="zh-CN"/>
              </w:rPr>
            </w:pPr>
            <w:r>
              <w:rPr>
                <w:rFonts w:ascii="宋体" w:hAnsi="宋体"/>
                <w:sz w:val="21"/>
              </w:rPr>
              <w:t>96</w:t>
            </w:r>
            <w:r>
              <w:rPr>
                <w:rFonts w:hint="eastAsia" w:ascii="宋体" w:hAnsi="宋体"/>
                <w:sz w:val="21"/>
                <w:lang w:val="en-US" w:eastAsia="zh-CN"/>
              </w:rPr>
              <w:t>套</w:t>
            </w:r>
          </w:p>
        </w:tc>
      </w:tr>
    </w:tbl>
    <w:p>
      <w:pPr>
        <w:bidi w:val="0"/>
        <w:rPr>
          <w:b/>
          <w:bCs/>
          <w:sz w:val="28"/>
          <w:szCs w:val="28"/>
        </w:rPr>
      </w:pPr>
      <w:r>
        <w:rPr>
          <w:b/>
          <w:bCs/>
          <w:sz w:val="28"/>
          <w:szCs w:val="28"/>
        </w:rPr>
        <w:t>3</w:t>
      </w:r>
      <w:r>
        <w:rPr>
          <w:rFonts w:hint="eastAsia"/>
          <w:b/>
          <w:bCs/>
          <w:sz w:val="28"/>
          <w:szCs w:val="28"/>
        </w:rPr>
        <w:t>、技术服务</w:t>
      </w:r>
    </w:p>
    <w:p>
      <w:pPr>
        <w:autoSpaceDE w:val="0"/>
        <w:autoSpaceDN w:val="0"/>
        <w:adjustRightInd w:val="0"/>
        <w:spacing w:line="360" w:lineRule="auto"/>
        <w:ind w:firstLine="480"/>
        <w:rPr>
          <w:rFonts w:ascii="宋体" w:hAnsi="宋体" w:eastAsia="宋体" w:cs="宋体"/>
          <w:bCs/>
          <w:color w:val="auto"/>
          <w:sz w:val="24"/>
          <w:szCs w:val="24"/>
        </w:rPr>
      </w:pPr>
      <w:r>
        <w:rPr>
          <w:rFonts w:hint="eastAsia" w:ascii="宋体" w:hAnsi="宋体" w:eastAsia="宋体" w:cs="宋体"/>
          <w:bCs/>
          <w:color w:val="auto"/>
          <w:sz w:val="24"/>
          <w:szCs w:val="24"/>
        </w:rPr>
        <w:t>按照采购人要求，切实理解本项目建设方案，</w:t>
      </w:r>
      <w:r>
        <w:rPr>
          <w:rFonts w:hint="eastAsia" w:ascii="宋体" w:hAnsi="宋体" w:eastAsia="宋体" w:cs="宋体"/>
          <w:bCs/>
          <w:color w:val="auto"/>
          <w:sz w:val="24"/>
          <w:szCs w:val="24"/>
          <w:lang w:eastAsia="zh-CN"/>
        </w:rPr>
        <w:t>在</w:t>
      </w:r>
      <w:r>
        <w:rPr>
          <w:rFonts w:hint="eastAsia" w:ascii="宋体" w:hAnsi="宋体" w:eastAsia="宋体" w:cs="宋体"/>
          <w:bCs/>
          <w:color w:val="auto"/>
          <w:sz w:val="24"/>
          <w:szCs w:val="24"/>
        </w:rPr>
        <w:t>现有</w:t>
      </w:r>
      <w:r>
        <w:rPr>
          <w:rFonts w:hint="eastAsia" w:ascii="宋体" w:hAnsi="宋体" w:eastAsia="宋体" w:cs="宋体"/>
          <w:bCs/>
          <w:color w:val="auto"/>
          <w:sz w:val="24"/>
          <w:szCs w:val="24"/>
          <w:lang w:eastAsia="zh-CN"/>
        </w:rPr>
        <w:t>条件下</w:t>
      </w:r>
      <w:r>
        <w:rPr>
          <w:rFonts w:hint="eastAsia" w:ascii="宋体" w:hAnsi="宋体" w:eastAsia="宋体" w:cs="宋体"/>
          <w:bCs/>
          <w:color w:val="auto"/>
          <w:sz w:val="24"/>
          <w:szCs w:val="24"/>
        </w:rPr>
        <w:t>进行有条不紊的部署。现将技术细节罗列如下（不限于以下）：</w:t>
      </w:r>
    </w:p>
    <w:p>
      <w:pPr>
        <w:pStyle w:val="68"/>
        <w:numPr>
          <w:ilvl w:val="0"/>
          <w:numId w:val="0"/>
        </w:numPr>
        <w:snapToGrid/>
        <w:spacing w:line="360" w:lineRule="auto"/>
        <w:ind w:leftChars="0"/>
        <w:jc w:val="both"/>
        <w:rPr>
          <w:rFonts w:ascii="宋体" w:hAnsi="宋体" w:cs="宋体"/>
          <w:bCs/>
          <w:color w:val="auto"/>
          <w:sz w:val="24"/>
          <w:szCs w:val="24"/>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1</w:t>
      </w:r>
      <w:r>
        <w:rPr>
          <w:rFonts w:hint="eastAsia" w:ascii="宋体" w:hAnsi="宋体" w:cs="宋体"/>
          <w:bCs/>
          <w:color w:val="auto"/>
          <w:sz w:val="24"/>
          <w:szCs w:val="24"/>
          <w:lang w:eastAsia="zh-CN"/>
        </w:rPr>
        <w:t>）</w:t>
      </w:r>
      <w:r>
        <w:rPr>
          <w:rFonts w:hint="eastAsia" w:ascii="宋体" w:hAnsi="宋体" w:cs="宋体"/>
          <w:bCs/>
          <w:color w:val="auto"/>
          <w:sz w:val="24"/>
          <w:szCs w:val="24"/>
        </w:rPr>
        <w:t>深切理解本次项目的建设方案，并按照方案需求提供相应的实施方案。</w:t>
      </w:r>
      <w:r>
        <w:rPr>
          <w:rFonts w:hint="eastAsia" w:ascii="宋体" w:hAnsi="宋体" w:cs="宋体"/>
          <w:bCs/>
          <w:color w:val="auto"/>
          <w:sz w:val="24"/>
          <w:szCs w:val="24"/>
          <w:lang w:eastAsia="zh-CN"/>
        </w:rPr>
        <w:t>项目实施前，</w:t>
      </w:r>
      <w:r>
        <w:rPr>
          <w:rFonts w:hint="eastAsia" w:ascii="宋体" w:hAnsi="宋体" w:cs="宋体"/>
          <w:bCs/>
          <w:color w:val="auto"/>
          <w:sz w:val="24"/>
          <w:szCs w:val="24"/>
        </w:rPr>
        <w:t>中标供应商所提供的</w:t>
      </w:r>
      <w:r>
        <w:rPr>
          <w:rFonts w:hint="eastAsia" w:ascii="宋体" w:hAnsi="宋体" w:cs="宋体"/>
          <w:bCs/>
          <w:color w:val="auto"/>
          <w:sz w:val="24"/>
          <w:szCs w:val="24"/>
          <w:lang w:eastAsia="zh-CN"/>
        </w:rPr>
        <w:t>实施</w:t>
      </w:r>
      <w:r>
        <w:rPr>
          <w:rFonts w:hint="eastAsia" w:ascii="宋体" w:hAnsi="宋体" w:cs="宋体"/>
          <w:bCs/>
          <w:color w:val="auto"/>
          <w:sz w:val="24"/>
          <w:szCs w:val="24"/>
        </w:rPr>
        <w:t>方案</w:t>
      </w:r>
      <w:r>
        <w:rPr>
          <w:rFonts w:hint="eastAsia" w:ascii="宋体" w:hAnsi="宋体" w:cs="宋体"/>
          <w:bCs/>
          <w:color w:val="auto"/>
          <w:sz w:val="24"/>
          <w:szCs w:val="24"/>
          <w:lang w:eastAsia="zh-CN"/>
        </w:rPr>
        <w:t>经过</w:t>
      </w:r>
      <w:r>
        <w:rPr>
          <w:rFonts w:hint="eastAsia" w:ascii="宋体" w:hAnsi="宋体" w:cs="宋体"/>
          <w:bCs/>
          <w:color w:val="auto"/>
          <w:sz w:val="24"/>
          <w:szCs w:val="24"/>
        </w:rPr>
        <w:t>采购人项目组审阅批准之后，方可实施。</w:t>
      </w:r>
    </w:p>
    <w:p>
      <w:pPr>
        <w:pStyle w:val="68"/>
        <w:numPr>
          <w:ilvl w:val="0"/>
          <w:numId w:val="0"/>
        </w:numPr>
        <w:snapToGrid/>
        <w:spacing w:line="360" w:lineRule="auto"/>
        <w:ind w:leftChars="0"/>
        <w:jc w:val="both"/>
        <w:rPr>
          <w:rFonts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2</w:t>
      </w:r>
      <w:r>
        <w:rPr>
          <w:rFonts w:hint="eastAsia" w:ascii="宋体" w:hAnsi="宋体" w:cs="宋体"/>
          <w:bCs/>
          <w:sz w:val="24"/>
          <w:szCs w:val="24"/>
          <w:lang w:eastAsia="zh-CN"/>
        </w:rPr>
        <w:t>）</w:t>
      </w:r>
      <w:r>
        <w:rPr>
          <w:rFonts w:hint="eastAsia" w:ascii="宋体" w:hAnsi="宋体" w:cs="宋体"/>
          <w:bCs/>
          <w:sz w:val="24"/>
          <w:szCs w:val="24"/>
        </w:rPr>
        <w:t>对本次项目所涉及的产品按照技术要求进行安装调试，保证整个项目的顺利实施；涉及数据迁移、设备版本升级、设备性能验证等工作，必须保证数据的安全性、完整性与可用性，如发生数据丢失等问题，中标供应商负全部责任。</w:t>
      </w:r>
    </w:p>
    <w:p>
      <w:pPr>
        <w:pStyle w:val="68"/>
        <w:numPr>
          <w:ilvl w:val="0"/>
          <w:numId w:val="0"/>
        </w:numPr>
        <w:snapToGrid/>
        <w:spacing w:line="360" w:lineRule="auto"/>
        <w:ind w:leftChars="0"/>
        <w:jc w:val="both"/>
        <w:rPr>
          <w:rFonts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w:t>
      </w:r>
      <w:r>
        <w:rPr>
          <w:rFonts w:hint="eastAsia" w:ascii="宋体" w:hAnsi="宋体" w:cs="宋体"/>
          <w:bCs/>
          <w:sz w:val="24"/>
          <w:szCs w:val="24"/>
          <w:lang w:eastAsia="zh-CN"/>
        </w:rPr>
        <w:t>）</w:t>
      </w:r>
      <w:r>
        <w:rPr>
          <w:rFonts w:hint="eastAsia" w:ascii="宋体" w:hAnsi="宋体" w:cs="宋体"/>
          <w:bCs/>
          <w:sz w:val="24"/>
          <w:szCs w:val="24"/>
        </w:rPr>
        <w:t>存储扩容及虚拟化服务器内存扩容需保证业务持续在线（零停机），</w:t>
      </w:r>
    </w:p>
    <w:p>
      <w:pPr>
        <w:pStyle w:val="68"/>
        <w:numPr>
          <w:ilvl w:val="0"/>
          <w:numId w:val="0"/>
        </w:numPr>
        <w:snapToGrid/>
        <w:spacing w:line="360" w:lineRule="auto"/>
        <w:jc w:val="both"/>
        <w:rPr>
          <w:rFonts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3-1</w:t>
      </w:r>
      <w:r>
        <w:rPr>
          <w:rFonts w:hint="eastAsia" w:ascii="宋体" w:hAnsi="宋体" w:cs="宋体"/>
          <w:bCs/>
          <w:sz w:val="24"/>
          <w:szCs w:val="24"/>
          <w:lang w:eastAsia="zh-CN"/>
        </w:rPr>
        <w:t>）</w:t>
      </w:r>
      <w:r>
        <w:rPr>
          <w:rFonts w:hint="eastAsia" w:ascii="宋体" w:hAnsi="宋体" w:cs="宋体"/>
          <w:bCs/>
          <w:sz w:val="24"/>
          <w:szCs w:val="24"/>
        </w:rPr>
        <w:t>现网存储（华为Ocean</w:t>
      </w:r>
      <w:r>
        <w:rPr>
          <w:rFonts w:ascii="宋体" w:hAnsi="宋体" w:cs="宋体"/>
          <w:bCs/>
          <w:sz w:val="24"/>
          <w:szCs w:val="24"/>
        </w:rPr>
        <w:t>S</w:t>
      </w:r>
      <w:r>
        <w:rPr>
          <w:rFonts w:hint="eastAsia" w:ascii="宋体" w:hAnsi="宋体" w:cs="宋体"/>
          <w:bCs/>
          <w:sz w:val="24"/>
          <w:szCs w:val="24"/>
        </w:rPr>
        <w:t>tor</w:t>
      </w:r>
      <w:r>
        <w:rPr>
          <w:rFonts w:ascii="宋体" w:hAnsi="宋体" w:cs="宋体"/>
          <w:bCs/>
          <w:sz w:val="24"/>
          <w:szCs w:val="24"/>
        </w:rPr>
        <w:t xml:space="preserve"> 5510</w:t>
      </w:r>
      <w:r>
        <w:rPr>
          <w:rFonts w:hint="eastAsia" w:ascii="宋体" w:hAnsi="宋体" w:cs="宋体"/>
          <w:bCs/>
          <w:sz w:val="24"/>
          <w:szCs w:val="24"/>
        </w:rPr>
        <w:t>v5）扩容需保证原有设备与扩容设备的微码版本一致，如不一致，需统一升级至官方推荐稳定版本。</w:t>
      </w:r>
    </w:p>
    <w:p>
      <w:pPr>
        <w:pStyle w:val="68"/>
        <w:numPr>
          <w:ilvl w:val="0"/>
          <w:numId w:val="0"/>
        </w:numPr>
        <w:snapToGrid/>
        <w:spacing w:line="360" w:lineRule="auto"/>
        <w:jc w:val="both"/>
        <w:rPr>
          <w:rFonts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3-2</w:t>
      </w:r>
      <w:r>
        <w:rPr>
          <w:rFonts w:hint="eastAsia" w:ascii="宋体" w:hAnsi="宋体" w:cs="宋体"/>
          <w:bCs/>
          <w:sz w:val="24"/>
          <w:szCs w:val="24"/>
          <w:lang w:eastAsia="zh-CN"/>
        </w:rPr>
        <w:t>）</w:t>
      </w:r>
      <w:r>
        <w:rPr>
          <w:rFonts w:hint="eastAsia" w:ascii="宋体" w:hAnsi="宋体" w:cs="宋体"/>
          <w:bCs/>
          <w:sz w:val="24"/>
          <w:szCs w:val="24"/>
        </w:rPr>
        <w:t>存储硬盘扩容完成后，需对双活存储进行切换演练，确保存储硬盘扩容后的双活可用性与数据一致性。</w:t>
      </w:r>
    </w:p>
    <w:p>
      <w:pPr>
        <w:pStyle w:val="68"/>
        <w:numPr>
          <w:ilvl w:val="0"/>
          <w:numId w:val="0"/>
        </w:numPr>
        <w:snapToGrid/>
        <w:spacing w:line="360" w:lineRule="auto"/>
        <w:jc w:val="both"/>
        <w:rPr>
          <w:rFonts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3-3</w:t>
      </w:r>
      <w:r>
        <w:rPr>
          <w:rFonts w:hint="eastAsia" w:ascii="宋体" w:hAnsi="宋体" w:cs="宋体"/>
          <w:bCs/>
          <w:sz w:val="24"/>
          <w:szCs w:val="24"/>
          <w:lang w:eastAsia="zh-CN"/>
        </w:rPr>
        <w:t>）</w:t>
      </w:r>
      <w:r>
        <w:rPr>
          <w:rFonts w:hint="eastAsia" w:ascii="宋体" w:hAnsi="宋体" w:cs="宋体"/>
          <w:bCs/>
          <w:sz w:val="24"/>
          <w:szCs w:val="24"/>
        </w:rPr>
        <w:t>存储硬盘扩容完成后，需对H</w:t>
      </w:r>
      <w:r>
        <w:rPr>
          <w:rFonts w:ascii="宋体" w:hAnsi="宋体" w:cs="宋体"/>
          <w:bCs/>
          <w:sz w:val="24"/>
          <w:szCs w:val="24"/>
        </w:rPr>
        <w:t>IS</w:t>
      </w:r>
      <w:r>
        <w:rPr>
          <w:rFonts w:hint="eastAsia" w:ascii="宋体" w:hAnsi="宋体" w:cs="宋体"/>
          <w:bCs/>
          <w:sz w:val="24"/>
          <w:szCs w:val="24"/>
        </w:rPr>
        <w:t>系统进行存储容量扩容，扩容完成后需进行一次全院级的H</w:t>
      </w:r>
      <w:r>
        <w:rPr>
          <w:rFonts w:ascii="宋体" w:hAnsi="宋体" w:cs="宋体"/>
          <w:bCs/>
          <w:sz w:val="24"/>
          <w:szCs w:val="24"/>
        </w:rPr>
        <w:t>IS</w:t>
      </w:r>
      <w:r>
        <w:rPr>
          <w:rFonts w:hint="eastAsia" w:ascii="宋体" w:hAnsi="宋体" w:cs="宋体"/>
          <w:bCs/>
          <w:sz w:val="24"/>
          <w:szCs w:val="24"/>
        </w:rPr>
        <w:t>容灾演练，容灾演练期间需保证HIS业务系统及数据安全稳定的运行。</w:t>
      </w:r>
    </w:p>
    <w:p>
      <w:pPr>
        <w:pStyle w:val="68"/>
        <w:numPr>
          <w:ilvl w:val="0"/>
          <w:numId w:val="0"/>
        </w:numPr>
        <w:snapToGrid/>
        <w:spacing w:line="360" w:lineRule="auto"/>
        <w:jc w:val="both"/>
        <w:rPr>
          <w:rFonts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3-4</w:t>
      </w:r>
      <w:r>
        <w:rPr>
          <w:rFonts w:hint="eastAsia" w:ascii="宋体" w:hAnsi="宋体" w:cs="宋体"/>
          <w:bCs/>
          <w:sz w:val="24"/>
          <w:szCs w:val="24"/>
          <w:lang w:eastAsia="zh-CN"/>
        </w:rPr>
        <w:t>）</w:t>
      </w:r>
      <w:r>
        <w:rPr>
          <w:rFonts w:hint="eastAsia" w:ascii="宋体" w:hAnsi="宋体" w:cs="宋体"/>
          <w:bCs/>
          <w:sz w:val="24"/>
          <w:szCs w:val="24"/>
        </w:rPr>
        <w:t>现网服务器（华为</w:t>
      </w:r>
      <w:r>
        <w:rPr>
          <w:rFonts w:ascii="宋体" w:hAnsi="宋体" w:cs="宋体"/>
          <w:bCs/>
          <w:sz w:val="24"/>
          <w:szCs w:val="24"/>
        </w:rPr>
        <w:t>2488H V5</w:t>
      </w:r>
      <w:r>
        <w:rPr>
          <w:rFonts w:hint="eastAsia" w:ascii="宋体" w:hAnsi="宋体" w:cs="宋体"/>
          <w:bCs/>
          <w:sz w:val="24"/>
          <w:szCs w:val="24"/>
        </w:rPr>
        <w:t>）内存扩容须保证内存兼容，确保服务器设备安全稳定的运行。</w:t>
      </w:r>
    </w:p>
    <w:p>
      <w:pPr>
        <w:pStyle w:val="68"/>
        <w:numPr>
          <w:ilvl w:val="0"/>
          <w:numId w:val="0"/>
        </w:numPr>
        <w:snapToGrid/>
        <w:spacing w:line="360" w:lineRule="auto"/>
        <w:ind w:leftChars="0"/>
        <w:jc w:val="both"/>
        <w:rPr>
          <w:rFonts w:hint="eastAsia" w:ascii="宋体" w:hAnsi="宋体" w:cs="宋体"/>
          <w:bCs/>
          <w:sz w:val="24"/>
          <w:szCs w:val="24"/>
        </w:rPr>
      </w:pPr>
      <w:r>
        <w:rPr>
          <w:rFonts w:hint="eastAsia" w:ascii="宋体" w:hAnsi="宋体" w:cs="宋体"/>
          <w:bCs/>
          <w:sz w:val="24"/>
          <w:szCs w:val="24"/>
          <w:lang w:eastAsia="zh-CN"/>
        </w:rPr>
        <w:t>（</w:t>
      </w:r>
      <w:r>
        <w:rPr>
          <w:rFonts w:hint="eastAsia" w:ascii="宋体" w:hAnsi="宋体" w:cs="宋体"/>
          <w:bCs/>
          <w:sz w:val="24"/>
          <w:szCs w:val="24"/>
          <w:lang w:val="en-US" w:eastAsia="zh-CN"/>
        </w:rPr>
        <w:t>4</w:t>
      </w:r>
      <w:r>
        <w:rPr>
          <w:rFonts w:hint="eastAsia" w:ascii="宋体" w:hAnsi="宋体" w:cs="宋体"/>
          <w:bCs/>
          <w:sz w:val="24"/>
          <w:szCs w:val="24"/>
          <w:lang w:eastAsia="zh-CN"/>
        </w:rPr>
        <w:t>）</w:t>
      </w:r>
      <w:r>
        <w:rPr>
          <w:rFonts w:hint="eastAsia" w:ascii="宋体" w:hAnsi="宋体" w:cs="宋体"/>
          <w:bCs/>
          <w:sz w:val="24"/>
          <w:szCs w:val="24"/>
        </w:rPr>
        <w:t>提供风险控制方案。方案需涉及业务系统迁移及硬件搬迁过程中所出现的问题的处理方案，保证采购人各项业务系统的安全。</w:t>
      </w:r>
    </w:p>
    <w:p>
      <w:pPr>
        <w:pStyle w:val="68"/>
        <w:numPr>
          <w:ilvl w:val="0"/>
          <w:numId w:val="0"/>
        </w:numPr>
        <w:snapToGrid/>
        <w:spacing w:line="360" w:lineRule="auto"/>
        <w:ind w:leftChars="0"/>
        <w:jc w:val="both"/>
        <w:rPr>
          <w:rFonts w:hint="default"/>
          <w:sz w:val="24"/>
          <w:szCs w:val="24"/>
          <w:highlight w:val="none"/>
          <w:lang w:val="en-US" w:eastAsia="zh-CN"/>
        </w:rPr>
      </w:pPr>
      <w:r>
        <w:rPr>
          <w:rFonts w:hint="eastAsia" w:ascii="宋体" w:hAnsi="宋体" w:cs="宋体"/>
          <w:bCs/>
          <w:sz w:val="24"/>
          <w:szCs w:val="24"/>
          <w:lang w:val="en-US" w:eastAsia="zh-CN"/>
        </w:rPr>
        <w:t>（5）</w:t>
      </w:r>
      <w:r>
        <w:rPr>
          <w:rFonts w:hint="eastAsia"/>
          <w:sz w:val="24"/>
          <w:szCs w:val="24"/>
          <w:highlight w:val="none"/>
        </w:rPr>
        <w:t>售后服务</w:t>
      </w:r>
      <w:r>
        <w:rPr>
          <w:rFonts w:hint="eastAsia"/>
          <w:sz w:val="24"/>
          <w:szCs w:val="24"/>
          <w:highlight w:val="none"/>
          <w:lang w:val="en-US" w:eastAsia="zh-CN"/>
        </w:rPr>
        <w:t>要求</w:t>
      </w:r>
      <w:r>
        <w:rPr>
          <w:rFonts w:hint="eastAsia"/>
          <w:sz w:val="24"/>
          <w:szCs w:val="24"/>
          <w:highlight w:val="none"/>
        </w:rPr>
        <w:t>：在接到故障报修请求的情况下，</w:t>
      </w:r>
      <w:r>
        <w:rPr>
          <w:rFonts w:hint="eastAsia"/>
          <w:sz w:val="24"/>
          <w:szCs w:val="24"/>
          <w:highlight w:val="none"/>
          <w:lang w:val="en-US" w:eastAsia="zh-CN"/>
        </w:rPr>
        <w:t>30分钟内响应，2小时内到场</w:t>
      </w:r>
      <w:r>
        <w:rPr>
          <w:rFonts w:hint="eastAsia"/>
          <w:sz w:val="24"/>
          <w:szCs w:val="24"/>
          <w:highlight w:val="none"/>
        </w:rPr>
        <w:t>排除故障</w:t>
      </w:r>
      <w:r>
        <w:rPr>
          <w:rFonts w:hint="eastAsia"/>
          <w:sz w:val="24"/>
          <w:szCs w:val="24"/>
          <w:highlight w:val="none"/>
          <w:lang w:eastAsia="zh-CN"/>
        </w:rPr>
        <w:t>。</w:t>
      </w:r>
      <w:r>
        <w:rPr>
          <w:rFonts w:hint="eastAsia"/>
          <w:sz w:val="24"/>
          <w:szCs w:val="24"/>
          <w:highlight w:val="none"/>
          <w:lang w:val="en-US" w:eastAsia="zh-CN"/>
        </w:rPr>
        <w:t>需提供项目所需的原厂备品备件。</w:t>
      </w:r>
    </w:p>
    <w:p>
      <w:pPr>
        <w:pStyle w:val="68"/>
        <w:numPr>
          <w:ilvl w:val="0"/>
          <w:numId w:val="0"/>
        </w:numPr>
        <w:snapToGrid/>
        <w:spacing w:line="360" w:lineRule="auto"/>
        <w:ind w:leftChars="0"/>
        <w:jc w:val="both"/>
        <w:rPr>
          <w:rFonts w:hint="default"/>
          <w:sz w:val="24"/>
          <w:szCs w:val="24"/>
          <w:highlight w:val="none"/>
          <w:lang w:val="en-US" w:eastAsia="zh-CN"/>
        </w:rPr>
      </w:pPr>
    </w:p>
    <w:bookmarkEnd w:id="105"/>
    <w:p>
      <w:pPr>
        <w:widowControl/>
        <w:spacing w:line="360" w:lineRule="auto"/>
        <w:jc w:val="left"/>
        <w:rPr>
          <w:rFonts w:hint="eastAsia"/>
        </w:rPr>
      </w:pPr>
      <w:bookmarkStart w:id="106" w:name="_Toc6512"/>
      <w:bookmarkStart w:id="107" w:name="_Toc293999379"/>
      <w:bookmarkStart w:id="108" w:name="_Toc269407660"/>
      <w:bookmarkStart w:id="109" w:name="_Toc269407887"/>
      <w:bookmarkStart w:id="110" w:name="_Toc293999494"/>
      <w:r>
        <w:rPr>
          <w:rFonts w:hint="eastAsia"/>
        </w:rPr>
        <w:br w:type="page"/>
      </w:r>
    </w:p>
    <w:p>
      <w:pPr>
        <w:pStyle w:val="3"/>
        <w:numPr>
          <w:ilvl w:val="0"/>
          <w:numId w:val="21"/>
        </w:numPr>
      </w:pPr>
      <w:r>
        <w:t>合同</w:t>
      </w:r>
      <w:r>
        <w:rPr>
          <w:rFonts w:hint="eastAsia"/>
        </w:rPr>
        <w:t>主要</w:t>
      </w:r>
      <w:r>
        <w:t>条款</w:t>
      </w:r>
      <w:bookmarkEnd w:id="106"/>
    </w:p>
    <w:p>
      <w:pPr>
        <w:bidi w:val="0"/>
        <w:jc w:val="center"/>
        <w:rPr>
          <w:rFonts w:hint="eastAsia" w:eastAsiaTheme="minorEastAsia"/>
          <w:b/>
          <w:bCs/>
          <w:lang w:eastAsia="zh-CN"/>
        </w:rPr>
      </w:pPr>
      <w:r>
        <w:rPr>
          <w:rFonts w:hint="eastAsia"/>
          <w:b/>
          <w:bCs/>
          <w:lang w:eastAsia="zh-CN"/>
        </w:rPr>
        <w:t>（</w:t>
      </w:r>
      <w:r>
        <w:rPr>
          <w:rFonts w:hint="eastAsia"/>
          <w:b/>
          <w:bCs/>
          <w:lang w:val="en-US" w:eastAsia="zh-CN"/>
        </w:rPr>
        <w:t>参考合同</w:t>
      </w:r>
      <w:r>
        <w:rPr>
          <w:rFonts w:hint="eastAsia"/>
          <w:b/>
          <w:bCs/>
          <w:lang w:eastAsia="zh-CN"/>
        </w:rPr>
        <w:t>）</w:t>
      </w:r>
    </w:p>
    <w:p>
      <w:pPr>
        <w:spacing w:line="360" w:lineRule="auto"/>
        <w:jc w:val="center"/>
        <w:rPr>
          <w:rFonts w:ascii="宋体" w:hAnsi="宋体"/>
          <w:sz w:val="24"/>
          <w:szCs w:val="24"/>
        </w:rPr>
      </w:pPr>
      <w:r>
        <w:rPr>
          <w:rFonts w:hint="eastAsia" w:ascii="宋体" w:hAnsi="宋体"/>
          <w:sz w:val="24"/>
          <w:szCs w:val="24"/>
        </w:rPr>
        <w:t>（编号： XXXX ）</w:t>
      </w:r>
    </w:p>
    <w:p>
      <w:pPr>
        <w:adjustRightInd w:val="0"/>
        <w:snapToGrid w:val="0"/>
        <w:spacing w:line="360" w:lineRule="auto"/>
        <w:ind w:firstLine="472" w:firstLineChars="196"/>
        <w:rPr>
          <w:rFonts w:hint="eastAsia" w:asciiTheme="minorEastAsia" w:hAnsiTheme="minorEastAsia" w:eastAsiaTheme="minorEastAsia" w:cstheme="minorEastAsia"/>
          <w:b/>
          <w:bCs/>
          <w:sz w:val="24"/>
          <w:szCs w:val="24"/>
          <w:highlight w:val="none"/>
        </w:rPr>
      </w:pPr>
      <w:bookmarkStart w:id="111" w:name="_Toc10117_WPSOffice_Level1"/>
      <w:bookmarkStart w:id="112" w:name="_Toc398_WPSOffice_Level1"/>
      <w:bookmarkStart w:id="113" w:name="_Toc25596_WPSOffice_Level1"/>
      <w:r>
        <w:rPr>
          <w:rFonts w:hint="eastAsia" w:asciiTheme="minorEastAsia" w:hAnsiTheme="minorEastAsia" w:eastAsiaTheme="minorEastAsia" w:cstheme="minorEastAsia"/>
          <w:b/>
          <w:bCs/>
          <w:sz w:val="24"/>
          <w:szCs w:val="24"/>
          <w:highlight w:val="none"/>
        </w:rPr>
        <w:t>1.术语定义</w:t>
      </w:r>
      <w:bookmarkEnd w:id="111"/>
      <w:bookmarkEnd w:id="112"/>
      <w:bookmarkEnd w:id="113"/>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本政府采购合同下列术语应解释为：</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1.1“政府采购合同”指供需双方依照政府采购程序.按照招标文件投标文件确定的事项所达成的协议，包括附件.附录和上述文件所提到的构成政府采购合同的所有文件。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1.2“政府采购合同价”指根据合同约定供方在正确地完全履行政府采购合同义务后，需方应支付给供方的价格。</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政府采购合同货物”指政府采购合同货物清单（同投标文件中开标一览表及其附表，下同）中所约定的各种形态和种类的物品，包括原材料.燃料.设备.产品.硬件.软件.安装材料.备件及专用器具.文件资料等内容。</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1.4“服务”指根据政府采购合同约定供方应承担的与供货有关的伴随服务，包括（但不限于）政府采购合同货物的运输.保险.安装.测试.调试.培训.维修.提供技术指导和支持.保修期外的维护以及其它类似的义务。</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1.5“需方”指项目基本内容及要求中所述取得货物和服务的采购人。</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1.6“供方”指项目基本内容及要求中所述提供产品和服务的中标人。</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1.7“检验”指需方或者需方的最终用户收货后，按照本政府采购合同约定的标准对政府采购合同货物进行的检测与查验。</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1.8“验收书”指需方对供方履行政府采购合同情况及结果进行现场检验和评估意见的文件。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1.9“技术资料”指安装.调试.使用.维修政府采购合同货物所应具备的产品使用说明书和.或使用指南.操作手册.维修指南.服务手册.电路图.产品演示等文件及音像资料。</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1.10“保修期”指自验收书签署之日起，供方以自担费用方式保证政府采购合同货物正常运行的时期。</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1.11“第三人”是指本政府采购合同双方以外的任何中国境内外的自然人.法人或其它经济组织。</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1.12“法律.法规”是指由中国各级政府及有关部门制定的法律.行政法规.地方性法规.规章及其它规范性文件的有关规定。</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1.13“招标文件”指采购人或者采购代理机构发布的招标文件。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1.14“投标文件”指供方按照采购代理机构招标文件的要求编制和递交，并最终被评标委员会接受的投标文件。</w:t>
      </w:r>
    </w:p>
    <w:p>
      <w:pPr>
        <w:rPr>
          <w:rFonts w:hint="eastAsia" w:asciiTheme="minorEastAsia" w:hAnsiTheme="minorEastAsia" w:eastAsiaTheme="minorEastAsia" w:cstheme="minorEastAsia"/>
          <w:sz w:val="24"/>
          <w:szCs w:val="24"/>
          <w:highlight w:val="none"/>
        </w:rPr>
      </w:pPr>
      <w:bookmarkStart w:id="114" w:name="_Toc22454_WPSOffice_Level1"/>
      <w:bookmarkStart w:id="115" w:name="_Toc29737_WPSOffice_Level1"/>
      <w:bookmarkStart w:id="116" w:name="_Toc750_WPSOffice_Level1"/>
      <w:r>
        <w:rPr>
          <w:rFonts w:hint="eastAsia" w:asciiTheme="minorEastAsia" w:hAnsiTheme="minorEastAsia" w:eastAsiaTheme="minorEastAsia" w:cstheme="minorEastAsia"/>
          <w:sz w:val="24"/>
          <w:szCs w:val="24"/>
          <w:highlight w:val="none"/>
        </w:rPr>
        <w:t>2.技术指标</w:t>
      </w:r>
      <w:bookmarkEnd w:id="114"/>
      <w:bookmarkEnd w:id="115"/>
      <w:bookmarkEnd w:id="116"/>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2.1交付产品的技术指标应与招标文件规定的技术指标要求及投标文件中的“技术规格偏离表及商务条款偏离表”的承诺内容相一致。</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除技术指标另有规定外，计量单位应该使用公制。</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17" w:name="_Toc1538_WPSOffice_Level1"/>
      <w:bookmarkStart w:id="118" w:name="_Toc17648_WPSOffice_Level1"/>
      <w:bookmarkStart w:id="119" w:name="_Toc19640_WPSOffice_Level1"/>
      <w:r>
        <w:rPr>
          <w:rFonts w:hint="eastAsia" w:asciiTheme="minorEastAsia" w:hAnsiTheme="minorEastAsia" w:eastAsiaTheme="minorEastAsia" w:cstheme="minorEastAsia"/>
          <w:b/>
          <w:sz w:val="24"/>
          <w:szCs w:val="24"/>
          <w:highlight w:val="none"/>
        </w:rPr>
        <w:t>3.交货</w:t>
      </w:r>
      <w:bookmarkEnd w:id="117"/>
      <w:bookmarkEnd w:id="118"/>
      <w:bookmarkEnd w:id="119"/>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3.1供方按照合同约定的时间.地点交货</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3.2供方交货的同时应提交下列文件：销售发票，制造厂商出具的质量检验证书.产品合格证以及招标文件.投标文件确定供方应随货物同时提供的其他资料。</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20" w:name="_Toc11745_WPSOffice_Level1"/>
      <w:bookmarkStart w:id="121" w:name="_Toc15048_WPSOffice_Level1"/>
      <w:bookmarkStart w:id="122" w:name="_Toc1266_WPSOffice_Level1"/>
      <w:r>
        <w:rPr>
          <w:rFonts w:hint="eastAsia" w:asciiTheme="minorEastAsia" w:hAnsiTheme="minorEastAsia" w:eastAsiaTheme="minorEastAsia" w:cstheme="minorEastAsia"/>
          <w:b/>
          <w:sz w:val="24"/>
          <w:szCs w:val="24"/>
          <w:highlight w:val="none"/>
        </w:rPr>
        <w:t>4.合同金额</w:t>
      </w:r>
      <w:bookmarkEnd w:id="120"/>
      <w:bookmarkEnd w:id="121"/>
      <w:bookmarkEnd w:id="122"/>
    </w:p>
    <w:p>
      <w:pPr>
        <w:adjustRightInd w:val="0"/>
        <w:snapToGrid w:val="0"/>
        <w:spacing w:line="360" w:lineRule="auto"/>
        <w:ind w:firstLine="470" w:firstLineChars="196"/>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t>根据政府采购合同文件要求，确定政府采购合同的总金额。</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23" w:name="_Toc22359_WPSOffice_Level1"/>
      <w:bookmarkStart w:id="124" w:name="_Toc941_WPSOffice_Level1"/>
      <w:bookmarkStart w:id="125" w:name="_Toc11969_WPSOffice_Level1"/>
      <w:r>
        <w:rPr>
          <w:rFonts w:hint="eastAsia" w:asciiTheme="minorEastAsia" w:hAnsiTheme="minorEastAsia" w:eastAsiaTheme="minorEastAsia" w:cstheme="minorEastAsia"/>
          <w:b/>
          <w:sz w:val="24"/>
          <w:szCs w:val="24"/>
          <w:highlight w:val="none"/>
        </w:rPr>
        <w:t>5.付款</w:t>
      </w:r>
      <w:bookmarkEnd w:id="123"/>
      <w:bookmarkEnd w:id="124"/>
      <w:bookmarkEnd w:id="125"/>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u w:val="single"/>
        </w:rPr>
      </w:pPr>
      <w:bookmarkStart w:id="126" w:name="_Toc22351_WPSOffice_Level2"/>
      <w:r>
        <w:rPr>
          <w:rFonts w:hint="eastAsia" w:asciiTheme="minorEastAsia" w:hAnsiTheme="minorEastAsia" w:eastAsiaTheme="minorEastAsia" w:cstheme="minorEastAsia"/>
          <w:sz w:val="24"/>
          <w:szCs w:val="24"/>
          <w:highlight w:val="none"/>
        </w:rPr>
        <w:t>5.1付款方式.条件：需方按照合同约定的方式和条件付款。</w:t>
      </w:r>
      <w:bookmarkEnd w:id="126"/>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27" w:name="_Toc10526_WPSOffice_Level1"/>
      <w:bookmarkStart w:id="128" w:name="_Toc27769_WPSOffice_Level1"/>
      <w:bookmarkStart w:id="129" w:name="_Toc30478_WPSOffice_Level1"/>
      <w:r>
        <w:rPr>
          <w:rFonts w:hint="eastAsia" w:asciiTheme="minorEastAsia" w:hAnsiTheme="minorEastAsia" w:eastAsiaTheme="minorEastAsia" w:cstheme="minorEastAsia"/>
          <w:b/>
          <w:sz w:val="24"/>
          <w:szCs w:val="24"/>
          <w:highlight w:val="none"/>
        </w:rPr>
        <w:t>6.验收</w:t>
      </w:r>
      <w:bookmarkEnd w:id="127"/>
      <w:bookmarkEnd w:id="128"/>
      <w:bookmarkEnd w:id="129"/>
      <w:r>
        <w:rPr>
          <w:rFonts w:hint="eastAsia" w:asciiTheme="minorEastAsia" w:hAnsiTheme="minorEastAsia" w:eastAsiaTheme="minorEastAsia" w:cstheme="minorEastAsia"/>
          <w:b/>
          <w:sz w:val="24"/>
          <w:szCs w:val="24"/>
          <w:highlight w:val="none"/>
        </w:rPr>
        <w:t xml:space="preserve"> </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6.1供方提交的货物由需方或者需方的最终用户负责验收。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6.2需方或者需方的最终用户应当按照采购合同规定的技术.服务等要求组织对供应商履约的验收，并出具验收书。验收书应当包括每一项技术.服务等要求的履约情况。</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6.3大型或者复杂的项目，应当邀请国家认可的质量检测机构参加验收。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6.4政府向社会公众提供的公共服务项目，验收时应当邀请服务对象参与并出具意见，验收结果应当向社会公告。</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6.5需方或者需方的最终用户根据政府采购合同的约定接收货物，在接收时对货物的品种.规格.性能.质量.数量.外观以及配件等进行验收。需方对货物的规格技术指标如有异议，应从验收结束之日起10日内按照政府采购合同约定的方式提出。验收通过后，需方向供方收取本政府采购合同第3.3款所列明的销售发票等文件并在验收书上签字和加盖单位公章，作为验收合格.同意付款的依据。</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6.6货物保修期自验收书签署之日起计算。</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30" w:name="_Toc23127_WPSOffice_Level1"/>
      <w:bookmarkStart w:id="131" w:name="_Toc31292_WPSOffice_Level1"/>
      <w:bookmarkStart w:id="132" w:name="_Toc21868_WPSOffice_Level1"/>
      <w:r>
        <w:rPr>
          <w:rFonts w:hint="eastAsia" w:asciiTheme="minorEastAsia" w:hAnsiTheme="minorEastAsia" w:eastAsiaTheme="minorEastAsia" w:cstheme="minorEastAsia"/>
          <w:b/>
          <w:sz w:val="24"/>
          <w:szCs w:val="24"/>
          <w:highlight w:val="none"/>
        </w:rPr>
        <w:t>7.知识产权及有关规定</w:t>
      </w:r>
      <w:bookmarkEnd w:id="130"/>
      <w:bookmarkEnd w:id="131"/>
      <w:bookmarkEnd w:id="132"/>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7.1供方应保证其向需方提供的任何货物或其任何部分或该货物与其他货物一起使用后，不侵犯任何第三方的知识产权.专有技术权.商业秘密权或其他任何权利。 如因上述原因，第三方向需方提起侵权诉讼，供方有义务协助需方。如因此给需方造成损失，供方同意赔付需方遭受的损失。</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7.2一方对另一方提供的技术资料.样件.图纸及其他与质量.技术.经营相关信息（包括但不限于价格.数量）有保密义务。双方应确保其人员及相关协作方承担保密义务。</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供方保证，供方依据本政府采购合同提供的货物及相关的软件和技术资料，供方均已得到有关知识产权的权利人的合法授权，如发生涉及到专利权.著作权.商标权等争议，供方负责交涉.处理，并承担由此引起的对第三人和需方的全部法律及经济责任。</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7.4本合同中涉及保密和知识产权任何条款，在合同期限内及合同终止后持续有效。</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33" w:name="_Toc26796_WPSOffice_Level1"/>
      <w:bookmarkStart w:id="134" w:name="_Toc24765_WPSOffice_Level1"/>
      <w:bookmarkStart w:id="135" w:name="_Toc21090_WPSOffice_Level1"/>
      <w:r>
        <w:rPr>
          <w:rFonts w:hint="eastAsia" w:asciiTheme="minorEastAsia" w:hAnsiTheme="minorEastAsia" w:eastAsiaTheme="minorEastAsia" w:cstheme="minorEastAsia"/>
          <w:b/>
          <w:sz w:val="24"/>
          <w:szCs w:val="24"/>
          <w:highlight w:val="none"/>
        </w:rPr>
        <w:t>8.包装要求</w:t>
      </w:r>
      <w:bookmarkEnd w:id="133"/>
      <w:bookmarkEnd w:id="134"/>
      <w:bookmarkEnd w:id="135"/>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除政府采购合同另有规定外，供方提供的全部货物均应按标准保护措施进行包装。这类包装应适应于远距离运输.防潮.防震.防锈和防野蛮装卸，以确保货物安全无损运抵指定交货地点。如因包装问题导致货物毁损或者品质下降，需方有权要求降价.换货.拒收部分或整批货物，由此造成需方的费用和损失，均由供方承担。</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8.2每一个包装箱内应附一份详细的装箱单和质量合格证书。</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8.3包装费由供方承担，包装物不回收。</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36" w:name="_Toc1308_WPSOffice_Level1"/>
      <w:bookmarkStart w:id="137" w:name="_Toc2304_WPSOffice_Level1"/>
      <w:bookmarkStart w:id="138" w:name="_Toc26447_WPSOffice_Level1"/>
      <w:r>
        <w:rPr>
          <w:rFonts w:hint="eastAsia" w:asciiTheme="minorEastAsia" w:hAnsiTheme="minorEastAsia" w:eastAsiaTheme="minorEastAsia" w:cstheme="minorEastAsia"/>
          <w:b/>
          <w:sz w:val="24"/>
          <w:szCs w:val="24"/>
          <w:highlight w:val="none"/>
        </w:rPr>
        <w:t>9.伴随服务</w:t>
      </w:r>
      <w:bookmarkEnd w:id="136"/>
      <w:bookmarkEnd w:id="137"/>
      <w:bookmarkEnd w:id="138"/>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9.1供方应提供所交付货物的全套技术文件资料，包括产品目录.图纸.操作手册.使用说明.维护手册和服务指南等。</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9.2供方还应提供下列服务：</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9.2.1货物的现场安装.启动和试运行；</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9.2.2提供货物组装和维修所需的工具；</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9.2.3在质量保证期内对所交付货物提供运行监督.维修.保养等,如果招标文件没有特别要求，以供方在投标文件中提交的售后服务承诺书为准。如果上述文件规定有不一致之处，以对需方有利的为准。</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9.2.4在制造厂家或在项目现场就货物的安装.启动.运行.维护等对需方人员进行培训，直至需方人员掌握全部上述技能为止。</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9.3伴随服务的费用应含在合同价中，不单独进行支付。</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39" w:name="_Toc8205_WPSOffice_Level1"/>
      <w:bookmarkStart w:id="140" w:name="_Toc14320_WPSOffice_Level1"/>
      <w:bookmarkStart w:id="141" w:name="_Toc7636_WPSOffice_Level1"/>
      <w:r>
        <w:rPr>
          <w:rFonts w:hint="eastAsia" w:asciiTheme="minorEastAsia" w:hAnsiTheme="minorEastAsia" w:eastAsiaTheme="minorEastAsia" w:cstheme="minorEastAsia"/>
          <w:b/>
          <w:sz w:val="24"/>
          <w:szCs w:val="24"/>
          <w:highlight w:val="none"/>
        </w:rPr>
        <w:t>10.质量保证期</w:t>
      </w:r>
      <w:bookmarkEnd w:id="139"/>
      <w:bookmarkEnd w:id="140"/>
      <w:bookmarkEnd w:id="141"/>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10.1以招标文件中的规定为准，如果投标文件中的承诺优于招标文件规定，则以投标文件为准。</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10.2如果招标文件没有特别要求，以供方在投标文件中提交的制造厂商的有关文件为准。如果上述文件规定有不一致之处，以对需方有利的为准。</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42" w:name="_Toc13950_WPSOffice_Level1"/>
      <w:bookmarkStart w:id="143" w:name="_Toc16220_WPSOffice_Level1"/>
      <w:bookmarkStart w:id="144" w:name="_Toc18427_WPSOffice_Level1"/>
      <w:r>
        <w:rPr>
          <w:rFonts w:hint="eastAsia" w:asciiTheme="minorEastAsia" w:hAnsiTheme="minorEastAsia" w:eastAsiaTheme="minorEastAsia" w:cstheme="minorEastAsia"/>
          <w:b/>
          <w:sz w:val="24"/>
          <w:szCs w:val="24"/>
          <w:highlight w:val="none"/>
        </w:rPr>
        <w:t>11.质量保证</w:t>
      </w:r>
      <w:bookmarkEnd w:id="142"/>
      <w:bookmarkEnd w:id="143"/>
      <w:bookmarkEnd w:id="144"/>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招标文件.投标文件确定的性能。由于设计.工艺或材料的缺陷而产生的故障，供方应向需方承担质量保证责任，该责任不受质量保证期的限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11.3如果供方在接到需方通知后，在本政府采购合同约定的响应时间内没有弥补缺陷，需方可采取必要的补救措施，但其风险和费用将由供方负担，并且需方根据合同规定对供方行使的其它权利不受影响。</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45" w:name="_Toc9090_WPSOffice_Level1"/>
      <w:bookmarkStart w:id="146" w:name="_Toc29469_WPSOffice_Level1"/>
      <w:bookmarkStart w:id="147" w:name="_Toc24667_WPSOffice_Level1"/>
      <w:r>
        <w:rPr>
          <w:rFonts w:hint="eastAsia" w:asciiTheme="minorEastAsia" w:hAnsiTheme="minorEastAsia" w:eastAsiaTheme="minorEastAsia" w:cstheme="minorEastAsia"/>
          <w:b/>
          <w:sz w:val="24"/>
          <w:szCs w:val="24"/>
          <w:highlight w:val="none"/>
        </w:rPr>
        <w:t>12.技术服务和保修责任</w:t>
      </w:r>
      <w:bookmarkEnd w:id="145"/>
      <w:bookmarkEnd w:id="146"/>
      <w:bookmarkEnd w:id="147"/>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12.1供方对政府采购合同货物的保修期，以招标文件中的规定为准，如果投标文件中的承诺优于招标文件规定，则以投标文件为准。</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12.2投标人应按如下内容提供售后服务承诺书：</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12.2.1产品经过试运行期，所有性能指标达到技术规范书的要求时，可按招标文件.投标文件内容进行初验。在试运行期间，由于产品质量等造成某些指标达不到要求，供方须更换或进行修复，试运行期重新计算。</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12.2.3保修期间供方要保修除消耗品以外的所有产品。如果系统.设备等发生故障，供方要调查故障原因并修复直至满足最终验收指标和性能的要求，或者修理.更换整个或部分有缺陷的材料。</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12.2.4保修期内，供方提供电话.电子邮件.Web.现场服务等方式的技术支持，对用户的现场服务要求，供方必须按投标文件做出的承诺进行响应。</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12.2.5保修期内，供方应对出现故障无法修复的产品或无法正常运行的系统，提供替代产品以保证系统的正常工作。</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12.2.6保修期内，供方应投标时的承诺提供相关服务。</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质尚未支付的政府采购合同价款中扣除。如果这些金额不足以补偿，需方有权向供方提出不足部分的赔偿要求。货物经维修或更换后仍无法达到约定质量要求和技术标准，需方有权退货并向供方索赔。</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48" w:name="_Toc11781_WPSOffice_Level1"/>
      <w:bookmarkStart w:id="149" w:name="_Toc16924_WPSOffice_Level1"/>
      <w:bookmarkStart w:id="150" w:name="_Toc8548_WPSOffice_Level1"/>
      <w:r>
        <w:rPr>
          <w:rFonts w:hint="eastAsia" w:asciiTheme="minorEastAsia" w:hAnsiTheme="minorEastAsia" w:eastAsiaTheme="minorEastAsia" w:cstheme="minorEastAsia"/>
          <w:b/>
          <w:sz w:val="24"/>
          <w:szCs w:val="24"/>
          <w:highlight w:val="none"/>
        </w:rPr>
        <w:t>13.违约责任</w:t>
      </w:r>
      <w:bookmarkEnd w:id="148"/>
      <w:bookmarkEnd w:id="149"/>
      <w:bookmarkEnd w:id="150"/>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约定的任何其它义务时，需方有权向供方发出违约通知书，供方应按照需方选择的下列一种或多种方式承担赔偿责任：</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13.1.1在需方同意延长的期限内交付全部货物.提供服务并承担由此给需方造成的一切损失；</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13.1.2在需方规定的时间内，用符合政府采购合同约定的规格.质量和性能要求的新零件.部件或货物来更换有缺陷的零件.部件和货物并修补缺陷部分以达到政府采购合同规定的要求，供方应承担由此发生的一切费用和风险。此时，相关货物的保修期也应相应延长；</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13.1.3根据货物低劣程度.损坏程度以及使需方所遭受的损失，经双方商定降低货物的价格或赔偿需方所遭受的损失；</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13.1.5需方有权部分或全部解除政府采购合同并要求供方赔偿由此造成的损失。此时需方可采取必要的补救措施，相关费用由供方承担。</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如果供方在收到需方的违约通知书后10日内未作答复也没有按照需方选择的方式承担违约责任，则需方有权从尚未支付的政府采购合同价款中扣回索赔金额，如果招标文件要求中标人提交履约保证金，则需方有权先从履约保证金中扣除索赔金额。如果这些金额不足以补偿，需方有权向供方提出不足部分的赔偿要求。</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13.3延期交货的违约责任</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13.3.1供方未按政府采购合同规定的交货日期向需方交货时，则每逾期一日，供方应按逾期交付货物价款总值的0.05%计算，向需方支付逾期交货违约金，但不超过政府采购合同总金额的10%。供方支付逾期交货违约金并不免除供方交货的责任。</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13.3.2如供方在政府采购合同规定的交货日期后10天内仍未能交货，则视为供方不能交货，需方有权解除政府采购合同，供方除退还已收取的货款外，还应向需方偿付政府采购合同总金额10%的违约金。</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13.4以上各项交付的违约金并不影响违约方履行政府采购合同的各项义务。</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51" w:name="_Toc32310_WPSOffice_Level1"/>
      <w:bookmarkStart w:id="152" w:name="_Toc21833_WPSOffice_Level1"/>
      <w:bookmarkStart w:id="153" w:name="_Toc28610_WPSOffice_Level1"/>
      <w:r>
        <w:rPr>
          <w:rFonts w:hint="eastAsia" w:asciiTheme="minorEastAsia" w:hAnsiTheme="minorEastAsia" w:eastAsiaTheme="minorEastAsia" w:cstheme="minorEastAsia"/>
          <w:b/>
          <w:sz w:val="24"/>
          <w:szCs w:val="24"/>
          <w:highlight w:val="none"/>
        </w:rPr>
        <w:t>14.不可抗力</w:t>
      </w:r>
      <w:bookmarkEnd w:id="151"/>
      <w:bookmarkEnd w:id="152"/>
      <w:bookmarkEnd w:id="153"/>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14.2本条所述的“不可抗力”系指那些双方无法控制，不可预见的事件，但不包括双方的违约或疏忽。这些事件包括但不限于：战争.严重火灾.洪水.台风.地震。</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54" w:name="_Toc3262_WPSOffice_Level1"/>
      <w:bookmarkStart w:id="155" w:name="_Toc13390_WPSOffice_Level1"/>
      <w:bookmarkStart w:id="156" w:name="_Toc12037_WPSOffice_Level1"/>
      <w:r>
        <w:rPr>
          <w:rFonts w:hint="eastAsia" w:asciiTheme="minorEastAsia" w:hAnsiTheme="minorEastAsia" w:eastAsiaTheme="minorEastAsia" w:cstheme="minorEastAsia"/>
          <w:b/>
          <w:sz w:val="24"/>
          <w:szCs w:val="24"/>
          <w:highlight w:val="none"/>
        </w:rPr>
        <w:t>15.争端的解决</w:t>
      </w:r>
      <w:bookmarkEnd w:id="154"/>
      <w:bookmarkEnd w:id="155"/>
      <w:bookmarkEnd w:id="156"/>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15.1政府采购合同的履行.违约责任和解决争议的方法等适用《中华人民共和国</w:t>
      </w:r>
      <w:r>
        <w:rPr>
          <w:rFonts w:hint="eastAsia" w:asciiTheme="minorEastAsia" w:hAnsiTheme="minorEastAsia" w:cstheme="minorEastAsia"/>
          <w:sz w:val="24"/>
          <w:szCs w:val="24"/>
          <w:highlight w:val="none"/>
          <w:lang w:eastAsia="zh-CN"/>
        </w:rPr>
        <w:t>民法典</w:t>
      </w:r>
      <w:r>
        <w:rPr>
          <w:rFonts w:hint="eastAsia" w:asciiTheme="minorEastAsia" w:hAnsiTheme="minorEastAsia" w:eastAsiaTheme="minorEastAsia" w:cstheme="minorEastAsia"/>
          <w:sz w:val="24"/>
          <w:szCs w:val="24"/>
          <w:highlight w:val="none"/>
        </w:rPr>
        <w:t>》。</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15.2需方和供方应通过友好协商，解决在执行本政府采购合同过程中所发生的或与本政府采购合同有关的一切争端。</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15.3如果调解不成，双方中的任何一方可向需方所在地的人民法院提起诉讼。</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15.4因政府采购合同部分履行引发诉讼的，在诉讼期间，除正在进行诉讼的部分外，本政府采购合同的其它部分应继续执行。</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57" w:name="_Toc1917_WPSOffice_Level1"/>
      <w:bookmarkStart w:id="158" w:name="_Toc7773_WPSOffice_Level1"/>
      <w:bookmarkStart w:id="159" w:name="_Toc27539_WPSOffice_Level1"/>
      <w:r>
        <w:rPr>
          <w:rFonts w:hint="eastAsia" w:asciiTheme="minorEastAsia" w:hAnsiTheme="minorEastAsia" w:eastAsiaTheme="minorEastAsia" w:cstheme="minorEastAsia"/>
          <w:b/>
          <w:sz w:val="24"/>
          <w:szCs w:val="24"/>
          <w:highlight w:val="none"/>
        </w:rPr>
        <w:t>16.违约终止政府采购合同</w:t>
      </w:r>
      <w:bookmarkEnd w:id="157"/>
      <w:bookmarkEnd w:id="158"/>
      <w:bookmarkEnd w:id="159"/>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16.1在需方因供方违约而按政府采购合同约定采取的任何补救措施均无效的情况下，需方可在下列情况下向供方发出书面通知，提出终止部分或全部政府采购合同。</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16.1.1如果供方未能在政府采购合同规定的限期或需方同意延长的限期内提供部分或全部货物和服务；</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16.1.2未经需方事先书面同意，供方部分转让和分包或全部转让和分包其应履行的政府采购合同义务。</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60" w:name="_Toc11967_WPSOffice_Level1"/>
      <w:bookmarkStart w:id="161" w:name="_Toc4220_WPSOffice_Level1"/>
      <w:bookmarkStart w:id="162" w:name="_Toc27976_WPSOffice_Level1"/>
      <w:r>
        <w:rPr>
          <w:rFonts w:hint="eastAsia" w:asciiTheme="minorEastAsia" w:hAnsiTheme="minorEastAsia" w:eastAsiaTheme="minorEastAsia" w:cstheme="minorEastAsia"/>
          <w:b/>
          <w:sz w:val="24"/>
          <w:szCs w:val="24"/>
          <w:highlight w:val="none"/>
        </w:rPr>
        <w:t>17.政府采购合同转让和分包</w:t>
      </w:r>
      <w:bookmarkEnd w:id="160"/>
      <w:bookmarkEnd w:id="161"/>
      <w:bookmarkEnd w:id="162"/>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除招标文件规定,并经需方事先书面同意外，供方不得部分转让和分包或全部转让和分包其应履行的政府采购合同义务。</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63" w:name="_Toc30020_WPSOffice_Level1"/>
      <w:bookmarkStart w:id="164" w:name="_Toc16873_WPSOffice_Level1"/>
      <w:bookmarkStart w:id="165" w:name="_Toc737_WPSOffice_Level1"/>
      <w:r>
        <w:rPr>
          <w:rFonts w:hint="eastAsia" w:asciiTheme="minorEastAsia" w:hAnsiTheme="minorEastAsia" w:eastAsiaTheme="minorEastAsia" w:cstheme="minorEastAsia"/>
          <w:b/>
          <w:sz w:val="24"/>
          <w:szCs w:val="24"/>
          <w:highlight w:val="none"/>
        </w:rPr>
        <w:t>18.适用法律：</w:t>
      </w:r>
      <w:bookmarkEnd w:id="163"/>
      <w:bookmarkEnd w:id="164"/>
      <w:bookmarkEnd w:id="165"/>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本政府采购合同按照中华人民共和国的现行法律进行解释。</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66" w:name="_Toc29009_WPSOffice_Level1"/>
      <w:bookmarkStart w:id="167" w:name="_Toc23749_WPSOffice_Level1"/>
      <w:bookmarkStart w:id="168" w:name="_Toc20985_WPSOffice_Level1"/>
      <w:r>
        <w:rPr>
          <w:rFonts w:hint="eastAsia" w:asciiTheme="minorEastAsia" w:hAnsiTheme="minorEastAsia" w:eastAsiaTheme="minorEastAsia" w:cstheme="minorEastAsia"/>
          <w:b/>
          <w:sz w:val="24"/>
          <w:szCs w:val="24"/>
          <w:highlight w:val="none"/>
        </w:rPr>
        <w:t>19.政府采购合同生效</w:t>
      </w:r>
      <w:bookmarkEnd w:id="166"/>
      <w:bookmarkEnd w:id="167"/>
      <w:bookmarkEnd w:id="168"/>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19.1本政府采购合同在供需双方法定代表人或其授权代理人签字和加盖公章后生效。</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19.2本政府采购合同一式五份，需方执二份，供方.采购代理机构.财政部门各执一份。</w:t>
      </w:r>
    </w:p>
    <w:p>
      <w:pPr>
        <w:adjustRightInd w:val="0"/>
        <w:snapToGrid w:val="0"/>
        <w:spacing w:line="360" w:lineRule="auto"/>
        <w:ind w:firstLine="472" w:firstLineChars="196"/>
        <w:rPr>
          <w:rFonts w:hint="eastAsia" w:asciiTheme="minorEastAsia" w:hAnsiTheme="minorEastAsia" w:eastAsiaTheme="minorEastAsia" w:cstheme="minorEastAsia"/>
          <w:b/>
          <w:sz w:val="24"/>
          <w:szCs w:val="24"/>
          <w:highlight w:val="none"/>
        </w:rPr>
      </w:pPr>
      <w:bookmarkStart w:id="169" w:name="_Toc12339_WPSOffice_Level1"/>
      <w:bookmarkStart w:id="170" w:name="_Toc405_WPSOffice_Level1"/>
      <w:bookmarkStart w:id="171" w:name="_Toc20274_WPSOffice_Level1"/>
      <w:r>
        <w:rPr>
          <w:rFonts w:hint="eastAsia" w:asciiTheme="minorEastAsia" w:hAnsiTheme="minorEastAsia" w:eastAsiaTheme="minorEastAsia" w:cstheme="minorEastAsia"/>
          <w:b/>
          <w:sz w:val="24"/>
          <w:szCs w:val="24"/>
          <w:highlight w:val="none"/>
        </w:rPr>
        <w:t>20.政府采购合同附件</w:t>
      </w:r>
      <w:bookmarkEnd w:id="169"/>
      <w:bookmarkEnd w:id="170"/>
      <w:bookmarkEnd w:id="171"/>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下列文件构成本政府采购合同不可分割的组成部分，与本政府采购合同具有同等法律效力：</w:t>
      </w:r>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bookmarkStart w:id="172" w:name="_Toc3518_WPSOffice_Level2"/>
      <w:r>
        <w:rPr>
          <w:rFonts w:hint="eastAsia" w:asciiTheme="minorEastAsia" w:hAnsiTheme="minorEastAsia" w:eastAsiaTheme="minorEastAsia" w:cstheme="minorEastAsia"/>
          <w:sz w:val="24"/>
          <w:szCs w:val="24"/>
          <w:highlight w:val="none"/>
        </w:rPr>
        <w:t>20.1招标文件；</w:t>
      </w:r>
      <w:bookmarkEnd w:id="172"/>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bookmarkStart w:id="173" w:name="_Toc7342_WPSOffice_Level2"/>
      <w:r>
        <w:rPr>
          <w:rFonts w:hint="eastAsia" w:asciiTheme="minorEastAsia" w:hAnsiTheme="minorEastAsia" w:eastAsiaTheme="minorEastAsia" w:cstheme="minorEastAsia"/>
          <w:sz w:val="24"/>
          <w:szCs w:val="24"/>
          <w:highlight w:val="none"/>
        </w:rPr>
        <w:t>20.2招标文件的更正公告.变更公告；</w:t>
      </w:r>
      <w:bookmarkEnd w:id="173"/>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bookmarkStart w:id="174" w:name="_Toc576_WPSOffice_Level2"/>
      <w:r>
        <w:rPr>
          <w:rFonts w:hint="eastAsia" w:asciiTheme="minorEastAsia" w:hAnsiTheme="minorEastAsia" w:eastAsiaTheme="minorEastAsia" w:cstheme="minorEastAsia"/>
          <w:sz w:val="24"/>
          <w:szCs w:val="24"/>
          <w:highlight w:val="none"/>
        </w:rPr>
        <w:t>20.3中标人提交的投标文件；</w:t>
      </w:r>
      <w:bookmarkEnd w:id="174"/>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bookmarkStart w:id="175" w:name="_Toc25464_WPSOffice_Level2"/>
      <w:r>
        <w:rPr>
          <w:rFonts w:hint="eastAsia" w:asciiTheme="minorEastAsia" w:hAnsiTheme="minorEastAsia" w:eastAsiaTheme="minorEastAsia" w:cstheme="minorEastAsia"/>
          <w:sz w:val="24"/>
          <w:szCs w:val="24"/>
          <w:highlight w:val="none"/>
        </w:rPr>
        <w:t>20.4政府采购合同条款；</w:t>
      </w:r>
      <w:bookmarkEnd w:id="175"/>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bookmarkStart w:id="176" w:name="_Toc25590_WPSOffice_Level2"/>
      <w:r>
        <w:rPr>
          <w:rFonts w:hint="eastAsia" w:asciiTheme="minorEastAsia" w:hAnsiTheme="minorEastAsia" w:eastAsiaTheme="minorEastAsia" w:cstheme="minorEastAsia"/>
          <w:sz w:val="24"/>
          <w:szCs w:val="24"/>
          <w:highlight w:val="none"/>
        </w:rPr>
        <w:t>20.5中标通知书；</w:t>
      </w:r>
      <w:bookmarkEnd w:id="176"/>
    </w:p>
    <w:p>
      <w:pPr>
        <w:adjustRightInd w:val="0"/>
        <w:snapToGrid w:val="0"/>
        <w:spacing w:line="360" w:lineRule="auto"/>
        <w:ind w:firstLine="470" w:firstLineChars="196"/>
        <w:rPr>
          <w:rFonts w:hint="eastAsia" w:asciiTheme="minorEastAsia" w:hAnsiTheme="minorEastAsia" w:eastAsiaTheme="minorEastAsia" w:cstheme="minorEastAsia"/>
          <w:sz w:val="24"/>
          <w:szCs w:val="24"/>
          <w:highlight w:val="none"/>
        </w:rPr>
      </w:pPr>
      <w:bookmarkStart w:id="177" w:name="_Toc10297_WPSOffice_Level2"/>
      <w:r>
        <w:rPr>
          <w:rFonts w:hint="eastAsia" w:asciiTheme="minorEastAsia" w:hAnsiTheme="minorEastAsia" w:eastAsiaTheme="minorEastAsia" w:cstheme="minorEastAsia"/>
          <w:sz w:val="24"/>
          <w:szCs w:val="24"/>
          <w:highlight w:val="none"/>
        </w:rPr>
        <w:t>20.6政府采购合同的其它附件。</w:t>
      </w:r>
      <w:bookmarkEnd w:id="177"/>
    </w:p>
    <w:p>
      <w:pPr>
        <w:rPr>
          <w:rFonts w:hint="eastAsia" w:asciiTheme="minorEastAsia" w:hAnsiTheme="minorEastAsia" w:cstheme="minorEastAsia"/>
          <w:b/>
          <w:bCs/>
          <w:sz w:val="44"/>
          <w:szCs w:val="44"/>
          <w:highlight w:val="none"/>
        </w:rPr>
      </w:pPr>
      <w:bookmarkStart w:id="178" w:name="_Toc7832_WPSOffice_Level1"/>
      <w:bookmarkStart w:id="179" w:name="_Toc11644_WPSOffice_Level1"/>
      <w:r>
        <w:rPr>
          <w:rFonts w:hint="eastAsia" w:asciiTheme="minorEastAsia" w:hAnsiTheme="minorEastAsia" w:cstheme="minorEastAsia"/>
          <w:b/>
          <w:bCs/>
          <w:sz w:val="44"/>
          <w:szCs w:val="44"/>
          <w:highlight w:val="none"/>
        </w:rPr>
        <w:br w:type="page"/>
      </w:r>
    </w:p>
    <w:p>
      <w:pPr>
        <w:adjustRightInd w:val="0"/>
        <w:snapToGrid w:val="0"/>
        <w:spacing w:line="360" w:lineRule="auto"/>
        <w:jc w:val="center"/>
        <w:rPr>
          <w:rFonts w:hint="eastAsia" w:asciiTheme="minorEastAsia" w:hAnsiTheme="minorEastAsia" w:eastAsiaTheme="minorEastAsia" w:cstheme="minorEastAsia"/>
          <w:b/>
          <w:bCs/>
          <w:sz w:val="44"/>
          <w:szCs w:val="44"/>
          <w:highlight w:val="none"/>
          <w:lang w:eastAsia="zh-CN"/>
        </w:rPr>
      </w:pPr>
      <w:r>
        <w:rPr>
          <w:rFonts w:hint="eastAsia" w:asciiTheme="minorEastAsia" w:hAnsiTheme="minorEastAsia" w:cstheme="minorEastAsia"/>
          <w:b/>
          <w:bCs/>
          <w:sz w:val="44"/>
          <w:szCs w:val="44"/>
          <w:highlight w:val="none"/>
        </w:rPr>
        <w:t>政府采购合同格式</w:t>
      </w:r>
      <w:bookmarkEnd w:id="178"/>
      <w:bookmarkEnd w:id="179"/>
      <w:r>
        <w:rPr>
          <w:rFonts w:hint="eastAsia" w:asciiTheme="minorEastAsia" w:hAnsiTheme="minorEastAsia" w:cstheme="minorEastAsia"/>
          <w:b/>
          <w:bCs/>
          <w:sz w:val="44"/>
          <w:szCs w:val="44"/>
          <w:highlight w:val="none"/>
          <w:lang w:eastAsia="zh-CN"/>
        </w:rPr>
        <w:t>（</w:t>
      </w:r>
      <w:r>
        <w:rPr>
          <w:rFonts w:hint="eastAsia" w:asciiTheme="minorEastAsia" w:hAnsiTheme="minorEastAsia" w:cstheme="minorEastAsia"/>
          <w:b/>
          <w:bCs/>
          <w:sz w:val="44"/>
          <w:szCs w:val="44"/>
          <w:highlight w:val="none"/>
          <w:lang w:val="en-US" w:eastAsia="zh-CN"/>
        </w:rPr>
        <w:t>参考合同</w:t>
      </w:r>
      <w:r>
        <w:rPr>
          <w:rFonts w:hint="eastAsia" w:asciiTheme="minorEastAsia" w:hAnsiTheme="minorEastAsia" w:cstheme="minorEastAsia"/>
          <w:b/>
          <w:bCs/>
          <w:sz w:val="44"/>
          <w:szCs w:val="44"/>
          <w:highlight w:val="none"/>
          <w:lang w:eastAsia="zh-CN"/>
        </w:rPr>
        <w:t>）</w:t>
      </w:r>
    </w:p>
    <w:p>
      <w:pPr>
        <w:spacing w:line="360" w:lineRule="auto"/>
        <w:rPr>
          <w:rFonts w:ascii="宋体" w:hAnsi="宋体"/>
          <w:sz w:val="24"/>
          <w:szCs w:val="24"/>
        </w:rPr>
      </w:pPr>
      <w:r>
        <w:rPr>
          <w:rFonts w:hint="eastAsia" w:ascii="宋体" w:hAnsi="宋体"/>
          <w:sz w:val="24"/>
          <w:szCs w:val="24"/>
        </w:rPr>
        <w:t>甲方：</w:t>
      </w:r>
      <w:r>
        <w:rPr>
          <w:rFonts w:hint="eastAsia" w:ascii="宋体" w:hAnsi="宋体"/>
          <w:sz w:val="24"/>
          <w:szCs w:val="24"/>
          <w:lang w:eastAsia="zh-CN"/>
        </w:rPr>
        <w:t>西安市</w:t>
      </w:r>
      <w:r>
        <w:rPr>
          <w:rFonts w:hint="eastAsia" w:ascii="宋体" w:hAnsi="宋体"/>
          <w:sz w:val="24"/>
          <w:szCs w:val="24"/>
          <w:lang w:val="en-US" w:eastAsia="zh-CN"/>
        </w:rPr>
        <w:t>第一医院</w:t>
      </w:r>
      <w:r>
        <w:rPr>
          <w:rFonts w:ascii="宋体" w:hAnsi="宋体"/>
          <w:sz w:val="24"/>
          <w:szCs w:val="24"/>
        </w:rPr>
        <w:t xml:space="preserve"> </w:t>
      </w:r>
    </w:p>
    <w:p>
      <w:pPr>
        <w:spacing w:line="360" w:lineRule="auto"/>
        <w:rPr>
          <w:rFonts w:ascii="宋体" w:hAnsi="宋体"/>
          <w:sz w:val="24"/>
          <w:szCs w:val="24"/>
        </w:rPr>
      </w:pPr>
      <w:r>
        <w:rPr>
          <w:rFonts w:hint="eastAsia" w:ascii="宋体" w:hAnsi="宋体"/>
          <w:sz w:val="24"/>
          <w:szCs w:val="24"/>
        </w:rPr>
        <w:t>住所地：</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联系方式：</w:t>
      </w:r>
    </w:p>
    <w:p>
      <w:pPr>
        <w:spacing w:line="360" w:lineRule="auto"/>
        <w:rPr>
          <w:rFonts w:ascii="宋体" w:hAnsi="宋体"/>
          <w:sz w:val="24"/>
          <w:szCs w:val="24"/>
        </w:rPr>
      </w:pPr>
      <w:r>
        <w:rPr>
          <w:rFonts w:hint="eastAsia" w:ascii="宋体" w:hAnsi="宋体"/>
          <w:sz w:val="24"/>
          <w:szCs w:val="24"/>
        </w:rPr>
        <w:t>乙方：</w:t>
      </w:r>
    </w:p>
    <w:p>
      <w:pPr>
        <w:spacing w:line="360" w:lineRule="auto"/>
        <w:rPr>
          <w:rFonts w:ascii="宋体" w:hAnsi="宋体"/>
          <w:sz w:val="24"/>
          <w:szCs w:val="24"/>
        </w:rPr>
      </w:pPr>
      <w:r>
        <w:rPr>
          <w:rFonts w:hint="eastAsia" w:ascii="宋体" w:hAnsi="宋体"/>
          <w:sz w:val="24"/>
          <w:szCs w:val="24"/>
        </w:rPr>
        <w:t>住所地：</w:t>
      </w:r>
    </w:p>
    <w:p>
      <w:pPr>
        <w:spacing w:line="360" w:lineRule="auto"/>
        <w:rPr>
          <w:rFonts w:ascii="宋体" w:hAnsi="宋体"/>
          <w:sz w:val="24"/>
          <w:szCs w:val="24"/>
        </w:rPr>
      </w:pPr>
      <w:r>
        <w:rPr>
          <w:rFonts w:hint="eastAsia" w:ascii="宋体" w:hAnsi="宋体"/>
          <w:sz w:val="24"/>
          <w:szCs w:val="24"/>
        </w:rPr>
        <w:t>法定代表人：</w:t>
      </w:r>
    </w:p>
    <w:p>
      <w:pPr>
        <w:spacing w:line="360" w:lineRule="auto"/>
        <w:rPr>
          <w:rFonts w:ascii="宋体" w:hAnsi="宋体"/>
          <w:sz w:val="24"/>
          <w:szCs w:val="24"/>
        </w:rPr>
      </w:pPr>
      <w:r>
        <w:rPr>
          <w:rFonts w:hint="eastAsia" w:ascii="宋体" w:hAnsi="宋体"/>
          <w:sz w:val="24"/>
          <w:szCs w:val="24"/>
        </w:rPr>
        <w:t>联系方式：</w:t>
      </w:r>
    </w:p>
    <w:p>
      <w:pPr>
        <w:spacing w:line="360" w:lineRule="auto"/>
        <w:ind w:right="57" w:rightChars="27" w:firstLine="480" w:firstLineChars="200"/>
        <w:rPr>
          <w:rFonts w:ascii="宋体" w:hAnsi="宋体"/>
          <w:sz w:val="24"/>
          <w:szCs w:val="24"/>
        </w:rPr>
      </w:pPr>
      <w:r>
        <w:rPr>
          <w:rFonts w:hint="eastAsia" w:ascii="宋体" w:hAnsi="宋体"/>
          <w:sz w:val="24"/>
          <w:szCs w:val="24"/>
          <w:lang w:eastAsia="zh-CN"/>
        </w:rPr>
        <w:t>西安市</w:t>
      </w:r>
      <w:r>
        <w:rPr>
          <w:rFonts w:hint="eastAsia" w:ascii="宋体" w:hAnsi="宋体"/>
          <w:sz w:val="24"/>
          <w:szCs w:val="24"/>
          <w:lang w:val="en-US" w:eastAsia="zh-CN"/>
        </w:rPr>
        <w:t>第一医院</w:t>
      </w:r>
      <w:r>
        <w:rPr>
          <w:rFonts w:hint="eastAsia" w:ascii="宋体" w:hAnsi="宋体"/>
          <w:sz w:val="24"/>
          <w:szCs w:val="24"/>
        </w:rPr>
        <w:t>（以下简称甲方）所需本合同项目下的</w:t>
      </w:r>
      <w:r>
        <w:rPr>
          <w:rFonts w:hint="eastAsia" w:ascii="宋体" w:hAnsi="宋体" w:eastAsia="宋体" w:cs="宋体"/>
          <w:kern w:val="0"/>
          <w:sz w:val="24"/>
          <w:szCs w:val="24"/>
          <w:lang w:eastAsia="zh-CN"/>
        </w:rPr>
        <w:t>西安市第一医院老院区虚拟化内存扩容及3台服务节点扩容采购项目</w:t>
      </w:r>
      <w:r>
        <w:rPr>
          <w:rFonts w:hint="eastAsia" w:ascii="宋体" w:hAnsi="宋体"/>
          <w:sz w:val="24"/>
          <w:szCs w:val="24"/>
        </w:rPr>
        <w:t>，在西安市财政局政府采购管理处的监督管理下，由</w:t>
      </w:r>
      <w:r>
        <w:rPr>
          <w:rFonts w:hint="eastAsia" w:ascii="宋体" w:hAnsi="宋体"/>
          <w:sz w:val="24"/>
          <w:szCs w:val="24"/>
          <w:lang w:val="en-US" w:eastAsia="zh-CN"/>
        </w:rPr>
        <w:t>陕西万泽招标有限公司</w:t>
      </w:r>
      <w:r>
        <w:rPr>
          <w:rFonts w:hint="eastAsia" w:ascii="宋体" w:hAnsi="宋体"/>
          <w:sz w:val="24"/>
          <w:szCs w:val="24"/>
        </w:rPr>
        <w:t>按照政府采购程序组织公开招标（竞争性磋商），确定X</w:t>
      </w:r>
      <w:r>
        <w:rPr>
          <w:rFonts w:ascii="宋体" w:hAnsi="宋体"/>
          <w:sz w:val="24"/>
          <w:szCs w:val="24"/>
        </w:rPr>
        <w:t>XX</w:t>
      </w:r>
      <w:r>
        <w:rPr>
          <w:rFonts w:hint="eastAsia" w:ascii="宋体" w:hAnsi="宋体"/>
          <w:sz w:val="24"/>
          <w:szCs w:val="24"/>
        </w:rPr>
        <w:t>（以下简称乙方）为中标（成交）供应商。依据《中华人民共和国政府采购法》、《中华人民共和国</w:t>
      </w:r>
      <w:r>
        <w:rPr>
          <w:rFonts w:hint="eastAsia" w:ascii="宋体" w:hAnsi="宋体"/>
          <w:sz w:val="24"/>
          <w:szCs w:val="24"/>
          <w:lang w:val="en-US" w:eastAsia="zh-CN"/>
        </w:rPr>
        <w:t>民法典</w:t>
      </w:r>
      <w:r>
        <w:rPr>
          <w:rFonts w:hint="eastAsia" w:ascii="宋体" w:hAnsi="宋体"/>
          <w:sz w:val="24"/>
          <w:szCs w:val="24"/>
        </w:rPr>
        <w:t>》、采购文件、中标（成交）供应商响应文件正本和澄清表（函）、成交通知书，经甲、乙双方协商，达成如下条款。</w:t>
      </w:r>
    </w:p>
    <w:p>
      <w:pPr>
        <w:spacing w:line="360" w:lineRule="auto"/>
        <w:ind w:firstLine="480" w:firstLineChars="200"/>
        <w:rPr>
          <w:rFonts w:ascii="宋体" w:hAnsi="宋体"/>
          <w:sz w:val="24"/>
          <w:szCs w:val="24"/>
        </w:rPr>
      </w:pPr>
      <w:r>
        <w:rPr>
          <w:rFonts w:hint="eastAsia" w:ascii="宋体" w:hAnsi="宋体"/>
          <w:sz w:val="24"/>
          <w:szCs w:val="24"/>
        </w:rPr>
        <w:t>一、</w:t>
      </w:r>
      <w:r>
        <w:rPr>
          <w:rFonts w:hint="eastAsia" w:ascii="宋体" w:hAnsi="宋体"/>
          <w:sz w:val="24"/>
          <w:szCs w:val="24"/>
          <w:lang w:eastAsia="zh-CN"/>
        </w:rPr>
        <w:t>扩容设备</w:t>
      </w:r>
      <w:r>
        <w:rPr>
          <w:rFonts w:hint="eastAsia" w:ascii="宋体" w:hAnsi="宋体"/>
          <w:sz w:val="24"/>
          <w:szCs w:val="24"/>
        </w:rPr>
        <w:t>情况说明：</w:t>
      </w:r>
    </w:p>
    <w:tbl>
      <w:tblPr>
        <w:tblStyle w:val="26"/>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843"/>
        <w:gridCol w:w="1431"/>
        <w:gridCol w:w="1957"/>
        <w:gridCol w:w="674"/>
        <w:gridCol w:w="1071"/>
        <w:gridCol w:w="1061"/>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25"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序号</w:t>
            </w:r>
          </w:p>
        </w:tc>
        <w:tc>
          <w:tcPr>
            <w:tcW w:w="1843" w:type="dxa"/>
            <w:vAlign w:val="center"/>
          </w:tcPr>
          <w:p>
            <w:pPr>
              <w:tabs>
                <w:tab w:val="left" w:pos="480"/>
              </w:tabs>
              <w:spacing w:line="360" w:lineRule="auto"/>
              <w:jc w:val="center"/>
              <w:rPr>
                <w:rFonts w:hint="default" w:ascii="宋体" w:hAnsi="宋体" w:eastAsiaTheme="minorEastAsia"/>
                <w:sz w:val="24"/>
                <w:szCs w:val="24"/>
                <w:lang w:val="en-US" w:eastAsia="zh-CN"/>
              </w:rPr>
            </w:pPr>
            <w:r>
              <w:rPr>
                <w:rFonts w:hint="eastAsia" w:ascii="宋体" w:hAnsi="宋体"/>
                <w:sz w:val="24"/>
                <w:szCs w:val="24"/>
                <w:lang w:val="en-US" w:eastAsia="zh-CN"/>
              </w:rPr>
              <w:t>采购内容</w:t>
            </w:r>
          </w:p>
        </w:tc>
        <w:tc>
          <w:tcPr>
            <w:tcW w:w="1431" w:type="dxa"/>
            <w:vAlign w:val="center"/>
          </w:tcPr>
          <w:p>
            <w:pPr>
              <w:tabs>
                <w:tab w:val="left" w:pos="480"/>
              </w:tabs>
              <w:spacing w:line="360" w:lineRule="auto"/>
              <w:jc w:val="center"/>
              <w:rPr>
                <w:rFonts w:hint="eastAsia" w:ascii="宋体" w:hAnsi="宋体" w:eastAsiaTheme="minorEastAsia"/>
                <w:sz w:val="24"/>
                <w:szCs w:val="24"/>
                <w:lang w:eastAsia="zh-CN"/>
              </w:rPr>
            </w:pPr>
            <w:r>
              <w:rPr>
                <w:rFonts w:hint="eastAsia" w:ascii="宋体" w:hAnsi="宋体"/>
                <w:sz w:val="24"/>
                <w:szCs w:val="24"/>
                <w:lang w:eastAsia="zh-CN"/>
              </w:rPr>
              <w:t>品牌</w:t>
            </w:r>
          </w:p>
        </w:tc>
        <w:tc>
          <w:tcPr>
            <w:tcW w:w="1957" w:type="dxa"/>
            <w:vAlign w:val="center"/>
          </w:tcPr>
          <w:p>
            <w:pPr>
              <w:tabs>
                <w:tab w:val="left" w:pos="480"/>
              </w:tabs>
              <w:spacing w:line="360" w:lineRule="auto"/>
              <w:jc w:val="center"/>
              <w:rPr>
                <w:rFonts w:hint="eastAsia" w:ascii="宋体" w:hAnsi="宋体" w:eastAsiaTheme="minorEastAsia"/>
                <w:sz w:val="24"/>
                <w:szCs w:val="24"/>
                <w:lang w:eastAsia="zh-CN"/>
              </w:rPr>
            </w:pPr>
            <w:r>
              <w:rPr>
                <w:rFonts w:hint="eastAsia" w:ascii="宋体" w:hAnsi="宋体"/>
                <w:sz w:val="24"/>
                <w:szCs w:val="24"/>
                <w:lang w:eastAsia="zh-CN"/>
              </w:rPr>
              <w:t>规格型号</w:t>
            </w:r>
          </w:p>
        </w:tc>
        <w:tc>
          <w:tcPr>
            <w:tcW w:w="674"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数量</w:t>
            </w:r>
          </w:p>
        </w:tc>
        <w:tc>
          <w:tcPr>
            <w:tcW w:w="1071"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单价（元）</w:t>
            </w:r>
          </w:p>
        </w:tc>
        <w:tc>
          <w:tcPr>
            <w:tcW w:w="1061"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总金额</w:t>
            </w:r>
          </w:p>
          <w:p>
            <w:pPr>
              <w:tabs>
                <w:tab w:val="left" w:pos="480"/>
              </w:tabs>
              <w:spacing w:line="360" w:lineRule="auto"/>
              <w:jc w:val="center"/>
              <w:rPr>
                <w:rFonts w:ascii="宋体" w:hAnsi="宋体"/>
                <w:sz w:val="24"/>
                <w:szCs w:val="24"/>
              </w:rPr>
            </w:pPr>
            <w:r>
              <w:rPr>
                <w:rFonts w:hint="eastAsia" w:ascii="宋体" w:hAnsi="宋体"/>
                <w:sz w:val="24"/>
                <w:szCs w:val="24"/>
              </w:rPr>
              <w:t>（元）</w:t>
            </w:r>
          </w:p>
        </w:tc>
        <w:tc>
          <w:tcPr>
            <w:tcW w:w="624"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1</w:t>
            </w:r>
          </w:p>
        </w:tc>
        <w:tc>
          <w:tcPr>
            <w:tcW w:w="1843" w:type="dxa"/>
            <w:vAlign w:val="center"/>
          </w:tcPr>
          <w:p>
            <w:pPr>
              <w:widowControl/>
              <w:tabs>
                <w:tab w:val="left" w:pos="1620"/>
              </w:tabs>
              <w:wordWrap w:val="0"/>
              <w:snapToGrid w:val="0"/>
              <w:spacing w:line="360" w:lineRule="auto"/>
              <w:jc w:val="center"/>
              <w:rPr>
                <w:rFonts w:ascii="宋体" w:hAnsi="宋体"/>
                <w:sz w:val="24"/>
                <w:szCs w:val="24"/>
              </w:rPr>
            </w:pPr>
            <w:r>
              <w:rPr>
                <w:rFonts w:hint="eastAsia" w:ascii="宋体" w:hAnsi="宋体" w:cs="宋体"/>
                <w:kern w:val="0"/>
                <w:sz w:val="24"/>
                <w:szCs w:val="24"/>
                <w:highlight w:val="none"/>
              </w:rPr>
              <w:t>双活存储扩容</w:t>
            </w:r>
            <w:r>
              <w:rPr>
                <w:rFonts w:hint="eastAsia" w:ascii="宋体" w:hAnsi="宋体" w:cs="宋体"/>
                <w:color w:val="auto"/>
                <w:kern w:val="0"/>
                <w:sz w:val="24"/>
                <w:szCs w:val="24"/>
                <w:highlight w:val="none"/>
                <w:lang w:eastAsia="zh-CN"/>
              </w:rPr>
              <w:t>服务</w:t>
            </w:r>
          </w:p>
        </w:tc>
        <w:tc>
          <w:tcPr>
            <w:tcW w:w="1431" w:type="dxa"/>
            <w:vAlign w:val="center"/>
          </w:tcPr>
          <w:p>
            <w:pPr>
              <w:tabs>
                <w:tab w:val="left" w:pos="480"/>
              </w:tabs>
              <w:spacing w:line="360" w:lineRule="auto"/>
              <w:jc w:val="center"/>
              <w:rPr>
                <w:rFonts w:ascii="宋体" w:hAnsi="宋体"/>
                <w:sz w:val="24"/>
                <w:szCs w:val="24"/>
              </w:rPr>
            </w:pPr>
          </w:p>
        </w:tc>
        <w:tc>
          <w:tcPr>
            <w:tcW w:w="1957" w:type="dxa"/>
            <w:vAlign w:val="center"/>
          </w:tcPr>
          <w:p>
            <w:pPr>
              <w:tabs>
                <w:tab w:val="left" w:pos="480"/>
              </w:tabs>
              <w:spacing w:line="360" w:lineRule="auto"/>
              <w:jc w:val="center"/>
              <w:rPr>
                <w:rFonts w:ascii="宋体" w:hAnsi="宋体"/>
                <w:sz w:val="24"/>
                <w:szCs w:val="24"/>
              </w:rPr>
            </w:pPr>
          </w:p>
        </w:tc>
        <w:tc>
          <w:tcPr>
            <w:tcW w:w="674" w:type="dxa"/>
            <w:vAlign w:val="center"/>
          </w:tcPr>
          <w:p>
            <w:pPr>
              <w:tabs>
                <w:tab w:val="left" w:pos="480"/>
              </w:tabs>
              <w:spacing w:line="360" w:lineRule="auto"/>
              <w:jc w:val="center"/>
              <w:rPr>
                <w:rFonts w:ascii="宋体" w:hAnsi="宋体"/>
                <w:sz w:val="24"/>
                <w:szCs w:val="24"/>
              </w:rPr>
            </w:pPr>
          </w:p>
        </w:tc>
        <w:tc>
          <w:tcPr>
            <w:tcW w:w="1071" w:type="dxa"/>
            <w:vAlign w:val="center"/>
          </w:tcPr>
          <w:p>
            <w:pPr>
              <w:tabs>
                <w:tab w:val="left" w:pos="480"/>
              </w:tabs>
              <w:spacing w:line="360" w:lineRule="auto"/>
              <w:jc w:val="center"/>
              <w:rPr>
                <w:rFonts w:ascii="宋体" w:hAnsi="宋体"/>
                <w:sz w:val="24"/>
                <w:szCs w:val="24"/>
              </w:rPr>
            </w:pPr>
          </w:p>
        </w:tc>
        <w:tc>
          <w:tcPr>
            <w:tcW w:w="1061" w:type="dxa"/>
            <w:vAlign w:val="center"/>
          </w:tcPr>
          <w:p>
            <w:pPr>
              <w:tabs>
                <w:tab w:val="left" w:pos="480"/>
              </w:tabs>
              <w:spacing w:line="360" w:lineRule="auto"/>
              <w:rPr>
                <w:rFonts w:ascii="宋体" w:hAnsi="宋体"/>
                <w:sz w:val="24"/>
                <w:szCs w:val="24"/>
              </w:rPr>
            </w:pPr>
          </w:p>
        </w:tc>
        <w:tc>
          <w:tcPr>
            <w:tcW w:w="624"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2</w:t>
            </w:r>
          </w:p>
        </w:tc>
        <w:tc>
          <w:tcPr>
            <w:tcW w:w="1843" w:type="dxa"/>
            <w:vAlign w:val="center"/>
          </w:tcPr>
          <w:p>
            <w:pPr>
              <w:widowControl/>
              <w:tabs>
                <w:tab w:val="left" w:pos="1620"/>
              </w:tabs>
              <w:wordWrap w:val="0"/>
              <w:snapToGrid w:val="0"/>
              <w:spacing w:line="360" w:lineRule="auto"/>
              <w:jc w:val="center"/>
              <w:rPr>
                <w:rFonts w:ascii="宋体" w:hAnsi="宋体"/>
                <w:sz w:val="24"/>
                <w:szCs w:val="24"/>
              </w:rPr>
            </w:pPr>
            <w:r>
              <w:rPr>
                <w:rFonts w:hint="eastAsia" w:ascii="宋体" w:hAnsi="宋体" w:cs="宋体"/>
                <w:kern w:val="0"/>
                <w:sz w:val="24"/>
                <w:szCs w:val="24"/>
                <w:highlight w:val="none"/>
              </w:rPr>
              <w:t>虚拟化服</w:t>
            </w:r>
            <w:r>
              <w:rPr>
                <w:rFonts w:hint="eastAsia" w:ascii="宋体" w:hAnsi="宋体" w:cs="宋体"/>
                <w:color w:val="auto"/>
                <w:kern w:val="0"/>
                <w:sz w:val="24"/>
                <w:szCs w:val="24"/>
                <w:highlight w:val="none"/>
              </w:rPr>
              <w:t>务器内存扩容</w:t>
            </w:r>
            <w:r>
              <w:rPr>
                <w:rFonts w:hint="eastAsia" w:ascii="宋体" w:hAnsi="宋体" w:cs="宋体"/>
                <w:color w:val="auto"/>
                <w:kern w:val="0"/>
                <w:sz w:val="24"/>
                <w:szCs w:val="24"/>
                <w:highlight w:val="none"/>
                <w:lang w:eastAsia="zh-CN"/>
              </w:rPr>
              <w:t>服务</w:t>
            </w:r>
          </w:p>
        </w:tc>
        <w:tc>
          <w:tcPr>
            <w:tcW w:w="1431" w:type="dxa"/>
            <w:vAlign w:val="center"/>
          </w:tcPr>
          <w:p>
            <w:pPr>
              <w:tabs>
                <w:tab w:val="left" w:pos="480"/>
              </w:tabs>
              <w:spacing w:line="360" w:lineRule="auto"/>
              <w:jc w:val="center"/>
              <w:rPr>
                <w:rFonts w:ascii="宋体" w:hAnsi="宋体"/>
                <w:sz w:val="24"/>
                <w:szCs w:val="24"/>
              </w:rPr>
            </w:pPr>
          </w:p>
        </w:tc>
        <w:tc>
          <w:tcPr>
            <w:tcW w:w="1957" w:type="dxa"/>
            <w:vAlign w:val="center"/>
          </w:tcPr>
          <w:p>
            <w:pPr>
              <w:tabs>
                <w:tab w:val="left" w:pos="480"/>
              </w:tabs>
              <w:spacing w:line="360" w:lineRule="auto"/>
              <w:jc w:val="center"/>
              <w:rPr>
                <w:rFonts w:ascii="宋体" w:hAnsi="宋体"/>
                <w:sz w:val="24"/>
                <w:szCs w:val="24"/>
              </w:rPr>
            </w:pPr>
          </w:p>
        </w:tc>
        <w:tc>
          <w:tcPr>
            <w:tcW w:w="674" w:type="dxa"/>
            <w:vAlign w:val="center"/>
          </w:tcPr>
          <w:p>
            <w:pPr>
              <w:tabs>
                <w:tab w:val="left" w:pos="480"/>
              </w:tabs>
              <w:spacing w:line="360" w:lineRule="auto"/>
              <w:jc w:val="center"/>
              <w:rPr>
                <w:rFonts w:ascii="宋体" w:hAnsi="宋体"/>
                <w:sz w:val="24"/>
                <w:szCs w:val="24"/>
              </w:rPr>
            </w:pPr>
          </w:p>
        </w:tc>
        <w:tc>
          <w:tcPr>
            <w:tcW w:w="1071" w:type="dxa"/>
            <w:vAlign w:val="center"/>
          </w:tcPr>
          <w:p>
            <w:pPr>
              <w:tabs>
                <w:tab w:val="left" w:pos="480"/>
              </w:tabs>
              <w:spacing w:line="360" w:lineRule="auto"/>
              <w:jc w:val="center"/>
              <w:rPr>
                <w:rFonts w:ascii="宋体" w:hAnsi="宋体"/>
                <w:sz w:val="24"/>
                <w:szCs w:val="24"/>
              </w:rPr>
            </w:pPr>
          </w:p>
        </w:tc>
        <w:tc>
          <w:tcPr>
            <w:tcW w:w="1061" w:type="dxa"/>
            <w:vAlign w:val="center"/>
          </w:tcPr>
          <w:p>
            <w:pPr>
              <w:tabs>
                <w:tab w:val="left" w:pos="480"/>
              </w:tabs>
              <w:spacing w:line="360" w:lineRule="auto"/>
              <w:rPr>
                <w:rFonts w:ascii="宋体" w:hAnsi="宋体"/>
                <w:sz w:val="24"/>
                <w:szCs w:val="24"/>
              </w:rPr>
            </w:pPr>
          </w:p>
        </w:tc>
        <w:tc>
          <w:tcPr>
            <w:tcW w:w="624" w:type="dxa"/>
            <w:vAlign w:val="center"/>
          </w:tcPr>
          <w:p>
            <w:pPr>
              <w:tabs>
                <w:tab w:val="left" w:pos="48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3</w:t>
            </w:r>
          </w:p>
        </w:tc>
        <w:tc>
          <w:tcPr>
            <w:tcW w:w="1843" w:type="dxa"/>
            <w:vAlign w:val="center"/>
          </w:tcPr>
          <w:p>
            <w:pPr>
              <w:tabs>
                <w:tab w:val="left" w:pos="480"/>
              </w:tabs>
              <w:spacing w:line="360" w:lineRule="auto"/>
              <w:jc w:val="center"/>
              <w:rPr>
                <w:rFonts w:ascii="宋体" w:hAnsi="宋体"/>
                <w:sz w:val="24"/>
                <w:szCs w:val="24"/>
              </w:rPr>
            </w:pPr>
          </w:p>
        </w:tc>
        <w:tc>
          <w:tcPr>
            <w:tcW w:w="1431" w:type="dxa"/>
            <w:vAlign w:val="center"/>
          </w:tcPr>
          <w:p>
            <w:pPr>
              <w:tabs>
                <w:tab w:val="left" w:pos="480"/>
              </w:tabs>
              <w:spacing w:line="360" w:lineRule="auto"/>
              <w:jc w:val="center"/>
              <w:rPr>
                <w:rFonts w:ascii="宋体" w:hAnsi="宋体"/>
                <w:sz w:val="24"/>
                <w:szCs w:val="24"/>
              </w:rPr>
            </w:pPr>
          </w:p>
        </w:tc>
        <w:tc>
          <w:tcPr>
            <w:tcW w:w="1957" w:type="dxa"/>
            <w:vAlign w:val="center"/>
          </w:tcPr>
          <w:p>
            <w:pPr>
              <w:tabs>
                <w:tab w:val="left" w:pos="480"/>
              </w:tabs>
              <w:spacing w:line="360" w:lineRule="auto"/>
              <w:jc w:val="center"/>
              <w:rPr>
                <w:rFonts w:ascii="宋体" w:hAnsi="宋体"/>
                <w:sz w:val="24"/>
                <w:szCs w:val="24"/>
              </w:rPr>
            </w:pPr>
          </w:p>
        </w:tc>
        <w:tc>
          <w:tcPr>
            <w:tcW w:w="674" w:type="dxa"/>
            <w:vAlign w:val="center"/>
          </w:tcPr>
          <w:p>
            <w:pPr>
              <w:tabs>
                <w:tab w:val="left" w:pos="480"/>
              </w:tabs>
              <w:spacing w:line="360" w:lineRule="auto"/>
              <w:jc w:val="center"/>
              <w:rPr>
                <w:rFonts w:ascii="宋体" w:hAnsi="宋体"/>
                <w:sz w:val="24"/>
                <w:szCs w:val="24"/>
              </w:rPr>
            </w:pPr>
          </w:p>
        </w:tc>
        <w:tc>
          <w:tcPr>
            <w:tcW w:w="1071" w:type="dxa"/>
            <w:vAlign w:val="center"/>
          </w:tcPr>
          <w:p>
            <w:pPr>
              <w:tabs>
                <w:tab w:val="left" w:pos="480"/>
              </w:tabs>
              <w:spacing w:line="360" w:lineRule="auto"/>
              <w:jc w:val="center"/>
              <w:rPr>
                <w:rFonts w:ascii="宋体" w:hAnsi="宋体"/>
                <w:sz w:val="24"/>
                <w:szCs w:val="24"/>
              </w:rPr>
            </w:pPr>
          </w:p>
        </w:tc>
        <w:tc>
          <w:tcPr>
            <w:tcW w:w="1061" w:type="dxa"/>
            <w:vAlign w:val="center"/>
          </w:tcPr>
          <w:p>
            <w:pPr>
              <w:tabs>
                <w:tab w:val="left" w:pos="480"/>
              </w:tabs>
              <w:spacing w:line="360" w:lineRule="auto"/>
              <w:rPr>
                <w:rFonts w:ascii="宋体" w:hAnsi="宋体"/>
                <w:sz w:val="24"/>
                <w:szCs w:val="24"/>
              </w:rPr>
            </w:pPr>
          </w:p>
        </w:tc>
        <w:tc>
          <w:tcPr>
            <w:tcW w:w="624" w:type="dxa"/>
            <w:vAlign w:val="center"/>
          </w:tcPr>
          <w:p>
            <w:pPr>
              <w:tabs>
                <w:tab w:val="left" w:pos="48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5" w:type="dxa"/>
            <w:vAlign w:val="center"/>
          </w:tcPr>
          <w:p>
            <w:pPr>
              <w:tabs>
                <w:tab w:val="left" w:pos="480"/>
              </w:tabs>
              <w:spacing w:line="360" w:lineRule="auto"/>
              <w:jc w:val="center"/>
              <w:rPr>
                <w:rFonts w:ascii="宋体" w:hAnsi="宋体"/>
                <w:sz w:val="24"/>
                <w:szCs w:val="24"/>
              </w:rPr>
            </w:pPr>
            <w:r>
              <w:rPr>
                <w:rFonts w:ascii="宋体" w:hAnsi="宋体"/>
                <w:sz w:val="24"/>
                <w:szCs w:val="24"/>
              </w:rPr>
              <w:t>…</w:t>
            </w:r>
          </w:p>
        </w:tc>
        <w:tc>
          <w:tcPr>
            <w:tcW w:w="1843" w:type="dxa"/>
            <w:vAlign w:val="center"/>
          </w:tcPr>
          <w:p>
            <w:pPr>
              <w:tabs>
                <w:tab w:val="left" w:pos="480"/>
              </w:tabs>
              <w:spacing w:line="360" w:lineRule="auto"/>
              <w:jc w:val="center"/>
              <w:rPr>
                <w:rFonts w:ascii="宋体" w:hAnsi="宋体"/>
                <w:sz w:val="24"/>
                <w:szCs w:val="24"/>
              </w:rPr>
            </w:pPr>
            <w:r>
              <w:rPr>
                <w:rFonts w:ascii="宋体" w:hAnsi="宋体"/>
                <w:sz w:val="24"/>
                <w:szCs w:val="24"/>
              </w:rPr>
              <w:t>…</w:t>
            </w:r>
          </w:p>
        </w:tc>
        <w:tc>
          <w:tcPr>
            <w:tcW w:w="1431" w:type="dxa"/>
            <w:vAlign w:val="center"/>
          </w:tcPr>
          <w:p>
            <w:pPr>
              <w:tabs>
                <w:tab w:val="left" w:pos="480"/>
              </w:tabs>
              <w:spacing w:line="360" w:lineRule="auto"/>
              <w:jc w:val="center"/>
              <w:rPr>
                <w:rFonts w:ascii="宋体" w:hAnsi="宋体"/>
                <w:sz w:val="24"/>
                <w:szCs w:val="24"/>
              </w:rPr>
            </w:pPr>
            <w:r>
              <w:rPr>
                <w:rFonts w:ascii="宋体" w:hAnsi="宋体"/>
                <w:sz w:val="24"/>
                <w:szCs w:val="24"/>
              </w:rPr>
              <w:t>…</w:t>
            </w:r>
          </w:p>
        </w:tc>
        <w:tc>
          <w:tcPr>
            <w:tcW w:w="1957" w:type="dxa"/>
            <w:vAlign w:val="center"/>
          </w:tcPr>
          <w:p>
            <w:pPr>
              <w:tabs>
                <w:tab w:val="left" w:pos="480"/>
              </w:tabs>
              <w:spacing w:line="360" w:lineRule="auto"/>
              <w:jc w:val="center"/>
              <w:rPr>
                <w:rFonts w:ascii="宋体" w:hAnsi="宋体"/>
                <w:sz w:val="24"/>
                <w:szCs w:val="24"/>
              </w:rPr>
            </w:pPr>
            <w:r>
              <w:rPr>
                <w:rFonts w:ascii="宋体" w:hAnsi="宋体"/>
                <w:sz w:val="24"/>
                <w:szCs w:val="24"/>
              </w:rPr>
              <w:t>…</w:t>
            </w:r>
          </w:p>
        </w:tc>
        <w:tc>
          <w:tcPr>
            <w:tcW w:w="674" w:type="dxa"/>
            <w:vAlign w:val="center"/>
          </w:tcPr>
          <w:p>
            <w:pPr>
              <w:tabs>
                <w:tab w:val="left" w:pos="480"/>
              </w:tabs>
              <w:spacing w:line="360" w:lineRule="auto"/>
              <w:jc w:val="center"/>
              <w:rPr>
                <w:rFonts w:ascii="宋体" w:hAnsi="宋体"/>
                <w:sz w:val="24"/>
                <w:szCs w:val="24"/>
              </w:rPr>
            </w:pPr>
          </w:p>
        </w:tc>
        <w:tc>
          <w:tcPr>
            <w:tcW w:w="1071" w:type="dxa"/>
            <w:vAlign w:val="center"/>
          </w:tcPr>
          <w:p>
            <w:pPr>
              <w:tabs>
                <w:tab w:val="left" w:pos="480"/>
              </w:tabs>
              <w:spacing w:line="360" w:lineRule="auto"/>
              <w:jc w:val="center"/>
              <w:rPr>
                <w:rFonts w:ascii="宋体" w:hAnsi="宋体"/>
                <w:sz w:val="24"/>
                <w:szCs w:val="24"/>
              </w:rPr>
            </w:pPr>
          </w:p>
        </w:tc>
        <w:tc>
          <w:tcPr>
            <w:tcW w:w="1061" w:type="dxa"/>
            <w:vAlign w:val="center"/>
          </w:tcPr>
          <w:p>
            <w:pPr>
              <w:tabs>
                <w:tab w:val="left" w:pos="480"/>
              </w:tabs>
              <w:spacing w:line="360" w:lineRule="auto"/>
              <w:rPr>
                <w:rFonts w:ascii="宋体" w:hAnsi="宋体"/>
                <w:sz w:val="24"/>
                <w:szCs w:val="24"/>
              </w:rPr>
            </w:pPr>
          </w:p>
        </w:tc>
        <w:tc>
          <w:tcPr>
            <w:tcW w:w="624" w:type="dxa"/>
            <w:vAlign w:val="center"/>
          </w:tcPr>
          <w:p>
            <w:pPr>
              <w:tabs>
                <w:tab w:val="left" w:pos="480"/>
              </w:tabs>
              <w:spacing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6" w:type="dxa"/>
            <w:gridSpan w:val="8"/>
            <w:vAlign w:val="center"/>
          </w:tcPr>
          <w:p>
            <w:pPr>
              <w:tabs>
                <w:tab w:val="left" w:pos="480"/>
              </w:tabs>
              <w:spacing w:line="360" w:lineRule="auto"/>
              <w:rPr>
                <w:rFonts w:ascii="宋体" w:hAnsi="宋体"/>
                <w:sz w:val="24"/>
                <w:szCs w:val="24"/>
              </w:rPr>
            </w:pPr>
            <w:r>
              <w:rPr>
                <w:rFonts w:hint="eastAsia" w:ascii="宋体" w:hAnsi="宋体"/>
                <w:sz w:val="24"/>
                <w:szCs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25" w:type="dxa"/>
            <w:vAlign w:val="center"/>
          </w:tcPr>
          <w:p>
            <w:pPr>
              <w:tabs>
                <w:tab w:val="left" w:pos="480"/>
              </w:tabs>
              <w:spacing w:line="360" w:lineRule="auto"/>
              <w:jc w:val="center"/>
              <w:rPr>
                <w:rFonts w:ascii="宋体" w:hAnsi="宋体"/>
                <w:sz w:val="24"/>
                <w:szCs w:val="24"/>
              </w:rPr>
            </w:pPr>
            <w:r>
              <w:rPr>
                <w:rFonts w:hint="eastAsia" w:ascii="宋体" w:hAnsi="宋体"/>
                <w:sz w:val="24"/>
                <w:szCs w:val="24"/>
              </w:rPr>
              <w:t>说明</w:t>
            </w:r>
          </w:p>
        </w:tc>
        <w:tc>
          <w:tcPr>
            <w:tcW w:w="8661" w:type="dxa"/>
            <w:gridSpan w:val="7"/>
            <w:vAlign w:val="center"/>
          </w:tcPr>
          <w:p>
            <w:pPr>
              <w:tabs>
                <w:tab w:val="left" w:pos="480"/>
              </w:tabs>
              <w:spacing w:line="360" w:lineRule="auto"/>
              <w:jc w:val="center"/>
              <w:rPr>
                <w:rFonts w:ascii="宋体" w:hAnsi="宋体"/>
                <w:sz w:val="24"/>
                <w:szCs w:val="24"/>
              </w:rPr>
            </w:pPr>
          </w:p>
        </w:tc>
      </w:tr>
    </w:tbl>
    <w:p>
      <w:pPr>
        <w:tabs>
          <w:tab w:val="left" w:pos="480"/>
        </w:tabs>
        <w:spacing w:line="360" w:lineRule="auto"/>
        <w:ind w:firstLine="480" w:firstLineChars="200"/>
        <w:rPr>
          <w:rFonts w:ascii="宋体" w:hAnsi="宋体"/>
          <w:sz w:val="24"/>
          <w:szCs w:val="24"/>
        </w:rPr>
      </w:pPr>
      <w:r>
        <w:rPr>
          <w:rFonts w:hint="eastAsia" w:ascii="宋体" w:hAnsi="宋体"/>
          <w:sz w:val="24"/>
          <w:szCs w:val="24"/>
        </w:rPr>
        <w:t>二、合同价款</w:t>
      </w:r>
    </w:p>
    <w:p>
      <w:pPr>
        <w:tabs>
          <w:tab w:val="left" w:pos="480"/>
        </w:tabs>
        <w:spacing w:line="360" w:lineRule="auto"/>
        <w:ind w:firstLine="480" w:firstLineChars="200"/>
        <w:rPr>
          <w:rFonts w:ascii="宋体" w:hAnsi="宋体"/>
          <w:sz w:val="24"/>
          <w:szCs w:val="24"/>
        </w:rPr>
      </w:pPr>
      <w:r>
        <w:rPr>
          <w:rFonts w:hint="eastAsia" w:ascii="宋体" w:hAnsi="宋体"/>
          <w:sz w:val="24"/>
          <w:szCs w:val="24"/>
        </w:rPr>
        <w:t>（一）合同总价款为人民币（大写）***元整（￥：***万元）。</w:t>
      </w:r>
    </w:p>
    <w:p>
      <w:pPr>
        <w:tabs>
          <w:tab w:val="left" w:pos="480"/>
        </w:tabs>
        <w:spacing w:line="360" w:lineRule="auto"/>
        <w:ind w:firstLine="480" w:firstLineChars="200"/>
        <w:rPr>
          <w:rFonts w:ascii="宋体" w:hAnsi="宋体"/>
          <w:sz w:val="24"/>
          <w:szCs w:val="24"/>
        </w:rPr>
      </w:pPr>
      <w:r>
        <w:rPr>
          <w:rFonts w:hint="eastAsia" w:ascii="宋体" w:hAnsi="宋体"/>
          <w:sz w:val="24"/>
          <w:szCs w:val="24"/>
        </w:rPr>
        <w:t>（二）合同总价包括：人员工资、差旅费、维修保养费、维修配件、调试费、培训费及国家按现行税收政策征收的一切税费及其它相关的费用。</w:t>
      </w:r>
    </w:p>
    <w:p>
      <w:pPr>
        <w:tabs>
          <w:tab w:val="left" w:pos="480"/>
        </w:tabs>
        <w:spacing w:line="360" w:lineRule="auto"/>
        <w:ind w:firstLine="480" w:firstLineChars="200"/>
        <w:rPr>
          <w:rFonts w:ascii="宋体" w:hAnsi="宋体"/>
          <w:sz w:val="24"/>
          <w:szCs w:val="24"/>
        </w:rPr>
      </w:pPr>
      <w:r>
        <w:rPr>
          <w:rFonts w:hint="eastAsia" w:ascii="宋体" w:hAnsi="宋体"/>
          <w:sz w:val="24"/>
          <w:szCs w:val="24"/>
        </w:rPr>
        <w:t>（三）合同总价一次性包死，不受市场价格变化因素的影响。</w:t>
      </w:r>
    </w:p>
    <w:p>
      <w:pPr>
        <w:tabs>
          <w:tab w:val="left" w:pos="480"/>
        </w:tabs>
        <w:spacing w:line="360" w:lineRule="auto"/>
        <w:ind w:firstLine="470" w:firstLineChars="196"/>
        <w:rPr>
          <w:rFonts w:ascii="宋体" w:hAnsi="宋体"/>
          <w:sz w:val="24"/>
          <w:szCs w:val="24"/>
          <w:highlight w:val="none"/>
        </w:rPr>
      </w:pPr>
      <w:r>
        <w:rPr>
          <w:rFonts w:hint="eastAsia" w:ascii="宋体" w:hAnsi="宋体"/>
          <w:sz w:val="24"/>
          <w:szCs w:val="24"/>
        </w:rPr>
        <w:t>三</w:t>
      </w:r>
      <w:r>
        <w:rPr>
          <w:rFonts w:hint="eastAsia" w:ascii="宋体" w:hAnsi="宋体"/>
          <w:sz w:val="24"/>
          <w:szCs w:val="24"/>
          <w:highlight w:val="none"/>
        </w:rPr>
        <w:t>、款项结算</w:t>
      </w:r>
    </w:p>
    <w:p>
      <w:pPr>
        <w:tabs>
          <w:tab w:val="left" w:pos="480"/>
        </w:tabs>
        <w:spacing w:line="360" w:lineRule="auto"/>
        <w:ind w:firstLine="480" w:firstLineChars="200"/>
        <w:rPr>
          <w:rFonts w:ascii="宋体" w:hAnsi="宋体"/>
          <w:sz w:val="24"/>
          <w:szCs w:val="24"/>
          <w:highlight w:val="none"/>
        </w:rPr>
      </w:pPr>
      <w:r>
        <w:rPr>
          <w:rFonts w:hint="eastAsia" w:ascii="宋体" w:hAnsi="宋体"/>
          <w:sz w:val="24"/>
          <w:szCs w:val="24"/>
          <w:highlight w:val="none"/>
        </w:rPr>
        <w:t>（一）付款比例：</w:t>
      </w:r>
    </w:p>
    <w:p>
      <w:pPr>
        <w:tabs>
          <w:tab w:val="left" w:pos="480"/>
        </w:tabs>
        <w:spacing w:line="480" w:lineRule="auto"/>
        <w:ind w:firstLine="480" w:firstLineChars="200"/>
        <w:rPr>
          <w:rFonts w:hint="default" w:ascii="宋体" w:hAnsi="宋体" w:eastAsiaTheme="minorEastAsia"/>
          <w:color w:val="auto"/>
          <w:sz w:val="24"/>
          <w:szCs w:val="24"/>
          <w:highlight w:val="yellow"/>
          <w:u w:val="single"/>
          <w:lang w:val="en-US" w:eastAsia="zh-CN"/>
        </w:rPr>
      </w:pPr>
      <w:r>
        <w:rPr>
          <w:rFonts w:hint="eastAsia"/>
          <w:sz w:val="24"/>
          <w:szCs w:val="24"/>
          <w:highlight w:val="none"/>
          <w:u w:val="single"/>
        </w:rPr>
        <w:t>安装调试运转正常</w:t>
      </w:r>
      <w:r>
        <w:rPr>
          <w:rFonts w:hint="eastAsia"/>
          <w:sz w:val="24"/>
          <w:szCs w:val="24"/>
          <w:highlight w:val="none"/>
          <w:u w:val="single"/>
          <w:lang w:eastAsia="zh-CN"/>
        </w:rPr>
        <w:t>，</w:t>
      </w:r>
      <w:r>
        <w:rPr>
          <w:rFonts w:hint="eastAsia"/>
          <w:sz w:val="24"/>
          <w:szCs w:val="24"/>
          <w:highlight w:val="none"/>
          <w:u w:val="single"/>
        </w:rPr>
        <w:t>验收合格后支付合同总价的</w:t>
      </w:r>
      <w:r>
        <w:rPr>
          <w:rFonts w:hint="eastAsia"/>
          <w:sz w:val="24"/>
          <w:szCs w:val="24"/>
          <w:highlight w:val="none"/>
          <w:u w:val="single"/>
          <w:lang w:val="en-US" w:eastAsia="zh-CN"/>
        </w:rPr>
        <w:t>90</w:t>
      </w:r>
      <w:r>
        <w:rPr>
          <w:rFonts w:hint="eastAsia"/>
          <w:sz w:val="24"/>
          <w:szCs w:val="24"/>
          <w:highlight w:val="none"/>
          <w:u w:val="single"/>
        </w:rPr>
        <w:t>%。</w:t>
      </w:r>
      <w:r>
        <w:rPr>
          <w:rFonts w:hint="eastAsia"/>
          <w:sz w:val="24"/>
          <w:szCs w:val="24"/>
          <w:highlight w:val="none"/>
          <w:u w:val="single"/>
          <w:lang w:eastAsia="zh-CN"/>
        </w:rPr>
        <w:t>从验收合格之日起</w:t>
      </w:r>
      <w:r>
        <w:rPr>
          <w:rFonts w:hint="eastAsia"/>
          <w:sz w:val="24"/>
          <w:szCs w:val="24"/>
          <w:highlight w:val="none"/>
          <w:u w:val="single"/>
          <w:lang w:val="en-US" w:eastAsia="zh-CN"/>
        </w:rPr>
        <w:t>1年期满，符合相关约定，支付余款。</w:t>
      </w:r>
    </w:p>
    <w:p>
      <w:pPr>
        <w:tabs>
          <w:tab w:val="left" w:pos="480"/>
        </w:tabs>
        <w:spacing w:line="360" w:lineRule="auto"/>
        <w:ind w:firstLine="480" w:firstLineChars="200"/>
        <w:rPr>
          <w:rFonts w:ascii="宋体" w:hAnsi="宋体"/>
          <w:sz w:val="24"/>
          <w:szCs w:val="24"/>
        </w:rPr>
      </w:pPr>
      <w:r>
        <w:rPr>
          <w:rFonts w:hint="eastAsia" w:ascii="宋体" w:hAnsi="宋体"/>
          <w:sz w:val="24"/>
          <w:szCs w:val="24"/>
        </w:rPr>
        <w:t>（二）支付方式：银行转帐。</w:t>
      </w:r>
    </w:p>
    <w:p>
      <w:pPr>
        <w:tabs>
          <w:tab w:val="left" w:pos="480"/>
        </w:tabs>
        <w:spacing w:line="360" w:lineRule="auto"/>
        <w:ind w:firstLine="480" w:firstLineChars="200"/>
        <w:rPr>
          <w:rFonts w:ascii="宋体" w:hAnsi="宋体"/>
          <w:sz w:val="24"/>
          <w:szCs w:val="24"/>
        </w:rPr>
      </w:pPr>
      <w:r>
        <w:rPr>
          <w:rFonts w:hint="eastAsia" w:ascii="宋体" w:hAnsi="宋体"/>
          <w:sz w:val="24"/>
          <w:szCs w:val="24"/>
        </w:rPr>
        <w:t>（三）结算方式</w:t>
      </w:r>
      <w:r>
        <w:rPr>
          <w:rFonts w:hint="eastAsia" w:ascii="宋体" w:hAnsi="宋体"/>
          <w:color w:val="auto"/>
          <w:sz w:val="24"/>
          <w:szCs w:val="24"/>
          <w:highlight w:val="none"/>
        </w:rPr>
        <w:t>：乙方于甲方</w:t>
      </w:r>
      <w:r>
        <w:rPr>
          <w:rFonts w:hint="eastAsia" w:ascii="宋体" w:hAnsi="宋体"/>
          <w:color w:val="auto"/>
          <w:sz w:val="24"/>
          <w:szCs w:val="24"/>
          <w:highlight w:val="none"/>
          <w:lang w:eastAsia="zh-CN"/>
        </w:rPr>
        <w:t>每</w:t>
      </w:r>
      <w:r>
        <w:rPr>
          <w:rFonts w:hint="eastAsia" w:ascii="宋体" w:hAnsi="宋体"/>
          <w:color w:val="auto"/>
          <w:sz w:val="24"/>
          <w:szCs w:val="24"/>
          <w:highlight w:val="none"/>
        </w:rPr>
        <w:t>付款前</w:t>
      </w:r>
      <w:r>
        <w:rPr>
          <w:rFonts w:ascii="宋体" w:hAnsi="宋体"/>
          <w:color w:val="auto"/>
          <w:sz w:val="24"/>
          <w:szCs w:val="24"/>
          <w:highlight w:val="none"/>
        </w:rPr>
        <w:t>XX</w:t>
      </w:r>
      <w:r>
        <w:rPr>
          <w:rFonts w:hint="eastAsia" w:ascii="宋体" w:hAnsi="宋体"/>
          <w:color w:val="auto"/>
          <w:sz w:val="24"/>
          <w:szCs w:val="24"/>
          <w:highlight w:val="none"/>
        </w:rPr>
        <w:t>日内提供全额合规含税发票，否则，甲方付款期限顺延，且不承担任何责任。</w:t>
      </w:r>
    </w:p>
    <w:p>
      <w:pPr>
        <w:tabs>
          <w:tab w:val="left" w:pos="480"/>
        </w:tabs>
        <w:spacing w:line="360" w:lineRule="auto"/>
        <w:ind w:firstLine="480" w:firstLineChars="200"/>
        <w:rPr>
          <w:rFonts w:ascii="宋体" w:hAnsi="宋体"/>
          <w:sz w:val="24"/>
          <w:szCs w:val="24"/>
        </w:rPr>
      </w:pPr>
      <w:r>
        <w:rPr>
          <w:rFonts w:hint="eastAsia" w:ascii="宋体" w:hAnsi="宋体"/>
          <w:sz w:val="24"/>
          <w:szCs w:val="24"/>
        </w:rPr>
        <w:t>四、双方的权利和义务</w:t>
      </w:r>
    </w:p>
    <w:p>
      <w:pPr>
        <w:spacing w:line="360" w:lineRule="auto"/>
        <w:ind w:firstLine="480" w:firstLineChars="200"/>
        <w:rPr>
          <w:rFonts w:ascii="宋体" w:hAnsi="宋体"/>
          <w:sz w:val="24"/>
          <w:szCs w:val="24"/>
        </w:rPr>
      </w:pPr>
      <w:r>
        <w:rPr>
          <w:rFonts w:hint="eastAsia" w:ascii="宋体" w:hAnsi="宋体"/>
          <w:sz w:val="24"/>
          <w:szCs w:val="24"/>
        </w:rPr>
        <w:t>（一）甲方的权利和义务</w:t>
      </w:r>
    </w:p>
    <w:p>
      <w:pPr>
        <w:spacing w:line="360" w:lineRule="auto"/>
        <w:ind w:firstLine="720" w:firstLineChars="300"/>
        <w:rPr>
          <w:rFonts w:ascii="宋体" w:hAnsi="宋体"/>
          <w:sz w:val="24"/>
          <w:szCs w:val="24"/>
        </w:rPr>
      </w:pPr>
      <w:r>
        <w:rPr>
          <w:rFonts w:hint="eastAsia" w:ascii="宋体" w:hAnsi="宋体"/>
          <w:sz w:val="24"/>
          <w:szCs w:val="24"/>
        </w:rPr>
        <w:t>甲方提供维修保养所需要的场地及相关人员，配合乙方进行维修保养工作。</w:t>
      </w:r>
    </w:p>
    <w:p>
      <w:pPr>
        <w:spacing w:line="360" w:lineRule="auto"/>
        <w:ind w:firstLine="720" w:firstLineChars="300"/>
        <w:rPr>
          <w:rFonts w:ascii="宋体" w:hAnsi="宋体"/>
          <w:sz w:val="24"/>
          <w:szCs w:val="24"/>
        </w:rPr>
      </w:pPr>
      <w:r>
        <w:rPr>
          <w:rFonts w:hint="eastAsia" w:ascii="宋体" w:hAnsi="宋体"/>
          <w:sz w:val="24"/>
          <w:szCs w:val="24"/>
        </w:rPr>
        <w:t>甲方提供乙方维修过程中所必须的各项技术资料。</w:t>
      </w:r>
    </w:p>
    <w:p>
      <w:pPr>
        <w:spacing w:line="360" w:lineRule="auto"/>
        <w:ind w:firstLine="480" w:firstLineChars="200"/>
        <w:rPr>
          <w:rFonts w:ascii="宋体" w:hAnsi="宋体"/>
          <w:sz w:val="24"/>
          <w:szCs w:val="24"/>
        </w:rPr>
      </w:pPr>
      <w:r>
        <w:rPr>
          <w:rFonts w:hint="eastAsia" w:ascii="宋体" w:hAnsi="宋体"/>
          <w:sz w:val="24"/>
          <w:szCs w:val="24"/>
        </w:rPr>
        <w:t>（二）乙方的权利和义务</w:t>
      </w:r>
    </w:p>
    <w:p>
      <w:pPr>
        <w:spacing w:line="360" w:lineRule="auto"/>
        <w:ind w:firstLine="480" w:firstLineChars="200"/>
        <w:rPr>
          <w:rFonts w:ascii="宋体" w:hAnsi="宋体"/>
          <w:sz w:val="24"/>
          <w:szCs w:val="24"/>
        </w:rPr>
      </w:pPr>
      <w:r>
        <w:rPr>
          <w:rFonts w:hint="eastAsia" w:ascii="宋体" w:hAnsi="宋体"/>
          <w:sz w:val="24"/>
          <w:szCs w:val="24"/>
        </w:rPr>
        <w:t>乙方按照合同约定保证（维修保养后）设备完好、按照甲方要求进行验收。</w:t>
      </w:r>
    </w:p>
    <w:p>
      <w:pPr>
        <w:spacing w:line="360" w:lineRule="auto"/>
        <w:ind w:firstLine="480" w:firstLineChars="200"/>
        <w:rPr>
          <w:rFonts w:ascii="宋体" w:hAnsi="宋体"/>
          <w:sz w:val="24"/>
          <w:szCs w:val="24"/>
        </w:rPr>
      </w:pPr>
      <w:r>
        <w:rPr>
          <w:rFonts w:hint="eastAsia" w:ascii="宋体" w:hAnsi="宋体"/>
          <w:sz w:val="24"/>
          <w:szCs w:val="24"/>
        </w:rPr>
        <w:t xml:space="preserve">乙方在维修过程中负责维修工程师、设备及配件的安全，出现设备及人员安全意外由乙方自行承担后果，由此给甲方造成任何损失的，乙方承担全部责任。 </w:t>
      </w:r>
    </w:p>
    <w:p>
      <w:pPr>
        <w:adjustRightInd w:val="0"/>
        <w:snapToGrid w:val="0"/>
        <w:spacing w:line="360" w:lineRule="auto"/>
        <w:ind w:firstLine="240" w:firstLineChars="100"/>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lang w:val="en-US" w:eastAsia="zh-CN"/>
        </w:rPr>
        <w:t>五</w:t>
      </w: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lang w:val="en-US" w:eastAsia="zh-CN"/>
        </w:rPr>
        <w:t>交付</w:t>
      </w:r>
      <w:r>
        <w:rPr>
          <w:rFonts w:hint="eastAsia" w:asciiTheme="minorEastAsia" w:hAnsiTheme="minorEastAsia" w:cstheme="minorEastAsia"/>
          <w:b w:val="0"/>
          <w:bCs/>
          <w:sz w:val="24"/>
          <w:szCs w:val="24"/>
          <w:highlight w:val="none"/>
        </w:rPr>
        <w:t>时间和</w:t>
      </w:r>
      <w:r>
        <w:rPr>
          <w:rFonts w:hint="eastAsia" w:asciiTheme="minorEastAsia" w:hAnsiTheme="minorEastAsia" w:cstheme="minorEastAsia"/>
          <w:b w:val="0"/>
          <w:bCs/>
          <w:sz w:val="24"/>
          <w:szCs w:val="24"/>
          <w:highlight w:val="none"/>
          <w:lang w:val="en-US" w:eastAsia="zh-CN"/>
        </w:rPr>
        <w:t>交付</w:t>
      </w:r>
      <w:r>
        <w:rPr>
          <w:rFonts w:hint="eastAsia" w:asciiTheme="minorEastAsia" w:hAnsiTheme="minorEastAsia" w:cstheme="minorEastAsia"/>
          <w:b w:val="0"/>
          <w:bCs/>
          <w:sz w:val="24"/>
          <w:szCs w:val="24"/>
          <w:highlight w:val="none"/>
        </w:rPr>
        <w:t xml:space="preserve">地点   </w:t>
      </w:r>
    </w:p>
    <w:p>
      <w:pPr>
        <w:adjustRightInd w:val="0"/>
        <w:snapToGrid w:val="0"/>
        <w:spacing w:line="360" w:lineRule="auto"/>
        <w:jc w:val="left"/>
        <w:rPr>
          <w:rFonts w:asciiTheme="minorEastAsia" w:hAnsiTheme="minorEastAsia" w:cstheme="minorEastAsia"/>
          <w:b w:val="0"/>
          <w:bCs/>
          <w:sz w:val="24"/>
          <w:szCs w:val="24"/>
          <w:highlight w:val="none"/>
          <w:u w:val="single"/>
        </w:rPr>
      </w:pPr>
      <w:r>
        <w:rPr>
          <w:rFonts w:hint="eastAsia" w:asciiTheme="minorEastAsia" w:hAnsiTheme="minorEastAsia" w:cstheme="minorEastAsia"/>
          <w:b w:val="0"/>
          <w:bCs/>
          <w:sz w:val="24"/>
          <w:szCs w:val="24"/>
          <w:highlight w:val="none"/>
        </w:rPr>
        <w:t xml:space="preserve">    1.交</w:t>
      </w:r>
      <w:r>
        <w:rPr>
          <w:rFonts w:hint="eastAsia" w:asciiTheme="minorEastAsia" w:hAnsiTheme="minorEastAsia" w:cstheme="minorEastAsia"/>
          <w:b w:val="0"/>
          <w:bCs/>
          <w:sz w:val="24"/>
          <w:szCs w:val="24"/>
          <w:highlight w:val="none"/>
          <w:lang w:val="en-US" w:eastAsia="zh-CN"/>
        </w:rPr>
        <w:t>付</w:t>
      </w:r>
      <w:r>
        <w:rPr>
          <w:rFonts w:hint="eastAsia" w:asciiTheme="minorEastAsia" w:hAnsiTheme="minorEastAsia" w:cstheme="minorEastAsia"/>
          <w:b w:val="0"/>
          <w:bCs/>
          <w:sz w:val="24"/>
          <w:szCs w:val="24"/>
          <w:highlight w:val="none"/>
        </w:rPr>
        <w:t>时间：</w:t>
      </w:r>
    </w:p>
    <w:p>
      <w:pPr>
        <w:adjustRightInd w:val="0"/>
        <w:snapToGrid w:val="0"/>
        <w:spacing w:line="360" w:lineRule="auto"/>
        <w:jc w:val="left"/>
        <w:rPr>
          <w:rFonts w:asciiTheme="minorEastAsia" w:hAnsiTheme="minorEastAsia" w:cstheme="minorEastAsia"/>
          <w:b w:val="0"/>
          <w:bCs/>
          <w:sz w:val="24"/>
          <w:szCs w:val="24"/>
          <w:highlight w:val="none"/>
          <w:u w:val="single"/>
        </w:rPr>
      </w:pPr>
      <w:r>
        <w:rPr>
          <w:rFonts w:hint="eastAsia" w:asciiTheme="minorEastAsia" w:hAnsiTheme="minorEastAsia" w:cstheme="minorEastAsia"/>
          <w:b w:val="0"/>
          <w:bCs/>
          <w:sz w:val="24"/>
          <w:szCs w:val="24"/>
          <w:highlight w:val="none"/>
        </w:rPr>
        <w:t xml:space="preserve">    2.交</w:t>
      </w:r>
      <w:r>
        <w:rPr>
          <w:rFonts w:hint="eastAsia" w:asciiTheme="minorEastAsia" w:hAnsiTheme="minorEastAsia" w:cstheme="minorEastAsia"/>
          <w:b w:val="0"/>
          <w:bCs/>
          <w:sz w:val="24"/>
          <w:szCs w:val="24"/>
          <w:highlight w:val="none"/>
          <w:lang w:val="en-US" w:eastAsia="zh-CN"/>
        </w:rPr>
        <w:t>付</w:t>
      </w:r>
      <w:r>
        <w:rPr>
          <w:rFonts w:hint="eastAsia" w:asciiTheme="minorEastAsia" w:hAnsiTheme="minorEastAsia" w:cstheme="minorEastAsia"/>
          <w:b w:val="0"/>
          <w:bCs/>
          <w:sz w:val="24"/>
          <w:szCs w:val="24"/>
          <w:highlight w:val="none"/>
        </w:rPr>
        <w:t>地点：</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w:t>
      </w:r>
      <w:r>
        <w:rPr>
          <w:rFonts w:hint="eastAsia" w:asciiTheme="minorEastAsia" w:hAnsiTheme="minorEastAsia" w:cstheme="minorEastAsia"/>
          <w:b w:val="0"/>
          <w:bCs/>
          <w:sz w:val="24"/>
          <w:szCs w:val="24"/>
          <w:highlight w:val="none"/>
          <w:lang w:val="en-US" w:eastAsia="zh-CN"/>
        </w:rPr>
        <w:t>六</w:t>
      </w: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rPr>
        <w:t>验收要求</w:t>
      </w:r>
    </w:p>
    <w:p>
      <w:pPr>
        <w:adjustRightInd w:val="0"/>
        <w:snapToGrid w:val="0"/>
        <w:spacing w:line="360" w:lineRule="auto"/>
        <w:jc w:val="left"/>
        <w:rPr>
          <w:rFonts w:asciiTheme="minorEastAsia" w:hAnsiTheme="minorEastAsia" w:cstheme="minorEastAsia"/>
          <w:b w:val="0"/>
          <w:bCs/>
          <w:sz w:val="24"/>
          <w:szCs w:val="24"/>
          <w:highlight w:val="none"/>
          <w:u w:val="single"/>
        </w:rPr>
      </w:pPr>
      <w:r>
        <w:rPr>
          <w:rFonts w:hint="eastAsia" w:asciiTheme="minorEastAsia" w:hAnsiTheme="minorEastAsia" w:cstheme="minorEastAsia"/>
          <w:b w:val="0"/>
          <w:bCs/>
          <w:sz w:val="24"/>
          <w:szCs w:val="24"/>
          <w:highlight w:val="none"/>
        </w:rPr>
        <w:t xml:space="preserve">    供方完全履行合同义务后，需方或需方的最终用户按照上述政府采购合同文件列明的标准进行验收，验收不合格的，供方需按照第</w:t>
      </w:r>
      <w:r>
        <w:rPr>
          <w:rFonts w:hint="eastAsia" w:asciiTheme="minorEastAsia" w:hAnsiTheme="minorEastAsia" w:cstheme="minorEastAsia"/>
          <w:b w:val="0"/>
          <w:bCs/>
          <w:sz w:val="24"/>
          <w:szCs w:val="24"/>
          <w:highlight w:val="none"/>
          <w:lang w:val="en-US" w:eastAsia="zh-CN"/>
        </w:rPr>
        <w:t>七</w:t>
      </w:r>
      <w:r>
        <w:rPr>
          <w:rFonts w:hint="eastAsia" w:asciiTheme="minorEastAsia" w:hAnsiTheme="minorEastAsia" w:cstheme="minorEastAsia"/>
          <w:b w:val="0"/>
          <w:bCs/>
          <w:sz w:val="24"/>
          <w:szCs w:val="24"/>
          <w:highlight w:val="none"/>
        </w:rPr>
        <w:t>条第2款的约定承担相应违约责任。</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w:t>
      </w:r>
      <w:r>
        <w:rPr>
          <w:rFonts w:hint="eastAsia" w:asciiTheme="minorEastAsia" w:hAnsiTheme="minorEastAsia" w:cstheme="minorEastAsia"/>
          <w:b w:val="0"/>
          <w:bCs/>
          <w:sz w:val="24"/>
          <w:szCs w:val="24"/>
          <w:highlight w:val="none"/>
          <w:lang w:val="en-US" w:eastAsia="zh-CN"/>
        </w:rPr>
        <w:t>七</w:t>
      </w: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rPr>
        <w:t>违约责任</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1.供方逾期供货的，每逾期一天向需方支付逾期供货金额</w:t>
      </w:r>
      <w:r>
        <w:rPr>
          <w:rFonts w:hint="eastAsia" w:asciiTheme="minorEastAsia" w:hAnsiTheme="minorEastAsia" w:cstheme="minorEastAsia"/>
          <w:b w:val="0"/>
          <w:bCs/>
          <w:sz w:val="24"/>
          <w:szCs w:val="24"/>
          <w:highlight w:val="none"/>
          <w:u w:val="single"/>
        </w:rPr>
        <w:t xml:space="preserve">  </w:t>
      </w:r>
      <w:r>
        <w:rPr>
          <w:rFonts w:hint="eastAsia" w:asciiTheme="minorEastAsia" w:hAnsiTheme="minorEastAsia" w:cstheme="minorEastAsia"/>
          <w:b w:val="0"/>
          <w:bCs/>
          <w:sz w:val="24"/>
          <w:szCs w:val="24"/>
          <w:highlight w:val="none"/>
        </w:rPr>
        <w:t>%的违约金，逾期</w:t>
      </w:r>
      <w:r>
        <w:rPr>
          <w:rFonts w:hint="eastAsia" w:asciiTheme="minorEastAsia" w:hAnsiTheme="minorEastAsia" w:cstheme="minorEastAsia"/>
          <w:b w:val="0"/>
          <w:bCs/>
          <w:sz w:val="24"/>
          <w:szCs w:val="24"/>
          <w:highlight w:val="none"/>
          <w:u w:val="single"/>
        </w:rPr>
        <w:t xml:space="preserve">  </w:t>
      </w:r>
      <w:r>
        <w:rPr>
          <w:rFonts w:hint="eastAsia" w:asciiTheme="minorEastAsia" w:hAnsiTheme="minorEastAsia" w:cstheme="minorEastAsia"/>
          <w:b w:val="0"/>
          <w:bCs/>
          <w:sz w:val="24"/>
          <w:szCs w:val="24"/>
          <w:highlight w:val="none"/>
        </w:rPr>
        <w:t>日的，需方有权单方面解除本协议。</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2.供方交付的货物不符合约定的，供方无条件更换符合约定的货物，并按照最终提供合格货物的日期遵照前款承担违约责任，更换一次货物后仍不符合约定的，需方有权单方面解除本协议。</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3.需方逾期付款的，每逾期一天向供方支付逾期金额</w:t>
      </w:r>
      <w:r>
        <w:rPr>
          <w:rFonts w:hint="eastAsia" w:asciiTheme="minorEastAsia" w:hAnsiTheme="minorEastAsia" w:cstheme="minorEastAsia"/>
          <w:b w:val="0"/>
          <w:bCs/>
          <w:sz w:val="24"/>
          <w:szCs w:val="24"/>
          <w:highlight w:val="none"/>
          <w:u w:val="single"/>
        </w:rPr>
        <w:t xml:space="preserve">  </w:t>
      </w:r>
      <w:r>
        <w:rPr>
          <w:rFonts w:hint="eastAsia" w:asciiTheme="minorEastAsia" w:hAnsiTheme="minorEastAsia" w:cstheme="minorEastAsia"/>
          <w:b w:val="0"/>
          <w:bCs/>
          <w:sz w:val="24"/>
          <w:szCs w:val="24"/>
          <w:highlight w:val="none"/>
        </w:rPr>
        <w:t>%的违约金，逾期</w:t>
      </w:r>
      <w:r>
        <w:rPr>
          <w:rFonts w:hint="eastAsia" w:asciiTheme="minorEastAsia" w:hAnsiTheme="minorEastAsia" w:cstheme="minorEastAsia"/>
          <w:b w:val="0"/>
          <w:bCs/>
          <w:sz w:val="24"/>
          <w:szCs w:val="24"/>
          <w:highlight w:val="none"/>
          <w:u w:val="single"/>
        </w:rPr>
        <w:t xml:space="preserve">  </w:t>
      </w:r>
      <w:r>
        <w:rPr>
          <w:rFonts w:hint="eastAsia" w:asciiTheme="minorEastAsia" w:hAnsiTheme="minorEastAsia" w:cstheme="minorEastAsia"/>
          <w:b w:val="0"/>
          <w:bCs/>
          <w:sz w:val="24"/>
          <w:szCs w:val="24"/>
          <w:highlight w:val="none"/>
        </w:rPr>
        <w:t>日的，供方有权单方面解除本协议。</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w:t>
      </w:r>
      <w:r>
        <w:rPr>
          <w:rFonts w:hint="eastAsia" w:asciiTheme="minorEastAsia" w:hAnsiTheme="minorEastAsia" w:cstheme="minorEastAsia"/>
          <w:b w:val="0"/>
          <w:bCs/>
          <w:sz w:val="24"/>
          <w:szCs w:val="24"/>
          <w:highlight w:val="none"/>
          <w:lang w:val="en-US" w:eastAsia="zh-CN"/>
        </w:rPr>
        <w:t>八</w:t>
      </w: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rPr>
        <w:t>争议解决</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双方因履行本协议而产生的争议，应友好协商解决，协商不成的，任何一方可向需方所在地的人民法院提起诉讼。</w:t>
      </w:r>
    </w:p>
    <w:p>
      <w:pPr>
        <w:adjustRightInd w:val="0"/>
        <w:snapToGrid w:val="0"/>
        <w:spacing w:line="360" w:lineRule="auto"/>
        <w:jc w:val="left"/>
        <w:rPr>
          <w:rFonts w:asciiTheme="minorEastAsia" w:hAnsiTheme="minorEastAsia" w:cstheme="minorEastAsia"/>
          <w:b w:val="0"/>
          <w:bCs/>
          <w:sz w:val="24"/>
          <w:szCs w:val="24"/>
          <w:highlight w:val="none"/>
        </w:rPr>
      </w:pPr>
      <w:r>
        <w:rPr>
          <w:rFonts w:hint="eastAsia" w:asciiTheme="minorEastAsia" w:hAnsiTheme="minorEastAsia" w:cstheme="minorEastAsia"/>
          <w:b w:val="0"/>
          <w:bCs/>
          <w:sz w:val="24"/>
          <w:szCs w:val="24"/>
          <w:highlight w:val="none"/>
        </w:rPr>
        <w:t xml:space="preserve">   </w:t>
      </w:r>
      <w:r>
        <w:rPr>
          <w:rFonts w:hint="eastAsia" w:asciiTheme="minorEastAsia" w:hAnsiTheme="minorEastAsia" w:cstheme="minorEastAsia"/>
          <w:b w:val="0"/>
          <w:bCs/>
          <w:sz w:val="24"/>
          <w:szCs w:val="24"/>
          <w:highlight w:val="none"/>
          <w:lang w:val="en-US" w:eastAsia="zh-CN"/>
        </w:rPr>
        <w:t>九</w:t>
      </w:r>
      <w:r>
        <w:rPr>
          <w:rFonts w:hint="eastAsia" w:asciiTheme="minorEastAsia" w:hAnsiTheme="minorEastAsia" w:cstheme="minorEastAsia"/>
          <w:b w:val="0"/>
          <w:bCs/>
          <w:sz w:val="24"/>
          <w:szCs w:val="24"/>
          <w:highlight w:val="none"/>
          <w:lang w:eastAsia="zh-CN"/>
        </w:rPr>
        <w:t>、</w:t>
      </w:r>
      <w:r>
        <w:rPr>
          <w:rFonts w:hint="eastAsia" w:asciiTheme="minorEastAsia" w:hAnsiTheme="minorEastAsia" w:cstheme="minorEastAsia"/>
          <w:b w:val="0"/>
          <w:bCs/>
          <w:sz w:val="24"/>
          <w:szCs w:val="24"/>
          <w:highlight w:val="none"/>
        </w:rPr>
        <w:t>合同生效</w:t>
      </w:r>
    </w:p>
    <w:p>
      <w:pPr>
        <w:adjustRightInd w:val="0"/>
        <w:snapToGrid w:val="0"/>
        <w:spacing w:line="360" w:lineRule="auto"/>
        <w:ind w:firstLine="420"/>
        <w:jc w:val="left"/>
        <w:rPr>
          <w:rFonts w:hint="eastAsia" w:asciiTheme="majorEastAsia" w:hAnsiTheme="majorEastAsia" w:eastAsiaTheme="minorEastAsia" w:cstheme="majorEastAsia"/>
          <w:b w:val="0"/>
          <w:bCs/>
          <w:sz w:val="24"/>
          <w:szCs w:val="24"/>
          <w:lang w:eastAsia="zh-CN"/>
        </w:rPr>
        <w:sectPr>
          <w:pgSz w:w="11906" w:h="16838"/>
          <w:pgMar w:top="1440" w:right="1304" w:bottom="1440" w:left="1304" w:header="851" w:footer="992" w:gutter="0"/>
          <w:pgNumType w:fmt="decimal"/>
          <w:cols w:space="0" w:num="1"/>
          <w:rtlGutter w:val="0"/>
          <w:docGrid w:type="lines" w:linePitch="325" w:charSpace="0"/>
        </w:sectPr>
      </w:pPr>
      <w:r>
        <w:rPr>
          <w:rFonts w:hint="eastAsia" w:asciiTheme="minorEastAsia" w:hAnsiTheme="minorEastAsia" w:cstheme="minorEastAsia"/>
          <w:b w:val="0"/>
          <w:bCs/>
          <w:sz w:val="24"/>
          <w:szCs w:val="24"/>
          <w:highlight w:val="none"/>
        </w:rPr>
        <w:t>本政府采购合同经双方授权代表签字盖章后生效</w:t>
      </w:r>
      <w:r>
        <w:rPr>
          <w:rFonts w:hint="eastAsia" w:asciiTheme="minorEastAsia" w:hAnsiTheme="minorEastAsia" w:cstheme="minorEastAsia"/>
          <w:b w:val="0"/>
          <w:bCs/>
          <w:sz w:val="24"/>
          <w:szCs w:val="24"/>
          <w:highlight w:val="none"/>
          <w:lang w:eastAsia="zh-CN"/>
        </w:rPr>
        <w:t>。</w:t>
      </w:r>
    </w:p>
    <w:p>
      <w:pPr>
        <w:tabs>
          <w:tab w:val="left" w:pos="480"/>
        </w:tabs>
        <w:spacing w:line="360" w:lineRule="auto"/>
        <w:rPr>
          <w:rFonts w:hint="eastAsia" w:ascii="宋体" w:hAnsi="宋体"/>
          <w:sz w:val="24"/>
          <w:szCs w:val="24"/>
        </w:rPr>
      </w:pPr>
      <w:r>
        <w:rPr>
          <w:rFonts w:hint="eastAsia" w:ascii="宋体" w:hAnsi="宋体"/>
          <w:sz w:val="24"/>
          <w:szCs w:val="24"/>
        </w:rPr>
        <w:t>（以下无正文）</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甲  方（法人公章）                      乙  方（法人公章）</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单位名称：</w:t>
      </w:r>
      <w:r>
        <w:rPr>
          <w:rFonts w:hint="eastAsia" w:ascii="宋体" w:hAnsi="宋体"/>
          <w:sz w:val="24"/>
          <w:szCs w:val="24"/>
          <w:lang w:eastAsia="zh-CN"/>
        </w:rPr>
        <w:t>西安市</w:t>
      </w:r>
      <w:r>
        <w:rPr>
          <w:rFonts w:hint="eastAsia" w:ascii="宋体" w:hAnsi="宋体"/>
          <w:sz w:val="24"/>
          <w:szCs w:val="24"/>
          <w:lang w:val="en-US" w:eastAsia="zh-CN"/>
        </w:rPr>
        <w:t>第一医院</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单位名称：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 xml:space="preserve">地  址：       </w:t>
      </w:r>
      <w:r>
        <w:rPr>
          <w:rFonts w:hint="eastAsia" w:ascii="宋体" w:hAnsi="宋体"/>
          <w:sz w:val="24"/>
          <w:szCs w:val="24"/>
          <w:lang w:val="en-US" w:eastAsia="zh-CN"/>
        </w:rPr>
        <w:t xml:space="preserve">                         </w:t>
      </w:r>
      <w:r>
        <w:rPr>
          <w:rFonts w:hint="eastAsia" w:ascii="宋体" w:hAnsi="宋体"/>
          <w:sz w:val="24"/>
          <w:szCs w:val="24"/>
        </w:rPr>
        <w:t xml:space="preserve">地址：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 xml:space="preserve">法定代表人：（签章）                    法定代表人：（签字）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开户银行：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 xml:space="preserve">帐   号：                                </w:t>
      </w:r>
    </w:p>
    <w:p>
      <w:pPr>
        <w:tabs>
          <w:tab w:val="left" w:pos="480"/>
        </w:tabs>
        <w:spacing w:line="360" w:lineRule="auto"/>
        <w:ind w:firstLine="480" w:firstLineChars="200"/>
        <w:rPr>
          <w:rFonts w:hint="eastAsia" w:ascii="宋体" w:hAnsi="宋体"/>
          <w:sz w:val="24"/>
          <w:szCs w:val="24"/>
        </w:rPr>
      </w:pPr>
      <w:r>
        <w:rPr>
          <w:rFonts w:hint="eastAsia" w:ascii="宋体" w:hAnsi="宋体"/>
          <w:sz w:val="24"/>
          <w:szCs w:val="24"/>
        </w:rPr>
        <w:t xml:space="preserve">联系电话：                             </w:t>
      </w:r>
      <w:r>
        <w:rPr>
          <w:rFonts w:hint="eastAsia" w:ascii="宋体" w:hAnsi="宋体"/>
          <w:sz w:val="24"/>
          <w:szCs w:val="24"/>
          <w:lang w:val="en-US" w:eastAsia="zh-CN"/>
        </w:rPr>
        <w:t xml:space="preserve"> </w:t>
      </w:r>
      <w:r>
        <w:rPr>
          <w:rFonts w:hint="eastAsia" w:ascii="宋体" w:hAnsi="宋体"/>
          <w:sz w:val="24"/>
          <w:szCs w:val="24"/>
        </w:rPr>
        <w:t xml:space="preserve">联系电话： </w:t>
      </w:r>
    </w:p>
    <w:p>
      <w:pPr>
        <w:ind w:firstLine="480" w:firstLineChars="200"/>
      </w:pPr>
      <w:r>
        <w:rPr>
          <w:rFonts w:hint="eastAsia" w:ascii="宋体" w:hAnsi="宋体"/>
          <w:sz w:val="24"/>
          <w:szCs w:val="24"/>
        </w:rPr>
        <w:t xml:space="preserve">签订日期：    年  月    日             </w:t>
      </w:r>
      <w:r>
        <w:rPr>
          <w:rFonts w:hint="eastAsia" w:ascii="宋体" w:hAnsi="宋体"/>
          <w:sz w:val="24"/>
          <w:szCs w:val="24"/>
          <w:lang w:val="en-US" w:eastAsia="zh-CN"/>
        </w:rPr>
        <w:t xml:space="preserve"> </w:t>
      </w:r>
      <w:r>
        <w:rPr>
          <w:rFonts w:hint="eastAsia" w:ascii="宋体" w:hAnsi="宋体"/>
          <w:sz w:val="24"/>
          <w:szCs w:val="24"/>
        </w:rPr>
        <w:t>签订日期：   年   月   日</w:t>
      </w:r>
    </w:p>
    <w:bookmarkEnd w:id="107"/>
    <w:bookmarkEnd w:id="108"/>
    <w:bookmarkEnd w:id="109"/>
    <w:bookmarkEnd w:id="110"/>
    <w:p>
      <w:pPr>
        <w:pStyle w:val="3"/>
        <w:keepNext w:val="0"/>
        <w:pageBreakBefore/>
        <w:spacing w:beforeLines="100" w:afterLines="150" w:line="500" w:lineRule="exact"/>
        <w:rPr>
          <w:rFonts w:asciiTheme="minorEastAsia" w:hAnsiTheme="minorEastAsia" w:eastAsiaTheme="minorEastAsia" w:cstheme="minorEastAsia"/>
        </w:rPr>
      </w:pPr>
      <w:bookmarkStart w:id="180" w:name="_Toc30713"/>
      <w:bookmarkStart w:id="181" w:name="_Toc27840"/>
      <w:r>
        <w:rPr>
          <w:rFonts w:hint="eastAsia" w:asciiTheme="minorEastAsia" w:hAnsiTheme="minorEastAsia" w:eastAsiaTheme="minorEastAsia" w:cstheme="minorEastAsia"/>
          <w:sz w:val="36"/>
          <w:szCs w:val="36"/>
        </w:rPr>
        <w:t xml:space="preserve">第七部分  </w:t>
      </w:r>
      <w:bookmarkEnd w:id="180"/>
      <w:r>
        <w:rPr>
          <w:rFonts w:hint="eastAsia" w:ascii="宋体" w:hAnsi="宋体" w:cs="宋体"/>
          <w:sz w:val="36"/>
          <w:szCs w:val="36"/>
        </w:rPr>
        <w:t>磋商响应文件格式</w:t>
      </w:r>
      <w:bookmarkEnd w:id="181"/>
    </w:p>
    <w:p>
      <w:pPr>
        <w:adjustRightInd w:val="0"/>
        <w:snapToGrid w:val="0"/>
        <w:spacing w:line="500" w:lineRule="exact"/>
        <w:jc w:val="left"/>
        <w:rPr>
          <w:rFonts w:asciiTheme="minorEastAsia" w:hAnsiTheme="minorEastAsia" w:cstheme="minorEastAsia"/>
          <w:b/>
          <w:w w:val="120"/>
          <w:sz w:val="28"/>
          <w:szCs w:val="28"/>
        </w:rPr>
      </w:pPr>
      <w:r>
        <w:rPr>
          <w:rFonts w:hint="eastAsia" w:asciiTheme="minorEastAsia" w:hAnsiTheme="minorEastAsia" w:cstheme="minorEastAsia"/>
          <w:b/>
          <w:w w:val="120"/>
          <w:sz w:val="28"/>
          <w:szCs w:val="28"/>
        </w:rPr>
        <w:t>项目编号：</w:t>
      </w:r>
      <w:r>
        <w:rPr>
          <w:rFonts w:hint="eastAsia" w:asciiTheme="minorEastAsia" w:hAnsiTheme="minorEastAsia" w:cstheme="minorEastAsia"/>
          <w:b/>
          <w:w w:val="120"/>
          <w:sz w:val="28"/>
          <w:szCs w:val="28"/>
          <w:lang w:eastAsia="zh-CN"/>
        </w:rPr>
        <w:t>SXWZ2023ZB-DYYY-036</w:t>
      </w:r>
      <w:r>
        <w:rPr>
          <w:rFonts w:hint="eastAsia" w:asciiTheme="minorEastAsia" w:hAnsiTheme="minorEastAsia" w:cstheme="minorEastAsia"/>
          <w:b/>
          <w:w w:val="120"/>
          <w:sz w:val="28"/>
          <w:szCs w:val="28"/>
        </w:rPr>
        <w:t xml:space="preserve">      （正本或副本）</w:t>
      </w:r>
    </w:p>
    <w:p>
      <w:pPr>
        <w:snapToGrid w:val="0"/>
        <w:spacing w:line="360" w:lineRule="auto"/>
        <w:ind w:right="-99" w:rightChars="-47"/>
        <w:rPr>
          <w:rFonts w:asciiTheme="minorEastAsia" w:hAnsiTheme="minorEastAsia" w:cstheme="minorEastAsia"/>
          <w:b/>
          <w:bCs/>
          <w:sz w:val="72"/>
          <w:szCs w:val="72"/>
        </w:rPr>
      </w:pPr>
    </w:p>
    <w:p>
      <w:pPr>
        <w:snapToGrid w:val="0"/>
        <w:spacing w:line="360" w:lineRule="auto"/>
        <w:jc w:val="center"/>
        <w:rPr>
          <w:rFonts w:asciiTheme="minorEastAsia" w:hAnsiTheme="minorEastAsia" w:cstheme="minorEastAsia"/>
          <w:b/>
          <w:bCs/>
          <w:sz w:val="72"/>
          <w:szCs w:val="72"/>
        </w:rPr>
      </w:pPr>
      <w:r>
        <w:rPr>
          <w:rFonts w:hint="eastAsia" w:asciiTheme="minorEastAsia" w:hAnsiTheme="minorEastAsia" w:cstheme="minorEastAsia"/>
          <w:b/>
          <w:bCs/>
          <w:sz w:val="72"/>
          <w:szCs w:val="72"/>
          <w:lang w:eastAsia="zh-CN"/>
        </w:rPr>
        <w:t>西安市第一医院老院区虚拟化内存扩容及3台服务节点扩容采购项目</w:t>
      </w:r>
    </w:p>
    <w:p>
      <w:pPr>
        <w:snapToGrid w:val="0"/>
        <w:spacing w:line="480" w:lineRule="auto"/>
        <w:jc w:val="center"/>
        <w:rPr>
          <w:rFonts w:hint="eastAsia" w:asciiTheme="minorEastAsia" w:hAnsiTheme="minorEastAsia" w:cstheme="minorEastAsia"/>
          <w:b/>
          <w:bCs/>
          <w:sz w:val="72"/>
          <w:szCs w:val="72"/>
        </w:rPr>
      </w:pPr>
    </w:p>
    <w:p>
      <w:pPr>
        <w:snapToGrid w:val="0"/>
        <w:spacing w:line="480" w:lineRule="auto"/>
        <w:jc w:val="center"/>
        <w:rPr>
          <w:rFonts w:asciiTheme="minorEastAsia" w:hAnsiTheme="minorEastAsia" w:cstheme="minorEastAsia"/>
          <w:b/>
          <w:bCs/>
          <w:sz w:val="72"/>
          <w:szCs w:val="72"/>
        </w:rPr>
      </w:pPr>
      <w:r>
        <w:rPr>
          <w:rFonts w:hint="eastAsia" w:asciiTheme="minorEastAsia" w:hAnsiTheme="minorEastAsia" w:cstheme="minorEastAsia"/>
          <w:b/>
          <w:bCs/>
          <w:sz w:val="72"/>
          <w:szCs w:val="72"/>
        </w:rPr>
        <w:t>响应文件</w:t>
      </w:r>
    </w:p>
    <w:p>
      <w:pPr>
        <w:snapToGrid w:val="0"/>
        <w:spacing w:line="480" w:lineRule="auto"/>
        <w:ind w:firstLine="1600" w:firstLineChars="500"/>
        <w:jc w:val="left"/>
        <w:rPr>
          <w:rFonts w:asciiTheme="minorEastAsia" w:hAnsiTheme="minorEastAsia" w:cstheme="minorEastAsia"/>
          <w:sz w:val="32"/>
          <w:szCs w:val="32"/>
          <w:lang w:val="zh-CN"/>
        </w:rPr>
      </w:pP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lang w:val="zh-CN"/>
        </w:rPr>
        <w:t>供应商（单位名称及公章）：</w:t>
      </w:r>
    </w:p>
    <w:p>
      <w:pPr>
        <w:snapToGrid w:val="0"/>
        <w:spacing w:line="480" w:lineRule="auto"/>
        <w:ind w:firstLine="1600" w:firstLineChars="500"/>
        <w:jc w:val="left"/>
        <w:rPr>
          <w:rFonts w:asciiTheme="minorEastAsia" w:hAnsiTheme="minorEastAsia" w:cstheme="minorEastAsia"/>
          <w:sz w:val="32"/>
          <w:szCs w:val="32"/>
          <w:u w:val="single"/>
        </w:rPr>
      </w:pPr>
      <w:r>
        <w:rPr>
          <w:rFonts w:hint="eastAsia" w:asciiTheme="minorEastAsia" w:hAnsiTheme="minorEastAsia" w:cstheme="minorEastAsia"/>
          <w:sz w:val="32"/>
          <w:szCs w:val="32"/>
        </w:rPr>
        <w:t>日  期</w:t>
      </w:r>
      <w:r>
        <w:rPr>
          <w:rFonts w:hint="eastAsia" w:asciiTheme="minorEastAsia" w:hAnsiTheme="minorEastAsia" w:cstheme="minorEastAsia"/>
          <w:sz w:val="32"/>
          <w:szCs w:val="32"/>
          <w:lang w:val="zh-CN"/>
        </w:rPr>
        <w:t>：</w:t>
      </w:r>
    </w:p>
    <w:p>
      <w:pPr>
        <w:pageBreakBefore/>
        <w:spacing w:beforeLines="100" w:afterLines="150" w:line="500" w:lineRule="exact"/>
        <w:ind w:firstLine="723" w:firstLineChars="200"/>
        <w:jc w:val="center"/>
        <w:rPr>
          <w:rFonts w:asciiTheme="minorEastAsia" w:hAnsiTheme="minorEastAsia" w:cstheme="minorEastAsia"/>
          <w:b/>
          <w:sz w:val="50"/>
        </w:rPr>
      </w:pPr>
      <w:r>
        <w:rPr>
          <w:rFonts w:hint="eastAsia" w:asciiTheme="minorEastAsia" w:hAnsiTheme="minorEastAsia" w:cstheme="minorEastAsia"/>
          <w:b/>
          <w:sz w:val="36"/>
          <w:szCs w:val="36"/>
        </w:rPr>
        <w:t>目 录</w:t>
      </w:r>
    </w:p>
    <w:p>
      <w:pPr>
        <w:pStyle w:val="14"/>
        <w:snapToGrid w:val="0"/>
        <w:spacing w:line="480" w:lineRule="auto"/>
        <w:ind w:firstLine="562" w:firstLineChars="200"/>
        <w:jc w:val="left"/>
        <w:rPr>
          <w:rFonts w:asciiTheme="minorEastAsia" w:hAnsiTheme="minorEastAsia" w:cstheme="minorEastAsia"/>
          <w:b/>
          <w:bCs/>
          <w:sz w:val="28"/>
          <w:szCs w:val="28"/>
        </w:rPr>
      </w:pPr>
      <w:bookmarkStart w:id="182" w:name="_Toc21472"/>
      <w:r>
        <w:rPr>
          <w:rFonts w:hint="eastAsia" w:asciiTheme="minorEastAsia" w:hAnsiTheme="minorEastAsia" w:cstheme="minorEastAsia"/>
          <w:b/>
          <w:bCs/>
          <w:sz w:val="28"/>
          <w:szCs w:val="28"/>
        </w:rPr>
        <w:t>第一章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第二</w:t>
      </w:r>
      <w:r>
        <w:rPr>
          <w:rFonts w:hint="eastAsia" w:asciiTheme="minorEastAsia" w:hAnsiTheme="minorEastAsia" w:cstheme="minorEastAsia"/>
          <w:b/>
          <w:bCs/>
          <w:sz w:val="28"/>
          <w:szCs w:val="28"/>
        </w:rPr>
        <w:t>章</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sz w:val="28"/>
          <w:szCs w:val="28"/>
        </w:rPr>
        <w:t xml:space="preserve">磋商一览表 </w:t>
      </w:r>
    </w:p>
    <w:p>
      <w:pPr>
        <w:pStyle w:val="14"/>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第三章   </w:t>
      </w:r>
      <w:r>
        <w:rPr>
          <w:rFonts w:hint="eastAsia" w:asciiTheme="minorEastAsia" w:hAnsiTheme="minorEastAsia" w:cstheme="minorEastAsia"/>
          <w:b/>
          <w:sz w:val="28"/>
          <w:szCs w:val="28"/>
        </w:rPr>
        <w:t>分项报价表</w:t>
      </w:r>
    </w:p>
    <w:p>
      <w:pPr>
        <w:pStyle w:val="14"/>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sz w:val="28"/>
          <w:szCs w:val="28"/>
        </w:rPr>
        <w:t>第四</w:t>
      </w:r>
      <w:r>
        <w:rPr>
          <w:rFonts w:hint="eastAsia" w:asciiTheme="minorEastAsia" w:hAnsiTheme="minorEastAsia" w:cstheme="minorEastAsia"/>
          <w:b/>
          <w:bCs/>
          <w:sz w:val="28"/>
          <w:szCs w:val="28"/>
        </w:rPr>
        <w:t>章</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sz w:val="28"/>
          <w:szCs w:val="28"/>
        </w:rPr>
        <w:t>供应商资质证明资料</w:t>
      </w:r>
    </w:p>
    <w:p>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商务和技术响应偏离表</w:t>
      </w:r>
    </w:p>
    <w:p>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第六</w:t>
      </w:r>
      <w:r>
        <w:rPr>
          <w:rFonts w:hint="eastAsia" w:asciiTheme="minorEastAsia" w:hAnsiTheme="minorEastAsia" w:cstheme="minorEastAsia"/>
          <w:b/>
          <w:bCs/>
          <w:sz w:val="28"/>
          <w:szCs w:val="28"/>
        </w:rPr>
        <w:t>章</w:t>
      </w:r>
      <w:r>
        <w:rPr>
          <w:rFonts w:hint="eastAsia" w:asciiTheme="minorEastAsia" w:hAnsiTheme="minorEastAsia" w:cstheme="minorEastAsia"/>
          <w:b/>
          <w:sz w:val="28"/>
          <w:szCs w:val="28"/>
        </w:rPr>
        <w:t xml:space="preserve">   技术支持资料</w:t>
      </w:r>
    </w:p>
    <w:p>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第七</w:t>
      </w:r>
      <w:r>
        <w:rPr>
          <w:rFonts w:hint="eastAsia" w:asciiTheme="minorEastAsia" w:hAnsiTheme="minorEastAsia" w:cstheme="minorEastAsia"/>
          <w:b/>
          <w:bCs/>
          <w:sz w:val="28"/>
          <w:szCs w:val="28"/>
        </w:rPr>
        <w:t>章</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sz w:val="28"/>
          <w:szCs w:val="28"/>
        </w:rPr>
        <w:t>供应商业绩一览表</w:t>
      </w:r>
    </w:p>
    <w:p>
      <w:pPr>
        <w:pStyle w:val="14"/>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第八</w:t>
      </w:r>
      <w:r>
        <w:rPr>
          <w:rFonts w:hint="eastAsia" w:asciiTheme="minorEastAsia" w:hAnsiTheme="minorEastAsia" w:cstheme="minorEastAsia"/>
          <w:b/>
          <w:bCs/>
          <w:sz w:val="28"/>
          <w:szCs w:val="28"/>
        </w:rPr>
        <w:t>章</w:t>
      </w:r>
      <w:r>
        <w:rPr>
          <w:rFonts w:hint="eastAsia" w:asciiTheme="minorEastAsia" w:hAnsiTheme="minorEastAsia" w:cstheme="minorEastAsia"/>
          <w:b/>
          <w:bCs/>
          <w:sz w:val="28"/>
          <w:szCs w:val="28"/>
          <w:lang w:val="en-US" w:eastAsia="zh-CN"/>
        </w:rPr>
        <w:t xml:space="preserve">   </w:t>
      </w:r>
      <w:r>
        <w:rPr>
          <w:rFonts w:hint="eastAsia" w:asciiTheme="minorEastAsia" w:hAnsiTheme="minorEastAsia" w:cstheme="minorEastAsia"/>
          <w:b/>
          <w:sz w:val="28"/>
          <w:szCs w:val="28"/>
        </w:rPr>
        <w:t>供应商认为有必要说明的其他问题</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第九章   供应商承诺书</w:t>
      </w:r>
    </w:p>
    <w:p>
      <w:pPr>
        <w:pStyle w:val="4"/>
        <w:pageBreakBefore/>
        <w:spacing w:beforeLines="100" w:afterLines="150" w:line="500" w:lineRule="exact"/>
        <w:rPr>
          <w:rFonts w:hint="default" w:asciiTheme="minorEastAsia" w:hAnsiTheme="minorEastAsia" w:eastAsiaTheme="minorEastAsia" w:cstheme="minorEastAsia"/>
          <w:sz w:val="36"/>
          <w:szCs w:val="36"/>
          <w:lang w:val="en-US" w:eastAsia="zh-CN"/>
        </w:rPr>
      </w:pPr>
      <w:bookmarkStart w:id="183" w:name="_Toc31679"/>
      <w:r>
        <w:rPr>
          <w:rFonts w:hint="eastAsia" w:asciiTheme="minorEastAsia" w:hAnsiTheme="minorEastAsia" w:eastAsiaTheme="minorEastAsia" w:cstheme="minorEastAsia"/>
          <w:sz w:val="36"/>
          <w:szCs w:val="36"/>
        </w:rPr>
        <w:t xml:space="preserve">第一章  </w:t>
      </w:r>
      <w:bookmarkEnd w:id="182"/>
      <w:bookmarkEnd w:id="183"/>
      <w:r>
        <w:rPr>
          <w:rFonts w:hint="eastAsia" w:asciiTheme="minorEastAsia" w:hAnsiTheme="minorEastAsia" w:eastAsiaTheme="minorEastAsia" w:cstheme="minorEastAsia"/>
          <w:sz w:val="36"/>
          <w:szCs w:val="36"/>
          <w:lang w:val="en-US" w:eastAsia="zh-CN"/>
        </w:rPr>
        <w:t>响应函</w:t>
      </w:r>
    </w:p>
    <w:p>
      <w:pPr>
        <w:adjustRightInd w:val="0"/>
        <w:snapToGrid w:val="0"/>
        <w:spacing w:line="276" w:lineRule="auto"/>
        <w:jc w:val="left"/>
        <w:rPr>
          <w:rFonts w:ascii="宋体" w:cs="宋体"/>
          <w:bCs/>
          <w:color w:val="000000" w:themeColor="text1"/>
          <w:sz w:val="32"/>
          <w:szCs w:val="32"/>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陕西万泽招标有限公司</w:t>
      </w:r>
      <w:r>
        <w:rPr>
          <w:rFonts w:hint="eastAsia" w:ascii="宋体" w:hAnsi="宋体" w:cs="宋体"/>
          <w:bCs/>
          <w:color w:val="000000" w:themeColor="text1"/>
          <w:sz w:val="32"/>
          <w:szCs w:val="32"/>
          <w14:textFill>
            <w14:solidFill>
              <w14:schemeClr w14:val="tx1"/>
            </w14:solidFill>
          </w14:textFill>
        </w:rPr>
        <w:t>：</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我单位收到项目名称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编号为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的竞争性磋商文件，经详细研究，我公司决定参加本次磋商活动。为此，我方郑重承诺以下诸点，并负法律责任。</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、愿意按照竞争性磋商文件中的全部要求，提供合格的产品及完善的技术服务，履行合同的责任和义务。</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、按照竞争性磋商文件的规定，我公司的响应</w:t>
      </w:r>
      <w:r>
        <w:rPr>
          <w:rFonts w:hint="eastAsia" w:ascii="宋体" w:hAnsi="宋体" w:cs="宋体"/>
          <w:color w:val="000000" w:themeColor="text1"/>
          <w:sz w:val="24"/>
          <w:lang w:val="en-US" w:eastAsia="zh-CN"/>
          <w14:textFill>
            <w14:solidFill>
              <w14:schemeClr w14:val="tx1"/>
            </w14:solidFill>
          </w14:textFill>
        </w:rPr>
        <w:t>总报价</w:t>
      </w:r>
      <w:r>
        <w:rPr>
          <w:rFonts w:hint="eastAsia" w:ascii="宋体" w:hAnsi="宋体" w:cs="宋体"/>
          <w:color w:val="000000" w:themeColor="text1"/>
          <w:sz w:val="24"/>
          <w14:textFill>
            <w14:solidFill>
              <w14:schemeClr w14:val="tx1"/>
            </w14:solidFill>
          </w14:textFill>
        </w:rPr>
        <w:t>为：</w:t>
      </w:r>
    </w:p>
    <w:p>
      <w:pPr>
        <w:adjustRightInd w:val="0"/>
        <w:snapToGrid w:val="0"/>
        <w:spacing w:line="360" w:lineRule="auto"/>
        <w:ind w:firstLine="480" w:firstLineChars="200"/>
        <w:jc w:val="left"/>
        <w:rPr>
          <w:rFonts w:asci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人民币（大</w:t>
      </w:r>
      <w:r>
        <w:rPr>
          <w:rFonts w:hint="eastAsia" w:ascii="宋体" w:hAnsi="宋体" w:cs="宋体"/>
          <w:color w:val="000000" w:themeColor="text1"/>
          <w:sz w:val="24"/>
          <w:szCs w:val="24"/>
          <w14:textFill>
            <w14:solidFill>
              <w14:schemeClr w14:val="tx1"/>
            </w14:solidFill>
          </w14:textFill>
        </w:rPr>
        <w:t>写）</w:t>
      </w:r>
      <w:r>
        <w:rPr>
          <w:rFonts w:hint="eastAsia" w:ascii="宋体" w:hAnsi="宋体" w:cs="宋体"/>
          <w:color w:val="000000" w:themeColor="text1"/>
          <w:sz w:val="24"/>
          <w:szCs w:val="24"/>
          <w:u w:val="single"/>
          <w14:textFill>
            <w14:solidFill>
              <w14:schemeClr w14:val="tx1"/>
            </w14:solidFill>
          </w14:textFill>
        </w:rPr>
        <w:t>：    元</w:t>
      </w:r>
      <w:r>
        <w:rPr>
          <w:rFonts w:hint="eastAsia" w:ascii="宋体" w:hAnsi="宋体" w:cs="宋体"/>
          <w:color w:val="000000" w:themeColor="text1"/>
          <w:sz w:val="24"/>
          <w:szCs w:val="24"/>
          <w14:textFill>
            <w14:solidFill>
              <w14:schemeClr w14:val="tx1"/>
            </w14:solidFill>
          </w14:textFill>
        </w:rPr>
        <w:t>；（小写）</w:t>
      </w:r>
      <w:r>
        <w:rPr>
          <w:rFonts w:hint="eastAsia" w:asci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元</w:t>
      </w:r>
      <w:r>
        <w:rPr>
          <w:rFonts w:hint="eastAsia" w:ascii="宋体" w:hAnsi="宋体" w:cs="宋体"/>
          <w:color w:val="000000" w:themeColor="text1"/>
          <w:sz w:val="24"/>
          <w:szCs w:val="24"/>
          <w14:textFill>
            <w14:solidFill>
              <w14:schemeClr w14:val="tx1"/>
            </w14:solidFill>
          </w14:textFill>
        </w:rPr>
        <w:t>；</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、我方提交的磋商响应文件正本壹份、副本叁份，电子文档壹份、</w:t>
      </w:r>
      <w:r>
        <w:rPr>
          <w:rFonts w:hint="eastAsia" w:ascii="宋体" w:hAnsi="宋体" w:cs="宋体"/>
          <w:color w:val="000000" w:themeColor="text1"/>
          <w:sz w:val="24"/>
          <w:szCs w:val="24"/>
          <w14:textFill>
            <w14:solidFill>
              <w14:schemeClr w14:val="tx1"/>
            </w14:solidFill>
          </w14:textFill>
        </w:rPr>
        <w:t>磋商一览表壹份</w:t>
      </w:r>
      <w:r>
        <w:rPr>
          <w:rFonts w:hint="eastAsia" w:ascii="宋体" w:hAnsi="宋体" w:cs="宋体"/>
          <w:color w:val="000000" w:themeColor="text1"/>
          <w:sz w:val="24"/>
          <w14:textFill>
            <w14:solidFill>
              <w14:schemeClr w14:val="tx1"/>
            </w14:solidFill>
          </w14:textFill>
        </w:rPr>
        <w:t>。</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、我们已详细阅读了竞争性磋商文件，完全理解并同意放弃提出含糊不清和误解问题的权力。</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、如果我方在磋商后到规定的磋商有效期内撤回磋商响应文件及承诺，我们的保证金将被对方没收。</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、同意向贵方提供贵方可能要求的、与本次磋商有关的任何证据资料。</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14:textFill>
            <w14:solidFill>
              <w14:schemeClr w14:val="tx1"/>
            </w14:solidFill>
          </w14:textFill>
        </w:rPr>
        <w:t>、我方承诺磋商有效期为磋商后</w:t>
      </w:r>
      <w:r>
        <w:rPr>
          <w:rFonts w:hint="eastAsia" w:ascii="宋体" w:hAnsi="宋体" w:cs="宋体"/>
          <w:color w:val="000000" w:themeColor="text1"/>
          <w:sz w:val="24"/>
          <w:u w:val="single"/>
          <w14:textFill>
            <w14:solidFill>
              <w14:schemeClr w14:val="tx1"/>
            </w14:solidFill>
          </w14:textFill>
        </w:rPr>
        <w:t>90</w:t>
      </w:r>
      <w:r>
        <w:rPr>
          <w:rFonts w:hint="eastAsia" w:ascii="宋体" w:hAnsi="宋体" w:cs="宋体"/>
          <w:color w:val="000000" w:themeColor="text1"/>
          <w:sz w:val="24"/>
          <w14:textFill>
            <w14:solidFill>
              <w14:schemeClr w14:val="tx1"/>
            </w14:solidFill>
          </w14:textFill>
        </w:rPr>
        <w:t>日历日内有效。</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、所有关于本次磋商的函电，请按下列地址联系：</w:t>
      </w:r>
    </w:p>
    <w:p>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供应商（单位名称及公章）：</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被授权人（签字或盖章）：</w:t>
      </w:r>
    </w:p>
    <w:p>
      <w:pPr>
        <w:adjustRightInd w:val="0"/>
        <w:snapToGrid w:val="0"/>
        <w:spacing w:line="360" w:lineRule="auto"/>
        <w:ind w:firstLine="480" w:firstLineChars="200"/>
        <w:jc w:val="left"/>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p>
    <w:p>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w:t>
      </w:r>
    </w:p>
    <w:p>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帐号：</w:t>
      </w:r>
    </w:p>
    <w:p>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p>
    <w:p>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adjustRightInd w:val="0"/>
        <w:snapToGrid w:val="0"/>
        <w:spacing w:line="360" w:lineRule="auto"/>
        <w:ind w:firstLine="480" w:firstLineChars="200"/>
        <w:jc w:val="left"/>
        <w:rPr>
          <w:rFonts w:asci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邮编：</w:t>
      </w:r>
    </w:p>
    <w:p>
      <w:pPr>
        <w:adjustRightInd w:val="0"/>
        <w:snapToGrid w:val="0"/>
        <w:spacing w:line="360" w:lineRule="auto"/>
        <w:ind w:firstLine="480" w:firstLineChars="200"/>
        <w:rPr>
          <w:rFonts w:asci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日期：年 月 日</w:t>
      </w:r>
    </w:p>
    <w:p>
      <w:pPr>
        <w:widowControl/>
        <w:spacing w:line="460" w:lineRule="exact"/>
        <w:ind w:firstLine="480" w:firstLineChars="200"/>
        <w:jc w:val="left"/>
        <w:rPr>
          <w:rFonts w:asciiTheme="minorEastAsia" w:hAnsiTheme="minorEastAsia" w:cstheme="minorEastAsia"/>
          <w:sz w:val="24"/>
          <w:szCs w:val="24"/>
          <w:u w:val="single"/>
        </w:rPr>
      </w:pPr>
    </w:p>
    <w:p>
      <w:pPr>
        <w:pStyle w:val="14"/>
        <w:spacing w:line="480" w:lineRule="auto"/>
        <w:ind w:firstLine="643" w:firstLineChars="200"/>
        <w:jc w:val="center"/>
        <w:rPr>
          <w:rFonts w:asciiTheme="minorEastAsia" w:hAnsiTheme="minorEastAsia" w:cstheme="minorEastAsia"/>
          <w:b/>
          <w:sz w:val="32"/>
        </w:rPr>
      </w:pPr>
    </w:p>
    <w:p>
      <w:bookmarkStart w:id="184" w:name="_Toc15401"/>
    </w:p>
    <w:p>
      <w:pPr>
        <w:pStyle w:val="4"/>
        <w:spacing w:beforeLines="100" w:afterLines="150" w:line="500" w:lineRule="exact"/>
        <w:rPr>
          <w:rFonts w:asciiTheme="minorEastAsia" w:hAnsiTheme="minorEastAsia" w:eastAsiaTheme="minorEastAsia" w:cstheme="minorEastAsia"/>
          <w:sz w:val="36"/>
          <w:szCs w:val="36"/>
        </w:rPr>
      </w:pPr>
      <w:bookmarkStart w:id="185" w:name="_Toc3185"/>
      <w:r>
        <w:rPr>
          <w:rFonts w:hint="eastAsia" w:asciiTheme="minorEastAsia" w:hAnsiTheme="minorEastAsia" w:eastAsiaTheme="minorEastAsia" w:cstheme="minorEastAsia"/>
          <w:sz w:val="36"/>
          <w:szCs w:val="36"/>
        </w:rPr>
        <w:t>第二章  磋商一览表</w:t>
      </w:r>
      <w:bookmarkEnd w:id="184"/>
      <w:bookmarkEnd w:id="185"/>
    </w:p>
    <w:p>
      <w:pPr>
        <w:kinsoku w:val="0"/>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项目名称：</w:t>
      </w:r>
    </w:p>
    <w:p>
      <w:pPr>
        <w:kinsoku w:val="0"/>
        <w:spacing w:line="360" w:lineRule="auto"/>
        <w:jc w:val="left"/>
      </w:pPr>
      <w:r>
        <w:rPr>
          <w:rFonts w:hint="eastAsia" w:asciiTheme="minorEastAsia" w:hAnsiTheme="minorEastAsia" w:cstheme="minorEastAsia"/>
          <w:sz w:val="28"/>
          <w:szCs w:val="28"/>
        </w:rPr>
        <w:t>项目编号：</w:t>
      </w:r>
    </w:p>
    <w:p>
      <w:pPr>
        <w:kinsoku w:val="0"/>
        <w:spacing w:line="360" w:lineRule="auto"/>
        <w:jc w:val="left"/>
        <w:rPr>
          <w:rFonts w:asciiTheme="minorEastAsia" w:hAnsiTheme="minorEastAsia" w:cstheme="minorEastAsia"/>
          <w:sz w:val="28"/>
          <w:szCs w:val="28"/>
          <w:highlight w:val="yellow"/>
        </w:rPr>
      </w:pPr>
      <w:r>
        <w:rPr>
          <w:rFonts w:hint="eastAsia" w:asciiTheme="minorEastAsia" w:hAnsiTheme="minorEastAsia" w:cstheme="minorEastAsia"/>
          <w:sz w:val="28"/>
          <w:szCs w:val="28"/>
        </w:rPr>
        <w:t>单    位：元</w:t>
      </w:r>
    </w:p>
    <w:tbl>
      <w:tblPr>
        <w:tblStyle w:val="26"/>
        <w:tblW w:w="9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2618"/>
        <w:gridCol w:w="1826"/>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3234" w:type="dxa"/>
            <w:tcBorders>
              <w:tl2br w:val="single" w:color="auto" w:sz="4" w:space="0"/>
            </w:tcBorders>
          </w:tcPr>
          <w:p>
            <w:pPr>
              <w:kinsoku w:val="0"/>
              <w:spacing w:line="480" w:lineRule="auto"/>
              <w:ind w:firstLine="840" w:firstLineChars="400"/>
              <w:jc w:val="left"/>
              <w:rPr>
                <w:rFonts w:ascii="宋体" w:hAnsi="宋体" w:cs="宋体"/>
                <w:szCs w:val="21"/>
              </w:rPr>
            </w:pPr>
            <w:r>
              <w:rPr>
                <w:rFonts w:ascii="宋体" w:hAnsi="宋体" w:cs="宋体"/>
                <w:szCs w:val="21"/>
              </w:rPr>
              <w:t>报价内</w:t>
            </w:r>
            <w:r>
              <w:rPr>
                <w:rFonts w:hint="eastAsia" w:ascii="宋体" w:hAnsi="宋体" w:cs="宋体"/>
                <w:szCs w:val="21"/>
              </w:rPr>
              <w:t>容</w:t>
            </w:r>
          </w:p>
          <w:p>
            <w:pPr>
              <w:kinsoku w:val="0"/>
              <w:spacing w:line="480" w:lineRule="auto"/>
              <w:jc w:val="left"/>
              <w:rPr>
                <w:rFonts w:ascii="宋体" w:hAnsi="宋体" w:cs="宋体"/>
                <w:szCs w:val="21"/>
              </w:rPr>
            </w:pPr>
            <w:r>
              <w:rPr>
                <w:rFonts w:hint="eastAsia" w:ascii="宋体" w:hAnsi="宋体" w:cs="宋体"/>
                <w:szCs w:val="21"/>
              </w:rPr>
              <w:t>磋商</w:t>
            </w:r>
            <w:r>
              <w:rPr>
                <w:rFonts w:ascii="宋体" w:hAnsi="宋体" w:cs="宋体"/>
                <w:szCs w:val="21"/>
              </w:rPr>
              <w:t>内</w:t>
            </w:r>
            <w:r>
              <w:rPr>
                <w:rFonts w:hint="eastAsia" w:ascii="宋体" w:hAnsi="宋体" w:cs="宋体"/>
                <w:szCs w:val="21"/>
              </w:rPr>
              <w:t>容</w:t>
            </w:r>
          </w:p>
        </w:tc>
        <w:tc>
          <w:tcPr>
            <w:tcW w:w="2618" w:type="dxa"/>
            <w:vAlign w:val="center"/>
          </w:tcPr>
          <w:p>
            <w:pPr>
              <w:kinsoku w:val="0"/>
              <w:spacing w:line="480" w:lineRule="auto"/>
              <w:jc w:val="center"/>
              <w:rPr>
                <w:rFonts w:ascii="宋体" w:hAnsi="宋体" w:cs="宋体"/>
                <w:szCs w:val="21"/>
              </w:rPr>
            </w:pPr>
            <w:r>
              <w:rPr>
                <w:rFonts w:hint="eastAsia" w:ascii="宋体" w:hAnsi="宋体" w:cs="宋体"/>
                <w:color w:val="000000" w:themeColor="text1"/>
                <w:szCs w:val="21"/>
                <w14:textFill>
                  <w14:solidFill>
                    <w14:schemeClr w14:val="tx1"/>
                  </w14:solidFill>
                </w14:textFill>
              </w:rPr>
              <w:t>磋商</w:t>
            </w:r>
            <w:r>
              <w:rPr>
                <w:rFonts w:hint="eastAsia" w:ascii="宋体" w:hAnsi="宋体" w:cs="宋体"/>
                <w:color w:val="000000" w:themeColor="text1"/>
                <w:szCs w:val="21"/>
                <w:lang w:val="en-US" w:eastAsia="zh-CN"/>
                <w14:textFill>
                  <w14:solidFill>
                    <w14:schemeClr w14:val="tx1"/>
                  </w14:solidFill>
                </w14:textFill>
              </w:rPr>
              <w:t>总报价</w:t>
            </w:r>
            <w:r>
              <w:rPr>
                <w:rFonts w:hint="eastAsia" w:ascii="宋体" w:hAnsi="宋体" w:cs="宋体"/>
                <w:color w:val="000000" w:themeColor="text1"/>
                <w:szCs w:val="21"/>
                <w14:textFill>
                  <w14:solidFill>
                    <w14:schemeClr w14:val="tx1"/>
                  </w14:solidFill>
                </w14:textFill>
              </w:rPr>
              <w:t>（元 ）</w:t>
            </w:r>
          </w:p>
        </w:tc>
        <w:tc>
          <w:tcPr>
            <w:tcW w:w="1826" w:type="dxa"/>
            <w:vAlign w:val="center"/>
          </w:tcPr>
          <w:p>
            <w:pPr>
              <w:kinsoku w:val="0"/>
              <w:spacing w:line="480" w:lineRule="auto"/>
              <w:jc w:val="center"/>
              <w:rPr>
                <w:rFonts w:hint="eastAsia" w:ascii="宋体" w:hAnsi="宋体" w:cs="宋体" w:eastAsiaTheme="minorEastAsia"/>
                <w:szCs w:val="21"/>
                <w:lang w:eastAsia="zh-CN"/>
              </w:rPr>
            </w:pPr>
            <w:r>
              <w:rPr>
                <w:rFonts w:hint="eastAsia" w:ascii="宋体" w:hAnsi="宋体" w:cs="宋体"/>
                <w:szCs w:val="21"/>
                <w:lang w:eastAsia="zh-CN"/>
              </w:rPr>
              <w:t>交付期</w:t>
            </w:r>
          </w:p>
        </w:tc>
        <w:tc>
          <w:tcPr>
            <w:tcW w:w="1485" w:type="dxa"/>
            <w:vAlign w:val="center"/>
          </w:tcPr>
          <w:p>
            <w:pPr>
              <w:kinsoku w:val="0"/>
              <w:spacing w:line="480" w:lineRule="auto"/>
              <w:jc w:val="center"/>
              <w:rPr>
                <w:rFonts w:hint="eastAsia" w:ascii="宋体" w:hAnsi="宋体" w:cs="宋体" w:eastAsiaTheme="minorEastAsia"/>
                <w:szCs w:val="21"/>
                <w:lang w:eastAsia="zh-CN"/>
              </w:rPr>
            </w:pPr>
            <w:r>
              <w:rPr>
                <w:rFonts w:hint="eastAsia" w:ascii="宋体" w:hAnsi="宋体" w:cs="宋体"/>
                <w:szCs w:val="21"/>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3234" w:type="dxa"/>
            <w:vAlign w:val="center"/>
          </w:tcPr>
          <w:p>
            <w:pPr>
              <w:kinsoku w:val="0"/>
              <w:spacing w:line="480" w:lineRule="auto"/>
              <w:jc w:val="left"/>
              <w:rPr>
                <w:rFonts w:ascii="宋体" w:hAnsi="宋体" w:cs="宋体"/>
                <w:szCs w:val="21"/>
              </w:rPr>
            </w:pPr>
            <w:r>
              <w:rPr>
                <w:rFonts w:hint="eastAsia" w:ascii="宋体" w:hAnsi="宋体" w:cs="宋体"/>
                <w:szCs w:val="21"/>
                <w:lang w:eastAsia="zh-CN"/>
              </w:rPr>
              <w:t>西安市第一医院老院区虚拟化内存扩容及3台服务节点扩容采购项目</w:t>
            </w:r>
          </w:p>
        </w:tc>
        <w:tc>
          <w:tcPr>
            <w:tcW w:w="2618" w:type="dxa"/>
            <w:vAlign w:val="center"/>
          </w:tcPr>
          <w:p>
            <w:pPr>
              <w:pStyle w:val="2"/>
            </w:pPr>
          </w:p>
        </w:tc>
        <w:tc>
          <w:tcPr>
            <w:tcW w:w="1826" w:type="dxa"/>
            <w:vAlign w:val="center"/>
          </w:tcPr>
          <w:p>
            <w:pPr>
              <w:kinsoku w:val="0"/>
              <w:spacing w:line="480" w:lineRule="auto"/>
              <w:ind w:firstLine="420" w:firstLineChars="200"/>
              <w:jc w:val="left"/>
              <w:rPr>
                <w:rFonts w:ascii="宋体" w:hAnsi="宋体" w:cs="宋体"/>
                <w:szCs w:val="21"/>
              </w:rPr>
            </w:pPr>
          </w:p>
        </w:tc>
        <w:tc>
          <w:tcPr>
            <w:tcW w:w="1485" w:type="dxa"/>
            <w:vAlign w:val="center"/>
          </w:tcPr>
          <w:p>
            <w:pPr>
              <w:kinsoku w:val="0"/>
              <w:spacing w:line="480" w:lineRule="auto"/>
              <w:ind w:firstLine="420" w:firstLineChars="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9163" w:type="dxa"/>
            <w:gridSpan w:val="4"/>
            <w:vAlign w:val="center"/>
          </w:tcPr>
          <w:p>
            <w:pPr>
              <w:kinsoku w:val="0"/>
              <w:spacing w:line="480" w:lineRule="auto"/>
              <w:ind w:firstLine="420" w:firstLineChars="200"/>
              <w:jc w:val="left"/>
              <w:rPr>
                <w:rFonts w:hint="eastAsia" w:ascii="宋体" w:hAnsi="宋体" w:cs="宋体"/>
                <w:szCs w:val="21"/>
              </w:rPr>
            </w:pPr>
            <w:r>
              <w:rPr>
                <w:rFonts w:hint="eastAsia" w:ascii="宋体" w:hAnsi="宋体" w:cs="宋体"/>
                <w:szCs w:val="21"/>
              </w:rPr>
              <w:t>总报价：人民</w:t>
            </w:r>
            <w:r>
              <w:rPr>
                <w:rFonts w:ascii="宋体" w:hAnsi="宋体" w:cs="宋体"/>
                <w:szCs w:val="21"/>
              </w:rPr>
              <w:t>币</w:t>
            </w:r>
            <w:r>
              <w:rPr>
                <w:rFonts w:hint="eastAsia" w:ascii="宋体" w:hAnsi="宋体" w:cs="宋体"/>
                <w:szCs w:val="21"/>
                <w:u w:val="single"/>
              </w:rPr>
              <w:t>（大</w:t>
            </w:r>
            <w:r>
              <w:rPr>
                <w:rFonts w:ascii="宋体" w:hAnsi="宋体" w:cs="宋体"/>
                <w:szCs w:val="21"/>
                <w:u w:val="single"/>
              </w:rPr>
              <w:t>写</w:t>
            </w:r>
            <w:r>
              <w:rPr>
                <w:rFonts w:hint="eastAsia" w:ascii="宋体" w:hAnsi="宋体" w:cs="宋体"/>
                <w:szCs w:val="21"/>
                <w:u w:val="single"/>
              </w:rPr>
              <w:t>)      （小</w:t>
            </w:r>
            <w:r>
              <w:rPr>
                <w:rFonts w:ascii="宋体" w:hAnsi="宋体" w:cs="宋体"/>
                <w:szCs w:val="21"/>
                <w:u w:val="single"/>
              </w:rPr>
              <w:t>写</w:t>
            </w:r>
            <w:r>
              <w:rPr>
                <w:rFonts w:hint="eastAsia" w:ascii="宋体" w:hAnsi="宋体" w:cs="宋体"/>
                <w:szCs w:val="21"/>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163" w:type="dxa"/>
            <w:gridSpan w:val="4"/>
            <w:vAlign w:val="center"/>
          </w:tcPr>
          <w:p>
            <w:pPr>
              <w:pStyle w:val="2"/>
              <w:ind w:firstLine="420" w:firstLineChars="200"/>
            </w:pPr>
            <w:r>
              <w:t>备</w:t>
            </w:r>
            <w:r>
              <w:rPr>
                <w:rFonts w:hint="eastAsia"/>
              </w:rPr>
              <w:t xml:space="preserve">注：1、表内报价内容以元为单位，精确到小数点后两位。 </w:t>
            </w:r>
          </w:p>
          <w:p>
            <w:pPr>
              <w:pStyle w:val="2"/>
            </w:pPr>
            <w:r>
              <w:rPr>
                <w:rFonts w:hint="eastAsia"/>
              </w:rPr>
              <w:t xml:space="preserve">          2、</w:t>
            </w:r>
            <w:r>
              <w:rPr>
                <w:rFonts w:hint="eastAsia" w:ascii="宋体" w:hAnsi="宋体" w:cs="宋体"/>
                <w:szCs w:val="21"/>
                <w:lang w:val="en-US" w:eastAsia="zh-CN"/>
              </w:rPr>
              <w:t>交付期、质保期</w:t>
            </w:r>
            <w:r>
              <w:rPr>
                <w:rFonts w:hint="eastAsia"/>
              </w:rPr>
              <w:t>见第五部分采购要求。</w:t>
            </w:r>
          </w:p>
          <w:p>
            <w:pPr>
              <w:pStyle w:val="2"/>
            </w:pPr>
          </w:p>
        </w:tc>
      </w:tr>
    </w:tbl>
    <w:p>
      <w:pPr>
        <w:widowControl/>
        <w:tabs>
          <w:tab w:val="left" w:pos="4000"/>
        </w:tabs>
        <w:snapToGrid w:val="0"/>
        <w:spacing w:line="300" w:lineRule="auto"/>
        <w:jc w:val="left"/>
        <w:rPr>
          <w:rFonts w:asciiTheme="minorEastAsia" w:hAnsiTheme="minorEastAsia" w:cstheme="minorEastAsia"/>
          <w:b/>
          <w:bCs/>
          <w:spacing w:val="20"/>
          <w:kern w:val="0"/>
          <w:sz w:val="28"/>
          <w:szCs w:val="28"/>
        </w:rPr>
      </w:pPr>
      <w:r>
        <w:rPr>
          <w:rFonts w:hint="eastAsia" w:asciiTheme="minorEastAsia" w:hAnsiTheme="minorEastAsia" w:cstheme="minorEastAsia"/>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Theme="minorEastAsia" w:hAnsiTheme="minorEastAsia" w:cstheme="minorEastAsia"/>
          <w:b/>
          <w:bCs/>
          <w:spacing w:val="20"/>
          <w:kern w:val="0"/>
          <w:sz w:val="28"/>
          <w:szCs w:val="28"/>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供应商（单位名称及公章）：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日    期：年月日</w:t>
      </w:r>
    </w:p>
    <w:p>
      <w:pPr>
        <w:jc w:val="left"/>
        <w:rPr>
          <w:rFonts w:asciiTheme="minorEastAsia" w:hAnsiTheme="minorEastAsia" w:cstheme="minorEastAsia"/>
          <w:b/>
          <w:sz w:val="32"/>
        </w:rPr>
        <w:sectPr>
          <w:headerReference r:id="rId8" w:type="default"/>
          <w:footerReference r:id="rId9" w:type="default"/>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b/>
          <w:sz w:val="32"/>
        </w:rPr>
        <w:br w:type="page"/>
      </w:r>
    </w:p>
    <w:p>
      <w:pPr>
        <w:ind w:firstLine="1060"/>
        <w:rPr>
          <w:rFonts w:asciiTheme="minorEastAsia" w:hAnsiTheme="minorEastAsia" w:cstheme="minorEastAsia"/>
        </w:rPr>
      </w:pPr>
    </w:p>
    <w:p>
      <w:pPr>
        <w:pStyle w:val="4"/>
        <w:rPr>
          <w:sz w:val="36"/>
          <w:szCs w:val="36"/>
        </w:rPr>
      </w:pPr>
      <w:bookmarkStart w:id="186" w:name="_Toc28923"/>
      <w:r>
        <w:rPr>
          <w:rFonts w:hint="eastAsia"/>
          <w:sz w:val="36"/>
          <w:szCs w:val="36"/>
        </w:rPr>
        <w:t>第三章分项报价表</w:t>
      </w:r>
      <w:bookmarkEnd w:id="186"/>
    </w:p>
    <w:p>
      <w:pPr>
        <w:kinsoku w:val="0"/>
        <w:spacing w:line="360" w:lineRule="auto"/>
        <w:jc w:val="left"/>
        <w:rPr>
          <w:rFonts w:hint="eastAsia" w:asciiTheme="minorEastAsia" w:hAnsiTheme="minorEastAsia" w:cstheme="minorEastAsia"/>
          <w:sz w:val="28"/>
          <w:szCs w:val="28"/>
          <w:u w:val="single"/>
        </w:rPr>
      </w:pPr>
      <w:bookmarkStart w:id="187" w:name="_Toc17404"/>
      <w:r>
        <w:rPr>
          <w:rFonts w:hint="eastAsia" w:asciiTheme="minorEastAsia" w:hAnsiTheme="minorEastAsia" w:cstheme="minorEastAsia"/>
          <w:sz w:val="28"/>
          <w:szCs w:val="28"/>
        </w:rPr>
        <w:t>项目名称：</w:t>
      </w:r>
      <w:r>
        <w:rPr>
          <w:rFonts w:hint="eastAsia" w:asciiTheme="minorEastAsia" w:hAnsiTheme="minorEastAsia" w:cstheme="minorEastAsia"/>
          <w:sz w:val="28"/>
          <w:szCs w:val="28"/>
          <w:u w:val="single"/>
        </w:rPr>
        <w:t xml:space="preserve"> </w:t>
      </w:r>
    </w:p>
    <w:p>
      <w:pPr>
        <w:widowControl/>
        <w:wordWrap w:val="0"/>
        <w:spacing w:line="360" w:lineRule="auto"/>
        <w:jc w:val="left"/>
        <w:rPr>
          <w:rFonts w:hint="eastAsia" w:asciiTheme="minorEastAsia" w:hAnsiTheme="minorEastAsia" w:cstheme="minorEastAsia"/>
          <w:sz w:val="28"/>
          <w:szCs w:val="28"/>
        </w:rPr>
      </w:pPr>
      <w:r>
        <w:rPr>
          <w:rFonts w:hint="eastAsia" w:asciiTheme="minorEastAsia" w:hAnsiTheme="minorEastAsia" w:cstheme="minorEastAsia"/>
          <w:sz w:val="28"/>
          <w:szCs w:val="28"/>
          <w:u w:val="none"/>
          <w:lang w:eastAsia="zh-CN"/>
        </w:rPr>
        <w:t>项目编号：</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w:t>
      </w:r>
    </w:p>
    <w:p>
      <w:pPr>
        <w:widowControl/>
        <w:wordWrap w:val="0"/>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共</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页，第</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页</w:t>
      </w:r>
    </w:p>
    <w:tbl>
      <w:tblPr>
        <w:tblStyle w:val="26"/>
        <w:tblpPr w:leftFromText="180" w:rightFromText="180" w:vertAnchor="text" w:horzAnchor="page" w:tblpX="1534" w:tblpY="373"/>
        <w:tblOverlap w:val="never"/>
        <w:tblW w:w="9020" w:type="dxa"/>
        <w:tblInd w:w="0" w:type="dxa"/>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tblPrEx>
          <w:tblCellMar>
            <w:top w:w="0" w:type="dxa"/>
            <w:left w:w="28" w:type="dxa"/>
            <w:bottom w:w="0" w:type="dxa"/>
            <w:right w:w="28" w:type="dxa"/>
          </w:tblCellMar>
        </w:tblPrEx>
        <w:trPr>
          <w:trHeight w:val="865" w:hRule="atLeast"/>
        </w:trPr>
        <w:tc>
          <w:tcPr>
            <w:tcW w:w="1143" w:type="dxa"/>
            <w:vMerge w:val="restart"/>
            <w:tcBorders>
              <w:top w:val="single" w:color="auto" w:sz="6" w:space="0"/>
              <w:left w:val="single" w:color="auto" w:sz="6" w:space="0"/>
              <w:right w:val="single" w:color="auto" w:sz="4" w:space="0"/>
            </w:tcBorders>
            <w:vAlign w:val="center"/>
          </w:tcPr>
          <w:p>
            <w:pPr>
              <w:jc w:val="left"/>
              <w:rPr>
                <w:rFonts w:ascii="宋体" w:hAnsi="宋体"/>
                <w:sz w:val="22"/>
                <w:highlight w:val="none"/>
              </w:rPr>
            </w:pPr>
            <w:r>
              <w:rPr>
                <w:rFonts w:hint="eastAsia" w:ascii="宋体" w:hAnsi="宋体"/>
                <w:sz w:val="22"/>
                <w:highlight w:val="none"/>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ascii="宋体" w:hAnsi="宋体"/>
                <w:sz w:val="22"/>
                <w:highlight w:val="none"/>
              </w:rPr>
            </w:pPr>
            <w:r>
              <w:rPr>
                <w:rFonts w:hint="eastAsia" w:ascii="宋体" w:hAnsi="宋体"/>
                <w:sz w:val="22"/>
                <w:highlight w:val="none"/>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highlight w:val="none"/>
              </w:rPr>
            </w:pPr>
            <w:r>
              <w:rPr>
                <w:rFonts w:hint="eastAsia" w:ascii="宋体" w:hAnsi="宋体"/>
                <w:sz w:val="22"/>
                <w:highlight w:val="none"/>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sz w:val="22"/>
                <w:highlight w:val="none"/>
              </w:rPr>
            </w:pPr>
            <w:r>
              <w:rPr>
                <w:rFonts w:hint="eastAsia" w:ascii="宋体" w:hAnsi="宋体"/>
                <w:sz w:val="22"/>
                <w:highlight w:val="none"/>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sz w:val="22"/>
                <w:highlight w:val="none"/>
              </w:rPr>
            </w:pPr>
            <w:r>
              <w:rPr>
                <w:rFonts w:hint="eastAsia" w:ascii="宋体" w:hAnsi="宋体"/>
                <w:sz w:val="22"/>
                <w:highlight w:val="none"/>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pPr>
              <w:spacing w:before="162" w:beforeLines="50" w:after="120"/>
              <w:jc w:val="center"/>
              <w:rPr>
                <w:rFonts w:ascii="宋体" w:hAnsi="宋体"/>
                <w:sz w:val="22"/>
                <w:highlight w:val="none"/>
              </w:rPr>
            </w:pPr>
            <w:r>
              <w:rPr>
                <w:rFonts w:hint="eastAsia" w:ascii="宋体" w:hAnsi="宋体"/>
                <w:sz w:val="22"/>
                <w:highlight w:val="none"/>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highlight w:val="none"/>
              </w:rPr>
            </w:pPr>
            <w:r>
              <w:rPr>
                <w:rFonts w:hint="eastAsia" w:ascii="宋体" w:hAnsi="宋体"/>
                <w:sz w:val="22"/>
                <w:highlight w:val="none"/>
              </w:rPr>
              <w:t>数量</w:t>
            </w:r>
          </w:p>
        </w:tc>
        <w:tc>
          <w:tcPr>
            <w:tcW w:w="134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sz w:val="22"/>
                <w:highlight w:val="none"/>
              </w:rPr>
            </w:pPr>
            <w:r>
              <w:rPr>
                <w:rFonts w:hint="eastAsia" w:ascii="宋体" w:hAnsi="宋体"/>
                <w:sz w:val="22"/>
                <w:highlight w:val="none"/>
              </w:rPr>
              <w:t>单价</w:t>
            </w:r>
          </w:p>
          <w:p>
            <w:pPr>
              <w:spacing w:after="120"/>
              <w:jc w:val="center"/>
              <w:rPr>
                <w:rFonts w:ascii="宋体" w:hAnsi="宋体"/>
                <w:bCs/>
                <w:sz w:val="22"/>
                <w:highlight w:val="none"/>
              </w:rPr>
            </w:pPr>
            <w:r>
              <w:rPr>
                <w:rFonts w:hint="eastAsia" w:ascii="宋体" w:hAnsi="宋体"/>
                <w:sz w:val="22"/>
                <w:highlight w:val="none"/>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bCs/>
                <w:sz w:val="22"/>
                <w:highlight w:val="none"/>
              </w:rPr>
            </w:pPr>
            <w:r>
              <w:rPr>
                <w:rFonts w:hint="eastAsia" w:ascii="宋体" w:hAnsi="宋体"/>
                <w:bCs/>
                <w:sz w:val="22"/>
                <w:highlight w:val="none"/>
              </w:rPr>
              <w:t>总价</w:t>
            </w:r>
          </w:p>
          <w:p>
            <w:pPr>
              <w:spacing w:after="120"/>
              <w:jc w:val="center"/>
              <w:rPr>
                <w:rFonts w:ascii="宋体" w:hAnsi="宋体"/>
                <w:bCs/>
                <w:sz w:val="22"/>
                <w:highlight w:val="none"/>
              </w:rPr>
            </w:pPr>
            <w:r>
              <w:rPr>
                <w:rFonts w:hint="eastAsia" w:ascii="宋体" w:hAnsi="宋体"/>
                <w:bCs/>
                <w:sz w:val="22"/>
                <w:highlight w:val="none"/>
              </w:rPr>
              <w:t>（元）</w:t>
            </w: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highlight w:val="none"/>
              </w:rPr>
            </w:pPr>
          </w:p>
        </w:tc>
        <w:tc>
          <w:tcPr>
            <w:tcW w:w="528" w:type="dxa"/>
            <w:tcBorders>
              <w:top w:val="single" w:color="auto" w:sz="6" w:space="0"/>
              <w:left w:val="single" w:color="auto" w:sz="4" w:space="0"/>
              <w:bottom w:val="single" w:color="auto" w:sz="4" w:space="0"/>
            </w:tcBorders>
            <w:vAlign w:val="center"/>
          </w:tcPr>
          <w:p>
            <w:pPr>
              <w:spacing w:before="325" w:beforeLines="100"/>
              <w:jc w:val="center"/>
              <w:rPr>
                <w:rFonts w:ascii="宋体" w:hAnsi="宋体"/>
                <w:sz w:val="22"/>
                <w:highlight w:val="none"/>
              </w:rPr>
            </w:pPr>
            <w:r>
              <w:rPr>
                <w:rFonts w:hint="eastAsia" w:ascii="宋体" w:hAnsi="宋体"/>
                <w:sz w:val="22"/>
                <w:highlight w:val="none"/>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highlight w:val="none"/>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162" w:beforeLines="50"/>
              <w:jc w:val="center"/>
              <w:rPr>
                <w:rFonts w:ascii="宋体" w:hAnsi="宋体"/>
                <w:sz w:val="22"/>
                <w:highlight w:val="none"/>
              </w:rPr>
            </w:pPr>
          </w:p>
        </w:tc>
        <w:tc>
          <w:tcPr>
            <w:tcW w:w="958" w:type="dxa"/>
            <w:tcBorders>
              <w:top w:val="single" w:color="auto" w:sz="6" w:space="0"/>
              <w:left w:val="single" w:color="auto" w:sz="4" w:space="0"/>
              <w:bottom w:val="single" w:color="auto" w:sz="4" w:space="0"/>
              <w:right w:val="single" w:color="auto" w:sz="6" w:space="0"/>
            </w:tcBorders>
            <w:vAlign w:val="center"/>
          </w:tcPr>
          <w:p>
            <w:pPr>
              <w:spacing w:before="162" w:beforeLines="50"/>
              <w:jc w:val="center"/>
              <w:rPr>
                <w:rFonts w:ascii="宋体" w:hAnsi="宋体"/>
                <w:sz w:val="22"/>
                <w:highlight w:val="none"/>
              </w:rPr>
            </w:pPr>
          </w:p>
        </w:tc>
        <w:tc>
          <w:tcPr>
            <w:tcW w:w="1563"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highlight w:val="none"/>
              </w:rPr>
            </w:pPr>
          </w:p>
        </w:tc>
        <w:tc>
          <w:tcPr>
            <w:tcW w:w="962"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highlight w:val="none"/>
              </w:rPr>
            </w:pPr>
          </w:p>
        </w:tc>
        <w:tc>
          <w:tcPr>
            <w:tcW w:w="1347"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highlight w:val="none"/>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162" w:beforeLines="50"/>
              <w:jc w:val="center"/>
              <w:rPr>
                <w:rFonts w:ascii="宋体" w:hAnsi="宋体"/>
                <w:sz w:val="22"/>
                <w:highlight w:val="none"/>
              </w:rPr>
            </w:pPr>
          </w:p>
        </w:tc>
      </w:tr>
      <w:tr>
        <w:tblPrEx>
          <w:tblCellMar>
            <w:top w:w="0" w:type="dxa"/>
            <w:left w:w="28" w:type="dxa"/>
            <w:bottom w:w="0" w:type="dxa"/>
            <w:right w:w="28" w:type="dxa"/>
          </w:tblCellMar>
        </w:tblPrEx>
        <w:trPr>
          <w:trHeight w:val="601"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sz w:val="22"/>
                <w:highlight w:val="none"/>
              </w:rPr>
            </w:pPr>
            <w:r>
              <w:rPr>
                <w:rFonts w:hint="eastAsia" w:ascii="宋体" w:hAnsi="宋体"/>
                <w:sz w:val="22"/>
                <w:highlight w:val="none"/>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325" w:beforeLines="100"/>
              <w:jc w:val="center"/>
              <w:rPr>
                <w:rFonts w:ascii="宋体" w:hAnsi="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sz w:val="22"/>
                <w:highlight w:val="none"/>
              </w:rPr>
            </w:pPr>
            <w:r>
              <w:rPr>
                <w:rFonts w:hint="eastAsia" w:ascii="宋体" w:hAnsi="宋体"/>
                <w:sz w:val="22"/>
                <w:highlight w:val="none"/>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325" w:beforeLines="100"/>
              <w:jc w:val="center"/>
              <w:rPr>
                <w:rFonts w:ascii="宋体" w:hAnsi="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right w:val="single" w:color="auto" w:sz="4" w:space="0"/>
            </w:tcBorders>
            <w:vAlign w:val="center"/>
          </w:tcPr>
          <w:p>
            <w:pPr>
              <w:spacing w:before="325" w:beforeLines="100"/>
              <w:jc w:val="center"/>
              <w:rPr>
                <w:rFonts w:ascii="宋体" w:hAnsi="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sz w:val="22"/>
                <w:highlight w:val="none"/>
              </w:rPr>
            </w:pPr>
            <w:r>
              <w:rPr>
                <w:rFonts w:hint="eastAsia" w:ascii="宋体" w:hAnsi="宋体"/>
                <w:sz w:val="22"/>
                <w:highlight w:val="none"/>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bottom w:val="single" w:color="auto" w:sz="6" w:space="0"/>
              <w:right w:val="single" w:color="auto" w:sz="4" w:space="0"/>
            </w:tcBorders>
            <w:vAlign w:val="center"/>
          </w:tcPr>
          <w:p>
            <w:pPr>
              <w:spacing w:before="325" w:beforeLines="100"/>
              <w:jc w:val="center"/>
              <w:rPr>
                <w:rFonts w:ascii="宋体" w:hAnsi="宋体"/>
                <w:sz w:val="22"/>
                <w:highlight w:val="none"/>
              </w:rPr>
            </w:pPr>
          </w:p>
        </w:tc>
        <w:tc>
          <w:tcPr>
            <w:tcW w:w="528" w:type="dxa"/>
            <w:tcBorders>
              <w:top w:val="single" w:color="auto" w:sz="4" w:space="0"/>
              <w:left w:val="single" w:color="auto" w:sz="4" w:space="0"/>
              <w:bottom w:val="single" w:color="auto" w:sz="6" w:space="0"/>
            </w:tcBorders>
            <w:vAlign w:val="center"/>
          </w:tcPr>
          <w:p>
            <w:pPr>
              <w:spacing w:before="325" w:beforeLines="100"/>
              <w:jc w:val="center"/>
              <w:rPr>
                <w:rFonts w:ascii="宋体" w:hAnsi="宋体"/>
                <w:b/>
                <w:sz w:val="22"/>
                <w:highlight w:val="none"/>
              </w:rPr>
            </w:pPr>
            <w:r>
              <w:rPr>
                <w:rFonts w:hint="eastAsia" w:ascii="宋体" w:hAnsi="宋体"/>
                <w:sz w:val="22"/>
                <w:highlight w:val="none"/>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162" w:beforeLines="50"/>
              <w:jc w:val="center"/>
              <w:rPr>
                <w:rFonts w:ascii="宋体" w:hAnsi="宋体"/>
                <w:sz w:val="22"/>
                <w:highlight w:val="none"/>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安装调试费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r>
              <w:rPr>
                <w:rFonts w:hint="eastAsia" w:ascii="宋体" w:hAnsi="宋体"/>
                <w:sz w:val="22"/>
                <w:highlight w:val="none"/>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运杂费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其他费用</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sz w:val="22"/>
                <w:highlight w:val="none"/>
              </w:rPr>
            </w:pPr>
            <w:r>
              <w:rPr>
                <w:rFonts w:hint="eastAsia" w:ascii="宋体" w:hAnsi="宋体"/>
                <w:sz w:val="22"/>
                <w:highlight w:val="none"/>
              </w:rPr>
              <w:t>……</w:t>
            </w:r>
          </w:p>
        </w:tc>
      </w:tr>
      <w:tr>
        <w:tblPrEx>
          <w:tblCellMar>
            <w:top w:w="0" w:type="dxa"/>
            <w:left w:w="28" w:type="dxa"/>
            <w:bottom w:w="0" w:type="dxa"/>
            <w:right w:w="28" w:type="dxa"/>
          </w:tblCellMar>
        </w:tblPrEx>
        <w:trPr>
          <w:trHeight w:val="534" w:hRule="atLeast"/>
        </w:trPr>
        <w:tc>
          <w:tcPr>
            <w:tcW w:w="1671" w:type="dxa"/>
            <w:gridSpan w:val="2"/>
            <w:tcBorders>
              <w:top w:val="single" w:color="auto" w:sz="4" w:space="0"/>
              <w:left w:val="single" w:color="auto" w:sz="6" w:space="0"/>
              <w:bottom w:val="single" w:color="auto" w:sz="6" w:space="0"/>
            </w:tcBorders>
            <w:vAlign w:val="center"/>
          </w:tcPr>
          <w:p>
            <w:pPr>
              <w:jc w:val="center"/>
              <w:rPr>
                <w:rFonts w:ascii="宋体" w:hAnsi="宋体"/>
                <w:sz w:val="22"/>
                <w:highlight w:val="none"/>
              </w:rPr>
            </w:pPr>
            <w:r>
              <w:rPr>
                <w:rFonts w:hint="eastAsia" w:ascii="宋体" w:hAnsi="宋体"/>
                <w:sz w:val="22"/>
                <w:highlight w:val="none"/>
              </w:rPr>
              <w:t>投标总报价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162" w:beforeLines="50"/>
              <w:jc w:val="left"/>
              <w:rPr>
                <w:rFonts w:ascii="宋体" w:hAnsi="宋体"/>
                <w:sz w:val="22"/>
                <w:highlight w:val="none"/>
              </w:rPr>
            </w:pPr>
            <w:r>
              <w:rPr>
                <w:rFonts w:hint="eastAsia" w:ascii="宋体" w:hAnsi="宋体"/>
                <w:sz w:val="22"/>
                <w:highlight w:val="none"/>
              </w:rPr>
              <w:t>大写：                       小写：元</w:t>
            </w:r>
          </w:p>
        </w:tc>
      </w:tr>
      <w:tr>
        <w:tblPrEx>
          <w:tblCellMar>
            <w:top w:w="0" w:type="dxa"/>
            <w:left w:w="28" w:type="dxa"/>
            <w:bottom w:w="0" w:type="dxa"/>
            <w:right w:w="28" w:type="dxa"/>
          </w:tblCellMar>
        </w:tblPrEx>
        <w:trPr>
          <w:trHeight w:val="585" w:hRule="atLeast"/>
        </w:trPr>
        <w:tc>
          <w:tcPr>
            <w:tcW w:w="1671" w:type="dxa"/>
            <w:gridSpan w:val="2"/>
            <w:tcBorders>
              <w:top w:val="single" w:color="auto" w:sz="4" w:space="0"/>
              <w:left w:val="single" w:color="auto" w:sz="6" w:space="0"/>
              <w:bottom w:val="single" w:color="auto" w:sz="6" w:space="0"/>
            </w:tcBorders>
            <w:vAlign w:val="center"/>
          </w:tcPr>
          <w:p>
            <w:pPr>
              <w:jc w:val="center"/>
              <w:rPr>
                <w:rFonts w:ascii="宋体" w:hAnsi="宋体"/>
                <w:sz w:val="22"/>
                <w:highlight w:val="none"/>
              </w:rPr>
            </w:pPr>
            <w:r>
              <w:rPr>
                <w:rFonts w:hint="eastAsia" w:ascii="宋体" w:hAnsi="宋体"/>
                <w:sz w:val="22"/>
                <w:highlight w:val="none"/>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162" w:beforeLines="50"/>
              <w:jc w:val="center"/>
              <w:rPr>
                <w:rFonts w:ascii="宋体" w:hAnsi="宋体"/>
                <w:sz w:val="22"/>
                <w:highlight w:val="none"/>
              </w:rPr>
            </w:pPr>
            <w:r>
              <w:rPr>
                <w:rFonts w:hint="eastAsia" w:ascii="宋体" w:hAnsi="宋体"/>
                <w:spacing w:val="-6"/>
                <w:sz w:val="22"/>
                <w:highlight w:val="none"/>
              </w:rPr>
              <w:t>保留小数点后两位。</w:t>
            </w:r>
          </w:p>
        </w:tc>
      </w:tr>
    </w:tbl>
    <w:p>
      <w:pPr>
        <w:kinsoku w:val="0"/>
        <w:spacing w:line="360" w:lineRule="auto"/>
        <w:jc w:val="left"/>
        <w:rPr>
          <w:rFonts w:asciiTheme="minorEastAsia" w:hAnsiTheme="minorEastAsia" w:cstheme="minorEastAsia"/>
          <w:sz w:val="24"/>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lang w:eastAsia="zh-CN"/>
        </w:rPr>
        <w:t>供应商</w:t>
      </w:r>
      <w:r>
        <w:rPr>
          <w:rFonts w:hint="eastAsia" w:asciiTheme="minorEastAsia" w:hAnsiTheme="minorEastAsia" w:cstheme="minorEastAsia"/>
          <w:sz w:val="28"/>
          <w:szCs w:val="28"/>
        </w:rPr>
        <w:t>（单位名称及公章）：</w:t>
      </w:r>
      <w:r>
        <w:rPr>
          <w:rFonts w:hint="eastAsia" w:asciiTheme="minorEastAsia" w:hAnsiTheme="minorEastAsia" w:cstheme="minorEastAsia"/>
          <w:sz w:val="28"/>
          <w:szCs w:val="28"/>
          <w:u w:val="single"/>
        </w:rPr>
        <w:t xml:space="preserve">                          </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w:t>
      </w:r>
      <w:r>
        <w:rPr>
          <w:rFonts w:hint="eastAsia" w:asciiTheme="minorEastAsia" w:hAnsiTheme="minorEastAsia" w:cstheme="minorEastAsia"/>
          <w:sz w:val="28"/>
          <w:szCs w:val="28"/>
          <w:lang w:eastAsia="zh-CN"/>
        </w:rPr>
        <w:t>或盖章</w:t>
      </w:r>
      <w:r>
        <w:rPr>
          <w:rFonts w:hint="eastAsia" w:asciiTheme="minorEastAsia" w:hAnsiTheme="minorEastAsia" w:cstheme="minorEastAsia"/>
          <w:sz w:val="28"/>
          <w:szCs w:val="28"/>
        </w:rPr>
        <w:t>）：</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 xml:space="preserve">          </w:t>
      </w:r>
    </w:p>
    <w:p>
      <w:pPr>
        <w:adjustRightInd w:val="0"/>
        <w:snapToGrid w:val="0"/>
        <w:spacing w:line="480" w:lineRule="auto"/>
        <w:rPr>
          <w:rFonts w:hint="eastAsia"/>
          <w:lang w:eastAsia="zh-CN"/>
        </w:rPr>
      </w:pPr>
      <w:r>
        <w:rPr>
          <w:rFonts w:hint="eastAsia" w:asciiTheme="minorEastAsia" w:hAnsiTheme="minorEastAsia" w:cstheme="minorEastAsia"/>
          <w:sz w:val="28"/>
          <w:szCs w:val="28"/>
        </w:rPr>
        <w:t>日    期：</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月</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日</w:t>
      </w:r>
    </w:p>
    <w:p>
      <w:r>
        <w:rPr>
          <w:rFonts w:hint="eastAsia"/>
        </w:rPr>
        <w:br w:type="page"/>
      </w:r>
    </w:p>
    <w:bookmarkEnd w:id="187"/>
    <w:p>
      <w:pPr>
        <w:pStyle w:val="4"/>
        <w:rPr>
          <w:sz w:val="36"/>
          <w:szCs w:val="36"/>
        </w:rPr>
      </w:pPr>
      <w:bookmarkStart w:id="188" w:name="_Toc30178"/>
      <w:bookmarkStart w:id="189" w:name="_Toc25889"/>
      <w:bookmarkStart w:id="190" w:name="_Toc20590"/>
      <w:bookmarkStart w:id="191" w:name="_Toc3301"/>
      <w:bookmarkStart w:id="192" w:name="_Toc8188"/>
      <w:bookmarkStart w:id="193" w:name="_Toc28294"/>
      <w:bookmarkStart w:id="194" w:name="_Toc1408"/>
      <w:bookmarkStart w:id="195" w:name="_Toc18357"/>
      <w:r>
        <w:rPr>
          <w:rFonts w:hint="eastAsia"/>
          <w:sz w:val="36"/>
          <w:szCs w:val="36"/>
        </w:rPr>
        <w:t>第四章  供应商资质证明资料</w:t>
      </w:r>
      <w:bookmarkEnd w:id="188"/>
      <w:bookmarkEnd w:id="189"/>
      <w:bookmarkEnd w:id="190"/>
      <w:bookmarkEnd w:id="191"/>
    </w:p>
    <w:p>
      <w:pPr>
        <w:rPr>
          <w:color w:val="000000" w:themeColor="text1"/>
          <w14:textFill>
            <w14:solidFill>
              <w14:schemeClr w14:val="tx1"/>
            </w14:solidFill>
          </w14:textFill>
        </w:rPr>
      </w:pPr>
      <w:r>
        <w:rPr>
          <w:rFonts w:hint="eastAsia" w:ascii="宋体" w:hAnsi="宋体" w:cs="宋体"/>
          <w:b/>
          <w:bCs/>
          <w:color w:val="000000" w:themeColor="text1"/>
          <w:sz w:val="28"/>
          <w:szCs w:val="24"/>
          <w14:textFill>
            <w14:solidFill>
              <w14:schemeClr w14:val="tx1"/>
            </w14:solidFill>
          </w14:textFill>
        </w:rPr>
        <w:t>供应商需在此页附磋商公告或磋商文件中要求的资质证明文件，响应文件附资质复印件或扫描件加盖供应商公章。格式参考见下页。</w:t>
      </w:r>
    </w:p>
    <w:p>
      <w:pPr>
        <w:pStyle w:val="8"/>
        <w:rPr>
          <w:color w:val="000000" w:themeColor="text1"/>
          <w:sz w:val="24"/>
          <w:szCs w:val="24"/>
          <w14:textFill>
            <w14:solidFill>
              <w14:schemeClr w14:val="tx1"/>
            </w14:solidFill>
          </w14:textFill>
        </w:rPr>
      </w:pPr>
    </w:p>
    <w:p>
      <w:pPr>
        <w:pStyle w:val="8"/>
        <w:ind w:firstLine="0"/>
        <w:rPr>
          <w:b/>
          <w:bCs/>
          <w:color w:val="000000" w:themeColor="text1"/>
          <w:sz w:val="28"/>
          <w:szCs w:val="28"/>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pStyle w:val="8"/>
        <w:ind w:firstLine="0"/>
        <w:rPr>
          <w:b/>
          <w:bCs/>
          <w:color w:val="000000" w:themeColor="text1"/>
          <w:sz w:val="32"/>
          <w:szCs w:val="28"/>
          <w14:textFill>
            <w14:solidFill>
              <w14:schemeClr w14:val="tx1"/>
            </w14:solidFill>
          </w14:textFill>
        </w:rPr>
      </w:pPr>
      <w:r>
        <w:rPr>
          <w:rFonts w:hint="eastAsia"/>
          <w:b/>
          <w:bCs/>
          <w:color w:val="000000" w:themeColor="text1"/>
          <w:sz w:val="32"/>
          <w:szCs w:val="28"/>
          <w14:textFill>
            <w14:solidFill>
              <w14:schemeClr w14:val="tx1"/>
            </w14:solidFill>
          </w14:textFill>
        </w:rPr>
        <w:t>附：资质证明文件格式：</w:t>
      </w:r>
    </w:p>
    <w:p>
      <w:pPr>
        <w:rPr>
          <w:rFonts w:ascii="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1、供应商符合《政府采购法》第二十二条规定条件的承诺函</w:t>
      </w:r>
    </w:p>
    <w:p>
      <w:pPr>
        <w:pStyle w:val="12"/>
        <w:spacing w:line="360" w:lineRule="auto"/>
        <w:ind w:left="0" w:leftChars="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致陕西万泽招标有限公司：</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本公司</w:t>
      </w:r>
      <w:r>
        <w:rPr>
          <w:rFonts w:hint="eastAsia" w:ascii="宋体" w:hAnsi="宋体" w:cs="宋体"/>
          <w:color w:val="000000" w:themeColor="text1"/>
          <w:sz w:val="24"/>
          <w:szCs w:val="24"/>
          <w:u w:val="single"/>
          <w14:textFill>
            <w14:solidFill>
              <w14:schemeClr w14:val="tx1"/>
            </w14:solidFill>
          </w14:textFill>
        </w:rPr>
        <w:t>（公司名称）</w:t>
      </w:r>
      <w:r>
        <w:rPr>
          <w:rFonts w:hint="eastAsia" w:ascii="宋体" w:hAnsi="宋体" w:cs="宋体"/>
          <w:color w:val="000000" w:themeColor="text1"/>
          <w:sz w:val="24"/>
          <w:szCs w:val="24"/>
          <w14:textFill>
            <w14:solidFill>
              <w14:schemeClr w14:val="tx1"/>
            </w14:solidFill>
          </w14:textFill>
        </w:rPr>
        <w:t>参加的投标活动，现承诺：</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我公司满足政府采购法第二十二条关于供应商的资格要求：</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（一）具有独立承担民事责任的能力；</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（二）具有良好的商业信誉和健全的财务会计制度；</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（三）具有履行合同所必需的设备和专业技术能力；</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（四）有依法缴纳税收的良好记录；</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（五）参加政府采购活动前三年内，在经营活动中没有重大违法记录；</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（六）法律、行政法规规定的其他条件。</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同时也满足本项目法律法规规章规定关于供应商的其他资格性条件，未参与本采购项目前期咨询论证，不属于禁止参加投标的供应商。</w:t>
      </w:r>
    </w:p>
    <w:p>
      <w:pPr>
        <w:pStyle w:val="12"/>
        <w:spacing w:line="360" w:lineRule="auto"/>
        <w:ind w:left="0" w:leftChars="0" w:firstLine="540" w:firstLineChars="225"/>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如违反以上承诺，本公司愿承担一切法律责任。</w:t>
      </w:r>
    </w:p>
    <w:p>
      <w:pPr>
        <w:pStyle w:val="12"/>
        <w:spacing w:line="360" w:lineRule="auto"/>
        <w:ind w:left="0" w:leftChars="0"/>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供应商名称：</w:t>
      </w:r>
      <w:r>
        <w:rPr>
          <w:rFonts w:hint="eastAsia" w:ascii="宋体" w:hAnsi="宋体" w:cs="宋体"/>
          <w:color w:val="000000" w:themeColor="text1"/>
          <w:sz w:val="24"/>
          <w:szCs w:val="24"/>
          <w:u w:val="single"/>
          <w14:textFill>
            <w14:solidFill>
              <w14:schemeClr w14:val="tx1"/>
            </w14:solidFill>
          </w14:textFill>
        </w:rPr>
        <w:t>（名称及盖章）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法定代表人或委托代理人（签字或盖章）：</w:t>
      </w:r>
    </w:p>
    <w:p>
      <w:pPr>
        <w:spacing w:line="360" w:lineRule="auto"/>
        <w:rPr>
          <w:rFonts w:ascii="宋体"/>
          <w:color w:val="000000" w:themeColor="text1"/>
          <w:sz w:val="24"/>
          <w:szCs w:val="24"/>
          <w14:textFill>
            <w14:solidFill>
              <w14:schemeClr w14:val="tx1"/>
            </w14:solidFill>
          </w14:textFill>
        </w:rPr>
      </w:pPr>
    </w:p>
    <w:p>
      <w:pPr>
        <w:spacing w:line="360" w:lineRule="auto"/>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pPr>
        <w:pStyle w:val="8"/>
        <w:ind w:firstLine="0"/>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br w:type="page"/>
      </w:r>
    </w:p>
    <w:p>
      <w:pPr>
        <w:ind w:firstLine="2240" w:firstLineChars="700"/>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2、供应商基本情况一览表</w:t>
      </w:r>
    </w:p>
    <w:p>
      <w:pPr>
        <w:rPr>
          <w:color w:val="000000" w:themeColor="text1"/>
          <w:sz w:val="28"/>
          <w:szCs w:val="32"/>
          <w14:textFill>
            <w14:solidFill>
              <w14:schemeClr w14:val="tx1"/>
            </w14:solidFill>
          </w14:textFill>
        </w:rPr>
      </w:pPr>
      <w:r>
        <w:rPr>
          <w:rFonts w:hint="eastAsia"/>
          <w:color w:val="000000" w:themeColor="text1"/>
          <w:sz w:val="24"/>
          <w:szCs w:val="28"/>
          <w14:textFill>
            <w14:solidFill>
              <w14:schemeClr w14:val="tx1"/>
            </w14:solidFill>
          </w14:textFill>
        </w:rPr>
        <w:t>2-1供应商基本情况一览表</w:t>
      </w:r>
    </w:p>
    <w:tbl>
      <w:tblPr>
        <w:tblStyle w:val="26"/>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供应商名称</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注册地址</w:t>
            </w:r>
          </w:p>
        </w:tc>
        <w:tc>
          <w:tcPr>
            <w:tcW w:w="3655" w:type="dxa"/>
            <w:gridSpan w:val="3"/>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邮政编码</w:t>
            </w:r>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639" w:type="dxa"/>
            <w:gridSpan w:val="2"/>
            <w:vAlign w:val="center"/>
          </w:tcPr>
          <w:p>
            <w:pPr>
              <w:rPr>
                <w:color w:val="000000" w:themeColor="text1"/>
                <w14:textFill>
                  <w14:solidFill>
                    <w14:schemeClr w14:val="tx1"/>
                  </w14:solidFill>
                </w14:textFill>
              </w:rPr>
            </w:pPr>
          </w:p>
        </w:tc>
        <w:tc>
          <w:tcPr>
            <w:tcW w:w="1401"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2049" w:type="dxa"/>
            <w:gridSpan w:val="3"/>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组织结构</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技术负责人</w:t>
            </w:r>
          </w:p>
        </w:tc>
        <w:tc>
          <w:tcPr>
            <w:tcW w:w="1016"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315" w:type="dxa"/>
            <w:vAlign w:val="center"/>
          </w:tcPr>
          <w:p>
            <w:pPr>
              <w:rPr>
                <w:color w:val="000000" w:themeColor="text1"/>
                <w14:textFill>
                  <w14:solidFill>
                    <w14:schemeClr w14:val="tx1"/>
                  </w14:solidFill>
                </w14:textFill>
              </w:rPr>
            </w:pPr>
          </w:p>
        </w:tc>
        <w:tc>
          <w:tcPr>
            <w:tcW w:w="1324"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技术职称</w:t>
            </w:r>
          </w:p>
        </w:tc>
        <w:tc>
          <w:tcPr>
            <w:tcW w:w="1401" w:type="dxa"/>
            <w:vAlign w:val="center"/>
          </w:tcPr>
          <w:p>
            <w:pPr>
              <w:rPr>
                <w:color w:val="000000" w:themeColor="text1"/>
                <w14:textFill>
                  <w14:solidFill>
                    <w14:schemeClr w14:val="tx1"/>
                  </w14:solidFill>
                </w14:textFill>
              </w:rPr>
            </w:pPr>
          </w:p>
        </w:tc>
        <w:tc>
          <w:tcPr>
            <w:tcW w:w="902"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电话</w:t>
            </w:r>
          </w:p>
        </w:tc>
        <w:tc>
          <w:tcPr>
            <w:tcW w:w="1147" w:type="dxa"/>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成立时间</w:t>
            </w:r>
          </w:p>
        </w:tc>
        <w:tc>
          <w:tcPr>
            <w:tcW w:w="2331" w:type="dxa"/>
            <w:gridSpan w:val="2"/>
            <w:vAlign w:val="center"/>
          </w:tcPr>
          <w:p>
            <w:pPr>
              <w:rPr>
                <w:color w:val="000000" w:themeColor="text1"/>
                <w14:textFill>
                  <w14:solidFill>
                    <w14:schemeClr w14:val="tx1"/>
                  </w14:solidFill>
                </w14:textFill>
              </w:rPr>
            </w:pPr>
          </w:p>
        </w:tc>
        <w:tc>
          <w:tcPr>
            <w:tcW w:w="4774" w:type="dxa"/>
            <w:gridSpan w:val="5"/>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营业执照号</w:t>
            </w:r>
          </w:p>
        </w:tc>
        <w:tc>
          <w:tcPr>
            <w:tcW w:w="2331" w:type="dxa"/>
            <w:gridSpan w:val="2"/>
            <w:vAlign w:val="center"/>
          </w:tcPr>
          <w:p>
            <w:pPr>
              <w:rPr>
                <w:color w:val="000000" w:themeColor="text1"/>
                <w14:textFill>
                  <w14:solidFill>
                    <w14:schemeClr w14:val="tx1"/>
                  </w14:solidFill>
                </w14:textFill>
              </w:rPr>
            </w:pPr>
          </w:p>
        </w:tc>
        <w:tc>
          <w:tcPr>
            <w:tcW w:w="1324" w:type="dxa"/>
            <w:vMerge w:val="restart"/>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其中</w:t>
            </w: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高级职称人员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注册资金</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中级职称人员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开户银行</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初级职称人员</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账号</w:t>
            </w:r>
          </w:p>
        </w:tc>
        <w:tc>
          <w:tcPr>
            <w:tcW w:w="2331" w:type="dxa"/>
            <w:gridSpan w:val="2"/>
            <w:vAlign w:val="center"/>
          </w:tcPr>
          <w:p>
            <w:pPr>
              <w:rPr>
                <w:color w:val="000000" w:themeColor="text1"/>
                <w14:textFill>
                  <w14:solidFill>
                    <w14:schemeClr w14:val="tx1"/>
                  </w14:solidFill>
                </w14:textFill>
              </w:rPr>
            </w:pPr>
          </w:p>
        </w:tc>
        <w:tc>
          <w:tcPr>
            <w:tcW w:w="1324" w:type="dxa"/>
            <w:vMerge w:val="continue"/>
            <w:vAlign w:val="center"/>
          </w:tcPr>
          <w:p>
            <w:pPr>
              <w:rPr>
                <w:color w:val="000000" w:themeColor="text1"/>
                <w14:textFill>
                  <w14:solidFill>
                    <w14:schemeClr w14:val="tx1"/>
                  </w14:solidFill>
                </w14:textFill>
              </w:rPr>
            </w:pPr>
          </w:p>
        </w:tc>
        <w:tc>
          <w:tcPr>
            <w:tcW w:w="1569" w:type="dxa"/>
            <w:gridSpan w:val="2"/>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技工</w:t>
            </w:r>
          </w:p>
        </w:tc>
        <w:tc>
          <w:tcPr>
            <w:tcW w:w="1881" w:type="dxa"/>
            <w:gridSpan w:val="2"/>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7105" w:type="dxa"/>
            <w:gridSpan w:val="7"/>
            <w:vAlign w:val="center"/>
          </w:tcPr>
          <w:p>
            <w:pPr>
              <w:rPr>
                <w:color w:val="000000" w:themeColor="text1"/>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7105" w:type="dxa"/>
            <w:gridSpan w:val="7"/>
          </w:tcPr>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hAnsi="宋体"/>
          <w:color w:val="000000" w:themeColor="text1"/>
          <w:sz w:val="24"/>
          <w:szCs w:val="24"/>
          <w:u w:val="single"/>
          <w14:textFill>
            <w14:solidFill>
              <w14:schemeClr w14:val="tx1"/>
            </w14:solidFill>
          </w14:textFill>
        </w:rPr>
      </w:pPr>
    </w:p>
    <w:p>
      <w:pPr>
        <w:spacing w:line="360" w:lineRule="auto"/>
        <w:rPr>
          <w:b/>
          <w:bCs/>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r>
        <w:rPr>
          <w:rFonts w:hint="eastAsia" w:ascii="宋体" w:hAnsi="宋体" w:cs="宋体"/>
          <w:b/>
          <w:bCs/>
          <w:color w:val="000000" w:themeColor="text1"/>
          <w:sz w:val="24"/>
          <w:szCs w:val="24"/>
          <w14:textFill>
            <w14:solidFill>
              <w14:schemeClr w14:val="tx1"/>
            </w14:solidFill>
          </w14:textFill>
        </w:rPr>
        <w:t>2-2供应商营业执照等资质证明材料</w:t>
      </w:r>
      <w:r>
        <w:rPr>
          <w:rFonts w:hint="eastAsia"/>
          <w:b/>
          <w:bCs/>
          <w:color w:val="000000" w:themeColor="text1"/>
          <w14:textFill>
            <w14:solidFill>
              <w14:schemeClr w14:val="tx1"/>
            </w14:solidFill>
          </w14:textFill>
        </w:rPr>
        <w:t>。</w:t>
      </w:r>
    </w:p>
    <w:p>
      <w:pPr>
        <w:rPr>
          <w:color w:val="000000" w:themeColor="text1"/>
          <w:sz w:val="32"/>
          <w:szCs w:val="36"/>
          <w14:textFill>
            <w14:solidFill>
              <w14:schemeClr w14:val="tx1"/>
            </w14:solidFill>
          </w14:textFill>
        </w:rPr>
      </w:pPr>
      <w:r>
        <w:rPr>
          <w:rFonts w:hint="eastAsia"/>
          <w:color w:val="000000" w:themeColor="text1"/>
          <w:sz w:val="32"/>
          <w:szCs w:val="36"/>
          <w14:textFill>
            <w14:solidFill>
              <w14:schemeClr w14:val="tx1"/>
            </w14:solidFill>
          </w14:textFill>
        </w:rPr>
        <w:t>3、法定代表人证明书及法定代表人授权书</w:t>
      </w:r>
    </w:p>
    <w:p>
      <w:pPr>
        <w:rPr>
          <w:color w:val="000000" w:themeColor="text1"/>
          <w:sz w:val="28"/>
          <w:szCs w:val="32"/>
          <w14:textFill>
            <w14:solidFill>
              <w14:schemeClr w14:val="tx1"/>
            </w14:solidFill>
          </w14:textFill>
        </w:rPr>
      </w:pPr>
      <w:r>
        <w:rPr>
          <w:rFonts w:hint="eastAsia"/>
          <w:color w:val="000000" w:themeColor="text1"/>
          <w:sz w:val="28"/>
          <w:szCs w:val="32"/>
          <w14:textFill>
            <w14:solidFill>
              <w14:schemeClr w14:val="tx1"/>
            </w14:solidFill>
          </w14:textFill>
        </w:rPr>
        <w:t>3-1法定代表人证明书</w:t>
      </w:r>
    </w:p>
    <w:tbl>
      <w:tblPr>
        <w:tblStyle w:val="2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企业名称</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法定地址</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注册资金</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工商登记机关</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统一社会信用代码</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p>
        </w:tc>
        <w:tc>
          <w:tcPr>
            <w:tcW w:w="2340" w:type="dxa"/>
            <w:gridSpan w:val="2"/>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性别</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职务</w:t>
            </w:r>
          </w:p>
        </w:tc>
        <w:tc>
          <w:tcPr>
            <w:tcW w:w="2340" w:type="dxa"/>
            <w:gridSpan w:val="2"/>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c>
          <w:tcPr>
            <w:tcW w:w="2156"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联系电话</w:t>
            </w:r>
          </w:p>
        </w:tc>
        <w:tc>
          <w:tcPr>
            <w:tcW w:w="1688" w:type="dxa"/>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cs="宋体"/>
                <w:color w:val="000000" w:themeColor="text1"/>
                <w:kern w:val="0"/>
                <w:szCs w:val="21"/>
                <w14:textFill>
                  <w14:solidFill>
                    <w14:schemeClr w14:val="tx1"/>
                  </w14:solidFill>
                </w14:textFill>
              </w:rPr>
            </w:pPr>
          </w:p>
        </w:tc>
        <w:tc>
          <w:tcPr>
            <w:tcW w:w="2160" w:type="dxa"/>
            <w:vAlign w:val="center"/>
          </w:tcPr>
          <w:p>
            <w:pPr>
              <w:tabs>
                <w:tab w:val="left" w:pos="210"/>
              </w:tabs>
              <w:spacing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传真</w:t>
            </w:r>
          </w:p>
        </w:tc>
        <w:tc>
          <w:tcPr>
            <w:tcW w:w="6184" w:type="dxa"/>
            <w:gridSpan w:val="4"/>
            <w:vAlign w:val="center"/>
          </w:tcPr>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定</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代</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表</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人</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身</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份</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证</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复</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印</w:t>
            </w:r>
          </w:p>
          <w:p>
            <w:pPr>
              <w:tabs>
                <w:tab w:val="left" w:pos="210"/>
              </w:tabs>
              <w:spacing w:line="36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（正反面）</w:t>
            </w:r>
          </w:p>
        </w:tc>
        <w:tc>
          <w:tcPr>
            <w:tcW w:w="4028" w:type="dxa"/>
            <w:gridSpan w:val="3"/>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p>
        </w:tc>
        <w:tc>
          <w:tcPr>
            <w:tcW w:w="4028" w:type="dxa"/>
            <w:gridSpan w:val="3"/>
            <w:vAlign w:val="bottom"/>
          </w:tcPr>
          <w:p>
            <w:pPr>
              <w:tabs>
                <w:tab w:val="left" w:pos="210"/>
              </w:tabs>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（供应商公章）</w:t>
            </w: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tabs>
                <w:tab w:val="left" w:pos="210"/>
              </w:tabs>
              <w:spacing w:line="360" w:lineRule="auto"/>
              <w:jc w:val="left"/>
              <w:rPr>
                <w:rFonts w:ascii="宋体" w:hAnsi="宋体" w:cs="宋体"/>
                <w:color w:val="000000" w:themeColor="text1"/>
                <w:kern w:val="0"/>
                <w:szCs w:val="21"/>
                <w14:textFill>
                  <w14:solidFill>
                    <w14:schemeClr w14:val="tx1"/>
                  </w14:solidFill>
                </w14:textFill>
              </w:rPr>
            </w:pPr>
          </w:p>
          <w:p>
            <w:pPr>
              <w:adjustRightInd w:val="0"/>
              <w:snapToGrid w:val="0"/>
              <w:spacing w:line="480" w:lineRule="auto"/>
              <w:ind w:firstLine="480" w:firstLineChars="200"/>
              <w:jc w:val="righ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年  月 日</w:t>
            </w:r>
          </w:p>
        </w:tc>
      </w:tr>
    </w:tbl>
    <w:p>
      <w:pPr>
        <w:pStyle w:val="6"/>
        <w:rPr>
          <w:rFonts w:hint="default"/>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pPr>
        <w:pStyle w:val="14"/>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kern w:val="0"/>
          <w:sz w:val="24"/>
          <w:szCs w:val="24"/>
          <w14:textFill>
            <w14:solidFill>
              <w14:schemeClr w14:val="tx1"/>
            </w14:solidFill>
          </w14:textFill>
        </w:rPr>
        <w:t>法定代表人授权书</w:t>
      </w:r>
    </w:p>
    <w:p>
      <w:pPr>
        <w:pStyle w:val="14"/>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陕西万泽招标有限公司：</w:t>
      </w:r>
    </w:p>
    <w:p>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w:t>
      </w:r>
      <w:r>
        <w:rPr>
          <w:rFonts w:hint="eastAsia" w:ascii="宋体" w:hAnsi="宋体" w:cs="宋体"/>
          <w:color w:val="000000" w:themeColor="text1"/>
          <w:sz w:val="24"/>
          <w14:textFill>
            <w14:solidFill>
              <w14:schemeClr w14:val="tx1"/>
            </w14:solidFill>
          </w14:textFill>
        </w:rPr>
        <w:t>采购项目编号</w:t>
      </w:r>
      <w:r>
        <w:rPr>
          <w:rFonts w:hint="eastAsia" w:ascii="宋体" w:hAnsi="宋体" w:cs="宋体"/>
          <w:color w:val="000000" w:themeColor="text1"/>
          <w:sz w:val="24"/>
          <w:u w:val="single"/>
          <w14:textFill>
            <w14:solidFill>
              <w14:schemeClr w14:val="tx1"/>
            </w14:solidFill>
          </w14:textFill>
        </w:rPr>
        <w:t>为的</w:t>
      </w:r>
      <w:r>
        <w:rPr>
          <w:rFonts w:hint="eastAsia" w:ascii="宋体" w:hAnsi="宋体" w:cs="宋体"/>
          <w:color w:val="000000" w:themeColor="text1"/>
          <w:sz w:val="24"/>
          <w14:textFill>
            <w14:solidFill>
              <w14:schemeClr w14:val="tx1"/>
            </w14:solidFill>
          </w14:textFill>
        </w:rPr>
        <w:t>采购活动。以我方名义全权处理该项目有关投标、签订合同以及执行合同等一切事宜。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w:t>
      </w:r>
      <w:r>
        <w:rPr>
          <w:rFonts w:hint="eastAsia" w:ascii="宋体" w:hAnsi="宋体" w:cs="宋体"/>
          <w:color w:val="000000" w:themeColor="text1"/>
          <w:sz w:val="24"/>
          <w:u w:val="single"/>
          <w14:textFill>
            <w14:solidFill>
              <w14:schemeClr w14:val="tx1"/>
            </w14:solidFill>
          </w14:textFill>
        </w:rPr>
        <w:t>起 90日历天</w:t>
      </w:r>
      <w:r>
        <w:rPr>
          <w:rFonts w:hint="eastAsia" w:ascii="宋体" w:hAnsi="宋体" w:cs="宋体"/>
          <w:color w:val="000000" w:themeColor="text1"/>
          <w:sz w:val="24"/>
          <w14:textFill>
            <w14:solidFill>
              <w14:schemeClr w14:val="tx1"/>
            </w14:solidFill>
          </w14:textFill>
        </w:rPr>
        <w:t>，特此声明</w:t>
      </w:r>
    </w:p>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pPr>
        <w:pStyle w:val="14"/>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pPr>
        <w:pStyle w:val="14"/>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pPr>
        <w:pStyle w:val="14"/>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6"/>
        <w:tblW w:w="800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3"/>
        <w:gridCol w:w="3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2" w:hRule="atLeast"/>
        </w:trPr>
        <w:tc>
          <w:tcPr>
            <w:tcW w:w="4063" w:type="dxa"/>
            <w:shd w:val="clear" w:color="auto" w:fill="D9D9D9"/>
            <w:vAlign w:val="center"/>
          </w:tcPr>
          <w:p>
            <w:pPr>
              <w:pStyle w:val="14"/>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法定代表人身份证复印件（正/反面）</w:t>
            </w:r>
          </w:p>
        </w:tc>
        <w:tc>
          <w:tcPr>
            <w:tcW w:w="3937" w:type="dxa"/>
            <w:shd w:val="clear" w:color="auto" w:fill="D9D9D9"/>
            <w:vAlign w:val="center"/>
          </w:tcPr>
          <w:p>
            <w:pPr>
              <w:pStyle w:val="14"/>
              <w:spacing w:line="500" w:lineRule="exact"/>
              <w:jc w:val="left"/>
              <w:rPr>
                <w:rFonts w:hAnsi="宋体" w:cs="宋体"/>
                <w:color w:val="000000" w:themeColor="text1"/>
                <w:sz w:val="24"/>
                <w:szCs w:val="24"/>
                <w:shd w:val="pct10" w:color="auto" w:fill="FFFFFF"/>
                <w14:textFill>
                  <w14:solidFill>
                    <w14:schemeClr w14:val="tx1"/>
                  </w14:solidFill>
                </w14:textFill>
              </w:rPr>
            </w:pPr>
            <w:r>
              <w:rPr>
                <w:rFonts w:hint="eastAsia" w:hAnsi="宋体" w:cs="宋体"/>
                <w:color w:val="000000" w:themeColor="text1"/>
                <w:sz w:val="24"/>
                <w:szCs w:val="24"/>
                <w:shd w:val="pct10" w:color="auto" w:fill="FFFFFF"/>
                <w14:textFill>
                  <w14:solidFill>
                    <w14:schemeClr w14:val="tx1"/>
                  </w14:solidFill>
                </w14:textFill>
              </w:rPr>
              <w:t>被授权人身份证复印件（正/反面）</w:t>
            </w:r>
          </w:p>
        </w:tc>
      </w:tr>
    </w:tbl>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说明：</w:t>
      </w:r>
    </w:p>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1．本授权书有效期自磋商会议之日计算不得少于90日历日。</w:t>
      </w:r>
    </w:p>
    <w:p>
      <w:pPr>
        <w:pStyle w:val="14"/>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2．授权书内容填写要明确，文字要工整清楚，涂改无效。</w:t>
      </w:r>
    </w:p>
    <w:p>
      <w:pPr>
        <w:rPr>
          <w:color w:val="000000" w:themeColor="text1"/>
          <w14:textFill>
            <w14:solidFill>
              <w14:schemeClr w14:val="tx1"/>
            </w14:solidFill>
          </w14:textFill>
        </w:rPr>
        <w:sectPr>
          <w:pgSz w:w="11906" w:h="16838"/>
          <w:pgMar w:top="1440" w:right="1803" w:bottom="1440" w:left="1803" w:header="851" w:footer="992" w:gutter="0"/>
          <w:cols w:space="720" w:num="1"/>
          <w:docGrid w:type="lines" w:linePitch="319" w:charSpace="0"/>
        </w:sectPr>
      </w:pPr>
    </w:p>
    <w:p>
      <w:pP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4、无重大违法记录声明</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我单位参与</w:t>
      </w:r>
      <w:r>
        <w:rPr>
          <w:rFonts w:hint="eastAsia" w:ascii="宋体" w:hAnsi="宋体" w:cs="宋体"/>
          <w:color w:val="000000" w:themeColor="text1"/>
          <w:kern w:val="0"/>
          <w:sz w:val="24"/>
          <w:u w:val="single"/>
          <w14:textFill>
            <w14:solidFill>
              <w14:schemeClr w14:val="tx1"/>
            </w14:solidFill>
          </w14:textFill>
        </w:rPr>
        <w:t xml:space="preserve">陕西万泽招标有限公司 </w:t>
      </w:r>
      <w:r>
        <w:rPr>
          <w:rFonts w:hint="eastAsia" w:ascii="宋体" w:hAnsi="宋体" w:cs="宋体"/>
          <w:color w:val="000000" w:themeColor="text1"/>
          <w:kern w:val="0"/>
          <w:sz w:val="24"/>
          <w14:textFill>
            <w14:solidFill>
              <w14:schemeClr w14:val="tx1"/>
            </w14:solidFill>
          </w14:textFill>
        </w:rPr>
        <w:t>组织的</w:t>
      </w:r>
      <w:r>
        <w:rPr>
          <w:rFonts w:hint="eastAsia" w:ascii="宋体" w:hAnsi="宋体" w:cs="宋体"/>
          <w:color w:val="000000" w:themeColor="text1"/>
          <w:kern w:val="0"/>
          <w:sz w:val="24"/>
          <w:u w:val="single"/>
          <w14:textFill>
            <w14:solidFill>
              <w14:schemeClr w14:val="tx1"/>
            </w14:solidFill>
          </w14:textFill>
        </w:rPr>
        <w:t xml:space="preserve">             （项目名称）              </w:t>
      </w:r>
      <w:r>
        <w:rPr>
          <w:rFonts w:hint="eastAsia" w:ascii="宋体" w:hAnsi="宋体" w:cs="宋体"/>
          <w:color w:val="000000" w:themeColor="text1"/>
          <w:kern w:val="0"/>
          <w:sz w:val="24"/>
          <w14:textFill>
            <w14:solidFill>
              <w14:schemeClr w14:val="tx1"/>
            </w14:solidFill>
          </w14:textFill>
        </w:rPr>
        <w:t>竞争性磋商，我单位郑重声明：我方参加本项目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特此声明。</w:t>
      </w:r>
    </w:p>
    <w:p>
      <w:pPr>
        <w:widowControl/>
        <w:spacing w:line="460" w:lineRule="exact"/>
        <w:ind w:firstLine="480" w:firstLineChars="200"/>
        <w:jc w:val="left"/>
        <w:rPr>
          <w:rFonts w:ascii="宋体" w:hAnsi="宋体" w:cs="宋体"/>
          <w:color w:val="000000" w:themeColor="text1"/>
          <w:kern w:val="0"/>
          <w:sz w:val="24"/>
          <w14:textFill>
            <w14:solidFill>
              <w14:schemeClr w14:val="tx1"/>
            </w14:solidFill>
          </w14:textFill>
        </w:rPr>
      </w:pPr>
    </w:p>
    <w:p>
      <w:pPr>
        <w:pStyle w:val="14"/>
        <w:spacing w:line="480" w:lineRule="auto"/>
        <w:jc w:val="left"/>
        <w:rPr>
          <w:rFonts w:hAnsi="宋体" w:eastAsia="宋体" w:cs="宋体"/>
          <w:color w:val="000000" w:themeColor="text1"/>
          <w:kern w:val="0"/>
          <w:sz w:val="24"/>
          <w14:textFill>
            <w14:solidFill>
              <w14:schemeClr w14:val="tx1"/>
            </w14:solidFill>
          </w14:textFill>
        </w:rPr>
      </w:pPr>
    </w:p>
    <w:p>
      <w:pPr>
        <w:pStyle w:val="14"/>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供应商（单位名称及公章）：</w:t>
      </w:r>
    </w:p>
    <w:p>
      <w:pPr>
        <w:pStyle w:val="14"/>
        <w:spacing w:line="480" w:lineRule="auto"/>
        <w:jc w:val="left"/>
        <w:rPr>
          <w:rFonts w:hAnsi="宋体" w:cs="宋体"/>
          <w:color w:val="000000" w:themeColor="text1"/>
          <w:kern w:val="0"/>
          <w:sz w:val="24"/>
          <w14:textFill>
            <w14:solidFill>
              <w14:schemeClr w14:val="tx1"/>
            </w14:solidFill>
          </w14:textFill>
        </w:rPr>
      </w:pPr>
      <w:r>
        <w:rPr>
          <w:rFonts w:hint="eastAsia" w:hAnsi="宋体" w:cs="宋体"/>
          <w:color w:val="000000" w:themeColor="text1"/>
          <w:kern w:val="0"/>
          <w:sz w:val="24"/>
          <w14:textFill>
            <w14:solidFill>
              <w14:schemeClr w14:val="tx1"/>
            </w14:solidFill>
          </w14:textFill>
        </w:rPr>
        <w:t>法定代表人/被授权人（签字或盖章）：</w:t>
      </w:r>
    </w:p>
    <w:p>
      <w:pPr>
        <w:spacing w:line="600" w:lineRule="auto"/>
        <w:rPr>
          <w:rFonts w:hAnsi="宋体" w:eastAsia="宋体" w:cs="宋体"/>
          <w:color w:val="000000" w:themeColor="text1"/>
          <w:kern w:val="0"/>
          <w:sz w:val="24"/>
          <w:u w:val="single"/>
          <w14:textFill>
            <w14:solidFill>
              <w14:schemeClr w14:val="tx1"/>
            </w14:solidFill>
          </w14:textFill>
        </w:rPr>
      </w:pPr>
      <w:r>
        <w:rPr>
          <w:rFonts w:hint="eastAsia" w:hAnsi="宋体" w:cs="宋体"/>
          <w:color w:val="000000" w:themeColor="text1"/>
          <w:kern w:val="0"/>
          <w:sz w:val="24"/>
          <w14:textFill>
            <w14:solidFill>
              <w14:schemeClr w14:val="tx1"/>
            </w14:solidFill>
          </w14:textFill>
        </w:rPr>
        <w:t>日    期</w:t>
      </w:r>
      <w:r>
        <w:rPr>
          <w:rFonts w:hint="eastAsia" w:hAnsi="宋体" w:cs="宋体"/>
          <w:color w:val="000000" w:themeColor="text1"/>
          <w:kern w:val="0"/>
          <w:sz w:val="24"/>
          <w:u w:val="single"/>
          <w14:textFill>
            <w14:solidFill>
              <w14:schemeClr w14:val="tx1"/>
            </w14:solidFill>
          </w14:textFill>
        </w:rPr>
        <w:t xml:space="preserve">：             </w:t>
      </w:r>
    </w:p>
    <w:p>
      <w:pPr>
        <w:pStyle w:val="6"/>
        <w:rPr>
          <w:rFonts w:hint="default"/>
        </w:rPr>
        <w:sectPr>
          <w:pgSz w:w="11906" w:h="16838"/>
          <w:pgMar w:top="1440" w:right="1803" w:bottom="1440" w:left="1803" w:header="851" w:footer="992" w:gutter="0"/>
          <w:cols w:space="720" w:num="1"/>
          <w:docGrid w:type="lines" w:linePitch="319" w:charSpace="0"/>
        </w:sectPr>
      </w:pPr>
    </w:p>
    <w:p>
      <w:pPr>
        <w:spacing w:line="600" w:lineRule="auto"/>
        <w:rPr>
          <w:sz w:val="24"/>
          <w:szCs w:val="28"/>
        </w:rPr>
      </w:pPr>
      <w:r>
        <w:rPr>
          <w:rFonts w:hint="eastAsia"/>
          <w:sz w:val="24"/>
          <w:szCs w:val="28"/>
        </w:rPr>
        <w:t>5、社保资金缴纳证明材料</w:t>
      </w:r>
    </w:p>
    <w:p>
      <w:pPr>
        <w:spacing w:line="600" w:lineRule="auto"/>
        <w:rPr>
          <w:sz w:val="24"/>
          <w:szCs w:val="28"/>
        </w:rPr>
      </w:pPr>
      <w:r>
        <w:rPr>
          <w:rFonts w:hint="eastAsia"/>
          <w:sz w:val="24"/>
          <w:szCs w:val="28"/>
        </w:rPr>
        <w:t xml:space="preserve">6、税收缴纳证明材料： </w:t>
      </w:r>
    </w:p>
    <w:p>
      <w:pPr>
        <w:spacing w:line="600" w:lineRule="auto"/>
        <w:rPr>
          <w:rFonts w:hint="eastAsia" w:eastAsiaTheme="minorEastAsia"/>
          <w:sz w:val="24"/>
          <w:szCs w:val="28"/>
          <w:lang w:val="en-US" w:eastAsia="zh-CN"/>
        </w:rPr>
      </w:pPr>
      <w:r>
        <w:rPr>
          <w:rFonts w:hint="eastAsia"/>
          <w:sz w:val="24"/>
          <w:szCs w:val="28"/>
        </w:rPr>
        <w:t xml:space="preserve">7、财务状况证明材料： </w:t>
      </w:r>
    </w:p>
    <w:p>
      <w:pPr>
        <w:spacing w:line="480" w:lineRule="auto"/>
        <w:rPr>
          <w:sz w:val="24"/>
          <w:szCs w:val="28"/>
        </w:rPr>
        <w:sectPr>
          <w:pgSz w:w="11906" w:h="16838"/>
          <w:pgMar w:top="1440" w:right="1803" w:bottom="1440" w:left="1803" w:header="851" w:footer="992" w:gutter="0"/>
          <w:cols w:space="720" w:num="1"/>
          <w:docGrid w:type="lines" w:linePitch="319" w:charSpace="0"/>
        </w:sectPr>
      </w:pPr>
      <w:r>
        <w:rPr>
          <w:rFonts w:hint="eastAsia"/>
          <w:sz w:val="24"/>
          <w:szCs w:val="28"/>
          <w:lang w:val="en-US" w:eastAsia="zh-CN"/>
        </w:rPr>
        <w:t>8</w:t>
      </w:r>
      <w:r>
        <w:rPr>
          <w:rFonts w:hint="eastAsia"/>
          <w:sz w:val="24"/>
          <w:szCs w:val="28"/>
        </w:rPr>
        <w:t>、供应商认为应该提交的其他证明材料；</w:t>
      </w:r>
    </w:p>
    <w:p>
      <w:pPr>
        <w:pStyle w:val="4"/>
      </w:pPr>
      <w:bookmarkStart w:id="196" w:name="_Toc22544"/>
      <w:r>
        <w:rPr>
          <w:rFonts w:hint="eastAsia"/>
          <w:sz w:val="36"/>
          <w:szCs w:val="36"/>
        </w:rPr>
        <w:t>第五章  商务和技术响应偏离表</w:t>
      </w:r>
      <w:bookmarkEnd w:id="192"/>
      <w:bookmarkEnd w:id="193"/>
      <w:bookmarkEnd w:id="196"/>
    </w:p>
    <w:p>
      <w:pPr>
        <w:kinsoku w:val="0"/>
        <w:spacing w:line="480" w:lineRule="auto"/>
        <w:ind w:left="1232" w:hanging="1232" w:hangingChars="440"/>
        <w:jc w:val="left"/>
        <w:rPr>
          <w:rFonts w:asciiTheme="minorEastAsia" w:hAnsiTheme="minorEastAsia" w:cstheme="minorEastAsia"/>
          <w:sz w:val="28"/>
          <w:szCs w:val="28"/>
        </w:rPr>
      </w:pPr>
      <w:r>
        <w:rPr>
          <w:rFonts w:hint="eastAsia" w:asciiTheme="minorEastAsia" w:hAnsiTheme="minorEastAsia" w:cstheme="minorEastAsia"/>
          <w:sz w:val="28"/>
          <w:szCs w:val="28"/>
        </w:rPr>
        <w:t>表1、商务响应偏差表</w:t>
      </w:r>
    </w:p>
    <w:tbl>
      <w:tblPr>
        <w:tblStyle w:val="2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4"/>
              <w:spacing w:line="480" w:lineRule="auto"/>
              <w:jc w:val="center"/>
              <w:rPr>
                <w:rFonts w:asciiTheme="minorEastAsia" w:hAnsiTheme="minorEastAsia" w:cstheme="minorEastAsia"/>
                <w:sz w:val="24"/>
                <w:szCs w:val="24"/>
              </w:rPr>
            </w:pPr>
            <w:r>
              <w:rPr>
                <w:rFonts w:hint="eastAsia" w:hAnsi="宋体" w:cs="宋体"/>
              </w:rPr>
              <w:t xml:space="preserve"> 序号</w:t>
            </w:r>
          </w:p>
        </w:tc>
        <w:tc>
          <w:tcPr>
            <w:tcW w:w="1614" w:type="dxa"/>
            <w:vAlign w:val="center"/>
          </w:tcPr>
          <w:p>
            <w:pPr>
              <w:pStyle w:val="14"/>
              <w:spacing w:line="480" w:lineRule="auto"/>
              <w:jc w:val="left"/>
              <w:rPr>
                <w:rFonts w:asciiTheme="minorEastAsia" w:hAnsiTheme="minorEastAsia" w:cstheme="minorEastAsia"/>
                <w:sz w:val="24"/>
                <w:szCs w:val="24"/>
              </w:rPr>
            </w:pPr>
            <w:r>
              <w:rPr>
                <w:rFonts w:hint="eastAsia" w:hAnsi="宋体" w:cs="宋体"/>
              </w:rPr>
              <w:t xml:space="preserve"> 商务条款</w:t>
            </w:r>
          </w:p>
        </w:tc>
        <w:tc>
          <w:tcPr>
            <w:tcW w:w="1680" w:type="dxa"/>
            <w:vAlign w:val="center"/>
          </w:tcPr>
          <w:p>
            <w:pPr>
              <w:pStyle w:val="14"/>
              <w:spacing w:line="480" w:lineRule="auto"/>
              <w:jc w:val="left"/>
              <w:rPr>
                <w:rFonts w:asciiTheme="minorEastAsia" w:hAnsiTheme="minorEastAsia" w:cstheme="minorEastAsia"/>
                <w:sz w:val="24"/>
                <w:szCs w:val="24"/>
              </w:rPr>
            </w:pPr>
            <w:r>
              <w:rPr>
                <w:rFonts w:hint="eastAsia" w:hAnsi="宋体" w:cs="宋体"/>
              </w:rPr>
              <w:t>商务要求内容</w:t>
            </w:r>
          </w:p>
        </w:tc>
        <w:tc>
          <w:tcPr>
            <w:tcW w:w="2448" w:type="dxa"/>
            <w:vAlign w:val="center"/>
          </w:tcPr>
          <w:p>
            <w:pPr>
              <w:pStyle w:val="14"/>
              <w:spacing w:line="480" w:lineRule="auto"/>
              <w:rPr>
                <w:rFonts w:asciiTheme="minorEastAsia" w:hAnsiTheme="minorEastAsia" w:cstheme="minorEastAsia"/>
                <w:sz w:val="24"/>
                <w:szCs w:val="24"/>
              </w:rPr>
            </w:pPr>
            <w:r>
              <w:rPr>
                <w:rFonts w:hint="eastAsia" w:hAnsi="宋体" w:cs="宋体"/>
              </w:rPr>
              <w:t>响应文件响应商务内容</w:t>
            </w:r>
          </w:p>
        </w:tc>
        <w:tc>
          <w:tcPr>
            <w:tcW w:w="2042" w:type="dxa"/>
            <w:vAlign w:val="center"/>
          </w:tcPr>
          <w:p>
            <w:pPr>
              <w:pStyle w:val="14"/>
              <w:spacing w:line="480" w:lineRule="auto"/>
              <w:jc w:val="center"/>
              <w:rPr>
                <w:rFonts w:asciiTheme="minorEastAsia" w:hAnsiTheme="minorEastAsia" w:cstheme="minorEastAsia"/>
                <w:sz w:val="24"/>
                <w:szCs w:val="24"/>
              </w:rPr>
            </w:pPr>
            <w:r>
              <w:rPr>
                <w:rFonts w:hint="eastAsia" w:hAnsi="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vAlign w:val="center"/>
          </w:tcPr>
          <w:p>
            <w:pPr>
              <w:pStyle w:val="14"/>
              <w:spacing w:line="480" w:lineRule="auto"/>
              <w:ind w:firstLine="480" w:firstLineChars="200"/>
              <w:jc w:val="left"/>
              <w:rPr>
                <w:rFonts w:asciiTheme="minorEastAsia" w:hAnsiTheme="minorEastAsia" w:cstheme="minorEastAsia"/>
                <w:sz w:val="24"/>
                <w:szCs w:val="24"/>
              </w:rPr>
            </w:pPr>
          </w:p>
        </w:tc>
        <w:tc>
          <w:tcPr>
            <w:tcW w:w="2448" w:type="dxa"/>
            <w:vAlign w:val="center"/>
          </w:tcPr>
          <w:p>
            <w:pPr>
              <w:pStyle w:val="14"/>
              <w:spacing w:line="480" w:lineRule="auto"/>
              <w:ind w:firstLine="480" w:firstLineChars="200"/>
              <w:jc w:val="left"/>
              <w:rPr>
                <w:rFonts w:asciiTheme="minorEastAsia" w:hAnsiTheme="minorEastAsia" w:cstheme="minorEastAsia"/>
                <w:sz w:val="24"/>
                <w:szCs w:val="24"/>
              </w:rPr>
            </w:pPr>
          </w:p>
        </w:tc>
        <w:tc>
          <w:tcPr>
            <w:tcW w:w="2042" w:type="dxa"/>
            <w:vAlign w:val="center"/>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tcPr>
          <w:p>
            <w:pPr>
              <w:pStyle w:val="14"/>
              <w:spacing w:line="480" w:lineRule="auto"/>
              <w:ind w:firstLine="480" w:firstLineChars="200"/>
              <w:jc w:val="left"/>
              <w:rPr>
                <w:rFonts w:asciiTheme="minorEastAsia" w:hAnsiTheme="minorEastAsia" w:cstheme="minorEastAsia"/>
                <w:sz w:val="24"/>
                <w:szCs w:val="24"/>
              </w:rPr>
            </w:pPr>
          </w:p>
        </w:tc>
        <w:tc>
          <w:tcPr>
            <w:tcW w:w="2448" w:type="dxa"/>
          </w:tcPr>
          <w:p>
            <w:pPr>
              <w:pStyle w:val="14"/>
              <w:spacing w:line="480" w:lineRule="auto"/>
              <w:ind w:firstLine="480" w:firstLineChars="200"/>
              <w:jc w:val="left"/>
              <w:rPr>
                <w:rFonts w:asciiTheme="minorEastAsia" w:hAnsiTheme="minorEastAsia" w:cstheme="minorEastAsia"/>
                <w:sz w:val="24"/>
                <w:szCs w:val="24"/>
              </w:rPr>
            </w:pPr>
          </w:p>
        </w:tc>
        <w:tc>
          <w:tcPr>
            <w:tcW w:w="2042"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tcPr>
          <w:p>
            <w:pPr>
              <w:pStyle w:val="14"/>
              <w:spacing w:line="480" w:lineRule="auto"/>
              <w:ind w:firstLine="480" w:firstLineChars="200"/>
              <w:jc w:val="left"/>
              <w:rPr>
                <w:rFonts w:asciiTheme="minorEastAsia" w:hAnsiTheme="minorEastAsia" w:cstheme="minorEastAsia"/>
                <w:sz w:val="24"/>
                <w:szCs w:val="24"/>
              </w:rPr>
            </w:pPr>
          </w:p>
        </w:tc>
        <w:tc>
          <w:tcPr>
            <w:tcW w:w="2448" w:type="dxa"/>
          </w:tcPr>
          <w:p>
            <w:pPr>
              <w:pStyle w:val="14"/>
              <w:spacing w:line="480" w:lineRule="auto"/>
              <w:ind w:firstLine="480" w:firstLineChars="200"/>
              <w:jc w:val="left"/>
              <w:rPr>
                <w:rFonts w:asciiTheme="minorEastAsia" w:hAnsiTheme="minorEastAsia" w:cstheme="minorEastAsia"/>
                <w:sz w:val="24"/>
                <w:szCs w:val="24"/>
              </w:rPr>
            </w:pPr>
          </w:p>
        </w:tc>
        <w:tc>
          <w:tcPr>
            <w:tcW w:w="2042"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tcPr>
          <w:p>
            <w:pPr>
              <w:pStyle w:val="14"/>
              <w:spacing w:line="480" w:lineRule="auto"/>
              <w:ind w:firstLine="480" w:firstLineChars="200"/>
              <w:jc w:val="left"/>
              <w:rPr>
                <w:rFonts w:asciiTheme="minorEastAsia" w:hAnsiTheme="minorEastAsia" w:cstheme="minorEastAsia"/>
                <w:sz w:val="24"/>
                <w:szCs w:val="24"/>
              </w:rPr>
            </w:pPr>
          </w:p>
        </w:tc>
        <w:tc>
          <w:tcPr>
            <w:tcW w:w="2448" w:type="dxa"/>
          </w:tcPr>
          <w:p>
            <w:pPr>
              <w:pStyle w:val="14"/>
              <w:spacing w:line="480" w:lineRule="auto"/>
              <w:ind w:firstLine="480" w:firstLineChars="200"/>
              <w:jc w:val="left"/>
              <w:rPr>
                <w:rFonts w:asciiTheme="minorEastAsia" w:hAnsiTheme="minorEastAsia" w:cstheme="minorEastAsia"/>
                <w:sz w:val="24"/>
                <w:szCs w:val="24"/>
              </w:rPr>
            </w:pPr>
          </w:p>
        </w:tc>
        <w:tc>
          <w:tcPr>
            <w:tcW w:w="2042"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tcPr>
          <w:p>
            <w:pPr>
              <w:pStyle w:val="14"/>
              <w:spacing w:line="480" w:lineRule="auto"/>
              <w:ind w:firstLine="480" w:firstLineChars="200"/>
              <w:jc w:val="left"/>
              <w:rPr>
                <w:rFonts w:asciiTheme="minorEastAsia" w:hAnsiTheme="minorEastAsia" w:cstheme="minorEastAsia"/>
                <w:sz w:val="24"/>
                <w:szCs w:val="24"/>
              </w:rPr>
            </w:pPr>
          </w:p>
        </w:tc>
        <w:tc>
          <w:tcPr>
            <w:tcW w:w="2448" w:type="dxa"/>
          </w:tcPr>
          <w:p>
            <w:pPr>
              <w:pStyle w:val="14"/>
              <w:spacing w:line="480" w:lineRule="auto"/>
              <w:ind w:firstLine="480" w:firstLineChars="200"/>
              <w:jc w:val="left"/>
              <w:rPr>
                <w:rFonts w:asciiTheme="minorEastAsia" w:hAnsiTheme="minorEastAsia" w:cstheme="minorEastAsia"/>
                <w:sz w:val="24"/>
                <w:szCs w:val="24"/>
              </w:rPr>
            </w:pPr>
          </w:p>
        </w:tc>
        <w:tc>
          <w:tcPr>
            <w:tcW w:w="2042"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tcPr>
          <w:p>
            <w:pPr>
              <w:pStyle w:val="14"/>
              <w:spacing w:line="480" w:lineRule="auto"/>
              <w:ind w:firstLine="480" w:firstLineChars="200"/>
              <w:jc w:val="left"/>
              <w:rPr>
                <w:rFonts w:asciiTheme="minorEastAsia" w:hAnsiTheme="minorEastAsia" w:cstheme="minorEastAsia"/>
                <w:sz w:val="24"/>
                <w:szCs w:val="24"/>
              </w:rPr>
            </w:pPr>
          </w:p>
        </w:tc>
        <w:tc>
          <w:tcPr>
            <w:tcW w:w="2448" w:type="dxa"/>
          </w:tcPr>
          <w:p>
            <w:pPr>
              <w:pStyle w:val="14"/>
              <w:spacing w:line="480" w:lineRule="auto"/>
              <w:ind w:firstLine="480" w:firstLineChars="200"/>
              <w:jc w:val="left"/>
              <w:rPr>
                <w:rFonts w:asciiTheme="minorEastAsia" w:hAnsiTheme="minorEastAsia" w:cstheme="minorEastAsia"/>
                <w:sz w:val="24"/>
                <w:szCs w:val="24"/>
              </w:rPr>
            </w:pPr>
          </w:p>
        </w:tc>
        <w:tc>
          <w:tcPr>
            <w:tcW w:w="2042"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c>
          <w:tcPr>
            <w:tcW w:w="1680" w:type="dxa"/>
          </w:tcPr>
          <w:p>
            <w:pPr>
              <w:pStyle w:val="14"/>
              <w:spacing w:line="480" w:lineRule="auto"/>
              <w:ind w:firstLine="480" w:firstLineChars="200"/>
              <w:jc w:val="left"/>
              <w:rPr>
                <w:rFonts w:asciiTheme="minorEastAsia" w:hAnsiTheme="minorEastAsia" w:cstheme="minorEastAsia"/>
                <w:sz w:val="24"/>
                <w:szCs w:val="24"/>
              </w:rPr>
            </w:pPr>
          </w:p>
        </w:tc>
        <w:tc>
          <w:tcPr>
            <w:tcW w:w="2448" w:type="dxa"/>
          </w:tcPr>
          <w:p>
            <w:pPr>
              <w:pStyle w:val="14"/>
              <w:spacing w:line="480" w:lineRule="auto"/>
              <w:ind w:firstLine="480" w:firstLineChars="200"/>
              <w:jc w:val="left"/>
              <w:rPr>
                <w:rFonts w:asciiTheme="minorEastAsia" w:hAnsiTheme="minorEastAsia" w:cstheme="minorEastAsia"/>
                <w:sz w:val="24"/>
                <w:szCs w:val="24"/>
              </w:rPr>
            </w:pPr>
          </w:p>
        </w:tc>
        <w:tc>
          <w:tcPr>
            <w:tcW w:w="2042" w:type="dxa"/>
          </w:tcPr>
          <w:p>
            <w:pPr>
              <w:pStyle w:val="14"/>
              <w:spacing w:line="480" w:lineRule="auto"/>
              <w:ind w:firstLine="480" w:firstLineChars="200"/>
              <w:jc w:val="left"/>
              <w:rPr>
                <w:rFonts w:asciiTheme="minorEastAsia" w:hAnsiTheme="minorEastAsia" w:cstheme="minorEastAsia"/>
                <w:sz w:val="24"/>
                <w:szCs w:val="24"/>
              </w:rPr>
            </w:pPr>
          </w:p>
        </w:tc>
      </w:tr>
    </w:tbl>
    <w:p>
      <w:pPr>
        <w:pStyle w:val="8"/>
        <w:ind w:firstLine="0"/>
        <w:rPr>
          <w:rFonts w:ascii="宋体" w:hAnsi="宋体"/>
          <w:b/>
          <w:bCs/>
          <w:sz w:val="28"/>
          <w:szCs w:val="28"/>
        </w:rPr>
      </w:pPr>
      <w:r>
        <w:rPr>
          <w:rFonts w:hint="eastAsia" w:ascii="宋体" w:hAnsi="宋体"/>
          <w:b/>
          <w:bCs/>
          <w:sz w:val="28"/>
          <w:szCs w:val="28"/>
        </w:rPr>
        <w:t>填写说明：供应商对本项目付款、</w:t>
      </w:r>
      <w:r>
        <w:rPr>
          <w:rFonts w:hint="eastAsia" w:ascii="宋体" w:hAnsi="宋体"/>
          <w:b/>
          <w:bCs/>
          <w:sz w:val="28"/>
          <w:szCs w:val="28"/>
          <w:lang w:eastAsia="zh-CN"/>
        </w:rPr>
        <w:t>交付期、质保期</w:t>
      </w:r>
      <w:r>
        <w:rPr>
          <w:rFonts w:hint="eastAsia" w:ascii="宋体" w:hAnsi="宋体"/>
          <w:b/>
          <w:bCs/>
          <w:sz w:val="28"/>
          <w:szCs w:val="28"/>
        </w:rPr>
        <w:t>或者服务形式、项目的验收标准及方式、履约验收等商务方面进行响应说明，并保证响应的真实性。</w:t>
      </w:r>
    </w:p>
    <w:p>
      <w:pPr>
        <w:pStyle w:val="8"/>
        <w:ind w:firstLine="0"/>
        <w:rPr>
          <w:rFonts w:ascii="宋体" w:hAnsi="宋体"/>
          <w:b/>
          <w:bCs/>
          <w:sz w:val="28"/>
          <w:szCs w:val="28"/>
        </w:rPr>
      </w:pPr>
      <w:r>
        <w:rPr>
          <w:rFonts w:hint="eastAsia" w:ascii="宋体" w:hAnsi="宋体"/>
          <w:b/>
          <w:bCs/>
          <w:sz w:val="28"/>
          <w:szCs w:val="28"/>
        </w:rPr>
        <w:t>偏差说明填写：正偏离（标明正偏离内容）、符合。</w:t>
      </w:r>
    </w:p>
    <w:p>
      <w:pPr>
        <w:pStyle w:val="8"/>
        <w:ind w:firstLine="0"/>
        <w:rPr>
          <w:rFonts w:ascii="宋体" w:hAnsi="宋体"/>
          <w:sz w:val="28"/>
          <w:szCs w:val="28"/>
        </w:rPr>
      </w:pPr>
      <w:r>
        <w:rPr>
          <w:rFonts w:hint="eastAsia" w:ascii="宋体" w:hAnsi="宋体"/>
          <w:b/>
          <w:bCs/>
          <w:sz w:val="28"/>
          <w:szCs w:val="28"/>
        </w:rPr>
        <w:t>商务条款不允许负偏离；</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8"/>
          <w:szCs w:val="28"/>
          <w:u w:val="single"/>
        </w:rPr>
      </w:pPr>
      <w:r>
        <w:rPr>
          <w:rFonts w:hint="eastAsia" w:ascii="宋体" w:hAnsi="宋体" w:cs="宋体"/>
          <w:sz w:val="28"/>
          <w:szCs w:val="28"/>
        </w:rPr>
        <w:t>供应商（单位名称及公章）：</w:t>
      </w:r>
    </w:p>
    <w:p>
      <w:pPr>
        <w:adjustRightInd w:val="0"/>
        <w:snapToGrid w:val="0"/>
        <w:spacing w:line="480" w:lineRule="auto"/>
        <w:rPr>
          <w:rFonts w:ascii="宋体" w:hAnsi="宋体" w:cs="宋体"/>
          <w:sz w:val="28"/>
          <w:szCs w:val="28"/>
        </w:rPr>
      </w:pPr>
      <w:r>
        <w:rPr>
          <w:rFonts w:hint="eastAsia" w:ascii="宋体" w:hAnsi="宋体" w:cs="宋体"/>
          <w:sz w:val="28"/>
          <w:szCs w:val="28"/>
        </w:rPr>
        <w:t>法定代表人/被授权人（签字或盖章）：</w:t>
      </w:r>
    </w:p>
    <w:p>
      <w:pPr>
        <w:adjustRightInd w:val="0"/>
        <w:snapToGrid w:val="0"/>
        <w:spacing w:line="480" w:lineRule="auto"/>
        <w:rPr>
          <w:rFonts w:ascii="宋体" w:hAnsi="宋体"/>
          <w:sz w:val="28"/>
          <w:szCs w:val="28"/>
        </w:rPr>
        <w:sectPr>
          <w:headerReference r:id="rId10" w:type="default"/>
          <w:pgSz w:w="11906" w:h="16838"/>
          <w:pgMar w:top="1440" w:right="1803" w:bottom="1440" w:left="1803" w:header="851" w:footer="992" w:gutter="0"/>
          <w:cols w:space="720" w:num="1"/>
          <w:docGrid w:type="lines" w:linePitch="319" w:charSpace="0"/>
        </w:sectPr>
      </w:pPr>
      <w:r>
        <w:rPr>
          <w:rFonts w:hint="eastAsia" w:ascii="宋体" w:hAnsi="宋体" w:cs="宋体"/>
          <w:sz w:val="28"/>
          <w:szCs w:val="28"/>
        </w:rPr>
        <w:t>日    期：   年   月  日</w:t>
      </w:r>
    </w:p>
    <w:p>
      <w:pPr>
        <w:pStyle w:val="25"/>
        <w:ind w:firstLine="280"/>
        <w:rPr>
          <w:rFonts w:asciiTheme="minorEastAsia" w:hAnsiTheme="minorEastAsia" w:cstheme="minorEastAsia"/>
          <w:sz w:val="28"/>
          <w:szCs w:val="28"/>
        </w:rPr>
      </w:pPr>
      <w:r>
        <w:rPr>
          <w:rFonts w:hint="eastAsia" w:asciiTheme="minorEastAsia" w:hAnsiTheme="minorEastAsia" w:cstheme="minorEastAsia"/>
          <w:sz w:val="28"/>
          <w:szCs w:val="28"/>
        </w:rPr>
        <w:t>表2、技术响应偏差表</w:t>
      </w:r>
    </w:p>
    <w:p>
      <w:pPr>
        <w:kinsoku w:val="0"/>
        <w:spacing w:line="480" w:lineRule="auto"/>
        <w:ind w:left="1232" w:hanging="1232" w:hangingChars="440"/>
        <w:jc w:val="left"/>
        <w:rPr>
          <w:rFonts w:asciiTheme="minorEastAsia" w:hAnsiTheme="minorEastAsia" w:cstheme="minorEastAsia"/>
          <w:sz w:val="28"/>
          <w:szCs w:val="28"/>
        </w:rPr>
      </w:pPr>
    </w:p>
    <w:tbl>
      <w:tblPr>
        <w:tblStyle w:val="26"/>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443"/>
        <w:gridCol w:w="1621"/>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4"/>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序号</w:t>
            </w:r>
          </w:p>
        </w:tc>
        <w:tc>
          <w:tcPr>
            <w:tcW w:w="2864" w:type="dxa"/>
            <w:vAlign w:val="center"/>
          </w:tcPr>
          <w:p>
            <w:pPr>
              <w:pStyle w:val="14"/>
              <w:spacing w:line="48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招标文件要求</w:t>
            </w:r>
          </w:p>
          <w:p>
            <w:pPr>
              <w:pStyle w:val="14"/>
              <w:spacing w:line="48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 服务要求</w:t>
            </w:r>
          </w:p>
        </w:tc>
        <w:tc>
          <w:tcPr>
            <w:tcW w:w="2443" w:type="dxa"/>
            <w:vAlign w:val="center"/>
          </w:tcPr>
          <w:p>
            <w:pPr>
              <w:pStyle w:val="14"/>
              <w:spacing w:line="48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磋商文件</w:t>
            </w:r>
          </w:p>
          <w:p>
            <w:pPr>
              <w:pStyle w:val="14"/>
              <w:spacing w:line="48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服务内容</w:t>
            </w:r>
          </w:p>
        </w:tc>
        <w:tc>
          <w:tcPr>
            <w:tcW w:w="1621" w:type="dxa"/>
            <w:vAlign w:val="center"/>
          </w:tcPr>
          <w:p>
            <w:pPr>
              <w:pStyle w:val="14"/>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 xml:space="preserve"> 偏差说明</w:t>
            </w:r>
          </w:p>
        </w:tc>
        <w:tc>
          <w:tcPr>
            <w:tcW w:w="1614" w:type="dxa"/>
            <w:vAlign w:val="center"/>
          </w:tcPr>
          <w:p>
            <w:pPr>
              <w:pStyle w:val="14"/>
              <w:spacing w:line="48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vAlign w:val="center"/>
          </w:tcPr>
          <w:p>
            <w:pPr>
              <w:pStyle w:val="14"/>
              <w:spacing w:line="480" w:lineRule="auto"/>
              <w:ind w:firstLine="480" w:firstLineChars="200"/>
              <w:jc w:val="left"/>
              <w:rPr>
                <w:rFonts w:asciiTheme="minorEastAsia" w:hAnsiTheme="minorEastAsia" w:cstheme="minorEastAsia"/>
                <w:sz w:val="24"/>
                <w:szCs w:val="24"/>
              </w:rPr>
            </w:pPr>
          </w:p>
        </w:tc>
        <w:tc>
          <w:tcPr>
            <w:tcW w:w="2443" w:type="dxa"/>
            <w:vAlign w:val="center"/>
          </w:tcPr>
          <w:p>
            <w:pPr>
              <w:pStyle w:val="14"/>
              <w:spacing w:line="480" w:lineRule="auto"/>
              <w:ind w:firstLine="480" w:firstLineChars="200"/>
              <w:jc w:val="left"/>
              <w:rPr>
                <w:rFonts w:asciiTheme="minorEastAsia" w:hAnsiTheme="minorEastAsia" w:cstheme="minorEastAsia"/>
                <w:sz w:val="24"/>
                <w:szCs w:val="24"/>
              </w:rPr>
            </w:pPr>
          </w:p>
        </w:tc>
        <w:tc>
          <w:tcPr>
            <w:tcW w:w="1621" w:type="dxa"/>
            <w:vAlign w:val="center"/>
          </w:tcPr>
          <w:p>
            <w:pPr>
              <w:pStyle w:val="14"/>
              <w:spacing w:line="480" w:lineRule="auto"/>
              <w:ind w:firstLine="480" w:firstLineChars="200"/>
              <w:jc w:val="left"/>
              <w:rPr>
                <w:rFonts w:asciiTheme="minorEastAsia" w:hAnsiTheme="minorEastAsia" w:cstheme="minorEastAsia"/>
                <w:sz w:val="24"/>
                <w:szCs w:val="24"/>
              </w:rPr>
            </w:pPr>
          </w:p>
        </w:tc>
        <w:tc>
          <w:tcPr>
            <w:tcW w:w="1614" w:type="dxa"/>
            <w:vAlign w:val="center"/>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4"/>
              <w:spacing w:line="480" w:lineRule="auto"/>
              <w:ind w:firstLine="480" w:firstLineChars="200"/>
              <w:jc w:val="left"/>
              <w:rPr>
                <w:rFonts w:asciiTheme="minorEastAsia" w:hAnsiTheme="minorEastAsia" w:cstheme="minorEastAsia"/>
                <w:sz w:val="24"/>
                <w:szCs w:val="24"/>
              </w:rPr>
            </w:pPr>
          </w:p>
        </w:tc>
        <w:tc>
          <w:tcPr>
            <w:tcW w:w="2864" w:type="dxa"/>
          </w:tcPr>
          <w:p>
            <w:pPr>
              <w:pStyle w:val="14"/>
              <w:spacing w:line="480" w:lineRule="auto"/>
              <w:ind w:firstLine="480" w:firstLineChars="200"/>
              <w:jc w:val="left"/>
              <w:rPr>
                <w:rFonts w:asciiTheme="minorEastAsia" w:hAnsiTheme="minorEastAsia" w:cstheme="minorEastAsia"/>
                <w:sz w:val="24"/>
                <w:szCs w:val="24"/>
              </w:rPr>
            </w:pPr>
          </w:p>
        </w:tc>
        <w:tc>
          <w:tcPr>
            <w:tcW w:w="2443" w:type="dxa"/>
          </w:tcPr>
          <w:p>
            <w:pPr>
              <w:pStyle w:val="14"/>
              <w:spacing w:line="480" w:lineRule="auto"/>
              <w:ind w:firstLine="480" w:firstLineChars="200"/>
              <w:jc w:val="left"/>
              <w:rPr>
                <w:rFonts w:asciiTheme="minorEastAsia" w:hAnsiTheme="minorEastAsia" w:cstheme="minorEastAsia"/>
                <w:sz w:val="24"/>
                <w:szCs w:val="24"/>
              </w:rPr>
            </w:pPr>
          </w:p>
        </w:tc>
        <w:tc>
          <w:tcPr>
            <w:tcW w:w="1621" w:type="dxa"/>
          </w:tcPr>
          <w:p>
            <w:pPr>
              <w:pStyle w:val="14"/>
              <w:spacing w:line="480" w:lineRule="auto"/>
              <w:ind w:firstLine="480" w:firstLineChars="200"/>
              <w:jc w:val="left"/>
              <w:rPr>
                <w:rFonts w:asciiTheme="minorEastAsia" w:hAnsiTheme="minorEastAsia" w:cstheme="minorEastAsia"/>
                <w:sz w:val="24"/>
                <w:szCs w:val="24"/>
              </w:rPr>
            </w:pPr>
          </w:p>
        </w:tc>
        <w:tc>
          <w:tcPr>
            <w:tcW w:w="1614" w:type="dxa"/>
          </w:tcPr>
          <w:p>
            <w:pPr>
              <w:pStyle w:val="14"/>
              <w:spacing w:line="480" w:lineRule="auto"/>
              <w:ind w:firstLine="480" w:firstLineChars="200"/>
              <w:jc w:val="left"/>
              <w:rPr>
                <w:rFonts w:asciiTheme="minorEastAsia" w:hAnsiTheme="minorEastAsia" w:cstheme="minorEastAsia"/>
                <w:sz w:val="24"/>
                <w:szCs w:val="24"/>
              </w:rPr>
            </w:pPr>
          </w:p>
        </w:tc>
      </w:tr>
    </w:tbl>
    <w:p>
      <w:pPr>
        <w:pStyle w:val="14"/>
        <w:ind w:firstLine="562" w:firstLineChars="200"/>
        <w:jc w:val="lef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b/>
          <w:color w:val="000000" w:themeColor="text1"/>
          <w:sz w:val="28"/>
          <w:szCs w:val="28"/>
          <w14:textFill>
            <w14:solidFill>
              <w14:schemeClr w14:val="tx1"/>
            </w14:solidFill>
          </w14:textFill>
        </w:rPr>
        <w:t>填写说明：</w:t>
      </w:r>
      <w:r>
        <w:rPr>
          <w:rFonts w:hint="eastAsia" w:asciiTheme="minorEastAsia" w:hAnsiTheme="minorEastAsia" w:cstheme="minorEastAsia"/>
          <w:color w:val="000000" w:themeColor="text1"/>
          <w:sz w:val="28"/>
          <w:szCs w:val="28"/>
          <w14:textFill>
            <w14:solidFill>
              <w14:schemeClr w14:val="tx1"/>
            </w14:solidFill>
          </w14:textFill>
        </w:rPr>
        <w:t>请按磋商文件要求的实际服务要求，逐条对应响应文件的“采购要求”中的服务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Theme="minorEastAsia" w:hAnsiTheme="minorEastAsia" w:cstheme="minorEastAsia"/>
          <w:sz w:val="28"/>
          <w:szCs w:val="28"/>
        </w:rPr>
      </w:pPr>
    </w:p>
    <w:p>
      <w:pPr>
        <w:adjustRightInd w:val="0"/>
        <w:snapToGrid w:val="0"/>
        <w:spacing w:line="48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供应商（单位名称及公章）：</w:t>
      </w:r>
    </w:p>
    <w:p>
      <w:pPr>
        <w:adjustRightInd w:val="0"/>
        <w:snapToGrid w:val="0"/>
        <w:spacing w:line="480" w:lineRule="auto"/>
        <w:rPr>
          <w:rFonts w:asciiTheme="minorEastAsia" w:hAnsiTheme="minorEastAsia" w:cstheme="minorEastAsia"/>
          <w:sz w:val="28"/>
          <w:szCs w:val="28"/>
        </w:rPr>
      </w:pPr>
      <w:r>
        <w:rPr>
          <w:rFonts w:hint="eastAsia" w:asciiTheme="minorEastAsia" w:hAnsiTheme="minorEastAsia" w:cstheme="minorEastAsia"/>
          <w:sz w:val="28"/>
          <w:szCs w:val="28"/>
        </w:rPr>
        <w:t>法定代表人/被授权人（签字或盖章）：</w:t>
      </w:r>
    </w:p>
    <w:p>
      <w:pPr>
        <w:adjustRightInd w:val="0"/>
        <w:snapToGrid w:val="0"/>
        <w:spacing w:line="480" w:lineRule="auto"/>
        <w:rPr>
          <w:rFonts w:asciiTheme="minorEastAsia" w:hAnsiTheme="minorEastAsia" w:cstheme="minorEastAsia"/>
          <w:sz w:val="28"/>
          <w:szCs w:val="28"/>
        </w:rPr>
        <w:sectPr>
          <w:pgSz w:w="11906" w:h="16838"/>
          <w:pgMar w:top="1440" w:right="1304" w:bottom="1440" w:left="1304" w:header="851" w:footer="992" w:gutter="0"/>
          <w:cols w:space="0" w:num="1"/>
          <w:docGrid w:type="lines" w:linePitch="325" w:charSpace="0"/>
        </w:sectPr>
      </w:pPr>
      <w:r>
        <w:rPr>
          <w:rFonts w:hint="eastAsia" w:asciiTheme="minorEastAsia" w:hAnsiTheme="minorEastAsia" w:cstheme="minorEastAsia"/>
          <w:sz w:val="28"/>
          <w:szCs w:val="28"/>
        </w:rPr>
        <w:t>日    期：年月日</w:t>
      </w:r>
    </w:p>
    <w:bookmarkEnd w:id="194"/>
    <w:p>
      <w:pPr>
        <w:pStyle w:val="4"/>
      </w:pPr>
      <w:bookmarkStart w:id="197" w:name="_Toc10152"/>
      <w:r>
        <w:rPr>
          <w:rFonts w:hint="eastAsia"/>
          <w:sz w:val="28"/>
          <w:szCs w:val="28"/>
        </w:rPr>
        <w:t>第六章</w:t>
      </w:r>
      <w:bookmarkEnd w:id="195"/>
      <w:r>
        <w:rPr>
          <w:rFonts w:hint="eastAsia"/>
          <w:sz w:val="28"/>
          <w:szCs w:val="28"/>
        </w:rPr>
        <w:t>技术支持资料</w:t>
      </w:r>
      <w:bookmarkEnd w:id="197"/>
    </w:p>
    <w:p>
      <w:pPr>
        <w:spacing w:line="480" w:lineRule="auto"/>
        <w:rPr>
          <w:b/>
          <w:bCs/>
          <w:color w:val="FF0000"/>
          <w:sz w:val="36"/>
          <w:szCs w:val="36"/>
        </w:rPr>
      </w:pPr>
      <w:r>
        <w:rPr>
          <w:rFonts w:hint="eastAsia"/>
          <w:b/>
          <w:bCs/>
          <w:color w:val="FF0000"/>
          <w:sz w:val="36"/>
          <w:szCs w:val="36"/>
        </w:rPr>
        <w:t>供应商可根据评审办法自行编写，格式不限：</w:t>
      </w:r>
    </w:p>
    <w:p/>
    <w:p>
      <w:r>
        <w:rPr>
          <w:rFonts w:hint="eastAsia"/>
        </w:rPr>
        <w:br w:type="page"/>
      </w:r>
    </w:p>
    <w:p/>
    <w:p>
      <w:pPr>
        <w:pStyle w:val="4"/>
        <w:rPr>
          <w:sz w:val="36"/>
          <w:szCs w:val="36"/>
        </w:rPr>
      </w:pPr>
      <w:bookmarkStart w:id="198" w:name="_Toc15381"/>
      <w:bookmarkStart w:id="199" w:name="_Toc11540"/>
      <w:bookmarkStart w:id="200" w:name="_Toc29853"/>
      <w:r>
        <w:rPr>
          <w:rFonts w:hint="eastAsia"/>
          <w:sz w:val="36"/>
          <w:szCs w:val="36"/>
        </w:rPr>
        <w:t>第七章  供应商业绩一览表</w:t>
      </w:r>
      <w:bookmarkEnd w:id="198"/>
      <w:bookmarkEnd w:id="199"/>
      <w:bookmarkEnd w:id="200"/>
    </w:p>
    <w:p>
      <w:pPr>
        <w:rPr>
          <w:rFonts w:asciiTheme="minorEastAsia" w:hAnsiTheme="minorEastAsia" w:cstheme="minorEastAsia"/>
        </w:rPr>
      </w:pPr>
    </w:p>
    <w:tbl>
      <w:tblPr>
        <w:tblStyle w:val="26"/>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年份</w:t>
            </w:r>
          </w:p>
        </w:tc>
        <w:tc>
          <w:tcPr>
            <w:tcW w:w="1508"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用户名称</w:t>
            </w:r>
          </w:p>
        </w:tc>
        <w:tc>
          <w:tcPr>
            <w:tcW w:w="1382"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项目名称</w:t>
            </w:r>
          </w:p>
        </w:tc>
        <w:tc>
          <w:tcPr>
            <w:tcW w:w="1399" w:type="dxa"/>
            <w:vAlign w:val="center"/>
          </w:tcPr>
          <w:p>
            <w:pPr>
              <w:spacing w:line="400" w:lineRule="exact"/>
              <w:jc w:val="center"/>
              <w:rPr>
                <w:rFonts w:asciiTheme="minorEastAsia" w:hAnsiTheme="minorEastAsia" w:cstheme="minorEastAsia"/>
                <w:bCs/>
                <w:szCs w:val="21"/>
              </w:rPr>
            </w:pPr>
            <w:r>
              <w:rPr>
                <w:rFonts w:hint="eastAsia" w:asciiTheme="minorEastAsia" w:hAnsiTheme="minorEastAsia" w:cstheme="minorEastAsia"/>
                <w:bCs/>
                <w:szCs w:val="21"/>
              </w:rPr>
              <w:t>完成时间</w:t>
            </w:r>
          </w:p>
        </w:tc>
        <w:tc>
          <w:tcPr>
            <w:tcW w:w="1485" w:type="dxa"/>
            <w:vAlign w:val="center"/>
          </w:tcPr>
          <w:p>
            <w:pPr>
              <w:spacing w:line="400" w:lineRule="exact"/>
              <w:ind w:firstLine="105" w:firstLineChars="50"/>
              <w:rPr>
                <w:rFonts w:asciiTheme="minorEastAsia" w:hAnsiTheme="minorEastAsia" w:cstheme="minorEastAsia"/>
                <w:bCs/>
                <w:szCs w:val="21"/>
              </w:rPr>
            </w:pPr>
            <w:r>
              <w:rPr>
                <w:rFonts w:hint="eastAsia" w:asciiTheme="minorEastAsia" w:hAnsiTheme="minorEastAsia" w:cstheme="minorEastAsia"/>
                <w:bCs/>
                <w:szCs w:val="21"/>
              </w:rPr>
              <w:t>合同金额</w:t>
            </w:r>
          </w:p>
        </w:tc>
        <w:tc>
          <w:tcPr>
            <w:tcW w:w="1576" w:type="dxa"/>
            <w:tcBorders>
              <w:right w:val="single" w:color="auto" w:sz="4" w:space="0"/>
            </w:tcBorders>
            <w:vAlign w:val="center"/>
          </w:tcPr>
          <w:p>
            <w:pPr>
              <w:spacing w:line="400" w:lineRule="exact"/>
              <w:ind w:left="204" w:hanging="203" w:hangingChars="97"/>
              <w:rPr>
                <w:rFonts w:asciiTheme="minorEastAsia" w:hAnsiTheme="minorEastAsia" w:cstheme="minorEastAsia"/>
                <w:bCs/>
                <w:szCs w:val="21"/>
              </w:rPr>
            </w:pPr>
            <w:r>
              <w:rPr>
                <w:rFonts w:hint="eastAsia" w:asciiTheme="minorEastAsia" w:hAnsiTheme="minorEastAsia" w:cstheme="minorEastAsia"/>
                <w:bCs/>
                <w:szCs w:val="21"/>
              </w:rPr>
              <w:t>完成项目质量</w:t>
            </w: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r>
              <w:rPr>
                <w:rFonts w:hint="eastAsia" w:asciiTheme="minorEastAsia" w:hAnsiTheme="minorEastAsia" w:cstheme="minorEastAsia"/>
                <w:bCs/>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382" w:type="dxa"/>
            <w:tcBorders>
              <w:left w:val="single" w:color="auto" w:sz="4" w:space="0"/>
            </w:tcBorders>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vAlign w:val="center"/>
          </w:tcPr>
          <w:p>
            <w:pPr>
              <w:spacing w:line="400" w:lineRule="exact"/>
              <w:jc w:val="center"/>
              <w:rPr>
                <w:rFonts w:asciiTheme="minorEastAsia" w:hAnsiTheme="minorEastAsia" w:cstheme="minorEastAsia"/>
                <w:bCs/>
                <w:szCs w:val="21"/>
              </w:rPr>
            </w:pPr>
          </w:p>
        </w:tc>
        <w:tc>
          <w:tcPr>
            <w:tcW w:w="1576"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Theme="minorEastAsia" w:hAnsiTheme="minorEastAsia" w:cstheme="minorEastAsia"/>
                <w:bCs/>
                <w:szCs w:val="21"/>
              </w:rPr>
            </w:pPr>
          </w:p>
        </w:tc>
        <w:tc>
          <w:tcPr>
            <w:tcW w:w="1508"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82"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399"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485"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Theme="minorEastAsia" w:hAnsiTheme="minorEastAsia" w:cstheme="minorEastAsia"/>
                <w:bCs/>
                <w:szCs w:val="21"/>
              </w:rPr>
            </w:pPr>
          </w:p>
        </w:tc>
        <w:tc>
          <w:tcPr>
            <w:tcW w:w="1508" w:type="dxa"/>
            <w:vAlign w:val="center"/>
          </w:tcPr>
          <w:p>
            <w:pPr>
              <w:spacing w:line="400" w:lineRule="exact"/>
              <w:rPr>
                <w:rFonts w:asciiTheme="minorEastAsia" w:hAnsiTheme="minorEastAsia" w:cstheme="minorEastAsia"/>
                <w:bCs/>
                <w:szCs w:val="21"/>
              </w:rPr>
            </w:pPr>
          </w:p>
        </w:tc>
        <w:tc>
          <w:tcPr>
            <w:tcW w:w="1382" w:type="dxa"/>
            <w:vAlign w:val="center"/>
          </w:tcPr>
          <w:p>
            <w:pPr>
              <w:spacing w:line="400" w:lineRule="exact"/>
              <w:rPr>
                <w:rFonts w:asciiTheme="minorEastAsia" w:hAnsiTheme="minorEastAsia" w:cstheme="minorEastAsia"/>
                <w:bCs/>
                <w:szCs w:val="21"/>
              </w:rPr>
            </w:pPr>
          </w:p>
        </w:tc>
        <w:tc>
          <w:tcPr>
            <w:tcW w:w="1399" w:type="dxa"/>
            <w:vAlign w:val="center"/>
          </w:tcPr>
          <w:p>
            <w:pPr>
              <w:spacing w:line="400" w:lineRule="exact"/>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rPr>
                <w:rFonts w:asciiTheme="minorEastAsia" w:hAnsiTheme="minorEastAsia" w:cstheme="minorEastAsia"/>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Theme="minorEastAsia" w:hAnsiTheme="minorEastAsia" w:cstheme="minorEastAsia"/>
                <w:bCs/>
                <w:szCs w:val="21"/>
              </w:rPr>
            </w:pPr>
          </w:p>
        </w:tc>
        <w:tc>
          <w:tcPr>
            <w:tcW w:w="1508" w:type="dxa"/>
            <w:vAlign w:val="center"/>
          </w:tcPr>
          <w:p>
            <w:pPr>
              <w:spacing w:line="400" w:lineRule="exact"/>
              <w:jc w:val="center"/>
              <w:rPr>
                <w:rFonts w:asciiTheme="minorEastAsia" w:hAnsiTheme="minorEastAsia" w:cstheme="minorEastAsia"/>
                <w:bCs/>
                <w:szCs w:val="21"/>
              </w:rPr>
            </w:pPr>
          </w:p>
        </w:tc>
        <w:tc>
          <w:tcPr>
            <w:tcW w:w="1382" w:type="dxa"/>
            <w:vAlign w:val="center"/>
          </w:tcPr>
          <w:p>
            <w:pPr>
              <w:spacing w:line="400" w:lineRule="exact"/>
              <w:jc w:val="center"/>
              <w:rPr>
                <w:rFonts w:asciiTheme="minorEastAsia" w:hAnsiTheme="minorEastAsia" w:cstheme="minorEastAsia"/>
                <w:bCs/>
                <w:szCs w:val="21"/>
              </w:rPr>
            </w:pPr>
          </w:p>
        </w:tc>
        <w:tc>
          <w:tcPr>
            <w:tcW w:w="1399" w:type="dxa"/>
            <w:vAlign w:val="center"/>
          </w:tcPr>
          <w:p>
            <w:pPr>
              <w:spacing w:line="400" w:lineRule="exact"/>
              <w:jc w:val="center"/>
              <w:rPr>
                <w:rFonts w:asciiTheme="minorEastAsia" w:hAnsiTheme="minorEastAsia" w:cstheme="minorEastAsia"/>
                <w:bCs/>
                <w:szCs w:val="21"/>
              </w:rPr>
            </w:pPr>
          </w:p>
        </w:tc>
        <w:tc>
          <w:tcPr>
            <w:tcW w:w="1485" w:type="dxa"/>
            <w:tcBorders>
              <w:right w:val="single" w:color="auto" w:sz="4" w:space="0"/>
            </w:tcBorders>
            <w:vAlign w:val="center"/>
          </w:tcPr>
          <w:p>
            <w:pPr>
              <w:spacing w:line="400" w:lineRule="exact"/>
              <w:jc w:val="center"/>
              <w:rPr>
                <w:rFonts w:asciiTheme="minorEastAsia" w:hAnsiTheme="minorEastAsia" w:cstheme="minorEastAsia"/>
                <w:bCs/>
                <w:szCs w:val="21"/>
              </w:rPr>
            </w:pPr>
          </w:p>
        </w:tc>
        <w:tc>
          <w:tcPr>
            <w:tcW w:w="1576" w:type="dxa"/>
            <w:tcBorders>
              <w:left w:val="single" w:color="auto" w:sz="4" w:space="0"/>
              <w:right w:val="single" w:color="auto" w:sz="4" w:space="0"/>
            </w:tcBorders>
            <w:vAlign w:val="center"/>
          </w:tcPr>
          <w:p>
            <w:pPr>
              <w:spacing w:line="400" w:lineRule="exact"/>
              <w:jc w:val="center"/>
              <w:rPr>
                <w:rFonts w:asciiTheme="minorEastAsia" w:hAnsiTheme="minorEastAsia" w:cstheme="minorEastAsia"/>
                <w:bCs/>
                <w:szCs w:val="21"/>
              </w:rPr>
            </w:pPr>
          </w:p>
        </w:tc>
        <w:tc>
          <w:tcPr>
            <w:tcW w:w="1096" w:type="dxa"/>
            <w:tcBorders>
              <w:left w:val="single" w:color="auto" w:sz="4" w:space="0"/>
            </w:tcBorders>
            <w:vAlign w:val="center"/>
          </w:tcPr>
          <w:p>
            <w:pPr>
              <w:spacing w:line="400" w:lineRule="exact"/>
              <w:jc w:val="center"/>
              <w:rPr>
                <w:rFonts w:asciiTheme="minorEastAsia" w:hAnsiTheme="minorEastAsia" w:cstheme="minorEastAsia"/>
                <w:bCs/>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 注：</w:t>
      </w:r>
      <w:r>
        <w:rPr>
          <w:rFonts w:hint="eastAsia" w:ascii="宋体" w:hAnsi="宋体" w:cs="宋体"/>
          <w:color w:val="000000"/>
          <w:sz w:val="24"/>
          <w:szCs w:val="24"/>
        </w:rPr>
        <w:t>供应商（仅限于供应商自己实施的）以上业绩需提供采购合同复印件加盖公章</w:t>
      </w:r>
      <w:r>
        <w:rPr>
          <w:rFonts w:hint="eastAsia" w:asciiTheme="minorEastAsia" w:hAnsiTheme="minorEastAsia" w:cstheme="minorEastAsia"/>
          <w:sz w:val="24"/>
          <w:szCs w:val="24"/>
        </w:rPr>
        <w:t>。</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Theme="minorEastAsia" w:hAnsiTheme="minorEastAsia" w:cstheme="minorEastAsia"/>
          <w:sz w:val="24"/>
          <w:szCs w:val="24"/>
        </w:rPr>
      </w:pPr>
    </w:p>
    <w:p>
      <w:pPr>
        <w:spacing w:line="360" w:lineRule="auto"/>
        <w:ind w:left="360"/>
        <w:jc w:val="center"/>
        <w:rPr>
          <w:rFonts w:asciiTheme="minorEastAsia" w:hAnsiTheme="minorEastAsia" w:cstheme="minorEastAsia"/>
          <w:sz w:val="24"/>
          <w:szCs w:val="24"/>
        </w:rPr>
      </w:pP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供应商名称：</w:t>
      </w:r>
      <w:r>
        <w:rPr>
          <w:rFonts w:hint="eastAsia" w:asciiTheme="minorEastAsia" w:hAnsiTheme="minorEastAsia" w:cstheme="minorEastAsia"/>
          <w:bCs/>
          <w:sz w:val="24"/>
          <w:szCs w:val="24"/>
          <w:u w:val="single"/>
        </w:rPr>
        <w:t xml:space="preserve">              （全称及公章）</w:t>
      </w:r>
    </w:p>
    <w:p>
      <w:pPr>
        <w:adjustRightInd w:val="0"/>
        <w:spacing w:line="360" w:lineRule="auto"/>
        <w:ind w:firstLine="420" w:firstLineChars="175"/>
        <w:jc w:val="left"/>
        <w:rPr>
          <w:rFonts w:asciiTheme="minorEastAsia" w:hAnsiTheme="minorEastAsia" w:cstheme="minorEastAsia"/>
          <w:bCs/>
          <w:sz w:val="24"/>
          <w:szCs w:val="24"/>
          <w:u w:val="single"/>
        </w:rPr>
      </w:pPr>
      <w:r>
        <w:rPr>
          <w:rFonts w:hint="eastAsia" w:asciiTheme="minorEastAsia" w:hAnsiTheme="minorEastAsia" w:cstheme="minorEastAsia"/>
          <w:bCs/>
          <w:sz w:val="24"/>
          <w:szCs w:val="24"/>
        </w:rPr>
        <w:t>法定代表人或委托代理人（签字或盖章）：</w:t>
      </w:r>
    </w:p>
    <w:p>
      <w:pPr>
        <w:adjustRightInd w:val="0"/>
        <w:spacing w:line="360" w:lineRule="auto"/>
        <w:ind w:firstLine="420" w:firstLineChars="175"/>
        <w:jc w:val="left"/>
        <w:rPr>
          <w:rFonts w:asciiTheme="minorEastAsia" w:hAnsiTheme="minorEastAsia" w:cstheme="minorEastAsia"/>
          <w:sz w:val="24"/>
          <w:szCs w:val="24"/>
        </w:rPr>
      </w:pPr>
      <w:r>
        <w:rPr>
          <w:rFonts w:hint="eastAsia" w:asciiTheme="minorEastAsia" w:hAnsiTheme="minorEastAsia" w:cstheme="minorEastAsia"/>
          <w:bCs/>
          <w:sz w:val="24"/>
          <w:szCs w:val="24"/>
        </w:rPr>
        <w:t xml:space="preserve">日    </w:t>
      </w:r>
      <w:r>
        <w:rPr>
          <w:rFonts w:hint="eastAsia" w:asciiTheme="minorEastAsia" w:hAnsiTheme="minorEastAsia" w:cstheme="minorEastAsia"/>
          <w:sz w:val="24"/>
          <w:szCs w:val="24"/>
        </w:rPr>
        <w:t xml:space="preserve">期:                       </w:t>
      </w: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adjustRightInd w:val="0"/>
        <w:spacing w:line="360" w:lineRule="auto"/>
        <w:ind w:firstLine="420" w:firstLineChars="175"/>
        <w:jc w:val="left"/>
        <w:rPr>
          <w:rFonts w:asciiTheme="minorEastAsia" w:hAnsiTheme="minorEastAsia" w:cstheme="minorEastAsia"/>
          <w:bCs/>
          <w:sz w:val="24"/>
          <w:szCs w:val="24"/>
          <w:u w:val="single"/>
        </w:rPr>
      </w:pPr>
    </w:p>
    <w:p>
      <w:pPr>
        <w:pStyle w:val="4"/>
      </w:pPr>
      <w:bookmarkStart w:id="201" w:name="_Toc18894"/>
      <w:bookmarkStart w:id="202" w:name="_Toc4380"/>
      <w:bookmarkStart w:id="203" w:name="_Toc25377"/>
      <w:bookmarkStart w:id="204" w:name="_Toc29034"/>
      <w:r>
        <w:rPr>
          <w:rFonts w:hint="eastAsia"/>
        </w:rPr>
        <w:t>第八章  供应商认为有必要说明的其他问题</w:t>
      </w:r>
      <w:bookmarkEnd w:id="201"/>
      <w:bookmarkEnd w:id="202"/>
      <w:bookmarkEnd w:id="203"/>
      <w:bookmarkEnd w:id="204"/>
    </w:p>
    <w:p>
      <w:pPr>
        <w:rPr>
          <w:rFonts w:asciiTheme="minorEastAsia" w:hAnsiTheme="minorEastAsia" w:cstheme="minorEastAsia"/>
          <w:sz w:val="24"/>
        </w:rPr>
      </w:pPr>
      <w:r>
        <w:rPr>
          <w:rFonts w:hint="eastAsia" w:asciiTheme="minorEastAsia" w:hAnsiTheme="minorEastAsia" w:cstheme="minorEastAsia"/>
          <w:sz w:val="24"/>
        </w:rPr>
        <w:t>供应商认为有必要提供的其他证明文件</w:t>
      </w:r>
    </w:p>
    <w:p>
      <w:pPr>
        <w:pStyle w:val="8"/>
      </w:pPr>
    </w:p>
    <w:p>
      <w:pPr>
        <w:pStyle w:val="4"/>
        <w:rPr>
          <w:rFonts w:asciiTheme="minorEastAsia" w:hAnsiTheme="minorEastAsia" w:eastAsiaTheme="minorEastAsia" w:cstheme="minorEastAsia"/>
          <w:sz w:val="36"/>
          <w:szCs w:val="36"/>
        </w:rPr>
      </w:pPr>
      <w:r>
        <w:rPr>
          <w:rFonts w:hint="eastAsia" w:asciiTheme="minorEastAsia" w:hAnsiTheme="minorEastAsia" w:eastAsiaTheme="minorEastAsia" w:cstheme="minorEastAsia"/>
        </w:rPr>
        <w:br w:type="page"/>
      </w:r>
      <w:bookmarkStart w:id="205" w:name="_Toc21392"/>
      <w:bookmarkStart w:id="206" w:name="_Toc18255"/>
      <w:r>
        <w:rPr>
          <w:rFonts w:hint="eastAsia" w:asciiTheme="minorEastAsia" w:hAnsiTheme="minorEastAsia" w:eastAsiaTheme="minorEastAsia" w:cstheme="minorEastAsia"/>
          <w:sz w:val="36"/>
          <w:szCs w:val="36"/>
        </w:rPr>
        <w:t>第九章  供应商承诺书</w:t>
      </w:r>
      <w:bookmarkEnd w:id="205"/>
      <w:bookmarkEnd w:id="206"/>
    </w:p>
    <w:p>
      <w:pPr>
        <w:pStyle w:val="14"/>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陕西省政府采购供货商拒绝政府采购领域商业贿赂承诺书Ⅰ</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为响应党中央、国务院关于治理政府采购领域商业贿赂行为的号召，我公司在此庄严承诺：</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1、在参与政府采购活动中遵纪守法、诚信经营、公平竞标。</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2、不向政府采购人、代理机构和政府采购评审专家进行任何形式的商业贿赂以谋取交易机会。</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3、不向政府代理机构和采购人提供虚假资质文件或采用虚假应标方式参与政府采购市场竞争并谋取成交、成交。</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4、不采取“围标、陪标”等商业欺诈手段获得政府采购订单。</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5、不采取不正当手段诋毁、排挤其它供货商。</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6、不在提供商品和服务时“偷梁换柱、以次充好”损害采购人的合法权益。</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7、不与采购人、代理机构政府采购评审专家或其它供货商恶意串通，进行质疑和投诉，维护政府采购市场秩序。</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8、尊重和接受政府采购监督管理部门的监督和政府代理机构招标采购要求，承担因违约行为给采购人造成的损失。</w:t>
      </w:r>
    </w:p>
    <w:p>
      <w:pPr>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9、不发生其它有悖于政府采购公开、公平、公正和诚信原则的行为。</w:t>
      </w:r>
    </w:p>
    <w:p>
      <w:pPr>
        <w:adjustRightInd w:val="0"/>
        <w:snapToGrid w:val="0"/>
        <w:spacing w:line="500" w:lineRule="exact"/>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供应商（单位名称及公章）：</w:t>
      </w:r>
    </w:p>
    <w:p>
      <w:pPr>
        <w:snapToGrid w:val="0"/>
        <w:spacing w:line="500" w:lineRule="exact"/>
        <w:ind w:firstLine="480" w:firstLineChars="200"/>
        <w:jc w:val="left"/>
        <w:rPr>
          <w:rFonts w:asciiTheme="minorEastAsia" w:hAnsiTheme="minorEastAsia" w:cstheme="minorEastAsia"/>
          <w:sz w:val="24"/>
          <w:szCs w:val="24"/>
          <w:u w:val="single"/>
        </w:rPr>
      </w:pPr>
      <w:r>
        <w:rPr>
          <w:rFonts w:hint="eastAsia" w:asciiTheme="minorEastAsia" w:hAnsiTheme="minorEastAsia" w:cstheme="minorEastAsia"/>
          <w:sz w:val="24"/>
          <w:szCs w:val="24"/>
        </w:rPr>
        <w:t>法定代表人/被授权人（签字或盖章）：</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邮  编：</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地  址：</w:t>
      </w:r>
    </w:p>
    <w:p>
      <w:pPr>
        <w:snapToGrid w:val="0"/>
        <w:spacing w:line="500" w:lineRule="exac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电  话： </w:t>
      </w:r>
    </w:p>
    <w:p>
      <w:pPr>
        <w:snapToGrid w:val="0"/>
        <w:spacing w:line="500" w:lineRule="exact"/>
        <w:ind w:firstLine="480" w:firstLineChars="200"/>
        <w:jc w:val="left"/>
        <w:rPr>
          <w:rFonts w:asciiTheme="minorEastAsia" w:hAnsiTheme="minorEastAsia" w:cstheme="minorEastAsia"/>
          <w:sz w:val="28"/>
          <w:szCs w:val="28"/>
        </w:rPr>
      </w:pPr>
      <w:r>
        <w:rPr>
          <w:rFonts w:hint="eastAsia" w:asciiTheme="minorEastAsia" w:hAnsiTheme="minorEastAsia" w:cstheme="minorEastAsia"/>
          <w:sz w:val="24"/>
          <w:szCs w:val="24"/>
        </w:rPr>
        <w:t>时  间：年月日</w:t>
      </w:r>
    </w:p>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承诺书Ⅱ</w:t>
      </w:r>
    </w:p>
    <w:tbl>
      <w:tblPr>
        <w:tblStyle w:val="26"/>
        <w:tblW w:w="9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 xml:space="preserve">作为参加贵公司组织的本项目的供应商，本公司承诺：在参加本项目磋商之前不存在被依法禁止经营行为、财产被接管或冻结的情况，如有隐瞒实情，愿承担一切责任及后果。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3290"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w:t>
            </w:r>
          </w:p>
        </w:tc>
        <w:tc>
          <w:tcPr>
            <w:tcW w:w="3474"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74"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tLeast"/>
        <w:ind w:firstLine="843" w:firstLineChars="200"/>
        <w:jc w:val="left"/>
        <w:rPr>
          <w:rFonts w:asciiTheme="minorEastAsia" w:hAnsiTheme="minorEastAsia" w:cstheme="minorEastAsia"/>
          <w:b/>
          <w:sz w:val="42"/>
          <w:szCs w:val="42"/>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承诺书Ⅲ</w:t>
      </w: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作为参加贵公司组织的本项目的供应商，本公司郑重申告并承诺：近三年受到有关行政主管部门的行政处理、不良行为记录为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w:t>
            </w:r>
          </w:p>
        </w:tc>
        <w:tc>
          <w:tcPr>
            <w:tcW w:w="348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87"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88" w:type="dxa"/>
            <w:vAlign w:val="center"/>
          </w:tcPr>
          <w:p>
            <w:pPr>
              <w:spacing w:line="360" w:lineRule="atLeast"/>
              <w:jc w:val="center"/>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87"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pageBreakBefore/>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承诺书Ⅳ</w:t>
      </w:r>
    </w:p>
    <w:tbl>
      <w:tblPr>
        <w:tblStyle w:val="26"/>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3"/>
        <w:gridCol w:w="3466"/>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2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2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作为参加贵公司组织的本项目的供应商，本公司郑重申告：近三年因产品供货问题（水货、替代品、次品、翻新品等）的不法行为记录为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cstheme="minorEastAsia"/>
                <w:sz w:val="24"/>
                <w:szCs w:val="24"/>
              </w:rPr>
              <w:t>次（没有填零），如有隐瞒实情，愿承担一切责任及后果。</w:t>
            </w:r>
          </w:p>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本公司承诺：本次磋商产品为正品行货。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w:t>
            </w:r>
          </w:p>
        </w:tc>
        <w:tc>
          <w:tcPr>
            <w:tcW w:w="3466"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371"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83"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466"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371"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spacing w:line="360" w:lineRule="auto"/>
        <w:ind w:firstLine="480" w:firstLineChars="200"/>
        <w:jc w:val="left"/>
        <w:rPr>
          <w:rFonts w:asciiTheme="minorEastAsia" w:hAnsiTheme="minorEastAsia" w:cstheme="minorEastAsia"/>
          <w:sz w:val="24"/>
          <w:szCs w:val="28"/>
        </w:rPr>
      </w:pPr>
    </w:p>
    <w:p>
      <w:pPr>
        <w:spacing w:line="360" w:lineRule="atLeas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承诺书</w:t>
      </w:r>
      <w:r>
        <w:rPr>
          <w:rFonts w:hint="eastAsia" w:asciiTheme="minorEastAsia" w:hAnsiTheme="minorEastAsia" w:cstheme="minorEastAsia"/>
          <w:b/>
          <w:sz w:val="28"/>
          <w:szCs w:val="28"/>
        </w:rPr>
        <w:fldChar w:fldCharType="begin"/>
      </w:r>
      <w:r>
        <w:rPr>
          <w:rFonts w:hint="eastAsia" w:asciiTheme="minorEastAsia" w:hAnsiTheme="minorEastAsia" w:cstheme="minorEastAsia"/>
          <w:b/>
          <w:sz w:val="28"/>
          <w:szCs w:val="28"/>
        </w:rPr>
        <w:instrText xml:space="preserve"> = 5 \* ROMAN </w:instrText>
      </w:r>
      <w:r>
        <w:rPr>
          <w:rFonts w:hint="eastAsia" w:asciiTheme="minorEastAsia" w:hAnsiTheme="minorEastAsia" w:cstheme="minorEastAsia"/>
          <w:b/>
          <w:sz w:val="28"/>
          <w:szCs w:val="28"/>
        </w:rPr>
        <w:fldChar w:fldCharType="separate"/>
      </w:r>
      <w:r>
        <w:rPr>
          <w:rFonts w:hint="eastAsia" w:asciiTheme="minorEastAsia" w:hAnsiTheme="minorEastAsia" w:cstheme="minorEastAsia"/>
          <w:b/>
          <w:sz w:val="28"/>
          <w:szCs w:val="28"/>
          <w:lang w:val="zh-CN"/>
        </w:rPr>
        <w:t>V</w:t>
      </w:r>
      <w:r>
        <w:rPr>
          <w:rFonts w:hint="eastAsia" w:asciiTheme="minorEastAsia" w:hAnsiTheme="minorEastAsia" w:cstheme="minorEastAsia"/>
          <w:b/>
          <w:sz w:val="28"/>
          <w:szCs w:val="28"/>
        </w:rPr>
        <w:fldChar w:fldCharType="end"/>
      </w:r>
    </w:p>
    <w:tbl>
      <w:tblPr>
        <w:tblStyle w:val="2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作为参加贵公司本项目的供应商，本公司承诺：参加本次磋商提交的所有资质证明文件及业绩证明文件是真实的、有效的，如有隐瞒实情，愿承担一切责任及后果。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w:t>
            </w:r>
          </w:p>
        </w:tc>
        <w:tc>
          <w:tcPr>
            <w:tcW w:w="3534"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法定代表人/被授权人</w:t>
            </w:r>
          </w:p>
        </w:tc>
        <w:tc>
          <w:tcPr>
            <w:tcW w:w="241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（公章）</w:t>
            </w:r>
          </w:p>
        </w:tc>
        <w:tc>
          <w:tcPr>
            <w:tcW w:w="3534" w:type="dxa"/>
            <w:vAlign w:val="center"/>
          </w:tcPr>
          <w:p>
            <w:pPr>
              <w:spacing w:line="360" w:lineRule="atLeast"/>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（签字或盖章）</w:t>
            </w:r>
          </w:p>
        </w:tc>
        <w:tc>
          <w:tcPr>
            <w:tcW w:w="2418" w:type="dxa"/>
            <w:vAlign w:val="center"/>
          </w:tcPr>
          <w:p>
            <w:pPr>
              <w:spacing w:line="360" w:lineRule="atLeast"/>
              <w:jc w:val="left"/>
              <w:rPr>
                <w:rFonts w:asciiTheme="minorEastAsia" w:hAnsiTheme="minorEastAsia" w:cstheme="minorEastAsia"/>
                <w:sz w:val="24"/>
                <w:szCs w:val="24"/>
              </w:rPr>
            </w:pPr>
            <w:r>
              <w:rPr>
                <w:rFonts w:hint="eastAsia" w:asciiTheme="minorEastAsia" w:hAnsiTheme="minorEastAsia" w:cstheme="minorEastAsia"/>
                <w:sz w:val="24"/>
                <w:szCs w:val="24"/>
              </w:rPr>
              <w:t>年月日</w:t>
            </w:r>
          </w:p>
        </w:tc>
      </w:tr>
    </w:tbl>
    <w:p>
      <w:pPr>
        <w:adjustRightInd w:val="0"/>
        <w:snapToGrid w:val="0"/>
        <w:ind w:firstLine="720" w:firstLineChars="200"/>
        <w:jc w:val="left"/>
        <w:rPr>
          <w:rFonts w:asciiTheme="minorEastAsia" w:hAnsiTheme="minorEastAsia" w:cstheme="minorEastAsia"/>
          <w:bCs/>
          <w:sz w:val="36"/>
          <w:szCs w:val="36"/>
        </w:rPr>
      </w:pPr>
    </w:p>
    <w:p>
      <w:pPr>
        <w:widowControl/>
        <w:spacing w:line="460" w:lineRule="exact"/>
        <w:ind w:firstLine="480" w:firstLineChars="200"/>
        <w:jc w:val="left"/>
        <w:rPr>
          <w:rFonts w:asciiTheme="minorEastAsia" w:hAnsiTheme="minorEastAsia" w:cstheme="minorEastAsia"/>
          <w:sz w:val="24"/>
          <w:szCs w:val="28"/>
        </w:rPr>
        <w:sectPr>
          <w:headerReference r:id="rId11" w:type="default"/>
          <w:footerReference r:id="rId12" w:type="default"/>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asciiTheme="minorEastAsia" w:hAnsiTheme="minorEastAsia" w:eastAsiaTheme="minorEastAsia" w:cstheme="minorEastAsia"/>
        </w:rPr>
      </w:pPr>
      <w:bookmarkStart w:id="207" w:name="_Toc78"/>
      <w:bookmarkStart w:id="208" w:name="_Toc11130"/>
      <w:r>
        <w:rPr>
          <w:rFonts w:hint="eastAsia" w:asciiTheme="minorEastAsia" w:hAnsiTheme="minorEastAsia" w:eastAsiaTheme="minorEastAsia" w:cstheme="minorEastAsia"/>
        </w:rPr>
        <w:t>附件一：封袋正面标识式样</w:t>
      </w:r>
      <w:bookmarkEnd w:id="207"/>
      <w:bookmarkEnd w:id="208"/>
    </w:p>
    <w:p>
      <w:pPr>
        <w:spacing w:line="460" w:lineRule="exact"/>
        <w:ind w:firstLine="482" w:firstLineChars="200"/>
        <w:jc w:val="center"/>
        <w:rPr>
          <w:rFonts w:ascii="宋体" w:hAnsi="宋体" w:cs="宋体"/>
          <w:b/>
          <w:sz w:val="24"/>
        </w:rPr>
      </w:pPr>
      <w:r>
        <w:rPr>
          <w:rFonts w:hint="eastAsia" w:ascii="宋体" w:hAnsi="宋体" w:cs="宋体"/>
          <w:b/>
          <w:sz w:val="24"/>
        </w:rPr>
        <w:t>磋商响应文件正本封袋正面标识式样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5408" behindDoc="0" locked="0" layoutInCell="1" allowOverlap="1">
                <wp:simplePos x="0" y="0"/>
                <wp:positionH relativeFrom="column">
                  <wp:posOffset>-274320</wp:posOffset>
                </wp:positionH>
                <wp:positionV relativeFrom="paragraph">
                  <wp:posOffset>193675</wp:posOffset>
                </wp:positionV>
                <wp:extent cx="6378575" cy="3514725"/>
                <wp:effectExtent l="4445" t="4445" r="17780" b="16510"/>
                <wp:wrapNone/>
                <wp:docPr id="1" name="Text Box 3"/>
                <wp:cNvGraphicFramePr/>
                <a:graphic xmlns:a="http://schemas.openxmlformats.org/drawingml/2006/main">
                  <a:graphicData uri="http://schemas.microsoft.com/office/word/2010/wordprocessingShape">
                    <wps:wsp>
                      <wps:cNvSpPr txBox="1"/>
                      <wps:spPr>
                        <a:xfrm>
                          <a:off x="0" y="0"/>
                          <a:ext cx="637857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sz w:val="28"/>
                                <w:szCs w:val="28"/>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502.25pt;z-index:251665408;mso-width-relative:page;mso-height-relative:page;" fillcolor="#FFFFFF" filled="t" stroked="t" coordsize="21600,21600" o:gfxdata="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ax652gAAAAoBAAAPAAAAAAAAAAEAIAAAACIAAABkcnMv&#10;ZG93bnJldi54bWxQSwECFAAUAAAACACHTuJAfKkiAgECAABEBAAADgAAAAAAAAABACAAAAApAQAA&#10;ZHJzL2Uyb0RvYy54bWxQSwUGAAAAAAYABgBZAQAAnAUAAAAA&#10;">
                <v:fill on="t" focussize="0,0"/>
                <v:stroke color="#000000" joinstyle="miter"/>
                <v:imagedata o:title=""/>
                <o:lock v:ext="edit" aspectratio="f"/>
                <v:textbox>
                  <w:txbxContent>
                    <w:p>
                      <w:pPr>
                        <w:jc w:val="center"/>
                        <w:rPr>
                          <w:rFonts w:hint="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sz w:val="28"/>
                          <w:szCs w:val="28"/>
                        </w:rPr>
                      </w:pPr>
                      <w:r>
                        <w:rPr>
                          <w:rFonts w:hint="eastAsia"/>
                          <w:b/>
                          <w:sz w:val="44"/>
                          <w:szCs w:val="44"/>
                        </w:rPr>
                        <w:t>磋商响应文件（正本）</w:t>
                      </w: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磋商文件副本封袋正面标识式样</w: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tabs>
          <w:tab w:val="left" w:pos="8280"/>
        </w:tabs>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center"/>
        <w:rPr>
          <w:rFonts w:ascii="宋体" w:hAnsi="宋体" w:cs="宋体"/>
          <w:b/>
          <w:sz w:val="24"/>
        </w:rPr>
      </w:pPr>
      <w:r>
        <w:rPr>
          <w:rFonts w:hint="eastAsia" w:ascii="宋体" w:hAnsi="宋体" w:cs="宋体"/>
          <w:b/>
          <w:sz w:val="24"/>
        </w:rPr>
        <w:t>磋商响应文件副本封袋正面标识式样</w:t>
      </w:r>
    </w:p>
    <w:p>
      <w:pPr>
        <w:ind w:firstLine="420" w:firstLineChars="200"/>
        <w:jc w:val="left"/>
        <w:rPr>
          <w:rFonts w:asciiTheme="minorEastAsia" w:hAnsiTheme="minorEastAsia" w:cstheme="minorEastAsia"/>
        </w:rPr>
      </w:pPr>
    </w:p>
    <w:p>
      <w:pPr>
        <w:ind w:firstLine="482" w:firstLineChars="200"/>
        <w:jc w:val="left"/>
        <w:rPr>
          <w:rFonts w:asciiTheme="minorEastAsia" w:hAnsiTheme="minorEastAsia" w:cstheme="minorEastAsia"/>
        </w:rPr>
      </w:pPr>
      <w:r>
        <w:rPr>
          <w:rFonts w:asciiTheme="minorEastAsia" w:hAnsiTheme="minorEastAsia" w:cstheme="minorEastAsia"/>
          <w:b/>
          <w:sz w:val="24"/>
        </w:rPr>
        <mc:AlternateContent>
          <mc:Choice Requires="wps">
            <w:drawing>
              <wp:anchor distT="0" distB="0" distL="114300" distR="114300" simplePos="0" relativeHeight="251666432" behindDoc="0" locked="0" layoutInCell="1" allowOverlap="1">
                <wp:simplePos x="0" y="0"/>
                <wp:positionH relativeFrom="column">
                  <wp:posOffset>-300990</wp:posOffset>
                </wp:positionH>
                <wp:positionV relativeFrom="paragraph">
                  <wp:posOffset>38100</wp:posOffset>
                </wp:positionV>
                <wp:extent cx="6421755" cy="3509010"/>
                <wp:effectExtent l="5080" t="4445" r="4445" b="6985"/>
                <wp:wrapNone/>
                <wp:docPr id="2" name="Text Box 4"/>
                <wp:cNvGraphicFramePr/>
                <a:graphic xmlns:a="http://schemas.openxmlformats.org/drawingml/2006/main">
                  <a:graphicData uri="http://schemas.microsoft.com/office/word/2010/wordprocessingShape">
                    <wps:wsp>
                      <wps:cNvSpPr txBox="1"/>
                      <wps:spPr>
                        <a:xfrm>
                          <a:off x="0" y="0"/>
                          <a:ext cx="6421755" cy="35090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p>
                          <w:p>
                            <w:pPr>
                              <w:jc w:val="center"/>
                              <w:rPr>
                                <w:rFonts w:hint="eastAsia"/>
                                <w:sz w:val="28"/>
                                <w:szCs w:val="28"/>
                                <w:lang w:eastAsia="zh-CN"/>
                              </w:rPr>
                            </w:pP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b/>
                                <w:sz w:val="44"/>
                                <w:szCs w:val="44"/>
                              </w:rPr>
                            </w:pPr>
                            <w:r>
                              <w:rPr>
                                <w:rFonts w:hint="eastAsia"/>
                                <w:b/>
                                <w:sz w:val="44"/>
                                <w:szCs w:val="44"/>
                              </w:rPr>
                              <w:t>磋商响应文件（副本）</w:t>
                            </w:r>
                          </w:p>
                          <w:p>
                            <w:pPr>
                              <w:jc w:val="center"/>
                              <w:rPr>
                                <w:sz w:val="28"/>
                                <w:szCs w:val="28"/>
                              </w:rPr>
                            </w:pP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rPr>
                            </w:pPr>
                            <w:r>
                              <w:rPr>
                                <w:rFonts w:hint="eastAsia"/>
                                <w:sz w:val="28"/>
                                <w:szCs w:val="28"/>
                              </w:rPr>
                              <w:t>时间</w:t>
                            </w:r>
                            <w:r>
                              <w:rPr>
                                <w:rFonts w:hint="eastAsia"/>
                                <w:sz w:val="28"/>
                                <w:szCs w:val="28"/>
                                <w:u w:val="single"/>
                              </w:rPr>
                              <w:t>：      年      月    日</w:t>
                            </w:r>
                          </w:p>
                        </w:txbxContent>
                      </wps:txbx>
                      <wps:bodyPr upright="1"/>
                    </wps:wsp>
                  </a:graphicData>
                </a:graphic>
              </wp:anchor>
            </w:drawing>
          </mc:Choice>
          <mc:Fallback>
            <w:pict>
              <v:shape id="Text Box 4" o:spid="_x0000_s1026" o:spt="202" type="#_x0000_t202" style="position:absolute;left:0pt;margin-left:-23.7pt;margin-top:3pt;height:276.3pt;width:505.65pt;z-index:251666432;mso-width-relative:page;mso-height-relative:page;" fillcolor="#FFFFFF" filled="t" stroked="t" coordsize="21600,21600" o:gfxdata="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ouWTZAAAACQEAAA8AAAAAAAAAAQAgAAAAIgAAAGRycy9k&#10;b3ducmV2LnhtbFBLAQIUABQAAAAIAIdO4kCdo5yGAQIAAEQEAAAOAAAAAAAAAAEAIAAAACgBAABk&#10;cnMvZTJvRG9jLnhtbFBLBQYAAAAABgAGAFkBAACbBQAAAAA=&#10;">
                <v:fill on="t" focussize="0,0"/>
                <v:stroke color="#000000" joinstyle="miter"/>
                <v:imagedata o:title=""/>
                <o:lock v:ext="edit" aspectratio="f"/>
                <v:textbox>
                  <w:txbxContent>
                    <w:p>
                      <w:pPr>
                        <w:jc w:val="center"/>
                        <w:rPr>
                          <w:rFonts w:hint="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p>
                    <w:p>
                      <w:pPr>
                        <w:jc w:val="center"/>
                        <w:rPr>
                          <w:rFonts w:hint="eastAsia"/>
                          <w:sz w:val="28"/>
                          <w:szCs w:val="28"/>
                          <w:lang w:eastAsia="zh-CN"/>
                        </w:rPr>
                      </w:pP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b/>
                          <w:sz w:val="44"/>
                          <w:szCs w:val="44"/>
                        </w:rPr>
                      </w:pPr>
                      <w:r>
                        <w:rPr>
                          <w:rFonts w:hint="eastAsia"/>
                          <w:b/>
                          <w:sz w:val="44"/>
                          <w:szCs w:val="44"/>
                        </w:rPr>
                        <w:t>磋商响应文件（副本）</w:t>
                      </w:r>
                    </w:p>
                    <w:p>
                      <w:pPr>
                        <w:jc w:val="center"/>
                        <w:rPr>
                          <w:sz w:val="28"/>
                          <w:szCs w:val="28"/>
                        </w:rPr>
                      </w:pP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rPr>
                      </w:pPr>
                      <w:r>
                        <w:rPr>
                          <w:rFonts w:hint="eastAsia"/>
                          <w:sz w:val="28"/>
                          <w:szCs w:val="28"/>
                        </w:rPr>
                        <w:t>时间</w:t>
                      </w:r>
                      <w:r>
                        <w:rPr>
                          <w:rFonts w:hint="eastAsia"/>
                          <w:sz w:val="28"/>
                          <w:szCs w:val="28"/>
                          <w:u w:val="single"/>
                        </w:rPr>
                        <w:t>：      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widowControl/>
        <w:spacing w:line="460" w:lineRule="exact"/>
        <w:ind w:firstLine="480" w:firstLineChars="200"/>
        <w:jc w:val="left"/>
        <w:rPr>
          <w:rFonts w:asciiTheme="minorEastAsia" w:hAnsiTheme="minorEastAsia" w:cstheme="minorEastAsia"/>
          <w:sz w:val="24"/>
          <w:szCs w:val="28"/>
        </w:rPr>
        <w:sectPr>
          <w:pgSz w:w="11906" w:h="16838"/>
          <w:pgMar w:top="1440" w:right="1304" w:bottom="1440" w:left="1304" w:header="851" w:footer="992" w:gutter="0"/>
          <w:cols w:space="0" w:num="1"/>
          <w:docGrid w:type="lines" w:linePitch="325" w:charSpace="0"/>
        </w:sectPr>
      </w:pPr>
    </w:p>
    <w:p>
      <w:pPr>
        <w:spacing w:line="460" w:lineRule="exac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磋商一览表封袋正面标识式样</w:t>
      </w:r>
    </w:p>
    <w:p>
      <w:pPr>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7456" behindDoc="0" locked="0" layoutInCell="1" allowOverlap="1">
                <wp:simplePos x="0" y="0"/>
                <wp:positionH relativeFrom="column">
                  <wp:posOffset>-275590</wp:posOffset>
                </wp:positionH>
                <wp:positionV relativeFrom="paragraph">
                  <wp:posOffset>227965</wp:posOffset>
                </wp:positionV>
                <wp:extent cx="6417945" cy="3346450"/>
                <wp:effectExtent l="6350" t="6350" r="6985" b="15240"/>
                <wp:wrapNone/>
                <wp:docPr id="3" name="Text Box 3"/>
                <wp:cNvGraphicFramePr/>
                <a:graphic xmlns:a="http://schemas.openxmlformats.org/drawingml/2006/main">
                  <a:graphicData uri="http://schemas.microsoft.com/office/word/2010/wordprocessingShape">
                    <wps:wsp>
                      <wps:cNvSpPr txBox="1"/>
                      <wps:spPr>
                        <a:xfrm>
                          <a:off x="0" y="0"/>
                          <a:ext cx="6417945" cy="3346450"/>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p>
                          <w:p>
                            <w:pPr>
                              <w:jc w:val="center"/>
                              <w:rPr>
                                <w:rFonts w:hint="eastAsia"/>
                                <w:sz w:val="28"/>
                                <w:szCs w:val="28"/>
                                <w:lang w:eastAsia="zh-CN"/>
                              </w:rPr>
                            </w:pP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b/>
                                <w:sz w:val="44"/>
                                <w:szCs w:val="44"/>
                              </w:rPr>
                            </w:pPr>
                            <w:r>
                              <w:rPr>
                                <w:rFonts w:hint="eastAsia"/>
                                <w:b/>
                                <w:sz w:val="44"/>
                                <w:szCs w:val="44"/>
                              </w:rPr>
                              <w:t>磋商一览表</w:t>
                            </w:r>
                          </w:p>
                          <w:p>
                            <w:pPr>
                              <w:jc w:val="center"/>
                              <w:rPr>
                                <w:sz w:val="28"/>
                                <w:szCs w:val="28"/>
                              </w:rPr>
                            </w:pP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3.5pt;width:505.35pt;z-index:251667456;mso-width-relative:page;mso-height-relative:page;" fillcolor="#FFFFFF [3201]" filled="t" stroked="t" coordsize="21600,21600" o:gfxdata="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eiTHw3gAAAAoBAAAPAAAA&#10;AAAAAAEAIAAAACIAAABkcnMvZG93bnJldi54bWxQSwECFAAUAAAACACHTuJAAJOsvg8CAABPBAAA&#10;DgAAAAAAAAABACAAAAAtAQAAZHJzL2Uyb0RvYy54bWxQSwUGAAAAAAYABgBZAQAArgUAAAAA&#10;">
                <v:fill on="t" focussize="0,0"/>
                <v:stroke weight="1pt" color="#000000 [3200]" miterlimit="8" joinstyle="miter"/>
                <v:imagedata o:title=""/>
                <o:lock v:ext="edit" aspectratio="f"/>
                <v:textbox>
                  <w:txbxContent>
                    <w:p>
                      <w:pPr>
                        <w:jc w:val="center"/>
                        <w:rPr>
                          <w:rFonts w:hint="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p>
                    <w:p>
                      <w:pPr>
                        <w:jc w:val="center"/>
                        <w:rPr>
                          <w:rFonts w:hint="eastAsia"/>
                          <w:sz w:val="28"/>
                          <w:szCs w:val="28"/>
                          <w:lang w:eastAsia="zh-CN"/>
                        </w:rPr>
                      </w:pP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b/>
                          <w:sz w:val="44"/>
                          <w:szCs w:val="44"/>
                        </w:rPr>
                      </w:pPr>
                      <w:r>
                        <w:rPr>
                          <w:rFonts w:hint="eastAsia"/>
                          <w:b/>
                          <w:sz w:val="44"/>
                          <w:szCs w:val="44"/>
                        </w:rPr>
                        <w:t>磋商一览表</w:t>
                      </w:r>
                    </w:p>
                    <w:p>
                      <w:pPr>
                        <w:jc w:val="center"/>
                        <w:rPr>
                          <w:sz w:val="28"/>
                          <w:szCs w:val="28"/>
                        </w:rPr>
                      </w:pP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u w:val="single"/>
                        </w:rPr>
                      </w:pPr>
                      <w:r>
                        <w:rPr>
                          <w:rFonts w:hint="eastAsia"/>
                          <w:sz w:val="28"/>
                          <w:szCs w:val="28"/>
                        </w:rPr>
                        <w:t>时间</w:t>
                      </w:r>
                      <w:r>
                        <w:rPr>
                          <w:rFonts w:hint="eastAsia"/>
                          <w:sz w:val="28"/>
                          <w:szCs w:val="28"/>
                          <w:u w:val="single"/>
                        </w:rPr>
                        <w:t>：      年      月    日</w:t>
                      </w:r>
                    </w:p>
                    <w:p>
                      <w:pPr>
                        <w:rPr>
                          <w:sz w:val="28"/>
                          <w:szCs w:val="28"/>
                        </w:rPr>
                      </w:pPr>
                    </w:p>
                  </w:txbxContent>
                </v:textbox>
              </v:shape>
            </w:pict>
          </mc:Fallback>
        </mc:AlternateContent>
      </w: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ind w:firstLine="482" w:firstLineChars="200"/>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jc w:val="left"/>
        <w:rPr>
          <w:rFonts w:asciiTheme="minorEastAsia" w:hAnsiTheme="minorEastAsia" w:cstheme="minorEastAsia"/>
          <w:b/>
          <w:sz w:val="24"/>
        </w:rPr>
      </w:pPr>
    </w:p>
    <w:p>
      <w:pPr>
        <w:spacing w:line="460" w:lineRule="exact"/>
        <w:ind w:firstLine="562" w:firstLineChars="200"/>
        <w:jc w:val="center"/>
        <w:rPr>
          <w:rFonts w:asciiTheme="minorEastAsia" w:hAnsiTheme="minorEastAsia" w:cstheme="minorEastAsia"/>
          <w:b/>
          <w:sz w:val="28"/>
          <w:szCs w:val="28"/>
        </w:rPr>
      </w:pPr>
      <w:r>
        <w:rPr>
          <w:rFonts w:hint="eastAsia" w:asciiTheme="minorEastAsia" w:hAnsiTheme="minorEastAsia" w:cstheme="minorEastAsia"/>
          <w:b/>
          <w:sz w:val="28"/>
          <w:szCs w:val="28"/>
        </w:rPr>
        <w:t>电子文档封袋正面标识式样</w:t>
      </w:r>
    </w:p>
    <w:p>
      <w:pPr>
        <w:tabs>
          <w:tab w:val="left" w:pos="8280"/>
        </w:tabs>
        <w:spacing w:line="460" w:lineRule="exact"/>
        <w:ind w:firstLine="420" w:firstLineChars="200"/>
        <w:jc w:val="left"/>
        <w:rPr>
          <w:rFonts w:asciiTheme="minorEastAsia" w:hAnsiTheme="minorEastAsia" w:cstheme="minorEastAsia"/>
          <w:b/>
          <w:sz w:val="24"/>
        </w:rPr>
      </w:pPr>
      <w:r>
        <w:rPr>
          <w:rFonts w:asciiTheme="minorEastAsia" w:hAnsiTheme="minorEastAsia" w:cstheme="minorEastAsia"/>
        </w:rPr>
        <mc:AlternateContent>
          <mc:Choice Requires="wps">
            <w:drawing>
              <wp:anchor distT="0" distB="0" distL="114300" distR="114300" simplePos="0" relativeHeight="251668480"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p>
                          <w:p>
                            <w:pPr>
                              <w:rPr>
                                <w:sz w:val="28"/>
                                <w:szCs w:val="28"/>
                              </w:rPr>
                            </w:pP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b/>
                                <w:sz w:val="44"/>
                                <w:szCs w:val="44"/>
                              </w:rPr>
                            </w:pPr>
                          </w:p>
                          <w:p>
                            <w:pPr>
                              <w:jc w:val="center"/>
                              <w:rPr>
                                <w:b/>
                                <w:sz w:val="44"/>
                                <w:szCs w:val="44"/>
                              </w:rPr>
                            </w:pPr>
                            <w:r>
                              <w:rPr>
                                <w:rFonts w:hint="eastAsia"/>
                                <w:b/>
                                <w:sz w:val="44"/>
                                <w:szCs w:val="44"/>
                              </w:rPr>
                              <w:t>电子文档</w:t>
                            </w:r>
                          </w:p>
                          <w:p>
                            <w:pPr>
                              <w:jc w:val="center"/>
                              <w:rPr>
                                <w:sz w:val="28"/>
                                <w:szCs w:val="28"/>
                              </w:rPr>
                            </w:pP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rPr>
                            </w:pPr>
                            <w:r>
                              <w:rPr>
                                <w:rFonts w:hint="eastAsia"/>
                                <w:sz w:val="28"/>
                                <w:szCs w:val="28"/>
                              </w:rPr>
                              <w:t>时间</w:t>
                            </w:r>
                            <w:r>
                              <w:rPr>
                                <w:rFonts w:hint="eastAsia"/>
                                <w:sz w:val="28"/>
                                <w:szCs w:val="28"/>
                                <w:u w:val="single"/>
                              </w:rPr>
                              <w:t>：      年      月    日</w:t>
                            </w:r>
                          </w:p>
                        </w:txbxContent>
                      </wps:txbx>
                      <wps:bodyPr upright="1"/>
                    </wps:wsp>
                  </a:graphicData>
                </a:graphic>
              </wp:anchor>
            </w:drawing>
          </mc:Choice>
          <mc:Fallback>
            <w:pict>
              <v:shape id="Text Box 3" o:spid="_x0000_s1026" o:spt="202" type="#_x0000_t202" style="position:absolute;left:0pt;margin-left:-28.35pt;margin-top:11.85pt;height:281.45pt;width:508.3pt;z-index:251668480;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pPr>
                        <w:jc w:val="center"/>
                        <w:rPr>
                          <w:rFonts w:hint="eastAsia" w:eastAsiaTheme="minorEastAsia"/>
                          <w:sz w:val="28"/>
                          <w:szCs w:val="28"/>
                          <w:lang w:eastAsia="zh-CN"/>
                        </w:rPr>
                      </w:pPr>
                      <w:r>
                        <w:rPr>
                          <w:rFonts w:hint="eastAsia"/>
                          <w:sz w:val="28"/>
                          <w:szCs w:val="28"/>
                        </w:rPr>
                        <w:t>致：陕西万泽招标有限公司               项目编号：</w:t>
                      </w:r>
                      <w:r>
                        <w:rPr>
                          <w:rFonts w:hint="eastAsia"/>
                          <w:sz w:val="28"/>
                          <w:szCs w:val="28"/>
                          <w:lang w:eastAsia="zh-CN"/>
                        </w:rPr>
                        <w:t>SXWZ2023ZB-DYYY-036</w:t>
                      </w:r>
                    </w:p>
                    <w:p>
                      <w:pPr>
                        <w:rPr>
                          <w:sz w:val="28"/>
                          <w:szCs w:val="28"/>
                        </w:rPr>
                      </w:pPr>
                      <w:r>
                        <w:rPr>
                          <w:rFonts w:hint="eastAsia"/>
                          <w:sz w:val="28"/>
                          <w:szCs w:val="28"/>
                        </w:rPr>
                        <w:t>项目名称：</w:t>
                      </w:r>
                      <w:r>
                        <w:rPr>
                          <w:rFonts w:hint="eastAsia"/>
                          <w:sz w:val="28"/>
                          <w:szCs w:val="28"/>
                          <w:lang w:eastAsia="zh-CN"/>
                        </w:rPr>
                        <w:t>西安市第一医院老院区虚拟化内存扩容及3台服务节点扩容采购项目</w:t>
                      </w:r>
                    </w:p>
                    <w:p>
                      <w:pPr>
                        <w:jc w:val="center"/>
                        <w:rPr>
                          <w:b/>
                          <w:sz w:val="44"/>
                          <w:szCs w:val="44"/>
                        </w:rPr>
                      </w:pPr>
                    </w:p>
                    <w:p>
                      <w:pPr>
                        <w:jc w:val="center"/>
                        <w:rPr>
                          <w:b/>
                          <w:sz w:val="44"/>
                          <w:szCs w:val="44"/>
                        </w:rPr>
                      </w:pPr>
                      <w:r>
                        <w:rPr>
                          <w:rFonts w:hint="eastAsia"/>
                          <w:b/>
                          <w:sz w:val="44"/>
                          <w:szCs w:val="44"/>
                        </w:rPr>
                        <w:t>电子文档</w:t>
                      </w:r>
                    </w:p>
                    <w:p>
                      <w:pPr>
                        <w:jc w:val="center"/>
                        <w:rPr>
                          <w:sz w:val="28"/>
                          <w:szCs w:val="28"/>
                        </w:rPr>
                      </w:pPr>
                    </w:p>
                    <w:p>
                      <w:pPr>
                        <w:jc w:val="center"/>
                        <w:rPr>
                          <w:sz w:val="28"/>
                          <w:szCs w:val="28"/>
                        </w:rPr>
                      </w:pPr>
                      <w:r>
                        <w:rPr>
                          <w:rFonts w:hint="eastAsia"/>
                          <w:sz w:val="28"/>
                          <w:szCs w:val="28"/>
                        </w:rPr>
                        <w:t>（非磋商会议不得启封）</w:t>
                      </w:r>
                    </w:p>
                    <w:p>
                      <w:pPr>
                        <w:rPr>
                          <w:sz w:val="28"/>
                          <w:szCs w:val="28"/>
                          <w:u w:val="single"/>
                        </w:rPr>
                      </w:pPr>
                      <w:r>
                        <w:rPr>
                          <w:rFonts w:hint="eastAsia"/>
                          <w:sz w:val="28"/>
                          <w:szCs w:val="28"/>
                        </w:rPr>
                        <w:t>供应商（名称及公章）：</w:t>
                      </w:r>
                    </w:p>
                    <w:p>
                      <w:pPr>
                        <w:rPr>
                          <w:sz w:val="28"/>
                          <w:szCs w:val="28"/>
                        </w:rPr>
                      </w:pPr>
                      <w:r>
                        <w:rPr>
                          <w:rFonts w:hint="eastAsia"/>
                          <w:sz w:val="28"/>
                          <w:szCs w:val="28"/>
                        </w:rPr>
                        <w:t>时间</w:t>
                      </w:r>
                      <w:r>
                        <w:rPr>
                          <w:rFonts w:hint="eastAsia"/>
                          <w:sz w:val="28"/>
                          <w:szCs w:val="28"/>
                          <w:u w:val="single"/>
                        </w:rPr>
                        <w:t>：      年      月    日</w:t>
                      </w:r>
                    </w:p>
                  </w:txbxContent>
                </v:textbox>
              </v:shape>
            </w:pict>
          </mc:Fallback>
        </mc:AlternateContent>
      </w: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420" w:firstLineChars="200"/>
        <w:jc w:val="left"/>
        <w:rPr>
          <w:rFonts w:asciiTheme="minorEastAsia" w:hAnsiTheme="minorEastAsia" w:cstheme="minorEastAsia"/>
        </w:rPr>
      </w:pPr>
    </w:p>
    <w:p>
      <w:pPr>
        <w:ind w:firstLine="1004" w:firstLineChars="200"/>
        <w:jc w:val="left"/>
        <w:rPr>
          <w:rFonts w:asciiTheme="minorEastAsia" w:hAnsiTheme="minorEastAsia" w:cstheme="minorEastAsia"/>
          <w:b/>
          <w:sz w:val="50"/>
        </w:rPr>
      </w:pPr>
    </w:p>
    <w:p>
      <w:pPr>
        <w:pageBreakBefore/>
        <w:spacing w:line="420" w:lineRule="auto"/>
        <w:rPr>
          <w:rFonts w:asciiTheme="minorEastAsia" w:hAnsiTheme="minorEastAsia" w:cstheme="minorEastAsia"/>
          <w:b/>
          <w:bCs/>
          <w:sz w:val="36"/>
          <w:szCs w:val="36"/>
        </w:rPr>
        <w:sectPr>
          <w:pgSz w:w="11906" w:h="16838"/>
          <w:pgMar w:top="1440" w:right="1304" w:bottom="1440" w:left="1304" w:header="851" w:footer="992" w:gutter="0"/>
          <w:cols w:space="0" w:num="1"/>
          <w:docGrid w:type="lines" w:linePitch="325" w:charSpace="0"/>
        </w:sectPr>
      </w:pPr>
    </w:p>
    <w:p>
      <w:pPr>
        <w:pStyle w:val="4"/>
        <w:adjustRightInd w:val="0"/>
        <w:spacing w:line="416" w:lineRule="atLeast"/>
        <w:textAlignment w:val="baseline"/>
        <w:rPr>
          <w:rFonts w:ascii="宋体" w:hAnsi="宋体" w:cs="宋体"/>
        </w:rPr>
      </w:pPr>
      <w:bookmarkStart w:id="209" w:name="_Toc20374"/>
      <w:bookmarkStart w:id="210" w:name="_Toc2630"/>
      <w:bookmarkStart w:id="211" w:name="_Toc30485"/>
      <w:bookmarkStart w:id="212" w:name="_Toc3008"/>
      <w:bookmarkStart w:id="213" w:name="_Toc11632"/>
      <w:bookmarkStart w:id="214" w:name="_Toc25846"/>
      <w:bookmarkStart w:id="215" w:name="_Toc14306"/>
      <w:bookmarkStart w:id="216" w:name="_Toc8177"/>
      <w:bookmarkStart w:id="217" w:name="_Toc1641"/>
      <w:bookmarkStart w:id="218" w:name="_Toc4153"/>
      <w:bookmarkStart w:id="219" w:name="_Toc18633"/>
      <w:bookmarkStart w:id="220" w:name="_Toc11896"/>
      <w:bookmarkStart w:id="221" w:name="_Toc8013"/>
      <w:bookmarkStart w:id="222" w:name="_Toc6022"/>
      <w:bookmarkStart w:id="223" w:name="_Toc5814"/>
      <w:bookmarkStart w:id="224" w:name="_Toc32438"/>
      <w:bookmarkStart w:id="225" w:name="_Toc24817"/>
      <w:bookmarkStart w:id="226" w:name="_Toc12531"/>
      <w:bookmarkStart w:id="227" w:name="_Toc10807"/>
      <w:bookmarkStart w:id="228" w:name="_Toc1709"/>
      <w:bookmarkStart w:id="229" w:name="_Toc30536"/>
      <w:bookmarkStart w:id="230" w:name="_Toc30870"/>
      <w:bookmarkStart w:id="231" w:name="_Toc15467"/>
      <w:r>
        <w:rPr>
          <w:rFonts w:hint="eastAsia" w:ascii="宋体" w:hAnsi="宋体" w:cs="宋体"/>
        </w:rPr>
        <w:t>附件二、中小企业申明</w:t>
      </w:r>
      <w:bookmarkEnd w:id="209"/>
      <w:bookmarkEnd w:id="210"/>
      <w:bookmarkEnd w:id="211"/>
      <w:bookmarkEnd w:id="212"/>
      <w:bookmarkEnd w:id="213"/>
      <w:bookmarkEnd w:id="214"/>
      <w:bookmarkEnd w:id="215"/>
      <w:bookmarkEnd w:id="216"/>
      <w:bookmarkEnd w:id="217"/>
      <w:bookmarkEnd w:id="218"/>
      <w:bookmarkEnd w:id="219"/>
    </w:p>
    <w:p>
      <w:pPr>
        <w:spacing w:line="588" w:lineRule="exact"/>
        <w:ind w:firstLine="504" w:firstLineChars="200"/>
        <w:rPr>
          <w:sz w:val="28"/>
          <w:szCs w:val="28"/>
        </w:rPr>
      </w:pPr>
      <w:r>
        <w:rPr>
          <w:rFonts w:hint="eastAsia" w:ascii="宋体" w:hAnsi="宋体"/>
          <w:spacing w:val="6"/>
          <w:sz w:val="24"/>
        </w:rPr>
        <w:t>根据《政府采购促进中小企业发展管理办法》（财库[2020]46号）的规定，由投标人自行声明并对真实性负责。如有虚假，将依法承担相应责任。</w:t>
      </w:r>
    </w:p>
    <w:p>
      <w:pPr>
        <w:spacing w:line="588" w:lineRule="exact"/>
        <w:jc w:val="center"/>
        <w:rPr>
          <w:rFonts w:ascii="仿宋_GB2312" w:eastAsia="仿宋_GB2312"/>
          <w:b/>
          <w:color w:val="000000"/>
          <w:spacing w:val="6"/>
          <w:sz w:val="24"/>
          <w:szCs w:val="24"/>
        </w:rPr>
      </w:pPr>
      <w:r>
        <w:rPr>
          <w:rFonts w:hint="eastAsia" w:ascii="宋体" w:hAnsi="宋体"/>
          <w:b/>
          <w:color w:val="000000"/>
          <w:spacing w:val="6"/>
          <w:sz w:val="24"/>
          <w:szCs w:val="24"/>
        </w:rPr>
        <w:t>中小企业声明函</w:t>
      </w:r>
    </w:p>
    <w:p>
      <w:pPr>
        <w:pStyle w:val="2"/>
        <w:spacing w:before="55" w:line="360" w:lineRule="auto"/>
        <w:ind w:right="415" w:firstLine="640"/>
        <w:rPr>
          <w:rFonts w:ascii="宋体" w:hAnsi="宋体"/>
          <w:color w:val="000000"/>
          <w:spacing w:val="6"/>
          <w:sz w:val="24"/>
        </w:rPr>
      </w:pPr>
      <w:r>
        <w:rPr>
          <w:rFonts w:hint="eastAsia" w:ascii="宋体" w:hAnsi="宋体"/>
          <w:color w:val="000000"/>
          <w:spacing w:val="6"/>
          <w:sz w:val="24"/>
        </w:rPr>
        <w:t>本公司郑重声明，根据《政府采购促进中小企业发展管理办法》（财库﹝2020﹞46号）的规定，本公司参加</w:t>
      </w:r>
      <w:r>
        <w:rPr>
          <w:rFonts w:hint="eastAsia" w:ascii="宋体" w:hAnsi="宋体"/>
          <w:color w:val="000000"/>
          <w:spacing w:val="6"/>
          <w:sz w:val="24"/>
          <w:u w:val="single"/>
        </w:rPr>
        <w:t>（单位名称）</w:t>
      </w:r>
      <w:r>
        <w:rPr>
          <w:rFonts w:hint="eastAsia" w:ascii="宋体" w:hAnsi="宋体"/>
          <w:color w:val="000000"/>
          <w:spacing w:val="6"/>
          <w:sz w:val="24"/>
        </w:rPr>
        <w:t>的</w:t>
      </w:r>
      <w:r>
        <w:rPr>
          <w:rFonts w:hint="eastAsia" w:ascii="宋体" w:hAnsi="宋体"/>
          <w:color w:val="000000"/>
          <w:spacing w:val="6"/>
          <w:sz w:val="24"/>
          <w:u w:val="single"/>
        </w:rPr>
        <w:t xml:space="preserve">                       （项目名称）</w:t>
      </w:r>
      <w:r>
        <w:rPr>
          <w:rFonts w:hint="eastAsia" w:ascii="宋体" w:hAnsi="宋体"/>
          <w:color w:val="000000"/>
          <w:spacing w:val="6"/>
          <w:sz w:val="24"/>
        </w:rPr>
        <w:t>采购活动，提供的货物全部由符合政策要求的中小企业制造。相关企业的具体情况如下：</w:t>
      </w:r>
    </w:p>
    <w:p>
      <w:pPr>
        <w:pStyle w:val="68"/>
        <w:numPr>
          <w:ilvl w:val="0"/>
          <w:numId w:val="0"/>
        </w:numPr>
        <w:tabs>
          <w:tab w:val="left" w:pos="1183"/>
          <w:tab w:val="left" w:pos="1484"/>
          <w:tab w:val="left" w:pos="4662"/>
          <w:tab w:val="left" w:pos="6903"/>
        </w:tabs>
        <w:spacing w:line="360" w:lineRule="auto"/>
        <w:ind w:right="169" w:rightChars="0" w:firstLine="504" w:firstLineChars="200"/>
        <w:jc w:val="left"/>
        <w:rPr>
          <w:rFonts w:ascii="宋体" w:hAnsi="宋体"/>
          <w:color w:val="000000"/>
          <w:spacing w:val="6"/>
          <w:sz w:val="24"/>
        </w:rPr>
      </w:pPr>
      <w:r>
        <w:rPr>
          <w:rFonts w:hint="eastAsia" w:ascii="宋体" w:hAnsi="宋体"/>
          <w:color w:val="000000"/>
          <w:spacing w:val="6"/>
          <w:sz w:val="24"/>
          <w:u w:val="single"/>
          <w:lang w:val="en-US" w:eastAsia="zh-CN"/>
        </w:rPr>
        <w:t>1.</w:t>
      </w: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u w:val="single"/>
          <w:lang w:val="en-US" w:eastAsia="zh-CN"/>
        </w:rPr>
        <w:t xml:space="preserve">    </w:t>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u w:val="single"/>
          <w:lang w:val="en-US" w:eastAsia="zh-CN"/>
        </w:rPr>
        <w:t xml:space="preserve"> </w:t>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68"/>
        <w:numPr>
          <w:ilvl w:val="0"/>
          <w:numId w:val="0"/>
        </w:numPr>
        <w:tabs>
          <w:tab w:val="left" w:pos="1165"/>
          <w:tab w:val="left" w:pos="1183"/>
          <w:tab w:val="left" w:pos="4362"/>
          <w:tab w:val="left" w:pos="6577"/>
        </w:tabs>
        <w:spacing w:line="360" w:lineRule="auto"/>
        <w:ind w:right="169" w:rightChars="0" w:firstLine="504" w:firstLineChars="200"/>
        <w:jc w:val="left"/>
        <w:rPr>
          <w:rFonts w:ascii="宋体" w:hAnsi="宋体"/>
          <w:color w:val="000000"/>
          <w:spacing w:val="6"/>
          <w:sz w:val="24"/>
        </w:rPr>
      </w:pPr>
      <w:r>
        <w:rPr>
          <w:rFonts w:hint="eastAsia" w:ascii="宋体" w:hAnsi="宋体"/>
          <w:color w:val="000000"/>
          <w:spacing w:val="6"/>
          <w:sz w:val="24"/>
          <w:u w:val="single"/>
          <w:lang w:val="en-US" w:eastAsia="zh-CN"/>
        </w:rPr>
        <w:t>2.</w:t>
      </w:r>
      <w:r>
        <w:rPr>
          <w:rFonts w:hint="eastAsia" w:ascii="宋体" w:hAnsi="宋体"/>
          <w:color w:val="000000"/>
          <w:spacing w:val="6"/>
          <w:sz w:val="24"/>
          <w:u w:val="single"/>
        </w:rPr>
        <w:t xml:space="preserve">（ 标 的 名 称 ） </w:t>
      </w:r>
      <w:r>
        <w:rPr>
          <w:rFonts w:hint="eastAsia" w:ascii="宋体" w:hAnsi="宋体"/>
          <w:color w:val="000000"/>
          <w:spacing w:val="6"/>
          <w:sz w:val="24"/>
        </w:rPr>
        <w:t xml:space="preserve">， 属 于 </w:t>
      </w:r>
      <w:r>
        <w:rPr>
          <w:rFonts w:hint="eastAsia" w:ascii="宋体" w:hAnsi="宋体"/>
          <w:color w:val="000000"/>
          <w:spacing w:val="6"/>
          <w:sz w:val="24"/>
          <w:u w:val="single"/>
        </w:rPr>
        <w:t xml:space="preserve">（ 所 属 行 业 ） </w:t>
      </w:r>
      <w:r>
        <w:rPr>
          <w:rFonts w:hint="eastAsia" w:ascii="宋体" w:hAnsi="宋体"/>
          <w:color w:val="000000"/>
          <w:spacing w:val="6"/>
          <w:sz w:val="24"/>
        </w:rPr>
        <w:t>行业；制造商为</w:t>
      </w:r>
      <w:r>
        <w:rPr>
          <w:rFonts w:hint="eastAsia" w:ascii="宋体" w:hAnsi="宋体"/>
          <w:color w:val="000000"/>
          <w:spacing w:val="6"/>
          <w:sz w:val="24"/>
          <w:u w:val="single"/>
        </w:rPr>
        <w:t>（企业名称）</w:t>
      </w:r>
      <w:r>
        <w:rPr>
          <w:rFonts w:hint="eastAsia" w:ascii="宋体" w:hAnsi="宋体"/>
          <w:color w:val="000000"/>
          <w:spacing w:val="6"/>
          <w:sz w:val="24"/>
        </w:rPr>
        <w:t>，从业人员</w:t>
      </w:r>
      <w:r>
        <w:rPr>
          <w:rFonts w:hint="eastAsia" w:ascii="宋体" w:hAnsi="宋体"/>
          <w:color w:val="000000"/>
          <w:spacing w:val="6"/>
          <w:sz w:val="24"/>
          <w:u w:val="single"/>
        </w:rPr>
        <w:t xml:space="preserve">     </w:t>
      </w:r>
      <w:r>
        <w:rPr>
          <w:rFonts w:hint="eastAsia" w:ascii="宋体" w:hAnsi="宋体"/>
          <w:color w:val="000000"/>
          <w:spacing w:val="6"/>
          <w:sz w:val="24"/>
        </w:rPr>
        <w:t>人，营业收入为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万元，资产总额为</w:t>
      </w:r>
      <w:r>
        <w:rPr>
          <w:rFonts w:hint="eastAsia" w:ascii="宋体" w:hAnsi="宋体"/>
          <w:color w:val="000000"/>
          <w:spacing w:val="6"/>
          <w:sz w:val="24"/>
          <w:u w:val="single"/>
        </w:rPr>
        <w:t xml:space="preserve"> </w:t>
      </w:r>
      <w:r>
        <w:rPr>
          <w:rFonts w:hint="eastAsia" w:ascii="宋体" w:hAnsi="宋体"/>
          <w:color w:val="000000"/>
          <w:spacing w:val="6"/>
          <w:sz w:val="24"/>
          <w:u w:val="single"/>
        </w:rPr>
        <w:tab/>
      </w:r>
      <w:r>
        <w:rPr>
          <w:rFonts w:hint="eastAsia" w:ascii="宋体" w:hAnsi="宋体"/>
          <w:color w:val="000000"/>
          <w:spacing w:val="6"/>
          <w:sz w:val="24"/>
        </w:rPr>
        <w:t>万元，属于</w:t>
      </w:r>
      <w:r>
        <w:rPr>
          <w:rFonts w:hint="eastAsia" w:ascii="宋体" w:hAnsi="宋体"/>
          <w:color w:val="000000"/>
          <w:spacing w:val="6"/>
          <w:sz w:val="24"/>
          <w:u w:val="single"/>
        </w:rPr>
        <w:t>（中型企业、小型企业、微型企业）</w:t>
      </w:r>
      <w:r>
        <w:rPr>
          <w:rFonts w:hint="eastAsia" w:ascii="宋体" w:hAnsi="宋体"/>
          <w:color w:val="000000"/>
          <w:spacing w:val="6"/>
          <w:sz w:val="24"/>
        </w:rPr>
        <w:t>；</w:t>
      </w:r>
    </w:p>
    <w:p>
      <w:pPr>
        <w:pStyle w:val="2"/>
        <w:spacing w:line="360" w:lineRule="auto"/>
        <w:ind w:left="860"/>
        <w:rPr>
          <w:rFonts w:ascii="宋体" w:hAnsi="宋体"/>
          <w:color w:val="000000"/>
          <w:spacing w:val="6"/>
          <w:sz w:val="24"/>
        </w:rPr>
      </w:pPr>
      <w:r>
        <w:rPr>
          <w:rFonts w:hint="eastAsia" w:ascii="宋体" w:hAnsi="宋体"/>
          <w:color w:val="000000"/>
          <w:spacing w:val="6"/>
          <w:sz w:val="24"/>
        </w:rPr>
        <w:t>……</w:t>
      </w:r>
    </w:p>
    <w:p>
      <w:pPr>
        <w:pStyle w:val="2"/>
        <w:spacing w:before="105" w:line="360" w:lineRule="auto"/>
        <w:ind w:right="417" w:firstLine="645"/>
        <w:rPr>
          <w:rFonts w:ascii="宋体" w:hAnsi="宋体"/>
          <w:color w:val="000000"/>
          <w:spacing w:val="6"/>
          <w:sz w:val="24"/>
        </w:rPr>
      </w:pPr>
      <w:r>
        <w:rPr>
          <w:rFonts w:hint="eastAsia" w:ascii="宋体" w:hAnsi="宋体"/>
          <w:color w:val="000000"/>
          <w:spacing w:val="6"/>
          <w:sz w:val="24"/>
        </w:rPr>
        <w:t>以上企业，不属于大企业的分支机构，不存在控股股东为大企业的情形，也不存在与大企业的负责人为同一人的情形。</w:t>
      </w:r>
    </w:p>
    <w:p>
      <w:pPr>
        <w:pStyle w:val="2"/>
        <w:spacing w:line="360" w:lineRule="auto"/>
        <w:ind w:right="372" w:firstLine="645"/>
        <w:rPr>
          <w:rFonts w:ascii="宋体" w:hAnsi="宋体"/>
          <w:spacing w:val="6"/>
          <w:sz w:val="24"/>
        </w:rPr>
      </w:pPr>
      <w:r>
        <w:rPr>
          <w:rFonts w:hint="eastAsia" w:ascii="宋体" w:hAnsi="宋体"/>
          <w:color w:val="000000"/>
          <w:spacing w:val="6"/>
          <w:sz w:val="24"/>
        </w:rPr>
        <w:t>本企业对上述声明内容的真实性负责。如有虚假，将依法承担相应责任。</w:t>
      </w:r>
    </w:p>
    <w:p>
      <w:pPr>
        <w:pStyle w:val="2"/>
        <w:spacing w:line="304" w:lineRule="auto"/>
        <w:ind w:right="375" w:firstLine="640"/>
      </w:pPr>
    </w:p>
    <w:p>
      <w:pPr>
        <w:spacing w:line="360" w:lineRule="auto"/>
        <w:jc w:val="left"/>
        <w:rPr>
          <w:rFonts w:ascii="宋体" w:hAnsi="宋体"/>
          <w:spacing w:val="6"/>
          <w:sz w:val="24"/>
        </w:rPr>
      </w:pPr>
      <w:r>
        <w:rPr>
          <w:rFonts w:hint="eastAsia" w:ascii="宋体" w:hAnsi="宋体"/>
          <w:spacing w:val="6"/>
          <w:sz w:val="24"/>
        </w:rPr>
        <w:t>企业名称（盖章）：</w:t>
      </w:r>
    </w:p>
    <w:p>
      <w:pPr>
        <w:spacing w:line="588" w:lineRule="exact"/>
        <w:rPr>
          <w:rFonts w:ascii="宋体" w:hAnsi="宋体"/>
          <w:spacing w:val="6"/>
          <w:sz w:val="24"/>
          <w:szCs w:val="24"/>
        </w:rPr>
        <w:sectPr>
          <w:footerReference r:id="rId13" w:type="default"/>
          <w:pgSz w:w="11906" w:h="16838"/>
          <w:pgMar w:top="1440" w:right="1803" w:bottom="1440" w:left="1803" w:header="851" w:footer="992" w:gutter="0"/>
          <w:cols w:space="720" w:num="1"/>
          <w:docGrid w:type="lines" w:linePitch="319" w:charSpace="0"/>
        </w:sectPr>
      </w:pPr>
      <w:r>
        <w:rPr>
          <w:rFonts w:hint="eastAsia" w:ascii="宋体" w:hAnsi="宋体"/>
          <w:spacing w:val="6"/>
          <w:sz w:val="24"/>
        </w:rPr>
        <w:t>日期</w:t>
      </w:r>
      <w:r>
        <w:rPr>
          <w:rFonts w:hint="eastAsia" w:ascii="宋体" w:hAnsi="宋体" w:eastAsia="宋体" w:cs="Times New Roman"/>
          <w:color w:val="000000"/>
          <w:spacing w:val="6"/>
          <w:sz w:val="24"/>
        </w:rPr>
        <w:t>：</w:t>
      </w:r>
    </w:p>
    <w:p>
      <w:pPr>
        <w:pStyle w:val="4"/>
      </w:pPr>
      <w:r>
        <w:rPr>
          <w:rFonts w:hint="eastAsia"/>
        </w:rPr>
        <w:t>附件三、残疾人福利性单位声明</w:t>
      </w:r>
      <w:bookmarkEnd w:id="220"/>
      <w:bookmarkEnd w:id="221"/>
      <w:bookmarkEnd w:id="222"/>
      <w:bookmarkEnd w:id="223"/>
      <w:bookmarkEnd w:id="224"/>
      <w:bookmarkEnd w:id="225"/>
      <w:bookmarkEnd w:id="226"/>
      <w:bookmarkEnd w:id="227"/>
      <w:bookmarkEnd w:id="228"/>
    </w:p>
    <w:p>
      <w:pPr>
        <w:spacing w:line="588" w:lineRule="exact"/>
        <w:ind w:firstLine="504" w:firstLineChars="200"/>
        <w:rPr>
          <w:rFonts w:ascii="宋体" w:hAnsi="宋体"/>
          <w:spacing w:val="6"/>
          <w:sz w:val="24"/>
        </w:rPr>
      </w:pPr>
      <w:r>
        <w:rPr>
          <w:rFonts w:hint="eastAsia" w:ascii="宋体" w:hAnsi="宋体"/>
          <w:spacing w:val="6"/>
          <w:sz w:val="24"/>
        </w:rPr>
        <w:t>根据《三部门联合发布关于促进残疾人就业政府采购政策的通知》（财库〔2017〕141号）的规定，由供应商自行申明，并对申明真实性负责。如有虚假，将依法承担相应责任。</w:t>
      </w:r>
    </w:p>
    <w:p/>
    <w:p>
      <w:pPr>
        <w:spacing w:line="588" w:lineRule="exact"/>
        <w:jc w:val="center"/>
        <w:rPr>
          <w:rFonts w:asciiTheme="minorEastAsia" w:hAnsiTheme="minorEastAsia" w:cstheme="minorEastAsia"/>
          <w:b/>
          <w:spacing w:val="6"/>
          <w:sz w:val="24"/>
          <w:szCs w:val="24"/>
        </w:rPr>
      </w:pPr>
      <w:bookmarkStart w:id="232" w:name="OLE_LINK14"/>
      <w:r>
        <w:rPr>
          <w:rFonts w:hint="eastAsia" w:asciiTheme="minorEastAsia" w:hAnsiTheme="minorEastAsia" w:cstheme="minorEastAsia"/>
          <w:b/>
          <w:spacing w:val="6"/>
          <w:sz w:val="24"/>
          <w:szCs w:val="24"/>
        </w:rPr>
        <w:t>残疾人福利性单位声明函</w:t>
      </w:r>
      <w:bookmarkEnd w:id="232"/>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本单位郑重声明，根据《财政部 民政部 中国残疾人联合会关于促进残疾人就业政府采购政策的通知》（财库</w:t>
      </w:r>
      <w:r>
        <w:rPr>
          <w:rFonts w:hint="eastAsia" w:asciiTheme="minorEastAsia" w:hAnsiTheme="minorEastAsia" w:cstheme="minorEastAsia"/>
          <w:sz w:val="24"/>
          <w:szCs w:val="24"/>
        </w:rPr>
        <w:t>〔2017〕 141</w:t>
      </w:r>
      <w:r>
        <w:rPr>
          <w:rFonts w:hint="eastAsia" w:asciiTheme="minorEastAsia" w:hAnsiTheme="minorEastAsia" w:cstheme="minor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本单位对上述声明的真实性负责。如有虚假，将依法承担相应责任。</w:t>
      </w:r>
    </w:p>
    <w:p>
      <w:pPr>
        <w:spacing w:line="360" w:lineRule="auto"/>
        <w:ind w:firstLine="444" w:firstLineChars="200"/>
        <w:rPr>
          <w:rFonts w:ascii="宋体" w:hAnsi="宋体"/>
          <w:spacing w:val="6"/>
          <w:szCs w:val="21"/>
        </w:rPr>
      </w:pPr>
    </w:p>
    <w:tbl>
      <w:tblPr>
        <w:tblStyle w:val="26"/>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序号</w:t>
            </w:r>
          </w:p>
        </w:tc>
        <w:tc>
          <w:tcPr>
            <w:tcW w:w="3058" w:type="dxa"/>
            <w:vAlign w:val="center"/>
          </w:tcPr>
          <w:p>
            <w:pPr>
              <w:spacing w:line="360" w:lineRule="auto"/>
              <w:jc w:val="center"/>
              <w:rPr>
                <w:rFonts w:ascii="宋体" w:hAnsi="宋体"/>
                <w:spacing w:val="6"/>
                <w:szCs w:val="21"/>
              </w:rPr>
            </w:pPr>
            <w:r>
              <w:rPr>
                <w:rFonts w:hint="eastAsia" w:ascii="宋体" w:hAnsi="宋体"/>
                <w:spacing w:val="6"/>
                <w:szCs w:val="21"/>
              </w:rPr>
              <w:t>产品类型</w:t>
            </w:r>
          </w:p>
        </w:tc>
        <w:tc>
          <w:tcPr>
            <w:tcW w:w="1258" w:type="dxa"/>
            <w:vAlign w:val="center"/>
          </w:tcPr>
          <w:p>
            <w:pPr>
              <w:spacing w:line="360" w:lineRule="auto"/>
              <w:jc w:val="center"/>
              <w:rPr>
                <w:rFonts w:ascii="宋体" w:hAnsi="宋体"/>
                <w:spacing w:val="6"/>
                <w:szCs w:val="21"/>
              </w:rPr>
            </w:pPr>
            <w:r>
              <w:rPr>
                <w:rFonts w:hint="eastAsia" w:ascii="宋体" w:hAnsi="宋体"/>
                <w:spacing w:val="6"/>
                <w:szCs w:val="21"/>
              </w:rPr>
              <w:t>产品名称</w:t>
            </w:r>
          </w:p>
        </w:tc>
        <w:tc>
          <w:tcPr>
            <w:tcW w:w="1439" w:type="dxa"/>
            <w:vAlign w:val="center"/>
          </w:tcPr>
          <w:p>
            <w:pPr>
              <w:spacing w:line="360" w:lineRule="auto"/>
              <w:jc w:val="center"/>
              <w:rPr>
                <w:rFonts w:ascii="宋体" w:hAnsi="宋体"/>
                <w:spacing w:val="6"/>
                <w:szCs w:val="21"/>
              </w:rPr>
            </w:pPr>
            <w:r>
              <w:rPr>
                <w:rFonts w:hint="eastAsia" w:ascii="宋体" w:hAnsi="宋体"/>
                <w:spacing w:val="6"/>
                <w:szCs w:val="21"/>
              </w:rPr>
              <w:t>制造商</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金额（元）</w:t>
            </w:r>
          </w:p>
        </w:tc>
        <w:tc>
          <w:tcPr>
            <w:tcW w:w="1259" w:type="dxa"/>
            <w:vAlign w:val="center"/>
          </w:tcPr>
          <w:p>
            <w:pPr>
              <w:spacing w:line="360" w:lineRule="auto"/>
              <w:jc w:val="center"/>
              <w:rPr>
                <w:rFonts w:ascii="宋体" w:hAnsi="宋体"/>
                <w:spacing w:val="6"/>
                <w:szCs w:val="21"/>
              </w:rPr>
            </w:pPr>
            <w:r>
              <w:rPr>
                <w:rFonts w:hint="eastAsia" w:ascii="宋体" w:hAnsi="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1</w:t>
            </w:r>
          </w:p>
        </w:tc>
        <w:tc>
          <w:tcPr>
            <w:tcW w:w="3058" w:type="dxa"/>
            <w:vAlign w:val="center"/>
          </w:tcPr>
          <w:p>
            <w:pPr>
              <w:spacing w:line="360" w:lineRule="auto"/>
              <w:rPr>
                <w:rFonts w:ascii="宋体" w:hAnsi="宋体"/>
                <w:spacing w:val="6"/>
                <w:szCs w:val="21"/>
              </w:rPr>
            </w:pPr>
            <w:r>
              <w:rPr>
                <w:rFonts w:hint="eastAsia" w:ascii="宋体" w:hAnsi="宋体"/>
                <w:spacing w:val="6"/>
                <w:szCs w:val="21"/>
              </w:rPr>
              <w:t>本企业制造的货物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spacing w:val="6"/>
                <w:szCs w:val="21"/>
              </w:rPr>
            </w:pPr>
            <w:r>
              <w:rPr>
                <w:rFonts w:hint="eastAsia" w:ascii="宋体" w:hAnsi="宋体"/>
                <w:spacing w:val="6"/>
                <w:szCs w:val="21"/>
              </w:rPr>
              <w:t>2</w:t>
            </w:r>
          </w:p>
        </w:tc>
        <w:tc>
          <w:tcPr>
            <w:tcW w:w="3058" w:type="dxa"/>
            <w:vAlign w:val="center"/>
          </w:tcPr>
          <w:p>
            <w:pPr>
              <w:spacing w:line="360" w:lineRule="auto"/>
              <w:rPr>
                <w:rFonts w:ascii="宋体" w:hAnsi="宋体"/>
                <w:spacing w:val="6"/>
                <w:szCs w:val="21"/>
              </w:rPr>
            </w:pPr>
            <w:r>
              <w:rPr>
                <w:rFonts w:hint="eastAsia" w:ascii="宋体" w:hAnsi="宋体"/>
                <w:spacing w:val="6"/>
                <w:szCs w:val="21"/>
              </w:rPr>
              <w:t>其他残疾人福利性单位制造的货物</w:t>
            </w:r>
          </w:p>
        </w:tc>
        <w:tc>
          <w:tcPr>
            <w:tcW w:w="1258" w:type="dxa"/>
            <w:vAlign w:val="center"/>
          </w:tcPr>
          <w:p>
            <w:pPr>
              <w:spacing w:line="360" w:lineRule="auto"/>
              <w:jc w:val="center"/>
              <w:rPr>
                <w:rFonts w:ascii="宋体" w:hAnsi="宋体"/>
                <w:spacing w:val="6"/>
                <w:szCs w:val="21"/>
              </w:rPr>
            </w:pPr>
          </w:p>
        </w:tc>
        <w:tc>
          <w:tcPr>
            <w:tcW w:w="143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c>
          <w:tcPr>
            <w:tcW w:w="1259" w:type="dxa"/>
            <w:vAlign w:val="center"/>
          </w:tcPr>
          <w:p>
            <w:pPr>
              <w:spacing w:line="360" w:lineRule="auto"/>
              <w:jc w:val="center"/>
              <w:rPr>
                <w:rFonts w:ascii="宋体" w:hAnsi="宋体"/>
                <w:spacing w:val="6"/>
                <w:szCs w:val="21"/>
              </w:rPr>
            </w:pPr>
          </w:p>
        </w:tc>
      </w:tr>
    </w:tbl>
    <w:p/>
    <w:p>
      <w:pPr>
        <w:tabs>
          <w:tab w:val="left" w:pos="4860"/>
        </w:tabs>
        <w:spacing w:line="360" w:lineRule="auto"/>
        <w:ind w:right="1560" w:firstLine="444" w:firstLineChars="200"/>
        <w:rPr>
          <w:rFonts w:ascii="宋体" w:hAnsi="宋体"/>
          <w:spacing w:val="6"/>
          <w:szCs w:val="21"/>
        </w:rPr>
      </w:pPr>
      <w:r>
        <w:rPr>
          <w:rFonts w:hint="eastAsia" w:ascii="宋体" w:hAnsi="宋体"/>
          <w:spacing w:val="6"/>
          <w:szCs w:val="21"/>
        </w:rPr>
        <w:t>注：1、本声明函对残疾人福利性单位参与政府采购活动时适用。</w:t>
      </w:r>
    </w:p>
    <w:p>
      <w:pPr>
        <w:tabs>
          <w:tab w:val="left" w:pos="4860"/>
        </w:tabs>
        <w:spacing w:line="360" w:lineRule="auto"/>
        <w:ind w:firstLine="444" w:firstLineChars="200"/>
        <w:rPr>
          <w:rFonts w:asciiTheme="minorEastAsia" w:hAnsiTheme="minorEastAsia" w:cstheme="minorEastAsia"/>
          <w:spacing w:val="6"/>
          <w:sz w:val="24"/>
          <w:szCs w:val="24"/>
        </w:rPr>
      </w:pPr>
      <w:r>
        <w:rPr>
          <w:rFonts w:hint="eastAsia" w:ascii="宋体" w:hAnsi="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单位名称（盖章）：</w:t>
      </w:r>
    </w:p>
    <w:p>
      <w:pPr>
        <w:tabs>
          <w:tab w:val="left" w:pos="4860"/>
        </w:tabs>
        <w:spacing w:line="588" w:lineRule="exact"/>
        <w:ind w:right="1560" w:firstLine="504" w:firstLineChars="200"/>
        <w:jc w:val="left"/>
        <w:rPr>
          <w:rFonts w:asciiTheme="minorEastAsia" w:hAnsiTheme="minorEastAsia" w:cstheme="minorEastAsia"/>
          <w:spacing w:val="6"/>
          <w:sz w:val="24"/>
          <w:szCs w:val="24"/>
        </w:rPr>
      </w:pPr>
      <w:r>
        <w:rPr>
          <w:rFonts w:hint="eastAsia" w:asciiTheme="minorEastAsia" w:hAnsiTheme="minorEastAsia" w:cstheme="minorEastAsia"/>
          <w:spacing w:val="6"/>
          <w:sz w:val="24"/>
          <w:szCs w:val="24"/>
        </w:rPr>
        <w:t>日  期：</w:t>
      </w:r>
    </w:p>
    <w:p>
      <w:pPr>
        <w:pStyle w:val="4"/>
        <w:rPr>
          <w:rFonts w:ascii="宋体" w:hAnsi="宋体" w:cs="宋体"/>
        </w:rPr>
      </w:pPr>
      <w:bookmarkStart w:id="233" w:name="_Toc17055"/>
      <w:bookmarkStart w:id="234" w:name="_Toc3053"/>
      <w:bookmarkStart w:id="235" w:name="_Toc26926"/>
      <w:bookmarkStart w:id="236" w:name="_Toc27619"/>
      <w:r>
        <w:rPr>
          <w:rFonts w:hint="eastAsia"/>
        </w:rPr>
        <w:t>附件四、监狱企业证明文件</w:t>
      </w:r>
      <w:bookmarkEnd w:id="229"/>
      <w:bookmarkEnd w:id="230"/>
      <w:bookmarkEnd w:id="231"/>
      <w:bookmarkEnd w:id="233"/>
      <w:bookmarkEnd w:id="234"/>
      <w:bookmarkEnd w:id="235"/>
      <w:bookmarkEnd w:id="236"/>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237" w:name="_Toc23449"/>
      <w:bookmarkStart w:id="238" w:name="_Toc2126"/>
      <w:bookmarkStart w:id="239" w:name="_Toc13303"/>
      <w:bookmarkStart w:id="240" w:name="_Toc563"/>
      <w:bookmarkStart w:id="241" w:name="_Toc5480"/>
      <w:bookmarkStart w:id="242" w:name="_Toc13122"/>
      <w:bookmarkStart w:id="243" w:name="_Toc11969"/>
      <w:bookmarkStart w:id="244" w:name="_Toc28928"/>
      <w:r>
        <w:rPr>
          <w:rFonts w:hint="eastAsia" w:ascii="宋体" w:hAnsi="宋体" w:cs="宋体"/>
        </w:rPr>
        <w:t>附件五、“节能产品”，“环境标志产品”证明材料</w:t>
      </w:r>
      <w:bookmarkEnd w:id="237"/>
      <w:bookmarkEnd w:id="238"/>
      <w:bookmarkEnd w:id="239"/>
      <w:bookmarkEnd w:id="240"/>
      <w:bookmarkEnd w:id="241"/>
      <w:bookmarkEnd w:id="242"/>
      <w:bookmarkEnd w:id="243"/>
      <w:bookmarkEnd w:id="244"/>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招标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22"/>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22"/>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4"/>
        <w:adjustRightInd w:val="0"/>
        <w:spacing w:line="416" w:lineRule="atLeast"/>
        <w:textAlignment w:val="baseline"/>
        <w:rPr>
          <w:rFonts w:ascii="宋体" w:hAnsi="宋体" w:cs="宋体"/>
        </w:rPr>
        <w:sectPr>
          <w:footerReference r:id="rId14" w:type="default"/>
          <w:pgSz w:w="11906" w:h="16838"/>
          <w:pgMar w:top="1440" w:right="1803" w:bottom="1440" w:left="1803" w:header="851" w:footer="992" w:gutter="0"/>
          <w:cols w:space="720" w:num="1"/>
          <w:docGrid w:type="lines" w:linePitch="319" w:charSpace="0"/>
        </w:sectPr>
      </w:pPr>
    </w:p>
    <w:p>
      <w:pPr>
        <w:pStyle w:val="4"/>
      </w:pPr>
      <w:bookmarkStart w:id="245" w:name="_Toc26351"/>
      <w:bookmarkStart w:id="246" w:name="_Toc23053"/>
      <w:bookmarkStart w:id="247" w:name="_Toc22560"/>
      <w:bookmarkStart w:id="248" w:name="_Toc23799"/>
      <w:bookmarkStart w:id="249" w:name="_Toc5206"/>
      <w:bookmarkStart w:id="250" w:name="_Toc4414"/>
      <w:r>
        <w:rPr>
          <w:rFonts w:hint="eastAsia"/>
        </w:rPr>
        <w:t>附件六、质疑函范本</w:t>
      </w:r>
      <w:bookmarkEnd w:id="245"/>
      <w:bookmarkEnd w:id="246"/>
      <w:bookmarkEnd w:id="247"/>
      <w:bookmarkEnd w:id="248"/>
      <w:bookmarkEnd w:id="249"/>
      <w:bookmarkEnd w:id="250"/>
    </w:p>
    <w:p>
      <w:pPr>
        <w:widowControl/>
        <w:spacing w:line="360" w:lineRule="auto"/>
        <w:ind w:left="420" w:leftChars="200"/>
        <w:rPr>
          <w:rFonts w:ascii="宋体" w:hAnsi="宋体" w:cs="宋体"/>
          <w:sz w:val="24"/>
          <w:szCs w:val="24"/>
        </w:rPr>
      </w:pPr>
      <w:r>
        <w:rPr>
          <w:rFonts w:hint="eastAsia" w:ascii="宋体" w:hAnsi="宋体" w:cs="宋体"/>
          <w:sz w:val="24"/>
          <w:szCs w:val="24"/>
        </w:rPr>
        <w:t>一、质疑投标人基本信息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质疑投标人：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1.投标人提出质疑时，应提交质疑函和必要的证明材料。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投标人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3.质疑投标人若对项目的某一分包进行质疑，质疑函中应列明具体分包号。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6.质疑投标人为自然人的，质疑函应由本人签字；质疑供应商为法人或者其他组织的，质疑函应由法定代表人、主要负责人，或者其授权代表签字或者盖章，并加盖公章。</w:t>
      </w:r>
    </w:p>
    <w:p>
      <w:pPr>
        <w:rPr>
          <w:rFonts w:ascii="宋体" w:hAnsi="宋体" w:cs="宋体"/>
          <w:sz w:val="24"/>
          <w:szCs w:val="24"/>
        </w:rPr>
      </w:pPr>
      <w:r>
        <w:rPr>
          <w:rFonts w:hint="eastAsia" w:ascii="宋体" w:hAnsi="宋体" w:cs="宋体"/>
          <w:sz w:val="24"/>
          <w:szCs w:val="24"/>
        </w:rPr>
        <w:br w:type="page"/>
      </w:r>
    </w:p>
    <w:p>
      <w:pPr>
        <w:jc w:val="left"/>
        <w:rPr>
          <w:rFonts w:ascii="华文隶书" w:hAnsi="华文隶书" w:eastAsia="华文隶书" w:cs="华文隶书"/>
          <w:sz w:val="72"/>
          <w:szCs w:val="72"/>
        </w:rPr>
      </w:pPr>
      <w:r>
        <w:rPr>
          <w:rFonts w:hint="eastAsia" w:ascii="华文隶书" w:hAnsi="华文隶书" w:eastAsia="华文隶书" w:cs="华文隶书"/>
          <w:b/>
          <w:spacing w:val="48"/>
          <w:sz w:val="72"/>
          <w:szCs w:val="72"/>
        </w:rPr>
        <w:t>公平</w:t>
      </w:r>
    </w:p>
    <w:p>
      <w:pPr>
        <w:jc w:val="left"/>
        <w:rPr>
          <w:rFonts w:ascii="华文隶书" w:hAnsi="华文隶书" w:eastAsia="华文隶书" w:cs="华文隶书"/>
          <w:sz w:val="72"/>
          <w:szCs w:val="72"/>
        </w:rPr>
      </w:pPr>
    </w:p>
    <w:p>
      <w:pPr>
        <w:jc w:val="left"/>
        <w:rPr>
          <w:rFonts w:ascii="华文隶书" w:hAnsi="华文隶书" w:eastAsia="华文隶书" w:cs="华文隶书"/>
          <w:sz w:val="72"/>
          <w:szCs w:val="72"/>
        </w:rPr>
      </w:pPr>
    </w:p>
    <w:p>
      <w:pPr>
        <w:jc w:val="center"/>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公正</w:t>
      </w:r>
    </w:p>
    <w:p>
      <w:pPr>
        <w:jc w:val="left"/>
        <w:rPr>
          <w:rFonts w:ascii="华文隶书" w:hAnsi="华文隶书" w:eastAsia="华文隶书" w:cs="华文隶书"/>
          <w:b/>
          <w:spacing w:val="48"/>
          <w:sz w:val="72"/>
          <w:szCs w:val="72"/>
        </w:rPr>
      </w:pPr>
    </w:p>
    <w:p>
      <w:pPr>
        <w:jc w:val="left"/>
        <w:rPr>
          <w:rFonts w:ascii="华文隶书" w:hAnsi="华文隶书" w:eastAsia="华文隶书" w:cs="华文隶书"/>
          <w:b/>
          <w:spacing w:val="48"/>
          <w:sz w:val="72"/>
          <w:szCs w:val="72"/>
        </w:rPr>
      </w:pPr>
    </w:p>
    <w:p>
      <w:pPr>
        <w:jc w:val="right"/>
        <w:rPr>
          <w:rFonts w:ascii="华文隶书" w:hAnsi="华文隶书" w:eastAsia="华文隶书" w:cs="华文隶书"/>
          <w:b/>
          <w:spacing w:val="48"/>
          <w:sz w:val="72"/>
          <w:szCs w:val="72"/>
        </w:rPr>
      </w:pPr>
      <w:r>
        <w:rPr>
          <w:rFonts w:hint="eastAsia" w:ascii="华文隶书" w:hAnsi="华文隶书" w:eastAsia="华文隶书" w:cs="华文隶书"/>
          <w:b/>
          <w:spacing w:val="48"/>
          <w:sz w:val="72"/>
          <w:szCs w:val="72"/>
        </w:rPr>
        <w:t>公开</w:t>
      </w:r>
    </w:p>
    <w:p>
      <w:pPr>
        <w:jc w:val="right"/>
        <w:rPr>
          <w:rFonts w:ascii="华文隶书" w:hAnsi="华文隶书" w:eastAsia="华文隶书" w:cs="华文隶书"/>
          <w:b/>
          <w:spacing w:val="48"/>
          <w:sz w:val="72"/>
          <w:szCs w:val="72"/>
        </w:rPr>
      </w:pPr>
    </w:p>
    <w:p>
      <w:pPr>
        <w:ind w:firstLine="1063" w:firstLineChars="353"/>
        <w:rPr>
          <w:rFonts w:ascii="宋体" w:hAnsi="宋体" w:cs="宋体"/>
          <w:b/>
          <w:sz w:val="30"/>
          <w:szCs w:val="30"/>
        </w:rPr>
      </w:pPr>
      <w:r>
        <w:rPr>
          <w:rFonts w:hint="eastAsia" w:ascii="宋体" w:hAnsi="宋体" w:cs="宋体"/>
          <w:b/>
          <w:sz w:val="30"/>
          <w:szCs w:val="30"/>
        </w:rPr>
        <w:t>企</w:t>
      </w:r>
      <w:r>
        <w:rPr>
          <w:rFonts w:ascii="宋体" w:hAnsi="宋体" w:cs="宋体"/>
          <w:b/>
          <w:sz w:val="30"/>
          <w:szCs w:val="30"/>
        </w:rPr>
        <w:t>业名称</w:t>
      </w:r>
      <w:r>
        <w:rPr>
          <w:rFonts w:hint="eastAsia" w:ascii="宋体" w:hAnsi="宋体" w:cs="宋体"/>
          <w:b/>
          <w:sz w:val="30"/>
          <w:szCs w:val="30"/>
        </w:rPr>
        <w:t>：陕西万泽招标有限公司</w:t>
      </w:r>
    </w:p>
    <w:p>
      <w:pPr>
        <w:ind w:firstLine="1063" w:firstLineChars="353"/>
        <w:rPr>
          <w:rFonts w:ascii="宋体" w:hAnsi="宋体" w:cs="宋体"/>
          <w:b/>
          <w:sz w:val="30"/>
          <w:szCs w:val="30"/>
        </w:rPr>
      </w:pPr>
      <w:r>
        <w:rPr>
          <w:rFonts w:hint="eastAsia" w:ascii="宋体" w:hAnsi="宋体" w:cs="宋体"/>
          <w:b/>
          <w:sz w:val="30"/>
          <w:szCs w:val="30"/>
        </w:rPr>
        <w:t>地    址：西安市西</w:t>
      </w:r>
      <w:r>
        <w:rPr>
          <w:rFonts w:ascii="宋体" w:hAnsi="宋体" w:cs="宋体"/>
          <w:b/>
          <w:sz w:val="30"/>
          <w:szCs w:val="30"/>
        </w:rPr>
        <w:t>关</w:t>
      </w:r>
      <w:r>
        <w:rPr>
          <w:rFonts w:hint="eastAsia" w:ascii="宋体" w:hAnsi="宋体" w:cs="宋体"/>
          <w:b/>
          <w:sz w:val="30"/>
          <w:szCs w:val="30"/>
        </w:rPr>
        <w:t>正街英</w:t>
      </w:r>
      <w:r>
        <w:rPr>
          <w:rFonts w:ascii="宋体" w:hAnsi="宋体" w:cs="宋体"/>
          <w:b/>
          <w:sz w:val="30"/>
          <w:szCs w:val="30"/>
        </w:rPr>
        <w:t>达</w:t>
      </w:r>
      <w:r>
        <w:rPr>
          <w:rFonts w:hint="eastAsia" w:ascii="宋体" w:hAnsi="宋体" w:cs="宋体"/>
          <w:b/>
          <w:sz w:val="30"/>
          <w:szCs w:val="30"/>
        </w:rPr>
        <w:t>大</w:t>
      </w:r>
      <w:r>
        <w:rPr>
          <w:rFonts w:ascii="宋体" w:hAnsi="宋体" w:cs="宋体"/>
          <w:b/>
          <w:sz w:val="30"/>
          <w:szCs w:val="30"/>
        </w:rPr>
        <w:t>厦</w:t>
      </w:r>
      <w:r>
        <w:rPr>
          <w:rFonts w:hint="eastAsia" w:ascii="宋体" w:hAnsi="宋体" w:cs="宋体"/>
          <w:b/>
          <w:sz w:val="30"/>
          <w:szCs w:val="30"/>
        </w:rPr>
        <w:t>1507室</w:t>
      </w:r>
    </w:p>
    <w:p>
      <w:pPr>
        <w:ind w:firstLine="1063" w:firstLineChars="353"/>
        <w:rPr>
          <w:rFonts w:ascii="宋体" w:hAnsi="宋体" w:cs="宋体"/>
          <w:b/>
          <w:sz w:val="30"/>
          <w:szCs w:val="30"/>
        </w:rPr>
      </w:pPr>
      <w:r>
        <w:rPr>
          <w:rFonts w:ascii="宋体" w:hAnsi="宋体" w:cs="宋体"/>
          <w:b/>
          <w:sz w:val="30"/>
          <w:szCs w:val="30"/>
        </w:rPr>
        <w:t>邮</w:t>
      </w:r>
      <w:r>
        <w:rPr>
          <w:rFonts w:hint="eastAsia" w:ascii="宋体" w:hAnsi="宋体" w:cs="宋体"/>
          <w:b/>
          <w:sz w:val="30"/>
          <w:szCs w:val="30"/>
        </w:rPr>
        <w:t>政</w:t>
      </w:r>
      <w:r>
        <w:rPr>
          <w:rFonts w:ascii="宋体" w:hAnsi="宋体" w:cs="宋体"/>
          <w:b/>
          <w:sz w:val="30"/>
          <w:szCs w:val="30"/>
        </w:rPr>
        <w:t>编码</w:t>
      </w:r>
      <w:r>
        <w:rPr>
          <w:rFonts w:hint="eastAsia" w:ascii="宋体" w:hAnsi="宋体" w:cs="宋体"/>
          <w:b/>
          <w:sz w:val="30"/>
          <w:szCs w:val="30"/>
        </w:rPr>
        <w:t>：</w:t>
      </w:r>
      <w:r>
        <w:rPr>
          <w:rFonts w:ascii="宋体" w:hAnsi="宋体" w:cs="宋体"/>
          <w:b/>
          <w:sz w:val="30"/>
          <w:szCs w:val="30"/>
        </w:rPr>
        <w:t>710082</w:t>
      </w:r>
    </w:p>
    <w:p>
      <w:pPr>
        <w:ind w:firstLine="1060"/>
        <w:rPr>
          <w:rFonts w:ascii="宋体" w:hAnsi="宋体" w:cs="宋体"/>
          <w:b/>
          <w:sz w:val="30"/>
          <w:szCs w:val="30"/>
        </w:rPr>
      </w:pPr>
      <w:r>
        <w:rPr>
          <w:rFonts w:ascii="宋体" w:hAnsi="宋体" w:cs="宋体"/>
          <w:b/>
          <w:sz w:val="30"/>
          <w:szCs w:val="30"/>
        </w:rPr>
        <w:t>电    话</w:t>
      </w:r>
      <w:r>
        <w:rPr>
          <w:rFonts w:hint="eastAsia" w:ascii="宋体" w:hAnsi="宋体" w:cs="宋体"/>
          <w:b/>
          <w:sz w:val="30"/>
          <w:szCs w:val="30"/>
        </w:rPr>
        <w:t>：</w:t>
      </w:r>
      <w:r>
        <w:rPr>
          <w:rFonts w:ascii="宋体" w:hAnsi="宋体" w:cs="宋体"/>
          <w:b/>
          <w:sz w:val="30"/>
          <w:szCs w:val="30"/>
        </w:rPr>
        <w:t>029-88319689</w:t>
      </w:r>
    </w:p>
    <w:p>
      <w:pPr>
        <w:ind w:firstLine="1060"/>
        <w:rPr>
          <w:rFonts w:asciiTheme="minorEastAsia" w:hAnsiTheme="minorEastAsia" w:cstheme="minorEastAsia"/>
        </w:rPr>
      </w:pPr>
      <w:r>
        <w:rPr>
          <w:rFonts w:ascii="宋体" w:hAnsi="宋体" w:cs="宋体"/>
          <w:b/>
          <w:sz w:val="30"/>
          <w:szCs w:val="30"/>
        </w:rPr>
        <w:t xml:space="preserve">传    </w:t>
      </w:r>
      <w:r>
        <w:rPr>
          <w:rFonts w:hint="eastAsia" w:ascii="宋体" w:hAnsi="宋体" w:cs="宋体"/>
          <w:b/>
          <w:sz w:val="30"/>
          <w:szCs w:val="30"/>
        </w:rPr>
        <w:t>真：</w:t>
      </w:r>
      <w:r>
        <w:rPr>
          <w:rFonts w:ascii="宋体" w:hAnsi="宋体" w:cs="宋体"/>
          <w:b/>
          <w:sz w:val="30"/>
          <w:szCs w:val="30"/>
        </w:rPr>
        <w:t>029-88629689</w:t>
      </w:r>
      <w:bookmarkEnd w:id="0"/>
      <w:bookmarkEnd w:id="11"/>
      <w:bookmarkEnd w:id="104"/>
    </w:p>
    <w:sectPr>
      <w:headerReference r:id="rId15" w:type="default"/>
      <w:footerReference r:id="rId16"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509"/>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26"/>
      </w:tabs>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fldChar w:fldCharType="begin"/>
                          </w:r>
                          <w:r>
                            <w:instrText xml:space="preserve"> PAGE  \* MERGEFORMAT </w:instrText>
                          </w:r>
                          <w:r>
                            <w:fldChar w:fldCharType="separate"/>
                          </w:r>
                          <w:r>
                            <w:t>13</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13</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fldChar w:fldCharType="begin"/>
                          </w:r>
                          <w:r>
                            <w:instrText xml:space="preserve"> PAGE  \* MERGEFORMAT </w:instrText>
                          </w:r>
                          <w:r>
                            <w:fldChar w:fldCharType="separate"/>
                          </w:r>
                          <w:r>
                            <w:t>24</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24</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rPr>
        <w:kern w:val="0"/>
        <w:szCs w:val="21"/>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18"/>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txbxContent>
              </v:textbox>
            </v:shape>
          </w:pict>
        </mc:Fallback>
      </mc:AlternateContent>
    </w:r>
  </w:p>
  <w:p>
    <w:pPr>
      <w:pStyle w:val="1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hAnsi="宋体"/>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fldChar w:fldCharType="begin"/>
                          </w:r>
                          <w:r>
                            <w:instrText xml:space="preserve"> PAGE  \* MERGEFORMAT </w:instrText>
                          </w:r>
                          <w:r>
                            <w:fldChar w:fldCharType="separate"/>
                          </w:r>
                          <w:r>
                            <w:t>58</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Z10szAgAAZQQAAA4AAABkcnMvZTJvRG9jLnhtbK1UzY7aMBC+V+o7&#10;WL6XAKs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b2ZUKKZQsfPP76f&#10;f/4+//pGcAeBGutniNtaRIb2nWkxNv29x2Xk3ZZOxV8wIvBD3tNVXtEGwuOj6Xg6HcLF4esPwM+e&#10;nlvnw3thFIlGTh36l2Rlx40PXWgfErNps66lTD2UmjQ5ndy8H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1Z10szAgAAZQQAAA4AAAAAAAAAAQAgAAAAHwEAAGRycy9lMm9Eb2MueG1sUEsF&#10;BgAAAAAGAAYAWQEAAMQFAAAAAA==&#10;">
              <v:fill on="f" focussize="0,0"/>
              <v:stroke on="f" weight="0.5pt"/>
              <v:imagedata o:title=""/>
              <o:lock v:ext="edit" aspectratio="f"/>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58</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r>
      <w:rPr>
        <w:rFonts w:hint="eastAsia" w:ascii="宋体" w:hAnsi="宋体"/>
      </w:rPr>
      <w:tab/>
    </w:r>
    <w:r>
      <w:rPr>
        <w:rFonts w:hint="eastAsia" w:ascii="宋体" w:hAnsi="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206500" cy="147955"/>
              <wp:effectExtent l="0" t="0" r="0" b="0"/>
              <wp:wrapNone/>
              <wp:docPr id="37" name="文本框 33"/>
              <wp:cNvGraphicFramePr/>
              <a:graphic xmlns:a="http://schemas.openxmlformats.org/drawingml/2006/main">
                <a:graphicData uri="http://schemas.microsoft.com/office/word/2010/wordprocessingShape">
                  <wps:wsp>
                    <wps:cNvSpPr txBox="1"/>
                    <wps:spPr>
                      <a:xfrm>
                        <a:off x="0" y="0"/>
                        <a:ext cx="1206500" cy="147955"/>
                      </a:xfrm>
                      <a:prstGeom prst="rect">
                        <a:avLst/>
                      </a:prstGeom>
                      <a:noFill/>
                      <a:ln w="9525">
                        <a:noFill/>
                      </a:ln>
                      <a:effectLst/>
                    </wps:spPr>
                    <wps:txbx>
                      <w:txbxContent>
                        <w:p>
                          <w:pPr>
                            <w:pStyle w:val="18"/>
                          </w:pPr>
                          <w:r>
                            <w:rPr>
                              <w:rFonts w:hint="eastAsia"/>
                            </w:rPr>
                            <w:t xml:space="preserve">第 </w:t>
                          </w:r>
                          <w:r>
                            <w:fldChar w:fldCharType="begin"/>
                          </w:r>
                          <w:r>
                            <w:instrText xml:space="preserve"> PAGE  \* MERGEFORMAT </w:instrText>
                          </w:r>
                          <w:r>
                            <w:fldChar w:fldCharType="separate"/>
                          </w:r>
                          <w:r>
                            <w:t>61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33" o:spid="_x0000_s1026" o:spt="202" type="#_x0000_t202" style="position:absolute;left:0pt;margin-top:0pt;height:11.65pt;width:95pt;mso-position-horizontal:center;mso-position-horizontal-relative:margin;mso-wrap-style:none;z-index:251669504;mso-width-relative:page;mso-height-relative:page;" filled="f" stroked="f" coordsize="21600,21600" o:gfxdata="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JkRF0QAAAAQBAAAPAAAAAAAAAAEAIAAAACIA&#10;AABkcnMvZG93bnJldi54bWxQSwECFAAUAAAACACHTuJABfS5f9cBAAClAwAADgAAAAAAAAABACAA&#10;AAAgAQAAZHJzL2Uyb0RvYy54bWxQSwUGAAAAAAYABgBZAQAAaQUAAAAA&#10;">
              <v:fill on="f" focussize="0,0"/>
              <v:stroke on="f"/>
              <v:imagedata o:title=""/>
              <o:lock v:ext="edit" aspectratio="f"/>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61</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t xml:space="preserve">第 </w:t>
                          </w:r>
                          <w:r>
                            <w:fldChar w:fldCharType="begin"/>
                          </w:r>
                          <w:r>
                            <w:instrText xml:space="preserve"> PAGE  \* MERGEFORMAT </w:instrText>
                          </w:r>
                          <w:r>
                            <w:fldChar w:fldCharType="separate"/>
                          </w:r>
                          <w:r>
                            <w:t>63</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18"/>
                    </w:pPr>
                    <w:r>
                      <w:rPr>
                        <w:rFonts w:hint="eastAsia"/>
                      </w:rPr>
                      <w:t xml:space="preserve">第 </w:t>
                    </w:r>
                    <w:r>
                      <w:fldChar w:fldCharType="begin"/>
                    </w:r>
                    <w:r>
                      <w:instrText xml:space="preserve"> PAGE  \* MERGEFORMAT </w:instrText>
                    </w:r>
                    <w:r>
                      <w:fldChar w:fldCharType="separate"/>
                    </w:r>
                    <w:r>
                      <w:t>63</w:t>
                    </w:r>
                    <w:r>
                      <w:fldChar w:fldCharType="end"/>
                    </w:r>
                    <w:r>
                      <w:rPr>
                        <w:rFonts w:hint="eastAsia"/>
                      </w:rPr>
                      <w:t xml:space="preserve"> 页 共 </w:t>
                    </w:r>
                    <w:r>
                      <w:fldChar w:fldCharType="begin"/>
                    </w:r>
                    <w:r>
                      <w:instrText xml:space="preserve"> NUMPAGES  \* MERGEFORMAT </w:instrText>
                    </w:r>
                    <w:r>
                      <w:fldChar w:fldCharType="separate"/>
                    </w:r>
                    <w:r>
                      <w:t>63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hAnsi="宋体" w:eastAsia="宋体" w:cs="宋体"/>
        <w:sz w:val="18"/>
        <w:szCs w:val="18"/>
        <w:u w:val="single"/>
        <w:lang w:eastAsia="zh-CN"/>
      </w:rPr>
    </w:pPr>
    <w:r>
      <w:rPr>
        <w:rFonts w:hint="eastAsia" w:ascii="宋体" w:hAnsi="宋体" w:eastAsia="宋体" w:cs="宋体"/>
        <w:sz w:val="15"/>
        <w:szCs w:val="15"/>
        <w:u w:val="single"/>
        <w:lang w:eastAsia="zh-CN"/>
      </w:rPr>
      <w:t>西安市第一医院</w:t>
    </w:r>
    <w:r>
      <w:rPr>
        <w:rFonts w:hint="eastAsia" w:ascii="宋体" w:hAnsi="宋体" w:eastAsia="宋体" w:cs="宋体"/>
        <w:sz w:val="15"/>
        <w:szCs w:val="15"/>
        <w:u w:val="single"/>
      </w:rPr>
      <w:t>老院区虚拟化内存扩容及3台服务节点扩容</w:t>
    </w:r>
    <w:r>
      <w:rPr>
        <w:rFonts w:hint="eastAsia" w:ascii="宋体" w:hAnsi="宋体" w:eastAsia="宋体" w:cs="宋体"/>
        <w:sz w:val="15"/>
        <w:szCs w:val="15"/>
        <w:u w:val="single"/>
        <w:lang w:eastAsia="zh-CN"/>
      </w:rPr>
      <w:t>采购项目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val="en-US" w:eastAsia="zh-CN"/>
      </w:rPr>
      <w:t>SXWZ2023ZB-DYYY-036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right="-99" w:rightChars="-47"/>
      <w:jc w:val="left"/>
      <w:rPr>
        <w:rFonts w:hint="eastAsia" w:eastAsia="宋体"/>
        <w:lang w:eastAsia="zh-CN"/>
      </w:rPr>
    </w:pPr>
    <w:r>
      <w:rPr>
        <w:rFonts w:hint="eastAsia" w:ascii="宋体" w:hAnsi="宋体" w:eastAsia="宋体" w:cs="宋体"/>
        <w:sz w:val="15"/>
        <w:szCs w:val="15"/>
        <w:u w:val="single"/>
        <w:lang w:eastAsia="zh-CN"/>
      </w:rPr>
      <w:t>西安市第一医院老院区虚拟化内存扩容及3台服务节点扩容采购项目</w:t>
    </w:r>
    <w:r>
      <w:rPr>
        <w:rFonts w:hint="eastAsia" w:ascii="宋体" w:hAnsi="宋体" w:eastAsia="宋体" w:cs="宋体"/>
        <w:sz w:val="13"/>
        <w:szCs w:val="13"/>
        <w:u w:val="single"/>
        <w:lang w:eastAsia="zh-CN"/>
      </w:rPr>
      <w:t>SXWZ2023ZB-DYYY-036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rPr>
        <w:rFonts w:hint="eastAsia" w:eastAsia="宋体"/>
        <w:lang w:eastAsia="zh-CN"/>
      </w:rPr>
    </w:pPr>
    <w:r>
      <w:rPr>
        <w:rFonts w:hint="eastAsia" w:ascii="宋体" w:hAnsi="宋体" w:eastAsia="宋体" w:cs="宋体"/>
        <w:sz w:val="15"/>
        <w:szCs w:val="15"/>
        <w:u w:val="single"/>
        <w:lang w:eastAsia="zh-CN"/>
      </w:rPr>
      <w:t>西安市第一医院老院区虚拟化内存扩容及3台服务节点扩容采购项目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SXWZ2023ZB-DYYY-036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right="-99" w:rightChars="-47"/>
      <w:jc w:val="left"/>
      <w:rPr>
        <w:rFonts w:hint="eastAsia" w:eastAsia="宋体"/>
        <w:sz w:val="18"/>
        <w:szCs w:val="18"/>
        <w:lang w:eastAsia="zh-CN"/>
      </w:rPr>
    </w:pPr>
    <w:r>
      <w:rPr>
        <w:rFonts w:hint="eastAsia" w:ascii="宋体" w:hAnsi="宋体" w:eastAsia="宋体" w:cs="宋体"/>
        <w:sz w:val="15"/>
        <w:szCs w:val="15"/>
        <w:u w:val="single"/>
        <w:lang w:eastAsia="zh-CN"/>
      </w:rPr>
      <w:t>西安市第一医院老院区虚拟化内存扩容及3台服务节点扩容采购项目</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SXWZ2023ZB-DYYY-036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rPr>
        <w:rFonts w:hint="eastAsia" w:ascii="宋体" w:hAnsi="宋体" w:eastAsia="宋体" w:cs="宋体"/>
        <w:sz w:val="18"/>
        <w:szCs w:val="18"/>
        <w:u w:val="single"/>
        <w:lang w:eastAsia="zh-CN"/>
      </w:rPr>
    </w:pPr>
    <w:r>
      <w:rPr>
        <w:rFonts w:hint="eastAsia" w:ascii="宋体" w:hAnsi="宋体" w:eastAsia="宋体" w:cs="宋体"/>
        <w:sz w:val="15"/>
        <w:szCs w:val="15"/>
        <w:u w:val="single"/>
        <w:lang w:eastAsia="zh-CN"/>
      </w:rPr>
      <w:t>西安市第一医院老院区虚拟化内存扩容及3台服务节点扩容采购项目</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SXWZ2023ZB-DYYY-036</w:t>
    </w:r>
  </w:p>
  <w:p>
    <w:pPr>
      <w:adjustRightInd w:val="0"/>
      <w:snapToGrid w:val="0"/>
      <w:spacing w:line="360" w:lineRule="auto"/>
      <w:ind w:left="11130" w:hanging="11130" w:hangingChars="530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jc w:val="left"/>
      <w:rPr>
        <w:rFonts w:hint="eastAsia" w:eastAsia="宋体"/>
        <w:lang w:eastAsia="zh-CN"/>
      </w:rPr>
    </w:pPr>
    <w:r>
      <w:rPr>
        <w:rFonts w:hint="eastAsia" w:ascii="宋体" w:hAnsi="宋体" w:eastAsia="宋体" w:cs="宋体"/>
        <w:sz w:val="15"/>
        <w:szCs w:val="15"/>
        <w:u w:val="single"/>
        <w:lang w:eastAsia="zh-CN"/>
      </w:rPr>
      <w:t>西安市第一医院老院区虚拟化内存扩容及3台服务节点扩容采购项目</w:t>
    </w:r>
    <w:r>
      <w:rPr>
        <w:rFonts w:hint="eastAsia" w:ascii="宋体" w:hAnsi="宋体" w:eastAsia="宋体" w:cs="宋体"/>
        <w:sz w:val="15"/>
        <w:szCs w:val="15"/>
        <w:u w:val="single"/>
        <w:lang w:val="en-US" w:eastAsia="zh-CN"/>
      </w:rPr>
      <w:t xml:space="preserve">                                         </w:t>
    </w:r>
    <w:r>
      <w:rPr>
        <w:rFonts w:hint="eastAsia" w:ascii="宋体" w:hAnsi="宋体" w:eastAsia="宋体" w:cs="宋体"/>
        <w:sz w:val="15"/>
        <w:szCs w:val="15"/>
        <w:u w:val="single"/>
        <w:lang w:eastAsia="zh-CN"/>
      </w:rPr>
      <w:t>SXWZ2023ZB-DYYY-036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C2602"/>
    <w:multiLevelType w:val="singleLevel"/>
    <w:tmpl w:val="A53C2602"/>
    <w:lvl w:ilvl="0" w:tentative="0">
      <w:start w:val="2"/>
      <w:numFmt w:val="chineseCounting"/>
      <w:suff w:val="nothing"/>
      <w:lvlText w:val="%1、"/>
      <w:lvlJc w:val="left"/>
      <w:rPr>
        <w:rFonts w:hint="eastAsia"/>
      </w:rPr>
    </w:lvl>
  </w:abstractNum>
  <w:abstractNum w:abstractNumId="1">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0342A844"/>
    <w:multiLevelType w:val="singleLevel"/>
    <w:tmpl w:val="0342A844"/>
    <w:lvl w:ilvl="0" w:tentative="0">
      <w:start w:val="6"/>
      <w:numFmt w:val="chineseCounting"/>
      <w:suff w:val="space"/>
      <w:lvlText w:val="第%1部分"/>
      <w:lvlJc w:val="left"/>
      <w:rPr>
        <w:rFonts w:hint="eastAsia"/>
      </w:rPr>
    </w:lvl>
  </w:abstractNum>
  <w:abstractNum w:abstractNumId="3">
    <w:nsid w:val="206E46BF"/>
    <w:multiLevelType w:val="multilevel"/>
    <w:tmpl w:val="206E46BF"/>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482E4BE6"/>
    <w:multiLevelType w:val="multilevel"/>
    <w:tmpl w:val="482E4BE6"/>
    <w:lvl w:ilvl="0" w:tentative="0">
      <w:start w:val="1"/>
      <w:numFmt w:val="decimal"/>
      <w:lvlText w:val="%1、"/>
      <w:lvlJc w:val="left"/>
      <w:pPr>
        <w:ind w:left="360" w:hanging="360"/>
      </w:pPr>
      <w:rPr>
        <w:rFonts w:hint="default" w:cstheme="minorBidi"/>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CD0282"/>
    <w:multiLevelType w:val="multilevel"/>
    <w:tmpl w:val="54CD0282"/>
    <w:lvl w:ilvl="0" w:tentative="0">
      <w:start w:val="1"/>
      <w:numFmt w:val="decimal"/>
      <w:lvlText w:val="%1、"/>
      <w:lvlJc w:val="left"/>
      <w:pPr>
        <w:tabs>
          <w:tab w:val="left" w:pos="360"/>
        </w:tabs>
        <w:ind w:left="360" w:hanging="360"/>
      </w:pPr>
      <w:rPr>
        <w:rFonts w:hint="default" w:ascii="宋体" w:hAnsi="宋体" w:eastAsia="宋体" w:cs="Times New Roman"/>
        <w:b w:val="0"/>
        <w:bCs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5530B97F"/>
    <w:multiLevelType w:val="singleLevel"/>
    <w:tmpl w:val="5530B97F"/>
    <w:lvl w:ilvl="0" w:tentative="0">
      <w:start w:val="1"/>
      <w:numFmt w:val="chineseCounting"/>
      <w:suff w:val="nothing"/>
      <w:lvlText w:val="%1、"/>
      <w:lvlJc w:val="left"/>
      <w:pPr>
        <w:ind w:left="-60"/>
      </w:pPr>
    </w:lvl>
  </w:abstractNum>
  <w:abstractNum w:abstractNumId="7">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8">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9">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0">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1">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2">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3">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4">
    <w:nsid w:val="58BFC3B3"/>
    <w:multiLevelType w:val="singleLevel"/>
    <w:tmpl w:val="58BFC3B3"/>
    <w:lvl w:ilvl="0" w:tentative="0">
      <w:start w:val="1"/>
      <w:numFmt w:val="decimal"/>
      <w:suff w:val="nothing"/>
      <w:lvlText w:val="（%1）"/>
      <w:lvlJc w:val="left"/>
      <w:pPr>
        <w:ind w:left="210" w:firstLine="420"/>
      </w:pPr>
      <w:rPr>
        <w:rFonts w:hint="default"/>
      </w:rPr>
    </w:lvl>
  </w:abstractNum>
  <w:abstractNum w:abstractNumId="15">
    <w:nsid w:val="58BFC878"/>
    <w:multiLevelType w:val="singleLevel"/>
    <w:tmpl w:val="58BFC878"/>
    <w:lvl w:ilvl="0" w:tentative="0">
      <w:start w:val="1"/>
      <w:numFmt w:val="decimal"/>
      <w:suff w:val="nothing"/>
      <w:lvlText w:val="%1、"/>
      <w:lvlJc w:val="left"/>
      <w:pPr>
        <w:ind w:left="63" w:firstLine="420"/>
      </w:pPr>
      <w:rPr>
        <w:rFonts w:hint="default"/>
      </w:rPr>
    </w:lvl>
  </w:abstractNum>
  <w:abstractNum w:abstractNumId="16">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7">
    <w:nsid w:val="58E5EC48"/>
    <w:multiLevelType w:val="singleLevel"/>
    <w:tmpl w:val="58E5EC48"/>
    <w:lvl w:ilvl="0" w:tentative="0">
      <w:start w:val="1"/>
      <w:numFmt w:val="decimal"/>
      <w:suff w:val="nothing"/>
      <w:lvlText w:val="（%1）"/>
      <w:lvlJc w:val="left"/>
    </w:lvl>
  </w:abstractNum>
  <w:abstractNum w:abstractNumId="18">
    <w:nsid w:val="5902B6A7"/>
    <w:multiLevelType w:val="singleLevel"/>
    <w:tmpl w:val="5902B6A7"/>
    <w:lvl w:ilvl="0" w:tentative="0">
      <w:start w:val="1"/>
      <w:numFmt w:val="decimal"/>
      <w:pStyle w:val="7"/>
      <w:lvlText w:val="%1."/>
      <w:lvlJc w:val="left"/>
      <w:pPr>
        <w:tabs>
          <w:tab w:val="left" w:pos="360"/>
        </w:tabs>
        <w:ind w:left="360" w:hanging="360"/>
      </w:pPr>
    </w:lvl>
  </w:abstractNum>
  <w:abstractNum w:abstractNumId="19">
    <w:nsid w:val="59F08EA7"/>
    <w:multiLevelType w:val="singleLevel"/>
    <w:tmpl w:val="59F08EA7"/>
    <w:lvl w:ilvl="0" w:tentative="0">
      <w:start w:val="1"/>
      <w:numFmt w:val="decimal"/>
      <w:suff w:val="nothing"/>
      <w:lvlText w:val="（%1）"/>
      <w:lvlJc w:val="left"/>
      <w:pPr>
        <w:ind w:left="-60" w:firstLine="420"/>
      </w:pPr>
      <w:rPr>
        <w:rFonts w:hint="default"/>
      </w:rPr>
    </w:lvl>
  </w:abstractNum>
  <w:abstractNum w:abstractNumId="20">
    <w:nsid w:val="59F099C9"/>
    <w:multiLevelType w:val="singleLevel"/>
    <w:tmpl w:val="59F099C9"/>
    <w:lvl w:ilvl="0" w:tentative="0">
      <w:start w:val="1"/>
      <w:numFmt w:val="decimal"/>
      <w:suff w:val="nothing"/>
      <w:lvlText w:val="（%1）"/>
      <w:lvlJc w:val="left"/>
      <w:pPr>
        <w:ind w:left="0" w:firstLine="420"/>
      </w:pPr>
      <w:rPr>
        <w:rFonts w:hint="default"/>
      </w:rPr>
    </w:lvl>
  </w:abstractNum>
  <w:abstractNum w:abstractNumId="21">
    <w:nsid w:val="59F09AA5"/>
    <w:multiLevelType w:val="singleLevel"/>
    <w:tmpl w:val="59F09AA5"/>
    <w:lvl w:ilvl="0" w:tentative="0">
      <w:start w:val="1"/>
      <w:numFmt w:val="decimal"/>
      <w:suff w:val="nothing"/>
      <w:lvlText w:val="（%1）"/>
      <w:lvlJc w:val="left"/>
      <w:pPr>
        <w:ind w:left="0" w:firstLine="420"/>
      </w:pPr>
      <w:rPr>
        <w:rFonts w:hint="default"/>
      </w:rPr>
    </w:lvl>
  </w:abstractNum>
  <w:num w:numId="1">
    <w:abstractNumId w:val="18"/>
  </w:num>
  <w:num w:numId="2">
    <w:abstractNumId w:val="6"/>
  </w:num>
  <w:num w:numId="3">
    <w:abstractNumId w:val="15"/>
  </w:num>
  <w:num w:numId="4">
    <w:abstractNumId w:val="9"/>
  </w:num>
  <w:num w:numId="5">
    <w:abstractNumId w:val="1"/>
  </w:num>
  <w:num w:numId="6">
    <w:abstractNumId w:val="7"/>
  </w:num>
  <w:num w:numId="7">
    <w:abstractNumId w:val="13"/>
  </w:num>
  <w:num w:numId="8">
    <w:abstractNumId w:val="16"/>
  </w:num>
  <w:num w:numId="9">
    <w:abstractNumId w:val="8"/>
  </w:num>
  <w:num w:numId="10">
    <w:abstractNumId w:val="10"/>
  </w:num>
  <w:num w:numId="11">
    <w:abstractNumId w:val="14"/>
  </w:num>
  <w:num w:numId="12">
    <w:abstractNumId w:val="20"/>
  </w:num>
  <w:num w:numId="13">
    <w:abstractNumId w:val="11"/>
  </w:num>
  <w:num w:numId="14">
    <w:abstractNumId w:val="12"/>
  </w:num>
  <w:num w:numId="15">
    <w:abstractNumId w:val="19"/>
  </w:num>
  <w:num w:numId="16">
    <w:abstractNumId w:val="21"/>
  </w:num>
  <w:num w:numId="17">
    <w:abstractNumId w:val="5"/>
  </w:num>
  <w:num w:numId="18">
    <w:abstractNumId w:val="4"/>
  </w:num>
  <w:num w:numId="19">
    <w:abstractNumId w:val="0"/>
  </w:num>
  <w:num w:numId="20">
    <w:abstractNumId w:val="3"/>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hideSpellingErrors/>
  <w:documentProtection w:enforcement="0"/>
  <w:defaultTabStop w:val="420"/>
  <w:drawingGridHorizontalSpacing w:val="105"/>
  <w:drawingGridVerticalSpacing w:val="162"/>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ODhmMTk2NGUyOWI3OWViZmQ0ODkzZTYyOGI1ZDgifQ=="/>
  </w:docVars>
  <w:rsids>
    <w:rsidRoot w:val="2627224F"/>
    <w:rsid w:val="00017B33"/>
    <w:rsid w:val="00057223"/>
    <w:rsid w:val="000A2452"/>
    <w:rsid w:val="000B07DE"/>
    <w:rsid w:val="000B3DD4"/>
    <w:rsid w:val="000B6ECB"/>
    <w:rsid w:val="000C0895"/>
    <w:rsid w:val="000C673D"/>
    <w:rsid w:val="000F628F"/>
    <w:rsid w:val="000F7A72"/>
    <w:rsid w:val="001113FA"/>
    <w:rsid w:val="00114D13"/>
    <w:rsid w:val="0011607E"/>
    <w:rsid w:val="001563E1"/>
    <w:rsid w:val="00167A28"/>
    <w:rsid w:val="00171FE9"/>
    <w:rsid w:val="001A439C"/>
    <w:rsid w:val="001D76B9"/>
    <w:rsid w:val="001E7E49"/>
    <w:rsid w:val="00205EEF"/>
    <w:rsid w:val="0023625C"/>
    <w:rsid w:val="0025657F"/>
    <w:rsid w:val="002647A7"/>
    <w:rsid w:val="00295F6C"/>
    <w:rsid w:val="002B1E22"/>
    <w:rsid w:val="002C54CF"/>
    <w:rsid w:val="002D5DC2"/>
    <w:rsid w:val="002D7A6D"/>
    <w:rsid w:val="002E07BF"/>
    <w:rsid w:val="002F6F54"/>
    <w:rsid w:val="002F6FCA"/>
    <w:rsid w:val="00337601"/>
    <w:rsid w:val="00360C09"/>
    <w:rsid w:val="003A3201"/>
    <w:rsid w:val="003C2DEE"/>
    <w:rsid w:val="003C67F2"/>
    <w:rsid w:val="003D37C1"/>
    <w:rsid w:val="003E1DDF"/>
    <w:rsid w:val="003E65D8"/>
    <w:rsid w:val="003E7B81"/>
    <w:rsid w:val="003F04B9"/>
    <w:rsid w:val="003F3D18"/>
    <w:rsid w:val="003F5518"/>
    <w:rsid w:val="003F64A7"/>
    <w:rsid w:val="004057C8"/>
    <w:rsid w:val="004456E2"/>
    <w:rsid w:val="00453BA6"/>
    <w:rsid w:val="004666C6"/>
    <w:rsid w:val="00474529"/>
    <w:rsid w:val="00482B14"/>
    <w:rsid w:val="004C2AF8"/>
    <w:rsid w:val="004D70C5"/>
    <w:rsid w:val="004E4BFB"/>
    <w:rsid w:val="004E4CF5"/>
    <w:rsid w:val="004F4988"/>
    <w:rsid w:val="0050491F"/>
    <w:rsid w:val="00520C66"/>
    <w:rsid w:val="005217F8"/>
    <w:rsid w:val="00522064"/>
    <w:rsid w:val="00530399"/>
    <w:rsid w:val="00536870"/>
    <w:rsid w:val="005439A7"/>
    <w:rsid w:val="00544E99"/>
    <w:rsid w:val="00571D17"/>
    <w:rsid w:val="00576A5F"/>
    <w:rsid w:val="00581423"/>
    <w:rsid w:val="005B3960"/>
    <w:rsid w:val="005D7A12"/>
    <w:rsid w:val="00613B65"/>
    <w:rsid w:val="006657C9"/>
    <w:rsid w:val="0069223C"/>
    <w:rsid w:val="00696FBA"/>
    <w:rsid w:val="006C6A32"/>
    <w:rsid w:val="006E169C"/>
    <w:rsid w:val="006E46DF"/>
    <w:rsid w:val="006F1FD6"/>
    <w:rsid w:val="00736BCC"/>
    <w:rsid w:val="0074281E"/>
    <w:rsid w:val="007447C1"/>
    <w:rsid w:val="00770871"/>
    <w:rsid w:val="0077254B"/>
    <w:rsid w:val="00792269"/>
    <w:rsid w:val="00792491"/>
    <w:rsid w:val="007A4E4B"/>
    <w:rsid w:val="007A6C1E"/>
    <w:rsid w:val="007C4A71"/>
    <w:rsid w:val="007D1286"/>
    <w:rsid w:val="007D15F9"/>
    <w:rsid w:val="00811783"/>
    <w:rsid w:val="008173C9"/>
    <w:rsid w:val="008234E9"/>
    <w:rsid w:val="008259FA"/>
    <w:rsid w:val="00875FAC"/>
    <w:rsid w:val="00876828"/>
    <w:rsid w:val="008866C0"/>
    <w:rsid w:val="00895737"/>
    <w:rsid w:val="008962A7"/>
    <w:rsid w:val="008A112A"/>
    <w:rsid w:val="008A367A"/>
    <w:rsid w:val="008D7D4E"/>
    <w:rsid w:val="008E7C81"/>
    <w:rsid w:val="008F6EFE"/>
    <w:rsid w:val="009435BE"/>
    <w:rsid w:val="00954CF1"/>
    <w:rsid w:val="009C478A"/>
    <w:rsid w:val="009E3BD2"/>
    <w:rsid w:val="009E7878"/>
    <w:rsid w:val="009F29DA"/>
    <w:rsid w:val="00A00C3E"/>
    <w:rsid w:val="00A02D64"/>
    <w:rsid w:val="00A248F4"/>
    <w:rsid w:val="00A50E8F"/>
    <w:rsid w:val="00A51FDF"/>
    <w:rsid w:val="00A55ABC"/>
    <w:rsid w:val="00A62024"/>
    <w:rsid w:val="00A63494"/>
    <w:rsid w:val="00A8343C"/>
    <w:rsid w:val="00A921BA"/>
    <w:rsid w:val="00AB0730"/>
    <w:rsid w:val="00AB0C4F"/>
    <w:rsid w:val="00AC7625"/>
    <w:rsid w:val="00AD5CD5"/>
    <w:rsid w:val="00AF40F8"/>
    <w:rsid w:val="00B03686"/>
    <w:rsid w:val="00B32079"/>
    <w:rsid w:val="00B73E01"/>
    <w:rsid w:val="00B76303"/>
    <w:rsid w:val="00B76DB3"/>
    <w:rsid w:val="00BC1AB3"/>
    <w:rsid w:val="00BC1B63"/>
    <w:rsid w:val="00BD2757"/>
    <w:rsid w:val="00BD2877"/>
    <w:rsid w:val="00BD4D2B"/>
    <w:rsid w:val="00C127A3"/>
    <w:rsid w:val="00C12CCF"/>
    <w:rsid w:val="00C144EE"/>
    <w:rsid w:val="00C41E46"/>
    <w:rsid w:val="00CB13A4"/>
    <w:rsid w:val="00CE65B1"/>
    <w:rsid w:val="00D01247"/>
    <w:rsid w:val="00D070EB"/>
    <w:rsid w:val="00D574E4"/>
    <w:rsid w:val="00D576EF"/>
    <w:rsid w:val="00DA4229"/>
    <w:rsid w:val="00DC1986"/>
    <w:rsid w:val="00DC7FB0"/>
    <w:rsid w:val="00E04145"/>
    <w:rsid w:val="00E12D35"/>
    <w:rsid w:val="00E13657"/>
    <w:rsid w:val="00E20E24"/>
    <w:rsid w:val="00E2372B"/>
    <w:rsid w:val="00E24AFE"/>
    <w:rsid w:val="00E65904"/>
    <w:rsid w:val="00E9724B"/>
    <w:rsid w:val="00EA1ECE"/>
    <w:rsid w:val="00EC6E7A"/>
    <w:rsid w:val="00EE3BBD"/>
    <w:rsid w:val="00F15049"/>
    <w:rsid w:val="00F20B01"/>
    <w:rsid w:val="00F234ED"/>
    <w:rsid w:val="00F36E95"/>
    <w:rsid w:val="00F75245"/>
    <w:rsid w:val="00F94DCB"/>
    <w:rsid w:val="00FD4469"/>
    <w:rsid w:val="00FE167F"/>
    <w:rsid w:val="010846EF"/>
    <w:rsid w:val="010C1913"/>
    <w:rsid w:val="010F34F2"/>
    <w:rsid w:val="012A0989"/>
    <w:rsid w:val="012B7E09"/>
    <w:rsid w:val="013A223F"/>
    <w:rsid w:val="013D05F9"/>
    <w:rsid w:val="0144505B"/>
    <w:rsid w:val="015B6AE9"/>
    <w:rsid w:val="01711768"/>
    <w:rsid w:val="01746552"/>
    <w:rsid w:val="01766266"/>
    <w:rsid w:val="01920D21"/>
    <w:rsid w:val="019D4E57"/>
    <w:rsid w:val="01A249C3"/>
    <w:rsid w:val="01A33C4C"/>
    <w:rsid w:val="01B56402"/>
    <w:rsid w:val="01D424A6"/>
    <w:rsid w:val="01E90844"/>
    <w:rsid w:val="01F57ACD"/>
    <w:rsid w:val="01F90F7C"/>
    <w:rsid w:val="02064B47"/>
    <w:rsid w:val="02132B87"/>
    <w:rsid w:val="021D448D"/>
    <w:rsid w:val="022812AF"/>
    <w:rsid w:val="02412849"/>
    <w:rsid w:val="024B32D4"/>
    <w:rsid w:val="02572E23"/>
    <w:rsid w:val="025D32D6"/>
    <w:rsid w:val="026B0E1D"/>
    <w:rsid w:val="026D30F7"/>
    <w:rsid w:val="02701597"/>
    <w:rsid w:val="0277484A"/>
    <w:rsid w:val="02832C13"/>
    <w:rsid w:val="02852841"/>
    <w:rsid w:val="02854F8C"/>
    <w:rsid w:val="02874CA0"/>
    <w:rsid w:val="02904E25"/>
    <w:rsid w:val="02A7270F"/>
    <w:rsid w:val="02C33472"/>
    <w:rsid w:val="02D26084"/>
    <w:rsid w:val="02DB4DF7"/>
    <w:rsid w:val="02E713EA"/>
    <w:rsid w:val="02F65097"/>
    <w:rsid w:val="02F8646C"/>
    <w:rsid w:val="030A0C9E"/>
    <w:rsid w:val="030A706D"/>
    <w:rsid w:val="03205381"/>
    <w:rsid w:val="033755DF"/>
    <w:rsid w:val="033B4F54"/>
    <w:rsid w:val="03591321"/>
    <w:rsid w:val="035D1454"/>
    <w:rsid w:val="036C34DA"/>
    <w:rsid w:val="036F1D46"/>
    <w:rsid w:val="038037F7"/>
    <w:rsid w:val="03896C4E"/>
    <w:rsid w:val="03914CEF"/>
    <w:rsid w:val="03AB66F3"/>
    <w:rsid w:val="03C25B44"/>
    <w:rsid w:val="03E137C1"/>
    <w:rsid w:val="03F27BE8"/>
    <w:rsid w:val="041378F5"/>
    <w:rsid w:val="041B1A3F"/>
    <w:rsid w:val="041E690A"/>
    <w:rsid w:val="046267BD"/>
    <w:rsid w:val="04887663"/>
    <w:rsid w:val="04964F06"/>
    <w:rsid w:val="04B74C29"/>
    <w:rsid w:val="04CB09D5"/>
    <w:rsid w:val="04D330E5"/>
    <w:rsid w:val="050D54D0"/>
    <w:rsid w:val="052B4CCF"/>
    <w:rsid w:val="05402991"/>
    <w:rsid w:val="054575F8"/>
    <w:rsid w:val="054A0F95"/>
    <w:rsid w:val="054E1CE0"/>
    <w:rsid w:val="055F00B7"/>
    <w:rsid w:val="057042C9"/>
    <w:rsid w:val="05725950"/>
    <w:rsid w:val="05774B58"/>
    <w:rsid w:val="057A7F6E"/>
    <w:rsid w:val="05876B35"/>
    <w:rsid w:val="059C3DC6"/>
    <w:rsid w:val="05A50F26"/>
    <w:rsid w:val="05AD42ED"/>
    <w:rsid w:val="05BA2969"/>
    <w:rsid w:val="05BE2F0D"/>
    <w:rsid w:val="05C515A4"/>
    <w:rsid w:val="05D45367"/>
    <w:rsid w:val="05D62AE5"/>
    <w:rsid w:val="05E57574"/>
    <w:rsid w:val="05FC494C"/>
    <w:rsid w:val="060454DB"/>
    <w:rsid w:val="060A5284"/>
    <w:rsid w:val="06497B03"/>
    <w:rsid w:val="066D1D57"/>
    <w:rsid w:val="06887F48"/>
    <w:rsid w:val="06BE30D0"/>
    <w:rsid w:val="06EF35C6"/>
    <w:rsid w:val="06FA0DFD"/>
    <w:rsid w:val="07195727"/>
    <w:rsid w:val="07355BC7"/>
    <w:rsid w:val="0770705C"/>
    <w:rsid w:val="079428F4"/>
    <w:rsid w:val="079C7ECA"/>
    <w:rsid w:val="079D0BE2"/>
    <w:rsid w:val="07BC2556"/>
    <w:rsid w:val="07C46095"/>
    <w:rsid w:val="07C7559B"/>
    <w:rsid w:val="07F02678"/>
    <w:rsid w:val="08031F33"/>
    <w:rsid w:val="081128A2"/>
    <w:rsid w:val="08176DD1"/>
    <w:rsid w:val="08186ED9"/>
    <w:rsid w:val="08210512"/>
    <w:rsid w:val="08290F6A"/>
    <w:rsid w:val="082A28AB"/>
    <w:rsid w:val="0835675E"/>
    <w:rsid w:val="084407B0"/>
    <w:rsid w:val="08554235"/>
    <w:rsid w:val="085B1D6F"/>
    <w:rsid w:val="085B6064"/>
    <w:rsid w:val="085C2CE8"/>
    <w:rsid w:val="085E53BC"/>
    <w:rsid w:val="08667849"/>
    <w:rsid w:val="087A0447"/>
    <w:rsid w:val="0882008E"/>
    <w:rsid w:val="08843074"/>
    <w:rsid w:val="08872E3C"/>
    <w:rsid w:val="088B2EE5"/>
    <w:rsid w:val="08AA46C1"/>
    <w:rsid w:val="08B432AC"/>
    <w:rsid w:val="09061CDB"/>
    <w:rsid w:val="090A42F6"/>
    <w:rsid w:val="091C14FF"/>
    <w:rsid w:val="091E7FD5"/>
    <w:rsid w:val="091F7003"/>
    <w:rsid w:val="092A447A"/>
    <w:rsid w:val="092C43E3"/>
    <w:rsid w:val="0950470A"/>
    <w:rsid w:val="09762AEE"/>
    <w:rsid w:val="097B02EA"/>
    <w:rsid w:val="09D50B2E"/>
    <w:rsid w:val="09E35A8F"/>
    <w:rsid w:val="09EA213D"/>
    <w:rsid w:val="09EC3D33"/>
    <w:rsid w:val="09EF50C8"/>
    <w:rsid w:val="0A08744C"/>
    <w:rsid w:val="0A0976BB"/>
    <w:rsid w:val="0A1845A6"/>
    <w:rsid w:val="0A186344"/>
    <w:rsid w:val="0A3E3F88"/>
    <w:rsid w:val="0A6022E1"/>
    <w:rsid w:val="0A672A35"/>
    <w:rsid w:val="0A8A1552"/>
    <w:rsid w:val="0A991287"/>
    <w:rsid w:val="0AAC4A55"/>
    <w:rsid w:val="0AB16CAD"/>
    <w:rsid w:val="0AC83335"/>
    <w:rsid w:val="0AC97464"/>
    <w:rsid w:val="0AE61DC4"/>
    <w:rsid w:val="0AE70327"/>
    <w:rsid w:val="0AF7097C"/>
    <w:rsid w:val="0B0267FA"/>
    <w:rsid w:val="0B166CF5"/>
    <w:rsid w:val="0B167DBC"/>
    <w:rsid w:val="0B1A77EE"/>
    <w:rsid w:val="0B1F3949"/>
    <w:rsid w:val="0B220922"/>
    <w:rsid w:val="0B25432A"/>
    <w:rsid w:val="0B401ADA"/>
    <w:rsid w:val="0B5D1A85"/>
    <w:rsid w:val="0B666DB6"/>
    <w:rsid w:val="0B6947A3"/>
    <w:rsid w:val="0B6B7EE6"/>
    <w:rsid w:val="0B6D6042"/>
    <w:rsid w:val="0B986F9F"/>
    <w:rsid w:val="0BBC4457"/>
    <w:rsid w:val="0BC22433"/>
    <w:rsid w:val="0BC9793D"/>
    <w:rsid w:val="0BE92434"/>
    <w:rsid w:val="0C010536"/>
    <w:rsid w:val="0C0142A8"/>
    <w:rsid w:val="0C0149DC"/>
    <w:rsid w:val="0C3A09E2"/>
    <w:rsid w:val="0C3D1EB8"/>
    <w:rsid w:val="0C472848"/>
    <w:rsid w:val="0C484020"/>
    <w:rsid w:val="0C4B1E57"/>
    <w:rsid w:val="0C581602"/>
    <w:rsid w:val="0C635D6A"/>
    <w:rsid w:val="0C7F3BFC"/>
    <w:rsid w:val="0C876847"/>
    <w:rsid w:val="0C8F6E94"/>
    <w:rsid w:val="0CB6728F"/>
    <w:rsid w:val="0CBD0506"/>
    <w:rsid w:val="0CDD014F"/>
    <w:rsid w:val="0CDF45C6"/>
    <w:rsid w:val="0CE42FE0"/>
    <w:rsid w:val="0CF14B0E"/>
    <w:rsid w:val="0CF713B5"/>
    <w:rsid w:val="0CFD25BD"/>
    <w:rsid w:val="0D166EA2"/>
    <w:rsid w:val="0D380576"/>
    <w:rsid w:val="0D3A39B1"/>
    <w:rsid w:val="0D4A02A6"/>
    <w:rsid w:val="0D6D4DC3"/>
    <w:rsid w:val="0D734079"/>
    <w:rsid w:val="0D824FF5"/>
    <w:rsid w:val="0D8D32AC"/>
    <w:rsid w:val="0D933F5C"/>
    <w:rsid w:val="0DAB1B73"/>
    <w:rsid w:val="0DB3744D"/>
    <w:rsid w:val="0E024AB5"/>
    <w:rsid w:val="0E063787"/>
    <w:rsid w:val="0E0C42FA"/>
    <w:rsid w:val="0E182DF2"/>
    <w:rsid w:val="0E826EB4"/>
    <w:rsid w:val="0E8B4F0A"/>
    <w:rsid w:val="0EA74B5C"/>
    <w:rsid w:val="0ED80829"/>
    <w:rsid w:val="0EF47877"/>
    <w:rsid w:val="0F0376B4"/>
    <w:rsid w:val="0F053B69"/>
    <w:rsid w:val="0F134293"/>
    <w:rsid w:val="0F20161D"/>
    <w:rsid w:val="0F2C766A"/>
    <w:rsid w:val="0F38239C"/>
    <w:rsid w:val="0F44530B"/>
    <w:rsid w:val="0F5F0920"/>
    <w:rsid w:val="0F65017C"/>
    <w:rsid w:val="0F862A78"/>
    <w:rsid w:val="0F8B4403"/>
    <w:rsid w:val="0F9846A6"/>
    <w:rsid w:val="0F9F0E23"/>
    <w:rsid w:val="0FC00610"/>
    <w:rsid w:val="0FC0631E"/>
    <w:rsid w:val="0FCD563C"/>
    <w:rsid w:val="0FDD6523"/>
    <w:rsid w:val="0FED4157"/>
    <w:rsid w:val="0FFA6111"/>
    <w:rsid w:val="10216824"/>
    <w:rsid w:val="10276BB8"/>
    <w:rsid w:val="103F3D25"/>
    <w:rsid w:val="104B4EC7"/>
    <w:rsid w:val="106E4FA7"/>
    <w:rsid w:val="10702699"/>
    <w:rsid w:val="107C3DF4"/>
    <w:rsid w:val="108E6DDE"/>
    <w:rsid w:val="109854DD"/>
    <w:rsid w:val="109A1221"/>
    <w:rsid w:val="10A25F5C"/>
    <w:rsid w:val="10B85B7F"/>
    <w:rsid w:val="10C36704"/>
    <w:rsid w:val="10D20FA3"/>
    <w:rsid w:val="10D44F6A"/>
    <w:rsid w:val="10E50C75"/>
    <w:rsid w:val="10E96744"/>
    <w:rsid w:val="10F60887"/>
    <w:rsid w:val="10F863AD"/>
    <w:rsid w:val="10FF0F20"/>
    <w:rsid w:val="11061223"/>
    <w:rsid w:val="11065D81"/>
    <w:rsid w:val="110A191D"/>
    <w:rsid w:val="11194576"/>
    <w:rsid w:val="111F5B74"/>
    <w:rsid w:val="11274EE5"/>
    <w:rsid w:val="112F26C0"/>
    <w:rsid w:val="114215F5"/>
    <w:rsid w:val="114542EA"/>
    <w:rsid w:val="1149117E"/>
    <w:rsid w:val="11541D52"/>
    <w:rsid w:val="11741C87"/>
    <w:rsid w:val="11766E1A"/>
    <w:rsid w:val="11A25028"/>
    <w:rsid w:val="11A966FC"/>
    <w:rsid w:val="11AF70DB"/>
    <w:rsid w:val="11AF7799"/>
    <w:rsid w:val="11B309F5"/>
    <w:rsid w:val="11B361D3"/>
    <w:rsid w:val="11B37C5F"/>
    <w:rsid w:val="11C563E4"/>
    <w:rsid w:val="11E70273"/>
    <w:rsid w:val="11F676B7"/>
    <w:rsid w:val="12036E9B"/>
    <w:rsid w:val="12122C9D"/>
    <w:rsid w:val="121A5D1F"/>
    <w:rsid w:val="122C01F1"/>
    <w:rsid w:val="122E1068"/>
    <w:rsid w:val="123567B5"/>
    <w:rsid w:val="12415950"/>
    <w:rsid w:val="124240A1"/>
    <w:rsid w:val="124E2945"/>
    <w:rsid w:val="125C6E10"/>
    <w:rsid w:val="126260E1"/>
    <w:rsid w:val="126E66D8"/>
    <w:rsid w:val="12766F68"/>
    <w:rsid w:val="12784E55"/>
    <w:rsid w:val="128327DE"/>
    <w:rsid w:val="128A78E8"/>
    <w:rsid w:val="128C33F4"/>
    <w:rsid w:val="12971C87"/>
    <w:rsid w:val="12AF56C2"/>
    <w:rsid w:val="12C90F11"/>
    <w:rsid w:val="12D72F5E"/>
    <w:rsid w:val="12F1559D"/>
    <w:rsid w:val="12F8273A"/>
    <w:rsid w:val="12FB01C6"/>
    <w:rsid w:val="1314791D"/>
    <w:rsid w:val="131C20FB"/>
    <w:rsid w:val="133205F3"/>
    <w:rsid w:val="133501B8"/>
    <w:rsid w:val="13487675"/>
    <w:rsid w:val="134C03DB"/>
    <w:rsid w:val="13595D06"/>
    <w:rsid w:val="135B7ABC"/>
    <w:rsid w:val="138D11BC"/>
    <w:rsid w:val="139D2FCC"/>
    <w:rsid w:val="13AB6434"/>
    <w:rsid w:val="13CE328A"/>
    <w:rsid w:val="13D02FAD"/>
    <w:rsid w:val="13D61A1C"/>
    <w:rsid w:val="13D73EA8"/>
    <w:rsid w:val="13D84C83"/>
    <w:rsid w:val="13DB04B7"/>
    <w:rsid w:val="13E408D2"/>
    <w:rsid w:val="140C03BA"/>
    <w:rsid w:val="14277C69"/>
    <w:rsid w:val="1441058C"/>
    <w:rsid w:val="14426A88"/>
    <w:rsid w:val="146441B0"/>
    <w:rsid w:val="14A01236"/>
    <w:rsid w:val="14B0712C"/>
    <w:rsid w:val="14D63AF8"/>
    <w:rsid w:val="14F0226B"/>
    <w:rsid w:val="15186925"/>
    <w:rsid w:val="15285578"/>
    <w:rsid w:val="153320AA"/>
    <w:rsid w:val="15490388"/>
    <w:rsid w:val="15550B09"/>
    <w:rsid w:val="155550C1"/>
    <w:rsid w:val="156E26BA"/>
    <w:rsid w:val="156F3DFF"/>
    <w:rsid w:val="15831167"/>
    <w:rsid w:val="15881888"/>
    <w:rsid w:val="15954683"/>
    <w:rsid w:val="15C4339E"/>
    <w:rsid w:val="15C56451"/>
    <w:rsid w:val="15C8772A"/>
    <w:rsid w:val="15D34B9C"/>
    <w:rsid w:val="15D54F0F"/>
    <w:rsid w:val="15D675AD"/>
    <w:rsid w:val="15D750FC"/>
    <w:rsid w:val="15DE594F"/>
    <w:rsid w:val="15E7494C"/>
    <w:rsid w:val="16162C58"/>
    <w:rsid w:val="1630298D"/>
    <w:rsid w:val="163E79E9"/>
    <w:rsid w:val="165170DE"/>
    <w:rsid w:val="16577237"/>
    <w:rsid w:val="166B3507"/>
    <w:rsid w:val="166B7621"/>
    <w:rsid w:val="16881F81"/>
    <w:rsid w:val="169B5F81"/>
    <w:rsid w:val="16AE7F98"/>
    <w:rsid w:val="16B30189"/>
    <w:rsid w:val="16BF6BE7"/>
    <w:rsid w:val="17074827"/>
    <w:rsid w:val="1720040C"/>
    <w:rsid w:val="172072CE"/>
    <w:rsid w:val="174001C6"/>
    <w:rsid w:val="174A6993"/>
    <w:rsid w:val="17514B68"/>
    <w:rsid w:val="17532450"/>
    <w:rsid w:val="17573EE9"/>
    <w:rsid w:val="175A481E"/>
    <w:rsid w:val="175D5335"/>
    <w:rsid w:val="177112A7"/>
    <w:rsid w:val="17750095"/>
    <w:rsid w:val="17821F33"/>
    <w:rsid w:val="17872239"/>
    <w:rsid w:val="17901C3F"/>
    <w:rsid w:val="17907B2D"/>
    <w:rsid w:val="17BB0135"/>
    <w:rsid w:val="17C4420E"/>
    <w:rsid w:val="17F168F4"/>
    <w:rsid w:val="17FF6273"/>
    <w:rsid w:val="1804579C"/>
    <w:rsid w:val="180B424D"/>
    <w:rsid w:val="181D727D"/>
    <w:rsid w:val="18217691"/>
    <w:rsid w:val="182537A3"/>
    <w:rsid w:val="182D42C1"/>
    <w:rsid w:val="183111DA"/>
    <w:rsid w:val="183844A4"/>
    <w:rsid w:val="18416030"/>
    <w:rsid w:val="1854683E"/>
    <w:rsid w:val="18625EBF"/>
    <w:rsid w:val="18656CB7"/>
    <w:rsid w:val="186F0D28"/>
    <w:rsid w:val="187A55EE"/>
    <w:rsid w:val="188012FF"/>
    <w:rsid w:val="1881137E"/>
    <w:rsid w:val="18891FE1"/>
    <w:rsid w:val="188B1530"/>
    <w:rsid w:val="188B3FAB"/>
    <w:rsid w:val="18921717"/>
    <w:rsid w:val="18936EC0"/>
    <w:rsid w:val="18997F37"/>
    <w:rsid w:val="18B96776"/>
    <w:rsid w:val="18CB6946"/>
    <w:rsid w:val="18D25C2F"/>
    <w:rsid w:val="18DF4F9C"/>
    <w:rsid w:val="18E02502"/>
    <w:rsid w:val="18E51BE1"/>
    <w:rsid w:val="18F64206"/>
    <w:rsid w:val="18FA490E"/>
    <w:rsid w:val="18FA625D"/>
    <w:rsid w:val="19157D18"/>
    <w:rsid w:val="19191C44"/>
    <w:rsid w:val="191A313B"/>
    <w:rsid w:val="191B7F27"/>
    <w:rsid w:val="191D27E4"/>
    <w:rsid w:val="192C7E04"/>
    <w:rsid w:val="192F2B88"/>
    <w:rsid w:val="192F739D"/>
    <w:rsid w:val="193B2C45"/>
    <w:rsid w:val="193F7E29"/>
    <w:rsid w:val="1949206D"/>
    <w:rsid w:val="194B4581"/>
    <w:rsid w:val="19660F43"/>
    <w:rsid w:val="19773655"/>
    <w:rsid w:val="19805D37"/>
    <w:rsid w:val="19901BD6"/>
    <w:rsid w:val="19A97DC4"/>
    <w:rsid w:val="19B15D84"/>
    <w:rsid w:val="19B162D6"/>
    <w:rsid w:val="19C0272D"/>
    <w:rsid w:val="19C82216"/>
    <w:rsid w:val="19EF056A"/>
    <w:rsid w:val="1A1306D6"/>
    <w:rsid w:val="1A324F2D"/>
    <w:rsid w:val="1A462475"/>
    <w:rsid w:val="1A606171"/>
    <w:rsid w:val="1A746A64"/>
    <w:rsid w:val="1A787B40"/>
    <w:rsid w:val="1A874A9F"/>
    <w:rsid w:val="1A887EA1"/>
    <w:rsid w:val="1A8D1A02"/>
    <w:rsid w:val="1A903574"/>
    <w:rsid w:val="1A997EE2"/>
    <w:rsid w:val="1AAE25CF"/>
    <w:rsid w:val="1B115D3C"/>
    <w:rsid w:val="1B1E0896"/>
    <w:rsid w:val="1B612DA1"/>
    <w:rsid w:val="1B6A11E1"/>
    <w:rsid w:val="1B807337"/>
    <w:rsid w:val="1B8E66DD"/>
    <w:rsid w:val="1B99695D"/>
    <w:rsid w:val="1B9C0929"/>
    <w:rsid w:val="1BA47C58"/>
    <w:rsid w:val="1BA55045"/>
    <w:rsid w:val="1BB80F43"/>
    <w:rsid w:val="1BC170B5"/>
    <w:rsid w:val="1BC85289"/>
    <w:rsid w:val="1BCB5F23"/>
    <w:rsid w:val="1BE64759"/>
    <w:rsid w:val="1BF0529D"/>
    <w:rsid w:val="1C056994"/>
    <w:rsid w:val="1C0D382D"/>
    <w:rsid w:val="1C293336"/>
    <w:rsid w:val="1C2E5CD4"/>
    <w:rsid w:val="1C3A3664"/>
    <w:rsid w:val="1C550846"/>
    <w:rsid w:val="1C63127F"/>
    <w:rsid w:val="1C6C08F4"/>
    <w:rsid w:val="1C6D7A62"/>
    <w:rsid w:val="1C861950"/>
    <w:rsid w:val="1C8B6F5F"/>
    <w:rsid w:val="1C9479CF"/>
    <w:rsid w:val="1C996C5A"/>
    <w:rsid w:val="1C9B7F2C"/>
    <w:rsid w:val="1CEB2835"/>
    <w:rsid w:val="1CEF4C58"/>
    <w:rsid w:val="1CF923C8"/>
    <w:rsid w:val="1D0732EA"/>
    <w:rsid w:val="1D155103"/>
    <w:rsid w:val="1D35483F"/>
    <w:rsid w:val="1D385997"/>
    <w:rsid w:val="1D4C378E"/>
    <w:rsid w:val="1D542943"/>
    <w:rsid w:val="1D6867AA"/>
    <w:rsid w:val="1D6B0D1C"/>
    <w:rsid w:val="1D6B553A"/>
    <w:rsid w:val="1D725F31"/>
    <w:rsid w:val="1D9A028D"/>
    <w:rsid w:val="1DA8115B"/>
    <w:rsid w:val="1DB74394"/>
    <w:rsid w:val="1DC15D79"/>
    <w:rsid w:val="1DC204E2"/>
    <w:rsid w:val="1DC92CBB"/>
    <w:rsid w:val="1DD0420E"/>
    <w:rsid w:val="1DE859FC"/>
    <w:rsid w:val="1DEF3BFA"/>
    <w:rsid w:val="1DF97E9A"/>
    <w:rsid w:val="1DFE4B18"/>
    <w:rsid w:val="1E13124E"/>
    <w:rsid w:val="1E28165B"/>
    <w:rsid w:val="1E2F362A"/>
    <w:rsid w:val="1E3F13E8"/>
    <w:rsid w:val="1E4814D7"/>
    <w:rsid w:val="1E591E92"/>
    <w:rsid w:val="1E5A177B"/>
    <w:rsid w:val="1E6D42C6"/>
    <w:rsid w:val="1E8407C2"/>
    <w:rsid w:val="1E99527E"/>
    <w:rsid w:val="1EA31FFF"/>
    <w:rsid w:val="1EA57449"/>
    <w:rsid w:val="1EA872D7"/>
    <w:rsid w:val="1EC90A9D"/>
    <w:rsid w:val="1EF51209"/>
    <w:rsid w:val="1EFC66B5"/>
    <w:rsid w:val="1F0001D5"/>
    <w:rsid w:val="1F122256"/>
    <w:rsid w:val="1F1C595D"/>
    <w:rsid w:val="1F2A6718"/>
    <w:rsid w:val="1F622F94"/>
    <w:rsid w:val="1F766018"/>
    <w:rsid w:val="1F81741B"/>
    <w:rsid w:val="1F896F53"/>
    <w:rsid w:val="1F8B326D"/>
    <w:rsid w:val="1F8B4890"/>
    <w:rsid w:val="1F932092"/>
    <w:rsid w:val="1FB25319"/>
    <w:rsid w:val="1FBE2CB0"/>
    <w:rsid w:val="1FC4124F"/>
    <w:rsid w:val="1FDF119E"/>
    <w:rsid w:val="201F03F2"/>
    <w:rsid w:val="202177E7"/>
    <w:rsid w:val="2040436F"/>
    <w:rsid w:val="204A05F1"/>
    <w:rsid w:val="20722E3E"/>
    <w:rsid w:val="20B1245C"/>
    <w:rsid w:val="20CC4AE9"/>
    <w:rsid w:val="20FE21F6"/>
    <w:rsid w:val="211A2370"/>
    <w:rsid w:val="211D3F48"/>
    <w:rsid w:val="21306063"/>
    <w:rsid w:val="21325E28"/>
    <w:rsid w:val="214D7F75"/>
    <w:rsid w:val="215545B8"/>
    <w:rsid w:val="21692402"/>
    <w:rsid w:val="216C4D54"/>
    <w:rsid w:val="21782D76"/>
    <w:rsid w:val="217B5F4F"/>
    <w:rsid w:val="21896017"/>
    <w:rsid w:val="219A6E87"/>
    <w:rsid w:val="219B6962"/>
    <w:rsid w:val="21AC1370"/>
    <w:rsid w:val="21AC6C50"/>
    <w:rsid w:val="21B21144"/>
    <w:rsid w:val="21B53414"/>
    <w:rsid w:val="21CD7397"/>
    <w:rsid w:val="21D42B22"/>
    <w:rsid w:val="21FE0428"/>
    <w:rsid w:val="22292C54"/>
    <w:rsid w:val="22396826"/>
    <w:rsid w:val="223D493B"/>
    <w:rsid w:val="223E6B17"/>
    <w:rsid w:val="224A2AE1"/>
    <w:rsid w:val="226C09A9"/>
    <w:rsid w:val="22866B81"/>
    <w:rsid w:val="22B14F20"/>
    <w:rsid w:val="22E569AE"/>
    <w:rsid w:val="22E64C5B"/>
    <w:rsid w:val="23103DC5"/>
    <w:rsid w:val="233A3091"/>
    <w:rsid w:val="23400FE6"/>
    <w:rsid w:val="23565547"/>
    <w:rsid w:val="23614850"/>
    <w:rsid w:val="2385142A"/>
    <w:rsid w:val="23965D35"/>
    <w:rsid w:val="23C748F0"/>
    <w:rsid w:val="23CF23CE"/>
    <w:rsid w:val="23D116CA"/>
    <w:rsid w:val="23E303FA"/>
    <w:rsid w:val="2407133A"/>
    <w:rsid w:val="24155071"/>
    <w:rsid w:val="24292561"/>
    <w:rsid w:val="242A22F9"/>
    <w:rsid w:val="24405900"/>
    <w:rsid w:val="24575A93"/>
    <w:rsid w:val="245B28F0"/>
    <w:rsid w:val="24651576"/>
    <w:rsid w:val="246931A3"/>
    <w:rsid w:val="249F2143"/>
    <w:rsid w:val="24BC4775"/>
    <w:rsid w:val="24BE2F37"/>
    <w:rsid w:val="24C023F7"/>
    <w:rsid w:val="24C17129"/>
    <w:rsid w:val="24C904D9"/>
    <w:rsid w:val="24D26ABE"/>
    <w:rsid w:val="24D740D4"/>
    <w:rsid w:val="24D779BE"/>
    <w:rsid w:val="24EE7382"/>
    <w:rsid w:val="24F14E09"/>
    <w:rsid w:val="250F1637"/>
    <w:rsid w:val="25186BD9"/>
    <w:rsid w:val="252E1698"/>
    <w:rsid w:val="253003BA"/>
    <w:rsid w:val="25326A1A"/>
    <w:rsid w:val="254860BD"/>
    <w:rsid w:val="255F7AD2"/>
    <w:rsid w:val="256D4FBD"/>
    <w:rsid w:val="257706D1"/>
    <w:rsid w:val="25800D6B"/>
    <w:rsid w:val="25842F03"/>
    <w:rsid w:val="258D7072"/>
    <w:rsid w:val="259D3142"/>
    <w:rsid w:val="25A22420"/>
    <w:rsid w:val="25C10A2A"/>
    <w:rsid w:val="25E30DED"/>
    <w:rsid w:val="25F66BC9"/>
    <w:rsid w:val="25FD5DBC"/>
    <w:rsid w:val="261849A4"/>
    <w:rsid w:val="2627224F"/>
    <w:rsid w:val="262A3428"/>
    <w:rsid w:val="26507C71"/>
    <w:rsid w:val="267C3185"/>
    <w:rsid w:val="268241FF"/>
    <w:rsid w:val="268F0627"/>
    <w:rsid w:val="269879AC"/>
    <w:rsid w:val="26AA088B"/>
    <w:rsid w:val="26B8793C"/>
    <w:rsid w:val="270C7E7B"/>
    <w:rsid w:val="27180E6A"/>
    <w:rsid w:val="271E393C"/>
    <w:rsid w:val="27210BF0"/>
    <w:rsid w:val="274E3F04"/>
    <w:rsid w:val="27581696"/>
    <w:rsid w:val="278F4995"/>
    <w:rsid w:val="27AA4610"/>
    <w:rsid w:val="27AC54F6"/>
    <w:rsid w:val="27B150B0"/>
    <w:rsid w:val="27C23559"/>
    <w:rsid w:val="27C57281"/>
    <w:rsid w:val="27C72359"/>
    <w:rsid w:val="27C87B08"/>
    <w:rsid w:val="27D736F7"/>
    <w:rsid w:val="28055B11"/>
    <w:rsid w:val="282E3D83"/>
    <w:rsid w:val="28330349"/>
    <w:rsid w:val="283C0E1E"/>
    <w:rsid w:val="284B7D71"/>
    <w:rsid w:val="285309E1"/>
    <w:rsid w:val="286216CD"/>
    <w:rsid w:val="2873035F"/>
    <w:rsid w:val="28B34564"/>
    <w:rsid w:val="28B43D14"/>
    <w:rsid w:val="28E47092"/>
    <w:rsid w:val="29304A14"/>
    <w:rsid w:val="294409BC"/>
    <w:rsid w:val="29470DE7"/>
    <w:rsid w:val="294E0E09"/>
    <w:rsid w:val="29557225"/>
    <w:rsid w:val="29652790"/>
    <w:rsid w:val="29690D96"/>
    <w:rsid w:val="297306E7"/>
    <w:rsid w:val="299F433F"/>
    <w:rsid w:val="29A143AE"/>
    <w:rsid w:val="29A82408"/>
    <w:rsid w:val="29B46D85"/>
    <w:rsid w:val="29BA7125"/>
    <w:rsid w:val="29D247BE"/>
    <w:rsid w:val="29DB5624"/>
    <w:rsid w:val="29EC16EE"/>
    <w:rsid w:val="29F551F9"/>
    <w:rsid w:val="29FA2986"/>
    <w:rsid w:val="29FA664E"/>
    <w:rsid w:val="29FC5621"/>
    <w:rsid w:val="2A2A5B1D"/>
    <w:rsid w:val="2A4A0382"/>
    <w:rsid w:val="2A581BB7"/>
    <w:rsid w:val="2A604683"/>
    <w:rsid w:val="2A641987"/>
    <w:rsid w:val="2A726D79"/>
    <w:rsid w:val="2A7725E1"/>
    <w:rsid w:val="2A805470"/>
    <w:rsid w:val="2A8810EB"/>
    <w:rsid w:val="2A8B3551"/>
    <w:rsid w:val="2A9E1584"/>
    <w:rsid w:val="2AA02867"/>
    <w:rsid w:val="2AB2663D"/>
    <w:rsid w:val="2AB357E7"/>
    <w:rsid w:val="2ABB6960"/>
    <w:rsid w:val="2AC85D31"/>
    <w:rsid w:val="2ACE110D"/>
    <w:rsid w:val="2AEF2645"/>
    <w:rsid w:val="2AF33F87"/>
    <w:rsid w:val="2AF76423"/>
    <w:rsid w:val="2B127165"/>
    <w:rsid w:val="2B2F4C6A"/>
    <w:rsid w:val="2B3527D2"/>
    <w:rsid w:val="2B395A62"/>
    <w:rsid w:val="2B4167F4"/>
    <w:rsid w:val="2B44587B"/>
    <w:rsid w:val="2B467033"/>
    <w:rsid w:val="2B63494F"/>
    <w:rsid w:val="2B850876"/>
    <w:rsid w:val="2B870602"/>
    <w:rsid w:val="2B946A71"/>
    <w:rsid w:val="2B9672D3"/>
    <w:rsid w:val="2BA94A1C"/>
    <w:rsid w:val="2BB23B01"/>
    <w:rsid w:val="2BC22732"/>
    <w:rsid w:val="2BE33ED3"/>
    <w:rsid w:val="2BE43FF8"/>
    <w:rsid w:val="2BFD4759"/>
    <w:rsid w:val="2C023E6C"/>
    <w:rsid w:val="2C05511C"/>
    <w:rsid w:val="2C3A7B0C"/>
    <w:rsid w:val="2C662F70"/>
    <w:rsid w:val="2C665384"/>
    <w:rsid w:val="2C702887"/>
    <w:rsid w:val="2C8F2FAE"/>
    <w:rsid w:val="2CAC46BC"/>
    <w:rsid w:val="2CBE2841"/>
    <w:rsid w:val="2CC9536F"/>
    <w:rsid w:val="2CEA745A"/>
    <w:rsid w:val="2CF241A1"/>
    <w:rsid w:val="2CF617E0"/>
    <w:rsid w:val="2CF918A8"/>
    <w:rsid w:val="2D163A5B"/>
    <w:rsid w:val="2D164FB2"/>
    <w:rsid w:val="2D9F53DD"/>
    <w:rsid w:val="2DAA58FD"/>
    <w:rsid w:val="2DBB723B"/>
    <w:rsid w:val="2DC37DF1"/>
    <w:rsid w:val="2DC518B5"/>
    <w:rsid w:val="2DDD4AFC"/>
    <w:rsid w:val="2DFE3B11"/>
    <w:rsid w:val="2E0C7407"/>
    <w:rsid w:val="2E0D173F"/>
    <w:rsid w:val="2E107BBE"/>
    <w:rsid w:val="2E383E35"/>
    <w:rsid w:val="2E4E052B"/>
    <w:rsid w:val="2E650202"/>
    <w:rsid w:val="2E825B76"/>
    <w:rsid w:val="2E8B7F19"/>
    <w:rsid w:val="2E9A064C"/>
    <w:rsid w:val="2EB55486"/>
    <w:rsid w:val="2EB931C8"/>
    <w:rsid w:val="2EBA7E09"/>
    <w:rsid w:val="2ED8069F"/>
    <w:rsid w:val="2EF064BE"/>
    <w:rsid w:val="2EF67F2A"/>
    <w:rsid w:val="2F054C2F"/>
    <w:rsid w:val="2F093C07"/>
    <w:rsid w:val="2F0B25ED"/>
    <w:rsid w:val="2F0D7070"/>
    <w:rsid w:val="2F4131BE"/>
    <w:rsid w:val="2F42550A"/>
    <w:rsid w:val="2F427F66"/>
    <w:rsid w:val="2F4A1FBC"/>
    <w:rsid w:val="2F4E6783"/>
    <w:rsid w:val="2F54225E"/>
    <w:rsid w:val="2F554D7F"/>
    <w:rsid w:val="2F596E5D"/>
    <w:rsid w:val="2F5D192E"/>
    <w:rsid w:val="2F611ABC"/>
    <w:rsid w:val="2F690BCB"/>
    <w:rsid w:val="2F6E001C"/>
    <w:rsid w:val="2F827A5E"/>
    <w:rsid w:val="2F984ABB"/>
    <w:rsid w:val="2FB4573E"/>
    <w:rsid w:val="2FB72194"/>
    <w:rsid w:val="2FC84604"/>
    <w:rsid w:val="2FCE2CA3"/>
    <w:rsid w:val="2FD03E7A"/>
    <w:rsid w:val="2FDF7A0E"/>
    <w:rsid w:val="2FE32412"/>
    <w:rsid w:val="2FF67B04"/>
    <w:rsid w:val="300F1EE7"/>
    <w:rsid w:val="30112E06"/>
    <w:rsid w:val="30124FBE"/>
    <w:rsid w:val="30346EAA"/>
    <w:rsid w:val="30347F65"/>
    <w:rsid w:val="304004EE"/>
    <w:rsid w:val="304B42F4"/>
    <w:rsid w:val="3050298E"/>
    <w:rsid w:val="30561692"/>
    <w:rsid w:val="30564A47"/>
    <w:rsid w:val="305F1FC5"/>
    <w:rsid w:val="309144F6"/>
    <w:rsid w:val="3093532E"/>
    <w:rsid w:val="30AA13BF"/>
    <w:rsid w:val="30AC409C"/>
    <w:rsid w:val="30B5176D"/>
    <w:rsid w:val="30E06330"/>
    <w:rsid w:val="310B386C"/>
    <w:rsid w:val="310C4A4C"/>
    <w:rsid w:val="31195802"/>
    <w:rsid w:val="31203B61"/>
    <w:rsid w:val="31233074"/>
    <w:rsid w:val="314642C9"/>
    <w:rsid w:val="31571385"/>
    <w:rsid w:val="3160764A"/>
    <w:rsid w:val="31634BCE"/>
    <w:rsid w:val="316C2C18"/>
    <w:rsid w:val="31756A45"/>
    <w:rsid w:val="31926D16"/>
    <w:rsid w:val="31A1306B"/>
    <w:rsid w:val="31C45D37"/>
    <w:rsid w:val="31D4278E"/>
    <w:rsid w:val="31FE6D95"/>
    <w:rsid w:val="322C5A5F"/>
    <w:rsid w:val="3235389A"/>
    <w:rsid w:val="323A719D"/>
    <w:rsid w:val="324D035F"/>
    <w:rsid w:val="324E226E"/>
    <w:rsid w:val="32832F69"/>
    <w:rsid w:val="32B15F25"/>
    <w:rsid w:val="32CE1BE7"/>
    <w:rsid w:val="32D27661"/>
    <w:rsid w:val="32D4454C"/>
    <w:rsid w:val="32DB2198"/>
    <w:rsid w:val="32F341BB"/>
    <w:rsid w:val="32FF588D"/>
    <w:rsid w:val="33023583"/>
    <w:rsid w:val="330342E3"/>
    <w:rsid w:val="3341058C"/>
    <w:rsid w:val="33434A04"/>
    <w:rsid w:val="335C0F0C"/>
    <w:rsid w:val="336819F9"/>
    <w:rsid w:val="33710420"/>
    <w:rsid w:val="338167C8"/>
    <w:rsid w:val="33897CA5"/>
    <w:rsid w:val="338F4BBD"/>
    <w:rsid w:val="33C70135"/>
    <w:rsid w:val="33D36D85"/>
    <w:rsid w:val="33D4590D"/>
    <w:rsid w:val="33DC601A"/>
    <w:rsid w:val="33F43289"/>
    <w:rsid w:val="341964B7"/>
    <w:rsid w:val="344A3B15"/>
    <w:rsid w:val="344A5CAF"/>
    <w:rsid w:val="345120C1"/>
    <w:rsid w:val="34627E84"/>
    <w:rsid w:val="346678FC"/>
    <w:rsid w:val="34751FF9"/>
    <w:rsid w:val="34761B3D"/>
    <w:rsid w:val="34767465"/>
    <w:rsid w:val="349E727F"/>
    <w:rsid w:val="34AA5361"/>
    <w:rsid w:val="34C10A99"/>
    <w:rsid w:val="34E837D0"/>
    <w:rsid w:val="34ED2EF3"/>
    <w:rsid w:val="34F26246"/>
    <w:rsid w:val="34FB6280"/>
    <w:rsid w:val="35191C89"/>
    <w:rsid w:val="352B7FCC"/>
    <w:rsid w:val="353E1DF5"/>
    <w:rsid w:val="354E2190"/>
    <w:rsid w:val="35530B97"/>
    <w:rsid w:val="35534D2B"/>
    <w:rsid w:val="35675000"/>
    <w:rsid w:val="3577343C"/>
    <w:rsid w:val="357A5699"/>
    <w:rsid w:val="35884C5D"/>
    <w:rsid w:val="359663C1"/>
    <w:rsid w:val="359E60A8"/>
    <w:rsid w:val="35CB32CD"/>
    <w:rsid w:val="35DD3A09"/>
    <w:rsid w:val="35E96F56"/>
    <w:rsid w:val="35F82C40"/>
    <w:rsid w:val="35FF2AA4"/>
    <w:rsid w:val="360E3D96"/>
    <w:rsid w:val="361851AE"/>
    <w:rsid w:val="36504388"/>
    <w:rsid w:val="3660217B"/>
    <w:rsid w:val="3676199F"/>
    <w:rsid w:val="36860188"/>
    <w:rsid w:val="3688296F"/>
    <w:rsid w:val="368B7505"/>
    <w:rsid w:val="369F5F8F"/>
    <w:rsid w:val="36BA5D2F"/>
    <w:rsid w:val="36D01BBB"/>
    <w:rsid w:val="36D72354"/>
    <w:rsid w:val="36D954F0"/>
    <w:rsid w:val="370666E5"/>
    <w:rsid w:val="37342434"/>
    <w:rsid w:val="37374EDB"/>
    <w:rsid w:val="37377380"/>
    <w:rsid w:val="374250EA"/>
    <w:rsid w:val="374E155E"/>
    <w:rsid w:val="375068F8"/>
    <w:rsid w:val="376B6B46"/>
    <w:rsid w:val="37763244"/>
    <w:rsid w:val="37812ADE"/>
    <w:rsid w:val="3782361C"/>
    <w:rsid w:val="37866B0A"/>
    <w:rsid w:val="379314F1"/>
    <w:rsid w:val="379E73FF"/>
    <w:rsid w:val="37B46BAB"/>
    <w:rsid w:val="37E05E03"/>
    <w:rsid w:val="37E92EA6"/>
    <w:rsid w:val="3814321D"/>
    <w:rsid w:val="382660E9"/>
    <w:rsid w:val="3838588B"/>
    <w:rsid w:val="383A131B"/>
    <w:rsid w:val="38543F62"/>
    <w:rsid w:val="38584D39"/>
    <w:rsid w:val="385F1A9D"/>
    <w:rsid w:val="387C7014"/>
    <w:rsid w:val="3884005D"/>
    <w:rsid w:val="38887E1E"/>
    <w:rsid w:val="388A03D1"/>
    <w:rsid w:val="389712F2"/>
    <w:rsid w:val="38BC5D6B"/>
    <w:rsid w:val="38D34CE5"/>
    <w:rsid w:val="39010974"/>
    <w:rsid w:val="391E088C"/>
    <w:rsid w:val="39346060"/>
    <w:rsid w:val="3935437F"/>
    <w:rsid w:val="394153A0"/>
    <w:rsid w:val="39496D47"/>
    <w:rsid w:val="395C5C3C"/>
    <w:rsid w:val="39624BFA"/>
    <w:rsid w:val="398630C2"/>
    <w:rsid w:val="39917E8F"/>
    <w:rsid w:val="39A03524"/>
    <w:rsid w:val="39B431AE"/>
    <w:rsid w:val="39DA3426"/>
    <w:rsid w:val="39E901AB"/>
    <w:rsid w:val="39E91C6F"/>
    <w:rsid w:val="39F63F04"/>
    <w:rsid w:val="3A0B39E8"/>
    <w:rsid w:val="3A1060D4"/>
    <w:rsid w:val="3A281202"/>
    <w:rsid w:val="3A296D28"/>
    <w:rsid w:val="3A3E0552"/>
    <w:rsid w:val="3A541E9A"/>
    <w:rsid w:val="3A626207"/>
    <w:rsid w:val="3A8D3267"/>
    <w:rsid w:val="3A9374E3"/>
    <w:rsid w:val="3AAD5BAB"/>
    <w:rsid w:val="3AB26D1E"/>
    <w:rsid w:val="3ABE24A3"/>
    <w:rsid w:val="3AC2445B"/>
    <w:rsid w:val="3AC24B1F"/>
    <w:rsid w:val="3AC478B0"/>
    <w:rsid w:val="3ACF0212"/>
    <w:rsid w:val="3AD30754"/>
    <w:rsid w:val="3AED53F2"/>
    <w:rsid w:val="3B021A53"/>
    <w:rsid w:val="3B182927"/>
    <w:rsid w:val="3B191B5E"/>
    <w:rsid w:val="3B434A56"/>
    <w:rsid w:val="3B4F12B2"/>
    <w:rsid w:val="3B522C74"/>
    <w:rsid w:val="3B547DD5"/>
    <w:rsid w:val="3B5A1037"/>
    <w:rsid w:val="3B5D4EDB"/>
    <w:rsid w:val="3B730A2C"/>
    <w:rsid w:val="3B8666FD"/>
    <w:rsid w:val="3B8A248D"/>
    <w:rsid w:val="3B8A7FFE"/>
    <w:rsid w:val="3B8D15A9"/>
    <w:rsid w:val="3B9F138E"/>
    <w:rsid w:val="3BE572AB"/>
    <w:rsid w:val="3BF24A4D"/>
    <w:rsid w:val="3BF972A2"/>
    <w:rsid w:val="3BFB4679"/>
    <w:rsid w:val="3C0173CA"/>
    <w:rsid w:val="3C0A04BB"/>
    <w:rsid w:val="3C6875A8"/>
    <w:rsid w:val="3C6A5610"/>
    <w:rsid w:val="3C7057AE"/>
    <w:rsid w:val="3C862210"/>
    <w:rsid w:val="3C88242C"/>
    <w:rsid w:val="3C925D30"/>
    <w:rsid w:val="3C986730"/>
    <w:rsid w:val="3CA8627B"/>
    <w:rsid w:val="3CA97F92"/>
    <w:rsid w:val="3CAC135C"/>
    <w:rsid w:val="3CB04AB6"/>
    <w:rsid w:val="3CCE0013"/>
    <w:rsid w:val="3CD25D00"/>
    <w:rsid w:val="3CDD669E"/>
    <w:rsid w:val="3D172AAF"/>
    <w:rsid w:val="3D1A5A18"/>
    <w:rsid w:val="3D3712B0"/>
    <w:rsid w:val="3D4B442E"/>
    <w:rsid w:val="3D5F637E"/>
    <w:rsid w:val="3D640A03"/>
    <w:rsid w:val="3D641AB8"/>
    <w:rsid w:val="3D6F0419"/>
    <w:rsid w:val="3D7D48B2"/>
    <w:rsid w:val="3D81386F"/>
    <w:rsid w:val="3D853AE2"/>
    <w:rsid w:val="3DA9019F"/>
    <w:rsid w:val="3DAF12EE"/>
    <w:rsid w:val="3DB334D8"/>
    <w:rsid w:val="3DB724DE"/>
    <w:rsid w:val="3DC70F93"/>
    <w:rsid w:val="3E1407D9"/>
    <w:rsid w:val="3E174EC3"/>
    <w:rsid w:val="3E206C43"/>
    <w:rsid w:val="3E2E431B"/>
    <w:rsid w:val="3E523A8B"/>
    <w:rsid w:val="3E562E27"/>
    <w:rsid w:val="3E74486F"/>
    <w:rsid w:val="3E7C3693"/>
    <w:rsid w:val="3E996386"/>
    <w:rsid w:val="3E9C1E5F"/>
    <w:rsid w:val="3EBC6496"/>
    <w:rsid w:val="3EC7628C"/>
    <w:rsid w:val="3EDC2981"/>
    <w:rsid w:val="3EDD4E4A"/>
    <w:rsid w:val="3F0C2C0C"/>
    <w:rsid w:val="3F237670"/>
    <w:rsid w:val="3F276C40"/>
    <w:rsid w:val="3F564F3B"/>
    <w:rsid w:val="3F5A50A4"/>
    <w:rsid w:val="3F6D39A8"/>
    <w:rsid w:val="3FA46EF8"/>
    <w:rsid w:val="3FAA0D21"/>
    <w:rsid w:val="3FC035F5"/>
    <w:rsid w:val="3FC3761C"/>
    <w:rsid w:val="3FC40C19"/>
    <w:rsid w:val="3FD13C3B"/>
    <w:rsid w:val="3FD802C3"/>
    <w:rsid w:val="3FD92EBA"/>
    <w:rsid w:val="3FDA0AC6"/>
    <w:rsid w:val="3FDE248C"/>
    <w:rsid w:val="3FF53461"/>
    <w:rsid w:val="40136E31"/>
    <w:rsid w:val="401B6C5D"/>
    <w:rsid w:val="402D7572"/>
    <w:rsid w:val="40596BBF"/>
    <w:rsid w:val="40787368"/>
    <w:rsid w:val="409E0693"/>
    <w:rsid w:val="40DA4C13"/>
    <w:rsid w:val="40DB5BA5"/>
    <w:rsid w:val="40E43CD6"/>
    <w:rsid w:val="40E82081"/>
    <w:rsid w:val="40FA66A1"/>
    <w:rsid w:val="41126768"/>
    <w:rsid w:val="41181D29"/>
    <w:rsid w:val="412579B8"/>
    <w:rsid w:val="41303C39"/>
    <w:rsid w:val="414B2E3E"/>
    <w:rsid w:val="414C69F9"/>
    <w:rsid w:val="414F74CB"/>
    <w:rsid w:val="415B6654"/>
    <w:rsid w:val="416C51AE"/>
    <w:rsid w:val="417226CB"/>
    <w:rsid w:val="417C22B1"/>
    <w:rsid w:val="417C2EE6"/>
    <w:rsid w:val="417F656D"/>
    <w:rsid w:val="41990C37"/>
    <w:rsid w:val="41A0365E"/>
    <w:rsid w:val="41B423A3"/>
    <w:rsid w:val="41BC5D72"/>
    <w:rsid w:val="41C92B51"/>
    <w:rsid w:val="41CE08E1"/>
    <w:rsid w:val="41D301C3"/>
    <w:rsid w:val="41D623AF"/>
    <w:rsid w:val="41E270E0"/>
    <w:rsid w:val="41E618AB"/>
    <w:rsid w:val="41EE3316"/>
    <w:rsid w:val="41F94D31"/>
    <w:rsid w:val="420058C3"/>
    <w:rsid w:val="42071D2B"/>
    <w:rsid w:val="421008C0"/>
    <w:rsid w:val="421B164C"/>
    <w:rsid w:val="422573CE"/>
    <w:rsid w:val="422F49B3"/>
    <w:rsid w:val="423F7F55"/>
    <w:rsid w:val="42552DB0"/>
    <w:rsid w:val="425E7507"/>
    <w:rsid w:val="42613503"/>
    <w:rsid w:val="42651F6F"/>
    <w:rsid w:val="42723BE8"/>
    <w:rsid w:val="42782BB3"/>
    <w:rsid w:val="42786A9F"/>
    <w:rsid w:val="427B5179"/>
    <w:rsid w:val="42802614"/>
    <w:rsid w:val="42817BCD"/>
    <w:rsid w:val="4288071B"/>
    <w:rsid w:val="42B01704"/>
    <w:rsid w:val="42B45125"/>
    <w:rsid w:val="42CA32DA"/>
    <w:rsid w:val="42CC4106"/>
    <w:rsid w:val="42E068CB"/>
    <w:rsid w:val="42E179A0"/>
    <w:rsid w:val="42F1123A"/>
    <w:rsid w:val="43062143"/>
    <w:rsid w:val="43176B99"/>
    <w:rsid w:val="431A3471"/>
    <w:rsid w:val="433858A5"/>
    <w:rsid w:val="433E126A"/>
    <w:rsid w:val="433F49D0"/>
    <w:rsid w:val="43463BB3"/>
    <w:rsid w:val="435D66CF"/>
    <w:rsid w:val="4380668F"/>
    <w:rsid w:val="43853792"/>
    <w:rsid w:val="43920E07"/>
    <w:rsid w:val="43951B04"/>
    <w:rsid w:val="43BD670A"/>
    <w:rsid w:val="43D021A6"/>
    <w:rsid w:val="43E75C8A"/>
    <w:rsid w:val="440512B1"/>
    <w:rsid w:val="44092E83"/>
    <w:rsid w:val="44152867"/>
    <w:rsid w:val="441B5933"/>
    <w:rsid w:val="441D7748"/>
    <w:rsid w:val="442F3C65"/>
    <w:rsid w:val="445A5FC5"/>
    <w:rsid w:val="44711218"/>
    <w:rsid w:val="44775EB5"/>
    <w:rsid w:val="44817707"/>
    <w:rsid w:val="448636F5"/>
    <w:rsid w:val="44866F02"/>
    <w:rsid w:val="44984355"/>
    <w:rsid w:val="44A31A4E"/>
    <w:rsid w:val="44A8226D"/>
    <w:rsid w:val="44B55D88"/>
    <w:rsid w:val="44B85878"/>
    <w:rsid w:val="44C03401"/>
    <w:rsid w:val="44CC2C4F"/>
    <w:rsid w:val="44E128CB"/>
    <w:rsid w:val="4524498B"/>
    <w:rsid w:val="45381DC6"/>
    <w:rsid w:val="455238D0"/>
    <w:rsid w:val="455932E3"/>
    <w:rsid w:val="456E745A"/>
    <w:rsid w:val="457A3530"/>
    <w:rsid w:val="457C55D9"/>
    <w:rsid w:val="45986424"/>
    <w:rsid w:val="459E4A6E"/>
    <w:rsid w:val="45AE7E2F"/>
    <w:rsid w:val="45BB5B0E"/>
    <w:rsid w:val="45DA6220"/>
    <w:rsid w:val="45F24836"/>
    <w:rsid w:val="45F97EF6"/>
    <w:rsid w:val="45FB5A7C"/>
    <w:rsid w:val="45FF37F7"/>
    <w:rsid w:val="4601483F"/>
    <w:rsid w:val="46167051"/>
    <w:rsid w:val="462970E0"/>
    <w:rsid w:val="463E188C"/>
    <w:rsid w:val="464030BA"/>
    <w:rsid w:val="464E3334"/>
    <w:rsid w:val="4655341B"/>
    <w:rsid w:val="465A276D"/>
    <w:rsid w:val="465C410E"/>
    <w:rsid w:val="466F2CE5"/>
    <w:rsid w:val="46760020"/>
    <w:rsid w:val="469B0FAE"/>
    <w:rsid w:val="46A26AC9"/>
    <w:rsid w:val="46A7659A"/>
    <w:rsid w:val="46B12139"/>
    <w:rsid w:val="46C853F2"/>
    <w:rsid w:val="46E97F6B"/>
    <w:rsid w:val="46F61364"/>
    <w:rsid w:val="46F722E3"/>
    <w:rsid w:val="46FA3F26"/>
    <w:rsid w:val="47061262"/>
    <w:rsid w:val="4710374A"/>
    <w:rsid w:val="471D4913"/>
    <w:rsid w:val="472F06CD"/>
    <w:rsid w:val="4734684B"/>
    <w:rsid w:val="475450DC"/>
    <w:rsid w:val="476A5FE9"/>
    <w:rsid w:val="47770F26"/>
    <w:rsid w:val="4780564D"/>
    <w:rsid w:val="478C1FDC"/>
    <w:rsid w:val="47B61331"/>
    <w:rsid w:val="47C57AB7"/>
    <w:rsid w:val="47CC1367"/>
    <w:rsid w:val="47D06BF0"/>
    <w:rsid w:val="47DB5304"/>
    <w:rsid w:val="47E06F83"/>
    <w:rsid w:val="47E66258"/>
    <w:rsid w:val="481B23A6"/>
    <w:rsid w:val="4822572A"/>
    <w:rsid w:val="482570D8"/>
    <w:rsid w:val="48416E7A"/>
    <w:rsid w:val="48441F17"/>
    <w:rsid w:val="48496F13"/>
    <w:rsid w:val="4852797B"/>
    <w:rsid w:val="485B2019"/>
    <w:rsid w:val="485D5571"/>
    <w:rsid w:val="48702C44"/>
    <w:rsid w:val="48B54F9C"/>
    <w:rsid w:val="48C7247F"/>
    <w:rsid w:val="48C73A77"/>
    <w:rsid w:val="48DB7360"/>
    <w:rsid w:val="48FB57F1"/>
    <w:rsid w:val="48FF5525"/>
    <w:rsid w:val="49001E86"/>
    <w:rsid w:val="490834A4"/>
    <w:rsid w:val="490B4C39"/>
    <w:rsid w:val="49105464"/>
    <w:rsid w:val="4920485E"/>
    <w:rsid w:val="492B729E"/>
    <w:rsid w:val="49553696"/>
    <w:rsid w:val="497C5BD0"/>
    <w:rsid w:val="499E5E25"/>
    <w:rsid w:val="49A07E2B"/>
    <w:rsid w:val="49A563CB"/>
    <w:rsid w:val="49BF27C0"/>
    <w:rsid w:val="49CC7DFC"/>
    <w:rsid w:val="49CD062B"/>
    <w:rsid w:val="49D62A28"/>
    <w:rsid w:val="49E36EF3"/>
    <w:rsid w:val="49F64E88"/>
    <w:rsid w:val="4A2279F2"/>
    <w:rsid w:val="4A234FEC"/>
    <w:rsid w:val="4A8C5C10"/>
    <w:rsid w:val="4AA03036"/>
    <w:rsid w:val="4AA33EEE"/>
    <w:rsid w:val="4AA95536"/>
    <w:rsid w:val="4AB10DA0"/>
    <w:rsid w:val="4AB30EDE"/>
    <w:rsid w:val="4ADB63A1"/>
    <w:rsid w:val="4ADE1E17"/>
    <w:rsid w:val="4AE561DB"/>
    <w:rsid w:val="4AEF3392"/>
    <w:rsid w:val="4AF34F66"/>
    <w:rsid w:val="4B037F2C"/>
    <w:rsid w:val="4B103D18"/>
    <w:rsid w:val="4B2C5AC5"/>
    <w:rsid w:val="4B307434"/>
    <w:rsid w:val="4B341F77"/>
    <w:rsid w:val="4B38027D"/>
    <w:rsid w:val="4B403894"/>
    <w:rsid w:val="4B537A20"/>
    <w:rsid w:val="4B570C94"/>
    <w:rsid w:val="4B5951FB"/>
    <w:rsid w:val="4B643D38"/>
    <w:rsid w:val="4B6442B0"/>
    <w:rsid w:val="4B6A4AAC"/>
    <w:rsid w:val="4B7D207A"/>
    <w:rsid w:val="4B875EB6"/>
    <w:rsid w:val="4BA44224"/>
    <w:rsid w:val="4BAD1EF1"/>
    <w:rsid w:val="4BB2318A"/>
    <w:rsid w:val="4BBA6469"/>
    <w:rsid w:val="4BC631F7"/>
    <w:rsid w:val="4BD73847"/>
    <w:rsid w:val="4BE94D93"/>
    <w:rsid w:val="4BED22AB"/>
    <w:rsid w:val="4BFE381D"/>
    <w:rsid w:val="4C107D48"/>
    <w:rsid w:val="4C374D55"/>
    <w:rsid w:val="4C3A10FB"/>
    <w:rsid w:val="4C3A7BE6"/>
    <w:rsid w:val="4C5A45DA"/>
    <w:rsid w:val="4C6514B0"/>
    <w:rsid w:val="4C6C0D90"/>
    <w:rsid w:val="4C72455F"/>
    <w:rsid w:val="4C793B3F"/>
    <w:rsid w:val="4C7A7C48"/>
    <w:rsid w:val="4C7D1FFD"/>
    <w:rsid w:val="4C7F5C73"/>
    <w:rsid w:val="4CA606B1"/>
    <w:rsid w:val="4CC23A9A"/>
    <w:rsid w:val="4CC90F85"/>
    <w:rsid w:val="4CD57FCC"/>
    <w:rsid w:val="4CDF633C"/>
    <w:rsid w:val="4CE646B0"/>
    <w:rsid w:val="4CF5763E"/>
    <w:rsid w:val="4D1C6BEC"/>
    <w:rsid w:val="4D2B5691"/>
    <w:rsid w:val="4D3F0EA5"/>
    <w:rsid w:val="4D3F7CBF"/>
    <w:rsid w:val="4D4C3A0B"/>
    <w:rsid w:val="4D5F0F87"/>
    <w:rsid w:val="4D62389D"/>
    <w:rsid w:val="4D934A58"/>
    <w:rsid w:val="4D955AB0"/>
    <w:rsid w:val="4DAE78DE"/>
    <w:rsid w:val="4DC25F8E"/>
    <w:rsid w:val="4DC46301"/>
    <w:rsid w:val="4DDC11A7"/>
    <w:rsid w:val="4DE43405"/>
    <w:rsid w:val="4DED256A"/>
    <w:rsid w:val="4DF60896"/>
    <w:rsid w:val="4DFE3CC8"/>
    <w:rsid w:val="4E0B0F23"/>
    <w:rsid w:val="4E1F5E5B"/>
    <w:rsid w:val="4E21623C"/>
    <w:rsid w:val="4E291506"/>
    <w:rsid w:val="4E4E418E"/>
    <w:rsid w:val="4E4F1FAF"/>
    <w:rsid w:val="4E544DBE"/>
    <w:rsid w:val="4E6065EA"/>
    <w:rsid w:val="4E763E41"/>
    <w:rsid w:val="4E7740AE"/>
    <w:rsid w:val="4E7B1501"/>
    <w:rsid w:val="4E8A1132"/>
    <w:rsid w:val="4E9C3B15"/>
    <w:rsid w:val="4EAC4392"/>
    <w:rsid w:val="4EB36E4C"/>
    <w:rsid w:val="4EB9175E"/>
    <w:rsid w:val="4ED718CA"/>
    <w:rsid w:val="4EE90884"/>
    <w:rsid w:val="4F025B95"/>
    <w:rsid w:val="4F0A7123"/>
    <w:rsid w:val="4F1B0EDE"/>
    <w:rsid w:val="4F1C1A77"/>
    <w:rsid w:val="4F1E78DF"/>
    <w:rsid w:val="4F232AC9"/>
    <w:rsid w:val="4F2A3762"/>
    <w:rsid w:val="4F2E0DB1"/>
    <w:rsid w:val="4F764366"/>
    <w:rsid w:val="4F7A5394"/>
    <w:rsid w:val="4F8066BA"/>
    <w:rsid w:val="4F851E5A"/>
    <w:rsid w:val="4F912F4E"/>
    <w:rsid w:val="4F9B67B6"/>
    <w:rsid w:val="4FA72771"/>
    <w:rsid w:val="4FB55561"/>
    <w:rsid w:val="4FD41C1D"/>
    <w:rsid w:val="4FD54DAA"/>
    <w:rsid w:val="4FD7316C"/>
    <w:rsid w:val="4FED2322"/>
    <w:rsid w:val="4FF33150"/>
    <w:rsid w:val="4FF74011"/>
    <w:rsid w:val="4FFD53C6"/>
    <w:rsid w:val="501C6B43"/>
    <w:rsid w:val="503D1B16"/>
    <w:rsid w:val="5074268E"/>
    <w:rsid w:val="508E47DC"/>
    <w:rsid w:val="50A15458"/>
    <w:rsid w:val="50A940E7"/>
    <w:rsid w:val="50AE3F83"/>
    <w:rsid w:val="50C30E52"/>
    <w:rsid w:val="50CF7A4B"/>
    <w:rsid w:val="50DE238B"/>
    <w:rsid w:val="50F67A1B"/>
    <w:rsid w:val="51022777"/>
    <w:rsid w:val="510C0013"/>
    <w:rsid w:val="51234079"/>
    <w:rsid w:val="512B3DE9"/>
    <w:rsid w:val="5137564E"/>
    <w:rsid w:val="514C5DF3"/>
    <w:rsid w:val="515B0FAE"/>
    <w:rsid w:val="515C0CB9"/>
    <w:rsid w:val="516052CE"/>
    <w:rsid w:val="516C1A4D"/>
    <w:rsid w:val="517355FD"/>
    <w:rsid w:val="517D08DC"/>
    <w:rsid w:val="518E5997"/>
    <w:rsid w:val="518E76DE"/>
    <w:rsid w:val="51A363F4"/>
    <w:rsid w:val="51A846EE"/>
    <w:rsid w:val="51B53B84"/>
    <w:rsid w:val="51B64EEE"/>
    <w:rsid w:val="51BA4D6F"/>
    <w:rsid w:val="51BE6E5B"/>
    <w:rsid w:val="51BF3D2D"/>
    <w:rsid w:val="51C5315F"/>
    <w:rsid w:val="51D469CA"/>
    <w:rsid w:val="51DD4E62"/>
    <w:rsid w:val="51E8779D"/>
    <w:rsid w:val="51ED1DBF"/>
    <w:rsid w:val="51F003FF"/>
    <w:rsid w:val="51F10280"/>
    <w:rsid w:val="51F2620F"/>
    <w:rsid w:val="5203018B"/>
    <w:rsid w:val="520923F4"/>
    <w:rsid w:val="5211020B"/>
    <w:rsid w:val="52281530"/>
    <w:rsid w:val="523971C0"/>
    <w:rsid w:val="523D7810"/>
    <w:rsid w:val="5244201F"/>
    <w:rsid w:val="524467AD"/>
    <w:rsid w:val="524B51AA"/>
    <w:rsid w:val="52644F06"/>
    <w:rsid w:val="529B360B"/>
    <w:rsid w:val="529E7DC9"/>
    <w:rsid w:val="52A1157D"/>
    <w:rsid w:val="52C276E1"/>
    <w:rsid w:val="52CF0022"/>
    <w:rsid w:val="52D80AEE"/>
    <w:rsid w:val="52D868E5"/>
    <w:rsid w:val="52D92843"/>
    <w:rsid w:val="52ED5D2F"/>
    <w:rsid w:val="52ED7778"/>
    <w:rsid w:val="52EF68D8"/>
    <w:rsid w:val="52F30525"/>
    <w:rsid w:val="52FB7BEA"/>
    <w:rsid w:val="5300571E"/>
    <w:rsid w:val="531609B9"/>
    <w:rsid w:val="53204CE7"/>
    <w:rsid w:val="532452B2"/>
    <w:rsid w:val="532C3BB5"/>
    <w:rsid w:val="533D3764"/>
    <w:rsid w:val="5344556C"/>
    <w:rsid w:val="53586CF1"/>
    <w:rsid w:val="535B4CF0"/>
    <w:rsid w:val="536F625B"/>
    <w:rsid w:val="53762374"/>
    <w:rsid w:val="538F3C48"/>
    <w:rsid w:val="53AF1055"/>
    <w:rsid w:val="53CF5359"/>
    <w:rsid w:val="53D35F33"/>
    <w:rsid w:val="53D91DAE"/>
    <w:rsid w:val="53DB047C"/>
    <w:rsid w:val="53E21FCA"/>
    <w:rsid w:val="53F01C28"/>
    <w:rsid w:val="5400093A"/>
    <w:rsid w:val="540B49DE"/>
    <w:rsid w:val="54260E0C"/>
    <w:rsid w:val="543E150A"/>
    <w:rsid w:val="54466D9E"/>
    <w:rsid w:val="5454111A"/>
    <w:rsid w:val="5455131C"/>
    <w:rsid w:val="54643C58"/>
    <w:rsid w:val="547B40E9"/>
    <w:rsid w:val="548F3FE7"/>
    <w:rsid w:val="54B1139D"/>
    <w:rsid w:val="54EE0270"/>
    <w:rsid w:val="54FE5CA1"/>
    <w:rsid w:val="54FF289C"/>
    <w:rsid w:val="550942FD"/>
    <w:rsid w:val="550A3B55"/>
    <w:rsid w:val="550C37A2"/>
    <w:rsid w:val="551C10A5"/>
    <w:rsid w:val="552A1E7A"/>
    <w:rsid w:val="55411377"/>
    <w:rsid w:val="55503493"/>
    <w:rsid w:val="555D2250"/>
    <w:rsid w:val="55647559"/>
    <w:rsid w:val="5569348D"/>
    <w:rsid w:val="557A7CA1"/>
    <w:rsid w:val="55992746"/>
    <w:rsid w:val="55F96F40"/>
    <w:rsid w:val="564927D4"/>
    <w:rsid w:val="56552F27"/>
    <w:rsid w:val="565A053D"/>
    <w:rsid w:val="56682BF6"/>
    <w:rsid w:val="566C6AAD"/>
    <w:rsid w:val="568A2261"/>
    <w:rsid w:val="56946323"/>
    <w:rsid w:val="569549B7"/>
    <w:rsid w:val="569729E9"/>
    <w:rsid w:val="569B59A6"/>
    <w:rsid w:val="569C19C2"/>
    <w:rsid w:val="56A006CA"/>
    <w:rsid w:val="56C23B83"/>
    <w:rsid w:val="56CF0F2B"/>
    <w:rsid w:val="56D91CB0"/>
    <w:rsid w:val="56DA438A"/>
    <w:rsid w:val="56E16CE0"/>
    <w:rsid w:val="56F00AC2"/>
    <w:rsid w:val="570A1F63"/>
    <w:rsid w:val="57132F95"/>
    <w:rsid w:val="572B3577"/>
    <w:rsid w:val="572D56F6"/>
    <w:rsid w:val="57322952"/>
    <w:rsid w:val="573E19A6"/>
    <w:rsid w:val="5746016C"/>
    <w:rsid w:val="57474393"/>
    <w:rsid w:val="5752162C"/>
    <w:rsid w:val="5764383E"/>
    <w:rsid w:val="57817915"/>
    <w:rsid w:val="578E7BDD"/>
    <w:rsid w:val="57AC0713"/>
    <w:rsid w:val="57AE0ED6"/>
    <w:rsid w:val="57FD26BE"/>
    <w:rsid w:val="5816186C"/>
    <w:rsid w:val="5827740E"/>
    <w:rsid w:val="582C5888"/>
    <w:rsid w:val="5838665C"/>
    <w:rsid w:val="58430210"/>
    <w:rsid w:val="5863214C"/>
    <w:rsid w:val="58717162"/>
    <w:rsid w:val="58956B8C"/>
    <w:rsid w:val="589A70FA"/>
    <w:rsid w:val="58B8618D"/>
    <w:rsid w:val="58CB74D0"/>
    <w:rsid w:val="58CE4BEF"/>
    <w:rsid w:val="58DB4515"/>
    <w:rsid w:val="58E94B0D"/>
    <w:rsid w:val="58F36659"/>
    <w:rsid w:val="59052460"/>
    <w:rsid w:val="590715A1"/>
    <w:rsid w:val="59252076"/>
    <w:rsid w:val="592C6A59"/>
    <w:rsid w:val="593C3C38"/>
    <w:rsid w:val="594C3BD5"/>
    <w:rsid w:val="594D3CCF"/>
    <w:rsid w:val="595204AD"/>
    <w:rsid w:val="595D33AD"/>
    <w:rsid w:val="596766CE"/>
    <w:rsid w:val="596E3059"/>
    <w:rsid w:val="59815DB7"/>
    <w:rsid w:val="598A4331"/>
    <w:rsid w:val="598C33BF"/>
    <w:rsid w:val="59902BA1"/>
    <w:rsid w:val="59C04B5B"/>
    <w:rsid w:val="59CB49E2"/>
    <w:rsid w:val="59F54146"/>
    <w:rsid w:val="5A001A12"/>
    <w:rsid w:val="5A05110B"/>
    <w:rsid w:val="5A167370"/>
    <w:rsid w:val="5A307419"/>
    <w:rsid w:val="5A3571BF"/>
    <w:rsid w:val="5A400973"/>
    <w:rsid w:val="5A44572C"/>
    <w:rsid w:val="5A547CFD"/>
    <w:rsid w:val="5A56479B"/>
    <w:rsid w:val="5A5A3924"/>
    <w:rsid w:val="5A6B69C4"/>
    <w:rsid w:val="5A76796C"/>
    <w:rsid w:val="5A8A6ADB"/>
    <w:rsid w:val="5A8C7937"/>
    <w:rsid w:val="5A932270"/>
    <w:rsid w:val="5A9623B5"/>
    <w:rsid w:val="5AA549B2"/>
    <w:rsid w:val="5AA97D30"/>
    <w:rsid w:val="5AB96D60"/>
    <w:rsid w:val="5AF1755F"/>
    <w:rsid w:val="5AF73BD7"/>
    <w:rsid w:val="5B1E0057"/>
    <w:rsid w:val="5B330F0E"/>
    <w:rsid w:val="5B4218B9"/>
    <w:rsid w:val="5B5104F9"/>
    <w:rsid w:val="5B581BEC"/>
    <w:rsid w:val="5B595267"/>
    <w:rsid w:val="5B5A69C9"/>
    <w:rsid w:val="5B6A7A00"/>
    <w:rsid w:val="5B7342C6"/>
    <w:rsid w:val="5B7D5D38"/>
    <w:rsid w:val="5BA44662"/>
    <w:rsid w:val="5BAC4E3A"/>
    <w:rsid w:val="5BBC39C1"/>
    <w:rsid w:val="5BBE1F38"/>
    <w:rsid w:val="5BE0723B"/>
    <w:rsid w:val="5BEA4763"/>
    <w:rsid w:val="5BED5EDC"/>
    <w:rsid w:val="5BF32F12"/>
    <w:rsid w:val="5C1879AB"/>
    <w:rsid w:val="5C1E3FC0"/>
    <w:rsid w:val="5C2A0DB7"/>
    <w:rsid w:val="5C341831"/>
    <w:rsid w:val="5C362AF4"/>
    <w:rsid w:val="5C3A3FEF"/>
    <w:rsid w:val="5C3E4720"/>
    <w:rsid w:val="5C4864EE"/>
    <w:rsid w:val="5C526BB4"/>
    <w:rsid w:val="5C602BA5"/>
    <w:rsid w:val="5C623451"/>
    <w:rsid w:val="5C7E7028"/>
    <w:rsid w:val="5C802FB3"/>
    <w:rsid w:val="5C887779"/>
    <w:rsid w:val="5CA9700D"/>
    <w:rsid w:val="5CAD7072"/>
    <w:rsid w:val="5CC34110"/>
    <w:rsid w:val="5CC44887"/>
    <w:rsid w:val="5CC75388"/>
    <w:rsid w:val="5CD00967"/>
    <w:rsid w:val="5CD86BE5"/>
    <w:rsid w:val="5CF915BE"/>
    <w:rsid w:val="5D02143B"/>
    <w:rsid w:val="5D05587F"/>
    <w:rsid w:val="5D1C0A4E"/>
    <w:rsid w:val="5D2F5560"/>
    <w:rsid w:val="5D3E2967"/>
    <w:rsid w:val="5D5E06B3"/>
    <w:rsid w:val="5DA57059"/>
    <w:rsid w:val="5DA6050C"/>
    <w:rsid w:val="5DB22A59"/>
    <w:rsid w:val="5DB76275"/>
    <w:rsid w:val="5DBA3A03"/>
    <w:rsid w:val="5DBF1CEA"/>
    <w:rsid w:val="5DC46672"/>
    <w:rsid w:val="5DC745E8"/>
    <w:rsid w:val="5DD07349"/>
    <w:rsid w:val="5DDE05F2"/>
    <w:rsid w:val="5DEA03F9"/>
    <w:rsid w:val="5DF559F9"/>
    <w:rsid w:val="5E074110"/>
    <w:rsid w:val="5E0B6C65"/>
    <w:rsid w:val="5E166031"/>
    <w:rsid w:val="5E18294B"/>
    <w:rsid w:val="5E33730F"/>
    <w:rsid w:val="5E401FD5"/>
    <w:rsid w:val="5E501575"/>
    <w:rsid w:val="5E535C74"/>
    <w:rsid w:val="5E58634F"/>
    <w:rsid w:val="5E5F7D32"/>
    <w:rsid w:val="5E604528"/>
    <w:rsid w:val="5E853E2B"/>
    <w:rsid w:val="5E8D58D4"/>
    <w:rsid w:val="5E8F7E92"/>
    <w:rsid w:val="5EBD5B0D"/>
    <w:rsid w:val="5EC52109"/>
    <w:rsid w:val="5ECA4073"/>
    <w:rsid w:val="5ECC6D77"/>
    <w:rsid w:val="5EDC6635"/>
    <w:rsid w:val="5EDF242A"/>
    <w:rsid w:val="5EEC4CC9"/>
    <w:rsid w:val="5EFB3374"/>
    <w:rsid w:val="5F070C87"/>
    <w:rsid w:val="5F1B6323"/>
    <w:rsid w:val="5F3119D5"/>
    <w:rsid w:val="5F325319"/>
    <w:rsid w:val="5F387DD8"/>
    <w:rsid w:val="5F4104EC"/>
    <w:rsid w:val="5F4F5E04"/>
    <w:rsid w:val="5F610F9A"/>
    <w:rsid w:val="5F613DD7"/>
    <w:rsid w:val="5F6D55CC"/>
    <w:rsid w:val="5F84786A"/>
    <w:rsid w:val="5F9C30A3"/>
    <w:rsid w:val="5F9C78C7"/>
    <w:rsid w:val="5FA221C5"/>
    <w:rsid w:val="5FA5129E"/>
    <w:rsid w:val="5FE77368"/>
    <w:rsid w:val="5FF81123"/>
    <w:rsid w:val="60052A33"/>
    <w:rsid w:val="600F713A"/>
    <w:rsid w:val="602B5CAC"/>
    <w:rsid w:val="603102E5"/>
    <w:rsid w:val="603F2355"/>
    <w:rsid w:val="60442474"/>
    <w:rsid w:val="604C589F"/>
    <w:rsid w:val="605006B0"/>
    <w:rsid w:val="606B40CE"/>
    <w:rsid w:val="607A2E69"/>
    <w:rsid w:val="60947B96"/>
    <w:rsid w:val="60A24FBB"/>
    <w:rsid w:val="60DD2497"/>
    <w:rsid w:val="60E70721"/>
    <w:rsid w:val="60EA5183"/>
    <w:rsid w:val="613924F9"/>
    <w:rsid w:val="613E3123"/>
    <w:rsid w:val="61485CA3"/>
    <w:rsid w:val="61496E8C"/>
    <w:rsid w:val="615A7B52"/>
    <w:rsid w:val="615F29A1"/>
    <w:rsid w:val="61696ED4"/>
    <w:rsid w:val="616B7363"/>
    <w:rsid w:val="61730566"/>
    <w:rsid w:val="617C3A5E"/>
    <w:rsid w:val="61AC3545"/>
    <w:rsid w:val="61AF44C7"/>
    <w:rsid w:val="61B41449"/>
    <w:rsid w:val="61B42655"/>
    <w:rsid w:val="61B64AE6"/>
    <w:rsid w:val="61E36648"/>
    <w:rsid w:val="61EB04E9"/>
    <w:rsid w:val="622F4266"/>
    <w:rsid w:val="62462A72"/>
    <w:rsid w:val="626B0025"/>
    <w:rsid w:val="626C2C9B"/>
    <w:rsid w:val="62995307"/>
    <w:rsid w:val="62AC0373"/>
    <w:rsid w:val="62AD360F"/>
    <w:rsid w:val="62D85D1E"/>
    <w:rsid w:val="62E67BA5"/>
    <w:rsid w:val="63030F14"/>
    <w:rsid w:val="631261A4"/>
    <w:rsid w:val="6318590B"/>
    <w:rsid w:val="631D6E49"/>
    <w:rsid w:val="6320434B"/>
    <w:rsid w:val="634E5358"/>
    <w:rsid w:val="634F398F"/>
    <w:rsid w:val="63554A2F"/>
    <w:rsid w:val="6359259A"/>
    <w:rsid w:val="636173F7"/>
    <w:rsid w:val="63624D8C"/>
    <w:rsid w:val="639076DF"/>
    <w:rsid w:val="63D2090D"/>
    <w:rsid w:val="63F11F69"/>
    <w:rsid w:val="64037323"/>
    <w:rsid w:val="640C3504"/>
    <w:rsid w:val="64104975"/>
    <w:rsid w:val="64313282"/>
    <w:rsid w:val="643338C2"/>
    <w:rsid w:val="64586DE3"/>
    <w:rsid w:val="645967E3"/>
    <w:rsid w:val="645B5B40"/>
    <w:rsid w:val="645C5805"/>
    <w:rsid w:val="646627A3"/>
    <w:rsid w:val="6466719F"/>
    <w:rsid w:val="647A1DAB"/>
    <w:rsid w:val="647B5C70"/>
    <w:rsid w:val="647D47CA"/>
    <w:rsid w:val="647F4D58"/>
    <w:rsid w:val="64813F85"/>
    <w:rsid w:val="64A036C7"/>
    <w:rsid w:val="64AF4262"/>
    <w:rsid w:val="64B11C70"/>
    <w:rsid w:val="64B9531D"/>
    <w:rsid w:val="64E6494C"/>
    <w:rsid w:val="64EA5182"/>
    <w:rsid w:val="64EC5F80"/>
    <w:rsid w:val="651014B1"/>
    <w:rsid w:val="6521049E"/>
    <w:rsid w:val="653D3504"/>
    <w:rsid w:val="654235AD"/>
    <w:rsid w:val="65675E82"/>
    <w:rsid w:val="656B6764"/>
    <w:rsid w:val="657E7BD0"/>
    <w:rsid w:val="6580777E"/>
    <w:rsid w:val="6591342F"/>
    <w:rsid w:val="65A12770"/>
    <w:rsid w:val="65B01E66"/>
    <w:rsid w:val="65B97414"/>
    <w:rsid w:val="65C34C7B"/>
    <w:rsid w:val="65D748AC"/>
    <w:rsid w:val="65DA619B"/>
    <w:rsid w:val="65F61548"/>
    <w:rsid w:val="660D064B"/>
    <w:rsid w:val="661462F7"/>
    <w:rsid w:val="66201BF5"/>
    <w:rsid w:val="6624447E"/>
    <w:rsid w:val="663B4F9B"/>
    <w:rsid w:val="665020A1"/>
    <w:rsid w:val="66705FC2"/>
    <w:rsid w:val="66A85798"/>
    <w:rsid w:val="66E30E48"/>
    <w:rsid w:val="67010AE3"/>
    <w:rsid w:val="671072E7"/>
    <w:rsid w:val="671E42D9"/>
    <w:rsid w:val="672112E1"/>
    <w:rsid w:val="67282409"/>
    <w:rsid w:val="672901E4"/>
    <w:rsid w:val="673C0F9E"/>
    <w:rsid w:val="67420EC9"/>
    <w:rsid w:val="6743642C"/>
    <w:rsid w:val="674F4DB3"/>
    <w:rsid w:val="67657CC6"/>
    <w:rsid w:val="67685576"/>
    <w:rsid w:val="67740C3E"/>
    <w:rsid w:val="67931B01"/>
    <w:rsid w:val="679F31CB"/>
    <w:rsid w:val="67B850C4"/>
    <w:rsid w:val="67C119C7"/>
    <w:rsid w:val="67C147CF"/>
    <w:rsid w:val="67C373D8"/>
    <w:rsid w:val="67DE1402"/>
    <w:rsid w:val="67E030A7"/>
    <w:rsid w:val="67E53966"/>
    <w:rsid w:val="680017AE"/>
    <w:rsid w:val="68002120"/>
    <w:rsid w:val="680C463A"/>
    <w:rsid w:val="680D1350"/>
    <w:rsid w:val="681174D1"/>
    <w:rsid w:val="68307350"/>
    <w:rsid w:val="6837640A"/>
    <w:rsid w:val="68594AF9"/>
    <w:rsid w:val="687E3964"/>
    <w:rsid w:val="689210E2"/>
    <w:rsid w:val="689B6E59"/>
    <w:rsid w:val="68A42834"/>
    <w:rsid w:val="68A4768F"/>
    <w:rsid w:val="68B755B1"/>
    <w:rsid w:val="68C93813"/>
    <w:rsid w:val="68D2468D"/>
    <w:rsid w:val="68D2751A"/>
    <w:rsid w:val="68E814B4"/>
    <w:rsid w:val="68F42B4F"/>
    <w:rsid w:val="68F91EAB"/>
    <w:rsid w:val="690E0C84"/>
    <w:rsid w:val="69142EFB"/>
    <w:rsid w:val="69154D60"/>
    <w:rsid w:val="691B1DAE"/>
    <w:rsid w:val="692A4E9F"/>
    <w:rsid w:val="6936224C"/>
    <w:rsid w:val="694A6DBA"/>
    <w:rsid w:val="695225F5"/>
    <w:rsid w:val="6962427C"/>
    <w:rsid w:val="69951D6A"/>
    <w:rsid w:val="699C0468"/>
    <w:rsid w:val="699F3821"/>
    <w:rsid w:val="69CD7FDE"/>
    <w:rsid w:val="69E01FE1"/>
    <w:rsid w:val="69E77EE2"/>
    <w:rsid w:val="69F670F9"/>
    <w:rsid w:val="6A0B1E23"/>
    <w:rsid w:val="6A154664"/>
    <w:rsid w:val="6A35599F"/>
    <w:rsid w:val="6A38073E"/>
    <w:rsid w:val="6A3828E1"/>
    <w:rsid w:val="6A3E49CA"/>
    <w:rsid w:val="6A6613C5"/>
    <w:rsid w:val="6A6E6B07"/>
    <w:rsid w:val="6A846828"/>
    <w:rsid w:val="6A935278"/>
    <w:rsid w:val="6AA61212"/>
    <w:rsid w:val="6ABC05B5"/>
    <w:rsid w:val="6ABC311D"/>
    <w:rsid w:val="6AC9111D"/>
    <w:rsid w:val="6ADC3F1A"/>
    <w:rsid w:val="6ADC761D"/>
    <w:rsid w:val="6AE2354A"/>
    <w:rsid w:val="6AEE685F"/>
    <w:rsid w:val="6B0F3217"/>
    <w:rsid w:val="6B1D2613"/>
    <w:rsid w:val="6B22477C"/>
    <w:rsid w:val="6B28641C"/>
    <w:rsid w:val="6B306B37"/>
    <w:rsid w:val="6B320A31"/>
    <w:rsid w:val="6B48730C"/>
    <w:rsid w:val="6B491DA4"/>
    <w:rsid w:val="6B4C6095"/>
    <w:rsid w:val="6B5634B2"/>
    <w:rsid w:val="6B5D28FD"/>
    <w:rsid w:val="6B5E4D2E"/>
    <w:rsid w:val="6B6E65C5"/>
    <w:rsid w:val="6B721A2E"/>
    <w:rsid w:val="6B7D0AFE"/>
    <w:rsid w:val="6BA17447"/>
    <w:rsid w:val="6BB13F10"/>
    <w:rsid w:val="6BBC3F98"/>
    <w:rsid w:val="6BE116D3"/>
    <w:rsid w:val="6BEA5301"/>
    <w:rsid w:val="6BF579C9"/>
    <w:rsid w:val="6C001136"/>
    <w:rsid w:val="6C095B4E"/>
    <w:rsid w:val="6C240D6B"/>
    <w:rsid w:val="6C2A7865"/>
    <w:rsid w:val="6C2D715B"/>
    <w:rsid w:val="6C5207BE"/>
    <w:rsid w:val="6C6A54FD"/>
    <w:rsid w:val="6C7368BD"/>
    <w:rsid w:val="6C82426E"/>
    <w:rsid w:val="6C8D27B4"/>
    <w:rsid w:val="6C8E0A44"/>
    <w:rsid w:val="6C9866B3"/>
    <w:rsid w:val="6CE567FC"/>
    <w:rsid w:val="6CF52916"/>
    <w:rsid w:val="6CFD6537"/>
    <w:rsid w:val="6D257859"/>
    <w:rsid w:val="6D3254A9"/>
    <w:rsid w:val="6D45564C"/>
    <w:rsid w:val="6D4754E7"/>
    <w:rsid w:val="6D572015"/>
    <w:rsid w:val="6D5D0BE7"/>
    <w:rsid w:val="6D6B748B"/>
    <w:rsid w:val="6D7F4B2B"/>
    <w:rsid w:val="6D8F4B19"/>
    <w:rsid w:val="6DA40A20"/>
    <w:rsid w:val="6DB166DC"/>
    <w:rsid w:val="6DB44057"/>
    <w:rsid w:val="6DB70CB4"/>
    <w:rsid w:val="6DB734BF"/>
    <w:rsid w:val="6DF525E1"/>
    <w:rsid w:val="6DFA1228"/>
    <w:rsid w:val="6E083793"/>
    <w:rsid w:val="6E094352"/>
    <w:rsid w:val="6E3132BB"/>
    <w:rsid w:val="6E331BC4"/>
    <w:rsid w:val="6E337525"/>
    <w:rsid w:val="6E3F02ED"/>
    <w:rsid w:val="6E424BD5"/>
    <w:rsid w:val="6E4C3940"/>
    <w:rsid w:val="6E522CE7"/>
    <w:rsid w:val="6E576C34"/>
    <w:rsid w:val="6E7322DC"/>
    <w:rsid w:val="6E7F6911"/>
    <w:rsid w:val="6E9A5727"/>
    <w:rsid w:val="6EA167A7"/>
    <w:rsid w:val="6EAD520C"/>
    <w:rsid w:val="6EBA61CC"/>
    <w:rsid w:val="6EC933B2"/>
    <w:rsid w:val="6EDD378E"/>
    <w:rsid w:val="6EF06C9C"/>
    <w:rsid w:val="6EF37C4F"/>
    <w:rsid w:val="6F1C574B"/>
    <w:rsid w:val="6F213E96"/>
    <w:rsid w:val="6F38773A"/>
    <w:rsid w:val="6F6B5F2F"/>
    <w:rsid w:val="6F7A0964"/>
    <w:rsid w:val="6F815117"/>
    <w:rsid w:val="6F8204C1"/>
    <w:rsid w:val="6F8A5608"/>
    <w:rsid w:val="6F8B55A6"/>
    <w:rsid w:val="6FA26D85"/>
    <w:rsid w:val="6FB65B98"/>
    <w:rsid w:val="6FC211D5"/>
    <w:rsid w:val="6FC56A54"/>
    <w:rsid w:val="6FCA41B7"/>
    <w:rsid w:val="6FE701A5"/>
    <w:rsid w:val="6FEE1DC0"/>
    <w:rsid w:val="702312AC"/>
    <w:rsid w:val="7023779A"/>
    <w:rsid w:val="702A2DF0"/>
    <w:rsid w:val="706447A2"/>
    <w:rsid w:val="7064713D"/>
    <w:rsid w:val="706749C0"/>
    <w:rsid w:val="7071229B"/>
    <w:rsid w:val="707A158E"/>
    <w:rsid w:val="70836E20"/>
    <w:rsid w:val="708F3F4F"/>
    <w:rsid w:val="709A4F8D"/>
    <w:rsid w:val="70C71E39"/>
    <w:rsid w:val="70DF2055"/>
    <w:rsid w:val="70DF5DB7"/>
    <w:rsid w:val="70EC1752"/>
    <w:rsid w:val="70F243AF"/>
    <w:rsid w:val="70F51137"/>
    <w:rsid w:val="71011C11"/>
    <w:rsid w:val="71090953"/>
    <w:rsid w:val="710F59DC"/>
    <w:rsid w:val="7137018B"/>
    <w:rsid w:val="713C6D66"/>
    <w:rsid w:val="714C08A6"/>
    <w:rsid w:val="715E3EF7"/>
    <w:rsid w:val="71783B5E"/>
    <w:rsid w:val="717E6DD7"/>
    <w:rsid w:val="71881FAB"/>
    <w:rsid w:val="718827C6"/>
    <w:rsid w:val="718D186A"/>
    <w:rsid w:val="718E5DE7"/>
    <w:rsid w:val="719E503F"/>
    <w:rsid w:val="71A81926"/>
    <w:rsid w:val="71AC3D91"/>
    <w:rsid w:val="71B3246E"/>
    <w:rsid w:val="71FF0740"/>
    <w:rsid w:val="71FF0BB1"/>
    <w:rsid w:val="7205522D"/>
    <w:rsid w:val="723B4C6C"/>
    <w:rsid w:val="72597F12"/>
    <w:rsid w:val="727D7F17"/>
    <w:rsid w:val="728733AE"/>
    <w:rsid w:val="72885057"/>
    <w:rsid w:val="728A466C"/>
    <w:rsid w:val="729231C5"/>
    <w:rsid w:val="72A739E6"/>
    <w:rsid w:val="72B42082"/>
    <w:rsid w:val="72BF73FF"/>
    <w:rsid w:val="72C74D55"/>
    <w:rsid w:val="72CC4119"/>
    <w:rsid w:val="72D3059A"/>
    <w:rsid w:val="72D64092"/>
    <w:rsid w:val="73013FCC"/>
    <w:rsid w:val="730B40D5"/>
    <w:rsid w:val="730F0D66"/>
    <w:rsid w:val="73306085"/>
    <w:rsid w:val="73444D77"/>
    <w:rsid w:val="73547991"/>
    <w:rsid w:val="736938A6"/>
    <w:rsid w:val="736B7CB7"/>
    <w:rsid w:val="739169F9"/>
    <w:rsid w:val="73B03DD9"/>
    <w:rsid w:val="73D96AEE"/>
    <w:rsid w:val="73E4649C"/>
    <w:rsid w:val="73E51D11"/>
    <w:rsid w:val="73F328B4"/>
    <w:rsid w:val="73FC2213"/>
    <w:rsid w:val="740E561C"/>
    <w:rsid w:val="74170F18"/>
    <w:rsid w:val="745B0499"/>
    <w:rsid w:val="749D0891"/>
    <w:rsid w:val="749E119A"/>
    <w:rsid w:val="74AF784E"/>
    <w:rsid w:val="74B86ED3"/>
    <w:rsid w:val="74C36F32"/>
    <w:rsid w:val="74C75E1F"/>
    <w:rsid w:val="74D07A67"/>
    <w:rsid w:val="74D33EF6"/>
    <w:rsid w:val="74D4044B"/>
    <w:rsid w:val="74EE24F7"/>
    <w:rsid w:val="74FD1691"/>
    <w:rsid w:val="75587EE6"/>
    <w:rsid w:val="75630D65"/>
    <w:rsid w:val="75775B9F"/>
    <w:rsid w:val="75992D53"/>
    <w:rsid w:val="75AD3BDA"/>
    <w:rsid w:val="75B41494"/>
    <w:rsid w:val="75C36B04"/>
    <w:rsid w:val="75C4705E"/>
    <w:rsid w:val="75C64E50"/>
    <w:rsid w:val="75D94171"/>
    <w:rsid w:val="75E50542"/>
    <w:rsid w:val="75E63744"/>
    <w:rsid w:val="75F209E9"/>
    <w:rsid w:val="75F82A6B"/>
    <w:rsid w:val="75FB22F9"/>
    <w:rsid w:val="761733FE"/>
    <w:rsid w:val="76174F9E"/>
    <w:rsid w:val="761A6A1B"/>
    <w:rsid w:val="76341C8D"/>
    <w:rsid w:val="763E7E10"/>
    <w:rsid w:val="76404C02"/>
    <w:rsid w:val="764207BC"/>
    <w:rsid w:val="76591028"/>
    <w:rsid w:val="766C4022"/>
    <w:rsid w:val="76753F99"/>
    <w:rsid w:val="767A50C2"/>
    <w:rsid w:val="767E5321"/>
    <w:rsid w:val="76866093"/>
    <w:rsid w:val="7698243C"/>
    <w:rsid w:val="769A2CF5"/>
    <w:rsid w:val="769D4442"/>
    <w:rsid w:val="76AF515A"/>
    <w:rsid w:val="76C87A04"/>
    <w:rsid w:val="76D433A2"/>
    <w:rsid w:val="76E63B9C"/>
    <w:rsid w:val="76F83719"/>
    <w:rsid w:val="7730284F"/>
    <w:rsid w:val="773D64AD"/>
    <w:rsid w:val="77424C09"/>
    <w:rsid w:val="77471B59"/>
    <w:rsid w:val="775939AE"/>
    <w:rsid w:val="775A7F45"/>
    <w:rsid w:val="777703EE"/>
    <w:rsid w:val="777754F2"/>
    <w:rsid w:val="77786962"/>
    <w:rsid w:val="778165CD"/>
    <w:rsid w:val="778E0DE7"/>
    <w:rsid w:val="7798025B"/>
    <w:rsid w:val="779F16F9"/>
    <w:rsid w:val="77B21B30"/>
    <w:rsid w:val="77CA5641"/>
    <w:rsid w:val="77CA5FE6"/>
    <w:rsid w:val="77CE640B"/>
    <w:rsid w:val="780103C1"/>
    <w:rsid w:val="780D4DDE"/>
    <w:rsid w:val="78203AD8"/>
    <w:rsid w:val="7826607A"/>
    <w:rsid w:val="78307537"/>
    <w:rsid w:val="783339F8"/>
    <w:rsid w:val="78764B0C"/>
    <w:rsid w:val="78780CEE"/>
    <w:rsid w:val="788A489C"/>
    <w:rsid w:val="78AC7600"/>
    <w:rsid w:val="78BA017D"/>
    <w:rsid w:val="78C83AD2"/>
    <w:rsid w:val="78E94158"/>
    <w:rsid w:val="7902426D"/>
    <w:rsid w:val="792627D5"/>
    <w:rsid w:val="7929100A"/>
    <w:rsid w:val="79352239"/>
    <w:rsid w:val="794D5B43"/>
    <w:rsid w:val="79651345"/>
    <w:rsid w:val="797474B7"/>
    <w:rsid w:val="798A5C60"/>
    <w:rsid w:val="79A07515"/>
    <w:rsid w:val="79C7513B"/>
    <w:rsid w:val="79C773E8"/>
    <w:rsid w:val="79CA0038"/>
    <w:rsid w:val="79CB47A6"/>
    <w:rsid w:val="79D40E7A"/>
    <w:rsid w:val="79DA2A74"/>
    <w:rsid w:val="79DF4183"/>
    <w:rsid w:val="79F14389"/>
    <w:rsid w:val="79F2698C"/>
    <w:rsid w:val="79FB6DF5"/>
    <w:rsid w:val="7A00729F"/>
    <w:rsid w:val="7A166755"/>
    <w:rsid w:val="7A1F3357"/>
    <w:rsid w:val="7A2A5B8E"/>
    <w:rsid w:val="7A2D06ED"/>
    <w:rsid w:val="7A2E15EF"/>
    <w:rsid w:val="7A301431"/>
    <w:rsid w:val="7A3078DD"/>
    <w:rsid w:val="7A314342"/>
    <w:rsid w:val="7A392094"/>
    <w:rsid w:val="7A392CE7"/>
    <w:rsid w:val="7A802114"/>
    <w:rsid w:val="7A8A406E"/>
    <w:rsid w:val="7A9252EE"/>
    <w:rsid w:val="7A9861CB"/>
    <w:rsid w:val="7AA314FA"/>
    <w:rsid w:val="7AA70705"/>
    <w:rsid w:val="7AAB5483"/>
    <w:rsid w:val="7ACA5466"/>
    <w:rsid w:val="7AD069C7"/>
    <w:rsid w:val="7AD45C10"/>
    <w:rsid w:val="7ADB139D"/>
    <w:rsid w:val="7AE3328E"/>
    <w:rsid w:val="7AF104A4"/>
    <w:rsid w:val="7AFF176C"/>
    <w:rsid w:val="7B000E04"/>
    <w:rsid w:val="7B024A73"/>
    <w:rsid w:val="7B0A6A9B"/>
    <w:rsid w:val="7B0D2818"/>
    <w:rsid w:val="7B202C09"/>
    <w:rsid w:val="7B2047C6"/>
    <w:rsid w:val="7B661851"/>
    <w:rsid w:val="7B6B6D62"/>
    <w:rsid w:val="7B7612F7"/>
    <w:rsid w:val="7B784E3E"/>
    <w:rsid w:val="7B7D30DF"/>
    <w:rsid w:val="7B8C6B3B"/>
    <w:rsid w:val="7B973EE9"/>
    <w:rsid w:val="7B994E29"/>
    <w:rsid w:val="7BA80A22"/>
    <w:rsid w:val="7BA838BD"/>
    <w:rsid w:val="7BB66E7F"/>
    <w:rsid w:val="7BC90836"/>
    <w:rsid w:val="7BCA5353"/>
    <w:rsid w:val="7BD41347"/>
    <w:rsid w:val="7C1B58F6"/>
    <w:rsid w:val="7C1F5A64"/>
    <w:rsid w:val="7C2B048D"/>
    <w:rsid w:val="7C6065A8"/>
    <w:rsid w:val="7C746681"/>
    <w:rsid w:val="7C99506C"/>
    <w:rsid w:val="7C996138"/>
    <w:rsid w:val="7C9B6D68"/>
    <w:rsid w:val="7C9D5B5E"/>
    <w:rsid w:val="7CA20C72"/>
    <w:rsid w:val="7CB82DCD"/>
    <w:rsid w:val="7CC145C3"/>
    <w:rsid w:val="7CCC0D37"/>
    <w:rsid w:val="7CF50C89"/>
    <w:rsid w:val="7D2647F8"/>
    <w:rsid w:val="7D28187D"/>
    <w:rsid w:val="7D2D1D1E"/>
    <w:rsid w:val="7D5B3BA0"/>
    <w:rsid w:val="7D6D0647"/>
    <w:rsid w:val="7DA9460F"/>
    <w:rsid w:val="7DA94EA6"/>
    <w:rsid w:val="7DAE06B7"/>
    <w:rsid w:val="7DC254FE"/>
    <w:rsid w:val="7DDD2DFA"/>
    <w:rsid w:val="7DDF08AD"/>
    <w:rsid w:val="7DE31066"/>
    <w:rsid w:val="7DE332EA"/>
    <w:rsid w:val="7DE65FBE"/>
    <w:rsid w:val="7DE87CD0"/>
    <w:rsid w:val="7DF537E7"/>
    <w:rsid w:val="7DF72527"/>
    <w:rsid w:val="7DFF6F70"/>
    <w:rsid w:val="7E0D2AF2"/>
    <w:rsid w:val="7E150264"/>
    <w:rsid w:val="7E1640FB"/>
    <w:rsid w:val="7E176086"/>
    <w:rsid w:val="7E3B2283"/>
    <w:rsid w:val="7E4E4A04"/>
    <w:rsid w:val="7E507159"/>
    <w:rsid w:val="7E6C44F5"/>
    <w:rsid w:val="7E722A72"/>
    <w:rsid w:val="7E78690A"/>
    <w:rsid w:val="7E7B3986"/>
    <w:rsid w:val="7E826950"/>
    <w:rsid w:val="7E887A60"/>
    <w:rsid w:val="7E8C7128"/>
    <w:rsid w:val="7E90208C"/>
    <w:rsid w:val="7E9064E4"/>
    <w:rsid w:val="7E9E2C4F"/>
    <w:rsid w:val="7E9F4D2C"/>
    <w:rsid w:val="7EA30CDC"/>
    <w:rsid w:val="7EA51035"/>
    <w:rsid w:val="7EB01442"/>
    <w:rsid w:val="7EC81C39"/>
    <w:rsid w:val="7ECD25DF"/>
    <w:rsid w:val="7ED240BD"/>
    <w:rsid w:val="7EDC38BD"/>
    <w:rsid w:val="7EF46ED2"/>
    <w:rsid w:val="7EF82D86"/>
    <w:rsid w:val="7F022E5D"/>
    <w:rsid w:val="7F030EC3"/>
    <w:rsid w:val="7F076AF0"/>
    <w:rsid w:val="7F0F55A8"/>
    <w:rsid w:val="7F3B065C"/>
    <w:rsid w:val="7F3F101E"/>
    <w:rsid w:val="7F4E32BF"/>
    <w:rsid w:val="7F527F3D"/>
    <w:rsid w:val="7F5E434B"/>
    <w:rsid w:val="7F7405C7"/>
    <w:rsid w:val="7F7708FF"/>
    <w:rsid w:val="7F7D0C75"/>
    <w:rsid w:val="7F8A7F3B"/>
    <w:rsid w:val="7F967F89"/>
    <w:rsid w:val="7F9D6634"/>
    <w:rsid w:val="7FA27F7B"/>
    <w:rsid w:val="7FA55FC4"/>
    <w:rsid w:val="7FFC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9"/>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link w:val="36"/>
    <w:unhideWhenUsed/>
    <w:qFormat/>
    <w:uiPriority w:val="0"/>
    <w:pPr>
      <w:keepNext/>
      <w:keepLines/>
      <w:spacing w:line="413" w:lineRule="auto"/>
      <w:jc w:val="center"/>
      <w:outlineLvl w:val="1"/>
    </w:pPr>
    <w:rPr>
      <w:rFonts w:ascii="Arial" w:hAnsi="Arial" w:eastAsia="宋体"/>
      <w:b/>
      <w:sz w:val="24"/>
    </w:rPr>
  </w:style>
  <w:style w:type="paragraph" w:styleId="5">
    <w:name w:val="heading 3"/>
    <w:basedOn w:val="1"/>
    <w:next w:val="1"/>
    <w:link w:val="75"/>
    <w:unhideWhenUsed/>
    <w:qFormat/>
    <w:uiPriority w:val="0"/>
    <w:pPr>
      <w:keepNext/>
      <w:keepLines/>
      <w:spacing w:line="413" w:lineRule="auto"/>
      <w:outlineLvl w:val="2"/>
    </w:pPr>
    <w:rPr>
      <w:b/>
      <w:sz w:val="28"/>
    </w:rPr>
  </w:style>
  <w:style w:type="paragraph" w:styleId="6">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Document Map"/>
    <w:basedOn w:val="1"/>
    <w:link w:val="52"/>
    <w:qFormat/>
    <w:uiPriority w:val="0"/>
    <w:rPr>
      <w:rFonts w:ascii="宋体" w:eastAsia="宋体"/>
      <w:sz w:val="18"/>
      <w:szCs w:val="18"/>
    </w:rPr>
  </w:style>
  <w:style w:type="paragraph" w:styleId="10">
    <w:name w:val="toa heading"/>
    <w:basedOn w:val="1"/>
    <w:next w:val="1"/>
    <w:qFormat/>
    <w:uiPriority w:val="0"/>
    <w:pPr>
      <w:spacing w:before="120"/>
    </w:pPr>
    <w:rPr>
      <w:rFonts w:ascii="Arial" w:hAnsi="Arial" w:cs="Arial"/>
      <w:sz w:val="24"/>
    </w:rPr>
  </w:style>
  <w:style w:type="paragraph" w:styleId="11">
    <w:name w:val="annotation text"/>
    <w:basedOn w:val="1"/>
    <w:link w:val="50"/>
    <w:qFormat/>
    <w:uiPriority w:val="99"/>
    <w:pPr>
      <w:jc w:val="left"/>
    </w:pPr>
    <w:rPr>
      <w:rFonts w:ascii="宋体"/>
      <w:kern w:val="0"/>
      <w:sz w:val="34"/>
    </w:rPr>
  </w:style>
  <w:style w:type="paragraph" w:styleId="12">
    <w:name w:val="Body Text Indent"/>
    <w:basedOn w:val="1"/>
    <w:qFormat/>
    <w:uiPriority w:val="0"/>
    <w:pPr>
      <w:ind w:left="420" w:leftChars="200"/>
    </w:pPr>
  </w:style>
  <w:style w:type="paragraph" w:styleId="13">
    <w:name w:val="toc 3"/>
    <w:basedOn w:val="1"/>
    <w:next w:val="1"/>
    <w:qFormat/>
    <w:uiPriority w:val="0"/>
    <w:pPr>
      <w:ind w:left="840" w:leftChars="400"/>
    </w:pPr>
  </w:style>
  <w:style w:type="paragraph" w:styleId="14">
    <w:name w:val="Plain Text"/>
    <w:basedOn w:val="1"/>
    <w:qFormat/>
    <w:uiPriority w:val="0"/>
    <w:pPr>
      <w:spacing w:line="324" w:lineRule="auto"/>
    </w:pPr>
    <w:rPr>
      <w:rFonts w:ascii="宋体" w:hAnsi="Courier New" w:cs="Courier New"/>
      <w:szCs w:val="21"/>
    </w:rPr>
  </w:style>
  <w:style w:type="paragraph" w:styleId="15">
    <w:name w:val="Date"/>
    <w:basedOn w:val="1"/>
    <w:next w:val="1"/>
    <w:qFormat/>
    <w:uiPriority w:val="0"/>
    <w:rPr>
      <w:rFonts w:ascii="Copperplate Gothic Bold" w:hAnsi="Copperplate Gothic Bold"/>
      <w:sz w:val="32"/>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9"/>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Body Text 2"/>
    <w:basedOn w:val="1"/>
    <w:qFormat/>
    <w:uiPriority w:val="0"/>
    <w:pPr>
      <w:jc w:val="center"/>
    </w:pPr>
    <w:rPr>
      <w:b/>
      <w:spacing w:val="-20"/>
      <w:w w:val="130"/>
      <w:sz w:val="48"/>
      <w:szCs w:val="20"/>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annotation subject"/>
    <w:basedOn w:val="11"/>
    <w:next w:val="11"/>
    <w:link w:val="60"/>
    <w:qFormat/>
    <w:uiPriority w:val="0"/>
    <w:rPr>
      <w:rFonts w:asciiTheme="minorHAnsi"/>
      <w:b/>
      <w:bCs/>
      <w:kern w:val="2"/>
      <w:sz w:val="21"/>
    </w:rPr>
  </w:style>
  <w:style w:type="paragraph" w:styleId="25">
    <w:name w:val="Body Text First Indent"/>
    <w:basedOn w:val="2"/>
    <w:unhideWhenUsed/>
    <w:qFormat/>
    <w:uiPriority w:val="99"/>
    <w:pPr>
      <w:ind w:firstLine="420" w:firstLineChars="100"/>
    </w:pPr>
    <w:rPr>
      <w:rFonts w:ascii="Times New Roman" w:hAnsi="Times New Roman"/>
      <w:sz w:val="18"/>
      <w:szCs w:val="18"/>
    </w:rPr>
  </w:style>
  <w:style w:type="table" w:styleId="27">
    <w:name w:val="Table Grid"/>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sz w:val="24"/>
      <w:szCs w:val="24"/>
    </w:rPr>
  </w:style>
  <w:style w:type="character" w:styleId="30">
    <w:name w:val="page number"/>
    <w:basedOn w:val="28"/>
    <w:qFormat/>
    <w:uiPriority w:val="0"/>
  </w:style>
  <w:style w:type="character" w:styleId="31">
    <w:name w:val="FollowedHyperlink"/>
    <w:basedOn w:val="28"/>
    <w:qFormat/>
    <w:uiPriority w:val="0"/>
    <w:rPr>
      <w:rFonts w:hint="eastAsia" w:ascii="宋体" w:hAnsi="宋体" w:eastAsia="宋体" w:cs="宋体"/>
      <w:color w:val="000000"/>
      <w:sz w:val="18"/>
      <w:szCs w:val="18"/>
      <w:u w:val="none"/>
    </w:rPr>
  </w:style>
  <w:style w:type="character" w:styleId="32">
    <w:name w:val="Emphasis"/>
    <w:basedOn w:val="28"/>
    <w:qFormat/>
    <w:uiPriority w:val="0"/>
    <w:rPr>
      <w:i/>
      <w:iCs/>
    </w:rPr>
  </w:style>
  <w:style w:type="character" w:styleId="33">
    <w:name w:val="Hyperlink"/>
    <w:basedOn w:val="28"/>
    <w:qFormat/>
    <w:uiPriority w:val="0"/>
    <w:rPr>
      <w:color w:val="0000FF"/>
      <w:u w:val="single"/>
    </w:rPr>
  </w:style>
  <w:style w:type="character" w:styleId="34">
    <w:name w:val="annotation reference"/>
    <w:qFormat/>
    <w:uiPriority w:val="99"/>
    <w:rPr>
      <w:sz w:val="21"/>
      <w:szCs w:val="21"/>
    </w:rPr>
  </w:style>
  <w:style w:type="character" w:styleId="35">
    <w:name w:val="HTML Cite"/>
    <w:basedOn w:val="28"/>
    <w:qFormat/>
    <w:uiPriority w:val="0"/>
    <w:rPr>
      <w:sz w:val="24"/>
      <w:szCs w:val="24"/>
    </w:rPr>
  </w:style>
  <w:style w:type="character" w:customStyle="1" w:styleId="36">
    <w:name w:val="标题 2 Char"/>
    <w:basedOn w:val="28"/>
    <w:link w:val="4"/>
    <w:semiHidden/>
    <w:qFormat/>
    <w:locked/>
    <w:uiPriority w:val="99"/>
    <w:rPr>
      <w:rFonts w:ascii="Arial" w:hAnsi="Arial" w:eastAsia="宋体"/>
      <w:b/>
      <w:sz w:val="24"/>
    </w:rPr>
  </w:style>
  <w:style w:type="paragraph" w:customStyle="1" w:styleId="37">
    <w:name w:val="无间隔1"/>
    <w:basedOn w:val="1"/>
    <w:qFormat/>
    <w:uiPriority w:val="1"/>
    <w:pPr>
      <w:spacing w:line="400" w:lineRule="exact"/>
    </w:pPr>
    <w:rPr>
      <w:sz w:val="24"/>
    </w:rPr>
  </w:style>
  <w:style w:type="paragraph" w:customStyle="1" w:styleId="38">
    <w:name w:val="正文缩进1"/>
    <w:basedOn w:val="1"/>
    <w:qFormat/>
    <w:uiPriority w:val="0"/>
    <w:pPr>
      <w:ind w:firstLine="420" w:firstLineChars="200"/>
    </w:pPr>
  </w:style>
  <w:style w:type="paragraph" w:customStyle="1" w:styleId="39">
    <w:name w:val="Char2 Char Char Char"/>
    <w:basedOn w:val="1"/>
    <w:qFormat/>
    <w:uiPriority w:val="0"/>
    <w:rPr>
      <w:rFonts w:ascii="Tahoma" w:hAnsi="Tahoma"/>
      <w:sz w:val="24"/>
      <w:szCs w:val="20"/>
    </w:rPr>
  </w:style>
  <w:style w:type="paragraph" w:customStyle="1" w:styleId="40">
    <w:name w:val="列出段落1"/>
    <w:basedOn w:val="1"/>
    <w:unhideWhenUsed/>
    <w:qFormat/>
    <w:uiPriority w:val="99"/>
    <w:pPr>
      <w:ind w:firstLine="420" w:firstLineChars="200"/>
    </w:pPr>
  </w:style>
  <w:style w:type="character" w:customStyle="1" w:styleId="41">
    <w:name w:val="10"/>
    <w:basedOn w:val="28"/>
    <w:qFormat/>
    <w:uiPriority w:val="0"/>
    <w:rPr>
      <w:rFonts w:hint="default" w:ascii="Calibri" w:hAnsi="Calibri"/>
    </w:rPr>
  </w:style>
  <w:style w:type="character" w:customStyle="1" w:styleId="42">
    <w:name w:val="15"/>
    <w:basedOn w:val="28"/>
    <w:qFormat/>
    <w:uiPriority w:val="0"/>
    <w:rPr>
      <w:rFonts w:hint="default" w:ascii="Calibri" w:hAnsi="Calibri"/>
      <w:i/>
      <w:iCs/>
    </w:rPr>
  </w:style>
  <w:style w:type="paragraph" w:customStyle="1" w:styleId="43">
    <w:name w:val="_Style 2"/>
    <w:basedOn w:val="1"/>
    <w:qFormat/>
    <w:uiPriority w:val="34"/>
    <w:pPr>
      <w:ind w:firstLine="420" w:firstLineChars="200"/>
    </w:pPr>
  </w:style>
  <w:style w:type="character" w:customStyle="1" w:styleId="44">
    <w:name w:val="apple-style-span"/>
    <w:qFormat/>
    <w:uiPriority w:val="0"/>
  </w:style>
  <w:style w:type="character" w:customStyle="1" w:styleId="45">
    <w:name w:val="del"/>
    <w:basedOn w:val="28"/>
    <w:qFormat/>
    <w:uiPriority w:val="0"/>
  </w:style>
  <w:style w:type="character" w:customStyle="1" w:styleId="46">
    <w:name w:val="del1"/>
    <w:basedOn w:val="28"/>
    <w:qFormat/>
    <w:uiPriority w:val="0"/>
    <w:rPr>
      <w:vanish/>
      <w:color w:val="666666"/>
      <w:sz w:val="18"/>
      <w:szCs w:val="18"/>
      <w:u w:val="single"/>
    </w:rPr>
  </w:style>
  <w:style w:type="character" w:customStyle="1" w:styleId="47">
    <w:name w:val="del2"/>
    <w:basedOn w:val="28"/>
    <w:qFormat/>
    <w:uiPriority w:val="0"/>
    <w:rPr>
      <w:vanish/>
    </w:rPr>
  </w:style>
  <w:style w:type="character" w:customStyle="1" w:styleId="48">
    <w:name w:val="del3"/>
    <w:basedOn w:val="28"/>
    <w:qFormat/>
    <w:uiPriority w:val="0"/>
    <w:rPr>
      <w:vanish/>
    </w:rPr>
  </w:style>
  <w:style w:type="character" w:customStyle="1" w:styleId="49">
    <w:name w:val="批注框文本 Char"/>
    <w:basedOn w:val="28"/>
    <w:link w:val="17"/>
    <w:qFormat/>
    <w:uiPriority w:val="0"/>
    <w:rPr>
      <w:rFonts w:asciiTheme="minorHAnsi" w:hAnsiTheme="minorHAnsi" w:eastAsiaTheme="minorEastAsia" w:cstheme="minorBidi"/>
      <w:kern w:val="2"/>
      <w:sz w:val="18"/>
      <w:szCs w:val="18"/>
    </w:rPr>
  </w:style>
  <w:style w:type="character" w:customStyle="1" w:styleId="50">
    <w:name w:val="批注文字 Char"/>
    <w:basedOn w:val="28"/>
    <w:link w:val="11"/>
    <w:qFormat/>
    <w:uiPriority w:val="99"/>
    <w:rPr>
      <w:rFonts w:ascii="宋体" w:hAnsiTheme="minorHAnsi" w:eastAsiaTheme="minorEastAsia" w:cstheme="minorBidi"/>
      <w:sz w:val="34"/>
      <w:szCs w:val="22"/>
    </w:rPr>
  </w:style>
  <w:style w:type="paragraph" w:customStyle="1" w:styleId="51">
    <w:name w:val="列出段落2"/>
    <w:basedOn w:val="1"/>
    <w:qFormat/>
    <w:uiPriority w:val="0"/>
    <w:pPr>
      <w:ind w:firstLine="420" w:firstLineChars="200"/>
    </w:pPr>
    <w:rPr>
      <w:rFonts w:ascii="宋体"/>
      <w:sz w:val="28"/>
    </w:rPr>
  </w:style>
  <w:style w:type="character" w:customStyle="1" w:styleId="52">
    <w:name w:val="文档结构图 Char"/>
    <w:basedOn w:val="28"/>
    <w:link w:val="9"/>
    <w:qFormat/>
    <w:uiPriority w:val="0"/>
    <w:rPr>
      <w:rFonts w:ascii="宋体" w:hAnsiTheme="minorHAnsi" w:cstheme="minorBidi"/>
      <w:kern w:val="2"/>
      <w:sz w:val="18"/>
      <w:szCs w:val="18"/>
    </w:rPr>
  </w:style>
  <w:style w:type="paragraph" w:customStyle="1" w:styleId="53">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54">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5">
    <w:name w:val="列出段落3"/>
    <w:basedOn w:val="1"/>
    <w:qFormat/>
    <w:uiPriority w:val="0"/>
    <w:pPr>
      <w:ind w:firstLine="420" w:firstLineChars="200"/>
    </w:pPr>
    <w:rPr>
      <w:rFonts w:ascii="宋体"/>
      <w:sz w:val="28"/>
    </w:rPr>
  </w:style>
  <w:style w:type="paragraph" w:customStyle="1" w:styleId="56">
    <w:name w:val="list number ＋left spaceing"/>
    <w:basedOn w:val="7"/>
    <w:qFormat/>
    <w:uiPriority w:val="0"/>
    <w:pPr>
      <w:widowControl/>
      <w:tabs>
        <w:tab w:val="left" w:pos="839"/>
      </w:tabs>
      <w:ind w:left="0" w:firstLine="0"/>
      <w:jc w:val="left"/>
    </w:pPr>
    <w:rPr>
      <w:kern w:val="0"/>
    </w:rPr>
  </w:style>
  <w:style w:type="paragraph" w:customStyle="1" w:styleId="57">
    <w:name w:val="正文框"/>
    <w:basedOn w:val="1"/>
    <w:qFormat/>
    <w:uiPriority w:val="0"/>
    <w:pPr>
      <w:widowControl/>
      <w:adjustRightInd w:val="0"/>
      <w:spacing w:line="312" w:lineRule="atLeast"/>
      <w:jc w:val="left"/>
      <w:textAlignment w:val="baseline"/>
    </w:pPr>
    <w:rPr>
      <w:sz w:val="24"/>
    </w:rPr>
  </w:style>
  <w:style w:type="paragraph" w:customStyle="1" w:styleId="58">
    <w:name w:val="Char"/>
    <w:basedOn w:val="1"/>
    <w:qFormat/>
    <w:uiPriority w:val="0"/>
    <w:pPr>
      <w:jc w:val="left"/>
    </w:pPr>
    <w:rPr>
      <w:rFonts w:ascii="Tahoma" w:hAnsi="Tahoma"/>
      <w:sz w:val="24"/>
      <w:szCs w:val="20"/>
    </w:rPr>
  </w:style>
  <w:style w:type="character" w:customStyle="1" w:styleId="59">
    <w:name w:val="标题 1 Char"/>
    <w:link w:val="3"/>
    <w:qFormat/>
    <w:uiPriority w:val="0"/>
    <w:rPr>
      <w:rFonts w:ascii="Times New Roman" w:hAnsi="Times New Roman" w:eastAsia="宋体"/>
      <w:b/>
      <w:kern w:val="44"/>
      <w:sz w:val="32"/>
    </w:rPr>
  </w:style>
  <w:style w:type="character" w:customStyle="1" w:styleId="60">
    <w:name w:val="批注主题 Char"/>
    <w:basedOn w:val="50"/>
    <w:link w:val="24"/>
    <w:qFormat/>
    <w:uiPriority w:val="0"/>
    <w:rPr>
      <w:rFonts w:asciiTheme="minorHAnsi" w:hAnsiTheme="minorHAnsi" w:eastAsiaTheme="minorEastAsia" w:cstheme="minorBidi"/>
      <w:b/>
      <w:bCs/>
      <w:kern w:val="2"/>
      <w:sz w:val="21"/>
      <w:szCs w:val="22"/>
    </w:rPr>
  </w:style>
  <w:style w:type="character" w:customStyle="1" w:styleId="61">
    <w:name w:val="font11"/>
    <w:basedOn w:val="28"/>
    <w:qFormat/>
    <w:uiPriority w:val="0"/>
    <w:rPr>
      <w:rFonts w:hint="eastAsia" w:ascii="宋体" w:hAnsi="宋体" w:eastAsia="宋体" w:cs="宋体"/>
      <w:color w:val="000000"/>
      <w:sz w:val="22"/>
      <w:szCs w:val="22"/>
      <w:u w:val="none"/>
    </w:rPr>
  </w:style>
  <w:style w:type="character" w:customStyle="1" w:styleId="62">
    <w:name w:val="font61"/>
    <w:basedOn w:val="28"/>
    <w:qFormat/>
    <w:uiPriority w:val="0"/>
    <w:rPr>
      <w:rFonts w:hint="default" w:ascii="Tahoma" w:hAnsi="Tahoma" w:eastAsia="Tahoma" w:cs="Tahoma"/>
      <w:color w:val="000000"/>
      <w:sz w:val="22"/>
      <w:szCs w:val="22"/>
      <w:u w:val="none"/>
    </w:rPr>
  </w:style>
  <w:style w:type="character" w:customStyle="1" w:styleId="63">
    <w:name w:val="font01"/>
    <w:basedOn w:val="28"/>
    <w:qFormat/>
    <w:uiPriority w:val="0"/>
    <w:rPr>
      <w:rFonts w:hint="eastAsia" w:ascii="宋体" w:hAnsi="宋体" w:eastAsia="宋体" w:cs="宋体"/>
      <w:b/>
      <w:color w:val="000000"/>
      <w:sz w:val="24"/>
      <w:szCs w:val="24"/>
      <w:u w:val="none"/>
    </w:rPr>
  </w:style>
  <w:style w:type="paragraph" w:customStyle="1" w:styleId="64">
    <w:name w:val="列出段落4"/>
    <w:basedOn w:val="1"/>
    <w:qFormat/>
    <w:uiPriority w:val="34"/>
    <w:pPr>
      <w:ind w:firstLine="420" w:firstLineChars="200"/>
    </w:pPr>
  </w:style>
  <w:style w:type="paragraph" w:customStyle="1" w:styleId="65">
    <w:name w:val="列出段落5"/>
    <w:basedOn w:val="1"/>
    <w:unhideWhenUsed/>
    <w:qFormat/>
    <w:uiPriority w:val="99"/>
    <w:pPr>
      <w:ind w:firstLine="420" w:firstLineChars="200"/>
    </w:pPr>
  </w:style>
  <w:style w:type="paragraph" w:customStyle="1" w:styleId="66">
    <w:name w:val="TableHeader"/>
    <w:qFormat/>
    <w:uiPriority w:val="1"/>
    <w:pPr>
      <w:spacing w:before="40" w:after="40"/>
      <w:jc w:val="center"/>
    </w:pPr>
    <w:rPr>
      <w:rFonts w:ascii="Arial" w:hAnsi="Arial" w:eastAsia="宋体" w:cstheme="minorBidi"/>
      <w:b/>
      <w:bCs/>
      <w:kern w:val="44"/>
      <w:sz w:val="18"/>
      <w:szCs w:val="44"/>
      <w:lang w:val="en-US" w:eastAsia="zh-CN" w:bidi="ar-SA"/>
    </w:rPr>
  </w:style>
  <w:style w:type="paragraph" w:customStyle="1" w:styleId="67">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68">
    <w:name w:val="List Paragraph"/>
    <w:basedOn w:val="1"/>
    <w:qFormat/>
    <w:uiPriority w:val="99"/>
    <w:pPr>
      <w:ind w:firstLine="420" w:firstLineChars="200"/>
    </w:pPr>
  </w:style>
  <w:style w:type="character" w:customStyle="1" w:styleId="69">
    <w:name w:val="Heading 1 Char"/>
    <w:basedOn w:val="28"/>
    <w:link w:val="3"/>
    <w:qFormat/>
    <w:locked/>
    <w:uiPriority w:val="99"/>
    <w:rPr>
      <w:rFonts w:ascii="Times New Roman" w:hAnsi="Times New Roman" w:eastAsia="宋体" w:cs="Times New Roman"/>
      <w:b/>
      <w:kern w:val="44"/>
      <w:sz w:val="32"/>
    </w:rPr>
  </w:style>
  <w:style w:type="paragraph" w:customStyle="1" w:styleId="70">
    <w:name w:val="列出段落6"/>
    <w:basedOn w:val="1"/>
    <w:unhideWhenUsed/>
    <w:qFormat/>
    <w:uiPriority w:val="99"/>
    <w:pPr>
      <w:ind w:firstLine="420" w:firstLineChars="200"/>
    </w:pPr>
  </w:style>
  <w:style w:type="paragraph" w:customStyle="1" w:styleId="71">
    <w:name w:val="正文首行缩进两字符"/>
    <w:basedOn w:val="1"/>
    <w:qFormat/>
    <w:uiPriority w:val="0"/>
    <w:pPr>
      <w:autoSpaceDE w:val="0"/>
      <w:autoSpaceDN w:val="0"/>
      <w:adjustRightInd w:val="0"/>
      <w:spacing w:line="360" w:lineRule="atLeast"/>
      <w:ind w:firstLine="200"/>
    </w:pPr>
    <w:rPr>
      <w:rFonts w:ascii="Times New Roman" w:hAnsi="Times New Roman" w:eastAsia="宋体" w:cs="Times New Roman"/>
      <w:kern w:val="0"/>
      <w:szCs w:val="21"/>
    </w:rPr>
  </w:style>
  <w:style w:type="paragraph" w:customStyle="1" w:styleId="72">
    <w:name w:val="Default"/>
    <w:qFormat/>
    <w:uiPriority w:val="0"/>
    <w:pPr>
      <w:autoSpaceDE w:val="0"/>
      <w:autoSpaceDN w:val="0"/>
      <w:adjustRightInd w:val="0"/>
    </w:pPr>
    <w:rPr>
      <w:rFonts w:ascii="Arial" w:hAnsi="Arial" w:eastAsia="宋体" w:cs="Arial"/>
      <w:color w:val="000000"/>
      <w:sz w:val="24"/>
      <w:szCs w:val="24"/>
      <w:lang w:val="da-DK" w:eastAsia="zh-CN" w:bidi="ar-SA"/>
    </w:rPr>
  </w:style>
  <w:style w:type="character" w:customStyle="1" w:styleId="73">
    <w:name w:val="标题 1 Char1"/>
    <w:basedOn w:val="28"/>
    <w:link w:val="3"/>
    <w:qFormat/>
    <w:locked/>
    <w:uiPriority w:val="99"/>
    <w:rPr>
      <w:rFonts w:ascii="Times New Roman" w:hAnsi="Times New Roman" w:eastAsia="宋体" w:cs="Times New Roman"/>
      <w:b/>
      <w:kern w:val="44"/>
      <w:sz w:val="32"/>
    </w:rPr>
  </w:style>
  <w:style w:type="paragraph" w:customStyle="1" w:styleId="74">
    <w:name w:val="正文（缩进 2 字符）"/>
    <w:basedOn w:val="1"/>
    <w:qFormat/>
    <w:uiPriority w:val="0"/>
    <w:pPr>
      <w:widowControl/>
      <w:spacing w:line="400" w:lineRule="exact"/>
      <w:ind w:firstLine="200" w:firstLineChars="200"/>
      <w:jc w:val="left"/>
    </w:pPr>
    <w:rPr>
      <w:rFonts w:ascii="Calibri Light" w:hAnsi="Calibri Light" w:eastAsia="华文仿宋"/>
      <w:sz w:val="28"/>
      <w:szCs w:val="28"/>
    </w:rPr>
  </w:style>
  <w:style w:type="character" w:customStyle="1" w:styleId="75">
    <w:name w:val="标题 3 Char"/>
    <w:link w:val="5"/>
    <w:qFormat/>
    <w:uiPriority w:val="0"/>
    <w:rPr>
      <w:rFonts w:asciiTheme="minorHAnsi" w:hAnsiTheme="minorHAnsi"/>
      <w:b/>
      <w:sz w:val="28"/>
    </w:rPr>
  </w:style>
  <w:style w:type="paragraph" w:customStyle="1" w:styleId="76">
    <w:name w:val="正文1"/>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7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79">
    <w:name w:val="标题 1 Char2"/>
    <w:basedOn w:val="28"/>
    <w:link w:val="3"/>
    <w:qFormat/>
    <w:locked/>
    <w:uiPriority w:val="99"/>
    <w:rPr>
      <w:rFonts w:ascii="Times New Roman" w:hAnsi="Times New Roman" w:eastAsia="宋体" w:cs="Times New Roman"/>
      <w:b/>
      <w:kern w:val="44"/>
      <w:sz w:val="32"/>
    </w:rPr>
  </w:style>
  <w:style w:type="paragraph" w:customStyle="1" w:styleId="80">
    <w:name w:val="表格文字"/>
    <w:basedOn w:val="1"/>
    <w:qFormat/>
    <w:uiPriority w:val="0"/>
    <w:pPr>
      <w:autoSpaceDE/>
      <w:autoSpaceDN/>
      <w:adjustRightInd/>
      <w:spacing w:before="25" w:after="25"/>
    </w:pPr>
    <w:rPr>
      <w:rFonts w:ascii="Times New Roman"/>
      <w:bCs/>
      <w:spacing w:val="10"/>
      <w:szCs w:val="20"/>
    </w:rPr>
  </w:style>
  <w:style w:type="paragraph" w:customStyle="1" w:styleId="81">
    <w:name w:val="Normal_38"/>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BFEDAE-EAC0-4980-83BD-52C63300F9E2}">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69</Pages>
  <Words>28645</Words>
  <Characters>30022</Characters>
  <Lines>211</Lines>
  <Paragraphs>59</Paragraphs>
  <TotalTime>46</TotalTime>
  <ScaleCrop>false</ScaleCrop>
  <LinksUpToDate>false</LinksUpToDate>
  <CharactersWithSpaces>31811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2018-06-28T14:25:00Z</dcterms:created>
  <dc:creator>Administrator</dc:creator>
  <cp:lastModifiedBy>Leo</cp:lastModifiedBy>
  <cp:lastPrinted>2023-04-07T07:46:57Z</cp:lastPrinted>
  <dcterms:modified xsi:type="dcterms:W3CDTF">2023-04-07T09:25:37Z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A39F503FE37C4DD68209939E0BEA20F4</vt:lpwstr>
  </property>
</Properties>
</file>