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before="197" w:line="360" w:lineRule="auto"/>
        <w:jc w:val="both"/>
        <w:rPr>
          <w:rFonts w:hint="eastAsia" w:ascii="仿宋" w:hAnsi="仿宋" w:eastAsia="仿宋" w:cs="仿宋"/>
          <w:b/>
          <w:bCs/>
          <w:color w:val="auto"/>
          <w:sz w:val="28"/>
          <w:szCs w:val="28"/>
        </w:rPr>
      </w:pPr>
    </w:p>
    <w:p>
      <w:pPr>
        <w:kinsoku/>
        <w:spacing w:before="197" w:line="360" w:lineRule="auto"/>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采购项目编号：0701-234008030039</w:t>
      </w:r>
    </w:p>
    <w:p>
      <w:pPr>
        <w:kinsoku/>
        <w:spacing w:line="360" w:lineRule="auto"/>
        <w:rPr>
          <w:rFonts w:hint="eastAsia" w:ascii="仿宋" w:hAnsi="仿宋" w:eastAsia="仿宋" w:cs="仿宋"/>
          <w:color w:val="auto"/>
        </w:rPr>
      </w:pPr>
    </w:p>
    <w:p>
      <w:pPr>
        <w:kinsoku/>
        <w:spacing w:line="360" w:lineRule="auto"/>
        <w:rPr>
          <w:rFonts w:hint="eastAsia" w:ascii="仿宋" w:hAnsi="仿宋" w:eastAsia="仿宋" w:cs="仿宋"/>
          <w:color w:val="auto"/>
        </w:rPr>
      </w:pPr>
    </w:p>
    <w:p>
      <w:pPr>
        <w:pStyle w:val="2"/>
        <w:kinsoku/>
        <w:spacing w:line="360" w:lineRule="auto"/>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rPr>
        <w:t>西安市城市照明管护中心路灯维护</w:t>
      </w:r>
    </w:p>
    <w:p>
      <w:pPr>
        <w:pStyle w:val="2"/>
        <w:kinsoku/>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b/>
          <w:bCs/>
          <w:color w:val="auto"/>
          <w:sz w:val="52"/>
          <w:szCs w:val="52"/>
        </w:rPr>
        <w:t>材料采购项目</w:t>
      </w:r>
      <w:r>
        <w:rPr>
          <w:rFonts w:hint="eastAsia" w:ascii="仿宋" w:hAnsi="仿宋" w:eastAsia="仿宋" w:cs="仿宋"/>
          <w:b/>
          <w:bCs/>
          <w:color w:val="auto"/>
          <w:sz w:val="52"/>
          <w:szCs w:val="52"/>
          <w:lang w:eastAsia="zh-CN"/>
        </w:rPr>
        <w:t>（</w:t>
      </w:r>
      <w:r>
        <w:rPr>
          <w:rFonts w:hint="eastAsia" w:ascii="仿宋" w:hAnsi="仿宋" w:eastAsia="仿宋" w:cs="仿宋"/>
          <w:b/>
          <w:bCs/>
          <w:color w:val="auto"/>
          <w:sz w:val="52"/>
          <w:szCs w:val="52"/>
          <w:lang w:val="en-US" w:eastAsia="zh-CN"/>
        </w:rPr>
        <w:t>二次</w:t>
      </w:r>
      <w:r>
        <w:rPr>
          <w:rFonts w:hint="eastAsia" w:ascii="仿宋" w:hAnsi="仿宋" w:eastAsia="仿宋" w:cs="仿宋"/>
          <w:b/>
          <w:bCs/>
          <w:color w:val="auto"/>
          <w:sz w:val="52"/>
          <w:szCs w:val="52"/>
          <w:lang w:eastAsia="zh-CN"/>
        </w:rPr>
        <w:t>）</w:t>
      </w:r>
    </w:p>
    <w:p>
      <w:pPr>
        <w:kinsoku/>
        <w:spacing w:line="360" w:lineRule="auto"/>
        <w:rPr>
          <w:rFonts w:hint="eastAsia" w:ascii="仿宋" w:hAnsi="仿宋" w:eastAsia="仿宋" w:cs="仿宋"/>
          <w:color w:val="auto"/>
        </w:rPr>
      </w:pPr>
    </w:p>
    <w:p>
      <w:pPr>
        <w:pStyle w:val="2"/>
        <w:kinsoku/>
        <w:spacing w:line="360" w:lineRule="auto"/>
        <w:rPr>
          <w:rFonts w:hint="eastAsia" w:ascii="仿宋" w:hAnsi="仿宋" w:eastAsia="仿宋" w:cs="仿宋"/>
          <w:color w:val="auto"/>
        </w:rPr>
      </w:pPr>
    </w:p>
    <w:p>
      <w:pPr>
        <w:spacing w:line="360" w:lineRule="auto"/>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lang w:val="en-US" w:eastAsia="zh-CN"/>
        </w:rPr>
        <w:t>标段名称：</w:t>
      </w:r>
      <w:r>
        <w:rPr>
          <w:rFonts w:hint="eastAsia" w:ascii="仿宋" w:hAnsi="仿宋" w:eastAsia="仿宋" w:cs="仿宋"/>
          <w:b/>
          <w:bCs/>
          <w:color w:val="auto"/>
          <w:sz w:val="40"/>
          <w:szCs w:val="40"/>
        </w:rPr>
        <w:t>电线电缆</w:t>
      </w:r>
    </w:p>
    <w:p>
      <w:pPr>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kinsoku/>
        <w:spacing w:before="289" w:line="360" w:lineRule="auto"/>
        <w:jc w:val="center"/>
        <w:rPr>
          <w:rFonts w:hint="eastAsia" w:ascii="仿宋" w:hAnsi="仿宋" w:eastAsia="仿宋" w:cs="仿宋"/>
          <w:b/>
          <w:bCs/>
          <w:color w:val="auto"/>
          <w:sz w:val="31"/>
          <w:szCs w:val="31"/>
        </w:rPr>
      </w:pPr>
      <w:r>
        <w:rPr>
          <w:rFonts w:hint="eastAsia" w:ascii="仿宋" w:hAnsi="仿宋" w:eastAsia="仿宋" w:cs="仿宋"/>
          <w:b/>
          <w:bCs/>
          <w:color w:val="auto"/>
          <w:sz w:val="89"/>
          <w:szCs w:val="89"/>
        </w:rPr>
        <w:t>采购文件</w:t>
      </w:r>
    </w:p>
    <w:p>
      <w:pPr>
        <w:pStyle w:val="2"/>
        <w:kinsoku/>
        <w:spacing w:line="360" w:lineRule="auto"/>
        <w:rPr>
          <w:rFonts w:hint="eastAsia" w:ascii="仿宋" w:hAnsi="仿宋" w:eastAsia="仿宋" w:cs="仿宋"/>
          <w:color w:val="auto"/>
        </w:rPr>
      </w:pPr>
    </w:p>
    <w:p>
      <w:pPr>
        <w:pStyle w:val="2"/>
        <w:kinsoku/>
        <w:spacing w:line="360" w:lineRule="auto"/>
        <w:rPr>
          <w:rFonts w:hint="eastAsia" w:ascii="仿宋" w:hAnsi="仿宋" w:eastAsia="仿宋" w:cs="仿宋"/>
          <w:b/>
          <w:bCs/>
          <w:color w:val="auto"/>
          <w:sz w:val="31"/>
          <w:szCs w:val="31"/>
        </w:rPr>
      </w:pPr>
    </w:p>
    <w:p>
      <w:pPr>
        <w:spacing w:line="360" w:lineRule="auto"/>
        <w:rPr>
          <w:rFonts w:hint="eastAsia" w:ascii="仿宋" w:hAnsi="仿宋" w:eastAsia="仿宋" w:cs="仿宋"/>
          <w:b/>
          <w:bCs/>
          <w:color w:val="auto"/>
          <w:sz w:val="31"/>
          <w:szCs w:val="31"/>
        </w:rPr>
      </w:pPr>
    </w:p>
    <w:p>
      <w:pPr>
        <w:pStyle w:val="2"/>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b/>
          <w:bCs/>
          <w:color w:val="auto"/>
          <w:sz w:val="30"/>
          <w:szCs w:val="30"/>
        </w:rPr>
        <w:t>采购人：西安市城市照明管护中心</w:t>
      </w:r>
    </w:p>
    <w:p>
      <w:pPr>
        <w:kinsoku/>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采购代理机构：中技国际招标有限公司</w:t>
      </w:r>
    </w:p>
    <w:p>
      <w:pPr>
        <w:kinsoku/>
        <w:spacing w:line="360" w:lineRule="auto"/>
        <w:jc w:val="center"/>
        <w:rPr>
          <w:rFonts w:hint="eastAsia" w:ascii="仿宋" w:hAnsi="仿宋" w:eastAsia="仿宋" w:cs="仿宋"/>
          <w:color w:val="auto"/>
        </w:rPr>
      </w:pPr>
      <w:r>
        <w:rPr>
          <w:rFonts w:hint="eastAsia" w:ascii="仿宋" w:hAnsi="仿宋" w:eastAsia="仿宋" w:cs="仿宋"/>
          <w:b/>
          <w:bCs/>
          <w:color w:val="auto"/>
          <w:sz w:val="30"/>
          <w:szCs w:val="30"/>
        </w:rPr>
        <w:t>二〇二三年</w:t>
      </w: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月</w:t>
      </w:r>
    </w:p>
    <w:p>
      <w:pPr>
        <w:kinsoku/>
        <w:spacing w:line="360" w:lineRule="auto"/>
        <w:rPr>
          <w:rFonts w:hint="eastAsia" w:ascii="仿宋" w:hAnsi="仿宋" w:eastAsia="仿宋" w:cs="仿宋"/>
          <w:color w:val="auto"/>
        </w:rPr>
        <w:sectPr>
          <w:pgSz w:w="11906" w:h="16839"/>
          <w:pgMar w:top="1247" w:right="1785" w:bottom="1134" w:left="1785" w:header="0" w:footer="0" w:gutter="0"/>
          <w:cols w:space="720" w:num="1"/>
        </w:sectPr>
      </w:pPr>
    </w:p>
    <w:p>
      <w:pPr>
        <w:kinsoku/>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目录</w:t>
      </w:r>
    </w:p>
    <w:p>
      <w:pPr>
        <w:pStyle w:val="17"/>
        <w:tabs>
          <w:tab w:val="right" w:leader="dot" w:pos="9768"/>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"_Toc19831" </w:instrText>
      </w:r>
      <w:r>
        <w:rPr>
          <w:rFonts w:hint="eastAsia" w:ascii="仿宋" w:hAnsi="仿宋" w:eastAsia="仿宋" w:cs="仿宋"/>
        </w:rPr>
        <w:fldChar w:fldCharType="separate"/>
      </w:r>
      <w:r>
        <w:rPr>
          <w:rFonts w:hint="eastAsia" w:ascii="仿宋" w:hAnsi="仿宋" w:eastAsia="仿宋" w:cs="仿宋"/>
          <w:b/>
          <w:bCs/>
          <w:sz w:val="28"/>
          <w:szCs w:val="28"/>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_Toc19831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"_Toc4100" </w:instrText>
      </w:r>
      <w:r>
        <w:rPr>
          <w:rFonts w:hint="eastAsia" w:ascii="仿宋" w:hAnsi="仿宋" w:eastAsia="仿宋" w:cs="仿宋"/>
        </w:rPr>
        <w:fldChar w:fldCharType="separate"/>
      </w:r>
      <w:r>
        <w:rPr>
          <w:rFonts w:hint="eastAsia" w:ascii="仿宋" w:hAnsi="仿宋" w:eastAsia="仿宋" w:cs="仿宋"/>
          <w:b/>
          <w:bCs/>
          <w:sz w:val="28"/>
          <w:szCs w:val="28"/>
        </w:rPr>
        <w:t>第二章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_Toc4100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"_Toc6899" </w:instrText>
      </w:r>
      <w:r>
        <w:rPr>
          <w:rFonts w:hint="eastAsia" w:ascii="仿宋" w:hAnsi="仿宋" w:eastAsia="仿宋" w:cs="仿宋"/>
        </w:rPr>
        <w:fldChar w:fldCharType="separate"/>
      </w:r>
      <w:r>
        <w:rPr>
          <w:rFonts w:hint="eastAsia" w:ascii="仿宋" w:hAnsi="仿宋" w:eastAsia="仿宋" w:cs="仿宋"/>
          <w:b/>
          <w:bCs/>
          <w:sz w:val="28"/>
          <w:szCs w:val="28"/>
        </w:rPr>
        <w:t>第三章 招标内容及要求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_Toc6899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"_Toc22482" </w:instrText>
      </w:r>
      <w:r>
        <w:rPr>
          <w:rFonts w:hint="eastAsia" w:ascii="仿宋" w:hAnsi="仿宋" w:eastAsia="仿宋" w:cs="仿宋"/>
        </w:rPr>
        <w:fldChar w:fldCharType="separate"/>
      </w:r>
      <w:r>
        <w:rPr>
          <w:rFonts w:hint="eastAsia" w:ascii="仿宋" w:hAnsi="仿宋" w:eastAsia="仿宋" w:cs="仿宋"/>
          <w:b/>
          <w:bCs/>
          <w:sz w:val="28"/>
          <w:szCs w:val="28"/>
        </w:rPr>
        <w:t>第四章 合同文本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_Toc22482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"_Toc18402" </w:instrText>
      </w:r>
      <w:r>
        <w:rPr>
          <w:rFonts w:hint="eastAsia" w:ascii="仿宋" w:hAnsi="仿宋" w:eastAsia="仿宋" w:cs="仿宋"/>
        </w:rPr>
        <w:fldChar w:fldCharType="separate"/>
      </w:r>
      <w:r>
        <w:rPr>
          <w:rFonts w:hint="eastAsia" w:ascii="仿宋" w:hAnsi="仿宋" w:eastAsia="仿宋" w:cs="仿宋"/>
          <w:b/>
          <w:bCs/>
          <w:sz w:val="28"/>
          <w:szCs w:val="28"/>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投标文件构成及格式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_Toc18402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kinsoku/>
        <w:spacing w:line="360" w:lineRule="auto"/>
        <w:rPr>
          <w:rFonts w:hint="eastAsia" w:ascii="仿宋" w:hAnsi="仿宋" w:eastAsia="仿宋" w:cs="仿宋"/>
          <w:b/>
          <w:color w:val="auto"/>
          <w:sz w:val="28"/>
          <w:szCs w:val="28"/>
        </w:rPr>
        <w:sectPr>
          <w:headerReference r:id="rId3" w:type="default"/>
          <w:footerReference r:id="rId4" w:type="default"/>
          <w:pgSz w:w="11906" w:h="16839"/>
          <w:pgMar w:top="1247" w:right="1069" w:bottom="1134" w:left="1069" w:header="882" w:footer="648" w:gutter="0"/>
          <w:pgNumType w:start="3"/>
          <w:cols w:space="720" w:num="1"/>
        </w:sectPr>
      </w:pPr>
      <w:r>
        <w:rPr>
          <w:rFonts w:hint="eastAsia" w:ascii="仿宋" w:hAnsi="仿宋" w:eastAsia="仿宋" w:cs="仿宋"/>
          <w:b/>
          <w:bCs/>
          <w:color w:val="auto"/>
          <w:sz w:val="28"/>
          <w:szCs w:val="28"/>
        </w:rPr>
        <w:fldChar w:fldCharType="end"/>
      </w:r>
    </w:p>
    <w:p>
      <w:pPr>
        <w:kinsoku/>
        <w:spacing w:before="101" w:line="360" w:lineRule="auto"/>
        <w:jc w:val="center"/>
        <w:outlineLvl w:val="0"/>
        <w:rPr>
          <w:rFonts w:hint="eastAsia" w:ascii="仿宋" w:hAnsi="仿宋" w:eastAsia="仿宋" w:cs="仿宋"/>
          <w:b/>
          <w:bCs/>
          <w:color w:val="auto"/>
          <w:sz w:val="30"/>
          <w:szCs w:val="30"/>
        </w:rPr>
      </w:pPr>
      <w:bookmarkStart w:id="0" w:name="_Toc19831"/>
      <w:bookmarkStart w:id="1" w:name="OLE_LINK1"/>
      <w:r>
        <w:rPr>
          <w:rFonts w:hint="eastAsia" w:ascii="仿宋" w:hAnsi="仿宋" w:eastAsia="仿宋" w:cs="仿宋"/>
          <w:b/>
          <w:bCs/>
          <w:color w:val="auto"/>
          <w:sz w:val="30"/>
          <w:szCs w:val="30"/>
        </w:rPr>
        <w:t>第一章 招标公告</w:t>
      </w:r>
      <w:bookmarkEnd w:id="0"/>
    </w:p>
    <w:bookmarkEnd w:id="1"/>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西安市城市照明管护中心</w:t>
      </w:r>
      <w:r>
        <w:rPr>
          <w:rFonts w:hint="eastAsia" w:ascii="仿宋" w:hAnsi="仿宋" w:eastAsia="仿宋" w:cs="仿宋"/>
          <w:b/>
          <w:bCs/>
          <w:color w:val="auto"/>
          <w:sz w:val="24"/>
          <w:szCs w:val="24"/>
          <w:lang w:eastAsia="zh-CN"/>
        </w:rPr>
        <w:t>路灯维护材料采购项目(二次)</w:t>
      </w:r>
      <w:r>
        <w:rPr>
          <w:rFonts w:hint="eastAsia" w:ascii="仿宋" w:hAnsi="仿宋" w:eastAsia="仿宋" w:cs="仿宋"/>
          <w:b/>
          <w:bCs/>
          <w:color w:val="auto"/>
          <w:sz w:val="24"/>
          <w:szCs w:val="24"/>
        </w:rPr>
        <w:t>招标公告</w:t>
      </w:r>
    </w:p>
    <w:tbl>
      <w:tblPr>
        <w:tblStyle w:val="2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9900" w:type="dxa"/>
          </w:tcPr>
          <w:p>
            <w:pPr>
              <w:pStyle w:val="7"/>
              <w:widowControl/>
              <w:spacing w:before="150" w:beforeAutospacing="0" w:after="150" w:afterAutospacing="0" w:line="360" w:lineRule="auto"/>
              <w:jc w:val="both"/>
              <w:outlineLvl w:val="5"/>
              <w:rPr>
                <w:rFonts w:hint="eastAsia" w:ascii="仿宋" w:hAnsi="仿宋" w:eastAsia="仿宋" w:cs="仿宋"/>
                <w:color w:val="auto"/>
                <w:sz w:val="24"/>
                <w:szCs w:val="24"/>
              </w:rPr>
            </w:pPr>
            <w:r>
              <w:rPr>
                <w:rStyle w:val="23"/>
                <w:rFonts w:hint="eastAsia" w:ascii="仿宋" w:hAnsi="仿宋" w:eastAsia="仿宋" w:cs="仿宋"/>
                <w:b/>
                <w:color w:val="auto"/>
                <w:sz w:val="24"/>
                <w:szCs w:val="24"/>
              </w:rPr>
              <w:t>项目概况</w:t>
            </w:r>
          </w:p>
          <w:p>
            <w:pPr>
              <w:pStyle w:val="7"/>
              <w:widowControl/>
              <w:spacing w:before="150" w:beforeAutospacing="0" w:after="150" w:afterAutospacing="0" w:line="360" w:lineRule="auto"/>
              <w:ind w:firstLine="480" w:firstLineChars="200"/>
              <w:jc w:val="both"/>
              <w:outlineLvl w:val="5"/>
              <w:rPr>
                <w:rStyle w:val="23"/>
                <w:rFonts w:hint="eastAsia" w:ascii="仿宋" w:hAnsi="仿宋" w:eastAsia="仿宋" w:cs="仿宋"/>
                <w:b/>
                <w:color w:val="auto"/>
                <w:sz w:val="24"/>
                <w:szCs w:val="24"/>
              </w:rPr>
            </w:pPr>
            <w:r>
              <w:rPr>
                <w:rFonts w:hint="eastAsia" w:ascii="仿宋" w:hAnsi="仿宋" w:eastAsia="仿宋" w:cs="仿宋"/>
                <w:b w:val="0"/>
                <w:bCs w:val="0"/>
                <w:color w:val="auto"/>
                <w:sz w:val="24"/>
                <w:szCs w:val="24"/>
                <w:lang w:eastAsia="zh-CN"/>
              </w:rPr>
              <w:t>路灯维护材料采购项目(二次)招标项目的潜在投标人应在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获取招标文件，并于 2023年08月03日 09时30分 （北京时间）前递交投标文件。</w:t>
            </w:r>
          </w:p>
        </w:tc>
      </w:tr>
    </w:tbl>
    <w:p>
      <w:pPr>
        <w:pStyle w:val="6"/>
        <w:spacing w:line="240" w:lineRule="auto"/>
        <w:rPr>
          <w:rFonts w:hint="eastAsia" w:ascii="仿宋" w:hAnsi="仿宋" w:eastAsia="仿宋" w:cs="仿宋"/>
          <w:color w:val="auto"/>
        </w:rPr>
      </w:pPr>
      <w:r>
        <w:rPr>
          <w:rStyle w:val="23"/>
          <w:rFonts w:hint="eastAsia" w:ascii="仿宋" w:hAnsi="仿宋" w:eastAsia="仿宋" w:cs="仿宋"/>
          <w:b/>
          <w:color w:val="auto"/>
        </w:rPr>
        <w:t>一、项目基本情况</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项目编号：0701-234008030039</w:t>
      </w:r>
    </w:p>
    <w:p>
      <w:pPr>
        <w:kinsoku/>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路灯维护材料采购项目(二次)</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采购方式：公开招标</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预算金额：10,459,683.00元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合同包1(电线电缆):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合同包预算金额：1,282,236.00元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合同包最高限价：1,282,236.00元</w:t>
      </w:r>
    </w:p>
    <w:tbl>
      <w:tblPr>
        <w:tblStyle w:val="20"/>
        <w:tblW w:w="98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2"/>
        <w:gridCol w:w="1419"/>
        <w:gridCol w:w="1419"/>
        <w:gridCol w:w="1177"/>
        <w:gridCol w:w="1496"/>
        <w:gridCol w:w="1774"/>
        <w:gridCol w:w="17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44" w:hRule="atLeast"/>
          <w:tblHeader/>
        </w:trPr>
        <w:tc>
          <w:tcPr>
            <w:tcW w:w="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品目号</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品目名称</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采购标的</w:t>
            </w:r>
          </w:p>
        </w:tc>
        <w:tc>
          <w:tcPr>
            <w:tcW w:w="1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（单位）</w:t>
            </w:r>
          </w:p>
        </w:tc>
        <w:tc>
          <w:tcPr>
            <w:tcW w:w="14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技术规格、参数及要求</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品目预算(元)</w:t>
            </w:r>
          </w:p>
        </w:tc>
        <w:tc>
          <w:tcPr>
            <w:tcW w:w="17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7" w:hRule="atLeast"/>
        </w:trPr>
        <w:tc>
          <w:tcPr>
            <w:tcW w:w="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1-1</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其他电力工业设备</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电线电缆</w:t>
            </w:r>
          </w:p>
        </w:tc>
        <w:tc>
          <w:tcPr>
            <w:tcW w:w="1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1(批)</w:t>
            </w:r>
          </w:p>
        </w:tc>
        <w:tc>
          <w:tcPr>
            <w:tcW w:w="14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详见采购文件</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1,282,236.00</w:t>
            </w:r>
          </w:p>
        </w:tc>
        <w:tc>
          <w:tcPr>
            <w:tcW w:w="17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1,282,236.00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合同履行期限：合同签订之日起2个月内</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二、申请人的资格要求：</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2.落实政府采购政策需满足的资格要求：本项目非专门面向中小企业采购。</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kinsoku/>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合同包</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(电线电缆)特定资格要求如下:</w:t>
      </w:r>
    </w:p>
    <w:p>
      <w:pPr>
        <w:kinsoku/>
        <w:spacing w:line="360" w:lineRule="auto"/>
        <w:ind w:left="509" w:right="15"/>
        <w:rPr>
          <w:rFonts w:ascii="仿宋" w:hAnsi="仿宋" w:eastAsia="仿宋" w:cs="仿宋"/>
          <w:color w:val="auto"/>
          <w:sz w:val="24"/>
          <w:szCs w:val="24"/>
        </w:rPr>
      </w:pPr>
      <w:r>
        <w:rPr>
          <w:rFonts w:hint="eastAsia" w:ascii="仿宋" w:hAnsi="仿宋" w:eastAsia="仿宋" w:cs="仿宋"/>
          <w:color w:val="auto"/>
          <w:sz w:val="24"/>
          <w:szCs w:val="24"/>
        </w:rPr>
        <w:t>1.基本资格条件：</w:t>
      </w:r>
    </w:p>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在中华人民共和国境内注册，依法取得并有效存续的营业执照（含电子营业执照）/事业单位法人证书/民办非企业单位登记证书/非企业专业服务机构执业许可证等</w:t>
      </w:r>
      <w:r>
        <w:rPr>
          <w:rFonts w:hint="eastAsia" w:ascii="仿宋" w:hAnsi="仿宋" w:eastAsia="仿宋" w:cs="仿宋"/>
          <w:color w:val="auto"/>
          <w:sz w:val="24"/>
          <w:szCs w:val="24"/>
        </w:rPr>
        <w:t>。</w:t>
      </w:r>
    </w:p>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或在开标日期前6个月内其基本开户银行出具的资信证明（附《基本存款账户信息》或《银行开户许可证》复印件）；</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或财政部门认可的政府采购专业担保机构出具的投标担保函；</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或表明具有良好的商业信誉和健全的财务会计制度的诚信声明；</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以上四种形式的资料提供任何一种即可。</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（3）具有履行合同所必需的设备和专业技术能力（提供承诺书）。</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（6）参加本次政府采购活动前3年内在经营活动中没有重大违法记录，以及未被列入失信被执行人、重大税收违法案件当事人名单、政府采购严重违法失信行为记录名单的书面声明。</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2.特定资格条件：</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3.其他</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1）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（2）本项目不接受联合体投标。</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三、获取招标文件</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时间：2023年07月13日至2023年07月20日，每天上午00:00:00至12:00:00，下午12:00:00至23:59:59（北京时间）</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途径：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方式：在线获取</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售价： 0元 </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四、提交投标文件截止时间、开标时间和地点</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 2023年08月03日 09时30分00秒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提交投标文件地点：从西安市公共资源交易平台〖首页·〉电子交易平台·〉陕西政府采购交易系统·〉企业端〗登录，登录后切换到〖我的项目〗模块，依次点选〖项目流程·〉项目管理·〉上传响应文件〗上传加密后的电子投标文件（*.SXSTF）</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开标地点：</w:t>
      </w:r>
      <w:r>
        <w:rPr>
          <w:rFonts w:hint="eastAsia" w:ascii="仿宋" w:hAnsi="仿宋" w:eastAsia="仿宋" w:cs="仿宋"/>
          <w:color w:val="auto"/>
          <w:sz w:val="24"/>
          <w:szCs w:val="24"/>
          <w:highlight w:val="none"/>
          <w:lang w:val="en-US" w:eastAsia="zh-CN" w:bidi="ar-SA"/>
        </w:rPr>
        <w:t>本项目将采用“不见面开标”形式。操作说明详见平台〖首页·〉服务指南·〉下载专区〗中的《西安公共资源交易不见面开标大厅供应商操作手册》</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五、公告期限</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六、其他补充事宜</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1.需落实的政府采购政策：</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（1）《政府采购促进中小企业发展管理办法》（财库〔2020〕46号）、国务院关于印发扎实稳住经济一揽子政策措施的通知国发〔2022〕12号；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（2）《财政部司法部关于政府采购支持监狱企业发展有关问题的通知》（财库〔2014〕68号）；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（3）《财政部 民政部 中国残疾人联合会关于促进残疾人就业政府采购政策的通知》（财库〔2017〕141号）；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（4）《财政部 国家发展改革委关于印发(节能产品政府采购实施意见)的通知》(财库〔2004〕185号)；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（5）《国务院办公厅关于建立政府强制采购节能产品制度的通知》(国办发〔2007〕51号)；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（6）《财政部环保总局关于环境标志产品政府采购实施的意见》(财库〔2006〕90号)；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（7）《财政部发展改革委生态环境部市场监管总局关于调整优化节能产品、环境标志产品政府采购执行机制的通知》（财库〔2019〕9号）；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（8）《财政部 农业农村部 国家乡村振兴局关于运用政府采购政策支持乡村产业振兴的通知》（财库〔2021〕19号）；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（9）《陕西省财政厅关于加快推进我省中小企业政府采购信用融资工作的通知》（陕财办采〔2020〕15号）；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（10）《关于进一步加大政府采购支持中小企业力度的通知》(财库〔2022〕19号)；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（11）《陕西省财政厅关于印发&lt;陕西省中小企业政府采购信用融资办法&gt;的通知》（陕财办采〔2018〕23号）相关政策、业务流程、办理平台（http://www.ccgp-shaanxi.gov.cn/zcdservice/zcd/shanxi/）。</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（12）&lt;陕西省财政厅关于进一步落实政府采购支持中小企业相关政策的通知》(陕财办采(2023)3号)。</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（13）《陕西省财政厅关于进一步优化政府采购营商环境有关事项的通知》(陕财办采(2023)4号)。</w:t>
      </w:r>
    </w:p>
    <w:p>
      <w:pPr>
        <w:kinsoku/>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（14）其他需要落实的政府采购政策，如有最新颁布的政府采购政策，按最新的文件执行；</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2.友情提示：</w:t>
      </w:r>
      <w:r>
        <w:rPr>
          <w:rFonts w:hint="eastAsia" w:ascii="仿宋" w:hAnsi="仿宋" w:eastAsia="仿宋" w:cs="仿宋"/>
          <w:color w:val="auto"/>
          <w:sz w:val="24"/>
          <w:szCs w:val="24"/>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（2）制作电子投标文件（*.SXSTF）需要使用专用制作工具。软件下载及操作说明详见西安市公共资源交易平台〖首页·〉服务指南·〉下载专区〗中的《政府采购项目投 标文件制作软件及操作手册》。</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七、对本次招标提出询问，请按以下方式联系。</w:t>
      </w:r>
    </w:p>
    <w:p>
      <w:pPr>
        <w:pStyle w:val="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名称：西安市城市照明管护中心</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地址：文景路南段13号</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联系方式：86283933</w:t>
      </w:r>
    </w:p>
    <w:p>
      <w:pPr>
        <w:pStyle w:val="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名称：中技国际招标有限公司</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地址：北京市丰台区西营街1号院通用时代中心C座8层</w:t>
      </w:r>
    </w:p>
    <w:p>
      <w:pPr>
        <w:pStyle w:val="18"/>
        <w:spacing w:line="240" w:lineRule="auto"/>
        <w:rPr>
          <w:rFonts w:hint="eastAsia" w:ascii="仿宋" w:hAnsi="仿宋" w:eastAsia="仿宋" w:cs="仿宋"/>
          <w:color w:val="auto"/>
          <w:szCs w:val="24"/>
          <w:lang w:val="en-US" w:eastAsia="zh-CN"/>
        </w:rPr>
      </w:pPr>
      <w:r>
        <w:rPr>
          <w:rFonts w:hint="eastAsia" w:ascii="仿宋" w:hAnsi="仿宋" w:eastAsia="仿宋" w:cs="仿宋"/>
          <w:color w:val="auto"/>
          <w:szCs w:val="24"/>
        </w:rPr>
        <w:t>联系方式：</w:t>
      </w:r>
      <w:r>
        <w:rPr>
          <w:rFonts w:hint="eastAsia" w:ascii="仿宋" w:hAnsi="仿宋" w:eastAsia="仿宋" w:cs="仿宋"/>
          <w:color w:val="auto"/>
          <w:szCs w:val="24"/>
          <w:lang w:val="en-US" w:eastAsia="zh-CN"/>
        </w:rPr>
        <w:t>19537189190</w:t>
      </w:r>
    </w:p>
    <w:p>
      <w:pPr>
        <w:pStyle w:val="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3.项目联系方式 </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项目联系人：李冬</w:t>
      </w:r>
    </w:p>
    <w:p>
      <w:pPr>
        <w:pStyle w:val="18"/>
        <w:spacing w:line="240" w:lineRule="auto"/>
        <w:rPr>
          <w:rFonts w:hint="eastAsia" w:ascii="仿宋" w:hAnsi="仿宋" w:eastAsia="仿宋" w:cs="仿宋"/>
          <w:color w:val="auto"/>
          <w:szCs w:val="24"/>
        </w:rPr>
      </w:pPr>
      <w:r>
        <w:rPr>
          <w:rFonts w:hint="eastAsia" w:ascii="仿宋" w:hAnsi="仿宋" w:eastAsia="仿宋" w:cs="仿宋"/>
          <w:color w:val="auto"/>
          <w:szCs w:val="24"/>
        </w:rPr>
        <w:t>电话：18292666217</w:t>
      </w:r>
    </w:p>
    <w:p>
      <w:pPr>
        <w:pStyle w:val="18"/>
        <w:spacing w:line="360" w:lineRule="auto"/>
        <w:jc w:val="right"/>
        <w:rPr>
          <w:rFonts w:hint="eastAsia" w:ascii="仿宋" w:hAnsi="仿宋" w:eastAsia="仿宋" w:cs="仿宋"/>
          <w:color w:val="auto"/>
        </w:rPr>
      </w:pPr>
      <w:r>
        <w:rPr>
          <w:rFonts w:hint="eastAsia" w:ascii="仿宋" w:hAnsi="仿宋" w:eastAsia="仿宋" w:cs="仿宋"/>
          <w:color w:val="auto"/>
          <w:szCs w:val="24"/>
        </w:rPr>
        <w:t>中技国际招标有限公司</w:t>
      </w:r>
    </w:p>
    <w:p>
      <w:pPr>
        <w:kinsoku/>
        <w:spacing w:line="360" w:lineRule="auto"/>
        <w:rPr>
          <w:rFonts w:hint="eastAsia" w:ascii="仿宋" w:hAnsi="仿宋" w:eastAsia="仿宋" w:cs="仿宋"/>
          <w:color w:val="auto"/>
          <w:sz w:val="24"/>
          <w:szCs w:val="24"/>
        </w:rPr>
      </w:pPr>
      <w:r>
        <w:rPr>
          <w:rFonts w:hint="eastAsia" w:ascii="仿宋" w:hAnsi="仿宋" w:eastAsia="仿宋" w:cs="仿宋"/>
          <w:color w:val="auto"/>
          <w:sz w:val="23"/>
          <w:szCs w:val="23"/>
        </w:rPr>
        <w:br w:type="page"/>
      </w:r>
    </w:p>
    <w:p>
      <w:pPr>
        <w:kinsoku/>
        <w:spacing w:before="101" w:line="360" w:lineRule="auto"/>
        <w:jc w:val="center"/>
        <w:outlineLvl w:val="0"/>
        <w:rPr>
          <w:rFonts w:hint="eastAsia" w:ascii="仿宋" w:hAnsi="仿宋" w:eastAsia="仿宋" w:cs="仿宋"/>
          <w:b/>
          <w:bCs/>
          <w:color w:val="auto"/>
          <w:sz w:val="30"/>
          <w:szCs w:val="30"/>
        </w:rPr>
      </w:pPr>
      <w:bookmarkStart w:id="2" w:name="_Toc4100"/>
      <w:r>
        <w:rPr>
          <w:rFonts w:hint="eastAsia" w:ascii="仿宋" w:hAnsi="仿宋" w:eastAsia="仿宋" w:cs="仿宋"/>
          <w:b/>
          <w:bCs/>
          <w:color w:val="auto"/>
          <w:sz w:val="30"/>
          <w:szCs w:val="30"/>
        </w:rPr>
        <w:t>第二章 供应商须知</w:t>
      </w:r>
      <w:bookmarkEnd w:id="2"/>
    </w:p>
    <w:p>
      <w:pPr>
        <w:kinsoku/>
        <w:spacing w:before="1" w:line="360" w:lineRule="auto"/>
        <w:ind w:left="-1"/>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498"/>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41" w:type="dxa"/>
            <w:shd w:val="clear" w:color="auto" w:fill="auto"/>
            <w:vAlign w:val="center"/>
          </w:tcPr>
          <w:p>
            <w:pPr>
              <w:widowControl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498" w:type="dxa"/>
            <w:shd w:val="clear" w:color="auto" w:fill="auto"/>
            <w:vAlign w:val="center"/>
          </w:tcPr>
          <w:p>
            <w:pPr>
              <w:widowControl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6140" w:type="dxa"/>
            <w:shd w:val="clear" w:color="auto" w:fill="auto"/>
            <w:vAlign w:val="center"/>
          </w:tcPr>
          <w:p>
            <w:pPr>
              <w:widowControl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路灯维护材料采购项目(二次)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0701-234008030039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预算执行书编号</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YS-西安市-2023-18379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是否预留份额专门</w:t>
            </w:r>
          </w:p>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面向中小企业采购</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2139916130"/>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2072024220"/>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41" w:type="dxa"/>
            <w:vMerge w:val="restart"/>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预算总金额</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10459683.00元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41" w:type="dxa"/>
            <w:vMerge w:val="continue"/>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包</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(电线电缆):1282236.00元；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60816019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1317929335"/>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是否允许进口产品</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14857025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168959484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是否允许大中企业</w:t>
            </w:r>
          </w:p>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向小微企业分包</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36572508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sym w:font="Wingdings 2" w:char="00A3"/>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54473539"/>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sym w:font="Wingdings 2" w:char="0052"/>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投标保证金</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免交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投标供应商无需提供；</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中标供应商在领取中标通知书时提供一正两副纸质版投标文件。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现场踏勘和集中答疑</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政府采购信息发布媒体（采购公告、采购结果公告、变更公告）</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1.陕西省政府采购网：仅提供项目公告，官网地址：http://ccgp-shaanxi.gov.cn/。</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2.全国公共资源交易平台（陕西省·西安市）：即西安市公共资源交易平台，提供项目公告和采购文件下载。官网地址：http://sxggzyjy.xa.gov.cn/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询问和质疑</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见招标公告中的“联系方式”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投诉受理</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1.受理单位：西安市财政局政府采购管理处</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2.联系电话：029-89821846</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3.地址：西安市未央区西北国金中心A座18层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信用信息查询截至时点</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同提交投标文件截止时间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开标形式</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107778622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不见面开标  </w:t>
            </w:r>
            <w:sdt>
              <w:sdtPr>
                <w:rPr>
                  <w:rFonts w:hint="eastAsia" w:ascii="仿宋" w:hAnsi="仿宋" w:eastAsia="仿宋" w:cs="仿宋"/>
                  <w:color w:val="auto"/>
                  <w:sz w:val="24"/>
                  <w:szCs w:val="24"/>
                </w:rPr>
                <w:id w:val="155357503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见面开标</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是否允许递交多个备选投标方案</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160885784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61833125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中标通知书</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1.领取地点：西安市高新区团结南路35号高新新天地2号楼24层</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2.联系电话：19537189190</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3.联系人：李冬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招标代理服务费</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收费依据：依据中标额按照原国家发展计划委员会发布的《招标代理服务收费管理暂行办法》（〔2002〕1980号）收费标准计取代理费（注：本项目招标代理服务费计费基数为各标段中标金额之和，各标段投标人按标段中标金额占总金额的比例缴纳代理费）</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（2）招标代理服务费由中标人支付，中标人在领取中标通知书前向采购代理机构一次性支付中标服务费。</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开户名称：中技国际招标有限公司</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开户银行：中国银行总行营业部</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账号:778350010653</w:t>
            </w:r>
          </w:p>
          <w:p>
            <w:pPr>
              <w:widowControl w:val="0"/>
              <w:spacing w:line="360" w:lineRule="auto"/>
              <w:jc w:val="both"/>
              <w:rPr>
                <w:rFonts w:hint="eastAsia" w:ascii="仿宋" w:hAnsi="仿宋" w:eastAsia="仿宋" w:cs="仿宋"/>
              </w:rPr>
            </w:pPr>
            <w:r>
              <w:rPr>
                <w:rFonts w:hint="eastAsia" w:ascii="仿宋" w:hAnsi="仿宋" w:eastAsia="仿宋" w:cs="仿宋"/>
                <w:color w:val="auto"/>
                <w:sz w:val="24"/>
                <w:szCs w:val="24"/>
              </w:rPr>
              <w:t>缴纳方式：银行转账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西安市公共资源交易中心电子化政府采购系统技术支持（软件开发商）</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国泰新点软件股份有限公司</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1.技术支持热线：400-998-0000/400-928-0095</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hint="eastAsia"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CA业务网点</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陕西省数字证书认证中心股份有限公司</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网点1：西安市高新三路信息港大厦1楼客服中心</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客服电话：4006-369-888</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网点2：西安市长安北路14号省体育公寓B座一楼</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咨询电话：029-88661241</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网点3：西安市文景北路16号白桦林国际B座2楼11#窗口</w:t>
            </w:r>
          </w:p>
          <w:p>
            <w:pPr>
              <w:widowControl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咨询电话：029-86510073转80211</w:t>
            </w:r>
          </w:p>
        </w:tc>
      </w:tr>
    </w:tbl>
    <w:p>
      <w:pPr>
        <w:kinsoku/>
        <w:autoSpaceDE/>
        <w:autoSpaceDN/>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color w:val="auto"/>
        </w:rPr>
        <w:br w:type="page"/>
      </w:r>
      <w:bookmarkStart w:id="3" w:name="_Toc29806"/>
    </w:p>
    <w:bookmarkEnd w:id="3"/>
    <w:p>
      <w:pPr>
        <w:pStyle w:val="4"/>
        <w:spacing w:line="360" w:lineRule="auto"/>
        <w:jc w:val="center"/>
        <w:rPr>
          <w:rFonts w:hint="eastAsia" w:ascii="仿宋" w:hAnsi="仿宋" w:eastAsia="仿宋" w:cs="仿宋"/>
          <w:b/>
          <w:bCs w:val="0"/>
          <w:color w:val="auto"/>
        </w:rPr>
      </w:pPr>
      <w:bookmarkStart w:id="4" w:name="_Toc11104"/>
      <w:r>
        <w:rPr>
          <w:rFonts w:hint="eastAsia" w:ascii="仿宋" w:hAnsi="仿宋" w:eastAsia="仿宋" w:cs="仿宋"/>
          <w:b/>
          <w:bCs w:val="0"/>
          <w:color w:val="auto"/>
        </w:rPr>
        <w:t>一、有关定义</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1．采购人：依法进行政府采购的西安市市级机关、事业单位或团体组织。</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2．供应商：指向采购人提供货物、工程或者服务的法人、其他组织或者自然人。</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3．同级政府采购监管部门：西安市财政局政府采购管理处。</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4．西安市公共资源交易平台：即【全国公共资源交易平台（陕西省·西安市）】的简称，官网地址</w:t>
      </w:r>
      <w:r>
        <w:rPr>
          <w:rFonts w:hint="eastAsia" w:ascii="仿宋" w:hAnsi="仿宋" w:eastAsia="仿宋" w:cs="仿宋"/>
        </w:rPr>
        <w:fldChar w:fldCharType="begin"/>
      </w:r>
      <w:r>
        <w:rPr>
          <w:rFonts w:hint="eastAsia" w:ascii="仿宋" w:hAnsi="仿宋" w:eastAsia="仿宋" w:cs="仿宋"/>
        </w:rPr>
        <w:instrText xml:space="preserve"> HYPERLINK "http://sxggzyjy.xa.gov.cn/"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http://sxggzyjy.xa.gov.cn/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5．企业端：指西安市公共资源交易平台〖首页·〉电子交易平台·〉陕西政府采购交易系统·〉企业端〗，快捷登录网址</w:t>
      </w:r>
      <w:r>
        <w:rPr>
          <w:rFonts w:hint="eastAsia" w:ascii="仿宋" w:hAnsi="仿宋" w:eastAsia="仿宋" w:cs="仿宋"/>
        </w:rPr>
        <w:fldChar w:fldCharType="begin"/>
      </w:r>
      <w:r>
        <w:rPr>
          <w:rFonts w:hint="eastAsia" w:ascii="仿宋" w:hAnsi="仿宋" w:eastAsia="仿宋" w:cs="仿宋"/>
        </w:rPr>
        <w:instrText xml:space="preserve"> HYPERLINK "http://www.sxggzyjy.cn:9002/TPBidder/memberLogin"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http://www.sxggzyjy.cn:9002/TPBidder/memberLogin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6.文件中出现的措辞“合同包”与“标段”为同义词语。</w:t>
      </w:r>
    </w:p>
    <w:p>
      <w:pPr>
        <w:pStyle w:val="4"/>
        <w:spacing w:line="360" w:lineRule="auto"/>
        <w:jc w:val="center"/>
        <w:rPr>
          <w:rFonts w:hint="eastAsia" w:ascii="仿宋" w:hAnsi="仿宋" w:eastAsia="仿宋" w:cs="仿宋"/>
          <w:b/>
          <w:bCs w:val="0"/>
          <w:color w:val="auto"/>
        </w:rPr>
      </w:pPr>
      <w:r>
        <w:rPr>
          <w:rFonts w:hint="eastAsia" w:ascii="仿宋" w:hAnsi="仿宋" w:eastAsia="仿宋" w:cs="仿宋"/>
          <w:b/>
          <w:bCs w:val="0"/>
          <w:color w:val="auto"/>
        </w:rPr>
        <w:t>二、供应商注意事项</w:t>
      </w:r>
    </w:p>
    <w:p>
      <w:pPr>
        <w:pStyle w:val="5"/>
        <w:spacing w:line="360" w:lineRule="auto"/>
        <w:ind w:firstLine="482"/>
        <w:jc w:val="both"/>
        <w:rPr>
          <w:rFonts w:hint="eastAsia" w:ascii="仿宋" w:hAnsi="仿宋" w:eastAsia="仿宋" w:cs="仿宋"/>
          <w:color w:val="auto"/>
          <w:sz w:val="24"/>
          <w:szCs w:val="24"/>
        </w:rPr>
      </w:pPr>
      <w:r>
        <w:rPr>
          <w:rFonts w:hint="eastAsia" w:ascii="仿宋" w:hAnsi="仿宋" w:eastAsia="仿宋" w:cs="仿宋"/>
          <w:color w:val="auto"/>
          <w:sz w:val="24"/>
          <w:szCs w:val="24"/>
        </w:rPr>
        <w:t>（一）供应商投标流程</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使用电子交易系统的采购项目（即线上项目），将同时提供WORD\PDF格式（仅用于预览）和SXSZF格式（用于制作电子投标文件）两个版本，文件内容一致。</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1．预览采购文件：打开西安市公共资源交易平台〖首页·〉交易大厅·〉政府采购〗栏目，下载和阅读本项目采购文件的预览版本（WORD\PDF格式）；</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2．办理注册登记（针对初次使用电子交易系统的用户）：</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（1）办理诚信入库注册：在决定参加本项目采购活动后，供应商应先在西安市公共资源交易平台上完成“诚信入库登记”；</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办理须知：http://</w:t>
      </w:r>
      <w:r>
        <w:rPr>
          <w:rFonts w:hint="eastAsia" w:ascii="仿宋" w:hAnsi="仿宋" w:eastAsia="仿宋" w:cs="仿宋"/>
        </w:rPr>
        <w:fldChar w:fldCharType="begin"/>
      </w:r>
      <w:r>
        <w:rPr>
          <w:rFonts w:hint="eastAsia" w:ascii="仿宋" w:hAnsi="仿宋" w:eastAsia="仿宋" w:cs="仿宋"/>
        </w:rPr>
        <w:instrText xml:space="preserve"> HYPERLINK "http://www.snca.com.cn/channel/show/27.html" </w:instrText>
      </w:r>
      <w:r>
        <w:rPr>
          <w:rFonts w:hint="eastAsia" w:ascii="仿宋" w:hAnsi="仿宋" w:eastAsia="仿宋" w:cs="仿宋"/>
        </w:rPr>
        <w:fldChar w:fldCharType="separate"/>
      </w:r>
      <w:r>
        <w:rPr>
          <w:rStyle w:val="24"/>
          <w:rFonts w:hint="eastAsia" w:ascii="仿宋" w:hAnsi="仿宋" w:eastAsia="仿宋" w:cs="仿宋"/>
          <w:color w:val="auto"/>
          <w:sz w:val="24"/>
          <w:szCs w:val="24"/>
        </w:rPr>
        <w:t>www.snca.com.cn/channel/show/27.html</w:t>
      </w:r>
      <w:r>
        <w:rPr>
          <w:rStyle w:val="24"/>
          <w:rFonts w:hint="eastAsia" w:ascii="仿宋" w:hAnsi="仿宋" w:eastAsia="仿宋" w:cs="仿宋"/>
          <w:color w:val="auto"/>
          <w:sz w:val="24"/>
          <w:szCs w:val="24"/>
        </w:rPr>
        <w:fldChar w:fldCharType="end"/>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（3）绑定和激活CA：将数字证书与诚信库中的供应商账户进行绑定。</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4．制作电子投标文件：需要使用专用制作软件“新点投标文件制作软件（陕西公共资源）”进行编制，编制完成后使用CA锁对电子投标文件进行签章、加密。详见本章中的“投标文件”相关内容。</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5．提交电子投标文件：在提交投标文件截止时间前及时提交加密后电子投标文件，逾期提交的，系统将会拒收；</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8．中标供应商注册：按照陕西省政府采购监管部门的要求，采购代理机构在发布中标公告前，应由中标供应商在陕西省政府采购网上完成注册。</w:t>
      </w:r>
    </w:p>
    <w:p>
      <w:pPr>
        <w:pStyle w:val="5"/>
        <w:ind w:firstLine="482"/>
        <w:jc w:val="both"/>
        <w:rPr>
          <w:rFonts w:hint="eastAsia" w:ascii="仿宋" w:hAnsi="仿宋" w:eastAsia="仿宋" w:cs="仿宋"/>
          <w:bCs/>
          <w:color w:val="auto"/>
          <w:position w:val="1"/>
          <w:sz w:val="24"/>
          <w:szCs w:val="24"/>
        </w:rPr>
      </w:pPr>
      <w:r>
        <w:rPr>
          <w:rFonts w:hint="eastAsia" w:ascii="仿宋" w:hAnsi="仿宋" w:eastAsia="仿宋" w:cs="仿宋"/>
          <w:bCs/>
          <w:color w:val="auto"/>
          <w:position w:val="1"/>
          <w:sz w:val="24"/>
          <w:szCs w:val="24"/>
        </w:rPr>
        <w:t>（二）关于询问、质疑和投诉</w:t>
      </w:r>
    </w:p>
    <w:p>
      <w:pPr>
        <w:spacing w:line="360" w:lineRule="auto"/>
        <w:ind w:firstLine="482" w:firstLineChars="200"/>
        <w:jc w:val="both"/>
        <w:rPr>
          <w:rFonts w:hint="eastAsia"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color w:val="auto"/>
          <w:sz w:val="24"/>
          <w:szCs w:val="24"/>
        </w:rPr>
        <w:t>．</w:t>
      </w:r>
      <w:r>
        <w:rPr>
          <w:rFonts w:hint="eastAsia" w:ascii="仿宋" w:hAnsi="仿宋" w:eastAsia="仿宋" w:cs="仿宋"/>
          <w:b/>
          <w:color w:val="auto"/>
          <w:sz w:val="24"/>
          <w:szCs w:val="24"/>
        </w:rPr>
        <w:t>询问</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供应商对政府采购活动事项有疑问的，可以向采购人或采购代理机构提出询问。采购人或采购代理机构将在3个工作日内对供应商依法提出的询问作出答复。</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根据采购人和采购代理机构签订的《政府采购委托代理协议》，针对采购需求（包括采购内容、技术或服务要求、商务要求、合同条款、供应商资格条件、评审要素及分值一览表）的询问请向采购人提出。</w:t>
      </w:r>
    </w:p>
    <w:p>
      <w:pPr>
        <w:spacing w:line="360" w:lineRule="auto"/>
        <w:ind w:firstLine="482" w:firstLineChars="200"/>
        <w:jc w:val="both"/>
        <w:rPr>
          <w:rFonts w:hint="eastAsia"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color w:val="auto"/>
          <w:sz w:val="24"/>
          <w:szCs w:val="24"/>
        </w:rPr>
        <w:t>．</w:t>
      </w:r>
      <w:r>
        <w:rPr>
          <w:rFonts w:hint="eastAsia" w:ascii="仿宋" w:hAnsi="仿宋" w:eastAsia="仿宋" w:cs="仿宋"/>
          <w:b/>
          <w:color w:val="auto"/>
          <w:sz w:val="24"/>
          <w:szCs w:val="24"/>
        </w:rPr>
        <w:t>质疑</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（1）供应商认为采购文件、采购过程、成交结果使自己的权益受到损害的，可以在知道或应知其权益受到损害之日起7个工作日内以书面形式向采购人、采购代理机构提出。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（2）质疑方式：</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①在线质疑：</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登录西安市公共资源交易平台〖首页·〉电子交易平台·〉企业端〗，在〖我的项目〗中点击“项目流程·〉提出质疑”，填写表单并提交质疑。</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②书面质疑：</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书面质疑函应按照财政部国库司制定的《政府采购供应商质疑函范本》（见下方链接）进行填写，签字、盖章后提交至采购人、采购代理机构。</w:t>
      </w:r>
    </w:p>
    <w:p>
      <w:pPr>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质疑函范本地址：</w:t>
      </w:r>
      <w:r>
        <w:rPr>
          <w:rFonts w:hint="eastAsia" w:ascii="仿宋" w:hAnsi="仿宋" w:eastAsia="仿宋" w:cs="仿宋"/>
        </w:rPr>
        <w:fldChar w:fldCharType="begin"/>
      </w:r>
      <w:r>
        <w:rPr>
          <w:rFonts w:hint="eastAsia" w:ascii="仿宋" w:hAnsi="仿宋" w:eastAsia="仿宋" w:cs="仿宋"/>
        </w:rPr>
        <w:instrText xml:space="preserve"> HYPERLINK "http://download.ccgp.gov.cn/2018/zhiyihanfanben.zip"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http://download.ccgp.gov.cn/2018/zhiyihanfanben.zip</w:t>
      </w:r>
      <w:r>
        <w:rPr>
          <w:rStyle w:val="24"/>
          <w:rFonts w:hint="eastAsia" w:ascii="仿宋" w:hAnsi="仿宋" w:eastAsia="仿宋" w:cs="仿宋"/>
          <w:color w:val="auto"/>
          <w:sz w:val="24"/>
          <w:szCs w:val="24"/>
        </w:rPr>
        <w:fldChar w:fldCharType="end"/>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（4）在法定质疑期内，针对同一采购程序环节的质疑应当一次性提出。采购人、采购代理机构将在收到书面质疑后7个工作日内做出答复，并以书面形式通知质疑人和其他有关供应商。</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（5）有下列情形之一的，属于无效质疑：</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①对采购文件提出质疑的质疑人不是依法获取采购文件的潜在供应商；对采购过程、中标结果提出质疑的质疑人不是参与本次政府采购项目的供应商；</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②超过法定期限或未以书面形式提出的；</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③缺乏必要的证明材料，或捏造事实、提供虚假材料，或以非法手段取得证明材料的；</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④质疑函没有合法有效的签字、盖章或委托授权书的（代理人提出质疑和投诉，应当提交供应商签署的授权委托书）；</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⑤针对同一采购程序环节又提出其他质疑事项的，或质疑答复后就同一事项再次提出质疑的；</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⑥不符合法律、法规、规章和政府采购监管机构规定的其他条件的。</w:t>
      </w:r>
    </w:p>
    <w:p>
      <w:pPr>
        <w:spacing w:line="360" w:lineRule="auto"/>
        <w:ind w:firstLine="482" w:firstLineChars="200"/>
        <w:jc w:val="both"/>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color w:val="auto"/>
          <w:sz w:val="24"/>
          <w:szCs w:val="24"/>
        </w:rPr>
        <w:t>．</w:t>
      </w:r>
      <w:r>
        <w:rPr>
          <w:rFonts w:hint="eastAsia" w:ascii="仿宋" w:hAnsi="仿宋" w:eastAsia="仿宋" w:cs="仿宋"/>
          <w:b/>
          <w:color w:val="auto"/>
          <w:sz w:val="24"/>
          <w:szCs w:val="24"/>
        </w:rPr>
        <w:t>投诉</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（2）供应商投诉的事项不得超出已质疑事项的范围。供应商提出投诉时，应当提交投诉书和必要的证明材料，并按财政部《投诉书范本》给定的格式进行填写。</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投诉书范本地址：</w:t>
      </w:r>
      <w:r>
        <w:rPr>
          <w:rFonts w:hint="eastAsia" w:ascii="仿宋" w:hAnsi="仿宋" w:eastAsia="仿宋" w:cs="仿宋"/>
        </w:rPr>
        <w:fldChar w:fldCharType="begin"/>
      </w:r>
      <w:r>
        <w:rPr>
          <w:rFonts w:hint="eastAsia" w:ascii="仿宋" w:hAnsi="仿宋" w:eastAsia="仿宋" w:cs="仿宋"/>
        </w:rPr>
        <w:instrText xml:space="preserve"> HYPERLINK "http://download.ccgp.gov.cn/2018/tousushufanben.zip"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http://download.ccgp.gov.cn/2018/tousushufanben.zip</w:t>
      </w:r>
      <w:r>
        <w:rPr>
          <w:rStyle w:val="24"/>
          <w:rFonts w:hint="eastAsia" w:ascii="仿宋" w:hAnsi="仿宋" w:eastAsia="仿宋" w:cs="仿宋"/>
          <w:color w:val="auto"/>
          <w:sz w:val="24"/>
          <w:szCs w:val="24"/>
        </w:rPr>
        <w:fldChar w:fldCharType="end"/>
      </w:r>
    </w:p>
    <w:p>
      <w:pPr>
        <w:spacing w:line="360" w:lineRule="auto"/>
        <w:ind w:firstLine="482" w:firstLineChars="200"/>
        <w:jc w:val="both"/>
        <w:rPr>
          <w:rFonts w:hint="eastAsia"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color w:val="auto"/>
          <w:sz w:val="24"/>
          <w:szCs w:val="24"/>
        </w:rPr>
        <w:t>．</w:t>
      </w:r>
      <w:r>
        <w:rPr>
          <w:rFonts w:hint="eastAsia" w:ascii="仿宋" w:hAnsi="仿宋" w:eastAsia="仿宋" w:cs="仿宋"/>
          <w:b/>
          <w:color w:val="auto"/>
          <w:sz w:val="24"/>
          <w:szCs w:val="24"/>
        </w:rPr>
        <w:t>恶意质疑、投诉的法律后果</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（1）对捏造事实、提供虚假材料进行质疑、投诉的行为予以严肃处理：</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（2）对捏造事实诬告陷害他人、诽谤他人的法律适用：</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《中华人民共和国刑法》第246条【侮辱罪、诽谤罪】以暴力或者其他方法公然侮辱他人或者捏造事实诽谤他人，情节严重的，处三年以下有期徒刑、拘役、管制或者剥夺政治权利。</w:t>
      </w:r>
    </w:p>
    <w:p>
      <w:pPr>
        <w:keepNext/>
        <w:keepLines/>
        <w:kinsoku/>
        <w:spacing w:line="413" w:lineRule="auto"/>
        <w:ind w:firstLine="482"/>
        <w:rPr>
          <w:rFonts w:hint="eastAsia" w:ascii="仿宋" w:hAnsi="仿宋" w:eastAsia="仿宋" w:cs="仿宋"/>
          <w:b/>
          <w:bCs/>
          <w:color w:val="auto"/>
          <w:position w:val="1"/>
          <w:sz w:val="24"/>
          <w:szCs w:val="24"/>
        </w:rPr>
      </w:pPr>
      <w:r>
        <w:rPr>
          <w:rFonts w:hint="eastAsia" w:ascii="仿宋" w:hAnsi="仿宋" w:eastAsia="仿宋" w:cs="仿宋"/>
          <w:b/>
          <w:bCs/>
          <w:color w:val="auto"/>
          <w:position w:val="1"/>
          <w:sz w:val="24"/>
          <w:szCs w:val="24"/>
        </w:rPr>
        <w:t>（三）关于保证金</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1．西安市政府采购信用担保及信用融资政策</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《实施方案》链接地址：</w:t>
      </w:r>
    </w:p>
    <w:p>
      <w:pPr>
        <w:kinsoku/>
        <w:spacing w:line="360" w:lineRule="auto"/>
        <w:ind w:firstLine="420" w:firstLineChars="200"/>
        <w:jc w:val="both"/>
        <w:rPr>
          <w:rFonts w:hint="eastAsia" w:ascii="仿宋" w:hAnsi="仿宋" w:eastAsia="仿宋" w:cs="仿宋"/>
          <w:color w:val="auto"/>
          <w:sz w:val="24"/>
          <w:szCs w:val="24"/>
        </w:rPr>
      </w:pPr>
      <w:r>
        <w:rPr>
          <w:rFonts w:hint="eastAsia" w:ascii="仿宋" w:hAnsi="仿宋" w:eastAsia="仿宋" w:cs="仿宋"/>
        </w:rPr>
        <w:fldChar w:fldCharType="begin"/>
      </w:r>
      <w:r>
        <w:rPr>
          <w:rFonts w:hint="eastAsia" w:ascii="仿宋" w:hAnsi="仿宋" w:eastAsia="仿宋" w:cs="仿宋"/>
        </w:rPr>
        <w:instrText xml:space="preserve"> HYPERLINK "http://xaczj.xa.gov.cn/zfcg/cgfg/5db90552fd850863a9e4594d.html" </w:instrText>
      </w:r>
      <w:r>
        <w:rPr>
          <w:rFonts w:hint="eastAsia" w:ascii="仿宋" w:hAnsi="仿宋" w:eastAsia="仿宋" w:cs="仿宋"/>
        </w:rPr>
        <w:fldChar w:fldCharType="separate"/>
      </w:r>
      <w:r>
        <w:rPr>
          <w:rFonts w:hint="eastAsia" w:ascii="仿宋" w:hAnsi="仿宋" w:eastAsia="仿宋" w:cs="仿宋"/>
          <w:color w:val="auto"/>
          <w:sz w:val="24"/>
          <w:szCs w:val="24"/>
        </w:rPr>
        <w:t>http://xaczj.xa.gov.cn/zfcg/cgfg/5db90552fd850863a9e4594d.html</w:t>
      </w:r>
      <w:r>
        <w:rPr>
          <w:rFonts w:hint="eastAsia" w:ascii="仿宋" w:hAnsi="仿宋" w:eastAsia="仿宋" w:cs="仿宋"/>
          <w:color w:val="auto"/>
          <w:sz w:val="24"/>
          <w:szCs w:val="24"/>
        </w:rPr>
        <w:fldChar w:fldCharType="end"/>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《合作机构名单》链接地址：</w:t>
      </w:r>
    </w:p>
    <w:p>
      <w:pPr>
        <w:kinsoku/>
        <w:spacing w:line="360" w:lineRule="auto"/>
        <w:ind w:firstLine="420" w:firstLineChars="200"/>
        <w:jc w:val="both"/>
        <w:rPr>
          <w:rFonts w:hint="eastAsia" w:ascii="仿宋" w:hAnsi="仿宋" w:eastAsia="仿宋" w:cs="仿宋"/>
          <w:color w:val="auto"/>
          <w:sz w:val="24"/>
          <w:szCs w:val="24"/>
        </w:rPr>
      </w:pPr>
      <w:r>
        <w:rPr>
          <w:rFonts w:hint="eastAsia" w:ascii="仿宋" w:hAnsi="仿宋" w:eastAsia="仿宋" w:cs="仿宋"/>
        </w:rPr>
        <w:fldChar w:fldCharType="begin"/>
      </w:r>
      <w:r>
        <w:rPr>
          <w:rFonts w:hint="eastAsia" w:ascii="仿宋" w:hAnsi="仿宋" w:eastAsia="仿宋" w:cs="仿宋"/>
        </w:rPr>
        <w:instrText xml:space="preserve"> HYPERLINK "http://xaczj.xa.gov.cn/zfcg/cgfg/5db9054565cbd804f69e97e0.html" </w:instrText>
      </w:r>
      <w:r>
        <w:rPr>
          <w:rFonts w:hint="eastAsia" w:ascii="仿宋" w:hAnsi="仿宋" w:eastAsia="仿宋" w:cs="仿宋"/>
        </w:rPr>
        <w:fldChar w:fldCharType="separate"/>
      </w:r>
      <w:r>
        <w:rPr>
          <w:rFonts w:hint="eastAsia" w:ascii="仿宋" w:hAnsi="仿宋" w:eastAsia="仿宋" w:cs="仿宋"/>
          <w:color w:val="auto"/>
          <w:sz w:val="24"/>
          <w:szCs w:val="24"/>
        </w:rPr>
        <w:t>http://xaczj.xa.gov.cn/zfcg/cgfg/5db9054565cbd804f69e97e0.html</w:t>
      </w:r>
      <w:r>
        <w:rPr>
          <w:rFonts w:hint="eastAsia" w:ascii="仿宋" w:hAnsi="仿宋" w:eastAsia="仿宋" w:cs="仿宋"/>
          <w:color w:val="auto"/>
          <w:sz w:val="24"/>
          <w:szCs w:val="24"/>
        </w:rPr>
        <w:fldChar w:fldCharType="end"/>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2．投标保证金</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按照西安市财政局《关于促进政府采购公平竞争优化营商环境的通知》第三条规定，供应商参与西安市政府采购活动时，免交投 标保证金。</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3．履约保证金</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（1）交纳履约保证金</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kinsoku/>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（2）采用履约保函形式时应注意以下事项：</w:t>
      </w:r>
    </w:p>
    <w:p>
      <w:pPr>
        <w:kinsoku/>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①履约保函的受益人为采购人，供应商未能按合同规定履行其义务时，采购人有权从履约保证金中取得补偿。</w:t>
      </w:r>
    </w:p>
    <w:p>
      <w:pPr>
        <w:kinsoku/>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②履约保函的内容包括但不限于保函申请人、项目名称（如分标段，还应写明所投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kinsoku/>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③担保金额不少于《投标邀请函》中规定的履约保证金交纳金额；</w:t>
      </w:r>
    </w:p>
    <w:p>
      <w:pPr>
        <w:kinsoku/>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④保函申请人须与供应商名称一致。若供应商为联合体形式，原则上可由联合体任意一方或多方作为保函申请人，然而对于电子保函，目前只能由下载电子招标文件的一方作为保函申请人。</w:t>
      </w:r>
    </w:p>
    <w:p>
      <w:pPr>
        <w:kinsoku/>
        <w:wordWrap w:val="0"/>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（3）退还履约保证金</w:t>
      </w:r>
    </w:p>
    <w:p>
      <w:pPr>
        <w:pStyle w:val="5"/>
        <w:kinsoku/>
        <w:spacing w:line="360" w:lineRule="auto"/>
        <w:ind w:firstLine="482"/>
        <w:rPr>
          <w:rFonts w:hint="eastAsia" w:ascii="仿宋" w:hAnsi="仿宋" w:eastAsia="仿宋" w:cs="仿宋"/>
          <w:b w:val="0"/>
          <w:color w:val="auto"/>
          <w:sz w:val="24"/>
          <w:szCs w:val="24"/>
        </w:rPr>
      </w:pPr>
      <w:r>
        <w:rPr>
          <w:rFonts w:hint="eastAsia" w:ascii="仿宋" w:hAnsi="仿宋" w:eastAsia="仿宋" w:cs="仿宋"/>
          <w:b w:val="0"/>
          <w:color w:val="auto"/>
          <w:sz w:val="24"/>
          <w:szCs w:val="24"/>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（四）关于政府采购政策</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color w:val="auto"/>
          <w:sz w:val="24"/>
          <w:szCs w:val="24"/>
        </w:rPr>
        <w:t>．</w:t>
      </w:r>
      <w:r>
        <w:rPr>
          <w:rFonts w:hint="eastAsia" w:ascii="仿宋" w:hAnsi="仿宋" w:eastAsia="仿宋" w:cs="仿宋"/>
          <w:b/>
          <w:color w:val="auto"/>
          <w:sz w:val="24"/>
          <w:szCs w:val="24"/>
        </w:rPr>
        <w:t>对中小企业、监狱企业、残疾人福利性单位的优惠政策</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（2）根据财政部、司法部联合下发的《关于政府采购支持监狱企业发展有关问题的通知》（财库〔2014〕68号）的规定，监狱企业视同小型、微型企业。</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color w:val="auto"/>
          <w:sz w:val="24"/>
          <w:szCs w:val="24"/>
        </w:rPr>
        <w:t>．</w:t>
      </w:r>
      <w:r>
        <w:rPr>
          <w:rFonts w:hint="eastAsia" w:ascii="仿宋" w:hAnsi="仿宋" w:eastAsia="仿宋" w:cs="仿宋"/>
          <w:b/>
          <w:color w:val="auto"/>
          <w:sz w:val="24"/>
          <w:szCs w:val="24"/>
        </w:rPr>
        <w:t>节能、环保产品采购政策</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（3）《节能产品政府采购品目清单》见财政部、发展改革委《关于印发节能产品政府采购品目清单的通知》（财库〔2019〕19号）附件。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（4）《环境标志产品政府采购品目清单》见财政部、生态环境部《关于印发环境标志产品政府采购品目清单的通知》（财库〔2019〕18号）附件。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（5）“国家确定的认证机构”名单见市场监管总局《关于发布参与实施政府采购节能产品、环境标志产品认证机构名录的公告》（2019年第16号）。</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color w:val="auto"/>
          <w:sz w:val="24"/>
          <w:szCs w:val="24"/>
        </w:rPr>
        <w:t>．</w:t>
      </w:r>
      <w:r>
        <w:rPr>
          <w:rFonts w:hint="eastAsia" w:ascii="仿宋" w:hAnsi="仿宋" w:eastAsia="仿宋" w:cs="仿宋"/>
          <w:b/>
          <w:color w:val="auto"/>
          <w:sz w:val="24"/>
          <w:szCs w:val="24"/>
        </w:rPr>
        <w:t>陕西省中小企业政府采购信用融资办法</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链接地址：</w:t>
      </w:r>
      <w:r>
        <w:rPr>
          <w:rFonts w:hint="eastAsia" w:ascii="仿宋" w:hAnsi="仿宋" w:eastAsia="仿宋" w:cs="仿宋"/>
        </w:rPr>
        <w:fldChar w:fldCharType="begin"/>
      </w:r>
      <w:r>
        <w:rPr>
          <w:rFonts w:hint="eastAsia" w:ascii="仿宋" w:hAnsi="仿宋" w:eastAsia="仿宋" w:cs="仿宋"/>
        </w:rPr>
        <w:instrText xml:space="preserve"> HYPERLINK "http://www.ccgp-shaanxi.gov.cn/zcdservice/zcd/shanxi/article/zcdt/1390497710741917696"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http://www.ccgp-shaanxi.gov.cn/zcdservice/zcd/shanxi/article/zcdt/1390497710741917696</w:t>
      </w:r>
      <w:r>
        <w:rPr>
          <w:rStyle w:val="24"/>
          <w:rFonts w:hint="eastAsia" w:ascii="仿宋" w:hAnsi="仿宋" w:eastAsia="仿宋" w:cs="仿宋"/>
          <w:color w:val="auto"/>
          <w:sz w:val="24"/>
          <w:szCs w:val="24"/>
        </w:rPr>
        <w:fldChar w:fldCharType="end"/>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（五）关于现场踏勘和集中答疑</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凡未参加现场踏勘和集中答疑的供应商，由此带来的不利后果由该供应商自行承担。</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（六）关于同一品牌产品的处理</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（七）关于知识产权和保密事项</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（八）关于信用记录的查询和使用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1．根据财政部《关于在政府采购活动中查询及使用信用记录有关问题的通知》（财库〔2016〕125号）第二条有关要求，采购人将在资格审查阶段通过【信用中国】（</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https://www.creditchina.gov.cn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/）和【中国政府采购网】（</w:t>
      </w:r>
      <w:r>
        <w:rPr>
          <w:rFonts w:hint="eastAsia" w:ascii="仿宋" w:hAnsi="仿宋" w:eastAsia="仿宋" w:cs="仿宋"/>
        </w:rPr>
        <w:fldChar w:fldCharType="begin"/>
      </w:r>
      <w:r>
        <w:rPr>
          <w:rFonts w:hint="eastAsia" w:ascii="仿宋" w:hAnsi="仿宋" w:eastAsia="仿宋" w:cs="仿宋"/>
        </w:rPr>
        <w:instrText xml:space="preserve"> HYPERLINK "http://www.ccgp.gov.cn/"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http://www.ccgp.gov.cn/）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对供应商的信用情况进行甄别。</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4．信用记录查询结果打印后，将与其他采购文件一并保存。</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（九）其他重要事项</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1．招标文件内所附网络链接仅供参考，不保证其长期有效性。</w:t>
      </w:r>
    </w:p>
    <w:p>
      <w:pPr>
        <w:wordWrap w:val="0"/>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2．供应商的投标费用自理。</w:t>
      </w:r>
    </w:p>
    <w:bookmarkEnd w:id="4"/>
    <w:p>
      <w:pPr>
        <w:pStyle w:val="4"/>
        <w:spacing w:beforeLines="50" w:line="360" w:lineRule="auto"/>
        <w:jc w:val="center"/>
        <w:rPr>
          <w:rFonts w:hint="eastAsia" w:ascii="仿宋" w:hAnsi="仿宋" w:eastAsia="仿宋" w:cs="仿宋"/>
          <w:b/>
          <w:bCs w:val="0"/>
          <w:color w:val="auto"/>
        </w:rPr>
      </w:pPr>
      <w:r>
        <w:rPr>
          <w:rFonts w:hint="eastAsia" w:ascii="仿宋" w:hAnsi="仿宋" w:eastAsia="仿宋" w:cs="仿宋"/>
          <w:b/>
          <w:bCs w:val="0"/>
          <w:color w:val="auto"/>
        </w:rPr>
        <w:t>三、招标文件</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（一）招标文件的解释权</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本项目招标文件的解释权归采购代理机构，评标委员会成员应根据政府采购法律法规和招标文件所载明的评审方法、标准进行评审。</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（二）招标文件主要内容</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一</w:t>
      </w:r>
      <w:r>
        <w:rPr>
          <w:rFonts w:hint="eastAsia" w:ascii="仿宋" w:hAnsi="仿宋" w:eastAsia="仿宋" w:cs="仿宋"/>
          <w:color w:val="auto"/>
          <w:sz w:val="24"/>
          <w:szCs w:val="24"/>
        </w:rPr>
        <w:t>章 招标公告</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二</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供应商须知</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三</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招标内容及要求</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Cs/>
          <w:color w:val="auto"/>
          <w:sz w:val="24"/>
          <w:szCs w:val="24"/>
        </w:rPr>
        <w:t>四</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合同文本</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Cs/>
          <w:color w:val="auto"/>
          <w:sz w:val="24"/>
          <w:szCs w:val="24"/>
        </w:rPr>
        <w:t>五</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投标文件构成及格式</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（三）招标文件的检查及阅读</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供应商应认真阅读和充分理解招标文件中所有的事项、格式条款和规范要求，在投标文件中对招标文件做出全面响应，并按招标文件的要求提交全部资料。</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项目废标后重新组织招标的，采购代理机构将重新编制、发布新版招标文件，供应商应按新版招标文件重新编制投标文件。原招标文件及投标文件失效。</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（四）招标文件的修改、澄清</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1.提交投标文件截止之日前，采购人或采购代理机构可能对已发出的招标文件进行澄清或者修改，澄清或者修改的内容为招标文件的组成部分。</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rPr>
        <w:fldChar w:fldCharType="begin"/>
      </w:r>
      <w:r>
        <w:rPr>
          <w:rFonts w:hint="eastAsia" w:ascii="仿宋" w:hAnsi="仿宋" w:eastAsia="仿宋" w:cs="仿宋"/>
        </w:rPr>
        <w:instrText xml:space="preserve"> HYPERLINK "http://www.ccgp-shaanxi.gov.cn" </w:instrText>
      </w:r>
      <w:r>
        <w:rPr>
          <w:rFonts w:hint="eastAsia" w:ascii="仿宋" w:hAnsi="仿宋" w:eastAsia="仿宋" w:cs="仿宋"/>
        </w:rPr>
        <w:fldChar w:fldCharType="separate"/>
      </w:r>
      <w:r>
        <w:rPr>
          <w:rFonts w:hint="eastAsia" w:ascii="仿宋" w:hAnsi="仿宋" w:eastAsia="仿宋" w:cs="仿宋"/>
          <w:color w:val="auto"/>
          <w:sz w:val="24"/>
          <w:szCs w:val="24"/>
        </w:rPr>
        <w:t>陕西省政府采购网</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r>
        <w:rPr>
          <w:rFonts w:hint="eastAsia" w:ascii="仿宋" w:hAnsi="仿宋" w:eastAsia="仿宋" w:cs="仿宋"/>
        </w:rPr>
        <w:fldChar w:fldCharType="begin"/>
      </w:r>
      <w:r>
        <w:rPr>
          <w:rFonts w:hint="eastAsia" w:ascii="仿宋" w:hAnsi="仿宋" w:eastAsia="仿宋" w:cs="仿宋"/>
        </w:rPr>
        <w:instrText xml:space="preserve"> HYPERLINK "http://www.ccgp-shaanxi.gov.cn/"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http://www.ccgp-shaanxi.gov.cn/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）中的〖首页·〉信息公告·〉市级·〉西安市〗；</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rPr>
        <w:fldChar w:fldCharType="begin"/>
      </w:r>
      <w:r>
        <w:rPr>
          <w:rFonts w:hint="eastAsia" w:ascii="仿宋" w:hAnsi="仿宋" w:eastAsia="仿宋" w:cs="仿宋"/>
        </w:rPr>
        <w:instrText xml:space="preserve"> HYPERLINK "http://xa.sxggzyjy.cn/" </w:instrText>
      </w:r>
      <w:r>
        <w:rPr>
          <w:rFonts w:hint="eastAsia" w:ascii="仿宋" w:hAnsi="仿宋" w:eastAsia="仿宋" w:cs="仿宋"/>
        </w:rPr>
        <w:fldChar w:fldCharType="separate"/>
      </w:r>
      <w:r>
        <w:rPr>
          <w:rFonts w:hint="eastAsia" w:ascii="仿宋" w:hAnsi="仿宋" w:eastAsia="仿宋" w:cs="仿宋"/>
          <w:color w:val="auto"/>
          <w:sz w:val="24"/>
          <w:szCs w:val="24"/>
        </w:rPr>
        <w:t>全国公共资源交易网（陕西省·西安市）</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r>
        <w:rPr>
          <w:rFonts w:hint="eastAsia" w:ascii="仿宋" w:hAnsi="仿宋" w:eastAsia="仿宋" w:cs="仿宋"/>
        </w:rPr>
        <w:fldChar w:fldCharType="begin"/>
      </w:r>
      <w:r>
        <w:rPr>
          <w:rFonts w:hint="eastAsia" w:ascii="仿宋" w:hAnsi="仿宋" w:eastAsia="仿宋" w:cs="仿宋"/>
        </w:rPr>
        <w:instrText xml:space="preserve"> HYPERLINK "http://sxggzyjy.xa.gov.cn/" </w:instrText>
      </w:r>
      <w:r>
        <w:rPr>
          <w:rFonts w:hint="eastAsia" w:ascii="仿宋" w:hAnsi="仿宋" w:eastAsia="仿宋" w:cs="仿宋"/>
        </w:rPr>
        <w:fldChar w:fldCharType="separate"/>
      </w:r>
      <w:r>
        <w:rPr>
          <w:rStyle w:val="24"/>
          <w:rFonts w:hint="eastAsia" w:ascii="仿宋" w:hAnsi="仿宋" w:eastAsia="仿宋" w:cs="仿宋"/>
          <w:color w:val="auto"/>
          <w:sz w:val="24"/>
          <w:szCs w:val="24"/>
        </w:rPr>
        <w:t>http://sxggzyjy.xa.gov.cn/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）中的〖首页·〉交易大厅·〉政府采购〗。</w:t>
      </w:r>
    </w:p>
    <w:p>
      <w:pPr>
        <w:pStyle w:val="4"/>
        <w:spacing w:line="360" w:lineRule="auto"/>
        <w:jc w:val="center"/>
        <w:rPr>
          <w:rFonts w:hint="eastAsia" w:ascii="仿宋" w:hAnsi="仿宋" w:eastAsia="仿宋" w:cs="仿宋"/>
          <w:b/>
          <w:bCs w:val="0"/>
          <w:color w:val="auto"/>
        </w:rPr>
      </w:pPr>
      <w:r>
        <w:rPr>
          <w:rFonts w:hint="eastAsia" w:ascii="仿宋" w:hAnsi="仿宋" w:eastAsia="仿宋" w:cs="仿宋"/>
          <w:b/>
          <w:bCs w:val="0"/>
          <w:color w:val="auto"/>
        </w:rPr>
        <w:t>四、投标文件</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（一）投标文件的式样</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1．组成及格式</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供应商依照招标文件第五章《投标文件构成及格式》给定形式进行编制投标文件。项目分标段的，应按所投标段分别准备投标文件。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2．语言</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招标活动的所有文件、资料、函电文字均使用简体中文，确需提交用其他语言形成的资料，必须翻译成简体中文，如有差异，以简体中文为准。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3．计量单位</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投标文件的计量单位应使用中华人民共和国法定计量单位，但招标文件另有规定的除外。</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（二）投标文件的有效期</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投标文件有效期为自开标之日起不少于90个日历日。如中标，延长至合同执行完毕时止。</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（三）投标报价</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投标报价是供应商响应采购项目要求的全部工作内容的价格体现，包括完成采购内容所需的直接费、间接费、利润、税金及其它相关的一切费用。</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1．供应商在报价时应充分考虑所有可能发生的费用，招标文件未列明，而供应商认为应当计取的费用均应列入报价中。报价时不论是否计取，采购人均按已计取对待。</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2．供应商应严格按照《投标文件构成及格式》第二部分《开标一览表》中的相关要求填写分类报价及其他需要响应的内容。投标报价只能提交唯一报价，任何有选择的报价将不予接受，按无效投标处理。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3．投标报价货币：人民币；单位：元。</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4．投标文件报价出现前后不一致的，除招标文件另有规定外，按照下列规则修正：</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（1）投标文件中开标一览表内容与投标文件中其他位置相应内容表述不一致的，以开标一览表为准；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（3）单价金额小数点或者百分比有明显错位的，以开标一览表的总价为准，并修改单价；</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同时出现两种以上不一致的，按照前款规定的顺序修正。修正后的报价经供应商确认后产生约束力，供应商不确认的，其投标无效。</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5．因供应商对招标文件理解不透、误解、疏漏或对市场行情了解不清造成的后果和风险，均由供应商自己负责。</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（四）投标文件的制作和签章</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pStyle w:val="35"/>
        <w:spacing w:line="360" w:lineRule="auto"/>
        <w:ind w:firstLine="480"/>
        <w:jc w:val="left"/>
        <w:rPr>
          <w:rFonts w:hint="eastAsia" w:ascii="仿宋" w:hAnsi="仿宋" w:eastAsia="仿宋" w:cs="仿宋"/>
          <w:color w:val="auto"/>
        </w:rPr>
      </w:pPr>
      <w:r>
        <w:rPr>
          <w:rFonts w:hint="eastAsia" w:ascii="仿宋" w:hAnsi="仿宋" w:eastAsia="仿宋" w:cs="仿宋"/>
          <w:color w:val="auto"/>
        </w:rPr>
        <w:t>链接地址：</w:t>
      </w:r>
      <w:r>
        <w:rPr>
          <w:rFonts w:hint="eastAsia" w:ascii="仿宋" w:hAnsi="仿宋" w:eastAsia="仿宋" w:cs="仿宋"/>
        </w:rPr>
        <w:fldChar w:fldCharType="begin"/>
      </w:r>
      <w:r>
        <w:rPr>
          <w:rFonts w:hint="eastAsia" w:ascii="仿宋" w:hAnsi="仿宋" w:eastAsia="仿宋" w:cs="仿宋"/>
        </w:rPr>
        <w:instrText xml:space="preserve"> HYPERLINK "http://sxggzyjy.xa.gov.cn/fwzn/004003/20181115/4d59c184-e8f6-4d5a-a416-c2f6b0601e66.html" </w:instrText>
      </w:r>
      <w:r>
        <w:rPr>
          <w:rFonts w:hint="eastAsia" w:ascii="仿宋" w:hAnsi="仿宋" w:eastAsia="仿宋" w:cs="仿宋"/>
        </w:rPr>
        <w:fldChar w:fldCharType="separate"/>
      </w:r>
      <w:r>
        <w:rPr>
          <w:rStyle w:val="24"/>
          <w:rFonts w:hint="eastAsia" w:ascii="仿宋" w:hAnsi="仿宋" w:eastAsia="仿宋" w:cs="仿宋"/>
          <w:color w:val="auto"/>
        </w:rPr>
        <w:t>http://sxggzyjy.xa.gov.cn/fwzn/004003/20181115/4d59c184-e8f6-4d5a-a416-c2f6b0601e66.html</w:t>
      </w:r>
      <w:r>
        <w:rPr>
          <w:rStyle w:val="24"/>
          <w:rFonts w:hint="eastAsia" w:ascii="仿宋" w:hAnsi="仿宋" w:eastAsia="仿宋" w:cs="仿宋"/>
          <w:color w:val="auto"/>
        </w:rPr>
        <w:fldChar w:fldCharType="end"/>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2．编制电子投标文件前，</w:t>
      </w:r>
      <w:r>
        <w:rPr>
          <w:rFonts w:hint="eastAsia" w:ascii="仿宋" w:hAnsi="仿宋" w:eastAsia="仿宋" w:cs="仿宋"/>
          <w:b/>
          <w:color w:val="auto"/>
        </w:rPr>
        <w:t>务必先做好电子招标文件的备份工作</w:t>
      </w:r>
      <w:r>
        <w:rPr>
          <w:rFonts w:hint="eastAsia" w:ascii="仿宋" w:hAnsi="仿宋" w:eastAsia="仿宋" w:cs="仿宋"/>
          <w:color w:val="auto"/>
        </w:rPr>
        <w:t>。然后按操作手册中给出的方法将电子招标文件（*.SXSZF）或答疑文件（*.SXSCF，即更新后的电子招标文件）导入制作软件，最后按照章节分别编制投标文件各个部分。</w:t>
      </w:r>
    </w:p>
    <w:p>
      <w:pPr>
        <w:pStyle w:val="35"/>
        <w:spacing w:line="360" w:lineRule="auto"/>
        <w:ind w:firstLine="482"/>
        <w:rPr>
          <w:rFonts w:hint="eastAsia" w:ascii="仿宋" w:hAnsi="仿宋" w:eastAsia="仿宋" w:cs="仿宋"/>
          <w:color w:val="auto"/>
        </w:rPr>
      </w:pPr>
      <w:r>
        <w:rPr>
          <w:rFonts w:hint="eastAsia" w:ascii="仿宋" w:hAnsi="仿宋" w:eastAsia="仿宋" w:cs="仿宋"/>
          <w:b/>
          <w:color w:val="auto"/>
        </w:rPr>
        <w:t>再次提醒：</w:t>
      </w:r>
      <w:r>
        <w:rPr>
          <w:rFonts w:hint="eastAsia" w:ascii="仿宋" w:hAnsi="仿宋" w:eastAsia="仿宋" w:cs="仿宋"/>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3．电子投标文件制作过程中，需要法定代表人签字或盖章的地方，请使用“法人CA锁”进行签章；需要加盖供应商公章的地方，请使用“企业CA锁”进行签章。</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（五）投标文件的加密和提交</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1．在生成电子投标文件时，需要使用CA锁对投标文件进行加密。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注意：加密投标文件和开标时解密投标文件应当使用同一CA，否则将会导致解密失败。</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3．上传文件有误或需要重新提交的，可先撤销已经上传的文件，然后重新上传新文件。</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（六）投标文件的补充、修改和撤回</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2．供应商在提交投标文件截止时间后，撤回投标文件的，投标保证金不予退还。</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（七）关于投标文件的雷同性分析</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若“文件创建标识码”一致，则表示不同投标供应商使用投标文件制作软件时，使用同一源工程文件，该情形建议由评标委员会结合项目情况综合判定。</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（八）投标文件被拒绝接收的情形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1．误投的或采用旧版电子招标文件制作的；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2．逾期提交电子投标文件的。</w:t>
      </w:r>
    </w:p>
    <w:p>
      <w:pPr>
        <w:pStyle w:val="4"/>
        <w:spacing w:line="360" w:lineRule="auto"/>
        <w:jc w:val="center"/>
        <w:rPr>
          <w:rFonts w:hint="eastAsia" w:ascii="仿宋" w:hAnsi="仿宋" w:eastAsia="仿宋" w:cs="仿宋"/>
          <w:b/>
          <w:bCs w:val="0"/>
          <w:color w:val="auto"/>
        </w:rPr>
      </w:pPr>
      <w:r>
        <w:rPr>
          <w:rFonts w:hint="eastAsia" w:ascii="仿宋" w:hAnsi="仿宋" w:eastAsia="仿宋" w:cs="仿宋"/>
          <w:b/>
          <w:bCs w:val="0"/>
          <w:color w:val="auto"/>
        </w:rPr>
        <w:t>五、开标程序</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开标工作由采购代理机构组织实施，整个过程受同级政府采购监管机构的监督、管理。</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（一）“不见面开标”基本流程</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“不见面开标”是依托政府采购云平台实现的供应商在线参与开标的一种组织形式。供应商无需抵达开标现场，即可在线实现开标、解密、澄清等操作。</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1．供应商登录：开标前，请各供应商至少提前半小时登录西安市公共资源交易平台〖首页·〉不见面开标〗系统。</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2．主持人宣布开标：提交投标文件截止时间过后，系统将不再接收任何投标文件。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4．唱标：对于公开招标项目，“不见面开标”系统将自动展示供应商名单及其投标报价。</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5．开标结束：进入评审环节。供应商请保持在线，评审期间评标委员会可能会要求供应商做相应的澄清。因供应商擅自离席造成的不利后果，由供应商自行承担。</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“不见面开标”系统操作说明：详见西安市公共资源交易平台〖首页·〉服务指南·〉下载专区〗中的《西安公共资源交易不见面开标大厅供应商操作手册》。</w:t>
      </w:r>
    </w:p>
    <w:p>
      <w:pPr>
        <w:pStyle w:val="35"/>
        <w:spacing w:line="360" w:lineRule="auto"/>
        <w:ind w:firstLine="480"/>
        <w:jc w:val="left"/>
        <w:rPr>
          <w:rFonts w:hint="eastAsia" w:ascii="仿宋" w:hAnsi="仿宋" w:eastAsia="仿宋" w:cs="仿宋"/>
          <w:color w:val="auto"/>
        </w:rPr>
      </w:pPr>
      <w:r>
        <w:rPr>
          <w:rFonts w:hint="eastAsia" w:ascii="仿宋" w:hAnsi="仿宋" w:eastAsia="仿宋" w:cs="仿宋"/>
          <w:color w:val="auto"/>
        </w:rPr>
        <w:t>链接地址：</w:t>
      </w:r>
      <w:r>
        <w:rPr>
          <w:rFonts w:hint="eastAsia" w:ascii="仿宋" w:hAnsi="仿宋" w:eastAsia="仿宋" w:cs="仿宋"/>
        </w:rPr>
        <w:fldChar w:fldCharType="begin"/>
      </w:r>
      <w:r>
        <w:rPr>
          <w:rFonts w:hint="eastAsia" w:ascii="仿宋" w:hAnsi="仿宋" w:eastAsia="仿宋" w:cs="仿宋"/>
        </w:rPr>
        <w:instrText xml:space="preserve"> HYPERLINK "http://sxggzyjy.xa.gov.cn/fwzn/004003/20200426/bc8b2c1e-abe2-4168-913c-68ff93345faf.html" </w:instrText>
      </w:r>
      <w:r>
        <w:rPr>
          <w:rFonts w:hint="eastAsia" w:ascii="仿宋" w:hAnsi="仿宋" w:eastAsia="仿宋" w:cs="仿宋"/>
        </w:rPr>
        <w:fldChar w:fldCharType="separate"/>
      </w:r>
      <w:r>
        <w:rPr>
          <w:rStyle w:val="24"/>
          <w:rFonts w:hint="eastAsia" w:ascii="仿宋" w:hAnsi="仿宋" w:eastAsia="仿宋" w:cs="仿宋"/>
          <w:color w:val="auto"/>
        </w:rPr>
        <w:t>http://sxggzyjy.xa.gov.cn/fwzn/004003/20200426/bc8b2c1e-abe2-4168-913c-68ff93345faf.html</w:t>
      </w:r>
      <w:r>
        <w:rPr>
          <w:rStyle w:val="24"/>
          <w:rFonts w:hint="eastAsia" w:ascii="仿宋" w:hAnsi="仿宋" w:eastAsia="仿宋" w:cs="仿宋"/>
          <w:color w:val="auto"/>
        </w:rPr>
        <w:fldChar w:fldCharType="end"/>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（二）开标环节投标文件视为无效的情形</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1．供应商放弃或拒绝对电子投标文件进行解密的；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2．因供应商自身原因，导致未在规定的解密时限内完整解密的，如忘带CA锁、或携带的CA锁与加密文件的CA锁不同、或使用旧版招标文件编制投标文件等情形；</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3．上传的电子投标文件无法正常打开的；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4．政府采购法律法规规定的其他无效情形。</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（三）突发状况的应急处置</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在开评标过程中，如因停电、断网、电子化系统故障等特殊原因导致电子化开、评标工作无法正常进行时，采购代理机构将及时汇报政府采购监管部门，并等待或中止后续活动。</w:t>
      </w:r>
    </w:p>
    <w:p>
      <w:pPr>
        <w:pStyle w:val="4"/>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六、资格审查</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由1名采购人代表、1名监标人及1名代理机构代表组成），采购人应出具书面授权函，并指定组长。</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资格审查结束后，资格审查小组成员应当对审查结果进行签字确认；对未通过资格审查的供应商，资格审查小组应当场告知其未通过的原因。</w:t>
      </w:r>
    </w:p>
    <w:p>
      <w:pPr>
        <w:pStyle w:val="35"/>
        <w:kinsoku/>
        <w:spacing w:line="360" w:lineRule="auto"/>
        <w:ind w:firstLine="480"/>
        <w:rPr>
          <w:rFonts w:hint="eastAsia" w:ascii="仿宋" w:hAnsi="仿宋" w:eastAsia="仿宋" w:cs="仿宋"/>
          <w:color w:val="auto"/>
        </w:rPr>
      </w:pPr>
      <w:r>
        <w:rPr>
          <w:rFonts w:hint="eastAsia" w:ascii="仿宋" w:hAnsi="仿宋" w:eastAsia="仿宋" w:cs="仿宋"/>
          <w:color w:val="auto"/>
        </w:rPr>
        <w:t>合格供应商不足3家的，不得评标。</w:t>
      </w:r>
    </w:p>
    <w:p>
      <w:pPr>
        <w:keepNext/>
        <w:kinsoku/>
        <w:spacing w:beforeLines="50" w:afterLines="50" w:line="360" w:lineRule="auto"/>
        <w:jc w:val="center"/>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【资格性审查表】</w:t>
      </w:r>
    </w:p>
    <w:tbl>
      <w:tblPr>
        <w:tblStyle w:val="20"/>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45"/>
        <w:gridCol w:w="6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3" w:type="dxa"/>
            <w:shd w:val="clear" w:color="auto" w:fill="F1F1F1" w:themeFill="background1" w:themeFillShade="F2"/>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45" w:type="dxa"/>
            <w:shd w:val="clear" w:color="auto" w:fill="F1F1F1" w:themeFill="background1" w:themeFillShade="F2"/>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资格项</w:t>
            </w:r>
          </w:p>
        </w:tc>
        <w:tc>
          <w:tcPr>
            <w:tcW w:w="6702" w:type="dxa"/>
            <w:shd w:val="clear" w:color="auto" w:fill="F1F1F1" w:themeFill="background1" w:themeFillShade="F2"/>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一</w:t>
            </w:r>
          </w:p>
        </w:tc>
        <w:tc>
          <w:tcPr>
            <w:tcW w:w="8947" w:type="dxa"/>
            <w:gridSpan w:val="2"/>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基本资格条件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有效的主体资格证明</w:t>
            </w:r>
          </w:p>
        </w:tc>
        <w:tc>
          <w:tcPr>
            <w:tcW w:w="6702" w:type="dxa"/>
            <w:vAlign w:val="center"/>
          </w:tcPr>
          <w:p>
            <w:pPr>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商业信誉和健全的财务会计制度</w:t>
            </w:r>
          </w:p>
        </w:tc>
        <w:tc>
          <w:tcPr>
            <w:tcW w:w="6702" w:type="dxa"/>
            <w:vAlign w:val="center"/>
          </w:tcPr>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或在开标日期前6个月内其基本开户银行出具的资信证明（附《基本存款账户信息》或《银行开户许可证》复印件）；</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或财政部门认可的政府采购专业担保机构出具的投标担保函；</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或表明具有良好的商业信誉和健全的财务会计制度的诚信声明；</w:t>
            </w:r>
          </w:p>
          <w:p>
            <w:pPr>
              <w:kinsoku/>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以上四种形式的资料提供任何一种即可。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03" w:type="dxa"/>
            <w:vAlign w:val="center"/>
          </w:tcPr>
          <w:p>
            <w:pPr>
              <w:pStyle w:val="34"/>
              <w:numPr>
                <w:ilvl w:val="0"/>
                <w:numId w:val="3"/>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履约能力</w:t>
            </w:r>
          </w:p>
        </w:tc>
        <w:tc>
          <w:tcPr>
            <w:tcW w:w="6702" w:type="dxa"/>
            <w:vAlign w:val="center"/>
          </w:tcPr>
          <w:p>
            <w:pPr>
              <w:kinsoku/>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社保资金缴纳证明</w:t>
            </w:r>
          </w:p>
        </w:tc>
        <w:tc>
          <w:tcPr>
            <w:tcW w:w="6702" w:type="dxa"/>
            <w:vAlign w:val="center"/>
          </w:tcPr>
          <w:p>
            <w:pPr>
              <w:kinsoku/>
              <w:spacing w:line="360" w:lineRule="auto"/>
              <w:jc w:val="both"/>
              <w:rPr>
                <w:rFonts w:hint="eastAsia" w:ascii="仿宋" w:hAnsi="仿宋" w:eastAsia="仿宋" w:cs="仿宋"/>
                <w:bCs/>
                <w:color w:val="auto"/>
                <w:sz w:val="24"/>
                <w:szCs w:val="24"/>
              </w:rPr>
            </w:pPr>
            <w:r>
              <w:rPr>
                <w:rFonts w:hint="eastAsia" w:ascii="仿宋" w:hAnsi="仿宋" w:eastAsia="仿宋" w:cs="仿宋"/>
                <w:color w:val="auto"/>
                <w:sz w:val="24"/>
                <w:szCs w:val="24"/>
              </w:rPr>
              <w:t>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税收缴纳证明</w:t>
            </w:r>
          </w:p>
        </w:tc>
        <w:tc>
          <w:tcPr>
            <w:tcW w:w="6702" w:type="dxa"/>
            <w:vAlign w:val="center"/>
          </w:tcPr>
          <w:p>
            <w:pPr>
              <w:kinsoku/>
              <w:spacing w:line="360" w:lineRule="auto"/>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3" w:type="dxa"/>
            <w:vAlign w:val="center"/>
          </w:tcPr>
          <w:p>
            <w:pPr>
              <w:pStyle w:val="34"/>
              <w:numPr>
                <w:ilvl w:val="0"/>
                <w:numId w:val="3"/>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无重大违法记录声明</w:t>
            </w:r>
          </w:p>
        </w:tc>
        <w:tc>
          <w:tcPr>
            <w:tcW w:w="6702" w:type="dxa"/>
            <w:vAlign w:val="center"/>
          </w:tcPr>
          <w:p>
            <w:pPr>
              <w:kinsoku/>
              <w:spacing w:line="360" w:lineRule="auto"/>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03" w:type="dxa"/>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二</w:t>
            </w:r>
          </w:p>
        </w:tc>
        <w:tc>
          <w:tcPr>
            <w:tcW w:w="8947" w:type="dxa"/>
            <w:gridSpan w:val="2"/>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4"/>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法定代表人（主要负责人）委托授权书\身份证明</w:t>
            </w:r>
          </w:p>
        </w:tc>
        <w:tc>
          <w:tcPr>
            <w:tcW w:w="6702" w:type="dxa"/>
            <w:vAlign w:val="center"/>
          </w:tcPr>
          <w:p>
            <w:pPr>
              <w:kinsoku/>
              <w:spacing w:line="360" w:lineRule="auto"/>
              <w:ind w:left="28" w:right="15" w:firstLine="481"/>
              <w:rPr>
                <w:rFonts w:hint="eastAsia" w:ascii="仿宋" w:hAnsi="仿宋" w:eastAsia="仿宋" w:cs="仿宋"/>
                <w:b/>
                <w:bCs/>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三</w:t>
            </w:r>
          </w:p>
        </w:tc>
        <w:tc>
          <w:tcPr>
            <w:tcW w:w="8947" w:type="dxa"/>
            <w:gridSpan w:val="2"/>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5"/>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信用记录审查结果</w:t>
            </w:r>
          </w:p>
        </w:tc>
        <w:tc>
          <w:tcPr>
            <w:tcW w:w="6702" w:type="dxa"/>
            <w:vAlign w:val="center"/>
          </w:tcPr>
          <w:p>
            <w:pPr>
              <w:kinsoku/>
              <w:spacing w:line="360" w:lineRule="auto"/>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3" w:type="dxa"/>
            <w:vAlign w:val="center"/>
          </w:tcPr>
          <w:p>
            <w:pPr>
              <w:pStyle w:val="34"/>
              <w:numPr>
                <w:ilvl w:val="0"/>
                <w:numId w:val="5"/>
              </w:numPr>
              <w:kinsoku/>
              <w:spacing w:line="360" w:lineRule="auto"/>
              <w:ind w:left="0" w:firstLine="240" w:firstLineChars="100"/>
              <w:jc w:val="center"/>
              <w:rPr>
                <w:rFonts w:hint="eastAsia" w:ascii="仿宋" w:hAnsi="仿宋" w:eastAsia="仿宋" w:cs="仿宋"/>
                <w:bCs/>
                <w:color w:val="auto"/>
                <w:sz w:val="24"/>
                <w:szCs w:val="24"/>
              </w:rPr>
            </w:pPr>
          </w:p>
        </w:tc>
        <w:tc>
          <w:tcPr>
            <w:tcW w:w="2245" w:type="dxa"/>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非联合体</w:t>
            </w:r>
          </w:p>
        </w:tc>
        <w:tc>
          <w:tcPr>
            <w:tcW w:w="6702" w:type="dxa"/>
            <w:vAlign w:val="center"/>
          </w:tcPr>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50" w:type="dxa"/>
            <w:gridSpan w:val="3"/>
            <w:vAlign w:val="center"/>
          </w:tcPr>
          <w:p>
            <w:pPr>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注意事项：</w:t>
            </w:r>
          </w:p>
          <w:p>
            <w:pPr>
              <w:kinsoku/>
              <w:spacing w:line="360" w:lineRule="auto"/>
              <w:ind w:left="360" w:hanging="360" w:hangingChars="15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kinsoku/>
              <w:spacing w:line="360" w:lineRule="auto"/>
              <w:ind w:left="360" w:hanging="360" w:hangingChars="15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kinsoku/>
              <w:spacing w:line="360" w:lineRule="auto"/>
              <w:ind w:left="360" w:hanging="360" w:hangingChars="15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3.《基本存款账户信息》、《无重大违法记录声明》、《法定代表人委托授权书》、《法定代表人身份证明书》应按第五章《投标文件构成及格式》中给定的格式填写，并按要求签字、盖章。</w:t>
            </w:r>
          </w:p>
          <w:p>
            <w:pPr>
              <w:kinsoku/>
              <w:spacing w:line="360" w:lineRule="auto"/>
              <w:ind w:left="360" w:hanging="360" w:hangingChars="15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spacing w:line="360" w:lineRule="auto"/>
        <w:jc w:val="center"/>
        <w:rPr>
          <w:rFonts w:hint="eastAsia" w:ascii="仿宋" w:hAnsi="仿宋" w:eastAsia="仿宋" w:cs="仿宋"/>
          <w:b/>
          <w:bCs w:val="0"/>
          <w:color w:val="auto"/>
        </w:rPr>
      </w:pPr>
      <w:r>
        <w:rPr>
          <w:rFonts w:hint="eastAsia" w:ascii="仿宋" w:hAnsi="仿宋" w:eastAsia="仿宋" w:cs="仿宋"/>
          <w:b/>
          <w:bCs w:val="0"/>
          <w:color w:val="auto"/>
        </w:rPr>
        <w:t>七、评审方法和程序</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（一）评标方法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本项目采用综合评分法，即投标文件满足招标文件全部实质性要求，且按照评审因素的量化指标评审得分最高的供应商为中标候选人。</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（二）评标程序</w:t>
      </w:r>
    </w:p>
    <w:p>
      <w:pPr>
        <w:pStyle w:val="35"/>
        <w:spacing w:line="360" w:lineRule="auto"/>
        <w:ind w:firstLine="482"/>
        <w:rPr>
          <w:rFonts w:hint="eastAsia" w:ascii="仿宋" w:hAnsi="仿宋" w:eastAsia="仿宋" w:cs="仿宋"/>
          <w:b/>
          <w:color w:val="auto"/>
        </w:rPr>
      </w:pPr>
      <w:r>
        <w:rPr>
          <w:rFonts w:hint="eastAsia" w:ascii="仿宋" w:hAnsi="仿宋" w:eastAsia="仿宋" w:cs="仿宋"/>
          <w:b/>
          <w:color w:val="auto"/>
        </w:rPr>
        <w:t>1．组建评标委员会</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本项目评标委员会由2名采购人代表与5名技术及经济方面的专家组成。其中，技术、经济等方面的专家不少于成员总数的三分之二。评标专家从政府采购评审专家库内相关专业的专家名单中随机抽取。</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由采购代理机构组织评标委员会推选评标组长，采购人代表不得担任组长。</w:t>
      </w:r>
    </w:p>
    <w:p>
      <w:pPr>
        <w:pStyle w:val="35"/>
        <w:spacing w:line="360" w:lineRule="auto"/>
        <w:ind w:firstLine="482"/>
        <w:rPr>
          <w:rFonts w:hint="eastAsia" w:ascii="仿宋" w:hAnsi="仿宋" w:eastAsia="仿宋" w:cs="仿宋"/>
          <w:b/>
          <w:color w:val="auto"/>
        </w:rPr>
      </w:pPr>
      <w:r>
        <w:rPr>
          <w:rFonts w:hint="eastAsia" w:ascii="仿宋" w:hAnsi="仿宋" w:eastAsia="仿宋" w:cs="仿宋"/>
          <w:b/>
          <w:color w:val="auto"/>
        </w:rPr>
        <w:t>2．投标文件的符合性审查</w:t>
      </w:r>
    </w:p>
    <w:p>
      <w:pPr>
        <w:pStyle w:val="35"/>
        <w:spacing w:line="360" w:lineRule="auto"/>
        <w:ind w:firstLine="480"/>
        <w:rPr>
          <w:rFonts w:hint="eastAsia" w:ascii="仿宋" w:hAnsi="仿宋" w:eastAsia="仿宋" w:cs="仿宋"/>
          <w:bCs/>
          <w:color w:val="auto"/>
        </w:rPr>
      </w:pPr>
      <w:r>
        <w:rPr>
          <w:rFonts w:hint="eastAsia" w:ascii="仿宋" w:hAnsi="仿宋" w:eastAsia="仿宋" w:cs="仿宋"/>
          <w:color w:val="auto"/>
        </w:rPr>
        <w:t>供应商资格性审查通过后，</w:t>
      </w:r>
      <w:r>
        <w:rPr>
          <w:rFonts w:hint="eastAsia" w:ascii="仿宋" w:hAnsi="仿宋" w:eastAsia="仿宋" w:cs="仿宋"/>
          <w:bCs/>
          <w:color w:val="auto"/>
        </w:rPr>
        <w:t>评标委员会对符合资格的投标人的投标文件进行符合性审查，以确定其是否满足招标文件的实质性要求。</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对于投标文件中含义不明确、同类问题表述不一致或者有明显文字和计算错误的内容，评标委员会应当以书面形式要求投标人作出必要的澄清、说明或者补正。</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Lines="50" w:afterLines="50" w:line="360" w:lineRule="auto"/>
        <w:jc w:val="center"/>
        <w:outlineLvl w:val="3"/>
        <w:rPr>
          <w:rFonts w:hint="eastAsia" w:ascii="仿宋" w:hAnsi="仿宋" w:eastAsia="仿宋" w:cs="仿宋"/>
          <w:b/>
          <w:bCs/>
          <w:color w:val="auto"/>
          <w:sz w:val="28"/>
          <w:szCs w:val="28"/>
        </w:rPr>
      </w:pPr>
      <w:r>
        <w:rPr>
          <w:rFonts w:hint="eastAsia" w:ascii="仿宋" w:hAnsi="仿宋" w:eastAsia="仿宋" w:cs="仿宋"/>
          <w:b/>
          <w:bCs/>
          <w:color w:val="auto"/>
          <w:sz w:val="28"/>
          <w:szCs w:val="28"/>
        </w:rPr>
        <w:t>【符合性审查表】</w:t>
      </w:r>
    </w:p>
    <w:tbl>
      <w:tblPr>
        <w:tblStyle w:val="2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shd w:val="clear" w:color="auto" w:fill="auto"/>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68" w:type="dxa"/>
            <w:shd w:val="clear" w:color="auto" w:fill="auto"/>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符合性审查项</w:t>
            </w:r>
          </w:p>
        </w:tc>
        <w:tc>
          <w:tcPr>
            <w:tcW w:w="5944" w:type="dxa"/>
            <w:shd w:val="clear" w:color="auto" w:fill="auto"/>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与项目的一致性</w:t>
            </w:r>
          </w:p>
        </w:tc>
        <w:tc>
          <w:tcPr>
            <w:tcW w:w="5944" w:type="dxa"/>
            <w:vAlign w:val="center"/>
          </w:tcPr>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至少以下三处的项目名称、项目编号、标段（未分标段的除外）与本项目完全一致：</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（1）投标文件封面</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（2）投标函</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（3）法定代表人（主要负责人）委托授权书\身份证明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投标文件组成</w:t>
            </w:r>
          </w:p>
        </w:tc>
        <w:tc>
          <w:tcPr>
            <w:tcW w:w="594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投标文件</w:t>
            </w:r>
            <w:r>
              <w:rPr>
                <w:rFonts w:hint="eastAsia" w:ascii="仿宋" w:hAnsi="仿宋" w:eastAsia="仿宋" w:cs="仿宋"/>
                <w:color w:val="auto"/>
                <w:sz w:val="24"/>
                <w:szCs w:val="24"/>
              </w:rPr>
              <w:t>应包含以下部分：</w:t>
            </w:r>
          </w:p>
          <w:p>
            <w:pPr>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lang w:val="en-AU"/>
              </w:rPr>
              <w:t>投标</w:t>
            </w:r>
            <w:r>
              <w:rPr>
                <w:rFonts w:hint="eastAsia" w:ascii="仿宋" w:hAnsi="仿宋" w:eastAsia="仿宋" w:cs="仿宋"/>
                <w:bCs/>
                <w:color w:val="auto"/>
                <w:sz w:val="24"/>
                <w:szCs w:val="24"/>
              </w:rPr>
              <w:t>函</w:t>
            </w:r>
          </w:p>
          <w:p>
            <w:pPr>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lang w:val="en-AU"/>
              </w:rPr>
              <w:t>开标一览表</w:t>
            </w:r>
          </w:p>
          <w:p>
            <w:pPr>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资格证明文件</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（4）供应商概况</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（5）供应商参加政府采购活动承诺书</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（6）投标方案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签章</w:t>
            </w:r>
          </w:p>
        </w:tc>
        <w:tc>
          <w:tcPr>
            <w:tcW w:w="5944" w:type="dxa"/>
            <w:vAlign w:val="center"/>
          </w:tcPr>
          <w:p>
            <w:pPr>
              <w:spacing w:line="360" w:lineRule="auto"/>
              <w:jc w:val="both"/>
              <w:rPr>
                <w:rFonts w:hint="eastAsia" w:ascii="仿宋" w:hAnsi="仿宋" w:eastAsia="仿宋" w:cs="仿宋"/>
                <w:bCs/>
                <w:color w:val="auto"/>
                <w:sz w:val="24"/>
                <w:szCs w:val="24"/>
              </w:rPr>
            </w:pPr>
            <w:r>
              <w:rPr>
                <w:rFonts w:hint="eastAsia" w:ascii="仿宋" w:hAnsi="仿宋" w:eastAsia="仿宋" w:cs="仿宋"/>
                <w:color w:val="auto"/>
                <w:sz w:val="24"/>
                <w:szCs w:val="24"/>
              </w:rPr>
              <w:t>签章均符合招标文件要求，且无遗漏。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语言和计量单位</w:t>
            </w:r>
          </w:p>
        </w:tc>
        <w:tc>
          <w:tcPr>
            <w:tcW w:w="594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投标文件有效期</w:t>
            </w:r>
          </w:p>
        </w:tc>
        <w:tc>
          <w:tcPr>
            <w:tcW w:w="5944" w:type="dxa"/>
            <w:vAlign w:val="center"/>
          </w:tcPr>
          <w:p>
            <w:pPr>
              <w:spacing w:line="360" w:lineRule="auto"/>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投标报价</w:t>
            </w:r>
          </w:p>
        </w:tc>
        <w:tc>
          <w:tcPr>
            <w:tcW w:w="5944" w:type="dxa"/>
            <w:vAlign w:val="center"/>
          </w:tcPr>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同时满足以下条款：</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（1）货币单位符合招标文件要求</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（2）报价符合唯一性要求</w:t>
            </w:r>
          </w:p>
          <w:p>
            <w:pPr>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（3）未超出采购预算或最高限价</w:t>
            </w:r>
          </w:p>
          <w:p>
            <w:pPr>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（4）符合《开标一览表》的填报要求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实质性条款响应</w:t>
            </w:r>
          </w:p>
        </w:tc>
        <w:tc>
          <w:tcPr>
            <w:tcW w:w="594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完全响应招标文件要求的各项技术（参数）、商务实质性条款。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合同条款响应</w:t>
            </w:r>
          </w:p>
        </w:tc>
        <w:tc>
          <w:tcPr>
            <w:tcW w:w="594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完全理解并响应招标文件合同条款的要求，且未含有采购人不能接受的附加条件的。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bCs/>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电子投标文件雷同性分析</w:t>
            </w:r>
          </w:p>
        </w:tc>
        <w:tc>
          <w:tcPr>
            <w:tcW w:w="594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电子投标文件的“文件制作机器码”和“文件创建标识码”通过评标系统的雷同性分析。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hint="eastAsia" w:ascii="仿宋" w:hAnsi="仿宋" w:eastAsia="仿宋" w:cs="仿宋"/>
                <w:color w:val="auto"/>
                <w:sz w:val="24"/>
                <w:szCs w:val="24"/>
              </w:rPr>
            </w:pPr>
          </w:p>
        </w:tc>
        <w:tc>
          <w:tcPr>
            <w:tcW w:w="2268" w:type="dxa"/>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其他</w:t>
            </w:r>
          </w:p>
        </w:tc>
        <w:tc>
          <w:tcPr>
            <w:tcW w:w="594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完全理解并接受法律法规和招标文件对供应商合法经营的各类规约和责任义务要求，没有出现法律法规或招标文件规定的其他无效情形。</w:t>
            </w:r>
          </w:p>
        </w:tc>
      </w:tr>
    </w:tbl>
    <w:p>
      <w:pPr>
        <w:pStyle w:val="35"/>
        <w:spacing w:line="360" w:lineRule="auto"/>
        <w:ind w:firstLine="482"/>
        <w:rPr>
          <w:rFonts w:hint="eastAsia" w:ascii="仿宋" w:hAnsi="仿宋" w:eastAsia="仿宋" w:cs="仿宋"/>
          <w:b/>
          <w:color w:val="auto"/>
        </w:rPr>
      </w:pPr>
      <w:r>
        <w:rPr>
          <w:rFonts w:hint="eastAsia" w:ascii="仿宋" w:hAnsi="仿宋" w:eastAsia="仿宋" w:cs="仿宋"/>
          <w:b/>
          <w:color w:val="auto"/>
        </w:rPr>
        <w:t>3．综合比较与评价</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评标委员会按《评审要素及分值一览表》中规定的评标方法和标准，对通过符合性审查的投标文件进行商务和技术评估，综合比较与评价。</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出现下列情形的，供应商投标无效：</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（1）投标文件报价出现本章第五小节“投标报价”所列需要修正情形，但供应商对修正后的报价不予确认的；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kinsoku/>
        <w:spacing w:beforeLines="50" w:afterLines="50" w:line="360" w:lineRule="auto"/>
        <w:jc w:val="center"/>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【评审要素及分值一览表】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98"/>
        <w:gridCol w:w="1048"/>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5" w:type="dxa"/>
            <w:vMerge w:val="restart"/>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项别</w:t>
            </w:r>
          </w:p>
        </w:tc>
        <w:tc>
          <w:tcPr>
            <w:tcW w:w="1746" w:type="dxa"/>
            <w:gridSpan w:val="2"/>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总分值</w:t>
            </w:r>
          </w:p>
        </w:tc>
        <w:tc>
          <w:tcPr>
            <w:tcW w:w="6941" w:type="dxa"/>
            <w:vMerge w:val="restart"/>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698" w:type="dxa"/>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100</w:t>
            </w:r>
          </w:p>
        </w:tc>
        <w:tc>
          <w:tcPr>
            <w:tcW w:w="1048" w:type="dxa"/>
            <w:shd w:val="clear" w:color="auto" w:fill="auto"/>
            <w:vAlign w:val="center"/>
          </w:tcPr>
          <w:p>
            <w:pPr>
              <w:kinsoku/>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分项最高分值</w:t>
            </w:r>
          </w:p>
        </w:tc>
        <w:tc>
          <w:tcPr>
            <w:tcW w:w="6941"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价格</w:t>
            </w:r>
          </w:p>
        </w:tc>
        <w:tc>
          <w:tcPr>
            <w:tcW w:w="69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30</w:t>
            </w: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30</w:t>
            </w:r>
          </w:p>
        </w:tc>
        <w:tc>
          <w:tcPr>
            <w:tcW w:w="6941" w:type="dxa"/>
            <w:shd w:val="clear" w:color="auto" w:fill="auto"/>
            <w:vAlign w:val="center"/>
          </w:tcPr>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采用低价优先法计算即满足招标文件要求且投标价格最低的投标报价为评标基准价，其价格为30分。其他供应商的价格分按照下列公式计算：</w:t>
            </w:r>
          </w:p>
          <w:p>
            <w:pPr>
              <w:tabs>
                <w:tab w:val="left" w:pos="547"/>
              </w:tabs>
              <w:kinsoku/>
              <w:spacing w:line="360" w:lineRule="auto"/>
              <w:ind w:left="-96" w:firstLine="422"/>
              <w:jc w:val="both"/>
              <w:rPr>
                <w:rFonts w:hint="eastAsia" w:ascii="仿宋" w:hAnsi="仿宋" w:eastAsia="仿宋" w:cs="仿宋"/>
                <w:color w:val="auto"/>
                <w:sz w:val="24"/>
                <w:szCs w:val="24"/>
              </w:rPr>
            </w:pPr>
            <w:r>
              <w:rPr>
                <w:rFonts w:hint="eastAsia" w:ascii="仿宋" w:hAnsi="仿宋" w:eastAsia="仿宋" w:cs="仿宋"/>
                <w:b/>
                <w:color w:val="auto"/>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vMerge w:val="restart"/>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技术响应</w:t>
            </w:r>
          </w:p>
        </w:tc>
        <w:tc>
          <w:tcPr>
            <w:tcW w:w="698" w:type="dxa"/>
            <w:vMerge w:val="restart"/>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50</w:t>
            </w: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18</w:t>
            </w:r>
          </w:p>
        </w:tc>
        <w:tc>
          <w:tcPr>
            <w:tcW w:w="6941" w:type="dxa"/>
            <w:shd w:val="clear" w:color="auto" w:fill="auto"/>
            <w:vAlign w:val="center"/>
          </w:tcPr>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1.投标设备（产品）技术指标完全满足招标要求，无负偏离的，得基本分5分。参数每优于一项，加1分，最多加5分。（优于招标内容及要求指标项应提供详细说明并附详细佐证材料，否则视为无偏离）满分10分。</w:t>
            </w:r>
          </w:p>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2.设备（产品）选型合理、配置合理、性能稳定、具有较好的使用效果、质量符合国内相关标准，提供证明材料。（证明材料例如：第三方检测机构出具的检测报告、功能截图、认证证书等），根据其响应程度得0-5分。</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（1）证明资料能完整体现出硬件形态、产品性能、功能，产品质量有保证且产品质量更优于本次采购需求的，得（3-5分]；</w:t>
            </w:r>
          </w:p>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（2）证明资料能完整体现出硬件形态、产品性能、功能，产品质量有保证，基本满足采购需求的，得[1-3分]；</w:t>
            </w:r>
          </w:p>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3.供货渠道：提供产品及备品备件合法来源渠道证明材料（证明材料例如：销售协议、代理协议、原厂授权等），</w:t>
            </w:r>
            <w:r>
              <w:rPr>
                <w:rFonts w:hint="eastAsia" w:ascii="仿宋" w:hAnsi="仿宋" w:eastAsia="仿宋" w:cs="仿宋"/>
                <w:color w:val="auto"/>
                <w:sz w:val="24"/>
                <w:szCs w:val="24"/>
              </w:rPr>
              <w:t>根据其响应程度</w:t>
            </w:r>
            <w:r>
              <w:rPr>
                <w:rFonts w:hint="eastAsia" w:ascii="仿宋" w:hAnsi="仿宋" w:eastAsia="仿宋" w:cs="仿宋"/>
                <w:bCs/>
                <w:color w:val="auto"/>
                <w:sz w:val="24"/>
                <w:szCs w:val="24"/>
              </w:rPr>
              <w:t>得0-3分。</w:t>
            </w:r>
          </w:p>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（1）产品及备品备件货源正规可追溯、供应充足，产地及制造商明确有质量保证的，得（2-3分]；</w:t>
            </w:r>
          </w:p>
          <w:p>
            <w:pPr>
              <w:widowControl w:val="0"/>
              <w:kinsoku/>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（2）产品及备品备件货源正规可追溯的，得[1-2分]；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18</w:t>
            </w:r>
          </w:p>
        </w:tc>
        <w:tc>
          <w:tcPr>
            <w:tcW w:w="6941" w:type="dxa"/>
            <w:shd w:val="clear" w:color="auto" w:fill="auto"/>
            <w:vAlign w:val="center"/>
          </w:tcPr>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有完善的投标产品供货方案，项目技术支持、专业人员能力及调配保障措施，提供相关证明材料，根据其响应程度得0-18分。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（1）有具体可行的货物保证、数量、检验、方式、供货时间安排及相关技术、人员、财力方面的服务保障</w:t>
            </w:r>
            <w:r>
              <w:rPr>
                <w:rFonts w:hint="eastAsia" w:ascii="仿宋" w:hAnsi="仿宋" w:eastAsia="仿宋" w:cs="仿宋"/>
                <w:bCs/>
                <w:color w:val="auto"/>
                <w:sz w:val="24"/>
                <w:szCs w:val="24"/>
              </w:rPr>
              <w:t>，得</w:t>
            </w:r>
            <w:r>
              <w:rPr>
                <w:rFonts w:hint="eastAsia" w:ascii="仿宋" w:hAnsi="仿宋" w:eastAsia="仿宋" w:cs="仿宋"/>
                <w:color w:val="auto"/>
                <w:sz w:val="24"/>
                <w:szCs w:val="24"/>
              </w:rPr>
              <w:t>（10-18分]；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（2）有具体的供货方式、计划、安排，能基本满足项目需求</w:t>
            </w:r>
            <w:r>
              <w:rPr>
                <w:rFonts w:hint="eastAsia" w:ascii="仿宋" w:hAnsi="仿宋" w:eastAsia="仿宋" w:cs="仿宋"/>
                <w:bCs/>
                <w:color w:val="auto"/>
                <w:sz w:val="24"/>
                <w:szCs w:val="24"/>
              </w:rPr>
              <w:t>，得</w:t>
            </w:r>
            <w:r>
              <w:rPr>
                <w:rFonts w:hint="eastAsia" w:ascii="仿宋" w:hAnsi="仿宋" w:eastAsia="仿宋" w:cs="仿宋"/>
                <w:color w:val="auto"/>
                <w:sz w:val="24"/>
                <w:szCs w:val="24"/>
              </w:rPr>
              <w:t>（5-10分]；</w:t>
            </w:r>
          </w:p>
          <w:p>
            <w:pPr>
              <w:pStyle w:val="2"/>
              <w:spacing w:line="360" w:lineRule="auto"/>
              <w:rPr>
                <w:rFonts w:hint="eastAsia" w:ascii="仿宋" w:hAnsi="仿宋" w:eastAsia="仿宋" w:cs="仿宋"/>
                <w:color w:val="auto"/>
              </w:rPr>
            </w:pPr>
            <w:r>
              <w:rPr>
                <w:rFonts w:hint="eastAsia" w:ascii="仿宋" w:hAnsi="仿宋" w:eastAsia="仿宋" w:cs="仿宋"/>
                <w:color w:val="auto"/>
                <w:sz w:val="24"/>
                <w:szCs w:val="24"/>
              </w:rPr>
              <w:t>（3）供货方案及相关保障措施不完整、合理性低或不能较好的贴合实际情况的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7</w:t>
            </w:r>
          </w:p>
        </w:tc>
        <w:tc>
          <w:tcPr>
            <w:tcW w:w="6941" w:type="dxa"/>
            <w:shd w:val="clear" w:color="auto" w:fill="auto"/>
            <w:vAlign w:val="center"/>
          </w:tcPr>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运输及配送保障方案措施进行综合评定。根据其响应程度得0-7分。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（1）运输前检查，包装，拆卸，运输安全保障等各方面有具体措施、切实可行</w:t>
            </w:r>
            <w:r>
              <w:rPr>
                <w:rFonts w:hint="eastAsia" w:ascii="仿宋" w:hAnsi="仿宋" w:eastAsia="仿宋" w:cs="仿宋"/>
                <w:bCs/>
                <w:color w:val="auto"/>
                <w:sz w:val="24"/>
                <w:szCs w:val="24"/>
              </w:rPr>
              <w:t>，得</w:t>
            </w:r>
            <w:r>
              <w:rPr>
                <w:rFonts w:hint="eastAsia" w:ascii="仿宋" w:hAnsi="仿宋" w:eastAsia="仿宋" w:cs="仿宋"/>
                <w:color w:val="auto"/>
                <w:sz w:val="24"/>
                <w:szCs w:val="24"/>
              </w:rPr>
              <w:t>（5-7分]；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（2）货物拆卸，运输安全等方面能满足采购基本需求</w:t>
            </w:r>
            <w:r>
              <w:rPr>
                <w:rFonts w:hint="eastAsia" w:ascii="仿宋" w:hAnsi="仿宋" w:eastAsia="仿宋" w:cs="仿宋"/>
                <w:bCs/>
                <w:color w:val="auto"/>
                <w:sz w:val="24"/>
                <w:szCs w:val="24"/>
              </w:rPr>
              <w:t>，得</w:t>
            </w:r>
            <w:r>
              <w:rPr>
                <w:rFonts w:hint="eastAsia" w:ascii="仿宋" w:hAnsi="仿宋" w:eastAsia="仿宋" w:cs="仿宋"/>
                <w:color w:val="auto"/>
                <w:sz w:val="24"/>
                <w:szCs w:val="24"/>
              </w:rPr>
              <w:t>（3-5分]；</w:t>
            </w:r>
          </w:p>
          <w:p>
            <w:pPr>
              <w:kinsoku/>
              <w:spacing w:line="360" w:lineRule="auto"/>
              <w:jc w:val="both"/>
              <w:rPr>
                <w:rFonts w:hint="eastAsia" w:ascii="仿宋" w:hAnsi="仿宋" w:eastAsia="仿宋" w:cs="仿宋"/>
                <w:bCs/>
                <w:color w:val="auto"/>
                <w:sz w:val="24"/>
                <w:szCs w:val="24"/>
              </w:rPr>
            </w:pPr>
            <w:r>
              <w:rPr>
                <w:rFonts w:hint="eastAsia" w:ascii="仿宋" w:hAnsi="仿宋" w:eastAsia="仿宋" w:cs="仿宋"/>
                <w:color w:val="auto"/>
                <w:sz w:val="24"/>
                <w:szCs w:val="24"/>
              </w:rPr>
              <w:t>（3）上述方案计划及保障措施不具体、可行低或不能较好的贴合实际情况的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815"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7</w:t>
            </w:r>
          </w:p>
        </w:tc>
        <w:tc>
          <w:tcPr>
            <w:tcW w:w="6941" w:type="dxa"/>
            <w:shd w:val="clear" w:color="auto" w:fill="auto"/>
            <w:vAlign w:val="center"/>
          </w:tcPr>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具备完备的培训体系，提供完整、可行的培训方案，至少包括培训计划、培训对象、培训内容（内容至少包括安全使用方法，应急处理等），根据其响应程度得0-7分。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（1）上述方案详细、培训内容完整、培训计划安排合理、切实可行</w:t>
            </w:r>
            <w:r>
              <w:rPr>
                <w:rFonts w:hint="eastAsia" w:ascii="仿宋" w:hAnsi="仿宋" w:eastAsia="仿宋" w:cs="仿宋"/>
                <w:bCs/>
                <w:color w:val="auto"/>
                <w:sz w:val="24"/>
                <w:szCs w:val="24"/>
              </w:rPr>
              <w:t>，得</w:t>
            </w:r>
            <w:r>
              <w:rPr>
                <w:rFonts w:hint="eastAsia" w:ascii="仿宋" w:hAnsi="仿宋" w:eastAsia="仿宋" w:cs="仿宋"/>
                <w:color w:val="auto"/>
                <w:sz w:val="24"/>
                <w:szCs w:val="24"/>
              </w:rPr>
              <w:t>（5-7分]；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（2）上述方案不具体、没有明确全部培训内容，可行性一般</w:t>
            </w:r>
            <w:r>
              <w:rPr>
                <w:rFonts w:hint="eastAsia" w:ascii="仿宋" w:hAnsi="仿宋" w:eastAsia="仿宋" w:cs="仿宋"/>
                <w:bCs/>
                <w:color w:val="auto"/>
                <w:sz w:val="24"/>
                <w:szCs w:val="24"/>
              </w:rPr>
              <w:t>，得</w:t>
            </w:r>
            <w:r>
              <w:rPr>
                <w:rFonts w:hint="eastAsia" w:ascii="仿宋" w:hAnsi="仿宋" w:eastAsia="仿宋" w:cs="仿宋"/>
                <w:color w:val="auto"/>
                <w:sz w:val="24"/>
                <w:szCs w:val="24"/>
              </w:rPr>
              <w:t>（3-5分]；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（3）上述方案不具体、内容不全、可行性低或不能较好的贴合实际情况的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vMerge w:val="restart"/>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商务响应</w:t>
            </w:r>
          </w:p>
        </w:tc>
        <w:tc>
          <w:tcPr>
            <w:tcW w:w="698" w:type="dxa"/>
            <w:vMerge w:val="restart"/>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20</w:t>
            </w: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12</w:t>
            </w:r>
          </w:p>
        </w:tc>
        <w:tc>
          <w:tcPr>
            <w:tcW w:w="6941" w:type="dxa"/>
            <w:shd w:val="clear" w:color="auto" w:fill="auto"/>
            <w:vAlign w:val="center"/>
          </w:tcPr>
          <w:p>
            <w:pPr>
              <w:kinsoku/>
              <w:spacing w:line="360" w:lineRule="auto"/>
              <w:jc w:val="both"/>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售后服务能力：</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售后服务方案详细、具体、可行。包括本地化售后服务能力(提供相关证明材料) 、拟投入售后服务人员配置情况、应急措施和解决方案等。进行综合评价，根据其响应程度得0-12分。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有完善的本地化售后服务能力，售后人员保障落实到位(有具体的联系方式)，售后服务响应时间、售后团队解决问题能力、在出现故障时响应应急措施和解决方案等内容齐全合理、可操作性强，具有定制化服务</w:t>
            </w:r>
            <w:r>
              <w:rPr>
                <w:rFonts w:hint="eastAsia" w:ascii="仿宋" w:hAnsi="仿宋" w:eastAsia="仿宋" w:cs="仿宋"/>
                <w:bCs/>
                <w:color w:val="auto"/>
                <w:sz w:val="24"/>
                <w:szCs w:val="24"/>
              </w:rPr>
              <w:t>，得</w:t>
            </w:r>
            <w:r>
              <w:rPr>
                <w:rFonts w:hint="eastAsia" w:ascii="仿宋" w:hAnsi="仿宋" w:eastAsia="仿宋" w:cs="仿宋"/>
                <w:color w:val="auto"/>
                <w:sz w:val="24"/>
                <w:szCs w:val="24"/>
              </w:rPr>
              <w:t>（8-12分]；</w:t>
            </w:r>
          </w:p>
          <w:p>
            <w:pPr>
              <w:kinsoku/>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（2）具备本地化售后服务能力，有完整的售后服务架构。在出现故障时响应应急措施和解决方案能满足项目需求同时有亮点</w:t>
            </w:r>
            <w:r>
              <w:rPr>
                <w:rFonts w:hint="eastAsia" w:ascii="仿宋" w:hAnsi="仿宋" w:eastAsia="仿宋" w:cs="仿宋"/>
                <w:bCs/>
                <w:color w:val="auto"/>
                <w:sz w:val="24"/>
                <w:szCs w:val="24"/>
              </w:rPr>
              <w:t>，得</w:t>
            </w:r>
            <w:r>
              <w:rPr>
                <w:rFonts w:hint="eastAsia" w:ascii="仿宋" w:hAnsi="仿宋" w:eastAsia="仿宋" w:cs="仿宋"/>
                <w:color w:val="auto"/>
                <w:sz w:val="24"/>
                <w:szCs w:val="24"/>
              </w:rPr>
              <w:t>（4-8分]；</w:t>
            </w:r>
          </w:p>
          <w:p>
            <w:pPr>
              <w:kinsoku/>
              <w:spacing w:line="360" w:lineRule="auto"/>
              <w:jc w:val="both"/>
              <w:rPr>
                <w:rFonts w:hint="eastAsia" w:ascii="仿宋" w:hAnsi="仿宋" w:eastAsia="仿宋" w:cs="仿宋"/>
                <w:bCs/>
                <w:color w:val="auto"/>
                <w:sz w:val="24"/>
                <w:szCs w:val="24"/>
              </w:rPr>
            </w:pPr>
            <w:r>
              <w:rPr>
                <w:rFonts w:hint="eastAsia" w:ascii="仿宋" w:hAnsi="仿宋" w:eastAsia="仿宋" w:cs="仿宋"/>
                <w:color w:val="auto"/>
                <w:sz w:val="24"/>
                <w:szCs w:val="24"/>
              </w:rPr>
              <w:t>（3）上述售后服务方案不完整、合理性低或不能较好的贴合实际情况的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hint="eastAsia"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8</w:t>
            </w:r>
          </w:p>
        </w:tc>
        <w:tc>
          <w:tcPr>
            <w:tcW w:w="6941" w:type="dxa"/>
            <w:shd w:val="clear" w:color="auto" w:fill="auto"/>
            <w:vAlign w:val="center"/>
          </w:tcPr>
          <w:p>
            <w:pPr>
              <w:kinsoku/>
              <w:spacing w:line="360" w:lineRule="auto"/>
              <w:jc w:val="both"/>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类似业绩：2020年1月1日至今承接过类似项目，每提供1个得2分，最高得8分（提供中标通知书或合同，并加盖公章，不提供证明材料或不齐全的不得分）。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15" w:type="dxa"/>
            <w:shd w:val="clear" w:color="auto" w:fill="auto"/>
            <w:vAlign w:val="center"/>
          </w:tcPr>
          <w:p>
            <w:pPr>
              <w:kinsoku/>
              <w:spacing w:line="36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说明</w:t>
            </w:r>
          </w:p>
        </w:tc>
        <w:tc>
          <w:tcPr>
            <w:tcW w:w="8687" w:type="dxa"/>
            <w:gridSpan w:val="3"/>
            <w:shd w:val="clear" w:color="auto" w:fill="auto"/>
            <w:vAlign w:val="center"/>
          </w:tcPr>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1．评标委员会成员必须按照本评审要素据实打分，各类数字计算均按“四舍五入”保留小数点后两位；</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2．对小型和微型企业的报价给予10%的价格扣除，用扣除后的价格参与评审；未提供中小企业声明函的不享受价格折扣。</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3．本表分值区间符号“［”、“］”表示包含本数，“（”、“）”表示不包含本数。</w:t>
            </w:r>
          </w:p>
          <w:p>
            <w:pPr>
              <w:kinsoku/>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4.以上内容若出现缺项或只有标题无内容或内容有严重错误者，该项得0分。</w:t>
            </w:r>
          </w:p>
        </w:tc>
      </w:tr>
    </w:tbl>
    <w:p>
      <w:pPr>
        <w:rPr>
          <w:rFonts w:hint="eastAsia" w:ascii="仿宋" w:hAnsi="仿宋" w:eastAsia="仿宋" w:cs="仿宋"/>
        </w:rPr>
      </w:pPr>
    </w:p>
    <w:p>
      <w:pPr>
        <w:pStyle w:val="35"/>
        <w:kinsoku/>
        <w:spacing w:line="360" w:lineRule="auto"/>
        <w:ind w:firstLine="482"/>
        <w:rPr>
          <w:rFonts w:hint="eastAsia" w:ascii="仿宋" w:hAnsi="仿宋" w:eastAsia="仿宋" w:cs="仿宋"/>
          <w:b/>
          <w:color w:val="auto"/>
        </w:rPr>
      </w:pPr>
      <w:r>
        <w:rPr>
          <w:rFonts w:hint="eastAsia" w:ascii="仿宋" w:hAnsi="仿宋" w:eastAsia="仿宋" w:cs="仿宋"/>
          <w:b/>
          <w:color w:val="auto"/>
        </w:rPr>
        <w:t>4．推荐中标候选人</w:t>
      </w:r>
    </w:p>
    <w:p>
      <w:pPr>
        <w:pStyle w:val="35"/>
        <w:kinsoku/>
        <w:spacing w:line="360" w:lineRule="auto"/>
        <w:ind w:firstLine="480"/>
        <w:rPr>
          <w:rFonts w:hint="eastAsia" w:ascii="仿宋" w:hAnsi="仿宋" w:eastAsia="仿宋" w:cs="仿宋"/>
          <w:color w:val="auto"/>
        </w:rPr>
      </w:pPr>
      <w:r>
        <w:rPr>
          <w:rFonts w:hint="eastAsia" w:ascii="仿宋" w:hAnsi="仿宋" w:eastAsia="仿宋" w:cs="仿宋"/>
          <w:color w:val="auto"/>
        </w:rPr>
        <w:t>（1）采用最低评标价法的，评标结果按投标报价由低到高顺序排列。投标报价相同的并列。投标文件满足招标文件全部实质性要求且投标报价最低的投标人为排名第一的中标候选人。</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35"/>
        <w:spacing w:line="360" w:lineRule="auto"/>
        <w:ind w:firstLine="482"/>
        <w:rPr>
          <w:rFonts w:hint="eastAsia" w:ascii="仿宋" w:hAnsi="仿宋" w:eastAsia="仿宋" w:cs="仿宋"/>
          <w:b/>
          <w:color w:val="auto"/>
        </w:rPr>
      </w:pPr>
      <w:r>
        <w:rPr>
          <w:rFonts w:hint="eastAsia" w:ascii="仿宋" w:hAnsi="仿宋" w:eastAsia="仿宋" w:cs="仿宋"/>
          <w:b/>
          <w:color w:val="auto"/>
        </w:rPr>
        <w:t>5．编写评审报告</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评审报告是评标委员会根据全体评标成员签字的原始评标记录和评标结果编写的报告，其主要内容包括：</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（1）招标公告刊登的媒体名称、开标日期和地点；</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（2）投标供应商名单和评标委员会成员名单；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（3）评标方法；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（4）开标记录和评标情况及说明，包括投标无效供应商名单及原因；</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（5）评标结果，确定的中标候选人名单或者经采购人委托直接确定的中标供应商；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（6）其他需要说明的情况，包括评标过程中投标供应商根据评标委员会要求进行的澄清、说明或者补正，评标委员会成员的更换等。</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（三）评标争议处理规则</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（四）评审现场人员的保密责任</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（五）视同供应商串通投标的情形，其投标无效：</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1．不同供应商的投标文件由同一单位或者个人编制；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2．不同供应商委托同一单位或者个人办理投标事宜；</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3．不同供应商的投标文件载明的项目管理成员或者联系人员为同一人；</w:t>
      </w:r>
    </w:p>
    <w:p>
      <w:pPr>
        <w:pStyle w:val="35"/>
        <w:spacing w:line="360" w:lineRule="auto"/>
        <w:ind w:firstLine="480"/>
        <w:rPr>
          <w:rFonts w:hint="eastAsia" w:ascii="仿宋" w:hAnsi="仿宋" w:eastAsia="仿宋" w:cs="仿宋"/>
          <w:strike/>
          <w:color w:val="auto"/>
        </w:rPr>
      </w:pPr>
      <w:r>
        <w:rPr>
          <w:rFonts w:hint="eastAsia" w:ascii="仿宋" w:hAnsi="仿宋" w:eastAsia="仿宋" w:cs="仿宋"/>
          <w:color w:val="auto"/>
        </w:rPr>
        <w:t>4．不同供应商的投标文件异常一致或者投标报价呈规律性差异。</w:t>
      </w:r>
    </w:p>
    <w:p>
      <w:pPr>
        <w:pStyle w:val="4"/>
        <w:spacing w:line="360" w:lineRule="auto"/>
        <w:jc w:val="center"/>
        <w:rPr>
          <w:rFonts w:hint="eastAsia" w:ascii="仿宋" w:hAnsi="仿宋" w:eastAsia="仿宋" w:cs="仿宋"/>
          <w:b/>
          <w:bCs w:val="0"/>
          <w:color w:val="auto"/>
        </w:rPr>
      </w:pPr>
      <w:r>
        <w:rPr>
          <w:rFonts w:hint="eastAsia" w:ascii="仿宋" w:hAnsi="仿宋" w:eastAsia="仿宋" w:cs="仿宋"/>
          <w:b/>
          <w:bCs w:val="0"/>
          <w:color w:val="auto"/>
        </w:rPr>
        <w:t>八、中标</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1．采购代理机构在评标工作结束后2个工作日内将评审报告送采购人。</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3．采购代理机构将在中标供应商确定之日起2个工作日内，在【陕西省政府采购网</w:t>
      </w:r>
      <w:r>
        <w:rPr>
          <w:rStyle w:val="24"/>
          <w:rFonts w:hint="eastAsia" w:ascii="仿宋" w:hAnsi="仿宋" w:eastAsia="仿宋" w:cs="仿宋"/>
          <w:color w:val="auto"/>
        </w:rPr>
        <w:t>】</w:t>
      </w:r>
      <w:r>
        <w:rPr>
          <w:rFonts w:hint="eastAsia" w:ascii="仿宋" w:hAnsi="仿宋" w:eastAsia="仿宋" w:cs="仿宋"/>
          <w:color w:val="auto"/>
        </w:rPr>
        <w:t>（</w:t>
      </w:r>
      <w:r>
        <w:rPr>
          <w:rFonts w:hint="eastAsia" w:ascii="仿宋" w:hAnsi="仿宋" w:eastAsia="仿宋" w:cs="仿宋"/>
        </w:rPr>
        <w:fldChar w:fldCharType="begin"/>
      </w:r>
      <w:r>
        <w:rPr>
          <w:rFonts w:hint="eastAsia" w:ascii="仿宋" w:hAnsi="仿宋" w:eastAsia="仿宋" w:cs="仿宋"/>
        </w:rPr>
        <w:instrText xml:space="preserve"> HYPERLINK "http://www.ccgp-shaanxi.gov.cn/" </w:instrText>
      </w:r>
      <w:r>
        <w:rPr>
          <w:rFonts w:hint="eastAsia" w:ascii="仿宋" w:hAnsi="仿宋" w:eastAsia="仿宋" w:cs="仿宋"/>
        </w:rPr>
        <w:fldChar w:fldCharType="separate"/>
      </w:r>
      <w:r>
        <w:rPr>
          <w:rStyle w:val="24"/>
          <w:rFonts w:hint="eastAsia" w:ascii="仿宋" w:hAnsi="仿宋" w:eastAsia="仿宋" w:cs="仿宋"/>
          <w:color w:val="auto"/>
        </w:rPr>
        <w:t>http://www.ccgp-shaanxi.gov.cn/</w:t>
      </w:r>
      <w:r>
        <w:rPr>
          <w:rStyle w:val="24"/>
          <w:rFonts w:hint="eastAsia" w:ascii="仿宋" w:hAnsi="仿宋" w:eastAsia="仿宋" w:cs="仿宋"/>
          <w:color w:val="auto"/>
        </w:rPr>
        <w:fldChar w:fldCharType="end"/>
      </w:r>
      <w:r>
        <w:rPr>
          <w:rFonts w:hint="eastAsia" w:ascii="仿宋" w:hAnsi="仿宋" w:eastAsia="仿宋" w:cs="仿宋"/>
          <w:color w:val="auto"/>
        </w:rPr>
        <w:t>）上公布中标结果。中标公告期限为1个工作日。</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4．在公告中标结果的同时，采购代理机构将向中标供应商发出中标通知书，中标供应商在领取中标通知书时提供一正两副纸质投标文件用于备案。</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6．采购代理机构按照相关规定将评审报告送监管机构备案。</w:t>
      </w:r>
    </w:p>
    <w:p>
      <w:pPr>
        <w:pStyle w:val="4"/>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九、合同签订、履行及验收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招标文件、投标文件、澄清、补充合同等为政府采购合同的组成部分，具有同等法律效力。</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（一）签订政府采购合同</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1．自中标通知书发出之日起30日内，采购人与中标供应商应按招标文件和中标供应商投标文件的约定，签订书面合同。</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2．中标供应商拒绝与采购人签订合同的，采购人可以按照《政府采购法实施条例》第四十九条规定，确定下一候选人为中标供应商，也可以重新开展政府采购活动。</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4．质疑或者投诉事项可能影响中标、成交结果的，采购人应当暂停签订合同，已经签订合同的，应当中止履行合同。</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（二）合同公告及备案</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1．采购人应当自政府采购合同签订之日起2个工作日内，在陕西省政府采购网对合同进行公示，但政府采购合同中涉及国家秘密、商业秘密的内容除外。</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2．采购人应自合同签订之日起7个工作日内将政府采购合同报送监管机构备案。</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（三）履行合同</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1．合同一经签订，双方应严格履行合同规定的义务。</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2．在合同履行过程中，如发生合同纠纷，合同双方应按照《中华人民共和国民法典》及合同条款的有关规定进行处理。</w:t>
      </w:r>
    </w:p>
    <w:p>
      <w:pPr>
        <w:pStyle w:val="5"/>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（四）验收或考核</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1．采购人严格按照国家相关法律法规的要求及招标文件的要求组织验收或考核。</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2．采购人按《关于促进政府采购公平竞争优化营商环境的通知》（财库〔2019〕38号）、《保障中小企业款项支付条例》（国务院令第728号）等规定及采购合同的约定进行支付合同款项。</w:t>
      </w:r>
    </w:p>
    <w:p>
      <w:pPr>
        <w:pStyle w:val="4"/>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十、废标及重新招标</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2．根据《政府采购法》第三十六条规定，在招标采购中，出现下列情形之一的，本项目按废标处理：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（1）出现影响采购公正的违法、违规行为的；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（2）供应商的报价均超过了采购预算，采购人不能支付的；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（3）因重大变故，采购任务取消的。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废标后，除采购任务取消外，本项目将重新组织招标。</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4．招标文件未明确的其他事项，按《政府采购法》及其相关法律法规执行。</w:t>
      </w:r>
    </w:p>
    <w:p>
      <w:pPr>
        <w:kinsoku/>
        <w:autoSpaceDE/>
        <w:autoSpaceDN/>
        <w:adjustRightInd/>
        <w:snapToGrid/>
        <w:spacing w:line="360" w:lineRule="auto"/>
        <w:textAlignment w:val="auto"/>
        <w:rPr>
          <w:rFonts w:hint="eastAsia" w:ascii="仿宋" w:hAnsi="仿宋" w:eastAsia="仿宋" w:cs="仿宋"/>
          <w:color w:val="auto"/>
          <w:sz w:val="24"/>
          <w:szCs w:val="24"/>
        </w:rPr>
        <w:sectPr>
          <w:headerReference r:id="rId5" w:type="default"/>
          <w:footerReference r:id="rId6" w:type="default"/>
          <w:pgSz w:w="11906" w:h="16839"/>
          <w:pgMar w:top="1156" w:right="1134" w:bottom="1142" w:left="1134" w:header="882" w:footer="981" w:gutter="0"/>
          <w:pgNumType w:fmt="decimal" w:start="1"/>
          <w:cols w:space="720" w:num="1"/>
        </w:sectPr>
      </w:pPr>
    </w:p>
    <w:p>
      <w:pPr>
        <w:kinsoku/>
        <w:autoSpaceDE/>
        <w:autoSpaceDN/>
        <w:adjustRightInd/>
        <w:snapToGrid/>
        <w:spacing w:line="360" w:lineRule="auto"/>
        <w:jc w:val="center"/>
        <w:textAlignment w:val="auto"/>
        <w:rPr>
          <w:rFonts w:hint="eastAsia" w:ascii="仿宋" w:hAnsi="仿宋" w:eastAsia="仿宋" w:cs="仿宋"/>
          <w:b/>
          <w:bCs/>
          <w:color w:val="auto"/>
          <w:sz w:val="30"/>
          <w:szCs w:val="30"/>
        </w:rPr>
      </w:pPr>
      <w:bookmarkStart w:id="5" w:name="_Toc6899"/>
      <w:r>
        <w:rPr>
          <w:rFonts w:hint="eastAsia" w:ascii="仿宋" w:hAnsi="仿宋" w:eastAsia="仿宋" w:cs="仿宋"/>
          <w:b/>
          <w:bCs/>
          <w:color w:val="auto"/>
          <w:sz w:val="30"/>
          <w:szCs w:val="30"/>
        </w:rPr>
        <w:t>第三章 招标内容及要求</w:t>
      </w:r>
      <w:bookmarkEnd w:id="5"/>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一、项目概况</w:t>
      </w:r>
    </w:p>
    <w:p>
      <w:pPr>
        <w:spacing w:line="360" w:lineRule="auto"/>
        <w:ind w:firstLine="480" w:firstLineChars="200"/>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eastAsia="zh-CN"/>
        </w:rPr>
        <w:t>路灯维护材料采购项目</w:t>
      </w:r>
      <w:r>
        <w:rPr>
          <w:rFonts w:hint="eastAsia" w:ascii="仿宋" w:hAnsi="仿宋" w:eastAsia="仿宋" w:cs="仿宋"/>
          <w:color w:val="auto"/>
          <w:sz w:val="24"/>
          <w:szCs w:val="24"/>
        </w:rPr>
        <w:t>包括13个标段，分别是光源电器、特殊光源电器、电线电缆、其它材料、变压器、LED庭院灯、80W-120W-LED路灯、160W-LED路灯、LED隧道灯、路灯自动化监控配件、驱动电源、金属灯杆防涂鸦抗粘贴材料、箱变景观护栏。</w:t>
      </w:r>
      <w:r>
        <w:rPr>
          <w:rFonts w:hint="eastAsia" w:ascii="仿宋" w:hAnsi="仿宋" w:eastAsia="仿宋" w:cs="仿宋"/>
          <w:color w:val="auto"/>
          <w:sz w:val="24"/>
          <w:szCs w:val="24"/>
          <w:lang w:eastAsia="zh-CN"/>
        </w:rPr>
        <w:t>路灯维护材料采购项目(二次)</w:t>
      </w:r>
      <w:r>
        <w:rPr>
          <w:rFonts w:hint="eastAsia" w:ascii="仿宋" w:hAnsi="仿宋" w:eastAsia="仿宋" w:cs="仿宋"/>
          <w:color w:val="auto"/>
          <w:sz w:val="24"/>
          <w:szCs w:val="24"/>
          <w:lang w:val="en-US" w:eastAsia="zh-CN"/>
        </w:rPr>
        <w:t>包括3个标段，分别是</w:t>
      </w:r>
      <w:r>
        <w:rPr>
          <w:rFonts w:hint="eastAsia" w:ascii="仿宋" w:hAnsi="仿宋" w:eastAsia="仿宋" w:cs="仿宋"/>
          <w:color w:val="auto"/>
          <w:sz w:val="24"/>
          <w:szCs w:val="24"/>
        </w:rPr>
        <w:t>电线电缆、路灯自动化监控配件、驱动电源</w:t>
      </w:r>
      <w:r>
        <w:rPr>
          <w:rFonts w:hint="eastAsia" w:ascii="仿宋" w:hAnsi="仿宋" w:eastAsia="仿宋" w:cs="仿宋"/>
          <w:color w:val="auto"/>
          <w:sz w:val="24"/>
          <w:szCs w:val="24"/>
          <w:lang w:eastAsia="zh-CN"/>
        </w:rPr>
        <w:t>。</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二、商务要求</w:t>
      </w:r>
    </w:p>
    <w:tbl>
      <w:tblPr>
        <w:tblStyle w:val="21"/>
        <w:tblW w:w="14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061"/>
        <w:gridCol w:w="2814"/>
        <w:gridCol w:w="1673"/>
        <w:gridCol w:w="1876"/>
        <w:gridCol w:w="1775"/>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30"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标段编号</w:t>
            </w:r>
          </w:p>
        </w:tc>
        <w:tc>
          <w:tcPr>
            <w:tcW w:w="2061"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标段名称</w:t>
            </w:r>
          </w:p>
        </w:tc>
        <w:tc>
          <w:tcPr>
            <w:tcW w:w="2814"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交付期/工期</w:t>
            </w:r>
          </w:p>
        </w:tc>
        <w:tc>
          <w:tcPr>
            <w:tcW w:w="1673"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质保期</w:t>
            </w:r>
          </w:p>
        </w:tc>
        <w:tc>
          <w:tcPr>
            <w:tcW w:w="1876"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交货地点</w:t>
            </w:r>
          </w:p>
        </w:tc>
        <w:tc>
          <w:tcPr>
            <w:tcW w:w="1775"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验收</w:t>
            </w:r>
          </w:p>
        </w:tc>
        <w:tc>
          <w:tcPr>
            <w:tcW w:w="2468" w:type="dxa"/>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930"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p>
        </w:tc>
        <w:tc>
          <w:tcPr>
            <w:tcW w:w="2061"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电线电缆</w:t>
            </w:r>
          </w:p>
        </w:tc>
        <w:tc>
          <w:tcPr>
            <w:tcW w:w="2814"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合同签订之日起2个月内</w:t>
            </w:r>
          </w:p>
        </w:tc>
        <w:tc>
          <w:tcPr>
            <w:tcW w:w="1673"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2年</w:t>
            </w:r>
          </w:p>
        </w:tc>
        <w:tc>
          <w:tcPr>
            <w:tcW w:w="1876"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甲方指定地点</w:t>
            </w:r>
          </w:p>
        </w:tc>
        <w:tc>
          <w:tcPr>
            <w:tcW w:w="1775"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按合同约定</w:t>
            </w:r>
          </w:p>
        </w:tc>
        <w:tc>
          <w:tcPr>
            <w:tcW w:w="2468" w:type="dxa"/>
            <w:vAlign w:val="center"/>
          </w:tcPr>
          <w:p>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按招标文件执行</w:t>
            </w:r>
          </w:p>
        </w:tc>
      </w:tr>
    </w:tbl>
    <w:p>
      <w:pPr>
        <w:spacing w:line="360" w:lineRule="auto"/>
        <w:rPr>
          <w:rFonts w:hint="eastAsia" w:ascii="仿宋" w:hAnsi="仿宋" w:eastAsia="仿宋" w:cs="仿宋"/>
          <w:b/>
          <w:bCs/>
          <w:color w:val="FF0000"/>
          <w:sz w:val="24"/>
          <w:szCs w:val="24"/>
        </w:rPr>
        <w:sectPr>
          <w:pgSz w:w="16839" w:h="11906" w:orient="landscape"/>
          <w:pgMar w:top="1134" w:right="1156" w:bottom="1134" w:left="1142" w:header="882" w:footer="981" w:gutter="0"/>
          <w:pgNumType w:fmt="decimal"/>
          <w:cols w:space="720" w:num="1"/>
        </w:sectPr>
      </w:pPr>
      <w:r>
        <w:rPr>
          <w:rFonts w:hint="eastAsia" w:ascii="仿宋" w:hAnsi="仿宋" w:eastAsia="仿宋" w:cs="仿宋"/>
          <w:b/>
          <w:bCs/>
          <w:color w:val="FF0000"/>
          <w:sz w:val="24"/>
          <w:szCs w:val="24"/>
        </w:rPr>
        <w:br w:type="page"/>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三、本项目参数</w:t>
      </w:r>
    </w:p>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标段</w:t>
      </w:r>
      <w:r>
        <w:rPr>
          <w:rFonts w:hint="eastAsia" w:ascii="仿宋" w:hAnsi="仿宋" w:eastAsia="仿宋" w:cs="仿宋"/>
          <w:b/>
          <w:bCs/>
          <w:color w:val="auto"/>
          <w:sz w:val="24"/>
          <w:szCs w:val="24"/>
          <w:lang w:val="en-US" w:eastAsia="zh-CN"/>
        </w:rPr>
        <w:t>名称</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电线电缆</w:t>
      </w:r>
    </w:p>
    <w:tbl>
      <w:tblPr>
        <w:tblStyle w:val="20"/>
        <w:tblW w:w="4885" w:type="pct"/>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5992"/>
        <w:gridCol w:w="2233"/>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4" w:type="pct"/>
            <w:noWrap/>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材料名称</w:t>
            </w:r>
          </w:p>
        </w:tc>
        <w:tc>
          <w:tcPr>
            <w:tcW w:w="2077" w:type="pct"/>
            <w:noWrap/>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规格型号</w:t>
            </w:r>
          </w:p>
        </w:tc>
        <w:tc>
          <w:tcPr>
            <w:tcW w:w="774" w:type="pct"/>
            <w:noWrap/>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023" w:type="pct"/>
            <w:noWrap/>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YJV-0.6/1kV-4×35+1×16mm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YJV-0.6/1kV-4×25+1×16mm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YJV-0.6/1kV-4×70+1×35mm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YJV-0.6/1kV-5×16mm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YJV-0.6/1kV-3×4mm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YC-450/750V -2×2.5mm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YC-450/750V-4×10mm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YC-450/750V-3×10+1×6mm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铜电缆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YC-450/750V-3×16+1×10mm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铝电缆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YJLV-0.6/1kV-2×10mm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铝电缆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YJLV-0.6/1kV-4×25+1×16mm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铝电缆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YJLV-0.6/1kV-1×4mm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铝电缆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YJLV-0.6/1kV-1×16mm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铝电缆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YJLV-0.6/1kV-1×25mm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铝电缆</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YJLV-0.6/1kV-1×35mm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BV-2.5mm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BV-4mm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BVVB-2×4mm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FVL-2.5mm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FVL-4mm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FVL-6mm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BLVVB-3×4mm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BLVVB-3×6mm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BVR-1×25mm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BVR-1×35mm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2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w:t>
            </w:r>
          </w:p>
        </w:tc>
        <w:tc>
          <w:tcPr>
            <w:tcW w:w="2077"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BVR-1×50mm</w:t>
            </w:r>
            <w:r>
              <w:rPr>
                <w:rFonts w:hint="eastAsia" w:ascii="仿宋" w:hAnsi="仿宋" w:eastAsia="仿宋" w:cs="仿宋"/>
                <w:color w:val="auto"/>
                <w:sz w:val="24"/>
                <w:szCs w:val="24"/>
                <w:vertAlign w:val="superscript"/>
              </w:rPr>
              <w:t>2</w:t>
            </w:r>
          </w:p>
        </w:tc>
        <w:tc>
          <w:tcPr>
            <w:tcW w:w="774"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1023" w:type="pct"/>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250</w:t>
            </w:r>
          </w:p>
        </w:tc>
      </w:tr>
    </w:tbl>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备注：</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符合国标要求</w:t>
      </w:r>
      <w:r>
        <w:rPr>
          <w:rFonts w:hint="eastAsia" w:ascii="仿宋" w:hAnsi="仿宋" w:eastAsia="仿宋" w:cs="仿宋"/>
          <w:b/>
          <w:bCs/>
          <w:color w:val="auto"/>
          <w:sz w:val="24"/>
          <w:szCs w:val="24"/>
          <w:lang w:eastAsia="zh-CN"/>
        </w:rPr>
        <w:t>；</w:t>
      </w:r>
    </w:p>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2.以上参数中“</w:t>
      </w:r>
      <w:r>
        <w:rPr>
          <w:rFonts w:hint="eastAsia" w:ascii="仿宋" w:hAnsi="仿宋" w:eastAsia="仿宋" w:cs="仿宋"/>
          <w:color w:val="auto"/>
          <w:sz w:val="24"/>
          <w:szCs w:val="24"/>
        </w:rPr>
        <w:t>★</w:t>
      </w:r>
      <w:r>
        <w:rPr>
          <w:rFonts w:hint="eastAsia" w:ascii="仿宋" w:hAnsi="仿宋" w:eastAsia="仿宋" w:cs="仿宋"/>
          <w:b/>
          <w:bCs/>
          <w:color w:val="auto"/>
          <w:sz w:val="24"/>
          <w:szCs w:val="24"/>
          <w:lang w:val="en-US" w:eastAsia="zh-CN"/>
        </w:rPr>
        <w:t>”为核心产品。</w:t>
      </w:r>
    </w:p>
    <w:p>
      <w:pPr>
        <w:spacing w:line="480" w:lineRule="auto"/>
        <w:ind w:firstLine="602" w:firstLineChars="200"/>
        <w:rPr>
          <w:rFonts w:hint="eastAsia" w:ascii="仿宋" w:hAnsi="仿宋" w:eastAsia="仿宋" w:cs="仿宋"/>
          <w:b/>
          <w:bCs/>
          <w:color w:val="auto"/>
          <w:sz w:val="30"/>
          <w:szCs w:val="30"/>
        </w:rPr>
        <w:sectPr>
          <w:footerReference r:id="rId7" w:type="default"/>
          <w:pgSz w:w="16839" w:h="11906" w:orient="landscape"/>
          <w:pgMar w:top="1134" w:right="1156" w:bottom="1134" w:left="1142" w:header="882" w:footer="981" w:gutter="0"/>
          <w:pgNumType w:fmt="decimal"/>
          <w:cols w:space="720" w:num="1"/>
        </w:sectPr>
      </w:pPr>
    </w:p>
    <w:p>
      <w:pPr>
        <w:spacing w:line="480" w:lineRule="auto"/>
        <w:jc w:val="center"/>
        <w:outlineLvl w:val="0"/>
        <w:rPr>
          <w:rFonts w:hint="eastAsia" w:ascii="仿宋" w:hAnsi="仿宋" w:eastAsia="仿宋" w:cs="仿宋"/>
          <w:b/>
          <w:bCs/>
          <w:color w:val="auto"/>
          <w:sz w:val="30"/>
          <w:szCs w:val="30"/>
        </w:rPr>
      </w:pPr>
      <w:bookmarkStart w:id="6" w:name="_Toc22482"/>
      <w:r>
        <w:rPr>
          <w:rFonts w:hint="eastAsia" w:ascii="仿宋" w:hAnsi="仿宋" w:eastAsia="仿宋" w:cs="仿宋"/>
          <w:b/>
          <w:bCs/>
          <w:color w:val="auto"/>
          <w:sz w:val="30"/>
          <w:szCs w:val="30"/>
        </w:rPr>
        <w:t>第四章 合同文本</w:t>
      </w:r>
      <w:bookmarkEnd w:id="6"/>
    </w:p>
    <w:p>
      <w:pPr>
        <w:pStyle w:val="11"/>
        <w:kinsoku/>
        <w:spacing w:line="360" w:lineRule="auto"/>
        <w:jc w:val="center"/>
        <w:rPr>
          <w:rFonts w:hint="eastAsia" w:ascii="仿宋" w:hAnsi="仿宋" w:eastAsia="仿宋" w:cs="仿宋"/>
          <w:color w:val="auto"/>
          <w:sz w:val="29"/>
          <w:szCs w:val="29"/>
        </w:rPr>
      </w:pPr>
      <w:r>
        <w:rPr>
          <w:rFonts w:hint="eastAsia" w:ascii="仿宋" w:hAnsi="仿宋" w:eastAsia="仿宋" w:cs="仿宋"/>
          <w:color w:val="auto"/>
          <w:sz w:val="28"/>
          <w:szCs w:val="28"/>
        </w:rPr>
        <w:t>（本合同仅供参考，具体已采购人提供为准；在成交结果公示后30天内，签订采购合同。）</w:t>
      </w:r>
    </w:p>
    <w:p>
      <w:pPr>
        <w:kinsoku/>
        <w:spacing w:before="59" w:line="360" w:lineRule="auto"/>
        <w:jc w:val="right"/>
        <w:rPr>
          <w:rFonts w:hint="eastAsia" w:ascii="仿宋" w:hAnsi="仿宋" w:eastAsia="仿宋" w:cs="仿宋"/>
          <w:color w:val="auto"/>
          <w:sz w:val="29"/>
          <w:szCs w:val="29"/>
        </w:rPr>
      </w:pP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政府采购项目</w:t>
      </w:r>
    </w:p>
    <w:p>
      <w:pPr>
        <w:jc w:val="center"/>
        <w:rPr>
          <w:rFonts w:hint="eastAsia" w:ascii="仿宋" w:hAnsi="仿宋" w:eastAsia="仿宋" w:cs="仿宋"/>
          <w:color w:val="auto"/>
          <w:sz w:val="52"/>
          <w:szCs w:val="52"/>
        </w:rPr>
      </w:pPr>
    </w:p>
    <w:p>
      <w:pPr>
        <w:jc w:val="center"/>
        <w:rPr>
          <w:rFonts w:hint="eastAsia" w:ascii="仿宋" w:hAnsi="仿宋" w:eastAsia="仿宋" w:cs="仿宋"/>
          <w:color w:val="auto"/>
          <w:sz w:val="52"/>
          <w:szCs w:val="52"/>
        </w:rPr>
      </w:pPr>
    </w:p>
    <w:p>
      <w:pPr>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rPr>
        <w:t>西安市城市照明管护中心</w:t>
      </w:r>
    </w:p>
    <w:p>
      <w:pPr>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lang w:eastAsia="zh-CN"/>
        </w:rPr>
        <w:t>路灯维护材料采购项目(二次)</w:t>
      </w:r>
      <w:r>
        <w:rPr>
          <w:rFonts w:hint="eastAsia" w:ascii="仿宋" w:hAnsi="仿宋" w:eastAsia="仿宋" w:cs="仿宋"/>
          <w:b/>
          <w:bCs/>
          <w:color w:val="auto"/>
          <w:sz w:val="52"/>
          <w:szCs w:val="52"/>
        </w:rPr>
        <w:t>合同</w:t>
      </w:r>
    </w:p>
    <w:p>
      <w:pPr>
        <w:jc w:val="center"/>
        <w:rPr>
          <w:rFonts w:hint="eastAsia" w:ascii="仿宋" w:hAnsi="仿宋" w:eastAsia="仿宋" w:cs="仿宋"/>
          <w:color w:val="auto"/>
          <w:sz w:val="30"/>
          <w:szCs w:val="30"/>
        </w:rPr>
      </w:pPr>
      <w:r>
        <w:rPr>
          <w:rFonts w:hint="eastAsia" w:ascii="仿宋" w:hAnsi="仿宋" w:eastAsia="仿宋" w:cs="仿宋"/>
          <w:color w:val="auto"/>
          <w:sz w:val="30"/>
          <w:szCs w:val="30"/>
        </w:rPr>
        <w:t>（编号：）</w:t>
      </w:r>
    </w:p>
    <w:p>
      <w:pPr>
        <w:jc w:val="center"/>
        <w:rPr>
          <w:rFonts w:hint="eastAsia" w:ascii="仿宋" w:hAnsi="仿宋" w:eastAsia="仿宋" w:cs="仿宋"/>
          <w:color w:val="auto"/>
          <w:sz w:val="30"/>
          <w:szCs w:val="30"/>
        </w:rPr>
      </w:pPr>
    </w:p>
    <w:p>
      <w:pPr>
        <w:jc w:val="center"/>
        <w:rPr>
          <w:rFonts w:hint="eastAsia" w:ascii="仿宋" w:hAnsi="仿宋" w:eastAsia="仿宋" w:cs="仿宋"/>
          <w:color w:val="auto"/>
          <w:sz w:val="30"/>
          <w:szCs w:val="30"/>
        </w:rPr>
      </w:pPr>
    </w:p>
    <w:p>
      <w:pPr>
        <w:jc w:val="center"/>
        <w:rPr>
          <w:rFonts w:hint="eastAsia" w:ascii="仿宋" w:hAnsi="仿宋" w:eastAsia="仿宋" w:cs="仿宋"/>
          <w:color w:val="auto"/>
          <w:sz w:val="30"/>
          <w:szCs w:val="30"/>
        </w:rPr>
      </w:pPr>
    </w:p>
    <w:p>
      <w:pPr>
        <w:jc w:val="center"/>
        <w:rPr>
          <w:rFonts w:hint="eastAsia" w:ascii="仿宋" w:hAnsi="仿宋" w:eastAsia="仿宋" w:cs="仿宋"/>
          <w:color w:val="auto"/>
          <w:sz w:val="30"/>
          <w:szCs w:val="30"/>
        </w:rPr>
      </w:pPr>
    </w:p>
    <w:p>
      <w:pPr>
        <w:jc w:val="center"/>
        <w:rPr>
          <w:rFonts w:hint="eastAsia" w:ascii="仿宋" w:hAnsi="仿宋" w:eastAsia="仿宋" w:cs="仿宋"/>
          <w:color w:val="auto"/>
          <w:sz w:val="30"/>
          <w:szCs w:val="30"/>
        </w:rPr>
      </w:pPr>
    </w:p>
    <w:p>
      <w:pPr>
        <w:jc w:val="center"/>
        <w:rPr>
          <w:rFonts w:hint="eastAsia" w:ascii="仿宋" w:hAnsi="仿宋" w:eastAsia="仿宋" w:cs="仿宋"/>
          <w:color w:val="auto"/>
          <w:sz w:val="28"/>
          <w:szCs w:val="28"/>
        </w:rPr>
      </w:pPr>
    </w:p>
    <w:p>
      <w:pPr>
        <w:jc w:val="center"/>
        <w:rPr>
          <w:rFonts w:hint="eastAsia" w:ascii="仿宋" w:hAnsi="仿宋" w:eastAsia="仿宋" w:cs="仿宋"/>
          <w:color w:val="auto"/>
          <w:sz w:val="30"/>
          <w:szCs w:val="30"/>
        </w:rPr>
      </w:pPr>
    </w:p>
    <w:p>
      <w:pPr>
        <w:pStyle w:val="2"/>
        <w:rPr>
          <w:rFonts w:hint="eastAsia" w:ascii="仿宋" w:hAnsi="仿宋" w:eastAsia="仿宋" w:cs="仿宋"/>
          <w:color w:val="auto"/>
          <w:sz w:val="30"/>
          <w:szCs w:val="30"/>
        </w:rPr>
      </w:pPr>
    </w:p>
    <w:p>
      <w:pPr>
        <w:rPr>
          <w:rFonts w:hint="eastAsia" w:ascii="仿宋" w:hAnsi="仿宋" w:eastAsia="仿宋" w:cs="仿宋"/>
          <w:color w:val="auto"/>
          <w:sz w:val="30"/>
          <w:szCs w:val="30"/>
        </w:rPr>
      </w:pPr>
    </w:p>
    <w:p>
      <w:pPr>
        <w:pStyle w:val="2"/>
        <w:rPr>
          <w:rFonts w:hint="eastAsia" w:ascii="仿宋" w:hAnsi="仿宋" w:eastAsia="仿宋" w:cs="仿宋"/>
        </w:rPr>
      </w:pPr>
    </w:p>
    <w:p>
      <w:pPr>
        <w:jc w:val="center"/>
        <w:rPr>
          <w:rFonts w:hint="eastAsia" w:ascii="仿宋" w:hAnsi="仿宋" w:eastAsia="仿宋" w:cs="仿宋"/>
          <w:color w:val="auto"/>
          <w:sz w:val="30"/>
          <w:szCs w:val="30"/>
        </w:rPr>
      </w:pPr>
    </w:p>
    <w:p>
      <w:pPr>
        <w:ind w:firstLine="2080" w:firstLineChars="650"/>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甲方： </w:t>
      </w:r>
    </w:p>
    <w:p>
      <w:pPr>
        <w:tabs>
          <w:tab w:val="left" w:pos="480"/>
        </w:tabs>
        <w:ind w:firstLine="2080" w:firstLineChars="650"/>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乙方： </w:t>
      </w:r>
    </w:p>
    <w:p>
      <w:pPr>
        <w:jc w:val="center"/>
        <w:rPr>
          <w:rFonts w:hint="eastAsia" w:ascii="仿宋" w:hAnsi="仿宋" w:eastAsia="仿宋" w:cs="仿宋"/>
          <w:color w:val="auto"/>
          <w:sz w:val="30"/>
          <w:szCs w:val="30"/>
        </w:rPr>
      </w:pPr>
    </w:p>
    <w:p>
      <w:pPr>
        <w:jc w:val="center"/>
        <w:rPr>
          <w:rFonts w:hint="eastAsia" w:ascii="仿宋" w:hAnsi="仿宋" w:eastAsia="仿宋" w:cs="仿宋"/>
          <w:b/>
          <w:bCs/>
          <w:color w:val="auto"/>
          <w:sz w:val="32"/>
          <w:szCs w:val="32"/>
        </w:rPr>
      </w:pPr>
    </w:p>
    <w:p>
      <w:pPr>
        <w:jc w:val="center"/>
        <w:rPr>
          <w:rFonts w:hint="eastAsia" w:ascii="仿宋" w:hAnsi="仿宋" w:eastAsia="仿宋" w:cs="仿宋"/>
          <w:b/>
          <w:bCs/>
          <w:color w:val="auto"/>
          <w:sz w:val="32"/>
          <w:szCs w:val="32"/>
        </w:rPr>
      </w:pPr>
    </w:p>
    <w:p>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2023年   月</w:t>
      </w:r>
    </w:p>
    <w:p>
      <w:pPr>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sz w:val="32"/>
          <w:szCs w:val="32"/>
        </w:rPr>
        <w:t>中国西安</w:t>
      </w:r>
    </w:p>
    <w:p>
      <w:pPr>
        <w:tabs>
          <w:tab w:val="left" w:pos="735"/>
        </w:tabs>
        <w:spacing w:beforeLines="100" w:line="360" w:lineRule="auto"/>
        <w:rPr>
          <w:rFonts w:hint="eastAsia" w:ascii="仿宋" w:hAnsi="仿宋" w:eastAsia="仿宋" w:cs="仿宋"/>
          <w:bCs/>
          <w:color w:val="auto"/>
          <w:sz w:val="24"/>
          <w:szCs w:val="24"/>
          <w:lang w:val="zh-CN"/>
        </w:rPr>
      </w:pPr>
    </w:p>
    <w:p>
      <w:pPr>
        <w:tabs>
          <w:tab w:val="left" w:pos="735"/>
        </w:tabs>
        <w:spacing w:beforeLines="100"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甲方：                               住所：</w:t>
      </w:r>
    </w:p>
    <w:p>
      <w:pPr>
        <w:spacing w:line="360" w:lineRule="auto"/>
        <w:rPr>
          <w:rFonts w:hint="eastAsia" w:ascii="仿宋" w:hAnsi="仿宋" w:eastAsia="仿宋" w:cs="仿宋"/>
          <w:color w:val="auto"/>
          <w:sz w:val="24"/>
          <w:szCs w:val="24"/>
        </w:rPr>
      </w:pPr>
      <w:r>
        <w:rPr>
          <w:rFonts w:hint="eastAsia" w:ascii="仿宋" w:hAnsi="仿宋" w:eastAsia="仿宋" w:cs="仿宋"/>
          <w:bCs/>
          <w:color w:val="auto"/>
          <w:sz w:val="24"/>
          <w:szCs w:val="24"/>
          <w:lang w:val="zh-CN"/>
        </w:rPr>
        <w:t>乙方：                               住所：</w:t>
      </w:r>
    </w:p>
    <w:p>
      <w:pPr>
        <w:spacing w:line="360" w:lineRule="auto"/>
        <w:rPr>
          <w:rFonts w:hint="eastAsia" w:ascii="仿宋" w:hAnsi="仿宋" w:eastAsia="仿宋" w:cs="仿宋"/>
          <w:color w:val="auto"/>
          <w:sz w:val="24"/>
          <w:szCs w:val="24"/>
        </w:rPr>
      </w:pPr>
    </w:p>
    <w:p>
      <w:pPr>
        <w:pStyle w:val="34"/>
        <w:numPr>
          <w:ilvl w:val="0"/>
          <w:numId w:val="7"/>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bl>
      <w:tblPr>
        <w:tblStyle w:val="2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87"/>
        <w:gridCol w:w="1336"/>
        <w:gridCol w:w="1373"/>
        <w:gridCol w:w="1437"/>
        <w:gridCol w:w="156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63"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187"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1336"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规格型号</w:t>
            </w:r>
          </w:p>
        </w:tc>
        <w:tc>
          <w:tcPr>
            <w:tcW w:w="1373"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制造厂家</w:t>
            </w:r>
          </w:p>
        </w:tc>
        <w:tc>
          <w:tcPr>
            <w:tcW w:w="1437"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数量（套）</w:t>
            </w:r>
          </w:p>
        </w:tc>
        <w:tc>
          <w:tcPr>
            <w:tcW w:w="1560"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单价（元）</w:t>
            </w:r>
          </w:p>
        </w:tc>
        <w:tc>
          <w:tcPr>
            <w:tcW w:w="1500" w:type="dxa"/>
            <w:shd w:val="clear" w:color="auto" w:fill="auto"/>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8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36"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73" w:type="dxa"/>
            <w:shd w:val="clear" w:color="auto" w:fill="auto"/>
          </w:tcPr>
          <w:p>
            <w:pPr>
              <w:rPr>
                <w:rFonts w:hint="eastAsia" w:ascii="仿宋" w:hAnsi="仿宋" w:eastAsia="仿宋" w:cs="仿宋"/>
                <w:color w:val="auto"/>
                <w:sz w:val="24"/>
                <w:szCs w:val="24"/>
              </w:rPr>
            </w:pPr>
          </w:p>
        </w:tc>
        <w:tc>
          <w:tcPr>
            <w:tcW w:w="143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60"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00" w:type="dxa"/>
            <w:shd w:val="clear" w:color="auto" w:fill="auto"/>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8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36"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73" w:type="dxa"/>
            <w:shd w:val="clear" w:color="auto" w:fill="auto"/>
          </w:tcPr>
          <w:p>
            <w:pPr>
              <w:rPr>
                <w:rFonts w:hint="eastAsia" w:ascii="仿宋" w:hAnsi="仿宋" w:eastAsia="仿宋" w:cs="仿宋"/>
                <w:color w:val="auto"/>
                <w:sz w:val="24"/>
                <w:szCs w:val="24"/>
              </w:rPr>
            </w:pPr>
          </w:p>
        </w:tc>
        <w:tc>
          <w:tcPr>
            <w:tcW w:w="143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60"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00" w:type="dxa"/>
            <w:shd w:val="clear" w:color="auto" w:fill="auto"/>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8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36"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73" w:type="dxa"/>
            <w:shd w:val="clear" w:color="auto" w:fill="auto"/>
          </w:tcPr>
          <w:p>
            <w:pPr>
              <w:rPr>
                <w:rFonts w:hint="eastAsia" w:ascii="仿宋" w:hAnsi="仿宋" w:eastAsia="仿宋" w:cs="仿宋"/>
                <w:color w:val="auto"/>
                <w:sz w:val="24"/>
                <w:szCs w:val="24"/>
              </w:rPr>
            </w:pPr>
          </w:p>
        </w:tc>
        <w:tc>
          <w:tcPr>
            <w:tcW w:w="143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60"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00" w:type="dxa"/>
            <w:shd w:val="clear" w:color="auto" w:fill="auto"/>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18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36"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373" w:type="dxa"/>
            <w:shd w:val="clear" w:color="auto" w:fill="auto"/>
          </w:tcPr>
          <w:p>
            <w:pPr>
              <w:rPr>
                <w:rFonts w:hint="eastAsia" w:ascii="仿宋" w:hAnsi="仿宋" w:eastAsia="仿宋" w:cs="仿宋"/>
                <w:color w:val="auto"/>
                <w:sz w:val="24"/>
                <w:szCs w:val="24"/>
              </w:rPr>
            </w:pPr>
          </w:p>
        </w:tc>
        <w:tc>
          <w:tcPr>
            <w:tcW w:w="1437"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60" w:type="dxa"/>
            <w:shd w:val="clear" w:color="auto" w:fill="auto"/>
            <w:vAlign w:val="center"/>
          </w:tcPr>
          <w:p>
            <w:pPr>
              <w:spacing w:line="440" w:lineRule="exact"/>
              <w:jc w:val="center"/>
              <w:rPr>
                <w:rFonts w:hint="eastAsia" w:ascii="仿宋" w:hAnsi="仿宋" w:eastAsia="仿宋" w:cs="仿宋"/>
                <w:color w:val="auto"/>
                <w:sz w:val="24"/>
                <w:szCs w:val="24"/>
              </w:rPr>
            </w:pPr>
          </w:p>
        </w:tc>
        <w:tc>
          <w:tcPr>
            <w:tcW w:w="1500" w:type="dxa"/>
            <w:shd w:val="clear" w:color="auto" w:fill="auto"/>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56" w:type="dxa"/>
            <w:gridSpan w:val="7"/>
            <w:shd w:val="clear" w:color="auto" w:fill="auto"/>
            <w:vAlign w:val="center"/>
          </w:tcPr>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tc>
      </w:tr>
    </w:tbl>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1、合同总价：</w:t>
      </w:r>
      <w:r>
        <w:rPr>
          <w:rFonts w:hint="eastAsia" w:ascii="仿宋" w:hAnsi="仿宋" w:eastAsia="仿宋" w:cs="仿宋"/>
          <w:color w:val="auto"/>
          <w:sz w:val="24"/>
          <w:szCs w:val="24"/>
          <w:u w:val="single"/>
        </w:rPr>
        <w:t>￥（大写：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2、合同总价包括：设备费、运杂费（含装卸费、保险费）、检测验收费、培训及其它相关的费用。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3、合同总价一次包死，不受市场价变化的影响。</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二、合同结算</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1、付款比例：</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1-1、合同签订后预付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%，供货验收合格后，一次性支付剩余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2、结算方式：银行转账。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3、结算单位：由采购人负责结算。乙方开具合同总价数的全额发票交采购人。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三、履行期限、地点及方式：</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1、履行期限：自合同签订后</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日历日。</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2、地点：采购人指定地点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3、方式：采购人指定方式</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四、运输</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1、乙方负责所有货物的运输。确保货物安全、完整到达使用地点，运杂费用包含在总价内，包括货物从供货地点到使用地点的运输费、保险费、搬运 费等。</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2、所有货物在运输、搬运、安装的过程中，造成甲方损失的，由乙方为甲方修复或更新。</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五、质量保证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1、乙方提供货物必须是原品牌制造厂制造的最新工艺、生产的最新产品。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2、所供货物必须是经过办理正常手续的全新产品。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3、所供货物是经过国家法定检验、注册、准许市场销售的合法产品。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4、货物性能稳定、具有较好的使用效果，质量保证措施完善，符合国家相关标准。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5、货物的质保期为验收合格后24个月，终身维护保养，质保期后，只收取成本费用。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6、包装要求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6-1、除合同另有规定外，乙方提供的全部货物，均应按标准保护措施进行包装，并确保货物安全无损运抵甲方指定地点。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6-2、每一个包装箱内应附一份详细装箱单和质量合格证。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7、乙方应保证甲方在使用该货物或其任何一部分时免受第三方提出侵犯其专利权、商标权或工业设计权的起诉。</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六、技术服务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1、对技术服务的要求：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2、技术资料：</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2-1、产品合格证及检验报告;</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2-2、产品使用说明书（中文）；</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2-3、中国商品检验局出具的商检合格证明（进口产品）；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2-4、其它资料。</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3、售后服务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3-1、乙方在接到甲方保修电话故障通知后在    小时内派出合格的维修人员到达现场进行维修服务，承担相应费用，若需将产品送回生产厂，乙方应提供备用设备、承担维修产品所需的往返费用。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3-2、如果乙方在收到通知后两天内没有弥补缺陷，甲方可采取必要的补救措施，但其风险和费用将由乙方承担，甲方根据合同规定对乙方行使的其它权力不受影响。</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4、伴随服务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4-1、乙方应随同每套货物提供相应的中文的技术文件。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4-1-1、完整的操作使用手册和维护、修理技术文件，图纸、保修卡等。</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4-1-2、制造厂的检验、测试报告、检验合格证书，计量合格等级证书，质量保证书等文件须随产品装箱提供。</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4-1-3、必须的其它技术资料。</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4-2、伴随服务的费用已含在合同价中，不单独进行支付。</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七、质量保证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1、乙方提供的产品及材料必须保证质量可靠，为市场最新或主流产品， 进货渠道正常，配置合理齐全，应全面满足招标文件的要求，招标文件未明确 要求的内容，乙方须按招标产品主流标准配置或以甲方的补充要求为准。所供产品工艺质量应严格按国家最新发布的规范标准执行，如发生质量问题由乙方承担全部责任。</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2、乙方应保证所有产品的完好无损包括配套包装，如有缺漏、损坏，由乙方负责调换、补齐或赔偿。</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3、甲方使用产品过程中因产品质量、产品缺陷及安装质量等造成人身伤亡、财产损失的，由乙方负责解决并承担全部责任。</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4、对于存在质量问题或者短少的产品，乙方应在接到甲方的通知2个日 历日内负责修复，调换、重新制作或补齐。</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5、在最终验收后的质量保证期内，乙方应对设计、工艺或材料等的缺陷 而产生的故障负责（负责解决并承担全部费用）。质保期满后如出现此类问题 亦应负责。</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6、乙方及所投产品的生产厂商应承诺质保期、维保期的售后服务条款（包 括具体的服务内容、故障响应时间、响应方式、维修措施及时限、维护响应计 划等方面），未提供任何质保期、维保期的售后服务条款或提供的内容不实的以不实质性满足招标文件要求对待。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7、对于未按约定提供质保服务的中标人，采购人将拒绝其参加采购人单位的政府采购项目。且采购人有权委托第三方进行维修，所产生的费用由供应商承担。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八、甲方的权利和义务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甲方有权对合同规定范围内乙方的货物、服务、工程行为进行监督和检查，拥有监管权。有权定期核对乙方提供货物、服务所配备的数量。对甲方认为不合理的部分有权下达整改通知书，并要求乙方限期整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2、甲方有权依据双方签订的考评办法对乙方提供的货物、服务、工程进行定期考评。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3、负责检查监督乙方管理工作的实施及制度的执行情况。</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4、根据本合同规定，按时向乙方支付应付费用。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5、国家法律、法规所规定由甲方承担的其它责任。</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九、乙方的权利和义务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1、对本合同规定的范围内的项目享有管理权及服务义务。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2、及时向甲方通告本项目执行范围内有关的重大事项及时配合处理投诉。</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3、接受项目行业管理部门及政府有关部门的指导，接受甲方的监督。</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4、国家法律、法规所规定由乙方承担的其它责任。</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十、验收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到货验收：货物到货后，由甲方与乙方共同进行外观验收，验收内容包括：外包装的完好性，货物品牌、规格、数量及产地与合同要求的一致性。交货验收时，乙方同时出具质量监督部门出具的同批次产品质量检测报告。</w:t>
      </w:r>
      <w:bookmarkStart w:id="9" w:name="_GoBack"/>
      <w:bookmarkEnd w:id="9"/>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2、货物运行验收：乙方安装调试合格后，向甲方提出验收申请，甲方接到乙方验收申请后组织验收（必要时可聘请相应专家或委托相应部门验收），验收合格后，出具使用验收合格证明。</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3、最终验收：最终验收结果作为付款依据，乙方填写验收单，并向甲方提交实施过程中的所有资料，以便甲方日后管理和维护。</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4、质保期满后若存在质量问题，应按相应规定协商处理。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5、验收依据：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5-1、合同文本、合同附件、招标文件、投标文件。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5-2、国内相应的标准、规范。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十一、违约责任</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1、按《合同法》中的相关条款执行。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2、乙方履约延误</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2-1、如乙方事先未征得甲方同意并得到甲方的谅解而单方面延退交货， 将按违约终止合同。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2-2、在履行合同过程中，如果乙方遇到可能妨碍按时交货和提供服务的 情况，应及时以书面形式将拖延的事实，可能拖延的期限和理由通知甲方。甲方在收到乙方通知后，应尽快对情况进行评价，并确定是否通过修改合同，酌情延长交货时间或对乙方加收误期赔偿金。每延误一周的赔偿费按退交货物交货价或未提供服务的服务费用的百分之零点五（0.5%）计收，直至交货或提供 服务为止。误期赔偿费的最高限额为合同价格的百分之五（5%）。一旦达到误期赔偿费的最高限额，甲方可终止合同。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3、违约终止合同：未按合同要求提供货物或质量不能满足技术要求，甲方会同监督机构有权终止合同，对乙方违约行为进行追究，同时按政府采购法的有关规定进行相应的处罚。</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十二、合同组成</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1、中标通知书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2、合同文件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3、国家相关规范及标准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4、供货产品技术规格及参数表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5、招标文件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6、投标文件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十三、解决争议的方法</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凡因本合同引起的或与本合同有关的争议，双方应友好协商解决。协商不成时，双方均同意采用以下第（1）种争议解决方式：</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（1）甲、乙双方均同意向（甲方所在地人民法院）提起诉讼。</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（2）甲、乙双方均同意向（仲裁委员会）提起仲裁。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十四、合同生效及其它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1、合同未尽事宜、由甲、乙双方协商，作为合同补充，与原合同具有同 等法律效力。</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2、本合同正本一式</w:t>
      </w:r>
      <w:r>
        <w:rPr>
          <w:rFonts w:hint="eastAsia" w:ascii="仿宋" w:hAnsi="仿宋" w:eastAsia="仿宋" w:cs="仿宋"/>
          <w:color w:val="auto"/>
          <w:sz w:val="24"/>
          <w:szCs w:val="24"/>
          <w:u w:val="single"/>
        </w:rPr>
        <w:t>陆</w:t>
      </w:r>
      <w:r>
        <w:rPr>
          <w:rFonts w:hint="eastAsia" w:ascii="仿宋" w:hAnsi="仿宋" w:eastAsia="仿宋" w:cs="仿宋"/>
          <w:color w:val="auto"/>
          <w:sz w:val="24"/>
          <w:szCs w:val="24"/>
        </w:rPr>
        <w:t>份，甲方、乙方双方分别执</w:t>
      </w:r>
      <w:r>
        <w:rPr>
          <w:rFonts w:hint="eastAsia" w:ascii="仿宋" w:hAnsi="仿宋" w:eastAsia="仿宋" w:cs="仿宋"/>
          <w:color w:val="auto"/>
          <w:sz w:val="24"/>
          <w:szCs w:val="24"/>
          <w:u w:val="single"/>
        </w:rPr>
        <w:t>壹</w:t>
      </w:r>
      <w:r>
        <w:rPr>
          <w:rFonts w:hint="eastAsia" w:ascii="仿宋" w:hAnsi="仿宋" w:eastAsia="仿宋" w:cs="仿宋"/>
          <w:color w:val="auto"/>
          <w:sz w:val="24"/>
          <w:szCs w:val="24"/>
        </w:rPr>
        <w:t>份， 备案</w:t>
      </w:r>
      <w:r>
        <w:rPr>
          <w:rFonts w:hint="eastAsia" w:ascii="仿宋" w:hAnsi="仿宋" w:eastAsia="仿宋" w:cs="仿宋"/>
          <w:color w:val="auto"/>
          <w:sz w:val="24"/>
          <w:szCs w:val="24"/>
          <w:u w:val="single"/>
        </w:rPr>
        <w:t>肆</w:t>
      </w:r>
      <w:r>
        <w:rPr>
          <w:rFonts w:hint="eastAsia" w:ascii="仿宋" w:hAnsi="仿宋" w:eastAsia="仿宋" w:cs="仿宋"/>
          <w:color w:val="auto"/>
          <w:sz w:val="24"/>
          <w:szCs w:val="24"/>
        </w:rPr>
        <w:t>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3、合同经甲乙双方盖章、签字后生效，合同签订地点为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西安市</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4、生效时间：    年    月    日</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甲方名称（盖章）：                 乙方名称（盖章）：</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地址： </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代表人（签字）：                   代表人（签字）：</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电话：电话： </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开户银行：开户银行：    </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账号：账号： </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鉴证方名称（盖章）：</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地址：</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代表人（签字）：</w:t>
      </w:r>
    </w:p>
    <w:p>
      <w:pPr>
        <w:kinsoku/>
        <w:spacing w:line="360" w:lineRule="auto"/>
        <w:ind w:firstLine="560" w:firstLineChars="200"/>
        <w:rPr>
          <w:rFonts w:hint="eastAsia" w:ascii="仿宋" w:hAnsi="仿宋" w:eastAsia="仿宋" w:cs="仿宋"/>
          <w:b/>
          <w:bCs/>
          <w:color w:val="auto"/>
          <w:sz w:val="30"/>
          <w:szCs w:val="30"/>
        </w:rPr>
      </w:pPr>
      <w:r>
        <w:rPr>
          <w:rFonts w:hint="eastAsia" w:ascii="仿宋" w:hAnsi="仿宋" w:eastAsia="仿宋" w:cs="仿宋"/>
          <w:b/>
          <w:color w:val="auto"/>
          <w:sz w:val="28"/>
          <w:szCs w:val="28"/>
        </w:rPr>
        <w:br w:type="page"/>
      </w:r>
    </w:p>
    <w:p>
      <w:pPr>
        <w:pStyle w:val="3"/>
        <w:spacing w:before="210" w:after="210"/>
        <w:rPr>
          <w:rFonts w:hint="eastAsia" w:ascii="仿宋" w:hAnsi="仿宋" w:eastAsia="仿宋" w:cs="仿宋"/>
          <w:b/>
          <w:bCs w:val="0"/>
          <w:color w:val="auto"/>
        </w:rPr>
      </w:pPr>
      <w:bookmarkStart w:id="7" w:name="_Toc100219616"/>
      <w:bookmarkStart w:id="8" w:name="_Toc18402"/>
      <w:r>
        <w:rPr>
          <w:rFonts w:hint="eastAsia" w:ascii="仿宋" w:hAnsi="仿宋" w:eastAsia="仿宋" w:cs="仿宋"/>
          <w:b/>
          <w:bCs w:val="0"/>
          <w:color w:val="auto"/>
        </w:rPr>
        <w:t>第五章</w:t>
      </w:r>
      <w:r>
        <w:rPr>
          <w:rFonts w:hint="eastAsia" w:ascii="仿宋" w:hAnsi="仿宋" w:eastAsia="仿宋" w:cs="仿宋"/>
          <w:b/>
          <w:bCs w:val="0"/>
          <w:color w:val="auto"/>
          <w:lang w:val="en-US" w:eastAsia="zh-CN"/>
        </w:rPr>
        <w:t xml:space="preserve"> </w:t>
      </w:r>
      <w:r>
        <w:rPr>
          <w:rFonts w:hint="eastAsia" w:ascii="仿宋" w:hAnsi="仿宋" w:eastAsia="仿宋" w:cs="仿宋"/>
          <w:b/>
          <w:bCs w:val="0"/>
          <w:color w:val="auto"/>
        </w:rPr>
        <w:t>投标文件构成及格式</w:t>
      </w:r>
      <w:bookmarkEnd w:id="7"/>
      <w:bookmarkEnd w:id="8"/>
    </w:p>
    <w:p>
      <w:pPr>
        <w:rPr>
          <w:rFonts w:hint="eastAsia" w:ascii="仿宋" w:hAnsi="仿宋" w:eastAsia="仿宋" w:cs="仿宋"/>
          <w:color w:val="auto"/>
          <w:sz w:val="36"/>
          <w:szCs w:val="36"/>
        </w:rPr>
      </w:pPr>
      <w:r>
        <w:rPr>
          <w:rFonts w:hint="eastAsia" w:ascii="仿宋" w:hAnsi="仿宋" w:eastAsia="仿宋" w:cs="仿宋"/>
          <w:color w:val="auto"/>
          <w:sz w:val="36"/>
          <w:szCs w:val="36"/>
        </w:rPr>
        <w:t>项目编号：</w:t>
      </w:r>
    </w:p>
    <w:p>
      <w:pPr>
        <w:ind w:firstLine="251" w:firstLineChars="70"/>
        <w:jc w:val="center"/>
        <w:rPr>
          <w:rFonts w:hint="eastAsia" w:ascii="仿宋" w:hAnsi="仿宋" w:eastAsia="仿宋" w:cs="仿宋"/>
          <w:color w:val="auto"/>
          <w:sz w:val="36"/>
          <w:szCs w:val="36"/>
        </w:rPr>
      </w:pPr>
    </w:p>
    <w:p>
      <w:pPr>
        <w:ind w:firstLine="251" w:firstLineChars="70"/>
        <w:jc w:val="center"/>
        <w:rPr>
          <w:rFonts w:hint="eastAsia" w:ascii="仿宋" w:hAnsi="仿宋" w:eastAsia="仿宋" w:cs="仿宋"/>
          <w:color w:val="auto"/>
          <w:sz w:val="36"/>
          <w:szCs w:val="36"/>
        </w:rPr>
      </w:pPr>
    </w:p>
    <w:p>
      <w:pPr>
        <w:ind w:firstLine="251" w:firstLineChars="70"/>
        <w:jc w:val="center"/>
        <w:rPr>
          <w:rFonts w:hint="eastAsia" w:ascii="仿宋" w:hAnsi="仿宋" w:eastAsia="仿宋" w:cs="仿宋"/>
          <w:color w:val="auto"/>
          <w:sz w:val="36"/>
          <w:szCs w:val="36"/>
        </w:rPr>
      </w:pPr>
    </w:p>
    <w:p>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〈项目名称〉</w:t>
      </w:r>
    </w:p>
    <w:p>
      <w:pPr>
        <w:pStyle w:val="19"/>
        <w:ind w:firstLine="2520" w:firstLineChars="700"/>
        <w:jc w:val="both"/>
        <w:rPr>
          <w:rFonts w:hint="eastAsia" w:ascii="仿宋" w:hAnsi="仿宋" w:eastAsia="仿宋" w:cs="仿宋"/>
          <w:b/>
          <w:color w:val="auto"/>
          <w:sz w:val="44"/>
          <w:szCs w:val="44"/>
          <w:u w:val="single"/>
        </w:rPr>
      </w:pPr>
      <w:r>
        <w:rPr>
          <w:rFonts w:hint="eastAsia" w:ascii="仿宋" w:hAnsi="仿宋" w:eastAsia="仿宋" w:cs="仿宋"/>
          <w:color w:val="auto"/>
          <w:sz w:val="36"/>
        </w:rPr>
        <w:t>标段</w:t>
      </w:r>
      <w:r>
        <w:rPr>
          <w:rFonts w:hint="eastAsia" w:ascii="仿宋" w:hAnsi="仿宋" w:eastAsia="仿宋" w:cs="仿宋"/>
          <w:color w:val="auto"/>
          <w:sz w:val="36"/>
          <w:lang w:val="en-US" w:eastAsia="zh-CN"/>
        </w:rPr>
        <w:t>名称</w:t>
      </w:r>
      <w:r>
        <w:rPr>
          <w:rFonts w:hint="eastAsia" w:ascii="仿宋" w:hAnsi="仿宋" w:eastAsia="仿宋" w:cs="仿宋"/>
          <w:color w:val="auto"/>
          <w:sz w:val="36"/>
        </w:rPr>
        <w:t>：</w:t>
      </w:r>
    </w:p>
    <w:p>
      <w:pPr>
        <w:pStyle w:val="19"/>
        <w:ind w:firstLine="442"/>
        <w:rPr>
          <w:rFonts w:hint="eastAsia" w:ascii="仿宋" w:hAnsi="仿宋" w:eastAsia="仿宋" w:cs="仿宋"/>
          <w:b/>
          <w:color w:val="auto"/>
          <w:sz w:val="44"/>
          <w:szCs w:val="44"/>
        </w:rPr>
      </w:pPr>
    </w:p>
    <w:p>
      <w:pPr>
        <w:pStyle w:val="19"/>
        <w:ind w:firstLine="442"/>
        <w:rPr>
          <w:rFonts w:hint="eastAsia" w:ascii="仿宋" w:hAnsi="仿宋" w:eastAsia="仿宋" w:cs="仿宋"/>
          <w:b/>
          <w:color w:val="auto"/>
          <w:sz w:val="44"/>
          <w:szCs w:val="44"/>
        </w:rPr>
      </w:pPr>
    </w:p>
    <w:p>
      <w:pPr>
        <w:pStyle w:val="19"/>
        <w:ind w:firstLine="442"/>
        <w:rPr>
          <w:rFonts w:hint="eastAsia" w:ascii="仿宋" w:hAnsi="仿宋" w:eastAsia="仿宋" w:cs="仿宋"/>
          <w:b/>
          <w:color w:val="auto"/>
          <w:sz w:val="44"/>
          <w:szCs w:val="44"/>
        </w:rPr>
      </w:pPr>
    </w:p>
    <w:p>
      <w:pPr>
        <w:pStyle w:val="19"/>
        <w:ind w:firstLine="442"/>
        <w:rPr>
          <w:rFonts w:hint="eastAsia" w:ascii="仿宋" w:hAnsi="仿宋" w:eastAsia="仿宋" w:cs="仿宋"/>
          <w:b/>
          <w:color w:val="auto"/>
          <w:sz w:val="44"/>
          <w:szCs w:val="44"/>
        </w:rPr>
      </w:pPr>
    </w:p>
    <w:p>
      <w:pPr>
        <w:jc w:val="center"/>
        <w:rPr>
          <w:rFonts w:hint="eastAsia" w:ascii="仿宋" w:hAnsi="仿宋" w:eastAsia="仿宋" w:cs="仿宋"/>
          <w:b/>
          <w:bCs/>
          <w:color w:val="auto"/>
          <w:sz w:val="96"/>
          <w:szCs w:val="96"/>
        </w:rPr>
      </w:pPr>
      <w:r>
        <w:rPr>
          <w:rFonts w:hint="eastAsia" w:ascii="仿宋" w:hAnsi="仿宋" w:eastAsia="仿宋" w:cs="仿宋"/>
          <w:b/>
          <w:bCs/>
          <w:color w:val="auto"/>
          <w:spacing w:val="323"/>
          <w:kern w:val="0"/>
          <w:sz w:val="96"/>
          <w:szCs w:val="96"/>
          <w:fitText w:val="5778" w:id="443638762"/>
        </w:rPr>
        <w:t>投标文</w:t>
      </w:r>
      <w:r>
        <w:rPr>
          <w:rFonts w:hint="eastAsia" w:ascii="仿宋" w:hAnsi="仿宋" w:eastAsia="仿宋" w:cs="仿宋"/>
          <w:b/>
          <w:bCs/>
          <w:color w:val="auto"/>
          <w:spacing w:val="0"/>
          <w:kern w:val="0"/>
          <w:sz w:val="96"/>
          <w:szCs w:val="96"/>
          <w:fitText w:val="5778" w:id="443638762"/>
        </w:rPr>
        <w:t>件</w:t>
      </w:r>
    </w:p>
    <w:p>
      <w:pPr>
        <w:jc w:val="center"/>
        <w:rPr>
          <w:rFonts w:hint="eastAsia" w:ascii="仿宋" w:hAnsi="仿宋" w:eastAsia="仿宋" w:cs="仿宋"/>
          <w:color w:val="auto"/>
          <w:sz w:val="36"/>
          <w:szCs w:val="36"/>
        </w:rPr>
      </w:pPr>
    </w:p>
    <w:p>
      <w:pPr>
        <w:jc w:val="center"/>
        <w:rPr>
          <w:rFonts w:hint="eastAsia" w:ascii="仿宋" w:hAnsi="仿宋" w:eastAsia="仿宋" w:cs="仿宋"/>
          <w:color w:val="auto"/>
          <w:sz w:val="36"/>
        </w:rPr>
      </w:pPr>
    </w:p>
    <w:p>
      <w:pPr>
        <w:pStyle w:val="19"/>
        <w:ind w:firstLine="360"/>
        <w:rPr>
          <w:rFonts w:hint="eastAsia" w:ascii="仿宋" w:hAnsi="仿宋" w:eastAsia="仿宋" w:cs="仿宋"/>
          <w:color w:val="auto"/>
          <w:sz w:val="36"/>
        </w:rPr>
      </w:pPr>
    </w:p>
    <w:p>
      <w:pPr>
        <w:pStyle w:val="19"/>
        <w:ind w:firstLine="360"/>
        <w:rPr>
          <w:rFonts w:hint="eastAsia" w:ascii="仿宋" w:hAnsi="仿宋" w:eastAsia="仿宋" w:cs="仿宋"/>
          <w:color w:val="auto"/>
          <w:sz w:val="36"/>
        </w:rPr>
      </w:pPr>
    </w:p>
    <w:p>
      <w:pPr>
        <w:pStyle w:val="19"/>
        <w:ind w:firstLine="360"/>
        <w:rPr>
          <w:rFonts w:hint="eastAsia" w:ascii="仿宋" w:hAnsi="仿宋" w:eastAsia="仿宋" w:cs="仿宋"/>
          <w:color w:val="auto"/>
          <w:sz w:val="36"/>
        </w:rPr>
      </w:pPr>
    </w:p>
    <w:p>
      <w:pPr>
        <w:pStyle w:val="19"/>
        <w:ind w:firstLine="360"/>
        <w:rPr>
          <w:rFonts w:hint="eastAsia" w:ascii="仿宋" w:hAnsi="仿宋" w:eastAsia="仿宋" w:cs="仿宋"/>
          <w:color w:val="auto"/>
          <w:sz w:val="36"/>
        </w:rPr>
      </w:pPr>
    </w:p>
    <w:p>
      <w:pPr>
        <w:jc w:val="both"/>
        <w:rPr>
          <w:rFonts w:hint="eastAsia" w:ascii="仿宋" w:hAnsi="仿宋" w:eastAsia="仿宋" w:cs="仿宋"/>
          <w:color w:val="auto"/>
          <w:sz w:val="36"/>
        </w:rPr>
      </w:pPr>
    </w:p>
    <w:p>
      <w:pPr>
        <w:jc w:val="center"/>
        <w:rPr>
          <w:rFonts w:hint="eastAsia" w:ascii="仿宋" w:hAnsi="仿宋" w:eastAsia="仿宋" w:cs="仿宋"/>
          <w:color w:val="auto"/>
          <w:sz w:val="36"/>
        </w:rPr>
      </w:pPr>
    </w:p>
    <w:p>
      <w:pPr>
        <w:spacing w:line="360" w:lineRule="auto"/>
        <w:ind w:firstLine="720" w:firstLineChars="200"/>
        <w:jc w:val="both"/>
        <w:rPr>
          <w:rFonts w:hint="eastAsia" w:ascii="仿宋" w:hAnsi="仿宋" w:eastAsia="仿宋" w:cs="仿宋"/>
          <w:color w:val="auto"/>
          <w:sz w:val="36"/>
        </w:rPr>
      </w:pPr>
      <w:r>
        <w:rPr>
          <w:rFonts w:hint="eastAsia" w:ascii="仿宋" w:hAnsi="仿宋" w:eastAsia="仿宋" w:cs="仿宋"/>
          <w:color w:val="auto"/>
          <w:sz w:val="36"/>
        </w:rPr>
        <w:t>供应商：</w:t>
      </w:r>
      <w:r>
        <w:rPr>
          <w:rFonts w:hint="eastAsia" w:ascii="仿宋" w:hAnsi="仿宋" w:eastAsia="仿宋" w:cs="仿宋"/>
          <w:color w:val="auto"/>
          <w:sz w:val="36"/>
          <w:u w:val="single"/>
        </w:rPr>
        <w:t>（供应商全称并加盖公章）</w:t>
      </w:r>
    </w:p>
    <w:p>
      <w:pPr>
        <w:spacing w:line="360" w:lineRule="auto"/>
        <w:ind w:firstLine="720" w:firstLineChars="200"/>
        <w:rPr>
          <w:rFonts w:hint="eastAsia" w:ascii="仿宋" w:hAnsi="仿宋" w:eastAsia="仿宋" w:cs="仿宋"/>
          <w:color w:val="auto"/>
          <w:sz w:val="36"/>
          <w:u w:val="single"/>
        </w:rPr>
      </w:pPr>
      <w:r>
        <w:rPr>
          <w:rFonts w:hint="eastAsia" w:ascii="仿宋" w:hAnsi="仿宋" w:eastAsia="仿宋" w:cs="仿宋"/>
          <w:color w:val="auto"/>
          <w:sz w:val="36"/>
        </w:rPr>
        <w:t>时间：</w:t>
      </w:r>
    </w:p>
    <w:p>
      <w:pPr>
        <w:ind w:firstLine="200"/>
        <w:rPr>
          <w:rFonts w:hint="eastAsia" w:ascii="仿宋" w:hAnsi="仿宋" w:eastAsia="仿宋" w:cs="仿宋"/>
          <w:color w:val="auto"/>
          <w:sz w:val="36"/>
        </w:rPr>
      </w:pPr>
      <w:r>
        <w:rPr>
          <w:rFonts w:hint="eastAsia" w:ascii="仿宋" w:hAnsi="仿宋" w:eastAsia="仿宋" w:cs="仿宋"/>
          <w:color w:val="auto"/>
          <w:sz w:val="36"/>
        </w:rPr>
        <w:br w:type="page"/>
      </w:r>
    </w:p>
    <w:p>
      <w:pPr>
        <w:jc w:val="center"/>
        <w:rPr>
          <w:rFonts w:hint="eastAsia" w:ascii="仿宋" w:hAnsi="仿宋" w:eastAsia="仿宋" w:cs="仿宋"/>
          <w:b/>
          <w:bCs/>
          <w:color w:val="auto"/>
          <w:sz w:val="30"/>
          <w:szCs w:val="30"/>
        </w:rPr>
      </w:pPr>
      <w:r>
        <w:rPr>
          <w:rFonts w:hint="eastAsia" w:ascii="仿宋" w:hAnsi="仿宋" w:eastAsia="仿宋" w:cs="仿宋"/>
          <w:b/>
          <w:bCs/>
          <w:color w:val="auto"/>
          <w:sz w:val="36"/>
          <w:szCs w:val="36"/>
        </w:rPr>
        <w:t>目录</w:t>
      </w:r>
    </w:p>
    <w:p>
      <w:pPr>
        <w:jc w:val="center"/>
        <w:rPr>
          <w:rFonts w:hint="eastAsia" w:ascii="仿宋" w:hAnsi="仿宋" w:eastAsia="仿宋" w:cs="仿宋"/>
          <w:b/>
          <w:bCs/>
          <w:color w:val="auto"/>
          <w:sz w:val="30"/>
          <w:szCs w:val="30"/>
        </w:rPr>
      </w:pPr>
    </w:p>
    <w:p>
      <w:pPr>
        <w:tabs>
          <w:tab w:val="right" w:leader="hyphen" w:pos="8504"/>
        </w:tabs>
        <w:spacing w:line="360" w:lineRule="auto"/>
        <w:ind w:left="1820" w:leftChars="200" w:right="630" w:rightChars="300" w:hanging="1400" w:hangingChars="5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第一部分投标函</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第二部分开标一览表</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第三部分资格证明文件</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第四部分供应商概况</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第五部分供应商参加政府采购活动承诺书</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第六部分投标方案</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rPr>
          <w:rFonts w:hint="eastAsia" w:ascii="仿宋" w:hAnsi="仿宋" w:eastAsia="仿宋" w:cs="仿宋"/>
          <w:color w:val="auto"/>
          <w:sz w:val="28"/>
          <w:szCs w:val="28"/>
        </w:rPr>
      </w:pPr>
    </w:p>
    <w:p>
      <w:pPr>
        <w:rPr>
          <w:rFonts w:hint="eastAsia" w:ascii="仿宋" w:hAnsi="仿宋" w:eastAsia="仿宋" w:cs="仿宋"/>
          <w:color w:val="auto"/>
          <w:sz w:val="36"/>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hint="eastAsia" w:ascii="仿宋" w:hAnsi="仿宋" w:eastAsia="仿宋" w:cs="仿宋"/>
          <w:b/>
          <w:bCs/>
          <w:color w:val="auto"/>
        </w:rPr>
      </w:pPr>
      <w:r>
        <w:rPr>
          <w:rFonts w:hint="eastAsia" w:ascii="仿宋" w:hAnsi="仿宋" w:eastAsia="仿宋" w:cs="仿宋"/>
          <w:b/>
          <w:bCs/>
          <w:color w:val="auto"/>
        </w:rPr>
        <w:t>第一部分投标函</w:t>
      </w:r>
    </w:p>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〈政府采购代理机构名称〉：</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我方收到贵中心发布的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（项目编号：）招标文件，经详细研究，我方决定参加该项目第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标段</w:t>
      </w:r>
      <w:r>
        <w:rPr>
          <w:rFonts w:hint="eastAsia" w:ascii="仿宋" w:hAnsi="仿宋" w:eastAsia="仿宋" w:cs="仿宋"/>
          <w:color w:val="auto"/>
          <w:sz w:val="24"/>
          <w:szCs w:val="24"/>
          <w:u w:val="single"/>
        </w:rPr>
        <w:t xml:space="preserve">（标段名称） </w:t>
      </w:r>
      <w:r>
        <w:rPr>
          <w:rFonts w:hint="eastAsia" w:ascii="仿宋" w:hAnsi="仿宋" w:eastAsia="仿宋" w:cs="仿宋"/>
          <w:color w:val="auto"/>
          <w:sz w:val="24"/>
          <w:szCs w:val="24"/>
        </w:rPr>
        <w:t>的招标活动。为此，我方郑重声明以下诸点，并负法律责任。</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1．我方已详细阅读了招标文件，完全理解并同意招标文件的所有事项及内容。</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3．我方同意向贵中心提供与本次招标有关的全部证明材料，并保证所提交的证明材料真实、合法、有效。</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4．我方理解最低价不是成交的唯一条件，并尊重评标委员会的评审结果。</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5．我方投标文件在开启之日起___个日历日（应不少于90个日历日）内有效。</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6．若我方成交，我方承诺：（1）将投标文件有效期延长至合同执行完毕；（2）收到成交通知书后提交纸质投标文件一正两副；（3）遵照招标文件中的要求，完成本项目的合同责任和义务。</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7．所有关于此次招标活动的函电，请按下列方式联系：</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pacing w:val="60"/>
          <w:kern w:val="0"/>
          <w:sz w:val="24"/>
          <w:szCs w:val="24"/>
          <w:fitText w:val="960" w:id="293344632"/>
        </w:rPr>
        <w:t>供应</w:t>
      </w:r>
      <w:r>
        <w:rPr>
          <w:rFonts w:hint="eastAsia" w:ascii="仿宋" w:hAnsi="仿宋" w:eastAsia="仿宋" w:cs="仿宋"/>
          <w:color w:val="auto"/>
          <w:spacing w:val="0"/>
          <w:kern w:val="0"/>
          <w:sz w:val="24"/>
          <w:szCs w:val="24"/>
          <w:fitText w:val="960" w:id="293344632"/>
        </w:rPr>
        <w:t>商</w:t>
      </w:r>
      <w:r>
        <w:rPr>
          <w:rFonts w:hint="eastAsia" w:ascii="仿宋" w:hAnsi="仿宋" w:eastAsia="仿宋" w:cs="仿宋"/>
          <w:color w:val="auto"/>
          <w:sz w:val="24"/>
          <w:szCs w:val="24"/>
        </w:rPr>
        <w:t>：（供应商全称并加盖公章）</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法定代表人（主要负责人）或委托代理人：（签字或盖章）</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邮编：</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p>
      <w:pPr>
        <w:spacing w:line="360" w:lineRule="auto"/>
        <w:ind w:firstLine="567"/>
        <w:jc w:val="both"/>
        <w:rPr>
          <w:rFonts w:hint="eastAsia" w:ascii="仿宋" w:hAnsi="仿宋" w:eastAsia="仿宋" w:cs="仿宋"/>
          <w:color w:val="auto"/>
          <w:sz w:val="24"/>
          <w:szCs w:val="24"/>
        </w:rPr>
      </w:pPr>
      <w:r>
        <w:rPr>
          <w:rFonts w:hint="eastAsia" w:ascii="仿宋" w:hAnsi="仿宋" w:eastAsia="仿宋" w:cs="仿宋"/>
          <w:color w:val="auto"/>
          <w:sz w:val="24"/>
          <w:szCs w:val="24"/>
        </w:rPr>
        <w:t>日期：年月日</w:t>
      </w:r>
    </w:p>
    <w:p>
      <w:pPr>
        <w:jc w:val="both"/>
        <w:rPr>
          <w:rFonts w:hint="eastAsia" w:ascii="仿宋" w:hAnsi="仿宋" w:eastAsia="仿宋" w:cs="仿宋"/>
          <w:color w:val="auto"/>
        </w:rPr>
      </w:pPr>
    </w:p>
    <w:p>
      <w:pPr>
        <w:jc w:val="both"/>
        <w:rPr>
          <w:rFonts w:hint="eastAsia"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hint="eastAsia" w:ascii="仿宋" w:hAnsi="仿宋" w:eastAsia="仿宋" w:cs="仿宋"/>
          <w:b/>
          <w:bCs/>
          <w:color w:val="auto"/>
        </w:rPr>
      </w:pPr>
      <w:r>
        <w:rPr>
          <w:rFonts w:hint="eastAsia" w:ascii="仿宋" w:hAnsi="仿宋" w:eastAsia="仿宋" w:cs="仿宋"/>
          <w:b/>
          <w:bCs/>
          <w:color w:val="auto"/>
        </w:rPr>
        <w:t>第二部分开标一览表</w:t>
      </w:r>
    </w:p>
    <w:tbl>
      <w:tblPr>
        <w:tblStyle w:val="20"/>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l2br w:val="single" w:color="auto" w:sz="4" w:space="0"/>
            </w:tcBorders>
            <w:shd w:val="clear" w:color="auto" w:fill="auto"/>
          </w:tcPr>
          <w:p>
            <w:pPr>
              <w:kinsoku/>
              <w:spacing w:line="480" w:lineRule="exact"/>
              <w:jc w:val="right"/>
              <w:rPr>
                <w:rFonts w:hint="eastAsia" w:ascii="仿宋" w:hAnsi="仿宋" w:eastAsia="仿宋" w:cs="仿宋"/>
                <w:b/>
                <w:bCs/>
                <w:color w:val="auto"/>
              </w:rPr>
            </w:pPr>
            <w:r>
              <w:rPr>
                <w:rFonts w:hint="eastAsia" w:ascii="仿宋" w:hAnsi="仿宋" w:eastAsia="仿宋" w:cs="仿宋"/>
                <w:b/>
                <w:bCs/>
                <w:color w:val="auto"/>
              </w:rPr>
              <w:t>报价内容</w:t>
            </w:r>
          </w:p>
          <w:p>
            <w:pPr>
              <w:kinsoku/>
              <w:spacing w:line="480" w:lineRule="exact"/>
              <w:ind w:right="1540"/>
              <w:jc w:val="center"/>
              <w:rPr>
                <w:rFonts w:hint="eastAsia" w:ascii="仿宋" w:hAnsi="仿宋" w:eastAsia="仿宋" w:cs="仿宋"/>
                <w:b/>
                <w:bCs/>
                <w:color w:val="auto"/>
              </w:rPr>
            </w:pPr>
            <w:r>
              <w:rPr>
                <w:rFonts w:hint="eastAsia" w:ascii="仿宋" w:hAnsi="仿宋" w:eastAsia="仿宋" w:cs="仿宋"/>
                <w:b/>
                <w:bCs/>
                <w:color w:val="auto"/>
              </w:rPr>
              <w:t>项目名称</w:t>
            </w:r>
          </w:p>
        </w:tc>
        <w:tc>
          <w:tcPr>
            <w:tcW w:w="3070" w:type="dxa"/>
            <w:shd w:val="clear" w:color="auto" w:fill="auto"/>
            <w:vAlign w:val="center"/>
          </w:tcPr>
          <w:p>
            <w:pPr>
              <w:pStyle w:val="34"/>
              <w:numPr>
                <w:ilvl w:val="0"/>
                <w:numId w:val="8"/>
              </w:numPr>
              <w:kinsoku/>
              <w:spacing w:line="480" w:lineRule="exact"/>
              <w:ind w:firstLine="422"/>
              <w:jc w:val="center"/>
              <w:rPr>
                <w:rFonts w:hint="eastAsia" w:ascii="仿宋" w:hAnsi="仿宋" w:eastAsia="仿宋" w:cs="仿宋"/>
                <w:b/>
                <w:bCs/>
                <w:color w:val="auto"/>
              </w:rPr>
            </w:pPr>
          </w:p>
        </w:tc>
        <w:tc>
          <w:tcPr>
            <w:tcW w:w="3071" w:type="dxa"/>
            <w:shd w:val="clear" w:color="auto" w:fill="auto"/>
            <w:vAlign w:val="center"/>
          </w:tcPr>
          <w:p>
            <w:pPr>
              <w:pStyle w:val="34"/>
              <w:numPr>
                <w:ilvl w:val="0"/>
                <w:numId w:val="8"/>
              </w:numPr>
              <w:kinsoku/>
              <w:spacing w:line="480" w:lineRule="exact"/>
              <w:ind w:firstLine="422"/>
              <w:jc w:val="center"/>
              <w:rPr>
                <w:rFonts w:hint="eastAsia" w:ascii="仿宋" w:hAnsi="仿宋" w:eastAsia="仿宋" w:cs="仿宋"/>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tl2br w:val="single" w:color="auto" w:sz="4" w:space="0"/>
            </w:tcBorders>
            <w:shd w:val="clear" w:color="auto" w:fill="auto"/>
          </w:tcPr>
          <w:p>
            <w:pPr>
              <w:kinsoku/>
              <w:spacing w:line="480" w:lineRule="exact"/>
              <w:ind w:right="280"/>
              <w:jc w:val="right"/>
              <w:rPr>
                <w:rFonts w:hint="eastAsia" w:ascii="仿宋" w:hAnsi="仿宋" w:eastAsia="仿宋" w:cs="仿宋"/>
                <w:b/>
                <w:bCs/>
                <w:color w:val="auto"/>
              </w:rPr>
            </w:pPr>
          </w:p>
        </w:tc>
        <w:tc>
          <w:tcPr>
            <w:tcW w:w="3070" w:type="dxa"/>
            <w:shd w:val="clear" w:color="auto" w:fill="auto"/>
            <w:vAlign w:val="center"/>
          </w:tcPr>
          <w:p>
            <w:pPr>
              <w:kinsoku/>
              <w:spacing w:line="480" w:lineRule="exact"/>
              <w:jc w:val="center"/>
              <w:rPr>
                <w:rFonts w:hint="eastAsia" w:ascii="仿宋" w:hAnsi="仿宋" w:eastAsia="仿宋" w:cs="仿宋"/>
                <w:b/>
                <w:bCs/>
                <w:color w:val="auto"/>
              </w:rPr>
            </w:pPr>
            <w:r>
              <w:rPr>
                <w:rFonts w:hint="eastAsia" w:ascii="仿宋" w:hAnsi="仿宋" w:eastAsia="仿宋" w:cs="仿宋"/>
                <w:b/>
                <w:bCs/>
                <w:color w:val="auto"/>
              </w:rPr>
              <w:t>合计（元）</w:t>
            </w:r>
          </w:p>
        </w:tc>
        <w:tc>
          <w:tcPr>
            <w:tcW w:w="3071" w:type="dxa"/>
            <w:shd w:val="clear" w:color="auto" w:fill="auto"/>
            <w:vAlign w:val="center"/>
          </w:tcPr>
          <w:p>
            <w:pPr>
              <w:kinsoku/>
              <w:spacing w:line="480" w:lineRule="exact"/>
              <w:jc w:val="center"/>
              <w:rPr>
                <w:rFonts w:hint="eastAsia" w:ascii="仿宋" w:hAnsi="仿宋" w:eastAsia="仿宋" w:cs="仿宋"/>
                <w:b/>
                <w:bCs/>
                <w:color w:val="auto"/>
              </w:rPr>
            </w:pPr>
            <w:r>
              <w:rPr>
                <w:rFonts w:hint="eastAsia" w:ascii="仿宋" w:hAnsi="仿宋" w:eastAsia="仿宋" w:cs="仿宋"/>
                <w:b/>
                <w:bCs/>
                <w:color w:val="auto"/>
              </w:rPr>
              <w:t>交付期（日历天）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shd w:val="clear" w:color="auto" w:fill="auto"/>
            <w:vAlign w:val="center"/>
          </w:tcPr>
          <w:p>
            <w:pPr>
              <w:kinsoku/>
              <w:spacing w:line="480" w:lineRule="exact"/>
              <w:jc w:val="center"/>
              <w:rPr>
                <w:rFonts w:hint="eastAsia" w:ascii="仿宋" w:hAnsi="仿宋" w:eastAsia="仿宋" w:cs="仿宋"/>
                <w:b/>
                <w:bCs/>
                <w:color w:val="auto"/>
              </w:rPr>
            </w:pPr>
            <w:r>
              <w:rPr>
                <w:rFonts w:hint="eastAsia" w:ascii="仿宋" w:hAnsi="仿宋" w:eastAsia="仿宋" w:cs="仿宋"/>
                <w:b/>
                <w:bCs/>
                <w:color w:val="auto"/>
              </w:rPr>
              <w:t>（项目名称：&lt;标段名称：&gt;）</w:t>
            </w:r>
          </w:p>
        </w:tc>
        <w:tc>
          <w:tcPr>
            <w:tcW w:w="3070" w:type="dxa"/>
            <w:vAlign w:val="center"/>
          </w:tcPr>
          <w:p>
            <w:pPr>
              <w:kinsoku/>
              <w:spacing w:line="480" w:lineRule="exact"/>
              <w:jc w:val="center"/>
              <w:rPr>
                <w:rFonts w:hint="eastAsia" w:ascii="仿宋" w:hAnsi="仿宋" w:eastAsia="仿宋" w:cs="仿宋"/>
                <w:color w:val="auto"/>
              </w:rPr>
            </w:pPr>
          </w:p>
        </w:tc>
        <w:tc>
          <w:tcPr>
            <w:tcW w:w="3071" w:type="dxa"/>
            <w:vAlign w:val="center"/>
          </w:tcPr>
          <w:p>
            <w:pPr>
              <w:kinsoku/>
              <w:spacing w:line="48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83" w:type="dxa"/>
            <w:shd w:val="clear" w:color="auto" w:fill="auto"/>
            <w:vAlign w:val="center"/>
          </w:tcPr>
          <w:p>
            <w:pPr>
              <w:kinsoku/>
              <w:spacing w:line="480" w:lineRule="exact"/>
              <w:jc w:val="center"/>
              <w:rPr>
                <w:rFonts w:hint="eastAsia" w:ascii="仿宋" w:hAnsi="仿宋" w:eastAsia="仿宋" w:cs="仿宋"/>
                <w:b/>
                <w:bCs/>
                <w:color w:val="auto"/>
              </w:rPr>
            </w:pPr>
            <w:r>
              <w:rPr>
                <w:rFonts w:hint="eastAsia" w:ascii="仿宋" w:hAnsi="仿宋" w:eastAsia="仿宋" w:cs="仿宋"/>
                <w:b/>
                <w:bCs/>
                <w:color w:val="auto"/>
              </w:rPr>
              <w:t>合计（大写）</w:t>
            </w:r>
          </w:p>
        </w:tc>
        <w:tc>
          <w:tcPr>
            <w:tcW w:w="6141" w:type="dxa"/>
            <w:gridSpan w:val="2"/>
            <w:vAlign w:val="center"/>
          </w:tcPr>
          <w:p>
            <w:pPr>
              <w:kinsoku/>
              <w:spacing w:line="480" w:lineRule="exact"/>
              <w:jc w:val="center"/>
              <w:rPr>
                <w:rFonts w:hint="eastAsia" w:ascii="仿宋" w:hAnsi="仿宋" w:eastAsia="仿宋" w:cs="仿宋"/>
                <w:color w:val="auto"/>
              </w:rPr>
            </w:pPr>
          </w:p>
        </w:tc>
      </w:tr>
    </w:tbl>
    <w:p>
      <w:pPr>
        <w:pStyle w:val="36"/>
        <w:kinsoku/>
        <w:wordWrap/>
        <w:spacing w:beforeLines="50" w:line="360" w:lineRule="auto"/>
        <w:rPr>
          <w:rFonts w:hint="eastAsia" w:ascii="仿宋" w:hAnsi="仿宋" w:eastAsia="仿宋" w:cs="仿宋"/>
          <w:color w:val="auto"/>
          <w:sz w:val="24"/>
          <w:szCs w:val="24"/>
        </w:rPr>
      </w:pPr>
    </w:p>
    <w:p>
      <w:pPr>
        <w:pStyle w:val="36"/>
        <w:kinsoku/>
        <w:wordWrap/>
        <w:spacing w:beforeLines="50"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（供应商全称并加盖公章）</w:t>
      </w:r>
    </w:p>
    <w:p>
      <w:pPr>
        <w:kinsoku/>
        <w:spacing w:line="48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Style w:val="36"/>
        <w:kinsoku/>
        <w:wordWrap/>
        <w:spacing w:beforeLines="50" w:line="360" w:lineRule="auto"/>
        <w:rPr>
          <w:rFonts w:hint="eastAsia" w:ascii="仿宋" w:hAnsi="仿宋" w:eastAsia="仿宋" w:cs="仿宋"/>
          <w:color w:val="auto"/>
          <w:sz w:val="24"/>
          <w:szCs w:val="24"/>
        </w:rPr>
      </w:pPr>
    </w:p>
    <w:p>
      <w:pPr>
        <w:pStyle w:val="36"/>
        <w:kinsoku/>
        <w:wordWrap/>
        <w:spacing w:beforeLines="50" w:line="360" w:lineRule="auto"/>
        <w:rPr>
          <w:rFonts w:hint="eastAsia" w:ascii="仿宋" w:hAnsi="仿宋" w:eastAsia="仿宋" w:cs="仿宋"/>
          <w:color w:val="auto"/>
          <w:kern w:val="24"/>
          <w:sz w:val="24"/>
          <w:szCs w:val="24"/>
        </w:rPr>
      </w:pPr>
      <w:r>
        <w:rPr>
          <w:rFonts w:hint="eastAsia" w:ascii="仿宋" w:hAnsi="仿宋" w:eastAsia="仿宋" w:cs="仿宋"/>
          <w:color w:val="auto"/>
          <w:kern w:val="24"/>
          <w:sz w:val="24"/>
          <w:szCs w:val="24"/>
        </w:rPr>
        <w:t>注：</w:t>
      </w:r>
    </w:p>
    <w:p>
      <w:pPr>
        <w:pStyle w:val="36"/>
        <w:kinsoku/>
        <w:wordWrap/>
        <w:spacing w:line="360" w:lineRule="auto"/>
        <w:ind w:firstLine="480" w:firstLineChars="200"/>
        <w:rPr>
          <w:rFonts w:hint="eastAsia" w:ascii="仿宋" w:hAnsi="仿宋" w:eastAsia="仿宋" w:cs="仿宋"/>
          <w:color w:val="auto"/>
          <w:kern w:val="24"/>
          <w:sz w:val="24"/>
          <w:szCs w:val="24"/>
        </w:rPr>
      </w:pPr>
      <w:r>
        <w:rPr>
          <w:rFonts w:hint="eastAsia" w:ascii="仿宋" w:hAnsi="仿宋" w:eastAsia="仿宋" w:cs="仿宋"/>
          <w:color w:val="auto"/>
          <w:kern w:val="24"/>
          <w:sz w:val="24"/>
          <w:szCs w:val="24"/>
        </w:rPr>
        <w:t>1．A栏按阿拉伯小写金额样式填写。</w:t>
      </w:r>
    </w:p>
    <w:p>
      <w:pPr>
        <w:pStyle w:val="36"/>
        <w:kinsoku/>
        <w:wordWrap/>
        <w:spacing w:line="360" w:lineRule="auto"/>
        <w:ind w:firstLine="480" w:firstLineChars="200"/>
        <w:rPr>
          <w:rFonts w:hint="eastAsia" w:ascii="仿宋" w:hAnsi="仿宋" w:eastAsia="仿宋" w:cs="仿宋"/>
          <w:color w:val="auto"/>
          <w:kern w:val="24"/>
          <w:sz w:val="24"/>
          <w:szCs w:val="24"/>
        </w:rPr>
      </w:pPr>
      <w:r>
        <w:rPr>
          <w:rFonts w:hint="eastAsia" w:ascii="仿宋" w:hAnsi="仿宋" w:eastAsia="仿宋" w:cs="仿宋"/>
          <w:color w:val="auto"/>
          <w:kern w:val="24"/>
          <w:sz w:val="24"/>
          <w:szCs w:val="24"/>
        </w:rPr>
        <w:t>2．“合计（大写）”栏按银行大写金额样式进行填写。样式参考：壹、贰、叁、肆、伍、陆、柒、捌、玖、拾、佰、仟、万、亿、元（圆）、角、分、零、整（正）。</w:t>
      </w:r>
    </w:p>
    <w:p>
      <w:pPr>
        <w:rPr>
          <w:rFonts w:hint="eastAsia" w:ascii="仿宋" w:hAnsi="仿宋" w:eastAsia="仿宋" w:cs="仿宋"/>
          <w:color w:val="auto"/>
        </w:rPr>
      </w:pPr>
      <w:r>
        <w:rPr>
          <w:rFonts w:hint="eastAsia" w:ascii="仿宋" w:hAnsi="仿宋" w:eastAsia="仿宋" w:cs="仿宋"/>
          <w:color w:val="auto"/>
        </w:rPr>
        <w:br w:type="page"/>
      </w:r>
    </w:p>
    <w:p>
      <w:pPr>
        <w:pStyle w:val="36"/>
        <w:spacing w:before="60" w:after="60"/>
        <w:jc w:val="center"/>
        <w:rPr>
          <w:rFonts w:hint="eastAsia" w:ascii="仿宋" w:hAnsi="仿宋" w:eastAsia="仿宋" w:cs="仿宋"/>
          <w:b/>
          <w:bCs/>
          <w:color w:val="auto"/>
        </w:rPr>
      </w:pPr>
      <w:r>
        <w:rPr>
          <w:rFonts w:hint="eastAsia" w:ascii="仿宋" w:hAnsi="仿宋" w:eastAsia="仿宋" w:cs="仿宋"/>
          <w:b/>
          <w:bCs/>
          <w:color w:val="auto"/>
        </w:rPr>
        <w:t>分项报价表</w:t>
      </w:r>
    </w:p>
    <w:p>
      <w:pPr>
        <w:tabs>
          <w:tab w:val="right" w:pos="9072"/>
        </w:tabs>
        <w:spacing w:line="480" w:lineRule="exact"/>
        <w:rPr>
          <w:rFonts w:hint="eastAsia" w:ascii="仿宋" w:hAnsi="仿宋" w:eastAsia="仿宋" w:cs="仿宋"/>
          <w:color w:val="auto"/>
        </w:rPr>
      </w:pPr>
      <w:r>
        <w:rPr>
          <w:rFonts w:hint="eastAsia" w:ascii="仿宋" w:hAnsi="仿宋" w:eastAsia="仿宋" w:cs="仿宋"/>
          <w:color w:val="auto"/>
        </w:rPr>
        <w:tab/>
      </w:r>
      <w:r>
        <w:rPr>
          <w:rFonts w:hint="eastAsia" w:ascii="仿宋" w:hAnsi="仿宋" w:eastAsia="仿宋" w:cs="仿宋"/>
          <w:color w:val="auto"/>
        </w:rPr>
        <w:t>单位：元</w:t>
      </w:r>
    </w:p>
    <w:tbl>
      <w:tblPr>
        <w:tblStyle w:val="2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297"/>
        <w:gridCol w:w="2514"/>
        <w:gridCol w:w="1036"/>
        <w:gridCol w:w="1036"/>
        <w:gridCol w:w="1037"/>
        <w:gridCol w:w="113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一</w:t>
            </w:r>
          </w:p>
        </w:tc>
        <w:tc>
          <w:tcPr>
            <w:tcW w:w="9056" w:type="dxa"/>
            <w:gridSpan w:val="7"/>
            <w:shd w:val="clear" w:color="auto" w:fill="F1F1F1" w:themeFill="background1" w:themeFillShade="F2"/>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产品购置费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产品名称</w:t>
            </w:r>
          </w:p>
        </w:tc>
        <w:tc>
          <w:tcPr>
            <w:tcW w:w="2514"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品牌及规格型号</w:t>
            </w:r>
          </w:p>
        </w:tc>
        <w:tc>
          <w:tcPr>
            <w:tcW w:w="1036"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生产厂家</w:t>
            </w:r>
          </w:p>
        </w:tc>
        <w:tc>
          <w:tcPr>
            <w:tcW w:w="1036"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0070C0"/>
              </w:rPr>
            </w:pPr>
            <w:r>
              <w:rPr>
                <w:rFonts w:hint="eastAsia" w:ascii="仿宋" w:hAnsi="仿宋" w:eastAsia="仿宋" w:cs="仿宋"/>
                <w:b/>
                <w:color w:val="000000" w:themeColor="text1"/>
                <w14:textFill>
                  <w14:solidFill>
                    <w14:schemeClr w14:val="tx1"/>
                  </w14:solidFill>
                </w14:textFill>
              </w:rPr>
              <w:t>是否小微企业产品</w:t>
            </w:r>
          </w:p>
        </w:tc>
        <w:tc>
          <w:tcPr>
            <w:tcW w:w="1037"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数量</w:t>
            </w:r>
          </w:p>
        </w:tc>
        <w:tc>
          <w:tcPr>
            <w:tcW w:w="1134" w:type="dxa"/>
            <w:shd w:val="clear" w:color="auto" w:fill="auto"/>
            <w:noWrap/>
            <w:tcMar>
              <w:top w:w="20" w:type="dxa"/>
              <w:left w:w="20" w:type="dxa"/>
              <w:bottom w:w="0" w:type="dxa"/>
              <w:right w:w="20" w:type="dxa"/>
            </w:tcMar>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单价</w:t>
            </w:r>
          </w:p>
        </w:tc>
        <w:tc>
          <w:tcPr>
            <w:tcW w:w="1002" w:type="dxa"/>
            <w:shd w:val="clear" w:color="auto" w:fill="auto"/>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二</w:t>
            </w:r>
          </w:p>
        </w:tc>
        <w:tc>
          <w:tcPr>
            <w:tcW w:w="9056" w:type="dxa"/>
            <w:gridSpan w:val="7"/>
            <w:shd w:val="clear" w:color="auto" w:fill="F1F1F1" w:themeFill="background1" w:themeFillShade="F2"/>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序号</w:t>
            </w: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费用名称</w:t>
            </w:r>
          </w:p>
        </w:tc>
        <w:tc>
          <w:tcPr>
            <w:tcW w:w="4586" w:type="dxa"/>
            <w:gridSpan w:val="3"/>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费用描述</w:t>
            </w: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数量</w:t>
            </w: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单价</w:t>
            </w:r>
          </w:p>
        </w:tc>
        <w:tc>
          <w:tcPr>
            <w:tcW w:w="1002" w:type="dxa"/>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hint="eastAsia" w:ascii="仿宋" w:hAnsi="仿宋" w:eastAsia="仿宋" w:cs="仿宋"/>
                <w:bCs/>
                <w:color w:val="auto"/>
              </w:rPr>
            </w:pPr>
          </w:p>
        </w:tc>
        <w:tc>
          <w:tcPr>
            <w:tcW w:w="1002" w:type="dxa"/>
            <w:vAlign w:val="center"/>
          </w:tcPr>
          <w:p>
            <w:pPr>
              <w:spacing w:line="440" w:lineRule="exact"/>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4" w:type="dxa"/>
            <w:gridSpan w:val="7"/>
            <w:noWrap/>
            <w:tcMar>
              <w:top w:w="20" w:type="dxa"/>
              <w:left w:w="20" w:type="dxa"/>
              <w:bottom w:w="0" w:type="dxa"/>
              <w:right w:w="20" w:type="dxa"/>
            </w:tcMar>
            <w:vAlign w:val="center"/>
          </w:tcPr>
          <w:p>
            <w:pPr>
              <w:spacing w:line="440" w:lineRule="exact"/>
              <w:jc w:val="center"/>
              <w:rPr>
                <w:rFonts w:hint="eastAsia" w:ascii="仿宋" w:hAnsi="仿宋" w:eastAsia="仿宋" w:cs="仿宋"/>
                <w:b/>
                <w:bCs/>
                <w:color w:val="auto"/>
              </w:rPr>
            </w:pPr>
            <w:r>
              <w:rPr>
                <w:rFonts w:hint="eastAsia" w:ascii="仿宋" w:hAnsi="仿宋" w:eastAsia="仿宋" w:cs="仿宋"/>
                <w:b/>
                <w:bCs/>
                <w:color w:val="auto"/>
              </w:rPr>
              <w:t>总计</w:t>
            </w:r>
          </w:p>
        </w:tc>
        <w:tc>
          <w:tcPr>
            <w:tcW w:w="1002" w:type="dxa"/>
            <w:vAlign w:val="center"/>
          </w:tcPr>
          <w:p>
            <w:pPr>
              <w:spacing w:line="440" w:lineRule="exact"/>
              <w:jc w:val="center"/>
              <w:rPr>
                <w:rFonts w:hint="eastAsia" w:ascii="仿宋" w:hAnsi="仿宋" w:eastAsia="仿宋" w:cs="仿宋"/>
                <w:b/>
                <w:bCs/>
                <w:color w:val="auto"/>
              </w:rPr>
            </w:pPr>
          </w:p>
        </w:tc>
      </w:tr>
    </w:tbl>
    <w:p>
      <w:pPr>
        <w:tabs>
          <w:tab w:val="right" w:pos="9070"/>
        </w:tabs>
        <w:spacing w:line="480" w:lineRule="exact"/>
        <w:rPr>
          <w:rFonts w:hint="eastAsia" w:ascii="仿宋" w:hAnsi="仿宋" w:eastAsia="仿宋" w:cs="仿宋"/>
          <w:color w:val="auto"/>
        </w:rPr>
      </w:pPr>
      <w:r>
        <w:rPr>
          <w:rFonts w:hint="eastAsia" w:ascii="仿宋" w:hAnsi="仿宋" w:eastAsia="仿宋" w:cs="仿宋"/>
          <w:color w:val="auto"/>
        </w:rPr>
        <w:t>供应商：（供应商全称并加盖公章）</w:t>
      </w:r>
    </w:p>
    <w:p>
      <w:pPr>
        <w:tabs>
          <w:tab w:val="right" w:pos="9070"/>
        </w:tabs>
        <w:spacing w:line="480" w:lineRule="exact"/>
        <w:rPr>
          <w:rFonts w:hint="eastAsia" w:ascii="仿宋" w:hAnsi="仿宋" w:eastAsia="仿宋" w:cs="仿宋"/>
          <w:bCs/>
          <w:color w:val="auto"/>
        </w:rPr>
      </w:pPr>
      <w:r>
        <w:rPr>
          <w:rFonts w:hint="eastAsia" w:ascii="仿宋" w:hAnsi="仿宋" w:eastAsia="仿宋" w:cs="仿宋"/>
          <w:bCs/>
          <w:color w:val="auto"/>
        </w:rPr>
        <w:t>日    期：    年    月    日</w:t>
      </w:r>
    </w:p>
    <w:p>
      <w:pPr>
        <w:pStyle w:val="19"/>
        <w:ind w:firstLine="210"/>
        <w:rPr>
          <w:rFonts w:hint="eastAsia" w:ascii="仿宋" w:hAnsi="仿宋" w:eastAsia="仿宋" w:cs="仿宋"/>
        </w:rPr>
      </w:pPr>
    </w:p>
    <w:p>
      <w:pPr>
        <w:tabs>
          <w:tab w:val="right" w:pos="9070"/>
        </w:tabs>
        <w:spacing w:line="480" w:lineRule="exact"/>
        <w:rPr>
          <w:rFonts w:hint="eastAsia" w:ascii="仿宋" w:hAnsi="仿宋" w:eastAsia="仿宋" w:cs="仿宋"/>
          <w:bCs/>
          <w:color w:val="auto"/>
        </w:rPr>
      </w:pPr>
      <w:r>
        <w:rPr>
          <w:rFonts w:hint="eastAsia" w:ascii="仿宋" w:hAnsi="仿宋" w:eastAsia="仿宋" w:cs="仿宋"/>
          <w:bCs/>
          <w:color w:val="auto"/>
        </w:rPr>
        <w:t>注：1</w:t>
      </w:r>
      <w:r>
        <w:rPr>
          <w:rFonts w:hint="eastAsia" w:ascii="仿宋" w:hAnsi="仿宋" w:eastAsia="仿宋" w:cs="仿宋"/>
          <w:color w:val="auto"/>
          <w:kern w:val="24"/>
        </w:rPr>
        <w:t>．</w:t>
      </w:r>
      <w:r>
        <w:rPr>
          <w:rFonts w:hint="eastAsia" w:ascii="仿宋" w:hAnsi="仿宋" w:eastAsia="仿宋" w:cs="仿宋"/>
          <w:bCs/>
          <w:color w:val="auto"/>
        </w:rPr>
        <w:t>监狱企业、残疾人福利性单位视同小微企业。</w:t>
      </w:r>
    </w:p>
    <w:p>
      <w:pPr>
        <w:tabs>
          <w:tab w:val="right" w:pos="9070"/>
        </w:tabs>
        <w:spacing w:line="480" w:lineRule="exact"/>
        <w:ind w:firstLine="420" w:firstLineChars="200"/>
        <w:rPr>
          <w:rFonts w:hint="eastAsia" w:ascii="仿宋" w:hAnsi="仿宋" w:eastAsia="仿宋" w:cs="仿宋"/>
          <w:bCs/>
          <w:color w:val="auto"/>
        </w:rPr>
      </w:pPr>
      <w:r>
        <w:rPr>
          <w:rFonts w:hint="eastAsia" w:ascii="仿宋" w:hAnsi="仿宋" w:eastAsia="仿宋" w:cs="仿宋"/>
          <w:bCs/>
          <w:color w:val="auto"/>
        </w:rPr>
        <w:t>2</w:t>
      </w:r>
      <w:r>
        <w:rPr>
          <w:rFonts w:hint="eastAsia" w:ascii="仿宋" w:hAnsi="仿宋" w:eastAsia="仿宋" w:cs="仿宋"/>
          <w:color w:val="auto"/>
          <w:kern w:val="24"/>
        </w:rPr>
        <w:t>．</w:t>
      </w:r>
      <w:r>
        <w:rPr>
          <w:rFonts w:hint="eastAsia" w:ascii="仿宋" w:hAnsi="仿宋" w:eastAsia="仿宋" w:cs="仿宋"/>
          <w:bCs/>
          <w:color w:val="auto"/>
        </w:rPr>
        <w:t>“是否小微企业产品”一栏若有漏报，将被视为“非小微企业产品”。</w:t>
      </w:r>
    </w:p>
    <w:p>
      <w:pPr>
        <w:tabs>
          <w:tab w:val="right" w:pos="9070"/>
        </w:tabs>
        <w:spacing w:line="480" w:lineRule="exact"/>
        <w:ind w:firstLine="420" w:firstLineChars="200"/>
        <w:rPr>
          <w:rFonts w:hint="eastAsia" w:ascii="仿宋" w:hAnsi="仿宋" w:eastAsia="仿宋" w:cs="仿宋"/>
          <w:bCs/>
          <w:color w:val="auto"/>
        </w:rPr>
      </w:pPr>
      <w:r>
        <w:rPr>
          <w:rFonts w:hint="eastAsia" w:ascii="仿宋" w:hAnsi="仿宋" w:eastAsia="仿宋" w:cs="仿宋"/>
          <w:bCs/>
          <w:color w:val="auto"/>
        </w:rPr>
        <w:t>3</w:t>
      </w:r>
      <w:r>
        <w:rPr>
          <w:rFonts w:hint="eastAsia" w:ascii="仿宋" w:hAnsi="仿宋" w:eastAsia="仿宋" w:cs="仿宋"/>
          <w:color w:val="auto"/>
          <w:kern w:val="24"/>
        </w:rPr>
        <w:t>．此表仅供参考，投标人</w:t>
      </w:r>
      <w:r>
        <w:rPr>
          <w:rFonts w:hint="eastAsia" w:ascii="仿宋" w:hAnsi="仿宋" w:eastAsia="仿宋" w:cs="仿宋"/>
          <w:bCs/>
          <w:color w:val="auto"/>
        </w:rPr>
        <w:t>可自行扩展，但需响应第三章各标段要求的参数。</w:t>
      </w:r>
    </w:p>
    <w:p>
      <w:pPr>
        <w:spacing w:line="48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37"/>
        <w:spacing w:before="210" w:after="210"/>
        <w:rPr>
          <w:rFonts w:hint="eastAsia" w:ascii="仿宋" w:hAnsi="仿宋" w:eastAsia="仿宋" w:cs="仿宋"/>
          <w:b/>
          <w:bCs/>
          <w:color w:val="auto"/>
        </w:rPr>
      </w:pPr>
      <w:r>
        <w:rPr>
          <w:rFonts w:hint="eastAsia" w:ascii="仿宋" w:hAnsi="仿宋" w:eastAsia="仿宋" w:cs="仿宋"/>
          <w:b/>
          <w:bCs/>
          <w:color w:val="auto"/>
        </w:rPr>
        <w:t>第三部分资格证明文件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按照招标文件第一章《招标公告》所列“供应商资格要求”提供各项资格证明文件，未按要求提供的，其投标文件将被视为无效文件。</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（一）在中华人民共和国境内注册，依法取得并有效存续的营业执照（含电子营业执照）/事业单位法人证书/民办非企业单位登记证书/非企业专业服务机构执业许可证等。</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（二）财务状况报告</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或在开标日期前6个月内其基本开户银行出具的资信证明（附《基本存款账户信息》或《银行开户许可证》复印件）；</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或财政部门认可的政府采购专业担保机构出具的投标担保函；</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或表明具有良好的商业信誉和健全的财务会计制度的诚信声明；</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以上四种形式的资料提供任何一种即可。</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（三）具有履行合同所必需的设备和专业技术能力（提供承诺书，格式自拟）。</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四）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五）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（六）参加本次政府采购活动前3年内在经营活动中没有重大违法记录，以及未被列入失信被执行人、重大税收违法案件当事人名单、政府采购严重违法失信行为记录名单的书面声明。</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（七）法定代表人（主要负责人）委托代理人参加投标时，应提供法定代表人（主要负责人）委托授权书；法定代表人（主要负责人）亲自参加投标时，应提供法定代表人（主要负责人）身份证明书。</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八）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提示：</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1．供应商可通过【信用中国】（www.creditchina.gov.cn）、【中国政府采购网】（www.ccgp.gov.cn）网站对自身信用记录进行自查，并按查询结果填写下述声明。</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2．供应商在参加政府采购活动前三年内因违法经营被禁止在一定期限内参加政府采购活动，期限届满的，可以参加政府采购活动，但应提供期限届满的证明材料。</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供应商符合《政府采购法》第二十二条规定条件的承诺函</w:t>
      </w:r>
    </w:p>
    <w:p>
      <w:pPr>
        <w:pStyle w:val="10"/>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 xml:space="preserve">致中技国际招标有限公司： </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本公司</w:t>
      </w:r>
      <w:r>
        <w:rPr>
          <w:rFonts w:hint="eastAsia" w:ascii="仿宋" w:hAnsi="仿宋" w:eastAsia="仿宋" w:cs="仿宋"/>
          <w:color w:val="auto"/>
          <w:szCs w:val="24"/>
          <w:u w:val="single"/>
        </w:rPr>
        <w:t xml:space="preserve">                   （公司名称）</w:t>
      </w:r>
      <w:r>
        <w:rPr>
          <w:rFonts w:hint="eastAsia" w:ascii="仿宋" w:hAnsi="仿宋" w:eastAsia="仿宋" w:cs="仿宋"/>
          <w:color w:val="auto"/>
          <w:szCs w:val="24"/>
        </w:rPr>
        <w:t>参加</w:t>
      </w:r>
      <w:r>
        <w:rPr>
          <w:rFonts w:hint="eastAsia" w:ascii="仿宋" w:hAnsi="仿宋" w:eastAsia="仿宋" w:cs="仿宋"/>
          <w:color w:val="auto"/>
          <w:szCs w:val="24"/>
          <w:u w:val="single"/>
        </w:rPr>
        <w:t>（项目名称）</w:t>
      </w:r>
      <w:r>
        <w:rPr>
          <w:rFonts w:hint="eastAsia" w:ascii="仿宋" w:hAnsi="仿宋" w:eastAsia="仿宋" w:cs="仿宋"/>
          <w:color w:val="auto"/>
          <w:szCs w:val="24"/>
        </w:rPr>
        <w:t>的磋商活动，现承诺：</w:t>
      </w:r>
    </w:p>
    <w:p>
      <w:pPr>
        <w:pStyle w:val="10"/>
        <w:spacing w:line="360" w:lineRule="auto"/>
        <w:ind w:left="0" w:leftChars="0" w:firstLine="540" w:firstLineChars="225"/>
        <w:rPr>
          <w:rFonts w:hint="eastAsia" w:ascii="仿宋" w:hAnsi="仿宋" w:eastAsia="仿宋" w:cs="仿宋"/>
          <w:color w:val="auto"/>
          <w:szCs w:val="24"/>
        </w:rPr>
      </w:pPr>
      <w:r>
        <w:rPr>
          <w:rFonts w:hint="eastAsia" w:ascii="仿宋" w:hAnsi="仿宋" w:eastAsia="仿宋" w:cs="仿宋"/>
          <w:color w:val="auto"/>
          <w:szCs w:val="24"/>
        </w:rPr>
        <w:t>我公司满足政府采购法第二十二条关于供应商的资格要求：</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（一）具有独立承担民事责任的能力；</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（二）具有良好的商业信誉和健全的财务会计制度；</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（三）具有履行合同所必需的设备和专业技术能力；</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（四）有依法缴纳税收的良好记录；</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（五）参加政府采购活动前三年内，在经营活动中没有重大违法记录；</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（六）法律、行政法规规定的其他条件。</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同时也满足本项目法律法规规章规定关于供应商的其他资格性条件，未参与本竞争性磋商前期咨询论证，不属于禁止参加投标的供应商。</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如违反以上承诺，本公司愿承担一切法律责任。</w:t>
      </w:r>
    </w:p>
    <w:p>
      <w:pPr>
        <w:pStyle w:val="10"/>
        <w:spacing w:line="360" w:lineRule="auto"/>
        <w:ind w:left="0" w:leftChars="0"/>
        <w:rPr>
          <w:rFonts w:hint="eastAsia" w:ascii="仿宋" w:hAnsi="仿宋" w:eastAsia="仿宋" w:cs="仿宋"/>
          <w:color w:val="auto"/>
          <w:szCs w:val="24"/>
        </w:rPr>
      </w:pPr>
    </w:p>
    <w:p>
      <w:pPr>
        <w:pStyle w:val="10"/>
        <w:spacing w:line="360" w:lineRule="auto"/>
        <w:ind w:left="0" w:leftChars="0" w:firstLine="480" w:firstLineChars="200"/>
        <w:rPr>
          <w:rFonts w:hint="eastAsia" w:ascii="仿宋" w:hAnsi="仿宋" w:eastAsia="仿宋" w:cs="仿宋"/>
          <w:color w:val="auto"/>
          <w:szCs w:val="24"/>
        </w:rPr>
      </w:pP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供应商（盖章）：                   </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法定代表人或被授权人（签字）：</w:t>
      </w:r>
    </w:p>
    <w:p>
      <w:pPr>
        <w:pStyle w:val="10"/>
        <w:spacing w:line="360" w:lineRule="auto"/>
        <w:ind w:left="0" w:leftChars="0" w:firstLine="480" w:firstLineChars="200"/>
        <w:rPr>
          <w:rFonts w:hint="eastAsia" w:ascii="仿宋" w:hAnsi="仿宋" w:eastAsia="仿宋" w:cs="仿宋"/>
          <w:color w:val="auto"/>
          <w:szCs w:val="24"/>
        </w:rPr>
      </w:pPr>
      <w:r>
        <w:rPr>
          <w:rFonts w:hint="eastAsia" w:ascii="仿宋" w:hAnsi="仿宋" w:eastAsia="仿宋" w:cs="仿宋"/>
          <w:color w:val="auto"/>
          <w:szCs w:val="24"/>
        </w:rPr>
        <w:t>日  期：   年    月    日</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无重大违法记录声明</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〈政府采购代理机构〉：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我方作为</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w:t>
      </w:r>
      <w:r>
        <w:rPr>
          <w:rFonts w:hint="eastAsia" w:ascii="仿宋" w:hAnsi="仿宋" w:eastAsia="仿宋" w:cs="仿宋"/>
          <w:color w:val="auto"/>
          <w:u w:val="single"/>
        </w:rPr>
        <w:t>〈标段名称〉</w:t>
      </w:r>
      <w:r>
        <w:rPr>
          <w:rFonts w:hint="eastAsia" w:ascii="仿宋" w:hAnsi="仿宋" w:eastAsia="仿宋" w:cs="仿宋"/>
          <w:color w:val="auto"/>
        </w:rPr>
        <w:t>的投标供应商，在此郑重声明：</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1．在参加本次政府采购活动前3年内的经营活动中</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（填“没有”或“有”）重大违法记录。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（填“未被列入”或“被列入”）失信被执行人名单。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（填“未被列入”或“被列入”）重大税收违法案件当事人名单。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（填“未被列入”或“被列入”）政府采购严重违法失信行为记录名单。</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如有不实，我方将无条件地退出本项目的采购活动，并遵照《政府采购法》有关“提供虚假材料的规定”接受处罚。</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特此声明。</w:t>
      </w:r>
    </w:p>
    <w:p>
      <w:pPr>
        <w:pStyle w:val="35"/>
        <w:tabs>
          <w:tab w:val="center" w:pos="5812"/>
        </w:tabs>
        <w:spacing w:line="360" w:lineRule="auto"/>
        <w:ind w:firstLine="480"/>
        <w:rPr>
          <w:rFonts w:hint="eastAsia" w:ascii="仿宋" w:hAnsi="仿宋" w:eastAsia="仿宋" w:cs="仿宋"/>
          <w:color w:val="auto"/>
        </w:rPr>
      </w:pPr>
    </w:p>
    <w:p>
      <w:pPr>
        <w:pStyle w:val="35"/>
        <w:tabs>
          <w:tab w:val="center" w:pos="5812"/>
        </w:tabs>
        <w:spacing w:line="360" w:lineRule="auto"/>
        <w:ind w:firstLine="480"/>
        <w:rPr>
          <w:rFonts w:hint="eastAsia" w:ascii="仿宋" w:hAnsi="仿宋" w:eastAsia="仿宋" w:cs="仿宋"/>
          <w:color w:val="auto"/>
        </w:rPr>
      </w:pPr>
    </w:p>
    <w:p>
      <w:pPr>
        <w:pStyle w:val="35"/>
        <w:tabs>
          <w:tab w:val="center" w:pos="5812"/>
        </w:tabs>
        <w:spacing w:line="36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tabs>
          <w:tab w:val="center" w:pos="5812"/>
        </w:tabs>
        <w:spacing w:line="36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lang w:val="en-US" w:eastAsia="zh-CN"/>
        </w:rPr>
        <w:t xml:space="preserve">    </w:t>
      </w:r>
      <w:r>
        <w:rPr>
          <w:rFonts w:hint="eastAsia" w:ascii="仿宋" w:hAnsi="仿宋" w:eastAsia="仿宋" w:cs="仿宋"/>
          <w:color w:val="auto"/>
        </w:rPr>
        <w:t>年</w:t>
      </w:r>
      <w:r>
        <w:rPr>
          <w:rFonts w:hint="eastAsia" w:ascii="仿宋" w:hAnsi="仿宋" w:eastAsia="仿宋" w:cs="仿宋"/>
          <w:color w:val="auto"/>
          <w:lang w:val="en-US" w:eastAsia="zh-CN"/>
        </w:rPr>
        <w:t xml:space="preserve">    </w:t>
      </w:r>
      <w:r>
        <w:rPr>
          <w:rFonts w:hint="eastAsia" w:ascii="仿宋" w:hAnsi="仿宋" w:eastAsia="仿宋" w:cs="仿宋"/>
          <w:color w:val="auto"/>
        </w:rPr>
        <w:t>月</w:t>
      </w:r>
      <w:r>
        <w:rPr>
          <w:rFonts w:hint="eastAsia" w:ascii="仿宋" w:hAnsi="仿宋" w:eastAsia="仿宋" w:cs="仿宋"/>
          <w:color w:val="auto"/>
          <w:lang w:val="en-US" w:eastAsia="zh-CN"/>
        </w:rPr>
        <w:t xml:space="preserve">    </w:t>
      </w:r>
      <w:r>
        <w:rPr>
          <w:rFonts w:hint="eastAsia" w:ascii="仿宋" w:hAnsi="仿宋" w:eastAsia="仿宋" w:cs="仿宋"/>
          <w:color w:val="auto"/>
        </w:rPr>
        <w:t>日</w:t>
      </w:r>
    </w:p>
    <w:p>
      <w:pPr>
        <w:tabs>
          <w:tab w:val="center" w:pos="6663"/>
        </w:tabs>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38"/>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法定代表人（主要负责人）委托授权书/身份证明（按下方给定格式进行填写）</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2）委托授权书/身份证明（二选一）：法定代表人（主要负责人）委托代理人参加投标时，提供法定代表人（主要负责人）委托授权书；法定代表人（主要负责人）亲自参加投标时，提供法定代表人（主要负责人）身份证明。</w:t>
      </w:r>
    </w:p>
    <w:p>
      <w:pPr>
        <w:spacing w:beforeLines="5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法定代表人（主要负责人）身份证明（格式）</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〈政府采购代理机构〉：</w:t>
      </w:r>
    </w:p>
    <w:p>
      <w:pPr>
        <w:spacing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〈法定代表人（主要负责人）姓名〉</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〈供应商全称〉</w:t>
      </w:r>
      <w:r>
        <w:rPr>
          <w:rFonts w:hint="eastAsia" w:ascii="仿宋" w:hAnsi="仿宋" w:eastAsia="仿宋" w:cs="仿宋"/>
          <w:color w:val="auto"/>
          <w:sz w:val="24"/>
          <w:szCs w:val="24"/>
        </w:rPr>
        <w:t>的法定代表人（主要负责人），特此证明。</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9057" w:type="dxa"/>
            <w:vAlign w:val="center"/>
          </w:tcPr>
          <w:p>
            <w:pPr>
              <w:spacing w:afterLines="150" w:line="360" w:lineRule="auto"/>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spacing w:line="360" w:lineRule="auto"/>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身份证正反面（扫描件）</w:t>
            </w:r>
          </w:p>
          <w:p>
            <w:pPr>
              <w:spacing w:line="360" w:lineRule="auto"/>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或护照资料页（扫描件）</w:t>
            </w:r>
          </w:p>
        </w:tc>
      </w:tr>
    </w:tbl>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法定代表人（主要负责人）委托授权书（格式）</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t>〈政府采购代理机构〉：</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现委派</w:t>
      </w:r>
      <w:r>
        <w:rPr>
          <w:rFonts w:hint="eastAsia" w:ascii="仿宋" w:hAnsi="仿宋" w:eastAsia="仿宋" w:cs="仿宋"/>
          <w:color w:val="auto"/>
          <w:u w:val="single"/>
        </w:rPr>
        <w:t>〈代理人姓名〉</w:t>
      </w:r>
      <w:r>
        <w:rPr>
          <w:rFonts w:hint="eastAsia" w:ascii="仿宋" w:hAnsi="仿宋" w:eastAsia="仿宋" w:cs="仿宋"/>
          <w:color w:val="auto"/>
        </w:rPr>
        <w:t>代表我方参加贵中心组织的</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标段</w:t>
      </w:r>
      <w:r>
        <w:rPr>
          <w:rFonts w:hint="eastAsia" w:ascii="仿宋" w:hAnsi="仿宋" w:eastAsia="仿宋" w:cs="仿宋"/>
          <w:color w:val="auto"/>
          <w:u w:val="single"/>
        </w:rPr>
        <w:t>〈标段名称〉</w:t>
      </w:r>
      <w:r>
        <w:rPr>
          <w:rFonts w:hint="eastAsia" w:ascii="仿宋" w:hAnsi="仿宋" w:eastAsia="仿宋" w:cs="仿宋"/>
          <w:color w:val="auto"/>
        </w:rPr>
        <w:t>政府采购活动，以我方名义签署、澄清、确认、递交、撤回、修改投标文件，签订合同和全权处理一切与之有关的事宜，其法律后果由我方承担。</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本授权有效期与投标文件有效期一致。代理人无转委托权。</w:t>
      </w:r>
    </w:p>
    <w:p>
      <w:pPr>
        <w:pStyle w:val="35"/>
        <w:tabs>
          <w:tab w:val="left" w:pos="5387"/>
        </w:tabs>
        <w:spacing w:beforeLines="50" w:line="360" w:lineRule="auto"/>
        <w:ind w:firstLine="480"/>
        <w:rPr>
          <w:rFonts w:hint="eastAsia" w:ascii="仿宋" w:hAnsi="仿宋" w:eastAsia="仿宋" w:cs="仿宋"/>
          <w:color w:val="auto"/>
        </w:rPr>
      </w:pPr>
      <w:r>
        <w:rPr>
          <w:rFonts w:hint="eastAsia" w:ascii="仿宋" w:hAnsi="仿宋" w:eastAsia="仿宋" w:cs="仿宋"/>
          <w:color w:val="auto"/>
        </w:rPr>
        <w:t>代理人姓名：</w:t>
      </w:r>
      <w:r>
        <w:rPr>
          <w:rFonts w:hint="eastAsia" w:ascii="仿宋" w:hAnsi="仿宋" w:eastAsia="仿宋" w:cs="仿宋"/>
          <w:color w:val="auto"/>
        </w:rPr>
        <w:tab/>
      </w:r>
      <w:r>
        <w:rPr>
          <w:rFonts w:hint="eastAsia" w:ascii="仿宋" w:hAnsi="仿宋" w:eastAsia="仿宋" w:cs="仿宋"/>
          <w:color w:val="auto"/>
        </w:rPr>
        <w:t>联系电话：</w:t>
      </w:r>
    </w:p>
    <w:p>
      <w:pPr>
        <w:pStyle w:val="35"/>
        <w:tabs>
          <w:tab w:val="left" w:pos="5387"/>
        </w:tabs>
        <w:spacing w:line="360" w:lineRule="auto"/>
        <w:ind w:firstLine="480"/>
        <w:rPr>
          <w:rFonts w:hint="eastAsia" w:ascii="仿宋" w:hAnsi="仿宋" w:eastAsia="仿宋" w:cs="仿宋"/>
          <w:color w:val="auto"/>
        </w:rPr>
      </w:pPr>
      <w:r>
        <w:rPr>
          <w:rFonts w:hint="eastAsia" w:ascii="仿宋" w:hAnsi="仿宋" w:eastAsia="仿宋" w:cs="仿宋"/>
          <w:color w:val="auto"/>
        </w:rPr>
        <w:t>身份证（护照）号码：</w:t>
      </w:r>
      <w:r>
        <w:rPr>
          <w:rFonts w:hint="eastAsia" w:ascii="仿宋" w:hAnsi="仿宋" w:eastAsia="仿宋" w:cs="仿宋"/>
          <w:color w:val="auto"/>
        </w:rPr>
        <w:tab/>
      </w:r>
      <w:r>
        <w:rPr>
          <w:rFonts w:hint="eastAsia" w:ascii="仿宋" w:hAnsi="仿宋" w:eastAsia="仿宋" w:cs="仿宋"/>
          <w:color w:val="auto"/>
        </w:rPr>
        <w:t>职务：</w:t>
      </w:r>
    </w:p>
    <w:p>
      <w:pPr>
        <w:pStyle w:val="35"/>
        <w:tabs>
          <w:tab w:val="left" w:pos="4395"/>
        </w:tabs>
        <w:spacing w:afterLines="50" w:line="360" w:lineRule="auto"/>
        <w:ind w:firstLine="480"/>
        <w:rPr>
          <w:rFonts w:hint="eastAsia" w:ascii="仿宋" w:hAnsi="仿宋" w:eastAsia="仿宋" w:cs="仿宋"/>
          <w:color w:val="auto"/>
        </w:rPr>
      </w:pPr>
      <w:r>
        <w:rPr>
          <w:rFonts w:hint="eastAsia" w:ascii="仿宋" w:hAnsi="仿宋" w:eastAsia="仿宋" w:cs="仿宋"/>
          <w:color w:val="auto"/>
        </w:rPr>
        <w:t>通讯地址：</w:t>
      </w:r>
    </w:p>
    <w:tbl>
      <w:tblPr>
        <w:tblStyle w:val="2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vAlign w:val="bottom"/>
          </w:tcPr>
          <w:p>
            <w:pPr>
              <w:spacing w:afterLines="150" w:line="360" w:lineRule="auto"/>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spacing w:line="360" w:lineRule="auto"/>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身份证正反面（扫描件）或护照资料页（扫描件）</w:t>
            </w:r>
          </w:p>
        </w:tc>
        <w:tc>
          <w:tcPr>
            <w:tcW w:w="4686" w:type="dxa"/>
            <w:vAlign w:val="bottom"/>
          </w:tcPr>
          <w:p>
            <w:pPr>
              <w:spacing w:afterLines="150" w:line="360" w:lineRule="auto"/>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身份证正反面（扫描件）或护照资料页（扫描件）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Pr>
          <w:p>
            <w:pPr>
              <w:spacing w:line="360" w:lineRule="auto"/>
              <w:jc w:val="center"/>
              <w:rPr>
                <w:rFonts w:hint="eastAsia" w:ascii="仿宋" w:hAnsi="仿宋" w:eastAsia="仿宋" w:cs="仿宋"/>
                <w:color w:val="auto"/>
                <w:sz w:val="24"/>
                <w:szCs w:val="24"/>
              </w:rPr>
            </w:pPr>
          </w:p>
        </w:tc>
        <w:tc>
          <w:tcPr>
            <w:tcW w:w="4686" w:type="dxa"/>
          </w:tcPr>
          <w:p>
            <w:pPr>
              <w:spacing w:line="360" w:lineRule="auto"/>
              <w:jc w:val="center"/>
              <w:rPr>
                <w:rFonts w:hint="eastAsia" w:ascii="仿宋" w:hAnsi="仿宋" w:eastAsia="仿宋" w:cs="仿宋"/>
                <w:color w:val="auto"/>
                <w:sz w:val="24"/>
                <w:szCs w:val="24"/>
              </w:rPr>
            </w:pPr>
          </w:p>
        </w:tc>
      </w:tr>
    </w:tbl>
    <w:p>
      <w:pPr>
        <w:pStyle w:val="35"/>
        <w:spacing w:line="48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法定代表人（主要负责人）：（签字或盖章）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授权日期：</w:t>
      </w:r>
      <w:r>
        <w:rPr>
          <w:rFonts w:hint="eastAsia" w:ascii="仿宋" w:hAnsi="仿宋" w:eastAsia="仿宋" w:cs="仿宋"/>
          <w:color w:val="auto"/>
          <w:lang w:val="en-US" w:eastAsia="zh-CN"/>
        </w:rPr>
        <w:t xml:space="preserve">   </w:t>
      </w:r>
      <w:r>
        <w:rPr>
          <w:rFonts w:hint="eastAsia" w:ascii="仿宋" w:hAnsi="仿宋" w:eastAsia="仿宋" w:cs="仿宋"/>
          <w:color w:val="auto"/>
        </w:rPr>
        <w:t>年</w:t>
      </w:r>
      <w:r>
        <w:rPr>
          <w:rFonts w:hint="eastAsia" w:ascii="仿宋" w:hAnsi="仿宋" w:eastAsia="仿宋" w:cs="仿宋"/>
          <w:color w:val="auto"/>
          <w:lang w:val="en-US" w:eastAsia="zh-CN"/>
        </w:rPr>
        <w:t xml:space="preserve">   </w:t>
      </w:r>
      <w:r>
        <w:rPr>
          <w:rFonts w:hint="eastAsia" w:ascii="仿宋" w:hAnsi="仿宋" w:eastAsia="仿宋" w:cs="仿宋"/>
          <w:color w:val="auto"/>
        </w:rPr>
        <w:t>月</w:t>
      </w:r>
      <w:r>
        <w:rPr>
          <w:rFonts w:hint="eastAsia" w:ascii="仿宋" w:hAnsi="仿宋" w:eastAsia="仿宋" w:cs="仿宋"/>
          <w:color w:val="auto"/>
          <w:lang w:val="en-US" w:eastAsia="zh-CN"/>
        </w:rPr>
        <w:t xml:space="preserve">   </w:t>
      </w:r>
      <w:r>
        <w:rPr>
          <w:rFonts w:hint="eastAsia" w:ascii="仿宋" w:hAnsi="仿宋" w:eastAsia="仿宋" w:cs="仿宋"/>
          <w:color w:val="auto"/>
        </w:rPr>
        <w:t>日</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br w:type="page"/>
      </w:r>
    </w:p>
    <w:p>
      <w:pPr>
        <w:pStyle w:val="38"/>
        <w:rPr>
          <w:rFonts w:hint="eastAsia" w:ascii="仿宋" w:hAnsi="仿宋" w:eastAsia="仿宋" w:cs="仿宋"/>
          <w:color w:val="auto"/>
        </w:rPr>
      </w:pPr>
      <w:r>
        <w:rPr>
          <w:rFonts w:hint="eastAsia" w:ascii="仿宋" w:hAnsi="仿宋" w:eastAsia="仿宋" w:cs="仿宋"/>
          <w:color w:val="auto"/>
        </w:rPr>
        <w:t>招标公告中要求的其他资格证明文件</w:t>
      </w: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pStyle w:val="35"/>
        <w:ind w:firstLine="480"/>
        <w:rPr>
          <w:rFonts w:hint="eastAsia"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hint="eastAsia" w:ascii="仿宋" w:hAnsi="仿宋" w:eastAsia="仿宋" w:cs="仿宋"/>
          <w:b/>
          <w:bCs/>
          <w:color w:val="auto"/>
        </w:rPr>
      </w:pPr>
      <w:r>
        <w:rPr>
          <w:rFonts w:hint="eastAsia" w:ascii="仿宋" w:hAnsi="仿宋" w:eastAsia="仿宋" w:cs="仿宋"/>
          <w:b/>
          <w:bCs/>
          <w:color w:val="auto"/>
        </w:rPr>
        <w:t>第四部分供应商概况</w:t>
      </w:r>
    </w:p>
    <w:p>
      <w:pPr>
        <w:pStyle w:val="38"/>
        <w:rPr>
          <w:rFonts w:hint="eastAsia" w:ascii="仿宋" w:hAnsi="仿宋" w:eastAsia="仿宋" w:cs="仿宋"/>
          <w:color w:val="auto"/>
        </w:rPr>
      </w:pPr>
      <w:r>
        <w:rPr>
          <w:rFonts w:hint="eastAsia" w:ascii="仿宋" w:hAnsi="仿宋" w:eastAsia="仿宋" w:cs="仿宋"/>
          <w:color w:val="auto"/>
        </w:rPr>
        <w:t>（一）供应商基本信息</w:t>
      </w:r>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b/>
                <w:bCs/>
                <w:color w:val="auto"/>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供应商全称</w:t>
            </w:r>
          </w:p>
        </w:tc>
        <w:tc>
          <w:tcPr>
            <w:tcW w:w="7210" w:type="dxa"/>
            <w:gridSpan w:val="5"/>
            <w:tcBorders>
              <w:top w:val="single" w:color="auto" w:sz="6" w:space="0"/>
              <w:bottom w:val="single" w:color="auto" w:sz="6" w:space="0"/>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注册地址</w:t>
            </w:r>
          </w:p>
        </w:tc>
        <w:tc>
          <w:tcPr>
            <w:tcW w:w="2718" w:type="dxa"/>
            <w:gridSpan w:val="2"/>
            <w:tcBorders>
              <w:top w:val="single" w:color="auto" w:sz="6" w:space="0"/>
            </w:tcBorders>
            <w:shd w:val="clear" w:color="auto" w:fill="auto"/>
            <w:vAlign w:val="center"/>
          </w:tcPr>
          <w:p>
            <w:pPr>
              <w:spacing w:line="320" w:lineRule="exact"/>
              <w:jc w:val="center"/>
              <w:rPr>
                <w:rFonts w:hint="eastAsia" w:ascii="仿宋" w:hAnsi="仿宋" w:eastAsia="仿宋" w:cs="仿宋"/>
                <w:color w:val="auto"/>
              </w:rPr>
            </w:pPr>
          </w:p>
        </w:tc>
        <w:tc>
          <w:tcPr>
            <w:tcW w:w="1701" w:type="dxa"/>
            <w:tcBorders>
              <w:top w:val="single" w:color="auto" w:sz="6"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成立时间</w:t>
            </w:r>
          </w:p>
        </w:tc>
        <w:tc>
          <w:tcPr>
            <w:tcW w:w="2791" w:type="dxa"/>
            <w:gridSpan w:val="2"/>
            <w:tcBorders>
              <w:top w:val="single" w:color="auto" w:sz="6" w:space="0"/>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统一社会信用代码</w:t>
            </w:r>
          </w:p>
        </w:tc>
        <w:tc>
          <w:tcPr>
            <w:tcW w:w="2718" w:type="dxa"/>
            <w:gridSpan w:val="2"/>
            <w:shd w:val="clear" w:color="auto" w:fill="auto"/>
            <w:vAlign w:val="center"/>
          </w:tcPr>
          <w:p>
            <w:pPr>
              <w:spacing w:line="320" w:lineRule="exact"/>
              <w:jc w:val="center"/>
              <w:rPr>
                <w:rFonts w:hint="eastAsia" w:ascii="仿宋" w:hAnsi="仿宋" w:eastAsia="仿宋" w:cs="仿宋"/>
                <w:color w:val="auto"/>
              </w:rPr>
            </w:pPr>
          </w:p>
        </w:tc>
        <w:tc>
          <w:tcPr>
            <w:tcW w:w="1701"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单位性质</w:t>
            </w: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法定代表人</w:t>
            </w:r>
          </w:p>
          <w:p>
            <w:pPr>
              <w:spacing w:line="320" w:lineRule="exact"/>
              <w:jc w:val="center"/>
              <w:rPr>
                <w:rFonts w:hint="eastAsia" w:ascii="仿宋" w:hAnsi="仿宋" w:eastAsia="仿宋" w:cs="仿宋"/>
                <w:color w:val="auto"/>
              </w:rPr>
            </w:pPr>
            <w:r>
              <w:rPr>
                <w:rFonts w:hint="eastAsia" w:ascii="仿宋" w:hAnsi="仿宋" w:eastAsia="仿宋" w:cs="仿宋"/>
                <w:color w:val="auto"/>
              </w:rPr>
              <w:t>（主要负责人）</w:t>
            </w:r>
          </w:p>
        </w:tc>
        <w:tc>
          <w:tcPr>
            <w:tcW w:w="2718" w:type="dxa"/>
            <w:gridSpan w:val="2"/>
            <w:shd w:val="clear" w:color="auto" w:fill="auto"/>
            <w:vAlign w:val="center"/>
          </w:tcPr>
          <w:p>
            <w:pPr>
              <w:spacing w:line="320" w:lineRule="exact"/>
              <w:jc w:val="center"/>
              <w:rPr>
                <w:rFonts w:hint="eastAsia" w:ascii="仿宋" w:hAnsi="仿宋" w:eastAsia="仿宋" w:cs="仿宋"/>
                <w:color w:val="auto"/>
              </w:rPr>
            </w:pPr>
          </w:p>
        </w:tc>
        <w:tc>
          <w:tcPr>
            <w:tcW w:w="1701"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所属行业</w:t>
            </w: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基本存款账户</w:t>
            </w:r>
          </w:p>
          <w:p>
            <w:pPr>
              <w:spacing w:line="320" w:lineRule="exact"/>
              <w:jc w:val="center"/>
              <w:rPr>
                <w:rFonts w:hint="eastAsia" w:ascii="仿宋" w:hAnsi="仿宋" w:eastAsia="仿宋" w:cs="仿宋"/>
                <w:color w:val="auto"/>
              </w:rPr>
            </w:pPr>
            <w:r>
              <w:rPr>
                <w:rFonts w:hint="eastAsia" w:ascii="仿宋" w:hAnsi="仿宋" w:eastAsia="仿宋" w:cs="仿宋"/>
                <w:color w:val="auto"/>
              </w:rPr>
              <w:t>开户银行</w:t>
            </w:r>
          </w:p>
        </w:tc>
        <w:tc>
          <w:tcPr>
            <w:tcW w:w="2718" w:type="dxa"/>
            <w:gridSpan w:val="2"/>
            <w:shd w:val="clear" w:color="auto" w:fill="auto"/>
            <w:vAlign w:val="center"/>
          </w:tcPr>
          <w:p>
            <w:pPr>
              <w:spacing w:line="320" w:lineRule="exact"/>
              <w:jc w:val="center"/>
              <w:rPr>
                <w:rFonts w:hint="eastAsia" w:ascii="仿宋" w:hAnsi="仿宋" w:eastAsia="仿宋" w:cs="仿宋"/>
                <w:color w:val="auto"/>
              </w:rPr>
            </w:pPr>
          </w:p>
        </w:tc>
        <w:tc>
          <w:tcPr>
            <w:tcW w:w="1701"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基本存款</w:t>
            </w:r>
          </w:p>
          <w:p>
            <w:pPr>
              <w:spacing w:line="320" w:lineRule="exact"/>
              <w:jc w:val="center"/>
              <w:rPr>
                <w:rFonts w:hint="eastAsia" w:ascii="仿宋" w:hAnsi="仿宋" w:eastAsia="仿宋" w:cs="仿宋"/>
                <w:color w:val="auto"/>
              </w:rPr>
            </w:pPr>
            <w:r>
              <w:rPr>
                <w:rFonts w:hint="eastAsia" w:ascii="仿宋" w:hAnsi="仿宋" w:eastAsia="仿宋" w:cs="仿宋"/>
                <w:color w:val="auto"/>
              </w:rPr>
              <w:t>账户账号</w:t>
            </w: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上年度</w:t>
            </w:r>
          </w:p>
          <w:p>
            <w:pPr>
              <w:spacing w:line="320" w:lineRule="exact"/>
              <w:jc w:val="center"/>
              <w:rPr>
                <w:rFonts w:hint="eastAsia" w:ascii="仿宋" w:hAnsi="仿宋" w:eastAsia="仿宋" w:cs="仿宋"/>
                <w:color w:val="auto"/>
              </w:rPr>
            </w:pPr>
            <w:r>
              <w:rPr>
                <w:rFonts w:hint="eastAsia" w:ascii="仿宋" w:hAnsi="仿宋" w:eastAsia="仿宋" w:cs="仿宋"/>
                <w:color w:val="auto"/>
              </w:rPr>
              <w:t>营业收入</w:t>
            </w:r>
          </w:p>
        </w:tc>
        <w:tc>
          <w:tcPr>
            <w:tcW w:w="2718" w:type="dxa"/>
            <w:gridSpan w:val="2"/>
            <w:shd w:val="clear" w:color="auto" w:fill="auto"/>
            <w:vAlign w:val="center"/>
          </w:tcPr>
          <w:p>
            <w:pPr>
              <w:spacing w:line="320" w:lineRule="exact"/>
              <w:jc w:val="center"/>
              <w:rPr>
                <w:rFonts w:hint="eastAsia" w:ascii="仿宋" w:hAnsi="仿宋" w:eastAsia="仿宋" w:cs="仿宋"/>
                <w:color w:val="auto"/>
              </w:rPr>
            </w:pPr>
          </w:p>
        </w:tc>
        <w:tc>
          <w:tcPr>
            <w:tcW w:w="1701"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资产总额</w:t>
            </w: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经营范围</w:t>
            </w:r>
          </w:p>
        </w:tc>
        <w:tc>
          <w:tcPr>
            <w:tcW w:w="7210" w:type="dxa"/>
            <w:gridSpan w:val="5"/>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资质证书名称</w:t>
            </w:r>
          </w:p>
        </w:tc>
        <w:tc>
          <w:tcPr>
            <w:tcW w:w="2718" w:type="dxa"/>
            <w:gridSpan w:val="2"/>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证书号</w:t>
            </w:r>
          </w:p>
        </w:tc>
        <w:tc>
          <w:tcPr>
            <w:tcW w:w="1701"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等级</w:t>
            </w: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c>
          <w:tcPr>
            <w:tcW w:w="2718" w:type="dxa"/>
            <w:gridSpan w:val="2"/>
            <w:shd w:val="clear" w:color="auto" w:fill="auto"/>
            <w:vAlign w:val="center"/>
          </w:tcPr>
          <w:p>
            <w:pPr>
              <w:spacing w:line="320" w:lineRule="exact"/>
              <w:jc w:val="center"/>
              <w:rPr>
                <w:rFonts w:hint="eastAsia" w:ascii="仿宋" w:hAnsi="仿宋" w:eastAsia="仿宋" w:cs="仿宋"/>
                <w:color w:val="auto"/>
              </w:rPr>
            </w:pPr>
          </w:p>
        </w:tc>
        <w:tc>
          <w:tcPr>
            <w:tcW w:w="1701" w:type="dxa"/>
            <w:shd w:val="clear" w:color="auto" w:fill="auto"/>
            <w:vAlign w:val="center"/>
          </w:tcPr>
          <w:p>
            <w:pPr>
              <w:spacing w:line="320" w:lineRule="exact"/>
              <w:jc w:val="center"/>
              <w:rPr>
                <w:rFonts w:hint="eastAsia" w:ascii="仿宋" w:hAnsi="仿宋" w:eastAsia="仿宋" w:cs="仿宋"/>
                <w:color w:val="auto"/>
              </w:rPr>
            </w:pP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c>
          <w:tcPr>
            <w:tcW w:w="2718" w:type="dxa"/>
            <w:gridSpan w:val="2"/>
            <w:shd w:val="clear" w:color="auto" w:fill="auto"/>
            <w:vAlign w:val="center"/>
          </w:tcPr>
          <w:p>
            <w:pPr>
              <w:spacing w:line="320" w:lineRule="exact"/>
              <w:jc w:val="center"/>
              <w:rPr>
                <w:rFonts w:hint="eastAsia" w:ascii="仿宋" w:hAnsi="仿宋" w:eastAsia="仿宋" w:cs="仿宋"/>
                <w:color w:val="auto"/>
              </w:rPr>
            </w:pPr>
          </w:p>
        </w:tc>
        <w:tc>
          <w:tcPr>
            <w:tcW w:w="1701" w:type="dxa"/>
            <w:shd w:val="clear" w:color="auto" w:fill="auto"/>
            <w:vAlign w:val="center"/>
          </w:tcPr>
          <w:p>
            <w:pPr>
              <w:spacing w:line="320" w:lineRule="exact"/>
              <w:jc w:val="center"/>
              <w:rPr>
                <w:rFonts w:hint="eastAsia" w:ascii="仿宋" w:hAnsi="仿宋" w:eastAsia="仿宋" w:cs="仿宋"/>
                <w:color w:val="auto"/>
              </w:rPr>
            </w:pPr>
          </w:p>
        </w:tc>
        <w:tc>
          <w:tcPr>
            <w:tcW w:w="2791" w:type="dxa"/>
            <w:gridSpan w:val="2"/>
            <w:tcBorders>
              <w:righ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从业人员总数</w:t>
            </w:r>
          </w:p>
        </w:tc>
        <w:tc>
          <w:tcPr>
            <w:tcW w:w="1559" w:type="dxa"/>
            <w:vMerge w:val="restart"/>
            <w:shd w:val="clear" w:color="auto" w:fill="auto"/>
            <w:vAlign w:val="center"/>
          </w:tcPr>
          <w:p>
            <w:pPr>
              <w:spacing w:line="320" w:lineRule="exact"/>
              <w:jc w:val="center"/>
              <w:rPr>
                <w:rFonts w:hint="eastAsia" w:ascii="仿宋" w:hAnsi="仿宋" w:eastAsia="仿宋" w:cs="仿宋"/>
                <w:color w:val="auto"/>
              </w:rPr>
            </w:pPr>
          </w:p>
        </w:tc>
        <w:tc>
          <w:tcPr>
            <w:tcW w:w="1159"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管理人员</w:t>
            </w:r>
          </w:p>
          <w:p>
            <w:pPr>
              <w:spacing w:line="320" w:lineRule="exact"/>
              <w:jc w:val="center"/>
              <w:rPr>
                <w:rFonts w:hint="eastAsia" w:ascii="仿宋" w:hAnsi="仿宋" w:eastAsia="仿宋" w:cs="仿宋"/>
                <w:color w:val="auto"/>
              </w:rPr>
            </w:pPr>
            <w:r>
              <w:rPr>
                <w:rFonts w:hint="eastAsia" w:ascii="仿宋" w:hAnsi="仿宋" w:eastAsia="仿宋" w:cs="仿宋"/>
                <w:color w:val="auto"/>
              </w:rPr>
              <w:t>数量</w:t>
            </w:r>
          </w:p>
        </w:tc>
        <w:tc>
          <w:tcPr>
            <w:tcW w:w="1701" w:type="dxa"/>
            <w:shd w:val="clear" w:color="auto" w:fill="auto"/>
            <w:vAlign w:val="center"/>
          </w:tcPr>
          <w:p>
            <w:pPr>
              <w:spacing w:line="320" w:lineRule="exact"/>
              <w:jc w:val="center"/>
              <w:rPr>
                <w:rFonts w:hint="eastAsia" w:ascii="仿宋" w:hAnsi="仿宋" w:eastAsia="仿宋" w:cs="仿宋"/>
                <w:color w:val="auto"/>
              </w:rPr>
            </w:pPr>
          </w:p>
        </w:tc>
        <w:tc>
          <w:tcPr>
            <w:tcW w:w="1275" w:type="dxa"/>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专业技术</w:t>
            </w:r>
          </w:p>
          <w:p>
            <w:pPr>
              <w:spacing w:line="320" w:lineRule="exact"/>
              <w:jc w:val="center"/>
              <w:rPr>
                <w:rFonts w:hint="eastAsia" w:ascii="仿宋" w:hAnsi="仿宋" w:eastAsia="仿宋" w:cs="仿宋"/>
                <w:color w:val="auto"/>
              </w:rPr>
            </w:pPr>
            <w:r>
              <w:rPr>
                <w:rFonts w:hint="eastAsia" w:ascii="仿宋" w:hAnsi="仿宋" w:eastAsia="仿宋" w:cs="仿宋"/>
                <w:color w:val="auto"/>
              </w:rPr>
              <w:t>人员数量</w:t>
            </w:r>
          </w:p>
        </w:tc>
        <w:tc>
          <w:tcPr>
            <w:tcW w:w="1516" w:type="dxa"/>
            <w:tcBorders>
              <w:right w:val="single" w:color="auto" w:sz="12" w:space="0"/>
            </w:tcBorders>
            <w:shd w:val="clear" w:color="auto" w:fill="auto"/>
            <w:vAlign w:val="center"/>
          </w:tcPr>
          <w:p>
            <w:pPr>
              <w:spacing w:line="320" w:lineRule="exact"/>
              <w:jc w:val="center"/>
              <w:rPr>
                <w:rFonts w:hint="eastAsia"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shd w:val="clear" w:color="auto" w:fill="auto"/>
            <w:vAlign w:val="center"/>
          </w:tcPr>
          <w:p>
            <w:pPr>
              <w:spacing w:line="320" w:lineRule="exact"/>
              <w:jc w:val="center"/>
              <w:rPr>
                <w:rFonts w:hint="eastAsia" w:ascii="仿宋" w:hAnsi="仿宋" w:eastAsia="仿宋" w:cs="仿宋"/>
                <w:color w:val="auto"/>
              </w:rPr>
            </w:pPr>
          </w:p>
        </w:tc>
        <w:tc>
          <w:tcPr>
            <w:tcW w:w="1559" w:type="dxa"/>
            <w:vMerge w:val="continue"/>
            <w:tcBorders>
              <w:bottom w:val="single" w:color="auto" w:sz="4" w:space="0"/>
            </w:tcBorders>
            <w:shd w:val="clear" w:color="auto" w:fill="auto"/>
            <w:vAlign w:val="center"/>
          </w:tcPr>
          <w:p>
            <w:pPr>
              <w:spacing w:line="320" w:lineRule="exact"/>
              <w:jc w:val="center"/>
              <w:rPr>
                <w:rFonts w:hint="eastAsia" w:ascii="仿宋" w:hAnsi="仿宋" w:eastAsia="仿宋" w:cs="仿宋"/>
                <w:color w:val="auto"/>
              </w:rPr>
            </w:pPr>
          </w:p>
        </w:tc>
        <w:tc>
          <w:tcPr>
            <w:tcW w:w="1159" w:type="dxa"/>
            <w:tcBorders>
              <w:bottom w:val="single" w:color="auto" w:sz="4"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残疾人</w:t>
            </w:r>
          </w:p>
          <w:p>
            <w:pPr>
              <w:spacing w:line="320" w:lineRule="exact"/>
              <w:jc w:val="center"/>
              <w:rPr>
                <w:rFonts w:hint="eastAsia" w:ascii="仿宋" w:hAnsi="仿宋" w:eastAsia="仿宋" w:cs="仿宋"/>
                <w:color w:val="auto"/>
              </w:rPr>
            </w:pPr>
            <w:r>
              <w:rPr>
                <w:rFonts w:hint="eastAsia" w:ascii="仿宋" w:hAnsi="仿宋" w:eastAsia="仿宋" w:cs="仿宋"/>
                <w:color w:val="auto"/>
              </w:rPr>
              <w:t>数量</w:t>
            </w:r>
          </w:p>
        </w:tc>
        <w:tc>
          <w:tcPr>
            <w:tcW w:w="1701" w:type="dxa"/>
            <w:tcBorders>
              <w:bottom w:val="single" w:color="auto" w:sz="4" w:space="0"/>
            </w:tcBorders>
            <w:shd w:val="clear" w:color="auto" w:fill="auto"/>
            <w:vAlign w:val="center"/>
          </w:tcPr>
          <w:p>
            <w:pPr>
              <w:spacing w:line="320" w:lineRule="exact"/>
              <w:jc w:val="center"/>
              <w:rPr>
                <w:rFonts w:hint="eastAsia" w:ascii="仿宋" w:hAnsi="仿宋" w:eastAsia="仿宋" w:cs="仿宋"/>
                <w:color w:val="auto"/>
              </w:rPr>
            </w:pPr>
          </w:p>
        </w:tc>
        <w:tc>
          <w:tcPr>
            <w:tcW w:w="1275" w:type="dxa"/>
            <w:tcBorders>
              <w:bottom w:val="single" w:color="auto" w:sz="4"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少数民族</w:t>
            </w:r>
          </w:p>
          <w:p>
            <w:pPr>
              <w:spacing w:line="320" w:lineRule="exact"/>
              <w:jc w:val="center"/>
              <w:rPr>
                <w:rFonts w:hint="eastAsia" w:ascii="仿宋" w:hAnsi="仿宋" w:eastAsia="仿宋" w:cs="仿宋"/>
                <w:color w:val="auto"/>
              </w:rPr>
            </w:pPr>
            <w:r>
              <w:rPr>
                <w:rFonts w:hint="eastAsia" w:ascii="仿宋" w:hAnsi="仿宋" w:eastAsia="仿宋" w:cs="仿宋"/>
                <w:color w:val="auto"/>
              </w:rPr>
              <w:t>数量</w:t>
            </w:r>
          </w:p>
        </w:tc>
        <w:tc>
          <w:tcPr>
            <w:tcW w:w="1516" w:type="dxa"/>
            <w:tcBorders>
              <w:bottom w:val="single" w:color="auto" w:sz="4" w:space="0"/>
              <w:right w:val="single" w:color="auto" w:sz="12" w:space="0"/>
            </w:tcBorders>
            <w:shd w:val="clear" w:color="auto" w:fill="auto"/>
            <w:vAlign w:val="center"/>
          </w:tcPr>
          <w:p>
            <w:pPr>
              <w:spacing w:line="320" w:lineRule="exact"/>
              <w:jc w:val="center"/>
              <w:rPr>
                <w:rFonts w:hint="eastAsia"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bCs/>
                <w:color w:val="auto"/>
              </w:rPr>
              <w:t>关系</w:t>
            </w:r>
          </w:p>
        </w:tc>
        <w:tc>
          <w:tcPr>
            <w:tcW w:w="7210" w:type="dxa"/>
            <w:gridSpan w:val="5"/>
            <w:tcBorders>
              <w:right w:val="single" w:color="auto" w:sz="12" w:space="0"/>
            </w:tcBorders>
            <w:shd w:val="clear" w:color="auto" w:fill="auto"/>
            <w:vAlign w:val="center"/>
          </w:tcPr>
          <w:p>
            <w:pPr>
              <w:spacing w:line="320" w:lineRule="exact"/>
              <w:jc w:val="center"/>
              <w:rPr>
                <w:rFonts w:hint="eastAsia" w:ascii="仿宋" w:hAnsi="仿宋" w:eastAsia="仿宋" w:cs="仿宋"/>
                <w:bCs/>
                <w:color w:val="auto"/>
              </w:rPr>
            </w:pPr>
            <w:r>
              <w:rPr>
                <w:rFonts w:hint="eastAsia" w:ascii="仿宋" w:hAnsi="仿宋" w:eastAsia="仿宋" w:cs="仿宋"/>
                <w:bCs/>
                <w:color w:val="auto"/>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c>
          <w:tcPr>
            <w:tcW w:w="7210" w:type="dxa"/>
            <w:gridSpan w:val="5"/>
            <w:tcBorders>
              <w:right w:val="single" w:color="auto" w:sz="12" w:space="0"/>
            </w:tcBorders>
            <w:shd w:val="clear" w:color="auto" w:fill="auto"/>
            <w:vAlign w:val="center"/>
          </w:tcPr>
          <w:p>
            <w:pPr>
              <w:spacing w:line="320" w:lineRule="exact"/>
              <w:rPr>
                <w:rFonts w:hint="eastAsia"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hint="eastAsia" w:ascii="仿宋" w:hAnsi="仿宋" w:eastAsia="仿宋" w:cs="仿宋"/>
                <w:color w:val="auto"/>
              </w:rPr>
            </w:pPr>
          </w:p>
        </w:tc>
        <w:tc>
          <w:tcPr>
            <w:tcW w:w="7210" w:type="dxa"/>
            <w:gridSpan w:val="5"/>
            <w:tcBorders>
              <w:right w:val="single" w:color="auto" w:sz="12" w:space="0"/>
            </w:tcBorders>
            <w:shd w:val="clear" w:color="auto" w:fill="auto"/>
            <w:vAlign w:val="center"/>
          </w:tcPr>
          <w:p>
            <w:pPr>
              <w:spacing w:line="320" w:lineRule="exact"/>
              <w:rPr>
                <w:rFonts w:hint="eastAsia"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shd w:val="clear" w:color="auto" w:fill="auto"/>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说明</w:t>
            </w:r>
          </w:p>
        </w:tc>
        <w:tc>
          <w:tcPr>
            <w:tcW w:w="7210" w:type="dxa"/>
            <w:gridSpan w:val="5"/>
            <w:tcBorders>
              <w:bottom w:val="single" w:color="auto" w:sz="12" w:space="0"/>
              <w:right w:val="single" w:color="auto" w:sz="12" w:space="0"/>
            </w:tcBorders>
            <w:shd w:val="clear" w:color="auto" w:fill="auto"/>
            <w:vAlign w:val="center"/>
          </w:tcPr>
          <w:p>
            <w:pPr>
              <w:spacing w:line="320" w:lineRule="exact"/>
              <w:ind w:left="170" w:hanging="170"/>
              <w:rPr>
                <w:rFonts w:hint="eastAsia" w:ascii="仿宋" w:hAnsi="仿宋" w:eastAsia="仿宋" w:cs="仿宋"/>
                <w:color w:val="auto"/>
                <w:sz w:val="22"/>
              </w:rPr>
            </w:pPr>
            <w:r>
              <w:rPr>
                <w:rFonts w:hint="eastAsia" w:ascii="仿宋" w:hAnsi="仿宋" w:eastAsia="仿宋" w:cs="仿宋"/>
                <w:color w:val="auto"/>
                <w:sz w:val="22"/>
              </w:rPr>
              <w:t>1.成立时间至提交投标文件截止时间不足一年的可不填写“上年度营业收入”；</w:t>
            </w:r>
          </w:p>
          <w:p>
            <w:pPr>
              <w:spacing w:line="320" w:lineRule="exact"/>
              <w:ind w:left="170" w:hanging="170"/>
              <w:rPr>
                <w:rFonts w:hint="eastAsia" w:ascii="仿宋" w:hAnsi="仿宋" w:eastAsia="仿宋" w:cs="仿宋"/>
                <w:color w:val="auto"/>
                <w:sz w:val="22"/>
              </w:rPr>
            </w:pPr>
            <w:r>
              <w:rPr>
                <w:rFonts w:hint="eastAsia" w:ascii="仿宋" w:hAnsi="仿宋" w:eastAsia="仿宋" w:cs="仿宋"/>
                <w:color w:val="auto"/>
                <w:sz w:val="22"/>
              </w:rPr>
              <w:t>2.招标文件接受联合体的，联合体各方均应提供；</w:t>
            </w:r>
          </w:p>
          <w:p>
            <w:pPr>
              <w:spacing w:line="320" w:lineRule="exact"/>
              <w:ind w:left="170" w:hanging="170"/>
              <w:rPr>
                <w:rFonts w:hint="eastAsia" w:ascii="仿宋" w:hAnsi="仿宋" w:eastAsia="仿宋" w:cs="仿宋"/>
                <w:color w:val="auto"/>
              </w:rPr>
            </w:pPr>
            <w:r>
              <w:rPr>
                <w:rFonts w:hint="eastAsia" w:ascii="仿宋" w:hAnsi="仿宋" w:eastAsia="仿宋" w:cs="仿宋"/>
                <w:color w:val="auto"/>
                <w:sz w:val="22"/>
              </w:rPr>
              <w:t>3.表格空间不足时，请自行扩展。</w:t>
            </w:r>
          </w:p>
        </w:tc>
      </w:tr>
    </w:tbl>
    <w:p>
      <w:pPr>
        <w:pStyle w:val="35"/>
        <w:ind w:firstLine="0" w:firstLineChars="0"/>
        <w:rPr>
          <w:rFonts w:hint="eastAsia" w:ascii="仿宋" w:hAnsi="仿宋" w:eastAsia="仿宋" w:cs="仿宋"/>
          <w:color w:val="auto"/>
        </w:rPr>
      </w:pPr>
      <w:r>
        <w:rPr>
          <w:rFonts w:hint="eastAsia" w:ascii="仿宋" w:hAnsi="仿宋" w:eastAsia="仿宋" w:cs="仿宋"/>
          <w:color w:val="auto"/>
        </w:rPr>
        <w:br w:type="page"/>
      </w:r>
    </w:p>
    <w:p>
      <w:pPr>
        <w:pStyle w:val="38"/>
        <w:spacing w:line="360" w:lineRule="auto"/>
        <w:rPr>
          <w:rFonts w:hint="eastAsia" w:ascii="仿宋" w:hAnsi="仿宋" w:eastAsia="仿宋" w:cs="仿宋"/>
          <w:color w:val="auto"/>
        </w:rPr>
      </w:pPr>
      <w:r>
        <w:rPr>
          <w:rFonts w:hint="eastAsia" w:ascii="仿宋" w:hAnsi="仿宋" w:eastAsia="仿宋" w:cs="仿宋"/>
          <w:color w:val="auto"/>
        </w:rPr>
        <w:t>（二）供应商性质</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1．中小企业声明函</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国务院关于印发扎实稳住经济一揽子政策措施的通知国发〔2022〕12号相关规定。</w:t>
      </w:r>
    </w:p>
    <w:p>
      <w:pPr>
        <w:pStyle w:val="36"/>
        <w:keepNext/>
        <w:wordWrap/>
        <w:spacing w:before="120" w:after="6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本公司（联合体）郑重声明，根据《政府采购促进中小企业发展管理办法》（财库〔2020〕46号）的规定，本公司（联合体）参加</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w:t>
      </w:r>
      <w:r>
        <w:rPr>
          <w:rFonts w:hint="eastAsia" w:ascii="仿宋" w:hAnsi="仿宋" w:eastAsia="仿宋" w:cs="仿宋"/>
          <w:color w:val="auto"/>
          <w:u w:val="single"/>
          <w:lang w:eastAsia="zh-CN"/>
        </w:rPr>
        <w:t>第   标段</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pPr>
        <w:pStyle w:val="35"/>
        <w:spacing w:line="360" w:lineRule="auto"/>
        <w:ind w:firstLine="480"/>
        <w:rPr>
          <w:rFonts w:hint="eastAsia" w:ascii="仿宋" w:hAnsi="仿宋" w:eastAsia="仿宋" w:cs="仿宋"/>
          <w:color w:val="auto"/>
          <w:u w:color="000000" w:themeColor="text1"/>
        </w:rPr>
      </w:pPr>
      <w:r>
        <w:rPr>
          <w:rFonts w:hint="eastAsia" w:ascii="仿宋" w:hAnsi="仿宋" w:eastAsia="仿宋" w:cs="仿宋"/>
          <w:color w:val="auto"/>
          <w:u w:color="000000" w:themeColor="text1"/>
        </w:rPr>
        <w:t>1．</w:t>
      </w:r>
      <w:r>
        <w:rPr>
          <w:rFonts w:hint="eastAsia" w:ascii="仿宋" w:hAnsi="仿宋" w:eastAsia="仿宋" w:cs="仿宋"/>
          <w:color w:val="auto"/>
          <w:u w:val="single" w:color="000000" w:themeColor="text1"/>
        </w:rPr>
        <w:t>〈标的名称〉</w:t>
      </w:r>
      <w:r>
        <w:rPr>
          <w:rFonts w:hint="eastAsia" w:ascii="仿宋" w:hAnsi="仿宋" w:eastAsia="仿宋" w:cs="仿宋"/>
          <w:color w:val="auto"/>
          <w:u w:color="000000" w:themeColor="text1"/>
        </w:rPr>
        <w:t>，属于</w:t>
      </w:r>
      <w:r>
        <w:rPr>
          <w:rFonts w:hint="eastAsia" w:ascii="仿宋" w:hAnsi="仿宋" w:eastAsia="仿宋" w:cs="仿宋"/>
          <w:color w:val="auto"/>
          <w:u w:val="single" w:color="000000" w:themeColor="text1"/>
        </w:rPr>
        <w:t>〈采购文件中明确的所属行业〉</w:t>
      </w:r>
      <w:r>
        <w:rPr>
          <w:rFonts w:hint="eastAsia" w:ascii="仿宋" w:hAnsi="仿宋" w:eastAsia="仿宋" w:cs="仿宋"/>
          <w:color w:val="auto"/>
          <w:u w:color="000000" w:themeColor="text1"/>
        </w:rPr>
        <w:t>；制造商为</w:t>
      </w:r>
      <w:r>
        <w:rPr>
          <w:rFonts w:hint="eastAsia" w:ascii="仿宋" w:hAnsi="仿宋" w:eastAsia="仿宋" w:cs="仿宋"/>
          <w:color w:val="auto"/>
          <w:u w:val="single" w:color="000000" w:themeColor="text1"/>
        </w:rPr>
        <w:t>〈企业名称〉</w:t>
      </w:r>
      <w:r>
        <w:rPr>
          <w:rFonts w:hint="eastAsia" w:ascii="仿宋" w:hAnsi="仿宋" w:eastAsia="仿宋" w:cs="仿宋"/>
          <w:color w:val="auto"/>
          <w:u w:color="000000" w:themeColor="text1"/>
        </w:rPr>
        <w:t>，从业人员人，营业收入为万元，资产总额为万元，属于</w:t>
      </w:r>
      <w:r>
        <w:rPr>
          <w:rFonts w:hint="eastAsia" w:ascii="仿宋" w:hAnsi="仿宋" w:eastAsia="仿宋" w:cs="仿宋"/>
          <w:color w:val="auto"/>
          <w:u w:val="single" w:color="000000" w:themeColor="text1"/>
        </w:rPr>
        <w:t>企业</w:t>
      </w:r>
      <w:r>
        <w:rPr>
          <w:rFonts w:hint="eastAsia" w:ascii="仿宋" w:hAnsi="仿宋" w:eastAsia="仿宋" w:cs="仿宋"/>
          <w:color w:val="auto"/>
          <w:u w:color="000000" w:themeColor="text1"/>
        </w:rPr>
        <w:t>（选填中型企业、小型企业、微型企业）；</w:t>
      </w:r>
    </w:p>
    <w:p>
      <w:pPr>
        <w:pStyle w:val="35"/>
        <w:spacing w:line="360" w:lineRule="auto"/>
        <w:ind w:firstLine="480"/>
        <w:rPr>
          <w:rFonts w:hint="eastAsia" w:ascii="仿宋" w:hAnsi="仿宋" w:eastAsia="仿宋" w:cs="仿宋"/>
          <w:color w:val="auto"/>
          <w:u w:color="000000" w:themeColor="text1"/>
        </w:rPr>
      </w:pPr>
      <w:r>
        <w:rPr>
          <w:rFonts w:hint="eastAsia" w:ascii="仿宋" w:hAnsi="仿宋" w:eastAsia="仿宋" w:cs="仿宋"/>
          <w:color w:val="auto"/>
          <w:u w:color="000000" w:themeColor="text1"/>
        </w:rPr>
        <w:t>2．</w:t>
      </w:r>
      <w:r>
        <w:rPr>
          <w:rFonts w:hint="eastAsia" w:ascii="仿宋" w:hAnsi="仿宋" w:eastAsia="仿宋" w:cs="仿宋"/>
          <w:color w:val="auto"/>
          <w:u w:val="single" w:color="000000" w:themeColor="text1"/>
        </w:rPr>
        <w:t>〈标的名称〉</w:t>
      </w:r>
      <w:r>
        <w:rPr>
          <w:rFonts w:hint="eastAsia" w:ascii="仿宋" w:hAnsi="仿宋" w:eastAsia="仿宋" w:cs="仿宋"/>
          <w:color w:val="auto"/>
          <w:u w:color="000000" w:themeColor="text1"/>
        </w:rPr>
        <w:t>，属于</w:t>
      </w:r>
      <w:r>
        <w:rPr>
          <w:rFonts w:hint="eastAsia" w:ascii="仿宋" w:hAnsi="仿宋" w:eastAsia="仿宋" w:cs="仿宋"/>
          <w:color w:val="auto"/>
          <w:u w:val="single" w:color="000000" w:themeColor="text1"/>
        </w:rPr>
        <w:t>〈采购文件中明确的所属行业〉</w:t>
      </w:r>
      <w:r>
        <w:rPr>
          <w:rFonts w:hint="eastAsia" w:ascii="仿宋" w:hAnsi="仿宋" w:eastAsia="仿宋" w:cs="仿宋"/>
          <w:color w:val="auto"/>
          <w:u w:color="000000" w:themeColor="text1"/>
        </w:rPr>
        <w:t>；制造商为</w:t>
      </w:r>
      <w:r>
        <w:rPr>
          <w:rFonts w:hint="eastAsia" w:ascii="仿宋" w:hAnsi="仿宋" w:eastAsia="仿宋" w:cs="仿宋"/>
          <w:color w:val="auto"/>
          <w:u w:val="single" w:color="000000" w:themeColor="text1"/>
        </w:rPr>
        <w:t>〈企业名称〉</w:t>
      </w:r>
      <w:r>
        <w:rPr>
          <w:rFonts w:hint="eastAsia" w:ascii="仿宋" w:hAnsi="仿宋" w:eastAsia="仿宋" w:cs="仿宋"/>
          <w:color w:val="auto"/>
          <w:u w:color="000000" w:themeColor="text1"/>
        </w:rPr>
        <w:t>，从业人员人，营业收入为万元，资产总额为万元，属于</w:t>
      </w:r>
      <w:r>
        <w:rPr>
          <w:rFonts w:hint="eastAsia" w:ascii="仿宋" w:hAnsi="仿宋" w:eastAsia="仿宋" w:cs="仿宋"/>
          <w:color w:val="auto"/>
          <w:u w:val="single" w:color="000000" w:themeColor="text1"/>
        </w:rPr>
        <w:t>企业</w:t>
      </w:r>
      <w:r>
        <w:rPr>
          <w:rFonts w:hint="eastAsia" w:ascii="仿宋" w:hAnsi="仿宋" w:eastAsia="仿宋" w:cs="仿宋"/>
          <w:color w:val="auto"/>
          <w:u w:color="000000" w:themeColor="text1"/>
        </w:rPr>
        <w:t>（选填中型企业、小型企业、微型企业）；</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spacing w:line="360" w:lineRule="auto"/>
        <w:ind w:firstLine="480" w:firstLineChars="20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eastAsia="仿宋"/>
          <w:b/>
          <w:bCs/>
          <w:lang w:val="en-US" w:eastAsia="zh-CN"/>
        </w:rPr>
      </w:pPr>
      <w:r>
        <w:rPr>
          <w:rFonts w:hint="eastAsia" w:ascii="仿宋" w:hAnsi="仿宋" w:eastAsia="仿宋" w:cs="仿宋"/>
          <w:b/>
          <w:bCs/>
          <w:color w:val="auto"/>
          <w:sz w:val="24"/>
          <w:szCs w:val="24"/>
          <w:lang w:val="en-US" w:eastAsia="zh-CN"/>
        </w:rPr>
        <w:t>注：本项目</w:t>
      </w:r>
      <w:r>
        <w:rPr>
          <w:rFonts w:hint="eastAsia" w:ascii="仿宋" w:hAnsi="仿宋" w:eastAsia="仿宋" w:cs="仿宋"/>
          <w:b/>
          <w:bCs/>
          <w:color w:val="auto"/>
          <w:sz w:val="24"/>
          <w:szCs w:val="24"/>
          <w:lang w:val="en-US" w:eastAsia="zh-CN" w:bidi="ar-SA"/>
        </w:rPr>
        <w:t>所属行业为“工业”。</w:t>
      </w:r>
    </w:p>
    <w:p>
      <w:pPr>
        <w:rPr>
          <w:rFonts w:hint="eastAsia"/>
        </w:rPr>
      </w:pPr>
    </w:p>
    <w:p>
      <w:pPr>
        <w:pStyle w:val="2"/>
        <w:rPr>
          <w:rFonts w:hint="eastAsia"/>
        </w:rPr>
      </w:pPr>
    </w:p>
    <w:p>
      <w:pPr>
        <w:tabs>
          <w:tab w:val="left" w:pos="567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Style w:val="35"/>
        <w:ind w:firstLine="480"/>
        <w:rPr>
          <w:rFonts w:hint="eastAsia" w:ascii="仿宋" w:hAnsi="仿宋" w:eastAsia="仿宋" w:cs="仿宋"/>
          <w:color w:val="auto"/>
        </w:rPr>
      </w:pPr>
    </w:p>
    <w:p>
      <w:pPr>
        <w:rPr>
          <w:rFonts w:hint="eastAsia" w:ascii="仿宋" w:hAnsi="仿宋" w:eastAsia="仿宋" w:cs="仿宋"/>
          <w:b/>
          <w:color w:val="auto"/>
        </w:rPr>
      </w:pPr>
      <w:r>
        <w:rPr>
          <w:rFonts w:hint="eastAsia" w:ascii="仿宋" w:hAnsi="仿宋" w:eastAsia="仿宋" w:cs="仿宋"/>
          <w:b/>
          <w:color w:val="auto"/>
        </w:rPr>
        <w:br w:type="page"/>
      </w:r>
    </w:p>
    <w:p>
      <w:pPr>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2．残疾人福利性单位声明函</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说明：当且仅当供应商为残疾人福利性单位的，应按下文给定格式填写声明函。未提供或未按给定格式提供声明函的，将不能享受招标文件规定的价格优惠政策，但不影响投标文件的有效性。</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供应商在填报前请认真阅读《财政部、民政部、中国残疾人联合会关于促进残疾人就业政府采购政策的通知》（财库〔2017〕141号）相关规定。</w:t>
      </w:r>
    </w:p>
    <w:p>
      <w:pPr>
        <w:pStyle w:val="36"/>
        <w:keepNext/>
        <w:wordWrap/>
        <w:spacing w:before="60" w:after="6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残疾人福利性单位声明函（格式）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〈项目编号〉</w:t>
      </w:r>
      <w:r>
        <w:rPr>
          <w:rFonts w:hint="eastAsia" w:ascii="仿宋" w:hAnsi="仿宋" w:eastAsia="仿宋" w:cs="仿宋"/>
          <w:color w:val="auto"/>
          <w:sz w:val="24"/>
          <w:szCs w:val="24"/>
        </w:rPr>
        <w:t>）第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标段采购活动提供本单位制造的货物，或者提供其他残疾人福利性单位制造的货物（不包括使用非残疾人福利性单位注册商标的货物）。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pPr>
        <w:spacing w:line="360" w:lineRule="auto"/>
        <w:ind w:firstLine="480" w:firstLineChars="200"/>
        <w:rPr>
          <w:rFonts w:hint="eastAsia" w:ascii="仿宋" w:hAnsi="仿宋" w:eastAsia="仿宋" w:cs="仿宋"/>
          <w:color w:val="auto"/>
          <w:sz w:val="24"/>
          <w:szCs w:val="24"/>
        </w:rPr>
      </w:pP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tabs>
          <w:tab w:val="left" w:pos="5670"/>
        </w:tabs>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spacing w:line="360" w:lineRule="auto"/>
        <w:ind w:firstLine="20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3．监狱企业证明函</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pStyle w:val="36"/>
        <w:keepNext/>
        <w:wordWrap/>
        <w:spacing w:before="60" w:after="6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监狱企业证明函</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w:t>
      </w:r>
    </w:p>
    <w:p>
      <w:pPr>
        <w:pStyle w:val="35"/>
        <w:spacing w:line="360" w:lineRule="auto"/>
        <w:ind w:firstLine="0" w:firstLineChars="0"/>
        <w:rPr>
          <w:rFonts w:hint="eastAsia" w:ascii="仿宋" w:hAnsi="仿宋" w:eastAsia="仿宋" w:cs="仿宋"/>
          <w:color w:val="auto"/>
        </w:rPr>
      </w:pPr>
      <w:r>
        <w:rPr>
          <w:rFonts w:hint="eastAsia" w:ascii="仿宋" w:hAnsi="仿宋" w:eastAsia="仿宋" w:cs="仿宋"/>
          <w:color w:val="auto"/>
        </w:rPr>
        <w:br w:type="page"/>
      </w:r>
    </w:p>
    <w:p>
      <w:pPr>
        <w:pStyle w:val="37"/>
        <w:spacing w:before="210" w:after="210"/>
        <w:rPr>
          <w:rFonts w:hint="eastAsia" w:ascii="仿宋" w:hAnsi="仿宋" w:eastAsia="仿宋" w:cs="仿宋"/>
          <w:color w:val="auto"/>
        </w:rPr>
      </w:pPr>
      <w:r>
        <w:rPr>
          <w:rFonts w:hint="eastAsia" w:ascii="仿宋" w:hAnsi="仿宋" w:eastAsia="仿宋" w:cs="仿宋"/>
          <w:b/>
          <w:bCs/>
          <w:color w:val="auto"/>
        </w:rPr>
        <w:t>第五部分供应商参加政府采购活动承诺书</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未签署下列承诺书的，将被视为无效投标，其责任由供应商自行承担。</w:t>
      </w:r>
    </w:p>
    <w:p>
      <w:pPr>
        <w:pStyle w:val="38"/>
        <w:spacing w:line="360" w:lineRule="auto"/>
        <w:rPr>
          <w:rFonts w:hint="eastAsia" w:ascii="仿宋" w:hAnsi="仿宋" w:eastAsia="仿宋" w:cs="仿宋"/>
          <w:color w:val="auto"/>
          <w:sz w:val="24"/>
          <w:szCs w:val="20"/>
        </w:rPr>
      </w:pPr>
      <w:r>
        <w:rPr>
          <w:rFonts w:hint="eastAsia" w:ascii="仿宋" w:hAnsi="仿宋" w:eastAsia="仿宋" w:cs="仿宋"/>
          <w:color w:val="auto"/>
          <w:sz w:val="24"/>
          <w:szCs w:val="20"/>
        </w:rPr>
        <w:t>（一）质量安全责任承诺书</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为保证本采购项目顺利进行，作为投标供应商，现郑重承诺：</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color="000000" w:themeColor="text1"/>
        </w:rPr>
        <w:t>．</w:t>
      </w:r>
      <w:r>
        <w:rPr>
          <w:rFonts w:hint="eastAsia" w:ascii="仿宋" w:hAnsi="仿宋" w:eastAsia="仿宋" w:cs="仿宋"/>
          <w:color w:val="auto"/>
        </w:rPr>
        <w:t>我方所投产品的生产（包括设计、制造、安装、改造、维修等）、投入使用的材料等均完全符合国家现行质量、安全、环保标准和要求。</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color="000000" w:themeColor="text1"/>
        </w:rPr>
        <w:t>．</w:t>
      </w:r>
      <w:r>
        <w:rPr>
          <w:rFonts w:hint="eastAsia" w:ascii="仿宋" w:hAnsi="仿宋" w:eastAsia="仿宋" w:cs="仿宋"/>
          <w:color w:val="auto"/>
        </w:rPr>
        <w:t>我方将严格按照国家现行相关储存、运输、安装调试技术标准及规范、服务标准及规范、施工标准及规范，在规定的时限内，保质、保量完成项目全部内容，并向采购人交付合格产品。</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u w:color="000000" w:themeColor="text1"/>
        </w:rPr>
        <w:t>．</w:t>
      </w:r>
      <w:r>
        <w:rPr>
          <w:rFonts w:hint="eastAsia" w:ascii="仿宋" w:hAnsi="仿宋" w:eastAsia="仿宋" w:cs="仿宋"/>
          <w:color w:val="auto"/>
        </w:rPr>
        <w:t>对于因产品生产质量以及储存、运输、安装调试、服务、施工等过程中产生的任何安全事故，我方承担全部责任。</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color="000000" w:themeColor="text1"/>
        </w:rPr>
        <w:t>．</w:t>
      </w:r>
      <w:r>
        <w:rPr>
          <w:rFonts w:hint="eastAsia" w:ascii="仿宋" w:hAnsi="仿宋" w:eastAsia="仿宋" w:cs="仿宋"/>
          <w:color w:val="auto"/>
        </w:rPr>
        <w:t>我方提供的货物、工程、服务等符合现行的国家、行业、地区、企业标准及要求，标准不一致的，以更为严格的为准，我方对提供的货物、工程、服务等的质量、安全、环保等承担全部责任。</w:t>
      </w:r>
    </w:p>
    <w:p>
      <w:pPr>
        <w:pStyle w:val="35"/>
        <w:spacing w:line="48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spacing w:line="360" w:lineRule="auto"/>
        <w:ind w:firstLine="480"/>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3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（二）参加政府采购活动行为自律承诺书</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作为参加本次政府采购项目的供应商，我方郑重承诺在参与政府采购活动中遵纪守法、公平竞争、诚实守信，如有违反愿承担一切责任及后果：</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color="000000" w:themeColor="text1"/>
        </w:rPr>
        <w:t>．</w:t>
      </w:r>
      <w:r>
        <w:rPr>
          <w:rFonts w:hint="eastAsia" w:ascii="仿宋" w:hAnsi="仿宋" w:eastAsia="仿宋" w:cs="仿宋"/>
          <w:color w:val="auto"/>
        </w:rPr>
        <w:t>不与采购人、采购代理机构、政府采购评审专家恶意串通，不向其行贿或提供其他不正当利益；</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color="000000" w:themeColor="text1"/>
        </w:rPr>
        <w:t>．</w:t>
      </w:r>
      <w:r>
        <w:rPr>
          <w:rFonts w:hint="eastAsia" w:ascii="仿宋" w:hAnsi="仿宋" w:eastAsia="仿宋" w:cs="仿宋"/>
          <w:color w:val="auto"/>
        </w:rPr>
        <w:t>不与其他供应商恶意串通，采取“围标、串标、陪标”等商业欺诈手段谋取中标、成交；</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u w:color="000000" w:themeColor="text1"/>
        </w:rPr>
        <w:t>．</w:t>
      </w:r>
      <w:r>
        <w:rPr>
          <w:rFonts w:hint="eastAsia" w:ascii="仿宋" w:hAnsi="仿宋" w:eastAsia="仿宋" w:cs="仿宋"/>
          <w:color w:val="auto"/>
        </w:rPr>
        <w:t>不提供虚假或无效证明文件（包括但不限于资格证明文件、合同及验收文件、检验检测报告、从业人员资格证书、机构或所投产品的各类认证证书等）或虚假材料谋取中标、成交；</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color="000000" w:themeColor="text1"/>
        </w:rPr>
        <w:t>．</w:t>
      </w:r>
      <w:r>
        <w:rPr>
          <w:rFonts w:hint="eastAsia" w:ascii="仿宋" w:hAnsi="仿宋" w:eastAsia="仿宋" w:cs="仿宋"/>
          <w:color w:val="auto"/>
        </w:rPr>
        <w:t>不采取不正当手段诋毁、排挤其他供应商；</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u w:color="000000" w:themeColor="text1"/>
        </w:rPr>
        <w:t>．</w:t>
      </w:r>
      <w:r>
        <w:rPr>
          <w:rFonts w:hint="eastAsia" w:ascii="仿宋" w:hAnsi="仿宋" w:eastAsia="仿宋" w:cs="仿宋"/>
          <w:color w:val="auto"/>
        </w:rPr>
        <w:t>不以不正当理由拒不与采购人签订政府采购合同，或逾期签订政府采购合同，或不按照采购文件确定的事项签订政府采购合同；</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u w:color="000000" w:themeColor="text1"/>
        </w:rPr>
        <w:t>．</w:t>
      </w:r>
      <w:r>
        <w:rPr>
          <w:rFonts w:hint="eastAsia" w:ascii="仿宋" w:hAnsi="仿宋" w:eastAsia="仿宋" w:cs="仿宋"/>
          <w:color w:val="auto"/>
        </w:rPr>
        <w:t>不以不正当理由拒绝履行合同义务，不会擅自变更、中止或者终止政府采购合同或将政府采购合同转包；</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u w:color="000000" w:themeColor="text1"/>
        </w:rPr>
        <w:t>．</w:t>
      </w:r>
      <w:r>
        <w:rPr>
          <w:rFonts w:hint="eastAsia" w:ascii="仿宋" w:hAnsi="仿宋" w:eastAsia="仿宋" w:cs="仿宋"/>
          <w:color w:val="auto"/>
        </w:rPr>
        <w:t>不在提供商品、服务或工程施工过程中提供假冒伪劣产品，损害采购人的合法权益或公共利益；</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u w:color="000000" w:themeColor="text1"/>
        </w:rPr>
        <w:t>．</w:t>
      </w:r>
      <w:r>
        <w:rPr>
          <w:rFonts w:hint="eastAsia" w:ascii="仿宋" w:hAnsi="仿宋" w:eastAsia="仿宋" w:cs="仿宋"/>
          <w:color w:val="auto"/>
        </w:rPr>
        <w:t>不采取捏造事实、提供虚假材料或者以非法手段取得证明材料进行质疑和投诉；</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u w:color="000000" w:themeColor="text1"/>
        </w:rPr>
        <w:t>．</w:t>
      </w:r>
      <w:r>
        <w:rPr>
          <w:rFonts w:hint="eastAsia" w:ascii="仿宋" w:hAnsi="仿宋" w:eastAsia="仿宋" w:cs="仿宋"/>
          <w:color w:val="auto"/>
        </w:rPr>
        <w:t>不发生其他有悖于政府采购公开、公平、公正和诚信原则的行为。</w:t>
      </w:r>
    </w:p>
    <w:p>
      <w:pPr>
        <w:pStyle w:val="35"/>
        <w:spacing w:line="360" w:lineRule="auto"/>
        <w:ind w:firstLine="48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color w:val="auto"/>
          <w:u w:color="000000" w:themeColor="text1"/>
        </w:rPr>
        <w:t>．</w:t>
      </w:r>
      <w:r>
        <w:rPr>
          <w:rFonts w:hint="eastAsia" w:ascii="仿宋" w:hAnsi="仿宋" w:eastAsia="仿宋" w:cs="仿宋"/>
          <w:color w:val="auto"/>
        </w:rPr>
        <w:t>尊重和接受政府采购监督管理部门的监督和采购人、采购代理机构的政府采购工作要求，愿意承担因违约行为给采购人造成的损失。</w:t>
      </w:r>
    </w:p>
    <w:p>
      <w:pPr>
        <w:pStyle w:val="35"/>
        <w:spacing w:line="36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120" w:after="120"/>
        <w:ind w:left="2642" w:right="601" w:hanging="1803"/>
        <w:rPr>
          <w:rFonts w:hint="eastAsia" w:ascii="仿宋" w:hAnsi="仿宋" w:eastAsia="仿宋" w:cs="仿宋"/>
          <w:b/>
          <w:bCs/>
          <w:color w:val="auto"/>
        </w:rPr>
      </w:pPr>
      <w:r>
        <w:rPr>
          <w:rFonts w:hint="eastAsia" w:ascii="仿宋" w:hAnsi="仿宋" w:eastAsia="仿宋" w:cs="仿宋"/>
          <w:b/>
          <w:bCs/>
          <w:color w:val="auto"/>
        </w:rPr>
        <w:t>第六部分投标方案</w:t>
      </w:r>
    </w:p>
    <w:p>
      <w:pPr>
        <w:pStyle w:val="38"/>
        <w:spacing w:line="360" w:lineRule="auto"/>
        <w:rPr>
          <w:rFonts w:hint="eastAsia" w:ascii="仿宋" w:hAnsi="仿宋" w:eastAsia="仿宋" w:cs="仿宋"/>
          <w:b/>
          <w:bCs/>
          <w:color w:val="auto"/>
        </w:rPr>
      </w:pPr>
      <w:r>
        <w:rPr>
          <w:rFonts w:hint="eastAsia" w:ascii="仿宋" w:hAnsi="仿宋" w:eastAsia="仿宋" w:cs="仿宋"/>
          <w:b/>
          <w:bCs/>
          <w:color w:val="auto"/>
        </w:rPr>
        <w:t>（一）服务要求响应索引表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shd w:val="clear" w:color="auto" w:fill="F1F1F1" w:themeFill="background1" w:themeFillShade="F2"/>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序号</w:t>
            </w:r>
          </w:p>
        </w:tc>
        <w:tc>
          <w:tcPr>
            <w:tcW w:w="3381" w:type="dxa"/>
            <w:shd w:val="clear" w:color="auto" w:fill="F1F1F1" w:themeFill="background1" w:themeFillShade="F2"/>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招标文件条款明细</w:t>
            </w:r>
          </w:p>
        </w:tc>
        <w:tc>
          <w:tcPr>
            <w:tcW w:w="3519" w:type="dxa"/>
            <w:shd w:val="clear" w:color="auto" w:fill="F1F1F1" w:themeFill="background1" w:themeFillShade="F2"/>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响应索引</w:t>
            </w:r>
          </w:p>
        </w:tc>
        <w:tc>
          <w:tcPr>
            <w:tcW w:w="1526" w:type="dxa"/>
            <w:shd w:val="clear" w:color="auto" w:fill="F1F1F1" w:themeFill="background1" w:themeFillShade="F2"/>
            <w:vAlign w:val="center"/>
          </w:tcPr>
          <w:p>
            <w:pPr>
              <w:spacing w:line="320" w:lineRule="exact"/>
              <w:jc w:val="center"/>
              <w:rPr>
                <w:rFonts w:hint="eastAsia" w:ascii="仿宋" w:hAnsi="仿宋" w:eastAsia="仿宋" w:cs="仿宋"/>
                <w:b/>
                <w:color w:val="auto"/>
              </w:rPr>
            </w:pPr>
            <w:r>
              <w:rPr>
                <w:rFonts w:hint="eastAsia" w:ascii="仿宋" w:hAnsi="仿宋" w:eastAsia="仿宋" w:cs="仿宋"/>
                <w:b/>
                <w:color w:val="auto"/>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hint="eastAsia" w:ascii="仿宋" w:hAnsi="仿宋" w:eastAsia="仿宋" w:cs="仿宋"/>
                <w:color w:val="auto"/>
              </w:rPr>
            </w:pPr>
          </w:p>
        </w:tc>
        <w:tc>
          <w:tcPr>
            <w:tcW w:w="3381" w:type="dxa"/>
            <w:vAlign w:val="center"/>
          </w:tcPr>
          <w:p>
            <w:pPr>
              <w:spacing w:line="320" w:lineRule="exact"/>
              <w:jc w:val="both"/>
              <w:rPr>
                <w:rFonts w:hint="eastAsia" w:ascii="仿宋" w:hAnsi="仿宋" w:eastAsia="仿宋" w:cs="仿宋"/>
                <w:color w:val="auto"/>
              </w:rPr>
            </w:pPr>
          </w:p>
        </w:tc>
        <w:tc>
          <w:tcPr>
            <w:tcW w:w="3519" w:type="dxa"/>
            <w:vAlign w:val="center"/>
          </w:tcPr>
          <w:p>
            <w:pPr>
              <w:spacing w:line="320" w:lineRule="exact"/>
              <w:jc w:val="both"/>
              <w:rPr>
                <w:rFonts w:hint="eastAsia" w:ascii="仿宋" w:hAnsi="仿宋" w:eastAsia="仿宋" w:cs="仿宋"/>
                <w:color w:val="auto"/>
              </w:rPr>
            </w:pPr>
          </w:p>
        </w:tc>
        <w:tc>
          <w:tcPr>
            <w:tcW w:w="1526" w:type="dxa"/>
            <w:vAlign w:val="center"/>
          </w:tcPr>
          <w:p>
            <w:pPr>
              <w:spacing w:line="320" w:lineRule="exact"/>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hint="eastAsia" w:ascii="仿宋" w:hAnsi="仿宋" w:eastAsia="仿宋" w:cs="仿宋"/>
                <w:color w:val="auto"/>
              </w:rPr>
            </w:pPr>
          </w:p>
        </w:tc>
        <w:tc>
          <w:tcPr>
            <w:tcW w:w="3381" w:type="dxa"/>
            <w:vAlign w:val="center"/>
          </w:tcPr>
          <w:p>
            <w:pPr>
              <w:spacing w:line="320" w:lineRule="exact"/>
              <w:jc w:val="both"/>
              <w:rPr>
                <w:rFonts w:hint="eastAsia" w:ascii="仿宋" w:hAnsi="仿宋" w:eastAsia="仿宋" w:cs="仿宋"/>
                <w:color w:val="auto"/>
              </w:rPr>
            </w:pPr>
          </w:p>
        </w:tc>
        <w:tc>
          <w:tcPr>
            <w:tcW w:w="3519" w:type="dxa"/>
            <w:vAlign w:val="center"/>
          </w:tcPr>
          <w:p>
            <w:pPr>
              <w:spacing w:line="320" w:lineRule="exact"/>
              <w:jc w:val="both"/>
              <w:rPr>
                <w:rFonts w:hint="eastAsia" w:ascii="仿宋" w:hAnsi="仿宋" w:eastAsia="仿宋" w:cs="仿宋"/>
                <w:color w:val="auto"/>
              </w:rPr>
            </w:pPr>
          </w:p>
        </w:tc>
        <w:tc>
          <w:tcPr>
            <w:tcW w:w="1526" w:type="dxa"/>
            <w:vAlign w:val="center"/>
          </w:tcPr>
          <w:p>
            <w:pPr>
              <w:spacing w:line="320" w:lineRule="exact"/>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hint="eastAsia" w:ascii="仿宋" w:hAnsi="仿宋" w:eastAsia="仿宋" w:cs="仿宋"/>
                <w:color w:val="auto"/>
              </w:rPr>
            </w:pPr>
          </w:p>
        </w:tc>
        <w:tc>
          <w:tcPr>
            <w:tcW w:w="3381" w:type="dxa"/>
            <w:vAlign w:val="center"/>
          </w:tcPr>
          <w:p>
            <w:pPr>
              <w:spacing w:line="320" w:lineRule="exact"/>
              <w:jc w:val="both"/>
              <w:rPr>
                <w:rFonts w:hint="eastAsia" w:ascii="仿宋" w:hAnsi="仿宋" w:eastAsia="仿宋" w:cs="仿宋"/>
                <w:color w:val="auto"/>
              </w:rPr>
            </w:pPr>
          </w:p>
        </w:tc>
        <w:tc>
          <w:tcPr>
            <w:tcW w:w="3519" w:type="dxa"/>
            <w:vAlign w:val="center"/>
          </w:tcPr>
          <w:p>
            <w:pPr>
              <w:spacing w:line="320" w:lineRule="exact"/>
              <w:jc w:val="both"/>
              <w:rPr>
                <w:rFonts w:hint="eastAsia" w:ascii="仿宋" w:hAnsi="仿宋" w:eastAsia="仿宋" w:cs="仿宋"/>
                <w:color w:val="auto"/>
              </w:rPr>
            </w:pPr>
          </w:p>
        </w:tc>
        <w:tc>
          <w:tcPr>
            <w:tcW w:w="1526" w:type="dxa"/>
            <w:vAlign w:val="center"/>
          </w:tcPr>
          <w:p>
            <w:pPr>
              <w:spacing w:line="320" w:lineRule="exact"/>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hint="eastAsia" w:ascii="仿宋" w:hAnsi="仿宋" w:eastAsia="仿宋" w:cs="仿宋"/>
                <w:color w:val="auto"/>
              </w:rPr>
            </w:pPr>
          </w:p>
        </w:tc>
        <w:tc>
          <w:tcPr>
            <w:tcW w:w="3381" w:type="dxa"/>
            <w:vAlign w:val="center"/>
          </w:tcPr>
          <w:p>
            <w:pPr>
              <w:spacing w:line="320" w:lineRule="exact"/>
              <w:jc w:val="both"/>
              <w:rPr>
                <w:rFonts w:hint="eastAsia" w:ascii="仿宋" w:hAnsi="仿宋" w:eastAsia="仿宋" w:cs="仿宋"/>
                <w:color w:val="auto"/>
              </w:rPr>
            </w:pPr>
          </w:p>
        </w:tc>
        <w:tc>
          <w:tcPr>
            <w:tcW w:w="3519" w:type="dxa"/>
            <w:vAlign w:val="center"/>
          </w:tcPr>
          <w:p>
            <w:pPr>
              <w:spacing w:line="320" w:lineRule="exact"/>
              <w:jc w:val="both"/>
              <w:rPr>
                <w:rFonts w:hint="eastAsia" w:ascii="仿宋" w:hAnsi="仿宋" w:eastAsia="仿宋" w:cs="仿宋"/>
                <w:color w:val="auto"/>
              </w:rPr>
            </w:pPr>
          </w:p>
        </w:tc>
        <w:tc>
          <w:tcPr>
            <w:tcW w:w="1526" w:type="dxa"/>
            <w:vAlign w:val="center"/>
          </w:tcPr>
          <w:p>
            <w:pPr>
              <w:spacing w:line="320" w:lineRule="exact"/>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hint="eastAsia" w:ascii="仿宋" w:hAnsi="仿宋" w:eastAsia="仿宋" w:cs="仿宋"/>
                <w:color w:val="auto"/>
              </w:rPr>
            </w:pPr>
          </w:p>
        </w:tc>
        <w:tc>
          <w:tcPr>
            <w:tcW w:w="3381" w:type="dxa"/>
            <w:vAlign w:val="center"/>
          </w:tcPr>
          <w:p>
            <w:pPr>
              <w:spacing w:line="320" w:lineRule="exact"/>
              <w:jc w:val="both"/>
              <w:rPr>
                <w:rFonts w:hint="eastAsia" w:ascii="仿宋" w:hAnsi="仿宋" w:eastAsia="仿宋" w:cs="仿宋"/>
                <w:color w:val="auto"/>
              </w:rPr>
            </w:pPr>
          </w:p>
        </w:tc>
        <w:tc>
          <w:tcPr>
            <w:tcW w:w="3519" w:type="dxa"/>
            <w:vAlign w:val="center"/>
          </w:tcPr>
          <w:p>
            <w:pPr>
              <w:spacing w:line="320" w:lineRule="exact"/>
              <w:jc w:val="both"/>
              <w:rPr>
                <w:rFonts w:hint="eastAsia" w:ascii="仿宋" w:hAnsi="仿宋" w:eastAsia="仿宋" w:cs="仿宋"/>
                <w:color w:val="auto"/>
              </w:rPr>
            </w:pPr>
          </w:p>
        </w:tc>
        <w:tc>
          <w:tcPr>
            <w:tcW w:w="1526" w:type="dxa"/>
            <w:vAlign w:val="center"/>
          </w:tcPr>
          <w:p>
            <w:pPr>
              <w:spacing w:line="320" w:lineRule="exact"/>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hint="eastAsia" w:ascii="仿宋" w:hAnsi="仿宋" w:eastAsia="仿宋" w:cs="仿宋"/>
                <w:color w:val="auto"/>
              </w:rPr>
            </w:pPr>
          </w:p>
        </w:tc>
        <w:tc>
          <w:tcPr>
            <w:tcW w:w="3381" w:type="dxa"/>
            <w:vAlign w:val="center"/>
          </w:tcPr>
          <w:p>
            <w:pPr>
              <w:spacing w:line="320" w:lineRule="exact"/>
              <w:jc w:val="both"/>
              <w:rPr>
                <w:rFonts w:hint="eastAsia" w:ascii="仿宋" w:hAnsi="仿宋" w:eastAsia="仿宋" w:cs="仿宋"/>
                <w:color w:val="auto"/>
              </w:rPr>
            </w:pPr>
          </w:p>
        </w:tc>
        <w:tc>
          <w:tcPr>
            <w:tcW w:w="3519" w:type="dxa"/>
            <w:vAlign w:val="center"/>
          </w:tcPr>
          <w:p>
            <w:pPr>
              <w:spacing w:line="320" w:lineRule="exact"/>
              <w:jc w:val="both"/>
              <w:rPr>
                <w:rFonts w:hint="eastAsia" w:ascii="仿宋" w:hAnsi="仿宋" w:eastAsia="仿宋" w:cs="仿宋"/>
                <w:color w:val="auto"/>
              </w:rPr>
            </w:pPr>
          </w:p>
        </w:tc>
        <w:tc>
          <w:tcPr>
            <w:tcW w:w="1526" w:type="dxa"/>
            <w:vAlign w:val="center"/>
          </w:tcPr>
          <w:p>
            <w:pPr>
              <w:spacing w:line="320" w:lineRule="exact"/>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center"/>
              <w:rPr>
                <w:rFonts w:hint="eastAsia" w:ascii="仿宋" w:hAnsi="仿宋" w:eastAsia="仿宋" w:cs="仿宋"/>
                <w:color w:val="auto"/>
              </w:rPr>
            </w:pPr>
            <w:r>
              <w:rPr>
                <w:rFonts w:hint="eastAsia" w:ascii="仿宋" w:hAnsi="仿宋" w:eastAsia="仿宋" w:cs="仿宋"/>
                <w:color w:val="auto"/>
              </w:rPr>
              <w:t>备注</w:t>
            </w:r>
          </w:p>
        </w:tc>
        <w:tc>
          <w:tcPr>
            <w:tcW w:w="8426" w:type="dxa"/>
            <w:gridSpan w:val="3"/>
            <w:vAlign w:val="center"/>
          </w:tcPr>
          <w:p>
            <w:pPr>
              <w:spacing w:line="320" w:lineRule="exact"/>
              <w:ind w:left="315" w:hanging="315"/>
              <w:jc w:val="both"/>
              <w:rPr>
                <w:rFonts w:hint="eastAsia" w:ascii="仿宋" w:hAnsi="仿宋" w:eastAsia="仿宋" w:cs="仿宋"/>
                <w:color w:val="auto"/>
              </w:rPr>
            </w:pPr>
            <w:r>
              <w:rPr>
                <w:rFonts w:hint="eastAsia" w:ascii="仿宋" w:hAnsi="仿宋" w:eastAsia="仿宋" w:cs="仿宋"/>
                <w:color w:val="auto"/>
              </w:rPr>
              <w:t>1．对第三章中的技术（服务）要求做出响应。其中，属于实质性要求的，最好在“招标文件条款明细”保留原实质性要求中的“★”。</w:t>
            </w:r>
          </w:p>
          <w:p>
            <w:pPr>
              <w:spacing w:line="320" w:lineRule="exact"/>
              <w:ind w:left="315" w:hanging="315"/>
              <w:jc w:val="both"/>
              <w:rPr>
                <w:rFonts w:hint="eastAsia" w:ascii="仿宋" w:hAnsi="仿宋" w:eastAsia="仿宋" w:cs="仿宋"/>
                <w:color w:val="auto"/>
              </w:rPr>
            </w:pPr>
            <w:r>
              <w:rPr>
                <w:rFonts w:hint="eastAsia" w:ascii="仿宋" w:hAnsi="仿宋" w:eastAsia="仿宋" w:cs="仿宋"/>
                <w:color w:val="auto"/>
              </w:rPr>
              <w:t>2．响应说明按实际响应情况填写“优于”、“响应”、“不响应”。</w:t>
            </w:r>
          </w:p>
          <w:p>
            <w:pPr>
              <w:spacing w:line="320" w:lineRule="exact"/>
              <w:ind w:left="315" w:hanging="315"/>
              <w:jc w:val="both"/>
              <w:rPr>
                <w:rFonts w:hint="eastAsia" w:ascii="仿宋" w:hAnsi="仿宋" w:eastAsia="仿宋" w:cs="仿宋"/>
                <w:color w:val="auto"/>
              </w:rPr>
            </w:pPr>
            <w:r>
              <w:rPr>
                <w:rFonts w:hint="eastAsia" w:ascii="仿宋" w:hAnsi="仿宋" w:eastAsia="仿宋" w:cs="仿宋"/>
                <w:color w:val="auto"/>
              </w:rPr>
              <w:t>3．“响应索引”单元格中注明引用位置，如“见技术（服务）响应方案4.1.1”。</w:t>
            </w:r>
          </w:p>
        </w:tc>
      </w:tr>
    </w:tbl>
    <w:p>
      <w:pPr>
        <w:pStyle w:val="35"/>
        <w:spacing w:line="36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48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tabs>
          <w:tab w:val="right" w:pos="9070"/>
        </w:tabs>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附：技术（服务）响应方案</w:t>
      </w: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rPr>
          <w:rFonts w:hint="eastAsia"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hint="eastAsia" w:ascii="仿宋" w:hAnsi="仿宋" w:eastAsia="仿宋" w:cs="仿宋"/>
          <w:b/>
          <w:bCs/>
          <w:color w:val="auto"/>
        </w:rPr>
      </w:pPr>
      <w:r>
        <w:rPr>
          <w:rFonts w:hint="eastAsia" w:ascii="仿宋" w:hAnsi="仿宋" w:eastAsia="仿宋" w:cs="仿宋"/>
          <w:b/>
          <w:bCs/>
          <w:color w:val="auto"/>
        </w:rPr>
        <w:t>（二）商务要求响应索引表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pPr>
              <w:spacing w:line="360" w:lineRule="auto"/>
              <w:jc w:val="both"/>
              <w:rPr>
                <w:rFonts w:hint="eastAsia" w:ascii="仿宋" w:hAnsi="仿宋" w:eastAsia="仿宋" w:cs="仿宋"/>
                <w:color w:val="auto"/>
              </w:rPr>
            </w:pPr>
          </w:p>
        </w:tc>
        <w:tc>
          <w:tcPr>
            <w:tcW w:w="3381" w:type="dxa"/>
            <w:tcBorders>
              <w:top w:val="single" w:color="auto" w:sz="2" w:space="0"/>
            </w:tcBorders>
            <w:vAlign w:val="center"/>
          </w:tcPr>
          <w:p>
            <w:pPr>
              <w:spacing w:line="360" w:lineRule="auto"/>
              <w:jc w:val="both"/>
              <w:rPr>
                <w:rFonts w:hint="eastAsia" w:ascii="仿宋" w:hAnsi="仿宋" w:eastAsia="仿宋" w:cs="仿宋"/>
                <w:color w:val="auto"/>
              </w:rPr>
            </w:pPr>
          </w:p>
        </w:tc>
        <w:tc>
          <w:tcPr>
            <w:tcW w:w="3519" w:type="dxa"/>
            <w:tcBorders>
              <w:top w:val="single" w:color="auto" w:sz="2" w:space="0"/>
            </w:tcBorders>
            <w:vAlign w:val="center"/>
          </w:tcPr>
          <w:p>
            <w:pPr>
              <w:spacing w:line="360" w:lineRule="auto"/>
              <w:jc w:val="both"/>
              <w:rPr>
                <w:rFonts w:hint="eastAsia" w:ascii="仿宋" w:hAnsi="仿宋" w:eastAsia="仿宋" w:cs="仿宋"/>
                <w:color w:val="auto"/>
              </w:rPr>
            </w:pPr>
          </w:p>
        </w:tc>
        <w:tc>
          <w:tcPr>
            <w:tcW w:w="1526" w:type="dxa"/>
            <w:tcBorders>
              <w:top w:val="single" w:color="auto" w:sz="2" w:space="0"/>
            </w:tcBorders>
            <w:vAlign w:val="center"/>
          </w:tcPr>
          <w:p>
            <w:pPr>
              <w:spacing w:line="360" w:lineRule="auto"/>
              <w:jc w:val="both"/>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仿宋" w:hAnsi="仿宋" w:eastAsia="仿宋" w:cs="仿宋"/>
                <w:color w:val="auto"/>
              </w:rPr>
            </w:pPr>
          </w:p>
        </w:tc>
        <w:tc>
          <w:tcPr>
            <w:tcW w:w="3381" w:type="dxa"/>
            <w:vAlign w:val="center"/>
          </w:tcPr>
          <w:p>
            <w:pPr>
              <w:spacing w:line="360" w:lineRule="auto"/>
              <w:jc w:val="both"/>
              <w:rPr>
                <w:rFonts w:hint="eastAsia" w:ascii="仿宋" w:hAnsi="仿宋" w:eastAsia="仿宋" w:cs="仿宋"/>
                <w:color w:val="auto"/>
              </w:rPr>
            </w:pPr>
          </w:p>
        </w:tc>
        <w:tc>
          <w:tcPr>
            <w:tcW w:w="3519" w:type="dxa"/>
            <w:vAlign w:val="center"/>
          </w:tcPr>
          <w:p>
            <w:pPr>
              <w:spacing w:line="360" w:lineRule="auto"/>
              <w:jc w:val="both"/>
              <w:rPr>
                <w:rFonts w:hint="eastAsia" w:ascii="仿宋" w:hAnsi="仿宋" w:eastAsia="仿宋" w:cs="仿宋"/>
                <w:color w:val="auto"/>
              </w:rPr>
            </w:pPr>
          </w:p>
        </w:tc>
        <w:tc>
          <w:tcPr>
            <w:tcW w:w="1526" w:type="dxa"/>
            <w:vAlign w:val="center"/>
          </w:tcPr>
          <w:p>
            <w:pPr>
              <w:spacing w:line="360" w:lineRule="auto"/>
              <w:jc w:val="both"/>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仿宋" w:hAnsi="仿宋" w:eastAsia="仿宋" w:cs="仿宋"/>
                <w:color w:val="auto"/>
              </w:rPr>
            </w:pPr>
          </w:p>
        </w:tc>
        <w:tc>
          <w:tcPr>
            <w:tcW w:w="3381" w:type="dxa"/>
            <w:vAlign w:val="center"/>
          </w:tcPr>
          <w:p>
            <w:pPr>
              <w:spacing w:line="360" w:lineRule="auto"/>
              <w:jc w:val="both"/>
              <w:rPr>
                <w:rFonts w:hint="eastAsia" w:ascii="仿宋" w:hAnsi="仿宋" w:eastAsia="仿宋" w:cs="仿宋"/>
                <w:color w:val="auto"/>
              </w:rPr>
            </w:pPr>
          </w:p>
        </w:tc>
        <w:tc>
          <w:tcPr>
            <w:tcW w:w="3519" w:type="dxa"/>
            <w:vAlign w:val="center"/>
          </w:tcPr>
          <w:p>
            <w:pPr>
              <w:spacing w:line="360" w:lineRule="auto"/>
              <w:jc w:val="both"/>
              <w:rPr>
                <w:rFonts w:hint="eastAsia" w:ascii="仿宋" w:hAnsi="仿宋" w:eastAsia="仿宋" w:cs="仿宋"/>
                <w:color w:val="auto"/>
              </w:rPr>
            </w:pPr>
          </w:p>
        </w:tc>
        <w:tc>
          <w:tcPr>
            <w:tcW w:w="1526" w:type="dxa"/>
            <w:vAlign w:val="center"/>
          </w:tcPr>
          <w:p>
            <w:pPr>
              <w:spacing w:line="360" w:lineRule="auto"/>
              <w:jc w:val="both"/>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仿宋" w:hAnsi="仿宋" w:eastAsia="仿宋" w:cs="仿宋"/>
                <w:color w:val="auto"/>
              </w:rPr>
            </w:pPr>
          </w:p>
        </w:tc>
        <w:tc>
          <w:tcPr>
            <w:tcW w:w="3381" w:type="dxa"/>
            <w:vAlign w:val="center"/>
          </w:tcPr>
          <w:p>
            <w:pPr>
              <w:spacing w:line="360" w:lineRule="auto"/>
              <w:jc w:val="both"/>
              <w:rPr>
                <w:rFonts w:hint="eastAsia" w:ascii="仿宋" w:hAnsi="仿宋" w:eastAsia="仿宋" w:cs="仿宋"/>
                <w:color w:val="auto"/>
              </w:rPr>
            </w:pPr>
          </w:p>
        </w:tc>
        <w:tc>
          <w:tcPr>
            <w:tcW w:w="3519" w:type="dxa"/>
            <w:vAlign w:val="center"/>
          </w:tcPr>
          <w:p>
            <w:pPr>
              <w:spacing w:line="360" w:lineRule="auto"/>
              <w:jc w:val="both"/>
              <w:rPr>
                <w:rFonts w:hint="eastAsia" w:ascii="仿宋" w:hAnsi="仿宋" w:eastAsia="仿宋" w:cs="仿宋"/>
                <w:color w:val="auto"/>
              </w:rPr>
            </w:pPr>
          </w:p>
        </w:tc>
        <w:tc>
          <w:tcPr>
            <w:tcW w:w="1526" w:type="dxa"/>
            <w:vAlign w:val="center"/>
          </w:tcPr>
          <w:p>
            <w:pPr>
              <w:spacing w:line="360" w:lineRule="auto"/>
              <w:jc w:val="both"/>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仿宋" w:hAnsi="仿宋" w:eastAsia="仿宋" w:cs="仿宋"/>
                <w:color w:val="auto"/>
              </w:rPr>
            </w:pPr>
          </w:p>
        </w:tc>
        <w:tc>
          <w:tcPr>
            <w:tcW w:w="3381" w:type="dxa"/>
            <w:vAlign w:val="center"/>
          </w:tcPr>
          <w:p>
            <w:pPr>
              <w:spacing w:line="360" w:lineRule="auto"/>
              <w:jc w:val="both"/>
              <w:rPr>
                <w:rFonts w:hint="eastAsia" w:ascii="仿宋" w:hAnsi="仿宋" w:eastAsia="仿宋" w:cs="仿宋"/>
                <w:color w:val="auto"/>
              </w:rPr>
            </w:pPr>
          </w:p>
        </w:tc>
        <w:tc>
          <w:tcPr>
            <w:tcW w:w="3519" w:type="dxa"/>
            <w:vAlign w:val="center"/>
          </w:tcPr>
          <w:p>
            <w:pPr>
              <w:spacing w:line="360" w:lineRule="auto"/>
              <w:jc w:val="both"/>
              <w:rPr>
                <w:rFonts w:hint="eastAsia" w:ascii="仿宋" w:hAnsi="仿宋" w:eastAsia="仿宋" w:cs="仿宋"/>
                <w:color w:val="auto"/>
              </w:rPr>
            </w:pPr>
          </w:p>
        </w:tc>
        <w:tc>
          <w:tcPr>
            <w:tcW w:w="1526" w:type="dxa"/>
            <w:vAlign w:val="center"/>
          </w:tcPr>
          <w:p>
            <w:pPr>
              <w:spacing w:line="360" w:lineRule="auto"/>
              <w:jc w:val="both"/>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hint="eastAsia" w:ascii="仿宋" w:hAnsi="仿宋" w:eastAsia="仿宋" w:cs="仿宋"/>
                <w:color w:val="auto"/>
              </w:rPr>
            </w:pPr>
          </w:p>
        </w:tc>
        <w:tc>
          <w:tcPr>
            <w:tcW w:w="3381" w:type="dxa"/>
            <w:vAlign w:val="center"/>
          </w:tcPr>
          <w:p>
            <w:pPr>
              <w:spacing w:line="360" w:lineRule="auto"/>
              <w:jc w:val="both"/>
              <w:rPr>
                <w:rFonts w:hint="eastAsia" w:ascii="仿宋" w:hAnsi="仿宋" w:eastAsia="仿宋" w:cs="仿宋"/>
                <w:color w:val="auto"/>
              </w:rPr>
            </w:pPr>
          </w:p>
        </w:tc>
        <w:tc>
          <w:tcPr>
            <w:tcW w:w="3519" w:type="dxa"/>
            <w:vAlign w:val="center"/>
          </w:tcPr>
          <w:p>
            <w:pPr>
              <w:spacing w:line="360" w:lineRule="auto"/>
              <w:jc w:val="both"/>
              <w:rPr>
                <w:rFonts w:hint="eastAsia" w:ascii="仿宋" w:hAnsi="仿宋" w:eastAsia="仿宋" w:cs="仿宋"/>
                <w:color w:val="auto"/>
              </w:rPr>
            </w:pPr>
          </w:p>
        </w:tc>
        <w:tc>
          <w:tcPr>
            <w:tcW w:w="1526" w:type="dxa"/>
            <w:vAlign w:val="center"/>
          </w:tcPr>
          <w:p>
            <w:pPr>
              <w:spacing w:line="360" w:lineRule="auto"/>
              <w:jc w:val="both"/>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备注</w:t>
            </w:r>
          </w:p>
        </w:tc>
        <w:tc>
          <w:tcPr>
            <w:tcW w:w="8426" w:type="dxa"/>
            <w:gridSpan w:val="3"/>
            <w:vAlign w:val="center"/>
          </w:tcPr>
          <w:p>
            <w:pPr>
              <w:spacing w:line="360" w:lineRule="auto"/>
              <w:ind w:left="315" w:hanging="315"/>
              <w:jc w:val="both"/>
              <w:rPr>
                <w:rFonts w:hint="eastAsia" w:ascii="仿宋" w:hAnsi="仿宋" w:eastAsia="仿宋" w:cs="仿宋"/>
                <w:color w:val="auto"/>
              </w:rPr>
            </w:pPr>
            <w:r>
              <w:rPr>
                <w:rFonts w:hint="eastAsia" w:ascii="仿宋" w:hAnsi="仿宋" w:eastAsia="仿宋" w:cs="仿宋"/>
                <w:color w:val="auto"/>
              </w:rPr>
              <w:t>1．对第三章中的商务要求做出响应。其中，属于实质性要求的，最好在“招标文件条款明细”保留原实质性要求中的“★”。</w:t>
            </w:r>
          </w:p>
          <w:p>
            <w:pPr>
              <w:spacing w:line="360" w:lineRule="auto"/>
              <w:ind w:left="315" w:hanging="315"/>
              <w:jc w:val="both"/>
              <w:rPr>
                <w:rFonts w:hint="eastAsia" w:ascii="仿宋" w:hAnsi="仿宋" w:eastAsia="仿宋" w:cs="仿宋"/>
                <w:color w:val="auto"/>
              </w:rPr>
            </w:pPr>
            <w:r>
              <w:rPr>
                <w:rFonts w:hint="eastAsia" w:ascii="仿宋" w:hAnsi="仿宋" w:eastAsia="仿宋" w:cs="仿宋"/>
                <w:color w:val="auto"/>
              </w:rPr>
              <w:t>2．响应说明按实际响应情况填写“优于”、“响应”、“不响应”。</w:t>
            </w:r>
          </w:p>
          <w:p>
            <w:pPr>
              <w:spacing w:line="360" w:lineRule="auto"/>
              <w:ind w:left="315" w:hanging="315"/>
              <w:jc w:val="both"/>
              <w:rPr>
                <w:rFonts w:hint="eastAsia" w:ascii="仿宋" w:hAnsi="仿宋" w:eastAsia="仿宋" w:cs="仿宋"/>
                <w:color w:val="auto"/>
              </w:rPr>
            </w:pPr>
            <w:r>
              <w:rPr>
                <w:rFonts w:hint="eastAsia" w:ascii="仿宋" w:hAnsi="仿宋" w:eastAsia="仿宋" w:cs="仿宋"/>
                <w:color w:val="auto"/>
              </w:rPr>
              <w:t>3．“响应索引”单元格中注明引用位置，如“见商务响应方案4.1.1”。</w:t>
            </w:r>
          </w:p>
        </w:tc>
      </w:tr>
    </w:tbl>
    <w:p>
      <w:pPr>
        <w:pStyle w:val="35"/>
        <w:spacing w:line="48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hint="eastAsia" w:ascii="仿宋" w:hAnsi="仿宋" w:eastAsia="仿宋" w:cs="仿宋"/>
          <w:color w:val="auto"/>
        </w:rPr>
      </w:pPr>
    </w:p>
    <w:p>
      <w:pPr>
        <w:tabs>
          <w:tab w:val="right" w:pos="9070"/>
        </w:tabs>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附：商务响应方案</w:t>
      </w: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rPr>
          <w:rFonts w:hint="eastAsia"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hint="eastAsia" w:ascii="仿宋" w:hAnsi="仿宋" w:eastAsia="仿宋" w:cs="仿宋"/>
          <w:b/>
          <w:bCs/>
          <w:color w:val="auto"/>
        </w:rPr>
      </w:pPr>
      <w:r>
        <w:rPr>
          <w:rFonts w:hint="eastAsia" w:ascii="仿宋" w:hAnsi="仿宋" w:eastAsia="仿宋" w:cs="仿宋"/>
          <w:b/>
          <w:bCs/>
          <w:color w:val="auto"/>
        </w:rPr>
        <w:t>（三）合同条款响应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49"/>
        <w:gridCol w:w="2518"/>
        <w:gridCol w:w="253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549" w:type="dxa"/>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条款名称</w:t>
            </w:r>
          </w:p>
        </w:tc>
        <w:tc>
          <w:tcPr>
            <w:tcW w:w="2518" w:type="dxa"/>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招标文件合同条款明细</w:t>
            </w:r>
          </w:p>
        </w:tc>
        <w:tc>
          <w:tcPr>
            <w:tcW w:w="2533" w:type="dxa"/>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投标文件合同条款响应</w:t>
            </w:r>
          </w:p>
        </w:tc>
        <w:tc>
          <w:tcPr>
            <w:tcW w:w="1282" w:type="dxa"/>
            <w:shd w:val="clear" w:color="auto" w:fill="F1F1F1" w:themeFill="background1" w:themeFillShade="F2"/>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仿宋" w:hAnsi="仿宋" w:eastAsia="仿宋" w:cs="仿宋"/>
                <w:color w:val="auto"/>
              </w:rPr>
            </w:pPr>
          </w:p>
        </w:tc>
        <w:tc>
          <w:tcPr>
            <w:tcW w:w="1549" w:type="dxa"/>
            <w:vAlign w:val="center"/>
          </w:tcPr>
          <w:p>
            <w:pPr>
              <w:spacing w:line="360" w:lineRule="auto"/>
              <w:rPr>
                <w:rFonts w:hint="eastAsia" w:ascii="仿宋" w:hAnsi="仿宋" w:eastAsia="仿宋" w:cs="仿宋"/>
                <w:color w:val="auto"/>
              </w:rPr>
            </w:pPr>
          </w:p>
        </w:tc>
        <w:tc>
          <w:tcPr>
            <w:tcW w:w="2518" w:type="dxa"/>
            <w:vAlign w:val="center"/>
          </w:tcPr>
          <w:p>
            <w:pPr>
              <w:spacing w:line="360" w:lineRule="auto"/>
              <w:rPr>
                <w:rFonts w:hint="eastAsia" w:ascii="仿宋" w:hAnsi="仿宋" w:eastAsia="仿宋" w:cs="仿宋"/>
                <w:color w:val="auto"/>
              </w:rPr>
            </w:pPr>
          </w:p>
        </w:tc>
        <w:tc>
          <w:tcPr>
            <w:tcW w:w="2533" w:type="dxa"/>
            <w:vAlign w:val="center"/>
          </w:tcPr>
          <w:p>
            <w:pPr>
              <w:spacing w:line="360" w:lineRule="auto"/>
              <w:rPr>
                <w:rFonts w:hint="eastAsia" w:ascii="仿宋" w:hAnsi="仿宋" w:eastAsia="仿宋" w:cs="仿宋"/>
                <w:color w:val="auto"/>
              </w:rPr>
            </w:pPr>
          </w:p>
        </w:tc>
        <w:tc>
          <w:tcPr>
            <w:tcW w:w="1282"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仿宋" w:hAnsi="仿宋" w:eastAsia="仿宋" w:cs="仿宋"/>
                <w:color w:val="auto"/>
              </w:rPr>
            </w:pPr>
          </w:p>
        </w:tc>
        <w:tc>
          <w:tcPr>
            <w:tcW w:w="1549" w:type="dxa"/>
            <w:vAlign w:val="center"/>
          </w:tcPr>
          <w:p>
            <w:pPr>
              <w:spacing w:line="360" w:lineRule="auto"/>
              <w:rPr>
                <w:rFonts w:hint="eastAsia" w:ascii="仿宋" w:hAnsi="仿宋" w:eastAsia="仿宋" w:cs="仿宋"/>
                <w:color w:val="auto"/>
              </w:rPr>
            </w:pPr>
          </w:p>
        </w:tc>
        <w:tc>
          <w:tcPr>
            <w:tcW w:w="2518" w:type="dxa"/>
            <w:vAlign w:val="center"/>
          </w:tcPr>
          <w:p>
            <w:pPr>
              <w:spacing w:line="360" w:lineRule="auto"/>
              <w:rPr>
                <w:rFonts w:hint="eastAsia" w:ascii="仿宋" w:hAnsi="仿宋" w:eastAsia="仿宋" w:cs="仿宋"/>
                <w:color w:val="auto"/>
              </w:rPr>
            </w:pPr>
          </w:p>
        </w:tc>
        <w:tc>
          <w:tcPr>
            <w:tcW w:w="2533" w:type="dxa"/>
            <w:vAlign w:val="center"/>
          </w:tcPr>
          <w:p>
            <w:pPr>
              <w:spacing w:line="360" w:lineRule="auto"/>
              <w:rPr>
                <w:rFonts w:hint="eastAsia" w:ascii="仿宋" w:hAnsi="仿宋" w:eastAsia="仿宋" w:cs="仿宋"/>
                <w:color w:val="auto"/>
              </w:rPr>
            </w:pPr>
          </w:p>
        </w:tc>
        <w:tc>
          <w:tcPr>
            <w:tcW w:w="1282"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仿宋" w:hAnsi="仿宋" w:eastAsia="仿宋" w:cs="仿宋"/>
                <w:color w:val="auto"/>
              </w:rPr>
            </w:pPr>
          </w:p>
        </w:tc>
        <w:tc>
          <w:tcPr>
            <w:tcW w:w="1549" w:type="dxa"/>
            <w:vAlign w:val="center"/>
          </w:tcPr>
          <w:p>
            <w:pPr>
              <w:spacing w:line="360" w:lineRule="auto"/>
              <w:rPr>
                <w:rFonts w:hint="eastAsia" w:ascii="仿宋" w:hAnsi="仿宋" w:eastAsia="仿宋" w:cs="仿宋"/>
                <w:color w:val="auto"/>
              </w:rPr>
            </w:pPr>
          </w:p>
        </w:tc>
        <w:tc>
          <w:tcPr>
            <w:tcW w:w="2518" w:type="dxa"/>
            <w:vAlign w:val="center"/>
          </w:tcPr>
          <w:p>
            <w:pPr>
              <w:spacing w:line="360" w:lineRule="auto"/>
              <w:rPr>
                <w:rFonts w:hint="eastAsia" w:ascii="仿宋" w:hAnsi="仿宋" w:eastAsia="仿宋" w:cs="仿宋"/>
                <w:color w:val="auto"/>
              </w:rPr>
            </w:pPr>
          </w:p>
        </w:tc>
        <w:tc>
          <w:tcPr>
            <w:tcW w:w="2533" w:type="dxa"/>
            <w:vAlign w:val="center"/>
          </w:tcPr>
          <w:p>
            <w:pPr>
              <w:spacing w:line="360" w:lineRule="auto"/>
              <w:rPr>
                <w:rFonts w:hint="eastAsia" w:ascii="仿宋" w:hAnsi="仿宋" w:eastAsia="仿宋" w:cs="仿宋"/>
                <w:color w:val="auto"/>
              </w:rPr>
            </w:pPr>
          </w:p>
        </w:tc>
        <w:tc>
          <w:tcPr>
            <w:tcW w:w="1282"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hint="eastAsia" w:ascii="仿宋" w:hAnsi="仿宋" w:eastAsia="仿宋" w:cs="仿宋"/>
                <w:color w:val="auto"/>
              </w:rPr>
            </w:pPr>
          </w:p>
        </w:tc>
        <w:tc>
          <w:tcPr>
            <w:tcW w:w="1549" w:type="dxa"/>
            <w:vAlign w:val="center"/>
          </w:tcPr>
          <w:p>
            <w:pPr>
              <w:spacing w:line="360" w:lineRule="auto"/>
              <w:rPr>
                <w:rFonts w:hint="eastAsia" w:ascii="仿宋" w:hAnsi="仿宋" w:eastAsia="仿宋" w:cs="仿宋"/>
                <w:color w:val="auto"/>
              </w:rPr>
            </w:pPr>
          </w:p>
        </w:tc>
        <w:tc>
          <w:tcPr>
            <w:tcW w:w="2518" w:type="dxa"/>
            <w:vAlign w:val="center"/>
          </w:tcPr>
          <w:p>
            <w:pPr>
              <w:spacing w:line="360" w:lineRule="auto"/>
              <w:rPr>
                <w:rFonts w:hint="eastAsia" w:ascii="仿宋" w:hAnsi="仿宋" w:eastAsia="仿宋" w:cs="仿宋"/>
                <w:color w:val="auto"/>
              </w:rPr>
            </w:pPr>
          </w:p>
        </w:tc>
        <w:tc>
          <w:tcPr>
            <w:tcW w:w="2533" w:type="dxa"/>
            <w:vAlign w:val="center"/>
          </w:tcPr>
          <w:p>
            <w:pPr>
              <w:spacing w:line="360" w:lineRule="auto"/>
              <w:rPr>
                <w:rFonts w:hint="eastAsia" w:ascii="仿宋" w:hAnsi="仿宋" w:eastAsia="仿宋" w:cs="仿宋"/>
                <w:color w:val="auto"/>
              </w:rPr>
            </w:pPr>
          </w:p>
        </w:tc>
        <w:tc>
          <w:tcPr>
            <w:tcW w:w="1282"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hint="eastAsia" w:ascii="仿宋" w:hAnsi="仿宋" w:eastAsia="仿宋" w:cs="仿宋"/>
                <w:color w:val="auto"/>
              </w:rPr>
            </w:pPr>
          </w:p>
        </w:tc>
        <w:tc>
          <w:tcPr>
            <w:tcW w:w="1549" w:type="dxa"/>
            <w:vAlign w:val="center"/>
          </w:tcPr>
          <w:p>
            <w:pPr>
              <w:spacing w:line="360" w:lineRule="auto"/>
              <w:jc w:val="both"/>
              <w:rPr>
                <w:rFonts w:hint="eastAsia" w:ascii="仿宋" w:hAnsi="仿宋" w:eastAsia="仿宋" w:cs="仿宋"/>
                <w:color w:val="auto"/>
              </w:rPr>
            </w:pPr>
          </w:p>
        </w:tc>
        <w:tc>
          <w:tcPr>
            <w:tcW w:w="2518" w:type="dxa"/>
            <w:vAlign w:val="center"/>
          </w:tcPr>
          <w:p>
            <w:pPr>
              <w:spacing w:line="360" w:lineRule="auto"/>
              <w:jc w:val="both"/>
              <w:rPr>
                <w:rFonts w:hint="eastAsia" w:ascii="仿宋" w:hAnsi="仿宋" w:eastAsia="仿宋" w:cs="仿宋"/>
                <w:color w:val="auto"/>
              </w:rPr>
            </w:pPr>
          </w:p>
        </w:tc>
        <w:tc>
          <w:tcPr>
            <w:tcW w:w="2533" w:type="dxa"/>
            <w:vAlign w:val="center"/>
          </w:tcPr>
          <w:p>
            <w:pPr>
              <w:spacing w:line="360" w:lineRule="auto"/>
              <w:jc w:val="both"/>
              <w:rPr>
                <w:rFonts w:hint="eastAsia" w:ascii="仿宋" w:hAnsi="仿宋" w:eastAsia="仿宋" w:cs="仿宋"/>
                <w:color w:val="auto"/>
              </w:rPr>
            </w:pPr>
          </w:p>
        </w:tc>
        <w:tc>
          <w:tcPr>
            <w:tcW w:w="1282" w:type="dxa"/>
            <w:vAlign w:val="center"/>
          </w:tcPr>
          <w:p>
            <w:pPr>
              <w:spacing w:line="360" w:lineRule="auto"/>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hint="eastAsia" w:ascii="仿宋" w:hAnsi="仿宋" w:eastAsia="仿宋" w:cs="仿宋"/>
                <w:color w:val="auto"/>
              </w:rPr>
            </w:pPr>
          </w:p>
        </w:tc>
        <w:tc>
          <w:tcPr>
            <w:tcW w:w="1549" w:type="dxa"/>
            <w:vAlign w:val="center"/>
          </w:tcPr>
          <w:p>
            <w:pPr>
              <w:spacing w:line="360" w:lineRule="auto"/>
              <w:jc w:val="both"/>
              <w:rPr>
                <w:rFonts w:hint="eastAsia" w:ascii="仿宋" w:hAnsi="仿宋" w:eastAsia="仿宋" w:cs="仿宋"/>
                <w:color w:val="auto"/>
              </w:rPr>
            </w:pPr>
          </w:p>
        </w:tc>
        <w:tc>
          <w:tcPr>
            <w:tcW w:w="2518" w:type="dxa"/>
            <w:vAlign w:val="center"/>
          </w:tcPr>
          <w:p>
            <w:pPr>
              <w:spacing w:line="360" w:lineRule="auto"/>
              <w:jc w:val="both"/>
              <w:rPr>
                <w:rFonts w:hint="eastAsia" w:ascii="仿宋" w:hAnsi="仿宋" w:eastAsia="仿宋" w:cs="仿宋"/>
                <w:color w:val="auto"/>
              </w:rPr>
            </w:pPr>
          </w:p>
        </w:tc>
        <w:tc>
          <w:tcPr>
            <w:tcW w:w="2533" w:type="dxa"/>
            <w:vAlign w:val="center"/>
          </w:tcPr>
          <w:p>
            <w:pPr>
              <w:spacing w:line="360" w:lineRule="auto"/>
              <w:jc w:val="both"/>
              <w:rPr>
                <w:rFonts w:hint="eastAsia" w:ascii="仿宋" w:hAnsi="仿宋" w:eastAsia="仿宋" w:cs="仿宋"/>
                <w:color w:val="auto"/>
              </w:rPr>
            </w:pPr>
          </w:p>
        </w:tc>
        <w:tc>
          <w:tcPr>
            <w:tcW w:w="1282" w:type="dxa"/>
            <w:vAlign w:val="center"/>
          </w:tcPr>
          <w:p>
            <w:pPr>
              <w:spacing w:line="360" w:lineRule="auto"/>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hint="eastAsia" w:ascii="仿宋" w:hAnsi="仿宋" w:eastAsia="仿宋" w:cs="仿宋"/>
                <w:color w:val="auto"/>
              </w:rPr>
            </w:pPr>
          </w:p>
        </w:tc>
        <w:tc>
          <w:tcPr>
            <w:tcW w:w="1549" w:type="dxa"/>
            <w:vAlign w:val="center"/>
          </w:tcPr>
          <w:p>
            <w:pPr>
              <w:spacing w:line="360" w:lineRule="auto"/>
              <w:jc w:val="both"/>
              <w:rPr>
                <w:rFonts w:hint="eastAsia" w:ascii="仿宋" w:hAnsi="仿宋" w:eastAsia="仿宋" w:cs="仿宋"/>
                <w:color w:val="auto"/>
              </w:rPr>
            </w:pPr>
          </w:p>
        </w:tc>
        <w:tc>
          <w:tcPr>
            <w:tcW w:w="2518" w:type="dxa"/>
            <w:vAlign w:val="center"/>
          </w:tcPr>
          <w:p>
            <w:pPr>
              <w:spacing w:line="360" w:lineRule="auto"/>
              <w:jc w:val="both"/>
              <w:rPr>
                <w:rFonts w:hint="eastAsia" w:ascii="仿宋" w:hAnsi="仿宋" w:eastAsia="仿宋" w:cs="仿宋"/>
                <w:color w:val="auto"/>
              </w:rPr>
            </w:pPr>
          </w:p>
        </w:tc>
        <w:tc>
          <w:tcPr>
            <w:tcW w:w="2533" w:type="dxa"/>
            <w:vAlign w:val="center"/>
          </w:tcPr>
          <w:p>
            <w:pPr>
              <w:spacing w:line="360" w:lineRule="auto"/>
              <w:jc w:val="both"/>
              <w:rPr>
                <w:rFonts w:hint="eastAsia" w:ascii="仿宋" w:hAnsi="仿宋" w:eastAsia="仿宋" w:cs="仿宋"/>
                <w:color w:val="auto"/>
              </w:rPr>
            </w:pPr>
          </w:p>
        </w:tc>
        <w:tc>
          <w:tcPr>
            <w:tcW w:w="1282" w:type="dxa"/>
            <w:vAlign w:val="center"/>
          </w:tcPr>
          <w:p>
            <w:pPr>
              <w:spacing w:line="360" w:lineRule="auto"/>
              <w:jc w:val="both"/>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备注</w:t>
            </w:r>
          </w:p>
        </w:tc>
        <w:tc>
          <w:tcPr>
            <w:tcW w:w="7882" w:type="dxa"/>
            <w:gridSpan w:val="4"/>
            <w:vAlign w:val="center"/>
          </w:tcPr>
          <w:p>
            <w:pPr>
              <w:spacing w:line="360" w:lineRule="auto"/>
              <w:ind w:left="284" w:hanging="284"/>
              <w:jc w:val="both"/>
              <w:rPr>
                <w:rFonts w:hint="eastAsia" w:ascii="仿宋" w:hAnsi="仿宋" w:eastAsia="仿宋" w:cs="仿宋"/>
                <w:color w:val="auto"/>
              </w:rPr>
            </w:pPr>
            <w:r>
              <w:rPr>
                <w:rFonts w:hint="eastAsia" w:ascii="仿宋" w:hAnsi="仿宋" w:eastAsia="仿宋" w:cs="仿宋"/>
                <w:color w:val="auto"/>
              </w:rPr>
              <w:t>1．“完全接受”的条款无需在本表中列出，按表下方所做“声明”执行；对于需要供应商填报的内容，以及“不能接受”或“有条件接受”的条款，则应写明该条款名称及条款明细、以及供应商所能接受的条件。</w:t>
            </w:r>
          </w:p>
          <w:p>
            <w:pPr>
              <w:spacing w:line="360" w:lineRule="auto"/>
              <w:ind w:left="284" w:hanging="284"/>
              <w:jc w:val="both"/>
              <w:rPr>
                <w:rFonts w:hint="eastAsia" w:ascii="仿宋" w:hAnsi="仿宋" w:eastAsia="仿宋" w:cs="仿宋"/>
                <w:color w:val="auto"/>
              </w:rPr>
            </w:pPr>
            <w:r>
              <w:rPr>
                <w:rFonts w:hint="eastAsia" w:ascii="仿宋" w:hAnsi="仿宋" w:eastAsia="仿宋" w:cs="仿宋"/>
                <w:color w:val="auto"/>
              </w:rPr>
              <w:t>2．根据《政府采购货物和服务招标投标管理办法》（财政部87号令）第六十三条，若投标文件含有采购人不能接受的附加条件的，投标无效。</w:t>
            </w:r>
          </w:p>
          <w:p>
            <w:pPr>
              <w:spacing w:line="360" w:lineRule="auto"/>
              <w:ind w:left="284" w:hanging="284"/>
              <w:jc w:val="both"/>
              <w:rPr>
                <w:rFonts w:hint="eastAsia" w:ascii="仿宋" w:hAnsi="仿宋" w:eastAsia="仿宋" w:cs="仿宋"/>
                <w:color w:val="auto"/>
              </w:rPr>
            </w:pPr>
            <w:r>
              <w:rPr>
                <w:rFonts w:hint="eastAsia" w:ascii="仿宋" w:hAnsi="仿宋" w:eastAsia="仿宋" w:cs="仿宋"/>
                <w:color w:val="auto"/>
              </w:rPr>
              <w:t>3．因表格空间因有限，不足以容纳响应内容时，允许在表后进行响应，但须在表中注明引用位置，如“见本表下方3.1.1”。</w:t>
            </w:r>
          </w:p>
        </w:tc>
      </w:tr>
    </w:tbl>
    <w:p>
      <w:pPr>
        <w:pStyle w:val="35"/>
        <w:spacing w:line="360" w:lineRule="auto"/>
        <w:ind w:firstLine="480"/>
        <w:rPr>
          <w:rFonts w:hint="eastAsia" w:ascii="仿宋" w:hAnsi="仿宋" w:eastAsia="仿宋" w:cs="仿宋"/>
          <w:color w:val="auto"/>
        </w:rPr>
      </w:pPr>
    </w:p>
    <w:p>
      <w:pPr>
        <w:pStyle w:val="35"/>
        <w:spacing w:line="360" w:lineRule="auto"/>
        <w:ind w:firstLine="482"/>
        <w:rPr>
          <w:rFonts w:hint="eastAsia" w:ascii="仿宋" w:hAnsi="仿宋" w:eastAsia="仿宋" w:cs="仿宋"/>
          <w:b/>
          <w:bCs/>
          <w:color w:val="auto"/>
        </w:rPr>
      </w:pPr>
      <w:r>
        <w:rPr>
          <w:rFonts w:hint="eastAsia" w:ascii="仿宋" w:hAnsi="仿宋" w:eastAsia="仿宋" w:cs="仿宋"/>
          <w:b/>
          <w:bCs/>
          <w:color w:val="auto"/>
        </w:rPr>
        <w:t>声明：除上表所列的合同条款外，招标文件中的其他合同条款我方均完全接受。</w:t>
      </w:r>
    </w:p>
    <w:p>
      <w:pPr>
        <w:pStyle w:val="35"/>
        <w:spacing w:line="36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rPr>
          <w:rFonts w:hint="eastAsia"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hint="eastAsia" w:ascii="仿宋" w:hAnsi="仿宋" w:eastAsia="仿宋" w:cs="仿宋"/>
          <w:b/>
          <w:bCs/>
          <w:color w:val="auto"/>
        </w:rPr>
      </w:pPr>
      <w:r>
        <w:rPr>
          <w:rFonts w:hint="eastAsia" w:ascii="仿宋" w:hAnsi="仿宋" w:eastAsia="仿宋" w:cs="仿宋"/>
          <w:b/>
          <w:bCs/>
          <w:color w:val="auto"/>
        </w:rPr>
        <w:t>（四）其他需要供应商提供的材料</w:t>
      </w:r>
    </w:p>
    <w:p>
      <w:pPr>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1．项目实施人员情况表</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hint="eastAsia" w:ascii="仿宋" w:hAnsi="仿宋" w:eastAsia="仿宋" w:cs="仿宋"/>
                <w:color w:val="auto"/>
              </w:rPr>
            </w:pPr>
            <w:r>
              <w:rPr>
                <w:rFonts w:hint="eastAsia" w:ascii="仿宋" w:hAnsi="仿宋" w:eastAsia="仿宋" w:cs="仿宋"/>
                <w:b/>
                <w:bCs/>
                <w:color w:val="auto"/>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年龄</w:t>
            </w:r>
          </w:p>
        </w:tc>
        <w:tc>
          <w:tcPr>
            <w:tcW w:w="1260"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资格</w:t>
            </w:r>
          </w:p>
        </w:tc>
        <w:tc>
          <w:tcPr>
            <w:tcW w:w="1387"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职称</w:t>
            </w:r>
          </w:p>
        </w:tc>
        <w:tc>
          <w:tcPr>
            <w:tcW w:w="1604" w:type="dxa"/>
            <w:gridSpan w:val="3"/>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在本行业从业工作年限</w:t>
            </w:r>
          </w:p>
        </w:tc>
        <w:tc>
          <w:tcPr>
            <w:tcW w:w="1740"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主要工作</w:t>
            </w:r>
          </w:p>
          <w:p>
            <w:pPr>
              <w:spacing w:line="360" w:lineRule="auto"/>
              <w:jc w:val="center"/>
              <w:rPr>
                <w:rFonts w:hint="eastAsia" w:ascii="仿宋" w:hAnsi="仿宋" w:eastAsia="仿宋" w:cs="仿宋"/>
                <w:color w:val="auto"/>
              </w:rPr>
            </w:pPr>
            <w:r>
              <w:rPr>
                <w:rFonts w:hint="eastAsia" w:ascii="仿宋" w:hAnsi="仿宋" w:eastAsia="仿宋" w:cs="仿宋"/>
                <w:color w:val="auto"/>
              </w:rPr>
              <w:t>业绩和经历</w:t>
            </w:r>
          </w:p>
        </w:tc>
        <w:tc>
          <w:tcPr>
            <w:tcW w:w="1091"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拟派</w:t>
            </w:r>
          </w:p>
          <w:p>
            <w:pPr>
              <w:spacing w:line="360" w:lineRule="auto"/>
              <w:jc w:val="center"/>
              <w:rPr>
                <w:rFonts w:hint="eastAsia"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60" w:type="dxa"/>
            <w:vAlign w:val="center"/>
          </w:tcPr>
          <w:p>
            <w:pPr>
              <w:spacing w:line="360" w:lineRule="auto"/>
              <w:rPr>
                <w:rFonts w:hint="eastAsia" w:ascii="仿宋" w:hAnsi="仿宋" w:eastAsia="仿宋" w:cs="仿宋"/>
                <w:color w:val="auto"/>
              </w:rPr>
            </w:pPr>
          </w:p>
        </w:tc>
        <w:tc>
          <w:tcPr>
            <w:tcW w:w="1387" w:type="dxa"/>
            <w:gridSpan w:val="2"/>
            <w:vAlign w:val="center"/>
          </w:tcPr>
          <w:p>
            <w:pPr>
              <w:spacing w:line="360" w:lineRule="auto"/>
              <w:rPr>
                <w:rFonts w:hint="eastAsia" w:ascii="仿宋" w:hAnsi="仿宋" w:eastAsia="仿宋" w:cs="仿宋"/>
                <w:color w:val="auto"/>
              </w:rPr>
            </w:pPr>
          </w:p>
        </w:tc>
        <w:tc>
          <w:tcPr>
            <w:tcW w:w="1604" w:type="dxa"/>
            <w:gridSpan w:val="3"/>
            <w:vAlign w:val="center"/>
          </w:tcPr>
          <w:p>
            <w:pPr>
              <w:spacing w:line="360" w:lineRule="auto"/>
              <w:rPr>
                <w:rFonts w:hint="eastAsia" w:ascii="仿宋" w:hAnsi="仿宋" w:eastAsia="仿宋" w:cs="仿宋"/>
                <w:color w:val="auto"/>
              </w:rPr>
            </w:pPr>
          </w:p>
        </w:tc>
        <w:tc>
          <w:tcPr>
            <w:tcW w:w="1740" w:type="dxa"/>
            <w:vAlign w:val="center"/>
          </w:tcPr>
          <w:p>
            <w:pPr>
              <w:spacing w:line="360" w:lineRule="auto"/>
              <w:rPr>
                <w:rFonts w:hint="eastAsia" w:ascii="仿宋" w:hAnsi="仿宋" w:eastAsia="仿宋" w:cs="仿宋"/>
                <w:color w:val="auto"/>
              </w:rPr>
            </w:pPr>
          </w:p>
        </w:tc>
        <w:tc>
          <w:tcPr>
            <w:tcW w:w="1091" w:type="dxa"/>
            <w:gridSpan w:val="2"/>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hint="eastAsia" w:ascii="仿宋" w:hAnsi="仿宋" w:eastAsia="仿宋" w:cs="仿宋"/>
                <w:color w:val="auto"/>
              </w:rPr>
            </w:pPr>
            <w:r>
              <w:rPr>
                <w:rFonts w:hint="eastAsia" w:ascii="仿宋" w:hAnsi="仿宋" w:eastAsia="仿宋" w:cs="仿宋"/>
                <w:b/>
                <w:bCs/>
                <w:color w:val="auto"/>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年龄</w:t>
            </w:r>
          </w:p>
        </w:tc>
        <w:tc>
          <w:tcPr>
            <w:tcW w:w="1260"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资格</w:t>
            </w:r>
          </w:p>
        </w:tc>
        <w:tc>
          <w:tcPr>
            <w:tcW w:w="1404" w:type="dxa"/>
            <w:gridSpan w:val="3"/>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职称</w:t>
            </w:r>
          </w:p>
        </w:tc>
        <w:tc>
          <w:tcPr>
            <w:tcW w:w="1587"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在本行业从业工作年限</w:t>
            </w:r>
          </w:p>
        </w:tc>
        <w:tc>
          <w:tcPr>
            <w:tcW w:w="1782"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主要工作</w:t>
            </w:r>
          </w:p>
          <w:p>
            <w:pPr>
              <w:spacing w:line="360" w:lineRule="auto"/>
              <w:jc w:val="center"/>
              <w:rPr>
                <w:rFonts w:hint="eastAsia"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拟派</w:t>
            </w:r>
          </w:p>
          <w:p>
            <w:pPr>
              <w:spacing w:line="360" w:lineRule="auto"/>
              <w:jc w:val="center"/>
              <w:rPr>
                <w:rFonts w:hint="eastAsia"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60" w:type="dxa"/>
            <w:vAlign w:val="center"/>
          </w:tcPr>
          <w:p>
            <w:pPr>
              <w:spacing w:line="360" w:lineRule="auto"/>
              <w:rPr>
                <w:rFonts w:hint="eastAsia" w:ascii="仿宋" w:hAnsi="仿宋" w:eastAsia="仿宋" w:cs="仿宋"/>
                <w:color w:val="auto"/>
              </w:rPr>
            </w:pPr>
          </w:p>
        </w:tc>
        <w:tc>
          <w:tcPr>
            <w:tcW w:w="1404" w:type="dxa"/>
            <w:gridSpan w:val="3"/>
            <w:vAlign w:val="center"/>
          </w:tcPr>
          <w:p>
            <w:pPr>
              <w:spacing w:line="360" w:lineRule="auto"/>
              <w:rPr>
                <w:rFonts w:hint="eastAsia" w:ascii="仿宋" w:hAnsi="仿宋" w:eastAsia="仿宋" w:cs="仿宋"/>
                <w:color w:val="auto"/>
              </w:rPr>
            </w:pPr>
          </w:p>
        </w:tc>
        <w:tc>
          <w:tcPr>
            <w:tcW w:w="1587" w:type="dxa"/>
            <w:gridSpan w:val="2"/>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60" w:type="dxa"/>
            <w:vAlign w:val="center"/>
          </w:tcPr>
          <w:p>
            <w:pPr>
              <w:spacing w:line="360" w:lineRule="auto"/>
              <w:rPr>
                <w:rFonts w:hint="eastAsia" w:ascii="仿宋" w:hAnsi="仿宋" w:eastAsia="仿宋" w:cs="仿宋"/>
                <w:color w:val="auto"/>
              </w:rPr>
            </w:pPr>
          </w:p>
        </w:tc>
        <w:tc>
          <w:tcPr>
            <w:tcW w:w="1404" w:type="dxa"/>
            <w:gridSpan w:val="3"/>
            <w:vAlign w:val="center"/>
          </w:tcPr>
          <w:p>
            <w:pPr>
              <w:spacing w:line="360" w:lineRule="auto"/>
              <w:rPr>
                <w:rFonts w:hint="eastAsia" w:ascii="仿宋" w:hAnsi="仿宋" w:eastAsia="仿宋" w:cs="仿宋"/>
                <w:color w:val="auto"/>
              </w:rPr>
            </w:pPr>
          </w:p>
        </w:tc>
        <w:tc>
          <w:tcPr>
            <w:tcW w:w="1587" w:type="dxa"/>
            <w:gridSpan w:val="2"/>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60" w:type="dxa"/>
            <w:vAlign w:val="center"/>
          </w:tcPr>
          <w:p>
            <w:pPr>
              <w:spacing w:line="360" w:lineRule="auto"/>
              <w:rPr>
                <w:rFonts w:hint="eastAsia" w:ascii="仿宋" w:hAnsi="仿宋" w:eastAsia="仿宋" w:cs="仿宋"/>
                <w:color w:val="auto"/>
              </w:rPr>
            </w:pPr>
          </w:p>
        </w:tc>
        <w:tc>
          <w:tcPr>
            <w:tcW w:w="1404" w:type="dxa"/>
            <w:gridSpan w:val="3"/>
            <w:vAlign w:val="center"/>
          </w:tcPr>
          <w:p>
            <w:pPr>
              <w:spacing w:line="360" w:lineRule="auto"/>
              <w:rPr>
                <w:rFonts w:hint="eastAsia" w:ascii="仿宋" w:hAnsi="仿宋" w:eastAsia="仿宋" w:cs="仿宋"/>
                <w:color w:val="auto"/>
              </w:rPr>
            </w:pPr>
          </w:p>
        </w:tc>
        <w:tc>
          <w:tcPr>
            <w:tcW w:w="1587" w:type="dxa"/>
            <w:gridSpan w:val="2"/>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hint="eastAsia" w:ascii="仿宋" w:hAnsi="仿宋" w:eastAsia="仿宋" w:cs="仿宋"/>
                <w:color w:val="auto"/>
              </w:rPr>
            </w:pPr>
            <w:r>
              <w:rPr>
                <w:rFonts w:hint="eastAsia" w:ascii="仿宋" w:hAnsi="仿宋" w:eastAsia="仿宋" w:cs="仿宋"/>
                <w:b/>
                <w:bCs/>
                <w:color w:val="auto"/>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年龄</w:t>
            </w:r>
          </w:p>
        </w:tc>
        <w:tc>
          <w:tcPr>
            <w:tcW w:w="1284"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学历</w:t>
            </w:r>
          </w:p>
        </w:tc>
        <w:tc>
          <w:tcPr>
            <w:tcW w:w="1386" w:type="dxa"/>
            <w:gridSpan w:val="3"/>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职称</w:t>
            </w:r>
          </w:p>
        </w:tc>
        <w:tc>
          <w:tcPr>
            <w:tcW w:w="1581"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从事类似项目工作年限</w:t>
            </w:r>
          </w:p>
        </w:tc>
        <w:tc>
          <w:tcPr>
            <w:tcW w:w="1782"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主要工作</w:t>
            </w:r>
          </w:p>
          <w:p>
            <w:pPr>
              <w:spacing w:line="360" w:lineRule="auto"/>
              <w:jc w:val="center"/>
              <w:rPr>
                <w:rFonts w:hint="eastAsia"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拟派</w:t>
            </w:r>
          </w:p>
          <w:p>
            <w:pPr>
              <w:spacing w:line="360" w:lineRule="auto"/>
              <w:jc w:val="center"/>
              <w:rPr>
                <w:rFonts w:hint="eastAsia"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84" w:type="dxa"/>
            <w:gridSpan w:val="2"/>
            <w:vAlign w:val="center"/>
          </w:tcPr>
          <w:p>
            <w:pPr>
              <w:spacing w:line="360" w:lineRule="auto"/>
              <w:rPr>
                <w:rFonts w:hint="eastAsia" w:ascii="仿宋" w:hAnsi="仿宋" w:eastAsia="仿宋" w:cs="仿宋"/>
                <w:color w:val="auto"/>
              </w:rPr>
            </w:pPr>
          </w:p>
        </w:tc>
        <w:tc>
          <w:tcPr>
            <w:tcW w:w="1386" w:type="dxa"/>
            <w:gridSpan w:val="3"/>
            <w:vAlign w:val="center"/>
          </w:tcPr>
          <w:p>
            <w:pPr>
              <w:spacing w:line="360" w:lineRule="auto"/>
              <w:rPr>
                <w:rFonts w:hint="eastAsia" w:ascii="仿宋" w:hAnsi="仿宋" w:eastAsia="仿宋" w:cs="仿宋"/>
                <w:color w:val="auto"/>
              </w:rPr>
            </w:pPr>
          </w:p>
        </w:tc>
        <w:tc>
          <w:tcPr>
            <w:tcW w:w="1581" w:type="dxa"/>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84" w:type="dxa"/>
            <w:gridSpan w:val="2"/>
            <w:vAlign w:val="center"/>
          </w:tcPr>
          <w:p>
            <w:pPr>
              <w:spacing w:line="360" w:lineRule="auto"/>
              <w:rPr>
                <w:rFonts w:hint="eastAsia" w:ascii="仿宋" w:hAnsi="仿宋" w:eastAsia="仿宋" w:cs="仿宋"/>
                <w:color w:val="auto"/>
              </w:rPr>
            </w:pPr>
          </w:p>
        </w:tc>
        <w:tc>
          <w:tcPr>
            <w:tcW w:w="1386" w:type="dxa"/>
            <w:gridSpan w:val="3"/>
            <w:vAlign w:val="center"/>
          </w:tcPr>
          <w:p>
            <w:pPr>
              <w:spacing w:line="360" w:lineRule="auto"/>
              <w:rPr>
                <w:rFonts w:hint="eastAsia" w:ascii="仿宋" w:hAnsi="仿宋" w:eastAsia="仿宋" w:cs="仿宋"/>
                <w:color w:val="auto"/>
              </w:rPr>
            </w:pPr>
          </w:p>
        </w:tc>
        <w:tc>
          <w:tcPr>
            <w:tcW w:w="1581" w:type="dxa"/>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84" w:type="dxa"/>
            <w:gridSpan w:val="2"/>
            <w:vAlign w:val="center"/>
          </w:tcPr>
          <w:p>
            <w:pPr>
              <w:spacing w:line="360" w:lineRule="auto"/>
              <w:rPr>
                <w:rFonts w:hint="eastAsia" w:ascii="仿宋" w:hAnsi="仿宋" w:eastAsia="仿宋" w:cs="仿宋"/>
                <w:color w:val="auto"/>
              </w:rPr>
            </w:pPr>
          </w:p>
        </w:tc>
        <w:tc>
          <w:tcPr>
            <w:tcW w:w="1386" w:type="dxa"/>
            <w:gridSpan w:val="3"/>
            <w:vAlign w:val="center"/>
          </w:tcPr>
          <w:p>
            <w:pPr>
              <w:spacing w:line="360" w:lineRule="auto"/>
              <w:rPr>
                <w:rFonts w:hint="eastAsia" w:ascii="仿宋" w:hAnsi="仿宋" w:eastAsia="仿宋" w:cs="仿宋"/>
                <w:color w:val="auto"/>
              </w:rPr>
            </w:pPr>
          </w:p>
        </w:tc>
        <w:tc>
          <w:tcPr>
            <w:tcW w:w="1581" w:type="dxa"/>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hint="eastAsia" w:ascii="仿宋" w:hAnsi="仿宋" w:eastAsia="仿宋" w:cs="仿宋"/>
                <w:color w:val="auto"/>
              </w:rPr>
            </w:pPr>
            <w:r>
              <w:rPr>
                <w:rFonts w:hint="eastAsia" w:ascii="仿宋" w:hAnsi="仿宋" w:eastAsia="仿宋" w:cs="仿宋"/>
                <w:b/>
                <w:bCs/>
                <w:color w:val="auto"/>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年龄</w:t>
            </w:r>
          </w:p>
        </w:tc>
        <w:tc>
          <w:tcPr>
            <w:tcW w:w="1284"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学历</w:t>
            </w:r>
          </w:p>
        </w:tc>
        <w:tc>
          <w:tcPr>
            <w:tcW w:w="1386" w:type="dxa"/>
            <w:gridSpan w:val="3"/>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职称</w:t>
            </w:r>
          </w:p>
        </w:tc>
        <w:tc>
          <w:tcPr>
            <w:tcW w:w="1581"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从事类似项目工作年限</w:t>
            </w:r>
          </w:p>
        </w:tc>
        <w:tc>
          <w:tcPr>
            <w:tcW w:w="1782" w:type="dxa"/>
            <w:gridSpan w:val="2"/>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主要工作</w:t>
            </w:r>
          </w:p>
          <w:p>
            <w:pPr>
              <w:spacing w:line="360" w:lineRule="auto"/>
              <w:jc w:val="center"/>
              <w:rPr>
                <w:rFonts w:hint="eastAsia"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拟派</w:t>
            </w:r>
          </w:p>
          <w:p>
            <w:pPr>
              <w:spacing w:line="360" w:lineRule="auto"/>
              <w:rPr>
                <w:rFonts w:hint="eastAsia"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84" w:type="dxa"/>
            <w:gridSpan w:val="2"/>
            <w:vAlign w:val="center"/>
          </w:tcPr>
          <w:p>
            <w:pPr>
              <w:spacing w:line="360" w:lineRule="auto"/>
              <w:rPr>
                <w:rFonts w:hint="eastAsia" w:ascii="仿宋" w:hAnsi="仿宋" w:eastAsia="仿宋" w:cs="仿宋"/>
                <w:color w:val="auto"/>
              </w:rPr>
            </w:pPr>
          </w:p>
        </w:tc>
        <w:tc>
          <w:tcPr>
            <w:tcW w:w="1386" w:type="dxa"/>
            <w:gridSpan w:val="3"/>
            <w:vAlign w:val="center"/>
          </w:tcPr>
          <w:p>
            <w:pPr>
              <w:spacing w:line="360" w:lineRule="auto"/>
              <w:rPr>
                <w:rFonts w:hint="eastAsia" w:ascii="仿宋" w:hAnsi="仿宋" w:eastAsia="仿宋" w:cs="仿宋"/>
                <w:color w:val="auto"/>
              </w:rPr>
            </w:pPr>
          </w:p>
        </w:tc>
        <w:tc>
          <w:tcPr>
            <w:tcW w:w="1581" w:type="dxa"/>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hint="eastAsia" w:ascii="仿宋" w:hAnsi="仿宋" w:eastAsia="仿宋" w:cs="仿宋"/>
                <w:color w:val="auto"/>
              </w:rPr>
            </w:pPr>
          </w:p>
        </w:tc>
        <w:tc>
          <w:tcPr>
            <w:tcW w:w="969" w:type="dxa"/>
            <w:vAlign w:val="center"/>
          </w:tcPr>
          <w:p>
            <w:pPr>
              <w:spacing w:line="360" w:lineRule="auto"/>
              <w:rPr>
                <w:rFonts w:hint="eastAsia" w:ascii="仿宋" w:hAnsi="仿宋" w:eastAsia="仿宋" w:cs="仿宋"/>
                <w:color w:val="auto"/>
              </w:rPr>
            </w:pPr>
          </w:p>
        </w:tc>
        <w:tc>
          <w:tcPr>
            <w:tcW w:w="1284" w:type="dxa"/>
            <w:gridSpan w:val="2"/>
            <w:vAlign w:val="center"/>
          </w:tcPr>
          <w:p>
            <w:pPr>
              <w:spacing w:line="360" w:lineRule="auto"/>
              <w:rPr>
                <w:rFonts w:hint="eastAsia" w:ascii="仿宋" w:hAnsi="仿宋" w:eastAsia="仿宋" w:cs="仿宋"/>
                <w:color w:val="auto"/>
              </w:rPr>
            </w:pPr>
          </w:p>
        </w:tc>
        <w:tc>
          <w:tcPr>
            <w:tcW w:w="1386" w:type="dxa"/>
            <w:gridSpan w:val="3"/>
            <w:vAlign w:val="center"/>
          </w:tcPr>
          <w:p>
            <w:pPr>
              <w:spacing w:line="360" w:lineRule="auto"/>
              <w:rPr>
                <w:rFonts w:hint="eastAsia" w:ascii="仿宋" w:hAnsi="仿宋" w:eastAsia="仿宋" w:cs="仿宋"/>
                <w:color w:val="auto"/>
              </w:rPr>
            </w:pPr>
          </w:p>
        </w:tc>
        <w:tc>
          <w:tcPr>
            <w:tcW w:w="1581" w:type="dxa"/>
            <w:vAlign w:val="center"/>
          </w:tcPr>
          <w:p>
            <w:pPr>
              <w:spacing w:line="360" w:lineRule="auto"/>
              <w:rPr>
                <w:rFonts w:hint="eastAsia" w:ascii="仿宋" w:hAnsi="仿宋" w:eastAsia="仿宋" w:cs="仿宋"/>
                <w:color w:val="auto"/>
              </w:rPr>
            </w:pPr>
          </w:p>
        </w:tc>
        <w:tc>
          <w:tcPr>
            <w:tcW w:w="1782" w:type="dxa"/>
            <w:gridSpan w:val="2"/>
            <w:vAlign w:val="center"/>
          </w:tcPr>
          <w:p>
            <w:pPr>
              <w:spacing w:line="360" w:lineRule="auto"/>
              <w:rPr>
                <w:rFonts w:hint="eastAsia" w:ascii="仿宋" w:hAnsi="仿宋" w:eastAsia="仿宋" w:cs="仿宋"/>
                <w:color w:val="auto"/>
              </w:rPr>
            </w:pPr>
          </w:p>
        </w:tc>
        <w:tc>
          <w:tcPr>
            <w:tcW w:w="1049" w:type="dxa"/>
            <w:vAlign w:val="center"/>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hint="eastAsia" w:ascii="仿宋" w:hAnsi="仿宋" w:eastAsia="仿宋" w:cs="仿宋"/>
                <w:color w:val="auto"/>
              </w:rPr>
            </w:pPr>
            <w:r>
              <w:rPr>
                <w:rFonts w:hint="eastAsia" w:ascii="仿宋" w:hAnsi="仿宋" w:eastAsia="仿宋" w:cs="仿宋"/>
                <w:color w:val="auto"/>
              </w:rPr>
              <w:t>备注</w:t>
            </w:r>
          </w:p>
        </w:tc>
        <w:tc>
          <w:tcPr>
            <w:tcW w:w="8051" w:type="dxa"/>
            <w:gridSpan w:val="10"/>
            <w:vAlign w:val="center"/>
          </w:tcPr>
          <w:p>
            <w:pPr>
              <w:spacing w:line="360" w:lineRule="auto"/>
              <w:ind w:left="210" w:hanging="210" w:hangingChars="100"/>
              <w:rPr>
                <w:rFonts w:hint="eastAsia" w:ascii="仿宋" w:hAnsi="仿宋" w:eastAsia="仿宋" w:cs="仿宋"/>
                <w:color w:val="auto"/>
              </w:rPr>
            </w:pPr>
            <w:r>
              <w:rPr>
                <w:rFonts w:hint="eastAsia" w:ascii="仿宋" w:hAnsi="仿宋" w:eastAsia="仿宋" w:cs="仿宋"/>
                <w:color w:val="auto"/>
              </w:rPr>
              <w:t>1．表格行数不足时请自行扩展。</w:t>
            </w:r>
          </w:p>
          <w:p>
            <w:pPr>
              <w:spacing w:line="360" w:lineRule="auto"/>
              <w:ind w:left="210" w:hanging="210" w:hangingChars="100"/>
              <w:rPr>
                <w:rFonts w:hint="eastAsia" w:ascii="仿宋" w:hAnsi="仿宋" w:eastAsia="仿宋" w:cs="仿宋"/>
                <w:color w:val="auto"/>
              </w:rPr>
            </w:pPr>
            <w:r>
              <w:rPr>
                <w:rFonts w:hint="eastAsia" w:ascii="仿宋" w:hAnsi="仿宋" w:eastAsia="仿宋" w:cs="仿宋"/>
                <w:color w:val="auto"/>
              </w:rPr>
              <w:t>2．表中所列“项目负责人、管理人员、技术人员/服务人员、辅助人员”仅为示例，供应商可根据招标文件要求自行安排人员类别。</w:t>
            </w:r>
          </w:p>
          <w:p>
            <w:pPr>
              <w:spacing w:line="360" w:lineRule="auto"/>
              <w:ind w:left="210" w:hanging="210" w:hangingChars="100"/>
              <w:rPr>
                <w:rFonts w:hint="eastAsia" w:ascii="仿宋" w:hAnsi="仿宋" w:eastAsia="仿宋" w:cs="仿宋"/>
                <w:color w:val="auto"/>
              </w:rPr>
            </w:pPr>
            <w:r>
              <w:rPr>
                <w:rFonts w:hint="eastAsia" w:ascii="仿宋" w:hAnsi="仿宋" w:eastAsia="仿宋" w:cs="仿宋"/>
                <w:color w:val="auto"/>
              </w:rPr>
              <w:t>3．招标文件对人员“资格/学历/职称”提出要求的，应在本表下方附相应的“资格证/学历证/职称证”等证明文件。</w:t>
            </w:r>
          </w:p>
        </w:tc>
      </w:tr>
    </w:tbl>
    <w:p>
      <w:pPr>
        <w:pStyle w:val="35"/>
        <w:spacing w:line="36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2．拟投入项目的专业设备情况表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序号</w:t>
            </w:r>
          </w:p>
        </w:tc>
        <w:tc>
          <w:tcPr>
            <w:tcW w:w="2078"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设备名称</w:t>
            </w:r>
          </w:p>
        </w:tc>
        <w:tc>
          <w:tcPr>
            <w:tcW w:w="1060"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计量单位</w:t>
            </w:r>
          </w:p>
        </w:tc>
        <w:tc>
          <w:tcPr>
            <w:tcW w:w="754"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数量</w:t>
            </w:r>
          </w:p>
        </w:tc>
        <w:tc>
          <w:tcPr>
            <w:tcW w:w="1795"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生产企业</w:t>
            </w:r>
          </w:p>
        </w:tc>
        <w:tc>
          <w:tcPr>
            <w:tcW w:w="1275"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使用年限</w:t>
            </w:r>
          </w:p>
        </w:tc>
        <w:tc>
          <w:tcPr>
            <w:tcW w:w="1221" w:type="dxa"/>
            <w:shd w:val="clear" w:color="auto" w:fill="F1F1F1" w:themeFill="background1" w:themeFillShade="F2"/>
            <w:vAlign w:val="center"/>
          </w:tcPr>
          <w:p>
            <w:pPr>
              <w:spacing w:line="360" w:lineRule="auto"/>
              <w:ind w:firstLine="0"/>
              <w:jc w:val="center"/>
              <w:rPr>
                <w:rFonts w:hint="eastAsia" w:ascii="仿宋" w:hAnsi="仿宋" w:eastAsia="仿宋" w:cs="仿宋"/>
                <w:b/>
                <w:color w:val="auto"/>
                <w:kern w:val="2"/>
                <w:sz w:val="21"/>
              </w:rPr>
            </w:pPr>
            <w:r>
              <w:rPr>
                <w:rFonts w:hint="eastAsia" w:ascii="仿宋" w:hAnsi="仿宋" w:eastAsia="仿宋" w:cs="仿宋"/>
                <w:b/>
                <w:color w:val="auto"/>
                <w:kern w:val="2"/>
                <w:sz w:val="21"/>
              </w:rPr>
              <w:t>自购/外协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hint="eastAsia"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center"/>
              <w:rPr>
                <w:rFonts w:hint="eastAsia" w:ascii="仿宋" w:hAnsi="仿宋" w:eastAsia="仿宋" w:cs="仿宋"/>
                <w:color w:val="auto"/>
                <w:kern w:val="2"/>
                <w:sz w:val="21"/>
              </w:rPr>
            </w:pPr>
            <w:r>
              <w:rPr>
                <w:rFonts w:hint="eastAsia" w:ascii="仿宋" w:hAnsi="仿宋" w:eastAsia="仿宋" w:cs="仿宋"/>
                <w:color w:val="auto"/>
                <w:kern w:val="2"/>
                <w:sz w:val="21"/>
              </w:rPr>
              <w:t>备注</w:t>
            </w:r>
          </w:p>
        </w:tc>
        <w:tc>
          <w:tcPr>
            <w:tcW w:w="8183" w:type="dxa"/>
            <w:gridSpan w:val="6"/>
            <w:shd w:val="clear" w:color="auto" w:fill="auto"/>
            <w:vAlign w:val="center"/>
          </w:tcPr>
          <w:p>
            <w:pPr>
              <w:spacing w:line="360" w:lineRule="auto"/>
              <w:ind w:firstLine="0"/>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1．表格行数不足时请自行扩展。</w:t>
            </w:r>
          </w:p>
          <w:p>
            <w:pPr>
              <w:spacing w:line="360" w:lineRule="auto"/>
              <w:ind w:firstLine="0"/>
              <w:jc w:val="both"/>
              <w:rPr>
                <w:rFonts w:hint="eastAsia" w:ascii="仿宋" w:hAnsi="仿宋" w:eastAsia="仿宋" w:cs="仿宋"/>
                <w:color w:val="auto"/>
                <w:kern w:val="2"/>
                <w:sz w:val="21"/>
              </w:rPr>
            </w:pPr>
            <w:r>
              <w:rPr>
                <w:rFonts w:hint="eastAsia" w:ascii="仿宋" w:hAnsi="仿宋" w:eastAsia="仿宋" w:cs="仿宋"/>
                <w:color w:val="auto"/>
                <w:kern w:val="2"/>
                <w:sz w:val="21"/>
                <w:szCs w:val="21"/>
              </w:rPr>
              <w:t>2．</w:t>
            </w:r>
            <w:r>
              <w:rPr>
                <w:rFonts w:hint="eastAsia" w:ascii="仿宋" w:hAnsi="仿宋" w:eastAsia="仿宋" w:cs="仿宋"/>
                <w:color w:val="auto"/>
                <w:kern w:val="2"/>
                <w:sz w:val="21"/>
              </w:rPr>
              <w:t>设备可以填写单台设备，也可以填写成套设备。</w:t>
            </w:r>
          </w:p>
        </w:tc>
      </w:tr>
    </w:tbl>
    <w:p>
      <w:pPr>
        <w:pStyle w:val="35"/>
        <w:spacing w:line="360" w:lineRule="auto"/>
        <w:ind w:firstLine="480"/>
        <w:rPr>
          <w:rFonts w:hint="eastAsia" w:ascii="仿宋" w:hAnsi="仿宋" w:eastAsia="仿宋" w:cs="仿宋"/>
          <w:color w:val="auto"/>
        </w:rPr>
      </w:pP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hint="eastAsia" w:ascii="仿宋" w:hAnsi="仿宋" w:eastAsia="仿宋" w:cs="仿宋"/>
          <w:color w:val="auto"/>
        </w:rPr>
      </w:pPr>
    </w:p>
    <w:p>
      <w:pPr>
        <w:spacing w:beforeLines="50" w:line="48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3．业绩</w:t>
      </w: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spacing w:beforeLines="50" w:line="48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4.其他（根据招标文件要求自行补充）</w:t>
      </w:r>
    </w:p>
    <w:p>
      <w:pPr>
        <w:pStyle w:val="35"/>
        <w:ind w:firstLine="0" w:firstLineChars="0"/>
        <w:rPr>
          <w:rFonts w:hint="eastAsia" w:ascii="仿宋" w:hAnsi="仿宋" w:eastAsia="仿宋" w:cs="仿宋"/>
          <w:color w:val="auto"/>
        </w:rPr>
      </w:pPr>
    </w:p>
    <w:p>
      <w:pPr>
        <w:pStyle w:val="35"/>
        <w:ind w:firstLine="0" w:firstLineChars="0"/>
        <w:rPr>
          <w:rFonts w:hint="eastAsia" w:ascii="仿宋" w:hAnsi="仿宋" w:eastAsia="仿宋" w:cs="仿宋"/>
          <w:color w:val="auto"/>
        </w:rPr>
      </w:pPr>
    </w:p>
    <w:p>
      <w:pPr>
        <w:spacing w:line="360" w:lineRule="auto"/>
        <w:rPr>
          <w:rFonts w:hint="eastAsia" w:ascii="仿宋" w:hAnsi="仿宋" w:eastAsia="仿宋" w:cs="仿宋"/>
          <w:color w:val="auto"/>
        </w:rPr>
      </w:pPr>
    </w:p>
    <w:sectPr>
      <w:pgSz w:w="11906" w:h="16839"/>
      <w:pgMar w:top="1417" w:right="1361" w:bottom="1417" w:left="1361" w:header="882" w:footer="98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697"/>
        <w:tab w:val="center" w:pos="6613"/>
        <w:tab w:val="right" w:pos="8820"/>
        <w:tab w:val="clear" w:pos="8306"/>
      </w:tabs>
      <w:ind w:right="77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79661097"/>
    <w:multiLevelType w:val="multilevel"/>
    <w:tmpl w:val="7966109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ZTEyZTNkNWMxMmMxOTc1YzBiYmQ4MzBhZDJhZDkifQ=="/>
  </w:docVars>
  <w:rsids>
    <w:rsidRoot w:val="7C3A0558"/>
    <w:rsid w:val="000C675E"/>
    <w:rsid w:val="00263606"/>
    <w:rsid w:val="003A15A1"/>
    <w:rsid w:val="006F08F5"/>
    <w:rsid w:val="00787C52"/>
    <w:rsid w:val="00954DAA"/>
    <w:rsid w:val="009B0D12"/>
    <w:rsid w:val="00AB1336"/>
    <w:rsid w:val="00AD5AE6"/>
    <w:rsid w:val="00AF02C0"/>
    <w:rsid w:val="00AF1BEE"/>
    <w:rsid w:val="00BE3D6E"/>
    <w:rsid w:val="00C93543"/>
    <w:rsid w:val="00E22FE4"/>
    <w:rsid w:val="00E4593E"/>
    <w:rsid w:val="00EE684A"/>
    <w:rsid w:val="00F11FB6"/>
    <w:rsid w:val="022A384A"/>
    <w:rsid w:val="027D2D3A"/>
    <w:rsid w:val="028A6B0C"/>
    <w:rsid w:val="034F46D6"/>
    <w:rsid w:val="03532BFF"/>
    <w:rsid w:val="038650C3"/>
    <w:rsid w:val="03CB7715"/>
    <w:rsid w:val="040A4870"/>
    <w:rsid w:val="045E7B7F"/>
    <w:rsid w:val="049C048D"/>
    <w:rsid w:val="05740424"/>
    <w:rsid w:val="05E1041B"/>
    <w:rsid w:val="05F72E03"/>
    <w:rsid w:val="0636392C"/>
    <w:rsid w:val="06897EFF"/>
    <w:rsid w:val="06B01930"/>
    <w:rsid w:val="06CF3A1E"/>
    <w:rsid w:val="06EB166B"/>
    <w:rsid w:val="070467EB"/>
    <w:rsid w:val="071D4AEC"/>
    <w:rsid w:val="075F5104"/>
    <w:rsid w:val="079D530F"/>
    <w:rsid w:val="083D2E05"/>
    <w:rsid w:val="08564759"/>
    <w:rsid w:val="09D14312"/>
    <w:rsid w:val="0A375EC4"/>
    <w:rsid w:val="0AA43F7D"/>
    <w:rsid w:val="0AB1211B"/>
    <w:rsid w:val="0ACC060B"/>
    <w:rsid w:val="0AE71698"/>
    <w:rsid w:val="0AEB0D50"/>
    <w:rsid w:val="0B4A5BCD"/>
    <w:rsid w:val="0BD52D7B"/>
    <w:rsid w:val="0C7B653C"/>
    <w:rsid w:val="0D100194"/>
    <w:rsid w:val="0D3D460D"/>
    <w:rsid w:val="0D664D0B"/>
    <w:rsid w:val="0DB51F60"/>
    <w:rsid w:val="0DC14423"/>
    <w:rsid w:val="0EE23C1B"/>
    <w:rsid w:val="0F266023"/>
    <w:rsid w:val="0F441057"/>
    <w:rsid w:val="0F5D461F"/>
    <w:rsid w:val="0F9C7CFF"/>
    <w:rsid w:val="0FE4089C"/>
    <w:rsid w:val="0FF43846"/>
    <w:rsid w:val="103C049B"/>
    <w:rsid w:val="10F07EEC"/>
    <w:rsid w:val="118E0AC0"/>
    <w:rsid w:val="11A227BD"/>
    <w:rsid w:val="12015736"/>
    <w:rsid w:val="12023FE5"/>
    <w:rsid w:val="121962C3"/>
    <w:rsid w:val="12BD657C"/>
    <w:rsid w:val="1355733F"/>
    <w:rsid w:val="13B01F43"/>
    <w:rsid w:val="140E1C8A"/>
    <w:rsid w:val="14183CE3"/>
    <w:rsid w:val="14711F02"/>
    <w:rsid w:val="147A69E2"/>
    <w:rsid w:val="14D15404"/>
    <w:rsid w:val="14DF0FBF"/>
    <w:rsid w:val="14E77190"/>
    <w:rsid w:val="15BB3E4D"/>
    <w:rsid w:val="16040963"/>
    <w:rsid w:val="167E09DB"/>
    <w:rsid w:val="16D231FD"/>
    <w:rsid w:val="16D50376"/>
    <w:rsid w:val="18247AFE"/>
    <w:rsid w:val="19263CD4"/>
    <w:rsid w:val="199C1808"/>
    <w:rsid w:val="199D316A"/>
    <w:rsid w:val="19DF45AE"/>
    <w:rsid w:val="1A6C5716"/>
    <w:rsid w:val="1ACA5195"/>
    <w:rsid w:val="1C1B73F4"/>
    <w:rsid w:val="1C580B99"/>
    <w:rsid w:val="1C930A3E"/>
    <w:rsid w:val="1C9F5BCF"/>
    <w:rsid w:val="1D07403D"/>
    <w:rsid w:val="1D6B7F07"/>
    <w:rsid w:val="1DD97567"/>
    <w:rsid w:val="1DFD14A7"/>
    <w:rsid w:val="1E4F5A7B"/>
    <w:rsid w:val="1EB87933"/>
    <w:rsid w:val="1EF06916"/>
    <w:rsid w:val="1F4D386B"/>
    <w:rsid w:val="1F550E6F"/>
    <w:rsid w:val="1F7532BF"/>
    <w:rsid w:val="1F834125"/>
    <w:rsid w:val="1FCD4EA9"/>
    <w:rsid w:val="20027E8A"/>
    <w:rsid w:val="207E43F5"/>
    <w:rsid w:val="209A67D6"/>
    <w:rsid w:val="21262AC3"/>
    <w:rsid w:val="21470C8B"/>
    <w:rsid w:val="22387A21"/>
    <w:rsid w:val="2278606D"/>
    <w:rsid w:val="230020DE"/>
    <w:rsid w:val="230734A2"/>
    <w:rsid w:val="23330285"/>
    <w:rsid w:val="234C67A9"/>
    <w:rsid w:val="251946ED"/>
    <w:rsid w:val="255A0F8D"/>
    <w:rsid w:val="25D1132C"/>
    <w:rsid w:val="25E67EC8"/>
    <w:rsid w:val="265205D0"/>
    <w:rsid w:val="26A83C5C"/>
    <w:rsid w:val="26CF59AB"/>
    <w:rsid w:val="27B801ED"/>
    <w:rsid w:val="27CE1205"/>
    <w:rsid w:val="27D764D7"/>
    <w:rsid w:val="27E12092"/>
    <w:rsid w:val="2852419D"/>
    <w:rsid w:val="28A454C6"/>
    <w:rsid w:val="290C4C94"/>
    <w:rsid w:val="291333BF"/>
    <w:rsid w:val="29686D42"/>
    <w:rsid w:val="298A484F"/>
    <w:rsid w:val="29FA6707"/>
    <w:rsid w:val="2A973BE8"/>
    <w:rsid w:val="2AB078A1"/>
    <w:rsid w:val="2AC84BEB"/>
    <w:rsid w:val="2B1A435D"/>
    <w:rsid w:val="2CC87D8A"/>
    <w:rsid w:val="2D5269EE"/>
    <w:rsid w:val="2E0A7E68"/>
    <w:rsid w:val="2FB70C16"/>
    <w:rsid w:val="312E32CE"/>
    <w:rsid w:val="316A69FC"/>
    <w:rsid w:val="31B1462B"/>
    <w:rsid w:val="31E0281A"/>
    <w:rsid w:val="323E512E"/>
    <w:rsid w:val="32E97DF4"/>
    <w:rsid w:val="3386602F"/>
    <w:rsid w:val="33975ABD"/>
    <w:rsid w:val="33E660E2"/>
    <w:rsid w:val="33F21DC5"/>
    <w:rsid w:val="34877A87"/>
    <w:rsid w:val="34CD1296"/>
    <w:rsid w:val="35953A74"/>
    <w:rsid w:val="36131F48"/>
    <w:rsid w:val="36B129D7"/>
    <w:rsid w:val="374217E1"/>
    <w:rsid w:val="377F47FF"/>
    <w:rsid w:val="37B94697"/>
    <w:rsid w:val="37C16C4A"/>
    <w:rsid w:val="39257F6B"/>
    <w:rsid w:val="39326CB5"/>
    <w:rsid w:val="39382F3B"/>
    <w:rsid w:val="39445B72"/>
    <w:rsid w:val="3A7601BF"/>
    <w:rsid w:val="3B4756B8"/>
    <w:rsid w:val="3BF67882"/>
    <w:rsid w:val="3C42576F"/>
    <w:rsid w:val="3C426056"/>
    <w:rsid w:val="3C6B4383"/>
    <w:rsid w:val="3D006B2E"/>
    <w:rsid w:val="3D4A148F"/>
    <w:rsid w:val="3DA71540"/>
    <w:rsid w:val="3E3A0B4B"/>
    <w:rsid w:val="3FC050A0"/>
    <w:rsid w:val="3FE45BCB"/>
    <w:rsid w:val="4035566C"/>
    <w:rsid w:val="404A3841"/>
    <w:rsid w:val="40D914A8"/>
    <w:rsid w:val="42C41CE4"/>
    <w:rsid w:val="42DF6576"/>
    <w:rsid w:val="430D5D3C"/>
    <w:rsid w:val="441C0974"/>
    <w:rsid w:val="444C2BC0"/>
    <w:rsid w:val="44AD6765"/>
    <w:rsid w:val="44D501D8"/>
    <w:rsid w:val="468B2C54"/>
    <w:rsid w:val="46951FED"/>
    <w:rsid w:val="473249B1"/>
    <w:rsid w:val="476F66C2"/>
    <w:rsid w:val="485D476D"/>
    <w:rsid w:val="49D4280C"/>
    <w:rsid w:val="4A8030AE"/>
    <w:rsid w:val="4ACB6680"/>
    <w:rsid w:val="4AE67D79"/>
    <w:rsid w:val="4B9D30D2"/>
    <w:rsid w:val="4C07336D"/>
    <w:rsid w:val="4C184DA5"/>
    <w:rsid w:val="4C9712FA"/>
    <w:rsid w:val="4C9E3040"/>
    <w:rsid w:val="4CC352A5"/>
    <w:rsid w:val="4CE94821"/>
    <w:rsid w:val="4D115B26"/>
    <w:rsid w:val="4D33509D"/>
    <w:rsid w:val="4D6550F2"/>
    <w:rsid w:val="4D6E4D26"/>
    <w:rsid w:val="4D855F37"/>
    <w:rsid w:val="4DBB640F"/>
    <w:rsid w:val="4DE0480F"/>
    <w:rsid w:val="4E92429C"/>
    <w:rsid w:val="4EFB083B"/>
    <w:rsid w:val="4FAE58AE"/>
    <w:rsid w:val="502A311E"/>
    <w:rsid w:val="5052345A"/>
    <w:rsid w:val="507B5903"/>
    <w:rsid w:val="507C59AC"/>
    <w:rsid w:val="50D91050"/>
    <w:rsid w:val="51422751"/>
    <w:rsid w:val="51B15B29"/>
    <w:rsid w:val="51E24515"/>
    <w:rsid w:val="5202785B"/>
    <w:rsid w:val="526F72A3"/>
    <w:rsid w:val="52E72588"/>
    <w:rsid w:val="52EC5F38"/>
    <w:rsid w:val="5302663C"/>
    <w:rsid w:val="537C1DBB"/>
    <w:rsid w:val="547D4656"/>
    <w:rsid w:val="567A0156"/>
    <w:rsid w:val="56E97946"/>
    <w:rsid w:val="57027E32"/>
    <w:rsid w:val="57805D82"/>
    <w:rsid w:val="5796171F"/>
    <w:rsid w:val="57B065F9"/>
    <w:rsid w:val="58243E2A"/>
    <w:rsid w:val="584C035A"/>
    <w:rsid w:val="589F0489"/>
    <w:rsid w:val="59DD7519"/>
    <w:rsid w:val="5AB0697E"/>
    <w:rsid w:val="5B867AE9"/>
    <w:rsid w:val="5C053504"/>
    <w:rsid w:val="5CCC7BFF"/>
    <w:rsid w:val="5CD050B5"/>
    <w:rsid w:val="5CE768A3"/>
    <w:rsid w:val="5DBD2160"/>
    <w:rsid w:val="5DF36E65"/>
    <w:rsid w:val="5DF678B0"/>
    <w:rsid w:val="5E487836"/>
    <w:rsid w:val="5EA51D19"/>
    <w:rsid w:val="60A52FEF"/>
    <w:rsid w:val="60C2740B"/>
    <w:rsid w:val="60D158A0"/>
    <w:rsid w:val="622F6D22"/>
    <w:rsid w:val="63572163"/>
    <w:rsid w:val="6394264B"/>
    <w:rsid w:val="63DB1539"/>
    <w:rsid w:val="64406111"/>
    <w:rsid w:val="653D3504"/>
    <w:rsid w:val="660F3FCF"/>
    <w:rsid w:val="661C580F"/>
    <w:rsid w:val="66E610DD"/>
    <w:rsid w:val="66F35CB5"/>
    <w:rsid w:val="674A1F08"/>
    <w:rsid w:val="676A6628"/>
    <w:rsid w:val="678C2521"/>
    <w:rsid w:val="67C972D1"/>
    <w:rsid w:val="686F0ED6"/>
    <w:rsid w:val="690F5A9C"/>
    <w:rsid w:val="69DD3B20"/>
    <w:rsid w:val="6A074F3B"/>
    <w:rsid w:val="6A1119AC"/>
    <w:rsid w:val="6B187176"/>
    <w:rsid w:val="6B2442CB"/>
    <w:rsid w:val="6B2F1B41"/>
    <w:rsid w:val="6CA83959"/>
    <w:rsid w:val="6CBC5656"/>
    <w:rsid w:val="6D237483"/>
    <w:rsid w:val="6DB91B96"/>
    <w:rsid w:val="6E1F40EF"/>
    <w:rsid w:val="6E2B6439"/>
    <w:rsid w:val="6E5E4BA4"/>
    <w:rsid w:val="6F55769C"/>
    <w:rsid w:val="7064688B"/>
    <w:rsid w:val="707A2F01"/>
    <w:rsid w:val="708510DD"/>
    <w:rsid w:val="70F67925"/>
    <w:rsid w:val="71956476"/>
    <w:rsid w:val="71C75AF3"/>
    <w:rsid w:val="71D15724"/>
    <w:rsid w:val="72276050"/>
    <w:rsid w:val="72865F5E"/>
    <w:rsid w:val="72C43CD1"/>
    <w:rsid w:val="734423B0"/>
    <w:rsid w:val="74026044"/>
    <w:rsid w:val="748B0472"/>
    <w:rsid w:val="749107D2"/>
    <w:rsid w:val="74D50563"/>
    <w:rsid w:val="751A73BE"/>
    <w:rsid w:val="753A593A"/>
    <w:rsid w:val="755A1F0A"/>
    <w:rsid w:val="75801BC3"/>
    <w:rsid w:val="763600E8"/>
    <w:rsid w:val="76AB0FC3"/>
    <w:rsid w:val="76F854DD"/>
    <w:rsid w:val="79F46435"/>
    <w:rsid w:val="7A47723D"/>
    <w:rsid w:val="7A5E5F9F"/>
    <w:rsid w:val="7A7A445B"/>
    <w:rsid w:val="7B0C1557"/>
    <w:rsid w:val="7B58479C"/>
    <w:rsid w:val="7BFF2E69"/>
    <w:rsid w:val="7C3A0558"/>
    <w:rsid w:val="7C9A0DE4"/>
    <w:rsid w:val="7C9E7BFB"/>
    <w:rsid w:val="7CF229CE"/>
    <w:rsid w:val="7D845D1C"/>
    <w:rsid w:val="7E5F0913"/>
    <w:rsid w:val="7EB50157"/>
    <w:rsid w:val="7EC24845"/>
    <w:rsid w:val="7F183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3">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paragraph" w:styleId="4">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25"/>
    <w:semiHidden/>
    <w:unhideWhenUsed/>
    <w:qFormat/>
    <w:uiPriority w:val="0"/>
    <w:pPr>
      <w:keepNext/>
      <w:keepLines/>
      <w:spacing w:line="413" w:lineRule="auto"/>
      <w:outlineLvl w:val="2"/>
    </w:pPr>
    <w:rPr>
      <w:rFonts w:eastAsia="仿宋" w:asciiTheme="minorHAnsi" w:hAnsiTheme="minorHAnsi"/>
      <w:b/>
      <w:sz w:val="28"/>
    </w:rPr>
  </w:style>
  <w:style w:type="paragraph" w:styleId="6">
    <w:name w:val="heading 4"/>
    <w:basedOn w:val="1"/>
    <w:next w:val="1"/>
    <w:semiHidden/>
    <w:unhideWhenUsed/>
    <w:qFormat/>
    <w:uiPriority w:val="0"/>
    <w:pPr>
      <w:spacing w:beforeAutospacing="1" w:afterAutospacing="1"/>
      <w:outlineLvl w:val="3"/>
    </w:pPr>
    <w:rPr>
      <w:rFonts w:hint="eastAsia" w:ascii="宋体" w:hAnsi="宋体" w:cs="Times New Roman"/>
      <w:b/>
      <w:bCs/>
      <w:sz w:val="24"/>
      <w:szCs w:val="24"/>
    </w:rPr>
  </w:style>
  <w:style w:type="paragraph" w:styleId="7">
    <w:name w:val="heading 6"/>
    <w:basedOn w:val="1"/>
    <w:next w:val="1"/>
    <w:semiHidden/>
    <w:unhideWhenUsed/>
    <w:qFormat/>
    <w:uiPriority w:val="0"/>
    <w:pPr>
      <w:spacing w:beforeAutospacing="1" w:afterAutospacing="1"/>
      <w:outlineLvl w:val="5"/>
    </w:pPr>
    <w:rPr>
      <w:rFonts w:hint="eastAsia" w:ascii="宋体" w:hAnsi="宋体" w:cs="Times New Roman"/>
      <w:b/>
      <w:bCs/>
      <w:sz w:val="15"/>
      <w:szCs w:val="1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8">
    <w:name w:val="Document Map"/>
    <w:basedOn w:val="1"/>
    <w:qFormat/>
    <w:uiPriority w:val="0"/>
    <w:pPr>
      <w:shd w:val="clear" w:color="auto" w:fill="000080"/>
    </w:pPr>
  </w:style>
  <w:style w:type="paragraph" w:styleId="9">
    <w:name w:val="annotation text"/>
    <w:basedOn w:val="1"/>
    <w:qFormat/>
    <w:uiPriority w:val="0"/>
  </w:style>
  <w:style w:type="paragraph" w:styleId="10">
    <w:name w:val="Body Text Indent"/>
    <w:basedOn w:val="1"/>
    <w:qFormat/>
    <w:uiPriority w:val="0"/>
    <w:pPr>
      <w:spacing w:after="120"/>
      <w:ind w:left="420" w:leftChars="200"/>
    </w:pPr>
    <w:rPr>
      <w:sz w:val="24"/>
    </w:rPr>
  </w:style>
  <w:style w:type="paragraph" w:styleId="11">
    <w:name w:val="Plain Text"/>
    <w:basedOn w:val="1"/>
    <w:next w:val="12"/>
    <w:qFormat/>
    <w:uiPriority w:val="99"/>
    <w:rPr>
      <w:rFonts w:ascii="宋体" w:hAnsi="Courier New"/>
    </w:rPr>
  </w:style>
  <w:style w:type="paragraph" w:customStyle="1" w:styleId="12">
    <w:name w:val="正文11"/>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Body Text First Indent 2"/>
    <w:basedOn w:val="10"/>
    <w:qFormat/>
    <w:uiPriority w:val="0"/>
    <w:pPr>
      <w:ind w:firstLine="200" w:firstLineChars="200"/>
    </w:pPr>
  </w:style>
  <w:style w:type="paragraph" w:styleId="14">
    <w:name w:val="Balloon Text"/>
    <w:basedOn w:val="1"/>
    <w:link w:val="41"/>
    <w:qFormat/>
    <w:uiPriority w:val="0"/>
    <w:rPr>
      <w:sz w:val="18"/>
      <w:szCs w:val="18"/>
    </w:rPr>
  </w:style>
  <w:style w:type="paragraph" w:styleId="15">
    <w:name w:val="footer"/>
    <w:basedOn w:val="1"/>
    <w:qFormat/>
    <w:uiPriority w:val="99"/>
    <w:pPr>
      <w:tabs>
        <w:tab w:val="center" w:pos="4153"/>
        <w:tab w:val="right" w:pos="8306"/>
      </w:tabs>
    </w:pPr>
    <w:rPr>
      <w:sz w:val="18"/>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99"/>
    <w:pPr>
      <w:jc w:val="both"/>
    </w:pPr>
    <w:rPr>
      <w:rFonts w:ascii="Calibri" w:hAnsi="Calibri"/>
      <w:color w:val="auto"/>
      <w:kern w:val="2"/>
    </w:rPr>
  </w:style>
  <w:style w:type="paragraph" w:styleId="18">
    <w:name w:val="Normal (Web)"/>
    <w:basedOn w:val="1"/>
    <w:qFormat/>
    <w:uiPriority w:val="0"/>
    <w:pPr>
      <w:spacing w:beforeAutospacing="1" w:afterAutospacing="1"/>
    </w:pPr>
    <w:rPr>
      <w:rFonts w:cs="Times New Roman"/>
      <w:sz w:val="24"/>
    </w:rPr>
  </w:style>
  <w:style w:type="paragraph" w:styleId="19">
    <w:name w:val="Body Text First Indent"/>
    <w:basedOn w:val="2"/>
    <w:qFormat/>
    <w:uiPriority w:val="99"/>
    <w:pPr>
      <w:ind w:firstLine="420" w:firstLineChars="1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customStyle="1" w:styleId="25">
    <w:name w:val="标题 3 Char"/>
    <w:link w:val="5"/>
    <w:qFormat/>
    <w:uiPriority w:val="0"/>
    <w:rPr>
      <w:rFonts w:eastAsia="仿宋" w:asciiTheme="minorHAnsi" w:hAnsiTheme="minorHAnsi"/>
      <w:b/>
      <w:sz w:val="28"/>
    </w:rPr>
  </w:style>
  <w:style w:type="paragraph" w:customStyle="1" w:styleId="26">
    <w:name w:val="正文缩进1"/>
    <w:basedOn w:val="27"/>
    <w:next w:val="28"/>
    <w:qFormat/>
    <w:uiPriority w:val="0"/>
    <w:pPr>
      <w:ind w:firstLine="420"/>
    </w:pPr>
    <w:rPr>
      <w:szCs w:val="20"/>
    </w:rPr>
  </w:style>
  <w:style w:type="paragraph" w:customStyle="1" w:styleId="27">
    <w:name w:val="正文文本1"/>
    <w:basedOn w:val="12"/>
    <w:qFormat/>
    <w:uiPriority w:val="0"/>
  </w:style>
  <w:style w:type="paragraph" w:customStyle="1" w:styleId="28">
    <w:name w:val="Default"/>
    <w:next w:val="12"/>
    <w:qFormat/>
    <w:uiPriority w:val="0"/>
    <w:pPr>
      <w:widowControl w:val="0"/>
    </w:pPr>
    <w:rPr>
      <w:rFonts w:ascii="黑体" w:hAnsi="黑体" w:eastAsia="黑体" w:cs="黑体"/>
      <w:color w:val="000000"/>
      <w:sz w:val="24"/>
      <w:szCs w:val="24"/>
      <w:lang w:val="en-US" w:eastAsia="zh-CN" w:bidi="ar-SA"/>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line="500" w:lineRule="exact"/>
      <w:ind w:firstLine="880" w:firstLineChars="200"/>
    </w:pPr>
    <w:rPr>
      <w:rFonts w:ascii="Times New Roman" w:hAnsi="Times New Roman"/>
    </w:rPr>
  </w:style>
  <w:style w:type="paragraph" w:customStyle="1" w:styleId="31">
    <w:name w:val="Char"/>
    <w:basedOn w:val="8"/>
    <w:next w:val="5"/>
    <w:qFormat/>
    <w:uiPriority w:val="0"/>
    <w:rPr>
      <w:rFonts w:ascii="Tahoma" w:hAnsi="Tahoma"/>
      <w:sz w:val="24"/>
      <w:szCs w:val="20"/>
    </w:rPr>
  </w:style>
  <w:style w:type="paragraph" w:customStyle="1" w:styleId="32">
    <w:name w:val="09正文_wh"/>
    <w:qFormat/>
    <w:uiPriority w:val="99"/>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styleId="34">
    <w:name w:val="List Paragraph"/>
    <w:basedOn w:val="1"/>
    <w:qFormat/>
    <w:uiPriority w:val="99"/>
    <w:pPr>
      <w:ind w:firstLine="420" w:firstLineChars="200"/>
    </w:pPr>
  </w:style>
  <w:style w:type="paragraph" w:customStyle="1" w:styleId="35">
    <w:name w:val="@正文"/>
    <w:basedOn w:val="36"/>
    <w:qFormat/>
    <w:uiPriority w:val="0"/>
    <w:pPr>
      <w:wordWrap/>
      <w:spacing w:line="240" w:lineRule="auto"/>
      <w:ind w:firstLine="200" w:firstLineChars="200"/>
      <w:jc w:val="both"/>
    </w:pPr>
    <w:rPr>
      <w:rFonts w:ascii="Calibri" w:hAnsi="Calibri" w:eastAsia="宋体" w:cstheme="minorHAnsi"/>
      <w:kern w:val="24"/>
      <w:sz w:val="24"/>
      <w:szCs w:val="24"/>
    </w:rPr>
  </w:style>
  <w:style w:type="paragraph" w:customStyle="1" w:styleId="3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7">
    <w:name w:val="@标题"/>
    <w:basedOn w:val="1"/>
    <w:next w:val="35"/>
    <w:qFormat/>
    <w:uiPriority w:val="0"/>
    <w:pPr>
      <w:keepNext/>
      <w:spacing w:beforeLines="50" w:afterLines="50"/>
      <w:jc w:val="center"/>
      <w:outlineLvl w:val="1"/>
    </w:pPr>
    <w:rPr>
      <w:rFonts w:ascii="Calibri" w:hAnsi="Calibri" w:eastAsia="黑体"/>
      <w:kern w:val="32"/>
      <w:sz w:val="32"/>
    </w:rPr>
  </w:style>
  <w:style w:type="paragraph" w:customStyle="1" w:styleId="38">
    <w:name w:val="@一级小标题"/>
    <w:basedOn w:val="1"/>
    <w:next w:val="35"/>
    <w:qFormat/>
    <w:uiPriority w:val="0"/>
    <w:pPr>
      <w:keepNext/>
      <w:spacing w:before="120" w:after="60"/>
      <w:outlineLvl w:val="2"/>
    </w:pPr>
    <w:rPr>
      <w:rFonts w:ascii="Calibri" w:hAnsi="Calibri" w:eastAsia="黑体"/>
      <w:kern w:val="28"/>
      <w:sz w:val="28"/>
    </w:rPr>
  </w:style>
  <w:style w:type="table" w:customStyle="1" w:styleId="39">
    <w:name w:val="网格型1"/>
    <w:basedOn w:val="2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Table Paragraph"/>
    <w:basedOn w:val="1"/>
    <w:qFormat/>
    <w:uiPriority w:val="1"/>
    <w:rPr>
      <w:rFonts w:ascii="仿宋" w:hAnsi="仿宋" w:eastAsia="仿宋" w:cs="仿宋"/>
      <w:lang w:val="zh-CN" w:bidi="zh-CN"/>
    </w:rPr>
  </w:style>
  <w:style w:type="character" w:customStyle="1" w:styleId="41">
    <w:name w:val="批注框文本 Char"/>
    <w:basedOn w:val="22"/>
    <w:link w:val="14"/>
    <w:qFormat/>
    <w:uiPriority w:val="0"/>
    <w:rPr>
      <w:rFonts w:ascii="Arial" w:hAnsi="Arial" w:cs="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66</Pages>
  <Words>32806</Words>
  <Characters>35177</Characters>
  <Lines>549</Lines>
  <Paragraphs>154</Paragraphs>
  <TotalTime>63</TotalTime>
  <ScaleCrop>false</ScaleCrop>
  <LinksUpToDate>false</LinksUpToDate>
  <CharactersWithSpaces>35673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2023-05-22T07:09:00Z</dcterms:created>
  <dc:creator>喝可乐的猫</dc:creator>
  <cp:lastModifiedBy>喝可乐的猫</cp:lastModifiedBy>
  <cp:lastPrinted>2023-06-02T07:59:00Z</cp:lastPrinted>
  <dcterms:modified xsi:type="dcterms:W3CDTF">2023-07-20T06:36:04Z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AB14437786124E7988724E87F9F65985_13</vt:lpwstr>
  </property>
</Properties>
</file>