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321" w:firstLineChars="100"/>
        <w:jc w:val="left"/>
        <w:rPr>
          <w:rFonts w:hint="eastAsia" w:ascii="仿宋" w:hAnsi="仿宋" w:eastAsia="仿宋" w:cs="仿宋"/>
          <w:b/>
          <w:bCs/>
          <w:color w:val="auto"/>
          <w:sz w:val="32"/>
          <w:szCs w:val="32"/>
        </w:rPr>
      </w:pPr>
    </w:p>
    <w:p>
      <w:pPr>
        <w:autoSpaceDE w:val="0"/>
        <w:autoSpaceDN w:val="0"/>
        <w:adjustRightInd w:val="0"/>
        <w:snapToGrid w:val="0"/>
        <w:spacing w:line="360" w:lineRule="auto"/>
        <w:ind w:firstLine="321" w:firstLineChars="100"/>
        <w:jc w:val="left"/>
        <w:rPr>
          <w:rFonts w:ascii="仿宋" w:hAnsi="仿宋" w:eastAsia="仿宋" w:cs="仿宋"/>
          <w:b/>
          <w:bCs/>
          <w:color w:val="auto"/>
          <w:sz w:val="32"/>
          <w:szCs w:val="32"/>
        </w:rPr>
      </w:pPr>
      <w:r>
        <w:rPr>
          <w:rFonts w:hint="eastAsia" w:ascii="仿宋" w:hAnsi="仿宋" w:eastAsia="仿宋" w:cs="仿宋"/>
          <w:b/>
          <w:bCs/>
          <w:color w:val="auto"/>
          <w:sz w:val="32"/>
          <w:szCs w:val="32"/>
        </w:rPr>
        <w:t>政府采购项目</w:t>
      </w:r>
    </w:p>
    <w:p>
      <w:pPr>
        <w:tabs>
          <w:tab w:val="left" w:pos="5670"/>
        </w:tabs>
        <w:autoSpaceDE w:val="0"/>
        <w:autoSpaceDN w:val="0"/>
        <w:adjustRightInd w:val="0"/>
        <w:spacing w:line="360" w:lineRule="auto"/>
        <w:ind w:firstLine="30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计划编码：ZCBN-西安市-2022-01663</w:t>
      </w:r>
    </w:p>
    <w:p>
      <w:pPr>
        <w:tabs>
          <w:tab w:val="left" w:pos="5670"/>
        </w:tabs>
        <w:autoSpaceDE w:val="0"/>
        <w:autoSpaceDN w:val="0"/>
        <w:adjustRightInd w:val="0"/>
        <w:spacing w:line="360" w:lineRule="auto"/>
        <w:ind w:firstLine="300"/>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2"/>
          <w:szCs w:val="32"/>
          <w:lang w:val="zh-CN"/>
        </w:rPr>
        <w:t>项目编号：</w:t>
      </w:r>
      <w:r>
        <w:rPr>
          <w:rFonts w:hint="eastAsia" w:ascii="仿宋" w:hAnsi="仿宋" w:eastAsia="仿宋" w:cs="仿宋"/>
          <w:b/>
          <w:bCs/>
          <w:color w:val="auto"/>
          <w:sz w:val="32"/>
          <w:szCs w:val="32"/>
          <w:lang w:val="en-US" w:eastAsia="zh-CN"/>
        </w:rPr>
        <w:t>DX2022-148-1</w:t>
      </w:r>
    </w:p>
    <w:p>
      <w:pPr>
        <w:tabs>
          <w:tab w:val="left" w:pos="5670"/>
        </w:tabs>
        <w:autoSpaceDE w:val="0"/>
        <w:autoSpaceDN w:val="0"/>
        <w:adjustRightInd w:val="0"/>
        <w:spacing w:line="360" w:lineRule="auto"/>
        <w:ind w:firstLine="300"/>
        <w:rPr>
          <w:rFonts w:ascii="仿宋" w:hAnsi="仿宋" w:eastAsia="仿宋" w:cs="仿宋"/>
          <w:b/>
          <w:bCs/>
          <w:color w:val="auto"/>
          <w:sz w:val="32"/>
          <w:szCs w:val="32"/>
        </w:rPr>
      </w:pPr>
    </w:p>
    <w:p>
      <w:pPr>
        <w:pStyle w:val="18"/>
        <w:spacing w:line="360" w:lineRule="auto"/>
        <w:rPr>
          <w:rFonts w:ascii="仿宋_GB2312" w:hAnsi="仿宋_GB2312" w:eastAsia="仿宋_GB2312" w:cs="仿宋_GB2312"/>
          <w:b/>
          <w:bCs/>
          <w:color w:val="auto"/>
          <w:sz w:val="32"/>
          <w:szCs w:val="32"/>
        </w:rPr>
      </w:pPr>
    </w:p>
    <w:p>
      <w:pPr>
        <w:pStyle w:val="18"/>
        <w:spacing w:line="360" w:lineRule="auto"/>
        <w:rPr>
          <w:rFonts w:ascii="仿宋_GB2312" w:hAnsi="仿宋_GB2312" w:eastAsia="仿宋_GB2312" w:cs="仿宋_GB2312"/>
          <w:b/>
          <w:bCs/>
          <w:color w:val="auto"/>
          <w:sz w:val="32"/>
          <w:szCs w:val="32"/>
        </w:rPr>
      </w:pPr>
    </w:p>
    <w:p>
      <w:pPr>
        <w:pStyle w:val="15"/>
        <w:tabs>
          <w:tab w:val="left" w:pos="5670"/>
        </w:tabs>
        <w:adjustRightInd w:val="0"/>
        <w:snapToGrid w:val="0"/>
        <w:spacing w:line="360" w:lineRule="auto"/>
        <w:rPr>
          <w:rFonts w:hint="eastAsia" w:ascii="宋体" w:hAnsi="宋体" w:cs="宋体"/>
          <w:color w:val="auto"/>
          <w:spacing w:val="0"/>
          <w:w w:val="100"/>
          <w:sz w:val="44"/>
          <w:szCs w:val="44"/>
          <w:lang w:val="en-US" w:eastAsia="zh-CN"/>
        </w:rPr>
      </w:pPr>
      <w:r>
        <w:rPr>
          <w:rFonts w:hint="eastAsia" w:ascii="宋体" w:hAnsi="宋体" w:cs="宋体"/>
          <w:color w:val="auto"/>
          <w:spacing w:val="0"/>
          <w:w w:val="100"/>
          <w:sz w:val="44"/>
          <w:szCs w:val="44"/>
          <w:lang w:val="en-US" w:eastAsia="zh-CN"/>
        </w:rPr>
        <w:t>西安市第九医院移动X线床头机维保项目</w:t>
      </w:r>
    </w:p>
    <w:p>
      <w:pPr>
        <w:pStyle w:val="15"/>
        <w:tabs>
          <w:tab w:val="left" w:pos="5670"/>
        </w:tabs>
        <w:adjustRightInd w:val="0"/>
        <w:snapToGrid w:val="0"/>
        <w:spacing w:line="360" w:lineRule="auto"/>
        <w:rPr>
          <w:rFonts w:hint="eastAsia" w:ascii="宋体" w:hAnsi="宋体" w:cs="宋体"/>
          <w:color w:val="auto"/>
          <w:spacing w:val="0"/>
          <w:w w:val="100"/>
          <w:sz w:val="44"/>
          <w:szCs w:val="44"/>
          <w:lang w:eastAsia="zh-CN"/>
        </w:rPr>
      </w:pPr>
      <w:r>
        <w:rPr>
          <w:rFonts w:hint="eastAsia" w:ascii="宋体" w:hAnsi="宋体" w:cs="宋体"/>
          <w:color w:val="auto"/>
          <w:spacing w:val="0"/>
          <w:w w:val="100"/>
          <w:sz w:val="44"/>
          <w:szCs w:val="44"/>
          <w:lang w:val="en-US" w:eastAsia="zh-CN"/>
        </w:rPr>
        <w:t>（二次）</w:t>
      </w:r>
    </w:p>
    <w:p>
      <w:pPr>
        <w:autoSpaceDE w:val="0"/>
        <w:autoSpaceDN w:val="0"/>
        <w:adjustRightInd w:val="0"/>
        <w:snapToGrid w:val="0"/>
        <w:spacing w:line="360" w:lineRule="auto"/>
        <w:ind w:firstLine="442" w:firstLineChars="100"/>
        <w:jc w:val="center"/>
        <w:rPr>
          <w:rFonts w:hint="eastAsia" w:ascii="宋体" w:hAnsi="宋体" w:eastAsia="宋体" w:cs="宋体"/>
          <w:b/>
          <w:color w:val="auto"/>
          <w:spacing w:val="0"/>
          <w:w w:val="100"/>
          <w:kern w:val="2"/>
          <w:sz w:val="44"/>
          <w:szCs w:val="44"/>
          <w:lang w:val="en-US" w:eastAsia="zh-CN" w:bidi="ar-SA"/>
        </w:rPr>
      </w:pPr>
    </w:p>
    <w:p>
      <w:pPr>
        <w:autoSpaceDE w:val="0"/>
        <w:autoSpaceDN w:val="0"/>
        <w:adjustRightInd w:val="0"/>
        <w:snapToGrid w:val="0"/>
        <w:spacing w:line="360" w:lineRule="auto"/>
        <w:ind w:firstLine="442" w:firstLineChars="100"/>
        <w:jc w:val="center"/>
        <w:rPr>
          <w:rFonts w:hint="eastAsia" w:ascii="宋体" w:hAnsi="宋体" w:eastAsia="宋体" w:cs="宋体"/>
          <w:b/>
          <w:color w:val="auto"/>
          <w:spacing w:val="0"/>
          <w:w w:val="100"/>
          <w:kern w:val="2"/>
          <w:sz w:val="44"/>
          <w:szCs w:val="44"/>
          <w:lang w:val="en-US" w:eastAsia="zh-CN" w:bidi="ar-SA"/>
        </w:rPr>
      </w:pPr>
      <w:r>
        <w:rPr>
          <w:rFonts w:hint="eastAsia" w:ascii="宋体" w:hAnsi="宋体" w:eastAsia="宋体" w:cs="宋体"/>
          <w:b/>
          <w:color w:val="auto"/>
          <w:spacing w:val="0"/>
          <w:w w:val="100"/>
          <w:kern w:val="2"/>
          <w:sz w:val="44"/>
          <w:szCs w:val="44"/>
          <w:lang w:val="en-US" w:eastAsia="zh-CN" w:bidi="ar-SA"/>
        </w:rPr>
        <w:t>竞争性磋商文件</w:t>
      </w:r>
    </w:p>
    <w:p>
      <w:pPr>
        <w:pStyle w:val="2"/>
        <w:rPr>
          <w:rFonts w:hint="eastAsia" w:ascii="宋体" w:hAnsi="宋体" w:eastAsia="宋体" w:cs="宋体"/>
          <w:b/>
          <w:color w:val="auto"/>
          <w:spacing w:val="0"/>
          <w:w w:val="100"/>
          <w:kern w:val="2"/>
          <w:sz w:val="44"/>
          <w:szCs w:val="44"/>
          <w:lang w:val="en-US" w:eastAsia="zh-CN" w:bidi="ar-SA"/>
        </w:rPr>
      </w:pPr>
    </w:p>
    <w:p>
      <w:pPr>
        <w:pStyle w:val="4"/>
        <w:rPr>
          <w:rFonts w:hint="eastAsia"/>
          <w:lang w:val="en-US" w:eastAsia="zh-CN"/>
        </w:rPr>
      </w:pPr>
    </w:p>
    <w:p>
      <w:pPr>
        <w:pStyle w:val="2"/>
        <w:rPr>
          <w:rFonts w:hint="eastAsia" w:ascii="宋体" w:hAnsi="宋体" w:eastAsia="宋体" w:cs="宋体"/>
          <w:b/>
          <w:color w:val="auto"/>
          <w:spacing w:val="0"/>
          <w:w w:val="100"/>
          <w:kern w:val="2"/>
          <w:sz w:val="44"/>
          <w:szCs w:val="44"/>
          <w:lang w:val="en-US" w:eastAsia="zh-CN" w:bidi="ar-SA"/>
        </w:rPr>
      </w:pPr>
    </w:p>
    <w:p>
      <w:pPr>
        <w:pStyle w:val="4"/>
        <w:rPr>
          <w:rFonts w:hint="eastAsia" w:ascii="宋体" w:hAnsi="宋体" w:eastAsia="宋体" w:cs="宋体"/>
          <w:b/>
          <w:color w:val="auto"/>
          <w:spacing w:val="0"/>
          <w:w w:val="100"/>
          <w:kern w:val="2"/>
          <w:sz w:val="44"/>
          <w:szCs w:val="44"/>
          <w:lang w:val="en-US" w:eastAsia="zh-CN" w:bidi="ar-SA"/>
        </w:rPr>
      </w:pPr>
    </w:p>
    <w:p>
      <w:pPr>
        <w:pStyle w:val="2"/>
        <w:rPr>
          <w:rFonts w:hint="eastAsia"/>
          <w:lang w:val="en-US" w:eastAsia="zh-CN"/>
        </w:rPr>
      </w:pPr>
    </w:p>
    <w:p>
      <w:pPr>
        <w:pStyle w:val="4"/>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采购人：西安市第九医院</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采购代理机构：陕西笃信招标有限公司</w:t>
      </w:r>
    </w:p>
    <w:p>
      <w:pPr>
        <w:pStyle w:val="2"/>
        <w:rPr>
          <w:rFonts w:hint="eastAsia" w:ascii="仿宋" w:hAnsi="仿宋" w:eastAsia="仿宋" w:cs="仿宋"/>
          <w:b/>
          <w:bCs/>
          <w:color w:val="auto"/>
          <w:sz w:val="32"/>
          <w:szCs w:val="32"/>
          <w:lang w:eastAsia="zh-CN"/>
        </w:rPr>
      </w:pPr>
    </w:p>
    <w:p>
      <w:pPr>
        <w:pStyle w:val="4"/>
        <w:rPr>
          <w:rFonts w:hint="eastAsia" w:ascii="仿宋" w:hAnsi="仿宋" w:eastAsia="仿宋" w:cs="仿宋"/>
          <w:b/>
          <w:bCs/>
          <w:color w:val="auto"/>
          <w:sz w:val="32"/>
          <w:szCs w:val="32"/>
          <w:lang w:eastAsia="zh-CN"/>
        </w:rPr>
      </w:pPr>
    </w:p>
    <w:p>
      <w:pPr>
        <w:pStyle w:val="2"/>
        <w:rPr>
          <w:rFonts w:hint="eastAsia"/>
          <w:sz w:val="32"/>
          <w:szCs w:val="32"/>
          <w:lang w:eastAsia="zh-CN"/>
        </w:rPr>
      </w:pPr>
    </w:p>
    <w:p>
      <w:pPr>
        <w:pStyle w:val="2"/>
        <w:jc w:val="center"/>
        <w:rPr>
          <w:rFonts w:hint="default"/>
          <w:sz w:val="32"/>
          <w:szCs w:val="32"/>
          <w:lang w:val="en-US" w:eastAsia="zh-CN"/>
        </w:rPr>
      </w:pPr>
      <w:r>
        <w:rPr>
          <w:rFonts w:hint="eastAsia" w:ascii="仿宋" w:hAnsi="仿宋" w:eastAsia="仿宋" w:cs="仿宋"/>
          <w:b/>
          <w:bCs/>
          <w:color w:val="auto"/>
          <w:sz w:val="32"/>
          <w:szCs w:val="32"/>
          <w:lang w:eastAsia="zh-CN"/>
        </w:rPr>
        <w:t>二零二二年十月</w:t>
      </w:r>
    </w:p>
    <w:p>
      <w:pPr>
        <w:spacing w:line="360" w:lineRule="auto"/>
        <w:jc w:val="center"/>
      </w:pPr>
    </w:p>
    <w:p>
      <w:pPr>
        <w:spacing w:line="360" w:lineRule="auto"/>
        <w:jc w:val="center"/>
      </w:pPr>
    </w:p>
    <w:p>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目  录</w:t>
      </w:r>
    </w:p>
    <w:p>
      <w:pPr>
        <w:pStyle w:val="20"/>
        <w:tabs>
          <w:tab w:val="right" w:leader="dot" w:pos="8504"/>
        </w:tabs>
        <w:rPr>
          <w:rFonts w:hint="eastAsia" w:ascii="仿宋" w:hAnsi="仿宋" w:eastAsia="仿宋" w:cs="仿宋"/>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TOC \o "1-3" \h \u </w:instrText>
      </w:r>
      <w:r>
        <w:rPr>
          <w:rFonts w:hint="eastAsia" w:ascii="仿宋" w:hAnsi="仿宋" w:eastAsia="仿宋" w:cs="仿宋"/>
          <w:color w:val="auto"/>
          <w:sz w:val="21"/>
          <w:szCs w:val="21"/>
        </w:rPr>
        <w:fldChar w:fldCharType="separate"/>
      </w: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_Toc26276 </w:instrText>
      </w:r>
      <w:r>
        <w:rPr>
          <w:rFonts w:hint="eastAsia" w:ascii="仿宋" w:hAnsi="仿宋" w:eastAsia="仿宋" w:cs="仿宋"/>
          <w:szCs w:val="21"/>
        </w:rPr>
        <w:fldChar w:fldCharType="separate"/>
      </w:r>
      <w:r>
        <w:rPr>
          <w:rFonts w:hint="eastAsia" w:ascii="仿宋" w:hAnsi="仿宋" w:eastAsia="仿宋" w:cs="仿宋"/>
          <w:szCs w:val="32"/>
          <w:lang w:val="zh-CN"/>
        </w:rPr>
        <w:t>第一部分   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_Toc26276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0"/>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_Toc733 </w:instrText>
      </w:r>
      <w:r>
        <w:rPr>
          <w:rFonts w:hint="eastAsia" w:ascii="仿宋" w:hAnsi="仿宋" w:eastAsia="仿宋" w:cs="仿宋"/>
          <w:szCs w:val="21"/>
        </w:rPr>
        <w:fldChar w:fldCharType="separate"/>
      </w:r>
      <w:r>
        <w:rPr>
          <w:rFonts w:hint="eastAsia" w:ascii="仿宋" w:hAnsi="仿宋" w:eastAsia="仿宋" w:cs="仿宋"/>
          <w:szCs w:val="32"/>
          <w:lang w:val="zh-CN"/>
        </w:rPr>
        <w:t>第二部分</w:t>
      </w:r>
      <w:r>
        <w:rPr>
          <w:rFonts w:hint="eastAsia" w:ascii="仿宋" w:hAnsi="仿宋" w:eastAsia="仿宋" w:cs="仿宋"/>
          <w:szCs w:val="32"/>
        </w:rPr>
        <w:t xml:space="preserve">   </w:t>
      </w:r>
      <w:r>
        <w:rPr>
          <w:rFonts w:hint="eastAsia" w:ascii="仿宋" w:hAnsi="仿宋" w:eastAsia="仿宋" w:cs="仿宋"/>
          <w:szCs w:val="32"/>
          <w:lang w:val="zh-CN"/>
        </w:rPr>
        <w:t>竞争性磋商须知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_Toc733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_Toc24641 </w:instrText>
      </w:r>
      <w:r>
        <w:rPr>
          <w:rFonts w:hint="eastAsia" w:ascii="仿宋" w:hAnsi="仿宋" w:eastAsia="仿宋" w:cs="仿宋"/>
          <w:szCs w:val="21"/>
        </w:rPr>
        <w:fldChar w:fldCharType="separate"/>
      </w:r>
      <w:r>
        <w:rPr>
          <w:rFonts w:hint="eastAsia" w:ascii="仿宋" w:hAnsi="仿宋" w:eastAsia="仿宋" w:cs="仿宋"/>
          <w:bCs/>
          <w:szCs w:val="28"/>
          <w:lang w:val="zh-CN"/>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_Toc24641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_Toc9052 </w:instrText>
      </w:r>
      <w:r>
        <w:rPr>
          <w:rFonts w:hint="eastAsia" w:ascii="仿宋" w:hAnsi="仿宋" w:eastAsia="仿宋" w:cs="仿宋"/>
          <w:szCs w:val="21"/>
        </w:rPr>
        <w:fldChar w:fldCharType="separate"/>
      </w:r>
      <w:r>
        <w:rPr>
          <w:rFonts w:hint="eastAsia" w:ascii="仿宋" w:hAnsi="仿宋" w:eastAsia="仿宋" w:cs="仿宋"/>
          <w:bCs/>
          <w:szCs w:val="24"/>
          <w:lang w:val="zh-CN"/>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_Toc9052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_Toc13285 </w:instrText>
      </w:r>
      <w:r>
        <w:rPr>
          <w:rFonts w:hint="eastAsia" w:ascii="仿宋" w:hAnsi="仿宋" w:eastAsia="仿宋" w:cs="仿宋"/>
          <w:szCs w:val="21"/>
        </w:rPr>
        <w:fldChar w:fldCharType="separate"/>
      </w:r>
      <w:r>
        <w:rPr>
          <w:rFonts w:hint="eastAsia" w:ascii="仿宋" w:hAnsi="仿宋" w:eastAsia="仿宋" w:cs="仿宋"/>
          <w:bCs/>
          <w:szCs w:val="24"/>
          <w:lang w:val="zh-CN"/>
        </w:rPr>
        <w:t>（一）适用范围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_Toc13285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_Toc29100 </w:instrText>
      </w:r>
      <w:r>
        <w:rPr>
          <w:rFonts w:hint="eastAsia" w:ascii="仿宋" w:hAnsi="仿宋" w:eastAsia="仿宋" w:cs="仿宋"/>
          <w:szCs w:val="21"/>
        </w:rPr>
        <w:fldChar w:fldCharType="separate"/>
      </w:r>
      <w:r>
        <w:rPr>
          <w:rFonts w:hint="eastAsia" w:ascii="仿宋" w:hAnsi="仿宋" w:eastAsia="仿宋" w:cs="仿宋"/>
          <w:bCs/>
          <w:szCs w:val="24"/>
          <w:lang w:val="zh-CN"/>
        </w:rPr>
        <w:t>二、磋商文件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_Toc29100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_Toc13156 </w:instrText>
      </w:r>
      <w:r>
        <w:rPr>
          <w:rFonts w:hint="eastAsia" w:ascii="仿宋" w:hAnsi="仿宋" w:eastAsia="仿宋" w:cs="仿宋"/>
          <w:szCs w:val="21"/>
        </w:rPr>
        <w:fldChar w:fldCharType="separate"/>
      </w:r>
      <w:r>
        <w:rPr>
          <w:rFonts w:hint="eastAsia" w:ascii="仿宋" w:hAnsi="仿宋" w:eastAsia="仿宋" w:cs="仿宋"/>
          <w:szCs w:val="24"/>
          <w:lang w:val="zh-CN"/>
        </w:rPr>
        <w:t>（一）磋商文件及要求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_Toc13156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_Toc4110 </w:instrText>
      </w:r>
      <w:r>
        <w:rPr>
          <w:rFonts w:hint="eastAsia" w:ascii="仿宋" w:hAnsi="仿宋" w:eastAsia="仿宋" w:cs="仿宋"/>
          <w:szCs w:val="21"/>
        </w:rPr>
        <w:fldChar w:fldCharType="separate"/>
      </w:r>
      <w:r>
        <w:rPr>
          <w:rFonts w:hint="eastAsia" w:ascii="仿宋" w:hAnsi="仿宋" w:eastAsia="仿宋" w:cs="仿宋"/>
          <w:bCs/>
          <w:szCs w:val="24"/>
          <w:lang w:val="zh-CN"/>
        </w:rPr>
        <w:t>（二）磋商响应文件的澄清和修改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_Toc4110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_Toc25010 </w:instrText>
      </w:r>
      <w:r>
        <w:rPr>
          <w:rFonts w:hint="eastAsia" w:ascii="仿宋" w:hAnsi="仿宋" w:eastAsia="仿宋" w:cs="仿宋"/>
          <w:szCs w:val="21"/>
        </w:rPr>
        <w:fldChar w:fldCharType="separate"/>
      </w:r>
      <w:r>
        <w:rPr>
          <w:rFonts w:hint="eastAsia" w:ascii="仿宋" w:hAnsi="仿宋" w:eastAsia="仿宋" w:cs="仿宋"/>
          <w:bCs/>
          <w:szCs w:val="24"/>
          <w:lang w:val="zh-CN"/>
        </w:rPr>
        <w:t>（三）磋商文件的询问、质疑及答复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_Toc25010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_Toc32017 </w:instrText>
      </w:r>
      <w:r>
        <w:rPr>
          <w:rFonts w:hint="eastAsia" w:ascii="仿宋" w:hAnsi="仿宋" w:eastAsia="仿宋" w:cs="仿宋"/>
          <w:szCs w:val="21"/>
        </w:rPr>
        <w:fldChar w:fldCharType="separate"/>
      </w:r>
      <w:r>
        <w:rPr>
          <w:rFonts w:hint="eastAsia" w:ascii="仿宋" w:hAnsi="仿宋" w:eastAsia="仿宋" w:cs="仿宋"/>
          <w:bCs/>
          <w:szCs w:val="24"/>
          <w:lang w:val="zh-CN"/>
        </w:rPr>
        <w:t>（四）磋商文件的解释权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_Toc32017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_Toc16770 </w:instrText>
      </w:r>
      <w:r>
        <w:rPr>
          <w:rFonts w:hint="eastAsia" w:ascii="仿宋" w:hAnsi="仿宋" w:eastAsia="仿宋" w:cs="仿宋"/>
          <w:szCs w:val="21"/>
        </w:rPr>
        <w:fldChar w:fldCharType="separate"/>
      </w:r>
      <w:r>
        <w:rPr>
          <w:rFonts w:hint="eastAsia" w:ascii="仿宋" w:hAnsi="仿宋" w:eastAsia="仿宋" w:cs="仿宋"/>
          <w:bCs/>
          <w:szCs w:val="24"/>
          <w:lang w:val="zh-CN"/>
        </w:rPr>
        <w:t>三、磋商要求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_Toc16770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_Toc6706 </w:instrText>
      </w:r>
      <w:r>
        <w:rPr>
          <w:rFonts w:hint="eastAsia" w:ascii="仿宋" w:hAnsi="仿宋" w:eastAsia="仿宋" w:cs="仿宋"/>
          <w:szCs w:val="21"/>
        </w:rPr>
        <w:fldChar w:fldCharType="separate"/>
      </w:r>
      <w:r>
        <w:rPr>
          <w:rFonts w:hint="eastAsia" w:ascii="仿宋" w:hAnsi="仿宋" w:eastAsia="仿宋" w:cs="仿宋"/>
          <w:bCs/>
          <w:szCs w:val="24"/>
          <w:lang w:val="zh-CN"/>
        </w:rPr>
        <w:t>（一）磋商内容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_Toc6706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_Toc8454 </w:instrText>
      </w:r>
      <w:r>
        <w:rPr>
          <w:rFonts w:hint="eastAsia" w:ascii="仿宋" w:hAnsi="仿宋" w:eastAsia="仿宋" w:cs="仿宋"/>
          <w:szCs w:val="21"/>
        </w:rPr>
        <w:fldChar w:fldCharType="separate"/>
      </w:r>
      <w:r>
        <w:rPr>
          <w:rFonts w:hint="eastAsia" w:ascii="仿宋" w:hAnsi="仿宋" w:eastAsia="仿宋" w:cs="仿宋"/>
          <w:bCs/>
          <w:szCs w:val="24"/>
          <w:lang w:val="zh-CN"/>
        </w:rPr>
        <w:t>（二）合格供应商要求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_Toc8454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_Toc4366 </w:instrText>
      </w:r>
      <w:r>
        <w:rPr>
          <w:rFonts w:hint="eastAsia" w:ascii="仿宋" w:hAnsi="仿宋" w:eastAsia="仿宋" w:cs="仿宋"/>
          <w:szCs w:val="21"/>
        </w:rPr>
        <w:fldChar w:fldCharType="separate"/>
      </w:r>
      <w:r>
        <w:rPr>
          <w:rFonts w:hint="eastAsia" w:ascii="仿宋" w:hAnsi="仿宋" w:eastAsia="仿宋" w:cs="仿宋"/>
          <w:bCs/>
          <w:szCs w:val="24"/>
          <w:lang w:val="zh-CN"/>
        </w:rPr>
        <w:t>（三）限制磋商要求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_Toc4366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_Toc19932 </w:instrText>
      </w:r>
      <w:r>
        <w:rPr>
          <w:rFonts w:hint="eastAsia" w:ascii="仿宋" w:hAnsi="仿宋" w:eastAsia="仿宋" w:cs="仿宋"/>
          <w:szCs w:val="21"/>
        </w:rPr>
        <w:fldChar w:fldCharType="separate"/>
      </w:r>
      <w:r>
        <w:rPr>
          <w:rFonts w:hint="eastAsia" w:ascii="仿宋" w:hAnsi="仿宋" w:eastAsia="仿宋" w:cs="仿宋"/>
          <w:bCs/>
          <w:szCs w:val="24"/>
          <w:lang w:val="zh-CN"/>
        </w:rPr>
        <w:t>（四）磋商响应文件有效期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_Toc19932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_Toc24947 </w:instrText>
      </w:r>
      <w:r>
        <w:rPr>
          <w:rFonts w:hint="eastAsia" w:ascii="仿宋" w:hAnsi="仿宋" w:eastAsia="仿宋" w:cs="仿宋"/>
          <w:szCs w:val="21"/>
        </w:rPr>
        <w:fldChar w:fldCharType="separate"/>
      </w:r>
      <w:r>
        <w:rPr>
          <w:rFonts w:hint="eastAsia" w:ascii="仿宋" w:hAnsi="仿宋" w:eastAsia="仿宋" w:cs="仿宋"/>
          <w:szCs w:val="24"/>
          <w:lang w:val="zh-CN"/>
        </w:rPr>
        <w:t>（五）磋商响应文件的编制要求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_Toc24947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_Toc13975 </w:instrText>
      </w:r>
      <w:r>
        <w:rPr>
          <w:rFonts w:hint="eastAsia" w:ascii="仿宋" w:hAnsi="仿宋" w:eastAsia="仿宋" w:cs="仿宋"/>
          <w:szCs w:val="21"/>
        </w:rPr>
        <w:fldChar w:fldCharType="separate"/>
      </w:r>
      <w:r>
        <w:rPr>
          <w:rFonts w:hint="eastAsia" w:ascii="仿宋" w:hAnsi="仿宋" w:eastAsia="仿宋" w:cs="仿宋"/>
          <w:szCs w:val="24"/>
        </w:rPr>
        <w:t>（六）磋商报价要求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_Toc13975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_Toc32162 </w:instrText>
      </w:r>
      <w:r>
        <w:rPr>
          <w:rFonts w:hint="eastAsia" w:ascii="仿宋" w:hAnsi="仿宋" w:eastAsia="仿宋" w:cs="仿宋"/>
          <w:szCs w:val="21"/>
        </w:rPr>
        <w:fldChar w:fldCharType="separate"/>
      </w:r>
      <w:r>
        <w:rPr>
          <w:rFonts w:hint="eastAsia" w:ascii="仿宋" w:hAnsi="仿宋" w:eastAsia="仿宋" w:cs="仿宋"/>
          <w:szCs w:val="24"/>
        </w:rPr>
        <w:t>（七）磋商响应文件的式样、签署和装订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_Toc32162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_Toc12936 </w:instrText>
      </w:r>
      <w:r>
        <w:rPr>
          <w:rFonts w:hint="eastAsia" w:ascii="仿宋" w:hAnsi="仿宋" w:eastAsia="仿宋" w:cs="仿宋"/>
          <w:szCs w:val="21"/>
        </w:rPr>
        <w:fldChar w:fldCharType="separate"/>
      </w:r>
      <w:r>
        <w:rPr>
          <w:rFonts w:hint="eastAsia" w:ascii="仿宋" w:hAnsi="仿宋" w:eastAsia="仿宋" w:cs="仿宋"/>
          <w:szCs w:val="24"/>
        </w:rPr>
        <w:t>（八）</w:t>
      </w:r>
      <w:r>
        <w:rPr>
          <w:rFonts w:hint="eastAsia" w:ascii="仿宋" w:hAnsi="仿宋" w:eastAsia="仿宋" w:cs="仿宋"/>
          <w:szCs w:val="24"/>
          <w:lang w:val="zh-CN"/>
        </w:rPr>
        <w:t>磋商响应文件的密封和提交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_Toc12936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_Toc7539 </w:instrText>
      </w:r>
      <w:r>
        <w:rPr>
          <w:rFonts w:hint="eastAsia" w:ascii="仿宋" w:hAnsi="仿宋" w:eastAsia="仿宋" w:cs="仿宋"/>
          <w:szCs w:val="21"/>
        </w:rPr>
        <w:fldChar w:fldCharType="separate"/>
      </w:r>
      <w:r>
        <w:rPr>
          <w:rFonts w:hint="eastAsia" w:ascii="仿宋" w:hAnsi="仿宋" w:eastAsia="仿宋" w:cs="仿宋"/>
          <w:szCs w:val="24"/>
        </w:rPr>
        <w:t>四、磋商小组组成及职责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_Toc7539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_Toc2252 </w:instrText>
      </w:r>
      <w:r>
        <w:rPr>
          <w:rFonts w:hint="eastAsia" w:ascii="仿宋" w:hAnsi="仿宋" w:eastAsia="仿宋" w:cs="仿宋"/>
          <w:szCs w:val="21"/>
        </w:rPr>
        <w:fldChar w:fldCharType="separate"/>
      </w:r>
      <w:r>
        <w:rPr>
          <w:rFonts w:hint="eastAsia" w:ascii="仿宋" w:hAnsi="仿宋" w:eastAsia="仿宋" w:cs="仿宋"/>
          <w:szCs w:val="24"/>
        </w:rPr>
        <w:t>五、磋商会议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_Toc2252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_Toc10154 </w:instrText>
      </w:r>
      <w:r>
        <w:rPr>
          <w:rFonts w:hint="eastAsia" w:ascii="仿宋" w:hAnsi="仿宋" w:eastAsia="仿宋" w:cs="仿宋"/>
          <w:szCs w:val="21"/>
        </w:rPr>
        <w:fldChar w:fldCharType="separate"/>
      </w:r>
      <w:r>
        <w:rPr>
          <w:rFonts w:hint="eastAsia" w:ascii="仿宋" w:hAnsi="仿宋" w:eastAsia="仿宋" w:cs="仿宋"/>
          <w:szCs w:val="24"/>
        </w:rPr>
        <w:t>六、磋商评审程序及评审办法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_Toc10154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_Toc14531 </w:instrText>
      </w:r>
      <w:r>
        <w:rPr>
          <w:rFonts w:hint="eastAsia" w:ascii="仿宋" w:hAnsi="仿宋" w:eastAsia="仿宋" w:cs="仿宋"/>
          <w:szCs w:val="21"/>
        </w:rPr>
        <w:fldChar w:fldCharType="separate"/>
      </w:r>
      <w:r>
        <w:rPr>
          <w:rFonts w:hint="eastAsia" w:ascii="仿宋" w:hAnsi="仿宋" w:eastAsia="仿宋" w:cs="仿宋"/>
          <w:bCs/>
          <w:szCs w:val="24"/>
        </w:rPr>
        <w:t>（一）磋商响应文件的资格性审查</w:t>
      </w:r>
      <w:r>
        <w:rPr>
          <w:rFonts w:hint="eastAsia" w:ascii="仿宋" w:hAnsi="仿宋" w:eastAsia="仿宋" w:cs="仿宋"/>
          <w:bCs/>
          <w:szCs w:val="24"/>
          <w:lang w:eastAsia="zh-CN"/>
        </w:rPr>
        <w:t>：</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_Toc14531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_Toc19211 </w:instrText>
      </w:r>
      <w:r>
        <w:rPr>
          <w:rFonts w:hint="eastAsia" w:ascii="仿宋" w:hAnsi="仿宋" w:eastAsia="仿宋" w:cs="仿宋"/>
          <w:szCs w:val="21"/>
        </w:rPr>
        <w:fldChar w:fldCharType="separate"/>
      </w:r>
      <w:r>
        <w:rPr>
          <w:rFonts w:hint="eastAsia" w:ascii="仿宋" w:hAnsi="仿宋" w:eastAsia="仿宋" w:cs="仿宋"/>
          <w:bCs/>
          <w:szCs w:val="24"/>
          <w:lang w:eastAsia="zh-CN"/>
        </w:rPr>
        <w:t xml:space="preserve">（二） </w:t>
      </w:r>
      <w:r>
        <w:rPr>
          <w:rFonts w:hint="eastAsia" w:ascii="仿宋" w:hAnsi="仿宋" w:eastAsia="仿宋" w:cs="仿宋"/>
          <w:bCs/>
          <w:szCs w:val="24"/>
        </w:rPr>
        <w:t>磋商响应文件符合性审查</w:t>
      </w:r>
      <w:r>
        <w:rPr>
          <w:rFonts w:hint="eastAsia" w:ascii="仿宋" w:hAnsi="仿宋" w:eastAsia="仿宋" w:cs="仿宋"/>
          <w:bCs/>
          <w:szCs w:val="24"/>
          <w:lang w:eastAsia="zh-CN"/>
        </w:rPr>
        <w:t>：</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_Toc19211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_Toc22375 </w:instrText>
      </w:r>
      <w:r>
        <w:rPr>
          <w:rFonts w:hint="eastAsia" w:ascii="仿宋" w:hAnsi="仿宋" w:eastAsia="仿宋" w:cs="仿宋"/>
          <w:szCs w:val="21"/>
        </w:rPr>
        <w:fldChar w:fldCharType="separate"/>
      </w:r>
      <w:r>
        <w:rPr>
          <w:rFonts w:hint="eastAsia" w:ascii="仿宋" w:hAnsi="仿宋" w:eastAsia="仿宋" w:cs="仿宋"/>
          <w:bCs/>
          <w:szCs w:val="24"/>
        </w:rPr>
        <w:t>（三）磋商响应文件的澄清、说明或者更正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_Toc22375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_Toc27881 </w:instrText>
      </w:r>
      <w:r>
        <w:rPr>
          <w:rFonts w:hint="eastAsia" w:ascii="仿宋" w:hAnsi="仿宋" w:eastAsia="仿宋" w:cs="仿宋"/>
          <w:szCs w:val="21"/>
        </w:rPr>
        <w:fldChar w:fldCharType="separate"/>
      </w:r>
      <w:r>
        <w:rPr>
          <w:rFonts w:hint="eastAsia" w:ascii="仿宋" w:hAnsi="仿宋" w:eastAsia="仿宋" w:cs="仿宋"/>
          <w:bCs/>
          <w:szCs w:val="24"/>
          <w:lang w:val="zh-CN"/>
        </w:rPr>
        <w:t>（四）供应商存在下列情况之一的，磋商无效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_Toc27881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_Toc12305 </w:instrText>
      </w:r>
      <w:r>
        <w:rPr>
          <w:rFonts w:hint="eastAsia" w:ascii="仿宋" w:hAnsi="仿宋" w:eastAsia="仿宋" w:cs="仿宋"/>
          <w:szCs w:val="21"/>
        </w:rPr>
        <w:fldChar w:fldCharType="separate"/>
      </w:r>
      <w:r>
        <w:rPr>
          <w:rFonts w:hint="eastAsia" w:ascii="仿宋" w:hAnsi="仿宋" w:eastAsia="仿宋" w:cs="仿宋"/>
          <w:bCs/>
          <w:szCs w:val="24"/>
        </w:rPr>
        <w:t>（五）磋商</w:t>
      </w:r>
      <w:r>
        <w:rPr>
          <w:rFonts w:hint="eastAsia" w:ascii="仿宋" w:hAnsi="仿宋" w:eastAsia="仿宋" w:cs="仿宋"/>
          <w:bCs/>
          <w:szCs w:val="24"/>
          <w:lang w:eastAsia="zh-CN"/>
        </w:rPr>
        <w:t>环节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_Toc12305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_Toc320 </w:instrText>
      </w:r>
      <w:r>
        <w:rPr>
          <w:rFonts w:hint="eastAsia" w:ascii="仿宋" w:hAnsi="仿宋" w:eastAsia="仿宋" w:cs="仿宋"/>
          <w:szCs w:val="21"/>
        </w:rPr>
        <w:fldChar w:fldCharType="separate"/>
      </w:r>
      <w:r>
        <w:rPr>
          <w:rFonts w:hint="eastAsia" w:ascii="仿宋" w:hAnsi="仿宋" w:eastAsia="仿宋" w:cs="仿宋"/>
          <w:bCs/>
          <w:szCs w:val="24"/>
        </w:rPr>
        <w:t>（六）最终报价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_Toc3247 </w:instrText>
      </w:r>
      <w:r>
        <w:rPr>
          <w:rFonts w:hint="eastAsia" w:ascii="仿宋" w:hAnsi="仿宋" w:eastAsia="仿宋" w:cs="仿宋"/>
          <w:szCs w:val="21"/>
        </w:rPr>
        <w:fldChar w:fldCharType="separate"/>
      </w:r>
      <w:r>
        <w:rPr>
          <w:rFonts w:hint="eastAsia" w:ascii="仿宋" w:hAnsi="仿宋" w:eastAsia="仿宋" w:cs="仿宋"/>
          <w:bCs/>
          <w:szCs w:val="24"/>
        </w:rPr>
        <w:t>（七）</w:t>
      </w:r>
      <w:r>
        <w:rPr>
          <w:rFonts w:hint="eastAsia" w:ascii="仿宋" w:hAnsi="仿宋" w:eastAsia="仿宋" w:cs="仿宋"/>
          <w:bCs/>
          <w:szCs w:val="24"/>
          <w:lang w:val="zh-CN"/>
        </w:rPr>
        <w:t>比较与评价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_Toc3247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_Toc16544 </w:instrText>
      </w:r>
      <w:r>
        <w:rPr>
          <w:rFonts w:hint="eastAsia" w:ascii="仿宋" w:hAnsi="仿宋" w:eastAsia="仿宋" w:cs="仿宋"/>
          <w:szCs w:val="21"/>
        </w:rPr>
        <w:fldChar w:fldCharType="separate"/>
      </w:r>
      <w:r>
        <w:rPr>
          <w:rFonts w:hint="eastAsia" w:ascii="仿宋" w:hAnsi="仿宋" w:eastAsia="仿宋" w:cs="仿宋"/>
          <w:bCs/>
          <w:szCs w:val="24"/>
          <w:lang w:val="zh-CN"/>
        </w:rPr>
        <w:t>（八）推荐成交候选供应商名单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_Toc16544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_Toc26753 </w:instrText>
      </w:r>
      <w:r>
        <w:rPr>
          <w:rFonts w:hint="eastAsia" w:ascii="仿宋" w:hAnsi="仿宋" w:eastAsia="仿宋" w:cs="仿宋"/>
          <w:szCs w:val="21"/>
        </w:rPr>
        <w:fldChar w:fldCharType="separate"/>
      </w:r>
      <w:r>
        <w:rPr>
          <w:rFonts w:hint="eastAsia" w:ascii="仿宋" w:hAnsi="仿宋" w:eastAsia="仿宋" w:cs="仿宋"/>
          <w:szCs w:val="24"/>
        </w:rPr>
        <w:t>七、确定成交供应商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_Toc26753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_Toc4722 </w:instrText>
      </w:r>
      <w:r>
        <w:rPr>
          <w:rFonts w:hint="eastAsia" w:ascii="仿宋" w:hAnsi="仿宋" w:eastAsia="仿宋" w:cs="仿宋"/>
          <w:szCs w:val="21"/>
        </w:rPr>
        <w:fldChar w:fldCharType="separate"/>
      </w:r>
      <w:r>
        <w:rPr>
          <w:rFonts w:hint="eastAsia" w:ascii="仿宋" w:hAnsi="仿宋" w:eastAsia="仿宋" w:cs="仿宋"/>
          <w:szCs w:val="24"/>
        </w:rPr>
        <w:t>八、合同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_Toc4722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_Toc10702 </w:instrText>
      </w:r>
      <w:r>
        <w:rPr>
          <w:rFonts w:hint="eastAsia" w:ascii="仿宋" w:hAnsi="仿宋" w:eastAsia="仿宋" w:cs="仿宋"/>
          <w:szCs w:val="21"/>
        </w:rPr>
        <w:fldChar w:fldCharType="separate"/>
      </w:r>
      <w:r>
        <w:rPr>
          <w:rFonts w:hint="eastAsia" w:ascii="仿宋" w:hAnsi="仿宋" w:eastAsia="仿宋" w:cs="仿宋"/>
          <w:szCs w:val="24"/>
          <w:lang w:val="zh-CN"/>
        </w:rPr>
        <w:t>九、成交合同的履约验收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_Toc10702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_Toc30302 </w:instrText>
      </w:r>
      <w:r>
        <w:rPr>
          <w:rFonts w:hint="eastAsia" w:ascii="仿宋" w:hAnsi="仿宋" w:eastAsia="仿宋" w:cs="仿宋"/>
          <w:szCs w:val="21"/>
        </w:rPr>
        <w:fldChar w:fldCharType="separate"/>
      </w:r>
      <w:r>
        <w:rPr>
          <w:rFonts w:hint="eastAsia" w:ascii="仿宋" w:hAnsi="仿宋" w:eastAsia="仿宋" w:cs="仿宋"/>
          <w:szCs w:val="24"/>
        </w:rPr>
        <w:t>十、成交服务费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_Toc30302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_Toc8754 </w:instrText>
      </w:r>
      <w:r>
        <w:rPr>
          <w:rFonts w:hint="eastAsia" w:ascii="仿宋" w:hAnsi="仿宋" w:eastAsia="仿宋" w:cs="仿宋"/>
          <w:szCs w:val="21"/>
        </w:rPr>
        <w:fldChar w:fldCharType="separate"/>
      </w:r>
      <w:r>
        <w:rPr>
          <w:rFonts w:hint="eastAsia" w:ascii="仿宋" w:hAnsi="仿宋" w:eastAsia="仿宋" w:cs="仿宋"/>
          <w:szCs w:val="24"/>
          <w:lang w:val="zh-CN"/>
        </w:rPr>
        <w:t>十一、需要落实的政府采购政策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_Toc8754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_Toc19927 </w:instrText>
      </w:r>
      <w:r>
        <w:rPr>
          <w:rFonts w:hint="eastAsia" w:ascii="仿宋" w:hAnsi="仿宋" w:eastAsia="仿宋" w:cs="仿宋"/>
          <w:szCs w:val="21"/>
        </w:rPr>
        <w:fldChar w:fldCharType="separate"/>
      </w:r>
      <w:r>
        <w:rPr>
          <w:rFonts w:hint="eastAsia" w:ascii="仿宋" w:hAnsi="仿宋" w:eastAsia="仿宋" w:cs="仿宋"/>
          <w:szCs w:val="24"/>
          <w:lang w:val="zh-CN"/>
        </w:rPr>
        <w:t>十二、质疑与投诉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_Toc19927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0"/>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_Toc21112 </w:instrText>
      </w:r>
      <w:r>
        <w:rPr>
          <w:rFonts w:hint="eastAsia" w:ascii="仿宋" w:hAnsi="仿宋" w:eastAsia="仿宋" w:cs="仿宋"/>
          <w:szCs w:val="21"/>
        </w:rPr>
        <w:fldChar w:fldCharType="separate"/>
      </w:r>
      <w:r>
        <w:rPr>
          <w:rFonts w:hint="eastAsia" w:ascii="仿宋" w:hAnsi="仿宋" w:eastAsia="仿宋" w:cs="仿宋"/>
          <w:szCs w:val="32"/>
        </w:rPr>
        <w:t>第三部分 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_Toc21112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0"/>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_Toc12058 </w:instrText>
      </w:r>
      <w:r>
        <w:rPr>
          <w:rFonts w:hint="eastAsia" w:ascii="仿宋" w:hAnsi="仿宋" w:eastAsia="仿宋" w:cs="仿宋"/>
          <w:szCs w:val="21"/>
        </w:rPr>
        <w:fldChar w:fldCharType="separate"/>
      </w:r>
      <w:r>
        <w:rPr>
          <w:rFonts w:hint="eastAsia" w:ascii="仿宋" w:hAnsi="仿宋" w:eastAsia="仿宋" w:cs="仿宋"/>
          <w:szCs w:val="32"/>
          <w:lang w:val="zh-CN"/>
        </w:rPr>
        <w:t>第四部分 商务主要条款及格式（参考）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_Toc12058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0"/>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_Toc5654 </w:instrText>
      </w:r>
      <w:r>
        <w:rPr>
          <w:rFonts w:hint="eastAsia" w:ascii="仿宋" w:hAnsi="仿宋" w:eastAsia="仿宋" w:cs="仿宋"/>
          <w:szCs w:val="21"/>
        </w:rPr>
        <w:fldChar w:fldCharType="separate"/>
      </w:r>
      <w:r>
        <w:rPr>
          <w:rFonts w:hint="eastAsia" w:ascii="仿宋" w:hAnsi="仿宋" w:eastAsia="仿宋" w:cs="仿宋"/>
          <w:szCs w:val="32"/>
          <w:lang w:val="zh-CN"/>
        </w:rPr>
        <w:t>第五部分</w:t>
      </w:r>
      <w:r>
        <w:rPr>
          <w:rFonts w:hint="eastAsia" w:ascii="仿宋" w:hAnsi="仿宋" w:eastAsia="仿宋" w:cs="仿宋"/>
          <w:szCs w:val="32"/>
        </w:rPr>
        <w:t xml:space="preserve">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_Toc5654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_Toc29992 </w:instrText>
      </w:r>
      <w:r>
        <w:rPr>
          <w:rFonts w:hint="eastAsia" w:ascii="仿宋" w:hAnsi="仿宋" w:eastAsia="仿宋" w:cs="仿宋"/>
          <w:szCs w:val="21"/>
        </w:rPr>
        <w:fldChar w:fldCharType="separate"/>
      </w:r>
      <w:r>
        <w:rPr>
          <w:rFonts w:hint="eastAsia" w:ascii="仿宋" w:hAnsi="仿宋" w:eastAsia="仿宋" w:cs="仿宋"/>
          <w:szCs w:val="32"/>
        </w:rPr>
        <w:t>一、磋商响应函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_Toc29992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_Toc15309 </w:instrText>
      </w:r>
      <w:r>
        <w:rPr>
          <w:rFonts w:hint="eastAsia" w:ascii="仿宋" w:hAnsi="仿宋" w:eastAsia="仿宋" w:cs="仿宋"/>
          <w:szCs w:val="21"/>
        </w:rPr>
        <w:fldChar w:fldCharType="separate"/>
      </w:r>
      <w:r>
        <w:rPr>
          <w:rFonts w:hint="eastAsia" w:ascii="仿宋" w:hAnsi="仿宋" w:eastAsia="仿宋" w:cs="仿宋"/>
          <w:szCs w:val="32"/>
        </w:rPr>
        <w:t>二、第一次磋商报价表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_Toc15309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_Toc7295 </w:instrText>
      </w:r>
      <w:r>
        <w:rPr>
          <w:rFonts w:hint="eastAsia" w:ascii="仿宋" w:hAnsi="仿宋" w:eastAsia="仿宋" w:cs="仿宋"/>
          <w:szCs w:val="21"/>
        </w:rPr>
        <w:fldChar w:fldCharType="separate"/>
      </w:r>
      <w:r>
        <w:rPr>
          <w:rFonts w:hint="eastAsia" w:ascii="仿宋" w:hAnsi="仿宋" w:eastAsia="仿宋" w:cs="仿宋"/>
          <w:szCs w:val="32"/>
        </w:rPr>
        <w:t>三、</w:t>
      </w:r>
      <w:r>
        <w:rPr>
          <w:rFonts w:hint="eastAsia" w:ascii="仿宋" w:hAnsi="仿宋" w:eastAsia="仿宋" w:cs="仿宋"/>
          <w:szCs w:val="32"/>
          <w:lang w:eastAsia="zh-CN"/>
        </w:rPr>
        <w:t>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_Toc7295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_Toc31734 </w:instrText>
      </w:r>
      <w:r>
        <w:rPr>
          <w:rFonts w:hint="eastAsia" w:ascii="仿宋" w:hAnsi="仿宋" w:eastAsia="仿宋" w:cs="仿宋"/>
          <w:szCs w:val="21"/>
        </w:rPr>
        <w:fldChar w:fldCharType="separate"/>
      </w:r>
      <w:r>
        <w:rPr>
          <w:rFonts w:hint="eastAsia" w:ascii="仿宋" w:hAnsi="仿宋" w:eastAsia="仿宋" w:cs="仿宋"/>
          <w:szCs w:val="21"/>
          <w:lang w:eastAsia="zh-CN"/>
        </w:rPr>
        <w:t>四</w:t>
      </w:r>
      <w:r>
        <w:rPr>
          <w:rFonts w:hint="eastAsia" w:ascii="仿宋" w:hAnsi="仿宋" w:eastAsia="仿宋" w:cs="仿宋"/>
          <w:szCs w:val="21"/>
        </w:rPr>
        <w:t>、供应商资格证明文件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_Toc31734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_Toc641 </w:instrText>
      </w:r>
      <w:r>
        <w:rPr>
          <w:rFonts w:hint="eastAsia" w:ascii="仿宋" w:hAnsi="仿宋" w:eastAsia="仿宋" w:cs="仿宋"/>
          <w:szCs w:val="21"/>
        </w:rPr>
        <w:fldChar w:fldCharType="separate"/>
      </w:r>
      <w:r>
        <w:rPr>
          <w:rFonts w:hint="eastAsia" w:ascii="仿宋" w:hAnsi="仿宋" w:eastAsia="仿宋" w:cs="仿宋"/>
          <w:bCs/>
          <w:szCs w:val="28"/>
        </w:rPr>
        <w:t>（一） 提供统一社会信用代码的营业执照或其他组织经营的合法凭证或自然人的提供身份证明文件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_Toc641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_Toc3719 </w:instrText>
      </w:r>
      <w:r>
        <w:rPr>
          <w:rFonts w:hint="eastAsia" w:ascii="仿宋" w:hAnsi="仿宋" w:eastAsia="仿宋" w:cs="仿宋"/>
          <w:szCs w:val="21"/>
        </w:rPr>
        <w:fldChar w:fldCharType="separate"/>
      </w:r>
      <w:r>
        <w:rPr>
          <w:rFonts w:hint="eastAsia" w:ascii="仿宋" w:hAnsi="仿宋" w:eastAsia="仿宋" w:cs="仿宋"/>
          <w:bCs/>
          <w:szCs w:val="28"/>
        </w:rPr>
        <w:t>（二） 财务状况报告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_Toc3719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_Toc12727 </w:instrText>
      </w:r>
      <w:r>
        <w:rPr>
          <w:rFonts w:hint="eastAsia" w:ascii="仿宋" w:hAnsi="仿宋" w:eastAsia="仿宋" w:cs="仿宋"/>
          <w:szCs w:val="21"/>
        </w:rPr>
        <w:fldChar w:fldCharType="separate"/>
      </w:r>
      <w:r>
        <w:rPr>
          <w:rFonts w:hint="eastAsia" w:ascii="仿宋" w:hAnsi="仿宋" w:eastAsia="仿宋" w:cs="仿宋"/>
          <w:szCs w:val="28"/>
        </w:rPr>
        <w:t>（</w:t>
      </w:r>
      <w:r>
        <w:rPr>
          <w:rFonts w:hint="eastAsia" w:ascii="仿宋" w:hAnsi="仿宋" w:eastAsia="仿宋" w:cs="仿宋"/>
          <w:szCs w:val="28"/>
          <w:lang w:eastAsia="zh-CN"/>
        </w:rPr>
        <w:t>三</w:t>
      </w:r>
      <w:r>
        <w:rPr>
          <w:rFonts w:hint="eastAsia" w:ascii="仿宋" w:hAnsi="仿宋" w:eastAsia="仿宋" w:cs="仿宋"/>
          <w:szCs w:val="28"/>
        </w:rPr>
        <w:t>）税收缴纳证明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_Toc12727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_Toc23312 </w:instrText>
      </w:r>
      <w:r>
        <w:rPr>
          <w:rFonts w:hint="eastAsia" w:ascii="仿宋" w:hAnsi="仿宋" w:eastAsia="仿宋" w:cs="仿宋"/>
          <w:szCs w:val="21"/>
        </w:rPr>
        <w:fldChar w:fldCharType="separate"/>
      </w:r>
      <w:r>
        <w:rPr>
          <w:rFonts w:hint="eastAsia" w:ascii="仿宋" w:hAnsi="仿宋" w:eastAsia="仿宋" w:cs="仿宋"/>
          <w:szCs w:val="28"/>
        </w:rPr>
        <w:t>（</w:t>
      </w:r>
      <w:r>
        <w:rPr>
          <w:rFonts w:hint="eastAsia" w:ascii="仿宋" w:hAnsi="仿宋" w:eastAsia="仿宋" w:cs="仿宋"/>
          <w:szCs w:val="28"/>
          <w:lang w:eastAsia="zh-CN"/>
        </w:rPr>
        <w:t>四</w:t>
      </w:r>
      <w:r>
        <w:rPr>
          <w:rFonts w:hint="eastAsia" w:ascii="仿宋" w:hAnsi="仿宋" w:eastAsia="仿宋" w:cs="仿宋"/>
          <w:szCs w:val="28"/>
        </w:rPr>
        <w:t>）</w:t>
      </w:r>
      <w:r>
        <w:rPr>
          <w:rFonts w:hint="eastAsia" w:ascii="仿宋" w:hAnsi="仿宋" w:eastAsia="仿宋" w:cs="仿宋"/>
          <w:szCs w:val="28"/>
          <w:lang w:eastAsia="zh-CN"/>
        </w:rPr>
        <w:t>社会保障资金缴纳证明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_Toc23312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_Toc11322 </w:instrText>
      </w:r>
      <w:r>
        <w:rPr>
          <w:rFonts w:hint="eastAsia" w:ascii="仿宋" w:hAnsi="仿宋" w:eastAsia="仿宋" w:cs="仿宋"/>
          <w:szCs w:val="21"/>
        </w:rPr>
        <w:fldChar w:fldCharType="separate"/>
      </w:r>
      <w:r>
        <w:rPr>
          <w:rFonts w:hint="eastAsia" w:ascii="仿宋" w:hAnsi="仿宋" w:eastAsia="仿宋" w:cs="仿宋"/>
          <w:bCs/>
          <w:szCs w:val="28"/>
        </w:rPr>
        <w:t>（</w:t>
      </w:r>
      <w:r>
        <w:rPr>
          <w:rFonts w:hint="eastAsia" w:ascii="仿宋" w:hAnsi="仿宋" w:eastAsia="仿宋" w:cs="仿宋"/>
          <w:bCs/>
          <w:szCs w:val="28"/>
          <w:lang w:eastAsia="zh-CN"/>
        </w:rPr>
        <w:t>五</w:t>
      </w:r>
      <w:r>
        <w:rPr>
          <w:rFonts w:hint="eastAsia" w:ascii="仿宋" w:hAnsi="仿宋" w:eastAsia="仿宋" w:cs="仿宋"/>
          <w:bCs/>
          <w:szCs w:val="28"/>
        </w:rPr>
        <w:t>）</w:t>
      </w:r>
      <w:r>
        <w:rPr>
          <w:rFonts w:hint="eastAsia" w:ascii="仿宋" w:hAnsi="仿宋" w:eastAsia="仿宋" w:cs="仿宋"/>
          <w:bCs/>
          <w:szCs w:val="28"/>
          <w:lang w:eastAsia="zh-CN"/>
        </w:rPr>
        <w:t>出具履行合同所必需的设备和专业技术能力的书</w:t>
      </w:r>
      <w:r>
        <w:rPr>
          <w:rFonts w:hint="eastAsia" w:ascii="仿宋" w:hAnsi="仿宋" w:eastAsia="仿宋" w:cs="仿宋"/>
          <w:bCs/>
          <w:szCs w:val="28"/>
          <w:highlight w:val="none"/>
          <w:lang w:eastAsia="zh-CN"/>
        </w:rPr>
        <w:t>面</w:t>
      </w:r>
      <w:r>
        <w:rPr>
          <w:rFonts w:hint="eastAsia" w:ascii="仿宋" w:hAnsi="仿宋" w:eastAsia="仿宋" w:cs="仿宋"/>
          <w:bCs/>
          <w:szCs w:val="28"/>
          <w:highlight w:val="none"/>
          <w:lang w:val="en-US" w:eastAsia="zh-CN"/>
        </w:rPr>
        <w:t>声</w:t>
      </w:r>
      <w:r>
        <w:rPr>
          <w:rFonts w:hint="eastAsia" w:ascii="仿宋" w:hAnsi="仿宋" w:eastAsia="仿宋" w:cs="仿宋"/>
          <w:bCs/>
          <w:szCs w:val="28"/>
          <w:highlight w:val="none"/>
          <w:lang w:eastAsia="zh-CN"/>
        </w:rPr>
        <w:t>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_Toc11322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_Toc32587 </w:instrText>
      </w:r>
      <w:r>
        <w:rPr>
          <w:rFonts w:hint="eastAsia" w:ascii="仿宋" w:hAnsi="仿宋" w:eastAsia="仿宋" w:cs="仿宋"/>
          <w:szCs w:val="21"/>
        </w:rPr>
        <w:fldChar w:fldCharType="separate"/>
      </w:r>
      <w:r>
        <w:rPr>
          <w:rFonts w:hint="eastAsia" w:ascii="仿宋" w:hAnsi="仿宋" w:eastAsia="仿宋" w:cs="仿宋"/>
          <w:szCs w:val="28"/>
        </w:rPr>
        <w:t>（</w:t>
      </w:r>
      <w:r>
        <w:rPr>
          <w:rFonts w:hint="eastAsia" w:ascii="仿宋" w:hAnsi="仿宋" w:eastAsia="仿宋" w:cs="仿宋"/>
          <w:szCs w:val="28"/>
          <w:lang w:eastAsia="zh-CN"/>
        </w:rPr>
        <w:t>六</w:t>
      </w:r>
      <w:r>
        <w:rPr>
          <w:rFonts w:hint="eastAsia" w:ascii="仿宋" w:hAnsi="仿宋" w:eastAsia="仿宋" w:cs="仿宋"/>
          <w:szCs w:val="28"/>
        </w:rPr>
        <w:t>）参加政府采购活动的书面声明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_Toc32587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_Toc26587 </w:instrText>
      </w:r>
      <w:r>
        <w:rPr>
          <w:rFonts w:hint="eastAsia" w:ascii="仿宋" w:hAnsi="仿宋" w:eastAsia="仿宋" w:cs="仿宋"/>
          <w:szCs w:val="21"/>
        </w:rPr>
        <w:fldChar w:fldCharType="separate"/>
      </w:r>
      <w:r>
        <w:rPr>
          <w:rFonts w:hint="eastAsia" w:ascii="仿宋" w:hAnsi="仿宋" w:eastAsia="仿宋" w:cs="仿宋"/>
          <w:bCs w:val="0"/>
          <w:kern w:val="2"/>
          <w:szCs w:val="28"/>
          <w:lang w:val="zh-CN" w:eastAsia="zh-CN" w:bidi="ar-SA"/>
        </w:rPr>
        <w:t>（七）特定资格要求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_Toc26587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16"/>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_Toc10383 </w:instrText>
      </w:r>
      <w:r>
        <w:rPr>
          <w:rFonts w:hint="eastAsia" w:ascii="仿宋" w:hAnsi="仿宋" w:eastAsia="仿宋" w:cs="仿宋"/>
          <w:szCs w:val="21"/>
        </w:rPr>
        <w:fldChar w:fldCharType="separate"/>
      </w:r>
      <w:r>
        <w:rPr>
          <w:rFonts w:hint="eastAsia" w:ascii="仿宋" w:hAnsi="仿宋" w:eastAsia="仿宋" w:cs="仿宋"/>
          <w:bCs w:val="0"/>
          <w:kern w:val="2"/>
          <w:szCs w:val="28"/>
          <w:lang w:val="zh-CN" w:eastAsia="zh-CN" w:bidi="ar-SA"/>
        </w:rPr>
        <w:t>（八）提供政府采购政策等证明材料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_Toc10383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_Toc22585 </w:instrText>
      </w:r>
      <w:r>
        <w:rPr>
          <w:rFonts w:hint="eastAsia" w:ascii="仿宋" w:hAnsi="仿宋" w:eastAsia="仿宋" w:cs="仿宋"/>
          <w:szCs w:val="21"/>
        </w:rPr>
        <w:fldChar w:fldCharType="separate"/>
      </w:r>
      <w:r>
        <w:rPr>
          <w:rFonts w:hint="eastAsia" w:ascii="仿宋" w:hAnsi="仿宋" w:eastAsia="仿宋" w:cs="仿宋"/>
          <w:szCs w:val="32"/>
          <w:lang w:eastAsia="zh-CN"/>
        </w:rPr>
        <w:t>五</w:t>
      </w:r>
      <w:r>
        <w:rPr>
          <w:rFonts w:hint="eastAsia" w:ascii="仿宋" w:hAnsi="仿宋" w:eastAsia="仿宋" w:cs="仿宋"/>
          <w:szCs w:val="32"/>
        </w:rPr>
        <w:t>、</w:t>
      </w:r>
      <w:r>
        <w:rPr>
          <w:rFonts w:hint="eastAsia" w:ascii="仿宋" w:hAnsi="仿宋" w:eastAsia="仿宋" w:cs="仿宋"/>
          <w:szCs w:val="32"/>
          <w:lang w:eastAsia="zh-CN"/>
        </w:rPr>
        <w:t>合同</w:t>
      </w:r>
      <w:r>
        <w:rPr>
          <w:rFonts w:hint="eastAsia" w:ascii="仿宋" w:hAnsi="仿宋" w:eastAsia="仿宋" w:cs="仿宋"/>
          <w:szCs w:val="32"/>
        </w:rPr>
        <w:t>主要条款响应偏差表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_Toc22585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_Toc4378 </w:instrText>
      </w:r>
      <w:r>
        <w:rPr>
          <w:rFonts w:hint="eastAsia" w:ascii="仿宋" w:hAnsi="仿宋" w:eastAsia="仿宋" w:cs="仿宋"/>
          <w:szCs w:val="21"/>
        </w:rPr>
        <w:fldChar w:fldCharType="separate"/>
      </w:r>
      <w:r>
        <w:rPr>
          <w:rFonts w:hint="eastAsia" w:ascii="仿宋" w:hAnsi="仿宋" w:eastAsia="仿宋" w:cs="仿宋"/>
          <w:szCs w:val="21"/>
          <w:highlight w:val="none"/>
          <w:lang w:val="zh-CN"/>
        </w:rPr>
        <w:t>六、</w:t>
      </w:r>
      <w:r>
        <w:rPr>
          <w:rFonts w:hint="eastAsia" w:ascii="仿宋" w:hAnsi="仿宋" w:eastAsia="仿宋" w:cs="仿宋"/>
          <w:szCs w:val="21"/>
          <w:lang w:val="zh-CN"/>
        </w:rPr>
        <w:t>技术规格偏离表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_Toc4378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_Toc30539 </w:instrText>
      </w:r>
      <w:r>
        <w:rPr>
          <w:rFonts w:hint="eastAsia" w:ascii="仿宋" w:hAnsi="仿宋" w:eastAsia="仿宋" w:cs="仿宋"/>
          <w:szCs w:val="21"/>
        </w:rPr>
        <w:fldChar w:fldCharType="separate"/>
      </w:r>
      <w:r>
        <w:rPr>
          <w:rFonts w:hint="eastAsia" w:ascii="仿宋" w:hAnsi="仿宋" w:eastAsia="仿宋" w:cs="仿宋"/>
          <w:szCs w:val="32"/>
          <w:lang w:val="zh-CN"/>
        </w:rPr>
        <w:t>七、</w:t>
      </w:r>
      <w:r>
        <w:rPr>
          <w:rFonts w:hint="eastAsia" w:ascii="仿宋" w:hAnsi="仿宋" w:eastAsia="仿宋" w:cs="仿宋"/>
          <w:szCs w:val="32"/>
        </w:rPr>
        <w:t>拟投入本项目的主要负责人简历表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_Toc30539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_Toc6386 </w:instrText>
      </w:r>
      <w:r>
        <w:rPr>
          <w:rFonts w:hint="eastAsia" w:ascii="仿宋" w:hAnsi="仿宋" w:eastAsia="仿宋" w:cs="仿宋"/>
          <w:szCs w:val="21"/>
        </w:rPr>
        <w:fldChar w:fldCharType="separate"/>
      </w:r>
      <w:r>
        <w:rPr>
          <w:rFonts w:hint="eastAsia" w:ascii="仿宋" w:hAnsi="仿宋" w:eastAsia="仿宋" w:cs="仿宋"/>
          <w:szCs w:val="32"/>
          <w:lang w:val="zh-CN"/>
        </w:rPr>
        <w:t>八、参与本项目主要人员表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_Toc6386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_Toc25405 </w:instrText>
      </w:r>
      <w:r>
        <w:rPr>
          <w:rFonts w:hint="eastAsia" w:ascii="仿宋" w:hAnsi="仿宋" w:eastAsia="仿宋" w:cs="仿宋"/>
          <w:szCs w:val="21"/>
        </w:rPr>
        <w:fldChar w:fldCharType="separate"/>
      </w:r>
      <w:r>
        <w:rPr>
          <w:rFonts w:hint="eastAsia" w:ascii="仿宋" w:hAnsi="仿宋" w:eastAsia="仿宋" w:cs="仿宋"/>
          <w:szCs w:val="21"/>
          <w:highlight w:val="none"/>
          <w:lang w:eastAsia="zh-CN"/>
        </w:rPr>
        <w:t>九、</w:t>
      </w:r>
      <w:r>
        <w:rPr>
          <w:rFonts w:hint="eastAsia" w:ascii="仿宋" w:hAnsi="仿宋" w:eastAsia="仿宋" w:cs="仿宋"/>
          <w:szCs w:val="32"/>
          <w:lang w:eastAsia="zh-CN"/>
        </w:rPr>
        <w:t>服务内容及方案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_Toc25405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_Toc13000 </w:instrText>
      </w:r>
      <w:r>
        <w:rPr>
          <w:rFonts w:hint="eastAsia" w:ascii="仿宋" w:hAnsi="仿宋" w:eastAsia="仿宋" w:cs="仿宋"/>
          <w:szCs w:val="21"/>
        </w:rPr>
        <w:fldChar w:fldCharType="separate"/>
      </w:r>
      <w:r>
        <w:rPr>
          <w:rFonts w:hint="eastAsia" w:ascii="仿宋" w:hAnsi="仿宋" w:eastAsia="仿宋" w:cs="仿宋"/>
          <w:szCs w:val="32"/>
          <w:highlight w:val="none"/>
          <w:lang w:val="en-US" w:eastAsia="zh-CN"/>
        </w:rPr>
        <w:t>十</w:t>
      </w:r>
      <w:r>
        <w:rPr>
          <w:rFonts w:hint="eastAsia" w:ascii="仿宋" w:hAnsi="仿宋" w:eastAsia="仿宋" w:cs="仿宋"/>
          <w:szCs w:val="32"/>
          <w:highlight w:val="none"/>
        </w:rPr>
        <w:t>、</w:t>
      </w:r>
      <w:r>
        <w:rPr>
          <w:rFonts w:hint="eastAsia" w:ascii="仿宋" w:hAnsi="仿宋" w:eastAsia="仿宋" w:cs="仿宋"/>
          <w:szCs w:val="32"/>
          <w:lang w:eastAsia="zh-CN"/>
        </w:rPr>
        <w:t>履约能力</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_Toc13000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_Toc17491 </w:instrText>
      </w:r>
      <w:r>
        <w:rPr>
          <w:rFonts w:hint="eastAsia" w:ascii="仿宋" w:hAnsi="仿宋" w:eastAsia="仿宋" w:cs="仿宋"/>
          <w:szCs w:val="21"/>
        </w:rPr>
        <w:fldChar w:fldCharType="separate"/>
      </w:r>
      <w:r>
        <w:rPr>
          <w:rFonts w:hint="eastAsia" w:ascii="仿宋" w:hAnsi="仿宋" w:eastAsia="仿宋" w:cs="仿宋"/>
          <w:szCs w:val="32"/>
          <w:highlight w:val="none"/>
          <w:lang w:val="en-US" w:eastAsia="zh-CN"/>
        </w:rPr>
        <w:t>十一、售后服务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_Toc17491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_Toc11487 </w:instrText>
      </w:r>
      <w:r>
        <w:rPr>
          <w:rFonts w:hint="eastAsia" w:ascii="仿宋" w:hAnsi="仿宋" w:eastAsia="仿宋" w:cs="仿宋"/>
          <w:szCs w:val="21"/>
        </w:rPr>
        <w:fldChar w:fldCharType="separate"/>
      </w:r>
      <w:r>
        <w:rPr>
          <w:rFonts w:hint="eastAsia" w:ascii="仿宋" w:hAnsi="仿宋" w:eastAsia="仿宋" w:cs="仿宋"/>
          <w:szCs w:val="28"/>
          <w:lang w:val="zh-CN"/>
        </w:rPr>
        <w:t>十二、近年业绩的有关证明材料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_Toc11487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_Toc676 </w:instrText>
      </w:r>
      <w:r>
        <w:rPr>
          <w:rFonts w:hint="eastAsia" w:ascii="仿宋" w:hAnsi="仿宋" w:eastAsia="仿宋" w:cs="仿宋"/>
          <w:szCs w:val="21"/>
        </w:rPr>
        <w:fldChar w:fldCharType="separate"/>
      </w:r>
      <w:r>
        <w:rPr>
          <w:rFonts w:hint="eastAsia" w:ascii="仿宋" w:hAnsi="仿宋" w:eastAsia="仿宋" w:cs="仿宋"/>
          <w:szCs w:val="24"/>
          <w:lang w:val="zh-CN"/>
        </w:rPr>
        <w:t>十</w:t>
      </w:r>
      <w:r>
        <w:rPr>
          <w:rFonts w:hint="eastAsia" w:ascii="仿宋" w:hAnsi="仿宋" w:eastAsia="仿宋" w:cs="仿宋"/>
          <w:szCs w:val="24"/>
          <w:lang w:eastAsia="zh-CN"/>
        </w:rPr>
        <w:t>三</w:t>
      </w:r>
      <w:r>
        <w:rPr>
          <w:rFonts w:hint="eastAsia" w:ascii="仿宋" w:hAnsi="仿宋" w:eastAsia="仿宋" w:cs="仿宋"/>
          <w:szCs w:val="24"/>
          <w:lang w:val="zh-CN"/>
        </w:rPr>
        <w:t>、供应商企业关系关联承诺书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_Toc676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_Toc24136 </w:instrText>
      </w:r>
      <w:r>
        <w:rPr>
          <w:rFonts w:hint="eastAsia" w:ascii="仿宋" w:hAnsi="仿宋" w:eastAsia="仿宋" w:cs="仿宋"/>
          <w:szCs w:val="21"/>
        </w:rPr>
        <w:fldChar w:fldCharType="separate"/>
      </w:r>
      <w:r>
        <w:rPr>
          <w:rFonts w:hint="eastAsia" w:ascii="仿宋" w:hAnsi="仿宋" w:eastAsia="仿宋" w:cs="仿宋"/>
          <w:szCs w:val="15"/>
          <w:lang w:val="zh-CN"/>
        </w:rPr>
        <w:t>十</w:t>
      </w:r>
      <w:r>
        <w:rPr>
          <w:rFonts w:hint="eastAsia" w:ascii="仿宋" w:hAnsi="仿宋" w:eastAsia="仿宋" w:cs="仿宋"/>
          <w:szCs w:val="15"/>
          <w:lang w:eastAsia="zh-CN"/>
        </w:rPr>
        <w:t>四</w:t>
      </w:r>
      <w:r>
        <w:rPr>
          <w:rFonts w:hint="eastAsia" w:ascii="仿宋" w:hAnsi="仿宋" w:eastAsia="仿宋" w:cs="仿宋"/>
          <w:szCs w:val="15"/>
          <w:lang w:val="zh-CN"/>
        </w:rPr>
        <w:t>、供应商廉洁自律承诺书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_Toc24136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tabs>
          <w:tab w:val="right" w:leader="dot" w:pos="8504"/>
        </w:tabs>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_Toc21230 </w:instrText>
      </w:r>
      <w:r>
        <w:rPr>
          <w:rFonts w:hint="eastAsia" w:ascii="仿宋" w:hAnsi="仿宋" w:eastAsia="仿宋" w:cs="仿宋"/>
          <w:szCs w:val="21"/>
        </w:rPr>
        <w:fldChar w:fldCharType="separate"/>
      </w:r>
      <w:r>
        <w:rPr>
          <w:rFonts w:hint="eastAsia" w:ascii="仿宋" w:hAnsi="仿宋" w:eastAsia="仿宋" w:cs="仿宋"/>
          <w:szCs w:val="15"/>
          <w:lang w:val="zh-CN"/>
        </w:rPr>
        <w:t>十</w:t>
      </w:r>
      <w:r>
        <w:rPr>
          <w:rFonts w:hint="eastAsia" w:ascii="仿宋" w:hAnsi="仿宋" w:eastAsia="仿宋" w:cs="仿宋"/>
          <w:szCs w:val="15"/>
          <w:lang w:eastAsia="zh-CN"/>
        </w:rPr>
        <w:t>五</w:t>
      </w:r>
      <w:r>
        <w:rPr>
          <w:rFonts w:hint="eastAsia" w:ascii="仿宋" w:hAnsi="仿宋" w:eastAsia="仿宋" w:cs="仿宋"/>
          <w:szCs w:val="15"/>
          <w:lang w:val="zh-CN"/>
        </w:rPr>
        <w:t>、供应商认为有必要补充说明的事项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_Toc21230 \h </w:instrText>
      </w:r>
      <w:r>
        <w:rPr>
          <w:rFonts w:hint="eastAsia" w:ascii="仿宋" w:hAnsi="仿宋" w:eastAsia="仿宋" w:cs="仿宋"/>
        </w:rPr>
        <w:fldChar w:fldCharType="separate"/>
      </w:r>
      <w:r>
        <w:rPr>
          <w:rFonts w:hint="eastAsia" w:ascii="仿宋" w:hAnsi="仿宋" w:eastAsia="仿宋" w:cs="仿宋"/>
        </w:rPr>
        <w:t>62</w:t>
      </w:r>
      <w:r>
        <w:rPr>
          <w:rFonts w:hint="eastAsia" w:ascii="仿宋" w:hAnsi="仿宋" w:eastAsia="仿宋" w:cs="仿宋"/>
        </w:rPr>
        <w:fldChar w:fldCharType="end"/>
      </w:r>
      <w:r>
        <w:rPr>
          <w:rFonts w:hint="eastAsia" w:ascii="仿宋" w:hAnsi="仿宋" w:eastAsia="仿宋" w:cs="仿宋"/>
          <w:color w:val="auto"/>
          <w:szCs w:val="21"/>
        </w:rPr>
        <w:fldChar w:fldCharType="end"/>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color w:val="auto"/>
          <w:szCs w:val="21"/>
        </w:rPr>
        <w:sectPr>
          <w:headerReference r:id="rId3" w:type="default"/>
          <w:pgSz w:w="11906" w:h="16838"/>
          <w:pgMar w:top="1417" w:right="1701" w:bottom="1417" w:left="1701" w:header="851" w:footer="992" w:gutter="0"/>
          <w:pgNumType w:fmt="decimal"/>
          <w:cols w:space="0" w:num="1"/>
          <w:rtlGutter w:val="0"/>
          <w:docGrid w:linePitch="312" w:charSpace="0"/>
        </w:sect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color w:val="auto"/>
          <w:sz w:val="32"/>
          <w:szCs w:val="32"/>
          <w:lang w:val="zh-CN"/>
        </w:rPr>
      </w:pPr>
      <w:r>
        <w:rPr>
          <w:rFonts w:hint="eastAsia" w:ascii="仿宋" w:hAnsi="仿宋" w:eastAsia="仿宋" w:cs="仿宋"/>
          <w:color w:val="auto"/>
          <w:szCs w:val="21"/>
        </w:rPr>
        <w:fldChar w:fldCharType="end"/>
      </w:r>
      <w:bookmarkStart w:id="0" w:name="_Toc11850"/>
      <w:bookmarkStart w:id="1" w:name="_Toc28369"/>
      <w:bookmarkStart w:id="2" w:name="_Toc28176"/>
      <w:bookmarkStart w:id="3" w:name="_Toc26276"/>
      <w:r>
        <w:rPr>
          <w:rFonts w:hint="eastAsia" w:ascii="宋体" w:hAnsi="宋体" w:cs="宋体"/>
          <w:b/>
          <w:color w:val="auto"/>
          <w:sz w:val="32"/>
          <w:szCs w:val="32"/>
          <w:lang w:val="zh-CN"/>
        </w:rPr>
        <w:t>第一部分   竞争性磋商公告</w:t>
      </w:r>
      <w:bookmarkEnd w:id="0"/>
      <w:bookmarkEnd w:id="1"/>
      <w:bookmarkEnd w:id="2"/>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outlineLvl w:val="9"/>
        <w:rPr>
          <w:rFonts w:hint="eastAsia" w:ascii="仿宋" w:hAnsi="仿宋" w:eastAsia="仿宋" w:cs="仿宋"/>
          <w:b w:val="0"/>
          <w:bCs/>
          <w:sz w:val="24"/>
          <w:szCs w:val="24"/>
        </w:rPr>
      </w:pPr>
      <w:bookmarkStart w:id="4" w:name="_Toc495681375"/>
      <w:bookmarkStart w:id="5" w:name="_Toc21600"/>
      <w:bookmarkStart w:id="6" w:name="_Toc495681502"/>
      <w:bookmarkStart w:id="7" w:name="_Toc26240"/>
      <w:bookmarkStart w:id="8" w:name="_Toc22995"/>
      <w:bookmarkStart w:id="9" w:name="_Toc11530"/>
      <w:bookmarkStart w:id="10" w:name="_Toc16236"/>
      <w:bookmarkStart w:id="11" w:name="_Toc495681221"/>
      <w:bookmarkStart w:id="12" w:name="_Toc27498"/>
      <w:bookmarkStart w:id="13" w:name="_Toc10932"/>
      <w:bookmarkStart w:id="14" w:name="_Toc10158"/>
      <w:bookmarkStart w:id="15" w:name="_Toc22093"/>
      <w:bookmarkStart w:id="16" w:name="_Toc32562"/>
      <w:bookmarkStart w:id="17" w:name="_Toc18611"/>
      <w:bookmarkStart w:id="18" w:name="_Toc16644"/>
      <w:r>
        <w:rPr>
          <w:rStyle w:val="26"/>
          <w:rFonts w:hint="eastAsia" w:ascii="仿宋" w:hAnsi="仿宋" w:eastAsia="仿宋" w:cs="仿宋"/>
          <w:b w:val="0"/>
          <w:bCs/>
          <w:i w:val="0"/>
          <w:iCs w:val="0"/>
          <w:caps w:val="0"/>
          <w:color w:val="333333"/>
          <w:spacing w:val="0"/>
          <w:sz w:val="24"/>
          <w:szCs w:val="24"/>
          <w:shd w:val="clear" w:fill="FFFFFF"/>
          <w:vertAlign w:val="baseline"/>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outlineLvl w:val="9"/>
        <w:rPr>
          <w:rFonts w:hint="eastAsia" w:ascii="仿宋" w:hAnsi="仿宋" w:eastAsia="仿宋" w:cs="仿宋"/>
          <w:b w:val="0"/>
          <w:bCs/>
          <w:i w:val="0"/>
          <w:iCs w:val="0"/>
          <w:caps w:val="0"/>
          <w:color w:val="333333"/>
          <w:spacing w:val="0"/>
          <w:sz w:val="24"/>
          <w:szCs w:val="24"/>
          <w:shd w:val="clear" w:fill="FFFFFF"/>
          <w:vertAlign w:val="baseline"/>
        </w:rPr>
      </w:pPr>
      <w:r>
        <w:rPr>
          <w:rFonts w:hint="eastAsia" w:ascii="仿宋" w:hAnsi="仿宋" w:eastAsia="仿宋" w:cs="仿宋"/>
          <w:b w:val="0"/>
          <w:bCs/>
          <w:i w:val="0"/>
          <w:iCs w:val="0"/>
          <w:caps w:val="0"/>
          <w:color w:val="333333"/>
          <w:spacing w:val="0"/>
          <w:sz w:val="24"/>
          <w:szCs w:val="24"/>
          <w:shd w:val="clear" w:fill="FFFFFF"/>
          <w:vertAlign w:val="baseline"/>
          <w:lang w:val="en-US" w:eastAsia="zh-CN"/>
        </w:rPr>
        <w:t>西安市第九医院移动X线床头机维保项目（二次）</w:t>
      </w:r>
      <w:r>
        <w:rPr>
          <w:rFonts w:hint="eastAsia" w:ascii="仿宋" w:hAnsi="仿宋" w:eastAsia="仿宋" w:cs="仿宋"/>
          <w:b w:val="0"/>
          <w:bCs/>
          <w:i w:val="0"/>
          <w:iCs w:val="0"/>
          <w:caps w:val="0"/>
          <w:color w:val="333333"/>
          <w:spacing w:val="0"/>
          <w:sz w:val="24"/>
          <w:szCs w:val="24"/>
          <w:shd w:val="clear" w:fill="FFFFFF"/>
          <w:vertAlign w:val="baseline"/>
        </w:rPr>
        <w:t>的潜在</w:t>
      </w:r>
      <w:r>
        <w:rPr>
          <w:rFonts w:hint="eastAsia" w:ascii="仿宋" w:hAnsi="仿宋" w:eastAsia="仿宋" w:cs="仿宋"/>
          <w:b w:val="0"/>
          <w:bCs/>
          <w:i w:val="0"/>
          <w:iCs w:val="0"/>
          <w:caps w:val="0"/>
          <w:color w:val="333333"/>
          <w:spacing w:val="0"/>
          <w:sz w:val="24"/>
          <w:szCs w:val="24"/>
          <w:shd w:val="clear" w:fill="FFFFFF"/>
          <w:vertAlign w:val="baseline"/>
          <w:lang w:eastAsia="zh-CN"/>
        </w:rPr>
        <w:t>供应商</w:t>
      </w:r>
      <w:r>
        <w:rPr>
          <w:rFonts w:hint="eastAsia" w:ascii="仿宋" w:hAnsi="仿宋" w:eastAsia="仿宋" w:cs="仿宋"/>
          <w:b w:val="0"/>
          <w:bCs/>
          <w:i w:val="0"/>
          <w:iCs w:val="0"/>
          <w:caps w:val="0"/>
          <w:color w:val="333333"/>
          <w:spacing w:val="0"/>
          <w:sz w:val="24"/>
          <w:szCs w:val="24"/>
          <w:shd w:val="clear" w:fill="FFFFFF"/>
          <w:vertAlign w:val="baseline"/>
        </w:rPr>
        <w:t>应在西安经济技术开发区凤城十一路与文景路十字文景商务广场B座8层获取采购文件，并于 2022年</w:t>
      </w:r>
      <w:r>
        <w:rPr>
          <w:rFonts w:hint="eastAsia" w:ascii="仿宋" w:hAnsi="仿宋" w:eastAsia="仿宋" w:cs="仿宋"/>
          <w:b w:val="0"/>
          <w:bCs/>
          <w:i w:val="0"/>
          <w:iCs w:val="0"/>
          <w:caps w:val="0"/>
          <w:color w:val="333333"/>
          <w:spacing w:val="0"/>
          <w:sz w:val="24"/>
          <w:szCs w:val="24"/>
          <w:shd w:val="clear" w:fill="FFFFFF"/>
          <w:vertAlign w:val="baseline"/>
          <w:lang w:val="en-US" w:eastAsia="zh-CN"/>
        </w:rPr>
        <w:t>10</w:t>
      </w:r>
      <w:r>
        <w:rPr>
          <w:rFonts w:hint="eastAsia" w:ascii="仿宋" w:hAnsi="仿宋" w:eastAsia="仿宋" w:cs="仿宋"/>
          <w:b w:val="0"/>
          <w:bCs/>
          <w:i w:val="0"/>
          <w:iCs w:val="0"/>
          <w:caps w:val="0"/>
          <w:color w:val="333333"/>
          <w:spacing w:val="0"/>
          <w:sz w:val="24"/>
          <w:szCs w:val="24"/>
          <w:shd w:val="clear" w:fill="FFFFFF"/>
          <w:vertAlign w:val="baseline"/>
        </w:rPr>
        <w:t>月</w:t>
      </w:r>
      <w:r>
        <w:rPr>
          <w:rFonts w:hint="eastAsia" w:ascii="仿宋" w:hAnsi="仿宋" w:eastAsia="仿宋" w:cs="仿宋"/>
          <w:b w:val="0"/>
          <w:bCs/>
          <w:i w:val="0"/>
          <w:iCs w:val="0"/>
          <w:caps w:val="0"/>
          <w:color w:val="333333"/>
          <w:spacing w:val="0"/>
          <w:sz w:val="24"/>
          <w:szCs w:val="24"/>
          <w:shd w:val="clear" w:fill="FFFFFF"/>
          <w:vertAlign w:val="baseline"/>
          <w:lang w:val="en-US" w:eastAsia="zh-CN"/>
        </w:rPr>
        <w:t>20</w:t>
      </w:r>
      <w:r>
        <w:rPr>
          <w:rFonts w:hint="eastAsia" w:ascii="仿宋" w:hAnsi="仿宋" w:eastAsia="仿宋" w:cs="仿宋"/>
          <w:b w:val="0"/>
          <w:bCs/>
          <w:i w:val="0"/>
          <w:iCs w:val="0"/>
          <w:caps w:val="0"/>
          <w:color w:val="333333"/>
          <w:spacing w:val="0"/>
          <w:sz w:val="24"/>
          <w:szCs w:val="24"/>
          <w:shd w:val="clear" w:fill="FFFFFF"/>
          <w:vertAlign w:val="baseline"/>
        </w:rPr>
        <w:t>日</w:t>
      </w:r>
      <w:r>
        <w:rPr>
          <w:rFonts w:hint="eastAsia" w:ascii="仿宋" w:hAnsi="仿宋" w:eastAsia="仿宋" w:cs="仿宋"/>
          <w:b w:val="0"/>
          <w:bCs/>
          <w:i w:val="0"/>
          <w:iCs w:val="0"/>
          <w:caps w:val="0"/>
          <w:color w:val="333333"/>
          <w:spacing w:val="0"/>
          <w:sz w:val="24"/>
          <w:szCs w:val="24"/>
          <w:shd w:val="clear" w:fill="FFFFFF"/>
          <w:vertAlign w:val="baseline"/>
          <w:lang w:val="en-US" w:eastAsia="zh-CN"/>
        </w:rPr>
        <w:t>09</w:t>
      </w:r>
      <w:r>
        <w:rPr>
          <w:rFonts w:hint="eastAsia" w:ascii="仿宋" w:hAnsi="仿宋" w:eastAsia="仿宋" w:cs="仿宋"/>
          <w:b w:val="0"/>
          <w:bCs/>
          <w:i w:val="0"/>
          <w:iCs w:val="0"/>
          <w:caps w:val="0"/>
          <w:color w:val="333333"/>
          <w:spacing w:val="0"/>
          <w:sz w:val="24"/>
          <w:szCs w:val="24"/>
          <w:shd w:val="clear" w:fill="FFFFFF"/>
          <w:vertAlign w:val="baseline"/>
        </w:rPr>
        <w:t>时</w:t>
      </w:r>
      <w:r>
        <w:rPr>
          <w:rFonts w:hint="eastAsia" w:ascii="仿宋" w:hAnsi="仿宋" w:eastAsia="仿宋" w:cs="仿宋"/>
          <w:b w:val="0"/>
          <w:bCs/>
          <w:i w:val="0"/>
          <w:iCs w:val="0"/>
          <w:caps w:val="0"/>
          <w:color w:val="333333"/>
          <w:spacing w:val="0"/>
          <w:sz w:val="24"/>
          <w:szCs w:val="24"/>
          <w:shd w:val="clear" w:fill="FFFFFF"/>
          <w:vertAlign w:val="baseline"/>
          <w:lang w:val="en-US" w:eastAsia="zh-CN"/>
        </w:rPr>
        <w:t>30</w:t>
      </w:r>
      <w:r>
        <w:rPr>
          <w:rFonts w:hint="eastAsia" w:ascii="仿宋" w:hAnsi="仿宋" w:eastAsia="仿宋" w:cs="仿宋"/>
          <w:b w:val="0"/>
          <w:bCs/>
          <w:i w:val="0"/>
          <w:iCs w:val="0"/>
          <w:caps w:val="0"/>
          <w:color w:val="333333"/>
          <w:spacing w:val="0"/>
          <w:sz w:val="24"/>
          <w:szCs w:val="24"/>
          <w:shd w:val="clear" w:fill="FFFFFF"/>
          <w:vertAlign w:val="baseline"/>
        </w:rPr>
        <w:t>分 （北京时间）前递交</w:t>
      </w:r>
      <w:r>
        <w:rPr>
          <w:rFonts w:hint="eastAsia" w:ascii="仿宋" w:hAnsi="仿宋" w:eastAsia="仿宋" w:cs="仿宋"/>
          <w:b w:val="0"/>
          <w:bCs/>
          <w:i w:val="0"/>
          <w:iCs w:val="0"/>
          <w:caps w:val="0"/>
          <w:color w:val="333333"/>
          <w:spacing w:val="0"/>
          <w:sz w:val="24"/>
          <w:szCs w:val="24"/>
          <w:shd w:val="clear" w:fill="FFFFFF"/>
          <w:vertAlign w:val="baseline"/>
          <w:lang w:eastAsia="zh-CN"/>
        </w:rPr>
        <w:t>响应</w:t>
      </w:r>
      <w:r>
        <w:rPr>
          <w:rFonts w:hint="eastAsia" w:ascii="仿宋" w:hAnsi="仿宋" w:eastAsia="仿宋" w:cs="仿宋"/>
          <w:b w:val="0"/>
          <w:bCs/>
          <w:i w:val="0"/>
          <w:iCs w:val="0"/>
          <w:caps w:val="0"/>
          <w:color w:val="333333"/>
          <w:spacing w:val="0"/>
          <w:sz w:val="24"/>
          <w:szCs w:val="24"/>
          <w:shd w:val="clear" w:fill="FFFFFF"/>
          <w:vertAlign w:val="baseline"/>
        </w:rPr>
        <w:t>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outlineLvl w:val="9"/>
        <w:rPr>
          <w:rFonts w:hint="eastAsia" w:ascii="仿宋" w:hAnsi="仿宋" w:eastAsia="仿宋" w:cs="仿宋"/>
          <w:b/>
          <w:bCs w:val="0"/>
          <w:i w:val="0"/>
          <w:iCs w:val="0"/>
          <w:caps w:val="0"/>
          <w:color w:val="333333"/>
          <w:spacing w:val="0"/>
          <w:sz w:val="24"/>
          <w:szCs w:val="24"/>
          <w:shd w:val="clear" w:fill="FFFFFF"/>
          <w:vertAlign w:val="baseline"/>
        </w:rPr>
      </w:pPr>
      <w:r>
        <w:rPr>
          <w:rFonts w:hint="eastAsia" w:ascii="仿宋" w:hAnsi="仿宋" w:eastAsia="仿宋" w:cs="仿宋"/>
          <w:b/>
          <w:bCs w:val="0"/>
          <w:i w:val="0"/>
          <w:iCs w:val="0"/>
          <w:caps w:val="0"/>
          <w:color w:val="333333"/>
          <w:spacing w:val="0"/>
          <w:sz w:val="24"/>
          <w:szCs w:val="24"/>
          <w:shd w:val="clear" w:fill="FFFFFF"/>
          <w:vertAlign w:val="baseline"/>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outlineLvl w:val="9"/>
        <w:rPr>
          <w:rFonts w:hint="default" w:ascii="仿宋" w:hAnsi="仿宋" w:eastAsia="仿宋" w:cs="仿宋"/>
          <w:b w:val="0"/>
          <w:bCs/>
          <w:i w:val="0"/>
          <w:iCs w:val="0"/>
          <w:caps w:val="0"/>
          <w:color w:val="333333"/>
          <w:spacing w:val="0"/>
          <w:sz w:val="24"/>
          <w:szCs w:val="24"/>
          <w:shd w:val="clear" w:fill="FFFFFF"/>
          <w:vertAlign w:val="baseline"/>
          <w:lang w:val="en-US" w:eastAsia="zh-CN"/>
        </w:rPr>
      </w:pPr>
      <w:r>
        <w:rPr>
          <w:rFonts w:hint="eastAsia" w:ascii="仿宋" w:hAnsi="仿宋" w:eastAsia="仿宋" w:cs="仿宋"/>
          <w:b w:val="0"/>
          <w:bCs/>
          <w:i w:val="0"/>
          <w:iCs w:val="0"/>
          <w:caps w:val="0"/>
          <w:color w:val="333333"/>
          <w:spacing w:val="0"/>
          <w:sz w:val="24"/>
          <w:szCs w:val="24"/>
          <w:shd w:val="clear" w:fill="FFFFFF"/>
          <w:vertAlign w:val="baseline"/>
        </w:rPr>
        <w:t>项目编号：</w:t>
      </w:r>
      <w:r>
        <w:rPr>
          <w:rFonts w:hint="eastAsia" w:ascii="仿宋" w:hAnsi="仿宋" w:eastAsia="仿宋" w:cs="仿宋"/>
          <w:b w:val="0"/>
          <w:bCs/>
          <w:i w:val="0"/>
          <w:iCs w:val="0"/>
          <w:caps w:val="0"/>
          <w:color w:val="333333"/>
          <w:spacing w:val="0"/>
          <w:sz w:val="24"/>
          <w:szCs w:val="24"/>
          <w:shd w:val="clear" w:fill="FFFFFF"/>
          <w:vertAlign w:val="baseline"/>
          <w:lang w:val="en-US" w:eastAsia="zh-CN"/>
        </w:rPr>
        <w:t>DX2022-148-1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outlineLvl w:val="9"/>
        <w:rPr>
          <w:rFonts w:hint="eastAsia" w:ascii="仿宋" w:hAnsi="仿宋" w:eastAsia="仿宋" w:cs="仿宋"/>
          <w:b w:val="0"/>
          <w:bCs/>
          <w:i w:val="0"/>
          <w:iCs w:val="0"/>
          <w:caps w:val="0"/>
          <w:color w:val="333333"/>
          <w:spacing w:val="0"/>
          <w:sz w:val="24"/>
          <w:szCs w:val="24"/>
          <w:shd w:val="clear" w:fill="FFFFFF"/>
          <w:vertAlign w:val="baseline"/>
          <w:lang w:eastAsia="zh-CN"/>
        </w:rPr>
      </w:pPr>
      <w:r>
        <w:rPr>
          <w:rFonts w:hint="eastAsia" w:ascii="仿宋" w:hAnsi="仿宋" w:eastAsia="仿宋" w:cs="仿宋"/>
          <w:b w:val="0"/>
          <w:bCs/>
          <w:i w:val="0"/>
          <w:iCs w:val="0"/>
          <w:caps w:val="0"/>
          <w:color w:val="333333"/>
          <w:spacing w:val="0"/>
          <w:sz w:val="24"/>
          <w:szCs w:val="24"/>
          <w:shd w:val="clear" w:fill="FFFFFF"/>
          <w:vertAlign w:val="baseline"/>
        </w:rPr>
        <w:t>项目名称：</w:t>
      </w:r>
      <w:r>
        <w:rPr>
          <w:rFonts w:hint="eastAsia" w:ascii="仿宋" w:hAnsi="仿宋" w:eastAsia="仿宋" w:cs="仿宋"/>
          <w:b w:val="0"/>
          <w:bCs/>
          <w:i w:val="0"/>
          <w:iCs w:val="0"/>
          <w:caps w:val="0"/>
          <w:color w:val="333333"/>
          <w:spacing w:val="0"/>
          <w:sz w:val="24"/>
          <w:szCs w:val="24"/>
          <w:shd w:val="clear" w:fill="FFFFFF"/>
          <w:vertAlign w:val="baseline"/>
          <w:lang w:eastAsia="zh-CN"/>
        </w:rPr>
        <w:t>西安市第九医院移动X线床头机维保项目（二次）</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outlineLvl w:val="9"/>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rPr>
        <w:t>采购方式：</w:t>
      </w:r>
      <w:r>
        <w:rPr>
          <w:rFonts w:hint="eastAsia" w:ascii="仿宋" w:hAnsi="仿宋" w:eastAsia="仿宋" w:cs="仿宋"/>
          <w:i w:val="0"/>
          <w:iCs w:val="0"/>
          <w:caps w:val="0"/>
          <w:color w:val="333333"/>
          <w:spacing w:val="0"/>
          <w:sz w:val="24"/>
          <w:szCs w:val="24"/>
          <w:shd w:val="clear" w:fill="FFFFFF"/>
          <w:vertAlign w:val="baseline"/>
          <w:lang w:eastAsia="zh-CN"/>
        </w:rPr>
        <w:t>竞争性磋商</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预算金额：</w:t>
      </w:r>
      <w:r>
        <w:rPr>
          <w:rFonts w:hint="eastAsia" w:ascii="仿宋" w:hAnsi="仿宋" w:eastAsia="仿宋" w:cs="仿宋"/>
          <w:i w:val="0"/>
          <w:iCs w:val="0"/>
          <w:caps w:val="0"/>
          <w:color w:val="333333"/>
          <w:spacing w:val="0"/>
          <w:sz w:val="24"/>
          <w:szCs w:val="24"/>
          <w:shd w:val="clear" w:fill="FFFFFF"/>
          <w:vertAlign w:val="baseline"/>
          <w:lang w:val="en-US" w:eastAsia="zh-CN"/>
        </w:rPr>
        <w:t>850000.00</w:t>
      </w:r>
      <w:r>
        <w:rPr>
          <w:rFonts w:hint="eastAsia" w:ascii="仿宋" w:hAnsi="仿宋" w:eastAsia="仿宋" w:cs="仿宋"/>
          <w:i w:val="0"/>
          <w:iCs w:val="0"/>
          <w:caps w:val="0"/>
          <w:color w:val="333333"/>
          <w:spacing w:val="0"/>
          <w:sz w:val="24"/>
          <w:szCs w:val="24"/>
          <w:shd w:val="clear" w:fill="FFFFFF"/>
          <w:vertAlign w:val="baseline"/>
        </w:rPr>
        <w:t>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val="en-US" w:eastAsia="zh-CN"/>
        </w:rPr>
        <w:t>移动式数字摄影X线系统维保服务</w:t>
      </w:r>
      <w:r>
        <w:rPr>
          <w:rFonts w:hint="eastAsia" w:ascii="仿宋" w:hAnsi="仿宋" w:eastAsia="仿宋" w:cs="仿宋"/>
          <w:i w:val="0"/>
          <w:iCs w:val="0"/>
          <w:caps w:val="0"/>
          <w:color w:val="333333"/>
          <w:spacing w:val="0"/>
          <w:sz w:val="24"/>
          <w:szCs w:val="24"/>
          <w:shd w:val="clear" w:fill="FFFFFF"/>
          <w:vertAlign w:val="baseline"/>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合同包预算金额：</w:t>
      </w:r>
      <w:r>
        <w:rPr>
          <w:rFonts w:hint="eastAsia" w:ascii="仿宋" w:hAnsi="仿宋" w:eastAsia="仿宋" w:cs="仿宋"/>
          <w:i w:val="0"/>
          <w:iCs w:val="0"/>
          <w:caps w:val="0"/>
          <w:color w:val="333333"/>
          <w:spacing w:val="0"/>
          <w:sz w:val="24"/>
          <w:szCs w:val="24"/>
          <w:shd w:val="clear" w:fill="FFFFFF"/>
          <w:vertAlign w:val="baseline"/>
          <w:lang w:val="en-US" w:eastAsia="zh-CN"/>
        </w:rPr>
        <w:t>850000.00</w:t>
      </w:r>
      <w:r>
        <w:rPr>
          <w:rFonts w:hint="eastAsia" w:ascii="仿宋" w:hAnsi="仿宋" w:eastAsia="仿宋" w:cs="仿宋"/>
          <w:i w:val="0"/>
          <w:iCs w:val="0"/>
          <w:caps w:val="0"/>
          <w:color w:val="333333"/>
          <w:spacing w:val="0"/>
          <w:sz w:val="24"/>
          <w:szCs w:val="24"/>
          <w:shd w:val="clear" w:fill="FFFFFF"/>
          <w:vertAlign w:val="baseline"/>
        </w:rPr>
        <w:t>元</w:t>
      </w:r>
    </w:p>
    <w:tbl>
      <w:tblPr>
        <w:tblStyle w:val="23"/>
        <w:tblpPr w:leftFromText="180" w:rightFromText="180" w:vertAnchor="text" w:horzAnchor="page" w:tblpX="1562" w:tblpY="194"/>
        <w:tblOverlap w:val="never"/>
        <w:tblW w:w="9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1303"/>
        <w:gridCol w:w="1574"/>
        <w:gridCol w:w="1124"/>
        <w:gridCol w:w="2543"/>
        <w:gridCol w:w="1440"/>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blHeader/>
        </w:trPr>
        <w:tc>
          <w:tcPr>
            <w:tcW w:w="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品目号</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品目名称</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采购标的</w:t>
            </w:r>
          </w:p>
        </w:tc>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数量（单位）</w:t>
            </w:r>
          </w:p>
        </w:tc>
        <w:tc>
          <w:tcPr>
            <w:tcW w:w="2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品目预算(元)</w:t>
            </w:r>
          </w:p>
        </w:tc>
        <w:tc>
          <w:tcPr>
            <w:tcW w:w="9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医疗设备维修和保养服务</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移动X线床头机维保</w:t>
            </w:r>
          </w:p>
        </w:tc>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3(年)</w:t>
            </w:r>
          </w:p>
        </w:tc>
        <w:tc>
          <w:tcPr>
            <w:tcW w:w="2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sz w:val="24"/>
                <w:szCs w:val="24"/>
              </w:rPr>
            </w:pPr>
            <w:r>
              <w:rPr>
                <w:rFonts w:hint="eastAsia" w:ascii="仿宋" w:hAnsi="仿宋" w:eastAsia="仿宋" w:cs="仿宋"/>
                <w:sz w:val="24"/>
                <w:szCs w:val="24"/>
              </w:rPr>
              <w:t>850,000.00</w:t>
            </w:r>
          </w:p>
        </w:tc>
        <w:tc>
          <w:tcPr>
            <w:tcW w:w="9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本合</w:t>
      </w:r>
      <w:r>
        <w:rPr>
          <w:rFonts w:hint="eastAsia" w:ascii="仿宋" w:hAnsi="仿宋" w:eastAsia="仿宋" w:cs="仿宋"/>
          <w:i w:val="0"/>
          <w:iCs w:val="0"/>
          <w:caps w:val="0"/>
          <w:color w:val="333333"/>
          <w:spacing w:val="0"/>
          <w:sz w:val="24"/>
          <w:szCs w:val="24"/>
          <w:highlight w:val="none"/>
          <w:shd w:val="clear" w:fill="FFFFFF"/>
          <w:vertAlign w:val="baseline"/>
        </w:rPr>
        <w:t>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合同履行期限：无</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aps w:val="0"/>
          <w:color w:val="333333"/>
          <w:spacing w:val="0"/>
          <w:sz w:val="24"/>
          <w:szCs w:val="24"/>
          <w:shd w:val="clear" w:fill="FFFFFF"/>
          <w:vertAlign w:val="baseline"/>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1.满足《中华人民共和国政府釆购法》第二十二条规定;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2.落实政府采购政策需满足的资格要求：</w:t>
      </w:r>
    </w:p>
    <w:p>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val="en-US" w:eastAsia="zh-CN"/>
        </w:rPr>
        <w:t>移动式数字摄影X线系统维保服务</w:t>
      </w:r>
      <w:r>
        <w:rPr>
          <w:rFonts w:hint="eastAsia" w:ascii="仿宋" w:hAnsi="仿宋" w:eastAsia="仿宋" w:cs="仿宋"/>
          <w:i w:val="0"/>
          <w:iCs w:val="0"/>
          <w:caps w:val="0"/>
          <w:color w:val="333333"/>
          <w:spacing w:val="0"/>
          <w:sz w:val="24"/>
          <w:szCs w:val="24"/>
          <w:shd w:val="clear" w:fill="FFFFFF"/>
          <w:vertAlign w:val="baseline"/>
        </w:rPr>
        <w:t>)落实政府采购政策需满足的资格要求如下:</w:t>
      </w:r>
      <w:r>
        <w:rPr>
          <w:rFonts w:hint="eastAsia" w:ascii="仿宋" w:hAnsi="仿宋" w:eastAsia="仿宋" w:cs="仿宋"/>
          <w:b/>
          <w:bCs/>
          <w:i w:val="0"/>
          <w:iCs w:val="0"/>
          <w:caps w:val="0"/>
          <w:color w:val="333333"/>
          <w:spacing w:val="0"/>
          <w:sz w:val="24"/>
          <w:szCs w:val="24"/>
          <w:shd w:val="clear" w:fill="FFFFFF"/>
          <w:vertAlign w:val="baseline"/>
          <w:lang w:val="en-US" w:eastAsia="zh-CN"/>
        </w:rPr>
        <w:t>专门面向中小企业采购项目</w:t>
      </w:r>
    </w:p>
    <w:p>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3.本项目的特定资格要求：</w:t>
      </w:r>
    </w:p>
    <w:p>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合同包1(</w:t>
      </w:r>
      <w:r>
        <w:rPr>
          <w:rFonts w:hint="eastAsia" w:ascii="仿宋" w:hAnsi="仿宋" w:eastAsia="仿宋" w:cs="仿宋"/>
          <w:i w:val="0"/>
          <w:iCs w:val="0"/>
          <w:caps w:val="0"/>
          <w:color w:val="333333"/>
          <w:spacing w:val="0"/>
          <w:sz w:val="24"/>
          <w:szCs w:val="24"/>
          <w:shd w:val="clear" w:fill="FFFFFF"/>
          <w:vertAlign w:val="baseline"/>
          <w:lang w:val="en-US" w:eastAsia="zh-CN"/>
        </w:rPr>
        <w:t>移动式数字摄影X线系统维保服务</w:t>
      </w:r>
      <w:r>
        <w:rPr>
          <w:rFonts w:hint="eastAsia" w:ascii="仿宋" w:hAnsi="仿宋" w:eastAsia="仿宋" w:cs="仿宋"/>
          <w:i w:val="0"/>
          <w:iCs w:val="0"/>
          <w:caps w:val="0"/>
          <w:color w:val="333333"/>
          <w:spacing w:val="0"/>
          <w:sz w:val="24"/>
          <w:szCs w:val="24"/>
          <w:shd w:val="clear" w:fill="FFFFFF"/>
          <w:vertAlign w:val="baseline"/>
        </w:rPr>
        <w:t>)特定资格要求如下:</w:t>
      </w:r>
    </w:p>
    <w:p>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eastAsia="zh-CN"/>
        </w:rPr>
        <w:t>（</w:t>
      </w:r>
      <w:r>
        <w:rPr>
          <w:rFonts w:hint="eastAsia" w:ascii="仿宋" w:hAnsi="仿宋" w:eastAsia="仿宋" w:cs="仿宋"/>
          <w:i w:val="0"/>
          <w:iCs w:val="0"/>
          <w:caps w:val="0"/>
          <w:color w:val="333333"/>
          <w:spacing w:val="0"/>
          <w:sz w:val="24"/>
          <w:szCs w:val="24"/>
          <w:shd w:val="clear" w:fill="FFFFFF"/>
          <w:vertAlign w:val="baseline"/>
          <w:lang w:val="en-US" w:eastAsia="zh-CN"/>
        </w:rPr>
        <w:t>1</w:t>
      </w:r>
      <w:r>
        <w:rPr>
          <w:rFonts w:hint="eastAsia" w:ascii="仿宋" w:hAnsi="仿宋" w:eastAsia="仿宋" w:cs="仿宋"/>
          <w:i w:val="0"/>
          <w:iCs w:val="0"/>
          <w:caps w:val="0"/>
          <w:color w:val="333333"/>
          <w:spacing w:val="0"/>
          <w:sz w:val="24"/>
          <w:szCs w:val="24"/>
          <w:shd w:val="clear" w:fill="FFFFFF"/>
          <w:vertAlign w:val="baseline"/>
          <w:lang w:eastAsia="zh-CN"/>
        </w:rPr>
        <w:t>）</w:t>
      </w:r>
      <w:r>
        <w:rPr>
          <w:rFonts w:hint="eastAsia" w:ascii="仿宋" w:hAnsi="仿宋" w:eastAsia="仿宋" w:cs="仿宋"/>
          <w:i w:val="0"/>
          <w:iCs w:val="0"/>
          <w:caps w:val="0"/>
          <w:color w:val="333333"/>
          <w:spacing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333333"/>
          <w:spacing w:val="0"/>
          <w:sz w:val="24"/>
          <w:szCs w:val="24"/>
          <w:shd w:val="clear" w:fill="FFFFFF"/>
          <w:vertAlign w:val="baseline"/>
          <w:lang w:eastAsia="zh-CN"/>
        </w:rPr>
        <w:t>磋商</w:t>
      </w:r>
      <w:r>
        <w:rPr>
          <w:rFonts w:hint="eastAsia" w:ascii="仿宋" w:hAnsi="仿宋" w:eastAsia="仿宋" w:cs="仿宋"/>
          <w:i w:val="0"/>
          <w:iCs w:val="0"/>
          <w:caps w:val="0"/>
          <w:color w:val="333333"/>
          <w:spacing w:val="0"/>
          <w:sz w:val="24"/>
          <w:szCs w:val="24"/>
          <w:shd w:val="clear" w:fill="FFFFFF"/>
          <w:vertAlign w:val="baseline"/>
        </w:rPr>
        <w:t>截止前六个月内任意一个月养老保险缴纳证明（法人参加只需提供法定代表人身份证明）；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eastAsia="zh-CN"/>
        </w:rPr>
        <w:t>（</w:t>
      </w:r>
      <w:r>
        <w:rPr>
          <w:rFonts w:hint="eastAsia" w:ascii="仿宋" w:hAnsi="仿宋" w:eastAsia="仿宋" w:cs="仿宋"/>
          <w:i w:val="0"/>
          <w:iCs w:val="0"/>
          <w:caps w:val="0"/>
          <w:color w:val="333333"/>
          <w:spacing w:val="0"/>
          <w:sz w:val="24"/>
          <w:szCs w:val="24"/>
          <w:shd w:val="clear" w:fill="FFFFFF"/>
          <w:vertAlign w:val="baseline"/>
          <w:lang w:val="en-US" w:eastAsia="zh-CN"/>
        </w:rPr>
        <w:t>2</w:t>
      </w:r>
      <w:r>
        <w:rPr>
          <w:rFonts w:hint="eastAsia" w:ascii="仿宋" w:hAnsi="仿宋" w:eastAsia="仿宋" w:cs="仿宋"/>
          <w:i w:val="0"/>
          <w:iCs w:val="0"/>
          <w:caps w:val="0"/>
          <w:color w:val="333333"/>
          <w:spacing w:val="0"/>
          <w:sz w:val="24"/>
          <w:szCs w:val="24"/>
          <w:shd w:val="clear" w:fill="FFFFFF"/>
          <w:vertAlign w:val="baseline"/>
          <w:lang w:eastAsia="zh-CN"/>
        </w:rPr>
        <w:t>）</w:t>
      </w:r>
      <w:r>
        <w:rPr>
          <w:rFonts w:hint="eastAsia" w:ascii="仿宋" w:hAnsi="仿宋" w:eastAsia="仿宋" w:cs="仿宋"/>
          <w:i w:val="0"/>
          <w:iCs w:val="0"/>
          <w:caps w:val="0"/>
          <w:color w:val="333333"/>
          <w:spacing w:val="0"/>
          <w:sz w:val="24"/>
          <w:szCs w:val="24"/>
          <w:shd w:val="clear" w:fill="FFFFFF"/>
          <w:vertAlign w:val="baseline"/>
        </w:rPr>
        <w:t>符合《财政部关于在政府采购活动中查询及使用信用记录有关问题的通知》（财库【2016】125号）文件中信用查询的要求；（此项由采购人与采购代理单位在开标时查询，以现场查询为准）；</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aps w:val="0"/>
          <w:color w:val="333333"/>
          <w:spacing w:val="0"/>
          <w:sz w:val="24"/>
          <w:szCs w:val="24"/>
          <w:shd w:val="clear" w:fill="FFFFFF"/>
          <w:vertAlign w:val="baseline"/>
        </w:rPr>
        <w:t>三、获取</w:t>
      </w:r>
      <w:r>
        <w:rPr>
          <w:rFonts w:hint="eastAsia" w:ascii="仿宋" w:hAnsi="仿宋" w:eastAsia="仿宋" w:cs="仿宋"/>
          <w:b/>
          <w:bCs/>
          <w:i w:val="0"/>
          <w:iCs w:val="0"/>
          <w:caps w:val="0"/>
          <w:color w:val="333333"/>
          <w:spacing w:val="0"/>
          <w:sz w:val="24"/>
          <w:szCs w:val="24"/>
          <w:shd w:val="clear" w:fill="FFFFFF"/>
          <w:vertAlign w:val="baseline"/>
          <w:lang w:eastAsia="zh-CN"/>
        </w:rPr>
        <w:t>采购</w:t>
      </w:r>
      <w:r>
        <w:rPr>
          <w:rFonts w:hint="eastAsia" w:ascii="仿宋" w:hAnsi="仿宋" w:eastAsia="仿宋" w:cs="仿宋"/>
          <w:b/>
          <w:bCs/>
          <w:i w:val="0"/>
          <w:iCs w:val="0"/>
          <w:caps w:val="0"/>
          <w:color w:val="333333"/>
          <w:spacing w:val="0"/>
          <w:sz w:val="24"/>
          <w:szCs w:val="24"/>
          <w:shd w:val="clear" w:fill="FFFFFF"/>
          <w:vertAlign w:val="baseline"/>
        </w:rPr>
        <w:t>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rPr>
        <w:t>时间： 2022年</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09</w:t>
      </w:r>
      <w:r>
        <w:rPr>
          <w:rFonts w:hint="eastAsia" w:ascii="仿宋" w:hAnsi="仿宋" w:eastAsia="仿宋" w:cs="仿宋"/>
          <w:i w:val="0"/>
          <w:iCs w:val="0"/>
          <w:caps w:val="0"/>
          <w:color w:val="333333"/>
          <w:spacing w:val="0"/>
          <w:sz w:val="24"/>
          <w:szCs w:val="24"/>
          <w:shd w:val="clear" w:fill="FFFFFF"/>
          <w:vertAlign w:val="baseline"/>
        </w:rPr>
        <w:t>日 至 2022年</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14</w:t>
      </w:r>
      <w:r>
        <w:rPr>
          <w:rFonts w:hint="eastAsia" w:ascii="仿宋" w:hAnsi="仿宋" w:eastAsia="仿宋" w:cs="仿宋"/>
          <w:i w:val="0"/>
          <w:iCs w:val="0"/>
          <w:caps w:val="0"/>
          <w:color w:val="333333"/>
          <w:spacing w:val="0"/>
          <w:sz w:val="24"/>
          <w:szCs w:val="24"/>
          <w:shd w:val="clear" w:fill="FFFFFF"/>
          <w:vertAlign w:val="baseline"/>
        </w:rPr>
        <w:t>日 ，每天上午 09:00:00 至 12:00:00 ，下午 14:00:00 至 17:00:00 （北京时间,法定节假日除外）</w:t>
      </w:r>
      <w:r>
        <w:rPr>
          <w:rFonts w:hint="eastAsia" w:ascii="仿宋" w:hAnsi="仿宋" w:eastAsia="仿宋" w:cs="仿宋"/>
          <w:i w:val="0"/>
          <w:iCs w:val="0"/>
          <w:caps w:val="0"/>
          <w:color w:val="333333"/>
          <w:spacing w:val="0"/>
          <w:sz w:val="24"/>
          <w:szCs w:val="24"/>
          <w:shd w:val="clear" w:fill="FFFFFF"/>
          <w:vertAlign w:val="baseline"/>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地点：西安经济技术开发区凤城十一路与文景路十字文景商务广场B座8层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方式：现场获取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售价：</w:t>
      </w:r>
      <w:r>
        <w:rPr>
          <w:rFonts w:hint="eastAsia" w:ascii="仿宋" w:hAnsi="仿宋" w:eastAsia="仿宋" w:cs="仿宋"/>
          <w:i w:val="0"/>
          <w:iCs w:val="0"/>
          <w:caps w:val="0"/>
          <w:color w:val="333333"/>
          <w:spacing w:val="0"/>
          <w:sz w:val="24"/>
          <w:szCs w:val="24"/>
          <w:highlight w:val="none"/>
          <w:shd w:val="clear" w:fill="FFFFFF"/>
          <w:vertAlign w:val="baseline"/>
          <w:lang w:eastAsia="zh-CN"/>
        </w:rPr>
        <w:t>免费获取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b/>
          <w:bCs/>
          <w:i w:val="0"/>
          <w:iCs w:val="0"/>
          <w:caps w:val="0"/>
          <w:color w:val="333333"/>
          <w:spacing w:val="0"/>
          <w:sz w:val="24"/>
          <w:szCs w:val="24"/>
          <w:shd w:val="clear" w:fill="FFFFFF"/>
          <w:vertAlign w:val="baseline"/>
          <w:lang w:eastAsia="zh-CN"/>
        </w:rPr>
        <w:t>四、</w:t>
      </w:r>
      <w:r>
        <w:rPr>
          <w:rFonts w:hint="eastAsia" w:ascii="仿宋" w:hAnsi="仿宋" w:eastAsia="仿宋" w:cs="仿宋"/>
          <w:b/>
          <w:bCs/>
          <w:i w:val="0"/>
          <w:iCs w:val="0"/>
          <w:caps w:val="0"/>
          <w:color w:val="333333"/>
          <w:spacing w:val="0"/>
          <w:sz w:val="24"/>
          <w:szCs w:val="24"/>
          <w:highlight w:val="none"/>
          <w:shd w:val="clear" w:fill="FFFFFF"/>
          <w:vertAlign w:val="baseline"/>
          <w:lang w:eastAsia="zh-CN"/>
        </w:rPr>
        <w:t>响应文件提交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lang w:eastAsia="zh-CN"/>
        </w:rPr>
        <w:t>截止时间：</w:t>
      </w:r>
      <w:r>
        <w:rPr>
          <w:rFonts w:hint="eastAsia" w:ascii="仿宋" w:hAnsi="仿宋" w:eastAsia="仿宋" w:cs="仿宋"/>
          <w:b w:val="0"/>
          <w:bCs/>
          <w:i w:val="0"/>
          <w:iCs w:val="0"/>
          <w:caps w:val="0"/>
          <w:color w:val="333333"/>
          <w:spacing w:val="0"/>
          <w:sz w:val="24"/>
          <w:szCs w:val="24"/>
          <w:highlight w:val="none"/>
          <w:shd w:val="clear" w:fill="FFFFFF"/>
          <w:vertAlign w:val="baseline"/>
        </w:rPr>
        <w:t>2022年</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10</w:t>
      </w:r>
      <w:r>
        <w:rPr>
          <w:rFonts w:hint="eastAsia" w:ascii="仿宋" w:hAnsi="仿宋" w:eastAsia="仿宋" w:cs="仿宋"/>
          <w:b w:val="0"/>
          <w:bCs/>
          <w:i w:val="0"/>
          <w:iCs w:val="0"/>
          <w:caps w:val="0"/>
          <w:color w:val="333333"/>
          <w:spacing w:val="0"/>
          <w:sz w:val="24"/>
          <w:szCs w:val="24"/>
          <w:highlight w:val="none"/>
          <w:shd w:val="clear" w:fill="FFFFFF"/>
          <w:vertAlign w:val="baseline"/>
        </w:rPr>
        <w:t>月</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20</w:t>
      </w:r>
      <w:r>
        <w:rPr>
          <w:rFonts w:hint="eastAsia" w:ascii="仿宋" w:hAnsi="仿宋" w:eastAsia="仿宋" w:cs="仿宋"/>
          <w:b w:val="0"/>
          <w:bCs/>
          <w:i w:val="0"/>
          <w:iCs w:val="0"/>
          <w:caps w:val="0"/>
          <w:color w:val="333333"/>
          <w:spacing w:val="0"/>
          <w:sz w:val="24"/>
          <w:szCs w:val="24"/>
          <w:highlight w:val="none"/>
          <w:shd w:val="clear" w:fill="FFFFFF"/>
          <w:vertAlign w:val="baseline"/>
        </w:rPr>
        <w:t>日</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09</w:t>
      </w:r>
      <w:r>
        <w:rPr>
          <w:rFonts w:hint="eastAsia" w:ascii="仿宋" w:hAnsi="仿宋" w:eastAsia="仿宋" w:cs="仿宋"/>
          <w:b w:val="0"/>
          <w:bCs/>
          <w:i w:val="0"/>
          <w:iCs w:val="0"/>
          <w:caps w:val="0"/>
          <w:color w:val="333333"/>
          <w:spacing w:val="0"/>
          <w:sz w:val="24"/>
          <w:szCs w:val="24"/>
          <w:highlight w:val="none"/>
          <w:shd w:val="clear" w:fill="FFFFFF"/>
          <w:vertAlign w:val="baseline"/>
        </w:rPr>
        <w:t>时</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30</w:t>
      </w:r>
      <w:r>
        <w:rPr>
          <w:rFonts w:hint="eastAsia" w:ascii="仿宋" w:hAnsi="仿宋" w:eastAsia="仿宋" w:cs="仿宋"/>
          <w:b w:val="0"/>
          <w:bCs/>
          <w:i w:val="0"/>
          <w:iCs w:val="0"/>
          <w:caps w:val="0"/>
          <w:color w:val="333333"/>
          <w:spacing w:val="0"/>
          <w:sz w:val="24"/>
          <w:szCs w:val="24"/>
          <w:highlight w:val="none"/>
          <w:shd w:val="clear" w:fill="FFFFFF"/>
          <w:vertAlign w:val="baseline"/>
        </w:rPr>
        <w:t>分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地点：西安经济技术开发区凤城十一路与文景路十字文景商务广场B座8层</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baseline"/>
        <w:rPr>
          <w:rFonts w:hint="eastAsia" w:ascii="仿宋" w:hAnsi="仿宋" w:eastAsia="仿宋" w:cs="仿宋"/>
          <w:b/>
          <w:bCs/>
          <w:i w:val="0"/>
          <w:iCs w:val="0"/>
          <w:caps w:val="0"/>
          <w:color w:val="333333"/>
          <w:spacing w:val="0"/>
          <w:sz w:val="24"/>
          <w:szCs w:val="24"/>
          <w:highlight w:val="none"/>
          <w:shd w:val="clear" w:fill="FFFFFF"/>
          <w:vertAlign w:val="baseline"/>
          <w:lang w:eastAsia="zh-CN"/>
        </w:rPr>
      </w:pPr>
      <w:r>
        <w:rPr>
          <w:rFonts w:hint="eastAsia" w:ascii="仿宋" w:hAnsi="仿宋" w:eastAsia="仿宋" w:cs="仿宋"/>
          <w:b/>
          <w:bCs/>
          <w:i w:val="0"/>
          <w:iCs w:val="0"/>
          <w:caps w:val="0"/>
          <w:color w:val="333333"/>
          <w:spacing w:val="0"/>
          <w:sz w:val="24"/>
          <w:szCs w:val="24"/>
          <w:highlight w:val="none"/>
          <w:shd w:val="clear" w:fill="FFFFFF"/>
          <w:vertAlign w:val="baseline"/>
          <w:lang w:eastAsia="zh-CN"/>
        </w:rPr>
        <w:t>五、开启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highlight w:val="yellow"/>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lang w:eastAsia="zh-CN"/>
        </w:rPr>
        <w:t>时间：</w:t>
      </w:r>
      <w:r>
        <w:rPr>
          <w:rFonts w:hint="eastAsia" w:ascii="仿宋" w:hAnsi="仿宋" w:eastAsia="仿宋" w:cs="仿宋"/>
          <w:b w:val="0"/>
          <w:bCs/>
          <w:i w:val="0"/>
          <w:iCs w:val="0"/>
          <w:caps w:val="0"/>
          <w:color w:val="333333"/>
          <w:spacing w:val="0"/>
          <w:sz w:val="24"/>
          <w:szCs w:val="24"/>
          <w:highlight w:val="none"/>
          <w:shd w:val="clear" w:fill="FFFFFF"/>
          <w:vertAlign w:val="baseline"/>
        </w:rPr>
        <w:t>2022年</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10</w:t>
      </w:r>
      <w:r>
        <w:rPr>
          <w:rFonts w:hint="eastAsia" w:ascii="仿宋" w:hAnsi="仿宋" w:eastAsia="仿宋" w:cs="仿宋"/>
          <w:b w:val="0"/>
          <w:bCs/>
          <w:i w:val="0"/>
          <w:iCs w:val="0"/>
          <w:caps w:val="0"/>
          <w:color w:val="333333"/>
          <w:spacing w:val="0"/>
          <w:sz w:val="24"/>
          <w:szCs w:val="24"/>
          <w:highlight w:val="none"/>
          <w:shd w:val="clear" w:fill="FFFFFF"/>
          <w:vertAlign w:val="baseline"/>
        </w:rPr>
        <w:t>月</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20</w:t>
      </w:r>
      <w:r>
        <w:rPr>
          <w:rFonts w:hint="eastAsia" w:ascii="仿宋" w:hAnsi="仿宋" w:eastAsia="仿宋" w:cs="仿宋"/>
          <w:b w:val="0"/>
          <w:bCs/>
          <w:i w:val="0"/>
          <w:iCs w:val="0"/>
          <w:caps w:val="0"/>
          <w:color w:val="333333"/>
          <w:spacing w:val="0"/>
          <w:sz w:val="24"/>
          <w:szCs w:val="24"/>
          <w:highlight w:val="none"/>
          <w:shd w:val="clear" w:fill="FFFFFF"/>
          <w:vertAlign w:val="baseline"/>
        </w:rPr>
        <w:t>日</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09</w:t>
      </w:r>
      <w:r>
        <w:rPr>
          <w:rFonts w:hint="eastAsia" w:ascii="仿宋" w:hAnsi="仿宋" w:eastAsia="仿宋" w:cs="仿宋"/>
          <w:b w:val="0"/>
          <w:bCs/>
          <w:i w:val="0"/>
          <w:iCs w:val="0"/>
          <w:caps w:val="0"/>
          <w:color w:val="333333"/>
          <w:spacing w:val="0"/>
          <w:sz w:val="24"/>
          <w:szCs w:val="24"/>
          <w:highlight w:val="none"/>
          <w:shd w:val="clear" w:fill="FFFFFF"/>
          <w:vertAlign w:val="baseline"/>
        </w:rPr>
        <w:t>时</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30</w:t>
      </w:r>
      <w:r>
        <w:rPr>
          <w:rFonts w:hint="eastAsia" w:ascii="仿宋" w:hAnsi="仿宋" w:eastAsia="仿宋" w:cs="仿宋"/>
          <w:b w:val="0"/>
          <w:bCs/>
          <w:i w:val="0"/>
          <w:iCs w:val="0"/>
          <w:caps w:val="0"/>
          <w:color w:val="333333"/>
          <w:spacing w:val="0"/>
          <w:sz w:val="24"/>
          <w:szCs w:val="24"/>
          <w:highlight w:val="none"/>
          <w:shd w:val="clear" w:fill="FFFFFF"/>
          <w:vertAlign w:val="baseline"/>
        </w:rPr>
        <w:t>分 </w:t>
      </w:r>
      <w:r>
        <w:rPr>
          <w:rFonts w:hint="eastAsia" w:ascii="仿宋" w:hAnsi="仿宋" w:eastAsia="仿宋" w:cs="仿宋"/>
          <w:b w:val="0"/>
          <w:bCs/>
          <w:i w:val="0"/>
          <w:iCs w:val="0"/>
          <w:caps w:val="0"/>
          <w:color w:val="333333"/>
          <w:spacing w:val="0"/>
          <w:sz w:val="24"/>
          <w:szCs w:val="24"/>
          <w:shd w:val="clear" w:fill="FFFFFF"/>
          <w:vertAlign w:val="baseline"/>
        </w:rPr>
        <w:t> （北京时间）</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baseline"/>
        <w:rPr>
          <w:rFonts w:hint="eastAsia" w:ascii="仿宋" w:hAnsi="仿宋" w:eastAsia="仿宋" w:cs="仿宋"/>
          <w:b/>
          <w:bCs/>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rPr>
        <w:t>地点：西安经济技术开发区凤城十一路与文景路十字文景商务广场B座8层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aps w:val="0"/>
          <w:color w:val="333333"/>
          <w:spacing w:val="0"/>
          <w:sz w:val="24"/>
          <w:szCs w:val="24"/>
          <w:shd w:val="clear" w:fill="FFFFFF"/>
          <w:vertAlign w:val="baseline"/>
          <w:lang w:eastAsia="zh-CN"/>
        </w:rPr>
        <w:t>六</w:t>
      </w:r>
      <w:r>
        <w:rPr>
          <w:rFonts w:hint="eastAsia" w:ascii="仿宋" w:hAnsi="仿宋" w:eastAsia="仿宋" w:cs="仿宋"/>
          <w:b/>
          <w:bCs/>
          <w:i w:val="0"/>
          <w:iCs w:val="0"/>
          <w:caps w:val="0"/>
          <w:color w:val="333333"/>
          <w:spacing w:val="0"/>
          <w:sz w:val="24"/>
          <w:szCs w:val="24"/>
          <w:shd w:val="clear" w:fill="FFFFFF"/>
          <w:vertAlign w:val="baseline"/>
        </w:rPr>
        <w:t>、公告期限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自本公告发布之日起</w:t>
      </w:r>
      <w:r>
        <w:rPr>
          <w:rFonts w:hint="eastAsia" w:ascii="仿宋" w:hAnsi="仿宋" w:eastAsia="仿宋" w:cs="仿宋"/>
          <w:i w:val="0"/>
          <w:iCs w:val="0"/>
          <w:caps w:val="0"/>
          <w:color w:val="333333"/>
          <w:spacing w:val="0"/>
          <w:sz w:val="24"/>
          <w:szCs w:val="24"/>
          <w:shd w:val="clear" w:fill="FFFFFF"/>
          <w:vertAlign w:val="baseline"/>
          <w:lang w:val="en-US" w:eastAsia="zh-CN"/>
        </w:rPr>
        <w:t>3</w:t>
      </w:r>
      <w:r>
        <w:rPr>
          <w:rFonts w:hint="eastAsia" w:ascii="仿宋" w:hAnsi="仿宋" w:eastAsia="仿宋" w:cs="仿宋"/>
          <w:i w:val="0"/>
          <w:iCs w:val="0"/>
          <w:caps w:val="0"/>
          <w:color w:val="333333"/>
          <w:spacing w:val="0"/>
          <w:sz w:val="24"/>
          <w:szCs w:val="24"/>
          <w:shd w:val="clear" w:fill="FFFFFF"/>
          <w:vertAlign w:val="baseline"/>
        </w:rPr>
        <w:t>个工作日。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aps w:val="0"/>
          <w:color w:val="333333"/>
          <w:spacing w:val="0"/>
          <w:sz w:val="24"/>
          <w:szCs w:val="24"/>
          <w:shd w:val="clear" w:fill="FFFFFF"/>
          <w:vertAlign w:val="baseline"/>
          <w:lang w:eastAsia="zh-CN"/>
        </w:rPr>
        <w:t>七</w:t>
      </w:r>
      <w:r>
        <w:rPr>
          <w:rFonts w:hint="eastAsia" w:ascii="仿宋" w:hAnsi="仿宋" w:eastAsia="仿宋" w:cs="仿宋"/>
          <w:b/>
          <w:bCs/>
          <w:i w:val="0"/>
          <w:iCs w:val="0"/>
          <w:caps w:val="0"/>
          <w:color w:val="333333"/>
          <w:spacing w:val="0"/>
          <w:sz w:val="24"/>
          <w:szCs w:val="24"/>
          <w:shd w:val="clear" w:fill="FFFFFF"/>
          <w:vertAlign w:val="baseline"/>
        </w:rPr>
        <w:t>、其他补充事宜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1、领取磋商文件时请携带单位介绍信原件、经办人身份证原件及复印件（均加盖公章）</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2、执行的其他政府采购政策：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（1）《政府采购促进中小企业发展管理办法》财库〔2020〕46号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（2）《财政部 司法部关于政府采购支持监狱企业发展有关问题的通知》财库[2014]68号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（3）《财政部 发展改革委 生态环境部 市场监管总局关于调整优化节能产品、环境标志产品政府采购执行机制的通知》（财库〔2019〕9号）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（4）《财政部 国家发展改革委关于印发〈节能产品政府采购实施意见〉的通知》（财库[2004]185号）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（5）《财政部环保总局关于环境标志产品政府采购实施的意见》财库[2006]90号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（6）《三部门联合发布关于促进残疾人就业政府采购政策的通知》（财库[2017]141号）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（7）《陕西省中小企业政府采购信用融资办法》（陕财办采〔2018〕23号）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（8）《国务院办公厅关于建立政府强制采购节能产品制度的通知》（国办发〔2007〕51号）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（9）《财政部 国务院扶贫办关于运用政府采购政策支持脱贫攻坚的通知》（财库〔2019〕27号）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3、响应文件中凡是需要法定代表人盖章之处，非法人单位的负责人均参照执行。</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4、分支机构参与投标时，响应文件中应附法人出具的授权书。法人只能授权一家分支机构参与磋商，且不能与分支机构同时参与磋商。分支机构须提供自己的资格要求证明文件。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5、供应商如不参与项目磋商，需在递交文件截止时间前一日以书面形式告知项目联系人（邮箱号：2059407584@qq.com),否则采购代理机构将向财政部门反映，供应商一年内累计出现三次该情形，将被监管部门记录为失信被执行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aps w:val="0"/>
          <w:color w:val="333333"/>
          <w:spacing w:val="0"/>
          <w:sz w:val="24"/>
          <w:szCs w:val="24"/>
          <w:shd w:val="clear" w:fill="FFFFFF"/>
          <w:vertAlign w:val="baseline"/>
          <w:lang w:eastAsia="zh-CN"/>
        </w:rPr>
        <w:t>八</w:t>
      </w:r>
      <w:r>
        <w:rPr>
          <w:rFonts w:hint="eastAsia" w:ascii="仿宋" w:hAnsi="仿宋" w:eastAsia="仿宋" w:cs="仿宋"/>
          <w:b/>
          <w:bCs/>
          <w:i w:val="0"/>
          <w:iCs w:val="0"/>
          <w:caps w:val="0"/>
          <w:color w:val="333333"/>
          <w:spacing w:val="0"/>
          <w:sz w:val="24"/>
          <w:szCs w:val="24"/>
          <w:shd w:val="clear" w:fill="FFFFFF"/>
          <w:vertAlign w:val="baseline"/>
        </w:rPr>
        <w:t>、对本次招标提出询问，请按以下方式联系</w:t>
      </w:r>
      <w:r>
        <w:rPr>
          <w:rFonts w:hint="eastAsia" w:ascii="仿宋" w:hAnsi="仿宋" w:eastAsia="仿宋" w:cs="仿宋"/>
          <w:i w:val="0"/>
          <w:iCs w:val="0"/>
          <w:caps w:val="0"/>
          <w:color w:val="333333"/>
          <w:spacing w:val="0"/>
          <w:sz w:val="24"/>
          <w:szCs w:val="24"/>
          <w:shd w:val="clear" w:fill="FFFFFF"/>
          <w:vertAlign w:val="baseline"/>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1.釆购人信息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baseline"/>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名称：西安市第九医院</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地址：</w:t>
      </w:r>
      <w:r>
        <w:rPr>
          <w:rFonts w:hint="eastAsia" w:ascii="仿宋" w:hAnsi="仿宋" w:eastAsia="仿宋" w:cs="仿宋"/>
          <w:sz w:val="24"/>
          <w:szCs w:val="24"/>
          <w:highlight w:val="none"/>
          <w:lang w:eastAsia="zh-CN"/>
        </w:rPr>
        <w:t>西安市南二环东段151号</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联系方式：西安市第九医院经办18991819905</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2.釆购代理机构信息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名称：陕西笃信招标有限公司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地址：西安经济技术开发区凤城十一路与文景路十字文景商务广场B座8层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联系方式：029-86253389</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rPr>
        <w:t>项目联系人：</w:t>
      </w:r>
      <w:r>
        <w:rPr>
          <w:rFonts w:hint="eastAsia" w:ascii="仿宋" w:hAnsi="仿宋" w:eastAsia="仿宋" w:cs="仿宋"/>
          <w:i w:val="0"/>
          <w:iCs w:val="0"/>
          <w:caps w:val="0"/>
          <w:color w:val="333333"/>
          <w:spacing w:val="0"/>
          <w:sz w:val="24"/>
          <w:szCs w:val="24"/>
          <w:shd w:val="clear" w:fill="FFFFFF"/>
          <w:vertAlign w:val="baseline"/>
          <w:lang w:val="en-US" w:eastAsia="zh-CN"/>
        </w:rPr>
        <w:t>郭晨、李纪旋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电话：029-86253389</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right"/>
        <w:textAlignment w:val="baseline"/>
        <w:rPr>
          <w:rFonts w:hint="eastAsia" w:ascii="仿宋" w:hAnsi="仿宋" w:eastAsia="仿宋" w:cs="仿宋"/>
          <w:i w:val="0"/>
          <w:iCs w:val="0"/>
          <w:caps w:val="0"/>
          <w:color w:val="333333"/>
          <w:spacing w:val="0"/>
          <w:sz w:val="24"/>
          <w:szCs w:val="24"/>
          <w:shd w:val="clear" w:fill="FFFFFF"/>
          <w:vertAlign w:val="baseline"/>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right"/>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陕西笃信招标有限公司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right"/>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2022年</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09</w:t>
      </w:r>
      <w:r>
        <w:rPr>
          <w:rFonts w:hint="eastAsia" w:ascii="仿宋" w:hAnsi="仿宋" w:eastAsia="仿宋" w:cs="仿宋"/>
          <w:i w:val="0"/>
          <w:iCs w:val="0"/>
          <w:caps w:val="0"/>
          <w:color w:val="333333"/>
          <w:spacing w:val="0"/>
          <w:sz w:val="24"/>
          <w:szCs w:val="24"/>
          <w:shd w:val="clear" w:fill="FFFFFF"/>
          <w:vertAlign w:val="baseline"/>
        </w:rPr>
        <w:t>日</w:t>
      </w:r>
    </w:p>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outlineLvl w:val="0"/>
        <w:rPr>
          <w:rFonts w:ascii="宋体" w:hAnsi="宋体" w:cs="宋体"/>
          <w:b/>
          <w:color w:val="auto"/>
          <w:sz w:val="32"/>
          <w:szCs w:val="32"/>
          <w:lang w:val="zh-CN"/>
        </w:rPr>
      </w:pPr>
      <w:bookmarkStart w:id="19" w:name="_Toc733"/>
      <w:r>
        <w:rPr>
          <w:rFonts w:hint="eastAsia" w:ascii="宋体" w:hAnsi="宋体" w:cs="宋体"/>
          <w:b/>
          <w:color w:val="auto"/>
          <w:sz w:val="32"/>
          <w:szCs w:val="32"/>
          <w:lang w:val="zh-CN"/>
        </w:rPr>
        <w:t>第二部分</w:t>
      </w:r>
      <w:r>
        <w:rPr>
          <w:rFonts w:hint="eastAsia" w:ascii="宋体" w:hAnsi="宋体" w:cs="宋体"/>
          <w:b/>
          <w:color w:val="auto"/>
          <w:sz w:val="32"/>
          <w:szCs w:val="32"/>
        </w:rPr>
        <w:t xml:space="preserve">   </w:t>
      </w:r>
      <w:r>
        <w:rPr>
          <w:rFonts w:hint="eastAsia" w:ascii="宋体" w:hAnsi="宋体" w:cs="宋体"/>
          <w:b/>
          <w:color w:val="auto"/>
          <w:sz w:val="32"/>
          <w:szCs w:val="32"/>
          <w:lang w:val="zh-CN"/>
        </w:rPr>
        <w:t>竞争性磋商须知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Toc14947"/>
    </w:p>
    <w:p>
      <w:pPr>
        <w:autoSpaceDE w:val="0"/>
        <w:autoSpaceDN w:val="0"/>
        <w:adjustRightInd w:val="0"/>
        <w:spacing w:line="360" w:lineRule="auto"/>
        <w:jc w:val="center"/>
        <w:outlineLvl w:val="1"/>
        <w:rPr>
          <w:rFonts w:ascii="仿宋" w:hAnsi="仿宋" w:eastAsia="仿宋" w:cs="仿宋"/>
          <w:b/>
          <w:bCs/>
          <w:color w:val="auto"/>
          <w:sz w:val="28"/>
          <w:szCs w:val="28"/>
          <w:lang w:val="zh-CN"/>
        </w:rPr>
      </w:pPr>
      <w:bookmarkStart w:id="21" w:name="_Toc24641"/>
      <w:bookmarkStart w:id="22" w:name="_Toc7000"/>
      <w:bookmarkStart w:id="23" w:name="_Toc22065"/>
      <w:bookmarkStart w:id="24" w:name="_Toc25694"/>
      <w:bookmarkStart w:id="25" w:name="_Toc29618"/>
      <w:bookmarkStart w:id="26" w:name="_Toc17430"/>
      <w:bookmarkStart w:id="27" w:name="_Toc14989"/>
      <w:bookmarkStart w:id="28" w:name="_Toc323"/>
      <w:bookmarkStart w:id="29" w:name="_Toc13315"/>
      <w:bookmarkStart w:id="30" w:name="_Toc21427"/>
      <w:bookmarkStart w:id="31" w:name="_Toc24047"/>
      <w:bookmarkStart w:id="32" w:name="_Toc3270"/>
      <w:bookmarkStart w:id="33" w:name="_Toc5591"/>
      <w:r>
        <w:rPr>
          <w:rFonts w:hint="eastAsia" w:ascii="仿宋" w:hAnsi="仿宋" w:eastAsia="仿宋" w:cs="仿宋"/>
          <w:b/>
          <w:bCs/>
          <w:color w:val="auto"/>
          <w:sz w:val="28"/>
          <w:szCs w:val="28"/>
          <w:lang w:val="zh-CN"/>
        </w:rPr>
        <w:t>供应商须知前附表</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23"/>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89"/>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bookmarkStart w:id="34" w:name="_Toc20834"/>
            <w:bookmarkStart w:id="35" w:name="_Toc20605"/>
            <w:bookmarkStart w:id="36" w:name="_Toc21293"/>
            <w:bookmarkStart w:id="37" w:name="_Toc10377"/>
            <w:bookmarkStart w:id="38" w:name="_Toc495681376"/>
            <w:bookmarkStart w:id="39" w:name="_Toc16165"/>
            <w:bookmarkStart w:id="40" w:name="_Toc495908021"/>
            <w:bookmarkStart w:id="41" w:name="_Toc5340"/>
            <w:bookmarkStart w:id="42" w:name="_Toc495681222"/>
            <w:bookmarkStart w:id="43" w:name="_Toc11229"/>
            <w:bookmarkStart w:id="44" w:name="_Toc495681503"/>
            <w:bookmarkStart w:id="45" w:name="_Toc4782"/>
            <w:bookmarkStart w:id="46" w:name="_Toc4172"/>
            <w:bookmarkStart w:id="47" w:name="_Toc30549"/>
            <w:bookmarkStart w:id="48" w:name="_Toc757"/>
            <w:bookmarkStart w:id="49" w:name="_Toc15836"/>
            <w:r>
              <w:rPr>
                <w:rFonts w:hint="eastAsia" w:ascii="仿宋" w:hAnsi="仿宋" w:eastAsia="仿宋" w:cs="仿宋"/>
                <w:color w:val="auto"/>
                <w:sz w:val="24"/>
                <w:szCs w:val="24"/>
              </w:rPr>
              <w:t>条款</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条款名称</w:t>
            </w:r>
          </w:p>
        </w:tc>
        <w:tc>
          <w:tcPr>
            <w:tcW w:w="630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630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西安市第九医院</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highlight w:val="none"/>
                <w:lang w:eastAsia="zh-CN"/>
              </w:rPr>
              <w:t>西安市南二环东段151号</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联系人：</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西安市第九医院经办</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sz w:val="24"/>
                <w:szCs w:val="24"/>
              </w:rPr>
              <w:t>联系电话：</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
              </w:rPr>
              <w:t>18991819905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名称：陕西笃信招标有限公司</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地址：西安经济技术开发区凤城十一路与文景路十字文景商务广场B座8层</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郭晨、李纪旋</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308"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西安市第九医院移动X线床头机维保项目（二次）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磋商文件发售时间</w:t>
            </w:r>
          </w:p>
        </w:tc>
        <w:tc>
          <w:tcPr>
            <w:tcW w:w="6308" w:type="dxa"/>
            <w:vAlign w:val="center"/>
          </w:tcPr>
          <w:p>
            <w:pPr>
              <w:spacing w:line="360" w:lineRule="auto"/>
              <w:jc w:val="both"/>
              <w:rPr>
                <w:rFonts w:ascii="仿宋" w:hAnsi="仿宋" w:eastAsia="仿宋" w:cs="仿宋"/>
                <w:color w:val="C00000"/>
                <w:kern w:val="2"/>
                <w:sz w:val="24"/>
                <w:szCs w:val="24"/>
                <w:lang w:val="en-US" w:eastAsia="zh-CN" w:bidi="ar-SA"/>
              </w:rPr>
            </w:pPr>
            <w:r>
              <w:rPr>
                <w:rFonts w:hint="eastAsia" w:ascii="仿宋" w:hAnsi="仿宋" w:eastAsia="仿宋" w:cs="仿宋"/>
                <w:kern w:val="0"/>
                <w:sz w:val="24"/>
                <w:szCs w:val="24"/>
              </w:rPr>
              <w:t xml:space="preserve"> </w:t>
            </w:r>
            <w:r>
              <w:rPr>
                <w:rFonts w:hint="eastAsia" w:ascii="仿宋" w:hAnsi="仿宋" w:eastAsia="仿宋" w:cs="仿宋"/>
                <w:i w:val="0"/>
                <w:iCs w:val="0"/>
                <w:caps w:val="0"/>
                <w:color w:val="333333"/>
                <w:spacing w:val="0"/>
                <w:sz w:val="24"/>
                <w:szCs w:val="24"/>
                <w:shd w:val="clear" w:fill="FFFFFF"/>
                <w:vertAlign w:val="baseline"/>
              </w:rPr>
              <w:t>2022年</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09</w:t>
            </w:r>
            <w:r>
              <w:rPr>
                <w:rFonts w:hint="eastAsia" w:ascii="仿宋" w:hAnsi="仿宋" w:eastAsia="仿宋" w:cs="仿宋"/>
                <w:i w:val="0"/>
                <w:iCs w:val="0"/>
                <w:caps w:val="0"/>
                <w:color w:val="333333"/>
                <w:spacing w:val="0"/>
                <w:sz w:val="24"/>
                <w:szCs w:val="24"/>
                <w:shd w:val="clear" w:fill="FFFFFF"/>
                <w:vertAlign w:val="baseline"/>
              </w:rPr>
              <w:t>日 至 2022年</w:t>
            </w: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rPr>
              <w:t>月</w:t>
            </w:r>
            <w:r>
              <w:rPr>
                <w:rFonts w:hint="eastAsia" w:ascii="仿宋" w:hAnsi="仿宋" w:eastAsia="仿宋" w:cs="仿宋"/>
                <w:i w:val="0"/>
                <w:iCs w:val="0"/>
                <w:caps w:val="0"/>
                <w:color w:val="333333"/>
                <w:spacing w:val="0"/>
                <w:sz w:val="24"/>
                <w:szCs w:val="24"/>
                <w:shd w:val="clear" w:fill="FFFFFF"/>
                <w:vertAlign w:val="baseline"/>
                <w:lang w:val="en-US" w:eastAsia="zh-CN"/>
              </w:rPr>
              <w:t>14</w:t>
            </w:r>
            <w:r>
              <w:rPr>
                <w:rFonts w:hint="eastAsia" w:ascii="仿宋" w:hAnsi="仿宋" w:eastAsia="仿宋" w:cs="仿宋"/>
                <w:i w:val="0"/>
                <w:iCs w:val="0"/>
                <w:caps w:val="0"/>
                <w:color w:val="333333"/>
                <w:spacing w:val="0"/>
                <w:sz w:val="24"/>
                <w:szCs w:val="24"/>
                <w:shd w:val="clear" w:fill="FFFFFF"/>
                <w:vertAlign w:val="baseline"/>
              </w:rPr>
              <w:t>日 ，每天上午 09:00:00 至 12:00:00 ，下午 14:0</w:t>
            </w:r>
            <w:bookmarkStart w:id="605" w:name="_GoBack"/>
            <w:bookmarkEnd w:id="605"/>
            <w:r>
              <w:rPr>
                <w:rFonts w:hint="eastAsia" w:ascii="仿宋" w:hAnsi="仿宋" w:eastAsia="仿宋" w:cs="仿宋"/>
                <w:i w:val="0"/>
                <w:iCs w:val="0"/>
                <w:caps w:val="0"/>
                <w:color w:val="333333"/>
                <w:spacing w:val="0"/>
                <w:sz w:val="24"/>
                <w:szCs w:val="24"/>
                <w:shd w:val="clear" w:fill="FFFFFF"/>
                <w:vertAlign w:val="baseline"/>
              </w:rPr>
              <w:t>0:00 至 17:00:00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资金来源</w:t>
            </w:r>
          </w:p>
        </w:tc>
        <w:tc>
          <w:tcPr>
            <w:tcW w:w="6308" w:type="dxa"/>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采购预算</w:t>
            </w:r>
          </w:p>
        </w:tc>
        <w:tc>
          <w:tcPr>
            <w:tcW w:w="6308" w:type="dxa"/>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850000.00</w:t>
            </w:r>
            <w:r>
              <w:rPr>
                <w:rFonts w:hint="eastAsia" w:ascii="仿宋" w:hAnsi="仿宋" w:eastAsia="仿宋" w:cs="仿宋"/>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089"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最高限价</w:t>
            </w:r>
          </w:p>
        </w:tc>
        <w:tc>
          <w:tcPr>
            <w:tcW w:w="6308" w:type="dxa"/>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2089" w:type="dxa"/>
            <w:vAlign w:val="center"/>
          </w:tcPr>
          <w:p>
            <w:pPr>
              <w:spacing w:line="360" w:lineRule="auto"/>
              <w:jc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服务期</w:t>
            </w:r>
          </w:p>
        </w:tc>
        <w:tc>
          <w:tcPr>
            <w:tcW w:w="6308" w:type="dxa"/>
            <w:vAlign w:val="center"/>
          </w:tcPr>
          <w:p>
            <w:pPr>
              <w:spacing w:line="360" w:lineRule="auto"/>
              <w:jc w:val="left"/>
              <w:rPr>
                <w:rFonts w:hint="eastAsia" w:ascii="仿宋" w:hAnsi="仿宋" w:eastAsia="仿宋" w:cs="仿宋"/>
                <w:color w:val="auto"/>
                <w:sz w:val="24"/>
                <w:szCs w:val="24"/>
                <w:highlight w:val="yellow"/>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合同签订之日起三年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9</w:t>
            </w:r>
          </w:p>
        </w:tc>
        <w:tc>
          <w:tcPr>
            <w:tcW w:w="2089" w:type="dxa"/>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项目实施地点</w:t>
            </w:r>
          </w:p>
        </w:tc>
        <w:tc>
          <w:tcPr>
            <w:tcW w:w="6308" w:type="dxa"/>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西安市第九医院指定地点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10</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磋商响应文件递交截止时间</w:t>
            </w:r>
          </w:p>
        </w:tc>
        <w:tc>
          <w:tcPr>
            <w:tcW w:w="6308" w:type="dxa"/>
            <w:vAlign w:val="center"/>
          </w:tcPr>
          <w:p>
            <w:pPr>
              <w:snapToGrid w:val="0"/>
              <w:spacing w:line="360" w:lineRule="auto"/>
              <w:rPr>
                <w:rFonts w:ascii="仿宋" w:hAnsi="仿宋" w:eastAsia="仿宋" w:cs="仿宋"/>
                <w:color w:val="auto"/>
                <w:sz w:val="24"/>
                <w:szCs w:val="24"/>
              </w:rPr>
            </w:pPr>
            <w:r>
              <w:rPr>
                <w:rFonts w:hint="eastAsia" w:ascii="仿宋" w:hAnsi="仿宋" w:eastAsia="仿宋" w:cs="仿宋"/>
                <w:b w:val="0"/>
                <w:bCs/>
                <w:i w:val="0"/>
                <w:iCs w:val="0"/>
                <w:caps w:val="0"/>
                <w:color w:val="333333"/>
                <w:spacing w:val="0"/>
                <w:sz w:val="24"/>
                <w:szCs w:val="24"/>
                <w:highlight w:val="none"/>
                <w:shd w:val="clear" w:fill="FFFFFF"/>
                <w:vertAlign w:val="baseline"/>
              </w:rPr>
              <w:t>2022年</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10</w:t>
            </w:r>
            <w:r>
              <w:rPr>
                <w:rFonts w:hint="eastAsia" w:ascii="仿宋" w:hAnsi="仿宋" w:eastAsia="仿宋" w:cs="仿宋"/>
                <w:b w:val="0"/>
                <w:bCs/>
                <w:i w:val="0"/>
                <w:iCs w:val="0"/>
                <w:caps w:val="0"/>
                <w:color w:val="333333"/>
                <w:spacing w:val="0"/>
                <w:sz w:val="24"/>
                <w:szCs w:val="24"/>
                <w:highlight w:val="none"/>
                <w:shd w:val="clear" w:fill="FFFFFF"/>
                <w:vertAlign w:val="baseline"/>
              </w:rPr>
              <w:t>月</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20</w:t>
            </w:r>
            <w:r>
              <w:rPr>
                <w:rFonts w:hint="eastAsia" w:ascii="仿宋" w:hAnsi="仿宋" w:eastAsia="仿宋" w:cs="仿宋"/>
                <w:b w:val="0"/>
                <w:bCs/>
                <w:i w:val="0"/>
                <w:iCs w:val="0"/>
                <w:caps w:val="0"/>
                <w:color w:val="333333"/>
                <w:spacing w:val="0"/>
                <w:sz w:val="24"/>
                <w:szCs w:val="24"/>
                <w:highlight w:val="none"/>
                <w:shd w:val="clear" w:fill="FFFFFF"/>
                <w:vertAlign w:val="baseline"/>
              </w:rPr>
              <w:t>日</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09</w:t>
            </w:r>
            <w:r>
              <w:rPr>
                <w:rFonts w:hint="eastAsia" w:ascii="仿宋" w:hAnsi="仿宋" w:eastAsia="仿宋" w:cs="仿宋"/>
                <w:b w:val="0"/>
                <w:bCs/>
                <w:i w:val="0"/>
                <w:iCs w:val="0"/>
                <w:caps w:val="0"/>
                <w:color w:val="333333"/>
                <w:spacing w:val="0"/>
                <w:sz w:val="24"/>
                <w:szCs w:val="24"/>
                <w:highlight w:val="none"/>
                <w:shd w:val="clear" w:fill="FFFFFF"/>
                <w:vertAlign w:val="baseline"/>
              </w:rPr>
              <w:t>时</w:t>
            </w:r>
            <w:r>
              <w:rPr>
                <w:rFonts w:hint="eastAsia" w:ascii="仿宋" w:hAnsi="仿宋" w:eastAsia="仿宋" w:cs="仿宋"/>
                <w:b w:val="0"/>
                <w:bCs/>
                <w:i w:val="0"/>
                <w:iCs w:val="0"/>
                <w:caps w:val="0"/>
                <w:color w:val="333333"/>
                <w:spacing w:val="0"/>
                <w:sz w:val="24"/>
                <w:szCs w:val="24"/>
                <w:highlight w:val="none"/>
                <w:shd w:val="clear" w:fill="FFFFFF"/>
                <w:vertAlign w:val="baseline"/>
                <w:lang w:val="en-US" w:eastAsia="zh-CN"/>
              </w:rPr>
              <w:t>30</w:t>
            </w:r>
            <w:r>
              <w:rPr>
                <w:rFonts w:hint="eastAsia" w:ascii="仿宋" w:hAnsi="仿宋" w:eastAsia="仿宋" w:cs="仿宋"/>
                <w:b w:val="0"/>
                <w:bCs/>
                <w:i w:val="0"/>
                <w:iCs w:val="0"/>
                <w:caps w:val="0"/>
                <w:color w:val="333333"/>
                <w:spacing w:val="0"/>
                <w:sz w:val="24"/>
                <w:szCs w:val="24"/>
                <w:highlight w:val="none"/>
                <w:shd w:val="clear" w:fill="FFFFFF"/>
                <w:vertAlign w:val="baseline"/>
              </w:rPr>
              <w:t>分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11</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递交磋商响应文件地点</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12</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供应商资格要求</w:t>
            </w:r>
          </w:p>
        </w:tc>
        <w:tc>
          <w:tcPr>
            <w:tcW w:w="6308" w:type="dxa"/>
            <w:vAlign w:val="center"/>
          </w:tcPr>
          <w:p>
            <w:pPr>
              <w:snapToGrid w:val="0"/>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资质要求同磋商公告。</w:t>
            </w:r>
          </w:p>
          <w:p>
            <w:pPr>
              <w:spacing w:line="360" w:lineRule="auto"/>
              <w:ind w:firstLine="480" w:firstLineChars="200"/>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以上资质均为必备资质，</w:t>
            </w:r>
            <w:r>
              <w:rPr>
                <w:rFonts w:hint="eastAsia" w:ascii="仿宋" w:hAnsi="仿宋" w:eastAsia="仿宋" w:cs="仿宋"/>
                <w:bCs/>
                <w:color w:val="auto"/>
                <w:sz w:val="24"/>
                <w:szCs w:val="24"/>
                <w:lang w:val="zh-CN" w:eastAsia="zh-CN"/>
              </w:rPr>
              <w:t>并在响应文件中附资质复印件加盖公章</w:t>
            </w:r>
            <w:r>
              <w:rPr>
                <w:rFonts w:hint="eastAsia" w:ascii="仿宋" w:hAnsi="仿宋" w:eastAsia="仿宋" w:cs="仿宋"/>
                <w:bCs/>
                <w:color w:val="auto"/>
                <w:sz w:val="24"/>
                <w:szCs w:val="24"/>
                <w:lang w:val="zh-CN"/>
              </w:rPr>
              <w:t>。</w:t>
            </w:r>
          </w:p>
          <w:p>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必备资质中</w:t>
            </w:r>
            <w:r>
              <w:rPr>
                <w:rFonts w:hint="eastAsia" w:ascii="仿宋" w:hAnsi="仿宋" w:eastAsia="仿宋" w:cs="仿宋"/>
                <w:bCs/>
                <w:color w:val="auto"/>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磋商响应文件份数</w:t>
            </w:r>
          </w:p>
        </w:tc>
        <w:tc>
          <w:tcPr>
            <w:tcW w:w="6308" w:type="dxa"/>
            <w:vAlign w:val="center"/>
          </w:tcPr>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正本 1份，副本2份，电子版1份（PDF和word文档格式，</w:t>
            </w:r>
            <w:r>
              <w:rPr>
                <w:rFonts w:hint="eastAsia" w:ascii="仿宋" w:hAnsi="仿宋" w:eastAsia="仿宋" w:cs="仿宋"/>
                <w:bCs/>
                <w:color w:val="auto"/>
                <w:sz w:val="24"/>
                <w:szCs w:val="24"/>
                <w:lang w:eastAsia="zh-CN"/>
              </w:rPr>
              <w:t>正版</w:t>
            </w:r>
            <w:r>
              <w:rPr>
                <w:rFonts w:hint="eastAsia" w:ascii="仿宋" w:hAnsi="仿宋" w:eastAsia="仿宋" w:cs="仿宋"/>
                <w:bCs/>
                <w:color w:val="auto"/>
                <w:sz w:val="24"/>
                <w:szCs w:val="24"/>
              </w:rPr>
              <w:t>U盘存储</w:t>
            </w:r>
            <w:r>
              <w:rPr>
                <w:rFonts w:hint="eastAsia" w:ascii="仿宋" w:hAnsi="仿宋" w:eastAsia="仿宋" w:cs="仿宋"/>
                <w:bCs/>
                <w:color w:val="auto"/>
                <w:sz w:val="24"/>
                <w:szCs w:val="24"/>
                <w:lang w:eastAsia="zh-CN"/>
              </w:rPr>
              <w:t>，如因</w:t>
            </w:r>
            <w:r>
              <w:rPr>
                <w:rFonts w:hint="eastAsia" w:ascii="仿宋" w:hAnsi="仿宋" w:eastAsia="仿宋" w:cs="仿宋"/>
                <w:bCs/>
                <w:color w:val="auto"/>
                <w:sz w:val="24"/>
                <w:szCs w:val="24"/>
                <w:lang w:val="en-US" w:eastAsia="zh-CN"/>
              </w:rPr>
              <w:t>U盘问题导致文件无法打开，责任自负</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注：</w:t>
            </w:r>
          </w:p>
          <w:p>
            <w:pPr>
              <w:spacing w:line="360" w:lineRule="auto"/>
              <w:ind w:firstLine="480"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磋商文件中“第五部分</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lang w:eastAsia="zh-CN"/>
              </w:rPr>
              <w:t>四</w:t>
            </w:r>
            <w:r>
              <w:rPr>
                <w:rFonts w:hint="eastAsia" w:ascii="仿宋" w:hAnsi="仿宋" w:eastAsia="仿宋" w:cs="仿宋"/>
                <w:bCs/>
                <w:color w:val="auto"/>
                <w:sz w:val="24"/>
                <w:szCs w:val="24"/>
              </w:rPr>
              <w:t>、供应商资格证明文件</w:t>
            </w:r>
            <w:r>
              <w:rPr>
                <w:rFonts w:hint="eastAsia" w:ascii="仿宋" w:hAnsi="仿宋" w:eastAsia="仿宋" w:cs="仿宋"/>
                <w:bCs/>
                <w:color w:val="auto"/>
                <w:sz w:val="24"/>
                <w:szCs w:val="24"/>
                <w:lang w:eastAsia="zh-CN"/>
              </w:rPr>
              <w:t>”单独胶装成册</w:t>
            </w:r>
            <w:r>
              <w:rPr>
                <w:rFonts w:hint="eastAsia" w:ascii="仿宋" w:hAnsi="仿宋" w:eastAsia="仿宋" w:cs="仿宋"/>
                <w:bCs/>
                <w:color w:val="auto"/>
                <w:sz w:val="24"/>
                <w:szCs w:val="24"/>
                <w:lang w:val="en-US" w:eastAsia="zh-CN"/>
              </w:rPr>
              <w:t>1本</w:t>
            </w:r>
            <w:r>
              <w:rPr>
                <w:rFonts w:hint="eastAsia" w:ascii="仿宋" w:hAnsi="仿宋" w:eastAsia="仿宋" w:cs="仿宋"/>
                <w:bCs/>
                <w:color w:val="auto"/>
                <w:sz w:val="24"/>
                <w:szCs w:val="24"/>
                <w:lang w:eastAsia="zh-CN"/>
              </w:rPr>
              <w:t>，与磋商响应文件正本一同密封。</w:t>
            </w:r>
          </w:p>
          <w:p>
            <w:pPr>
              <w:spacing w:line="360" w:lineRule="auto"/>
              <w:ind w:firstLine="480" w:firstLineChars="200"/>
              <w:jc w:val="left"/>
              <w:rPr>
                <w:rFonts w:hint="default" w:eastAsia="宋体"/>
                <w:lang w:val="en-US" w:eastAsia="zh-CN"/>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单独胶装</w:t>
            </w:r>
            <w:r>
              <w:rPr>
                <w:rFonts w:hint="eastAsia" w:ascii="仿宋" w:hAnsi="仿宋" w:eastAsia="仿宋" w:cs="仿宋"/>
                <w:bCs/>
                <w:color w:val="auto"/>
                <w:sz w:val="24"/>
                <w:szCs w:val="24"/>
                <w:lang w:val="en-US" w:eastAsia="zh-CN"/>
              </w:rPr>
              <w:t>的</w:t>
            </w:r>
            <w:r>
              <w:rPr>
                <w:rFonts w:hint="eastAsia" w:ascii="仿宋" w:hAnsi="仿宋" w:eastAsia="仿宋" w:cs="仿宋"/>
                <w:bCs/>
                <w:color w:val="auto"/>
                <w:sz w:val="24"/>
                <w:szCs w:val="24"/>
              </w:rPr>
              <w:t>供应商资格证明文件</w:t>
            </w:r>
            <w:r>
              <w:rPr>
                <w:rFonts w:hint="eastAsia" w:ascii="仿宋" w:hAnsi="仿宋" w:eastAsia="仿宋" w:cs="仿宋"/>
                <w:bCs/>
                <w:color w:val="auto"/>
                <w:sz w:val="24"/>
                <w:szCs w:val="24"/>
                <w:lang w:val="en-US" w:eastAsia="zh-CN"/>
              </w:rPr>
              <w:t>与响应文件正本中资格不一致时，以响应文件正本为准。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14</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供应商对磋商文件提出质疑的截止时间</w:t>
            </w:r>
          </w:p>
        </w:tc>
        <w:tc>
          <w:tcPr>
            <w:tcW w:w="6308" w:type="dxa"/>
            <w:vAlign w:val="center"/>
          </w:tcPr>
          <w:p>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lang w:val="zh-CN"/>
              </w:rPr>
              <w:t>供应商认为磋商文件、磋商过程、成交结果使自己的权益受到损害的</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可以在知道或者应知其权益受到损害之日起七个工作日内</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以书面形式向采购代理机构提出</w:t>
            </w:r>
            <w:r>
              <w:rPr>
                <w:rFonts w:hint="eastAsia" w:ascii="仿宋" w:hAnsi="仿宋" w:eastAsia="仿宋" w:cs="仿宋"/>
                <w:color w:val="auto"/>
                <w:sz w:val="24"/>
                <w:szCs w:val="24"/>
              </w:rPr>
              <w:t>（同时须将此书面文件电子版一份发送至采购代理机构电子邮箱，电子邮件：</w:t>
            </w:r>
            <w:r>
              <w:rPr>
                <w:rFonts w:hint="eastAsia" w:ascii="仿宋" w:hAnsi="仿宋" w:eastAsia="仿宋" w:cs="仿宋"/>
                <w:color w:val="auto"/>
                <w:sz w:val="24"/>
                <w:szCs w:val="24"/>
                <w:lang w:val="en-US" w:eastAsia="zh-CN"/>
              </w:rPr>
              <w:t>2059407584</w:t>
            </w:r>
            <w:r>
              <w:rPr>
                <w:rFonts w:hint="eastAsia" w:ascii="仿宋" w:hAnsi="仿宋" w:eastAsia="仿宋" w:cs="仿宋"/>
                <w:color w:val="auto"/>
                <w:sz w:val="24"/>
                <w:szCs w:val="24"/>
              </w:rPr>
              <w:t>@qq.com），</w:t>
            </w:r>
            <w:r>
              <w:rPr>
                <w:rFonts w:hint="eastAsia" w:ascii="仿宋" w:hAnsi="仿宋" w:eastAsia="仿宋" w:cs="仿宋"/>
                <w:color w:val="auto"/>
                <w:sz w:val="24"/>
                <w:szCs w:val="24"/>
                <w:lang w:val="zh-CN"/>
              </w:rPr>
              <w:t>采购代理机构将予以答复</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以书面形式发给所有获取磋商文件的供应商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15</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供应商确认收到澄清或者修改的时间</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16</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磋商有效期</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17</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是否接受</w:t>
            </w:r>
          </w:p>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联合体磋商</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18</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答疑会</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208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是否缴纳保证金</w:t>
            </w:r>
          </w:p>
        </w:tc>
        <w:tc>
          <w:tcPr>
            <w:tcW w:w="6308" w:type="dxa"/>
            <w:vAlign w:val="center"/>
          </w:tcPr>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磋商响应文件装订要求</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21</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磋商响应文件的签署要求</w:t>
            </w:r>
          </w:p>
        </w:tc>
        <w:tc>
          <w:tcPr>
            <w:tcW w:w="6308" w:type="dxa"/>
            <w:vAlign w:val="center"/>
          </w:tcPr>
          <w:p>
            <w:pPr>
              <w:spacing w:line="360" w:lineRule="auto"/>
              <w:rPr>
                <w:rFonts w:hint="eastAsia" w:ascii="仿宋" w:hAnsi="仿宋" w:eastAsia="仿宋" w:cs="仿宋"/>
                <w:bCs/>
                <w:color w:val="auto"/>
                <w:sz w:val="24"/>
                <w:szCs w:val="24"/>
              </w:rPr>
            </w:pPr>
            <w:r>
              <w:rPr>
                <w:rFonts w:hint="eastAsia" w:ascii="仿宋" w:hAnsi="仿宋" w:eastAsia="仿宋" w:cs="仿宋"/>
                <w:color w:val="auto"/>
                <w:sz w:val="24"/>
                <w:szCs w:val="24"/>
                <w:lang w:val="zh-CN"/>
              </w:rPr>
              <w:t>磋商响应文件应加盖供应商红色公章</w:t>
            </w:r>
            <w:r>
              <w:rPr>
                <w:rFonts w:hint="eastAsia" w:ascii="仿宋" w:hAnsi="仿宋" w:eastAsia="仿宋" w:cs="仿宋"/>
                <w:bCs/>
                <w:color w:val="auto"/>
                <w:sz w:val="24"/>
                <w:szCs w:val="24"/>
              </w:rPr>
              <w:t>并按照磋商文件要求由法定代表人（</w:t>
            </w:r>
            <w:r>
              <w:rPr>
                <w:rFonts w:hint="eastAsia" w:ascii="仿宋" w:hAnsi="仿宋" w:eastAsia="仿宋" w:cs="仿宋"/>
                <w:bCs/>
                <w:color w:val="auto"/>
                <w:sz w:val="24"/>
                <w:szCs w:val="24"/>
                <w:lang w:eastAsia="zh-CN"/>
              </w:rPr>
              <w:t>或</w:t>
            </w:r>
            <w:r>
              <w:rPr>
                <w:rFonts w:hint="eastAsia" w:ascii="仿宋" w:hAnsi="仿宋" w:eastAsia="仿宋" w:cs="仿宋"/>
                <w:bCs/>
                <w:color w:val="auto"/>
                <w:sz w:val="24"/>
                <w:szCs w:val="24"/>
              </w:rPr>
              <w:t>授权代表人）签字。</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bCs/>
                <w:color w:val="auto"/>
                <w:sz w:val="24"/>
                <w:szCs w:val="24"/>
                <w:lang w:eastAsia="zh-CN"/>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磋商响应文件密封</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（1）供应商应将磋商响应文件的正本、所有副本及电子版文件，用单独的信封分别密封，且在信封上标明“正本”、“副本”、“电子版”字样。</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（2）封套应加封条密封，在封线处加盖公章（骑缝章），封套标明项目编号、项目名称，供应商全称（公章）等内容。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成交公告公示媒体</w:t>
            </w:r>
          </w:p>
        </w:tc>
        <w:tc>
          <w:tcPr>
            <w:tcW w:w="6308"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2" w:hRule="atLeast"/>
          <w:jc w:val="center"/>
        </w:trPr>
        <w:tc>
          <w:tcPr>
            <w:tcW w:w="833" w:type="dxa"/>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成交服务费</w:t>
            </w:r>
          </w:p>
        </w:tc>
        <w:tc>
          <w:tcPr>
            <w:tcW w:w="6308" w:type="dxa"/>
            <w:vAlign w:val="center"/>
          </w:tcPr>
          <w:p>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r>
              <w:rPr>
                <w:rFonts w:hint="eastAsia" w:ascii="仿宋" w:hAnsi="仿宋" w:eastAsia="仿宋" w:cs="仿宋"/>
                <w:color w:val="auto"/>
                <w:sz w:val="24"/>
                <w:szCs w:val="24"/>
                <w:lang w:eastAsia="zh-CN"/>
              </w:rPr>
              <w:t>下浮</w:t>
            </w:r>
            <w:r>
              <w:rPr>
                <w:rFonts w:hint="eastAsia" w:ascii="仿宋" w:hAnsi="仿宋" w:eastAsia="仿宋" w:cs="仿宋"/>
                <w:color w:val="auto"/>
                <w:sz w:val="24"/>
                <w:szCs w:val="24"/>
                <w:lang w:val="en-US" w:eastAsia="zh-CN"/>
              </w:rPr>
              <w:t>20%收取</w:t>
            </w:r>
            <w:r>
              <w:rPr>
                <w:rFonts w:hint="eastAsia" w:ascii="仿宋" w:hAnsi="仿宋" w:eastAsia="仿宋" w:cs="仿宋"/>
                <w:color w:val="auto"/>
                <w:sz w:val="24"/>
                <w:szCs w:val="24"/>
              </w:rPr>
              <w:t>；</w:t>
            </w:r>
          </w:p>
          <w:tbl>
            <w:tblPr>
              <w:tblStyle w:val="23"/>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11"/>
              <w:gridCol w:w="129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4" w:type="dxa"/>
                  <w:vAlign w:val="center"/>
                </w:tcPr>
                <w:p>
                  <w:pPr>
                    <w:spacing w:line="360" w:lineRule="auto"/>
                    <w:ind w:firstLine="720" w:firstLineChars="300"/>
                    <w:jc w:val="center"/>
                    <w:rPr>
                      <w:rFonts w:ascii="仿宋" w:hAnsi="仿宋" w:eastAsia="仿宋" w:cs="仿宋"/>
                      <w:b/>
                      <w:color w:val="auto"/>
                      <w:sz w:val="24"/>
                      <w:szCs w:val="24"/>
                    </w:rPr>
                  </w:pPr>
                  <w:r>
                    <w:rPr>
                      <w:rFonts w:ascii="仿宋" w:hAnsi="仿宋" w:eastAsia="仿宋" w:cs="仿宋"/>
                      <w:color w:val="auto"/>
                      <w:sz w:val="24"/>
                      <w:szCs w:val="24"/>
                    </w:rPr>
                    <w:pict>
                      <v:shape id="_x0000_s2052" o:spid="_x0000_s2052" o:spt="32" type="#_x0000_t32" style="position:absolute;left:0pt;margin-left:-5.4pt;margin-top:1.2pt;height:45.85pt;width:98.35pt;z-index:251664384;mso-width-relative:page;mso-height-relative:page;" filled="f" stroked="t" coordsize="21600,21600">
                        <v:path arrowok="t"/>
                        <v:fill on="f" focussize="0,0"/>
                        <v:stroke color="#000000"/>
                        <v:imagedata o:title=""/>
                        <o:lock v:ext="edit" aspectratio="f"/>
                      </v:shape>
                    </w:pict>
                  </w:r>
                  <w:r>
                    <w:rPr>
                      <w:rFonts w:hint="eastAsia" w:ascii="仿宋" w:hAnsi="仿宋" w:eastAsia="仿宋" w:cs="仿宋"/>
                      <w:b/>
                      <w:color w:val="auto"/>
                      <w:sz w:val="24"/>
                      <w:szCs w:val="24"/>
                    </w:rPr>
                    <w:t>采购类型</w:t>
                  </w:r>
                </w:p>
                <w:p>
                  <w:pPr>
                    <w:spacing w:line="360" w:lineRule="auto"/>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成交</w:t>
                  </w:r>
                  <w:r>
                    <w:rPr>
                      <w:rFonts w:hint="eastAsia" w:ascii="仿宋" w:hAnsi="仿宋" w:eastAsia="仿宋" w:cs="仿宋"/>
                      <w:b/>
                      <w:color w:val="auto"/>
                      <w:sz w:val="24"/>
                      <w:szCs w:val="24"/>
                    </w:rPr>
                    <w:t>金额</w:t>
                  </w:r>
                </w:p>
              </w:tc>
              <w:tc>
                <w:tcPr>
                  <w:tcW w:w="1311"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货物招标</w:t>
                  </w:r>
                </w:p>
              </w:tc>
              <w:tc>
                <w:tcPr>
                  <w:tcW w:w="1294"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服务招标</w:t>
                  </w:r>
                </w:p>
              </w:tc>
              <w:tc>
                <w:tcPr>
                  <w:tcW w:w="1206"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100以下</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100-500</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500-1000</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0.45%</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1000-5000</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5000-10000</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0.1%</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10000-100000</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4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1000000以上</w:t>
                  </w:r>
                </w:p>
              </w:tc>
              <w:tc>
                <w:tcPr>
                  <w:tcW w:w="131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294"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20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r>
          </w:tbl>
          <w:p>
            <w:pPr>
              <w:spacing w:line="360" w:lineRule="auto"/>
              <w:jc w:val="left"/>
              <w:rPr>
                <w:rFonts w:ascii="仿宋" w:hAnsi="仿宋" w:eastAsia="仿宋" w:cs="仿宋"/>
                <w:color w:val="auto"/>
                <w:sz w:val="24"/>
                <w:szCs w:val="24"/>
              </w:rPr>
            </w:pPr>
          </w:p>
        </w:tc>
      </w:tr>
    </w:tbl>
    <w:p>
      <w:pPr>
        <w:pageBreakBefore/>
        <w:spacing w:line="360" w:lineRule="auto"/>
        <w:ind w:firstLine="482" w:firstLineChars="200"/>
        <w:outlineLvl w:val="1"/>
        <w:rPr>
          <w:rFonts w:ascii="仿宋" w:hAnsi="仿宋" w:eastAsia="仿宋" w:cs="仿宋"/>
          <w:b/>
          <w:bCs/>
          <w:color w:val="auto"/>
          <w:sz w:val="24"/>
          <w:szCs w:val="24"/>
          <w:lang w:val="zh-CN"/>
        </w:rPr>
      </w:pPr>
      <w:bookmarkStart w:id="50" w:name="_Toc9052"/>
      <w:r>
        <w:rPr>
          <w:rFonts w:hint="eastAsia" w:ascii="仿宋" w:hAnsi="仿宋" w:eastAsia="仿宋" w:cs="仿宋"/>
          <w:b/>
          <w:bCs/>
          <w:color w:val="auto"/>
          <w:sz w:val="24"/>
          <w:szCs w:val="24"/>
          <w:lang w:val="zh-CN"/>
        </w:rPr>
        <w:t>一、总则</w:t>
      </w:r>
      <w:bookmarkEnd w:id="34"/>
      <w:bookmarkEnd w:id="35"/>
      <w:bookmarkEnd w:id="36"/>
      <w:bookmarkEnd w:id="50"/>
    </w:p>
    <w:p>
      <w:pPr>
        <w:spacing w:line="360" w:lineRule="auto"/>
        <w:ind w:firstLine="482" w:firstLineChars="200"/>
        <w:outlineLvl w:val="2"/>
        <w:rPr>
          <w:rFonts w:ascii="仿宋" w:hAnsi="仿宋" w:eastAsia="仿宋" w:cs="仿宋"/>
          <w:color w:val="auto"/>
          <w:sz w:val="24"/>
          <w:szCs w:val="24"/>
          <w:lang w:val="zh-CN"/>
        </w:rPr>
      </w:pPr>
      <w:bookmarkStart w:id="51" w:name="_Toc18507"/>
      <w:bookmarkStart w:id="52" w:name="_Toc14386"/>
      <w:bookmarkStart w:id="53" w:name="_Toc8852"/>
      <w:bookmarkStart w:id="54" w:name="_Toc12964"/>
      <w:bookmarkStart w:id="55" w:name="_Toc9682"/>
      <w:bookmarkStart w:id="56" w:name="_Toc29110"/>
      <w:bookmarkStart w:id="57" w:name="_Toc13285"/>
      <w:bookmarkStart w:id="58" w:name="_Toc7648"/>
      <w:r>
        <w:rPr>
          <w:rFonts w:hint="eastAsia" w:ascii="仿宋" w:hAnsi="仿宋" w:eastAsia="仿宋" w:cs="仿宋"/>
          <w:b/>
          <w:bCs/>
          <w:color w:val="auto"/>
          <w:sz w:val="24"/>
          <w:szCs w:val="24"/>
          <w:lang w:val="zh-CN"/>
        </w:rPr>
        <w:t>（一）适用范围</w:t>
      </w:r>
      <w:bookmarkEnd w:id="51"/>
      <w:bookmarkEnd w:id="52"/>
      <w:bookmarkEnd w:id="53"/>
      <w:bookmarkEnd w:id="54"/>
      <w:bookmarkEnd w:id="55"/>
      <w:bookmarkEnd w:id="56"/>
      <w:bookmarkEnd w:id="57"/>
      <w:bookmarkEnd w:id="58"/>
    </w:p>
    <w:p>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1、本磋商文件仅适用于本次磋商所述的</w:t>
      </w:r>
      <w:r>
        <w:rPr>
          <w:rFonts w:hint="eastAsia" w:ascii="仿宋" w:hAnsi="仿宋" w:eastAsia="仿宋" w:cs="仿宋"/>
          <w:color w:val="auto"/>
          <w:sz w:val="24"/>
          <w:szCs w:val="24"/>
          <w:lang w:val="en-US" w:eastAsia="zh-CN"/>
        </w:rPr>
        <w:t>西安市第九医院移动X线床头机维保项目（二次）</w:t>
      </w:r>
      <w:r>
        <w:rPr>
          <w:rFonts w:hint="eastAsia" w:ascii="仿宋" w:hAnsi="仿宋" w:eastAsia="仿宋" w:cs="仿宋"/>
          <w:color w:val="auto"/>
          <w:sz w:val="24"/>
          <w:szCs w:val="24"/>
        </w:rPr>
        <w:t>采购活动。</w:t>
      </w:r>
    </w:p>
    <w:p>
      <w:pPr>
        <w:spacing w:line="360" w:lineRule="auto"/>
        <w:ind w:firstLine="482" w:firstLineChars="200"/>
        <w:jc w:val="left"/>
        <w:rPr>
          <w:rFonts w:ascii="仿宋" w:hAnsi="仿宋" w:eastAsia="仿宋" w:cs="仿宋"/>
          <w:b/>
          <w:bCs/>
          <w:color w:val="auto"/>
          <w:sz w:val="24"/>
          <w:szCs w:val="24"/>
          <w:lang w:val="zh-CN"/>
        </w:rPr>
      </w:pPr>
      <w:bookmarkStart w:id="59" w:name="_Toc23631"/>
      <w:bookmarkStart w:id="60" w:name="_Toc30806"/>
      <w:bookmarkStart w:id="61" w:name="_Toc918"/>
      <w:r>
        <w:rPr>
          <w:rFonts w:hint="eastAsia" w:ascii="仿宋" w:hAnsi="仿宋" w:eastAsia="仿宋" w:cs="仿宋"/>
          <w:b/>
          <w:bCs/>
          <w:color w:val="auto"/>
          <w:sz w:val="24"/>
          <w:szCs w:val="24"/>
          <w:lang w:val="zh-CN"/>
        </w:rPr>
        <w:t>（二）名词解释</w:t>
      </w:r>
      <w:bookmarkEnd w:id="37"/>
      <w:bookmarkEnd w:id="38"/>
      <w:bookmarkEnd w:id="39"/>
      <w:bookmarkEnd w:id="40"/>
      <w:bookmarkEnd w:id="41"/>
      <w:bookmarkEnd w:id="42"/>
      <w:bookmarkEnd w:id="43"/>
      <w:bookmarkEnd w:id="44"/>
      <w:bookmarkEnd w:id="45"/>
      <w:bookmarkEnd w:id="46"/>
      <w:bookmarkEnd w:id="47"/>
      <w:bookmarkEnd w:id="48"/>
      <w:bookmarkEnd w:id="49"/>
      <w:bookmarkEnd w:id="59"/>
      <w:bookmarkEnd w:id="60"/>
      <w:bookmarkEnd w:id="61"/>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采购人：西安市第九医院</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监督机构：西安市财政局</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采购代理机构：陕西笃信招标有限公司</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供应商：响应磋商、参加磋商竞争的法人、其他组织或者自然人</w:t>
      </w:r>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磋商文件：含澄清、修改内容的书面资料和磋商响应文件格式的统称。</w:t>
      </w:r>
      <w:bookmarkStart w:id="62" w:name="_Toc26522"/>
      <w:bookmarkStart w:id="63" w:name="_Toc14426"/>
      <w:bookmarkStart w:id="64" w:name="_Toc18166"/>
      <w:bookmarkStart w:id="65" w:name="_Toc16516"/>
      <w:bookmarkStart w:id="66" w:name="_Toc32045"/>
      <w:bookmarkStart w:id="67" w:name="_Toc24840"/>
      <w:bookmarkStart w:id="68" w:name="_Toc495681223"/>
      <w:bookmarkStart w:id="69" w:name="_Toc495908022"/>
      <w:bookmarkStart w:id="70" w:name="_Toc20963"/>
      <w:bookmarkStart w:id="71" w:name="_Toc495681504"/>
      <w:bookmarkStart w:id="72" w:name="_Toc18525"/>
      <w:bookmarkStart w:id="73" w:name="_Toc495681377"/>
      <w:bookmarkStart w:id="74" w:name="_Toc9661"/>
    </w:p>
    <w:p>
      <w:pPr>
        <w:autoSpaceDE w:val="0"/>
        <w:autoSpaceDN w:val="0"/>
        <w:adjustRightInd w:val="0"/>
        <w:snapToGrid w:val="0"/>
        <w:spacing w:line="360" w:lineRule="auto"/>
        <w:ind w:firstLine="482" w:firstLineChars="200"/>
        <w:outlineLvl w:val="1"/>
        <w:rPr>
          <w:rFonts w:ascii="仿宋" w:hAnsi="仿宋" w:eastAsia="仿宋" w:cs="仿宋"/>
          <w:b/>
          <w:bCs/>
          <w:color w:val="auto"/>
          <w:sz w:val="24"/>
          <w:szCs w:val="24"/>
          <w:lang w:val="zh-CN"/>
        </w:rPr>
      </w:pPr>
      <w:bookmarkStart w:id="75" w:name="_Toc25386"/>
      <w:bookmarkStart w:id="76" w:name="_Toc10332"/>
      <w:bookmarkStart w:id="77" w:name="_Toc31469"/>
      <w:bookmarkStart w:id="78" w:name="_Toc29100"/>
      <w:r>
        <w:rPr>
          <w:rFonts w:hint="eastAsia" w:ascii="仿宋" w:hAnsi="仿宋" w:eastAsia="仿宋" w:cs="仿宋"/>
          <w:b/>
          <w:bCs/>
          <w:color w:val="auto"/>
          <w:sz w:val="24"/>
          <w:szCs w:val="24"/>
          <w:lang w:val="zh-CN"/>
        </w:rPr>
        <w:t>二、磋商文件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9"/>
        <w:spacing w:line="360" w:lineRule="auto"/>
        <w:ind w:firstLine="482" w:firstLineChars="200"/>
        <w:jc w:val="both"/>
        <w:rPr>
          <w:color w:val="auto"/>
          <w:lang w:val="zh-CN"/>
        </w:rPr>
      </w:pPr>
      <w:bookmarkStart w:id="79" w:name="_Toc19655"/>
      <w:bookmarkStart w:id="80" w:name="_Toc25426"/>
      <w:bookmarkStart w:id="81" w:name="_Toc100"/>
      <w:bookmarkStart w:id="82" w:name="_Toc13156"/>
      <w:r>
        <w:rPr>
          <w:rFonts w:hint="eastAsia" w:ascii="仿宋" w:hAnsi="仿宋" w:eastAsia="仿宋" w:cs="仿宋"/>
          <w:b/>
          <w:color w:val="auto"/>
          <w:sz w:val="24"/>
          <w:szCs w:val="24"/>
          <w:lang w:val="zh-CN"/>
        </w:rPr>
        <w:t>（一）磋商文件及要求</w:t>
      </w:r>
      <w:bookmarkEnd w:id="79"/>
      <w:bookmarkEnd w:id="80"/>
      <w:bookmarkEnd w:id="81"/>
      <w:bookmarkEnd w:id="82"/>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磋商文件以中文编制，磋商文件包括五部分，各供应商应根据磋商文件中所有内容及要求提交全部资料。</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磋商文件组成：磋商文件是根据本项目的特点和需求编制，包括以下内容：</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）竞争性磋商公告</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）竞争性磋商须知</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）采购内容及要求</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）商务主要条款及格式(商务主要条款)</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）磋商响应文件格式</w:t>
      </w:r>
    </w:p>
    <w:p>
      <w:pPr>
        <w:autoSpaceDE w:val="0"/>
        <w:autoSpaceDN w:val="0"/>
        <w:adjustRightInd w:val="0"/>
        <w:spacing w:line="360" w:lineRule="auto"/>
        <w:ind w:firstLine="482" w:firstLineChars="200"/>
        <w:outlineLvl w:val="2"/>
        <w:rPr>
          <w:rFonts w:ascii="仿宋" w:hAnsi="仿宋" w:eastAsia="仿宋" w:cs="仿宋"/>
          <w:b/>
          <w:bCs/>
          <w:color w:val="auto"/>
          <w:sz w:val="24"/>
          <w:szCs w:val="24"/>
          <w:lang w:val="zh-CN"/>
        </w:rPr>
      </w:pPr>
      <w:bookmarkStart w:id="83" w:name="_Toc21028"/>
      <w:bookmarkStart w:id="84" w:name="_Toc28538"/>
      <w:bookmarkStart w:id="85" w:name="_Toc127"/>
      <w:bookmarkStart w:id="86" w:name="_Toc4110"/>
      <w:r>
        <w:rPr>
          <w:rFonts w:hint="eastAsia" w:ascii="仿宋" w:hAnsi="仿宋" w:eastAsia="仿宋" w:cs="仿宋"/>
          <w:b/>
          <w:bCs/>
          <w:color w:val="auto"/>
          <w:sz w:val="24"/>
          <w:szCs w:val="24"/>
          <w:lang w:val="zh-CN"/>
        </w:rPr>
        <w:t>（二）磋商响应文件的澄清和修改</w:t>
      </w:r>
      <w:bookmarkEnd w:id="83"/>
      <w:bookmarkEnd w:id="84"/>
      <w:bookmarkEnd w:id="85"/>
      <w:bookmarkEnd w:id="86"/>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2、供应商在收到澄清或修改文件后，应在一个工作日内以书面形式（加盖公章）向采购代理机构予以确认。</w:t>
      </w:r>
    </w:p>
    <w:p>
      <w:pPr>
        <w:autoSpaceDE w:val="0"/>
        <w:autoSpaceDN w:val="0"/>
        <w:adjustRightInd w:val="0"/>
        <w:spacing w:line="360" w:lineRule="auto"/>
        <w:ind w:firstLine="482" w:firstLineChars="200"/>
        <w:outlineLvl w:val="2"/>
        <w:rPr>
          <w:rFonts w:ascii="仿宋" w:hAnsi="仿宋" w:eastAsia="仿宋" w:cs="仿宋"/>
          <w:b/>
          <w:bCs/>
          <w:color w:val="auto"/>
          <w:sz w:val="24"/>
          <w:szCs w:val="24"/>
        </w:rPr>
      </w:pPr>
      <w:bookmarkStart w:id="87" w:name="_Toc17894"/>
      <w:bookmarkStart w:id="88" w:name="_Toc4256"/>
      <w:bookmarkStart w:id="89" w:name="_Toc5122"/>
      <w:bookmarkStart w:id="90" w:name="_Toc1819"/>
      <w:bookmarkStart w:id="91" w:name="_Toc12617"/>
      <w:bookmarkStart w:id="92" w:name="_Toc31097"/>
      <w:bookmarkStart w:id="93" w:name="_Toc12729"/>
      <w:bookmarkStart w:id="94" w:name="_Toc25010"/>
      <w:r>
        <w:rPr>
          <w:rFonts w:hint="eastAsia" w:ascii="仿宋" w:hAnsi="仿宋" w:eastAsia="仿宋" w:cs="仿宋"/>
          <w:b/>
          <w:bCs/>
          <w:color w:val="auto"/>
          <w:sz w:val="24"/>
          <w:szCs w:val="24"/>
          <w:lang w:val="zh-CN"/>
        </w:rPr>
        <w:t>（三）磋商文件的询问、质疑及答复</w:t>
      </w:r>
      <w:bookmarkEnd w:id="87"/>
      <w:bookmarkEnd w:id="88"/>
      <w:bookmarkEnd w:id="89"/>
      <w:bookmarkEnd w:id="90"/>
      <w:bookmarkEnd w:id="91"/>
      <w:bookmarkEnd w:id="92"/>
      <w:bookmarkEnd w:id="93"/>
      <w:bookmarkEnd w:id="94"/>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1、供应商应仔细阅读和检查磋商文件的全部内容。如发现缺页或附件不全，应及时向采购代理机构提出，以便补齐。</w:t>
      </w:r>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2"/>
        <w:spacing w:before="0" w:beforeAutospacing="0" w:after="0" w:afterAutospacing="0" w:line="360" w:lineRule="auto"/>
        <w:ind w:firstLine="480" w:firstLineChars="200"/>
        <w:jc w:val="both"/>
        <w:rPr>
          <w:rFonts w:ascii="仿宋" w:hAnsi="仿宋" w:eastAsia="仿宋" w:cs="仿宋"/>
          <w:color w:val="auto"/>
          <w:lang w:val="zh-CN"/>
        </w:rPr>
      </w:pPr>
      <w:r>
        <w:rPr>
          <w:rFonts w:hint="eastAsia" w:ascii="仿宋" w:hAnsi="仿宋" w:eastAsia="仿宋" w:cs="仿宋"/>
          <w:color w:val="auto"/>
        </w:rPr>
        <w:t>3、</w:t>
      </w:r>
      <w:r>
        <w:rPr>
          <w:rFonts w:hint="eastAsia" w:ascii="仿宋" w:hAnsi="仿宋" w:eastAsia="仿宋" w:cs="仿宋"/>
          <w:color w:val="auto"/>
          <w:lang w:val="zh-CN"/>
        </w:rPr>
        <w:t>供应商提出质疑应当有明确的请求和必要的证明材料。</w:t>
      </w:r>
    </w:p>
    <w:p>
      <w:pPr>
        <w:pStyle w:val="22"/>
        <w:spacing w:before="0" w:beforeAutospacing="0" w:after="0" w:afterAutospacing="0" w:line="360" w:lineRule="auto"/>
        <w:ind w:firstLine="480" w:firstLineChars="200"/>
        <w:jc w:val="both"/>
        <w:rPr>
          <w:rFonts w:ascii="仿宋" w:hAnsi="仿宋" w:eastAsia="仿宋" w:cs="仿宋"/>
          <w:color w:val="auto"/>
          <w:lang w:val="zh-CN"/>
        </w:rPr>
      </w:pPr>
      <w:r>
        <w:rPr>
          <w:rFonts w:hint="eastAsia" w:ascii="仿宋" w:hAnsi="仿宋" w:eastAsia="仿宋" w:cs="仿宋"/>
          <w:color w:val="auto"/>
        </w:rPr>
        <w:t>4、</w:t>
      </w:r>
      <w:r>
        <w:rPr>
          <w:rFonts w:hint="eastAsia" w:ascii="仿宋" w:hAnsi="仿宋" w:eastAsia="仿宋" w:cs="仿宋"/>
          <w:color w:val="auto"/>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供应商在收到答复后，应在一个工作日内以书面形式（加盖公章）向采购代理机构予以确认。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color w:val="auto"/>
          <w:sz w:val="24"/>
          <w:szCs w:val="24"/>
          <w:lang w:val="zh-CN"/>
        </w:rPr>
      </w:pPr>
      <w:bookmarkStart w:id="95" w:name="_Toc16363"/>
      <w:bookmarkStart w:id="96" w:name="_Toc5283"/>
      <w:bookmarkStart w:id="97" w:name="_Toc27651"/>
      <w:bookmarkStart w:id="98" w:name="_Toc17969"/>
      <w:bookmarkStart w:id="99" w:name="_Toc20187"/>
      <w:bookmarkStart w:id="100" w:name="_Toc10355"/>
      <w:bookmarkStart w:id="101" w:name="_Toc28965"/>
      <w:bookmarkStart w:id="102" w:name="_Toc32017"/>
      <w:r>
        <w:rPr>
          <w:rFonts w:hint="eastAsia" w:ascii="仿宋" w:hAnsi="仿宋" w:eastAsia="仿宋" w:cs="仿宋"/>
          <w:b/>
          <w:bCs/>
          <w:color w:val="auto"/>
          <w:sz w:val="24"/>
          <w:szCs w:val="24"/>
          <w:lang w:val="zh-CN"/>
        </w:rPr>
        <w:t>（四）磋商文件的解释权</w:t>
      </w:r>
      <w:bookmarkEnd w:id="95"/>
      <w:bookmarkEnd w:id="96"/>
      <w:bookmarkEnd w:id="97"/>
      <w:bookmarkEnd w:id="98"/>
      <w:bookmarkEnd w:id="99"/>
      <w:bookmarkEnd w:id="100"/>
      <w:bookmarkEnd w:id="101"/>
      <w:bookmarkEnd w:id="102"/>
    </w:p>
    <w:p>
      <w:pPr>
        <w:pStyle w:val="22"/>
        <w:spacing w:before="0" w:beforeAutospacing="0" w:after="0" w:afterAutospacing="0" w:line="360" w:lineRule="auto"/>
        <w:ind w:firstLine="480" w:firstLineChars="200"/>
        <w:jc w:val="both"/>
        <w:rPr>
          <w:rFonts w:hint="eastAsia" w:ascii="仿宋" w:hAnsi="仿宋" w:eastAsia="仿宋" w:cs="仿宋"/>
          <w:color w:val="auto"/>
          <w:lang w:val="zh-CN"/>
        </w:rPr>
      </w:pPr>
      <w:r>
        <w:rPr>
          <w:rFonts w:hint="eastAsia" w:ascii="仿宋" w:hAnsi="仿宋" w:eastAsia="仿宋" w:cs="仿宋"/>
          <w:color w:val="auto"/>
        </w:rPr>
        <w:t>1、</w:t>
      </w:r>
      <w:r>
        <w:rPr>
          <w:rFonts w:hint="eastAsia" w:ascii="仿宋" w:hAnsi="仿宋" w:eastAsia="仿宋" w:cs="仿宋"/>
          <w:color w:val="auto"/>
          <w:lang w:val="zh-CN"/>
        </w:rPr>
        <w:t>供应商必须从采购代理机构获取磋商文件，供应商自行转让或复制磋商文件视为无效。</w:t>
      </w:r>
    </w:p>
    <w:p>
      <w:pPr>
        <w:pStyle w:val="22"/>
        <w:spacing w:before="0" w:beforeAutospacing="0" w:after="0" w:afterAutospacing="0" w:line="360" w:lineRule="auto"/>
        <w:ind w:firstLine="480" w:firstLineChars="200"/>
        <w:jc w:val="both"/>
        <w:rPr>
          <w:rFonts w:ascii="仿宋" w:hAnsi="仿宋" w:eastAsia="仿宋" w:cs="仿宋"/>
          <w:color w:val="auto"/>
          <w:lang w:val="zh-CN"/>
        </w:rPr>
      </w:pPr>
      <w:r>
        <w:rPr>
          <w:rFonts w:hint="eastAsia" w:ascii="仿宋" w:hAnsi="仿宋" w:eastAsia="仿宋" w:cs="仿宋"/>
          <w:color w:val="auto"/>
        </w:rPr>
        <w:t>2、</w:t>
      </w:r>
      <w:r>
        <w:rPr>
          <w:rFonts w:hint="eastAsia" w:ascii="仿宋" w:hAnsi="仿宋" w:eastAsia="仿宋" w:cs="仿宋"/>
          <w:color w:val="auto"/>
          <w:lang w:val="zh-CN"/>
        </w:rPr>
        <w:t>磋商文件的解释权归采购代理机构。</w:t>
      </w:r>
    </w:p>
    <w:p>
      <w:pPr>
        <w:autoSpaceDE w:val="0"/>
        <w:autoSpaceDN w:val="0"/>
        <w:adjustRightInd w:val="0"/>
        <w:snapToGrid w:val="0"/>
        <w:spacing w:line="360" w:lineRule="auto"/>
        <w:ind w:firstLine="482" w:firstLineChars="200"/>
        <w:outlineLvl w:val="1"/>
        <w:rPr>
          <w:rFonts w:ascii="仿宋" w:hAnsi="仿宋" w:eastAsia="仿宋" w:cs="仿宋"/>
          <w:b/>
          <w:bCs/>
          <w:color w:val="auto"/>
          <w:sz w:val="24"/>
          <w:szCs w:val="24"/>
          <w:lang w:val="zh-CN"/>
        </w:rPr>
      </w:pPr>
      <w:bookmarkStart w:id="103" w:name="_Toc20772"/>
      <w:bookmarkStart w:id="104" w:name="_Toc495681224"/>
      <w:bookmarkStart w:id="105" w:name="_Toc2631"/>
      <w:bookmarkStart w:id="106" w:name="_Toc32335"/>
      <w:bookmarkStart w:id="107" w:name="_Toc23206"/>
      <w:bookmarkStart w:id="108" w:name="_Toc4720"/>
      <w:bookmarkStart w:id="109" w:name="_Toc20678"/>
      <w:bookmarkStart w:id="110" w:name="_Toc6293"/>
      <w:bookmarkStart w:id="111" w:name="_Toc22974"/>
      <w:bookmarkStart w:id="112" w:name="_Toc13082"/>
      <w:bookmarkStart w:id="113" w:name="_Toc14090"/>
      <w:bookmarkStart w:id="114" w:name="_Toc5897"/>
      <w:bookmarkStart w:id="115" w:name="_Toc495681378"/>
      <w:bookmarkStart w:id="116" w:name="_Toc495681505"/>
      <w:bookmarkStart w:id="117" w:name="_Toc6881"/>
      <w:bookmarkStart w:id="118" w:name="_Toc495908023"/>
      <w:bookmarkStart w:id="119" w:name="_Toc16770"/>
      <w:r>
        <w:rPr>
          <w:rFonts w:hint="eastAsia" w:ascii="仿宋" w:hAnsi="仿宋" w:eastAsia="仿宋" w:cs="仿宋"/>
          <w:b/>
          <w:bCs/>
          <w:color w:val="auto"/>
          <w:sz w:val="24"/>
          <w:szCs w:val="24"/>
          <w:lang w:val="zh-CN"/>
        </w:rPr>
        <w:t>三、磋商要求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autoSpaceDE w:val="0"/>
        <w:autoSpaceDN w:val="0"/>
        <w:adjustRightInd w:val="0"/>
        <w:spacing w:line="360" w:lineRule="auto"/>
        <w:ind w:firstLine="482" w:firstLineChars="200"/>
        <w:outlineLvl w:val="2"/>
        <w:rPr>
          <w:rFonts w:ascii="仿宋" w:hAnsi="仿宋" w:eastAsia="仿宋" w:cs="仿宋"/>
          <w:b/>
          <w:bCs/>
          <w:color w:val="auto"/>
          <w:sz w:val="24"/>
          <w:szCs w:val="24"/>
          <w:lang w:val="zh-CN"/>
        </w:rPr>
      </w:pPr>
      <w:bookmarkStart w:id="120" w:name="_Toc2358"/>
      <w:bookmarkStart w:id="121" w:name="_Toc14182"/>
      <w:bookmarkStart w:id="122" w:name="_Toc240"/>
      <w:bookmarkStart w:id="123" w:name="_Toc6706"/>
      <w:r>
        <w:rPr>
          <w:rFonts w:hint="eastAsia" w:ascii="仿宋" w:hAnsi="仿宋" w:eastAsia="仿宋" w:cs="仿宋"/>
          <w:b/>
          <w:bCs/>
          <w:color w:val="auto"/>
          <w:sz w:val="24"/>
          <w:szCs w:val="24"/>
          <w:lang w:val="zh-CN"/>
        </w:rPr>
        <w:t>（一）磋商内容</w:t>
      </w:r>
      <w:bookmarkEnd w:id="120"/>
      <w:bookmarkEnd w:id="121"/>
      <w:bookmarkEnd w:id="122"/>
      <w:bookmarkEnd w:id="123"/>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本次磋商内容是</w:t>
      </w:r>
      <w:r>
        <w:rPr>
          <w:rFonts w:hint="eastAsia" w:ascii="仿宋" w:hAnsi="仿宋" w:eastAsia="仿宋" w:cs="仿宋"/>
          <w:color w:val="auto"/>
          <w:sz w:val="24"/>
          <w:szCs w:val="24"/>
          <w:lang w:val="en-US" w:eastAsia="zh-CN"/>
        </w:rPr>
        <w:t>西安市第九医院移动X线床头机维保项目（二次）</w:t>
      </w:r>
      <w:r>
        <w:rPr>
          <w:rFonts w:hint="eastAsia" w:ascii="仿宋" w:hAnsi="仿宋" w:eastAsia="仿宋" w:cs="仿宋"/>
          <w:color w:val="auto"/>
          <w:sz w:val="24"/>
          <w:szCs w:val="24"/>
          <w:lang w:val="zh-CN"/>
        </w:rPr>
        <w:t>，各供应商应仔细阅读磋商文件中的所有事项、格式、条款和要求，对磋商文件的全部内容及要求作出实质性响应，提交相应资料，不得在其中选项磋商或将其中内容再行分解，否则磋商无效。</w:t>
      </w:r>
    </w:p>
    <w:p>
      <w:pPr>
        <w:snapToGrid w:val="0"/>
        <w:spacing w:line="360" w:lineRule="auto"/>
        <w:ind w:firstLine="482" w:firstLineChars="200"/>
        <w:outlineLvl w:val="2"/>
        <w:rPr>
          <w:rFonts w:ascii="仿宋" w:hAnsi="仿宋" w:eastAsia="仿宋" w:cs="仿宋"/>
          <w:b/>
          <w:bCs/>
          <w:color w:val="auto"/>
          <w:sz w:val="24"/>
          <w:szCs w:val="24"/>
        </w:rPr>
      </w:pPr>
      <w:bookmarkStart w:id="124" w:name="_Toc13025"/>
      <w:bookmarkStart w:id="125" w:name="_Toc28872"/>
      <w:bookmarkStart w:id="126" w:name="_Toc10504"/>
      <w:bookmarkStart w:id="127" w:name="_Toc8454"/>
      <w:r>
        <w:rPr>
          <w:rFonts w:hint="eastAsia" w:ascii="仿宋" w:hAnsi="仿宋" w:eastAsia="仿宋" w:cs="仿宋"/>
          <w:b/>
          <w:bCs/>
          <w:color w:val="auto"/>
          <w:sz w:val="24"/>
          <w:szCs w:val="24"/>
          <w:lang w:val="zh-CN"/>
        </w:rPr>
        <w:t>（二）合格供应商要求</w:t>
      </w:r>
      <w:bookmarkEnd w:id="124"/>
      <w:bookmarkEnd w:id="125"/>
      <w:bookmarkEnd w:id="126"/>
      <w:bookmarkEnd w:id="127"/>
    </w:p>
    <w:p>
      <w:pPr>
        <w:spacing w:line="360" w:lineRule="auto"/>
        <w:ind w:firstLine="482" w:firstLineChars="200"/>
        <w:outlineLvl w:val="9"/>
        <w:rPr>
          <w:rFonts w:hint="eastAsia"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 1、提供统一社会信用代码的营业执照或其他组织经营的合法凭证或自然人的提供身份证明文件； </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2、财务状况报告：</w:t>
      </w:r>
      <w:r>
        <w:rPr>
          <w:rFonts w:hint="eastAsia" w:ascii="仿宋" w:hAnsi="仿宋" w:eastAsia="仿宋" w:cs="仿宋"/>
          <w:sz w:val="24"/>
          <w:szCs w:val="24"/>
          <w:lang w:eastAsia="zh-CN"/>
        </w:rPr>
        <w:t>提供具有财务审计资质单位出具的202</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税收缴纳证明：提供已缴纳的 2021年1月1日以来至少一个月的纳税证明或完税证明（提供增值税、企业所得税至少一种），纳税证明或完税证明上应有代收机构或税务机关的公章或业务专用章。依法免税的供应商应提供相关文件证明；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eastAsia="zh-CN"/>
        </w:rPr>
        <w:t>社会保障资金缴纳证明：提供已缴存的 2021年1月1日以来至少一个月的社会保障资金缴存单据或社保机构开具的社会保险参保缴费情况证明。成立时间至提交响应文件截止时间不足一个月或依法不需要缴纳社会保障资金的供应商应提供相关文件证明；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出具履行合同所必需的设备和专业技术能力的书面声明</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、出具参加本次政府采购活动的书面声明；</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（2）特定资格条件：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i w:val="0"/>
          <w:iCs w:val="0"/>
          <w:caps w:val="0"/>
          <w:color w:val="333333"/>
          <w:spacing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333333"/>
          <w:spacing w:val="0"/>
          <w:sz w:val="24"/>
          <w:szCs w:val="24"/>
          <w:shd w:val="clear" w:fill="FFFFFF"/>
          <w:vertAlign w:val="baseline"/>
          <w:lang w:eastAsia="zh-CN"/>
        </w:rPr>
        <w:t>磋商</w:t>
      </w:r>
      <w:r>
        <w:rPr>
          <w:rFonts w:hint="eastAsia" w:ascii="仿宋" w:hAnsi="仿宋" w:eastAsia="仿宋" w:cs="仿宋"/>
          <w:i w:val="0"/>
          <w:iCs w:val="0"/>
          <w:caps w:val="0"/>
          <w:color w:val="333333"/>
          <w:spacing w:val="0"/>
          <w:sz w:val="24"/>
          <w:szCs w:val="24"/>
          <w:shd w:val="clear" w:fill="FFFFFF"/>
          <w:vertAlign w:val="baseline"/>
        </w:rPr>
        <w:t>截止前六个月内任意一个月养老保险缴纳证明（法人参加只需提供法定代表人身份证明）</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w:t>
      </w:r>
      <w:r>
        <w:rPr>
          <w:rFonts w:hint="eastAsia" w:ascii="仿宋" w:hAnsi="仿宋" w:eastAsia="仿宋" w:cs="仿宋"/>
          <w:sz w:val="24"/>
          <w:szCs w:val="24"/>
          <w:lang w:eastAsia="zh-CN"/>
        </w:rPr>
        <w:t>以现场查询为准</w:t>
      </w:r>
      <w:r>
        <w:rPr>
          <w:rFonts w:hint="eastAsia" w:ascii="仿宋" w:hAnsi="仿宋" w:eastAsia="仿宋" w:cs="仿宋"/>
          <w:sz w:val="24"/>
          <w:szCs w:val="24"/>
        </w:rPr>
        <w:t>）</w:t>
      </w:r>
      <w:r>
        <w:rPr>
          <w:rFonts w:hint="eastAsia" w:ascii="仿宋" w:hAnsi="仿宋" w:eastAsia="仿宋" w:cs="仿宋"/>
          <w:sz w:val="24"/>
          <w:szCs w:val="24"/>
          <w:lang w:eastAsia="zh-CN"/>
        </w:rPr>
        <w:t>；</w:t>
      </w:r>
    </w:p>
    <w:p>
      <w:pPr>
        <w:tabs>
          <w:tab w:val="left" w:pos="9030"/>
        </w:tabs>
        <w:snapToGrid w:val="0"/>
        <w:spacing w:line="360" w:lineRule="auto"/>
        <w:ind w:right="-65" w:firstLine="482" w:firstLineChars="200"/>
        <w:outlineLvl w:val="2"/>
        <w:rPr>
          <w:rFonts w:ascii="仿宋" w:hAnsi="仿宋" w:eastAsia="仿宋" w:cs="仿宋"/>
          <w:b/>
          <w:bCs/>
          <w:color w:val="auto"/>
          <w:sz w:val="24"/>
          <w:szCs w:val="24"/>
          <w:lang w:val="zh-CN"/>
        </w:rPr>
      </w:pPr>
      <w:bookmarkStart w:id="128" w:name="_Toc4366"/>
      <w:bookmarkStart w:id="129" w:name="_Toc21561"/>
      <w:bookmarkStart w:id="130" w:name="_Toc445"/>
      <w:bookmarkStart w:id="131" w:name="_Toc9381"/>
      <w:r>
        <w:rPr>
          <w:rFonts w:hint="eastAsia" w:ascii="仿宋" w:hAnsi="仿宋" w:eastAsia="仿宋" w:cs="仿宋"/>
          <w:b/>
          <w:bCs/>
          <w:color w:val="auto"/>
          <w:sz w:val="24"/>
          <w:szCs w:val="24"/>
          <w:lang w:val="zh-CN"/>
        </w:rPr>
        <w:t>（三）限制磋商要求</w:t>
      </w:r>
      <w:bookmarkEnd w:id="128"/>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供应商单位负责人为同一人或者存在直接控股、管理关系的不同供应商，不得参加同一项目或同一包的政府采购活动。</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除竞争性磋商项目外，为采购项目提供过整体设计、规范编制或者项目管理、监理、检测等服务的供应商，不得再参加同一项目的其他采购活动。</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对列入失信被执行人、重大税收违法失信主体名单、政府采购严重违法失信行为记录名单及其他不符合《中华人民共和国政府采购法》第二十二条规定条件的供应商，采购代理机构将拒绝其参与政府采购活动。</w:t>
      </w:r>
    </w:p>
    <w:p>
      <w:pPr>
        <w:spacing w:line="360" w:lineRule="auto"/>
        <w:ind w:firstLine="482" w:firstLineChars="20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rPr>
        <w:t>4、</w:t>
      </w:r>
      <w:r>
        <w:rPr>
          <w:rFonts w:hint="eastAsia" w:ascii="仿宋" w:hAnsi="仿宋" w:eastAsia="仿宋" w:cs="仿宋"/>
          <w:b/>
          <w:bCs/>
          <w:color w:val="auto"/>
          <w:sz w:val="24"/>
          <w:szCs w:val="24"/>
          <w:lang w:val="zh-CN"/>
        </w:rPr>
        <w:t>本次磋商项目不接受联合体磋商。</w:t>
      </w:r>
    </w:p>
    <w:p>
      <w:pPr>
        <w:tabs>
          <w:tab w:val="left" w:pos="9030"/>
        </w:tabs>
        <w:snapToGrid w:val="0"/>
        <w:spacing w:line="360" w:lineRule="auto"/>
        <w:ind w:right="-65" w:firstLine="482" w:firstLineChars="200"/>
        <w:outlineLvl w:val="2"/>
        <w:rPr>
          <w:rFonts w:ascii="仿宋" w:hAnsi="仿宋" w:eastAsia="仿宋" w:cs="仿宋"/>
          <w:b/>
          <w:bCs/>
          <w:color w:val="auto"/>
          <w:sz w:val="24"/>
          <w:szCs w:val="24"/>
          <w:lang w:val="zh-CN"/>
        </w:rPr>
      </w:pPr>
      <w:bookmarkStart w:id="132" w:name="_Toc19932"/>
      <w:r>
        <w:rPr>
          <w:rFonts w:hint="eastAsia" w:ascii="仿宋" w:hAnsi="仿宋" w:eastAsia="仿宋" w:cs="仿宋"/>
          <w:b/>
          <w:bCs/>
          <w:color w:val="auto"/>
          <w:sz w:val="24"/>
          <w:szCs w:val="24"/>
          <w:lang w:val="zh-CN"/>
        </w:rPr>
        <w:t>（四）磋商响应文件有效期</w:t>
      </w:r>
      <w:bookmarkEnd w:id="129"/>
      <w:bookmarkEnd w:id="130"/>
      <w:bookmarkEnd w:id="131"/>
      <w:bookmarkEnd w:id="132"/>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磋商响应文件有效期为自磋商之日起不少于90个日历天，在有效期内磋商响应文件对供应商具有法律约束力，以保证采购人完成评标、定标以及合同签订事项。成交供应商的磋商响应文件有效期自动延长至合同执行完毕。</w:t>
      </w:r>
    </w:p>
    <w:p>
      <w:pPr>
        <w:autoSpaceDE w:val="0"/>
        <w:autoSpaceDN w:val="0"/>
        <w:adjustRightInd w:val="0"/>
        <w:snapToGrid w:val="0"/>
        <w:spacing w:line="360" w:lineRule="auto"/>
        <w:ind w:firstLine="482" w:firstLineChars="200"/>
        <w:outlineLvl w:val="2"/>
        <w:rPr>
          <w:rFonts w:ascii="仿宋" w:hAnsi="仿宋" w:eastAsia="仿宋" w:cs="仿宋"/>
          <w:b/>
          <w:color w:val="auto"/>
          <w:sz w:val="24"/>
          <w:szCs w:val="24"/>
          <w:lang w:val="zh-CN"/>
        </w:rPr>
      </w:pPr>
      <w:bookmarkStart w:id="133" w:name="_Toc32305"/>
      <w:bookmarkStart w:id="134" w:name="_Toc19258"/>
      <w:bookmarkStart w:id="135" w:name="_Toc495681225"/>
      <w:bookmarkStart w:id="136" w:name="_Toc495681506"/>
      <w:bookmarkStart w:id="137" w:name="_Toc495908024"/>
      <w:bookmarkStart w:id="138" w:name="_Toc24947"/>
      <w:bookmarkStart w:id="139" w:name="_Toc24960"/>
      <w:bookmarkStart w:id="140" w:name="_Toc708"/>
      <w:bookmarkStart w:id="141" w:name="_Toc32264"/>
      <w:bookmarkStart w:id="142" w:name="_Toc10891"/>
      <w:bookmarkStart w:id="143" w:name="_Toc7375"/>
      <w:bookmarkStart w:id="144" w:name="_Toc27500"/>
      <w:bookmarkStart w:id="145" w:name="_Toc1960"/>
      <w:bookmarkStart w:id="146" w:name="_Toc495681379"/>
      <w:bookmarkStart w:id="147" w:name="_Toc14448"/>
      <w:bookmarkStart w:id="148" w:name="_Toc2035"/>
      <w:bookmarkStart w:id="149" w:name="_Toc25242"/>
      <w:r>
        <w:rPr>
          <w:rFonts w:hint="eastAsia" w:ascii="仿宋" w:hAnsi="仿宋" w:eastAsia="仿宋" w:cs="仿宋"/>
          <w:b/>
          <w:color w:val="auto"/>
          <w:sz w:val="24"/>
          <w:szCs w:val="24"/>
          <w:lang w:val="zh-CN"/>
        </w:rPr>
        <w:t>（五）磋商响应文件的编制要求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未从采购代理机构处获取磋商文件的供应商，谢绝报价。磋商响应文件应按照采购代理机构发售的磋商响应文件格式编写，各供应商对磋商文件做出实质性响应，具体内容包括：</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）对磋商响应函中内容的响应。</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）第一次磋商报价表。</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）供应商出具的合格供应商要求文件，证明参加供应商是响应本项目磋商的合格供应商。</w:t>
      </w:r>
    </w:p>
    <w:p>
      <w:pPr>
        <w:autoSpaceDE w:val="0"/>
        <w:autoSpaceDN w:val="0"/>
        <w:adjustRightInd w:val="0"/>
        <w:spacing w:line="360" w:lineRule="auto"/>
        <w:ind w:firstLine="480" w:firstLineChars="200"/>
        <w:rPr>
          <w:rFonts w:ascii="仿宋" w:hAnsi="仿宋" w:eastAsia="仿宋" w:cs="仿宋"/>
          <w:color w:val="auto"/>
          <w:sz w:val="24"/>
          <w:szCs w:val="24"/>
          <w:highlight w:val="yellow"/>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）供应商为本次磋商采购项目编制的</w:t>
      </w:r>
      <w:r>
        <w:rPr>
          <w:rFonts w:hint="eastAsia" w:ascii="仿宋" w:hAnsi="仿宋" w:eastAsia="仿宋" w:cs="仿宋"/>
          <w:color w:val="auto"/>
          <w:sz w:val="24"/>
          <w:szCs w:val="24"/>
          <w:highlight w:val="none"/>
          <w:lang w:val="zh-CN"/>
        </w:rPr>
        <w:t>服务内容及方案，履约能力，售后服务及培训方案。</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）供应商提供相应业绩，证明其供应经验及能力，以及为采购活动提供的合理化建议。</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磋商响应文件的编写</w:t>
      </w:r>
    </w:p>
    <w:p>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（1）磋商响应文件按照磋商响应文件的“第五部分 磋商响应文件格式”编写磋商响应文件，如有必要，可以增加附页，作为磋商响应文件的组成部分。</w:t>
      </w:r>
    </w:p>
    <w:p>
      <w:pPr>
        <w:autoSpaceDE w:val="0"/>
        <w:autoSpaceDN w:val="0"/>
        <w:adjustRightIn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（2）磋商响应文件编写说明:</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①供应商提交的磋商响应文件以及供应商与采购代理机构就有关磋商的所有来往通知、函件和文件均应使用简体中文。</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②除技术性能另有规定外，磋商响应文件所使用的度量衡单位，均须采用国家法定计量单位。</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③供应商应仔细阅读磋商文件，充分理解磋商文件的要求。凡与磋商文件的规定有重大不符合的磋商响应文件，均按照无效文件处理。</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④供应商必须对磋商文件的所有规定和要求做出实质性响应，否则按照无效文件处理。</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⑤供应商应仔细阅读磋商文件的所有内容，按磋商文件的要求提供磋商响应文件，并保证所提供的全部资料的真实性，否则按照无效文件处理。</w:t>
      </w:r>
    </w:p>
    <w:p>
      <w:pPr>
        <w:snapToGrid w:val="0"/>
        <w:spacing w:line="360" w:lineRule="auto"/>
        <w:ind w:firstLine="482" w:firstLineChars="200"/>
        <w:outlineLvl w:val="2"/>
        <w:rPr>
          <w:rFonts w:ascii="仿宋" w:hAnsi="仿宋" w:eastAsia="仿宋" w:cs="仿宋"/>
          <w:b/>
          <w:color w:val="auto"/>
          <w:sz w:val="24"/>
          <w:szCs w:val="24"/>
        </w:rPr>
      </w:pPr>
      <w:bookmarkStart w:id="150" w:name="_Toc27324"/>
      <w:bookmarkStart w:id="151" w:name="_Toc17282"/>
      <w:bookmarkStart w:id="152" w:name="_Toc24492"/>
      <w:bookmarkStart w:id="153" w:name="_Toc346"/>
      <w:bookmarkStart w:id="154" w:name="_Toc26224"/>
      <w:bookmarkStart w:id="155" w:name="_Toc20476"/>
      <w:bookmarkStart w:id="156" w:name="_Toc495908025"/>
      <w:bookmarkStart w:id="157" w:name="_Toc11947"/>
      <w:bookmarkStart w:id="158" w:name="_Toc30998"/>
      <w:bookmarkStart w:id="159" w:name="_Toc23694"/>
      <w:bookmarkStart w:id="160" w:name="_Toc495681380"/>
      <w:bookmarkStart w:id="161" w:name="_Toc12827"/>
      <w:bookmarkStart w:id="162" w:name="_Toc495681507"/>
      <w:bookmarkStart w:id="163" w:name="_Toc13975"/>
      <w:bookmarkStart w:id="164" w:name="_Toc356"/>
      <w:bookmarkStart w:id="165" w:name="_Toc495681226"/>
      <w:bookmarkStart w:id="166" w:name="_Toc8946"/>
      <w:r>
        <w:rPr>
          <w:rFonts w:hint="eastAsia" w:ascii="仿宋" w:hAnsi="仿宋" w:eastAsia="仿宋" w:cs="仿宋"/>
          <w:b/>
          <w:color w:val="auto"/>
          <w:sz w:val="24"/>
          <w:szCs w:val="24"/>
        </w:rPr>
        <w:t>（六）磋商报价要求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1、各</w:t>
      </w:r>
      <w:r>
        <w:rPr>
          <w:rFonts w:hint="eastAsia" w:ascii="仿宋" w:hAnsi="仿宋" w:eastAsia="仿宋" w:cs="仿宋"/>
          <w:color w:val="auto"/>
          <w:sz w:val="24"/>
          <w:szCs w:val="24"/>
          <w:highlight w:val="none"/>
        </w:rPr>
        <w:t>供应商应在磋商响应文件中的磋商第一次报价表上标明磋商总报价、</w:t>
      </w:r>
      <w:r>
        <w:rPr>
          <w:rFonts w:hint="eastAsia" w:ascii="仿宋" w:hAnsi="仿宋" w:eastAsia="仿宋" w:cs="仿宋"/>
          <w:color w:val="auto"/>
          <w:sz w:val="24"/>
          <w:szCs w:val="24"/>
          <w:highlight w:val="none"/>
          <w:lang w:eastAsia="zh-CN"/>
        </w:rPr>
        <w:t>服务期等</w:t>
      </w:r>
      <w:r>
        <w:rPr>
          <w:rFonts w:hint="eastAsia" w:ascii="仿宋" w:hAnsi="仿宋" w:eastAsia="仿宋" w:cs="仿宋"/>
          <w:color w:val="auto"/>
          <w:sz w:val="24"/>
          <w:szCs w:val="24"/>
          <w:highlight w:val="none"/>
        </w:rPr>
        <w:t>，任何有选择</w:t>
      </w:r>
      <w:r>
        <w:rPr>
          <w:rFonts w:hint="eastAsia" w:ascii="仿宋" w:hAnsi="仿宋" w:eastAsia="仿宋" w:cs="仿宋"/>
          <w:color w:val="auto"/>
          <w:sz w:val="24"/>
          <w:szCs w:val="24"/>
        </w:rPr>
        <w:t>的报价采购代理机构不予接受。</w:t>
      </w:r>
      <w:bookmarkStart w:id="167" w:name="OLE_LINK1"/>
    </w:p>
    <w:p>
      <w:pPr>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bCs/>
          <w:color w:val="auto"/>
          <w:sz w:val="24"/>
          <w:szCs w:val="24"/>
        </w:rPr>
        <w:t>磋商总报价是指完成本次服务工作所需的全部费用</w:t>
      </w:r>
      <w:bookmarkEnd w:id="167"/>
      <w:r>
        <w:rPr>
          <w:rFonts w:hint="eastAsia" w:ascii="仿宋" w:hAnsi="仿宋" w:eastAsia="仿宋" w:cs="仿宋"/>
          <w:bCs/>
          <w:color w:val="auto"/>
          <w:sz w:val="24"/>
          <w:szCs w:val="24"/>
        </w:rPr>
        <w:t>，竞争性磋商最终报价价格，在合同执行过程中，不得以任何理由变更。</w:t>
      </w:r>
    </w:p>
    <w:p>
      <w:pPr>
        <w:autoSpaceDE w:val="0"/>
        <w:autoSpaceDN w:val="0"/>
        <w:adjustRightInd w:val="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3、磋商最后报价，在采购内容无实质性变更下，不得高于首次磋商报价,对于差异较大的报价，须做出明确的说明。</w:t>
      </w:r>
    </w:p>
    <w:p>
      <w:pPr>
        <w:autoSpaceDE w:val="0"/>
        <w:autoSpaceDN w:val="0"/>
        <w:adjustRightInd w:val="0"/>
        <w:spacing w:line="360" w:lineRule="auto"/>
        <w:ind w:firstLine="480" w:firstLineChars="200"/>
        <w:rPr>
          <w:rFonts w:ascii="仿宋" w:hAnsi="仿宋" w:eastAsia="仿宋" w:cs="仿宋"/>
          <w:bCs/>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rPr>
        <w:t>5、凡因供应商对磋商文件阅读不深、误解、疏漏，或因对市场行情了解不清</w:t>
      </w:r>
      <w:r>
        <w:rPr>
          <w:rFonts w:hint="eastAsia" w:ascii="仿宋" w:hAnsi="仿宋" w:eastAsia="仿宋" w:cs="仿宋"/>
          <w:bCs/>
          <w:color w:val="auto"/>
          <w:sz w:val="24"/>
          <w:szCs w:val="24"/>
          <w:highlight w:val="none"/>
        </w:rPr>
        <w:t>造成的后果和风险均由供应商自负。</w:t>
      </w:r>
    </w:p>
    <w:p>
      <w:pPr>
        <w:autoSpaceDE w:val="0"/>
        <w:autoSpaceDN w:val="0"/>
        <w:adjustRightIn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6、供应商应按各自的能力，结合</w:t>
      </w:r>
      <w:r>
        <w:rPr>
          <w:rFonts w:hint="eastAsia" w:ascii="仿宋" w:hAnsi="仿宋" w:eastAsia="仿宋" w:cs="仿宋"/>
          <w:bCs/>
          <w:color w:val="auto"/>
          <w:sz w:val="24"/>
          <w:szCs w:val="24"/>
          <w:highlight w:val="none"/>
          <w:lang w:eastAsia="zh-CN"/>
        </w:rPr>
        <w:t>服务内容</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服务期</w:t>
      </w:r>
      <w:r>
        <w:rPr>
          <w:rFonts w:hint="eastAsia" w:ascii="仿宋" w:hAnsi="仿宋" w:eastAsia="仿宋" w:cs="仿宋"/>
          <w:bCs/>
          <w:color w:val="auto"/>
          <w:sz w:val="24"/>
          <w:szCs w:val="24"/>
          <w:highlight w:val="none"/>
        </w:rPr>
        <w:t>、人员投入等各种因素，综合测定后报价。</w:t>
      </w:r>
    </w:p>
    <w:p>
      <w:pPr>
        <w:autoSpaceDE w:val="0"/>
        <w:autoSpaceDN w:val="0"/>
        <w:adjustRightInd w:val="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7、磋商报价超出采购预算的供应商不进入</w:t>
      </w:r>
      <w:r>
        <w:rPr>
          <w:rFonts w:hint="eastAsia" w:ascii="仿宋" w:hAnsi="仿宋" w:eastAsia="仿宋" w:cs="仿宋"/>
          <w:bCs/>
          <w:color w:val="auto"/>
          <w:sz w:val="24"/>
          <w:szCs w:val="24"/>
          <w:lang w:eastAsia="zh-CN"/>
        </w:rPr>
        <w:t>下一</w:t>
      </w:r>
      <w:r>
        <w:rPr>
          <w:rFonts w:hint="eastAsia" w:ascii="仿宋" w:hAnsi="仿宋" w:eastAsia="仿宋" w:cs="仿宋"/>
          <w:bCs/>
          <w:color w:val="auto"/>
          <w:sz w:val="24"/>
          <w:szCs w:val="24"/>
        </w:rPr>
        <w:t>程序。</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8、最低报价不是确定成交的唯一条件，</w:t>
      </w:r>
      <w:r>
        <w:rPr>
          <w:rFonts w:hint="eastAsia" w:ascii="仿宋" w:hAnsi="仿宋" w:eastAsia="仿宋" w:cs="仿宋"/>
          <w:color w:val="auto"/>
          <w:sz w:val="24"/>
          <w:szCs w:val="24"/>
          <w:lang w:val="zh-CN"/>
        </w:rPr>
        <w:t>磋商过程中所产生的一切费用由供应商自行承担。</w:t>
      </w:r>
    </w:p>
    <w:p>
      <w:pPr>
        <w:snapToGrid w:val="0"/>
        <w:spacing w:line="360" w:lineRule="auto"/>
        <w:ind w:firstLine="482" w:firstLineChars="200"/>
        <w:outlineLvl w:val="2"/>
        <w:rPr>
          <w:rFonts w:ascii="仿宋" w:hAnsi="仿宋" w:eastAsia="仿宋" w:cs="仿宋"/>
          <w:b/>
          <w:color w:val="auto"/>
          <w:sz w:val="24"/>
          <w:szCs w:val="24"/>
        </w:rPr>
      </w:pPr>
      <w:bookmarkStart w:id="168" w:name="_Toc803"/>
      <w:bookmarkStart w:id="169" w:name="_Toc495681228"/>
      <w:bookmarkStart w:id="170" w:name="_Toc25914"/>
      <w:bookmarkStart w:id="171" w:name="_Toc11653"/>
      <w:bookmarkStart w:id="172" w:name="_Toc2724"/>
      <w:bookmarkStart w:id="173" w:name="_Toc5456"/>
      <w:bookmarkStart w:id="174" w:name="_Toc2707"/>
      <w:bookmarkStart w:id="175" w:name="_Toc8968"/>
      <w:bookmarkStart w:id="176" w:name="_Toc495908027"/>
      <w:bookmarkStart w:id="177" w:name="_Toc9078"/>
      <w:bookmarkStart w:id="178" w:name="_Toc26187"/>
      <w:bookmarkStart w:id="179" w:name="_Toc495681509"/>
      <w:bookmarkStart w:id="180" w:name="_Toc495681382"/>
      <w:bookmarkStart w:id="181" w:name="_Toc7251"/>
      <w:bookmarkStart w:id="182" w:name="_Toc24382"/>
      <w:bookmarkStart w:id="183" w:name="_Toc28461"/>
      <w:bookmarkStart w:id="184" w:name="_Toc32162"/>
      <w:r>
        <w:rPr>
          <w:rFonts w:hint="eastAsia" w:ascii="仿宋" w:hAnsi="仿宋" w:eastAsia="仿宋" w:cs="仿宋"/>
          <w:b/>
          <w:color w:val="auto"/>
          <w:sz w:val="24"/>
          <w:szCs w:val="24"/>
        </w:rPr>
        <w:t>（七）磋商响应文件的式样、签署和装订</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各供应商应参照磋商文件给定的样式，准备磋商响应文件正本一份、副本两份，</w:t>
      </w:r>
      <w:r>
        <w:rPr>
          <w:rFonts w:hint="eastAsia" w:ascii="仿宋" w:hAnsi="仿宋" w:eastAsia="仿宋" w:cs="仿宋"/>
          <w:color w:val="auto"/>
          <w:sz w:val="24"/>
          <w:szCs w:val="24"/>
        </w:rPr>
        <w:t>电子版1份</w:t>
      </w:r>
      <w:r>
        <w:rPr>
          <w:rFonts w:hint="eastAsia" w:ascii="仿宋" w:hAnsi="仿宋" w:eastAsia="仿宋" w:cs="仿宋"/>
          <w:b/>
          <w:bCs/>
          <w:color w:val="auto"/>
          <w:sz w:val="24"/>
          <w:szCs w:val="24"/>
        </w:rPr>
        <w:t>（PDF和word文档格式，</w:t>
      </w:r>
      <w:r>
        <w:rPr>
          <w:rFonts w:hint="eastAsia" w:ascii="仿宋" w:hAnsi="仿宋" w:eastAsia="仿宋" w:cs="仿宋"/>
          <w:b/>
          <w:bCs/>
          <w:color w:val="auto"/>
          <w:sz w:val="24"/>
          <w:szCs w:val="24"/>
          <w:lang w:eastAsia="zh-CN"/>
        </w:rPr>
        <w:t>正版</w:t>
      </w:r>
      <w:r>
        <w:rPr>
          <w:rFonts w:hint="eastAsia" w:ascii="仿宋" w:hAnsi="仿宋" w:eastAsia="仿宋" w:cs="仿宋"/>
          <w:b/>
          <w:bCs/>
          <w:color w:val="auto"/>
          <w:sz w:val="24"/>
          <w:szCs w:val="24"/>
        </w:rPr>
        <w:t>U盘存储</w:t>
      </w:r>
      <w:r>
        <w:rPr>
          <w:rFonts w:hint="eastAsia" w:ascii="仿宋" w:hAnsi="仿宋" w:eastAsia="仿宋" w:cs="仿宋"/>
          <w:b/>
          <w:bCs/>
          <w:color w:val="auto"/>
          <w:sz w:val="24"/>
          <w:szCs w:val="24"/>
          <w:lang w:eastAsia="zh-CN"/>
        </w:rPr>
        <w:t>，如因</w:t>
      </w:r>
      <w:r>
        <w:rPr>
          <w:rFonts w:hint="eastAsia" w:ascii="仿宋" w:hAnsi="仿宋" w:eastAsia="仿宋" w:cs="仿宋"/>
          <w:b/>
          <w:bCs/>
          <w:color w:val="auto"/>
          <w:sz w:val="24"/>
          <w:szCs w:val="24"/>
          <w:lang w:val="en-US" w:eastAsia="zh-CN"/>
        </w:rPr>
        <w:t>U盘问题导致文件无法打开，责任自负</w:t>
      </w:r>
      <w:r>
        <w:rPr>
          <w:rFonts w:hint="eastAsia" w:ascii="仿宋" w:hAnsi="仿宋" w:eastAsia="仿宋" w:cs="仿宋"/>
          <w:b/>
          <w:bCs/>
          <w:color w:val="auto"/>
          <w:sz w:val="24"/>
          <w:szCs w:val="24"/>
        </w:rPr>
        <w:t>）</w:t>
      </w:r>
      <w:r>
        <w:rPr>
          <w:rFonts w:hint="eastAsia" w:ascii="仿宋" w:hAnsi="仿宋" w:eastAsia="仿宋" w:cs="仿宋"/>
          <w:color w:val="auto"/>
          <w:sz w:val="24"/>
          <w:szCs w:val="24"/>
          <w:lang w:val="zh-CN"/>
        </w:rPr>
        <w:t>，</w:t>
      </w:r>
      <w:r>
        <w:rPr>
          <w:rFonts w:hint="eastAsia" w:ascii="仿宋" w:hAnsi="仿宋" w:eastAsia="仿宋" w:cs="仿宋"/>
          <w:b/>
          <w:bCs w:val="0"/>
          <w:color w:val="auto"/>
          <w:sz w:val="24"/>
          <w:szCs w:val="24"/>
          <w:lang w:eastAsia="zh-CN"/>
        </w:rPr>
        <w:t>磋商文件中“第五部分</w:t>
      </w:r>
      <w:r>
        <w:rPr>
          <w:rFonts w:hint="eastAsia" w:ascii="仿宋" w:hAnsi="仿宋" w:eastAsia="仿宋" w:cs="仿宋"/>
          <w:b/>
          <w:bCs w:val="0"/>
          <w:color w:val="auto"/>
          <w:sz w:val="24"/>
          <w:szCs w:val="24"/>
          <w:lang w:val="en-US" w:eastAsia="zh-CN"/>
        </w:rPr>
        <w:t xml:space="preserve"> </w:t>
      </w:r>
      <w:r>
        <w:rPr>
          <w:rFonts w:hint="eastAsia" w:ascii="仿宋" w:hAnsi="仿宋" w:eastAsia="仿宋" w:cs="仿宋"/>
          <w:b/>
          <w:bCs w:val="0"/>
          <w:color w:val="auto"/>
          <w:sz w:val="24"/>
          <w:szCs w:val="24"/>
          <w:lang w:eastAsia="zh-CN"/>
        </w:rPr>
        <w:t>四</w:t>
      </w:r>
      <w:r>
        <w:rPr>
          <w:rFonts w:hint="eastAsia" w:ascii="仿宋" w:hAnsi="仿宋" w:eastAsia="仿宋" w:cs="仿宋"/>
          <w:b/>
          <w:bCs w:val="0"/>
          <w:color w:val="auto"/>
          <w:sz w:val="24"/>
          <w:szCs w:val="24"/>
        </w:rPr>
        <w:t>、供应商资格证明文件</w:t>
      </w:r>
      <w:r>
        <w:rPr>
          <w:rFonts w:hint="eastAsia" w:ascii="仿宋" w:hAnsi="仿宋" w:eastAsia="仿宋" w:cs="仿宋"/>
          <w:b/>
          <w:bCs w:val="0"/>
          <w:color w:val="auto"/>
          <w:sz w:val="24"/>
          <w:szCs w:val="24"/>
          <w:lang w:eastAsia="zh-CN"/>
        </w:rPr>
        <w:t>”单独胶装成册</w:t>
      </w:r>
      <w:r>
        <w:rPr>
          <w:rFonts w:hint="eastAsia" w:ascii="仿宋" w:hAnsi="仿宋" w:eastAsia="仿宋" w:cs="仿宋"/>
          <w:b/>
          <w:bCs w:val="0"/>
          <w:color w:val="auto"/>
          <w:sz w:val="24"/>
          <w:szCs w:val="24"/>
          <w:lang w:val="en-US" w:eastAsia="zh-CN"/>
        </w:rPr>
        <w:t>1本</w:t>
      </w:r>
      <w:r>
        <w:rPr>
          <w:rFonts w:hint="eastAsia" w:ascii="仿宋" w:hAnsi="仿宋" w:eastAsia="仿宋" w:cs="仿宋"/>
          <w:b/>
          <w:bCs w:val="0"/>
          <w:color w:val="auto"/>
          <w:sz w:val="24"/>
          <w:szCs w:val="24"/>
          <w:lang w:eastAsia="zh-CN"/>
        </w:rPr>
        <w:t>，与磋商响应文件正本一同密封。</w:t>
      </w:r>
      <w:r>
        <w:rPr>
          <w:rFonts w:hint="eastAsia" w:ascii="仿宋" w:hAnsi="仿宋" w:eastAsia="仿宋" w:cs="仿宋"/>
          <w:color w:val="auto"/>
          <w:sz w:val="24"/>
          <w:szCs w:val="24"/>
          <w:lang w:val="zh-CN"/>
        </w:rPr>
        <w:t>响应文件的封面上应清楚地标记“正本”、“副本”、“电子版”字样，</w:t>
      </w:r>
      <w:r>
        <w:rPr>
          <w:rFonts w:hint="eastAsia" w:ascii="仿宋" w:hAnsi="仿宋" w:eastAsia="仿宋" w:cs="仿宋"/>
          <w:color w:val="auto"/>
          <w:sz w:val="24"/>
          <w:szCs w:val="24"/>
          <w:lang w:val="zh-CN" w:eastAsia="zh-CN"/>
        </w:rPr>
        <w:t>独胶装</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lang w:val="zh-CN"/>
        </w:rPr>
        <w:t>供应商资格证明文件</w:t>
      </w:r>
      <w:r>
        <w:rPr>
          <w:rFonts w:hint="eastAsia" w:ascii="仿宋" w:hAnsi="仿宋" w:eastAsia="仿宋" w:cs="仿宋"/>
          <w:color w:val="auto"/>
          <w:sz w:val="24"/>
          <w:szCs w:val="24"/>
          <w:lang w:val="en-US" w:eastAsia="zh-CN"/>
        </w:rPr>
        <w:t>与响应文件正本中资格不一致时，以响应文件正本为准。</w:t>
      </w:r>
    </w:p>
    <w:p>
      <w:pPr>
        <w:tabs>
          <w:tab w:val="left" w:pos="9030"/>
        </w:tabs>
        <w:snapToGrid w:val="0"/>
        <w:spacing w:line="360" w:lineRule="auto"/>
        <w:ind w:right="-65" w:firstLine="480" w:firstLineChars="200"/>
        <w:rPr>
          <w:rFonts w:ascii="仿宋" w:hAnsi="仿宋" w:eastAsia="仿宋" w:cs="仿宋"/>
          <w:color w:val="auto"/>
          <w:spacing w:val="-6"/>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磋商响应文件的正本和所有的副本建议双面打印且用不褪色蓝（黑）墨水（汁）书写，统一装订、编码。</w:t>
      </w:r>
      <w:r>
        <w:rPr>
          <w:rFonts w:hint="eastAsia" w:ascii="仿宋" w:hAnsi="仿宋" w:eastAsia="仿宋" w:cs="仿宋"/>
          <w:color w:val="auto"/>
          <w:spacing w:val="-6"/>
          <w:sz w:val="24"/>
          <w:szCs w:val="24"/>
        </w:rPr>
        <w:t>因字迹不清、表达不准或不按给定的磋商文件格式编制的磋商响应文件，所引起的不利后果由供应商自负。</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磋商响应文件必须加盖供应商红色公章</w:t>
      </w:r>
      <w:r>
        <w:rPr>
          <w:rFonts w:hint="eastAsia" w:ascii="仿宋" w:hAnsi="仿宋" w:eastAsia="仿宋" w:cs="仿宋"/>
          <w:bCs/>
          <w:color w:val="auto"/>
          <w:sz w:val="24"/>
          <w:szCs w:val="24"/>
        </w:rPr>
        <w:t>并按照磋商文件要求由法定代表人（</w:t>
      </w:r>
      <w:r>
        <w:rPr>
          <w:rFonts w:hint="eastAsia" w:ascii="仿宋" w:hAnsi="仿宋" w:eastAsia="仿宋" w:cs="仿宋"/>
          <w:bCs/>
          <w:color w:val="auto"/>
          <w:sz w:val="24"/>
          <w:szCs w:val="24"/>
          <w:lang w:eastAsia="zh-CN"/>
        </w:rPr>
        <w:t>或</w:t>
      </w:r>
      <w:r>
        <w:rPr>
          <w:rFonts w:hint="eastAsia" w:ascii="仿宋" w:hAnsi="仿宋" w:eastAsia="仿宋" w:cs="仿宋"/>
          <w:bCs/>
          <w:color w:val="auto"/>
          <w:sz w:val="24"/>
          <w:szCs w:val="24"/>
        </w:rPr>
        <w:t>授权代表人）签字，响应文件副本可以</w:t>
      </w:r>
      <w:r>
        <w:rPr>
          <w:rFonts w:hint="eastAsia" w:ascii="仿宋" w:hAnsi="仿宋" w:eastAsia="仿宋" w:cs="仿宋"/>
          <w:bCs/>
          <w:color w:val="auto"/>
          <w:sz w:val="24"/>
          <w:szCs w:val="24"/>
          <w:lang w:eastAsia="zh-CN"/>
        </w:rPr>
        <w:t>为</w:t>
      </w:r>
      <w:r>
        <w:rPr>
          <w:rFonts w:hint="eastAsia" w:ascii="仿宋" w:hAnsi="仿宋" w:eastAsia="仿宋" w:cs="仿宋"/>
          <w:bCs/>
          <w:color w:val="auto"/>
          <w:sz w:val="24"/>
          <w:szCs w:val="24"/>
        </w:rPr>
        <w:t>正本的复印件</w:t>
      </w:r>
      <w:r>
        <w:rPr>
          <w:rFonts w:hint="eastAsia" w:ascii="仿宋" w:hAnsi="仿宋" w:eastAsia="仿宋" w:cs="仿宋"/>
          <w:color w:val="auto"/>
          <w:sz w:val="24"/>
          <w:szCs w:val="24"/>
          <w:lang w:val="zh-CN"/>
        </w:rPr>
        <w:t>。</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磋商响应文件的打印应清楚工整，统一采用A4纸编制（如部分附表需要用其他规格的复印纸编写，则应按A4复印纸折叠）。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tabs>
          <w:tab w:val="left" w:pos="9030"/>
        </w:tabs>
        <w:snapToGrid w:val="0"/>
        <w:spacing w:line="360" w:lineRule="auto"/>
        <w:ind w:right="-65"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eastAsia="zh-CN"/>
        </w:rPr>
        <w:t>若供应商为其他组织单位，无法定代表人，则响应文件中法定代表人授权书、签字之处可由单位负责人填写。</w:t>
      </w:r>
    </w:p>
    <w:p>
      <w:pPr>
        <w:snapToGrid w:val="0"/>
        <w:spacing w:line="360" w:lineRule="auto"/>
        <w:ind w:firstLine="482" w:firstLineChars="200"/>
        <w:outlineLvl w:val="2"/>
        <w:rPr>
          <w:rFonts w:ascii="仿宋" w:hAnsi="仿宋" w:eastAsia="仿宋" w:cs="仿宋"/>
          <w:b/>
          <w:color w:val="auto"/>
          <w:sz w:val="24"/>
          <w:szCs w:val="24"/>
          <w:lang w:val="zh-CN"/>
        </w:rPr>
      </w:pPr>
      <w:bookmarkStart w:id="185" w:name="_Toc23115"/>
      <w:bookmarkStart w:id="186" w:name="_Toc12263"/>
      <w:bookmarkStart w:id="187" w:name="_Toc16128"/>
      <w:bookmarkStart w:id="188" w:name="_Toc7399"/>
      <w:bookmarkStart w:id="189" w:name="_Toc8989"/>
      <w:bookmarkStart w:id="190" w:name="_Toc495908028"/>
      <w:bookmarkStart w:id="191" w:name="_Toc495681510"/>
      <w:bookmarkStart w:id="192" w:name="_Toc21545"/>
      <w:bookmarkStart w:id="193" w:name="_Toc495681383"/>
      <w:bookmarkStart w:id="194" w:name="_Toc21204"/>
      <w:bookmarkStart w:id="195" w:name="_Toc495681229"/>
      <w:bookmarkStart w:id="196" w:name="_Toc21862"/>
      <w:bookmarkStart w:id="197" w:name="_Toc18243"/>
      <w:bookmarkStart w:id="198" w:name="_Toc32577"/>
      <w:bookmarkStart w:id="199" w:name="_Toc27109"/>
      <w:bookmarkStart w:id="200" w:name="_Toc24315"/>
      <w:bookmarkStart w:id="201" w:name="_Toc12936"/>
      <w:r>
        <w:rPr>
          <w:rFonts w:hint="eastAsia" w:ascii="仿宋" w:hAnsi="仿宋" w:eastAsia="仿宋" w:cs="仿宋"/>
          <w:b/>
          <w:color w:val="auto"/>
          <w:sz w:val="24"/>
          <w:szCs w:val="24"/>
        </w:rPr>
        <w:t>（八）</w:t>
      </w:r>
      <w:r>
        <w:rPr>
          <w:rFonts w:hint="eastAsia" w:ascii="仿宋" w:hAnsi="仿宋" w:eastAsia="仿宋" w:cs="仿宋"/>
          <w:b/>
          <w:color w:val="auto"/>
          <w:sz w:val="24"/>
          <w:szCs w:val="24"/>
          <w:lang w:val="zh-CN"/>
        </w:rPr>
        <w:t>磋商响应文件的密封和提交</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1、磋商响应</w:t>
      </w:r>
      <w:r>
        <w:rPr>
          <w:rFonts w:hint="eastAsia" w:ascii="仿宋" w:hAnsi="仿宋" w:eastAsia="仿宋" w:cs="仿宋"/>
          <w:color w:val="auto"/>
          <w:sz w:val="24"/>
          <w:szCs w:val="24"/>
          <w:lang w:val="zh-CN"/>
        </w:rPr>
        <w:t>文件密封</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供应商应将磋商响应文件密封且在外层包装上标明字样。</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外层包装应加封条密封，在封线处加盖公章（骑缝章），标明项目编号、项目名称，供应商全称（公章）、在</w:t>
      </w:r>
      <w:r>
        <w:rPr>
          <w:rFonts w:hint="eastAsia" w:ascii="仿宋" w:hAnsi="仿宋" w:eastAsia="仿宋" w:cs="仿宋"/>
          <w:color w:val="auto"/>
          <w:sz w:val="24"/>
          <w:szCs w:val="24"/>
        </w:rPr>
        <w:t>XXXX年XX月XX日XX：XX前不得启封</w:t>
      </w:r>
      <w:r>
        <w:rPr>
          <w:rFonts w:hint="eastAsia" w:ascii="仿宋" w:hAnsi="仿宋" w:eastAsia="仿宋" w:cs="仿宋"/>
          <w:color w:val="auto"/>
          <w:sz w:val="24"/>
          <w:szCs w:val="24"/>
          <w:lang w:val="zh-CN"/>
        </w:rPr>
        <w:t>等内容（格式自拟）。</w:t>
      </w:r>
    </w:p>
    <w:p>
      <w:pPr>
        <w:snapToGrid w:val="0"/>
        <w:spacing w:line="360" w:lineRule="auto"/>
        <w:ind w:firstLine="480" w:firstLineChars="200"/>
        <w:rPr>
          <w:rFonts w:ascii="仿宋" w:hAnsi="仿宋" w:eastAsia="仿宋" w:cs="仿宋"/>
          <w:bCs/>
          <w:color w:val="auto"/>
          <w:sz w:val="24"/>
          <w:szCs w:val="24"/>
        </w:rPr>
      </w:pPr>
      <w:r>
        <w:rPr>
          <w:rFonts w:hint="eastAsia" w:ascii="仿宋" w:hAnsi="仿宋" w:eastAsia="仿宋" w:cs="仿宋"/>
          <w:bCs/>
          <w:color w:val="auto"/>
          <w:sz w:val="24"/>
          <w:szCs w:val="24"/>
        </w:rPr>
        <w:t>2、磋商响应文件的递交</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）供应商应在磋商文件要求提交磋商响应文件的截止时间前将磋商响应文件密封送达磋商地点，递交并办理签收手续。</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）对于需要提供必备资格文件和业绩原件等相关资料的采购项目，供应商应将其内容与磋商响应文件一起递交，并标明所提供资料原件的明细表（若磋商文件未要求原件可不提供）。</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）在磋商文件要求提交磋商响应文件的截止时间之后送达的磋商响应文件和相关资料原件，为无效文件，采购代理机构拒绝接收。</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）磋商截止时间后，供应商不得对其磋商响应文件做任何修改。</w:t>
      </w:r>
    </w:p>
    <w:p>
      <w:pPr>
        <w:snapToGrid w:val="0"/>
        <w:spacing w:line="360" w:lineRule="auto"/>
        <w:ind w:firstLine="482" w:firstLineChars="200"/>
        <w:outlineLvl w:val="1"/>
        <w:rPr>
          <w:rFonts w:ascii="仿宋" w:hAnsi="仿宋" w:eastAsia="仿宋" w:cs="仿宋"/>
          <w:b/>
          <w:color w:val="auto"/>
          <w:sz w:val="24"/>
          <w:szCs w:val="24"/>
        </w:rPr>
      </w:pPr>
      <w:bookmarkStart w:id="202" w:name="_Toc495681231"/>
      <w:bookmarkStart w:id="203" w:name="_Toc8043"/>
      <w:bookmarkStart w:id="204" w:name="_Toc495681512"/>
      <w:bookmarkStart w:id="205" w:name="_Toc495681385"/>
      <w:bookmarkStart w:id="206" w:name="_Toc6863"/>
      <w:bookmarkStart w:id="207" w:name="_Toc17983"/>
      <w:bookmarkStart w:id="208" w:name="_Toc3761"/>
      <w:bookmarkStart w:id="209" w:name="_Toc22233"/>
      <w:bookmarkStart w:id="210" w:name="_Toc495908030"/>
      <w:bookmarkStart w:id="211" w:name="_Toc19346"/>
      <w:bookmarkStart w:id="212" w:name="_Toc3012"/>
      <w:bookmarkStart w:id="213" w:name="_Toc5429"/>
      <w:bookmarkStart w:id="214" w:name="_Toc8686"/>
      <w:bookmarkStart w:id="215" w:name="_Toc9413"/>
      <w:bookmarkStart w:id="216" w:name="_Toc25488"/>
      <w:bookmarkStart w:id="217" w:name="_Toc2690"/>
      <w:bookmarkStart w:id="218" w:name="_Toc7539"/>
      <w:r>
        <w:rPr>
          <w:rFonts w:hint="eastAsia" w:ascii="仿宋" w:hAnsi="仿宋" w:eastAsia="仿宋" w:cs="仿宋"/>
          <w:b/>
          <w:color w:val="auto"/>
          <w:sz w:val="24"/>
          <w:szCs w:val="24"/>
        </w:rPr>
        <w:t>四、磋商小组组成及职责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napToGrid w:val="0"/>
        <w:spacing w:line="360" w:lineRule="auto"/>
        <w:ind w:firstLine="482" w:firstLineChars="200"/>
        <w:outlineLvl w:val="9"/>
        <w:rPr>
          <w:rFonts w:ascii="仿宋" w:hAnsi="仿宋" w:eastAsia="仿宋" w:cs="仿宋"/>
          <w:color w:val="auto"/>
          <w:sz w:val="24"/>
          <w:szCs w:val="24"/>
          <w:lang w:val="zh-CN"/>
        </w:rPr>
      </w:pPr>
      <w:r>
        <w:rPr>
          <w:rFonts w:hint="eastAsia" w:ascii="仿宋" w:hAnsi="仿宋" w:eastAsia="仿宋" w:cs="仿宋"/>
          <w:b/>
          <w:bCs/>
          <w:color w:val="auto"/>
          <w:sz w:val="24"/>
          <w:szCs w:val="24"/>
          <w:lang w:val="zh-CN"/>
        </w:rPr>
        <w:t>（一）磋商小组的组成</w:t>
      </w:r>
    </w:p>
    <w:p>
      <w:pPr>
        <w:tabs>
          <w:tab w:val="left" w:pos="9030"/>
        </w:tabs>
        <w:snapToGrid w:val="0"/>
        <w:spacing w:line="360" w:lineRule="auto"/>
        <w:ind w:right="-65" w:firstLine="480" w:firstLineChars="200"/>
        <w:outlineLvl w:val="9"/>
        <w:rPr>
          <w:rFonts w:ascii="仿宋" w:hAnsi="仿宋" w:eastAsia="仿宋" w:cs="仿宋"/>
          <w:color w:val="auto"/>
          <w:sz w:val="24"/>
          <w:szCs w:val="24"/>
          <w:lang w:val="zh-CN"/>
        </w:rPr>
      </w:pPr>
      <w:r>
        <w:rPr>
          <w:rFonts w:hint="eastAsia" w:ascii="仿宋" w:hAnsi="仿宋" w:eastAsia="仿宋" w:cs="仿宋"/>
          <w:color w:val="auto"/>
          <w:sz w:val="24"/>
          <w:szCs w:val="24"/>
          <w:lang w:val="zh-CN"/>
        </w:rPr>
        <w:t>本项目磋商小组为</w:t>
      </w:r>
      <w:r>
        <w:rPr>
          <w:rFonts w:hint="eastAsia" w:ascii="仿宋" w:hAnsi="仿宋" w:eastAsia="仿宋" w:cs="仿宋"/>
          <w:color w:val="auto"/>
          <w:sz w:val="24"/>
          <w:szCs w:val="24"/>
          <w:u w:val="single"/>
        </w:rPr>
        <w:t xml:space="preserve"> 3 </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或以上单数</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 、财政部规章及政府采购项目所在地有关法规、规章等有关规定组建磋商小组。</w:t>
      </w:r>
    </w:p>
    <w:p>
      <w:pPr>
        <w:tabs>
          <w:tab w:val="left" w:pos="9030"/>
        </w:tabs>
        <w:snapToGrid w:val="0"/>
        <w:spacing w:line="360" w:lineRule="auto"/>
        <w:ind w:right="-65" w:firstLine="482" w:firstLineChars="200"/>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zh-CN"/>
        </w:rPr>
        <w:t>（二）磋商小组成员有下列情形之一的，应当回避：</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参加采购活动前3年内与供应商存在劳动关系；</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参加采购活动前3年内担任供应商的董事、监事；</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参加采购活动前3年内是供应商的控股股东或者实际控制人；</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与供应商的法定代表人或者负责人有夫妻、直系血亲、三代以内旁系血亲或者近姻亲关系；</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与供应商有其他可能影响政府采购活动公平、公正进行的关系。</w:t>
      </w:r>
    </w:p>
    <w:p>
      <w:pPr>
        <w:tabs>
          <w:tab w:val="left" w:pos="9030"/>
        </w:tabs>
        <w:snapToGrid w:val="0"/>
        <w:spacing w:line="360" w:lineRule="auto"/>
        <w:ind w:right="-65" w:firstLine="482" w:firstLineChars="20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eastAsia="zh-CN"/>
        </w:rPr>
        <w:t>（三）</w:t>
      </w:r>
      <w:r>
        <w:rPr>
          <w:rFonts w:hint="eastAsia" w:ascii="仿宋" w:hAnsi="仿宋" w:eastAsia="仿宋" w:cs="仿宋"/>
          <w:b/>
          <w:bCs/>
          <w:color w:val="auto"/>
          <w:sz w:val="24"/>
          <w:szCs w:val="24"/>
          <w:lang w:val="zh-CN"/>
        </w:rPr>
        <w:t>磋商小组的权利与义务及监管制度：</w:t>
      </w:r>
    </w:p>
    <w:p>
      <w:pPr>
        <w:tabs>
          <w:tab w:val="left" w:pos="9030"/>
        </w:tabs>
        <w:snapToGrid w:val="0"/>
        <w:spacing w:line="360" w:lineRule="auto"/>
        <w:ind w:right="-65"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1、权利：</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）对政府采购法律制度及相关情况的知情权；</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对政府采购项目的独立评审权；</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）按照规定推荐成交候选供应商的权利；</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）按照规定获取评审劳务报酬的权利；</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）法律、法规规定的其他权利。</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义务及监管制度：</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）磋商小组应当按照客观、公正、审慎的原则，根据磋商文件规定的评审程序、评审方法和评审标准进行独立评审；</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及时向财政部门报告评审过程中发现的采购人、采购代理机构向评审专家做倾向性、误导性的解释或者说明，以及供应商行贿、提供虚假材料或者串通等违法行为；</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维护国家利益、社会公共利益和当事人的合法权益；</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参加由财政部门组织的专题学习、培训；</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法律、法规规定的其他义务；</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磋商小组遵从《陕西省政府采购评审专家管理实施办法》 的各项监督管理制度。</w:t>
      </w:r>
    </w:p>
    <w:p>
      <w:pPr>
        <w:tabs>
          <w:tab w:val="left" w:pos="9030"/>
        </w:tabs>
        <w:snapToGrid w:val="0"/>
        <w:spacing w:line="360" w:lineRule="auto"/>
        <w:ind w:right="-65" w:firstLine="482" w:firstLineChars="200"/>
        <w:outlineLvl w:val="9"/>
        <w:rPr>
          <w:rFonts w:ascii="仿宋" w:hAnsi="仿宋" w:eastAsia="仿宋" w:cs="仿宋"/>
          <w:color w:val="auto"/>
          <w:sz w:val="24"/>
          <w:szCs w:val="24"/>
          <w:lang w:val="zh-CN"/>
        </w:rPr>
      </w:pPr>
      <w:r>
        <w:rPr>
          <w:rFonts w:hint="eastAsia" w:ascii="仿宋" w:hAnsi="仿宋" w:eastAsia="仿宋" w:cs="仿宋"/>
          <w:b/>
          <w:bCs/>
          <w:color w:val="auto"/>
          <w:sz w:val="24"/>
          <w:szCs w:val="24"/>
          <w:lang w:val="zh-CN"/>
        </w:rPr>
        <w:t>（四）磋商小组的职责</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t>1、审查磋商响应文件是否符合磋商文件的要求，并做出评价；</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t>2、可以要求供应商对响应文件中含义不明确、同类问题表述不一致或者有明显文字和计算错误的内容等作出必要的澄清、说明或者更正；</w:t>
      </w:r>
    </w:p>
    <w:p>
      <w:pPr>
        <w:snapToGrid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3、与各供应商就磋商响应文件（含澄清、说明或补正的内容）中的实施方案、磋商报价、业绩、商务响应等进行磋商</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按照竞争性磋商文件的要求和磋商办法进行评审，推荐成交候选供应商名单，对评审意见承担个人责任；</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t>4、对评审过程和结果以及供应商的商业秘密保密；</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t>5、编写磋商评审报告；</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t>6、配合采购代理机构答复供应商提出的质疑；</w:t>
      </w:r>
    </w:p>
    <w:p>
      <w:pPr>
        <w:snapToGrid w:val="0"/>
        <w:spacing w:line="360" w:lineRule="auto"/>
        <w:ind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rPr>
        <w:t>7、配合财政部门的投诉处理工作；</w:t>
      </w:r>
    </w:p>
    <w:p>
      <w:pPr>
        <w:snapToGrid w:val="0"/>
        <w:spacing w:line="360" w:lineRule="auto"/>
        <w:ind w:firstLine="480" w:firstLineChars="200"/>
        <w:outlineLvl w:val="9"/>
        <w:rPr>
          <w:rFonts w:hint="eastAsia" w:ascii="仿宋" w:hAnsi="仿宋" w:eastAsia="仿宋" w:cs="仿宋"/>
          <w:b/>
          <w:bCs/>
          <w:color w:val="auto"/>
          <w:sz w:val="24"/>
          <w:szCs w:val="24"/>
          <w:lang w:val="zh-CN"/>
        </w:rPr>
      </w:pPr>
      <w:r>
        <w:rPr>
          <w:rFonts w:hint="eastAsia" w:ascii="仿宋" w:hAnsi="仿宋" w:eastAsia="仿宋" w:cs="仿宋"/>
          <w:color w:val="auto"/>
          <w:sz w:val="24"/>
          <w:szCs w:val="24"/>
        </w:rPr>
        <w:t>8、依据政府采购法有关精神，有权对磋商过程中出现的一切问题做出处理决定。</w:t>
      </w:r>
    </w:p>
    <w:p>
      <w:pPr>
        <w:snapToGrid w:val="0"/>
        <w:spacing w:line="360" w:lineRule="auto"/>
        <w:ind w:firstLine="482" w:firstLineChars="200"/>
        <w:outlineLvl w:val="1"/>
        <w:rPr>
          <w:rFonts w:ascii="仿宋" w:hAnsi="仿宋" w:eastAsia="仿宋" w:cs="仿宋"/>
          <w:b/>
          <w:color w:val="auto"/>
          <w:sz w:val="24"/>
          <w:szCs w:val="24"/>
        </w:rPr>
      </w:pPr>
      <w:bookmarkStart w:id="219" w:name="_Toc495908031"/>
      <w:bookmarkStart w:id="220" w:name="_Toc13067"/>
      <w:bookmarkStart w:id="221" w:name="_Toc24287"/>
      <w:bookmarkStart w:id="222" w:name="_Toc32163"/>
      <w:bookmarkStart w:id="223" w:name="_Toc9971"/>
      <w:bookmarkStart w:id="224" w:name="_Toc495681232"/>
      <w:bookmarkStart w:id="225" w:name="_Toc705"/>
      <w:bookmarkStart w:id="226" w:name="_Toc6044"/>
      <w:bookmarkStart w:id="227" w:name="_Toc18764"/>
      <w:bookmarkStart w:id="228" w:name="_Toc16740"/>
      <w:bookmarkStart w:id="229" w:name="_Toc495681513"/>
      <w:bookmarkStart w:id="230" w:name="_Toc7591"/>
      <w:bookmarkStart w:id="231" w:name="_Toc17170"/>
      <w:bookmarkStart w:id="232" w:name="_Toc11057"/>
      <w:bookmarkStart w:id="233" w:name="_Toc7227"/>
      <w:bookmarkStart w:id="234" w:name="_Toc495681386"/>
      <w:bookmarkStart w:id="235" w:name="_Toc2252"/>
      <w:r>
        <w:rPr>
          <w:rFonts w:hint="eastAsia" w:ascii="仿宋" w:hAnsi="仿宋" w:eastAsia="仿宋" w:cs="仿宋"/>
          <w:b/>
          <w:color w:val="auto"/>
          <w:sz w:val="24"/>
          <w:szCs w:val="24"/>
        </w:rPr>
        <w:t>五、磋商会议</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（一）在磋商文件规定的时间和地点，由采购代理机构组织磋商工作，供应商委派代表参加，签名报到以证明其出席。磋商整个过程接受监督机构的监督和管理。</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（二）竞争性磋商会议进行时，由供应商或其推荐的代表与采购监标人共同检查响应文件的密封情况，经检查无误后，签字确认。</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（三）采购代理机构工作人员按照顺序，将各供应商首次响应文件的份数等内容公布，无异议后，由供应商法定代表人（或授权代表人）和监标人签字确认。</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（四）磋商过程由采购代理机构指定专人记录。</w:t>
      </w:r>
    </w:p>
    <w:p>
      <w:pPr>
        <w:snapToGrid w:val="0"/>
        <w:spacing w:line="360" w:lineRule="auto"/>
        <w:ind w:firstLine="482" w:firstLineChars="200"/>
        <w:outlineLvl w:val="1"/>
        <w:rPr>
          <w:rFonts w:ascii="仿宋" w:hAnsi="仿宋" w:eastAsia="仿宋" w:cs="仿宋"/>
          <w:b/>
          <w:color w:val="auto"/>
          <w:sz w:val="24"/>
          <w:szCs w:val="24"/>
        </w:rPr>
      </w:pPr>
      <w:bookmarkStart w:id="236" w:name="_Toc26932"/>
      <w:bookmarkStart w:id="237" w:name="_Toc19800"/>
      <w:bookmarkStart w:id="238" w:name="_Toc5745"/>
      <w:bookmarkStart w:id="239" w:name="_Toc10154"/>
      <w:r>
        <w:rPr>
          <w:rFonts w:hint="eastAsia" w:ascii="仿宋" w:hAnsi="仿宋" w:eastAsia="仿宋" w:cs="仿宋"/>
          <w:b/>
          <w:color w:val="auto"/>
          <w:sz w:val="24"/>
          <w:szCs w:val="24"/>
        </w:rPr>
        <w:t>六、磋商评审程序及评审办法</w:t>
      </w:r>
      <w:bookmarkEnd w:id="236"/>
      <w:bookmarkEnd w:id="237"/>
      <w:bookmarkEnd w:id="238"/>
      <w:bookmarkEnd w:id="239"/>
    </w:p>
    <w:p>
      <w:pPr>
        <w:tabs>
          <w:tab w:val="left" w:pos="9030"/>
        </w:tabs>
        <w:snapToGrid w:val="0"/>
        <w:spacing w:line="360" w:lineRule="auto"/>
        <w:ind w:right="-65" w:firstLine="482" w:firstLineChars="200"/>
        <w:outlineLvl w:val="2"/>
        <w:rPr>
          <w:rFonts w:hint="eastAsia" w:ascii="仿宋" w:hAnsi="仿宋" w:eastAsia="仿宋" w:cs="仿宋"/>
          <w:b/>
          <w:bCs/>
          <w:color w:val="auto"/>
          <w:sz w:val="24"/>
          <w:szCs w:val="24"/>
          <w:lang w:eastAsia="zh-CN"/>
        </w:rPr>
      </w:pPr>
      <w:bookmarkStart w:id="240" w:name="_Toc4804"/>
      <w:bookmarkStart w:id="241" w:name="_Toc16990"/>
      <w:bookmarkStart w:id="242" w:name="_Toc14716"/>
      <w:bookmarkStart w:id="243" w:name="_Toc14531"/>
      <w:r>
        <w:rPr>
          <w:rFonts w:hint="eastAsia" w:ascii="仿宋" w:hAnsi="仿宋" w:eastAsia="仿宋" w:cs="仿宋"/>
          <w:b/>
          <w:bCs/>
          <w:color w:val="auto"/>
          <w:sz w:val="24"/>
          <w:szCs w:val="24"/>
        </w:rPr>
        <w:t>（一）磋商响应文件的资格性审查</w:t>
      </w:r>
      <w:bookmarkEnd w:id="240"/>
      <w:bookmarkEnd w:id="241"/>
      <w:bookmarkEnd w:id="242"/>
      <w:r>
        <w:rPr>
          <w:rFonts w:hint="eastAsia" w:ascii="仿宋" w:hAnsi="仿宋" w:eastAsia="仿宋" w:cs="仿宋"/>
          <w:b/>
          <w:bCs/>
          <w:color w:val="auto"/>
          <w:sz w:val="24"/>
          <w:szCs w:val="24"/>
          <w:lang w:eastAsia="zh-CN"/>
        </w:rPr>
        <w:t>：</w:t>
      </w:r>
      <w:bookmarkEnd w:id="243"/>
    </w:p>
    <w:p>
      <w:pPr>
        <w:tabs>
          <w:tab w:val="left" w:pos="9030"/>
        </w:tabs>
        <w:snapToGrid w:val="0"/>
        <w:spacing w:line="360" w:lineRule="auto"/>
        <w:ind w:right="-65" w:firstLine="482" w:firstLineChars="200"/>
        <w:outlineLvl w:val="9"/>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 xml:space="preserve">依据法律法规和磋商文件的规定，采购人对响应文件中的资格证明文件等进行审查，审查内容为公告中所列的供应商资格条件。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172"/>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bookmarkStart w:id="244" w:name="_Toc18630"/>
            <w:bookmarkStart w:id="245" w:name="_Toc3356"/>
            <w:bookmarkStart w:id="246" w:name="_Toc17500"/>
            <w:r>
              <w:rPr>
                <w:rFonts w:hint="eastAsia" w:ascii="仿宋" w:hAnsi="仿宋" w:eastAsia="仿宋" w:cs="仿宋"/>
                <w:color w:val="auto"/>
                <w:sz w:val="22"/>
                <w:szCs w:val="22"/>
                <w:vertAlign w:val="baseline"/>
                <w:lang w:eastAsia="zh-CN"/>
              </w:rPr>
              <w:t>序号</w:t>
            </w:r>
          </w:p>
        </w:tc>
        <w:tc>
          <w:tcPr>
            <w:tcW w:w="2172"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资格审查项</w:t>
            </w:r>
          </w:p>
        </w:tc>
        <w:tc>
          <w:tcPr>
            <w:tcW w:w="594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p>
        </w:tc>
        <w:tc>
          <w:tcPr>
            <w:tcW w:w="2172" w:type="dxa"/>
            <w:vAlign w:val="center"/>
          </w:tcPr>
          <w:p>
            <w:pPr>
              <w:spacing w:before="313" w:line="360" w:lineRule="auto"/>
              <w:ind w:right="112" w:rightChars="0"/>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19"/>
                <w:sz w:val="22"/>
                <w:szCs w:val="22"/>
              </w:rPr>
              <w:t>营业执照等主</w:t>
            </w:r>
            <w:r>
              <w:rPr>
                <w:rFonts w:hint="eastAsia" w:ascii="仿宋" w:hAnsi="仿宋" w:eastAsia="仿宋" w:cs="仿宋"/>
                <w:spacing w:val="20"/>
                <w:sz w:val="22"/>
                <w:szCs w:val="22"/>
              </w:rPr>
              <w:t>体资格证明文</w:t>
            </w:r>
            <w:r>
              <w:rPr>
                <w:rFonts w:hint="eastAsia" w:ascii="仿宋" w:hAnsi="仿宋" w:eastAsia="仿宋" w:cs="仿宋"/>
                <w:sz w:val="22"/>
                <w:szCs w:val="22"/>
              </w:rPr>
              <w:t>件</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lang w:eastAsia="zh-CN"/>
              </w:rPr>
            </w:pPr>
            <w:r>
              <w:rPr>
                <w:rFonts w:hint="eastAsia" w:ascii="仿宋" w:hAnsi="仿宋" w:eastAsia="仿宋" w:cs="仿宋"/>
                <w:sz w:val="22"/>
                <w:szCs w:val="22"/>
              </w:rPr>
              <w:t>提供统一社会信用代码的营业执照或其他组织经营的合法凭证或自然人的提供身份证明文件</w:t>
            </w:r>
            <w:r>
              <w:rPr>
                <w:rFonts w:hint="eastAsia" w:ascii="仿宋" w:hAnsi="仿宋" w:eastAsia="仿宋" w:cs="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1"/>
                <w:sz w:val="22"/>
                <w:szCs w:val="22"/>
              </w:rPr>
              <w:t>财务状况报告</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sz w:val="22"/>
                <w:szCs w:val="22"/>
                <w:lang w:eastAsia="zh-CN"/>
              </w:rPr>
              <w:t>提供具有财务审计资质单位出具的202</w:t>
            </w: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年度财务报告或磋商前六个月内其基本账户银行出具的资信证明（附基本户证明资料）或财政部门认可的政府采购专业担保机构出具的担保函，以上形式的证明资料提供任何一种即可。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1"/>
                <w:sz w:val="22"/>
                <w:szCs w:val="22"/>
              </w:rPr>
              <w:t>社保缴纳证明</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sz w:val="22"/>
                <w:szCs w:val="22"/>
                <w:lang w:eastAsia="zh-CN"/>
              </w:rPr>
              <w:t>提供已缴存的 2021年1月1日以来至少一个月的社会保障资金缴存单据或社保机构开具的社会保险参保缴费情况证明。成立时间至提交响应文件截止时间不足一个月或依法不需要缴纳社会保障资金的供应商应提供相关文件证明；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4</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1"/>
                <w:sz w:val="22"/>
                <w:szCs w:val="22"/>
              </w:rPr>
              <w:t>税收缴纳证明</w:t>
            </w:r>
          </w:p>
        </w:tc>
        <w:tc>
          <w:tcPr>
            <w:tcW w:w="5944" w:type="dxa"/>
            <w:vAlign w:val="center"/>
          </w:tcPr>
          <w:p>
            <w:pPr>
              <w:spacing w:line="360" w:lineRule="auto"/>
              <w:jc w:val="left"/>
              <w:outlineLvl w:val="9"/>
              <w:rPr>
                <w:rFonts w:hint="eastAsia" w:ascii="仿宋" w:hAnsi="仿宋" w:eastAsia="仿宋" w:cs="仿宋"/>
                <w:color w:val="auto"/>
                <w:sz w:val="22"/>
                <w:szCs w:val="22"/>
                <w:vertAlign w:val="baseline"/>
              </w:rPr>
            </w:pPr>
            <w:r>
              <w:rPr>
                <w:rFonts w:hint="eastAsia" w:ascii="仿宋" w:hAnsi="仿宋" w:eastAsia="仿宋" w:cs="仿宋"/>
                <w:sz w:val="22"/>
                <w:szCs w:val="22"/>
                <w:lang w:eastAsia="zh-CN"/>
              </w:rPr>
              <w:t>提供已缴纳的 2021年1月1日以来至少一个月的纳税证明或完税证明（提供增值税、企业所得税至少一种），纳税证明或完税证明上应有代收机构或税务机关的公章或业务专用章。依法免税的供应商应提供相关文件证明。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5</w:t>
            </w:r>
          </w:p>
        </w:tc>
        <w:tc>
          <w:tcPr>
            <w:tcW w:w="2172" w:type="dxa"/>
            <w:vAlign w:val="center"/>
          </w:tcPr>
          <w:p>
            <w:pPr>
              <w:spacing w:before="78" w:line="360" w:lineRule="auto"/>
              <w:jc w:val="center"/>
              <w:outlineLvl w:val="9"/>
              <w:rPr>
                <w:rFonts w:hint="eastAsia" w:ascii="仿宋" w:hAnsi="仿宋" w:eastAsia="仿宋" w:cs="仿宋"/>
                <w:spacing w:val="-1"/>
                <w:sz w:val="22"/>
                <w:szCs w:val="22"/>
                <w:lang w:eastAsia="zh-CN"/>
              </w:rPr>
            </w:pPr>
            <w:r>
              <w:rPr>
                <w:rFonts w:hint="eastAsia" w:ascii="仿宋" w:hAnsi="仿宋" w:eastAsia="仿宋" w:cs="仿宋"/>
                <w:spacing w:val="-1"/>
                <w:sz w:val="22"/>
                <w:szCs w:val="22"/>
                <w:lang w:eastAsia="zh-CN"/>
              </w:rPr>
              <w:t>书面声明</w:t>
            </w:r>
          </w:p>
        </w:tc>
        <w:tc>
          <w:tcPr>
            <w:tcW w:w="5944" w:type="dxa"/>
            <w:vAlign w:val="center"/>
          </w:tcPr>
          <w:p>
            <w:pPr>
              <w:spacing w:line="360" w:lineRule="auto"/>
              <w:outlineLvl w:val="9"/>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lang w:eastAsia="zh-CN"/>
              </w:rPr>
              <w:t xml:space="preserve">出具履行合同所必需的设备和专业技术能力的书面声明； </w:t>
            </w:r>
          </w:p>
          <w:p>
            <w:pPr>
              <w:spacing w:line="360" w:lineRule="auto"/>
              <w:outlineLvl w:val="9"/>
              <w:rPr>
                <w:rFonts w:hint="eastAsia" w:ascii="仿宋" w:hAnsi="仿宋" w:eastAsia="仿宋" w:cs="仿宋"/>
                <w:sz w:val="22"/>
                <w:szCs w:val="22"/>
                <w:lang w:eastAsia="zh-CN"/>
              </w:rPr>
            </w:pPr>
            <w:r>
              <w:rPr>
                <w:rFonts w:hint="eastAsia" w:ascii="仿宋" w:hAnsi="仿宋" w:eastAsia="仿宋" w:cs="仿宋"/>
                <w:sz w:val="22"/>
                <w:szCs w:val="22"/>
                <w:lang w:val="en-US" w:eastAsia="zh-CN"/>
              </w:rPr>
              <w:t>2.</w:t>
            </w:r>
            <w:r>
              <w:rPr>
                <w:rFonts w:hint="eastAsia" w:ascii="仿宋" w:hAnsi="仿宋" w:eastAsia="仿宋" w:cs="仿宋"/>
                <w:sz w:val="22"/>
                <w:szCs w:val="22"/>
              </w:rPr>
              <w:t xml:space="preserve">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6</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2"/>
                <w:sz w:val="22"/>
                <w:szCs w:val="22"/>
              </w:rPr>
              <w:t>信用记录</w:t>
            </w:r>
          </w:p>
        </w:tc>
        <w:tc>
          <w:tcPr>
            <w:tcW w:w="5944" w:type="dxa"/>
            <w:vAlign w:val="center"/>
          </w:tcPr>
          <w:p>
            <w:pPr>
              <w:tabs>
                <w:tab w:val="left" w:pos="9030"/>
              </w:tabs>
              <w:snapToGrid w:val="0"/>
              <w:spacing w:line="360" w:lineRule="auto"/>
              <w:ind w:right="-65" w:firstLine="364" w:firstLineChars="200"/>
              <w:jc w:val="left"/>
              <w:outlineLvl w:val="9"/>
              <w:rPr>
                <w:rFonts w:hint="eastAsia" w:ascii="仿宋" w:hAnsi="仿宋" w:eastAsia="仿宋" w:cs="仿宋"/>
                <w:color w:val="auto"/>
                <w:sz w:val="22"/>
                <w:szCs w:val="22"/>
                <w:vertAlign w:val="baseline"/>
              </w:rPr>
            </w:pPr>
            <w:r>
              <w:rPr>
                <w:rFonts w:hint="eastAsia" w:ascii="仿宋" w:hAnsi="仿宋" w:eastAsia="仿宋" w:cs="仿宋"/>
                <w:spacing w:val="-19"/>
                <w:sz w:val="22"/>
                <w:szCs w:val="22"/>
              </w:rPr>
              <w:t>经查，供应商未被列</w:t>
            </w:r>
            <w:r>
              <w:rPr>
                <w:rFonts w:hint="eastAsia" w:ascii="仿宋" w:hAnsi="仿宋" w:eastAsia="仿宋" w:cs="仿宋"/>
                <w:sz w:val="22"/>
                <w:szCs w:val="22"/>
              </w:rPr>
              <w:t xml:space="preserve"> </w:t>
            </w:r>
            <w:r>
              <w:rPr>
                <w:rFonts w:hint="eastAsia" w:ascii="仿宋" w:hAnsi="仿宋" w:eastAsia="仿宋" w:cs="仿宋"/>
                <w:spacing w:val="4"/>
                <w:sz w:val="22"/>
                <w:szCs w:val="22"/>
              </w:rPr>
              <w:t>入“信用中国”网站记录的“失信被执行</w:t>
            </w:r>
            <w:r>
              <w:rPr>
                <w:rFonts w:hint="eastAsia" w:ascii="仿宋" w:hAnsi="仿宋" w:eastAsia="仿宋" w:cs="仿宋"/>
                <w:spacing w:val="16"/>
                <w:sz w:val="22"/>
                <w:szCs w:val="22"/>
              </w:rPr>
              <w:t xml:space="preserve"> </w:t>
            </w:r>
            <w:r>
              <w:rPr>
                <w:rFonts w:hint="eastAsia" w:ascii="仿宋" w:hAnsi="仿宋" w:eastAsia="仿宋" w:cs="仿宋"/>
                <w:spacing w:val="-5"/>
                <w:sz w:val="22"/>
                <w:szCs w:val="22"/>
              </w:rPr>
              <w:t>人”或“</w:t>
            </w:r>
            <w:r>
              <w:rPr>
                <w:rFonts w:hint="eastAsia" w:ascii="仿宋" w:hAnsi="仿宋" w:eastAsia="仿宋" w:cs="仿宋"/>
                <w:spacing w:val="-5"/>
                <w:sz w:val="22"/>
                <w:szCs w:val="22"/>
                <w:lang w:eastAsia="zh-CN"/>
              </w:rPr>
              <w:t>重大税收违法失信主体</w:t>
            </w:r>
            <w:r>
              <w:rPr>
                <w:rFonts w:hint="eastAsia" w:ascii="仿宋" w:hAnsi="仿宋" w:eastAsia="仿宋" w:cs="仿宋"/>
                <w:spacing w:val="-5"/>
                <w:sz w:val="22"/>
                <w:szCs w:val="22"/>
              </w:rPr>
              <w:t>”名单；</w:t>
            </w:r>
            <w:r>
              <w:rPr>
                <w:rFonts w:hint="eastAsia" w:ascii="仿宋" w:hAnsi="仿宋" w:eastAsia="仿宋" w:cs="仿宋"/>
                <w:spacing w:val="14"/>
                <w:sz w:val="22"/>
                <w:szCs w:val="22"/>
              </w:rPr>
              <w:t xml:space="preserve"> </w:t>
            </w:r>
            <w:r>
              <w:rPr>
                <w:rFonts w:hint="eastAsia" w:ascii="仿宋" w:hAnsi="仿宋" w:eastAsia="仿宋" w:cs="仿宋"/>
                <w:spacing w:val="-8"/>
                <w:sz w:val="22"/>
                <w:szCs w:val="22"/>
              </w:rPr>
              <w:t>不处于“中国政府采购网”记录的“政府采</w:t>
            </w:r>
            <w:r>
              <w:rPr>
                <w:rFonts w:hint="eastAsia" w:ascii="仿宋" w:hAnsi="仿宋" w:eastAsia="仿宋" w:cs="仿宋"/>
                <w:spacing w:val="-4"/>
                <w:sz w:val="22"/>
                <w:szCs w:val="22"/>
              </w:rPr>
              <w:t>购严重违法失信行为记录名单</w:t>
            </w:r>
            <w:r>
              <w:rPr>
                <w:rFonts w:hint="eastAsia" w:ascii="仿宋" w:hAnsi="仿宋" w:eastAsia="仿宋" w:cs="仿宋"/>
                <w:spacing w:val="41"/>
                <w:sz w:val="22"/>
                <w:szCs w:val="22"/>
              </w:rPr>
              <w:t xml:space="preserve"> </w:t>
            </w:r>
            <w:r>
              <w:rPr>
                <w:rFonts w:hint="eastAsia" w:ascii="仿宋" w:hAnsi="仿宋" w:eastAsia="仿宋" w:cs="仿宋"/>
                <w:spacing w:val="-4"/>
                <w:sz w:val="22"/>
                <w:szCs w:val="22"/>
              </w:rPr>
              <w:t>”中的禁止</w:t>
            </w:r>
            <w:r>
              <w:rPr>
                <w:rFonts w:hint="eastAsia" w:ascii="仿宋" w:hAnsi="仿宋" w:eastAsia="仿宋" w:cs="仿宋"/>
                <w:sz w:val="22"/>
                <w:szCs w:val="22"/>
              </w:rPr>
              <w:t>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7</w:t>
            </w:r>
          </w:p>
        </w:tc>
        <w:tc>
          <w:tcPr>
            <w:tcW w:w="2172" w:type="dxa"/>
            <w:vAlign w:val="center"/>
          </w:tcPr>
          <w:p>
            <w:pPr>
              <w:spacing w:before="78" w:line="360" w:lineRule="auto"/>
              <w:jc w:val="center"/>
              <w:outlineLvl w:val="9"/>
              <w:rPr>
                <w:rFonts w:hint="eastAsia" w:ascii="仿宋" w:hAnsi="仿宋" w:eastAsia="仿宋" w:cs="仿宋"/>
                <w:spacing w:val="-2"/>
                <w:sz w:val="22"/>
                <w:szCs w:val="22"/>
              </w:rPr>
            </w:pPr>
            <w:r>
              <w:rPr>
                <w:rFonts w:ascii="仿宋" w:hAnsi="仿宋" w:eastAsia="仿宋" w:cs="仿宋"/>
                <w:spacing w:val="19"/>
                <w:sz w:val="22"/>
                <w:szCs w:val="22"/>
              </w:rPr>
              <w:t>法定代表人授</w:t>
            </w:r>
            <w:r>
              <w:rPr>
                <w:rFonts w:ascii="仿宋" w:hAnsi="仿宋" w:eastAsia="仿宋" w:cs="仿宋"/>
                <w:spacing w:val="-2"/>
                <w:sz w:val="22"/>
                <w:szCs w:val="22"/>
              </w:rPr>
              <w:t>权委托书</w:t>
            </w:r>
          </w:p>
        </w:tc>
        <w:tc>
          <w:tcPr>
            <w:tcW w:w="5944" w:type="dxa"/>
            <w:vAlign w:val="center"/>
          </w:tcPr>
          <w:p>
            <w:pPr>
              <w:spacing w:line="360" w:lineRule="auto"/>
              <w:ind w:firstLine="420" w:firstLineChars="200"/>
              <w:outlineLvl w:val="9"/>
              <w:rPr>
                <w:rFonts w:hint="eastAsia" w:ascii="仿宋" w:hAnsi="仿宋" w:eastAsia="仿宋" w:cs="仿宋"/>
                <w:spacing w:val="-19"/>
                <w:sz w:val="22"/>
                <w:szCs w:val="22"/>
                <w:lang w:eastAsia="zh-CN"/>
              </w:rPr>
            </w:pPr>
            <w:r>
              <w:rPr>
                <w:rFonts w:hint="eastAsia" w:ascii="仿宋" w:hAnsi="仿宋" w:eastAsia="仿宋" w:cs="仿宋"/>
                <w:spacing w:val="-5"/>
                <w:sz w:val="22"/>
                <w:szCs w:val="22"/>
              </w:rPr>
              <w:t>法定代表人参加</w:t>
            </w:r>
            <w:r>
              <w:rPr>
                <w:rFonts w:hint="eastAsia" w:ascii="仿宋" w:hAnsi="仿宋" w:eastAsia="仿宋" w:cs="仿宋"/>
                <w:spacing w:val="-5"/>
                <w:sz w:val="22"/>
                <w:szCs w:val="22"/>
                <w:lang w:eastAsia="zh-CN"/>
              </w:rPr>
              <w:t>磋商</w:t>
            </w:r>
            <w:r>
              <w:rPr>
                <w:rFonts w:hint="eastAsia" w:ascii="仿宋" w:hAnsi="仿宋" w:eastAsia="仿宋" w:cs="仿宋"/>
                <w:spacing w:val="-5"/>
                <w:sz w:val="22"/>
                <w:szCs w:val="22"/>
              </w:rPr>
              <w:t>的，须提供法定代表人身份证明；法定代表人授权他人参加</w:t>
            </w:r>
            <w:r>
              <w:rPr>
                <w:rFonts w:hint="eastAsia" w:ascii="仿宋" w:hAnsi="仿宋" w:eastAsia="仿宋" w:cs="仿宋"/>
                <w:spacing w:val="-5"/>
                <w:sz w:val="22"/>
                <w:szCs w:val="22"/>
                <w:lang w:eastAsia="zh-CN"/>
              </w:rPr>
              <w:t>磋商</w:t>
            </w:r>
            <w:r>
              <w:rPr>
                <w:rFonts w:hint="eastAsia" w:ascii="仿宋" w:hAnsi="仿宋" w:eastAsia="仿宋" w:cs="仿宋"/>
                <w:spacing w:val="-5"/>
                <w:sz w:val="22"/>
                <w:szCs w:val="22"/>
              </w:rPr>
              <w:t>的，须提供法定代表人授权委托书</w:t>
            </w:r>
            <w:r>
              <w:rPr>
                <w:rFonts w:hint="eastAsia" w:ascii="仿宋" w:hAnsi="仿宋" w:eastAsia="仿宋" w:cs="仿宋"/>
                <w:spacing w:val="-5"/>
                <w:sz w:val="22"/>
                <w:szCs w:val="22"/>
                <w:lang w:eastAsia="zh-CN"/>
              </w:rPr>
              <w:t>，</w:t>
            </w:r>
            <w:r>
              <w:rPr>
                <w:rFonts w:hint="eastAsia" w:ascii="仿宋" w:hAnsi="仿宋" w:eastAsia="仿宋" w:cs="仿宋"/>
                <w:spacing w:val="-5"/>
                <w:sz w:val="22"/>
                <w:szCs w:val="22"/>
              </w:rPr>
              <w:t>被授权代表本单位证明：有效的劳动合同或</w:t>
            </w:r>
            <w:r>
              <w:rPr>
                <w:rFonts w:hint="eastAsia" w:ascii="仿宋" w:hAnsi="仿宋" w:eastAsia="仿宋" w:cs="仿宋"/>
                <w:spacing w:val="-5"/>
                <w:sz w:val="22"/>
                <w:szCs w:val="22"/>
                <w:lang w:eastAsia="zh-CN"/>
              </w:rPr>
              <w:t>磋商</w:t>
            </w:r>
            <w:r>
              <w:rPr>
                <w:rFonts w:hint="eastAsia" w:ascii="仿宋" w:hAnsi="仿宋" w:eastAsia="仿宋" w:cs="仿宋"/>
                <w:spacing w:val="-5"/>
                <w:sz w:val="22"/>
                <w:szCs w:val="22"/>
              </w:rPr>
              <w:t>截止前六个月内任意一个月养老保险缴纳证明。（法人参加只需提供法定代表人身份证明）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spacing w:before="78" w:line="360" w:lineRule="auto"/>
              <w:jc w:val="center"/>
              <w:outlineLvl w:val="9"/>
              <w:rPr>
                <w:rFonts w:hint="default" w:ascii="仿宋" w:hAnsi="仿宋" w:eastAsia="仿宋" w:cs="仿宋"/>
                <w:spacing w:val="19"/>
                <w:sz w:val="22"/>
                <w:szCs w:val="22"/>
                <w:lang w:val="en-US" w:eastAsia="zh-CN"/>
              </w:rPr>
            </w:pPr>
            <w:r>
              <w:rPr>
                <w:rFonts w:hint="eastAsia" w:ascii="仿宋" w:hAnsi="仿宋" w:eastAsia="仿宋" w:cs="仿宋"/>
                <w:spacing w:val="19"/>
                <w:sz w:val="22"/>
                <w:szCs w:val="22"/>
                <w:lang w:val="en-US" w:eastAsia="zh-CN"/>
              </w:rPr>
              <w:t>8</w:t>
            </w:r>
          </w:p>
        </w:tc>
        <w:tc>
          <w:tcPr>
            <w:tcW w:w="2172" w:type="dxa"/>
            <w:vAlign w:val="center"/>
          </w:tcPr>
          <w:p>
            <w:pPr>
              <w:spacing w:before="78" w:line="360" w:lineRule="auto"/>
              <w:jc w:val="center"/>
              <w:outlineLvl w:val="9"/>
              <w:rPr>
                <w:rFonts w:ascii="仿宋" w:hAnsi="仿宋" w:eastAsia="仿宋" w:cs="仿宋"/>
                <w:spacing w:val="19"/>
                <w:sz w:val="22"/>
                <w:szCs w:val="22"/>
              </w:rPr>
            </w:pPr>
            <w:r>
              <w:rPr>
                <w:rFonts w:hint="eastAsia" w:ascii="仿宋" w:hAnsi="仿宋" w:eastAsia="仿宋" w:cs="仿宋"/>
                <w:spacing w:val="19"/>
                <w:sz w:val="22"/>
                <w:szCs w:val="22"/>
              </w:rPr>
              <w:t>中小企业声明函</w:t>
            </w:r>
          </w:p>
        </w:tc>
        <w:tc>
          <w:tcPr>
            <w:tcW w:w="5944" w:type="dxa"/>
            <w:vAlign w:val="center"/>
          </w:tcPr>
          <w:p>
            <w:pPr>
              <w:spacing w:line="360" w:lineRule="auto"/>
              <w:ind w:firstLine="420" w:firstLineChars="200"/>
              <w:jc w:val="left"/>
              <w:outlineLvl w:val="9"/>
              <w:rPr>
                <w:rFonts w:hint="eastAsia" w:ascii="仿宋" w:hAnsi="仿宋" w:eastAsia="仿宋" w:cs="仿宋"/>
                <w:spacing w:val="-5"/>
                <w:sz w:val="22"/>
                <w:szCs w:val="22"/>
                <w:lang w:eastAsia="zh-CN"/>
              </w:rPr>
            </w:pPr>
            <w:r>
              <w:rPr>
                <w:rFonts w:hint="eastAsia" w:ascii="仿宋" w:hAnsi="仿宋" w:eastAsia="仿宋" w:cs="仿宋"/>
                <w:spacing w:val="-5"/>
                <w:sz w:val="22"/>
                <w:szCs w:val="22"/>
                <w:lang w:eastAsia="zh-CN"/>
              </w:rPr>
              <w:t>本项目专门面向中小企业采购</w:t>
            </w:r>
          </w:p>
        </w:tc>
      </w:tr>
    </w:tbl>
    <w:p>
      <w:pPr>
        <w:tabs>
          <w:tab w:val="left" w:pos="9030"/>
        </w:tabs>
        <w:snapToGrid w:val="0"/>
        <w:spacing w:line="360" w:lineRule="auto"/>
        <w:ind w:right="-65" w:firstLine="482" w:firstLineChars="200"/>
        <w:rPr>
          <w:rFonts w:hint="eastAsia" w:ascii="仿宋" w:hAnsi="仿宋" w:eastAsia="仿宋" w:cs="仿宋"/>
          <w:color w:val="auto"/>
          <w:sz w:val="24"/>
          <w:szCs w:val="24"/>
        </w:rPr>
      </w:pPr>
      <w:r>
        <w:rPr>
          <w:rFonts w:hint="eastAsia" w:ascii="仿宋" w:hAnsi="仿宋" w:eastAsia="仿宋" w:cs="仿宋"/>
          <w:b/>
          <w:bCs/>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numPr>
          <w:ilvl w:val="0"/>
          <w:numId w:val="1"/>
        </w:numPr>
        <w:tabs>
          <w:tab w:val="left" w:pos="9030"/>
        </w:tabs>
        <w:snapToGrid w:val="0"/>
        <w:spacing w:line="360" w:lineRule="auto"/>
        <w:ind w:right="-65" w:firstLine="482" w:firstLineChars="200"/>
        <w:outlineLvl w:val="2"/>
        <w:rPr>
          <w:rFonts w:hint="eastAsia" w:ascii="仿宋" w:hAnsi="仿宋" w:eastAsia="仿宋" w:cs="仿宋"/>
          <w:b/>
          <w:bCs/>
          <w:color w:val="auto"/>
          <w:sz w:val="24"/>
          <w:szCs w:val="24"/>
          <w:lang w:eastAsia="zh-CN"/>
        </w:rPr>
      </w:pPr>
      <w:bookmarkStart w:id="247" w:name="_Toc19211"/>
      <w:r>
        <w:rPr>
          <w:rFonts w:hint="eastAsia" w:ascii="仿宋" w:hAnsi="仿宋" w:eastAsia="仿宋" w:cs="仿宋"/>
          <w:b/>
          <w:bCs/>
          <w:color w:val="auto"/>
          <w:sz w:val="24"/>
          <w:szCs w:val="24"/>
        </w:rPr>
        <w:t>磋商响应文件符合性审查</w:t>
      </w:r>
      <w:bookmarkEnd w:id="244"/>
      <w:bookmarkEnd w:id="245"/>
      <w:bookmarkEnd w:id="246"/>
      <w:r>
        <w:rPr>
          <w:rFonts w:hint="eastAsia" w:ascii="仿宋" w:hAnsi="仿宋" w:eastAsia="仿宋" w:cs="仿宋"/>
          <w:b/>
          <w:bCs/>
          <w:color w:val="auto"/>
          <w:sz w:val="24"/>
          <w:szCs w:val="24"/>
          <w:lang w:eastAsia="zh-CN"/>
        </w:rPr>
        <w:t>：</w:t>
      </w:r>
      <w:bookmarkEnd w:id="247"/>
    </w:p>
    <w:p>
      <w:pPr>
        <w:numPr>
          <w:ilvl w:val="0"/>
          <w:numId w:val="0"/>
        </w:numPr>
        <w:tabs>
          <w:tab w:val="left" w:pos="9030"/>
        </w:tabs>
        <w:snapToGrid w:val="0"/>
        <w:spacing w:line="360" w:lineRule="auto"/>
        <w:ind w:right="-65" w:rightChars="0" w:firstLine="482" w:firstLineChars="200"/>
        <w:outlineLvl w:val="9"/>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依据磋商文件的规定，磋商小组从响应文件的有效性、完整性和对磋商文件的响应程度进行审查，以确定是否对磋商文件的实质性内容作出响应。</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170"/>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bookmarkStart w:id="248" w:name="_Toc26970"/>
            <w:bookmarkStart w:id="249" w:name="_Toc27628"/>
            <w:bookmarkStart w:id="250" w:name="_Toc18470"/>
            <w:r>
              <w:rPr>
                <w:rFonts w:hint="eastAsia" w:ascii="仿宋" w:hAnsi="仿宋" w:eastAsia="仿宋" w:cs="仿宋"/>
                <w:color w:val="auto"/>
                <w:sz w:val="22"/>
                <w:szCs w:val="22"/>
                <w:vertAlign w:val="baseline"/>
                <w:lang w:eastAsia="zh-CN"/>
              </w:rPr>
              <w:t>序号</w:t>
            </w:r>
          </w:p>
        </w:tc>
        <w:tc>
          <w:tcPr>
            <w:tcW w:w="2170"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ascii="仿宋" w:hAnsi="仿宋" w:eastAsia="仿宋" w:cs="仿宋"/>
                <w:spacing w:val="-1"/>
                <w:sz w:val="22"/>
                <w:szCs w:val="22"/>
              </w:rPr>
              <w:t>符合性审查项</w:t>
            </w:r>
          </w:p>
        </w:tc>
        <w:tc>
          <w:tcPr>
            <w:tcW w:w="5946"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p>
        </w:tc>
        <w:tc>
          <w:tcPr>
            <w:tcW w:w="2170" w:type="dxa"/>
            <w:vAlign w:val="center"/>
          </w:tcPr>
          <w:p>
            <w:pPr>
              <w:spacing w:before="313" w:line="360" w:lineRule="auto"/>
              <w:ind w:right="112" w:rightChars="0"/>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1"/>
                <w:sz w:val="22"/>
                <w:szCs w:val="22"/>
                <w:lang w:eastAsia="zh-CN"/>
              </w:rPr>
              <w:t>响应</w:t>
            </w:r>
            <w:r>
              <w:rPr>
                <w:rFonts w:ascii="仿宋" w:hAnsi="仿宋" w:eastAsia="仿宋" w:cs="仿宋"/>
                <w:spacing w:val="1"/>
                <w:sz w:val="22"/>
                <w:szCs w:val="22"/>
              </w:rPr>
              <w:t>文件语言及有效</w:t>
            </w:r>
            <w:r>
              <w:rPr>
                <w:rFonts w:ascii="仿宋" w:hAnsi="仿宋" w:eastAsia="仿宋" w:cs="仿宋"/>
                <w:sz w:val="22"/>
                <w:szCs w:val="22"/>
              </w:rPr>
              <w:t>期</w:t>
            </w:r>
          </w:p>
        </w:tc>
        <w:tc>
          <w:tcPr>
            <w:tcW w:w="5946"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lang w:eastAsia="zh-CN"/>
              </w:rPr>
            </w:pPr>
            <w:r>
              <w:rPr>
                <w:rFonts w:hint="eastAsia" w:ascii="仿宋" w:hAnsi="仿宋" w:eastAsia="仿宋" w:cs="仿宋"/>
                <w:spacing w:val="1"/>
                <w:sz w:val="22"/>
                <w:szCs w:val="22"/>
                <w:lang w:eastAsia="zh-CN"/>
              </w:rPr>
              <w:t>响应</w:t>
            </w:r>
            <w:r>
              <w:rPr>
                <w:rFonts w:ascii="仿宋" w:hAnsi="仿宋" w:eastAsia="仿宋" w:cs="仿宋"/>
                <w:spacing w:val="1"/>
                <w:sz w:val="22"/>
                <w:szCs w:val="22"/>
              </w:rPr>
              <w:t>文件语言及有效期符合</w:t>
            </w:r>
            <w:r>
              <w:rPr>
                <w:rFonts w:hint="eastAsia" w:ascii="仿宋" w:hAnsi="仿宋" w:eastAsia="仿宋" w:cs="仿宋"/>
                <w:spacing w:val="1"/>
                <w:sz w:val="22"/>
                <w:szCs w:val="22"/>
                <w:lang w:eastAsia="zh-CN"/>
              </w:rPr>
              <w:t>磋商</w:t>
            </w:r>
            <w:r>
              <w:rPr>
                <w:rFonts w:ascii="仿宋" w:hAnsi="仿宋" w:eastAsia="仿宋" w:cs="仿宋"/>
                <w:spacing w:val="1"/>
                <w:sz w:val="22"/>
                <w:szCs w:val="22"/>
              </w:rPr>
              <w:t>文件</w:t>
            </w:r>
            <w:r>
              <w:rPr>
                <w:rFonts w:ascii="仿宋" w:hAnsi="仿宋" w:eastAsia="仿宋" w:cs="仿宋"/>
                <w:spacing w:val="-11"/>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w:t>
            </w:r>
          </w:p>
        </w:tc>
        <w:tc>
          <w:tcPr>
            <w:tcW w:w="2170"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spacing w:val="1"/>
                <w:sz w:val="22"/>
                <w:szCs w:val="22"/>
                <w:lang w:eastAsia="zh-CN"/>
              </w:rPr>
              <w:t>响应</w:t>
            </w:r>
            <w:r>
              <w:rPr>
                <w:rFonts w:ascii="仿宋" w:hAnsi="仿宋" w:eastAsia="仿宋" w:cs="仿宋"/>
                <w:spacing w:val="1"/>
                <w:sz w:val="22"/>
                <w:szCs w:val="22"/>
              </w:rPr>
              <w:t>文件的</w:t>
            </w:r>
            <w:r>
              <w:rPr>
                <w:rFonts w:hint="eastAsia" w:ascii="仿宋" w:hAnsi="仿宋" w:eastAsia="仿宋" w:cs="仿宋"/>
                <w:spacing w:val="1"/>
                <w:sz w:val="22"/>
                <w:szCs w:val="22"/>
                <w:lang w:eastAsia="zh-CN"/>
              </w:rPr>
              <w:t>磋商响应</w:t>
            </w:r>
            <w:r>
              <w:rPr>
                <w:rFonts w:ascii="仿宋" w:hAnsi="仿宋" w:eastAsia="仿宋" w:cs="仿宋"/>
                <w:spacing w:val="1"/>
                <w:sz w:val="22"/>
                <w:szCs w:val="22"/>
              </w:rPr>
              <w:t>函以</w:t>
            </w:r>
            <w:r>
              <w:rPr>
                <w:rFonts w:ascii="仿宋" w:hAnsi="仿宋" w:eastAsia="仿宋" w:cs="仿宋"/>
                <w:sz w:val="22"/>
                <w:szCs w:val="22"/>
              </w:rPr>
              <w:t>及法定代表人授权委</w:t>
            </w:r>
            <w:r>
              <w:rPr>
                <w:rFonts w:ascii="仿宋" w:hAnsi="仿宋" w:eastAsia="仿宋" w:cs="仿宋"/>
                <w:spacing w:val="-4"/>
                <w:sz w:val="22"/>
                <w:szCs w:val="22"/>
              </w:rPr>
              <w:t>托书</w:t>
            </w:r>
          </w:p>
        </w:tc>
        <w:tc>
          <w:tcPr>
            <w:tcW w:w="5946"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ascii="仿宋" w:hAnsi="仿宋" w:eastAsia="仿宋" w:cs="仿宋"/>
                <w:spacing w:val="-10"/>
                <w:sz w:val="22"/>
                <w:szCs w:val="22"/>
              </w:rPr>
              <w:t>二处均无遗漏，且所投项目名称、标</w:t>
            </w:r>
            <w:r>
              <w:rPr>
                <w:rFonts w:ascii="仿宋" w:hAnsi="仿宋" w:eastAsia="仿宋" w:cs="仿宋"/>
                <w:spacing w:val="1"/>
                <w:sz w:val="22"/>
                <w:szCs w:val="22"/>
              </w:rPr>
              <w:t>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w:t>
            </w:r>
          </w:p>
        </w:tc>
        <w:tc>
          <w:tcPr>
            <w:tcW w:w="2170" w:type="dxa"/>
            <w:vAlign w:val="center"/>
          </w:tcPr>
          <w:p>
            <w:pPr>
              <w:spacing w:before="78" w:line="360" w:lineRule="auto"/>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磋商报价表</w:t>
            </w:r>
          </w:p>
        </w:tc>
        <w:tc>
          <w:tcPr>
            <w:tcW w:w="5946"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 xml:space="preserve">（1） </w:t>
            </w:r>
            <w:r>
              <w:rPr>
                <w:rFonts w:hint="eastAsia" w:ascii="仿宋" w:hAnsi="仿宋" w:eastAsia="仿宋" w:cs="仿宋"/>
                <w:color w:val="auto"/>
                <w:sz w:val="22"/>
                <w:szCs w:val="22"/>
                <w:vertAlign w:val="baseline"/>
                <w:lang w:eastAsia="zh-CN"/>
              </w:rPr>
              <w:t>磋商</w:t>
            </w:r>
            <w:r>
              <w:rPr>
                <w:rFonts w:hint="eastAsia" w:ascii="仿宋" w:hAnsi="仿宋" w:eastAsia="仿宋" w:cs="仿宋"/>
                <w:color w:val="auto"/>
                <w:sz w:val="22"/>
                <w:szCs w:val="22"/>
                <w:vertAlign w:val="baseline"/>
              </w:rPr>
              <w:t>报价符合唯一性要求：</w:t>
            </w:r>
          </w:p>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 xml:space="preserve">（2） </w:t>
            </w:r>
            <w:r>
              <w:rPr>
                <w:rFonts w:hint="eastAsia" w:ascii="仿宋" w:hAnsi="仿宋" w:eastAsia="仿宋" w:cs="仿宋"/>
                <w:color w:val="auto"/>
                <w:sz w:val="22"/>
                <w:szCs w:val="22"/>
                <w:vertAlign w:val="baseline"/>
                <w:lang w:eastAsia="zh-CN"/>
              </w:rPr>
              <w:t>磋商报价表</w:t>
            </w:r>
            <w:r>
              <w:rPr>
                <w:rFonts w:hint="eastAsia" w:ascii="仿宋" w:hAnsi="仿宋" w:eastAsia="仿宋" w:cs="仿宋"/>
                <w:color w:val="auto"/>
                <w:sz w:val="22"/>
                <w:szCs w:val="22"/>
                <w:vertAlign w:val="baseline"/>
              </w:rPr>
              <w:t>填写符合要求；</w:t>
            </w:r>
          </w:p>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（3） 计量单位、报价货币均符合</w:t>
            </w:r>
            <w:r>
              <w:rPr>
                <w:rFonts w:hint="eastAsia" w:ascii="仿宋" w:hAnsi="仿宋" w:eastAsia="仿宋" w:cs="仿宋"/>
                <w:color w:val="auto"/>
                <w:sz w:val="22"/>
                <w:szCs w:val="22"/>
                <w:vertAlign w:val="baseline"/>
                <w:lang w:eastAsia="zh-CN"/>
              </w:rPr>
              <w:t>磋商</w:t>
            </w:r>
            <w:r>
              <w:rPr>
                <w:rFonts w:hint="eastAsia" w:ascii="仿宋" w:hAnsi="仿宋" w:eastAsia="仿宋" w:cs="仿宋"/>
                <w:color w:val="auto"/>
                <w:sz w:val="22"/>
                <w:szCs w:val="22"/>
                <w:vertAlign w:val="baseline"/>
              </w:rPr>
              <w:t>文件要求；</w:t>
            </w:r>
          </w:p>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（4） 未超出采购预算或</w:t>
            </w:r>
            <w:r>
              <w:rPr>
                <w:rFonts w:hint="eastAsia" w:ascii="仿宋" w:hAnsi="仿宋" w:eastAsia="仿宋" w:cs="仿宋"/>
                <w:color w:val="auto"/>
                <w:sz w:val="22"/>
                <w:szCs w:val="22"/>
                <w:vertAlign w:val="baseline"/>
                <w:lang w:eastAsia="zh-CN"/>
              </w:rPr>
              <w:t>磋商</w:t>
            </w:r>
            <w:r>
              <w:rPr>
                <w:rFonts w:hint="eastAsia" w:ascii="仿宋" w:hAnsi="仿宋" w:eastAsia="仿宋" w:cs="仿宋"/>
                <w:color w:val="auto"/>
                <w:sz w:val="22"/>
                <w:szCs w:val="22"/>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4</w:t>
            </w:r>
          </w:p>
        </w:tc>
        <w:tc>
          <w:tcPr>
            <w:tcW w:w="2170"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供应商承诺书</w:t>
            </w:r>
          </w:p>
        </w:tc>
        <w:tc>
          <w:tcPr>
            <w:tcW w:w="5946" w:type="dxa"/>
            <w:vAlign w:val="center"/>
          </w:tcPr>
          <w:p>
            <w:pPr>
              <w:spacing w:line="360" w:lineRule="auto"/>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lang w:eastAsia="zh-CN"/>
              </w:rPr>
              <w:t>完全理解并接受《</w:t>
            </w:r>
            <w:r>
              <w:rPr>
                <w:rFonts w:hint="eastAsia" w:ascii="仿宋" w:hAnsi="仿宋" w:eastAsia="仿宋" w:cs="仿宋"/>
                <w:color w:val="auto"/>
                <w:sz w:val="22"/>
                <w:szCs w:val="22"/>
                <w:vertAlign w:val="baseline"/>
                <w:lang w:val="zh-CN" w:eastAsia="zh-CN"/>
              </w:rPr>
              <w:t>供应商廉洁自律承诺书</w:t>
            </w:r>
            <w:r>
              <w:rPr>
                <w:rFonts w:hint="eastAsia" w:ascii="仿宋" w:hAnsi="仿宋" w:eastAsia="仿宋" w:cs="仿宋"/>
                <w:color w:val="auto"/>
                <w:sz w:val="22"/>
                <w:szCs w:val="22"/>
                <w:vertAlign w:val="baseline"/>
                <w:lang w:eastAsia="zh-CN"/>
              </w:rPr>
              <w:t>》</w:t>
            </w:r>
            <w:r>
              <w:rPr>
                <w:rFonts w:hint="eastAsia" w:ascii="仿宋" w:hAnsi="仿宋" w:eastAsia="仿宋" w:cs="仿宋"/>
                <w:color w:val="auto"/>
                <w:sz w:val="22"/>
                <w:szCs w:val="22"/>
                <w:vertAlign w:val="baseline"/>
                <w:lang w:val="en-US" w:eastAsia="zh-CN"/>
              </w:rPr>
              <w:t>内容</w:t>
            </w:r>
            <w:r>
              <w:rPr>
                <w:rFonts w:hint="eastAsia" w:ascii="仿宋" w:hAnsi="仿宋" w:eastAsia="仿宋" w:cs="仿宋"/>
                <w:color w:val="auto"/>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5</w:t>
            </w:r>
          </w:p>
        </w:tc>
        <w:tc>
          <w:tcPr>
            <w:tcW w:w="2170" w:type="dxa"/>
            <w:vAlign w:val="center"/>
          </w:tcPr>
          <w:p>
            <w:pPr>
              <w:spacing w:before="78" w:line="360" w:lineRule="auto"/>
              <w:jc w:val="center"/>
              <w:outlineLvl w:val="9"/>
              <w:rPr>
                <w:rFonts w:hint="eastAsia" w:ascii="仿宋" w:hAnsi="仿宋" w:eastAsia="仿宋" w:cs="仿宋"/>
                <w:spacing w:val="-1"/>
                <w:sz w:val="22"/>
                <w:szCs w:val="22"/>
                <w:lang w:eastAsia="zh-CN"/>
              </w:rPr>
            </w:pPr>
            <w:r>
              <w:rPr>
                <w:rFonts w:hint="eastAsia" w:ascii="仿宋" w:hAnsi="仿宋" w:eastAsia="仿宋" w:cs="仿宋"/>
                <w:spacing w:val="-1"/>
                <w:sz w:val="22"/>
                <w:szCs w:val="22"/>
                <w:lang w:eastAsia="zh-CN"/>
              </w:rPr>
              <w:t>无其他磋商文件或法规明确规定响应无效的事项</w:t>
            </w:r>
          </w:p>
        </w:tc>
        <w:tc>
          <w:tcPr>
            <w:tcW w:w="5946" w:type="dxa"/>
            <w:vAlign w:val="center"/>
          </w:tcPr>
          <w:p>
            <w:pPr>
              <w:spacing w:line="360" w:lineRule="auto"/>
              <w:outlineLvl w:val="9"/>
              <w:rPr>
                <w:rFonts w:hint="eastAsia" w:ascii="仿宋" w:hAnsi="仿宋" w:eastAsia="仿宋" w:cs="仿宋"/>
                <w:sz w:val="22"/>
                <w:szCs w:val="22"/>
                <w:lang w:eastAsia="zh-CN"/>
              </w:rPr>
            </w:pPr>
            <w:r>
              <w:rPr>
                <w:rFonts w:hint="eastAsia" w:ascii="仿宋" w:hAnsi="仿宋" w:eastAsia="仿宋" w:cs="仿宋"/>
                <w:sz w:val="22"/>
                <w:szCs w:val="22"/>
              </w:rPr>
              <w:t>没有不符合</w:t>
            </w:r>
            <w:r>
              <w:rPr>
                <w:rFonts w:hint="eastAsia" w:ascii="仿宋" w:hAnsi="仿宋" w:eastAsia="仿宋" w:cs="仿宋"/>
                <w:sz w:val="22"/>
                <w:szCs w:val="22"/>
                <w:lang w:eastAsia="zh-CN"/>
              </w:rPr>
              <w:t>磋商</w:t>
            </w:r>
            <w:r>
              <w:rPr>
                <w:rFonts w:hint="eastAsia" w:ascii="仿宋" w:hAnsi="仿宋" w:eastAsia="仿宋" w:cs="仿宋"/>
                <w:sz w:val="22"/>
                <w:szCs w:val="22"/>
              </w:rPr>
              <w:t xml:space="preserve">文件规定的被视为无效响应的其他条款。 </w:t>
            </w:r>
          </w:p>
        </w:tc>
      </w:tr>
    </w:tbl>
    <w:p>
      <w:pPr>
        <w:tabs>
          <w:tab w:val="left" w:pos="9030"/>
        </w:tabs>
        <w:snapToGrid w:val="0"/>
        <w:spacing w:line="360" w:lineRule="auto"/>
        <w:ind w:right="-65" w:firstLine="482" w:firstLineChars="200"/>
        <w:rPr>
          <w:rFonts w:hint="eastAsia" w:ascii="仿宋" w:hAnsi="仿宋" w:eastAsia="仿宋" w:cs="仿宋"/>
          <w:color w:val="auto"/>
          <w:sz w:val="24"/>
          <w:szCs w:val="24"/>
        </w:rPr>
      </w:pPr>
      <w:r>
        <w:rPr>
          <w:rFonts w:hint="eastAsia" w:ascii="仿宋" w:hAnsi="仿宋" w:eastAsia="仿宋" w:cs="仿宋"/>
          <w:b/>
          <w:bCs/>
          <w:sz w:val="24"/>
          <w:szCs w:val="24"/>
          <w:lang w:val="zh-CN"/>
        </w:rPr>
        <w:t>说明：符合性审查结束后，符合性审核人员当对审查结果进行签字确认。若供应商符合性审查未通过，注明未通过原因并告知其供应商。符合性审查不合格的供应商，不得进入单一磋商环节。</w:t>
      </w:r>
    </w:p>
    <w:p>
      <w:pPr>
        <w:tabs>
          <w:tab w:val="left" w:pos="9030"/>
        </w:tabs>
        <w:snapToGrid w:val="0"/>
        <w:spacing w:line="360" w:lineRule="auto"/>
        <w:ind w:right="-65" w:firstLine="482" w:firstLineChars="200"/>
        <w:outlineLvl w:val="2"/>
        <w:rPr>
          <w:rFonts w:hint="eastAsia" w:ascii="仿宋" w:hAnsi="仿宋" w:eastAsia="仿宋" w:cs="仿宋"/>
          <w:color w:val="auto"/>
          <w:sz w:val="24"/>
          <w:szCs w:val="24"/>
        </w:rPr>
      </w:pPr>
      <w:bookmarkStart w:id="251" w:name="_Toc22375"/>
      <w:r>
        <w:rPr>
          <w:rFonts w:hint="eastAsia" w:ascii="仿宋" w:hAnsi="仿宋" w:eastAsia="仿宋" w:cs="仿宋"/>
          <w:b/>
          <w:bCs/>
          <w:color w:val="auto"/>
          <w:sz w:val="24"/>
          <w:szCs w:val="24"/>
        </w:rPr>
        <w:t>（三）磋商响应文件的澄清、说明或者更正</w:t>
      </w:r>
      <w:bookmarkEnd w:id="248"/>
      <w:bookmarkEnd w:id="249"/>
      <w:bookmarkEnd w:id="250"/>
      <w:bookmarkEnd w:id="251"/>
    </w:p>
    <w:p>
      <w:pPr>
        <w:tabs>
          <w:tab w:val="left" w:pos="9030"/>
        </w:tabs>
        <w:snapToGrid w:val="0"/>
        <w:spacing w:line="360" w:lineRule="auto"/>
        <w:ind w:right="-65" w:firstLine="480" w:firstLineChars="200"/>
        <w:rPr>
          <w:rFonts w:ascii="仿宋" w:hAnsi="仿宋" w:eastAsia="仿宋" w:cs="仿宋"/>
          <w:color w:val="auto"/>
          <w:sz w:val="24"/>
          <w:szCs w:val="24"/>
        </w:rPr>
      </w:pPr>
      <w:r>
        <w:rPr>
          <w:rFonts w:hint="eastAsia" w:ascii="仿宋" w:hAnsi="仿宋" w:eastAsia="仿宋" w:cs="仿宋"/>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3、报价出现前后不一致的，按照下列规定修正：</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大写金额和小写金额不一致的，以大写金额为准；</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480" w:firstLineChars="200"/>
        <w:rPr>
          <w:rFonts w:ascii="仿宋" w:hAnsi="仿宋" w:eastAsia="仿宋" w:cs="仿宋"/>
          <w:b/>
          <w:bCs/>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总价金额与按单价汇总金额不一致的，以单价金额计算结果为准。</w:t>
      </w:r>
      <w:r>
        <w:rPr>
          <w:rFonts w:hint="eastAsia" w:ascii="仿宋" w:hAnsi="仿宋" w:eastAsia="仿宋" w:cs="仿宋"/>
          <w:b/>
          <w:bCs/>
          <w:color w:val="auto"/>
          <w:sz w:val="24"/>
          <w:szCs w:val="24"/>
          <w:lang w:val="zh-CN"/>
        </w:rPr>
        <w:t>同时出现两种以上不一致的，按照前款规定的顺序修正。修正后的报价经供应商书面确认后产生约束力，供应商不确认的，其磋商无效。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482" w:firstLineChars="200"/>
        <w:outlineLvl w:val="2"/>
        <w:rPr>
          <w:rFonts w:ascii="仿宋" w:hAnsi="仿宋" w:eastAsia="仿宋" w:cs="仿宋"/>
          <w:color w:val="auto"/>
          <w:sz w:val="24"/>
          <w:szCs w:val="24"/>
          <w:lang w:val="zh-CN"/>
        </w:rPr>
      </w:pPr>
      <w:bookmarkStart w:id="252" w:name="_Toc13624"/>
      <w:bookmarkStart w:id="253" w:name="_Toc10917"/>
      <w:bookmarkStart w:id="254" w:name="_Toc15145"/>
      <w:bookmarkStart w:id="255" w:name="_Toc27881"/>
      <w:r>
        <w:rPr>
          <w:rFonts w:hint="eastAsia" w:ascii="仿宋" w:hAnsi="仿宋" w:eastAsia="仿宋" w:cs="仿宋"/>
          <w:b/>
          <w:bCs/>
          <w:color w:val="auto"/>
          <w:sz w:val="24"/>
          <w:szCs w:val="24"/>
          <w:lang w:val="zh-CN"/>
        </w:rPr>
        <w:t>（四）供应商存在下列情况之一的，磋商无效</w:t>
      </w:r>
      <w:bookmarkEnd w:id="252"/>
      <w:bookmarkEnd w:id="253"/>
      <w:bookmarkEnd w:id="254"/>
      <w:bookmarkEnd w:id="255"/>
    </w:p>
    <w:p>
      <w:pPr>
        <w:tabs>
          <w:tab w:val="left" w:pos="9030"/>
        </w:tabs>
        <w:snapToGrid w:val="0"/>
        <w:spacing w:line="360" w:lineRule="auto"/>
        <w:ind w:right="-65" w:firstLine="480"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kern w:val="0"/>
          <w:sz w:val="24"/>
          <w:szCs w:val="24"/>
        </w:rPr>
        <w:t>2、</w:t>
      </w:r>
      <w:r>
        <w:rPr>
          <w:rFonts w:hint="eastAsia" w:ascii="仿宋" w:hAnsi="仿宋" w:eastAsia="仿宋" w:cs="仿宋"/>
          <w:color w:val="auto"/>
          <w:sz w:val="24"/>
          <w:szCs w:val="24"/>
          <w:lang w:val="zh-CN"/>
        </w:rPr>
        <w:t>不具备磋商文件中规定的资格要求的或提供的资格要求文件不符合磋商文件要求的；</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、磋商响应文件递交份数不符合磋商文件要求的；</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、磋商响应文件含有采购人不能接受的附加条件的;</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、供应商出现多份报价，出现选择性报价的；</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7</w:t>
      </w:r>
      <w:r>
        <w:rPr>
          <w:rFonts w:hint="eastAsia" w:ascii="仿宋" w:hAnsi="仿宋" w:eastAsia="仿宋" w:cs="仿宋"/>
          <w:color w:val="auto"/>
          <w:sz w:val="24"/>
          <w:szCs w:val="24"/>
          <w:lang w:val="zh-CN"/>
        </w:rPr>
        <w:t>、磋商报价与市场价偏离较大，低于成本，形成不正当竞争；</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、报价超过磋商文件中规定的预算金额或者最高限价的。</w:t>
      </w:r>
    </w:p>
    <w:p>
      <w:pPr>
        <w:snapToGrid w:val="0"/>
        <w:spacing w:line="360" w:lineRule="auto"/>
        <w:ind w:firstLine="482" w:firstLineChars="200"/>
        <w:outlineLvl w:val="2"/>
        <w:rPr>
          <w:rFonts w:hint="eastAsia" w:ascii="仿宋" w:hAnsi="仿宋" w:eastAsia="仿宋" w:cs="仿宋"/>
          <w:b/>
          <w:bCs/>
          <w:color w:val="auto"/>
          <w:sz w:val="24"/>
          <w:szCs w:val="24"/>
          <w:lang w:eastAsia="zh-CN"/>
        </w:rPr>
      </w:pPr>
      <w:bookmarkStart w:id="256" w:name="_Toc20207"/>
      <w:bookmarkStart w:id="257" w:name="_Toc15869"/>
      <w:bookmarkStart w:id="258" w:name="_Toc21482"/>
      <w:bookmarkStart w:id="259" w:name="_Toc12305"/>
      <w:r>
        <w:rPr>
          <w:rFonts w:hint="eastAsia" w:ascii="仿宋" w:hAnsi="仿宋" w:eastAsia="仿宋" w:cs="仿宋"/>
          <w:b/>
          <w:bCs/>
          <w:color w:val="auto"/>
          <w:sz w:val="24"/>
          <w:szCs w:val="24"/>
        </w:rPr>
        <w:t>（五）磋商</w:t>
      </w:r>
      <w:bookmarkEnd w:id="256"/>
      <w:bookmarkEnd w:id="257"/>
      <w:bookmarkEnd w:id="258"/>
      <w:r>
        <w:rPr>
          <w:rFonts w:hint="eastAsia" w:ascii="仿宋" w:hAnsi="仿宋" w:eastAsia="仿宋" w:cs="仿宋"/>
          <w:b/>
          <w:bCs/>
          <w:color w:val="auto"/>
          <w:sz w:val="24"/>
          <w:szCs w:val="24"/>
          <w:lang w:eastAsia="zh-CN"/>
        </w:rPr>
        <w:t>环节</w:t>
      </w:r>
      <w:bookmarkEnd w:id="259"/>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磋商小组所有成员与</w:t>
      </w:r>
      <w:r>
        <w:rPr>
          <w:rFonts w:hint="eastAsia" w:ascii="仿宋" w:hAnsi="仿宋" w:eastAsia="仿宋" w:cs="仿宋"/>
          <w:color w:val="auto"/>
          <w:sz w:val="24"/>
          <w:szCs w:val="24"/>
          <w:lang w:eastAsia="zh-CN"/>
        </w:rPr>
        <w:t>各</w:t>
      </w:r>
      <w:r>
        <w:rPr>
          <w:rFonts w:hint="eastAsia" w:ascii="仿宋" w:hAnsi="仿宋" w:eastAsia="仿宋" w:cs="仿宋"/>
          <w:color w:val="auto"/>
          <w:sz w:val="24"/>
          <w:szCs w:val="24"/>
        </w:rPr>
        <w:t>供应商分别进行磋商，并给所有参加磋商供应商平等的磋商机会。</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480" w:firstLineChars="200"/>
        <w:rPr>
          <w:rFonts w:ascii="仿宋" w:hAnsi="仿宋" w:eastAsia="仿宋" w:cs="仿宋"/>
          <w:color w:val="auto"/>
          <w:spacing w:val="-6"/>
          <w:sz w:val="24"/>
          <w:szCs w:val="24"/>
        </w:rPr>
      </w:pPr>
      <w:r>
        <w:rPr>
          <w:rFonts w:hint="eastAsia" w:ascii="仿宋" w:hAnsi="仿宋" w:eastAsia="仿宋" w:cs="仿宋"/>
          <w:color w:val="auto"/>
          <w:sz w:val="24"/>
          <w:szCs w:val="24"/>
        </w:rPr>
        <w:t>2、</w:t>
      </w:r>
      <w:r>
        <w:rPr>
          <w:rFonts w:hint="eastAsia" w:ascii="仿宋" w:hAnsi="仿宋" w:eastAsia="仿宋" w:cs="仿宋"/>
          <w:color w:val="auto"/>
          <w:spacing w:val="-6"/>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482" w:firstLineChars="200"/>
        <w:outlineLvl w:val="2"/>
        <w:rPr>
          <w:rFonts w:ascii="仿宋" w:hAnsi="仿宋" w:eastAsia="仿宋" w:cs="仿宋"/>
          <w:color w:val="auto"/>
          <w:sz w:val="24"/>
          <w:szCs w:val="24"/>
        </w:rPr>
      </w:pPr>
      <w:bookmarkStart w:id="260" w:name="_Toc32415"/>
      <w:bookmarkStart w:id="261" w:name="_Toc16133"/>
      <w:bookmarkStart w:id="262" w:name="_Toc22968"/>
      <w:bookmarkStart w:id="263" w:name="_Toc320"/>
      <w:r>
        <w:rPr>
          <w:rFonts w:hint="eastAsia" w:ascii="仿宋" w:hAnsi="仿宋" w:eastAsia="仿宋" w:cs="仿宋"/>
          <w:b/>
          <w:bCs/>
          <w:color w:val="auto"/>
          <w:sz w:val="24"/>
          <w:szCs w:val="24"/>
        </w:rPr>
        <w:t>（六）最终报价</w:t>
      </w:r>
      <w:bookmarkEnd w:id="260"/>
      <w:bookmarkEnd w:id="261"/>
      <w:bookmarkEnd w:id="262"/>
      <w:bookmarkEnd w:id="263"/>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3、最后报价是供应商响应文件的有效组成部分。</w:t>
      </w:r>
      <w:r>
        <w:rPr>
          <w:rFonts w:hint="eastAsia" w:ascii="仿宋" w:hAnsi="仿宋" w:eastAsia="仿宋" w:cs="仿宋"/>
          <w:snapToGrid w:val="0"/>
          <w:color w:val="auto"/>
          <w:kern w:val="0"/>
          <w:sz w:val="24"/>
          <w:szCs w:val="24"/>
        </w:rPr>
        <w:t>符合</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snapToGrid w:val="0"/>
          <w:color w:val="auto"/>
          <w:kern w:val="0"/>
          <w:sz w:val="24"/>
          <w:szCs w:val="24"/>
        </w:rPr>
        <w:t>第三条第四项情形的</w:t>
      </w:r>
      <w:r>
        <w:rPr>
          <w:rFonts w:hint="eastAsia" w:ascii="仿宋" w:hAnsi="仿宋" w:eastAsia="仿宋" w:cs="仿宋"/>
          <w:color w:val="auto"/>
          <w:sz w:val="24"/>
          <w:szCs w:val="24"/>
        </w:rPr>
        <w:t>，提交最后报价的供应商可以为2家。</w:t>
      </w:r>
    </w:p>
    <w:p>
      <w:pPr>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4、最后报价应按首次报价的格式内容填写，且由法定代表人（或授权代表人）签字。</w:t>
      </w:r>
    </w:p>
    <w:p>
      <w:pPr>
        <w:snapToGrid w:val="0"/>
        <w:spacing w:line="360" w:lineRule="auto"/>
        <w:ind w:firstLine="482" w:firstLineChars="200"/>
        <w:outlineLvl w:val="2"/>
        <w:rPr>
          <w:rFonts w:ascii="仿宋" w:hAnsi="仿宋" w:eastAsia="仿宋" w:cs="仿宋"/>
          <w:b/>
          <w:bCs/>
          <w:color w:val="auto"/>
          <w:sz w:val="24"/>
          <w:szCs w:val="24"/>
        </w:rPr>
      </w:pPr>
      <w:bookmarkStart w:id="264" w:name="_Toc8219"/>
      <w:bookmarkStart w:id="265" w:name="_Toc2197"/>
      <w:bookmarkStart w:id="266" w:name="_Toc10188"/>
      <w:bookmarkStart w:id="267" w:name="_Toc3247"/>
      <w:r>
        <w:rPr>
          <w:rFonts w:hint="eastAsia" w:ascii="仿宋" w:hAnsi="仿宋" w:eastAsia="仿宋" w:cs="仿宋"/>
          <w:b/>
          <w:bCs/>
          <w:color w:val="auto"/>
          <w:sz w:val="24"/>
          <w:szCs w:val="24"/>
        </w:rPr>
        <w:t>（七）</w:t>
      </w:r>
      <w:r>
        <w:rPr>
          <w:rFonts w:hint="eastAsia" w:ascii="仿宋" w:hAnsi="仿宋" w:eastAsia="仿宋" w:cs="仿宋"/>
          <w:b/>
          <w:bCs/>
          <w:color w:val="auto"/>
          <w:sz w:val="24"/>
          <w:szCs w:val="24"/>
          <w:lang w:val="zh-CN"/>
        </w:rPr>
        <w:t>比较与评价</w:t>
      </w:r>
      <w:bookmarkEnd w:id="264"/>
      <w:bookmarkEnd w:id="265"/>
      <w:bookmarkEnd w:id="266"/>
      <w:bookmarkEnd w:id="267"/>
    </w:p>
    <w:p>
      <w:pPr>
        <w:snapToGrid w:val="0"/>
        <w:spacing w:line="360" w:lineRule="auto"/>
        <w:ind w:firstLine="480" w:firstLineChars="200"/>
        <w:rPr>
          <w:rFonts w:ascii="仿宋" w:hAnsi="仿宋" w:eastAsia="仿宋" w:cs="仿宋"/>
          <w:bCs/>
          <w:snapToGrid w:val="0"/>
          <w:color w:val="auto"/>
          <w:kern w:val="0"/>
          <w:sz w:val="24"/>
          <w:szCs w:val="24"/>
        </w:rPr>
      </w:pPr>
      <w:r>
        <w:rPr>
          <w:rFonts w:hint="eastAsia" w:ascii="仿宋" w:hAnsi="仿宋" w:eastAsia="仿宋" w:cs="仿宋"/>
          <w:bCs/>
          <w:snapToGrid w:val="0"/>
          <w:color w:val="auto"/>
          <w:kern w:val="0"/>
          <w:sz w:val="24"/>
          <w:szCs w:val="24"/>
        </w:rPr>
        <w:t>1.经磋商确定最终采购需求和提交最后报价的供应商后，由磋商小组采用综合评分法对提交最后报价的供应商的响应文件和最后报价进行综合评分。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b w:val="0"/>
          <w:bCs/>
          <w:snapToGrid w:val="0"/>
          <w:color w:val="auto"/>
          <w:kern w:val="0"/>
          <w:sz w:val="24"/>
          <w:szCs w:val="24"/>
        </w:rPr>
      </w:pPr>
      <w:r>
        <w:rPr>
          <w:rFonts w:hint="eastAsia" w:ascii="仿宋" w:hAnsi="仿宋" w:eastAsia="仿宋" w:cs="仿宋"/>
          <w:b w:val="0"/>
          <w:bCs/>
          <w:snapToGrid w:val="0"/>
          <w:color w:val="auto"/>
          <w:kern w:val="0"/>
          <w:sz w:val="24"/>
          <w:szCs w:val="24"/>
        </w:rPr>
        <w:t>2.评审方法：采用综合评分法，即对响应文件满足磋商文件全部实质性要求且按评审因素的量化指标评审得分最高的供应商为成交候选供应商的评审方法。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3. 评标因素及权重分解表（总计100分）</w:t>
      </w:r>
    </w:p>
    <w:tbl>
      <w:tblPr>
        <w:tblStyle w:val="23"/>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06"/>
        <w:gridCol w:w="5976"/>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5"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7282" w:type="dxa"/>
            <w:gridSpan w:val="2"/>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内     容</w:t>
            </w:r>
          </w:p>
        </w:tc>
        <w:tc>
          <w:tcPr>
            <w:tcW w:w="601"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权值</w:t>
            </w:r>
            <w:r>
              <w:rPr>
                <w:rFonts w:hint="eastAsia" w:ascii="仿宋" w:hAnsi="仿宋" w:eastAsia="仿宋" w:cs="仿宋"/>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155" w:type="dxa"/>
            <w:vMerge w:val="restart"/>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商务</w:t>
            </w:r>
          </w:p>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评审</w:t>
            </w:r>
          </w:p>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lang w:val="en-US" w:eastAsia="zh-CN"/>
              </w:rPr>
              <w:t>25分</w:t>
            </w:r>
            <w:r>
              <w:rPr>
                <w:rFonts w:hint="eastAsia" w:ascii="仿宋" w:hAnsi="仿宋" w:eastAsia="仿宋" w:cs="仿宋"/>
                <w:color w:val="auto"/>
                <w:kern w:val="0"/>
                <w:sz w:val="21"/>
                <w:szCs w:val="21"/>
                <w:lang w:eastAsia="zh-CN"/>
              </w:rPr>
              <w:t>）</w:t>
            </w:r>
          </w:p>
        </w:tc>
        <w:tc>
          <w:tcPr>
            <w:tcW w:w="1306" w:type="dxa"/>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rPr>
              <w:t>投标报价</w:t>
            </w:r>
          </w:p>
        </w:tc>
        <w:tc>
          <w:tcPr>
            <w:tcW w:w="5976" w:type="dxa"/>
            <w:noWrap w:val="0"/>
            <w:vAlign w:val="center"/>
          </w:tcPr>
          <w:p>
            <w:pPr>
              <w:keepNext w:val="0"/>
              <w:keepLines w:val="0"/>
              <w:pageBreakBefore w:val="0"/>
              <w:kinsoku/>
              <w:wordWrap/>
              <w:overflowPunct/>
              <w:topLinePunct w:val="0"/>
              <w:autoSpaceDE/>
              <w:autoSpaceDN/>
              <w:bidi w:val="0"/>
              <w:snapToGrid w:val="0"/>
              <w:spacing w:line="360" w:lineRule="auto"/>
              <w:ind w:left="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满足招标文件要求且投标总报价最低为评标基准价，其价格分为满分。</w:t>
            </w:r>
          </w:p>
          <w:p>
            <w:pPr>
              <w:keepNext w:val="0"/>
              <w:keepLines w:val="0"/>
              <w:pageBreakBefore w:val="0"/>
              <w:kinsoku/>
              <w:wordWrap/>
              <w:overflowPunct/>
              <w:topLinePunct w:val="0"/>
              <w:autoSpaceDE/>
              <w:autoSpaceDN/>
              <w:bidi w:val="0"/>
              <w:snapToGrid w:val="0"/>
              <w:spacing w:line="360" w:lineRule="auto"/>
              <w:ind w:left="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投标报价得分=（评标基准价／投标总报价）×</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%×100。</w:t>
            </w:r>
          </w:p>
        </w:tc>
        <w:tc>
          <w:tcPr>
            <w:tcW w:w="601"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155" w:type="dxa"/>
            <w:vMerge w:val="continue"/>
            <w:noWrap w:val="0"/>
            <w:vAlign w:val="center"/>
          </w:tcPr>
          <w:p>
            <w:pPr>
              <w:keepNext w:val="0"/>
              <w:keepLines w:val="0"/>
              <w:pageBreakBefore w:val="0"/>
              <w:kinsoku/>
              <w:wordWrap/>
              <w:overflowPunct/>
              <w:topLinePunct w:val="0"/>
              <w:autoSpaceDE/>
              <w:autoSpaceDN/>
              <w:bidi w:val="0"/>
              <w:snapToGrid w:val="0"/>
              <w:spacing w:line="360" w:lineRule="auto"/>
              <w:ind w:left="0"/>
              <w:jc w:val="center"/>
              <w:textAlignment w:val="auto"/>
              <w:rPr>
                <w:rFonts w:hint="eastAsia" w:ascii="仿宋" w:hAnsi="仿宋" w:eastAsia="仿宋" w:cs="仿宋"/>
                <w:color w:val="auto"/>
                <w:sz w:val="21"/>
                <w:szCs w:val="21"/>
              </w:rPr>
            </w:pPr>
          </w:p>
        </w:tc>
        <w:tc>
          <w:tcPr>
            <w:tcW w:w="1306" w:type="dxa"/>
            <w:noWrap w:val="0"/>
            <w:vAlign w:val="center"/>
          </w:tcPr>
          <w:p>
            <w:pPr>
              <w:keepNext w:val="0"/>
              <w:keepLines w:val="0"/>
              <w:pageBreakBefore w:val="0"/>
              <w:kinsoku/>
              <w:wordWrap/>
              <w:overflowPunct/>
              <w:topLinePunct w:val="0"/>
              <w:autoSpaceDE/>
              <w:autoSpaceDN/>
              <w:bidi w:val="0"/>
              <w:snapToGrid w:val="0"/>
              <w:spacing w:line="360" w:lineRule="auto"/>
              <w:ind w:left="0"/>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rPr>
              <w:t>商务条款响应程度</w:t>
            </w:r>
          </w:p>
        </w:tc>
        <w:tc>
          <w:tcPr>
            <w:tcW w:w="5976" w:type="dxa"/>
            <w:noWrap w:val="0"/>
            <w:vAlign w:val="center"/>
          </w:tcPr>
          <w:p>
            <w:pPr>
              <w:keepNext w:val="0"/>
              <w:keepLines w:val="0"/>
              <w:pageBreakBefore w:val="0"/>
              <w:kinsoku/>
              <w:wordWrap/>
              <w:overflowPunct/>
              <w:topLinePunct w:val="0"/>
              <w:autoSpaceDE/>
              <w:autoSpaceDN/>
              <w:bidi w:val="0"/>
              <w:snapToGrid w:val="0"/>
              <w:spacing w:line="360" w:lineRule="auto"/>
              <w:ind w:left="0" w:firstLine="420" w:firstLineChars="200"/>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投标文件对付款、</w:t>
            </w:r>
            <w:r>
              <w:rPr>
                <w:rFonts w:hint="eastAsia" w:ascii="仿宋" w:hAnsi="仿宋" w:eastAsia="仿宋" w:cs="仿宋"/>
                <w:bCs/>
                <w:color w:val="auto"/>
                <w:sz w:val="21"/>
                <w:szCs w:val="21"/>
                <w:lang w:eastAsia="zh-CN"/>
              </w:rPr>
              <w:t>服务内容</w:t>
            </w:r>
            <w:r>
              <w:rPr>
                <w:rFonts w:hint="eastAsia" w:ascii="仿宋" w:hAnsi="仿宋" w:eastAsia="仿宋" w:cs="仿宋"/>
                <w:bCs/>
                <w:color w:val="auto"/>
                <w:sz w:val="21"/>
                <w:szCs w:val="21"/>
              </w:rPr>
              <w:t>、</w:t>
            </w:r>
            <w:r>
              <w:rPr>
                <w:rFonts w:hint="eastAsia" w:ascii="仿宋" w:hAnsi="仿宋" w:eastAsia="仿宋" w:cs="仿宋"/>
                <w:bCs/>
                <w:color w:val="auto"/>
                <w:sz w:val="21"/>
                <w:szCs w:val="21"/>
                <w:lang w:eastAsia="zh-CN"/>
              </w:rPr>
              <w:t>服务期</w:t>
            </w:r>
            <w:r>
              <w:rPr>
                <w:rFonts w:hint="eastAsia" w:ascii="仿宋" w:hAnsi="仿宋" w:eastAsia="仿宋" w:cs="仿宋"/>
                <w:bCs/>
                <w:color w:val="auto"/>
                <w:sz w:val="21"/>
                <w:szCs w:val="21"/>
              </w:rPr>
              <w:t>、售后服务承诺等商务要求进行响应说明，根据响应程度计0～</w:t>
            </w:r>
            <w:r>
              <w:rPr>
                <w:rFonts w:hint="eastAsia" w:ascii="仿宋" w:hAnsi="仿宋" w:eastAsia="仿宋" w:cs="仿宋"/>
                <w:bCs/>
                <w:color w:val="auto"/>
                <w:sz w:val="21"/>
                <w:szCs w:val="21"/>
                <w:lang w:val="en-US" w:eastAsia="zh-CN"/>
              </w:rPr>
              <w:t>5</w:t>
            </w:r>
            <w:r>
              <w:rPr>
                <w:rFonts w:hint="eastAsia" w:ascii="仿宋" w:hAnsi="仿宋" w:eastAsia="仿宋" w:cs="仿宋"/>
                <w:bCs/>
                <w:color w:val="auto"/>
                <w:sz w:val="21"/>
                <w:szCs w:val="21"/>
              </w:rPr>
              <w:t>分，无响应说明不计分</w:t>
            </w:r>
            <w:r>
              <w:rPr>
                <w:rFonts w:hint="eastAsia" w:ascii="仿宋" w:hAnsi="仿宋" w:eastAsia="仿宋" w:cs="仿宋"/>
                <w:color w:val="auto"/>
                <w:sz w:val="21"/>
                <w:szCs w:val="21"/>
                <w:lang w:val="zh-CN"/>
              </w:rPr>
              <w:t>。</w:t>
            </w:r>
          </w:p>
        </w:tc>
        <w:tc>
          <w:tcPr>
            <w:tcW w:w="601"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55"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rPr>
            </w:pPr>
          </w:p>
        </w:tc>
        <w:tc>
          <w:tcPr>
            <w:tcW w:w="1306" w:type="dxa"/>
            <w:noWrap w:val="0"/>
            <w:vAlign w:val="center"/>
          </w:tcPr>
          <w:p>
            <w:pPr>
              <w:keepNext w:val="0"/>
              <w:keepLines w:val="0"/>
              <w:pageBreakBefore w:val="0"/>
              <w:widowControl/>
              <w:kinsoku/>
              <w:wordWrap/>
              <w:overflowPunct/>
              <w:topLinePunct w:val="0"/>
              <w:autoSpaceDE/>
              <w:autoSpaceDN/>
              <w:bidi w:val="0"/>
              <w:spacing w:line="360" w:lineRule="auto"/>
              <w:ind w:left="0"/>
              <w:jc w:val="center"/>
              <w:textAlignment w:val="auto"/>
              <w:rPr>
                <w:rFonts w:hint="eastAsia" w:ascii="仿宋" w:hAnsi="仿宋" w:eastAsia="仿宋" w:cs="仿宋"/>
                <w:sz w:val="21"/>
                <w:szCs w:val="21"/>
                <w:highlight w:val="none"/>
              </w:rPr>
            </w:pPr>
            <w:r>
              <w:rPr>
                <w:rFonts w:hint="eastAsia" w:ascii="仿宋" w:hAnsi="仿宋" w:eastAsia="仿宋" w:cs="仿宋"/>
                <w:bCs/>
                <w:sz w:val="21"/>
                <w:szCs w:val="21"/>
              </w:rPr>
              <w:t>业绩</w:t>
            </w:r>
          </w:p>
        </w:tc>
        <w:tc>
          <w:tcPr>
            <w:tcW w:w="5976"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lang w:eastAsia="zh-CN"/>
              </w:rPr>
              <w:t>投标人</w:t>
            </w:r>
            <w:r>
              <w:rPr>
                <w:rFonts w:hint="eastAsia" w:ascii="仿宋" w:hAnsi="仿宋" w:eastAsia="仿宋" w:cs="仿宋"/>
                <w:sz w:val="21"/>
                <w:szCs w:val="21"/>
              </w:rPr>
              <w:t>具有近三年（</w:t>
            </w:r>
            <w:r>
              <w:rPr>
                <w:rFonts w:hint="eastAsia" w:ascii="仿宋" w:hAnsi="仿宋" w:eastAsia="仿宋" w:cs="仿宋"/>
                <w:sz w:val="21"/>
                <w:szCs w:val="21"/>
                <w:highlight w:val="none"/>
              </w:rPr>
              <w:t>20</w:t>
            </w:r>
            <w:r>
              <w:rPr>
                <w:rFonts w:hint="eastAsia" w:ascii="仿宋" w:hAnsi="仿宋" w:eastAsia="仿宋" w:cs="仿宋"/>
                <w:sz w:val="21"/>
                <w:szCs w:val="21"/>
                <w:highlight w:val="none"/>
                <w:lang w:val="en-US" w:eastAsia="zh-CN"/>
              </w:rPr>
              <w:t>19</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月</w:t>
            </w:r>
            <w:r>
              <w:rPr>
                <w:rFonts w:hint="eastAsia" w:ascii="仿宋" w:hAnsi="仿宋" w:eastAsia="仿宋" w:cs="仿宋"/>
                <w:sz w:val="21"/>
                <w:szCs w:val="21"/>
                <w:lang w:eastAsia="zh-CN"/>
              </w:rPr>
              <w:t>至</w:t>
            </w:r>
            <w:r>
              <w:rPr>
                <w:rFonts w:hint="eastAsia" w:ascii="仿宋" w:hAnsi="仿宋" w:eastAsia="仿宋" w:cs="仿宋"/>
                <w:sz w:val="21"/>
                <w:szCs w:val="21"/>
              </w:rPr>
              <w:t>今以合同签订时间为准）的</w:t>
            </w:r>
            <w:r>
              <w:rPr>
                <w:rFonts w:hint="eastAsia" w:ascii="仿宋" w:hAnsi="仿宋" w:eastAsia="仿宋" w:cs="仿宋"/>
                <w:sz w:val="21"/>
                <w:szCs w:val="21"/>
                <w:lang w:eastAsia="zh-CN"/>
              </w:rPr>
              <w:t>同类产品</w:t>
            </w:r>
            <w:r>
              <w:rPr>
                <w:rFonts w:hint="eastAsia" w:ascii="仿宋" w:hAnsi="仿宋" w:eastAsia="仿宋" w:cs="仿宋"/>
                <w:sz w:val="21"/>
                <w:szCs w:val="21"/>
                <w:lang w:val="zh-CN"/>
              </w:rPr>
              <w:t>业绩证明文件</w:t>
            </w:r>
            <w:r>
              <w:rPr>
                <w:rFonts w:hint="eastAsia" w:ascii="仿宋" w:hAnsi="仿宋" w:eastAsia="仿宋" w:cs="仿宋"/>
                <w:sz w:val="21"/>
                <w:szCs w:val="21"/>
              </w:rPr>
              <w:t>，</w:t>
            </w:r>
            <w:r>
              <w:rPr>
                <w:rFonts w:hint="eastAsia" w:ascii="仿宋" w:hAnsi="仿宋" w:eastAsia="仿宋" w:cs="仿宋"/>
                <w:sz w:val="21"/>
                <w:szCs w:val="21"/>
                <w:lang w:eastAsia="zh-CN"/>
              </w:rPr>
              <w:t>复印件加盖公章，</w:t>
            </w:r>
            <w:r>
              <w:rPr>
                <w:rFonts w:hint="eastAsia" w:ascii="仿宋" w:hAnsi="仿宋" w:eastAsia="仿宋" w:cs="仿宋"/>
                <w:sz w:val="21"/>
                <w:szCs w:val="21"/>
              </w:rPr>
              <w:t>每</w:t>
            </w:r>
            <w:r>
              <w:rPr>
                <w:rFonts w:hint="eastAsia" w:ascii="仿宋" w:hAnsi="仿宋" w:eastAsia="仿宋" w:cs="仿宋"/>
                <w:sz w:val="21"/>
                <w:szCs w:val="21"/>
                <w:lang w:eastAsia="zh-CN"/>
              </w:rPr>
              <w:t>一份</w:t>
            </w:r>
            <w:r>
              <w:rPr>
                <w:rFonts w:hint="eastAsia" w:ascii="仿宋" w:hAnsi="仿宋" w:eastAsia="仿宋" w:cs="仿宋"/>
                <w:sz w:val="21"/>
                <w:szCs w:val="21"/>
              </w:rPr>
              <w:t>提供得</w:t>
            </w:r>
            <w:r>
              <w:rPr>
                <w:rFonts w:hint="eastAsia" w:ascii="仿宋" w:hAnsi="仿宋" w:eastAsia="仿宋" w:cs="仿宋"/>
                <w:sz w:val="21"/>
                <w:szCs w:val="21"/>
                <w:lang w:val="en-US" w:eastAsia="zh-CN"/>
              </w:rPr>
              <w:t>2</w:t>
            </w:r>
            <w:r>
              <w:rPr>
                <w:rFonts w:hint="eastAsia" w:ascii="仿宋" w:hAnsi="仿宋" w:eastAsia="仿宋" w:cs="仿宋"/>
                <w:sz w:val="21"/>
                <w:szCs w:val="21"/>
              </w:rPr>
              <w:t>分，满分</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601"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155" w:type="dxa"/>
            <w:vMerge w:val="restart"/>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技术</w:t>
            </w:r>
            <w:r>
              <w:rPr>
                <w:rFonts w:hint="eastAsia" w:ascii="仿宋" w:hAnsi="仿宋" w:eastAsia="仿宋" w:cs="仿宋"/>
                <w:color w:val="auto"/>
                <w:kern w:val="0"/>
                <w:sz w:val="21"/>
                <w:szCs w:val="21"/>
                <w:lang w:eastAsia="zh-CN"/>
              </w:rPr>
              <w:t>评审</w:t>
            </w:r>
          </w:p>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lang w:val="zh-CN" w:eastAsia="zh-CN"/>
              </w:rPr>
            </w:pPr>
            <w:r>
              <w:rPr>
                <w:rFonts w:hint="eastAsia" w:ascii="仿宋" w:hAnsi="仿宋" w:eastAsia="仿宋" w:cs="仿宋"/>
                <w:color w:val="auto"/>
                <w:kern w:val="0"/>
                <w:sz w:val="21"/>
                <w:szCs w:val="21"/>
                <w:lang w:eastAsia="zh-CN"/>
              </w:rPr>
              <w:t>（</w:t>
            </w:r>
            <w:r>
              <w:rPr>
                <w:rFonts w:hint="eastAsia" w:ascii="仿宋" w:hAnsi="仿宋" w:eastAsia="仿宋" w:cs="仿宋"/>
                <w:color w:val="auto"/>
                <w:kern w:val="0"/>
                <w:sz w:val="21"/>
                <w:szCs w:val="21"/>
                <w:lang w:val="en-US" w:eastAsia="zh-CN"/>
              </w:rPr>
              <w:t>52分</w:t>
            </w:r>
            <w:r>
              <w:rPr>
                <w:rFonts w:hint="eastAsia" w:ascii="仿宋" w:hAnsi="仿宋" w:eastAsia="仿宋" w:cs="仿宋"/>
                <w:color w:val="auto"/>
                <w:kern w:val="0"/>
                <w:sz w:val="21"/>
                <w:szCs w:val="21"/>
                <w:lang w:eastAsia="zh-CN"/>
              </w:rPr>
              <w:t>）</w:t>
            </w:r>
          </w:p>
        </w:tc>
        <w:tc>
          <w:tcPr>
            <w:tcW w:w="1306" w:type="dxa"/>
            <w:noWrap w:val="0"/>
            <w:vAlign w:val="center"/>
          </w:tcPr>
          <w:p>
            <w:pPr>
              <w:keepNext w:val="0"/>
              <w:keepLines w:val="0"/>
              <w:pageBreakBefore w:val="0"/>
              <w:kinsoku/>
              <w:wordWrap/>
              <w:overflowPunct/>
              <w:topLinePunct w:val="0"/>
              <w:autoSpaceDE/>
              <w:autoSpaceDN/>
              <w:bidi w:val="0"/>
              <w:spacing w:line="360" w:lineRule="auto"/>
              <w:ind w:left="0" w:hanging="10" w:hangingChars="5"/>
              <w:jc w:val="center"/>
              <w:textAlignment w:val="auto"/>
              <w:rPr>
                <w:rFonts w:hint="eastAsia" w:ascii="仿宋" w:hAnsi="仿宋" w:eastAsia="仿宋" w:cs="仿宋"/>
                <w:sz w:val="21"/>
                <w:szCs w:val="21"/>
                <w:highlight w:val="none"/>
                <w:lang w:eastAsia="zh-CN"/>
              </w:rPr>
            </w:pPr>
          </w:p>
          <w:p>
            <w:pPr>
              <w:keepNext w:val="0"/>
              <w:keepLines w:val="0"/>
              <w:pageBreakBefore w:val="0"/>
              <w:kinsoku/>
              <w:wordWrap/>
              <w:overflowPunct/>
              <w:topLinePunct w:val="0"/>
              <w:autoSpaceDE/>
              <w:autoSpaceDN/>
              <w:bidi w:val="0"/>
              <w:spacing w:line="360" w:lineRule="auto"/>
              <w:ind w:left="0" w:hanging="10" w:hangingChars="5"/>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技术要求</w:t>
            </w:r>
          </w:p>
          <w:p>
            <w:pPr>
              <w:keepNext w:val="0"/>
              <w:keepLines w:val="0"/>
              <w:pageBreakBefore w:val="0"/>
              <w:kinsoku/>
              <w:wordWrap/>
              <w:overflowPunct/>
              <w:topLinePunct w:val="0"/>
              <w:autoSpaceDE/>
              <w:autoSpaceDN/>
              <w:bidi w:val="0"/>
              <w:spacing w:line="360" w:lineRule="auto"/>
              <w:ind w:left="0" w:hanging="10" w:hangingChars="5"/>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响应</w:t>
            </w:r>
          </w:p>
          <w:p>
            <w:pPr>
              <w:keepNext w:val="0"/>
              <w:keepLines w:val="0"/>
              <w:pageBreakBefore w:val="0"/>
              <w:kinsoku/>
              <w:wordWrap/>
              <w:overflowPunct/>
              <w:topLinePunct w:val="0"/>
              <w:autoSpaceDE/>
              <w:autoSpaceDN/>
              <w:bidi w:val="0"/>
              <w:spacing w:line="360" w:lineRule="auto"/>
              <w:ind w:left="0" w:hanging="10" w:hangingChars="5"/>
              <w:jc w:val="center"/>
              <w:textAlignment w:val="auto"/>
              <w:rPr>
                <w:rFonts w:hint="eastAsia" w:eastAsia="仿宋"/>
                <w:lang w:eastAsia="zh-CN"/>
              </w:rPr>
            </w:pPr>
            <w:r>
              <w:rPr>
                <w:rFonts w:hint="eastAsia" w:ascii="仿宋" w:hAnsi="仿宋" w:eastAsia="仿宋" w:cs="仿宋"/>
                <w:sz w:val="21"/>
                <w:szCs w:val="21"/>
                <w:highlight w:val="none"/>
                <w:lang w:val="en-US" w:eastAsia="zh-CN"/>
              </w:rPr>
              <w:t>（15分</w:t>
            </w:r>
            <w:r>
              <w:rPr>
                <w:rFonts w:hint="eastAsia" w:ascii="仿宋" w:hAnsi="仿宋" w:eastAsia="仿宋" w:cs="仿宋"/>
                <w:sz w:val="21"/>
                <w:szCs w:val="21"/>
                <w:highlight w:val="none"/>
                <w:lang w:eastAsia="zh-CN"/>
              </w:rPr>
              <w:t>）</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1"/>
                <w:szCs w:val="21"/>
                <w:highlight w:val="none"/>
              </w:rPr>
            </w:pPr>
          </w:p>
        </w:tc>
        <w:tc>
          <w:tcPr>
            <w:tcW w:w="5976" w:type="dxa"/>
            <w:noWrap w:val="0"/>
            <w:vAlign w:val="center"/>
          </w:tcPr>
          <w:p>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投标人所响应的维修保养需求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技术要求，满足或优于招标文件要求。</w:t>
            </w:r>
          </w:p>
          <w:p>
            <w:pPr>
              <w:keepNext w:val="0"/>
              <w:keepLines w:val="0"/>
              <w:pageBreakBefore w:val="0"/>
              <w:kinsoku/>
              <w:wordWrap/>
              <w:overflowPunct/>
              <w:topLinePunct w:val="0"/>
              <w:autoSpaceDE/>
              <w:autoSpaceDN/>
              <w:bidi w:val="0"/>
              <w:spacing w:line="360" w:lineRule="auto"/>
              <w:ind w:left="0" w:firstLine="420" w:firstLineChars="200"/>
              <w:textAlignment w:val="auto"/>
              <w:rPr>
                <w:rFonts w:hint="default" w:ascii="仿宋" w:hAnsi="仿宋" w:eastAsia="宋体" w:cs="仿宋"/>
                <w:color w:val="auto"/>
                <w:sz w:val="21"/>
                <w:szCs w:val="21"/>
                <w:highlight w:val="none"/>
                <w:lang w:val="en-US" w:eastAsia="zh-CN"/>
              </w:rPr>
            </w:pPr>
            <w:r>
              <w:rPr>
                <w:rFonts w:hint="eastAsia" w:ascii="仿宋" w:hAnsi="仿宋" w:eastAsia="仿宋" w:cs="仿宋"/>
                <w:sz w:val="21"/>
                <w:szCs w:val="21"/>
                <w:highlight w:val="none"/>
                <w:lang w:eastAsia="zh-CN"/>
              </w:rPr>
              <w:t>完全满足招标文件中参数要求得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eastAsia="zh-CN"/>
              </w:rPr>
              <w:t>分，</w:t>
            </w:r>
            <w:r>
              <w:rPr>
                <w:rFonts w:hint="eastAsia" w:ascii="仿宋" w:hAnsi="仿宋" w:eastAsia="仿宋" w:cs="仿宋"/>
                <w:sz w:val="21"/>
                <w:szCs w:val="21"/>
                <w:highlight w:val="none"/>
                <w:lang w:val="en-US" w:eastAsia="zh-CN"/>
              </w:rPr>
              <w:t>其他</w:t>
            </w:r>
            <w:r>
              <w:rPr>
                <w:rFonts w:hint="eastAsia" w:ascii="仿宋" w:hAnsi="仿宋" w:eastAsia="仿宋" w:cs="仿宋"/>
                <w:sz w:val="21"/>
                <w:szCs w:val="21"/>
                <w:highlight w:val="none"/>
              </w:rPr>
              <w:t>每负偏离一项减</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号项每负偏离一项减</w:t>
            </w:r>
            <w:r>
              <w:rPr>
                <w:rFonts w:hint="eastAsia" w:ascii="仿宋" w:hAnsi="仿宋" w:eastAsia="仿宋" w:cs="仿宋"/>
                <w:sz w:val="21"/>
                <w:szCs w:val="21"/>
                <w:highlight w:val="none"/>
                <w:lang w:val="en-US" w:eastAsia="zh-CN"/>
              </w:rPr>
              <w:t>4分，</w:t>
            </w:r>
            <w:r>
              <w:rPr>
                <w:rFonts w:hint="eastAsia" w:ascii="仿宋" w:hAnsi="仿宋" w:eastAsia="仿宋" w:cs="仿宋"/>
                <w:sz w:val="21"/>
                <w:szCs w:val="21"/>
                <w:highlight w:val="none"/>
                <w:lang w:eastAsia="zh-CN"/>
              </w:rPr>
              <w:t>扣完为止</w:t>
            </w:r>
            <w:r>
              <w:rPr>
                <w:rFonts w:hint="eastAsia" w:ascii="仿宋" w:hAnsi="仿宋" w:eastAsia="仿宋" w:cs="仿宋"/>
                <w:sz w:val="21"/>
                <w:szCs w:val="21"/>
                <w:highlight w:val="none"/>
              </w:rPr>
              <w:t>。</w:t>
            </w:r>
          </w:p>
        </w:tc>
        <w:tc>
          <w:tcPr>
            <w:tcW w:w="601" w:type="dxa"/>
            <w:vMerge w:val="restart"/>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1155" w:type="dxa"/>
            <w:vMerge w:val="continue"/>
            <w:noWrap w:val="0"/>
            <w:vAlign w:val="center"/>
          </w:tcPr>
          <w:p>
            <w:pPr>
              <w:keepNext w:val="0"/>
              <w:keepLines w:val="0"/>
              <w:pageBreakBefore w:val="0"/>
              <w:tabs>
                <w:tab w:val="left" w:pos="420"/>
                <w:tab w:val="center" w:pos="4153"/>
                <w:tab w:val="right" w:pos="8306"/>
              </w:tabs>
              <w:kinsoku/>
              <w:wordWrap/>
              <w:overflowPunct/>
              <w:topLinePunct w:val="0"/>
              <w:autoSpaceDE/>
              <w:autoSpaceDN/>
              <w:bidi w:val="0"/>
              <w:adjustRightInd w:val="0"/>
              <w:spacing w:line="360" w:lineRule="auto"/>
              <w:ind w:left="0"/>
              <w:jc w:val="center"/>
              <w:textAlignment w:val="auto"/>
              <w:rPr>
                <w:rFonts w:hint="eastAsia" w:ascii="仿宋" w:hAnsi="仿宋" w:eastAsia="仿宋" w:cs="仿宋"/>
                <w:color w:val="auto"/>
                <w:kern w:val="0"/>
                <w:sz w:val="21"/>
                <w:szCs w:val="21"/>
              </w:rPr>
            </w:pPr>
          </w:p>
        </w:tc>
        <w:tc>
          <w:tcPr>
            <w:tcW w:w="1306"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服务内容及方案</w:t>
            </w:r>
          </w:p>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37分</w:t>
            </w:r>
            <w:r>
              <w:rPr>
                <w:rFonts w:hint="eastAsia" w:ascii="仿宋" w:hAnsi="仿宋" w:eastAsia="仿宋" w:cs="仿宋"/>
                <w:sz w:val="21"/>
                <w:szCs w:val="21"/>
                <w:highlight w:val="none"/>
                <w:lang w:eastAsia="zh-CN"/>
              </w:rPr>
              <w:t>）</w:t>
            </w:r>
          </w:p>
        </w:tc>
        <w:tc>
          <w:tcPr>
            <w:tcW w:w="5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在满足</w:t>
            </w:r>
            <w:r>
              <w:rPr>
                <w:rFonts w:hint="eastAsia" w:ascii="仿宋" w:hAnsi="仿宋" w:eastAsia="仿宋" w:cs="仿宋"/>
                <w:color w:val="000000"/>
                <w:sz w:val="21"/>
                <w:szCs w:val="21"/>
                <w:highlight w:val="none"/>
                <w:lang w:eastAsia="zh-CN"/>
              </w:rPr>
              <w:t>招标</w:t>
            </w:r>
            <w:r>
              <w:rPr>
                <w:rFonts w:hint="eastAsia" w:ascii="仿宋" w:hAnsi="仿宋" w:eastAsia="仿宋" w:cs="仿宋"/>
                <w:color w:val="000000"/>
                <w:sz w:val="21"/>
                <w:szCs w:val="21"/>
                <w:highlight w:val="none"/>
              </w:rPr>
              <w:t>文件要求的前提下，提供详细的服务方案，方案包含设备清洁除尘保养、安全检查、影像质量检查、运行状况检查、性能测试及校准、必要的机械及电气检查、非紧急性质的预防性维护、软件系统定期性能测试及错误数据及时校准、维修专用工具、突发、特殊情况处理办法、开机保障率保证措施及承诺等内容。</w:t>
            </w:r>
            <w:r>
              <w:rPr>
                <w:rFonts w:hint="eastAsia" w:ascii="仿宋" w:hAnsi="仿宋" w:eastAsia="仿宋" w:cs="仿宋"/>
                <w:color w:val="000000"/>
                <w:sz w:val="21"/>
                <w:szCs w:val="21"/>
                <w:highlight w:val="none"/>
                <w:lang w:eastAsia="zh-CN"/>
              </w:rPr>
              <w:t>根据响应情况计</w:t>
            </w:r>
            <w:r>
              <w:rPr>
                <w:rFonts w:hint="eastAsia" w:ascii="仿宋" w:hAnsi="仿宋" w:eastAsia="仿宋" w:cs="仿宋"/>
                <w:color w:val="000000"/>
                <w:sz w:val="21"/>
                <w:szCs w:val="21"/>
                <w:highlight w:val="none"/>
                <w:lang w:val="en-US" w:eastAsia="zh-CN"/>
              </w:rPr>
              <w:t>0-15分，未提供不计分。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服务方案说明科学、合理、清晰、全面、完整、操作性强。符合国家相关规定，满足</w:t>
            </w:r>
            <w:r>
              <w:rPr>
                <w:rFonts w:hint="eastAsia" w:ascii="仿宋" w:hAnsi="仿宋" w:eastAsia="仿宋" w:cs="仿宋"/>
                <w:color w:val="000000"/>
                <w:sz w:val="21"/>
                <w:szCs w:val="21"/>
                <w:highlight w:val="none"/>
                <w:lang w:eastAsia="zh-CN"/>
              </w:rPr>
              <w:t>采购人</w:t>
            </w:r>
            <w:r>
              <w:rPr>
                <w:rFonts w:hint="eastAsia" w:ascii="仿宋" w:hAnsi="仿宋" w:eastAsia="仿宋" w:cs="仿宋"/>
                <w:color w:val="000000"/>
                <w:sz w:val="21"/>
                <w:szCs w:val="21"/>
                <w:highlight w:val="none"/>
              </w:rPr>
              <w:t>的实际需求，</w:t>
            </w:r>
            <w:r>
              <w:rPr>
                <w:rFonts w:hint="eastAsia" w:ascii="仿宋" w:hAnsi="仿宋" w:eastAsia="仿宋" w:cs="仿宋"/>
                <w:color w:val="000000"/>
                <w:sz w:val="21"/>
                <w:szCs w:val="21"/>
                <w:highlight w:val="none"/>
                <w:lang w:val="en-US" w:eastAsia="zh-CN"/>
              </w:rPr>
              <w:t>10</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15</w:t>
            </w:r>
            <w:r>
              <w:rPr>
                <w:rFonts w:hint="eastAsia" w:ascii="仿宋" w:hAnsi="仿宋" w:eastAsia="仿宋" w:cs="仿宋"/>
                <w:color w:val="00000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服务方案说明比较清晰、全面、合理，方案基本可行，符合国家相关规定，满足</w:t>
            </w:r>
            <w:r>
              <w:rPr>
                <w:rFonts w:hint="eastAsia" w:ascii="仿宋" w:hAnsi="仿宋" w:eastAsia="仿宋" w:cs="仿宋"/>
                <w:color w:val="000000"/>
                <w:sz w:val="21"/>
                <w:szCs w:val="21"/>
                <w:highlight w:val="none"/>
                <w:lang w:eastAsia="zh-CN"/>
              </w:rPr>
              <w:t>采购人</w:t>
            </w:r>
            <w:r>
              <w:rPr>
                <w:rFonts w:hint="eastAsia" w:ascii="仿宋" w:hAnsi="仿宋" w:eastAsia="仿宋" w:cs="仿宋"/>
                <w:color w:val="000000"/>
                <w:sz w:val="21"/>
                <w:szCs w:val="21"/>
                <w:highlight w:val="none"/>
              </w:rPr>
              <w:t>的实际需求，</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10</w:t>
            </w:r>
            <w:r>
              <w:rPr>
                <w:rFonts w:hint="eastAsia" w:ascii="仿宋" w:hAnsi="仿宋" w:eastAsia="仿宋" w:cs="仿宋"/>
                <w:color w:val="000000"/>
                <w:sz w:val="21"/>
                <w:szCs w:val="21"/>
                <w:highlight w:val="none"/>
              </w:rPr>
              <w:t>分</w:t>
            </w:r>
            <w:r>
              <w:rPr>
                <w:rFonts w:hint="eastAsia" w:ascii="仿宋" w:hAnsi="仿宋" w:eastAsia="仿宋" w:cs="仿宋"/>
                <w:color w:val="000000"/>
                <w:sz w:val="21"/>
                <w:szCs w:val="21"/>
                <w:highlight w:val="none"/>
                <w:lang w:eastAsia="zh-CN"/>
              </w:rPr>
              <w:t>（含</w:t>
            </w:r>
            <w:r>
              <w:rPr>
                <w:rFonts w:hint="eastAsia" w:ascii="仿宋" w:hAnsi="仿宋" w:eastAsia="仿宋" w:cs="仿宋"/>
                <w:color w:val="000000"/>
                <w:sz w:val="21"/>
                <w:szCs w:val="21"/>
                <w:highlight w:val="none"/>
                <w:lang w:val="en-US" w:eastAsia="zh-CN"/>
              </w:rPr>
              <w:t>10分</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07" w:firstLineChars="194"/>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服务方案说明比较全面、方案基本可行，符合国家相关规定，基本满足</w:t>
            </w:r>
            <w:r>
              <w:rPr>
                <w:rFonts w:hint="eastAsia" w:ascii="仿宋" w:hAnsi="仿宋" w:eastAsia="仿宋" w:cs="仿宋"/>
                <w:color w:val="000000"/>
                <w:sz w:val="21"/>
                <w:szCs w:val="21"/>
                <w:highlight w:val="none"/>
                <w:lang w:eastAsia="zh-CN"/>
              </w:rPr>
              <w:t>采购人</w:t>
            </w:r>
            <w:r>
              <w:rPr>
                <w:rFonts w:hint="eastAsia" w:ascii="仿宋" w:hAnsi="仿宋" w:eastAsia="仿宋" w:cs="仿宋"/>
                <w:color w:val="000000"/>
                <w:sz w:val="21"/>
                <w:szCs w:val="21"/>
                <w:highlight w:val="none"/>
              </w:rPr>
              <w:t>的实际需求</w:t>
            </w:r>
            <w:r>
              <w:rPr>
                <w:rFonts w:hint="eastAsia" w:ascii="仿宋" w:hAnsi="仿宋" w:eastAsia="仿宋" w:cs="仿宋"/>
                <w:color w:val="000000"/>
                <w:sz w:val="21"/>
                <w:szCs w:val="21"/>
                <w:highlight w:val="none"/>
                <w:lang w:val="en-US" w:eastAsia="zh-CN"/>
              </w:rPr>
              <w:t>0</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5</w:t>
            </w:r>
            <w:r>
              <w:rPr>
                <w:rFonts w:hint="eastAsia" w:ascii="仿宋" w:hAnsi="仿宋" w:eastAsia="仿宋" w:cs="仿宋"/>
                <w:color w:val="000000"/>
                <w:sz w:val="21"/>
                <w:szCs w:val="21"/>
                <w:highlight w:val="none"/>
              </w:rPr>
              <w:t>分</w:t>
            </w:r>
            <w:r>
              <w:rPr>
                <w:rFonts w:hint="eastAsia" w:ascii="仿宋" w:hAnsi="仿宋" w:eastAsia="仿宋" w:cs="仿宋"/>
                <w:color w:val="000000"/>
                <w:sz w:val="21"/>
                <w:szCs w:val="21"/>
                <w:highlight w:val="none"/>
                <w:lang w:eastAsia="zh-CN"/>
              </w:rPr>
              <w:t>（含</w:t>
            </w:r>
            <w:r>
              <w:rPr>
                <w:rFonts w:hint="eastAsia" w:ascii="仿宋" w:hAnsi="仿宋" w:eastAsia="仿宋" w:cs="仿宋"/>
                <w:color w:val="000000"/>
                <w:sz w:val="21"/>
                <w:szCs w:val="21"/>
                <w:highlight w:val="none"/>
                <w:lang w:val="en-US" w:eastAsia="zh-CN"/>
              </w:rPr>
              <w:t>5分</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auto"/>
                <w:sz w:val="21"/>
                <w:szCs w:val="21"/>
                <w:highlight w:val="none"/>
                <w:lang w:val="en-US" w:eastAsia="zh-CN"/>
              </w:rPr>
              <w:t>2.投标人应急突发状况处置措施和设备故障时反应机制：投标人针对本项目需提供在突发状况下，发生故障或事故时具有应急能力，应急方案合理、可行。</w:t>
            </w:r>
            <w:r>
              <w:rPr>
                <w:rFonts w:hint="eastAsia" w:ascii="仿宋" w:hAnsi="仿宋" w:eastAsia="仿宋" w:cs="仿宋"/>
                <w:color w:val="000000"/>
                <w:sz w:val="21"/>
                <w:szCs w:val="21"/>
                <w:highlight w:val="none"/>
                <w:lang w:eastAsia="zh-CN"/>
              </w:rPr>
              <w:t>根据响应情况计</w:t>
            </w:r>
            <w:r>
              <w:rPr>
                <w:rFonts w:hint="eastAsia" w:ascii="仿宋" w:hAnsi="仿宋" w:eastAsia="仿宋" w:cs="仿宋"/>
                <w:color w:val="000000"/>
                <w:sz w:val="21"/>
                <w:szCs w:val="21"/>
                <w:highlight w:val="none"/>
                <w:lang w:val="en-US" w:eastAsia="zh-CN"/>
              </w:rPr>
              <w:t>0-8分，未提供不计分。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应急预案合理、可行，得5-8分；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应急预案基本合理、可行，得3-5分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含5分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应急预案较差，得0-3分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含3分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rightChars="0" w:firstLine="420" w:firstLineChars="200"/>
              <w:jc w:val="left"/>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auto"/>
                <w:sz w:val="21"/>
                <w:szCs w:val="21"/>
                <w:highlight w:val="none"/>
                <w:lang w:val="en-US" w:eastAsia="zh-CN"/>
              </w:rPr>
              <w:t>3.投标人针对本项目应建立完善的维护保养管理体系，</w:t>
            </w:r>
            <w:r>
              <w:rPr>
                <w:rFonts w:hint="eastAsia" w:ascii="仿宋" w:hAnsi="仿宋" w:eastAsia="仿宋" w:cs="仿宋"/>
                <w:color w:val="000000"/>
                <w:sz w:val="21"/>
                <w:szCs w:val="21"/>
                <w:highlight w:val="none"/>
                <w:lang w:eastAsia="zh-CN"/>
              </w:rPr>
              <w:t>根据响应情况计</w:t>
            </w:r>
            <w:r>
              <w:rPr>
                <w:rFonts w:hint="eastAsia" w:ascii="仿宋" w:hAnsi="仿宋" w:eastAsia="仿宋" w:cs="仿宋"/>
                <w:color w:val="000000"/>
                <w:sz w:val="21"/>
                <w:szCs w:val="21"/>
                <w:highlight w:val="none"/>
                <w:lang w:val="en-US" w:eastAsia="zh-CN"/>
              </w:rPr>
              <w:t>0-7分，未提供不计分。</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right="0" w:rightChars="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提供健全的维护管理工具与手段，确保设备维修后使用可靠、稳定、性能充分发挥，维保承诺合理可行、内容涵盖全面，得4-7分；</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420" w:leftChars="20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维保承诺基本合理、内容基本涵盖，得2-4分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含4分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；维保内容过于简陋，内容过于简单，得0-2分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含2分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auto"/>
                <w:sz w:val="21"/>
                <w:szCs w:val="21"/>
                <w:highlight w:val="none"/>
                <w:lang w:val="en-US" w:eastAsia="zh-CN"/>
              </w:rPr>
              <w:t>4.投标人针对本项目的进度计划安排</w:t>
            </w:r>
            <w:r>
              <w:rPr>
                <w:rFonts w:hint="eastAsia" w:ascii="仿宋" w:hAnsi="仿宋" w:eastAsia="仿宋" w:cs="仿宋"/>
                <w:color w:val="auto"/>
                <w:sz w:val="21"/>
                <w:szCs w:val="21"/>
                <w:highlight w:val="none"/>
                <w:lang w:val="zh-CN" w:eastAsia="zh-CN"/>
              </w:rPr>
              <w:t>满足要求</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zh-CN" w:eastAsia="zh-CN"/>
              </w:rPr>
              <w:t>节点清晰、</w:t>
            </w:r>
            <w:r>
              <w:rPr>
                <w:rFonts w:hint="eastAsia" w:ascii="仿宋" w:hAnsi="仿宋" w:eastAsia="仿宋" w:cs="仿宋"/>
                <w:color w:val="auto"/>
                <w:sz w:val="21"/>
                <w:szCs w:val="21"/>
                <w:highlight w:val="none"/>
                <w:lang w:val="en-US" w:eastAsia="zh-CN"/>
              </w:rPr>
              <w:t>质量保证措施、安全保证措施完善，</w:t>
            </w:r>
            <w:r>
              <w:rPr>
                <w:rFonts w:hint="eastAsia" w:ascii="仿宋" w:hAnsi="仿宋" w:eastAsia="仿宋" w:cs="仿宋"/>
                <w:color w:val="000000"/>
                <w:sz w:val="21"/>
                <w:szCs w:val="21"/>
                <w:highlight w:val="none"/>
                <w:lang w:eastAsia="zh-CN"/>
              </w:rPr>
              <w:t>根据响应情况计</w:t>
            </w:r>
            <w:r>
              <w:rPr>
                <w:rFonts w:hint="eastAsia" w:ascii="仿宋" w:hAnsi="仿宋" w:eastAsia="仿宋" w:cs="仿宋"/>
                <w:color w:val="000000"/>
                <w:sz w:val="21"/>
                <w:szCs w:val="21"/>
                <w:highlight w:val="none"/>
                <w:lang w:val="en-US" w:eastAsia="zh-CN"/>
              </w:rPr>
              <w:t>0-7分，未提供不计分。</w:t>
            </w:r>
          </w:p>
          <w:p>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方案合理、可行，得4-7分；</w:t>
            </w:r>
          </w:p>
          <w:p>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方案基本合理、可行，得2-4分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含4分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w:t>
            </w:r>
          </w:p>
          <w:p>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方案较差，得0-2分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含2分</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 xml:space="preserve">。                       </w:t>
            </w:r>
          </w:p>
        </w:tc>
        <w:tc>
          <w:tcPr>
            <w:tcW w:w="601" w:type="dxa"/>
            <w:vMerge w:val="continue"/>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default"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155"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kern w:val="0"/>
                <w:sz w:val="21"/>
                <w:szCs w:val="21"/>
              </w:rPr>
            </w:pPr>
            <w:r>
              <w:rPr>
                <w:rFonts w:hint="eastAsia" w:ascii="仿宋" w:hAnsi="仿宋" w:eastAsia="仿宋" w:cs="仿宋"/>
                <w:sz w:val="21"/>
                <w:szCs w:val="21"/>
                <w:highlight w:val="none"/>
                <w:lang w:eastAsia="zh-CN"/>
              </w:rPr>
              <w:t>履约能力</w:t>
            </w:r>
          </w:p>
        </w:tc>
        <w:tc>
          <w:tcPr>
            <w:tcW w:w="7282" w:type="dxa"/>
            <w:gridSpan w:val="2"/>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投标人针对本项目有合理具体的人员组织安排，职责任务明确，服务人员具有专业技术能力（提供相关证明材料：资格认证证书、服务能力证明等），实施工作计划符合项目实际情况、针对性强，根据响应合理性、可操作性、专业性等程度得0</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lang w:val="en-US" w:eastAsia="zh-CN"/>
              </w:rPr>
              <w:t xml:space="preserve">10分。 </w:t>
            </w:r>
          </w:p>
          <w:p>
            <w:pPr>
              <w:keepNext w:val="0"/>
              <w:keepLines w:val="0"/>
              <w:pageBreakBefore w:val="0"/>
              <w:kinsoku/>
              <w:wordWrap/>
              <w:overflowPunct/>
              <w:topLinePunct w:val="0"/>
              <w:autoSpaceDE/>
              <w:autoSpaceDN/>
              <w:bidi w:val="0"/>
              <w:spacing w:line="360" w:lineRule="auto"/>
              <w:ind w:left="0" w:firstLine="420" w:firstLineChars="2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lang w:val="en-US" w:eastAsia="zh-CN"/>
              </w:rPr>
              <w:t>2、对本项目所配备的专业维保工具、检测设备齐全合理，提供其证明材料等。根据响应程度得0</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lang w:val="en-US" w:eastAsia="zh-CN"/>
              </w:rPr>
              <w:t xml:space="preserve">5分。                                         </w:t>
            </w:r>
          </w:p>
        </w:tc>
        <w:tc>
          <w:tcPr>
            <w:tcW w:w="601"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155"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sz w:val="21"/>
                <w:szCs w:val="21"/>
                <w:highlight w:val="none"/>
                <w:lang w:eastAsia="zh-CN"/>
              </w:rPr>
              <w:t>售后服务</w:t>
            </w:r>
          </w:p>
        </w:tc>
        <w:tc>
          <w:tcPr>
            <w:tcW w:w="7282" w:type="dxa"/>
            <w:gridSpan w:val="2"/>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1.提供保证设备开机率达到95%以上（未达到的保修期将顺延）的承诺书。提供得3分，否则不得分。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根据项目的要求提供详细的售后服务方案，包括服务标准、服务流程、服务内容、响应时间以及其他服务的承诺，且为采购人提供相应的专业咨询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根据响应情况得0-5分。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w:t>
            </w:r>
          </w:p>
        </w:tc>
        <w:tc>
          <w:tcPr>
            <w:tcW w:w="601" w:type="dxa"/>
            <w:noWrap w:val="0"/>
            <w:vAlign w:val="center"/>
          </w:tcPr>
          <w:p>
            <w:pPr>
              <w:keepNext w:val="0"/>
              <w:keepLines w:val="0"/>
              <w:pageBreakBefore w:val="0"/>
              <w:kinsoku/>
              <w:wordWrap/>
              <w:overflowPunct/>
              <w:topLinePunct w:val="0"/>
              <w:autoSpaceDE/>
              <w:autoSpaceDN/>
              <w:bidi w:val="0"/>
              <w:spacing w:line="360" w:lineRule="auto"/>
              <w:ind w:left="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r>
    </w:tbl>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4.其他事项说明</w:t>
      </w:r>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因落实政府采购政策进行价格调整的，以调整后的价格计算评审基准价和磋商报价。</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482" w:firstLineChars="200"/>
        <w:outlineLvl w:val="2"/>
        <w:rPr>
          <w:rFonts w:ascii="仿宋" w:hAnsi="仿宋" w:eastAsia="仿宋" w:cs="仿宋"/>
          <w:color w:val="auto"/>
          <w:sz w:val="24"/>
          <w:szCs w:val="24"/>
          <w:lang w:val="zh-CN"/>
        </w:rPr>
      </w:pPr>
      <w:bookmarkStart w:id="268" w:name="_Toc16544"/>
      <w:bookmarkStart w:id="269" w:name="_Toc28674"/>
      <w:bookmarkStart w:id="270" w:name="_Toc10717"/>
      <w:bookmarkStart w:id="271" w:name="_Toc22385"/>
      <w:r>
        <w:rPr>
          <w:rFonts w:hint="eastAsia" w:ascii="仿宋" w:hAnsi="仿宋" w:eastAsia="仿宋" w:cs="仿宋"/>
          <w:b/>
          <w:bCs/>
          <w:color w:val="auto"/>
          <w:sz w:val="24"/>
          <w:szCs w:val="24"/>
          <w:lang w:val="zh-CN"/>
        </w:rPr>
        <w:t>（八）推荐成交候选供应商名单</w:t>
      </w:r>
      <w:bookmarkEnd w:id="268"/>
      <w:bookmarkEnd w:id="269"/>
      <w:bookmarkEnd w:id="270"/>
      <w:bookmarkEnd w:id="271"/>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482" w:firstLineChars="200"/>
        <w:outlineLvl w:val="1"/>
        <w:rPr>
          <w:rFonts w:ascii="仿宋" w:hAnsi="仿宋" w:eastAsia="仿宋" w:cs="仿宋"/>
          <w:b/>
          <w:color w:val="auto"/>
          <w:sz w:val="24"/>
          <w:szCs w:val="24"/>
        </w:rPr>
      </w:pPr>
      <w:bookmarkStart w:id="272" w:name="_Toc495681514"/>
      <w:bookmarkStart w:id="273" w:name="_Toc14537"/>
      <w:bookmarkStart w:id="274" w:name="_Toc8859"/>
      <w:bookmarkStart w:id="275" w:name="_Toc22513"/>
      <w:bookmarkStart w:id="276" w:name="_Toc495681387"/>
      <w:bookmarkStart w:id="277" w:name="_Toc17968"/>
      <w:bookmarkStart w:id="278" w:name="_Toc16758"/>
      <w:bookmarkStart w:id="279" w:name="_Toc5498"/>
      <w:bookmarkStart w:id="280" w:name="_Toc5569"/>
      <w:bookmarkStart w:id="281" w:name="_Toc11824"/>
      <w:bookmarkStart w:id="282" w:name="_Toc19772"/>
      <w:bookmarkStart w:id="283" w:name="_Toc495681233"/>
      <w:bookmarkStart w:id="284" w:name="_Toc21709"/>
      <w:bookmarkStart w:id="285" w:name="_Toc495908032"/>
      <w:bookmarkStart w:id="286" w:name="_Toc18707"/>
      <w:bookmarkStart w:id="287" w:name="_Toc24654"/>
      <w:bookmarkStart w:id="288" w:name="_Toc26753"/>
      <w:r>
        <w:rPr>
          <w:rFonts w:hint="eastAsia" w:ascii="仿宋" w:hAnsi="仿宋" w:eastAsia="仿宋" w:cs="仿宋"/>
          <w:b/>
          <w:color w:val="auto"/>
          <w:sz w:val="24"/>
          <w:szCs w:val="24"/>
        </w:rPr>
        <w:t>七、确定成交供应商</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（一）采购代理机构应在评审结束后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个工作日内，将评审报告送采购人确定成交供应商。</w:t>
      </w:r>
    </w:p>
    <w:p>
      <w:pPr>
        <w:snapToGrid w:val="0"/>
        <w:spacing w:line="360" w:lineRule="auto"/>
        <w:ind w:firstLine="480" w:firstLineChars="200"/>
        <w:rPr>
          <w:rFonts w:ascii="仿宋" w:hAnsi="仿宋" w:eastAsia="仿宋" w:cs="仿宋"/>
          <w:snapToGrid w:val="0"/>
          <w:color w:val="auto"/>
          <w:kern w:val="0"/>
          <w:sz w:val="24"/>
          <w:szCs w:val="24"/>
        </w:rPr>
      </w:pPr>
      <w:r>
        <w:rPr>
          <w:rFonts w:hint="eastAsia" w:ascii="仿宋" w:hAnsi="仿宋" w:eastAsia="仿宋" w:cs="仿宋"/>
          <w:color w:val="auto"/>
          <w:sz w:val="24"/>
          <w:szCs w:val="24"/>
        </w:rPr>
        <w:t>（二）采购人在收到评审报告后</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个工作日内，从评审报告提出的成交候选人中，</w:t>
      </w:r>
      <w:r>
        <w:rPr>
          <w:rFonts w:hint="eastAsia" w:ascii="仿宋" w:hAnsi="仿宋" w:eastAsia="仿宋" w:cs="仿宋"/>
          <w:snapToGrid w:val="0"/>
          <w:color w:val="auto"/>
          <w:kern w:val="0"/>
          <w:sz w:val="24"/>
          <w:szCs w:val="24"/>
        </w:rPr>
        <w:t>按照排序由高到低的原则确定成交供应商，也可以书面授权磋商小组直接确定成交供应商。</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（三）采购代理机构在接到采购人的“成交复函”确认文件后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个工作日内，在</w:t>
      </w:r>
      <w:r>
        <w:rPr>
          <w:rFonts w:hint="eastAsia" w:ascii="仿宋" w:hAnsi="仿宋" w:eastAsia="仿宋" w:cs="仿宋"/>
          <w:snapToGrid w:val="0"/>
          <w:color w:val="auto"/>
          <w:kern w:val="0"/>
          <w:sz w:val="24"/>
          <w:szCs w:val="24"/>
        </w:rPr>
        <w:t>省级以上财政部门指定的政府采购信息发布媒体上公告成交结果，同时向成交供应商发出成交通知书。</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482" w:firstLineChars="200"/>
        <w:outlineLvl w:val="1"/>
        <w:rPr>
          <w:rFonts w:ascii="仿宋" w:hAnsi="仿宋" w:eastAsia="仿宋" w:cs="仿宋"/>
          <w:b/>
          <w:color w:val="auto"/>
          <w:sz w:val="24"/>
          <w:szCs w:val="24"/>
        </w:rPr>
      </w:pPr>
      <w:bookmarkStart w:id="289" w:name="_Toc495908033"/>
      <w:bookmarkStart w:id="290" w:name="_Toc3315"/>
      <w:bookmarkStart w:id="291" w:name="_Toc495681234"/>
      <w:bookmarkStart w:id="292" w:name="_Toc28410"/>
      <w:bookmarkStart w:id="293" w:name="_Toc13929"/>
      <w:bookmarkStart w:id="294" w:name="_Toc22831"/>
      <w:bookmarkStart w:id="295" w:name="_Toc495681515"/>
      <w:bookmarkStart w:id="296" w:name="_Toc18122"/>
      <w:bookmarkStart w:id="297" w:name="_Toc14377"/>
      <w:bookmarkStart w:id="298" w:name="_Toc12629"/>
      <w:bookmarkStart w:id="299" w:name="_Toc495681388"/>
      <w:bookmarkStart w:id="300" w:name="_Toc19132"/>
      <w:bookmarkStart w:id="301" w:name="_Toc29069"/>
      <w:bookmarkStart w:id="302" w:name="_Toc21581"/>
      <w:bookmarkStart w:id="303" w:name="_Toc27755"/>
      <w:bookmarkStart w:id="304" w:name="_Toc18909"/>
      <w:bookmarkStart w:id="305" w:name="_Toc4722"/>
      <w:r>
        <w:rPr>
          <w:rFonts w:hint="eastAsia" w:ascii="仿宋" w:hAnsi="仿宋" w:eastAsia="仿宋" w:cs="仿宋"/>
          <w:b/>
          <w:color w:val="auto"/>
          <w:sz w:val="24"/>
          <w:szCs w:val="24"/>
        </w:rPr>
        <w:t>八、合同</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（一）采购人与成交供应商应当在成交通知书发出之日起30日内，</w:t>
      </w:r>
      <w:r>
        <w:rPr>
          <w:rFonts w:hint="eastAsia" w:ascii="仿宋" w:hAnsi="仿宋" w:eastAsia="仿宋" w:cs="仿宋"/>
          <w:color w:val="auto"/>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（二）成交后，成交供应商无正当理由拖延或拒签合同，</w:t>
      </w:r>
      <w:r>
        <w:rPr>
          <w:rFonts w:hint="eastAsia" w:ascii="仿宋" w:hAnsi="仿宋" w:eastAsia="仿宋" w:cs="仿宋"/>
          <w:color w:val="auto"/>
          <w:sz w:val="24"/>
          <w:szCs w:val="24"/>
          <w:lang w:val="zh-CN"/>
        </w:rPr>
        <w:t>采购人可以按照评审报告推荐的成交候选人名单排序，确定下一候选人为成交供应商，也可以重新开展政府采购活动。</w:t>
      </w:r>
      <w:r>
        <w:rPr>
          <w:rFonts w:hint="eastAsia" w:ascii="仿宋" w:hAnsi="仿宋" w:eastAsia="仿宋" w:cs="仿宋"/>
          <w:color w:val="auto"/>
          <w:sz w:val="24"/>
          <w:szCs w:val="24"/>
        </w:rPr>
        <w:t>同时报请监督机构通报，取消其进入政府采购市场的资格，按规定予以处罚。</w:t>
      </w:r>
    </w:p>
    <w:p>
      <w:pPr>
        <w:autoSpaceDE w:val="0"/>
        <w:autoSpaceDN w:val="0"/>
        <w:adjustRightInd w:val="0"/>
        <w:snapToGrid w:val="0"/>
        <w:spacing w:line="360" w:lineRule="auto"/>
        <w:ind w:firstLine="482" w:firstLineChars="200"/>
        <w:outlineLvl w:val="1"/>
        <w:rPr>
          <w:rFonts w:ascii="仿宋" w:hAnsi="仿宋" w:eastAsia="仿宋" w:cs="仿宋"/>
          <w:b/>
          <w:color w:val="auto"/>
          <w:sz w:val="24"/>
          <w:szCs w:val="24"/>
          <w:lang w:val="zh-CN"/>
        </w:rPr>
      </w:pPr>
      <w:bookmarkStart w:id="306" w:name="_Toc2657"/>
      <w:bookmarkStart w:id="307" w:name="_Toc17728"/>
      <w:bookmarkStart w:id="308" w:name="_Toc12204"/>
      <w:bookmarkStart w:id="309" w:name="_Toc495681389"/>
      <w:bookmarkStart w:id="310" w:name="_Toc9688"/>
      <w:bookmarkStart w:id="311" w:name="_Toc495681235"/>
      <w:bookmarkStart w:id="312" w:name="_Toc495671243"/>
      <w:bookmarkStart w:id="313" w:name="_Toc495908034"/>
      <w:bookmarkStart w:id="314" w:name="_Toc25837"/>
      <w:bookmarkStart w:id="315" w:name="_Toc21962"/>
      <w:bookmarkStart w:id="316" w:name="_Toc9118"/>
      <w:bookmarkStart w:id="317" w:name="_Toc27365"/>
      <w:bookmarkStart w:id="318" w:name="_Toc22242"/>
      <w:bookmarkStart w:id="319" w:name="_Toc8437"/>
      <w:bookmarkStart w:id="320" w:name="_Toc7116"/>
      <w:bookmarkStart w:id="321" w:name="_Toc495681516"/>
      <w:bookmarkStart w:id="322" w:name="_Toc13779"/>
      <w:bookmarkStart w:id="323" w:name="_Toc10702"/>
      <w:r>
        <w:rPr>
          <w:rFonts w:hint="eastAsia" w:ascii="仿宋" w:hAnsi="仿宋" w:eastAsia="仿宋" w:cs="仿宋"/>
          <w:b/>
          <w:color w:val="auto"/>
          <w:sz w:val="24"/>
          <w:szCs w:val="24"/>
          <w:lang w:val="zh-CN"/>
        </w:rPr>
        <w:t>九、成交合同的履约验收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autoSpaceDE w:val="0"/>
        <w:autoSpaceDN w:val="0"/>
        <w:adjustRightInd w:val="0"/>
        <w:snapToGri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482" w:firstLineChars="200"/>
        <w:outlineLvl w:val="1"/>
        <w:rPr>
          <w:rFonts w:ascii="仿宋" w:hAnsi="仿宋" w:eastAsia="仿宋" w:cs="仿宋"/>
          <w:b/>
          <w:color w:val="auto"/>
          <w:sz w:val="24"/>
          <w:szCs w:val="24"/>
        </w:rPr>
      </w:pPr>
      <w:bookmarkStart w:id="324" w:name="_Toc22334"/>
      <w:bookmarkStart w:id="325" w:name="_Toc7638"/>
      <w:bookmarkStart w:id="326" w:name="_Toc29351"/>
      <w:bookmarkStart w:id="327" w:name="_Toc18844"/>
      <w:bookmarkStart w:id="328" w:name="_Toc25429"/>
      <w:bookmarkStart w:id="329" w:name="_Toc495681236"/>
      <w:bookmarkStart w:id="330" w:name="_Toc18466"/>
      <w:bookmarkStart w:id="331" w:name="_Toc495681390"/>
      <w:bookmarkStart w:id="332" w:name="_Toc7379"/>
      <w:bookmarkStart w:id="333" w:name="_Toc7570"/>
      <w:bookmarkStart w:id="334" w:name="_Toc24838"/>
      <w:bookmarkStart w:id="335" w:name="_Toc19"/>
      <w:bookmarkStart w:id="336" w:name="_Toc495908035"/>
      <w:bookmarkStart w:id="337" w:name="_Toc495681517"/>
      <w:bookmarkStart w:id="338" w:name="_Toc26884"/>
      <w:bookmarkStart w:id="339" w:name="_Toc20679"/>
      <w:bookmarkStart w:id="340" w:name="_Toc30302"/>
      <w:r>
        <w:rPr>
          <w:rFonts w:hint="eastAsia" w:ascii="仿宋" w:hAnsi="仿宋" w:eastAsia="仿宋" w:cs="仿宋"/>
          <w:b/>
          <w:color w:val="auto"/>
          <w:sz w:val="24"/>
          <w:szCs w:val="24"/>
        </w:rPr>
        <w:t>十、成交服务费</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60" w:lineRule="auto"/>
        <w:ind w:firstLine="480" w:firstLineChars="200"/>
        <w:rPr>
          <w:rFonts w:ascii="仿宋_GB2312" w:hAnsi="仿宋_GB2312" w:eastAsia="仿宋_GB2312" w:cs="仿宋_GB2312"/>
          <w:color w:val="auto"/>
          <w:sz w:val="24"/>
          <w:szCs w:val="24"/>
        </w:rPr>
      </w:pPr>
      <w:r>
        <w:rPr>
          <w:rFonts w:hint="eastAsia" w:ascii="仿宋" w:hAnsi="仿宋" w:eastAsia="仿宋" w:cs="仿宋"/>
          <w:color w:val="auto"/>
          <w:sz w:val="24"/>
          <w:szCs w:val="24"/>
        </w:rPr>
        <w:t>（一）本项目招标代理服务费由成交供应商在成交结果公示期满后三个工作日内按照标准支付给招标代理机构。</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参照国家计委关于《招标代理服务收费管理暂行办法》（计价格[2002]1980号）、《国家发展改革委办公厅关于招标代理服务收费有关问题的通知》（发改价格[2003]857号）、《国家发展改革委关于进一步放开建设项目专业服务价格的通知》</w:t>
      </w:r>
      <w:r>
        <w:rPr>
          <w:rFonts w:hint="eastAsia" w:ascii="仿宋" w:hAnsi="仿宋" w:eastAsia="仿宋" w:cs="仿宋"/>
          <w:color w:val="auto"/>
          <w:sz w:val="24"/>
          <w:szCs w:val="24"/>
          <w:lang w:eastAsia="zh-CN"/>
        </w:rPr>
        <w:t>下浮</w:t>
      </w:r>
      <w:r>
        <w:rPr>
          <w:rFonts w:hint="eastAsia" w:ascii="仿宋" w:hAnsi="仿宋" w:eastAsia="仿宋" w:cs="仿宋"/>
          <w:color w:val="auto"/>
          <w:sz w:val="24"/>
          <w:szCs w:val="24"/>
          <w:lang w:val="en-US" w:eastAsia="zh-CN"/>
        </w:rPr>
        <w:t>20%收取</w:t>
      </w:r>
      <w:r>
        <w:rPr>
          <w:rFonts w:hint="eastAsia" w:ascii="仿宋" w:hAnsi="仿宋" w:eastAsia="仿宋" w:cs="仿宋"/>
          <w:color w:val="auto"/>
          <w:sz w:val="24"/>
          <w:szCs w:val="24"/>
        </w:rPr>
        <w:t>。</w:t>
      </w:r>
    </w:p>
    <w:p>
      <w:pPr>
        <w:spacing w:line="360" w:lineRule="auto"/>
        <w:jc w:val="right"/>
        <w:rPr>
          <w:rFonts w:ascii="仿宋" w:hAnsi="仿宋" w:eastAsia="仿宋" w:cs="仿宋"/>
          <w:color w:val="auto"/>
          <w:sz w:val="24"/>
          <w:szCs w:val="24"/>
          <w:lang w:val="zh-CN"/>
        </w:rPr>
      </w:pPr>
      <w:r>
        <w:rPr>
          <w:rFonts w:hint="eastAsia" w:ascii="仿宋" w:hAnsi="仿宋" w:eastAsia="仿宋" w:cs="仿宋"/>
          <w:color w:val="auto"/>
          <w:sz w:val="24"/>
          <w:szCs w:val="24"/>
          <w:lang w:val="zh-CN"/>
        </w:rPr>
        <w:t>单位：万元</w:t>
      </w:r>
    </w:p>
    <w:tbl>
      <w:tblPr>
        <w:tblStyle w:val="2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ascii="仿宋" w:hAnsi="仿宋" w:eastAsia="仿宋" w:cs="仿宋"/>
                <w:b/>
                <w:color w:val="auto"/>
                <w:sz w:val="24"/>
                <w:szCs w:val="24"/>
              </w:rPr>
            </w:pPr>
            <w:r>
              <w:rPr>
                <w:rFonts w:ascii="仿宋" w:hAnsi="仿宋" w:eastAsia="仿宋" w:cs="仿宋"/>
                <w:color w:val="auto"/>
                <w:sz w:val="24"/>
                <w:szCs w:val="24"/>
              </w:rPr>
              <w:pict>
                <v:shape id="_x0000_s2051" o:spid="_x0000_s2051" o:spt="32" type="#_x0000_t32" style="position:absolute;left:0pt;margin-left:-6.35pt;margin-top:0.25pt;height:45.45pt;width:123.7pt;z-index:251663360;mso-width-relative:page;mso-height-relative:page;" filled="f"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2zID9UAAAAHAQAADwAAAAAAAAABACAAAAAiAAAAZHJz&#10;L2Rvd25yZXYueG1sUEsBAhQAFAAAAAgAh07iQDe2uocHAgAA/QMAAA4AAAAAAAAAAQAgAAAAJAEA&#10;AGRycy9lMm9Eb2MueG1sUEsFBgAAAAAGAAYAWQEAAJ0FAAAAAA==&#10;">
                  <v:path arrowok="t"/>
                  <v:fill on="f" focussize="0,0"/>
                  <v:stroke/>
                  <v:imagedata o:title=""/>
                  <o:lock v:ext="edit"/>
                </v:shape>
              </w:pict>
            </w:r>
            <w:r>
              <w:rPr>
                <w:rFonts w:hint="eastAsia" w:ascii="仿宋" w:hAnsi="仿宋" w:eastAsia="仿宋" w:cs="仿宋"/>
                <w:b/>
                <w:color w:val="auto"/>
                <w:sz w:val="24"/>
                <w:szCs w:val="24"/>
              </w:rPr>
              <w:t>采购类型</w:t>
            </w:r>
          </w:p>
          <w:p>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中标金额</w:t>
            </w:r>
          </w:p>
        </w:tc>
        <w:tc>
          <w:tcPr>
            <w:tcW w:w="198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货物招标</w:t>
            </w:r>
          </w:p>
        </w:tc>
        <w:tc>
          <w:tcPr>
            <w:tcW w:w="198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服务招标</w:t>
            </w:r>
          </w:p>
        </w:tc>
        <w:tc>
          <w:tcPr>
            <w:tcW w:w="198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100以下</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100-500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500-1000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0.45%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1000-5000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5000-10000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10000-100000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1000000以上</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r>
    </w:tbl>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（三）成交供应商服务费交纳信息：</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银行户名：陕西笃信招标有限公司</w:t>
      </w:r>
    </w:p>
    <w:p>
      <w:pPr>
        <w:tabs>
          <w:tab w:val="left" w:pos="9030"/>
        </w:tabs>
        <w:snapToGrid w:val="0"/>
        <w:spacing w:line="360" w:lineRule="auto"/>
        <w:ind w:right="-65" w:firstLine="480" w:firstLineChars="200"/>
        <w:rPr>
          <w:rFonts w:ascii="仿宋" w:hAnsi="仿宋" w:eastAsia="仿宋" w:cs="仿宋"/>
          <w:color w:val="auto"/>
          <w:sz w:val="24"/>
          <w:szCs w:val="24"/>
        </w:rPr>
      </w:pPr>
      <w:r>
        <w:rPr>
          <w:rFonts w:hint="eastAsia" w:ascii="仿宋" w:hAnsi="仿宋" w:eastAsia="仿宋" w:cs="仿宋"/>
          <w:color w:val="auto"/>
          <w:sz w:val="24"/>
          <w:szCs w:val="24"/>
        </w:rPr>
        <w:t>开户银行：中国建设银行股份有限公司西安劳动北路支行</w:t>
      </w:r>
    </w:p>
    <w:p>
      <w:pPr>
        <w:tabs>
          <w:tab w:val="left" w:pos="9030"/>
        </w:tabs>
        <w:snapToGrid w:val="0"/>
        <w:spacing w:line="360" w:lineRule="auto"/>
        <w:ind w:right="-65" w:firstLine="480" w:firstLineChars="200"/>
        <w:rPr>
          <w:rFonts w:ascii="仿宋" w:hAnsi="仿宋" w:eastAsia="仿宋" w:cs="仿宋"/>
          <w:color w:val="auto"/>
          <w:sz w:val="24"/>
          <w:szCs w:val="24"/>
        </w:rPr>
      </w:pPr>
      <w:r>
        <w:rPr>
          <w:rFonts w:hint="eastAsia" w:ascii="仿宋" w:hAnsi="仿宋" w:eastAsia="仿宋" w:cs="仿宋"/>
          <w:color w:val="auto"/>
          <w:sz w:val="24"/>
          <w:szCs w:val="24"/>
        </w:rPr>
        <w:t>账   号：61050174390000000193</w:t>
      </w:r>
    </w:p>
    <w:p>
      <w:pPr>
        <w:autoSpaceDE w:val="0"/>
        <w:autoSpaceDN w:val="0"/>
        <w:adjustRightInd w:val="0"/>
        <w:snapToGrid w:val="0"/>
        <w:spacing w:line="360" w:lineRule="auto"/>
        <w:ind w:firstLine="627"/>
        <w:outlineLvl w:val="1"/>
        <w:rPr>
          <w:rFonts w:hint="eastAsia" w:ascii="仿宋" w:hAnsi="仿宋" w:eastAsia="仿宋" w:cs="仿宋"/>
          <w:b/>
          <w:sz w:val="24"/>
          <w:szCs w:val="24"/>
          <w:lang w:val="zh-CN"/>
        </w:rPr>
      </w:pPr>
      <w:bookmarkStart w:id="341" w:name="_Toc21416"/>
      <w:bookmarkStart w:id="342" w:name="_Toc18260"/>
      <w:bookmarkStart w:id="343" w:name="_Toc12871"/>
      <w:bookmarkStart w:id="344" w:name="_Toc23881"/>
      <w:bookmarkStart w:id="345" w:name="_Toc8754"/>
      <w:bookmarkStart w:id="346" w:name="_Toc495681391"/>
      <w:bookmarkStart w:id="347" w:name="_Toc14545"/>
      <w:bookmarkStart w:id="348" w:name="_Toc840"/>
      <w:bookmarkStart w:id="349" w:name="_Toc495908036"/>
      <w:bookmarkStart w:id="350" w:name="_Toc27978"/>
      <w:bookmarkStart w:id="351" w:name="_Toc495681518"/>
      <w:bookmarkStart w:id="352" w:name="_Toc495681237"/>
      <w:bookmarkStart w:id="353" w:name="_Toc21615"/>
      <w:bookmarkStart w:id="354" w:name="_Toc24427"/>
      <w:bookmarkStart w:id="355" w:name="_Toc16213"/>
      <w:bookmarkStart w:id="356" w:name="_Toc11829"/>
      <w:bookmarkStart w:id="357" w:name="_Toc4827"/>
      <w:bookmarkStart w:id="358" w:name="_Toc21377"/>
      <w:bookmarkStart w:id="359" w:name="_Toc32251"/>
      <w:bookmarkStart w:id="360" w:name="_Toc8703"/>
      <w:bookmarkStart w:id="361" w:name="_Toc19455"/>
      <w:bookmarkStart w:id="362" w:name="_Toc495671246"/>
      <w:r>
        <w:rPr>
          <w:rFonts w:hint="eastAsia" w:ascii="仿宋" w:hAnsi="仿宋" w:eastAsia="仿宋" w:cs="仿宋"/>
          <w:b/>
          <w:sz w:val="24"/>
          <w:szCs w:val="24"/>
          <w:lang w:val="zh-CN"/>
        </w:rPr>
        <w:t>十一、需要落实的政府采购政策</w:t>
      </w:r>
      <w:bookmarkEnd w:id="341"/>
      <w:bookmarkEnd w:id="342"/>
      <w:bookmarkEnd w:id="343"/>
      <w:bookmarkEnd w:id="344"/>
      <w:bookmarkEnd w:id="345"/>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条款。)</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《政府采购促进中小企业发展管理办法》（财库〔2020〕46号）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在政府采购活动中，供应商提供的货物、工程或者服务符合下列情形的，享受《办法》规定的中小企业扶持政策: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)在货物采购项目中，货物由中小企业制造，即货物由中小企业生产且使用该中小企业商号或者注册商标；</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)在工程采购项目中，工程由中小企业承建，即工程施工单位为中小企业；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)在服务采购项目中，服务由中小企业承接，即提供服务的人员为中小企业依照《中华人民共和国劳动合同法》订立劳动合同的从业人员。</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依据《办法》规定享受扶持政策获得政府采购合同的，小微企业不得将合同分包给大中型企业，中型企业不得将合同分包给大型企业。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的相关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《财政部 司法部关于政府采购支持监狱企业发展有关问题的通知》（财库〔2014〕68号）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《三部门联合发布关于促进残疾人就业政府采购政策的通知》（财库〔2017〕141号）；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落实优先采购节能、环保产品的政策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据《财政部 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根据《财政部环保总局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政府采购信用融资政策</w:t>
      </w:r>
    </w:p>
    <w:p>
      <w:pPr>
        <w:autoSpaceDE w:val="0"/>
        <w:autoSpaceDN w:val="0"/>
        <w:adjustRightInd w:val="0"/>
        <w:snapToGrid w:val="0"/>
        <w:spacing w:line="360" w:lineRule="auto"/>
        <w:ind w:firstLine="646"/>
        <w:rPr>
          <w:rFonts w:ascii="仿宋" w:hAnsi="仿宋" w:eastAsia="仿宋" w:cs="仿宋"/>
          <w:color w:val="auto"/>
          <w:sz w:val="24"/>
          <w:szCs w:val="24"/>
          <w:highlight w:val="none"/>
          <w:lang w:val="zh-CN"/>
        </w:rPr>
      </w:pPr>
      <w:r>
        <w:rPr>
          <w:rFonts w:hint="eastAsia" w:ascii="仿宋" w:hAnsi="仿宋" w:eastAsia="仿宋" w:cs="仿宋"/>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r>
        <w:rPr>
          <w:rFonts w:hint="eastAsia" w:ascii="仿宋" w:hAnsi="仿宋" w:eastAsia="仿宋" w:cs="仿宋"/>
          <w:color w:val="auto"/>
          <w:sz w:val="24"/>
          <w:szCs w:val="24"/>
          <w:highlight w:val="none"/>
          <w:lang w:val="zh-CN"/>
        </w:rPr>
        <w:t> </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w:t>
      </w:r>
      <w:r>
        <w:rPr>
          <w:rFonts w:hint="eastAsia" w:ascii="仿宋" w:hAnsi="仿宋" w:eastAsia="仿宋" w:cs="仿宋"/>
          <w:sz w:val="24"/>
          <w:szCs w:val="24"/>
          <w:highlight w:val="none"/>
          <w:lang w:val="en-US" w:eastAsia="zh-CN"/>
        </w:rPr>
        <w:t>进入陕西省政府采购信用融资平台</w:t>
      </w:r>
      <w:r>
        <w:rPr>
          <w:rFonts w:hint="eastAsia" w:ascii="仿宋" w:hAnsi="仿宋" w:eastAsia="仿宋" w:cs="仿宋"/>
          <w:sz w:val="24"/>
          <w:szCs w:val="24"/>
          <w:highlight w:val="none"/>
        </w:rPr>
        <w:t>查询了解。</w:t>
      </w:r>
    </w:p>
    <w:p>
      <w:pPr>
        <w:autoSpaceDE w:val="0"/>
        <w:autoSpaceDN w:val="0"/>
        <w:adjustRightInd w:val="0"/>
        <w:snapToGrid w:val="0"/>
        <w:spacing w:line="360" w:lineRule="auto"/>
        <w:ind w:firstLine="64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后附：</w:t>
      </w:r>
      <w:r>
        <w:rPr>
          <w:rFonts w:hint="eastAsia" w:ascii="仿宋" w:hAnsi="仿宋" w:eastAsia="仿宋" w:cs="仿宋"/>
          <w:sz w:val="24"/>
          <w:szCs w:val="24"/>
          <w:highlight w:val="none"/>
        </w:rPr>
        <w:t>西安市政府采购信用担保及信用融资合作机构联系名单</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1565"/>
        <w:gridCol w:w="1668"/>
        <w:gridCol w:w="1125"/>
        <w:gridCol w:w="945"/>
        <w:gridCol w:w="2724"/>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序号</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合作单位名称</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主办单位名称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联系部门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联系人员</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联系电话</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西安投融资担保有限公司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西安投融资担保有限公司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业务五部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李晓</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何彦君</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张华</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88499422 13572821281</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88499422 13679255205</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88499422 18220823060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陕西省信用再担保有限责任公司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陕西省信用再担保</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有限责任公司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业务三部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夏靖颜</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朱筠祥</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88606038-6027</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18591406320</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18629282228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中国银行股份有限公司陕西省分行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中国银行西安二环世纪星支行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公司业务部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胡涛 </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叶楚沙</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88360743 18629048822</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88360749 13772153612</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中国银行西安鄠邑区支行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中小企业信贷部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李旭</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84892992  18729863898</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中国建设银行股份有限公司陕西省分行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建设银行西安市南大街支行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公司部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杨向晖</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87281468</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13379229383</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信用融资</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建设银行西安鄠邑区支行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客户部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柳佳伟</w:t>
            </w:r>
          </w:p>
          <w:p>
            <w:pPr>
              <w:pStyle w:val="12"/>
              <w:ind w:left="0" w:leftChars="0" w:firstLine="0" w:firstLineChars="0"/>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 卢建钊</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pStyle w:val="12"/>
              <w:ind w:left="0" w:leftChars="0" w:firstLine="0" w:firstLineChars="0"/>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84812632</w:t>
            </w:r>
          </w:p>
          <w:p>
            <w:pPr>
              <w:pStyle w:val="12"/>
              <w:ind w:left="0" w:leftChars="0" w:firstLine="0" w:firstLineChars="0"/>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18792831383</w:t>
            </w:r>
          </w:p>
          <w:p>
            <w:pPr>
              <w:pStyle w:val="12"/>
              <w:ind w:left="0" w:leftChars="0" w:firstLine="0" w:firstLineChars="0"/>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18710973144</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中国工商银行股份有限公司陕西省分行营业部</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工商银行陕西分行营业部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小企业金融业务部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牛国群</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张航</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87609569 18992851811</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87609761 13891883334</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工行西安鄠邑区支行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市场部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鲁向兵</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84812752 </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13991212739</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中国农业银行股份有限公司陕西省分行营业部</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农业银行西安西大街支行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公司业务部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贾珊</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高雅</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87617245 13891957123</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87613444 13659192425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招商银行股份有限公司西安分行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招商银行西安未央路支行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公司银行部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杨皓</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马秦香</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62811553 15002905553</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62811553 13609183259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中国光大银行股份有限公司西安分行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光大银行经济技术开发区支行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对公客户经理部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高艺瑄</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15619006186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西安银行股份有限公司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西安银行鄠邑区支行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客户经理部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孙鹏</w:t>
            </w:r>
          </w:p>
          <w:p>
            <w:pPr>
              <w:pStyle w:val="12"/>
              <w:ind w:left="0" w:leftChars="0" w:firstLine="0" w:firstLineChars="0"/>
              <w:rPr>
                <w:rFonts w:hint="eastAsia" w:ascii="仿宋" w:hAnsi="仿宋" w:eastAsia="仿宋" w:cs="仿宋"/>
                <w:sz w:val="24"/>
                <w:szCs w:val="24"/>
                <w:highlight w:val="none"/>
                <w:lang w:val="en-US"/>
              </w:rPr>
            </w:pPr>
            <w:r>
              <w:rPr>
                <w:rFonts w:hint="eastAsia" w:ascii="仿宋" w:hAnsi="仿宋" w:eastAsia="仿宋" w:cs="仿宋"/>
                <w:i w:val="0"/>
                <w:color w:val="000000"/>
                <w:kern w:val="0"/>
                <w:sz w:val="24"/>
                <w:szCs w:val="24"/>
                <w:highlight w:val="none"/>
                <w:u w:val="none"/>
                <w:lang w:val="en-US" w:eastAsia="zh-CN" w:bidi="ar"/>
              </w:rPr>
              <w:t xml:space="preserve">  张晨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13519127426</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84858978</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18706729791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平安银行股份有限公司西安分行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平安银行西安分行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业务发展七部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祝捷</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王尧</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18629505188</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18591767577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北京银行股份有限公司西安分行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北京银行西安分行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营业部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范诗阳</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曹英</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13991945764</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18691892195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兴业银行股份有限公司西安分行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兴业银行西安分行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新城业务总部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徐常磊</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鲁旸</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15991623666</w:t>
            </w:r>
          </w:p>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15389081886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13</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陕西秦农农村商业银行股份有限公司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西安鄠邑农村商业银行股份有限公司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营业部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刘涛</w:t>
            </w:r>
          </w:p>
          <w:p>
            <w:pPr>
              <w:pStyle w:val="12"/>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i w:val="0"/>
                <w:color w:val="000000"/>
                <w:kern w:val="0"/>
                <w:sz w:val="24"/>
                <w:szCs w:val="24"/>
                <w:highlight w:val="none"/>
                <w:u w:val="none"/>
                <w:lang w:val="en-US" w:eastAsia="zh-CN" w:bidi="ar"/>
              </w:rPr>
              <w:t xml:space="preserve">  屈帅</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84866539</w:t>
            </w:r>
          </w:p>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13636718789</w:t>
            </w:r>
          </w:p>
          <w:p>
            <w:pPr>
              <w:pStyle w:val="12"/>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bidi="ar-SA"/>
              </w:rPr>
              <w:t>18502978814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14</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中国邮政储蓄银行陕西省分行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邮政储蓄银行西安市分行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信贷部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  孙歌</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89359305 18192828899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中国民生银行股份有限公司西安分行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民生银行西安分行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城建金融部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李楠</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88266088-8450</w:t>
            </w:r>
          </w:p>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13572058213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信用融资</w:t>
            </w:r>
          </w:p>
        </w:tc>
      </w:tr>
    </w:tbl>
    <w:p>
      <w:pPr>
        <w:autoSpaceDE w:val="0"/>
        <w:autoSpaceDN w:val="0"/>
        <w:adjustRightInd w:val="0"/>
        <w:snapToGrid w:val="0"/>
        <w:spacing w:line="360" w:lineRule="auto"/>
        <w:ind w:firstLine="482" w:firstLineChars="200"/>
        <w:outlineLvl w:val="1"/>
        <w:rPr>
          <w:rFonts w:ascii="仿宋" w:hAnsi="仿宋" w:eastAsia="仿宋" w:cs="仿宋"/>
          <w:b/>
          <w:color w:val="auto"/>
          <w:sz w:val="24"/>
          <w:szCs w:val="24"/>
          <w:lang w:val="zh-CN"/>
        </w:rPr>
      </w:pPr>
      <w:bookmarkStart w:id="363" w:name="_Toc18813"/>
      <w:bookmarkStart w:id="364" w:name="_Toc5903"/>
      <w:bookmarkStart w:id="365" w:name="_Toc19879"/>
      <w:bookmarkStart w:id="366" w:name="_Toc19927"/>
      <w:r>
        <w:rPr>
          <w:rFonts w:hint="eastAsia" w:ascii="仿宋" w:hAnsi="仿宋" w:eastAsia="仿宋" w:cs="仿宋"/>
          <w:b/>
          <w:color w:val="auto"/>
          <w:sz w:val="24"/>
          <w:szCs w:val="24"/>
          <w:lang w:val="zh-CN"/>
        </w:rPr>
        <w:t>十二、质疑与投诉</w:t>
      </w:r>
      <w:bookmarkEnd w:id="363"/>
      <w:bookmarkEnd w:id="364"/>
      <w:bookmarkEnd w:id="365"/>
      <w:bookmarkEnd w:id="366"/>
    </w:p>
    <w:p>
      <w:pPr>
        <w:autoSpaceDE w:val="0"/>
        <w:autoSpaceDN w:val="0"/>
        <w:adjustRightInd w:val="0"/>
        <w:snapToGrid w:val="0"/>
        <w:spacing w:line="360" w:lineRule="auto"/>
        <w:ind w:firstLine="482" w:firstLineChars="200"/>
        <w:outlineLvl w:val="9"/>
        <w:rPr>
          <w:rFonts w:ascii="仿宋" w:hAnsi="仿宋" w:eastAsia="仿宋" w:cs="仿宋"/>
          <w:b/>
          <w:bCs w:val="0"/>
          <w:color w:val="auto"/>
          <w:sz w:val="24"/>
          <w:szCs w:val="24"/>
          <w:lang w:val="zh-CN"/>
        </w:rPr>
      </w:pPr>
      <w:bookmarkStart w:id="367" w:name="_Toc32253"/>
      <w:r>
        <w:rPr>
          <w:rFonts w:hint="eastAsia" w:ascii="仿宋" w:hAnsi="仿宋" w:eastAsia="仿宋" w:cs="仿宋"/>
          <w:b/>
          <w:bCs w:val="0"/>
          <w:color w:val="auto"/>
          <w:sz w:val="24"/>
          <w:szCs w:val="24"/>
          <w:lang w:val="zh-CN"/>
        </w:rPr>
        <w:t>（一）质疑</w:t>
      </w:r>
      <w:bookmarkEnd w:id="367"/>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1、供应商认为磋商文件、采购过程或成交结果使自身的合法权益受到损害，可以在法定期限内，以书面形式向采购代理机构或采购人提出质疑。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（2）质</w:t>
      </w:r>
      <w:r>
        <w:rPr>
          <w:rFonts w:hint="eastAsia" w:ascii="仿宋" w:hAnsi="仿宋" w:eastAsia="仿宋" w:cs="仿宋"/>
          <w:bCs/>
          <w:color w:val="auto"/>
          <w:sz w:val="24"/>
          <w:szCs w:val="24"/>
          <w:lang w:val="zh-CN" w:eastAsia="zh-CN"/>
        </w:rPr>
        <w:t xml:space="preserve">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 </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val="zh-CN"/>
        </w:rPr>
        <w:t>）有下列情形之一的，属于无效质疑：</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①质疑人不是参与本次政府采购项目的供应商或潜在供应商；</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②质疑人与质疑事项不存在利害关系的；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③未在法定期限内提出质疑的；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④质疑未以书面形式提出，或质疑函主要内容构成不完整的；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⑤质疑函没有合法有效的签字、盖章或授权的；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⑥以非法手段取得证据、材料的；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⑦质疑答复后，同一质疑人就同一事项再次提出质疑的；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⑧不符合法律、法规、规章和政府采购监管机构规定的其他条件的。</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2、符合要求的质疑，采购代理机构将予以受理并答复，具体联系方式如下：</w:t>
      </w:r>
    </w:p>
    <w:p>
      <w:pPr>
        <w:autoSpaceDE w:val="0"/>
        <w:autoSpaceDN w:val="0"/>
        <w:adjustRightInd w:val="0"/>
        <w:snapToGrid w:val="0"/>
        <w:spacing w:line="360" w:lineRule="auto"/>
        <w:ind w:firstLine="480" w:firstLineChars="200"/>
        <w:outlineLvl w:val="9"/>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zh-CN"/>
        </w:rPr>
        <w:t>联系人：郭晨、李纪旋</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rPr>
      </w:pPr>
      <w:r>
        <w:rPr>
          <w:rFonts w:hint="eastAsia" w:ascii="仿宋" w:hAnsi="仿宋" w:eastAsia="仿宋" w:cs="仿宋"/>
          <w:bCs/>
          <w:color w:val="auto"/>
          <w:sz w:val="24"/>
          <w:szCs w:val="24"/>
          <w:lang w:val="zh-CN"/>
        </w:rPr>
        <w:t>联系电话：029-</w:t>
      </w:r>
      <w:r>
        <w:rPr>
          <w:rFonts w:hint="eastAsia" w:ascii="仿宋" w:hAnsi="仿宋" w:eastAsia="仿宋" w:cs="仿宋"/>
          <w:bCs/>
          <w:color w:val="auto"/>
          <w:sz w:val="24"/>
          <w:szCs w:val="24"/>
        </w:rPr>
        <w:t>86253389</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rPr>
      </w:pPr>
      <w:r>
        <w:rPr>
          <w:rFonts w:hint="eastAsia" w:ascii="仿宋" w:hAnsi="仿宋" w:eastAsia="仿宋" w:cs="仿宋"/>
          <w:bCs/>
          <w:color w:val="auto"/>
          <w:sz w:val="24"/>
          <w:szCs w:val="24"/>
        </w:rPr>
        <w:t>邮箱：</w:t>
      </w:r>
      <w:r>
        <w:rPr>
          <w:rFonts w:hint="eastAsia" w:ascii="仿宋" w:hAnsi="仿宋" w:eastAsia="仿宋" w:cs="仿宋"/>
          <w:bCs/>
          <w:color w:val="auto"/>
          <w:sz w:val="24"/>
          <w:szCs w:val="24"/>
          <w:lang w:val="en-US" w:eastAsia="zh-CN"/>
        </w:rPr>
        <w:t>2059407584</w:t>
      </w:r>
      <w:r>
        <w:rPr>
          <w:rFonts w:hint="eastAsia" w:ascii="仿宋" w:hAnsi="仿宋" w:eastAsia="仿宋" w:cs="仿宋"/>
          <w:bCs/>
          <w:color w:val="auto"/>
          <w:sz w:val="24"/>
          <w:szCs w:val="24"/>
        </w:rPr>
        <w:t>@qq.com</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地址：西安市经济技术开发区凤城十一路与文景路十字文景商务广场B座8层陕西笃信招标有限公司</w:t>
      </w:r>
    </w:p>
    <w:p>
      <w:pPr>
        <w:autoSpaceDE w:val="0"/>
        <w:autoSpaceDN w:val="0"/>
        <w:adjustRightInd w:val="0"/>
        <w:snapToGrid w:val="0"/>
        <w:spacing w:line="360" w:lineRule="auto"/>
        <w:ind w:firstLine="480"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2" w:firstLineChars="200"/>
        <w:outlineLvl w:val="9"/>
        <w:rPr>
          <w:rFonts w:ascii="仿宋" w:hAnsi="仿宋" w:eastAsia="仿宋" w:cs="仿宋"/>
          <w:b/>
          <w:bCs w:val="0"/>
          <w:color w:val="auto"/>
          <w:sz w:val="24"/>
          <w:szCs w:val="24"/>
          <w:lang w:val="zh-CN"/>
        </w:rPr>
      </w:pPr>
      <w:bookmarkStart w:id="368" w:name="_Toc27685"/>
      <w:r>
        <w:rPr>
          <w:rFonts w:hint="eastAsia" w:ascii="仿宋" w:hAnsi="仿宋" w:eastAsia="仿宋" w:cs="仿宋"/>
          <w:b/>
          <w:bCs w:val="0"/>
          <w:color w:val="auto"/>
          <w:sz w:val="24"/>
          <w:szCs w:val="24"/>
          <w:lang w:val="zh-CN"/>
        </w:rPr>
        <w:t>（二）投诉</w:t>
      </w:r>
      <w:bookmarkEnd w:id="368"/>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2、投诉的事项不得超出已质疑事项的范围。</w:t>
      </w:r>
    </w:p>
    <w:p>
      <w:pPr>
        <w:autoSpaceDE w:val="0"/>
        <w:autoSpaceDN w:val="0"/>
        <w:adjustRightInd w:val="0"/>
        <w:snapToGrid w:val="0"/>
        <w:spacing w:line="360" w:lineRule="auto"/>
        <w:ind w:firstLine="482" w:firstLineChars="200"/>
        <w:outlineLvl w:val="9"/>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（三）其他事项</w:t>
      </w:r>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1、对捏造事实、提供虚假材料进行质疑、投诉的行为予以严肃处理</w:t>
      </w:r>
    </w:p>
    <w:p>
      <w:pPr>
        <w:autoSpaceDE w:val="0"/>
        <w:autoSpaceDN w:val="0"/>
        <w:adjustRightInd w:val="0"/>
        <w:snapToGrid w:val="0"/>
        <w:spacing w:line="360" w:lineRule="auto"/>
        <w:ind w:firstLine="480" w:firstLineChars="200"/>
        <w:outlineLvl w:val="9"/>
        <w:rPr>
          <w:rFonts w:hint="default" w:ascii="仿宋" w:hAnsi="仿宋" w:eastAsia="仿宋" w:cs="仿宋"/>
          <w:bCs/>
          <w:color w:val="auto"/>
          <w:sz w:val="24"/>
          <w:szCs w:val="24"/>
          <w:lang w:val="en-US" w:eastAsia="zh-CN"/>
        </w:rPr>
      </w:pPr>
      <w:r>
        <w:rPr>
          <w:rFonts w:hint="default" w:ascii="仿宋" w:hAnsi="仿宋" w:eastAsia="仿宋" w:cs="仿宋"/>
          <w:bCs/>
          <w:color w:val="auto"/>
          <w:sz w:val="24"/>
          <w:szCs w:val="24"/>
          <w:lang w:val="en-US" w:eastAsia="zh-CN"/>
        </w:rPr>
        <w:t xml:space="preserve">依据《中华人民共和国政府采购法》及其实施条例、《政府采购货物和服务招标投标管理办法》（财政部令第 87 号）、《政府采购质疑和投诉办法》等法律法规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 </w:t>
      </w:r>
    </w:p>
    <w:p>
      <w:pPr>
        <w:autoSpaceDE w:val="0"/>
        <w:autoSpaceDN w:val="0"/>
        <w:adjustRightInd w:val="0"/>
        <w:snapToGrid w:val="0"/>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r>
        <w:rPr>
          <w:rFonts w:hint="default" w:ascii="仿宋" w:hAnsi="仿宋" w:eastAsia="仿宋" w:cs="仿宋"/>
          <w:bCs/>
          <w:color w:val="auto"/>
          <w:sz w:val="24"/>
          <w:szCs w:val="24"/>
          <w:lang w:val="en-US" w:eastAsia="zh-CN"/>
        </w:rPr>
        <w:t xml:space="preserve">对捏造事实诬告陷害他人、诽谤他人的法律适用： </w:t>
      </w:r>
    </w:p>
    <w:p>
      <w:pPr>
        <w:autoSpaceDE w:val="0"/>
        <w:autoSpaceDN w:val="0"/>
        <w:adjustRightInd w:val="0"/>
        <w:snapToGrid w:val="0"/>
        <w:spacing w:line="360" w:lineRule="auto"/>
        <w:ind w:firstLine="480" w:firstLineChars="200"/>
        <w:rPr>
          <w:rFonts w:hint="default" w:ascii="仿宋" w:hAnsi="仿宋" w:eastAsia="仿宋" w:cs="仿宋"/>
          <w:bCs/>
          <w:color w:val="auto"/>
          <w:sz w:val="24"/>
          <w:szCs w:val="24"/>
          <w:lang w:val="en-US" w:eastAsia="zh-CN"/>
        </w:rPr>
      </w:pPr>
      <w:r>
        <w:rPr>
          <w:rFonts w:hint="default" w:ascii="仿宋" w:hAnsi="仿宋" w:eastAsia="仿宋" w:cs="仿宋"/>
          <w:bCs/>
          <w:color w:val="auto"/>
          <w:sz w:val="24"/>
          <w:szCs w:val="24"/>
          <w:lang w:val="en-US" w:eastAsia="zh-CN"/>
        </w:rPr>
        <w:t xml:space="preserve">《中华人民共和国刑法》第 243 条【诬告陷害罪】捏造事实诬告陷害他人，意图使他人受刑事追究，情节严重的，处三年以下有期徒刑、拘役或者管制；造成严重后果的，处三年以上十年以下有期徒刑。《中华人民共和国刑法》第 246 条【侮辱罪、诽谤罪】以暴力或者其他方法公然侮辱他人或者捏造事实诽谤他人，情节严重的，处三年以下有期徒刑、拘役、管制或者剥夺政治权利。 </w:t>
      </w:r>
    </w:p>
    <w:p>
      <w:pPr>
        <w:autoSpaceDE w:val="0"/>
        <w:autoSpaceDN w:val="0"/>
        <w:adjustRightInd w:val="0"/>
        <w:snapToGrid w:val="0"/>
        <w:spacing w:line="360" w:lineRule="auto"/>
        <w:ind w:firstLine="480" w:firstLineChars="200"/>
        <w:rPr>
          <w:rFonts w:hint="default" w:ascii="仿宋" w:hAnsi="仿宋" w:eastAsia="仿宋" w:cs="仿宋"/>
          <w:bCs/>
          <w:color w:val="auto"/>
          <w:sz w:val="24"/>
          <w:szCs w:val="24"/>
          <w:lang w:val="en-US" w:eastAsia="zh-CN"/>
        </w:rPr>
      </w:pP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Pr>
        <w:pageBreakBefore/>
        <w:numPr>
          <w:ilvl w:val="0"/>
          <w:numId w:val="2"/>
        </w:numPr>
        <w:spacing w:line="360" w:lineRule="auto"/>
        <w:jc w:val="center"/>
        <w:outlineLvl w:val="0"/>
        <w:rPr>
          <w:rFonts w:hint="eastAsia" w:ascii="仿宋" w:hAnsi="仿宋" w:eastAsia="仿宋" w:cs="仿宋"/>
          <w:b/>
          <w:color w:val="auto"/>
          <w:sz w:val="32"/>
          <w:szCs w:val="32"/>
        </w:rPr>
      </w:pPr>
      <w:bookmarkStart w:id="369" w:name="_Toc29455"/>
      <w:bookmarkStart w:id="370" w:name="_Toc11144"/>
      <w:bookmarkStart w:id="371" w:name="_Toc22975"/>
      <w:bookmarkStart w:id="372" w:name="_Toc16046"/>
      <w:bookmarkStart w:id="373" w:name="_Toc23352"/>
      <w:bookmarkStart w:id="374" w:name="_Toc29155"/>
      <w:bookmarkStart w:id="375" w:name="_Toc29879"/>
      <w:bookmarkStart w:id="376" w:name="_Toc20897"/>
      <w:bookmarkStart w:id="377" w:name="_Toc8287"/>
      <w:bookmarkStart w:id="378" w:name="_Toc3119"/>
      <w:bookmarkStart w:id="379" w:name="_Toc28744"/>
      <w:bookmarkStart w:id="380" w:name="_Toc15073"/>
      <w:bookmarkStart w:id="381" w:name="_Toc495681393"/>
      <w:bookmarkStart w:id="382" w:name="_Toc495681520"/>
      <w:bookmarkStart w:id="383" w:name="_Toc495681239"/>
      <w:r>
        <w:rPr>
          <w:rFonts w:hint="eastAsia" w:ascii="仿宋" w:hAnsi="仿宋" w:eastAsia="仿宋" w:cs="仿宋"/>
          <w:b/>
          <w:color w:val="auto"/>
          <w:sz w:val="32"/>
          <w:szCs w:val="32"/>
        </w:rPr>
        <w:t xml:space="preserve">  </w:t>
      </w:r>
      <w:bookmarkStart w:id="384" w:name="_Toc21112"/>
      <w:r>
        <w:rPr>
          <w:rFonts w:hint="eastAsia" w:ascii="仿宋" w:hAnsi="仿宋" w:eastAsia="仿宋" w:cs="仿宋"/>
          <w:b/>
          <w:color w:val="auto"/>
          <w:sz w:val="32"/>
          <w:szCs w:val="32"/>
        </w:rPr>
        <w:t>采购内容及要求</w:t>
      </w:r>
      <w:bookmarkEnd w:id="369"/>
      <w:bookmarkEnd w:id="370"/>
      <w:bookmarkEnd w:id="371"/>
      <w:bookmarkEnd w:id="372"/>
      <w:bookmarkEnd w:id="373"/>
      <w:bookmarkEnd w:id="374"/>
      <w:bookmarkEnd w:id="375"/>
      <w:bookmarkEnd w:id="376"/>
      <w:bookmarkEnd w:id="377"/>
      <w:bookmarkEnd w:id="378"/>
      <w:bookmarkEnd w:id="379"/>
      <w:bookmarkEnd w:id="380"/>
      <w:bookmarkEnd w:id="384"/>
    </w:p>
    <w:p>
      <w:pPr>
        <w:tabs>
          <w:tab w:val="left" w:pos="1350"/>
        </w:tabs>
        <w:snapToGrid w:val="0"/>
        <w:spacing w:line="360" w:lineRule="auto"/>
        <w:jc w:val="left"/>
        <w:rPr>
          <w:rFonts w:hint="eastAsia" w:ascii="仿宋" w:hAnsi="仿宋" w:eastAsia="仿宋" w:cs="仿宋"/>
          <w:b/>
          <w:color w:val="000000"/>
          <w:sz w:val="24"/>
          <w:szCs w:val="24"/>
        </w:rPr>
      </w:pPr>
      <w:bookmarkStart w:id="385" w:name="_Toc22079"/>
      <w:bookmarkStart w:id="386" w:name="_Toc29117"/>
      <w:bookmarkStart w:id="387" w:name="_Toc24222"/>
      <w:bookmarkStart w:id="388" w:name="_Toc2752"/>
      <w:bookmarkStart w:id="389" w:name="_Toc32539"/>
      <w:bookmarkStart w:id="390" w:name="_Toc3059"/>
      <w:bookmarkStart w:id="391" w:name="_Toc4229"/>
      <w:bookmarkStart w:id="392" w:name="_Toc22699"/>
      <w:bookmarkStart w:id="393" w:name="_Toc31815"/>
      <w:bookmarkStart w:id="394" w:name="_Toc19915"/>
      <w:bookmarkStart w:id="395" w:name="_Toc17761"/>
      <w:bookmarkStart w:id="396" w:name="_Toc23469"/>
      <w:r>
        <w:rPr>
          <w:rFonts w:hint="eastAsia" w:ascii="仿宋" w:hAnsi="仿宋" w:eastAsia="仿宋" w:cs="仿宋"/>
          <w:b/>
          <w:bCs/>
          <w:color w:val="000000"/>
          <w:sz w:val="24"/>
          <w:szCs w:val="24"/>
        </w:rPr>
        <w:t>一、采购内容一览表</w:t>
      </w:r>
    </w:p>
    <w:tbl>
      <w:tblPr>
        <w:tblStyle w:val="23"/>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860"/>
        <w:gridCol w:w="2475"/>
        <w:gridCol w:w="1035"/>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613" w:type="dxa"/>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序号</w:t>
            </w:r>
          </w:p>
        </w:tc>
        <w:tc>
          <w:tcPr>
            <w:tcW w:w="1860"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设备名称</w:t>
            </w:r>
          </w:p>
        </w:tc>
        <w:tc>
          <w:tcPr>
            <w:tcW w:w="2475"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生产厂家</w:t>
            </w:r>
          </w:p>
        </w:tc>
        <w:tc>
          <w:tcPr>
            <w:tcW w:w="1035"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数量</w:t>
            </w:r>
          </w:p>
        </w:tc>
        <w:tc>
          <w:tcPr>
            <w:tcW w:w="2239"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613" w:type="dxa"/>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1</w:t>
            </w:r>
          </w:p>
        </w:tc>
        <w:tc>
          <w:tcPr>
            <w:tcW w:w="1860"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sz w:val="24"/>
                <w:szCs w:val="24"/>
                <w:lang w:val="zh-CN"/>
              </w:rPr>
              <w:t>移动式数字摄影X线系统</w:t>
            </w:r>
            <w:r>
              <w:rPr>
                <w:rFonts w:hint="eastAsia" w:ascii="仿宋" w:hAnsi="仿宋" w:eastAsia="仿宋" w:cs="仿宋"/>
                <w:color w:val="000000" w:themeColor="text1"/>
                <w:kern w:val="0"/>
                <w:sz w:val="24"/>
                <w:szCs w:val="24"/>
              </w:rPr>
              <w:t>（</w:t>
            </w:r>
            <w:r>
              <w:rPr>
                <w:rFonts w:hint="eastAsia" w:ascii="仿宋" w:hAnsi="仿宋" w:eastAsia="仿宋" w:cs="仿宋"/>
                <w:sz w:val="24"/>
                <w:szCs w:val="24"/>
              </w:rPr>
              <w:t>MUX-200D</w:t>
            </w:r>
            <w:r>
              <w:rPr>
                <w:rFonts w:hint="eastAsia" w:ascii="仿宋" w:hAnsi="仿宋" w:eastAsia="仿宋" w:cs="仿宋"/>
                <w:color w:val="000000" w:themeColor="text1"/>
                <w:kern w:val="0"/>
                <w:sz w:val="24"/>
                <w:szCs w:val="24"/>
              </w:rPr>
              <w:t>）</w:t>
            </w:r>
          </w:p>
        </w:tc>
        <w:tc>
          <w:tcPr>
            <w:tcW w:w="2475"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北京岛津医疗器械有限公司</w:t>
            </w:r>
          </w:p>
        </w:tc>
        <w:tc>
          <w:tcPr>
            <w:tcW w:w="1035"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2台</w:t>
            </w:r>
          </w:p>
        </w:tc>
        <w:tc>
          <w:tcPr>
            <w:tcW w:w="2239"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3年</w:t>
            </w:r>
          </w:p>
        </w:tc>
      </w:tr>
    </w:tbl>
    <w:p>
      <w:pPr>
        <w:tabs>
          <w:tab w:val="left" w:pos="1350"/>
        </w:tabs>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二、投标人</w:t>
      </w:r>
      <w:r>
        <w:rPr>
          <w:rFonts w:hint="eastAsia" w:ascii="仿宋" w:hAnsi="仿宋" w:eastAsia="仿宋" w:cs="仿宋"/>
          <w:b/>
          <w:bCs/>
          <w:color w:val="000000"/>
          <w:sz w:val="24"/>
          <w:szCs w:val="24"/>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须为设备生产厂家授权的</w:t>
      </w:r>
      <w:r>
        <w:rPr>
          <w:rFonts w:hint="eastAsia" w:ascii="仿宋" w:hAnsi="仿宋" w:eastAsia="仿宋" w:cs="仿宋"/>
          <w:color w:val="181818"/>
          <w:kern w:val="0"/>
          <w:sz w:val="24"/>
          <w:szCs w:val="24"/>
        </w:rPr>
        <w:t>运维商</w:t>
      </w:r>
      <w:r>
        <w:rPr>
          <w:rFonts w:hint="eastAsia" w:ascii="仿宋" w:hAnsi="仿宋" w:eastAsia="仿宋" w:cs="仿宋"/>
          <w:kern w:val="0"/>
          <w:sz w:val="24"/>
          <w:szCs w:val="24"/>
        </w:rPr>
        <w:t>并提供证明材料。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FF"/>
          <w:kern w:val="0"/>
          <w:sz w:val="24"/>
          <w:szCs w:val="24"/>
        </w:rPr>
      </w:pPr>
      <w:r>
        <w:rPr>
          <w:rFonts w:hint="eastAsia" w:ascii="仿宋" w:hAnsi="仿宋" w:eastAsia="仿宋" w:cs="仿宋"/>
          <w:kern w:val="0"/>
          <w:sz w:val="24"/>
          <w:szCs w:val="24"/>
        </w:rPr>
        <w:t>2）具备客户服务</w:t>
      </w:r>
      <w:r>
        <w:rPr>
          <w:rFonts w:hint="eastAsia" w:ascii="仿宋" w:hAnsi="仿宋" w:eastAsia="仿宋" w:cs="仿宋"/>
          <w:kern w:val="0"/>
          <w:sz w:val="24"/>
          <w:szCs w:val="24"/>
          <w:lang w:eastAsia="zh-CN"/>
        </w:rPr>
        <w:t>热线</w:t>
      </w:r>
      <w:r>
        <w:rPr>
          <w:rFonts w:hint="eastAsia" w:ascii="仿宋" w:hAnsi="仿宋" w:eastAsia="仿宋" w:cs="仿宋"/>
          <w:kern w:val="0"/>
          <w:sz w:val="24"/>
          <w:szCs w:val="24"/>
        </w:rPr>
        <w:t>电话。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所代表服务机构在当地有办事处且有稳定的工程师团队，人员具有生产厂家考核合格的、在有效期的原厂服务资质证，需提供证明材料。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kern w:val="0"/>
          <w:sz w:val="24"/>
          <w:szCs w:val="24"/>
        </w:rPr>
      </w:pPr>
      <w:r>
        <w:rPr>
          <w:rFonts w:hint="eastAsia" w:ascii="仿宋" w:hAnsi="仿宋" w:eastAsia="仿宋" w:cs="仿宋"/>
          <w:kern w:val="0"/>
          <w:sz w:val="24"/>
          <w:szCs w:val="24"/>
        </w:rPr>
        <w:t>4）</w:t>
      </w:r>
      <w:r>
        <w:rPr>
          <w:rFonts w:hint="eastAsia" w:ascii="仿宋" w:hAnsi="仿宋" w:eastAsia="仿宋" w:cs="仿宋"/>
          <w:color w:val="000000" w:themeColor="text1"/>
          <w:kern w:val="0"/>
          <w:sz w:val="24"/>
          <w:szCs w:val="24"/>
        </w:rPr>
        <w:t>能以现场和远程的方式，提供图像处理和相应业务的专业支持。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rPr>
        <w:t>5）</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所代表服务机构必须能提供全部服务类型：定期保养、远程服务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电话支持、现场服务。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2、★零备件供应：所有更换的零部件必须为原厂认证</w:t>
      </w:r>
      <w:r>
        <w:rPr>
          <w:rFonts w:hint="eastAsia" w:ascii="仿宋" w:hAnsi="仿宋" w:eastAsia="仿宋" w:cs="仿宋"/>
          <w:kern w:val="0"/>
          <w:sz w:val="24"/>
          <w:szCs w:val="24"/>
          <w:highlight w:val="none"/>
          <w:lang w:eastAsia="zh-CN"/>
        </w:rPr>
        <w:t>并</w:t>
      </w:r>
      <w:r>
        <w:rPr>
          <w:rFonts w:hint="eastAsia" w:ascii="仿宋" w:hAnsi="仿宋" w:eastAsia="仿宋" w:cs="仿宋"/>
          <w:kern w:val="0"/>
          <w:sz w:val="24"/>
          <w:szCs w:val="24"/>
          <w:highlight w:val="none"/>
        </w:rPr>
        <w:t>测试合格的配件。</w:t>
      </w:r>
      <w:r>
        <w:rPr>
          <w:rFonts w:hint="eastAsia" w:ascii="仿宋" w:hAnsi="仿宋" w:eastAsia="仿宋" w:cs="仿宋"/>
          <w:kern w:val="0"/>
          <w:sz w:val="24"/>
          <w:szCs w:val="24"/>
          <w:highlight w:val="none"/>
          <w:lang w:eastAsia="zh-CN"/>
        </w:rPr>
        <w:t>投标人</w:t>
      </w:r>
      <w:r>
        <w:rPr>
          <w:rFonts w:hint="eastAsia" w:ascii="仿宋" w:hAnsi="仿宋" w:eastAsia="仿宋" w:cs="仿宋"/>
          <w:kern w:val="0"/>
          <w:sz w:val="24"/>
          <w:szCs w:val="24"/>
          <w:highlight w:val="none"/>
        </w:rPr>
        <w:t>所代表的服务机构必需在国内设有专业、充足的设备零备件仓库。</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3、响应时间要求：</w:t>
      </w:r>
      <w:r>
        <w:rPr>
          <w:rFonts w:hint="eastAsia" w:ascii="仿宋" w:hAnsi="仿宋" w:eastAsia="仿宋" w:cs="仿宋"/>
          <w:kern w:val="0"/>
          <w:sz w:val="24"/>
          <w:szCs w:val="24"/>
          <w:highlight w:val="none"/>
          <w:lang w:eastAsia="zh-CN"/>
        </w:rPr>
        <w:t>中标人</w:t>
      </w:r>
      <w:r>
        <w:rPr>
          <w:rFonts w:hint="eastAsia" w:ascii="仿宋" w:hAnsi="仿宋" w:eastAsia="仿宋" w:cs="仿宋"/>
          <w:kern w:val="0"/>
          <w:sz w:val="24"/>
          <w:szCs w:val="24"/>
          <w:highlight w:val="none"/>
        </w:rPr>
        <w:t>所代表的服务机构必须接</w:t>
      </w:r>
      <w:r>
        <w:rPr>
          <w:rFonts w:hint="eastAsia" w:ascii="仿宋" w:hAnsi="仿宋" w:eastAsia="仿宋" w:cs="仿宋"/>
          <w:kern w:val="0"/>
          <w:sz w:val="24"/>
          <w:szCs w:val="24"/>
          <w:highlight w:val="none"/>
          <w:lang w:eastAsia="zh-CN"/>
        </w:rPr>
        <w:t>到</w:t>
      </w:r>
      <w:r>
        <w:rPr>
          <w:rFonts w:hint="eastAsia" w:ascii="仿宋" w:hAnsi="仿宋" w:eastAsia="仿宋" w:cs="仿宋"/>
          <w:kern w:val="0"/>
          <w:sz w:val="24"/>
          <w:szCs w:val="24"/>
          <w:highlight w:val="none"/>
        </w:rPr>
        <w:t>报修电话后提供突发</w:t>
      </w:r>
      <w:r>
        <w:rPr>
          <w:rFonts w:hint="eastAsia" w:ascii="仿宋" w:hAnsi="仿宋" w:eastAsia="仿宋" w:cs="仿宋"/>
          <w:kern w:val="0"/>
          <w:sz w:val="24"/>
          <w:szCs w:val="24"/>
          <w:highlight w:val="none"/>
          <w:lang w:eastAsia="zh-CN"/>
        </w:rPr>
        <w:t>故障</w:t>
      </w:r>
      <w:r>
        <w:rPr>
          <w:rFonts w:hint="eastAsia" w:ascii="仿宋" w:hAnsi="仿宋" w:eastAsia="仿宋" w:cs="仿宋"/>
          <w:kern w:val="0"/>
          <w:sz w:val="24"/>
          <w:szCs w:val="24"/>
          <w:highlight w:val="none"/>
        </w:rPr>
        <w:t>的解决</w:t>
      </w:r>
      <w:r>
        <w:rPr>
          <w:rFonts w:hint="eastAsia" w:ascii="仿宋" w:hAnsi="仿宋" w:eastAsia="仿宋" w:cs="仿宋"/>
          <w:kern w:val="0"/>
          <w:sz w:val="24"/>
          <w:szCs w:val="24"/>
          <w:highlight w:val="none"/>
          <w:lang w:eastAsia="zh-CN"/>
        </w:rPr>
        <w:t>方案</w:t>
      </w:r>
      <w:r>
        <w:rPr>
          <w:rFonts w:hint="eastAsia" w:ascii="仿宋" w:hAnsi="仿宋" w:eastAsia="仿宋" w:cs="仿宋"/>
          <w:kern w:val="0"/>
          <w:sz w:val="24"/>
          <w:szCs w:val="24"/>
          <w:highlight w:val="none"/>
        </w:rPr>
        <w:t>及特殊紧急的</w:t>
      </w:r>
      <w:r>
        <w:rPr>
          <w:rFonts w:hint="eastAsia" w:ascii="仿宋" w:hAnsi="仿宋" w:eastAsia="仿宋" w:cs="仿宋"/>
          <w:kern w:val="0"/>
          <w:sz w:val="24"/>
          <w:szCs w:val="24"/>
          <w:highlight w:val="none"/>
          <w:lang w:eastAsia="zh-CN"/>
        </w:rPr>
        <w:t>有效方案</w:t>
      </w:r>
      <w:r>
        <w:rPr>
          <w:rFonts w:hint="eastAsia" w:ascii="仿宋" w:hAnsi="仿宋" w:eastAsia="仿宋" w:cs="仿宋"/>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1）响应时间须&lt;</w:t>
      </w:r>
      <w:r>
        <w:rPr>
          <w:rFonts w:hint="eastAsia" w:ascii="仿宋" w:hAnsi="仿宋" w:eastAsia="仿宋" w:cs="仿宋"/>
          <w:color w:val="000000" w:themeColor="text1"/>
          <w:kern w:val="0"/>
          <w:sz w:val="24"/>
          <w:szCs w:val="24"/>
          <w:highlight w:val="none"/>
          <w:lang w:val="en-US" w:eastAsia="zh-CN"/>
        </w:rPr>
        <w:t>2</w:t>
      </w:r>
      <w:r>
        <w:rPr>
          <w:rFonts w:hint="eastAsia" w:ascii="仿宋" w:hAnsi="仿宋" w:eastAsia="仿宋" w:cs="仿宋"/>
          <w:color w:val="000000" w:themeColor="text1"/>
          <w:kern w:val="0"/>
          <w:sz w:val="24"/>
          <w:szCs w:val="24"/>
          <w:highlight w:val="none"/>
        </w:rPr>
        <w:t>小时；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2）到达现场时间&lt;24小时。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4、每</w:t>
      </w:r>
      <w:r>
        <w:rPr>
          <w:rFonts w:hint="eastAsia" w:ascii="仿宋" w:hAnsi="仿宋" w:eastAsia="仿宋" w:cs="仿宋"/>
          <w:kern w:val="0"/>
          <w:sz w:val="24"/>
          <w:szCs w:val="24"/>
          <w:highlight w:val="none"/>
          <w:lang w:eastAsia="zh-CN"/>
        </w:rPr>
        <w:t>三</w:t>
      </w:r>
      <w:r>
        <w:rPr>
          <w:rFonts w:hint="eastAsia" w:ascii="仿宋" w:hAnsi="仿宋" w:eastAsia="仿宋" w:cs="仿宋"/>
          <w:kern w:val="0"/>
          <w:sz w:val="24"/>
          <w:szCs w:val="24"/>
          <w:highlight w:val="none"/>
        </w:rPr>
        <w:t>个月提供不少于一次的设备保养。包含但不限于如下项目：设备清洁、性能测试及校准、必要的电气环境检查。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5、★如需在设备故障更换</w:t>
      </w:r>
      <w:r>
        <w:rPr>
          <w:rFonts w:hint="eastAsia" w:ascii="仿宋" w:hAnsi="仿宋" w:eastAsia="仿宋" w:cs="仿宋"/>
          <w:kern w:val="0"/>
          <w:sz w:val="24"/>
          <w:szCs w:val="24"/>
          <w:highlight w:val="none"/>
          <w:lang w:eastAsia="zh-CN"/>
        </w:rPr>
        <w:t>部件</w:t>
      </w:r>
      <w:r>
        <w:rPr>
          <w:rFonts w:hint="eastAsia" w:ascii="仿宋" w:hAnsi="仿宋" w:eastAsia="仿宋" w:cs="仿宋"/>
          <w:kern w:val="0"/>
          <w:sz w:val="24"/>
          <w:szCs w:val="24"/>
          <w:highlight w:val="none"/>
        </w:rPr>
        <w:t>时，更换原厂认证的合格部件。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themeColor="text1"/>
          <w:sz w:val="24"/>
          <w:szCs w:val="24"/>
          <w:highlight w:val="none"/>
        </w:rPr>
      </w:pPr>
      <w:r>
        <w:rPr>
          <w:rFonts w:hint="eastAsia" w:ascii="仿宋" w:hAnsi="仿宋" w:eastAsia="仿宋" w:cs="仿宋"/>
          <w:kern w:val="0"/>
          <w:sz w:val="24"/>
          <w:szCs w:val="24"/>
          <w:highlight w:val="none"/>
        </w:rPr>
        <w:t>6、</w:t>
      </w:r>
      <w:r>
        <w:rPr>
          <w:rFonts w:hint="eastAsia" w:ascii="仿宋" w:hAnsi="仿宋" w:eastAsia="仿宋" w:cs="仿宋"/>
          <w:color w:val="000000" w:themeColor="text1"/>
          <w:sz w:val="24"/>
          <w:szCs w:val="24"/>
          <w:highlight w:val="none"/>
        </w:rPr>
        <w:t>保证设备开机率为</w:t>
      </w:r>
      <w:r>
        <w:rPr>
          <w:rFonts w:hint="eastAsia" w:ascii="仿宋" w:hAnsi="仿宋" w:eastAsia="仿宋" w:cs="仿宋"/>
          <w:color w:val="000000" w:themeColor="text1"/>
          <w:sz w:val="24"/>
          <w:szCs w:val="24"/>
          <w:highlight w:val="none"/>
          <w:u w:val="single"/>
        </w:rPr>
        <w:t>95%</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eastAsia="zh-CN"/>
        </w:rPr>
        <w:t>（以年</w:t>
      </w:r>
      <w:r>
        <w:rPr>
          <w:rFonts w:hint="eastAsia" w:ascii="仿宋" w:hAnsi="仿宋" w:eastAsia="仿宋" w:cs="仿宋"/>
          <w:color w:val="000000" w:themeColor="text1"/>
          <w:sz w:val="24"/>
          <w:szCs w:val="24"/>
          <w:highlight w:val="none"/>
          <w:lang w:val="en-US" w:eastAsia="zh-CN"/>
        </w:rPr>
        <w:t>365天计</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如不能达到，不足部分保修期顺延。</w:t>
      </w:r>
    </w:p>
    <w:p>
      <w:pPr>
        <w:pStyle w:val="13"/>
        <w:ind w:firstLine="480" w:firstLineChars="200"/>
        <w:rPr>
          <w:rFonts w:hint="eastAsia" w:eastAsia="仿宋"/>
          <w:lang w:val="en-US" w:eastAsia="zh-CN"/>
        </w:rPr>
      </w:pPr>
      <w:r>
        <w:rPr>
          <w:rFonts w:hint="eastAsia" w:ascii="仿宋" w:hAnsi="仿宋" w:eastAsia="仿宋" w:cs="仿宋"/>
          <w:color w:val="000000" w:themeColor="text1"/>
          <w:sz w:val="24"/>
          <w:szCs w:val="24"/>
          <w:highlight w:val="none"/>
          <w:lang w:val="en-US" w:eastAsia="zh-CN"/>
        </w:rPr>
        <w:t>7、维保内容：包括所有硬件及软件更换升级、维护、保养、人员培训等。</w:t>
      </w:r>
    </w:p>
    <w:p>
      <w:pPr>
        <w:pageBreakBefore/>
        <w:numPr>
          <w:ilvl w:val="0"/>
          <w:numId w:val="2"/>
        </w:numPr>
        <w:spacing w:line="360" w:lineRule="auto"/>
        <w:jc w:val="center"/>
        <w:outlineLvl w:val="0"/>
        <w:rPr>
          <w:rFonts w:ascii="仿宋" w:hAnsi="仿宋" w:eastAsia="仿宋" w:cs="仿宋"/>
          <w:b/>
          <w:color w:val="auto"/>
          <w:sz w:val="32"/>
          <w:szCs w:val="32"/>
          <w:lang w:val="zh-CN"/>
        </w:rPr>
      </w:pPr>
      <w:r>
        <w:rPr>
          <w:rFonts w:hint="eastAsia" w:ascii="仿宋" w:hAnsi="仿宋" w:eastAsia="仿宋" w:cs="仿宋"/>
          <w:b/>
          <w:color w:val="auto"/>
          <w:sz w:val="32"/>
          <w:szCs w:val="32"/>
        </w:rPr>
        <w:t xml:space="preserve">  </w:t>
      </w:r>
      <w:bookmarkStart w:id="397" w:name="_Toc12058"/>
      <w:r>
        <w:rPr>
          <w:rFonts w:hint="eastAsia" w:ascii="仿宋" w:hAnsi="仿宋" w:eastAsia="仿宋" w:cs="仿宋"/>
          <w:b/>
          <w:color w:val="auto"/>
          <w:sz w:val="32"/>
          <w:szCs w:val="32"/>
          <w:lang w:val="zh-CN"/>
        </w:rPr>
        <w:t>商务主要条款及格式</w:t>
      </w:r>
      <w:bookmarkEnd w:id="381"/>
      <w:bookmarkEnd w:id="382"/>
      <w:bookmarkEnd w:id="383"/>
      <w:bookmarkEnd w:id="385"/>
      <w:bookmarkEnd w:id="386"/>
      <w:bookmarkEnd w:id="387"/>
      <w:bookmarkEnd w:id="388"/>
      <w:bookmarkEnd w:id="389"/>
      <w:bookmarkEnd w:id="390"/>
      <w:bookmarkEnd w:id="391"/>
      <w:bookmarkEnd w:id="392"/>
      <w:bookmarkEnd w:id="393"/>
      <w:bookmarkEnd w:id="394"/>
      <w:bookmarkEnd w:id="395"/>
      <w:bookmarkEnd w:id="396"/>
      <w:r>
        <w:rPr>
          <w:rFonts w:hint="eastAsia" w:ascii="仿宋" w:hAnsi="仿宋" w:eastAsia="仿宋" w:cs="仿宋"/>
          <w:b/>
          <w:color w:val="auto"/>
          <w:sz w:val="32"/>
          <w:szCs w:val="32"/>
          <w:lang w:val="zh-CN"/>
        </w:rPr>
        <w:t>（参考）</w:t>
      </w:r>
      <w:bookmarkEnd w:id="397"/>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甲方：西安市第九医院</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乙方：</w:t>
      </w:r>
    </w:p>
    <w:p>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bCs/>
          <w:sz w:val="24"/>
          <w:lang w:val="zh-CN"/>
        </w:rPr>
      </w:pPr>
      <w:r>
        <w:rPr>
          <w:rFonts w:hint="eastAsia" w:ascii="仿宋" w:hAnsi="仿宋" w:eastAsia="仿宋" w:cs="仿宋"/>
          <w:color w:val="auto"/>
          <w:sz w:val="24"/>
          <w:szCs w:val="24"/>
          <w:lang w:eastAsia="zh-CN"/>
        </w:rPr>
        <w:t>鉴证方：</w:t>
      </w:r>
      <w:r>
        <w:rPr>
          <w:rFonts w:hint="eastAsia" w:ascii="仿宋" w:hAnsi="仿宋" w:eastAsia="仿宋" w:cs="仿宋"/>
          <w:color w:val="auto"/>
          <w:sz w:val="24"/>
          <w:szCs w:val="24"/>
          <w:lang w:val="en-US" w:eastAsia="zh-CN"/>
        </w:rPr>
        <w:t>陕西笃信招标有限公司</w:t>
      </w:r>
    </w:p>
    <w:p>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甲方所需服务，按照采购程序，确定乙方为中标供应商。依据《中华人民共和国政府采购法》及实施条例、《中华人民共和国民法典》、投标文件正本、中标通知书，经甲、乙双方协商，达成如下条款。</w:t>
      </w:r>
    </w:p>
    <w:p>
      <w:pPr>
        <w:keepNext w:val="0"/>
        <w:keepLines w:val="0"/>
        <w:pageBreakBefore w:val="0"/>
        <w:tabs>
          <w:tab w:val="left" w:pos="735"/>
        </w:tabs>
        <w:kinsoku/>
        <w:wordWrap/>
        <w:overflowPunct/>
        <w:topLinePunct w:val="0"/>
        <w:bidi w:val="0"/>
        <w:adjustRightInd w:val="0"/>
        <w:snapToGrid w:val="0"/>
        <w:spacing w:line="360" w:lineRule="auto"/>
        <w:ind w:right="0" w:firstLine="482" w:firstLineChars="200"/>
        <w:rPr>
          <w:rFonts w:hint="eastAsia" w:ascii="仿宋" w:hAnsi="仿宋" w:eastAsia="仿宋" w:cs="仿宋"/>
          <w:b/>
          <w:sz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合同标的物内容及数量</w:t>
      </w:r>
    </w:p>
    <w:tbl>
      <w:tblPr>
        <w:tblStyle w:val="23"/>
        <w:tblW w:w="84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3695"/>
        <w:gridCol w:w="2531"/>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782" w:type="dxa"/>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序号</w:t>
            </w:r>
          </w:p>
        </w:tc>
        <w:tc>
          <w:tcPr>
            <w:tcW w:w="3695"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设备名称</w:t>
            </w:r>
          </w:p>
        </w:tc>
        <w:tc>
          <w:tcPr>
            <w:tcW w:w="2531"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生产厂家</w:t>
            </w:r>
          </w:p>
        </w:tc>
        <w:tc>
          <w:tcPr>
            <w:tcW w:w="1489"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atLeast"/>
        </w:trPr>
        <w:tc>
          <w:tcPr>
            <w:tcW w:w="782" w:type="dxa"/>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1</w:t>
            </w:r>
          </w:p>
        </w:tc>
        <w:tc>
          <w:tcPr>
            <w:tcW w:w="3695"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sz w:val="24"/>
                <w:szCs w:val="24"/>
                <w:lang w:val="zh-CN"/>
              </w:rPr>
              <w:t>移动式数字摄影X线系统</w:t>
            </w:r>
            <w:r>
              <w:rPr>
                <w:rFonts w:hint="eastAsia" w:ascii="仿宋" w:hAnsi="仿宋" w:eastAsia="仿宋" w:cs="仿宋"/>
                <w:color w:val="000000" w:themeColor="text1"/>
                <w:kern w:val="0"/>
                <w:sz w:val="24"/>
                <w:szCs w:val="24"/>
              </w:rPr>
              <w:t>（</w:t>
            </w:r>
            <w:r>
              <w:rPr>
                <w:rFonts w:hint="eastAsia" w:ascii="仿宋" w:hAnsi="仿宋" w:eastAsia="仿宋" w:cs="仿宋"/>
                <w:sz w:val="24"/>
                <w:szCs w:val="24"/>
              </w:rPr>
              <w:t>MUX-200D</w:t>
            </w:r>
            <w:r>
              <w:rPr>
                <w:rFonts w:hint="eastAsia" w:ascii="仿宋" w:hAnsi="仿宋" w:eastAsia="仿宋" w:cs="仿宋"/>
                <w:color w:val="000000" w:themeColor="text1"/>
                <w:kern w:val="0"/>
                <w:sz w:val="24"/>
                <w:szCs w:val="24"/>
              </w:rPr>
              <w:t>）</w:t>
            </w:r>
          </w:p>
        </w:tc>
        <w:tc>
          <w:tcPr>
            <w:tcW w:w="2531"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北京岛津医疗器械有限公司</w:t>
            </w:r>
          </w:p>
        </w:tc>
        <w:tc>
          <w:tcPr>
            <w:tcW w:w="1489" w:type="dxa"/>
            <w:tcMar>
              <w:top w:w="15" w:type="dxa"/>
              <w:left w:w="15" w:type="dxa"/>
              <w:bottom w:w="15" w:type="dxa"/>
              <w:right w:w="15" w:type="dxa"/>
            </w:tcMar>
            <w:vAlign w:val="center"/>
          </w:tcPr>
          <w:p>
            <w:pPr>
              <w:widowControl/>
              <w:spacing w:line="360" w:lineRule="auto"/>
              <w:jc w:val="center"/>
              <w:textAlignment w:val="bottom"/>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2台</w:t>
            </w:r>
          </w:p>
        </w:tc>
      </w:tr>
    </w:tbl>
    <w:p>
      <w:pPr>
        <w:keepNext w:val="0"/>
        <w:keepLines w:val="0"/>
        <w:pageBreakBefore w:val="0"/>
        <w:tabs>
          <w:tab w:val="left" w:pos="735"/>
        </w:tabs>
        <w:kinsoku/>
        <w:wordWrap/>
        <w:overflowPunct/>
        <w:topLinePunct w:val="0"/>
        <w:bidi w:val="0"/>
        <w:adjustRightInd w:val="0"/>
        <w:snapToGrid w:val="0"/>
        <w:spacing w:line="360" w:lineRule="auto"/>
        <w:ind w:right="0" w:firstLine="482" w:firstLineChars="200"/>
        <w:rPr>
          <w:rFonts w:hint="eastAsia" w:ascii="仿宋" w:hAnsi="仿宋" w:eastAsia="仿宋" w:cs="仿宋"/>
          <w:sz w:val="24"/>
        </w:rPr>
      </w:pPr>
      <w:r>
        <w:rPr>
          <w:rFonts w:hint="eastAsia" w:ascii="仿宋" w:hAnsi="仿宋" w:eastAsia="仿宋" w:cs="仿宋"/>
          <w:b/>
          <w:sz w:val="24"/>
        </w:rPr>
        <w:t>二、合同价款</w:t>
      </w:r>
    </w:p>
    <w:p>
      <w:pPr>
        <w:keepNext w:val="0"/>
        <w:keepLines w:val="0"/>
        <w:pageBreakBefore w:val="0"/>
        <w:kinsoku/>
        <w:wordWrap/>
        <w:overflowPunct/>
        <w:topLinePunct w:val="0"/>
        <w:bidi w:val="0"/>
        <w:adjustRightInd w:val="0"/>
        <w:snapToGrid w:val="0"/>
        <w:spacing w:line="360" w:lineRule="auto"/>
        <w:ind w:right="0" w:firstLine="480" w:firstLineChars="200"/>
        <w:rPr>
          <w:rFonts w:hint="default" w:ascii="仿宋" w:hAnsi="仿宋" w:eastAsia="仿宋" w:cs="仿宋"/>
          <w:sz w:val="24"/>
          <w:lang w:val="en-US" w:eastAsia="zh-CN"/>
        </w:rPr>
      </w:pPr>
      <w:r>
        <w:rPr>
          <w:rFonts w:hint="eastAsia" w:ascii="仿宋" w:hAnsi="仿宋" w:eastAsia="仿宋" w:cs="仿宋"/>
          <w:sz w:val="24"/>
        </w:rPr>
        <w:t>1、合同总价：</w:t>
      </w:r>
      <w:r>
        <w:rPr>
          <w:rFonts w:hint="eastAsia" w:ascii="仿宋" w:hAnsi="仿宋" w:eastAsia="仿宋" w:cs="仿宋"/>
          <w:sz w:val="24"/>
          <w:lang w:eastAsia="zh-CN"/>
        </w:rPr>
        <w:t>人民币</w:t>
      </w:r>
      <w:r>
        <w:rPr>
          <w:rFonts w:hint="eastAsia" w:ascii="仿宋" w:hAnsi="仿宋" w:eastAsia="仿宋" w:cs="仿宋"/>
          <w:sz w:val="24"/>
          <w:lang w:val="en-US" w:eastAsia="zh-CN"/>
        </w:rPr>
        <w:t xml:space="preserve">      元整（￥      元）</w:t>
      </w:r>
    </w:p>
    <w:p>
      <w:pPr>
        <w:keepNext w:val="0"/>
        <w:keepLines w:val="0"/>
        <w:pageBreakBefore w:val="0"/>
        <w:tabs>
          <w:tab w:val="left" w:pos="735"/>
        </w:tabs>
        <w:kinsoku/>
        <w:wordWrap/>
        <w:overflowPunct/>
        <w:topLinePunct w:val="0"/>
        <w:bidi w:val="0"/>
        <w:adjustRightInd w:val="0"/>
        <w:snapToGrid w:val="0"/>
        <w:spacing w:line="360" w:lineRule="auto"/>
        <w:ind w:right="0" w:firstLine="480" w:firstLineChars="200"/>
        <w:rPr>
          <w:rFonts w:hint="eastAsia" w:ascii="仿宋" w:hAnsi="仿宋" w:eastAsia="仿宋" w:cs="仿宋"/>
          <w:sz w:val="24"/>
        </w:rPr>
      </w:pPr>
      <w:r>
        <w:rPr>
          <w:rFonts w:hint="eastAsia" w:ascii="仿宋" w:hAnsi="仿宋" w:eastAsia="仿宋" w:cs="仿宋"/>
          <w:sz w:val="24"/>
        </w:rPr>
        <w:t>2、合同总价包括：维保服务费、利润、相关税费及市场价格风险在内等一切费用。</w:t>
      </w:r>
    </w:p>
    <w:p>
      <w:pPr>
        <w:keepNext w:val="0"/>
        <w:keepLines w:val="0"/>
        <w:pageBreakBefore w:val="0"/>
        <w:tabs>
          <w:tab w:val="left" w:pos="735"/>
        </w:tabs>
        <w:kinsoku/>
        <w:wordWrap/>
        <w:overflowPunct/>
        <w:topLinePunct w:val="0"/>
        <w:bidi w:val="0"/>
        <w:adjustRightInd w:val="0"/>
        <w:snapToGrid w:val="0"/>
        <w:spacing w:line="360" w:lineRule="auto"/>
        <w:ind w:right="0" w:firstLine="480" w:firstLineChars="200"/>
        <w:rPr>
          <w:rFonts w:hint="eastAsia" w:ascii="仿宋" w:hAnsi="仿宋" w:eastAsia="仿宋" w:cs="仿宋"/>
          <w:sz w:val="24"/>
        </w:rPr>
      </w:pPr>
      <w:r>
        <w:rPr>
          <w:rFonts w:hint="eastAsia" w:ascii="仿宋" w:hAnsi="仿宋" w:eastAsia="仿宋" w:cs="仿宋"/>
          <w:sz w:val="24"/>
        </w:rPr>
        <w:t>3、合同总价一次包死，不受市场价变化的影响。</w:t>
      </w:r>
    </w:p>
    <w:p>
      <w:pPr>
        <w:keepNext w:val="0"/>
        <w:keepLines w:val="0"/>
        <w:pageBreakBefore w:val="0"/>
        <w:tabs>
          <w:tab w:val="left" w:pos="735"/>
        </w:tabs>
        <w:kinsoku/>
        <w:wordWrap/>
        <w:overflowPunct/>
        <w:topLinePunct w:val="0"/>
        <w:bidi w:val="0"/>
        <w:adjustRightInd w:val="0"/>
        <w:snapToGrid w:val="0"/>
        <w:spacing w:line="360" w:lineRule="auto"/>
        <w:ind w:right="0" w:firstLine="482" w:firstLineChars="200"/>
        <w:rPr>
          <w:rFonts w:hint="eastAsia" w:ascii="仿宋" w:hAnsi="仿宋" w:eastAsia="仿宋" w:cs="仿宋"/>
          <w:b/>
          <w:sz w:val="24"/>
        </w:rPr>
      </w:pPr>
      <w:r>
        <w:rPr>
          <w:rFonts w:hint="eastAsia" w:ascii="仿宋" w:hAnsi="仿宋" w:eastAsia="仿宋" w:cs="仿宋"/>
          <w:b/>
          <w:sz w:val="24"/>
        </w:rPr>
        <w:t>三、合同结算</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1、付款比例：</w:t>
      </w:r>
      <w:r>
        <w:rPr>
          <w:rFonts w:hint="eastAsia" w:ascii="仿宋" w:hAnsi="仿宋" w:eastAsia="仿宋" w:cs="仿宋"/>
          <w:sz w:val="24"/>
          <w:highlight w:val="none"/>
          <w:lang w:eastAsia="zh-CN"/>
        </w:rPr>
        <w:t>自合同签订起（当月）分四期支付</w:t>
      </w:r>
      <w:r>
        <w:rPr>
          <w:rFonts w:hint="eastAsia" w:ascii="仿宋" w:hAnsi="仿宋" w:eastAsia="仿宋" w:cs="仿宋"/>
          <w:sz w:val="24"/>
          <w:highlight w:val="none"/>
          <w:lang w:val="en-US" w:eastAsia="zh-CN"/>
        </w:rPr>
        <w:t>。第一期支付30%；第二期支付30%；第三期支付30%；第四期支付10%。</w:t>
      </w:r>
    </w:p>
    <w:p>
      <w:pPr>
        <w:keepNext w:val="0"/>
        <w:keepLines w:val="0"/>
        <w:pageBreakBefore w:val="0"/>
        <w:kinsoku/>
        <w:wordWrap/>
        <w:overflowPunct/>
        <w:topLinePunct w:val="0"/>
        <w:bidi w:val="0"/>
        <w:adjustRightInd/>
        <w:snapToGrid w:val="0"/>
        <w:spacing w:line="360" w:lineRule="auto"/>
        <w:ind w:firstLine="482"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注：第一期维保款自合同签订之日起60日内支付，第二期维保款自第一期维保期满后60日内支付，第三期同第二期，第四期在维保期结束后60日内支付。</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支付方式：银行转账。</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乙方确认以下信息为收款信息：</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开户名：</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开户行：</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账号：</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结算方式：验收合格后填写项目验收单，发票按照验收金额直开甲方，乙方持服务合同、等额合规发票、项目验收合格单，与甲方结算。</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四、双方的权利和义务</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（一）甲方的权利和义务</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1、甲方保证提供给乙方的资料、信息内容合法，不侵犯第三方的合法权益。如因甲方原因致使乙方遭受第三方追诉的，甲方在过错范围内承担由此给乙方造成的损失，并承担违约责任。</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2、由于乙方原因不能按合同约定履约，甲方有权扣留剩余款项，作为对甲方损失的赔偿。剩余款项已付或不足以赔偿甲方损失的，由乙方另行支付。</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（二）乙方的权利和义务</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1、乙方保证在本项目服务期内，不侵犯第三方的合法权益。如因乙方原因致使甲方遭受第三方追诉的，乙方应承担由此给甲方造成的全部损失，并承担违约责任。</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2、乙方按照本合同约定，在履行的过程中，不允许利用甲方提供的相关资料和工作条件，进行与本项目无关的工作。如因乙方原因，致使甲方遭受经济及法律追诉的，由乙方完全承担。</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3、乙方必须设置服务现场安全管理人员及专职安全员，杜绝违规服务，凡国家规定的工种乙方服务人员必须持证上岗。否则，由此造成的全部损失由乙方自行承担。</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4、乙方必须对服务地域环境卫生、人员安全、生产安全、防火安全负全责。服务现场的各种活动须服从甲方相关部门的管理、监督，同时做好与其它人员的交叉作业及配合工作。</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乙方必须加强对服务现场的安全监督、管理，对进入现场的易燃材料生产工具应指定专人管理，必要时派人驻守。对当日产生的易燃废料需当日清理出服务现场，堆放到甲方指定区域，当日应及时清理出院，消除安全隐患。</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乙方服务人员要安全文明服务，不准赤脚或穿高跟鞋、拖鞋和裙子进入服务场地；服务场地禁止吸烟；高空作业时必须系安全带，佩戴安全帽，不得穿硬底鞋及带钉易打滑的鞋；不准违章指挥，违章作业及冒险作业；不准从高处往下抛投物料；不准酒后上岗。</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7、乙方服务人员要严防火灾，不准在禁止烟火的地方动用明火；要文明服务，不得在服务现场戏耍和打架斗殴；要注意用电安全，电器开关要设箱加锁，不准乱拉乱接电线。</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由于乙方在服务过程中组织管理不当违反安全规程、消防安全条例发生安全或火灾事故所造成的安全责任事故、经济损失及人身伤亡，乙方承担全部责任，甲方概不负责。在服务中如发生事故造成甲方财产损失、人身损害，乙方承担全部责任。</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9、乙方服务所需材料需在甲方指定地点有序堆放，垃圾应24小时之内清理外运，严禁随意乱堆乱放，影响院内大环境及道路畅通。</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乙方违反上述任意约定，均视为违约。甲方现场管理人员有权制止其行为并劝其离场，乙方应在三日内整改至甲方满意（若整改期间对甲方造成损失，由乙方自行承担）。每违反一次扣除合同总价的3%作为违约金，并承担由此造成的全部损失，累计超过3次的，视为乙方根本违约，甲方有权解除合同，合同自书面解除通知送达乙方之日解除，乙方应按照合同总价的30%承担违约金，若违约金不足以弥补甲方损失的，由乙方另行支付。</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五、质量保证</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（一）保证技术指标先进、质量性能可靠、进货渠道正常、功能齐全、配置合理，全面满足技术要求。</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（二）符合国家有关规范及要求，确保达到最佳运行状态。</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（三）具有良好的外观，适合安装场所的使用。</w:t>
      </w:r>
    </w:p>
    <w:p>
      <w:pPr>
        <w:keepNext w:val="0"/>
        <w:keepLines w:val="0"/>
        <w:pageBreakBefore w:val="0"/>
        <w:kinsoku/>
        <w:wordWrap/>
        <w:overflowPunct/>
        <w:topLinePunct w:val="0"/>
        <w:bidi w:val="0"/>
        <w:adjustRightInd/>
        <w:snapToGrid w:val="0"/>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（四）设备开机率</w:t>
      </w:r>
      <w:r>
        <w:rPr>
          <w:rFonts w:hint="eastAsia" w:ascii="仿宋" w:hAnsi="仿宋" w:eastAsia="仿宋" w:cs="仿宋"/>
          <w:color w:val="auto"/>
          <w:sz w:val="24"/>
          <w:szCs w:val="24"/>
          <w:lang w:val="en-US" w:eastAsia="zh-CN"/>
        </w:rPr>
        <w:t>95%（按365天计）。</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六、特殊要求：</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（一）因甲方为一所三级甲等医院，就诊患者较多，人员较为复杂，病员均为特殊群体，甲方要求在服务过程当中，始终以患者为第一，任何服务开展决不能影响患者正常就诊。</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（二）无论服务大小、难易以及节假日与夜间服务，要求乙方积极组织服务力量正常服务，服从甲方工作安排。</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（三）乙方对甲方突发公共卫生事件及各项应急预案应积极响应并派员配合及协助工作，不得拒绝推诿。</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七、服务及培训：</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（一）服务期内</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1、乙方电话响应时间小于2小时，到达现场时间不超过24小时，解决问题不超过48小时。</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2、乙方不能服务的内容，甲方有权指定第三方服务，服务费用由乙方承担。甲方有权从尾款中扣除，尾款已付或不足以支付全部维修费用的，由乙方另行支付。</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3、电话咨询</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免费提供每周7天/每天24小时不间断的电话支持服务，解答甲方在使用过程中遇到的问题，24小时内提出解决问题的建议和操作方法。</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（二）培训</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提供免费培训，使操作、维护人员掌握使用、维护等操作方法，并预期达到熟练操作水平。培训具体内容可以根据甲方情况熟悉、现场使用情况等灵活调整。</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八、违约责任</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（一）按《中华人民共和国民法典》中的相关条款执行。</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未按合同要求提供，质量、开机率不能满足技术要求的，甲方有权解除合同（合同自书面解除通知到达乙方之日起解除），乙方赔偿甲方解除合同的全部损失（包括但不限于重新采购产生的费用及其它由此造成的甲方对第三方的违约损失）。同时按《政府采购法》有关处罚条款报监管机构进行相应的处罚。</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服务期内，每推迟或未提供服务1天，扣合同总价的平均单价（合同总价/服务期=平均单价），并扣合同总价的3‰作为违约金。累计超过10天的，视为乙方根本违约，甲方有权单方解除合同（合同自书面解除通知送达乙方之日起解除），乙方应赔偿解除合同给甲方造成的全部损失（包括但不限于重新采购产生的费用、合同未履行导致项目不能按规划提供可能产生的服务费用），乙方应按照合同总价的30%承担违约金，若违约金不足以弥补甲方损失的，由乙方另行支付。</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九、合同争议的解决</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合同执行中发生争议的，当事人双方应协商解决，无法协商或协商达不成一致时，双方均有权向甲方住所地人民法院提请诉讼。</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十、合同生效</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合同一式七份，甲方六份、乙方一份，均具有同等法律效力。合同经甲方、乙方签字盖章后生效，合同执行完毕后，自动终止（合同的服务承诺则长期有效）。</w:t>
      </w:r>
    </w:p>
    <w:p>
      <w:pPr>
        <w:keepNext w:val="0"/>
        <w:keepLines w:val="0"/>
        <w:pageBreakBefore w:val="0"/>
        <w:kinsoku/>
        <w:wordWrap/>
        <w:overflowPunct/>
        <w:topLinePunct w:val="0"/>
        <w:bidi w:val="0"/>
        <w:adjustRightInd/>
        <w:snapToGrid w:val="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十一、其他事项</w:t>
      </w:r>
    </w:p>
    <w:p>
      <w:pPr>
        <w:keepNext w:val="0"/>
        <w:keepLines w:val="0"/>
        <w:pageBreakBefore w:val="0"/>
        <w:kinsoku/>
        <w:wordWrap/>
        <w:overflowPunct/>
        <w:topLinePunct w:val="0"/>
        <w:bidi w:val="0"/>
        <w:adjustRightInd/>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（一）招标文件、投标文件、澄清表（函）、</w:t>
      </w:r>
      <w:r>
        <w:rPr>
          <w:rFonts w:hint="eastAsia" w:ascii="仿宋" w:hAnsi="仿宋" w:eastAsia="仿宋" w:cs="仿宋"/>
          <w:color w:val="auto"/>
          <w:sz w:val="24"/>
          <w:szCs w:val="24"/>
          <w:lang w:val="en-US" w:eastAsia="zh-CN"/>
        </w:rPr>
        <w:t>中标</w:t>
      </w:r>
      <w:r>
        <w:rPr>
          <w:rFonts w:hint="eastAsia" w:ascii="仿宋" w:hAnsi="仿宋" w:eastAsia="仿宋" w:cs="仿宋"/>
          <w:color w:val="auto"/>
          <w:sz w:val="24"/>
          <w:szCs w:val="24"/>
          <w:lang w:eastAsia="zh-CN"/>
        </w:rPr>
        <w:t>通知书、合同附件均成为合同不可分割的部分，与本合同具有同等法律效力。</w:t>
      </w:r>
    </w:p>
    <w:p>
      <w:pPr>
        <w:keepNext w:val="0"/>
        <w:keepLines w:val="0"/>
        <w:pageBreakBefore w:val="0"/>
        <w:widowControl/>
        <w:tabs>
          <w:tab w:val="left" w:pos="8391"/>
        </w:tabs>
        <w:kinsoku/>
        <w:wordWrap/>
        <w:overflowPunct/>
        <w:topLinePunct w:val="0"/>
        <w:autoSpaceDE w:val="0"/>
        <w:autoSpaceDN w:val="0"/>
        <w:bidi w:val="0"/>
        <w:adjustRightInd/>
        <w:snapToGrid w:val="0"/>
        <w:spacing w:line="360" w:lineRule="auto"/>
        <w:ind w:right="0" w:firstLine="480" w:firstLineChars="200"/>
        <w:jc w:val="left"/>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（二）合同未尽事宜，由甲、乙双方协商签订补充协议，作为合同的补充，与原合同具有同等法律效力，补充协议与原协议不一致的，以补充协议为准。</w:t>
      </w:r>
    </w:p>
    <w:p>
      <w:pPr>
        <w:pStyle w:val="2"/>
        <w:rPr>
          <w:rFonts w:hint="eastAsia"/>
          <w:lang w:eastAsia="zh-CN"/>
        </w:rPr>
      </w:pPr>
      <w:r>
        <w:rPr>
          <w:rFonts w:hint="eastAsia" w:ascii="仿宋" w:hAnsi="仿宋" w:eastAsia="仿宋" w:cs="仿宋"/>
          <w:color w:val="auto"/>
          <w:sz w:val="24"/>
          <w:szCs w:val="24"/>
          <w:lang w:eastAsia="zh-CN"/>
        </w:rPr>
        <w:t>（会签页）</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甲  方</w:t>
            </w:r>
          </w:p>
        </w:tc>
        <w:tc>
          <w:tcPr>
            <w:tcW w:w="3186" w:type="dxa"/>
            <w:shd w:val="clear" w:color="auto" w:fill="D8D8D8"/>
            <w:noWrap/>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乙  方</w:t>
            </w:r>
          </w:p>
        </w:tc>
        <w:tc>
          <w:tcPr>
            <w:tcW w:w="2889" w:type="dxa"/>
            <w:shd w:val="clear" w:color="auto" w:fill="D8D8D8"/>
            <w:noWrap/>
            <w:vAlign w:val="center"/>
          </w:tcPr>
          <w:p>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采购人</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中标供应商</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（公章）</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采购代理机构（公章）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开户银行：</w:t>
            </w:r>
          </w:p>
        </w:tc>
        <w:tc>
          <w:tcPr>
            <w:tcW w:w="2889" w:type="dxa"/>
            <w:noWrap/>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账号：</w:t>
            </w:r>
          </w:p>
        </w:tc>
        <w:tc>
          <w:tcPr>
            <w:tcW w:w="2889" w:type="dxa"/>
            <w:noWrap/>
            <w:vAlign w:val="center"/>
          </w:tcPr>
          <w:p>
            <w:pPr>
              <w:spacing w:line="360" w:lineRule="auto"/>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3186"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2889" w:type="dxa"/>
            <w:noWrap/>
            <w:vAlign w:val="center"/>
          </w:tcPr>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   年  月  日</w:t>
            </w:r>
          </w:p>
        </w:tc>
      </w:tr>
    </w:tbl>
    <w:p>
      <w:pPr>
        <w:pStyle w:val="3"/>
        <w:spacing w:line="360" w:lineRule="auto"/>
        <w:rPr>
          <w:lang w:val="zh-CN"/>
        </w:rPr>
      </w:pPr>
    </w:p>
    <w:p>
      <w:pPr>
        <w:pageBreakBefore/>
        <w:spacing w:line="360" w:lineRule="auto"/>
        <w:jc w:val="center"/>
        <w:outlineLvl w:val="0"/>
        <w:rPr>
          <w:rFonts w:ascii="宋体" w:hAnsi="宋体" w:cs="宋体"/>
          <w:b/>
          <w:color w:val="auto"/>
          <w:sz w:val="32"/>
          <w:szCs w:val="32"/>
        </w:rPr>
      </w:pPr>
      <w:bookmarkStart w:id="398" w:name="_Toc5654"/>
      <w:r>
        <w:rPr>
          <w:rFonts w:hint="eastAsia" w:ascii="宋体" w:hAnsi="宋体" w:cs="宋体"/>
          <w:b/>
          <w:color w:val="auto"/>
          <w:sz w:val="32"/>
          <w:szCs w:val="32"/>
          <w:lang w:val="zh-CN"/>
        </w:rPr>
        <w:t>第五部分</w:t>
      </w:r>
      <w:r>
        <w:rPr>
          <w:rFonts w:hint="eastAsia" w:ascii="宋体" w:hAnsi="宋体" w:cs="宋体"/>
          <w:b/>
          <w:color w:val="auto"/>
          <w:sz w:val="32"/>
          <w:szCs w:val="32"/>
        </w:rPr>
        <w:t xml:space="preserve">  磋商响应文件格式</w:t>
      </w:r>
      <w:bookmarkEnd w:id="398"/>
    </w:p>
    <w:p>
      <w:pPr>
        <w:snapToGrid w:val="0"/>
        <w:spacing w:line="360" w:lineRule="auto"/>
        <w:jc w:val="righ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正本/副本</w:t>
      </w:r>
    </w:p>
    <w:p>
      <w:pPr>
        <w:autoSpaceDE w:val="0"/>
        <w:autoSpaceDN w:val="0"/>
        <w:adjustRightInd w:val="0"/>
        <w:snapToGrid w:val="0"/>
        <w:spacing w:line="360" w:lineRule="auto"/>
        <w:ind w:firstLine="321" w:firstLineChars="100"/>
        <w:jc w:val="left"/>
        <w:rPr>
          <w:rFonts w:ascii="仿宋" w:hAnsi="仿宋" w:eastAsia="仿宋" w:cs="仿宋"/>
          <w:b/>
          <w:bCs/>
          <w:color w:val="auto"/>
          <w:sz w:val="32"/>
          <w:szCs w:val="32"/>
        </w:rPr>
      </w:pPr>
      <w:bookmarkStart w:id="399" w:name="OLE_LINK2"/>
      <w:r>
        <w:rPr>
          <w:rFonts w:hint="eastAsia" w:ascii="仿宋" w:hAnsi="仿宋" w:eastAsia="仿宋" w:cs="仿宋"/>
          <w:b/>
          <w:bCs/>
          <w:color w:val="auto"/>
          <w:sz w:val="32"/>
          <w:szCs w:val="32"/>
        </w:rPr>
        <w:t>政府采购项目</w:t>
      </w:r>
    </w:p>
    <w:p>
      <w:pPr>
        <w:tabs>
          <w:tab w:val="left" w:pos="5670"/>
        </w:tabs>
        <w:autoSpaceDE w:val="0"/>
        <w:autoSpaceDN w:val="0"/>
        <w:adjustRightInd w:val="0"/>
        <w:spacing w:line="360" w:lineRule="auto"/>
        <w:ind w:firstLine="30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计划编码：ZCBN-西安市-2022-01663</w:t>
      </w:r>
    </w:p>
    <w:p>
      <w:pPr>
        <w:tabs>
          <w:tab w:val="left" w:pos="5670"/>
        </w:tabs>
        <w:autoSpaceDE w:val="0"/>
        <w:autoSpaceDN w:val="0"/>
        <w:adjustRightInd w:val="0"/>
        <w:spacing w:line="360" w:lineRule="auto"/>
        <w:ind w:firstLine="300"/>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2"/>
          <w:szCs w:val="32"/>
          <w:lang w:val="zh-CN"/>
        </w:rPr>
        <w:t>项目编号：</w:t>
      </w:r>
      <w:r>
        <w:rPr>
          <w:rFonts w:hint="eastAsia" w:ascii="仿宋" w:hAnsi="仿宋" w:eastAsia="仿宋" w:cs="仿宋"/>
          <w:b/>
          <w:bCs/>
          <w:color w:val="auto"/>
          <w:sz w:val="32"/>
          <w:szCs w:val="32"/>
          <w:lang w:val="en-US" w:eastAsia="zh-CN"/>
        </w:rPr>
        <w:t>DX2022-148-1</w:t>
      </w:r>
    </w:p>
    <w:p>
      <w:pPr>
        <w:tabs>
          <w:tab w:val="left" w:pos="5670"/>
        </w:tabs>
        <w:autoSpaceDE w:val="0"/>
        <w:autoSpaceDN w:val="0"/>
        <w:adjustRightInd w:val="0"/>
        <w:spacing w:line="360" w:lineRule="auto"/>
        <w:ind w:firstLine="300"/>
        <w:rPr>
          <w:rFonts w:ascii="仿宋" w:hAnsi="仿宋" w:eastAsia="仿宋" w:cs="仿宋"/>
          <w:b/>
          <w:bCs/>
          <w:color w:val="auto"/>
          <w:sz w:val="32"/>
          <w:szCs w:val="32"/>
        </w:rPr>
      </w:pPr>
    </w:p>
    <w:p>
      <w:pPr>
        <w:pStyle w:val="18"/>
        <w:spacing w:line="360" w:lineRule="auto"/>
        <w:rPr>
          <w:rFonts w:ascii="仿宋_GB2312" w:hAnsi="仿宋_GB2312" w:eastAsia="仿宋_GB2312" w:cs="仿宋_GB2312"/>
          <w:b/>
          <w:bCs/>
          <w:color w:val="auto"/>
          <w:sz w:val="32"/>
          <w:szCs w:val="32"/>
        </w:rPr>
      </w:pPr>
    </w:p>
    <w:p>
      <w:pPr>
        <w:pStyle w:val="18"/>
        <w:spacing w:line="360" w:lineRule="auto"/>
        <w:rPr>
          <w:rFonts w:ascii="仿宋_GB2312" w:hAnsi="仿宋_GB2312" w:eastAsia="仿宋_GB2312" w:cs="仿宋_GB2312"/>
          <w:b/>
          <w:bCs/>
          <w:color w:val="auto"/>
          <w:sz w:val="32"/>
          <w:szCs w:val="32"/>
        </w:rPr>
      </w:pPr>
    </w:p>
    <w:bookmarkEnd w:id="399"/>
    <w:p>
      <w:pPr>
        <w:pStyle w:val="15"/>
        <w:tabs>
          <w:tab w:val="left" w:pos="5670"/>
        </w:tabs>
        <w:adjustRightInd w:val="0"/>
        <w:snapToGrid w:val="0"/>
        <w:spacing w:line="360" w:lineRule="auto"/>
        <w:rPr>
          <w:rFonts w:hint="eastAsia" w:ascii="宋体" w:hAnsi="宋体" w:cs="宋体"/>
          <w:color w:val="auto"/>
          <w:spacing w:val="0"/>
          <w:w w:val="100"/>
          <w:sz w:val="44"/>
          <w:szCs w:val="44"/>
          <w:lang w:eastAsia="zh-CN"/>
        </w:rPr>
      </w:pPr>
      <w:r>
        <w:rPr>
          <w:rFonts w:hint="eastAsia" w:ascii="宋体" w:hAnsi="宋体" w:cs="宋体"/>
          <w:color w:val="auto"/>
          <w:spacing w:val="0"/>
          <w:w w:val="100"/>
          <w:sz w:val="44"/>
          <w:szCs w:val="44"/>
          <w:lang w:val="en-US" w:eastAsia="zh-CN"/>
        </w:rPr>
        <w:t>西安市第九医院移动X线床头机维保项目（二次）</w:t>
      </w:r>
    </w:p>
    <w:p>
      <w:pPr>
        <w:pStyle w:val="15"/>
        <w:tabs>
          <w:tab w:val="left" w:pos="5670"/>
        </w:tabs>
        <w:adjustRightInd w:val="0"/>
        <w:snapToGrid w:val="0"/>
        <w:spacing w:line="360" w:lineRule="auto"/>
        <w:rPr>
          <w:rFonts w:ascii="宋体" w:hAnsi="宋体" w:cs="宋体"/>
          <w:color w:val="auto"/>
          <w:spacing w:val="0"/>
          <w:w w:val="100"/>
          <w:sz w:val="44"/>
          <w:szCs w:val="44"/>
        </w:rPr>
      </w:pPr>
    </w:p>
    <w:p>
      <w:pPr>
        <w:pStyle w:val="15"/>
        <w:tabs>
          <w:tab w:val="left" w:pos="5670"/>
        </w:tabs>
        <w:adjustRightInd w:val="0"/>
        <w:snapToGrid w:val="0"/>
        <w:spacing w:line="360" w:lineRule="auto"/>
        <w:rPr>
          <w:rFonts w:ascii="宋体" w:hAnsi="宋体" w:cs="宋体"/>
          <w:color w:val="auto"/>
          <w:spacing w:val="0"/>
          <w:w w:val="100"/>
          <w:sz w:val="44"/>
          <w:szCs w:val="44"/>
        </w:rPr>
      </w:pPr>
    </w:p>
    <w:p>
      <w:pPr>
        <w:pStyle w:val="15"/>
        <w:tabs>
          <w:tab w:val="left" w:pos="5670"/>
        </w:tabs>
        <w:adjustRightInd w:val="0"/>
        <w:snapToGrid w:val="0"/>
        <w:spacing w:line="360" w:lineRule="auto"/>
        <w:rPr>
          <w:rFonts w:ascii="宋体" w:hAnsi="宋体" w:cs="宋体"/>
          <w:color w:val="auto"/>
          <w:spacing w:val="0"/>
          <w:w w:val="100"/>
          <w:sz w:val="44"/>
          <w:szCs w:val="44"/>
        </w:rPr>
      </w:pPr>
      <w:r>
        <w:rPr>
          <w:rFonts w:hint="eastAsia" w:ascii="宋体" w:hAnsi="宋体" w:cs="宋体"/>
          <w:color w:val="auto"/>
          <w:spacing w:val="0"/>
          <w:w w:val="100"/>
          <w:sz w:val="44"/>
          <w:szCs w:val="44"/>
        </w:rPr>
        <w:t>竞争性磋商响应文件</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lang w:val="zh-CN"/>
        </w:rPr>
      </w:pPr>
      <w:r>
        <w:rPr>
          <w:rFonts w:hint="eastAsia" w:ascii="仿宋" w:hAnsi="仿宋" w:eastAsia="仿宋" w:cs="仿宋"/>
          <w:b/>
          <w:bCs/>
          <w:color w:val="auto"/>
          <w:sz w:val="32"/>
          <w:szCs w:val="32"/>
          <w:lang w:val="zh-CN"/>
        </w:rPr>
        <w:t>（格式）</w:t>
      </w:r>
    </w:p>
    <w:p>
      <w:pPr>
        <w:pStyle w:val="18"/>
        <w:spacing w:line="360" w:lineRule="auto"/>
        <w:rPr>
          <w:rFonts w:ascii="仿宋_GB2312" w:hAnsi="仿宋_GB2312" w:eastAsia="仿宋_GB2312" w:cs="仿宋_GB2312"/>
          <w:color w:val="auto"/>
          <w:sz w:val="42"/>
        </w:rPr>
      </w:pPr>
    </w:p>
    <w:p>
      <w:pPr>
        <w:pStyle w:val="18"/>
        <w:spacing w:line="360" w:lineRule="auto"/>
        <w:rPr>
          <w:rFonts w:ascii="仿宋" w:hAnsi="仿宋" w:eastAsia="仿宋" w:cs="仿宋"/>
          <w:color w:val="auto"/>
          <w:sz w:val="32"/>
          <w:szCs w:val="32"/>
        </w:rPr>
      </w:pPr>
    </w:p>
    <w:p>
      <w:pPr>
        <w:spacing w:line="360" w:lineRule="auto"/>
        <w:ind w:left="420" w:leftChars="200" w:firstLine="851" w:firstLineChars="265"/>
        <w:rPr>
          <w:rFonts w:hint="eastAsia" w:ascii="仿宋" w:hAnsi="仿宋" w:eastAsia="仿宋" w:cs="仿宋"/>
          <w:b/>
          <w:bCs/>
          <w:color w:val="auto"/>
          <w:sz w:val="32"/>
          <w:szCs w:val="32"/>
        </w:rPr>
      </w:pPr>
    </w:p>
    <w:p>
      <w:pPr>
        <w:spacing w:line="360" w:lineRule="auto"/>
        <w:ind w:left="420" w:leftChars="200" w:firstLine="851" w:firstLineChars="265"/>
        <w:rPr>
          <w:rFonts w:ascii="仿宋" w:hAnsi="仿宋" w:eastAsia="仿宋" w:cs="仿宋"/>
          <w:b/>
          <w:bCs/>
          <w:color w:val="auto"/>
          <w:sz w:val="32"/>
          <w:szCs w:val="32"/>
        </w:rPr>
      </w:pPr>
      <w:r>
        <w:rPr>
          <w:rFonts w:hint="eastAsia" w:ascii="仿宋" w:hAnsi="仿宋" w:eastAsia="仿宋" w:cs="仿宋"/>
          <w:b/>
          <w:bCs/>
          <w:color w:val="auto"/>
          <w:sz w:val="32"/>
          <w:szCs w:val="32"/>
        </w:rPr>
        <w:t>供  应  商：</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（盖章）</w:t>
      </w:r>
    </w:p>
    <w:p>
      <w:pPr>
        <w:spacing w:line="360" w:lineRule="auto"/>
        <w:ind w:firstLine="1285" w:firstLineChars="400"/>
        <w:rPr>
          <w:rFonts w:ascii="仿宋" w:hAnsi="仿宋" w:eastAsia="仿宋" w:cs="仿宋"/>
          <w:b/>
          <w:bCs/>
          <w:color w:val="auto"/>
          <w:sz w:val="32"/>
          <w:szCs w:val="32"/>
        </w:rPr>
      </w:pPr>
      <w:r>
        <w:rPr>
          <w:rFonts w:hint="eastAsia" w:ascii="仿宋" w:hAnsi="仿宋" w:eastAsia="仿宋" w:cs="仿宋"/>
          <w:b/>
          <w:color w:val="auto"/>
          <w:sz w:val="32"/>
          <w:szCs w:val="32"/>
        </w:rPr>
        <w:t>法定代表人或授权代表：</w:t>
      </w:r>
      <w:r>
        <w:rPr>
          <w:rFonts w:hint="eastAsia" w:ascii="仿宋" w:hAnsi="仿宋" w:eastAsia="仿宋" w:cs="仿宋"/>
          <w:b/>
          <w:color w:val="auto"/>
          <w:sz w:val="32"/>
          <w:szCs w:val="32"/>
          <w:u w:val="single"/>
        </w:rPr>
        <w:t xml:space="preserve">        </w:t>
      </w:r>
      <w:r>
        <w:rPr>
          <w:rFonts w:hint="eastAsia" w:ascii="仿宋" w:hAnsi="仿宋" w:eastAsia="仿宋" w:cs="仿宋"/>
          <w:b/>
          <w:bCs/>
          <w:color w:val="auto"/>
          <w:sz w:val="32"/>
          <w:szCs w:val="32"/>
        </w:rPr>
        <w:t>（签字或盖章）</w:t>
      </w:r>
    </w:p>
    <w:p>
      <w:pPr>
        <w:autoSpaceDE w:val="0"/>
        <w:autoSpaceDN w:val="0"/>
        <w:adjustRightInd w:val="0"/>
        <w:snapToGrid w:val="0"/>
        <w:spacing w:line="360" w:lineRule="auto"/>
        <w:ind w:firstLine="1263" w:firstLineChars="393"/>
        <w:rPr>
          <w:rFonts w:ascii="仿宋" w:hAnsi="仿宋" w:eastAsia="仿宋" w:cs="仿宋"/>
          <w:b/>
          <w:bCs/>
          <w:color w:val="auto"/>
          <w:sz w:val="32"/>
          <w:szCs w:val="32"/>
        </w:rPr>
      </w:pPr>
      <w:r>
        <w:rPr>
          <w:rFonts w:hint="eastAsia" w:ascii="仿宋" w:hAnsi="仿宋" w:eastAsia="仿宋" w:cs="仿宋"/>
          <w:b/>
          <w:bCs/>
          <w:color w:val="auto"/>
          <w:sz w:val="32"/>
          <w:szCs w:val="32"/>
        </w:rPr>
        <w:t>日    期：</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rPr>
          <w:rFonts w:ascii="仿宋" w:hAnsi="仿宋" w:eastAsia="仿宋" w:cs="仿宋"/>
          <w:b/>
          <w:bCs/>
          <w:color w:val="auto"/>
          <w:sz w:val="32"/>
          <w:szCs w:val="32"/>
        </w:rPr>
      </w:pPr>
      <w:r>
        <w:rPr>
          <w:rFonts w:hint="eastAsia" w:ascii="仿宋" w:hAnsi="仿宋" w:eastAsia="仿宋" w:cs="仿宋"/>
          <w:b/>
          <w:bCs/>
          <w:color w:val="auto"/>
          <w:sz w:val="32"/>
          <w:szCs w:val="32"/>
        </w:rPr>
        <w:br w:type="page"/>
      </w:r>
    </w:p>
    <w:p>
      <w:pPr>
        <w:adjustRightInd w:val="0"/>
        <w:snapToGrid w:val="0"/>
        <w:spacing w:line="360" w:lineRule="auto"/>
        <w:jc w:val="center"/>
        <w:rPr>
          <w:b/>
          <w:bCs/>
          <w:color w:val="auto"/>
          <w:sz w:val="32"/>
          <w:szCs w:val="15"/>
          <w:lang w:val="zh-CN"/>
        </w:rPr>
      </w:pPr>
      <w:bookmarkStart w:id="400" w:name="_Toc495681241"/>
      <w:bookmarkStart w:id="401" w:name="_Toc495681395"/>
      <w:bookmarkStart w:id="402" w:name="_Toc3446"/>
      <w:bookmarkStart w:id="403" w:name="_Toc25409"/>
      <w:bookmarkStart w:id="404" w:name="_Toc23370"/>
      <w:bookmarkStart w:id="405" w:name="_Toc16388"/>
      <w:bookmarkStart w:id="406" w:name="_Toc14433"/>
      <w:bookmarkStart w:id="407" w:name="_Toc30727"/>
      <w:bookmarkStart w:id="408" w:name="_Toc495908037"/>
      <w:bookmarkStart w:id="409" w:name="_Toc495681522"/>
      <w:bookmarkStart w:id="410" w:name="_Toc27610"/>
      <w:bookmarkStart w:id="411" w:name="_Toc56"/>
      <w:bookmarkStart w:id="412" w:name="_Toc25880"/>
      <w:r>
        <w:rPr>
          <w:rFonts w:hint="eastAsia"/>
          <w:b/>
          <w:bCs/>
          <w:color w:val="auto"/>
          <w:sz w:val="32"/>
          <w:szCs w:val="15"/>
          <w:lang w:val="zh-CN"/>
        </w:rPr>
        <w:t>目</w:t>
      </w:r>
      <w:r>
        <w:rPr>
          <w:rFonts w:hint="eastAsia"/>
          <w:b/>
          <w:bCs/>
          <w:color w:val="auto"/>
          <w:sz w:val="32"/>
          <w:szCs w:val="15"/>
        </w:rPr>
        <w:t xml:space="preserve">  </w:t>
      </w:r>
      <w:r>
        <w:rPr>
          <w:rFonts w:hint="eastAsia"/>
          <w:b/>
          <w:bCs/>
          <w:color w:val="auto"/>
          <w:sz w:val="32"/>
          <w:szCs w:val="15"/>
          <w:lang w:val="zh-CN"/>
        </w:rPr>
        <w:t>录</w:t>
      </w:r>
    </w:p>
    <w:p>
      <w:pPr>
        <w:spacing w:line="360" w:lineRule="auto"/>
        <w:jc w:val="center"/>
        <w:rPr>
          <w:color w:val="auto"/>
          <w:lang w:val="zh-CN"/>
        </w:rPr>
      </w:pPr>
      <w:r>
        <w:rPr>
          <w:rFonts w:hint="eastAsia" w:ascii="仿宋" w:hAnsi="仿宋" w:eastAsia="仿宋" w:cs="仿宋"/>
          <w:color w:val="auto"/>
          <w:sz w:val="24"/>
          <w:szCs w:val="16"/>
          <w:lang w:val="zh-CN"/>
        </w:rPr>
        <w:t>请根据磋商响应文件内容自动生成目录</w:t>
      </w:r>
    </w:p>
    <w:p>
      <w:pPr>
        <w:spacing w:line="360" w:lineRule="auto"/>
        <w:rPr>
          <w:rFonts w:ascii="宋体" w:hAnsi="宋体" w:cs="宋体"/>
          <w:color w:val="auto"/>
          <w:sz w:val="32"/>
          <w:szCs w:val="32"/>
        </w:rPr>
      </w:pPr>
      <w:r>
        <w:rPr>
          <w:rFonts w:hint="eastAsia" w:ascii="宋体" w:hAnsi="宋体" w:cs="宋体"/>
          <w:color w:val="auto"/>
          <w:sz w:val="32"/>
          <w:szCs w:val="32"/>
        </w:rPr>
        <w:br w:type="page"/>
      </w:r>
    </w:p>
    <w:p>
      <w:pPr>
        <w:pStyle w:val="8"/>
        <w:spacing w:line="360" w:lineRule="auto"/>
        <w:ind w:left="0" w:leftChars="0" w:firstLine="0" w:firstLineChars="0"/>
        <w:rPr>
          <w:rFonts w:ascii="仿宋" w:hAnsi="仿宋" w:eastAsia="仿宋" w:cs="仿宋"/>
          <w:color w:val="auto"/>
          <w:sz w:val="32"/>
          <w:szCs w:val="32"/>
        </w:rPr>
      </w:pPr>
      <w:bookmarkStart w:id="413" w:name="_Toc10159"/>
      <w:bookmarkStart w:id="414" w:name="_Toc10290"/>
      <w:bookmarkStart w:id="415" w:name="_Toc19928"/>
      <w:bookmarkStart w:id="416" w:name="_Toc29992"/>
      <w:r>
        <w:rPr>
          <w:rFonts w:hint="eastAsia" w:ascii="仿宋" w:hAnsi="仿宋" w:eastAsia="仿宋" w:cs="仿宋"/>
          <w:color w:val="auto"/>
          <w:sz w:val="32"/>
          <w:szCs w:val="32"/>
        </w:rPr>
        <w:t>一、磋商响应函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陕西笃信招标有限公司：</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我单位收到贵公司</w:t>
      </w:r>
      <w:r>
        <w:rPr>
          <w:rFonts w:hint="eastAsia" w:ascii="仿宋" w:hAnsi="仿宋" w:eastAsia="仿宋" w:cs="仿宋"/>
          <w:color w:val="auto"/>
          <w:sz w:val="24"/>
          <w:szCs w:val="24"/>
          <w:lang w:val="en-US" w:eastAsia="zh-CN"/>
        </w:rPr>
        <w:t>西安市第九医院移动X线床头机维保项目（二次）</w:t>
      </w: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DX2022-148-1</w:t>
      </w:r>
      <w:r>
        <w:rPr>
          <w:rFonts w:hint="eastAsia" w:ascii="仿宋" w:hAnsi="仿宋" w:eastAsia="仿宋" w:cs="仿宋"/>
          <w:color w:val="auto"/>
          <w:sz w:val="24"/>
          <w:szCs w:val="24"/>
        </w:rPr>
        <w:t>）磋商文件，经详细研究，我们决定参加本次项目活动，为此，我方郑重声明以下诸点，并负法律责任。</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一、愿意按照磋商文件中的要求，提供磋商技术及服务，完成合同的责任和义务。</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二、按磋商文件的规定，我公司的第一次磋商总报价为：</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元），并对其最后的磋商报价负法律责任。</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三、我方提交的磋商响应文件正本一份、</w:t>
      </w:r>
      <w:r>
        <w:rPr>
          <w:rFonts w:hint="eastAsia" w:ascii="仿宋" w:hAnsi="仿宋" w:eastAsia="仿宋" w:cs="仿宋"/>
          <w:color w:val="auto"/>
          <w:sz w:val="24"/>
          <w:szCs w:val="24"/>
          <w:highlight w:val="none"/>
        </w:rPr>
        <w:t>副本两份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电子版一份</w:t>
      </w:r>
      <w:r>
        <w:rPr>
          <w:rFonts w:hint="eastAsia" w:ascii="仿宋" w:hAnsi="仿宋" w:eastAsia="仿宋" w:cs="仿宋"/>
          <w:color w:val="auto"/>
          <w:sz w:val="24"/>
          <w:szCs w:val="24"/>
          <w:highlight w:val="none"/>
          <w:lang w:val="en-US" w:eastAsia="zh-CN"/>
        </w:rPr>
        <w:t>及资格证明文件1份</w:t>
      </w:r>
      <w:r>
        <w:rPr>
          <w:rFonts w:hint="eastAsia" w:ascii="仿宋" w:hAnsi="仿宋" w:eastAsia="仿宋" w:cs="仿宋"/>
          <w:color w:val="auto"/>
          <w:sz w:val="24"/>
          <w:szCs w:val="24"/>
          <w:highlight w:val="none"/>
        </w:rPr>
        <w:t>，并保证磋商响应文件提供的数据和材料真实、准确</w:t>
      </w:r>
      <w:r>
        <w:rPr>
          <w:rFonts w:hint="eastAsia" w:ascii="仿宋" w:hAnsi="仿宋" w:eastAsia="仿宋" w:cs="仿宋"/>
          <w:color w:val="auto"/>
          <w:sz w:val="24"/>
          <w:szCs w:val="24"/>
        </w:rPr>
        <w:t xml:space="preserve">。否则，愿承担相关的法律责任。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四、我方已详细阅读了磋商文件，完全理解并放弃提出含糊不清或易形成歧义的表述和资料。</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五、磋商后在规定的有效期内撤回磋商，我方愿接受政府采购的有关处罚决定。</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六、同意向贵方提供可能要求的，与本次磋商有关的任何证据或资料，我们完全理解最低磋商报价不作为成交的唯一条件，且尊重磋商小组的评审结论和结果。</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七、我方的磋商响应文件在磋商后有效期为90个日历天，若我方成交，磋商响应文件有效期延长至合同执行完毕。</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八、有关于本磋商响应文件的函电，请按下列地址联系。</w:t>
      </w:r>
    </w:p>
    <w:p>
      <w:pPr>
        <w:snapToGrid w:val="0"/>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供应商全称（印章）：</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授权代表(签字)：</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帐    号：</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jc w:val="center"/>
        <w:rPr>
          <w:rFonts w:ascii="仿宋" w:hAnsi="仿宋" w:eastAsia="仿宋" w:cs="仿宋"/>
          <w:color w:val="auto"/>
          <w:sz w:val="24"/>
          <w:szCs w:val="24"/>
        </w:rPr>
        <w:sectPr>
          <w:footerReference r:id="rId4" w:type="default"/>
          <w:pgSz w:w="11906" w:h="16838"/>
          <w:pgMar w:top="1417" w:right="1701" w:bottom="1417" w:left="1701" w:header="851" w:footer="992" w:gutter="0"/>
          <w:pgNumType w:fmt="decimal" w:start="1"/>
          <w:cols w:space="0" w:num="1"/>
          <w:rtlGutter w:val="0"/>
          <w:docGrid w:linePitch="312" w:charSpace="0"/>
        </w:sect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8"/>
        <w:spacing w:line="360" w:lineRule="auto"/>
        <w:rPr>
          <w:rFonts w:ascii="仿宋_GB2312" w:hAnsi="仿宋_GB2312" w:cs="仿宋_GB2312"/>
          <w:color w:val="auto"/>
          <w:sz w:val="32"/>
          <w:szCs w:val="32"/>
        </w:rPr>
      </w:pPr>
      <w:bookmarkStart w:id="417" w:name="_Toc495908038"/>
      <w:bookmarkStart w:id="418" w:name="_Toc31519"/>
      <w:bookmarkStart w:id="419" w:name="_Toc31138"/>
      <w:bookmarkStart w:id="420" w:name="_Toc12303"/>
      <w:bookmarkStart w:id="421" w:name="_Toc722"/>
      <w:bookmarkStart w:id="422" w:name="_Toc13342"/>
      <w:bookmarkStart w:id="423" w:name="_Toc30196"/>
      <w:bookmarkStart w:id="424" w:name="_Toc15309"/>
      <w:bookmarkStart w:id="425" w:name="_Toc495681523"/>
      <w:bookmarkStart w:id="426" w:name="_Toc23789"/>
      <w:bookmarkStart w:id="427" w:name="_Toc495681396"/>
      <w:bookmarkStart w:id="428" w:name="_Toc8463"/>
      <w:bookmarkStart w:id="429" w:name="_Toc9496"/>
      <w:bookmarkStart w:id="430" w:name="_Toc31028"/>
      <w:bookmarkStart w:id="431" w:name="_Toc13144"/>
      <w:bookmarkStart w:id="432" w:name="_Toc495681242"/>
      <w:bookmarkStart w:id="433" w:name="_Toc6924"/>
      <w:r>
        <w:rPr>
          <w:rStyle w:val="38"/>
          <w:rFonts w:hint="eastAsia" w:ascii="仿宋" w:hAnsi="仿宋" w:eastAsia="仿宋" w:cs="仿宋"/>
          <w:b/>
          <w:color w:val="auto"/>
          <w:sz w:val="32"/>
          <w:szCs w:val="32"/>
        </w:rPr>
        <w:t>二、第一次磋商报价表</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bl>
      <w:tblPr>
        <w:tblStyle w:val="23"/>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15"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496" w:type="dxa"/>
            <w:vAlign w:val="center"/>
          </w:tcPr>
          <w:p>
            <w:pPr>
              <w:spacing w:line="360" w:lineRule="auto"/>
              <w:jc w:val="center"/>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4"/>
                <w:szCs w:val="24"/>
              </w:rPr>
              <w:t>项目编号</w:t>
            </w:r>
          </w:p>
        </w:tc>
        <w:tc>
          <w:tcPr>
            <w:tcW w:w="6496" w:type="dxa"/>
            <w:vAlign w:val="center"/>
          </w:tcPr>
          <w:p>
            <w:pPr>
              <w:spacing w:line="360" w:lineRule="auto"/>
              <w:jc w:val="center"/>
              <w:rPr>
                <w:rFonts w:hint="eastAsia" w:ascii="仿宋" w:hAnsi="仿宋" w:eastAsia="仿宋" w:cs="仿宋"/>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2415" w:type="dxa"/>
            <w:vAlign w:val="center"/>
          </w:tcPr>
          <w:p>
            <w:pPr>
              <w:autoSpaceDE w:val="0"/>
              <w:autoSpaceDN w:val="0"/>
              <w:adjustRightIn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磋商总报价（元）</w:t>
            </w:r>
          </w:p>
        </w:tc>
        <w:tc>
          <w:tcPr>
            <w:tcW w:w="6496" w:type="dxa"/>
            <w:vAlign w:val="center"/>
          </w:tcPr>
          <w:p>
            <w:pPr>
              <w:autoSpaceDE w:val="0"/>
              <w:autoSpaceDN w:val="0"/>
              <w:adjustRightIn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服务期</w:t>
            </w:r>
          </w:p>
        </w:tc>
        <w:tc>
          <w:tcPr>
            <w:tcW w:w="6496" w:type="dxa"/>
            <w:vAlign w:val="center"/>
          </w:tcPr>
          <w:p>
            <w:pPr>
              <w:widowControl/>
              <w:spacing w:line="360" w:lineRule="auto"/>
              <w:jc w:val="left"/>
              <w:rPr>
                <w:rFonts w:ascii="仿宋" w:hAnsi="仿宋" w:eastAsia="仿宋" w:cs="仿宋"/>
                <w:color w:val="auto"/>
                <w:kern w:val="0"/>
                <w:sz w:val="24"/>
                <w:szCs w:val="24"/>
              </w:rPr>
            </w:pPr>
            <w:r>
              <w:rPr>
                <w:rFonts w:hint="eastAsia" w:ascii="仿宋" w:hAnsi="仿宋" w:eastAsia="仿宋" w:cs="仿宋"/>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11" w:type="dxa"/>
            <w:gridSpan w:val="2"/>
            <w:vAlign w:val="center"/>
          </w:tcPr>
          <w:p>
            <w:pPr>
              <w:widowControl/>
              <w:spacing w:line="360" w:lineRule="auto"/>
              <w:jc w:val="left"/>
              <w:rPr>
                <w:rFonts w:ascii="仿宋" w:hAnsi="仿宋" w:eastAsia="仿宋" w:cs="仿宋"/>
                <w:bCs/>
                <w:color w:val="auto"/>
                <w:kern w:val="0"/>
                <w:sz w:val="24"/>
                <w:szCs w:val="24"/>
              </w:rPr>
            </w:pPr>
            <w:r>
              <w:rPr>
                <w:rFonts w:hint="eastAsia" w:ascii="仿宋" w:hAnsi="仿宋" w:eastAsia="仿宋" w:cs="仿宋"/>
                <w:b/>
                <w:bCs/>
                <w:color w:val="auto"/>
                <w:sz w:val="24"/>
                <w:szCs w:val="24"/>
              </w:rPr>
              <w:t>说明：</w:t>
            </w:r>
            <w:r>
              <w:rPr>
                <w:rFonts w:hint="eastAsia" w:ascii="仿宋" w:hAnsi="仿宋" w:eastAsia="仿宋" w:cs="仿宋"/>
                <w:color w:val="auto"/>
                <w:sz w:val="24"/>
                <w:szCs w:val="24"/>
              </w:rPr>
              <w:t>磋商报价以元为单位，保留小数点后两位，大小写不一致时，以大写为准。</w:t>
            </w:r>
          </w:p>
        </w:tc>
      </w:tr>
    </w:tbl>
    <w:p>
      <w:pPr>
        <w:spacing w:line="360" w:lineRule="auto"/>
        <w:rPr>
          <w:rFonts w:ascii="仿宋_GB2312" w:hAnsi="仿宋_GB2312" w:eastAsia="仿宋_GB2312" w:cs="仿宋_GB2312"/>
          <w:b/>
          <w:color w:val="auto"/>
          <w:sz w:val="32"/>
        </w:rPr>
      </w:pPr>
      <w:r>
        <w:rPr>
          <w:rFonts w:hint="eastAsia" w:ascii="仿宋_GB2312" w:hAnsi="仿宋_GB2312" w:eastAsia="仿宋_GB2312" w:cs="仿宋_GB2312"/>
          <w:b/>
          <w:color w:val="auto"/>
          <w:sz w:val="28"/>
        </w:rPr>
        <w:t xml:space="preserve">  </w:t>
      </w:r>
      <w:r>
        <w:rPr>
          <w:rFonts w:hint="eastAsia" w:ascii="仿宋_GB2312" w:hAnsi="仿宋_GB2312" w:eastAsia="仿宋_GB2312" w:cs="仿宋_GB2312"/>
          <w:b/>
          <w:color w:val="auto"/>
          <w:sz w:val="36"/>
        </w:rPr>
        <w:t xml:space="preserve">  </w:t>
      </w:r>
      <w:r>
        <w:rPr>
          <w:rFonts w:hint="eastAsia" w:ascii="仿宋_GB2312" w:hAnsi="仿宋_GB2312" w:eastAsia="仿宋_GB2312" w:cs="仿宋_GB2312"/>
          <w:bCs/>
          <w:color w:val="auto"/>
          <w:sz w:val="36"/>
        </w:rPr>
        <w:t xml:space="preserve">  </w:t>
      </w:r>
    </w:p>
    <w:p>
      <w:pPr>
        <w:spacing w:line="360" w:lineRule="auto"/>
        <w:ind w:firstLine="2560" w:firstLineChars="800"/>
        <w:rPr>
          <w:rFonts w:ascii="仿宋" w:hAnsi="仿宋" w:eastAsia="仿宋" w:cs="仿宋"/>
          <w:color w:val="auto"/>
          <w:sz w:val="32"/>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spacing w:line="360" w:lineRule="auto"/>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br w:type="page"/>
      </w:r>
    </w:p>
    <w:p>
      <w:pPr>
        <w:pStyle w:val="8"/>
        <w:spacing w:line="360" w:lineRule="auto"/>
        <w:rPr>
          <w:rStyle w:val="38"/>
          <w:rFonts w:hint="eastAsia" w:ascii="仿宋" w:hAnsi="仿宋" w:eastAsia="仿宋" w:cs="仿宋"/>
          <w:b/>
          <w:color w:val="auto"/>
          <w:sz w:val="32"/>
          <w:szCs w:val="32"/>
          <w:lang w:eastAsia="zh-CN"/>
        </w:rPr>
      </w:pPr>
      <w:bookmarkStart w:id="434" w:name="_Toc7295"/>
      <w:r>
        <w:rPr>
          <w:rStyle w:val="38"/>
          <w:rFonts w:hint="eastAsia" w:ascii="仿宋" w:hAnsi="仿宋" w:eastAsia="仿宋" w:cs="仿宋"/>
          <w:b/>
          <w:color w:val="auto"/>
          <w:sz w:val="32"/>
          <w:szCs w:val="32"/>
        </w:rPr>
        <w:t>三、</w:t>
      </w:r>
      <w:r>
        <w:rPr>
          <w:rStyle w:val="38"/>
          <w:rFonts w:hint="eastAsia" w:ascii="仿宋" w:hAnsi="仿宋" w:eastAsia="仿宋" w:cs="仿宋"/>
          <w:b/>
          <w:color w:val="auto"/>
          <w:sz w:val="32"/>
          <w:szCs w:val="32"/>
          <w:lang w:eastAsia="zh-CN"/>
        </w:rPr>
        <w:t>分项报价表</w:t>
      </w:r>
      <w:bookmarkEnd w:id="43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eastAsia="zh-CN"/>
        </w:rPr>
      </w:pPr>
      <w:bookmarkStart w:id="435" w:name="_Toc495681246"/>
      <w:bookmarkStart w:id="436" w:name="_Toc11784"/>
      <w:bookmarkStart w:id="437" w:name="_Toc25757"/>
      <w:bookmarkStart w:id="438" w:name="_Toc495908042"/>
      <w:bookmarkStart w:id="439" w:name="_Toc14988"/>
      <w:bookmarkStart w:id="440" w:name="_Toc22665"/>
      <w:bookmarkStart w:id="441" w:name="_Toc13257"/>
      <w:bookmarkStart w:id="442" w:name="_Toc620"/>
      <w:bookmarkStart w:id="443" w:name="_Toc19130"/>
      <w:bookmarkStart w:id="444" w:name="_Toc2748"/>
      <w:bookmarkStart w:id="445" w:name="_Toc4009"/>
      <w:bookmarkStart w:id="446" w:name="_Toc30293"/>
      <w:bookmarkStart w:id="447" w:name="_Toc14078"/>
      <w:bookmarkStart w:id="448" w:name="_Toc495681400"/>
      <w:bookmarkStart w:id="449" w:name="_Toc26772"/>
      <w:bookmarkStart w:id="450" w:name="_Toc28831"/>
      <w:bookmarkStart w:id="451" w:name="_Toc495681527"/>
      <w:bookmarkStart w:id="452" w:name="_Toc31853"/>
      <w:r>
        <w:rPr>
          <w:rFonts w:hint="eastAsia" w:ascii="仿宋" w:hAnsi="仿宋" w:eastAsia="仿宋" w:cs="仿宋"/>
          <w:sz w:val="24"/>
          <w:szCs w:val="24"/>
          <w:lang w:eastAsia="zh-CN"/>
        </w:rPr>
        <w:t>供应商自行组价。</w:t>
      </w:r>
    </w:p>
    <w:p>
      <w:pPr>
        <w:spacing w:line="360" w:lineRule="auto"/>
        <w:ind w:firstLine="3360" w:firstLineChars="1400"/>
        <w:rPr>
          <w:rFonts w:hint="eastAsia" w:ascii="仿宋" w:hAnsi="仿宋" w:eastAsia="仿宋" w:cs="仿宋"/>
          <w:color w:val="auto"/>
          <w:sz w:val="24"/>
          <w:szCs w:val="24"/>
        </w:rPr>
      </w:pPr>
    </w:p>
    <w:p>
      <w:pPr>
        <w:spacing w:line="360" w:lineRule="auto"/>
        <w:ind w:firstLine="3360" w:firstLineChars="1400"/>
        <w:rPr>
          <w:rFonts w:hint="eastAsia"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pacing w:line="360" w:lineRule="auto"/>
        <w:ind w:firstLine="3360" w:firstLineChars="1400"/>
        <w:rPr>
          <w:rFonts w:ascii="仿宋" w:hAnsi="仿宋" w:eastAsia="仿宋" w:cs="仿宋"/>
          <w:color w:val="auto"/>
        </w:rPr>
        <w:sectPr>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pStyle w:val="42"/>
        <w:pageBreakBefore/>
        <w:spacing w:line="360" w:lineRule="auto"/>
        <w:ind w:firstLine="0" w:firstLineChars="0"/>
        <w:jc w:val="center"/>
        <w:outlineLvl w:val="1"/>
        <w:rPr>
          <w:rStyle w:val="38"/>
          <w:rFonts w:ascii="仿宋" w:hAnsi="仿宋" w:eastAsia="仿宋" w:cs="仿宋"/>
          <w:color w:val="auto"/>
        </w:rPr>
      </w:pPr>
      <w:bookmarkStart w:id="453" w:name="_Toc31734"/>
      <w:r>
        <w:rPr>
          <w:rStyle w:val="38"/>
          <w:rFonts w:hint="eastAsia" w:ascii="仿宋" w:hAnsi="仿宋" w:eastAsia="仿宋" w:cs="仿宋"/>
          <w:color w:val="auto"/>
          <w:sz w:val="32"/>
          <w:szCs w:val="21"/>
          <w:lang w:eastAsia="zh-CN"/>
        </w:rPr>
        <w:t>四</w:t>
      </w:r>
      <w:r>
        <w:rPr>
          <w:rStyle w:val="38"/>
          <w:rFonts w:hint="eastAsia" w:ascii="仿宋" w:hAnsi="仿宋" w:eastAsia="仿宋" w:cs="仿宋"/>
          <w:color w:val="auto"/>
          <w:sz w:val="32"/>
          <w:szCs w:val="21"/>
        </w:rPr>
        <w:t>、供应商资格证明文件</w:t>
      </w:r>
      <w:bookmarkEnd w:id="453"/>
    </w:p>
    <w:p>
      <w:pPr>
        <w:spacing w:line="360" w:lineRule="auto"/>
        <w:ind w:firstLine="482" w:firstLineChars="200"/>
        <w:outlineLvl w:val="9"/>
        <w:rPr>
          <w:rFonts w:hint="eastAsia"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 xml:space="preserve"> 1、提供统一社会信用代码的营业执照或其他组织经营的合法凭证或自然人的提供身份证明文件； </w:t>
      </w:r>
    </w:p>
    <w:p>
      <w:pPr>
        <w:spacing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2、财务状况报告：</w:t>
      </w:r>
      <w:r>
        <w:rPr>
          <w:rFonts w:hint="eastAsia" w:ascii="仿宋" w:hAnsi="仿宋" w:eastAsia="仿宋" w:cs="仿宋"/>
          <w:sz w:val="24"/>
          <w:szCs w:val="24"/>
          <w:lang w:eastAsia="zh-CN"/>
        </w:rPr>
        <w:t>提供具有财务审计资质单位出具的202</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税收缴纳证明：提供已缴纳的 2021年1月1日以来至少一个月的纳税证明或完税证明（提供增值税、企业所得税至少一种），纳税证明或完税证明上应有代收机构或税务机关的公章或业务专用章。依法免税的供应商应提供相关文件证明；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sz w:val="24"/>
          <w:szCs w:val="24"/>
        </w:rPr>
        <w:t xml:space="preserve">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eastAsia="zh-CN"/>
        </w:rPr>
        <w:t>社会保障资金缴纳证明：提供已缴存的 2021年1月1日以来至少一个月的社会保障资金缴存单据或社保机构开具的社会保险参保缴费情况证明。成立时间至提交响应文件截止时间不足一个月或依法不需要缴纳社会保障资金的供应商应提供相关文件证明；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出具履行合同所必需的设备和专业技</w:t>
      </w:r>
      <w:r>
        <w:rPr>
          <w:rFonts w:hint="eastAsia" w:ascii="仿宋" w:hAnsi="仿宋" w:eastAsia="仿宋" w:cs="仿宋"/>
          <w:sz w:val="24"/>
          <w:szCs w:val="24"/>
          <w:highlight w:val="none"/>
          <w:lang w:eastAsia="zh-CN"/>
        </w:rPr>
        <w:t>术能力的书面声明</w:t>
      </w:r>
      <w:r>
        <w:rPr>
          <w:rFonts w:hint="eastAsia" w:ascii="仿宋" w:hAnsi="仿宋" w:eastAsia="仿宋" w:cs="仿宋"/>
          <w:sz w:val="24"/>
          <w:szCs w:val="24"/>
          <w:highlight w:val="none"/>
        </w:rPr>
        <w:t xml:space="preserve">；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、出具参加本次政府采购活动的书面声明； </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（2）特定资格条件： </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i w:val="0"/>
          <w:iCs w:val="0"/>
          <w:caps w:val="0"/>
          <w:color w:val="333333"/>
          <w:spacing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333333"/>
          <w:spacing w:val="0"/>
          <w:sz w:val="24"/>
          <w:szCs w:val="24"/>
          <w:shd w:val="clear" w:fill="FFFFFF"/>
          <w:vertAlign w:val="baseline"/>
          <w:lang w:eastAsia="zh-CN"/>
        </w:rPr>
        <w:t>磋商</w:t>
      </w:r>
      <w:r>
        <w:rPr>
          <w:rFonts w:hint="eastAsia" w:ascii="仿宋" w:hAnsi="仿宋" w:eastAsia="仿宋" w:cs="仿宋"/>
          <w:i w:val="0"/>
          <w:iCs w:val="0"/>
          <w:caps w:val="0"/>
          <w:color w:val="333333"/>
          <w:spacing w:val="0"/>
          <w:sz w:val="24"/>
          <w:szCs w:val="24"/>
          <w:shd w:val="clear" w:fill="FFFFFF"/>
          <w:vertAlign w:val="baseline"/>
        </w:rPr>
        <w:t>截止前六个月内任意一个月养老保险缴纳证明（法人参加只需提供法定代表人身份证明）</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 xml:space="preserve"> 2、符合《财政部关于在政府采购活动中查询及使用信用记录有关问题的通知》（财库【2016】125号）文件中信用查询的要求；（此项由采购人与采购代理单位在开标时查询，</w:t>
      </w:r>
      <w:r>
        <w:rPr>
          <w:rFonts w:hint="eastAsia" w:ascii="仿宋" w:hAnsi="仿宋" w:eastAsia="仿宋" w:cs="仿宋"/>
          <w:sz w:val="24"/>
          <w:szCs w:val="24"/>
          <w:lang w:eastAsia="zh-CN"/>
        </w:rPr>
        <w:t>以现场查询为准</w:t>
      </w:r>
      <w:r>
        <w:rPr>
          <w:rFonts w:hint="eastAsia" w:ascii="仿宋" w:hAnsi="仿宋" w:eastAsia="仿宋" w:cs="仿宋"/>
          <w:sz w:val="24"/>
          <w:szCs w:val="24"/>
        </w:rPr>
        <w:t>）</w:t>
      </w:r>
      <w:r>
        <w:rPr>
          <w:rFonts w:hint="eastAsia" w:ascii="仿宋" w:hAnsi="仿宋" w:eastAsia="仿宋" w:cs="仿宋"/>
          <w:sz w:val="24"/>
          <w:szCs w:val="24"/>
          <w:lang w:eastAsia="zh-CN"/>
        </w:rPr>
        <w:t>；</w:t>
      </w:r>
    </w:p>
    <w:p>
      <w:pPr>
        <w:pStyle w:val="13"/>
        <w:ind w:firstLine="482" w:firstLineChars="200"/>
        <w:rPr>
          <w:rFonts w:hint="eastAsia" w:ascii="仿宋" w:hAnsi="仿宋" w:eastAsia="仿宋" w:cs="仿宋"/>
          <w:b/>
          <w:bCs/>
          <w:kern w:val="2"/>
          <w:sz w:val="24"/>
          <w:szCs w:val="24"/>
          <w:lang w:val="en-US" w:eastAsia="zh-CN" w:bidi="ar-SA"/>
        </w:rPr>
      </w:pPr>
    </w:p>
    <w:p>
      <w:pPr>
        <w:pStyle w:val="13"/>
        <w:spacing w:line="360" w:lineRule="auto"/>
        <w:ind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注：格式后附。</w:t>
      </w:r>
      <w:r>
        <w:rPr>
          <w:rFonts w:hint="eastAsia" w:ascii="仿宋" w:hAnsi="仿宋" w:eastAsia="仿宋" w:cs="仿宋"/>
          <w:b/>
          <w:bCs/>
          <w:szCs w:val="24"/>
        </w:rPr>
        <w:t>供应商资格证明文件</w:t>
      </w:r>
      <w:r>
        <w:rPr>
          <w:rFonts w:hint="eastAsia" w:ascii="仿宋" w:hAnsi="仿宋" w:eastAsia="仿宋" w:cs="仿宋"/>
          <w:b/>
          <w:bCs/>
          <w:szCs w:val="24"/>
          <w:lang w:eastAsia="zh-CN"/>
        </w:rPr>
        <w:t>需单独胶装成册。与磋商响应文件正本一同密封。</w:t>
      </w:r>
    </w:p>
    <w:p>
      <w:pPr>
        <w:spacing w:line="360" w:lineRule="auto"/>
        <w:ind w:firstLine="420" w:firstLineChars="200"/>
        <w:rPr>
          <w:rFonts w:hint="eastAsia" w:eastAsia="仿宋"/>
          <w:color w:val="auto"/>
          <w:lang w:eastAsia="zh-CN"/>
        </w:rPr>
      </w:pPr>
    </w:p>
    <w:p>
      <w:pPr>
        <w:pageBreakBefore/>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供应商基本情况表</w:t>
      </w:r>
    </w:p>
    <w:tbl>
      <w:tblPr>
        <w:tblStyle w:val="23"/>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供应商名称</w:t>
            </w:r>
          </w:p>
        </w:tc>
        <w:tc>
          <w:tcPr>
            <w:tcW w:w="3630" w:type="dxa"/>
            <w:gridSpan w:val="3"/>
            <w:vAlign w:val="center"/>
          </w:tcPr>
          <w:p>
            <w:pPr>
              <w:topLinePunct/>
              <w:spacing w:line="360" w:lineRule="auto"/>
              <w:jc w:val="center"/>
              <w:rPr>
                <w:rFonts w:ascii="仿宋" w:hAnsi="仿宋" w:eastAsia="仿宋" w:cs="仿宋"/>
                <w:color w:val="auto"/>
                <w:sz w:val="24"/>
                <w:szCs w:val="24"/>
              </w:rPr>
            </w:pPr>
          </w:p>
        </w:tc>
        <w:tc>
          <w:tcPr>
            <w:tcW w:w="1620"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法定代表人</w:t>
            </w:r>
          </w:p>
        </w:tc>
        <w:tc>
          <w:tcPr>
            <w:tcW w:w="1657" w:type="dxa"/>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统一</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社会信用代码</w:t>
            </w:r>
          </w:p>
        </w:tc>
        <w:tc>
          <w:tcPr>
            <w:tcW w:w="3630" w:type="dxa"/>
            <w:gridSpan w:val="3"/>
            <w:vAlign w:val="center"/>
          </w:tcPr>
          <w:p>
            <w:pPr>
              <w:topLinePunct/>
              <w:spacing w:line="360" w:lineRule="auto"/>
              <w:jc w:val="center"/>
              <w:rPr>
                <w:rFonts w:ascii="仿宋" w:hAnsi="仿宋" w:eastAsia="仿宋" w:cs="仿宋"/>
                <w:color w:val="auto"/>
                <w:sz w:val="24"/>
                <w:szCs w:val="24"/>
              </w:rPr>
            </w:pPr>
          </w:p>
        </w:tc>
        <w:tc>
          <w:tcPr>
            <w:tcW w:w="1620"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邮政编码</w:t>
            </w:r>
          </w:p>
        </w:tc>
        <w:tc>
          <w:tcPr>
            <w:tcW w:w="1657" w:type="dxa"/>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上年营业收入</w:t>
            </w:r>
          </w:p>
        </w:tc>
        <w:tc>
          <w:tcPr>
            <w:tcW w:w="3630" w:type="dxa"/>
            <w:gridSpan w:val="3"/>
            <w:vAlign w:val="center"/>
          </w:tcPr>
          <w:p>
            <w:pPr>
              <w:topLinePunct/>
              <w:spacing w:line="360" w:lineRule="auto"/>
              <w:jc w:val="center"/>
              <w:rPr>
                <w:rFonts w:ascii="仿宋" w:hAnsi="仿宋" w:eastAsia="仿宋" w:cs="仿宋"/>
                <w:color w:val="auto"/>
                <w:sz w:val="24"/>
                <w:szCs w:val="24"/>
              </w:rPr>
            </w:pPr>
          </w:p>
        </w:tc>
        <w:tc>
          <w:tcPr>
            <w:tcW w:w="1620"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员工总人数</w:t>
            </w:r>
          </w:p>
        </w:tc>
        <w:tc>
          <w:tcPr>
            <w:tcW w:w="1657" w:type="dxa"/>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营业执照</w:t>
            </w: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注册号码</w:t>
            </w:r>
          </w:p>
        </w:tc>
        <w:tc>
          <w:tcPr>
            <w:tcW w:w="2205" w:type="dxa"/>
            <w:vAlign w:val="center"/>
          </w:tcPr>
          <w:p>
            <w:pPr>
              <w:topLinePunct/>
              <w:spacing w:line="360" w:lineRule="auto"/>
              <w:jc w:val="center"/>
              <w:rPr>
                <w:rFonts w:ascii="仿宋" w:hAnsi="仿宋" w:eastAsia="仿宋" w:cs="仿宋"/>
                <w:color w:val="auto"/>
                <w:sz w:val="24"/>
                <w:szCs w:val="24"/>
              </w:rPr>
            </w:pPr>
          </w:p>
        </w:tc>
        <w:tc>
          <w:tcPr>
            <w:tcW w:w="1425"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注册地址</w:t>
            </w:r>
          </w:p>
        </w:tc>
        <w:tc>
          <w:tcPr>
            <w:tcW w:w="3277" w:type="dxa"/>
            <w:gridSpan w:val="2"/>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z w:val="24"/>
                <w:szCs w:val="24"/>
              </w:rPr>
            </w:pP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发证机关</w:t>
            </w:r>
          </w:p>
        </w:tc>
        <w:tc>
          <w:tcPr>
            <w:tcW w:w="2205" w:type="dxa"/>
            <w:vAlign w:val="center"/>
          </w:tcPr>
          <w:p>
            <w:pPr>
              <w:topLinePunct/>
              <w:spacing w:line="360" w:lineRule="auto"/>
              <w:jc w:val="center"/>
              <w:rPr>
                <w:rFonts w:ascii="仿宋" w:hAnsi="仿宋" w:eastAsia="仿宋" w:cs="仿宋"/>
                <w:color w:val="auto"/>
                <w:sz w:val="24"/>
                <w:szCs w:val="24"/>
              </w:rPr>
            </w:pPr>
          </w:p>
        </w:tc>
        <w:tc>
          <w:tcPr>
            <w:tcW w:w="1425"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发证日期</w:t>
            </w:r>
          </w:p>
        </w:tc>
        <w:tc>
          <w:tcPr>
            <w:tcW w:w="3277" w:type="dxa"/>
            <w:gridSpan w:val="2"/>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ascii="仿宋" w:hAnsi="仿宋" w:eastAsia="仿宋" w:cs="仿宋"/>
                <w:color w:val="auto"/>
                <w:sz w:val="24"/>
                <w:szCs w:val="24"/>
              </w:rPr>
            </w:pP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营业范围</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（主营）</w:t>
            </w:r>
          </w:p>
        </w:tc>
        <w:tc>
          <w:tcPr>
            <w:tcW w:w="6907" w:type="dxa"/>
            <w:gridSpan w:val="5"/>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z w:val="24"/>
                <w:szCs w:val="24"/>
              </w:rPr>
            </w:pP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营业范围</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（兼营）</w:t>
            </w:r>
          </w:p>
        </w:tc>
        <w:tc>
          <w:tcPr>
            <w:tcW w:w="6907" w:type="dxa"/>
            <w:gridSpan w:val="5"/>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基本账户开户行及账号</w:t>
            </w:r>
          </w:p>
        </w:tc>
        <w:tc>
          <w:tcPr>
            <w:tcW w:w="6907" w:type="dxa"/>
            <w:gridSpan w:val="5"/>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资产总额（万元）</w:t>
            </w:r>
          </w:p>
        </w:tc>
        <w:tc>
          <w:tcPr>
            <w:tcW w:w="6907" w:type="dxa"/>
            <w:gridSpan w:val="5"/>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资质名称</w:t>
            </w:r>
          </w:p>
        </w:tc>
        <w:tc>
          <w:tcPr>
            <w:tcW w:w="2403"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等级</w:t>
            </w:r>
          </w:p>
        </w:tc>
        <w:tc>
          <w:tcPr>
            <w:tcW w:w="1227"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发证机关</w:t>
            </w:r>
          </w:p>
        </w:tc>
        <w:tc>
          <w:tcPr>
            <w:tcW w:w="3277"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p>
        </w:tc>
        <w:tc>
          <w:tcPr>
            <w:tcW w:w="2403" w:type="dxa"/>
            <w:gridSpan w:val="2"/>
            <w:vAlign w:val="center"/>
          </w:tcPr>
          <w:p>
            <w:pPr>
              <w:topLinePunct/>
              <w:spacing w:line="360" w:lineRule="auto"/>
              <w:jc w:val="center"/>
              <w:rPr>
                <w:rFonts w:ascii="仿宋" w:hAnsi="仿宋" w:eastAsia="仿宋" w:cs="仿宋"/>
                <w:color w:val="auto"/>
                <w:sz w:val="24"/>
                <w:szCs w:val="24"/>
              </w:rPr>
            </w:pPr>
          </w:p>
        </w:tc>
        <w:tc>
          <w:tcPr>
            <w:tcW w:w="1227" w:type="dxa"/>
            <w:vAlign w:val="center"/>
          </w:tcPr>
          <w:p>
            <w:pPr>
              <w:topLinePunct/>
              <w:spacing w:line="360" w:lineRule="auto"/>
              <w:jc w:val="center"/>
              <w:rPr>
                <w:rFonts w:ascii="仿宋" w:hAnsi="仿宋" w:eastAsia="仿宋" w:cs="仿宋"/>
                <w:color w:val="auto"/>
                <w:sz w:val="24"/>
                <w:szCs w:val="24"/>
              </w:rPr>
            </w:pPr>
          </w:p>
        </w:tc>
        <w:tc>
          <w:tcPr>
            <w:tcW w:w="3277" w:type="dxa"/>
            <w:gridSpan w:val="2"/>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p>
        </w:tc>
        <w:tc>
          <w:tcPr>
            <w:tcW w:w="2403" w:type="dxa"/>
            <w:gridSpan w:val="2"/>
            <w:vAlign w:val="center"/>
          </w:tcPr>
          <w:p>
            <w:pPr>
              <w:topLinePunct/>
              <w:spacing w:line="360" w:lineRule="auto"/>
              <w:jc w:val="center"/>
              <w:rPr>
                <w:rFonts w:ascii="仿宋" w:hAnsi="仿宋" w:eastAsia="仿宋" w:cs="仿宋"/>
                <w:color w:val="auto"/>
                <w:sz w:val="24"/>
                <w:szCs w:val="24"/>
              </w:rPr>
            </w:pPr>
          </w:p>
        </w:tc>
        <w:tc>
          <w:tcPr>
            <w:tcW w:w="1227" w:type="dxa"/>
            <w:vAlign w:val="center"/>
          </w:tcPr>
          <w:p>
            <w:pPr>
              <w:topLinePunct/>
              <w:spacing w:line="360" w:lineRule="auto"/>
              <w:jc w:val="center"/>
              <w:rPr>
                <w:rFonts w:ascii="仿宋" w:hAnsi="仿宋" w:eastAsia="仿宋" w:cs="仿宋"/>
                <w:color w:val="auto"/>
                <w:sz w:val="24"/>
                <w:szCs w:val="24"/>
              </w:rPr>
            </w:pPr>
          </w:p>
        </w:tc>
        <w:tc>
          <w:tcPr>
            <w:tcW w:w="3277" w:type="dxa"/>
            <w:gridSpan w:val="2"/>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7960" w:type="dxa"/>
            <w:gridSpan w:val="6"/>
            <w:vAlign w:val="center"/>
          </w:tcPr>
          <w:p>
            <w:pPr>
              <w:topLinePunct/>
              <w:spacing w:line="360" w:lineRule="auto"/>
              <w:jc w:val="center"/>
              <w:rPr>
                <w:rFonts w:ascii="仿宋" w:hAnsi="仿宋" w:eastAsia="仿宋" w:cs="仿宋"/>
                <w:color w:val="auto"/>
                <w:sz w:val="24"/>
                <w:szCs w:val="24"/>
              </w:rPr>
            </w:pPr>
          </w:p>
        </w:tc>
      </w:tr>
    </w:tbl>
    <w:p>
      <w:pPr>
        <w:autoSpaceDE w:val="0"/>
        <w:autoSpaceDN w:val="0"/>
        <w:adjustRightInd w:val="0"/>
        <w:snapToGrid w:val="0"/>
        <w:spacing w:before="12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说明：企业类型指大型、中型、小型、微型；上年营业收入、资产总额要与财务报表中的数据一致；资质指特定条件要求提供的资质。</w:t>
      </w:r>
    </w:p>
    <w:p>
      <w:pPr>
        <w:spacing w:line="360" w:lineRule="auto"/>
        <w:ind w:firstLine="3840" w:firstLineChars="1600"/>
        <w:rPr>
          <w:rFonts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rPr>
        <w:sectPr>
          <w:footerReference r:id="rId5" w:type="default"/>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numPr>
          <w:ilvl w:val="0"/>
          <w:numId w:val="3"/>
        </w:numPr>
        <w:autoSpaceDE w:val="0"/>
        <w:autoSpaceDN w:val="0"/>
        <w:adjustRightInd w:val="0"/>
        <w:snapToGrid w:val="0"/>
        <w:spacing w:before="120" w:line="360" w:lineRule="auto"/>
        <w:jc w:val="center"/>
        <w:outlineLvl w:val="2"/>
        <w:rPr>
          <w:rFonts w:hint="eastAsia" w:ascii="仿宋" w:hAnsi="仿宋" w:eastAsia="仿宋" w:cs="仿宋"/>
          <w:b/>
          <w:bCs/>
          <w:color w:val="auto"/>
          <w:sz w:val="28"/>
          <w:szCs w:val="28"/>
        </w:rPr>
      </w:pPr>
      <w:bookmarkStart w:id="454" w:name="_Toc495908047"/>
      <w:bookmarkStart w:id="455" w:name="_Toc495671262"/>
      <w:bookmarkStart w:id="456" w:name="_Toc27035"/>
      <w:bookmarkStart w:id="457" w:name="_Toc31488"/>
      <w:bookmarkStart w:id="458" w:name="_Toc641"/>
      <w:bookmarkStart w:id="459" w:name="_Toc495681405"/>
      <w:bookmarkStart w:id="460" w:name="_Toc495681532"/>
      <w:bookmarkStart w:id="461" w:name="_Toc495681251"/>
      <w:bookmarkStart w:id="462" w:name="_Toc495681541"/>
      <w:bookmarkStart w:id="463" w:name="_Toc495908056"/>
      <w:bookmarkStart w:id="464" w:name="_Toc495681260"/>
      <w:bookmarkStart w:id="465" w:name="_Toc495671271"/>
      <w:bookmarkStart w:id="466" w:name="_Toc495681414"/>
      <w:r>
        <w:rPr>
          <w:rFonts w:hint="eastAsia" w:ascii="仿宋" w:hAnsi="仿宋" w:eastAsia="仿宋" w:cs="仿宋"/>
          <w:b/>
          <w:bCs/>
          <w:color w:val="auto"/>
          <w:sz w:val="28"/>
          <w:szCs w:val="28"/>
        </w:rPr>
        <w:t>提供统一社会信用代码的营业执照或其他组织经营的合法凭证或自然人的提供身份证明文件</w:t>
      </w:r>
      <w:bookmarkEnd w:id="454"/>
      <w:bookmarkEnd w:id="455"/>
      <w:bookmarkEnd w:id="456"/>
      <w:bookmarkEnd w:id="457"/>
      <w:bookmarkEnd w:id="458"/>
      <w:bookmarkEnd w:id="459"/>
      <w:bookmarkEnd w:id="460"/>
      <w:bookmarkEnd w:id="461"/>
      <w:bookmarkStart w:id="467" w:name="_Toc894"/>
    </w:p>
    <w:p>
      <w:pPr>
        <w:numPr>
          <w:ilvl w:val="0"/>
          <w:numId w:val="3"/>
        </w:numPr>
        <w:autoSpaceDE w:val="0"/>
        <w:autoSpaceDN w:val="0"/>
        <w:adjustRightInd w:val="0"/>
        <w:snapToGrid w:val="0"/>
        <w:spacing w:before="120" w:line="360" w:lineRule="auto"/>
        <w:ind w:left="0" w:leftChars="0" w:firstLine="0" w:firstLineChars="0"/>
        <w:jc w:val="both"/>
        <w:outlineLvl w:val="2"/>
        <w:rPr>
          <w:rFonts w:hint="eastAsia" w:ascii="仿宋" w:hAnsi="仿宋" w:eastAsia="仿宋" w:cs="仿宋"/>
          <w:b/>
          <w:bCs/>
          <w:color w:val="auto"/>
          <w:sz w:val="28"/>
          <w:szCs w:val="28"/>
        </w:rPr>
      </w:pPr>
      <w:bookmarkStart w:id="468" w:name="_Toc3719"/>
      <w:r>
        <w:rPr>
          <w:rFonts w:hint="eastAsia" w:ascii="仿宋" w:hAnsi="仿宋" w:eastAsia="仿宋" w:cs="仿宋"/>
          <w:b/>
          <w:bCs/>
          <w:color w:val="auto"/>
          <w:sz w:val="28"/>
          <w:szCs w:val="28"/>
        </w:rPr>
        <w:t>财务状况报告</w:t>
      </w:r>
      <w:bookmarkEnd w:id="468"/>
    </w:p>
    <w:p>
      <w:pPr>
        <w:numPr>
          <w:ilvl w:val="0"/>
          <w:numId w:val="0"/>
        </w:numPr>
        <w:autoSpaceDE w:val="0"/>
        <w:autoSpaceDN w:val="0"/>
        <w:adjustRightInd w:val="0"/>
        <w:snapToGrid w:val="0"/>
        <w:spacing w:before="120" w:line="360" w:lineRule="auto"/>
        <w:ind w:leftChars="0"/>
        <w:jc w:val="both"/>
        <w:outlineLvl w:val="2"/>
        <w:rPr>
          <w:rFonts w:hint="eastAsia"/>
          <w:lang w:eastAsia="zh-CN"/>
        </w:rPr>
      </w:pPr>
      <w:bookmarkStart w:id="469" w:name="_Toc12727"/>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）税收缴纳证明</w:t>
      </w:r>
      <w:bookmarkEnd w:id="469"/>
    </w:p>
    <w:p>
      <w:pPr>
        <w:spacing w:line="360" w:lineRule="auto"/>
        <w:jc w:val="both"/>
        <w:outlineLvl w:val="2"/>
        <w:rPr>
          <w:rFonts w:hint="eastAsia" w:ascii="仿宋" w:hAnsi="仿宋" w:eastAsia="仿宋" w:cs="仿宋"/>
          <w:b/>
          <w:color w:val="auto"/>
          <w:sz w:val="28"/>
          <w:szCs w:val="28"/>
        </w:rPr>
      </w:pPr>
      <w:bookmarkStart w:id="470" w:name="_Toc23312"/>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社会保障资金缴纳证明</w:t>
      </w:r>
      <w:bookmarkEnd w:id="470"/>
    </w:p>
    <w:p>
      <w:pPr>
        <w:spacing w:line="360" w:lineRule="auto"/>
        <w:ind w:firstLine="480"/>
        <w:rPr>
          <w:rFonts w:hint="eastAsia" w:ascii="仿宋" w:hAnsi="仿宋" w:eastAsia="仿宋" w:cs="仿宋"/>
          <w:color w:val="auto"/>
          <w:kern w:val="0"/>
          <w:sz w:val="24"/>
          <w:szCs w:val="22"/>
        </w:rPr>
      </w:pPr>
    </w:p>
    <w:p>
      <w:pPr>
        <w:pageBreakBefore/>
        <w:spacing w:line="360" w:lineRule="auto"/>
        <w:jc w:val="center"/>
        <w:outlineLvl w:val="2"/>
        <w:rPr>
          <w:rFonts w:hint="eastAsia" w:ascii="仿宋" w:hAnsi="仿宋" w:eastAsia="仿宋" w:cs="仿宋"/>
          <w:b/>
          <w:color w:val="auto"/>
          <w:sz w:val="28"/>
          <w:szCs w:val="28"/>
          <w:lang w:eastAsia="zh-CN"/>
        </w:rPr>
      </w:pPr>
      <w:bookmarkStart w:id="471" w:name="_Toc11322"/>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出具履行合同所必需的设备和专业技术能力的书</w:t>
      </w:r>
      <w:r>
        <w:rPr>
          <w:rFonts w:hint="eastAsia" w:ascii="仿宋" w:hAnsi="仿宋" w:eastAsia="仿宋" w:cs="仿宋"/>
          <w:b/>
          <w:bCs/>
          <w:color w:val="auto"/>
          <w:sz w:val="28"/>
          <w:szCs w:val="28"/>
          <w:highlight w:val="none"/>
          <w:lang w:eastAsia="zh-CN"/>
        </w:rPr>
        <w:t>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471"/>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pacing w:val="4"/>
          <w:sz w:val="24"/>
          <w:szCs w:val="24"/>
          <w:u w:val="single"/>
        </w:rPr>
      </w:pPr>
      <w:r>
        <w:rPr>
          <w:rFonts w:hint="eastAsia" w:ascii="仿宋" w:hAnsi="仿宋" w:eastAsia="仿宋" w:cs="仿宋"/>
          <w:color w:val="000000"/>
          <w:kern w:val="0"/>
          <w:sz w:val="24"/>
          <w:szCs w:val="24"/>
          <w:lang w:val="en-US" w:eastAsia="zh-CN" w:bidi="ar"/>
        </w:rPr>
        <w:t>我方作为</w:t>
      </w:r>
      <w:r>
        <w:rPr>
          <w:rFonts w:hint="eastAsia" w:ascii="仿宋" w:hAnsi="仿宋" w:eastAsia="仿宋" w:cs="仿宋"/>
          <w:color w:val="000000"/>
          <w:kern w:val="0"/>
          <w:sz w:val="24"/>
          <w:szCs w:val="24"/>
          <w:u w:val="single"/>
          <w:lang w:val="en-US" w:eastAsia="zh-CN" w:bidi="ar"/>
        </w:rPr>
        <w:t xml:space="preserve">         （项目名称）         </w:t>
      </w:r>
      <w:r>
        <w:rPr>
          <w:rFonts w:hint="eastAsia" w:ascii="仿宋" w:hAnsi="仿宋" w:eastAsia="仿宋" w:cs="仿宋"/>
          <w:color w:val="000000"/>
          <w:kern w:val="0"/>
          <w:sz w:val="24"/>
          <w:szCs w:val="24"/>
          <w:lang w:val="en-US" w:eastAsia="zh-CN" w:bidi="ar"/>
        </w:rPr>
        <w:t>（项目编号：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r>
        <w:rPr>
          <w:rFonts w:ascii="仿宋" w:hAnsi="仿宋" w:eastAsia="仿宋" w:cs="仿宋"/>
          <w:color w:val="000000"/>
          <w:ker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仿宋" w:hAnsi="仿宋" w:eastAsia="仿宋" w:cs="仿宋"/>
          <w:color w:val="000000"/>
          <w:kern w:val="0"/>
          <w:sz w:val="24"/>
          <w:szCs w:val="24"/>
          <w:lang w:val="en-US" w:eastAsia="zh-CN" w:bidi="ar"/>
        </w:rPr>
        <w:t>特此声明。</w:t>
      </w:r>
    </w:p>
    <w:p>
      <w:pPr>
        <w:spacing w:before="240" w:beforeLines="100" w:after="120" w:afterLines="50" w:line="360" w:lineRule="auto"/>
        <w:ind w:firstLine="620" w:firstLineChars="250"/>
        <w:rPr>
          <w:rFonts w:ascii="仿宋" w:hAnsi="仿宋" w:eastAsia="仿宋" w:cs="仿宋"/>
          <w:color w:val="auto"/>
          <w:spacing w:val="4"/>
          <w:sz w:val="24"/>
          <w:szCs w:val="24"/>
        </w:rPr>
      </w:pPr>
    </w:p>
    <w:p>
      <w:pPr>
        <w:spacing w:before="240" w:beforeLines="100" w:after="120" w:afterLines="50" w:line="360" w:lineRule="auto"/>
        <w:ind w:firstLine="170"/>
        <w:rPr>
          <w:rFonts w:ascii="仿宋" w:hAnsi="仿宋" w:eastAsia="仿宋" w:cs="仿宋"/>
          <w:color w:val="auto"/>
          <w:spacing w:val="4"/>
          <w:sz w:val="24"/>
          <w:szCs w:val="24"/>
        </w:rPr>
      </w:pPr>
    </w:p>
    <w:p>
      <w:pPr>
        <w:spacing w:before="240" w:beforeLines="100" w:after="120" w:afterLines="50" w:line="360" w:lineRule="auto"/>
        <w:ind w:firstLine="170"/>
        <w:rPr>
          <w:rFonts w:ascii="仿宋" w:hAnsi="仿宋" w:eastAsia="仿宋" w:cs="仿宋"/>
          <w:color w:val="auto"/>
          <w:spacing w:val="4"/>
          <w:sz w:val="24"/>
          <w:szCs w:val="24"/>
        </w:rPr>
      </w:pPr>
    </w:p>
    <w:p>
      <w:pPr>
        <w:spacing w:line="360" w:lineRule="auto"/>
        <w:ind w:left="0" w:leftChars="0" w:firstLine="2738" w:firstLineChars="1141"/>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2738" w:firstLineChars="1141"/>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left="0" w:leftChars="0" w:firstLine="2738" w:firstLineChars="1141"/>
        <w:rPr>
          <w:rFonts w:ascii="仿宋" w:hAnsi="仿宋" w:eastAsia="仿宋" w:cs="仿宋"/>
          <w:bCs/>
          <w:color w:val="auto"/>
          <w:sz w:val="24"/>
          <w:szCs w:val="24"/>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spacing w:line="360" w:lineRule="auto"/>
        <w:rPr>
          <w:rFonts w:ascii="仿宋" w:hAnsi="仿宋" w:eastAsia="仿宋" w:cs="仿宋"/>
          <w:bCs/>
          <w:color w:val="auto"/>
          <w:sz w:val="24"/>
          <w:szCs w:val="24"/>
        </w:rPr>
      </w:pPr>
    </w:p>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br w:type="page"/>
      </w:r>
    </w:p>
    <w:p>
      <w:pPr>
        <w:spacing w:line="360" w:lineRule="auto"/>
        <w:jc w:val="center"/>
        <w:outlineLvl w:val="2"/>
        <w:rPr>
          <w:rFonts w:ascii="仿宋" w:hAnsi="仿宋" w:eastAsia="仿宋" w:cs="仿宋"/>
          <w:b/>
          <w:color w:val="auto"/>
          <w:sz w:val="28"/>
          <w:szCs w:val="28"/>
        </w:rPr>
      </w:pPr>
      <w:bookmarkStart w:id="472" w:name="_Toc1093"/>
      <w:bookmarkStart w:id="473" w:name="_Toc32587"/>
      <w:bookmarkStart w:id="474" w:name="_Toc28901"/>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六</w:t>
      </w:r>
      <w:r>
        <w:rPr>
          <w:rFonts w:hint="eastAsia" w:ascii="仿宋" w:hAnsi="仿宋" w:eastAsia="仿宋" w:cs="仿宋"/>
          <w:b/>
          <w:color w:val="auto"/>
          <w:sz w:val="28"/>
          <w:szCs w:val="28"/>
        </w:rPr>
        <w:t>）参加政府采购活动的书面声明</w:t>
      </w:r>
      <w:bookmarkEnd w:id="472"/>
      <w:bookmarkEnd w:id="473"/>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我方作为</w:t>
      </w:r>
      <w:r>
        <w:rPr>
          <w:rFonts w:hint="eastAsia" w:ascii="仿宋" w:hAnsi="仿宋" w:eastAsia="仿宋" w:cs="仿宋"/>
          <w:color w:val="000000"/>
          <w:kern w:val="0"/>
          <w:sz w:val="24"/>
          <w:szCs w:val="24"/>
          <w:u w:val="single"/>
          <w:lang w:val="en-US" w:eastAsia="zh-CN" w:bidi="ar"/>
        </w:rPr>
        <w:t xml:space="preserve">         （项目名称）         </w:t>
      </w:r>
      <w:r>
        <w:rPr>
          <w:rFonts w:hint="eastAsia" w:ascii="仿宋" w:hAnsi="仿宋" w:eastAsia="仿宋" w:cs="仿宋"/>
          <w:color w:val="000000"/>
          <w:kern w:val="0"/>
          <w:sz w:val="24"/>
          <w:szCs w:val="24"/>
          <w:lang w:val="en-US" w:eastAsia="zh-CN" w:bidi="ar"/>
        </w:rPr>
        <w:t>（项目编号：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1、在参加本次政府采购活动前 3 年内的经营活动中____（填“没有”或“有”）重大违法记录。供应</w:t>
      </w:r>
      <w:r>
        <w:rPr>
          <w:rFonts w:hint="eastAsia" w:ascii="仿宋" w:hAnsi="仿宋" w:eastAsia="仿宋" w:cs="仿宋"/>
          <w:b/>
          <w:bCs/>
          <w:color w:val="000000"/>
          <w:kern w:val="0"/>
          <w:sz w:val="24"/>
          <w:szCs w:val="24"/>
          <w:lang w:val="en-US" w:eastAsia="zh-CN" w:bidi="ar"/>
        </w:rPr>
        <w:t xml:space="preserve">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2、我方______（填“未被列入”或“被列入”）失信被执行人名单。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3、我方______（填“未被列入”或“被列入”）重大税收违法失信主体名单。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4、我方______（填“未被列入”或“被列入”）政府采购严重违法失信行为记录名单。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z w:val="24"/>
          <w:szCs w:val="24"/>
        </w:rPr>
      </w:pPr>
    </w:p>
    <w:p>
      <w:pPr>
        <w:autoSpaceDE w:val="0"/>
        <w:autoSpaceDN w:val="0"/>
        <w:adjustRightInd w:val="0"/>
        <w:spacing w:line="360" w:lineRule="auto"/>
        <w:ind w:firstLine="480" w:firstLineChars="200"/>
        <w:rPr>
          <w:rFonts w:ascii="仿宋" w:hAnsi="仿宋" w:eastAsia="仿宋" w:cs="仿宋"/>
          <w:color w:val="auto"/>
          <w:sz w:val="24"/>
          <w:szCs w:val="24"/>
        </w:rPr>
      </w:pPr>
    </w:p>
    <w:p>
      <w:pPr>
        <w:spacing w:line="360" w:lineRule="auto"/>
        <w:ind w:left="0" w:leftChars="0" w:firstLine="2940" w:firstLineChars="1225"/>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2940" w:firstLineChars="1225"/>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pacing w:line="360" w:lineRule="auto"/>
        <w:ind w:left="0" w:leftChars="0" w:firstLine="2940" w:firstLineChars="1225"/>
        <w:rPr>
          <w:rFonts w:hint="eastAsia" w:ascii="仿宋" w:hAnsi="仿宋" w:eastAsia="仿宋" w:cs="仿宋"/>
          <w:b/>
          <w:bCs w:val="0"/>
          <w:kern w:val="2"/>
          <w:sz w:val="28"/>
          <w:szCs w:val="28"/>
          <w:u w:val="none"/>
          <w:lang w:val="zh-CN" w:eastAsia="zh-CN" w:bidi="ar-SA"/>
        </w:rPr>
        <w:sectPr>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bookmarkEnd w:id="462"/>
      <w:bookmarkEnd w:id="463"/>
      <w:bookmarkEnd w:id="464"/>
      <w:bookmarkEnd w:id="465"/>
      <w:bookmarkEnd w:id="466"/>
      <w:bookmarkEnd w:id="467"/>
      <w:bookmarkEnd w:id="474"/>
      <w:bookmarkStart w:id="475" w:name="_Toc20171"/>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val="0"/>
          <w:kern w:val="2"/>
          <w:sz w:val="28"/>
          <w:szCs w:val="28"/>
          <w:u w:val="none"/>
          <w:lang w:val="zh-CN" w:eastAsia="zh-CN" w:bidi="ar-SA"/>
        </w:rPr>
      </w:pPr>
      <w:bookmarkStart w:id="476" w:name="_Toc26587"/>
      <w:r>
        <w:rPr>
          <w:rFonts w:hint="eastAsia" w:ascii="仿宋" w:hAnsi="仿宋" w:eastAsia="仿宋" w:cs="仿宋"/>
          <w:b/>
          <w:bCs w:val="0"/>
          <w:kern w:val="2"/>
          <w:sz w:val="28"/>
          <w:szCs w:val="28"/>
          <w:u w:val="none"/>
          <w:lang w:val="zh-CN" w:eastAsia="zh-CN" w:bidi="ar-SA"/>
        </w:rPr>
        <w:t>（七）特定资格要求</w:t>
      </w:r>
      <w:bookmarkEnd w:id="476"/>
    </w:p>
    <w:p>
      <w:pPr>
        <w:adjustRightInd w:val="0"/>
        <w:snapToGrid w:val="0"/>
        <w:spacing w:line="360" w:lineRule="auto"/>
        <w:jc w:val="center"/>
        <w:rPr>
          <w:rFonts w:ascii="仿宋" w:hAnsi="仿宋" w:eastAsia="仿宋" w:cs="仿宋"/>
          <w:b/>
          <w:color w:val="auto"/>
          <w:sz w:val="24"/>
          <w:szCs w:val="24"/>
        </w:rPr>
      </w:pPr>
      <w:bookmarkStart w:id="477" w:name="_Toc495681406"/>
      <w:bookmarkStart w:id="478" w:name="_Toc495681533"/>
      <w:bookmarkStart w:id="479" w:name="_Toc495908048"/>
      <w:bookmarkStart w:id="480" w:name="_Toc1610"/>
      <w:bookmarkStart w:id="481" w:name="_Toc495681252"/>
      <w:bookmarkStart w:id="482" w:name="_Toc495671263"/>
      <w:r>
        <w:rPr>
          <w:rFonts w:hint="eastAsia" w:ascii="仿宋" w:hAnsi="仿宋" w:eastAsia="仿宋" w:cs="仿宋"/>
          <w:b/>
          <w:color w:val="auto"/>
          <w:sz w:val="24"/>
          <w:szCs w:val="24"/>
        </w:rPr>
        <w:t>1、法定代表人身份证明</w:t>
      </w:r>
      <w:bookmarkEnd w:id="477"/>
      <w:bookmarkEnd w:id="478"/>
      <w:bookmarkEnd w:id="479"/>
      <w:bookmarkEnd w:id="480"/>
      <w:bookmarkEnd w:id="481"/>
      <w:bookmarkEnd w:id="482"/>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统一社会信用代码：</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注册地址：</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成立时间：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年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日；经营期限：</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经营范围：主营：</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；兼营：</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性别：</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年龄：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附：法定代表人身份证复印件</w:t>
      </w:r>
    </w:p>
    <w:tbl>
      <w:tblPr>
        <w:tblStyle w:val="23"/>
        <w:tblW w:w="7996" w:type="dxa"/>
        <w:tblInd w:w="540" w:type="dxa"/>
        <w:tblLayout w:type="fixed"/>
        <w:tblCellMar>
          <w:top w:w="0" w:type="dxa"/>
          <w:left w:w="108" w:type="dxa"/>
          <w:bottom w:w="0" w:type="dxa"/>
          <w:right w:w="108" w:type="dxa"/>
        </w:tblCellMar>
      </w:tblPr>
      <w:tblGrid>
        <w:gridCol w:w="4081"/>
        <w:gridCol w:w="3915"/>
      </w:tblGrid>
      <w:tr>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rPr>
                <w:rFonts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r>
    </w:tbl>
    <w:p>
      <w:pPr>
        <w:spacing w:line="360" w:lineRule="auto"/>
        <w:ind w:firstLine="1920" w:firstLineChars="800"/>
        <w:rPr>
          <w:rFonts w:ascii="仿宋" w:hAnsi="仿宋" w:eastAsia="仿宋" w:cs="仿宋"/>
          <w:color w:val="auto"/>
          <w:sz w:val="24"/>
          <w:szCs w:val="24"/>
        </w:rPr>
      </w:pPr>
    </w:p>
    <w:p>
      <w:pPr>
        <w:spacing w:line="360" w:lineRule="auto"/>
        <w:ind w:left="0" w:leftChars="0" w:firstLine="3578" w:firstLineChars="1491"/>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3578" w:firstLineChars="1491"/>
        <w:rPr>
          <w:rFonts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left="0" w:leftChars="0" w:firstLine="3578" w:firstLineChars="1491"/>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adjustRightInd w:val="0"/>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br w:type="page"/>
      </w:r>
      <w:bookmarkStart w:id="483" w:name="_Toc495908049"/>
      <w:bookmarkStart w:id="484" w:name="_Toc495681534"/>
      <w:bookmarkStart w:id="485" w:name="_Toc495681407"/>
      <w:bookmarkStart w:id="486" w:name="_Toc495671264"/>
      <w:bookmarkStart w:id="487" w:name="_Toc18921"/>
      <w:bookmarkStart w:id="488" w:name="_Toc495681253"/>
      <w:r>
        <w:rPr>
          <w:rFonts w:hint="eastAsia" w:ascii="仿宋" w:hAnsi="仿宋" w:eastAsia="仿宋" w:cs="仿宋"/>
          <w:b/>
          <w:color w:val="auto"/>
          <w:sz w:val="24"/>
          <w:szCs w:val="24"/>
        </w:rPr>
        <w:t>2、法定代表人授权书</w:t>
      </w:r>
      <w:bookmarkEnd w:id="483"/>
      <w:bookmarkEnd w:id="484"/>
      <w:bookmarkEnd w:id="485"/>
      <w:bookmarkEnd w:id="486"/>
      <w:bookmarkEnd w:id="487"/>
      <w:bookmarkEnd w:id="488"/>
    </w:p>
    <w:p>
      <w:pPr>
        <w:autoSpaceDE w:val="0"/>
        <w:autoSpaceDN w:val="0"/>
        <w:adjustRightInd w:val="0"/>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zh-CN"/>
        </w:rPr>
        <w:t>陕西笃信招标有限公司：</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  </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 xml:space="preserve">   （供应商全称）  </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 xml:space="preserve"> （姓名）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 xml:space="preserve"> （被授权人姓名）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为我方合法委托代理人。代理人根据授权，以我方名义签署、澄清、说明、递交、撤回、修改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磋商响应文件、签订合同和处理有关事宜，其法律后果由我方承担。</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p>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5520" w:firstLineChars="2300"/>
        <w:rPr>
          <w:rFonts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480" w:firstLineChars="200"/>
        <w:rPr>
          <w:rFonts w:ascii="仿宋" w:hAnsi="仿宋" w:eastAsia="仿宋" w:cs="仿宋"/>
          <w:color w:val="auto"/>
          <w:sz w:val="24"/>
          <w:szCs w:val="24"/>
        </w:rPr>
      </w:pP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本授权有效期：自开标之日起90日历日。</w:t>
      </w:r>
    </w:p>
    <w:p>
      <w:pPr>
        <w:spacing w:line="360" w:lineRule="auto"/>
        <w:ind w:firstLine="420"/>
        <w:rPr>
          <w:rFonts w:ascii="仿宋" w:hAnsi="仿宋" w:eastAsia="仿宋" w:cs="仿宋"/>
          <w:bCs/>
          <w:color w:val="auto"/>
          <w:sz w:val="24"/>
          <w:szCs w:val="24"/>
        </w:rPr>
      </w:pPr>
    </w:p>
    <w:p>
      <w:pPr>
        <w:spacing w:line="360" w:lineRule="auto"/>
        <w:ind w:firstLine="420"/>
        <w:rPr>
          <w:rFonts w:ascii="仿宋" w:hAnsi="仿宋" w:eastAsia="仿宋" w:cs="仿宋"/>
          <w:bCs/>
          <w:color w:val="auto"/>
          <w:sz w:val="24"/>
          <w:szCs w:val="24"/>
        </w:rPr>
      </w:pPr>
    </w:p>
    <w:p>
      <w:pPr>
        <w:spacing w:line="360" w:lineRule="auto"/>
        <w:ind w:firstLine="480" w:firstLineChars="200"/>
        <w:rPr>
          <w:rFonts w:ascii="仿宋" w:hAnsi="仿宋" w:eastAsia="仿宋" w:cs="仿宋"/>
          <w:bCs/>
          <w:color w:val="auto"/>
          <w:sz w:val="24"/>
          <w:szCs w:val="24"/>
        </w:rPr>
      </w:pPr>
    </w:p>
    <w:p>
      <w:pPr>
        <w:spacing w:line="360" w:lineRule="auto"/>
        <w:ind w:firstLine="480" w:firstLineChars="200"/>
        <w:rPr>
          <w:rFonts w:ascii="仿宋" w:hAnsi="仿宋" w:eastAsia="仿宋" w:cs="仿宋"/>
          <w:bCs/>
          <w:color w:val="auto"/>
          <w:sz w:val="24"/>
          <w:szCs w:val="24"/>
        </w:rPr>
      </w:pPr>
    </w:p>
    <w:p>
      <w:pPr>
        <w:spacing w:line="360" w:lineRule="auto"/>
        <w:ind w:firstLine="480" w:firstLineChars="200"/>
        <w:rPr>
          <w:rFonts w:ascii="仿宋" w:hAnsi="仿宋" w:eastAsia="仿宋" w:cs="仿宋"/>
          <w:color w:val="auto"/>
          <w:sz w:val="24"/>
          <w:szCs w:val="24"/>
          <w:lang w:val="zh-CN"/>
        </w:rPr>
      </w:pP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说明：</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后</w:t>
      </w:r>
      <w:r>
        <w:rPr>
          <w:rFonts w:hint="eastAsia" w:ascii="仿宋" w:hAnsi="仿宋" w:eastAsia="仿宋" w:cs="仿宋"/>
          <w:color w:val="auto"/>
          <w:sz w:val="24"/>
          <w:szCs w:val="24"/>
        </w:rPr>
        <w:t>附被授权代表本单位证明：有效的劳动合同或磋商截止前</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个月的养老保险缴纳证明。</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后</w:t>
      </w:r>
      <w:r>
        <w:rPr>
          <w:rFonts w:hint="eastAsia" w:ascii="仿宋" w:hAnsi="仿宋" w:eastAsia="仿宋" w:cs="仿宋"/>
          <w:color w:val="auto"/>
          <w:sz w:val="24"/>
          <w:szCs w:val="24"/>
        </w:rPr>
        <w:t>附法定代表人和被授权委托代理人身份证复印件并加盖红色鲜章。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本授权有效期为磋商之日起不少于90天，仅限授权代表参加磋商时提供。</w:t>
      </w:r>
      <w:bookmarkStart w:id="489" w:name="_Toc15002"/>
    </w:p>
    <w:bookmarkEnd w:id="489"/>
    <w:p>
      <w:pPr>
        <w:spacing w:line="360" w:lineRule="auto"/>
        <w:ind w:firstLine="480" w:firstLineChars="200"/>
        <w:rPr>
          <w:rFonts w:ascii="仿宋" w:hAnsi="仿宋" w:eastAsia="仿宋" w:cs="仿宋"/>
          <w:color w:val="auto"/>
          <w:sz w:val="24"/>
          <w:szCs w:val="24"/>
        </w:rPr>
      </w:pP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br w:type="page"/>
      </w:r>
    </w:p>
    <w:p>
      <w:pPr>
        <w:keepNext w:val="0"/>
        <w:keepLines w:val="0"/>
        <w:pageBreakBefore/>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val="0"/>
          <w:kern w:val="2"/>
          <w:sz w:val="28"/>
          <w:szCs w:val="28"/>
          <w:u w:val="none"/>
          <w:lang w:val="zh-CN" w:eastAsia="zh-CN" w:bidi="ar-SA"/>
        </w:rPr>
      </w:pPr>
      <w:bookmarkStart w:id="490" w:name="_Toc10383"/>
      <w:r>
        <w:rPr>
          <w:rFonts w:hint="eastAsia" w:ascii="仿宋" w:hAnsi="仿宋" w:eastAsia="仿宋" w:cs="仿宋"/>
          <w:b/>
          <w:bCs w:val="0"/>
          <w:kern w:val="2"/>
          <w:sz w:val="28"/>
          <w:szCs w:val="28"/>
          <w:u w:val="none"/>
          <w:lang w:val="zh-CN" w:eastAsia="zh-CN" w:bidi="ar-SA"/>
        </w:rPr>
        <w:t>（八）提供政府采购政策等证明材料</w:t>
      </w:r>
      <w:bookmarkEnd w:id="475"/>
      <w:bookmarkEnd w:id="490"/>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）中小企业声明函（必备，请提供，格式见附件</w:t>
      </w:r>
      <w:r>
        <w:rPr>
          <w:rFonts w:hint="eastAsia" w:ascii="仿宋" w:hAnsi="仿宋" w:eastAsia="仿宋" w:cs="仿宋"/>
          <w:color w:val="auto"/>
          <w:sz w:val="24"/>
          <w:szCs w:val="24"/>
          <w:highlight w:val="none"/>
          <w:lang w:val="en-US" w:eastAsia="zh-CN"/>
        </w:rPr>
        <w:t>1，注：本项目行业属于</w:t>
      </w:r>
      <w:r>
        <w:rPr>
          <w:rFonts w:hint="eastAsia" w:ascii="仿宋" w:hAnsi="仿宋" w:eastAsia="仿宋" w:cs="仿宋"/>
          <w:sz w:val="24"/>
          <w:szCs w:val="24"/>
          <w:highlight w:val="none"/>
          <w:lang w:val="en-US" w:eastAsia="zh-CN"/>
        </w:rPr>
        <w:t>其他未列明行业</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）残疾人福利性单位声明函（如适用，请提供，格式见附件</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）监狱企业、福利企业证明材料（如适用，请提供）；  </w:t>
      </w:r>
    </w:p>
    <w:p>
      <w:pPr>
        <w:keepNext w:val="0"/>
        <w:keepLines w:val="0"/>
        <w:pageBreakBefore/>
        <w:widowControl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附件</w:t>
      </w:r>
      <w:r>
        <w:rPr>
          <w:rFonts w:hint="eastAsia" w:ascii="仿宋" w:hAnsi="仿宋" w:eastAsia="仿宋" w:cs="仿宋"/>
          <w:b/>
          <w:bCs/>
          <w:color w:val="auto"/>
          <w:sz w:val="24"/>
          <w:szCs w:val="24"/>
          <w:lang w:val="en-US" w:eastAsia="zh-CN"/>
        </w:rPr>
        <w:t>1</w:t>
      </w:r>
    </w:p>
    <w:p>
      <w:pPr>
        <w:bidi w:val="0"/>
        <w:spacing w:line="360" w:lineRule="auto"/>
        <w:jc w:val="center"/>
        <w:rPr>
          <w:rFonts w:hint="eastAsia" w:ascii="仿宋" w:hAnsi="仿宋" w:eastAsia="仿宋" w:cs="仿宋"/>
          <w:b/>
          <w:bCs/>
          <w:sz w:val="28"/>
          <w:szCs w:val="24"/>
        </w:rPr>
      </w:pPr>
      <w:r>
        <w:rPr>
          <w:rFonts w:hint="eastAsia" w:ascii="仿宋" w:hAnsi="仿宋" w:eastAsia="仿宋" w:cs="仿宋"/>
          <w:b/>
          <w:bCs/>
          <w:sz w:val="28"/>
          <w:szCs w:val="24"/>
        </w:rPr>
        <w:t>中小企业声明函（货物）</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本公司（联合体）郑重声明，根据《政府采购促进中小企业发展管理办法》（财库﹝2020﹞46号）的规定，本公司（联合体）参加</w:t>
      </w:r>
      <w:r>
        <w:rPr>
          <w:rFonts w:hint="eastAsia" w:ascii="仿宋" w:hAnsi="仿宋" w:eastAsia="仿宋" w:cs="仿宋"/>
          <w:w w:val="95"/>
          <w:sz w:val="24"/>
          <w:szCs w:val="24"/>
          <w:u w:val="single"/>
        </w:rPr>
        <w:t>（单位名称）</w:t>
      </w:r>
      <w:r>
        <w:rPr>
          <w:rFonts w:hint="eastAsia" w:ascii="仿宋" w:hAnsi="仿宋" w:eastAsia="仿宋" w:cs="仿宋"/>
          <w:w w:val="95"/>
          <w:sz w:val="24"/>
          <w:szCs w:val="24"/>
        </w:rPr>
        <w:t>的</w:t>
      </w:r>
      <w:r>
        <w:rPr>
          <w:rFonts w:hint="eastAsia" w:ascii="仿宋" w:hAnsi="仿宋" w:eastAsia="仿宋" w:cs="仿宋"/>
          <w:w w:val="95"/>
          <w:sz w:val="24"/>
          <w:szCs w:val="24"/>
          <w:u w:val="single"/>
        </w:rPr>
        <w:t>（项目名称）</w:t>
      </w:r>
      <w:r>
        <w:rPr>
          <w:rFonts w:hint="eastAsia" w:ascii="仿宋" w:hAnsi="仿宋" w:eastAsia="仿宋" w:cs="仿宋"/>
          <w:w w:val="95"/>
          <w:sz w:val="24"/>
          <w:szCs w:val="24"/>
        </w:rPr>
        <w:t>采购活动，提供的货物全部由符合政策要求的中小企业制造。相关企业（含联合体中的中小企业、签订分包意向协议的中小企业）的具体情况如下：</w:t>
      </w:r>
    </w:p>
    <w:p>
      <w:pPr>
        <w:pStyle w:val="3"/>
        <w:tabs>
          <w:tab w:val="left" w:pos="1384"/>
          <w:tab w:val="left" w:pos="4562"/>
          <w:tab w:val="left" w:pos="6803"/>
        </w:tabs>
        <w:kinsoku w:val="0"/>
        <w:overflowPunct w:val="0"/>
        <w:spacing w:before="13" w:line="360" w:lineRule="auto"/>
        <w:ind w:left="105" w:right="142" w:firstLine="655"/>
        <w:rPr>
          <w:rFonts w:hint="eastAsia" w:ascii="仿宋" w:hAnsi="仿宋" w:eastAsia="仿宋" w:cs="仿宋"/>
          <w:w w:val="95"/>
          <w:sz w:val="24"/>
          <w:szCs w:val="24"/>
          <w:u w:val="single"/>
        </w:rPr>
      </w:pPr>
      <w:r>
        <w:rPr>
          <w:rFonts w:hint="eastAsia" w:ascii="仿宋" w:hAnsi="仿宋" w:eastAsia="仿宋" w:cs="仿宋"/>
          <w:spacing w:val="1"/>
          <w:w w:val="99"/>
          <w:sz w:val="24"/>
          <w:szCs w:val="24"/>
        </w:rPr>
        <w:t>1</w:t>
      </w:r>
      <w:r>
        <w:rPr>
          <w:rFonts w:hint="eastAsia" w:ascii="仿宋" w:hAnsi="仿宋" w:eastAsia="仿宋" w:cs="仿宋"/>
          <w:spacing w:val="-41"/>
          <w:w w:val="99"/>
          <w:sz w:val="24"/>
          <w:szCs w:val="24"/>
        </w:rPr>
        <w:t>.</w:t>
      </w:r>
      <w:r>
        <w:rPr>
          <w:rFonts w:hint="eastAsia" w:ascii="仿宋" w:hAnsi="仿宋" w:eastAsia="仿宋" w:cs="仿宋"/>
          <w:w w:val="95"/>
          <w:sz w:val="24"/>
          <w:szCs w:val="24"/>
          <w:u w:val="single"/>
        </w:rPr>
        <w:t xml:space="preserve"> （标的名称）</w:t>
      </w:r>
      <w:r>
        <w:rPr>
          <w:rFonts w:hint="eastAsia" w:ascii="仿宋" w:hAnsi="仿宋" w:eastAsia="仿宋" w:cs="仿宋"/>
          <w:i/>
          <w:spacing w:val="-135"/>
          <w:sz w:val="24"/>
          <w:szCs w:val="24"/>
        </w:rPr>
        <w:t xml:space="preserve"> </w:t>
      </w:r>
      <w:r>
        <w:rPr>
          <w:rFonts w:hint="eastAsia" w:ascii="仿宋" w:hAnsi="仿宋" w:eastAsia="仿宋" w:cs="仿宋"/>
          <w:spacing w:val="-43"/>
          <w:w w:val="99"/>
          <w:sz w:val="24"/>
          <w:szCs w:val="24"/>
        </w:rPr>
        <w:t>，</w:t>
      </w:r>
      <w:r>
        <w:rPr>
          <w:rFonts w:hint="eastAsia" w:ascii="仿宋" w:hAnsi="仿宋" w:eastAsia="仿宋" w:cs="仿宋"/>
          <w:w w:val="99"/>
          <w:sz w:val="24"/>
          <w:szCs w:val="24"/>
        </w:rPr>
        <w:t>属</w:t>
      </w:r>
      <w:r>
        <w:rPr>
          <w:rFonts w:hint="eastAsia" w:ascii="仿宋" w:hAnsi="仿宋" w:eastAsia="仿宋" w:cs="仿宋"/>
          <w:spacing w:val="-55"/>
          <w:w w:val="99"/>
          <w:sz w:val="24"/>
          <w:szCs w:val="24"/>
        </w:rPr>
        <w:t>于</w:t>
      </w:r>
      <w:r>
        <w:rPr>
          <w:rFonts w:hint="eastAsia" w:ascii="仿宋" w:hAnsi="仿宋" w:eastAsia="仿宋" w:cs="仿宋"/>
          <w:w w:val="95"/>
          <w:sz w:val="24"/>
          <w:szCs w:val="24"/>
          <w:u w:val="single"/>
        </w:rPr>
        <w:t>（采购文件中明确的所属行业）行业</w:t>
      </w:r>
      <w:r>
        <w:rPr>
          <w:rFonts w:hint="eastAsia" w:ascii="仿宋" w:hAnsi="仿宋" w:eastAsia="仿宋" w:cs="仿宋"/>
          <w:spacing w:val="7"/>
          <w:w w:val="99"/>
          <w:sz w:val="24"/>
          <w:szCs w:val="24"/>
        </w:rPr>
        <w:t>；</w:t>
      </w:r>
      <w:r>
        <w:rPr>
          <w:rFonts w:hint="eastAsia" w:ascii="仿宋" w:hAnsi="仿宋" w:eastAsia="仿宋" w:cs="仿宋"/>
          <w:spacing w:val="5"/>
          <w:w w:val="99"/>
          <w:sz w:val="24"/>
          <w:szCs w:val="24"/>
        </w:rPr>
        <w:t>制</w:t>
      </w:r>
      <w:r>
        <w:rPr>
          <w:rFonts w:hint="eastAsia" w:ascii="仿宋" w:hAnsi="仿宋" w:eastAsia="仿宋" w:cs="仿宋"/>
          <w:spacing w:val="7"/>
          <w:w w:val="99"/>
          <w:sz w:val="24"/>
          <w:szCs w:val="24"/>
        </w:rPr>
        <w:t>造</w:t>
      </w:r>
      <w:r>
        <w:rPr>
          <w:rFonts w:hint="eastAsia" w:ascii="仿宋" w:hAnsi="仿宋" w:eastAsia="仿宋" w:cs="仿宋"/>
          <w:spacing w:val="5"/>
          <w:w w:val="99"/>
          <w:sz w:val="24"/>
          <w:szCs w:val="24"/>
        </w:rPr>
        <w:t>商</w:t>
      </w:r>
      <w:r>
        <w:rPr>
          <w:rFonts w:hint="eastAsia" w:ascii="仿宋" w:hAnsi="仿宋" w:eastAsia="仿宋" w:cs="仿宋"/>
          <w:spacing w:val="-10"/>
          <w:w w:val="99"/>
          <w:sz w:val="24"/>
          <w:szCs w:val="24"/>
        </w:rPr>
        <w:t>为</w:t>
      </w:r>
      <w:r>
        <w:rPr>
          <w:rFonts w:hint="eastAsia" w:ascii="仿宋" w:hAnsi="仿宋" w:eastAsia="仿宋" w:cs="仿宋"/>
          <w:w w:val="95"/>
          <w:sz w:val="24"/>
          <w:szCs w:val="24"/>
          <w:u w:val="single"/>
        </w:rPr>
        <w:t>（企业名称），</w:t>
      </w:r>
      <w:r>
        <w:rPr>
          <w:rFonts w:hint="eastAsia" w:ascii="仿宋" w:hAnsi="仿宋" w:eastAsia="仿宋" w:cs="仿宋"/>
          <w:spacing w:val="5"/>
          <w:w w:val="99"/>
          <w:sz w:val="24"/>
          <w:szCs w:val="24"/>
        </w:rPr>
        <w:t>从</w:t>
      </w:r>
      <w:r>
        <w:rPr>
          <w:rFonts w:hint="eastAsia" w:ascii="仿宋" w:hAnsi="仿宋" w:eastAsia="仿宋" w:cs="仿宋"/>
          <w:spacing w:val="7"/>
          <w:w w:val="99"/>
          <w:sz w:val="24"/>
          <w:szCs w:val="24"/>
        </w:rPr>
        <w:t>业</w:t>
      </w:r>
      <w:r>
        <w:rPr>
          <w:rFonts w:hint="eastAsia" w:ascii="仿宋" w:hAnsi="仿宋" w:eastAsia="仿宋" w:cs="仿宋"/>
          <w:spacing w:val="5"/>
          <w:w w:val="99"/>
          <w:sz w:val="24"/>
          <w:szCs w:val="24"/>
        </w:rPr>
        <w:t>人</w:t>
      </w:r>
      <w:r>
        <w:rPr>
          <w:rFonts w:hint="eastAsia" w:ascii="仿宋" w:hAnsi="仿宋" w:eastAsia="仿宋" w:cs="仿宋"/>
          <w:spacing w:val="4"/>
          <w:w w:val="99"/>
          <w:sz w:val="24"/>
          <w:szCs w:val="24"/>
        </w:rPr>
        <w:t>员</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7"/>
          <w:w w:val="99"/>
          <w:sz w:val="24"/>
          <w:szCs w:val="24"/>
        </w:rPr>
        <w:t>人</w:t>
      </w:r>
      <w:r>
        <w:rPr>
          <w:rFonts w:hint="eastAsia" w:ascii="仿宋" w:hAnsi="仿宋" w:eastAsia="仿宋" w:cs="仿宋"/>
          <w:spacing w:val="5"/>
          <w:w w:val="99"/>
          <w:sz w:val="24"/>
          <w:szCs w:val="24"/>
        </w:rPr>
        <w:t>，</w:t>
      </w:r>
      <w:r>
        <w:rPr>
          <w:rFonts w:hint="eastAsia" w:ascii="仿宋" w:hAnsi="仿宋" w:eastAsia="仿宋" w:cs="仿宋"/>
          <w:spacing w:val="7"/>
          <w:w w:val="99"/>
          <w:sz w:val="24"/>
          <w:szCs w:val="24"/>
        </w:rPr>
        <w:t>营</w:t>
      </w:r>
      <w:r>
        <w:rPr>
          <w:rFonts w:hint="eastAsia" w:ascii="仿宋" w:hAnsi="仿宋" w:eastAsia="仿宋" w:cs="仿宋"/>
          <w:spacing w:val="5"/>
          <w:w w:val="99"/>
          <w:sz w:val="24"/>
          <w:szCs w:val="24"/>
        </w:rPr>
        <w:t>业</w:t>
      </w:r>
      <w:r>
        <w:rPr>
          <w:rFonts w:hint="eastAsia" w:ascii="仿宋" w:hAnsi="仿宋" w:eastAsia="仿宋" w:cs="仿宋"/>
          <w:w w:val="99"/>
          <w:sz w:val="24"/>
          <w:szCs w:val="24"/>
        </w:rPr>
        <w:t>收 入</w:t>
      </w:r>
      <w:r>
        <w:rPr>
          <w:rFonts w:hint="eastAsia" w:ascii="仿宋" w:hAnsi="仿宋" w:eastAsia="仿宋" w:cs="仿宋"/>
          <w:spacing w:val="1"/>
          <w:w w:val="99"/>
          <w:sz w:val="24"/>
          <w:szCs w:val="24"/>
        </w:rPr>
        <w:t>为</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9"/>
          <w:sz w:val="24"/>
          <w:szCs w:val="24"/>
        </w:rPr>
        <w:t>万</w:t>
      </w:r>
      <w:r>
        <w:rPr>
          <w:rFonts w:hint="eastAsia" w:ascii="仿宋" w:hAnsi="仿宋" w:eastAsia="仿宋" w:cs="仿宋"/>
          <w:spacing w:val="2"/>
          <w:w w:val="99"/>
          <w:sz w:val="24"/>
          <w:szCs w:val="24"/>
        </w:rPr>
        <w:t>元</w:t>
      </w:r>
      <w:r>
        <w:rPr>
          <w:rFonts w:hint="eastAsia" w:ascii="仿宋" w:hAnsi="仿宋" w:eastAsia="仿宋" w:cs="仿宋"/>
          <w:spacing w:val="-22"/>
          <w:w w:val="99"/>
          <w:sz w:val="24"/>
          <w:szCs w:val="24"/>
        </w:rPr>
        <w:t>，</w:t>
      </w:r>
      <w:r>
        <w:rPr>
          <w:rFonts w:hint="eastAsia" w:ascii="仿宋" w:hAnsi="仿宋" w:eastAsia="仿宋" w:cs="仿宋"/>
          <w:w w:val="99"/>
          <w:sz w:val="24"/>
          <w:szCs w:val="24"/>
        </w:rPr>
        <w:t>资</w:t>
      </w:r>
      <w:r>
        <w:rPr>
          <w:rFonts w:hint="eastAsia" w:ascii="仿宋" w:hAnsi="仿宋" w:eastAsia="仿宋" w:cs="仿宋"/>
          <w:spacing w:val="2"/>
          <w:w w:val="99"/>
          <w:sz w:val="24"/>
          <w:szCs w:val="24"/>
        </w:rPr>
        <w:t>产</w:t>
      </w:r>
      <w:r>
        <w:rPr>
          <w:rFonts w:hint="eastAsia" w:ascii="仿宋" w:hAnsi="仿宋" w:eastAsia="仿宋" w:cs="仿宋"/>
          <w:w w:val="99"/>
          <w:sz w:val="24"/>
          <w:szCs w:val="24"/>
        </w:rPr>
        <w:t>总额为</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w w:val="99"/>
          <w:sz w:val="24"/>
          <w:szCs w:val="24"/>
        </w:rPr>
        <w:t>万</w:t>
      </w:r>
      <w:r>
        <w:rPr>
          <w:rFonts w:hint="eastAsia" w:ascii="仿宋" w:hAnsi="仿宋" w:eastAsia="仿宋" w:cs="仿宋"/>
          <w:spacing w:val="2"/>
          <w:w w:val="99"/>
          <w:sz w:val="24"/>
          <w:szCs w:val="24"/>
        </w:rPr>
        <w:t>元</w:t>
      </w:r>
      <w:r>
        <w:rPr>
          <w:rFonts w:hint="eastAsia" w:ascii="仿宋" w:hAnsi="仿宋" w:eastAsia="仿宋" w:cs="仿宋"/>
          <w:spacing w:val="2"/>
          <w:w w:val="99"/>
          <w:sz w:val="24"/>
          <w:szCs w:val="24"/>
          <w:vertAlign w:val="superscript"/>
        </w:rPr>
        <w:fldChar w:fldCharType="begin"/>
      </w:r>
      <w:r>
        <w:rPr>
          <w:rFonts w:hint="eastAsia" w:ascii="仿宋" w:hAnsi="仿宋" w:eastAsia="仿宋" w:cs="仿宋"/>
          <w:spacing w:val="2"/>
          <w:w w:val="99"/>
          <w:sz w:val="24"/>
          <w:szCs w:val="24"/>
          <w:vertAlign w:val="superscript"/>
        </w:rPr>
        <w:instrText xml:space="preserve"> HYPERLINK \l "bookmark0" </w:instrText>
      </w:r>
      <w:r>
        <w:rPr>
          <w:rFonts w:hint="eastAsia" w:ascii="仿宋" w:hAnsi="仿宋" w:eastAsia="仿宋" w:cs="仿宋"/>
          <w:spacing w:val="2"/>
          <w:w w:val="99"/>
          <w:sz w:val="24"/>
          <w:szCs w:val="24"/>
          <w:vertAlign w:val="superscript"/>
        </w:rPr>
        <w:fldChar w:fldCharType="separate"/>
      </w:r>
      <w:r>
        <w:rPr>
          <w:rFonts w:hint="eastAsia" w:ascii="仿宋" w:hAnsi="仿宋" w:eastAsia="仿宋" w:cs="仿宋"/>
          <w:spacing w:val="-2"/>
          <w:position w:val="16"/>
          <w:sz w:val="24"/>
          <w:szCs w:val="24"/>
          <w:vertAlign w:val="superscript"/>
        </w:rPr>
        <w:t>1</w:t>
      </w:r>
      <w:r>
        <w:rPr>
          <w:rFonts w:hint="eastAsia" w:ascii="仿宋" w:hAnsi="仿宋" w:eastAsia="仿宋" w:cs="仿宋"/>
          <w:spacing w:val="-2"/>
          <w:position w:val="16"/>
          <w:sz w:val="24"/>
          <w:szCs w:val="24"/>
          <w:vertAlign w:val="superscript"/>
        </w:rPr>
        <w:fldChar w:fldCharType="end"/>
      </w:r>
      <w:r>
        <w:rPr>
          <w:rFonts w:hint="eastAsia" w:ascii="仿宋" w:hAnsi="仿宋" w:eastAsia="仿宋" w:cs="仿宋"/>
          <w:spacing w:val="-22"/>
          <w:w w:val="99"/>
          <w:sz w:val="24"/>
          <w:szCs w:val="24"/>
        </w:rPr>
        <w:t>，</w:t>
      </w:r>
      <w:r>
        <w:rPr>
          <w:rFonts w:hint="eastAsia" w:ascii="仿宋" w:hAnsi="仿宋" w:eastAsia="仿宋" w:cs="仿宋"/>
          <w:w w:val="99"/>
          <w:sz w:val="24"/>
          <w:szCs w:val="24"/>
        </w:rPr>
        <w:t>属</w:t>
      </w:r>
      <w:r>
        <w:rPr>
          <w:rFonts w:hint="eastAsia" w:ascii="仿宋" w:hAnsi="仿宋" w:eastAsia="仿宋" w:cs="仿宋"/>
          <w:spacing w:val="-36"/>
          <w:w w:val="99"/>
          <w:sz w:val="24"/>
          <w:szCs w:val="24"/>
        </w:rPr>
        <w:t>于</w:t>
      </w:r>
      <w:r>
        <w:rPr>
          <w:rFonts w:hint="eastAsia" w:ascii="仿宋" w:hAnsi="仿宋" w:eastAsia="仿宋" w:cs="仿宋"/>
          <w:w w:val="95"/>
          <w:sz w:val="24"/>
          <w:szCs w:val="24"/>
          <w:u w:val="single"/>
        </w:rPr>
        <w:t>（中型企业、小 型企业、微型企业）；</w:t>
      </w:r>
    </w:p>
    <w:p>
      <w:pPr>
        <w:pStyle w:val="3"/>
        <w:tabs>
          <w:tab w:val="left" w:pos="1065"/>
          <w:tab w:val="left" w:pos="4262"/>
          <w:tab w:val="left" w:pos="6477"/>
        </w:tabs>
        <w:kinsoku w:val="0"/>
        <w:overflowPunct w:val="0"/>
        <w:spacing w:before="20" w:line="360" w:lineRule="auto"/>
        <w:ind w:left="105" w:right="142" w:firstLine="655"/>
        <w:rPr>
          <w:rFonts w:hint="eastAsia" w:ascii="仿宋" w:hAnsi="仿宋" w:eastAsia="仿宋" w:cs="仿宋"/>
          <w:w w:val="95"/>
          <w:sz w:val="24"/>
          <w:szCs w:val="24"/>
          <w:u w:val="single"/>
        </w:rPr>
      </w:pPr>
      <w:r>
        <w:rPr>
          <w:rFonts w:hint="eastAsia" w:ascii="仿宋" w:hAnsi="仿宋" w:eastAsia="仿宋" w:cs="仿宋"/>
          <w:spacing w:val="-21"/>
          <w:sz w:val="24"/>
          <w:szCs w:val="24"/>
        </w:rPr>
        <w:t>2.</w:t>
      </w:r>
      <w:r>
        <w:rPr>
          <w:rFonts w:hint="eastAsia" w:ascii="仿宋" w:hAnsi="仿宋" w:eastAsia="仿宋" w:cs="仿宋"/>
          <w:w w:val="95"/>
          <w:sz w:val="24"/>
          <w:szCs w:val="24"/>
          <w:u w:val="single"/>
        </w:rPr>
        <w:t xml:space="preserve"> （标的名称） </w:t>
      </w:r>
      <w:r>
        <w:rPr>
          <w:rFonts w:hint="eastAsia" w:ascii="仿宋" w:hAnsi="仿宋" w:eastAsia="仿宋" w:cs="仿宋"/>
          <w:spacing w:val="-87"/>
          <w:sz w:val="24"/>
          <w:szCs w:val="24"/>
        </w:rPr>
        <w:t xml:space="preserve">，     </w:t>
      </w:r>
      <w:r>
        <w:rPr>
          <w:rFonts w:hint="eastAsia" w:ascii="仿宋" w:hAnsi="仿宋" w:eastAsia="仿宋" w:cs="仿宋"/>
          <w:w w:val="99"/>
          <w:sz w:val="24"/>
          <w:szCs w:val="24"/>
        </w:rPr>
        <w:t>属</w:t>
      </w:r>
      <w:r>
        <w:rPr>
          <w:rFonts w:hint="eastAsia" w:ascii="仿宋" w:hAnsi="仿宋" w:eastAsia="仿宋" w:cs="仿宋"/>
          <w:spacing w:val="-55"/>
          <w:w w:val="99"/>
          <w:sz w:val="24"/>
          <w:szCs w:val="24"/>
        </w:rPr>
        <w:t xml:space="preserve">于     </w:t>
      </w:r>
      <w:r>
        <w:rPr>
          <w:rFonts w:hint="eastAsia" w:ascii="仿宋" w:hAnsi="仿宋" w:eastAsia="仿宋" w:cs="仿宋"/>
          <w:w w:val="95"/>
          <w:sz w:val="24"/>
          <w:szCs w:val="24"/>
          <w:u w:val="single"/>
        </w:rPr>
        <w:t>（采购文件中明确的所属行业）行业</w:t>
      </w:r>
      <w:r>
        <w:rPr>
          <w:rFonts w:hint="eastAsia" w:ascii="仿宋" w:hAnsi="仿宋" w:eastAsia="仿宋" w:cs="仿宋"/>
          <w:spacing w:val="-50"/>
          <w:w w:val="95"/>
          <w:sz w:val="24"/>
          <w:szCs w:val="24"/>
        </w:rPr>
        <w:t>；</w:t>
      </w:r>
      <w:r>
        <w:rPr>
          <w:rFonts w:hint="eastAsia" w:ascii="仿宋" w:hAnsi="仿宋" w:eastAsia="仿宋" w:cs="仿宋"/>
          <w:spacing w:val="5"/>
          <w:w w:val="99"/>
          <w:sz w:val="24"/>
          <w:szCs w:val="24"/>
        </w:rPr>
        <w:t>制造商为</w:t>
      </w:r>
      <w:r>
        <w:rPr>
          <w:rFonts w:hint="eastAsia" w:ascii="仿宋" w:hAnsi="仿宋" w:eastAsia="仿宋" w:cs="仿宋"/>
          <w:w w:val="95"/>
          <w:sz w:val="24"/>
          <w:szCs w:val="24"/>
          <w:u w:val="single"/>
        </w:rPr>
        <w:t>（企业名称）</w:t>
      </w:r>
      <w:r>
        <w:rPr>
          <w:rFonts w:hint="eastAsia" w:ascii="仿宋" w:hAnsi="仿宋" w:eastAsia="仿宋" w:cs="仿宋"/>
          <w:spacing w:val="-50"/>
          <w:w w:val="95"/>
          <w:sz w:val="24"/>
          <w:szCs w:val="24"/>
        </w:rPr>
        <w:t>，从业人员</w:t>
      </w:r>
      <w:r>
        <w:rPr>
          <w:rFonts w:hint="eastAsia" w:ascii="仿宋" w:hAnsi="仿宋" w:eastAsia="仿宋" w:cs="仿宋"/>
          <w:spacing w:val="-50"/>
          <w:w w:val="95"/>
          <w:sz w:val="24"/>
          <w:szCs w:val="24"/>
          <w:u w:val="single"/>
        </w:rPr>
        <w:tab/>
      </w:r>
      <w:r>
        <w:rPr>
          <w:rFonts w:hint="eastAsia" w:ascii="仿宋" w:hAnsi="仿宋" w:eastAsia="仿宋" w:cs="仿宋"/>
          <w:spacing w:val="5"/>
          <w:sz w:val="24"/>
          <w:szCs w:val="24"/>
        </w:rPr>
        <w:t>人，营业收入</w:t>
      </w:r>
      <w:r>
        <w:rPr>
          <w:rFonts w:hint="eastAsia" w:ascii="仿宋" w:hAnsi="仿宋" w:eastAsia="仿宋" w:cs="仿宋"/>
          <w:w w:val="99"/>
          <w:sz w:val="24"/>
          <w:szCs w:val="24"/>
        </w:rPr>
        <w:t xml:space="preserve"> </w:t>
      </w:r>
      <w:r>
        <w:rPr>
          <w:rFonts w:hint="eastAsia" w:ascii="仿宋" w:hAnsi="仿宋" w:eastAsia="仿宋" w:cs="仿宋"/>
          <w:w w:val="95"/>
          <w:sz w:val="24"/>
          <w:szCs w:val="24"/>
        </w:rPr>
        <w:t>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ab/>
      </w:r>
      <w:r>
        <w:rPr>
          <w:rFonts w:hint="eastAsia" w:ascii="仿宋" w:hAnsi="仿宋" w:eastAsia="仿宋" w:cs="仿宋"/>
          <w:spacing w:val="5"/>
          <w:w w:val="99"/>
          <w:sz w:val="24"/>
          <w:szCs w:val="24"/>
        </w:rPr>
        <w:t>万元</w:t>
      </w:r>
      <w:r>
        <w:rPr>
          <w:rFonts w:hint="eastAsia" w:ascii="仿宋" w:hAnsi="仿宋" w:eastAsia="仿宋" w:cs="仿宋"/>
          <w:spacing w:val="-59"/>
          <w:sz w:val="24"/>
          <w:szCs w:val="24"/>
        </w:rPr>
        <w:t>，</w:t>
      </w:r>
      <w:r>
        <w:rPr>
          <w:rFonts w:hint="eastAsia" w:ascii="仿宋" w:hAnsi="仿宋" w:eastAsia="仿宋" w:cs="仿宋"/>
          <w:w w:val="95"/>
          <w:sz w:val="24"/>
          <w:szCs w:val="24"/>
        </w:rPr>
        <w:t>属于</w:t>
      </w:r>
      <w:r>
        <w:rPr>
          <w:rFonts w:hint="eastAsia" w:ascii="仿宋" w:hAnsi="仿宋" w:eastAsia="仿宋" w:cs="仿宋"/>
          <w:w w:val="95"/>
          <w:sz w:val="24"/>
          <w:szCs w:val="24"/>
          <w:u w:val="single"/>
        </w:rPr>
        <w:t>（中型企业、小型 企业、微型企业）；</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 xml:space="preserve">…… </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以上企业，不属于大企业的分支机构，不存在控股股东为大企业的情形，也不存在与大企业的负责人为同一人的情形。</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本企业对上述声明内容的真实性负责。如有虚假，将依法承担相应责任。</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企业名称（盖章）：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 xml:space="preserve"> </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 xml:space="preserve">日 </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期：</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p>
    <w:p>
      <w:pPr>
        <w:autoSpaceDE w:val="0"/>
        <w:autoSpaceDN w:val="0"/>
        <w:adjustRightInd w:val="0"/>
        <w:spacing w:line="360" w:lineRule="auto"/>
        <w:ind w:firstLine="480" w:firstLineChars="200"/>
        <w:rPr>
          <w:rFonts w:hint="eastAsia" w:ascii="仿宋" w:hAnsi="仿宋" w:eastAsia="仿宋" w:cs="仿宋"/>
          <w:sz w:val="24"/>
          <w:szCs w:val="24"/>
        </w:rPr>
      </w:pP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从业人员、营业收入、资产总额填报上一年度数据，无上一年度数据的新成立企业可不填报。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br w:type="page"/>
      </w:r>
    </w:p>
    <w:p>
      <w:pPr>
        <w:bidi w:val="0"/>
        <w:spacing w:line="360" w:lineRule="auto"/>
        <w:jc w:val="center"/>
        <w:rPr>
          <w:rFonts w:hint="eastAsia" w:ascii="仿宋" w:hAnsi="仿宋" w:eastAsia="仿宋" w:cs="仿宋"/>
          <w:sz w:val="28"/>
          <w:szCs w:val="28"/>
        </w:rPr>
      </w:pPr>
      <w:r>
        <w:rPr>
          <w:rFonts w:hint="eastAsia" w:ascii="仿宋" w:hAnsi="仿宋" w:eastAsia="仿宋" w:cs="仿宋"/>
          <w:b/>
          <w:bCs/>
          <w:sz w:val="28"/>
          <w:szCs w:val="24"/>
        </w:rPr>
        <w:t>中小企业声明函（工程、服务）</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本公司（联合体）郑重声明，根据《政府采购促进中小企业发展管理办法》（财库﹝2020﹞46 号）的规定，本公司（联合体）参加</w:t>
      </w:r>
      <w:r>
        <w:rPr>
          <w:rFonts w:hint="eastAsia" w:ascii="仿宋" w:hAnsi="仿宋" w:eastAsia="仿宋" w:cs="仿宋"/>
          <w:w w:val="95"/>
          <w:sz w:val="24"/>
          <w:szCs w:val="24"/>
          <w:u w:val="single"/>
        </w:rPr>
        <w:t>（单位名称）</w:t>
      </w:r>
      <w:r>
        <w:rPr>
          <w:rFonts w:hint="eastAsia" w:ascii="仿宋" w:hAnsi="仿宋" w:eastAsia="仿宋" w:cs="仿宋"/>
          <w:w w:val="95"/>
          <w:sz w:val="24"/>
          <w:szCs w:val="24"/>
        </w:rPr>
        <w:t>的</w:t>
      </w:r>
      <w:r>
        <w:rPr>
          <w:rFonts w:hint="eastAsia" w:ascii="仿宋" w:hAnsi="仿宋" w:eastAsia="仿宋" w:cs="仿宋"/>
          <w:w w:val="95"/>
          <w:sz w:val="24"/>
          <w:szCs w:val="24"/>
          <w:u w:val="single"/>
        </w:rPr>
        <w:t>（项目名称）</w:t>
      </w:r>
      <w:r>
        <w:rPr>
          <w:rFonts w:hint="eastAsia" w:ascii="仿宋" w:hAnsi="仿宋" w:eastAsia="仿宋" w:cs="仿宋"/>
          <w:w w:val="9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
        <w:kinsoku w:val="0"/>
        <w:overflowPunct w:val="0"/>
        <w:spacing w:before="34" w:line="360" w:lineRule="auto"/>
        <w:ind w:firstLine="478" w:firstLineChars="200"/>
        <w:rPr>
          <w:rFonts w:hint="eastAsia" w:ascii="仿宋" w:hAnsi="仿宋" w:eastAsia="仿宋" w:cs="仿宋"/>
          <w:w w:val="95"/>
          <w:sz w:val="24"/>
          <w:szCs w:val="24"/>
        </w:rPr>
      </w:pPr>
      <w:r>
        <w:rPr>
          <w:rFonts w:hint="eastAsia" w:ascii="仿宋" w:hAnsi="仿宋" w:eastAsia="仿宋" w:cs="仿宋"/>
          <w:spacing w:val="1"/>
          <w:w w:val="99"/>
          <w:sz w:val="24"/>
          <w:szCs w:val="24"/>
        </w:rPr>
        <w:t>1</w:t>
      </w:r>
      <w:r>
        <w:rPr>
          <w:rFonts w:hint="eastAsia" w:ascii="仿宋" w:hAnsi="仿宋" w:eastAsia="仿宋" w:cs="仿宋"/>
          <w:w w:val="99"/>
          <w:sz w:val="24"/>
          <w:szCs w:val="24"/>
        </w:rPr>
        <w:t>.</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w w:val="95"/>
          <w:sz w:val="24"/>
          <w:szCs w:val="24"/>
          <w:u w:val="single"/>
        </w:rPr>
        <w:t xml:space="preserve"> </w:t>
      </w:r>
      <w:r>
        <w:rPr>
          <w:rFonts w:hint="eastAsia" w:ascii="仿宋" w:hAnsi="仿宋" w:eastAsia="仿宋" w:cs="仿宋"/>
          <w:w w:val="95"/>
          <w:sz w:val="24"/>
          <w:szCs w:val="24"/>
          <w:u w:val="single"/>
        </w:rPr>
        <w:tab/>
      </w:r>
      <w:r>
        <w:rPr>
          <w:rFonts w:hint="eastAsia" w:ascii="仿宋" w:hAnsi="仿宋" w:eastAsia="仿宋" w:cs="仿宋"/>
          <w:w w:val="95"/>
          <w:sz w:val="24"/>
          <w:szCs w:val="24"/>
        </w:rPr>
        <w:t xml:space="preserve">人，营业收入为 </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 xml:space="preserve"> </w:t>
      </w:r>
      <w:r>
        <w:rPr>
          <w:rFonts w:hint="eastAsia" w:ascii="仿宋" w:hAnsi="仿宋" w:eastAsia="仿宋" w:cs="仿宋"/>
          <w:w w:val="95"/>
          <w:sz w:val="24"/>
          <w:szCs w:val="24"/>
          <w:u w:val="single"/>
        </w:rPr>
        <w:tab/>
      </w:r>
      <w:r>
        <w:rPr>
          <w:rFonts w:hint="eastAsia" w:ascii="仿宋" w:hAnsi="仿宋" w:eastAsia="仿宋" w:cs="仿宋"/>
          <w:w w:val="95"/>
          <w:sz w:val="24"/>
          <w:szCs w:val="24"/>
        </w:rPr>
        <w:t>万</w:t>
      </w:r>
      <w:r>
        <w:rPr>
          <w:rFonts w:hint="eastAsia" w:ascii="仿宋" w:hAnsi="仿宋" w:eastAsia="仿宋" w:cs="仿宋"/>
          <w:spacing w:val="2"/>
          <w:w w:val="99"/>
          <w:sz w:val="24"/>
          <w:szCs w:val="24"/>
        </w:rPr>
        <w:t>元</w:t>
      </w:r>
      <w:r>
        <w:rPr>
          <w:rFonts w:hint="eastAsia" w:ascii="仿宋" w:hAnsi="仿宋" w:eastAsia="仿宋" w:cs="仿宋"/>
          <w:spacing w:val="2"/>
          <w:w w:val="99"/>
          <w:sz w:val="24"/>
          <w:szCs w:val="24"/>
          <w:vertAlign w:val="superscript"/>
        </w:rPr>
        <w:t>1</w:t>
      </w:r>
      <w:r>
        <w:rPr>
          <w:rFonts w:hint="eastAsia" w:ascii="仿宋" w:hAnsi="仿宋" w:eastAsia="仿宋" w:cs="仿宋"/>
          <w:w w:val="95"/>
          <w:sz w:val="24"/>
          <w:szCs w:val="24"/>
        </w:rPr>
        <w:t>，属于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2.</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w w:val="95"/>
          <w:sz w:val="24"/>
          <w:szCs w:val="24"/>
          <w:u w:val="single"/>
        </w:rPr>
        <w:tab/>
      </w:r>
      <w:r>
        <w:rPr>
          <w:rFonts w:hint="eastAsia" w:ascii="仿宋" w:hAnsi="仿宋" w:eastAsia="仿宋" w:cs="仿宋"/>
          <w:w w:val="95"/>
          <w:sz w:val="24"/>
          <w:szCs w:val="24"/>
        </w:rPr>
        <w:t>人，营业收入为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3"/>
        <w:kinsoku w:val="0"/>
        <w:overflowPunct w:val="0"/>
        <w:spacing w:before="34" w:line="360" w:lineRule="auto"/>
        <w:ind w:left="765" w:right="138" w:hanging="5"/>
        <w:rPr>
          <w:rFonts w:hint="eastAsia" w:ascii="仿宋" w:hAnsi="仿宋" w:eastAsia="仿宋" w:cs="仿宋"/>
          <w:w w:val="99"/>
          <w:sz w:val="24"/>
          <w:szCs w:val="24"/>
        </w:rPr>
      </w:pPr>
      <w:r>
        <w:rPr>
          <w:rFonts w:hint="eastAsia" w:ascii="仿宋" w:hAnsi="仿宋" w:eastAsia="仿宋" w:cs="仿宋"/>
          <w:sz w:val="24"/>
          <w:szCs w:val="24"/>
        </w:rPr>
        <w:t>……</w:t>
      </w:r>
      <w:r>
        <w:rPr>
          <w:rFonts w:hint="eastAsia" w:ascii="仿宋" w:hAnsi="仿宋" w:eastAsia="仿宋" w:cs="仿宋"/>
          <w:w w:val="99"/>
          <w:sz w:val="24"/>
          <w:szCs w:val="24"/>
        </w:rPr>
        <w:t xml:space="preserve"> </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以上企业，不属于大企业的分支机构，不存在控股股东为大企业的情形，也不存在与大企业的负责人为同一人的情形。</w:t>
      </w:r>
    </w:p>
    <w:p>
      <w:pPr>
        <w:pStyle w:val="3"/>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本企业对上述声明内容的真实性负责。如有虚假，将依法承担相应责任。</w:t>
      </w:r>
    </w:p>
    <w:p>
      <w:pPr>
        <w:pStyle w:val="3"/>
        <w:kinsoku w:val="0"/>
        <w:overflowPunct w:val="0"/>
        <w:spacing w:before="56" w:line="360" w:lineRule="auto"/>
        <w:ind w:left="3960" w:right="1748"/>
        <w:rPr>
          <w:rFonts w:hint="eastAsia" w:ascii="仿宋" w:hAnsi="仿宋" w:eastAsia="仿宋" w:cs="仿宋"/>
          <w:spacing w:val="-18"/>
          <w:sz w:val="24"/>
          <w:szCs w:val="24"/>
        </w:rPr>
      </w:pP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企业名称（盖章）：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 xml:space="preserve"> </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 xml:space="preserve">日 </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期：</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p>
    <w:p>
      <w:pPr>
        <w:keepLines w:val="0"/>
        <w:kinsoku/>
        <w:wordWrap/>
        <w:overflowPunct/>
        <w:bidi w:val="0"/>
        <w:spacing w:line="360" w:lineRule="auto"/>
        <w:rPr>
          <w:rFonts w:hint="eastAsia" w:ascii="仿宋" w:hAnsi="仿宋" w:eastAsia="仿宋" w:cs="仿宋"/>
          <w:color w:val="auto"/>
          <w:spacing w:val="6"/>
          <w:sz w:val="24"/>
          <w:szCs w:val="24"/>
        </w:rPr>
      </w:pP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从业人员、营业收入、资产总额填报上一年度数据，无上一年度数据的新成立企业可不填报。</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color w:val="auto"/>
          <w:spacing w:val="6"/>
          <w:sz w:val="24"/>
          <w:szCs w:val="24"/>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w:t>
      </w:r>
    </w:p>
    <w:p>
      <w:pPr>
        <w:keepLines w:val="0"/>
        <w:kinsoku/>
        <w:wordWrap/>
        <w:overflowPunct/>
        <w:bidi w:val="0"/>
        <w:spacing w:line="360" w:lineRule="auto"/>
        <w:jc w:val="center"/>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残疾人福利性单位声明函</w:t>
      </w:r>
    </w:p>
    <w:p>
      <w:pPr>
        <w:keepLines w:val="0"/>
        <w:kinsoku/>
        <w:wordWrap/>
        <w:overflowPunct/>
        <w:bidi w:val="0"/>
        <w:spacing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本单位郑重声明，根据《财政部 民政部 中国残疾人联合会关于促进残疾人就业政府采购政策的通知》（财库</w:t>
      </w:r>
      <w:r>
        <w:rPr>
          <w:rFonts w:hint="eastAsia" w:ascii="仿宋" w:hAnsi="仿宋" w:eastAsia="仿宋" w:cs="仿宋"/>
          <w:color w:val="auto"/>
          <w:sz w:val="24"/>
          <w:szCs w:val="24"/>
        </w:rPr>
        <w:t>〔2017〕 141</w:t>
      </w:r>
      <w:r>
        <w:rPr>
          <w:rFonts w:hint="eastAsia" w:ascii="仿宋" w:hAnsi="仿宋" w:eastAsia="仿宋" w:cs="仿宋"/>
          <w:color w:val="auto"/>
          <w:spacing w:val="6"/>
          <w:sz w:val="24"/>
          <w:szCs w:val="24"/>
        </w:rPr>
        <w:t>号）的规定，本单位为符合条件的残疾人福利性单位，且本单位参加</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单位的</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keepLines w:val="0"/>
        <w:kinsoku/>
        <w:wordWrap/>
        <w:overflowPunct/>
        <w:bidi w:val="0"/>
        <w:spacing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pPr>
        <w:keepLines w:val="0"/>
        <w:kinsoku/>
        <w:wordWrap/>
        <w:overflowPunct/>
        <w:bidi w:val="0"/>
        <w:spacing w:line="360" w:lineRule="auto"/>
        <w:ind w:firstLine="504" w:firstLineChars="200"/>
        <w:rPr>
          <w:rFonts w:hint="eastAsia" w:ascii="仿宋" w:hAnsi="仿宋" w:eastAsia="仿宋" w:cs="仿宋"/>
          <w:color w:val="auto"/>
          <w:spacing w:val="6"/>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keepLines w:val="0"/>
        <w:kinsoku/>
        <w:wordWrap/>
        <w:overflowPunct/>
        <w:bidi w:val="0"/>
        <w:adjustRightInd w:val="0"/>
        <w:snapToGrid w:val="0"/>
        <w:spacing w:line="360" w:lineRule="auto"/>
        <w:rPr>
          <w:rFonts w:hint="eastAsia" w:ascii="仿宋" w:hAnsi="仿宋" w:eastAsia="仿宋" w:cs="仿宋"/>
          <w:color w:val="auto"/>
          <w:sz w:val="24"/>
          <w:szCs w:val="24"/>
        </w:rPr>
      </w:pPr>
    </w:p>
    <w:p>
      <w:pPr>
        <w:spacing w:line="360" w:lineRule="auto"/>
        <w:rPr>
          <w:rFonts w:ascii="仿宋" w:hAnsi="仿宋" w:eastAsia="仿宋" w:cs="仿宋"/>
          <w:b/>
          <w:color w:val="auto"/>
          <w:sz w:val="24"/>
          <w:szCs w:val="24"/>
        </w:rPr>
      </w:pPr>
      <w:r>
        <w:rPr>
          <w:rFonts w:hint="eastAsia" w:ascii="仿宋" w:hAnsi="仿宋" w:eastAsia="仿宋" w:cs="仿宋"/>
          <w:color w:val="auto"/>
          <w:sz w:val="24"/>
          <w:szCs w:val="24"/>
        </w:rPr>
        <w:t>说明：</w:t>
      </w:r>
      <w:r>
        <w:rPr>
          <w:rFonts w:hint="eastAsia" w:ascii="仿宋" w:hAnsi="仿宋" w:eastAsia="仿宋" w:cs="仿宋"/>
          <w:bCs/>
          <w:color w:val="auto"/>
          <w:sz w:val="24"/>
          <w:szCs w:val="24"/>
        </w:rPr>
        <w:t>未按上述要求提供、</w:t>
      </w:r>
      <w:r>
        <w:rPr>
          <w:rFonts w:hint="eastAsia" w:ascii="仿宋" w:hAnsi="仿宋" w:eastAsia="仿宋" w:cs="仿宋"/>
          <w:color w:val="auto"/>
          <w:sz w:val="24"/>
          <w:szCs w:val="24"/>
        </w:rPr>
        <w:t>填写</w:t>
      </w:r>
      <w:r>
        <w:rPr>
          <w:rFonts w:hint="eastAsia" w:ascii="仿宋" w:hAnsi="仿宋" w:eastAsia="仿宋" w:cs="仿宋"/>
          <w:bCs/>
          <w:color w:val="auto"/>
          <w:sz w:val="24"/>
          <w:szCs w:val="24"/>
        </w:rPr>
        <w:t>的，评审时不予以考虑。</w:t>
      </w:r>
    </w:p>
    <w:p>
      <w:pPr>
        <w:pStyle w:val="8"/>
        <w:keepNext w:val="0"/>
        <w:pageBreakBefore/>
        <w:tabs>
          <w:tab w:val="left" w:pos="1260"/>
        </w:tabs>
        <w:spacing w:line="360" w:lineRule="auto"/>
        <w:rPr>
          <w:rFonts w:hint="eastAsia" w:ascii="仿宋" w:hAnsi="仿宋" w:eastAsia="仿宋" w:cs="仿宋"/>
          <w:color w:val="auto"/>
          <w:sz w:val="32"/>
          <w:szCs w:val="32"/>
          <w:lang w:eastAsia="zh-CN"/>
        </w:rPr>
        <w:sectPr>
          <w:footerReference r:id="rId6" w:type="default"/>
          <w:pgSz w:w="11906" w:h="16838"/>
          <w:pgMar w:top="1417" w:right="1701" w:bottom="1417" w:left="1701" w:header="851" w:footer="992" w:gutter="0"/>
          <w:pgNumType w:fmt="decimal"/>
          <w:cols w:space="0" w:num="1"/>
          <w:rtlGutter w:val="0"/>
          <w:docGrid w:linePitch="312" w:charSpace="0"/>
        </w:sectPr>
      </w:pPr>
    </w:p>
    <w:p>
      <w:pPr>
        <w:pStyle w:val="8"/>
        <w:keepNext w:val="0"/>
        <w:pageBreakBefore/>
        <w:tabs>
          <w:tab w:val="left" w:pos="1260"/>
        </w:tabs>
        <w:spacing w:line="360" w:lineRule="auto"/>
        <w:rPr>
          <w:rFonts w:ascii="仿宋" w:hAnsi="仿宋" w:eastAsia="仿宋" w:cs="仿宋"/>
          <w:color w:val="auto"/>
          <w:sz w:val="32"/>
          <w:szCs w:val="32"/>
        </w:rPr>
      </w:pPr>
      <w:bookmarkStart w:id="491" w:name="_Toc22585"/>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合同</w:t>
      </w:r>
      <w:r>
        <w:rPr>
          <w:rFonts w:hint="eastAsia" w:ascii="仿宋" w:hAnsi="仿宋" w:eastAsia="仿宋" w:cs="仿宋"/>
          <w:color w:val="auto"/>
          <w:sz w:val="32"/>
          <w:szCs w:val="32"/>
        </w:rPr>
        <w:t>主要条款响应偏差表</w:t>
      </w:r>
      <w:bookmarkEnd w:id="491"/>
    </w:p>
    <w:p>
      <w:pPr>
        <w:tabs>
          <w:tab w:val="left" w:pos="1260"/>
        </w:tabs>
        <w:adjustRightInd w:val="0"/>
        <w:snapToGrid w:val="0"/>
        <w:spacing w:line="360" w:lineRule="auto"/>
        <w:ind w:right="640"/>
        <w:rPr>
          <w:rFonts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 xml:space="preserve">              </w:t>
      </w:r>
    </w:p>
    <w:tbl>
      <w:tblPr>
        <w:tblStyle w:val="23"/>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380"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文件</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条目号</w:t>
            </w:r>
          </w:p>
        </w:tc>
        <w:tc>
          <w:tcPr>
            <w:tcW w:w="2341"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磋商文件</w:t>
            </w:r>
          </w:p>
          <w:p>
            <w:pPr>
              <w:tabs>
                <w:tab w:val="left" w:pos="1260"/>
              </w:tabs>
              <w:adjustRightInd w:val="0"/>
              <w:snapToGrid w:val="0"/>
              <w:spacing w:line="360" w:lineRule="auto"/>
              <w:ind w:right="23"/>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要求</w:t>
            </w:r>
          </w:p>
        </w:tc>
        <w:tc>
          <w:tcPr>
            <w:tcW w:w="2113"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磋商响应文件</w:t>
            </w:r>
          </w:p>
          <w:p>
            <w:pPr>
              <w:tabs>
                <w:tab w:val="left" w:pos="1260"/>
              </w:tabs>
              <w:adjustRightInd w:val="0"/>
              <w:snapToGrid w:val="0"/>
              <w:spacing w:line="360" w:lineRule="auto"/>
              <w:ind w:right="23"/>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响应</w:t>
            </w:r>
          </w:p>
        </w:tc>
        <w:tc>
          <w:tcPr>
            <w:tcW w:w="1125"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偏离</w:t>
            </w:r>
          </w:p>
        </w:tc>
        <w:tc>
          <w:tcPr>
            <w:tcW w:w="1538"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偏离</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bl>
    <w:p>
      <w:pPr>
        <w:tabs>
          <w:tab w:val="left" w:pos="1260"/>
        </w:tabs>
        <w:spacing w:line="360" w:lineRule="auto"/>
        <w:ind w:right="-197" w:rightChars="-94"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注：</w:t>
      </w:r>
    </w:p>
    <w:p>
      <w:pPr>
        <w:tabs>
          <w:tab w:val="left" w:pos="1260"/>
        </w:tabs>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ascii="仿宋" w:hAnsi="仿宋" w:eastAsia="仿宋" w:cs="仿宋"/>
          <w:color w:val="auto"/>
          <w:sz w:val="24"/>
          <w:szCs w:val="24"/>
        </w:rPr>
      </w:pPr>
      <w:r>
        <w:rPr>
          <w:rFonts w:hint="eastAsia" w:ascii="仿宋" w:hAnsi="仿宋" w:eastAsia="仿宋" w:cs="仿宋"/>
          <w:color w:val="auto"/>
          <w:sz w:val="24"/>
          <w:szCs w:val="24"/>
        </w:rPr>
        <w:t>2、供应商必须据实填写，不得虚假响应，否则将取消其</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rPr>
        <w:t>，并按有关规定进处罚。</w:t>
      </w:r>
    </w:p>
    <w:p>
      <w:pPr>
        <w:tabs>
          <w:tab w:val="left" w:pos="1260"/>
        </w:tabs>
        <w:spacing w:line="360" w:lineRule="auto"/>
        <w:ind w:firstLine="470" w:firstLineChars="196"/>
        <w:rPr>
          <w:rFonts w:ascii="仿宋" w:hAnsi="仿宋" w:eastAsia="仿宋" w:cs="仿宋"/>
          <w:color w:val="auto"/>
          <w:sz w:val="24"/>
          <w:szCs w:val="24"/>
        </w:rPr>
      </w:pPr>
    </w:p>
    <w:p>
      <w:pPr>
        <w:tabs>
          <w:tab w:val="left" w:pos="1260"/>
        </w:tabs>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tabs>
          <w:tab w:val="left" w:pos="1260"/>
        </w:tabs>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tabs>
          <w:tab w:val="left" w:pos="1260"/>
        </w:tabs>
        <w:autoSpaceDE w:val="0"/>
        <w:autoSpaceDN w:val="0"/>
        <w:adjustRightInd w:val="0"/>
        <w:spacing w:line="360" w:lineRule="auto"/>
        <w:ind w:firstLine="3360" w:firstLineChars="1400"/>
        <w:rPr>
          <w:rFonts w:ascii="仿宋" w:hAnsi="仿宋" w:eastAsia="仿宋" w:cs="仿宋"/>
          <w:color w:val="auto"/>
        </w:rPr>
        <w:sectPr>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Pr>
        <w:pStyle w:val="8"/>
        <w:keepNext w:val="0"/>
        <w:pageBreakBefore/>
        <w:spacing w:line="360" w:lineRule="auto"/>
        <w:rPr>
          <w:rFonts w:hint="eastAsia" w:ascii="仿宋" w:hAnsi="仿宋" w:eastAsia="仿宋" w:cs="仿宋"/>
          <w:b w:val="0"/>
          <w:color w:val="auto"/>
          <w:kern w:val="2"/>
          <w:sz w:val="24"/>
          <w:szCs w:val="24"/>
          <w:lang w:val="zh-CN"/>
        </w:rPr>
      </w:pPr>
      <w:bookmarkStart w:id="492" w:name="_Toc26791"/>
      <w:bookmarkStart w:id="493" w:name="_Toc18762"/>
      <w:bookmarkStart w:id="494" w:name="_Toc4378"/>
      <w:bookmarkStart w:id="495" w:name="_Toc13042"/>
      <w:bookmarkStart w:id="496" w:name="_Toc8297"/>
      <w:bookmarkStart w:id="497" w:name="_Toc14308"/>
      <w:bookmarkStart w:id="498" w:name="_Toc495681530"/>
      <w:bookmarkStart w:id="499" w:name="_Toc11576"/>
      <w:bookmarkStart w:id="500" w:name="_Toc20060"/>
      <w:bookmarkStart w:id="501" w:name="_Toc16396"/>
      <w:bookmarkStart w:id="502" w:name="_Toc5618"/>
      <w:bookmarkStart w:id="503" w:name="_Toc495908045"/>
      <w:bookmarkStart w:id="504" w:name="_Toc30274"/>
      <w:bookmarkStart w:id="505" w:name="_Toc20664"/>
      <w:bookmarkStart w:id="506" w:name="_Toc26262"/>
      <w:bookmarkStart w:id="507" w:name="_Toc5195"/>
      <w:bookmarkStart w:id="508" w:name="_Toc6613"/>
      <w:bookmarkStart w:id="509" w:name="_Toc495681403"/>
      <w:bookmarkStart w:id="510" w:name="_Toc22388"/>
      <w:bookmarkStart w:id="511" w:name="_Toc5380"/>
      <w:bookmarkStart w:id="512" w:name="_Toc20167"/>
      <w:bookmarkStart w:id="513" w:name="_Toc495681249"/>
      <w:r>
        <w:rPr>
          <w:rStyle w:val="38"/>
          <w:rFonts w:hint="eastAsia" w:ascii="仿宋" w:hAnsi="仿宋" w:eastAsia="仿宋" w:cs="仿宋"/>
          <w:b/>
          <w:color w:val="auto"/>
          <w:sz w:val="32"/>
          <w:szCs w:val="21"/>
          <w:highlight w:val="none"/>
          <w:lang w:val="zh-CN"/>
        </w:rPr>
        <w:t>六、</w:t>
      </w:r>
      <w:bookmarkEnd w:id="492"/>
      <w:r>
        <w:rPr>
          <w:rFonts w:hint="eastAsia" w:ascii="仿宋" w:hAnsi="仿宋" w:eastAsia="仿宋" w:cs="仿宋"/>
          <w:color w:val="auto"/>
          <w:sz w:val="32"/>
          <w:szCs w:val="21"/>
          <w:lang w:val="zh-CN"/>
        </w:rPr>
        <w:t>技术规格偏离表</w:t>
      </w:r>
      <w:bookmarkEnd w:id="493"/>
      <w:bookmarkEnd w:id="494"/>
    </w:p>
    <w:p>
      <w:p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840"/>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bCs/>
                <w:color w:val="auto"/>
                <w:szCs w:val="21"/>
              </w:rPr>
              <w:t>序号</w:t>
            </w:r>
          </w:p>
        </w:tc>
        <w:tc>
          <w:tcPr>
            <w:tcW w:w="1365" w:type="dxa"/>
            <w:noWrap w:val="0"/>
            <w:vAlign w:val="center"/>
          </w:tcPr>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bCs/>
                <w:color w:val="auto"/>
                <w:szCs w:val="21"/>
              </w:rPr>
              <w:t>文件</w:t>
            </w:r>
          </w:p>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bCs/>
                <w:color w:val="auto"/>
                <w:szCs w:val="21"/>
              </w:rPr>
              <w:t>条目号</w:t>
            </w:r>
          </w:p>
        </w:tc>
        <w:tc>
          <w:tcPr>
            <w:tcW w:w="2520" w:type="dxa"/>
            <w:noWrap w:val="0"/>
            <w:vAlign w:val="center"/>
          </w:tcPr>
          <w:p>
            <w:pPr>
              <w:adjustRightInd w:val="0"/>
              <w:snapToGrid w:val="0"/>
              <w:ind w:right="23"/>
              <w:jc w:val="center"/>
              <w:rPr>
                <w:rFonts w:hint="eastAsia" w:ascii="仿宋" w:hAnsi="仿宋" w:eastAsia="仿宋" w:cs="仿宋"/>
                <w:b/>
                <w:color w:val="auto"/>
                <w:szCs w:val="21"/>
              </w:rPr>
            </w:pPr>
            <w:r>
              <w:rPr>
                <w:rFonts w:hint="eastAsia" w:ascii="仿宋" w:hAnsi="仿宋" w:eastAsia="仿宋" w:cs="仿宋"/>
                <w:b/>
                <w:color w:val="auto"/>
                <w:szCs w:val="21"/>
              </w:rPr>
              <w:t>招标文件</w:t>
            </w:r>
          </w:p>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color w:val="auto"/>
                <w:szCs w:val="21"/>
              </w:rPr>
              <w:t>规格及技术需求</w:t>
            </w:r>
          </w:p>
        </w:tc>
        <w:tc>
          <w:tcPr>
            <w:tcW w:w="2625" w:type="dxa"/>
            <w:noWrap w:val="0"/>
            <w:vAlign w:val="center"/>
          </w:tcPr>
          <w:p>
            <w:pPr>
              <w:adjustRightInd w:val="0"/>
              <w:snapToGrid w:val="0"/>
              <w:ind w:right="23"/>
              <w:jc w:val="center"/>
              <w:rPr>
                <w:rFonts w:hint="eastAsia" w:ascii="仿宋" w:hAnsi="仿宋" w:eastAsia="仿宋" w:cs="仿宋"/>
                <w:b/>
                <w:color w:val="auto"/>
                <w:szCs w:val="21"/>
              </w:rPr>
            </w:pPr>
            <w:r>
              <w:rPr>
                <w:rFonts w:hint="eastAsia" w:ascii="仿宋" w:hAnsi="仿宋" w:eastAsia="仿宋" w:cs="仿宋"/>
                <w:b/>
                <w:color w:val="auto"/>
                <w:szCs w:val="21"/>
              </w:rPr>
              <w:t>投标文件</w:t>
            </w:r>
          </w:p>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color w:val="auto"/>
                <w:szCs w:val="21"/>
              </w:rPr>
              <w:t>规格及技术参数</w:t>
            </w:r>
          </w:p>
        </w:tc>
        <w:tc>
          <w:tcPr>
            <w:tcW w:w="840" w:type="dxa"/>
            <w:noWrap w:val="0"/>
            <w:vAlign w:val="center"/>
          </w:tcPr>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bCs/>
                <w:color w:val="auto"/>
                <w:szCs w:val="21"/>
              </w:rPr>
              <w:t>偏离</w:t>
            </w:r>
          </w:p>
        </w:tc>
        <w:tc>
          <w:tcPr>
            <w:tcW w:w="1680" w:type="dxa"/>
            <w:noWrap w:val="0"/>
            <w:vAlign w:val="center"/>
          </w:tcPr>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bCs/>
                <w:color w:val="auto"/>
                <w:szCs w:val="21"/>
              </w:rPr>
              <w:t>偏离</w:t>
            </w:r>
          </w:p>
          <w:p>
            <w:pPr>
              <w:adjustRightInd w:val="0"/>
              <w:snapToGrid w:val="0"/>
              <w:ind w:right="23"/>
              <w:jc w:val="center"/>
              <w:rPr>
                <w:rFonts w:hint="eastAsia" w:ascii="仿宋" w:hAnsi="仿宋" w:eastAsia="仿宋" w:cs="仿宋"/>
                <w:b/>
                <w:bCs/>
                <w:color w:val="auto"/>
                <w:szCs w:val="21"/>
              </w:rPr>
            </w:pPr>
            <w:r>
              <w:rPr>
                <w:rFonts w:hint="eastAsia" w:ascii="仿宋" w:hAnsi="仿宋" w:eastAsia="仿宋" w:cs="仿宋"/>
                <w:b/>
                <w:bCs/>
                <w:color w:val="auto"/>
                <w:szCs w:val="21"/>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36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52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62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680" w:type="dxa"/>
            <w:noWrap w:val="0"/>
            <w:vAlign w:val="top"/>
          </w:tcPr>
          <w:p>
            <w:pPr>
              <w:adjustRightInd w:val="0"/>
              <w:snapToGrid w:val="0"/>
              <w:spacing w:line="360" w:lineRule="auto"/>
              <w:ind w:right="24"/>
              <w:rPr>
                <w:rFonts w:hint="eastAsia" w:ascii="仿宋" w:hAnsi="仿宋" w:eastAsia="仿宋" w:cs="仿宋"/>
                <w:bCs/>
                <w:color w:val="auto"/>
                <w:szCs w:val="21"/>
              </w:rPr>
            </w:pPr>
          </w:p>
        </w:tc>
      </w:tr>
    </w:tbl>
    <w:p>
      <w:pPr>
        <w:spacing w:line="540" w:lineRule="exact"/>
        <w:ind w:right="-197" w:rightChars="-94"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1.本表只填写</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文件中与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文件有偏离（包括负偏离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无偏离及</w:t>
      </w:r>
      <w:r>
        <w:rPr>
          <w:rFonts w:hint="eastAsia" w:ascii="仿宋" w:hAnsi="仿宋" w:eastAsia="仿宋" w:cs="仿宋"/>
          <w:color w:val="auto"/>
          <w:sz w:val="24"/>
          <w:szCs w:val="24"/>
        </w:rPr>
        <w:t>正偏离）的内容，在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文件中须一一列出。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必须据实填写，不得虚假响应，否则将取消其</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资格，并按有关规定进处罚。</w:t>
      </w:r>
    </w:p>
    <w:p>
      <w:pPr>
        <w:rPr>
          <w:rFonts w:hint="eastAsia" w:ascii="仿宋" w:hAnsi="仿宋" w:eastAsia="仿宋" w:cs="仿宋"/>
          <w:color w:val="auto"/>
        </w:rPr>
      </w:pPr>
    </w:p>
    <w:p>
      <w:pPr>
        <w:spacing w:line="360" w:lineRule="auto"/>
        <w:rPr>
          <w:rFonts w:hint="eastAsia" w:ascii="仿宋" w:hAnsi="仿宋" w:eastAsia="仿宋" w:cs="仿宋"/>
          <w:color w:val="auto"/>
          <w:sz w:val="24"/>
          <w:szCs w:val="24"/>
        </w:rPr>
      </w:pPr>
    </w:p>
    <w:p>
      <w:pPr>
        <w:spacing w:line="360" w:lineRule="auto"/>
        <w:ind w:firstLine="560" w:firstLineChars="200"/>
        <w:rPr>
          <w:rFonts w:hint="eastAsia" w:ascii="仿宋" w:hAnsi="仿宋" w:eastAsia="仿宋" w:cs="仿宋"/>
          <w:color w:val="auto"/>
          <w:sz w:val="28"/>
          <w:szCs w:val="28"/>
        </w:rPr>
      </w:pPr>
    </w:p>
    <w:p>
      <w:pPr>
        <w:spacing w:line="360" w:lineRule="auto"/>
        <w:ind w:firstLine="4080" w:firstLineChars="17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360" w:lineRule="auto"/>
        <w:ind w:firstLine="4080" w:firstLineChars="17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32"/>
          <w:szCs w:val="32"/>
          <w:lang w:val="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b w:val="0"/>
          <w:color w:val="auto"/>
          <w:kern w:val="2"/>
          <w:sz w:val="24"/>
          <w:szCs w:val="24"/>
          <w:lang w:val="en-US" w:eastAsia="zh-CN" w:bidi="ar-SA"/>
        </w:rPr>
        <w:t xml:space="preserve">                                  日    期：</w:t>
      </w:r>
      <w:r>
        <w:rPr>
          <w:rFonts w:hint="eastAsia" w:ascii="仿宋" w:hAnsi="仿宋" w:eastAsia="仿宋" w:cs="仿宋"/>
          <w:color w:val="auto"/>
          <w:sz w:val="24"/>
          <w:szCs w:val="24"/>
          <w:u w:val="single"/>
        </w:rPr>
        <w:t xml:space="preserve">                             </w:t>
      </w:r>
    </w:p>
    <w:p>
      <w:pPr>
        <w:pStyle w:val="8"/>
        <w:spacing w:line="360" w:lineRule="auto"/>
        <w:rPr>
          <w:rFonts w:hint="eastAsia" w:ascii="宋体" w:hAnsi="宋体" w:eastAsia="宋体" w:cs="宋体"/>
          <w:sz w:val="32"/>
          <w:szCs w:val="21"/>
        </w:rPr>
      </w:pPr>
      <w:bookmarkStart w:id="514" w:name="_Toc30539"/>
      <w:r>
        <w:rPr>
          <w:rFonts w:hint="eastAsia" w:ascii="仿宋" w:hAnsi="仿宋" w:eastAsia="仿宋" w:cs="仿宋"/>
          <w:color w:val="auto"/>
          <w:sz w:val="32"/>
          <w:szCs w:val="32"/>
          <w:lang w:val="zh-CN"/>
        </w:rPr>
        <w:t>七、</w:t>
      </w:r>
      <w:bookmarkEnd w:id="495"/>
      <w:bookmarkStart w:id="515" w:name="_Toc11833"/>
      <w:bookmarkStart w:id="516" w:name="_Toc9136"/>
      <w:bookmarkStart w:id="517" w:name="_Toc24533"/>
      <w:bookmarkStart w:id="518" w:name="_Toc7263"/>
      <w:bookmarkStart w:id="519" w:name="_Toc13348"/>
      <w:r>
        <w:rPr>
          <w:rFonts w:hint="eastAsia" w:ascii="仿宋" w:hAnsi="仿宋" w:eastAsia="仿宋" w:cs="仿宋"/>
          <w:color w:val="auto"/>
          <w:sz w:val="32"/>
          <w:szCs w:val="32"/>
        </w:rPr>
        <w:t>拟投入本项目的主要负责人简历表</w:t>
      </w:r>
      <w:bookmarkEnd w:id="496"/>
      <w:bookmarkEnd w:id="497"/>
      <w:bookmarkEnd w:id="514"/>
      <w:bookmarkEnd w:id="515"/>
      <w:bookmarkEnd w:id="516"/>
      <w:bookmarkEnd w:id="517"/>
      <w:bookmarkEnd w:id="518"/>
      <w:bookmarkEnd w:id="519"/>
    </w:p>
    <w:tbl>
      <w:tblPr>
        <w:tblStyle w:val="23"/>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1682" w:type="dxa"/>
            <w:noWrap w:val="0"/>
            <w:vAlign w:val="center"/>
          </w:tcPr>
          <w:p>
            <w:pPr>
              <w:spacing w:line="360" w:lineRule="auto"/>
              <w:jc w:val="center"/>
              <w:rPr>
                <w:rFonts w:hint="eastAsia" w:ascii="仿宋" w:hAnsi="仿宋" w:eastAsia="仿宋" w:cs="仿宋"/>
                <w:bCs/>
                <w:sz w:val="24"/>
                <w:szCs w:val="24"/>
              </w:rPr>
            </w:pPr>
          </w:p>
        </w:tc>
        <w:tc>
          <w:tcPr>
            <w:tcW w:w="1050"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性 别</w:t>
            </w:r>
          </w:p>
        </w:tc>
        <w:tc>
          <w:tcPr>
            <w:tcW w:w="945" w:type="dxa"/>
            <w:noWrap w:val="0"/>
            <w:vAlign w:val="center"/>
          </w:tcPr>
          <w:p>
            <w:pPr>
              <w:spacing w:line="360" w:lineRule="auto"/>
              <w:rPr>
                <w:rFonts w:hint="eastAsia" w:ascii="仿宋" w:hAnsi="仿宋" w:eastAsia="仿宋" w:cs="仿宋"/>
                <w:bCs/>
                <w:sz w:val="24"/>
                <w:szCs w:val="24"/>
              </w:rPr>
            </w:pPr>
          </w:p>
        </w:tc>
        <w:tc>
          <w:tcPr>
            <w:tcW w:w="945"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出生 日期</w:t>
            </w:r>
          </w:p>
        </w:tc>
        <w:tc>
          <w:tcPr>
            <w:tcW w:w="2727" w:type="dxa"/>
            <w:noWrap w:val="0"/>
            <w:vAlign w:val="center"/>
          </w:tcPr>
          <w:p>
            <w:pPr>
              <w:spacing w:line="360" w:lineRule="auto"/>
              <w:ind w:firstLine="360" w:firstLineChars="150"/>
              <w:jc w:val="left"/>
              <w:rPr>
                <w:rFonts w:hint="eastAsia" w:ascii="仿宋" w:hAnsi="仿宋" w:eastAsia="仿宋" w:cs="仿宋"/>
                <w:bCs/>
                <w:sz w:val="24"/>
                <w:szCs w:val="24"/>
              </w:rPr>
            </w:pPr>
            <w:r>
              <w:rPr>
                <w:rFonts w:hint="eastAsia" w:ascii="仿宋" w:hAnsi="仿宋" w:eastAsia="仿宋" w:cs="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毕业院校及专业</w:t>
            </w:r>
          </w:p>
        </w:tc>
        <w:tc>
          <w:tcPr>
            <w:tcW w:w="3677" w:type="dxa"/>
            <w:gridSpan w:val="3"/>
            <w:noWrap w:val="0"/>
            <w:vAlign w:val="center"/>
          </w:tcPr>
          <w:p>
            <w:pPr>
              <w:spacing w:line="360" w:lineRule="auto"/>
              <w:rPr>
                <w:rFonts w:hint="eastAsia" w:ascii="仿宋" w:hAnsi="仿宋" w:eastAsia="仿宋" w:cs="仿宋"/>
                <w:bCs/>
                <w:sz w:val="24"/>
                <w:szCs w:val="24"/>
              </w:rPr>
            </w:pPr>
          </w:p>
        </w:tc>
        <w:tc>
          <w:tcPr>
            <w:tcW w:w="945" w:type="dxa"/>
            <w:noWrap w:val="0"/>
            <w:vAlign w:val="center"/>
          </w:tcPr>
          <w:p>
            <w:pPr>
              <w:spacing w:line="360" w:lineRule="auto"/>
              <w:ind w:left="-18"/>
              <w:jc w:val="center"/>
              <w:rPr>
                <w:rFonts w:hint="eastAsia" w:ascii="仿宋" w:hAnsi="仿宋" w:eastAsia="仿宋" w:cs="仿宋"/>
                <w:bCs/>
                <w:sz w:val="24"/>
                <w:szCs w:val="24"/>
              </w:rPr>
            </w:pPr>
            <w:r>
              <w:rPr>
                <w:rFonts w:hint="eastAsia" w:ascii="仿宋" w:hAnsi="仿宋" w:eastAsia="仿宋" w:cs="仿宋"/>
                <w:bCs/>
                <w:sz w:val="24"/>
                <w:szCs w:val="24"/>
              </w:rPr>
              <w:t>毕业 时间</w:t>
            </w:r>
          </w:p>
        </w:tc>
        <w:tc>
          <w:tcPr>
            <w:tcW w:w="2727" w:type="dxa"/>
            <w:noWrap w:val="0"/>
            <w:vAlign w:val="center"/>
          </w:tcPr>
          <w:p>
            <w:pPr>
              <w:spacing w:line="360" w:lineRule="auto"/>
              <w:ind w:left="45"/>
              <w:jc w:val="left"/>
              <w:rPr>
                <w:rFonts w:hint="eastAsia" w:ascii="仿宋" w:hAnsi="仿宋" w:eastAsia="仿宋" w:cs="仿宋"/>
                <w:bCs/>
                <w:sz w:val="24"/>
                <w:szCs w:val="24"/>
              </w:rPr>
            </w:pPr>
            <w:r>
              <w:rPr>
                <w:rFonts w:hint="eastAsia" w:ascii="仿宋" w:hAnsi="仿宋" w:eastAsia="仿宋" w:cs="仿宋"/>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工作年限</w:t>
            </w:r>
          </w:p>
        </w:tc>
        <w:tc>
          <w:tcPr>
            <w:tcW w:w="7349" w:type="dxa"/>
            <w:gridSpan w:val="5"/>
            <w:noWrap w:val="0"/>
            <w:vAlign w:val="center"/>
          </w:tcPr>
          <w:p>
            <w:pPr>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时   间</w:t>
            </w:r>
          </w:p>
        </w:tc>
        <w:tc>
          <w:tcPr>
            <w:tcW w:w="4622" w:type="dxa"/>
            <w:gridSpan w:val="4"/>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参加过的项目名称及规模</w:t>
            </w:r>
          </w:p>
        </w:tc>
        <w:tc>
          <w:tcPr>
            <w:tcW w:w="2727"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val="0"/>
            <w:vAlign w:val="top"/>
          </w:tcPr>
          <w:p>
            <w:pPr>
              <w:spacing w:line="360" w:lineRule="auto"/>
              <w:rPr>
                <w:rFonts w:hint="eastAsia" w:ascii="仿宋" w:hAnsi="仿宋" w:eastAsia="仿宋" w:cs="仿宋"/>
                <w:bCs/>
                <w:sz w:val="24"/>
                <w:szCs w:val="24"/>
              </w:rPr>
            </w:pPr>
          </w:p>
        </w:tc>
        <w:tc>
          <w:tcPr>
            <w:tcW w:w="4622" w:type="dxa"/>
            <w:gridSpan w:val="4"/>
            <w:noWrap w:val="0"/>
            <w:vAlign w:val="top"/>
          </w:tcPr>
          <w:p>
            <w:pPr>
              <w:spacing w:line="360" w:lineRule="auto"/>
              <w:rPr>
                <w:rFonts w:hint="eastAsia" w:ascii="仿宋" w:hAnsi="仿宋" w:eastAsia="仿宋" w:cs="仿宋"/>
                <w:bCs/>
                <w:sz w:val="24"/>
                <w:szCs w:val="24"/>
              </w:rPr>
            </w:pPr>
          </w:p>
        </w:tc>
        <w:tc>
          <w:tcPr>
            <w:tcW w:w="2727" w:type="dxa"/>
            <w:noWrap w:val="0"/>
            <w:vAlign w:val="top"/>
          </w:tcPr>
          <w:p>
            <w:pPr>
              <w:spacing w:line="360" w:lineRule="auto"/>
              <w:rPr>
                <w:rFonts w:hint="eastAsia" w:ascii="仿宋" w:hAnsi="仿宋" w:eastAsia="仿宋" w:cs="仿宋"/>
                <w:bCs/>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需随此表在</w:t>
      </w:r>
      <w:r>
        <w:rPr>
          <w:rFonts w:hint="eastAsia" w:ascii="仿宋" w:hAnsi="仿宋" w:eastAsia="仿宋" w:cs="仿宋"/>
          <w:bCs/>
          <w:color w:val="000000"/>
          <w:sz w:val="24"/>
          <w:szCs w:val="24"/>
          <w:lang w:eastAsia="zh-CN"/>
        </w:rPr>
        <w:t>磋商响应</w:t>
      </w:r>
      <w:r>
        <w:rPr>
          <w:rFonts w:hint="eastAsia" w:ascii="仿宋" w:hAnsi="仿宋" w:eastAsia="仿宋" w:cs="仿宋"/>
          <w:bCs/>
          <w:color w:val="000000"/>
          <w:sz w:val="24"/>
          <w:szCs w:val="24"/>
        </w:rPr>
        <w:t>文件中附上相关人员学历证明及相关业绩的复印件加盖公章。</w:t>
      </w:r>
    </w:p>
    <w:p>
      <w:pPr>
        <w:adjustRightInd w:val="0"/>
        <w:snapToGrid w:val="0"/>
        <w:spacing w:line="360" w:lineRule="auto"/>
        <w:ind w:firstLine="480" w:firstLineChars="200"/>
        <w:rPr>
          <w:rFonts w:hint="eastAsia" w:ascii="仿宋" w:hAnsi="仿宋" w:eastAsia="仿宋" w:cs="仿宋"/>
          <w:bCs/>
          <w:color w:val="00000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bookmarkStart w:id="520" w:name="_Toc3056"/>
      <w:bookmarkStart w:id="521" w:name="_Toc3451"/>
      <w:bookmarkStart w:id="522" w:name="_Toc31326"/>
      <w:bookmarkStart w:id="523" w:name="_Toc13495"/>
      <w:bookmarkStart w:id="524" w:name="_Toc31471"/>
      <w:bookmarkStart w:id="525" w:name="_Toc300"/>
      <w:bookmarkStart w:id="526" w:name="_Toc21194"/>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pStyle w:val="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21"/>
        </w:rPr>
      </w:pPr>
      <w:bookmarkStart w:id="527" w:name="_Toc18224"/>
      <w:bookmarkStart w:id="528" w:name="_Toc6386"/>
      <w:r>
        <w:rPr>
          <w:rFonts w:hint="eastAsia" w:ascii="仿宋" w:hAnsi="仿宋" w:eastAsia="仿宋" w:cs="仿宋"/>
          <w:color w:val="auto"/>
          <w:sz w:val="32"/>
          <w:szCs w:val="32"/>
          <w:lang w:val="zh-CN"/>
        </w:rPr>
        <w:t>八、参与本项目主要人员表</w:t>
      </w:r>
      <w:bookmarkEnd w:id="520"/>
      <w:bookmarkEnd w:id="521"/>
      <w:bookmarkEnd w:id="522"/>
      <w:bookmarkEnd w:id="523"/>
      <w:bookmarkEnd w:id="524"/>
      <w:bookmarkEnd w:id="525"/>
      <w:bookmarkEnd w:id="526"/>
      <w:bookmarkEnd w:id="527"/>
      <w:bookmarkEnd w:id="528"/>
    </w:p>
    <w:tbl>
      <w:tblPr>
        <w:tblStyle w:val="2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279" w:rightChars="13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姓名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专业</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工作年限</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注：本表所列人员必须为实际人员，</w:t>
      </w:r>
      <w:r>
        <w:rPr>
          <w:rFonts w:hint="eastAsia" w:ascii="仿宋" w:hAnsi="仿宋" w:eastAsia="仿宋" w:cs="仿宋"/>
          <w:bCs/>
          <w:color w:val="000000"/>
          <w:sz w:val="24"/>
          <w:szCs w:val="24"/>
          <w:lang w:eastAsia="zh-CN"/>
        </w:rPr>
        <w:t>并提供相关证书，</w:t>
      </w:r>
      <w:r>
        <w:rPr>
          <w:rFonts w:hint="eastAsia" w:ascii="仿宋" w:hAnsi="仿宋" w:eastAsia="仿宋" w:cs="仿宋"/>
          <w:bCs/>
          <w:color w:val="000000"/>
          <w:sz w:val="24"/>
          <w:szCs w:val="24"/>
        </w:rPr>
        <w:t>项目实施时必须本人到岗。</w:t>
      </w:r>
    </w:p>
    <w:p>
      <w:pPr>
        <w:adjustRightInd w:val="0"/>
        <w:snapToGrid w:val="0"/>
        <w:spacing w:line="360" w:lineRule="auto"/>
        <w:ind w:firstLine="480" w:firstLineChars="200"/>
        <w:rPr>
          <w:rFonts w:hint="eastAsia" w:ascii="仿宋" w:hAnsi="仿宋" w:eastAsia="仿宋" w:cs="仿宋"/>
          <w:bCs/>
          <w:color w:val="00000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spacing w:line="360" w:lineRule="auto"/>
        <w:rPr>
          <w:rFonts w:hint="eastAsia" w:ascii="仿宋" w:hAnsi="仿宋" w:eastAsia="仿宋" w:cs="仿宋"/>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sz w:val="32"/>
          <w:szCs w:val="21"/>
          <w:lang w:eastAsia="zh-CN"/>
        </w:rPr>
        <w:br w:type="page"/>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pageBreakBefore/>
        <w:spacing w:line="360" w:lineRule="auto"/>
        <w:jc w:val="center"/>
        <w:outlineLvl w:val="1"/>
        <w:rPr>
          <w:rFonts w:hint="eastAsia" w:ascii="仿宋" w:hAnsi="仿宋" w:eastAsia="仿宋" w:cs="仿宋"/>
          <w:b/>
          <w:bCs/>
          <w:color w:val="auto"/>
          <w:sz w:val="44"/>
          <w:szCs w:val="44"/>
          <w:lang w:eastAsia="zh-CN"/>
        </w:rPr>
      </w:pPr>
      <w:bookmarkStart w:id="529" w:name="_Toc22004"/>
      <w:bookmarkStart w:id="530" w:name="_Toc25405"/>
      <w:bookmarkStart w:id="531" w:name="_Toc21252"/>
      <w:bookmarkStart w:id="532" w:name="_Toc14115"/>
      <w:bookmarkStart w:id="533" w:name="_Toc21908"/>
      <w:bookmarkStart w:id="534" w:name="_Toc29583"/>
      <w:bookmarkStart w:id="535" w:name="_Toc31162"/>
      <w:bookmarkStart w:id="536" w:name="_Toc25899"/>
      <w:bookmarkStart w:id="537" w:name="_Toc1083"/>
      <w:bookmarkStart w:id="538" w:name="_Toc495908057"/>
      <w:bookmarkStart w:id="539" w:name="_Toc4687"/>
      <w:bookmarkStart w:id="540" w:name="_Toc473056008"/>
      <w:bookmarkStart w:id="541" w:name="_Toc495681542"/>
      <w:bookmarkStart w:id="542" w:name="_Toc8978"/>
      <w:bookmarkStart w:id="543" w:name="_Toc475451557"/>
      <w:bookmarkStart w:id="544" w:name="_Toc27697"/>
      <w:bookmarkStart w:id="545" w:name="_Toc476747606"/>
      <w:bookmarkStart w:id="546" w:name="_Toc475451804"/>
      <w:bookmarkStart w:id="547" w:name="_Toc12206"/>
      <w:bookmarkStart w:id="548" w:name="_Toc495681261"/>
      <w:bookmarkStart w:id="549" w:name="_Toc495681415"/>
      <w:bookmarkStart w:id="550" w:name="_Toc27777"/>
      <w:r>
        <w:rPr>
          <w:rStyle w:val="38"/>
          <w:rFonts w:hint="eastAsia" w:ascii="仿宋" w:hAnsi="仿宋" w:eastAsia="仿宋" w:cs="仿宋"/>
          <w:color w:val="auto"/>
          <w:sz w:val="32"/>
          <w:szCs w:val="21"/>
          <w:highlight w:val="none"/>
          <w:lang w:eastAsia="zh-CN"/>
        </w:rPr>
        <w:t>九、</w:t>
      </w:r>
      <w:r>
        <w:rPr>
          <w:rFonts w:hint="eastAsia" w:ascii="仿宋" w:hAnsi="仿宋" w:eastAsia="仿宋" w:cs="仿宋"/>
          <w:b/>
          <w:color w:val="auto"/>
          <w:sz w:val="32"/>
          <w:szCs w:val="32"/>
          <w:lang w:eastAsia="zh-CN"/>
        </w:rPr>
        <w:t>服务内容及方案</w:t>
      </w:r>
      <w:bookmarkEnd w:id="529"/>
      <w:bookmarkEnd w:id="530"/>
    </w:p>
    <w:p>
      <w:pPr>
        <w:pStyle w:val="7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p>
    <w:p>
      <w:pPr>
        <w:pStyle w:val="7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78"/>
        <w:keepNext/>
        <w:keepLines w:val="0"/>
        <w:pageBreakBefore/>
        <w:widowControl w:val="0"/>
        <w:kinsoku/>
        <w:wordWrap/>
        <w:overflowPunct/>
        <w:topLinePunct w:val="0"/>
        <w:autoSpaceDE/>
        <w:autoSpaceDN/>
        <w:bidi w:val="0"/>
        <w:adjustRightInd/>
        <w:snapToGrid/>
        <w:spacing w:line="360" w:lineRule="auto"/>
        <w:jc w:val="center"/>
        <w:textAlignment w:val="baseline"/>
        <w:outlineLvl w:val="1"/>
        <w:rPr>
          <w:rFonts w:hint="eastAsia" w:ascii="仿宋" w:hAnsi="仿宋" w:eastAsia="仿宋" w:cs="仿宋"/>
          <w:b/>
          <w:bCs w:val="0"/>
          <w:sz w:val="32"/>
          <w:szCs w:val="32"/>
          <w:lang w:val="zh-CN"/>
        </w:rPr>
        <w:sectPr>
          <w:pgSz w:w="11906" w:h="16838"/>
          <w:pgMar w:top="1417" w:right="1701" w:bottom="1417" w:left="1701" w:header="851" w:footer="992" w:gutter="0"/>
          <w:pgNumType w:fmt="decimal"/>
          <w:cols w:space="720" w:num="1"/>
          <w:docGrid w:linePitch="312" w:charSpace="0"/>
        </w:sectPr>
      </w:pPr>
    </w:p>
    <w:p>
      <w:pPr>
        <w:pageBreakBefore/>
        <w:spacing w:line="360" w:lineRule="auto"/>
        <w:jc w:val="center"/>
        <w:outlineLvl w:val="1"/>
        <w:rPr>
          <w:rFonts w:hint="eastAsia" w:ascii="仿宋" w:hAnsi="仿宋" w:eastAsia="仿宋" w:cs="仿宋"/>
          <w:b/>
          <w:color w:val="auto"/>
          <w:sz w:val="32"/>
          <w:szCs w:val="32"/>
          <w:lang w:eastAsia="zh-CN"/>
        </w:rPr>
      </w:pPr>
      <w:bookmarkStart w:id="551" w:name="_Toc20544"/>
      <w:bookmarkStart w:id="552" w:name="_Toc2686"/>
      <w:bookmarkStart w:id="553" w:name="_Toc23262"/>
      <w:bookmarkStart w:id="554" w:name="_Toc27566"/>
      <w:bookmarkStart w:id="555" w:name="_Toc24871"/>
      <w:bookmarkStart w:id="556" w:name="_Toc28055"/>
      <w:bookmarkStart w:id="557" w:name="_Toc22956"/>
      <w:bookmarkStart w:id="558" w:name="_Toc25402"/>
      <w:bookmarkStart w:id="559" w:name="_Toc31786"/>
      <w:bookmarkStart w:id="560" w:name="_Toc13000"/>
      <w:r>
        <w:rPr>
          <w:rFonts w:hint="eastAsia" w:ascii="仿宋" w:hAnsi="仿宋" w:eastAsia="仿宋" w:cs="仿宋"/>
          <w:b/>
          <w:color w:val="auto"/>
          <w:sz w:val="32"/>
          <w:szCs w:val="32"/>
          <w:highlight w:val="none"/>
          <w:lang w:val="en-US" w:eastAsia="zh-CN"/>
        </w:rPr>
        <w:t>十</w:t>
      </w:r>
      <w:r>
        <w:rPr>
          <w:rFonts w:hint="eastAsia" w:ascii="仿宋" w:hAnsi="仿宋" w:eastAsia="仿宋" w:cs="仿宋"/>
          <w:b/>
          <w:color w:val="auto"/>
          <w:sz w:val="32"/>
          <w:szCs w:val="32"/>
          <w:highlight w:val="none"/>
        </w:rPr>
        <w:t>、</w:t>
      </w:r>
      <w:bookmarkEnd w:id="551"/>
      <w:bookmarkEnd w:id="552"/>
      <w:bookmarkEnd w:id="553"/>
      <w:bookmarkEnd w:id="554"/>
      <w:bookmarkEnd w:id="555"/>
      <w:bookmarkEnd w:id="556"/>
      <w:bookmarkEnd w:id="557"/>
      <w:bookmarkEnd w:id="558"/>
      <w:bookmarkStart w:id="561" w:name="_Toc15935"/>
      <w:bookmarkStart w:id="562" w:name="_Toc17895"/>
      <w:bookmarkStart w:id="563" w:name="_Toc30152"/>
      <w:r>
        <w:rPr>
          <w:rFonts w:hint="eastAsia" w:ascii="仿宋" w:hAnsi="仿宋" w:eastAsia="仿宋" w:cs="仿宋"/>
          <w:b/>
          <w:color w:val="auto"/>
          <w:sz w:val="32"/>
          <w:szCs w:val="32"/>
          <w:lang w:eastAsia="zh-CN"/>
        </w:rPr>
        <w:t>履约能力</w:t>
      </w:r>
      <w:bookmarkEnd w:id="559"/>
      <w:bookmarkEnd w:id="560"/>
    </w:p>
    <w:p>
      <w:pPr>
        <w:pStyle w:val="3"/>
        <w:jc w:val="center"/>
        <w:rPr>
          <w:rFonts w:hint="eastAsia" w:ascii="仿宋" w:hAnsi="仿宋" w:eastAsia="仿宋" w:cs="仿宋"/>
          <w:color w:val="auto"/>
          <w:sz w:val="24"/>
          <w:szCs w:val="24"/>
        </w:rPr>
      </w:pPr>
    </w:p>
    <w:bookmarkEnd w:id="561"/>
    <w:bookmarkEnd w:id="562"/>
    <w:bookmarkEnd w:id="563"/>
    <w:p>
      <w:pPr>
        <w:pStyle w:val="7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78"/>
        <w:keepNext/>
        <w:keepLines w:val="0"/>
        <w:pageBreakBefore/>
        <w:widowControl w:val="0"/>
        <w:kinsoku/>
        <w:wordWrap/>
        <w:overflowPunct/>
        <w:topLinePunct w:val="0"/>
        <w:autoSpaceDE/>
        <w:autoSpaceDN/>
        <w:bidi w:val="0"/>
        <w:adjustRightInd/>
        <w:snapToGrid/>
        <w:spacing w:line="360" w:lineRule="auto"/>
        <w:jc w:val="center"/>
        <w:textAlignment w:val="baseline"/>
        <w:outlineLvl w:val="1"/>
        <w:rPr>
          <w:rFonts w:hint="eastAsia" w:ascii="仿宋" w:hAnsi="仿宋" w:eastAsia="仿宋" w:cs="仿宋"/>
          <w:b/>
          <w:bCs w:val="0"/>
          <w:sz w:val="32"/>
          <w:szCs w:val="32"/>
          <w:lang w:val="zh-CN"/>
        </w:rPr>
        <w:sectPr>
          <w:pgSz w:w="11906" w:h="16838"/>
          <w:pgMar w:top="1417" w:right="1701" w:bottom="1417" w:left="1701" w:header="851" w:footer="992" w:gutter="0"/>
          <w:pgNumType w:fmt="decimal"/>
          <w:cols w:space="720" w:num="1"/>
          <w:docGrid w:linePitch="312" w:charSpace="0"/>
        </w:sectPr>
      </w:pPr>
    </w:p>
    <w:p>
      <w:pPr>
        <w:pageBreakBefore/>
        <w:spacing w:line="360" w:lineRule="auto"/>
        <w:jc w:val="center"/>
        <w:outlineLvl w:val="1"/>
        <w:rPr>
          <w:rFonts w:hint="eastAsia" w:ascii="仿宋" w:hAnsi="仿宋" w:eastAsia="仿宋" w:cs="仿宋"/>
          <w:b/>
          <w:color w:val="auto"/>
          <w:sz w:val="32"/>
          <w:szCs w:val="32"/>
          <w:highlight w:val="none"/>
          <w:lang w:val="en-US" w:eastAsia="zh-CN"/>
        </w:rPr>
      </w:pPr>
      <w:bookmarkStart w:id="564" w:name="_Toc392"/>
      <w:bookmarkStart w:id="565" w:name="_Toc17491"/>
      <w:r>
        <w:rPr>
          <w:rFonts w:hint="eastAsia" w:ascii="仿宋" w:hAnsi="仿宋" w:eastAsia="仿宋" w:cs="仿宋"/>
          <w:b/>
          <w:color w:val="auto"/>
          <w:sz w:val="32"/>
          <w:szCs w:val="32"/>
          <w:highlight w:val="none"/>
          <w:lang w:val="en-US" w:eastAsia="zh-CN"/>
        </w:rPr>
        <w:t>十一、售后服务</w:t>
      </w:r>
      <w:bookmarkEnd w:id="564"/>
      <w:bookmarkEnd w:id="565"/>
    </w:p>
    <w:p>
      <w:pPr>
        <w:pStyle w:val="77"/>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根据评分因素自行编制</w:t>
      </w:r>
    </w:p>
    <w:p>
      <w:pPr>
        <w:pStyle w:val="2"/>
        <w:rPr>
          <w:rFonts w:hint="eastAsia"/>
          <w:lang w:val="en-US" w:eastAsia="zh-CN"/>
        </w:rPr>
        <w:sectPr>
          <w:footerReference r:id="rId7" w:type="default"/>
          <w:pgSz w:w="11906" w:h="16838"/>
          <w:pgMar w:top="1417" w:right="1701" w:bottom="1417" w:left="1701" w:header="851" w:footer="992" w:gutter="0"/>
          <w:pgNumType w:fmt="decimal"/>
          <w:cols w:space="720" w:num="1"/>
          <w:docGrid w:linePitch="312" w:charSpace="0"/>
        </w:sectPr>
      </w:pPr>
    </w:p>
    <w:p>
      <w:pPr>
        <w:pStyle w:val="8"/>
        <w:keepNext w:val="0"/>
        <w:pageBreakBefore/>
        <w:spacing w:line="360" w:lineRule="auto"/>
        <w:rPr>
          <w:rFonts w:ascii="仿宋" w:hAnsi="仿宋" w:eastAsia="仿宋" w:cs="仿宋"/>
          <w:color w:val="auto"/>
          <w:sz w:val="28"/>
          <w:szCs w:val="28"/>
          <w:lang w:val="zh-CN"/>
        </w:rPr>
      </w:pPr>
      <w:bookmarkStart w:id="566" w:name="_Toc11487"/>
      <w:r>
        <w:rPr>
          <w:rFonts w:hint="eastAsia" w:ascii="仿宋" w:hAnsi="仿宋" w:eastAsia="仿宋" w:cs="仿宋"/>
          <w:color w:val="auto"/>
          <w:sz w:val="28"/>
          <w:szCs w:val="28"/>
          <w:lang w:val="zh-CN"/>
        </w:rPr>
        <w:t>十二、近年业绩的有关证明材料</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66"/>
    </w:p>
    <w:tbl>
      <w:tblPr>
        <w:tblStyle w:val="23"/>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3" w:hRule="atLeast"/>
        </w:trPr>
        <w:tc>
          <w:tcPr>
            <w:tcW w:w="90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62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用户名称</w:t>
            </w:r>
          </w:p>
        </w:tc>
        <w:tc>
          <w:tcPr>
            <w:tcW w:w="2109"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项目名称</w:t>
            </w:r>
          </w:p>
        </w:tc>
        <w:tc>
          <w:tcPr>
            <w:tcW w:w="2025"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合同金额</w:t>
            </w:r>
          </w:p>
        </w:tc>
        <w:tc>
          <w:tcPr>
            <w:tcW w:w="2481"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9"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bl>
    <w:p>
      <w:pPr>
        <w:spacing w:line="360" w:lineRule="auto"/>
        <w:rPr>
          <w:rFonts w:ascii="仿宋" w:hAnsi="仿宋" w:eastAsia="仿宋" w:cs="仿宋"/>
          <w:color w:val="auto"/>
        </w:rPr>
      </w:pP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说明：</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 xml:space="preserve">1.本表后附合同复印件，合同签订时间及金额以合同中的内容为准； </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3.未按上述要求提供、填写的，评审时不予以考虑。</w:t>
      </w:r>
    </w:p>
    <w:p>
      <w:pPr>
        <w:spacing w:line="360" w:lineRule="auto"/>
        <w:ind w:firstLine="1920" w:firstLineChars="800"/>
        <w:rPr>
          <w:rFonts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bookmarkStart w:id="567" w:name="_Toc511298216"/>
      <w:bookmarkStart w:id="568" w:name="_Toc495908059"/>
      <w:bookmarkStart w:id="569" w:name="_Toc495681417"/>
      <w:bookmarkStart w:id="570" w:name="_Toc16033"/>
      <w:bookmarkStart w:id="571" w:name="_Toc495681263"/>
      <w:bookmarkStart w:id="572" w:name="_Toc495681544"/>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pStyle w:val="8"/>
        <w:spacing w:line="360" w:lineRule="auto"/>
        <w:rPr>
          <w:rFonts w:ascii="仿宋" w:hAnsi="仿宋" w:eastAsia="仿宋" w:cs="仿宋"/>
          <w:color w:val="auto"/>
          <w:szCs w:val="22"/>
          <w:lang w:val="zh-CN"/>
        </w:rPr>
      </w:pPr>
      <w:r>
        <w:rPr>
          <w:rFonts w:hint="eastAsia" w:ascii="仿宋" w:hAnsi="仿宋" w:eastAsia="仿宋" w:cs="仿宋"/>
          <w:color w:val="auto"/>
        </w:rPr>
        <w:br w:type="page"/>
      </w:r>
      <w:bookmarkStart w:id="573" w:name="_Toc23630"/>
      <w:bookmarkStart w:id="574" w:name="_Toc6195"/>
      <w:bookmarkStart w:id="575" w:name="_Toc22060"/>
      <w:bookmarkStart w:id="576" w:name="_Toc14896"/>
      <w:bookmarkStart w:id="577" w:name="_Toc19979"/>
      <w:bookmarkStart w:id="578" w:name="_Toc14494"/>
      <w:bookmarkStart w:id="579" w:name="_Toc24029"/>
      <w:bookmarkStart w:id="580" w:name="_Toc14636"/>
      <w:bookmarkStart w:id="581" w:name="_Toc9207"/>
      <w:bookmarkStart w:id="582" w:name="_Toc26608"/>
      <w:bookmarkStart w:id="583" w:name="_Toc3166"/>
      <w:bookmarkStart w:id="584" w:name="_Toc676"/>
      <w:r>
        <w:rPr>
          <w:rFonts w:hint="eastAsia" w:ascii="仿宋" w:hAnsi="仿宋" w:eastAsia="仿宋" w:cs="仿宋"/>
          <w:color w:val="auto"/>
          <w:sz w:val="32"/>
          <w:szCs w:val="24"/>
          <w:lang w:val="zh-CN"/>
        </w:rPr>
        <w:t>十</w:t>
      </w:r>
      <w:r>
        <w:rPr>
          <w:rFonts w:hint="eastAsia" w:ascii="仿宋" w:hAnsi="仿宋" w:eastAsia="仿宋" w:cs="仿宋"/>
          <w:color w:val="auto"/>
          <w:sz w:val="32"/>
          <w:szCs w:val="24"/>
          <w:lang w:eastAsia="zh-CN"/>
        </w:rPr>
        <w:t>三</w:t>
      </w:r>
      <w:r>
        <w:rPr>
          <w:rFonts w:hint="eastAsia" w:ascii="仿宋" w:hAnsi="仿宋" w:eastAsia="仿宋" w:cs="仿宋"/>
          <w:color w:val="auto"/>
          <w:sz w:val="32"/>
          <w:szCs w:val="24"/>
          <w:lang w:val="zh-CN"/>
        </w:rPr>
        <w:t>、</w:t>
      </w:r>
      <w:bookmarkEnd w:id="567"/>
      <w:r>
        <w:rPr>
          <w:rFonts w:hint="eastAsia" w:ascii="仿宋" w:hAnsi="仿宋" w:eastAsia="仿宋" w:cs="仿宋"/>
          <w:color w:val="auto"/>
          <w:sz w:val="32"/>
          <w:szCs w:val="24"/>
          <w:lang w:val="zh-CN"/>
        </w:rPr>
        <w:t>供应商企业关系关联承诺书</w:t>
      </w:r>
      <w:bookmarkEnd w:id="573"/>
      <w:bookmarkEnd w:id="574"/>
      <w:bookmarkEnd w:id="575"/>
      <w:bookmarkEnd w:id="576"/>
      <w:bookmarkEnd w:id="577"/>
      <w:bookmarkEnd w:id="578"/>
      <w:bookmarkEnd w:id="579"/>
      <w:bookmarkEnd w:id="580"/>
      <w:bookmarkEnd w:id="581"/>
      <w:bookmarkEnd w:id="582"/>
      <w:bookmarkEnd w:id="583"/>
      <w:bookmarkEnd w:id="584"/>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我方作为</w:t>
      </w:r>
      <w:r>
        <w:rPr>
          <w:rFonts w:hint="eastAsia" w:ascii="仿宋" w:hAnsi="仿宋" w:eastAsia="仿宋" w:cs="仿宋"/>
          <w:color w:val="000000"/>
          <w:kern w:val="0"/>
          <w:sz w:val="24"/>
          <w:szCs w:val="24"/>
          <w:u w:val="single"/>
          <w:lang w:val="en-US" w:eastAsia="zh-CN" w:bidi="ar"/>
        </w:rPr>
        <w:t xml:space="preserve">         （项目名称）         </w:t>
      </w:r>
      <w:r>
        <w:rPr>
          <w:rFonts w:hint="eastAsia" w:ascii="仿宋" w:hAnsi="仿宋" w:eastAsia="仿宋" w:cs="仿宋"/>
          <w:color w:val="000000"/>
          <w:kern w:val="0"/>
          <w:sz w:val="24"/>
          <w:szCs w:val="24"/>
          <w:lang w:val="en-US" w:eastAsia="zh-CN" w:bidi="ar"/>
        </w:rPr>
        <w:t>（项目编号：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）的供应商，在此郑重声明：</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供应商在本项目中，不存在与其它供应商负责人为同一人，有控股、管理等关联关系承诺。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2、我方未为本项目提供整体设计、规范编制或者项目管理、监理、检测等服务。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仿宋" w:hAnsi="仿宋" w:eastAsia="仿宋" w:cs="仿宋"/>
          <w:color w:val="000000"/>
          <w:ker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z w:val="24"/>
          <w:szCs w:val="24"/>
        </w:rPr>
      </w:pPr>
    </w:p>
    <w:p>
      <w:pPr>
        <w:autoSpaceDE w:val="0"/>
        <w:autoSpaceDN w:val="0"/>
        <w:adjustRightInd w:val="0"/>
        <w:spacing w:line="360" w:lineRule="auto"/>
        <w:rPr>
          <w:rFonts w:ascii="仿宋" w:hAnsi="仿宋" w:eastAsia="仿宋" w:cs="仿宋"/>
          <w:color w:val="auto"/>
          <w:sz w:val="24"/>
          <w:szCs w:val="24"/>
        </w:rPr>
      </w:pPr>
    </w:p>
    <w:p>
      <w:pPr>
        <w:autoSpaceDE w:val="0"/>
        <w:autoSpaceDN w:val="0"/>
        <w:adjustRightInd w:val="0"/>
        <w:spacing w:line="360" w:lineRule="auto"/>
        <w:jc w:val="center"/>
        <w:rPr>
          <w:rFonts w:ascii="仿宋" w:hAnsi="仿宋" w:eastAsia="仿宋" w:cs="仿宋"/>
          <w:b/>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spacing w:line="360" w:lineRule="auto"/>
        <w:ind w:firstLine="5280" w:firstLineChars="2200"/>
        <w:rPr>
          <w:rFonts w:ascii="仿宋" w:hAnsi="仿宋" w:eastAsia="仿宋" w:cs="仿宋"/>
          <w:color w:val="auto"/>
          <w:sz w:val="24"/>
          <w:szCs w:val="24"/>
          <w:u w:val="single"/>
        </w:rPr>
      </w:pPr>
    </w:p>
    <w:p>
      <w:pPr>
        <w:adjustRightInd w:val="0"/>
        <w:snapToGrid w:val="0"/>
        <w:spacing w:line="360" w:lineRule="auto"/>
        <w:ind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br w:type="page"/>
      </w:r>
      <w:bookmarkEnd w:id="568"/>
      <w:bookmarkEnd w:id="569"/>
      <w:bookmarkEnd w:id="570"/>
      <w:bookmarkEnd w:id="571"/>
      <w:bookmarkEnd w:id="572"/>
      <w:bookmarkStart w:id="585" w:name="_Toc12844"/>
      <w:bookmarkStart w:id="586" w:name="_Toc475451806"/>
      <w:bookmarkStart w:id="587" w:name="_Toc495671276"/>
      <w:bookmarkStart w:id="588" w:name="_Toc4915"/>
      <w:bookmarkStart w:id="589" w:name="_Toc4848"/>
      <w:bookmarkStart w:id="590" w:name="_Toc475451559"/>
      <w:bookmarkStart w:id="591" w:name="_Toc473056009"/>
      <w:bookmarkStart w:id="592" w:name="_Toc16511"/>
    </w:p>
    <w:p>
      <w:pPr>
        <w:pageBreakBefore/>
        <w:autoSpaceDE w:val="0"/>
        <w:autoSpaceDN w:val="0"/>
        <w:adjustRightInd w:val="0"/>
        <w:snapToGrid w:val="0"/>
        <w:spacing w:line="360" w:lineRule="auto"/>
        <w:jc w:val="center"/>
        <w:outlineLvl w:val="1"/>
        <w:rPr>
          <w:rFonts w:ascii="仿宋" w:hAnsi="仿宋" w:eastAsia="仿宋" w:cs="仿宋"/>
          <w:b/>
          <w:color w:val="auto"/>
          <w:sz w:val="32"/>
          <w:szCs w:val="15"/>
          <w:lang w:val="zh-CN"/>
        </w:rPr>
      </w:pPr>
      <w:bookmarkStart w:id="593" w:name="_Toc24136"/>
      <w:r>
        <w:rPr>
          <w:rFonts w:hint="eastAsia" w:ascii="仿宋" w:hAnsi="仿宋" w:eastAsia="仿宋" w:cs="仿宋"/>
          <w:b/>
          <w:color w:val="auto"/>
          <w:sz w:val="32"/>
          <w:szCs w:val="15"/>
          <w:lang w:val="zh-CN"/>
        </w:rPr>
        <w:t>十</w:t>
      </w:r>
      <w:r>
        <w:rPr>
          <w:rFonts w:hint="eastAsia" w:ascii="仿宋" w:hAnsi="仿宋" w:eastAsia="仿宋" w:cs="仿宋"/>
          <w:b/>
          <w:color w:val="auto"/>
          <w:sz w:val="32"/>
          <w:szCs w:val="15"/>
          <w:lang w:eastAsia="zh-CN"/>
        </w:rPr>
        <w:t>四</w:t>
      </w:r>
      <w:r>
        <w:rPr>
          <w:rFonts w:hint="eastAsia" w:ascii="仿宋" w:hAnsi="仿宋" w:eastAsia="仿宋" w:cs="仿宋"/>
          <w:b/>
          <w:color w:val="auto"/>
          <w:sz w:val="32"/>
          <w:szCs w:val="15"/>
          <w:lang w:val="zh-CN"/>
        </w:rPr>
        <w:t>、供应商廉洁自律承诺书</w:t>
      </w:r>
      <w:bookmarkEnd w:id="585"/>
      <w:bookmarkEnd w:id="593"/>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为</w:t>
      </w:r>
      <w:r>
        <w:rPr>
          <w:rFonts w:hint="eastAsia" w:ascii="仿宋" w:hAnsi="仿宋" w:eastAsia="仿宋" w:cs="仿宋"/>
          <w:snapToGrid w:val="0"/>
          <w:color w:val="auto"/>
          <w:sz w:val="24"/>
          <w:szCs w:val="24"/>
          <w:lang w:val="en-US" w:eastAsia="zh-CN"/>
        </w:rPr>
        <w:t>响应党中央、国务院关于治理政府采购领域商业贿赂行为的号召，</w:t>
      </w:r>
      <w:r>
        <w:rPr>
          <w:rFonts w:hint="eastAsia" w:ascii="仿宋" w:hAnsi="仿宋" w:eastAsia="仿宋" w:cs="仿宋"/>
          <w:snapToGrid w:val="0"/>
          <w:color w:val="auto"/>
          <w:sz w:val="24"/>
          <w:szCs w:val="24"/>
        </w:rPr>
        <w:t>我们特向贵司郑重承诺，在政府采购过程中严格遵守下列行为准则：</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2、不以围标、串标、陪标、挂靠、提供虚假信息、恶意干扰采购人、磋商小组评审等违规手段实现成交目的；</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7、不以贿赂之外的其他方式拉拢采购方相关工作人员，使其违背公平、公开、公正竞争原则，帮助实现成交目的。</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spacing w:line="360" w:lineRule="auto"/>
        <w:ind w:firstLine="4216" w:firstLineChars="1750"/>
        <w:rPr>
          <w:rFonts w:ascii="仿宋" w:hAnsi="仿宋" w:eastAsia="仿宋" w:cs="仿宋"/>
          <w:b/>
          <w:color w:val="auto"/>
          <w:sz w:val="24"/>
          <w:szCs w:val="24"/>
        </w:rPr>
      </w:pPr>
    </w:p>
    <w:p>
      <w:pPr>
        <w:spacing w:line="360" w:lineRule="auto"/>
        <w:rPr>
          <w:color w:val="auto"/>
        </w:rPr>
      </w:pPr>
    </w:p>
    <w:p>
      <w:pPr>
        <w:pageBreakBefore/>
        <w:autoSpaceDE w:val="0"/>
        <w:autoSpaceDN w:val="0"/>
        <w:adjustRightInd w:val="0"/>
        <w:snapToGrid w:val="0"/>
        <w:spacing w:line="360" w:lineRule="auto"/>
        <w:jc w:val="center"/>
        <w:outlineLvl w:val="1"/>
        <w:rPr>
          <w:rFonts w:ascii="仿宋" w:hAnsi="仿宋" w:eastAsia="仿宋" w:cs="仿宋"/>
          <w:b/>
          <w:color w:val="auto"/>
          <w:sz w:val="32"/>
          <w:szCs w:val="15"/>
          <w:lang w:val="zh-CN"/>
        </w:rPr>
      </w:pPr>
      <w:bookmarkStart w:id="594" w:name="_Toc18685"/>
      <w:bookmarkStart w:id="595" w:name="_Toc17375"/>
      <w:bookmarkStart w:id="596" w:name="_Toc8772"/>
      <w:bookmarkStart w:id="597" w:name="_Toc9051"/>
      <w:bookmarkStart w:id="598" w:name="_Toc29125"/>
      <w:bookmarkStart w:id="599" w:name="_Toc6812"/>
      <w:bookmarkStart w:id="600" w:name="_Toc17145"/>
      <w:bookmarkStart w:id="601" w:name="_Toc2715"/>
      <w:bookmarkStart w:id="602" w:name="_Toc4453"/>
      <w:bookmarkStart w:id="603" w:name="_Toc15882"/>
      <w:bookmarkStart w:id="604" w:name="_Toc21230"/>
      <w:r>
        <w:rPr>
          <w:rFonts w:hint="eastAsia" w:ascii="仿宋" w:hAnsi="仿宋" w:eastAsia="仿宋" w:cs="仿宋"/>
          <w:b/>
          <w:color w:val="auto"/>
          <w:sz w:val="32"/>
          <w:szCs w:val="15"/>
          <w:lang w:val="zh-CN"/>
        </w:rPr>
        <w:t>十</w:t>
      </w:r>
      <w:r>
        <w:rPr>
          <w:rFonts w:hint="eastAsia" w:ascii="仿宋" w:hAnsi="仿宋" w:eastAsia="仿宋" w:cs="仿宋"/>
          <w:b/>
          <w:color w:val="auto"/>
          <w:sz w:val="32"/>
          <w:szCs w:val="15"/>
          <w:lang w:eastAsia="zh-CN"/>
        </w:rPr>
        <w:t>五</w:t>
      </w:r>
      <w:r>
        <w:rPr>
          <w:rFonts w:hint="eastAsia" w:ascii="仿宋" w:hAnsi="仿宋" w:eastAsia="仿宋" w:cs="仿宋"/>
          <w:b/>
          <w:color w:val="auto"/>
          <w:sz w:val="32"/>
          <w:szCs w:val="15"/>
          <w:lang w:val="zh-CN"/>
        </w:rPr>
        <w:t>、供应商认为有必要补充说明的事项</w:t>
      </w:r>
      <w:bookmarkEnd w:id="586"/>
      <w:bookmarkEnd w:id="587"/>
      <w:bookmarkEnd w:id="588"/>
      <w:bookmarkEnd w:id="589"/>
      <w:bookmarkEnd w:id="590"/>
      <w:bookmarkEnd w:id="591"/>
      <w:bookmarkEnd w:id="592"/>
      <w:bookmarkEnd w:id="594"/>
      <w:bookmarkEnd w:id="595"/>
      <w:bookmarkEnd w:id="596"/>
      <w:bookmarkEnd w:id="597"/>
      <w:bookmarkEnd w:id="598"/>
      <w:bookmarkEnd w:id="599"/>
      <w:bookmarkEnd w:id="600"/>
      <w:bookmarkEnd w:id="601"/>
      <w:bookmarkEnd w:id="602"/>
      <w:bookmarkEnd w:id="603"/>
      <w:bookmarkEnd w:id="604"/>
    </w:p>
    <w:sectPr>
      <w:footerReference r:id="rId8" w:type="default"/>
      <w:pgSz w:w="11906" w:h="16838"/>
      <w:pgMar w:top="1417" w:right="1701" w:bottom="1417" w:left="1701"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Myriad Pro Light">
    <w:altName w:val="Courier New"/>
    <w:panose1 w:val="00000000000000000000"/>
    <w:charset w:val="00"/>
    <w:family w:val="swiss"/>
    <w:pitch w:val="default"/>
    <w:sig w:usb0="00000000" w:usb1="00000000" w:usb2="00000000" w:usb3="00000000" w:csb0="00000001" w:csb1="00000000"/>
  </w:font>
  <w:font w:name="BatangChe">
    <w:panose1 w:val="02030609000101010101"/>
    <w:charset w:val="81"/>
    <w:family w:val="moder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3079" o:spid="_x0000_s307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25"/>
        <w:tab w:val="clear" w:pos="8306"/>
      </w:tabs>
      <w:ind w:right="40"/>
    </w:pPr>
    <w:r>
      <w:rPr>
        <w:sz w:val="18"/>
      </w:rPr>
      <w:pict>
        <v:shape id="_x0000_s3080" o:spid="_x0000_s308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w:pict>
        <v:shape id="_x0000_s3081" o:spid="_x0000_s308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3082" o:spid="_x0000_s308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right"/>
      <w:rPr>
        <w:rFonts w:hint="eastAsia" w:ascii="仿宋" w:hAnsi="仿宋" w:eastAsia="仿宋" w:cs="仿宋"/>
        <w:b/>
        <w:bCs/>
        <w:lang w:val="en-US" w:eastAsia="zh-CN"/>
      </w:rPr>
    </w:pPr>
    <w:r>
      <w:rPr>
        <w:rFonts w:hint="eastAsia" w:ascii="仿宋" w:hAnsi="仿宋" w:eastAsia="仿宋" w:cs="仿宋"/>
        <w:b/>
        <w:bCs/>
        <w:lang w:val="en-US" w:eastAsia="zh-CN"/>
      </w:rPr>
      <w:t>西安市第九医院移动X线床头机维保项目（二次）竞争性磋商文件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DCDB9"/>
    <w:multiLevelType w:val="singleLevel"/>
    <w:tmpl w:val="2A9DCDB9"/>
    <w:lvl w:ilvl="0" w:tentative="0">
      <w:start w:val="2"/>
      <w:numFmt w:val="chineseCounting"/>
      <w:suff w:val="nothing"/>
      <w:lvlText w:val="（%1）"/>
      <w:lvlJc w:val="left"/>
      <w:rPr>
        <w:rFonts w:hint="eastAsia"/>
      </w:rPr>
    </w:lvl>
  </w:abstractNum>
  <w:abstractNum w:abstractNumId="1">
    <w:nsid w:val="408017E7"/>
    <w:multiLevelType w:val="singleLevel"/>
    <w:tmpl w:val="408017E7"/>
    <w:lvl w:ilvl="0" w:tentative="0">
      <w:start w:val="1"/>
      <w:numFmt w:val="chineseCounting"/>
      <w:suff w:val="nothing"/>
      <w:lvlText w:val="（%1）"/>
      <w:lvlJc w:val="left"/>
      <w:rPr>
        <w:rFonts w:hint="eastAsia"/>
      </w:rPr>
    </w:lvl>
  </w:abstractNum>
  <w:abstractNum w:abstractNumId="2">
    <w:nsid w:val="43B8E3B3"/>
    <w:multiLevelType w:val="singleLevel"/>
    <w:tmpl w:val="43B8E3B3"/>
    <w:lvl w:ilvl="0" w:tentative="0">
      <w:start w:val="3"/>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IzYjBkMDE0MDUwZWU1MDYzY2M0YTJiMmIyMWQyNDYifQ=="/>
  </w:docVars>
  <w:rsids>
    <w:rsidRoot w:val="00B60549"/>
    <w:rsid w:val="000B28EA"/>
    <w:rsid w:val="00242145"/>
    <w:rsid w:val="002C7C22"/>
    <w:rsid w:val="003405CA"/>
    <w:rsid w:val="00362811"/>
    <w:rsid w:val="003F6DF1"/>
    <w:rsid w:val="00413329"/>
    <w:rsid w:val="00461D06"/>
    <w:rsid w:val="004646C6"/>
    <w:rsid w:val="004D7C54"/>
    <w:rsid w:val="00520AC4"/>
    <w:rsid w:val="00537157"/>
    <w:rsid w:val="006728E4"/>
    <w:rsid w:val="006C0888"/>
    <w:rsid w:val="007902AD"/>
    <w:rsid w:val="00794FD8"/>
    <w:rsid w:val="007E7FDC"/>
    <w:rsid w:val="007F1A02"/>
    <w:rsid w:val="00804F88"/>
    <w:rsid w:val="00857416"/>
    <w:rsid w:val="008816DE"/>
    <w:rsid w:val="008A416F"/>
    <w:rsid w:val="008A581A"/>
    <w:rsid w:val="009324B9"/>
    <w:rsid w:val="00951A78"/>
    <w:rsid w:val="0098347C"/>
    <w:rsid w:val="00992228"/>
    <w:rsid w:val="00A41B2F"/>
    <w:rsid w:val="00AA6359"/>
    <w:rsid w:val="00AD4442"/>
    <w:rsid w:val="00B05A5E"/>
    <w:rsid w:val="00B60549"/>
    <w:rsid w:val="00BB3EA6"/>
    <w:rsid w:val="00BC5C89"/>
    <w:rsid w:val="00BD3DD0"/>
    <w:rsid w:val="00CA169F"/>
    <w:rsid w:val="00CB1BA1"/>
    <w:rsid w:val="00D869E3"/>
    <w:rsid w:val="00D93261"/>
    <w:rsid w:val="00D94DBD"/>
    <w:rsid w:val="00DB113F"/>
    <w:rsid w:val="00E0484D"/>
    <w:rsid w:val="00E93D72"/>
    <w:rsid w:val="00EB734B"/>
    <w:rsid w:val="00EC1502"/>
    <w:rsid w:val="00EF1927"/>
    <w:rsid w:val="00F140B6"/>
    <w:rsid w:val="00F5095A"/>
    <w:rsid w:val="00F5243C"/>
    <w:rsid w:val="00FE0703"/>
    <w:rsid w:val="011A7F65"/>
    <w:rsid w:val="01303FFD"/>
    <w:rsid w:val="01431B20"/>
    <w:rsid w:val="0196206F"/>
    <w:rsid w:val="01967558"/>
    <w:rsid w:val="019727F8"/>
    <w:rsid w:val="01A65ADB"/>
    <w:rsid w:val="01A80840"/>
    <w:rsid w:val="01B21C9D"/>
    <w:rsid w:val="01B60247"/>
    <w:rsid w:val="01F74A0D"/>
    <w:rsid w:val="02216FEE"/>
    <w:rsid w:val="02322978"/>
    <w:rsid w:val="02F8286C"/>
    <w:rsid w:val="03203623"/>
    <w:rsid w:val="03366FA1"/>
    <w:rsid w:val="034A6452"/>
    <w:rsid w:val="037961DA"/>
    <w:rsid w:val="03BB534B"/>
    <w:rsid w:val="03F57D30"/>
    <w:rsid w:val="04253073"/>
    <w:rsid w:val="042E3C79"/>
    <w:rsid w:val="04417703"/>
    <w:rsid w:val="04527A55"/>
    <w:rsid w:val="046F50BD"/>
    <w:rsid w:val="04D3473A"/>
    <w:rsid w:val="04F375C6"/>
    <w:rsid w:val="05220CF5"/>
    <w:rsid w:val="0524591F"/>
    <w:rsid w:val="054F056F"/>
    <w:rsid w:val="057E699D"/>
    <w:rsid w:val="05F20D8B"/>
    <w:rsid w:val="06045A1E"/>
    <w:rsid w:val="06081A66"/>
    <w:rsid w:val="0608568E"/>
    <w:rsid w:val="061A7C1D"/>
    <w:rsid w:val="062F5980"/>
    <w:rsid w:val="06AB3A62"/>
    <w:rsid w:val="06F82BE0"/>
    <w:rsid w:val="073A0B51"/>
    <w:rsid w:val="07490787"/>
    <w:rsid w:val="07642BDD"/>
    <w:rsid w:val="07AB222D"/>
    <w:rsid w:val="07B05AC3"/>
    <w:rsid w:val="07B24103"/>
    <w:rsid w:val="07CC30E3"/>
    <w:rsid w:val="07FF40DA"/>
    <w:rsid w:val="08044B31"/>
    <w:rsid w:val="083276EC"/>
    <w:rsid w:val="08500049"/>
    <w:rsid w:val="08623C45"/>
    <w:rsid w:val="08A5055C"/>
    <w:rsid w:val="08B14334"/>
    <w:rsid w:val="08E13B2D"/>
    <w:rsid w:val="08E62769"/>
    <w:rsid w:val="08E80379"/>
    <w:rsid w:val="090A7A54"/>
    <w:rsid w:val="092804E5"/>
    <w:rsid w:val="0947033F"/>
    <w:rsid w:val="09FA68DE"/>
    <w:rsid w:val="0A1C76DB"/>
    <w:rsid w:val="0A3C3EB1"/>
    <w:rsid w:val="0AA6216A"/>
    <w:rsid w:val="0ABE15CF"/>
    <w:rsid w:val="0AF62741"/>
    <w:rsid w:val="0AF637C1"/>
    <w:rsid w:val="0AF83A39"/>
    <w:rsid w:val="0B000966"/>
    <w:rsid w:val="0B003CCF"/>
    <w:rsid w:val="0B346F57"/>
    <w:rsid w:val="0B3F3A03"/>
    <w:rsid w:val="0B4701B6"/>
    <w:rsid w:val="0B933C8E"/>
    <w:rsid w:val="0BBC4C03"/>
    <w:rsid w:val="0BCB7A63"/>
    <w:rsid w:val="0BE7114B"/>
    <w:rsid w:val="0C2A6C47"/>
    <w:rsid w:val="0C5428E0"/>
    <w:rsid w:val="0C682D50"/>
    <w:rsid w:val="0CB66556"/>
    <w:rsid w:val="0CBF11FE"/>
    <w:rsid w:val="0CC56427"/>
    <w:rsid w:val="0D140682"/>
    <w:rsid w:val="0D482E86"/>
    <w:rsid w:val="0D601C42"/>
    <w:rsid w:val="0D764741"/>
    <w:rsid w:val="0D862E2B"/>
    <w:rsid w:val="0D862F58"/>
    <w:rsid w:val="0DBC5A02"/>
    <w:rsid w:val="0E105BEA"/>
    <w:rsid w:val="0E4C3DFC"/>
    <w:rsid w:val="0E4D21CB"/>
    <w:rsid w:val="0E4D5BCD"/>
    <w:rsid w:val="0E4E741C"/>
    <w:rsid w:val="0E543BD3"/>
    <w:rsid w:val="0E802D3E"/>
    <w:rsid w:val="0E88739B"/>
    <w:rsid w:val="0E966251"/>
    <w:rsid w:val="0EA14F4B"/>
    <w:rsid w:val="0EA571D2"/>
    <w:rsid w:val="0EB05A49"/>
    <w:rsid w:val="0EDF2C4E"/>
    <w:rsid w:val="0EEC48C9"/>
    <w:rsid w:val="0EEF4FBF"/>
    <w:rsid w:val="0EFC02E4"/>
    <w:rsid w:val="0F3811DB"/>
    <w:rsid w:val="0F650581"/>
    <w:rsid w:val="0F761443"/>
    <w:rsid w:val="0FBB69AC"/>
    <w:rsid w:val="1025540D"/>
    <w:rsid w:val="103B421B"/>
    <w:rsid w:val="10596534"/>
    <w:rsid w:val="106C6A80"/>
    <w:rsid w:val="10724450"/>
    <w:rsid w:val="10AB5CBF"/>
    <w:rsid w:val="10F22672"/>
    <w:rsid w:val="111B1C18"/>
    <w:rsid w:val="111C1BF6"/>
    <w:rsid w:val="11334BBD"/>
    <w:rsid w:val="1135769B"/>
    <w:rsid w:val="113C1502"/>
    <w:rsid w:val="11493EB8"/>
    <w:rsid w:val="11885825"/>
    <w:rsid w:val="1196669F"/>
    <w:rsid w:val="11AA170E"/>
    <w:rsid w:val="11B8134E"/>
    <w:rsid w:val="11EA618B"/>
    <w:rsid w:val="12172C30"/>
    <w:rsid w:val="12332CF4"/>
    <w:rsid w:val="12484BF3"/>
    <w:rsid w:val="12665831"/>
    <w:rsid w:val="12767B0A"/>
    <w:rsid w:val="12CA723D"/>
    <w:rsid w:val="12E5048A"/>
    <w:rsid w:val="12F50E95"/>
    <w:rsid w:val="12FB072B"/>
    <w:rsid w:val="130A2A40"/>
    <w:rsid w:val="13247387"/>
    <w:rsid w:val="13720492"/>
    <w:rsid w:val="13BA2ECB"/>
    <w:rsid w:val="13CA6A90"/>
    <w:rsid w:val="13D223C9"/>
    <w:rsid w:val="13E1489E"/>
    <w:rsid w:val="140E0CB8"/>
    <w:rsid w:val="142D64F0"/>
    <w:rsid w:val="143E786D"/>
    <w:rsid w:val="143F2545"/>
    <w:rsid w:val="14477EFA"/>
    <w:rsid w:val="14522A65"/>
    <w:rsid w:val="14592278"/>
    <w:rsid w:val="146B0725"/>
    <w:rsid w:val="14843439"/>
    <w:rsid w:val="14B3222C"/>
    <w:rsid w:val="14BE1E1B"/>
    <w:rsid w:val="14CB6FAC"/>
    <w:rsid w:val="14EB4E70"/>
    <w:rsid w:val="14EE6A15"/>
    <w:rsid w:val="150F66F4"/>
    <w:rsid w:val="15136BE1"/>
    <w:rsid w:val="152C4475"/>
    <w:rsid w:val="15585866"/>
    <w:rsid w:val="156066D1"/>
    <w:rsid w:val="1586705C"/>
    <w:rsid w:val="15B22F34"/>
    <w:rsid w:val="15B56B42"/>
    <w:rsid w:val="15E367C7"/>
    <w:rsid w:val="16935DD8"/>
    <w:rsid w:val="17146788"/>
    <w:rsid w:val="17300CEA"/>
    <w:rsid w:val="17572CC4"/>
    <w:rsid w:val="177F7D05"/>
    <w:rsid w:val="178C1302"/>
    <w:rsid w:val="17A80218"/>
    <w:rsid w:val="17AE66AB"/>
    <w:rsid w:val="17E2601E"/>
    <w:rsid w:val="17F3423D"/>
    <w:rsid w:val="18093732"/>
    <w:rsid w:val="18144775"/>
    <w:rsid w:val="18565229"/>
    <w:rsid w:val="18756072"/>
    <w:rsid w:val="18E23F12"/>
    <w:rsid w:val="192D0455"/>
    <w:rsid w:val="194E3E35"/>
    <w:rsid w:val="19A05834"/>
    <w:rsid w:val="19B03C56"/>
    <w:rsid w:val="19E94816"/>
    <w:rsid w:val="1A366696"/>
    <w:rsid w:val="1A5B704B"/>
    <w:rsid w:val="1ABC4322"/>
    <w:rsid w:val="1AE01239"/>
    <w:rsid w:val="1AEA3E3B"/>
    <w:rsid w:val="1B272664"/>
    <w:rsid w:val="1B872DE7"/>
    <w:rsid w:val="1BB43B98"/>
    <w:rsid w:val="1BC22AF5"/>
    <w:rsid w:val="1BDD64C4"/>
    <w:rsid w:val="1C09374B"/>
    <w:rsid w:val="1C0F475C"/>
    <w:rsid w:val="1C1D4A99"/>
    <w:rsid w:val="1C232174"/>
    <w:rsid w:val="1C2F4160"/>
    <w:rsid w:val="1C8F5B80"/>
    <w:rsid w:val="1C9D22A8"/>
    <w:rsid w:val="1CEB33E5"/>
    <w:rsid w:val="1D102F8E"/>
    <w:rsid w:val="1D30008D"/>
    <w:rsid w:val="1D370CCD"/>
    <w:rsid w:val="1D3A2F68"/>
    <w:rsid w:val="1D71275A"/>
    <w:rsid w:val="1D7C0744"/>
    <w:rsid w:val="1D891E75"/>
    <w:rsid w:val="1DB76AC2"/>
    <w:rsid w:val="1E691BB9"/>
    <w:rsid w:val="1EA95B4F"/>
    <w:rsid w:val="1EAC0A22"/>
    <w:rsid w:val="1EAF1B9C"/>
    <w:rsid w:val="1EEE3318"/>
    <w:rsid w:val="1F1B7ADD"/>
    <w:rsid w:val="1F585DFC"/>
    <w:rsid w:val="1F7F3B0C"/>
    <w:rsid w:val="1FF37588"/>
    <w:rsid w:val="1FFC4475"/>
    <w:rsid w:val="2027455D"/>
    <w:rsid w:val="20430411"/>
    <w:rsid w:val="20462389"/>
    <w:rsid w:val="204C025E"/>
    <w:rsid w:val="20524A58"/>
    <w:rsid w:val="20543EFD"/>
    <w:rsid w:val="20755AD6"/>
    <w:rsid w:val="209D3176"/>
    <w:rsid w:val="2109434D"/>
    <w:rsid w:val="210B3B0D"/>
    <w:rsid w:val="210E3FF7"/>
    <w:rsid w:val="213A784A"/>
    <w:rsid w:val="2147538B"/>
    <w:rsid w:val="216D7521"/>
    <w:rsid w:val="21BB2913"/>
    <w:rsid w:val="21C329ED"/>
    <w:rsid w:val="21D7411B"/>
    <w:rsid w:val="21E51BF5"/>
    <w:rsid w:val="2206390C"/>
    <w:rsid w:val="22151AE4"/>
    <w:rsid w:val="22347A50"/>
    <w:rsid w:val="2259629D"/>
    <w:rsid w:val="225E6832"/>
    <w:rsid w:val="22772705"/>
    <w:rsid w:val="2279064F"/>
    <w:rsid w:val="2286121C"/>
    <w:rsid w:val="229628E4"/>
    <w:rsid w:val="22BF5081"/>
    <w:rsid w:val="22C3004D"/>
    <w:rsid w:val="22ED0720"/>
    <w:rsid w:val="22F82060"/>
    <w:rsid w:val="233D55AB"/>
    <w:rsid w:val="234750A5"/>
    <w:rsid w:val="2362415D"/>
    <w:rsid w:val="239062E0"/>
    <w:rsid w:val="239E759F"/>
    <w:rsid w:val="23C450AC"/>
    <w:rsid w:val="23E559A6"/>
    <w:rsid w:val="23F508EC"/>
    <w:rsid w:val="242B69EF"/>
    <w:rsid w:val="242D082B"/>
    <w:rsid w:val="24350B15"/>
    <w:rsid w:val="245579B9"/>
    <w:rsid w:val="24A85509"/>
    <w:rsid w:val="24AD66FB"/>
    <w:rsid w:val="24B036C6"/>
    <w:rsid w:val="24B25916"/>
    <w:rsid w:val="24B65385"/>
    <w:rsid w:val="24C934C5"/>
    <w:rsid w:val="24EA76FE"/>
    <w:rsid w:val="24F600E0"/>
    <w:rsid w:val="25425EEE"/>
    <w:rsid w:val="256774E4"/>
    <w:rsid w:val="25F03044"/>
    <w:rsid w:val="25FF4312"/>
    <w:rsid w:val="26443F4C"/>
    <w:rsid w:val="265D7666"/>
    <w:rsid w:val="26755A9E"/>
    <w:rsid w:val="267808CE"/>
    <w:rsid w:val="269208E5"/>
    <w:rsid w:val="26A00D01"/>
    <w:rsid w:val="26AB5E6C"/>
    <w:rsid w:val="26C82A55"/>
    <w:rsid w:val="26FC5DF5"/>
    <w:rsid w:val="271E621D"/>
    <w:rsid w:val="272B2777"/>
    <w:rsid w:val="27412DF3"/>
    <w:rsid w:val="27482D19"/>
    <w:rsid w:val="27600B19"/>
    <w:rsid w:val="27633F70"/>
    <w:rsid w:val="27747FC4"/>
    <w:rsid w:val="277F6033"/>
    <w:rsid w:val="27BB4AC0"/>
    <w:rsid w:val="27E96745"/>
    <w:rsid w:val="27EC6E09"/>
    <w:rsid w:val="27FD421C"/>
    <w:rsid w:val="281510E0"/>
    <w:rsid w:val="282316FA"/>
    <w:rsid w:val="284F7113"/>
    <w:rsid w:val="28742529"/>
    <w:rsid w:val="2883510B"/>
    <w:rsid w:val="28D83F9A"/>
    <w:rsid w:val="28DB3191"/>
    <w:rsid w:val="28DE63E7"/>
    <w:rsid w:val="29055171"/>
    <w:rsid w:val="290E2854"/>
    <w:rsid w:val="29262E43"/>
    <w:rsid w:val="29365BD0"/>
    <w:rsid w:val="294615E4"/>
    <w:rsid w:val="2966194A"/>
    <w:rsid w:val="297D7030"/>
    <w:rsid w:val="29914139"/>
    <w:rsid w:val="29965517"/>
    <w:rsid w:val="299D58EC"/>
    <w:rsid w:val="29CA51B6"/>
    <w:rsid w:val="2A03090D"/>
    <w:rsid w:val="2A484F76"/>
    <w:rsid w:val="2A487B7A"/>
    <w:rsid w:val="2A5679BA"/>
    <w:rsid w:val="2A7F5137"/>
    <w:rsid w:val="2AD6533C"/>
    <w:rsid w:val="2AE95A8D"/>
    <w:rsid w:val="2B347883"/>
    <w:rsid w:val="2B3E357C"/>
    <w:rsid w:val="2B4B1998"/>
    <w:rsid w:val="2B803493"/>
    <w:rsid w:val="2B996815"/>
    <w:rsid w:val="2B9E5D0A"/>
    <w:rsid w:val="2BC3688E"/>
    <w:rsid w:val="2BE23EF2"/>
    <w:rsid w:val="2BF811AE"/>
    <w:rsid w:val="2C004E4A"/>
    <w:rsid w:val="2C17689C"/>
    <w:rsid w:val="2C4A2E32"/>
    <w:rsid w:val="2C67002F"/>
    <w:rsid w:val="2C740280"/>
    <w:rsid w:val="2CAC0DED"/>
    <w:rsid w:val="2CE8764B"/>
    <w:rsid w:val="2CE916A0"/>
    <w:rsid w:val="2CFD1BA7"/>
    <w:rsid w:val="2D646102"/>
    <w:rsid w:val="2D7C79A2"/>
    <w:rsid w:val="2DBF70BD"/>
    <w:rsid w:val="2DC91368"/>
    <w:rsid w:val="2DF04A8F"/>
    <w:rsid w:val="2E901F16"/>
    <w:rsid w:val="2E9C1044"/>
    <w:rsid w:val="2E9D20EC"/>
    <w:rsid w:val="2EB456D7"/>
    <w:rsid w:val="2EB81E4E"/>
    <w:rsid w:val="2F113BE5"/>
    <w:rsid w:val="2F262753"/>
    <w:rsid w:val="2F270054"/>
    <w:rsid w:val="2F8361AE"/>
    <w:rsid w:val="2FA71930"/>
    <w:rsid w:val="2FE14059"/>
    <w:rsid w:val="2FE20BD8"/>
    <w:rsid w:val="2FE40BFD"/>
    <w:rsid w:val="2FE5547E"/>
    <w:rsid w:val="300D3B2C"/>
    <w:rsid w:val="30310130"/>
    <w:rsid w:val="3035074B"/>
    <w:rsid w:val="3066443D"/>
    <w:rsid w:val="30757215"/>
    <w:rsid w:val="30793738"/>
    <w:rsid w:val="30860960"/>
    <w:rsid w:val="308E78D5"/>
    <w:rsid w:val="30962F10"/>
    <w:rsid w:val="30AA1BD2"/>
    <w:rsid w:val="30BA2778"/>
    <w:rsid w:val="30F235F0"/>
    <w:rsid w:val="31060447"/>
    <w:rsid w:val="314506D2"/>
    <w:rsid w:val="3146543D"/>
    <w:rsid w:val="31642DB4"/>
    <w:rsid w:val="31837387"/>
    <w:rsid w:val="319F17AD"/>
    <w:rsid w:val="31BF20EF"/>
    <w:rsid w:val="31EA2AAA"/>
    <w:rsid w:val="31F2124B"/>
    <w:rsid w:val="32057BA7"/>
    <w:rsid w:val="320F1E41"/>
    <w:rsid w:val="3253317A"/>
    <w:rsid w:val="32777ABD"/>
    <w:rsid w:val="32B55712"/>
    <w:rsid w:val="32C4330F"/>
    <w:rsid w:val="32E560FE"/>
    <w:rsid w:val="33297F21"/>
    <w:rsid w:val="33323549"/>
    <w:rsid w:val="336F2E7E"/>
    <w:rsid w:val="33715053"/>
    <w:rsid w:val="338D5E52"/>
    <w:rsid w:val="33925430"/>
    <w:rsid w:val="33A4310C"/>
    <w:rsid w:val="33A643C7"/>
    <w:rsid w:val="33C40BC0"/>
    <w:rsid w:val="33DD2C91"/>
    <w:rsid w:val="33E40E1A"/>
    <w:rsid w:val="33EF17BD"/>
    <w:rsid w:val="341F1392"/>
    <w:rsid w:val="346A11C0"/>
    <w:rsid w:val="34843AA5"/>
    <w:rsid w:val="34960442"/>
    <w:rsid w:val="34BB744E"/>
    <w:rsid w:val="34E406B2"/>
    <w:rsid w:val="35663DE8"/>
    <w:rsid w:val="359063DB"/>
    <w:rsid w:val="35AE5B04"/>
    <w:rsid w:val="35C1080D"/>
    <w:rsid w:val="35E23EA3"/>
    <w:rsid w:val="35EB3481"/>
    <w:rsid w:val="36127347"/>
    <w:rsid w:val="36321AB2"/>
    <w:rsid w:val="365774CB"/>
    <w:rsid w:val="36637691"/>
    <w:rsid w:val="368129E0"/>
    <w:rsid w:val="369C238B"/>
    <w:rsid w:val="36AF3E98"/>
    <w:rsid w:val="36B06E39"/>
    <w:rsid w:val="36C22772"/>
    <w:rsid w:val="36D84ECF"/>
    <w:rsid w:val="36F332C2"/>
    <w:rsid w:val="37052040"/>
    <w:rsid w:val="372C4DAC"/>
    <w:rsid w:val="37380672"/>
    <w:rsid w:val="374E10D0"/>
    <w:rsid w:val="37513560"/>
    <w:rsid w:val="37582427"/>
    <w:rsid w:val="3761312A"/>
    <w:rsid w:val="377F4539"/>
    <w:rsid w:val="37936642"/>
    <w:rsid w:val="379E1CA7"/>
    <w:rsid w:val="37B54803"/>
    <w:rsid w:val="37FF04B8"/>
    <w:rsid w:val="38002F5A"/>
    <w:rsid w:val="381B0588"/>
    <w:rsid w:val="38261014"/>
    <w:rsid w:val="384276A8"/>
    <w:rsid w:val="384E15ED"/>
    <w:rsid w:val="38835929"/>
    <w:rsid w:val="389614A1"/>
    <w:rsid w:val="38A06ACA"/>
    <w:rsid w:val="38A416CB"/>
    <w:rsid w:val="38D20AB3"/>
    <w:rsid w:val="39232018"/>
    <w:rsid w:val="393E0ADE"/>
    <w:rsid w:val="39A94E91"/>
    <w:rsid w:val="39CC2F9D"/>
    <w:rsid w:val="3A2D3A43"/>
    <w:rsid w:val="3A5A082B"/>
    <w:rsid w:val="3A60713E"/>
    <w:rsid w:val="3A7B64E8"/>
    <w:rsid w:val="3A8A5A70"/>
    <w:rsid w:val="3A997C61"/>
    <w:rsid w:val="3AA53AEF"/>
    <w:rsid w:val="3AD039B4"/>
    <w:rsid w:val="3B0C5326"/>
    <w:rsid w:val="3B0F594A"/>
    <w:rsid w:val="3B524E50"/>
    <w:rsid w:val="3B71413B"/>
    <w:rsid w:val="3B871355"/>
    <w:rsid w:val="3BB163D0"/>
    <w:rsid w:val="3BB3110B"/>
    <w:rsid w:val="3BFB3CBD"/>
    <w:rsid w:val="3C12336D"/>
    <w:rsid w:val="3C2346A1"/>
    <w:rsid w:val="3C2749AA"/>
    <w:rsid w:val="3C2F3413"/>
    <w:rsid w:val="3C3B0A9A"/>
    <w:rsid w:val="3C6036FE"/>
    <w:rsid w:val="3C652842"/>
    <w:rsid w:val="3C963D1D"/>
    <w:rsid w:val="3CEA078B"/>
    <w:rsid w:val="3CEC119E"/>
    <w:rsid w:val="3D102321"/>
    <w:rsid w:val="3D227269"/>
    <w:rsid w:val="3D2D49B5"/>
    <w:rsid w:val="3D3D419D"/>
    <w:rsid w:val="3D3D50A2"/>
    <w:rsid w:val="3D5C6A2B"/>
    <w:rsid w:val="3D7D3315"/>
    <w:rsid w:val="3D8F5877"/>
    <w:rsid w:val="3DD649F9"/>
    <w:rsid w:val="3DFD0F8A"/>
    <w:rsid w:val="3E0C2959"/>
    <w:rsid w:val="3E7349B5"/>
    <w:rsid w:val="3E9D60C4"/>
    <w:rsid w:val="3F1A3C89"/>
    <w:rsid w:val="3F3B4EF5"/>
    <w:rsid w:val="3F617595"/>
    <w:rsid w:val="3F6E291A"/>
    <w:rsid w:val="3F6F2CA4"/>
    <w:rsid w:val="40045591"/>
    <w:rsid w:val="40212FD6"/>
    <w:rsid w:val="40226341"/>
    <w:rsid w:val="402D2F82"/>
    <w:rsid w:val="40440979"/>
    <w:rsid w:val="40541A84"/>
    <w:rsid w:val="40795E81"/>
    <w:rsid w:val="408819A8"/>
    <w:rsid w:val="40B86483"/>
    <w:rsid w:val="40C11948"/>
    <w:rsid w:val="40F626AD"/>
    <w:rsid w:val="41663523"/>
    <w:rsid w:val="418945E0"/>
    <w:rsid w:val="419C2A2A"/>
    <w:rsid w:val="41A53200"/>
    <w:rsid w:val="41EC4EC1"/>
    <w:rsid w:val="421E5734"/>
    <w:rsid w:val="42A12457"/>
    <w:rsid w:val="42A576C8"/>
    <w:rsid w:val="436317C0"/>
    <w:rsid w:val="43664346"/>
    <w:rsid w:val="438E669F"/>
    <w:rsid w:val="43AF0D8C"/>
    <w:rsid w:val="43CB60BC"/>
    <w:rsid w:val="43D050B7"/>
    <w:rsid w:val="43F01442"/>
    <w:rsid w:val="44234DDC"/>
    <w:rsid w:val="442942EF"/>
    <w:rsid w:val="44587218"/>
    <w:rsid w:val="446A6590"/>
    <w:rsid w:val="446E452A"/>
    <w:rsid w:val="447946BC"/>
    <w:rsid w:val="44A16BB8"/>
    <w:rsid w:val="44C06773"/>
    <w:rsid w:val="450135B2"/>
    <w:rsid w:val="45110E25"/>
    <w:rsid w:val="45212E1D"/>
    <w:rsid w:val="455474B7"/>
    <w:rsid w:val="4578025D"/>
    <w:rsid w:val="457B50A7"/>
    <w:rsid w:val="459647AD"/>
    <w:rsid w:val="45F57A72"/>
    <w:rsid w:val="45FA238A"/>
    <w:rsid w:val="45FC0590"/>
    <w:rsid w:val="46155F01"/>
    <w:rsid w:val="46321365"/>
    <w:rsid w:val="463F0FBC"/>
    <w:rsid w:val="46416A09"/>
    <w:rsid w:val="464934AC"/>
    <w:rsid w:val="46621029"/>
    <w:rsid w:val="467614E6"/>
    <w:rsid w:val="46920508"/>
    <w:rsid w:val="46C76D13"/>
    <w:rsid w:val="46E612CB"/>
    <w:rsid w:val="46EF0E1D"/>
    <w:rsid w:val="46FC1033"/>
    <w:rsid w:val="47383B43"/>
    <w:rsid w:val="47B14A2D"/>
    <w:rsid w:val="47C2316A"/>
    <w:rsid w:val="47CB6AB0"/>
    <w:rsid w:val="47CE3ED9"/>
    <w:rsid w:val="47D7488F"/>
    <w:rsid w:val="47D80A79"/>
    <w:rsid w:val="47E3636E"/>
    <w:rsid w:val="47F965FE"/>
    <w:rsid w:val="4807103B"/>
    <w:rsid w:val="48131159"/>
    <w:rsid w:val="48235D10"/>
    <w:rsid w:val="48384FA7"/>
    <w:rsid w:val="483B0FBF"/>
    <w:rsid w:val="483D7C76"/>
    <w:rsid w:val="485D559C"/>
    <w:rsid w:val="486F193A"/>
    <w:rsid w:val="48A523BB"/>
    <w:rsid w:val="48D23157"/>
    <w:rsid w:val="48EE372E"/>
    <w:rsid w:val="48FA6B00"/>
    <w:rsid w:val="490C642F"/>
    <w:rsid w:val="494E4E45"/>
    <w:rsid w:val="498A6ED1"/>
    <w:rsid w:val="49CA4557"/>
    <w:rsid w:val="49FC2CFB"/>
    <w:rsid w:val="4A1B49DA"/>
    <w:rsid w:val="4A2813D3"/>
    <w:rsid w:val="4A38793E"/>
    <w:rsid w:val="4A475A6A"/>
    <w:rsid w:val="4A6A4A19"/>
    <w:rsid w:val="4A7F11BF"/>
    <w:rsid w:val="4A9B45BE"/>
    <w:rsid w:val="4AA31707"/>
    <w:rsid w:val="4AB84A8C"/>
    <w:rsid w:val="4ABF08B3"/>
    <w:rsid w:val="4AC309DA"/>
    <w:rsid w:val="4AC768C8"/>
    <w:rsid w:val="4B0318A3"/>
    <w:rsid w:val="4B0413BD"/>
    <w:rsid w:val="4B2E4F72"/>
    <w:rsid w:val="4B600173"/>
    <w:rsid w:val="4B806BEB"/>
    <w:rsid w:val="4B8E7F48"/>
    <w:rsid w:val="4BD84831"/>
    <w:rsid w:val="4BE21265"/>
    <w:rsid w:val="4BE34905"/>
    <w:rsid w:val="4C167A76"/>
    <w:rsid w:val="4C1B2332"/>
    <w:rsid w:val="4C7712F9"/>
    <w:rsid w:val="4C7E5D9E"/>
    <w:rsid w:val="4C860E3E"/>
    <w:rsid w:val="4CB11E8C"/>
    <w:rsid w:val="4D22007D"/>
    <w:rsid w:val="4D2629D4"/>
    <w:rsid w:val="4D48305D"/>
    <w:rsid w:val="4D8B743E"/>
    <w:rsid w:val="4D904C53"/>
    <w:rsid w:val="4D9F763A"/>
    <w:rsid w:val="4DB04F08"/>
    <w:rsid w:val="4DD523A6"/>
    <w:rsid w:val="4E0B34DA"/>
    <w:rsid w:val="4E395DCC"/>
    <w:rsid w:val="4E532524"/>
    <w:rsid w:val="4E9B14A1"/>
    <w:rsid w:val="4EA04FC7"/>
    <w:rsid w:val="4ECB6FAF"/>
    <w:rsid w:val="4EEB25D9"/>
    <w:rsid w:val="4EEB3D37"/>
    <w:rsid w:val="4EFF2CF7"/>
    <w:rsid w:val="4F390F35"/>
    <w:rsid w:val="4F4D0694"/>
    <w:rsid w:val="4F505781"/>
    <w:rsid w:val="4F6F22EF"/>
    <w:rsid w:val="4FDC5C76"/>
    <w:rsid w:val="4FFE47FD"/>
    <w:rsid w:val="50012F9E"/>
    <w:rsid w:val="50766083"/>
    <w:rsid w:val="50B24A02"/>
    <w:rsid w:val="50BF4537"/>
    <w:rsid w:val="50C478E6"/>
    <w:rsid w:val="50D7051F"/>
    <w:rsid w:val="50D7772C"/>
    <w:rsid w:val="50F203A8"/>
    <w:rsid w:val="50F52156"/>
    <w:rsid w:val="50FD2B89"/>
    <w:rsid w:val="511E403D"/>
    <w:rsid w:val="512A35BB"/>
    <w:rsid w:val="513955BA"/>
    <w:rsid w:val="51816A34"/>
    <w:rsid w:val="51A82755"/>
    <w:rsid w:val="51C94340"/>
    <w:rsid w:val="51CA55F2"/>
    <w:rsid w:val="51ED710E"/>
    <w:rsid w:val="51FB0EED"/>
    <w:rsid w:val="52357029"/>
    <w:rsid w:val="5242159F"/>
    <w:rsid w:val="524C5612"/>
    <w:rsid w:val="526B6824"/>
    <w:rsid w:val="527026A8"/>
    <w:rsid w:val="5272277A"/>
    <w:rsid w:val="527533FF"/>
    <w:rsid w:val="52CC211F"/>
    <w:rsid w:val="52D8761C"/>
    <w:rsid w:val="52E367EB"/>
    <w:rsid w:val="52EB18CD"/>
    <w:rsid w:val="52F55297"/>
    <w:rsid w:val="530F76E0"/>
    <w:rsid w:val="53333830"/>
    <w:rsid w:val="53553BE2"/>
    <w:rsid w:val="53690469"/>
    <w:rsid w:val="53761CFD"/>
    <w:rsid w:val="537A0B55"/>
    <w:rsid w:val="53927227"/>
    <w:rsid w:val="53A86832"/>
    <w:rsid w:val="53B96947"/>
    <w:rsid w:val="54011BAC"/>
    <w:rsid w:val="542C3573"/>
    <w:rsid w:val="54430F60"/>
    <w:rsid w:val="547E0F78"/>
    <w:rsid w:val="54AE3F8E"/>
    <w:rsid w:val="54EB69C3"/>
    <w:rsid w:val="5511354F"/>
    <w:rsid w:val="552A7FE7"/>
    <w:rsid w:val="557115C3"/>
    <w:rsid w:val="559D435C"/>
    <w:rsid w:val="55B10DDB"/>
    <w:rsid w:val="56123F39"/>
    <w:rsid w:val="561867D0"/>
    <w:rsid w:val="56704B31"/>
    <w:rsid w:val="56A04549"/>
    <w:rsid w:val="56D63DC1"/>
    <w:rsid w:val="56E36CDD"/>
    <w:rsid w:val="57004A13"/>
    <w:rsid w:val="57290703"/>
    <w:rsid w:val="57755834"/>
    <w:rsid w:val="5778503F"/>
    <w:rsid w:val="57D46CB6"/>
    <w:rsid w:val="580072F7"/>
    <w:rsid w:val="58155B8F"/>
    <w:rsid w:val="58210C7C"/>
    <w:rsid w:val="58331C13"/>
    <w:rsid w:val="58653A7E"/>
    <w:rsid w:val="58AA1A0F"/>
    <w:rsid w:val="58B1559E"/>
    <w:rsid w:val="58B67703"/>
    <w:rsid w:val="58D4455C"/>
    <w:rsid w:val="58F608CA"/>
    <w:rsid w:val="594777D3"/>
    <w:rsid w:val="59503039"/>
    <w:rsid w:val="596217AD"/>
    <w:rsid w:val="59630491"/>
    <w:rsid w:val="59E815D6"/>
    <w:rsid w:val="59EF1D34"/>
    <w:rsid w:val="5A1E652B"/>
    <w:rsid w:val="5A247CF7"/>
    <w:rsid w:val="5A483A59"/>
    <w:rsid w:val="5A7765CF"/>
    <w:rsid w:val="5A892135"/>
    <w:rsid w:val="5AAC75BC"/>
    <w:rsid w:val="5AD4657A"/>
    <w:rsid w:val="5B307250"/>
    <w:rsid w:val="5B3514BC"/>
    <w:rsid w:val="5B3A21A7"/>
    <w:rsid w:val="5B45758E"/>
    <w:rsid w:val="5B4F0206"/>
    <w:rsid w:val="5B5E4980"/>
    <w:rsid w:val="5B6D4B1A"/>
    <w:rsid w:val="5BAA3765"/>
    <w:rsid w:val="5BAC5CC3"/>
    <w:rsid w:val="5BB567F1"/>
    <w:rsid w:val="5BC42066"/>
    <w:rsid w:val="5BC72601"/>
    <w:rsid w:val="5BDB25A7"/>
    <w:rsid w:val="5BDB672B"/>
    <w:rsid w:val="5BFC1276"/>
    <w:rsid w:val="5C3921AA"/>
    <w:rsid w:val="5C753A13"/>
    <w:rsid w:val="5C842DAA"/>
    <w:rsid w:val="5C876486"/>
    <w:rsid w:val="5C89787E"/>
    <w:rsid w:val="5C8A61F9"/>
    <w:rsid w:val="5CB5343A"/>
    <w:rsid w:val="5CF87406"/>
    <w:rsid w:val="5D0529D2"/>
    <w:rsid w:val="5D077506"/>
    <w:rsid w:val="5D0E1677"/>
    <w:rsid w:val="5D2E73B7"/>
    <w:rsid w:val="5D7D0691"/>
    <w:rsid w:val="5DB30833"/>
    <w:rsid w:val="5DBB2351"/>
    <w:rsid w:val="5E2832C0"/>
    <w:rsid w:val="5E4C439C"/>
    <w:rsid w:val="5E5110F5"/>
    <w:rsid w:val="5E973DA2"/>
    <w:rsid w:val="5EA23ED1"/>
    <w:rsid w:val="5EA2501C"/>
    <w:rsid w:val="5EBF04DF"/>
    <w:rsid w:val="5EC97EE4"/>
    <w:rsid w:val="5EDA288D"/>
    <w:rsid w:val="5EF15D3B"/>
    <w:rsid w:val="5F094C7D"/>
    <w:rsid w:val="5F213C19"/>
    <w:rsid w:val="5F3B63D8"/>
    <w:rsid w:val="5F443C5F"/>
    <w:rsid w:val="5F54163A"/>
    <w:rsid w:val="5F550FA9"/>
    <w:rsid w:val="5F6417F4"/>
    <w:rsid w:val="5F6533F3"/>
    <w:rsid w:val="5F71733F"/>
    <w:rsid w:val="5F980975"/>
    <w:rsid w:val="5FF51C2C"/>
    <w:rsid w:val="600152EA"/>
    <w:rsid w:val="602826AC"/>
    <w:rsid w:val="60321366"/>
    <w:rsid w:val="60363865"/>
    <w:rsid w:val="60453C66"/>
    <w:rsid w:val="61727A23"/>
    <w:rsid w:val="618E23BF"/>
    <w:rsid w:val="619E013E"/>
    <w:rsid w:val="61D74482"/>
    <w:rsid w:val="61E66DAB"/>
    <w:rsid w:val="61F84C0E"/>
    <w:rsid w:val="623C11FA"/>
    <w:rsid w:val="62421F81"/>
    <w:rsid w:val="62564486"/>
    <w:rsid w:val="62571386"/>
    <w:rsid w:val="62894754"/>
    <w:rsid w:val="628D560C"/>
    <w:rsid w:val="62922E0D"/>
    <w:rsid w:val="62C34EF6"/>
    <w:rsid w:val="63135A63"/>
    <w:rsid w:val="63231A48"/>
    <w:rsid w:val="63265967"/>
    <w:rsid w:val="63415C07"/>
    <w:rsid w:val="637E5B1E"/>
    <w:rsid w:val="63951D40"/>
    <w:rsid w:val="639A5C61"/>
    <w:rsid w:val="63A81199"/>
    <w:rsid w:val="645D28D0"/>
    <w:rsid w:val="645E0EC6"/>
    <w:rsid w:val="64664E06"/>
    <w:rsid w:val="647A4534"/>
    <w:rsid w:val="64930D27"/>
    <w:rsid w:val="64C61F68"/>
    <w:rsid w:val="64DF5AF4"/>
    <w:rsid w:val="64E31D58"/>
    <w:rsid w:val="652B0B42"/>
    <w:rsid w:val="655A1B6F"/>
    <w:rsid w:val="6565317F"/>
    <w:rsid w:val="65860B1C"/>
    <w:rsid w:val="65AF5DA3"/>
    <w:rsid w:val="65D01DA9"/>
    <w:rsid w:val="65D427EB"/>
    <w:rsid w:val="66062660"/>
    <w:rsid w:val="66151CC0"/>
    <w:rsid w:val="661643EC"/>
    <w:rsid w:val="662A169A"/>
    <w:rsid w:val="663E7FBA"/>
    <w:rsid w:val="66B37678"/>
    <w:rsid w:val="67094037"/>
    <w:rsid w:val="67297C18"/>
    <w:rsid w:val="673E111A"/>
    <w:rsid w:val="678C169E"/>
    <w:rsid w:val="679E4341"/>
    <w:rsid w:val="67CF47C3"/>
    <w:rsid w:val="67F72BA1"/>
    <w:rsid w:val="68026E45"/>
    <w:rsid w:val="68452C56"/>
    <w:rsid w:val="684F597E"/>
    <w:rsid w:val="68781C75"/>
    <w:rsid w:val="68993E43"/>
    <w:rsid w:val="68A60DDF"/>
    <w:rsid w:val="68C251D1"/>
    <w:rsid w:val="68F071DA"/>
    <w:rsid w:val="69330877"/>
    <w:rsid w:val="694F6227"/>
    <w:rsid w:val="69504CB2"/>
    <w:rsid w:val="6982341F"/>
    <w:rsid w:val="69CC7091"/>
    <w:rsid w:val="69D17D43"/>
    <w:rsid w:val="69D237A1"/>
    <w:rsid w:val="69DA3028"/>
    <w:rsid w:val="6A04025D"/>
    <w:rsid w:val="6A0402C6"/>
    <w:rsid w:val="6A1B534B"/>
    <w:rsid w:val="6A417C7E"/>
    <w:rsid w:val="6A8974C3"/>
    <w:rsid w:val="6A9C6438"/>
    <w:rsid w:val="6AEC49E8"/>
    <w:rsid w:val="6AED5613"/>
    <w:rsid w:val="6AEF5B2D"/>
    <w:rsid w:val="6B4559EA"/>
    <w:rsid w:val="6B535C16"/>
    <w:rsid w:val="6B5756D3"/>
    <w:rsid w:val="6BC11DF7"/>
    <w:rsid w:val="6BC969CF"/>
    <w:rsid w:val="6BD00CF0"/>
    <w:rsid w:val="6BEE5A83"/>
    <w:rsid w:val="6BF74491"/>
    <w:rsid w:val="6C0C2921"/>
    <w:rsid w:val="6C105DF8"/>
    <w:rsid w:val="6C2F06A3"/>
    <w:rsid w:val="6C612812"/>
    <w:rsid w:val="6C682691"/>
    <w:rsid w:val="6C767B23"/>
    <w:rsid w:val="6C7867D1"/>
    <w:rsid w:val="6C812E4B"/>
    <w:rsid w:val="6C816061"/>
    <w:rsid w:val="6CB702BA"/>
    <w:rsid w:val="6CCC2157"/>
    <w:rsid w:val="6CF95064"/>
    <w:rsid w:val="6D05318B"/>
    <w:rsid w:val="6D0862F7"/>
    <w:rsid w:val="6D535020"/>
    <w:rsid w:val="6D670699"/>
    <w:rsid w:val="6DAE56C4"/>
    <w:rsid w:val="6DAE690A"/>
    <w:rsid w:val="6DB31940"/>
    <w:rsid w:val="6DC76386"/>
    <w:rsid w:val="6DDE6D29"/>
    <w:rsid w:val="6DE16AFA"/>
    <w:rsid w:val="6DEF017C"/>
    <w:rsid w:val="6E203478"/>
    <w:rsid w:val="6E567C8B"/>
    <w:rsid w:val="6E7401D4"/>
    <w:rsid w:val="6E8746E2"/>
    <w:rsid w:val="6E8D2F0F"/>
    <w:rsid w:val="6E943DF0"/>
    <w:rsid w:val="6E9876EA"/>
    <w:rsid w:val="6E9C2D62"/>
    <w:rsid w:val="6EB93D4E"/>
    <w:rsid w:val="6EC0703C"/>
    <w:rsid w:val="6ECD6A3E"/>
    <w:rsid w:val="6ED41E43"/>
    <w:rsid w:val="6F1553E6"/>
    <w:rsid w:val="6F4139FE"/>
    <w:rsid w:val="6F48722E"/>
    <w:rsid w:val="6F6D3D73"/>
    <w:rsid w:val="6F7F22DD"/>
    <w:rsid w:val="6F93152D"/>
    <w:rsid w:val="6FA66156"/>
    <w:rsid w:val="6FBC7C20"/>
    <w:rsid w:val="6FD25B64"/>
    <w:rsid w:val="6FF61878"/>
    <w:rsid w:val="70010A83"/>
    <w:rsid w:val="700E728F"/>
    <w:rsid w:val="705671DF"/>
    <w:rsid w:val="70680EED"/>
    <w:rsid w:val="706C584E"/>
    <w:rsid w:val="70802B6C"/>
    <w:rsid w:val="70954313"/>
    <w:rsid w:val="709C3899"/>
    <w:rsid w:val="70A90261"/>
    <w:rsid w:val="710A4552"/>
    <w:rsid w:val="711347E3"/>
    <w:rsid w:val="7128128F"/>
    <w:rsid w:val="71296610"/>
    <w:rsid w:val="7170122E"/>
    <w:rsid w:val="718C733F"/>
    <w:rsid w:val="718F1E5C"/>
    <w:rsid w:val="71901E5A"/>
    <w:rsid w:val="71BA1FEA"/>
    <w:rsid w:val="71D9161F"/>
    <w:rsid w:val="71D93B9A"/>
    <w:rsid w:val="71E94C3D"/>
    <w:rsid w:val="72014A68"/>
    <w:rsid w:val="720A33A7"/>
    <w:rsid w:val="723E7666"/>
    <w:rsid w:val="725B0C86"/>
    <w:rsid w:val="726B65B0"/>
    <w:rsid w:val="7275745F"/>
    <w:rsid w:val="728E2381"/>
    <w:rsid w:val="72A64A71"/>
    <w:rsid w:val="72B20FA2"/>
    <w:rsid w:val="72D46E3C"/>
    <w:rsid w:val="72F03014"/>
    <w:rsid w:val="731B365A"/>
    <w:rsid w:val="732079B3"/>
    <w:rsid w:val="732A6916"/>
    <w:rsid w:val="734170FF"/>
    <w:rsid w:val="73507C69"/>
    <w:rsid w:val="73561EB3"/>
    <w:rsid w:val="737B4358"/>
    <w:rsid w:val="73E3055D"/>
    <w:rsid w:val="73F17B5B"/>
    <w:rsid w:val="742D790E"/>
    <w:rsid w:val="74555F11"/>
    <w:rsid w:val="746A5055"/>
    <w:rsid w:val="747011CA"/>
    <w:rsid w:val="747B5B83"/>
    <w:rsid w:val="747D217E"/>
    <w:rsid w:val="74BA089C"/>
    <w:rsid w:val="74BF5EE1"/>
    <w:rsid w:val="74D55588"/>
    <w:rsid w:val="74F8048B"/>
    <w:rsid w:val="75031970"/>
    <w:rsid w:val="750B5D90"/>
    <w:rsid w:val="75617D28"/>
    <w:rsid w:val="7566254C"/>
    <w:rsid w:val="75B92409"/>
    <w:rsid w:val="75C24048"/>
    <w:rsid w:val="75C83549"/>
    <w:rsid w:val="75C90EF5"/>
    <w:rsid w:val="76096F6A"/>
    <w:rsid w:val="7645157C"/>
    <w:rsid w:val="767B5563"/>
    <w:rsid w:val="767C1843"/>
    <w:rsid w:val="76866C66"/>
    <w:rsid w:val="76DB31FA"/>
    <w:rsid w:val="76DF4FF1"/>
    <w:rsid w:val="76F71FED"/>
    <w:rsid w:val="77144C7B"/>
    <w:rsid w:val="77726A7A"/>
    <w:rsid w:val="77CC0C74"/>
    <w:rsid w:val="77F67FF5"/>
    <w:rsid w:val="78191AEA"/>
    <w:rsid w:val="78B1336D"/>
    <w:rsid w:val="78B423F8"/>
    <w:rsid w:val="78C97A4C"/>
    <w:rsid w:val="78DD1B68"/>
    <w:rsid w:val="79127323"/>
    <w:rsid w:val="791C0BF5"/>
    <w:rsid w:val="791D28E9"/>
    <w:rsid w:val="79304C6A"/>
    <w:rsid w:val="79455AF6"/>
    <w:rsid w:val="79462058"/>
    <w:rsid w:val="794A32D9"/>
    <w:rsid w:val="79504442"/>
    <w:rsid w:val="79653B33"/>
    <w:rsid w:val="796A0812"/>
    <w:rsid w:val="79736E88"/>
    <w:rsid w:val="797C351A"/>
    <w:rsid w:val="798178D4"/>
    <w:rsid w:val="798B2145"/>
    <w:rsid w:val="79932F71"/>
    <w:rsid w:val="799973F4"/>
    <w:rsid w:val="79A945EE"/>
    <w:rsid w:val="79CB5136"/>
    <w:rsid w:val="79E2559A"/>
    <w:rsid w:val="79E31FC5"/>
    <w:rsid w:val="79E76022"/>
    <w:rsid w:val="79F6169D"/>
    <w:rsid w:val="79FC3013"/>
    <w:rsid w:val="7A3F57C2"/>
    <w:rsid w:val="7A7662BA"/>
    <w:rsid w:val="7A877AC3"/>
    <w:rsid w:val="7AA53D4F"/>
    <w:rsid w:val="7AC07F52"/>
    <w:rsid w:val="7ADC3C6A"/>
    <w:rsid w:val="7B183554"/>
    <w:rsid w:val="7B5F6C1F"/>
    <w:rsid w:val="7B62573A"/>
    <w:rsid w:val="7B9F75A6"/>
    <w:rsid w:val="7BB27626"/>
    <w:rsid w:val="7BC062F2"/>
    <w:rsid w:val="7BED3515"/>
    <w:rsid w:val="7BF82C70"/>
    <w:rsid w:val="7BF978FE"/>
    <w:rsid w:val="7C0A4618"/>
    <w:rsid w:val="7C1D4FB0"/>
    <w:rsid w:val="7C600B33"/>
    <w:rsid w:val="7C722B6F"/>
    <w:rsid w:val="7CA029F5"/>
    <w:rsid w:val="7CBB47C1"/>
    <w:rsid w:val="7CD65EE2"/>
    <w:rsid w:val="7CFD1B05"/>
    <w:rsid w:val="7D0B49B4"/>
    <w:rsid w:val="7D304AB3"/>
    <w:rsid w:val="7D6B12BE"/>
    <w:rsid w:val="7D6B1319"/>
    <w:rsid w:val="7DB41764"/>
    <w:rsid w:val="7DD039A8"/>
    <w:rsid w:val="7DDB39A4"/>
    <w:rsid w:val="7DEB29A3"/>
    <w:rsid w:val="7E367DAC"/>
    <w:rsid w:val="7E7018AC"/>
    <w:rsid w:val="7EA2141B"/>
    <w:rsid w:val="7ED3223C"/>
    <w:rsid w:val="7F0C1461"/>
    <w:rsid w:val="7F452BA2"/>
    <w:rsid w:val="7F4542A7"/>
    <w:rsid w:val="7FA10364"/>
    <w:rsid w:val="7FA205EA"/>
    <w:rsid w:val="7FAE104F"/>
    <w:rsid w:val="7FB21F08"/>
    <w:rsid w:val="7FBC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jc w:val="center"/>
      <w:outlineLvl w:val="0"/>
    </w:pPr>
    <w:rPr>
      <w:rFonts w:ascii="黑体" w:eastAsia="黑体"/>
      <w:sz w:val="28"/>
    </w:rPr>
  </w:style>
  <w:style w:type="paragraph" w:styleId="8">
    <w:name w:val="heading 2"/>
    <w:basedOn w:val="1"/>
    <w:next w:val="1"/>
    <w:link w:val="61"/>
    <w:qFormat/>
    <w:uiPriority w:val="0"/>
    <w:pPr>
      <w:keepNext/>
      <w:spacing w:line="720" w:lineRule="exact"/>
      <w:jc w:val="center"/>
      <w:outlineLvl w:val="1"/>
    </w:pPr>
    <w:rPr>
      <w:rFonts w:ascii="黑体" w:hAnsi="黑体" w:eastAsia="仿宋_GB2312"/>
      <w:b/>
      <w:sz w:val="30"/>
    </w:rPr>
  </w:style>
  <w:style w:type="paragraph" w:styleId="9">
    <w:name w:val="heading 3"/>
    <w:basedOn w:val="1"/>
    <w:next w:val="1"/>
    <w:unhideWhenUsed/>
    <w:qFormat/>
    <w:uiPriority w:val="0"/>
    <w:pPr>
      <w:keepNext/>
      <w:keepLines/>
      <w:spacing w:line="360" w:lineRule="auto"/>
      <w:jc w:val="left"/>
      <w:outlineLvl w:val="2"/>
    </w:pPr>
    <w:rPr>
      <w:rFonts w:ascii="Calibri Light" w:hAnsi="Calibri Light" w:eastAsia="仿宋_GB2312"/>
      <w:bCs/>
      <w:sz w:val="28"/>
      <w:szCs w:val="32"/>
    </w:rPr>
  </w:style>
  <w:style w:type="paragraph" w:styleId="10">
    <w:name w:val="heading 4"/>
    <w:basedOn w:val="1"/>
    <w:next w:val="1"/>
    <w:qFormat/>
    <w:uiPriority w:val="0"/>
    <w:pPr>
      <w:keepNext/>
      <w:spacing w:line="600" w:lineRule="exact"/>
      <w:jc w:val="center"/>
      <w:outlineLvl w:val="3"/>
    </w:pPr>
    <w:rPr>
      <w:rFonts w:ascii="楷体_GB2312" w:eastAsia="楷体_GB2312"/>
      <w:sz w:val="32"/>
    </w:rPr>
  </w:style>
  <w:style w:type="paragraph" w:styleId="11">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rPr>
      <w:szCs w:val="24"/>
    </w:rPr>
  </w:style>
  <w:style w:type="paragraph" w:styleId="3">
    <w:name w:val="Body Text"/>
    <w:basedOn w:val="1"/>
    <w:next w:val="1"/>
    <w:qFormat/>
    <w:uiPriority w:val="0"/>
  </w:style>
  <w:style w:type="paragraph" w:styleId="4">
    <w:name w:val="Body Text First Indent 2"/>
    <w:basedOn w:val="5"/>
    <w:next w:val="2"/>
    <w:semiHidden/>
    <w:unhideWhenUsed/>
    <w:qFormat/>
    <w:uiPriority w:val="99"/>
    <w:pPr>
      <w:ind w:firstLine="420" w:firstLineChars="200"/>
    </w:pPr>
  </w:style>
  <w:style w:type="paragraph" w:styleId="5">
    <w:name w:val="Body Text Indent"/>
    <w:basedOn w:val="1"/>
    <w:next w:val="6"/>
    <w:semiHidden/>
    <w:unhideWhenUsed/>
    <w:qFormat/>
    <w:uiPriority w:val="99"/>
    <w:pPr>
      <w:ind w:left="420" w:leftChars="200"/>
    </w:pPr>
  </w:style>
  <w:style w:type="paragraph" w:styleId="6">
    <w:name w:val="envelope return"/>
    <w:basedOn w:val="1"/>
    <w:qFormat/>
    <w:uiPriority w:val="99"/>
    <w:pPr>
      <w:snapToGrid w:val="0"/>
    </w:pPr>
    <w:rPr>
      <w:rFonts w:ascii="Arial" w:hAnsi="Arial" w:cs="Arial"/>
    </w:rPr>
  </w:style>
  <w:style w:type="paragraph" w:styleId="12">
    <w:name w:val="Normal Indent"/>
    <w:basedOn w:val="1"/>
    <w:qFormat/>
    <w:uiPriority w:val="0"/>
    <w:pPr>
      <w:ind w:firstLine="420"/>
    </w:pPr>
    <w:rPr>
      <w:szCs w:val="21"/>
    </w:rPr>
  </w:style>
  <w:style w:type="paragraph" w:styleId="13">
    <w:name w:val="toa heading"/>
    <w:basedOn w:val="1"/>
    <w:next w:val="1"/>
    <w:unhideWhenUsed/>
    <w:qFormat/>
    <w:uiPriority w:val="99"/>
    <w:rPr>
      <w:rFonts w:ascii="Arial" w:hAnsi="Arial"/>
      <w:sz w:val="24"/>
    </w:rPr>
  </w:style>
  <w:style w:type="paragraph" w:styleId="14">
    <w:name w:val="annotation text"/>
    <w:basedOn w:val="1"/>
    <w:qFormat/>
    <w:uiPriority w:val="0"/>
    <w:pPr>
      <w:jc w:val="left"/>
    </w:pPr>
  </w:style>
  <w:style w:type="paragraph" w:styleId="15">
    <w:name w:val="Body Text 3"/>
    <w:basedOn w:val="1"/>
    <w:qFormat/>
    <w:uiPriority w:val="0"/>
    <w:pPr>
      <w:jc w:val="center"/>
    </w:pPr>
    <w:rPr>
      <w:b/>
      <w:spacing w:val="-20"/>
      <w:w w:val="110"/>
      <w:sz w:val="52"/>
    </w:r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rPr>
  </w:style>
  <w:style w:type="character" w:styleId="31">
    <w:name w:val="Hyperlink"/>
    <w:basedOn w:val="25"/>
    <w:qFormat/>
    <w:uiPriority w:val="0"/>
    <w:rPr>
      <w:color w:val="296FBE"/>
      <w:u w:val="none"/>
    </w:rPr>
  </w:style>
  <w:style w:type="character" w:styleId="32">
    <w:name w:val="HTML Code"/>
    <w:basedOn w:val="25"/>
    <w:qFormat/>
    <w:uiPriority w:val="0"/>
    <w:rPr>
      <w:rFonts w:hint="default" w:ascii="Consolas" w:hAnsi="Consolas" w:eastAsia="Consolas" w:cs="Consolas"/>
      <w:color w:val="C7254E"/>
      <w:sz w:val="21"/>
      <w:szCs w:val="21"/>
      <w:shd w:val="clear" w:color="auto" w:fill="F9F2F4"/>
    </w:rPr>
  </w:style>
  <w:style w:type="character" w:styleId="33">
    <w:name w:val="HTML Keyboard"/>
    <w:basedOn w:val="25"/>
    <w:qFormat/>
    <w:uiPriority w:val="0"/>
    <w:rPr>
      <w:rFonts w:ascii="Consolas" w:hAnsi="Consolas" w:eastAsia="Consolas" w:cs="Consolas"/>
      <w:color w:val="FFFFFF"/>
      <w:sz w:val="21"/>
      <w:szCs w:val="21"/>
      <w:shd w:val="clear" w:color="auto" w:fill="333333"/>
    </w:rPr>
  </w:style>
  <w:style w:type="character" w:styleId="34">
    <w:name w:val="HTML Sample"/>
    <w:basedOn w:val="25"/>
    <w:qFormat/>
    <w:uiPriority w:val="0"/>
    <w:rPr>
      <w:rFonts w:hint="default" w:ascii="Consolas" w:hAnsi="Consolas" w:eastAsia="Consolas" w:cs="Consolas"/>
      <w:sz w:val="21"/>
      <w:szCs w:val="21"/>
    </w:rPr>
  </w:style>
  <w:style w:type="paragraph" w:customStyle="1" w:styleId="35">
    <w:name w:val="Normal Indent1"/>
    <w:basedOn w:val="1"/>
    <w:qFormat/>
    <w:uiPriority w:val="99"/>
    <w:pPr>
      <w:ind w:firstLine="880" w:firstLineChars="200"/>
    </w:p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7">
    <w:name w:val="默认段落字体 Para Char Char Char Char"/>
    <w:basedOn w:val="1"/>
    <w:qFormat/>
    <w:uiPriority w:val="0"/>
    <w:rPr>
      <w:szCs w:val="24"/>
    </w:rPr>
  </w:style>
  <w:style w:type="character" w:customStyle="1" w:styleId="38">
    <w:name w:val="标题 2 Char"/>
    <w:link w:val="8"/>
    <w:qFormat/>
    <w:uiPriority w:val="0"/>
    <w:rPr>
      <w:rFonts w:ascii="黑体" w:hAnsi="黑体" w:eastAsia="仿宋_GB2312"/>
      <w:b/>
      <w:sz w:val="30"/>
    </w:rPr>
  </w:style>
  <w:style w:type="paragraph" w:customStyle="1" w:styleId="39">
    <w:name w:val="列出段落1"/>
    <w:basedOn w:val="1"/>
    <w:qFormat/>
    <w:uiPriority w:val="34"/>
    <w:pPr>
      <w:ind w:firstLine="420" w:firstLineChars="200"/>
    </w:pPr>
    <w:rPr>
      <w:rFonts w:ascii="Calibri" w:hAnsi="Calibri" w:cs="黑体"/>
      <w:szCs w:val="22"/>
    </w:rPr>
  </w:style>
  <w:style w:type="paragraph" w:customStyle="1" w:styleId="40">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styleId="41">
    <w:name w:val="List Paragraph"/>
    <w:basedOn w:val="1"/>
    <w:qFormat/>
    <w:uiPriority w:val="0"/>
    <w:pPr>
      <w:ind w:firstLine="420" w:firstLineChars="200"/>
    </w:pPr>
  </w:style>
  <w:style w:type="paragraph" w:customStyle="1" w:styleId="42">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3">
    <w:name w:val="font11"/>
    <w:basedOn w:val="25"/>
    <w:qFormat/>
    <w:uiPriority w:val="0"/>
    <w:rPr>
      <w:rFonts w:hint="eastAsia" w:ascii="宋体" w:hAnsi="宋体" w:eastAsia="宋体" w:cs="宋体"/>
      <w:color w:val="000000"/>
      <w:sz w:val="18"/>
      <w:szCs w:val="18"/>
      <w:u w:val="none"/>
    </w:rPr>
  </w:style>
  <w:style w:type="character" w:customStyle="1" w:styleId="44">
    <w:name w:val="font41"/>
    <w:basedOn w:val="25"/>
    <w:qFormat/>
    <w:uiPriority w:val="0"/>
    <w:rPr>
      <w:rFonts w:hint="eastAsia" w:ascii="宋体" w:hAnsi="宋体" w:eastAsia="宋体" w:cs="宋体"/>
      <w:color w:val="000000"/>
      <w:sz w:val="24"/>
      <w:szCs w:val="24"/>
      <w:u w:val="none"/>
    </w:rPr>
  </w:style>
  <w:style w:type="character" w:customStyle="1" w:styleId="45">
    <w:name w:val="font81"/>
    <w:basedOn w:val="25"/>
    <w:qFormat/>
    <w:uiPriority w:val="0"/>
    <w:rPr>
      <w:rFonts w:ascii="BatangChe" w:hAnsi="BatangChe" w:eastAsia="BatangChe" w:cs="BatangChe"/>
      <w:color w:val="000000"/>
      <w:sz w:val="18"/>
      <w:szCs w:val="18"/>
      <w:u w:val="none"/>
    </w:rPr>
  </w:style>
  <w:style w:type="character" w:customStyle="1" w:styleId="46">
    <w:name w:val="font01"/>
    <w:basedOn w:val="25"/>
    <w:qFormat/>
    <w:uiPriority w:val="0"/>
    <w:rPr>
      <w:rFonts w:hint="eastAsia" w:ascii="仿宋_GB2312" w:eastAsia="仿宋_GB2312" w:cs="仿宋_GB2312"/>
      <w:color w:val="000000"/>
      <w:sz w:val="18"/>
      <w:szCs w:val="18"/>
      <w:u w:val="none"/>
    </w:rPr>
  </w:style>
  <w:style w:type="character" w:customStyle="1" w:styleId="47">
    <w:name w:val="font31"/>
    <w:basedOn w:val="25"/>
    <w:qFormat/>
    <w:uiPriority w:val="0"/>
    <w:rPr>
      <w:rFonts w:hint="default" w:ascii="Times New Roman" w:hAnsi="Times New Roman" w:cs="Times New Roman"/>
      <w:color w:val="000000"/>
      <w:sz w:val="18"/>
      <w:szCs w:val="18"/>
      <w:u w:val="none"/>
    </w:rPr>
  </w:style>
  <w:style w:type="character" w:customStyle="1" w:styleId="48">
    <w:name w:val="font21"/>
    <w:basedOn w:val="25"/>
    <w:qFormat/>
    <w:uiPriority w:val="0"/>
    <w:rPr>
      <w:rFonts w:hint="eastAsia" w:ascii="仿宋_GB2312" w:eastAsia="仿宋_GB2312" w:cs="仿宋_GB2312"/>
      <w:color w:val="000000"/>
      <w:sz w:val="20"/>
      <w:szCs w:val="20"/>
      <w:u w:val="none"/>
    </w:rPr>
  </w:style>
  <w:style w:type="character" w:customStyle="1" w:styleId="49">
    <w:name w:val="font51"/>
    <w:basedOn w:val="25"/>
    <w:qFormat/>
    <w:uiPriority w:val="0"/>
    <w:rPr>
      <w:rFonts w:hint="eastAsia" w:ascii="仿宋_GB2312" w:eastAsia="仿宋_GB2312" w:cs="仿宋_GB2312"/>
      <w:color w:val="000000"/>
      <w:sz w:val="24"/>
      <w:szCs w:val="24"/>
      <w:u w:val="none"/>
    </w:rPr>
  </w:style>
  <w:style w:type="character" w:customStyle="1" w:styleId="50">
    <w:name w:val="font61"/>
    <w:basedOn w:val="25"/>
    <w:qFormat/>
    <w:uiPriority w:val="0"/>
    <w:rPr>
      <w:rFonts w:hint="default" w:ascii="Times New Roman" w:hAnsi="Times New Roman" w:cs="Times New Roman"/>
      <w:color w:val="000000"/>
      <w:sz w:val="24"/>
      <w:szCs w:val="24"/>
      <w:u w:val="none"/>
    </w:rPr>
  </w:style>
  <w:style w:type="character" w:customStyle="1" w:styleId="51">
    <w:name w:val="hour_pm"/>
    <w:basedOn w:val="25"/>
    <w:qFormat/>
    <w:uiPriority w:val="0"/>
  </w:style>
  <w:style w:type="character" w:customStyle="1" w:styleId="52">
    <w:name w:val="hover3"/>
    <w:basedOn w:val="25"/>
    <w:qFormat/>
    <w:uiPriority w:val="0"/>
    <w:rPr>
      <w:shd w:val="clear" w:color="auto" w:fill="EEEEEE"/>
    </w:rPr>
  </w:style>
  <w:style w:type="character" w:customStyle="1" w:styleId="53">
    <w:name w:val="old"/>
    <w:basedOn w:val="25"/>
    <w:qFormat/>
    <w:uiPriority w:val="0"/>
    <w:rPr>
      <w:color w:val="999999"/>
    </w:rPr>
  </w:style>
  <w:style w:type="character" w:customStyle="1" w:styleId="54">
    <w:name w:val="glyphicon4"/>
    <w:basedOn w:val="25"/>
    <w:qFormat/>
    <w:uiPriority w:val="0"/>
  </w:style>
  <w:style w:type="character" w:customStyle="1" w:styleId="55">
    <w:name w:val="hour_am"/>
    <w:basedOn w:val="25"/>
    <w:qFormat/>
    <w:uiPriority w:val="0"/>
  </w:style>
  <w:style w:type="character" w:customStyle="1" w:styleId="56">
    <w:name w:val="indent"/>
    <w:basedOn w:val="25"/>
    <w:qFormat/>
    <w:uiPriority w:val="0"/>
  </w:style>
  <w:style w:type="character" w:customStyle="1" w:styleId="57">
    <w:name w:val="button"/>
    <w:basedOn w:val="25"/>
    <w:qFormat/>
    <w:uiPriority w:val="0"/>
  </w:style>
  <w:style w:type="character" w:customStyle="1" w:styleId="58">
    <w:name w:val="tmpztreemove_arrow"/>
    <w:basedOn w:val="25"/>
    <w:qFormat/>
    <w:uiPriority w:val="0"/>
    <w:rPr>
      <w:shd w:val="clear" w:color="auto" w:fill="FFFFFF"/>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1">
    <w:name w:val="标题 2 字符"/>
    <w:link w:val="8"/>
    <w:qFormat/>
    <w:uiPriority w:val="0"/>
    <w:rPr>
      <w:rFonts w:ascii="黑体" w:hAnsi="黑体" w:eastAsia="宋体"/>
      <w:b/>
      <w:sz w:val="44"/>
    </w:rPr>
  </w:style>
  <w:style w:type="character" w:customStyle="1" w:styleId="62">
    <w:name w:val="active4"/>
    <w:basedOn w:val="25"/>
    <w:qFormat/>
    <w:uiPriority w:val="0"/>
    <w:rPr>
      <w:color w:val="00FF00"/>
      <w:shd w:val="clear" w:fill="000000"/>
    </w:rPr>
  </w:style>
  <w:style w:type="character" w:customStyle="1" w:styleId="63">
    <w:name w:val="phone"/>
    <w:basedOn w:val="25"/>
    <w:qFormat/>
    <w:uiPriority w:val="0"/>
    <w:rPr>
      <w:color w:val="FF8833"/>
      <w:sz w:val="18"/>
      <w:szCs w:val="18"/>
    </w:rPr>
  </w:style>
  <w:style w:type="character" w:customStyle="1" w:styleId="64">
    <w:name w:val="stclosebtn"/>
    <w:basedOn w:val="25"/>
    <w:qFormat/>
    <w:uiPriority w:val="0"/>
  </w:style>
  <w:style w:type="character" w:customStyle="1" w:styleId="65">
    <w:name w:val="proollist"/>
    <w:basedOn w:val="25"/>
    <w:qFormat/>
    <w:uiPriority w:val="0"/>
  </w:style>
  <w:style w:type="character" w:customStyle="1" w:styleId="66">
    <w:name w:val="span-long"/>
    <w:basedOn w:val="25"/>
    <w:qFormat/>
    <w:uiPriority w:val="0"/>
  </w:style>
  <w:style w:type="character" w:customStyle="1" w:styleId="67">
    <w:name w:val="input-direction"/>
    <w:basedOn w:val="25"/>
    <w:qFormat/>
    <w:uiPriority w:val="0"/>
    <w:rPr>
      <w:color w:val="FF6600"/>
    </w:rPr>
  </w:style>
  <w:style w:type="character" w:customStyle="1" w:styleId="68">
    <w:name w:val="beforeinfotext"/>
    <w:basedOn w:val="25"/>
    <w:qFormat/>
    <w:uiPriority w:val="0"/>
    <w:rPr>
      <w:color w:val="666666"/>
    </w:rPr>
  </w:style>
  <w:style w:type="character" w:customStyle="1" w:styleId="69">
    <w:name w:val="number"/>
    <w:basedOn w:val="25"/>
    <w:qFormat/>
    <w:uiPriority w:val="0"/>
    <w:rPr>
      <w:color w:val="FF8833"/>
      <w:sz w:val="18"/>
      <w:szCs w:val="18"/>
    </w:rPr>
  </w:style>
  <w:style w:type="character" w:customStyle="1" w:styleId="70">
    <w:name w:val="hilite6"/>
    <w:basedOn w:val="25"/>
    <w:qFormat/>
    <w:uiPriority w:val="0"/>
    <w:rPr>
      <w:color w:val="FFFFFF"/>
      <w:shd w:val="clear" w:fill="666677"/>
    </w:rPr>
  </w:style>
  <w:style w:type="character" w:customStyle="1" w:styleId="71">
    <w:name w:val="active"/>
    <w:basedOn w:val="25"/>
    <w:qFormat/>
    <w:uiPriority w:val="0"/>
    <w:rPr>
      <w:color w:val="00FF00"/>
      <w:shd w:val="clear" w:fill="000000"/>
    </w:rPr>
  </w:style>
  <w:style w:type="character" w:customStyle="1" w:styleId="72">
    <w:name w:val="active6"/>
    <w:basedOn w:val="25"/>
    <w:qFormat/>
    <w:uiPriority w:val="0"/>
    <w:rPr>
      <w:color w:val="00FF00"/>
      <w:shd w:val="clear" w:fill="000000"/>
    </w:rPr>
  </w:style>
  <w:style w:type="character" w:customStyle="1" w:styleId="73">
    <w:name w:val="hilite"/>
    <w:basedOn w:val="25"/>
    <w:qFormat/>
    <w:uiPriority w:val="0"/>
    <w:rPr>
      <w:color w:val="FFFFFF"/>
      <w:shd w:val="clear" w:fill="666677"/>
    </w:rPr>
  </w:style>
  <w:style w:type="character" w:customStyle="1" w:styleId="74">
    <w:name w:val="button2"/>
    <w:basedOn w:val="25"/>
    <w:qFormat/>
    <w:uiPriority w:val="0"/>
  </w:style>
  <w:style w:type="paragraph" w:customStyle="1" w:styleId="75">
    <w:name w:val="Body text|1"/>
    <w:basedOn w:val="1"/>
    <w:qFormat/>
    <w:uiPriority w:val="0"/>
    <w:pPr>
      <w:widowControl w:val="0"/>
      <w:shd w:val="clear" w:color="auto" w:fill="auto"/>
      <w:spacing w:after="140" w:line="406" w:lineRule="auto"/>
      <w:ind w:firstLine="400"/>
    </w:pPr>
    <w:rPr>
      <w:rFonts w:ascii="宋体" w:hAnsi="宋体" w:eastAsia="宋体" w:cs="宋体"/>
      <w:sz w:val="20"/>
      <w:szCs w:val="20"/>
      <w:u w:val="none"/>
      <w:shd w:val="clear" w:color="auto" w:fill="auto"/>
      <w:lang w:val="zh-TW" w:eastAsia="zh-TW" w:bidi="zh-TW"/>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78">
    <w:name w:val="Heading4"/>
    <w:basedOn w:val="1"/>
    <w:next w:val="1"/>
    <w:qFormat/>
    <w:uiPriority w:val="0"/>
    <w:pPr>
      <w:keepNext/>
      <w:keepLines/>
      <w:spacing w:before="280" w:after="290" w:line="376" w:lineRule="auto"/>
      <w:textAlignment w:val="baseline"/>
    </w:pPr>
    <w:rPr>
      <w:rFonts w:ascii="Arial" w:hAnsi="Arial"/>
      <w:b/>
      <w:bCs/>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8" textRotate="1"/>
    <customShpInfo spid="_x0000_s3079" textRotate="1"/>
    <customShpInfo spid="_x0000_s3080" textRotate="1"/>
    <customShpInfo spid="_x0000_s3081" textRotate="1"/>
    <customShpInfo spid="_x0000_s3082" textRotate="1"/>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65</Pages>
  <Words>28556</Words>
  <Characters>30075</Characters>
  <Lines>310</Lines>
  <Paragraphs>87</Paragraphs>
  <TotalTime>0</TotalTime>
  <ScaleCrop>false</ScaleCrop>
  <LinksUpToDate>false</LinksUpToDate>
  <CharactersWithSpaces>32754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2018-11-19T10:02:00Z</dcterms:created>
  <dc:creator>李纪旋</dc:creator>
  <cp:lastModifiedBy>张亚娜</cp:lastModifiedBy>
  <cp:lastPrinted>2022-09-01T02:43:00Z</cp:lastPrinted>
  <dcterms:modified xsi:type="dcterms:W3CDTF">2022-10-09T01:03:03Z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0790D00EDDB445A4A2D21E7542A79F09</vt:lpwstr>
  </property>
</Properties>
</file>