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ind w:firstLine="301" w:firstLineChars="100"/>
        <w:jc w:val="left"/>
        <w:rPr>
          <w:rFonts w:ascii="仿宋" w:hAnsi="仿宋" w:eastAsia="仿宋" w:cs="仿宋"/>
          <w:b/>
          <w:bCs/>
          <w:sz w:val="30"/>
          <w:szCs w:val="30"/>
        </w:rPr>
      </w:pPr>
    </w:p>
    <w:p>
      <w:pPr>
        <w:autoSpaceDE w:val="0"/>
        <w:autoSpaceDN w:val="0"/>
        <w:adjustRightInd w:val="0"/>
        <w:snapToGrid w:val="0"/>
        <w:spacing w:line="360" w:lineRule="auto"/>
        <w:ind w:firstLine="301" w:firstLineChars="100"/>
        <w:jc w:val="left"/>
        <w:rPr>
          <w:rFonts w:ascii="仿宋" w:hAnsi="仿宋" w:eastAsia="仿宋" w:cs="仿宋"/>
          <w:b/>
          <w:bCs/>
          <w:sz w:val="30"/>
          <w:szCs w:val="30"/>
        </w:rPr>
      </w:pPr>
      <w:r>
        <w:rPr>
          <w:rFonts w:hint="eastAsia" w:ascii="仿宋" w:hAnsi="仿宋" w:eastAsia="仿宋" w:cs="仿宋"/>
          <w:b/>
          <w:bCs/>
          <w:sz w:val="30"/>
          <w:szCs w:val="30"/>
        </w:rPr>
        <w:t>政府采购项目</w:t>
      </w:r>
    </w:p>
    <w:p>
      <w:pPr>
        <w:tabs>
          <w:tab w:val="left" w:pos="5670"/>
        </w:tabs>
        <w:autoSpaceDE w:val="0"/>
        <w:autoSpaceDN w:val="0"/>
        <w:adjustRightInd w:val="0"/>
        <w:spacing w:line="360" w:lineRule="auto"/>
        <w:ind w:firstLine="300"/>
        <w:rPr>
          <w:rFonts w:ascii="仿宋" w:hAnsi="仿宋" w:eastAsia="仿宋" w:cs="仿宋"/>
          <w:b/>
          <w:bCs/>
          <w:sz w:val="30"/>
          <w:szCs w:val="30"/>
          <w:lang w:val="zh-CN"/>
        </w:rPr>
      </w:pPr>
      <w:r>
        <w:rPr>
          <w:rFonts w:hint="eastAsia" w:ascii="仿宋" w:hAnsi="仿宋" w:eastAsia="仿宋" w:cs="仿宋"/>
          <w:b/>
          <w:bCs/>
          <w:sz w:val="30"/>
          <w:szCs w:val="30"/>
          <w:lang w:val="zh-CN"/>
        </w:rPr>
        <w:t>计划编码：ZCBN-西安市-2022-03803</w:t>
      </w:r>
    </w:p>
    <w:p>
      <w:pPr>
        <w:tabs>
          <w:tab w:val="left" w:pos="5670"/>
        </w:tabs>
        <w:autoSpaceDE w:val="0"/>
        <w:autoSpaceDN w:val="0"/>
        <w:adjustRightInd w:val="0"/>
        <w:spacing w:line="360" w:lineRule="auto"/>
        <w:ind w:firstLine="300"/>
        <w:rPr>
          <w:rFonts w:ascii="仿宋" w:hAnsi="仿宋" w:eastAsia="仿宋" w:cs="仿宋"/>
          <w:b/>
          <w:bCs/>
          <w:sz w:val="30"/>
          <w:szCs w:val="30"/>
        </w:rPr>
      </w:pPr>
      <w:r>
        <w:rPr>
          <w:rFonts w:hint="eastAsia" w:ascii="仿宋" w:hAnsi="仿宋" w:eastAsia="仿宋" w:cs="仿宋"/>
          <w:b/>
          <w:bCs/>
          <w:sz w:val="30"/>
          <w:szCs w:val="30"/>
          <w:lang w:val="zh-CN"/>
        </w:rPr>
        <w:t>项目编号：DX2022-238</w:t>
      </w:r>
    </w:p>
    <w:p>
      <w:pPr>
        <w:tabs>
          <w:tab w:val="left" w:pos="5670"/>
        </w:tabs>
        <w:autoSpaceDE w:val="0"/>
        <w:autoSpaceDN w:val="0"/>
        <w:adjustRightInd w:val="0"/>
        <w:spacing w:line="360" w:lineRule="auto"/>
        <w:ind w:firstLine="300"/>
        <w:rPr>
          <w:rFonts w:ascii="仿宋" w:hAnsi="仿宋" w:eastAsia="仿宋" w:cs="仿宋"/>
          <w:b/>
          <w:bCs/>
          <w:sz w:val="30"/>
          <w:szCs w:val="30"/>
          <w:lang w:val="zh-CN"/>
        </w:rPr>
      </w:pPr>
    </w:p>
    <w:p>
      <w:pPr>
        <w:pStyle w:val="11"/>
        <w:tabs>
          <w:tab w:val="left" w:pos="5670"/>
        </w:tabs>
        <w:adjustRightInd w:val="0"/>
        <w:snapToGrid w:val="0"/>
        <w:spacing w:line="360" w:lineRule="auto"/>
        <w:jc w:val="both"/>
        <w:rPr>
          <w:rFonts w:ascii="宋体" w:hAnsi="宋体" w:cs="宋体"/>
          <w:spacing w:val="0"/>
          <w:w w:val="100"/>
          <w:sz w:val="44"/>
          <w:szCs w:val="44"/>
        </w:rPr>
      </w:pPr>
    </w:p>
    <w:p>
      <w:pPr>
        <w:spacing w:line="360" w:lineRule="auto"/>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西安市教育局政务协同办公系统运维服务项目</w:t>
      </w:r>
    </w:p>
    <w:p>
      <w:pPr>
        <w:spacing w:line="360" w:lineRule="auto"/>
        <w:jc w:val="center"/>
        <w:rPr>
          <w:rFonts w:ascii="宋体" w:hAnsi="宋体" w:cs="宋体"/>
          <w:b/>
          <w:bCs/>
          <w:sz w:val="44"/>
          <w:szCs w:val="44"/>
        </w:rPr>
      </w:pPr>
    </w:p>
    <w:p>
      <w:pPr>
        <w:pStyle w:val="11"/>
        <w:tabs>
          <w:tab w:val="left" w:pos="2730"/>
          <w:tab w:val="left" w:pos="5670"/>
        </w:tabs>
        <w:adjustRightInd w:val="0"/>
        <w:snapToGrid w:val="0"/>
        <w:spacing w:line="360" w:lineRule="auto"/>
        <w:jc w:val="left"/>
        <w:rPr>
          <w:rFonts w:ascii="宋体" w:hAnsi="宋体" w:cs="宋体"/>
          <w:spacing w:val="0"/>
          <w:w w:val="100"/>
          <w:sz w:val="44"/>
          <w:szCs w:val="44"/>
        </w:rPr>
      </w:pPr>
      <w:r>
        <w:rPr>
          <w:rFonts w:hint="eastAsia" w:ascii="宋体" w:hAnsi="宋体" w:cs="宋体"/>
          <w:spacing w:val="0"/>
          <w:w w:val="100"/>
          <w:sz w:val="44"/>
          <w:szCs w:val="44"/>
        </w:rPr>
        <w:tab/>
      </w:r>
    </w:p>
    <w:p>
      <w:pPr>
        <w:pStyle w:val="11"/>
        <w:tabs>
          <w:tab w:val="left" w:pos="5670"/>
        </w:tabs>
        <w:adjustRightInd w:val="0"/>
        <w:snapToGrid w:val="0"/>
        <w:spacing w:line="360" w:lineRule="auto"/>
        <w:rPr>
          <w:rFonts w:ascii="仿宋_GB2312" w:hAnsi="仿宋_GB2312" w:eastAsia="仿宋_GB2312" w:cs="仿宋_GB2312"/>
          <w:spacing w:val="0"/>
          <w:w w:val="100"/>
          <w:sz w:val="44"/>
          <w:szCs w:val="44"/>
        </w:rPr>
      </w:pPr>
      <w:r>
        <w:rPr>
          <w:rFonts w:hint="eastAsia" w:ascii="宋体" w:hAnsi="宋体" w:cs="宋体"/>
          <w:spacing w:val="0"/>
          <w:w w:val="100"/>
          <w:sz w:val="44"/>
          <w:szCs w:val="44"/>
        </w:rPr>
        <w:t>竞争性磋商文件</w:t>
      </w:r>
    </w:p>
    <w:p>
      <w:pPr>
        <w:pStyle w:val="11"/>
        <w:tabs>
          <w:tab w:val="left" w:pos="5670"/>
        </w:tabs>
        <w:adjustRightInd w:val="0"/>
        <w:snapToGrid w:val="0"/>
        <w:spacing w:line="360" w:lineRule="auto"/>
        <w:jc w:val="both"/>
        <w:rPr>
          <w:rFonts w:ascii="仿宋_GB2312" w:hAnsi="仿宋_GB2312" w:eastAsia="仿宋_GB2312" w:cs="仿宋_GB2312"/>
          <w:spacing w:val="0"/>
          <w:w w:val="100"/>
          <w:sz w:val="44"/>
          <w:szCs w:val="44"/>
        </w:rPr>
      </w:pPr>
    </w:p>
    <w:p>
      <w:pPr>
        <w:pStyle w:val="11"/>
        <w:tabs>
          <w:tab w:val="left" w:pos="5670"/>
        </w:tabs>
        <w:adjustRightInd w:val="0"/>
        <w:snapToGrid w:val="0"/>
        <w:spacing w:line="360" w:lineRule="auto"/>
        <w:jc w:val="both"/>
        <w:rPr>
          <w:rFonts w:ascii="仿宋_GB2312" w:hAnsi="仿宋_GB2312" w:eastAsia="仿宋_GB2312" w:cs="仿宋_GB2312"/>
          <w:spacing w:val="0"/>
          <w:w w:val="100"/>
          <w:sz w:val="44"/>
          <w:szCs w:val="44"/>
        </w:rPr>
      </w:pPr>
    </w:p>
    <w:p>
      <w:pPr>
        <w:pStyle w:val="11"/>
        <w:tabs>
          <w:tab w:val="left" w:pos="5670"/>
        </w:tabs>
        <w:adjustRightInd w:val="0"/>
        <w:snapToGrid w:val="0"/>
        <w:spacing w:line="360" w:lineRule="auto"/>
        <w:rPr>
          <w:rFonts w:ascii="仿宋" w:hAnsi="仿宋" w:eastAsia="仿宋" w:cs="仿宋"/>
          <w:spacing w:val="0"/>
          <w:w w:val="100"/>
          <w:sz w:val="32"/>
          <w:szCs w:val="32"/>
        </w:rPr>
      </w:pPr>
    </w:p>
    <w:p>
      <w:pPr>
        <w:pStyle w:val="11"/>
        <w:tabs>
          <w:tab w:val="left" w:pos="5670"/>
        </w:tabs>
        <w:adjustRightInd w:val="0"/>
        <w:snapToGrid w:val="0"/>
        <w:spacing w:line="360" w:lineRule="auto"/>
        <w:rPr>
          <w:rFonts w:ascii="仿宋" w:hAnsi="仿宋" w:eastAsia="仿宋" w:cs="仿宋"/>
          <w:spacing w:val="0"/>
          <w:w w:val="100"/>
          <w:sz w:val="32"/>
          <w:szCs w:val="32"/>
        </w:rPr>
      </w:pPr>
    </w:p>
    <w:p>
      <w:pPr>
        <w:autoSpaceDE w:val="0"/>
        <w:autoSpaceDN w:val="0"/>
        <w:adjustRightInd w:val="0"/>
        <w:snapToGrid w:val="0"/>
        <w:spacing w:line="360" w:lineRule="auto"/>
        <w:ind w:firstLine="1687" w:firstLineChars="525"/>
        <w:rPr>
          <w:rFonts w:ascii="仿宋" w:hAnsi="仿宋" w:eastAsia="仿宋" w:cs="仿宋"/>
          <w:b/>
          <w:bCs/>
          <w:sz w:val="32"/>
          <w:szCs w:val="32"/>
          <w:lang w:val="zh-CN"/>
        </w:rPr>
      </w:pPr>
      <w:r>
        <w:rPr>
          <w:rFonts w:hint="eastAsia" w:ascii="仿宋" w:hAnsi="仿宋" w:eastAsia="仿宋" w:cs="仿宋"/>
          <w:b/>
          <w:bCs/>
          <w:sz w:val="32"/>
          <w:szCs w:val="32"/>
          <w:lang w:val="zh-CN"/>
        </w:rPr>
        <w:t>采购人：西安市教育局（本级）</w:t>
      </w:r>
    </w:p>
    <w:p>
      <w:pPr>
        <w:autoSpaceDE w:val="0"/>
        <w:autoSpaceDN w:val="0"/>
        <w:adjustRightInd w:val="0"/>
        <w:snapToGrid w:val="0"/>
        <w:spacing w:line="360" w:lineRule="auto"/>
        <w:ind w:firstLine="1687" w:firstLineChars="525"/>
        <w:rPr>
          <w:rFonts w:ascii="仿宋" w:hAnsi="仿宋" w:eastAsia="仿宋" w:cs="仿宋"/>
          <w:b/>
          <w:bCs/>
          <w:sz w:val="32"/>
          <w:szCs w:val="32"/>
          <w:lang w:val="zh-CN"/>
        </w:rPr>
      </w:pPr>
      <w:r>
        <w:rPr>
          <w:rFonts w:hint="eastAsia" w:ascii="仿宋" w:hAnsi="仿宋" w:eastAsia="仿宋" w:cs="仿宋"/>
          <w:b/>
          <w:bCs/>
          <w:sz w:val="32"/>
          <w:szCs w:val="32"/>
          <w:lang w:val="zh-CN"/>
        </w:rPr>
        <w:t>采购代理机构：陕西笃信招标有限公司</w:t>
      </w:r>
    </w:p>
    <w:p>
      <w:pPr>
        <w:autoSpaceDE w:val="0"/>
        <w:autoSpaceDN w:val="0"/>
        <w:adjustRightInd w:val="0"/>
        <w:snapToGrid w:val="0"/>
        <w:spacing w:line="360" w:lineRule="auto"/>
        <w:jc w:val="center"/>
        <w:rPr>
          <w:rFonts w:ascii="仿宋" w:hAnsi="仿宋" w:eastAsia="仿宋" w:cs="仿宋"/>
          <w:b/>
          <w:bCs/>
          <w:sz w:val="32"/>
          <w:szCs w:val="32"/>
        </w:rPr>
      </w:pPr>
    </w:p>
    <w:p>
      <w:pPr>
        <w:autoSpaceDE w:val="0"/>
        <w:autoSpaceDN w:val="0"/>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二零二二年</w:t>
      </w:r>
      <w:r>
        <w:rPr>
          <w:rFonts w:hint="eastAsia" w:ascii="仿宋" w:hAnsi="仿宋" w:eastAsia="仿宋" w:cs="仿宋"/>
          <w:b/>
          <w:bCs/>
          <w:sz w:val="32"/>
          <w:szCs w:val="32"/>
          <w:lang w:val="en-US" w:eastAsia="zh-CN"/>
        </w:rPr>
        <w:t>十</w:t>
      </w:r>
      <w:r>
        <w:rPr>
          <w:rFonts w:hint="eastAsia" w:ascii="仿宋" w:hAnsi="仿宋" w:eastAsia="仿宋" w:cs="仿宋"/>
          <w:b/>
          <w:bCs/>
          <w:sz w:val="32"/>
          <w:szCs w:val="32"/>
        </w:rPr>
        <w:t>月</w:t>
      </w:r>
    </w:p>
    <w:p>
      <w:pPr>
        <w:spacing w:line="360" w:lineRule="auto"/>
        <w:jc w:val="center"/>
        <w:rPr>
          <w:rFonts w:hint="eastAsia" w:ascii="仿宋" w:hAnsi="仿宋" w:eastAsia="仿宋" w:cs="仿宋"/>
          <w:b/>
          <w:bCs/>
          <w:sz w:val="32"/>
          <w:szCs w:val="32"/>
        </w:rPr>
        <w:sectPr>
          <w:headerReference r:id="rId3" w:type="default"/>
          <w:pgSz w:w="11906" w:h="16838"/>
          <w:pgMar w:top="1417" w:right="1417" w:bottom="1417" w:left="1417" w:header="851" w:footer="992" w:gutter="0"/>
          <w:cols w:space="0" w:num="1"/>
          <w:docGrid w:linePitch="312" w:charSpace="0"/>
        </w:sect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目  录</w:t>
      </w:r>
    </w:p>
    <w:p>
      <w:pPr>
        <w:pStyle w:val="20"/>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TOC \o "1-3" \h \u </w:instrText>
      </w:r>
      <w:r>
        <w:rPr>
          <w:rFonts w:hint="eastAsia" w:ascii="仿宋" w:hAnsi="仿宋" w:eastAsia="仿宋" w:cs="仿宋"/>
          <w:szCs w:val="21"/>
        </w:rPr>
        <w:fldChar w:fldCharType="separate"/>
      </w:r>
      <w:r>
        <w:rPr>
          <w:rFonts w:hint="eastAsia" w:ascii="仿宋" w:hAnsi="仿宋" w:eastAsia="仿宋" w:cs="仿宋"/>
          <w:szCs w:val="21"/>
        </w:rPr>
        <w:fldChar w:fldCharType="begin"/>
      </w:r>
      <w:r>
        <w:rPr>
          <w:rFonts w:hint="eastAsia" w:ascii="仿宋" w:hAnsi="仿宋" w:eastAsia="仿宋" w:cs="仿宋"/>
          <w:szCs w:val="21"/>
        </w:rPr>
        <w:instrText xml:space="preserve"> HYPERLINK \l _Toc2206 </w:instrText>
      </w:r>
      <w:r>
        <w:rPr>
          <w:rFonts w:hint="eastAsia" w:ascii="仿宋" w:hAnsi="仿宋" w:eastAsia="仿宋" w:cs="仿宋"/>
          <w:szCs w:val="21"/>
        </w:rPr>
        <w:fldChar w:fldCharType="separate"/>
      </w:r>
      <w:r>
        <w:rPr>
          <w:rFonts w:hint="eastAsia" w:ascii="仿宋" w:hAnsi="仿宋" w:eastAsia="仿宋" w:cs="仿宋"/>
          <w:szCs w:val="32"/>
          <w:lang w:val="zh-CN"/>
        </w:rPr>
        <w:t>第一部分  竞争性磋商公告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_Toc2206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szCs w:val="21"/>
        </w:rPr>
        <w:fldChar w:fldCharType="end"/>
      </w:r>
    </w:p>
    <w:p>
      <w:pPr>
        <w:pStyle w:val="20"/>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_Toc8679 </w:instrText>
      </w:r>
      <w:r>
        <w:rPr>
          <w:rFonts w:hint="eastAsia" w:ascii="仿宋" w:hAnsi="仿宋" w:eastAsia="仿宋" w:cs="仿宋"/>
          <w:szCs w:val="21"/>
        </w:rPr>
        <w:fldChar w:fldCharType="separate"/>
      </w:r>
      <w:r>
        <w:rPr>
          <w:rFonts w:hint="eastAsia" w:ascii="仿宋" w:hAnsi="仿宋" w:eastAsia="仿宋" w:cs="仿宋"/>
          <w:szCs w:val="32"/>
          <w:lang w:val="zh-CN"/>
        </w:rPr>
        <w:t>第二部分</w:t>
      </w:r>
      <w:r>
        <w:rPr>
          <w:rFonts w:hint="eastAsia" w:ascii="仿宋" w:hAnsi="仿宋" w:eastAsia="仿宋" w:cs="仿宋"/>
          <w:szCs w:val="32"/>
        </w:rPr>
        <w:t xml:space="preserve">  </w:t>
      </w:r>
      <w:r>
        <w:rPr>
          <w:rFonts w:hint="eastAsia" w:ascii="仿宋" w:hAnsi="仿宋" w:eastAsia="仿宋" w:cs="仿宋"/>
          <w:szCs w:val="32"/>
          <w:lang w:val="zh-CN"/>
        </w:rPr>
        <w:t>竞争性磋商须知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_Toc8679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_Toc6186 </w:instrText>
      </w:r>
      <w:r>
        <w:rPr>
          <w:rFonts w:hint="eastAsia" w:ascii="仿宋" w:hAnsi="仿宋" w:eastAsia="仿宋" w:cs="仿宋"/>
          <w:szCs w:val="21"/>
        </w:rPr>
        <w:fldChar w:fldCharType="separate"/>
      </w:r>
      <w:r>
        <w:rPr>
          <w:rFonts w:hint="eastAsia" w:ascii="仿宋" w:hAnsi="仿宋" w:eastAsia="仿宋" w:cs="仿宋"/>
          <w:bCs/>
          <w:szCs w:val="28"/>
          <w:lang w:val="zh-CN"/>
        </w:rPr>
        <w:t>供应商须知前附表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_Toc6186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_Toc4284 </w:instrText>
      </w:r>
      <w:r>
        <w:rPr>
          <w:rFonts w:hint="eastAsia" w:ascii="仿宋" w:hAnsi="仿宋" w:eastAsia="仿宋" w:cs="仿宋"/>
          <w:szCs w:val="21"/>
        </w:rPr>
        <w:fldChar w:fldCharType="separate"/>
      </w:r>
      <w:r>
        <w:rPr>
          <w:rFonts w:hint="eastAsia" w:ascii="仿宋" w:hAnsi="仿宋" w:eastAsia="仿宋" w:cs="仿宋"/>
          <w:bCs/>
          <w:szCs w:val="24"/>
          <w:lang w:val="zh-CN"/>
        </w:rPr>
        <w:t>一、总则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_Toc4284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_Toc9965 </w:instrText>
      </w:r>
      <w:r>
        <w:rPr>
          <w:rFonts w:hint="eastAsia" w:ascii="仿宋" w:hAnsi="仿宋" w:eastAsia="仿宋" w:cs="仿宋"/>
          <w:szCs w:val="21"/>
        </w:rPr>
        <w:fldChar w:fldCharType="separate"/>
      </w:r>
      <w:r>
        <w:rPr>
          <w:rFonts w:hint="eastAsia" w:ascii="仿宋" w:hAnsi="仿宋" w:eastAsia="仿宋" w:cs="仿宋"/>
          <w:bCs/>
          <w:szCs w:val="24"/>
          <w:lang w:val="zh-CN"/>
        </w:rPr>
        <w:t>二、磋商文件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_Toc9965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_Toc19205 </w:instrText>
      </w:r>
      <w:r>
        <w:rPr>
          <w:rFonts w:hint="eastAsia" w:ascii="仿宋" w:hAnsi="仿宋" w:eastAsia="仿宋" w:cs="仿宋"/>
          <w:szCs w:val="21"/>
        </w:rPr>
        <w:fldChar w:fldCharType="separate"/>
      </w:r>
      <w:r>
        <w:rPr>
          <w:rFonts w:hint="eastAsia" w:ascii="仿宋" w:hAnsi="仿宋" w:eastAsia="仿宋" w:cs="仿宋"/>
          <w:bCs/>
          <w:szCs w:val="24"/>
          <w:lang w:val="zh-CN"/>
        </w:rPr>
        <w:t>三、磋商要求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_Toc19205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_Toc2971 </w:instrText>
      </w:r>
      <w:r>
        <w:rPr>
          <w:rFonts w:hint="eastAsia" w:ascii="仿宋" w:hAnsi="仿宋" w:eastAsia="仿宋" w:cs="仿宋"/>
          <w:szCs w:val="21"/>
        </w:rPr>
        <w:fldChar w:fldCharType="separate"/>
      </w:r>
      <w:r>
        <w:rPr>
          <w:rFonts w:hint="eastAsia" w:ascii="仿宋" w:hAnsi="仿宋" w:eastAsia="仿宋" w:cs="仿宋"/>
          <w:szCs w:val="24"/>
        </w:rPr>
        <w:t>四、磋商小组组成及职责</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_Toc2971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_Toc20226 </w:instrText>
      </w:r>
      <w:r>
        <w:rPr>
          <w:rFonts w:hint="eastAsia" w:ascii="仿宋" w:hAnsi="仿宋" w:eastAsia="仿宋" w:cs="仿宋"/>
          <w:szCs w:val="21"/>
        </w:rPr>
        <w:fldChar w:fldCharType="separate"/>
      </w:r>
      <w:r>
        <w:rPr>
          <w:rFonts w:hint="eastAsia" w:ascii="仿宋" w:hAnsi="仿宋" w:eastAsia="仿宋" w:cs="仿宋"/>
          <w:szCs w:val="24"/>
        </w:rPr>
        <w:t>五、磋商会议</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_Toc20226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_Toc19950 </w:instrText>
      </w:r>
      <w:r>
        <w:rPr>
          <w:rFonts w:hint="eastAsia" w:ascii="仿宋" w:hAnsi="仿宋" w:eastAsia="仿宋" w:cs="仿宋"/>
          <w:szCs w:val="21"/>
        </w:rPr>
        <w:fldChar w:fldCharType="separate"/>
      </w:r>
      <w:r>
        <w:rPr>
          <w:rFonts w:hint="eastAsia" w:ascii="仿宋" w:hAnsi="仿宋" w:eastAsia="仿宋" w:cs="仿宋"/>
          <w:szCs w:val="24"/>
        </w:rPr>
        <w:t>六、磋商评审程序及评审办法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_Toc19950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_Toc1325 </w:instrText>
      </w:r>
      <w:r>
        <w:rPr>
          <w:rFonts w:hint="eastAsia" w:ascii="仿宋" w:hAnsi="仿宋" w:eastAsia="仿宋" w:cs="仿宋"/>
          <w:szCs w:val="21"/>
        </w:rPr>
        <w:fldChar w:fldCharType="separate"/>
      </w:r>
      <w:r>
        <w:rPr>
          <w:rFonts w:hint="eastAsia" w:ascii="仿宋" w:hAnsi="仿宋" w:eastAsia="仿宋" w:cs="仿宋"/>
          <w:szCs w:val="24"/>
        </w:rPr>
        <w:t>七、确定成交供应商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_Toc1325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_Toc12150 </w:instrText>
      </w:r>
      <w:r>
        <w:rPr>
          <w:rFonts w:hint="eastAsia" w:ascii="仿宋" w:hAnsi="仿宋" w:eastAsia="仿宋" w:cs="仿宋"/>
          <w:szCs w:val="21"/>
        </w:rPr>
        <w:fldChar w:fldCharType="separate"/>
      </w:r>
      <w:r>
        <w:rPr>
          <w:rFonts w:hint="eastAsia" w:ascii="仿宋" w:hAnsi="仿宋" w:eastAsia="仿宋" w:cs="仿宋"/>
          <w:szCs w:val="24"/>
        </w:rPr>
        <w:t>八、合同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_Toc12150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_Toc20576 </w:instrText>
      </w:r>
      <w:r>
        <w:rPr>
          <w:rFonts w:hint="eastAsia" w:ascii="仿宋" w:hAnsi="仿宋" w:eastAsia="仿宋" w:cs="仿宋"/>
          <w:szCs w:val="21"/>
        </w:rPr>
        <w:fldChar w:fldCharType="separate"/>
      </w:r>
      <w:r>
        <w:rPr>
          <w:rFonts w:hint="eastAsia" w:ascii="仿宋" w:hAnsi="仿宋" w:eastAsia="仿宋" w:cs="仿宋"/>
          <w:szCs w:val="24"/>
          <w:lang w:val="zh-CN"/>
        </w:rPr>
        <w:t>九、成交合同的履约验收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_Toc20576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_Toc17853 </w:instrText>
      </w:r>
      <w:r>
        <w:rPr>
          <w:rFonts w:hint="eastAsia" w:ascii="仿宋" w:hAnsi="仿宋" w:eastAsia="仿宋" w:cs="仿宋"/>
          <w:szCs w:val="21"/>
        </w:rPr>
        <w:fldChar w:fldCharType="separate"/>
      </w:r>
      <w:r>
        <w:rPr>
          <w:rFonts w:hint="eastAsia" w:ascii="仿宋" w:hAnsi="仿宋" w:eastAsia="仿宋" w:cs="仿宋"/>
          <w:szCs w:val="24"/>
        </w:rPr>
        <w:t>十、成交服务费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_Toc17853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_Toc30471 </w:instrText>
      </w:r>
      <w:r>
        <w:rPr>
          <w:rFonts w:hint="eastAsia" w:ascii="仿宋" w:hAnsi="仿宋" w:eastAsia="仿宋" w:cs="仿宋"/>
          <w:szCs w:val="21"/>
        </w:rPr>
        <w:fldChar w:fldCharType="separate"/>
      </w:r>
      <w:r>
        <w:rPr>
          <w:rFonts w:hint="eastAsia" w:ascii="仿宋" w:hAnsi="仿宋" w:eastAsia="仿宋" w:cs="仿宋"/>
          <w:szCs w:val="24"/>
          <w:lang w:val="zh-CN"/>
        </w:rPr>
        <w:t>十一、需要落实的政府采购政策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_Toc30471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_Toc8696 </w:instrText>
      </w:r>
      <w:r>
        <w:rPr>
          <w:rFonts w:hint="eastAsia" w:ascii="仿宋" w:hAnsi="仿宋" w:eastAsia="仿宋" w:cs="仿宋"/>
          <w:szCs w:val="21"/>
        </w:rPr>
        <w:fldChar w:fldCharType="separate"/>
      </w:r>
      <w:r>
        <w:rPr>
          <w:rFonts w:hint="eastAsia" w:ascii="仿宋" w:hAnsi="仿宋" w:eastAsia="仿宋" w:cs="仿宋"/>
          <w:szCs w:val="24"/>
          <w:lang w:val="zh-CN"/>
        </w:rPr>
        <w:t>十二、质疑与投诉</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_Toc8696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szCs w:val="21"/>
        </w:rPr>
        <w:fldChar w:fldCharType="end"/>
      </w:r>
    </w:p>
    <w:p>
      <w:pPr>
        <w:pStyle w:val="20"/>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_Toc19430 </w:instrText>
      </w:r>
      <w:r>
        <w:rPr>
          <w:rFonts w:hint="eastAsia" w:ascii="仿宋" w:hAnsi="仿宋" w:eastAsia="仿宋" w:cs="仿宋"/>
          <w:szCs w:val="21"/>
        </w:rPr>
        <w:fldChar w:fldCharType="separate"/>
      </w:r>
      <w:r>
        <w:rPr>
          <w:rFonts w:hint="eastAsia" w:ascii="仿宋" w:hAnsi="仿宋" w:eastAsia="仿宋" w:cs="仿宋"/>
          <w:szCs w:val="32"/>
        </w:rPr>
        <w:t>第三部分 采购内容及要求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_Toc19430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szCs w:val="21"/>
        </w:rPr>
        <w:fldChar w:fldCharType="end"/>
      </w:r>
    </w:p>
    <w:p>
      <w:pPr>
        <w:pStyle w:val="20"/>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_Toc22604 </w:instrText>
      </w:r>
      <w:r>
        <w:rPr>
          <w:rFonts w:hint="eastAsia" w:ascii="仿宋" w:hAnsi="仿宋" w:eastAsia="仿宋" w:cs="仿宋"/>
          <w:szCs w:val="21"/>
        </w:rPr>
        <w:fldChar w:fldCharType="separate"/>
      </w:r>
      <w:r>
        <w:rPr>
          <w:rFonts w:hint="eastAsia" w:ascii="仿宋" w:hAnsi="仿宋" w:eastAsia="仿宋" w:cs="仿宋"/>
          <w:szCs w:val="32"/>
          <w:lang w:val="zh-CN"/>
        </w:rPr>
        <w:t xml:space="preserve">第四部分 </w:t>
      </w:r>
      <w:r>
        <w:rPr>
          <w:rFonts w:hint="eastAsia" w:ascii="仿宋" w:hAnsi="仿宋" w:eastAsia="仿宋" w:cs="仿宋"/>
          <w:szCs w:val="32"/>
        </w:rPr>
        <w:t>合同</w:t>
      </w:r>
      <w:r>
        <w:rPr>
          <w:rFonts w:hint="eastAsia" w:ascii="仿宋" w:hAnsi="仿宋" w:eastAsia="仿宋" w:cs="仿宋"/>
          <w:szCs w:val="32"/>
          <w:lang w:val="zh-CN"/>
        </w:rPr>
        <w:t>主要条款及格式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_Toc22604 \h </w:instrText>
      </w:r>
      <w:r>
        <w:rPr>
          <w:rFonts w:hint="eastAsia" w:ascii="仿宋" w:hAnsi="仿宋" w:eastAsia="仿宋" w:cs="仿宋"/>
        </w:rPr>
        <w:fldChar w:fldCharType="separate"/>
      </w:r>
      <w:r>
        <w:rPr>
          <w:rFonts w:hint="eastAsia" w:ascii="仿宋" w:hAnsi="仿宋" w:eastAsia="仿宋" w:cs="仿宋"/>
        </w:rPr>
        <w:t>32</w:t>
      </w:r>
      <w:r>
        <w:rPr>
          <w:rFonts w:hint="eastAsia" w:ascii="仿宋" w:hAnsi="仿宋" w:eastAsia="仿宋" w:cs="仿宋"/>
        </w:rPr>
        <w:fldChar w:fldCharType="end"/>
      </w:r>
      <w:r>
        <w:rPr>
          <w:rFonts w:hint="eastAsia" w:ascii="仿宋" w:hAnsi="仿宋" w:eastAsia="仿宋" w:cs="仿宋"/>
          <w:szCs w:val="21"/>
        </w:rPr>
        <w:fldChar w:fldCharType="end"/>
      </w:r>
    </w:p>
    <w:p>
      <w:pPr>
        <w:pStyle w:val="20"/>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_Toc30215 </w:instrText>
      </w:r>
      <w:r>
        <w:rPr>
          <w:rFonts w:hint="eastAsia" w:ascii="仿宋" w:hAnsi="仿宋" w:eastAsia="仿宋" w:cs="仿宋"/>
          <w:szCs w:val="21"/>
        </w:rPr>
        <w:fldChar w:fldCharType="separate"/>
      </w:r>
      <w:r>
        <w:rPr>
          <w:rFonts w:hint="eastAsia" w:ascii="仿宋" w:hAnsi="仿宋" w:eastAsia="仿宋" w:cs="仿宋"/>
          <w:szCs w:val="32"/>
          <w:lang w:val="zh-CN"/>
        </w:rPr>
        <w:t>第五部分</w:t>
      </w:r>
      <w:r>
        <w:rPr>
          <w:rFonts w:hint="eastAsia" w:ascii="仿宋" w:hAnsi="仿宋" w:eastAsia="仿宋" w:cs="仿宋"/>
          <w:szCs w:val="32"/>
        </w:rPr>
        <w:t xml:space="preserve">  磋商响应文件格式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_Toc30215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_Toc21264 </w:instrText>
      </w:r>
      <w:r>
        <w:rPr>
          <w:rFonts w:hint="eastAsia" w:ascii="仿宋" w:hAnsi="仿宋" w:eastAsia="仿宋" w:cs="仿宋"/>
          <w:szCs w:val="21"/>
        </w:rPr>
        <w:fldChar w:fldCharType="separate"/>
      </w:r>
      <w:r>
        <w:rPr>
          <w:rFonts w:hint="eastAsia" w:ascii="仿宋" w:hAnsi="仿宋" w:eastAsia="仿宋" w:cs="仿宋"/>
          <w:szCs w:val="32"/>
        </w:rPr>
        <w:t>一、磋商响应函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_Toc21264 \h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_Toc11017 </w:instrText>
      </w:r>
      <w:r>
        <w:rPr>
          <w:rFonts w:hint="eastAsia" w:ascii="仿宋" w:hAnsi="仿宋" w:eastAsia="仿宋" w:cs="仿宋"/>
          <w:szCs w:val="21"/>
        </w:rPr>
        <w:fldChar w:fldCharType="separate"/>
      </w:r>
      <w:r>
        <w:rPr>
          <w:rFonts w:hint="eastAsia" w:ascii="仿宋" w:hAnsi="仿宋" w:eastAsia="仿宋" w:cs="仿宋"/>
          <w:szCs w:val="32"/>
        </w:rPr>
        <w:t>二、第一次磋商报价表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_Toc11017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_Toc11671 </w:instrText>
      </w:r>
      <w:r>
        <w:rPr>
          <w:rFonts w:hint="eastAsia" w:ascii="仿宋" w:hAnsi="仿宋" w:eastAsia="仿宋" w:cs="仿宋"/>
          <w:szCs w:val="21"/>
        </w:rPr>
        <w:fldChar w:fldCharType="separate"/>
      </w:r>
      <w:r>
        <w:rPr>
          <w:rFonts w:hint="eastAsia" w:ascii="仿宋" w:hAnsi="仿宋" w:eastAsia="仿宋" w:cs="仿宋"/>
          <w:szCs w:val="32"/>
        </w:rPr>
        <w:t>三、分项报价表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_Toc11671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_Toc16239 </w:instrText>
      </w:r>
      <w:r>
        <w:rPr>
          <w:rFonts w:hint="eastAsia" w:ascii="仿宋" w:hAnsi="仿宋" w:eastAsia="仿宋" w:cs="仿宋"/>
          <w:szCs w:val="21"/>
        </w:rPr>
        <w:fldChar w:fldCharType="separate"/>
      </w:r>
      <w:r>
        <w:rPr>
          <w:rFonts w:hint="eastAsia" w:ascii="仿宋" w:hAnsi="仿宋" w:eastAsia="仿宋" w:cs="仿宋"/>
          <w:szCs w:val="21"/>
        </w:rPr>
        <w:t>四、供应商资格证明文件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_Toc16239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_Toc5534 </w:instrText>
      </w:r>
      <w:r>
        <w:rPr>
          <w:rFonts w:hint="eastAsia" w:ascii="仿宋" w:hAnsi="仿宋" w:eastAsia="仿宋" w:cs="仿宋"/>
          <w:szCs w:val="21"/>
        </w:rPr>
        <w:fldChar w:fldCharType="separate"/>
      </w:r>
      <w:r>
        <w:rPr>
          <w:rFonts w:hint="eastAsia" w:ascii="仿宋" w:hAnsi="仿宋" w:eastAsia="仿宋" w:cs="仿宋"/>
          <w:szCs w:val="32"/>
        </w:rPr>
        <w:t>五、合同主要条款响应偏差表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_Toc5534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_Toc16830 </w:instrText>
      </w:r>
      <w:r>
        <w:rPr>
          <w:rFonts w:hint="eastAsia" w:ascii="仿宋" w:hAnsi="仿宋" w:eastAsia="仿宋" w:cs="仿宋"/>
          <w:szCs w:val="21"/>
        </w:rPr>
        <w:fldChar w:fldCharType="separate"/>
      </w:r>
      <w:r>
        <w:rPr>
          <w:rFonts w:hint="eastAsia" w:ascii="仿宋" w:hAnsi="仿宋" w:eastAsia="仿宋" w:cs="仿宋"/>
          <w:szCs w:val="32"/>
          <w:lang w:val="zh-CN"/>
        </w:rPr>
        <w:t>六、</w:t>
      </w:r>
      <w:r>
        <w:rPr>
          <w:rFonts w:hint="eastAsia" w:ascii="仿宋" w:hAnsi="仿宋" w:eastAsia="仿宋" w:cs="仿宋"/>
          <w:szCs w:val="32"/>
        </w:rPr>
        <w:t>拟投入本项目的主要负责人简历表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_Toc16830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_Toc8721 </w:instrText>
      </w:r>
      <w:r>
        <w:rPr>
          <w:rFonts w:hint="eastAsia" w:ascii="仿宋" w:hAnsi="仿宋" w:eastAsia="仿宋" w:cs="仿宋"/>
          <w:szCs w:val="21"/>
        </w:rPr>
        <w:fldChar w:fldCharType="separate"/>
      </w:r>
      <w:r>
        <w:rPr>
          <w:rFonts w:hint="eastAsia" w:ascii="仿宋" w:hAnsi="仿宋" w:eastAsia="仿宋" w:cs="仿宋"/>
          <w:szCs w:val="32"/>
          <w:lang w:val="zh-CN"/>
        </w:rPr>
        <w:t>七、参与本项目主要人员表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_Toc8721 \h </w:instrText>
      </w:r>
      <w:r>
        <w:rPr>
          <w:rFonts w:hint="eastAsia" w:ascii="仿宋" w:hAnsi="仿宋" w:eastAsia="仿宋" w:cs="仿宋"/>
        </w:rPr>
        <w:fldChar w:fldCharType="separate"/>
      </w:r>
      <w:r>
        <w:rPr>
          <w:rFonts w:hint="eastAsia" w:ascii="仿宋" w:hAnsi="仿宋" w:eastAsia="仿宋" w:cs="仿宋"/>
        </w:rPr>
        <w:t>55</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_Toc15603 </w:instrText>
      </w:r>
      <w:r>
        <w:rPr>
          <w:rFonts w:hint="eastAsia" w:ascii="仿宋" w:hAnsi="仿宋" w:eastAsia="仿宋" w:cs="仿宋"/>
          <w:szCs w:val="21"/>
        </w:rPr>
        <w:fldChar w:fldCharType="separate"/>
      </w:r>
      <w:r>
        <w:rPr>
          <w:rFonts w:hint="eastAsia" w:ascii="仿宋" w:hAnsi="仿宋" w:eastAsia="仿宋" w:cs="仿宋"/>
          <w:szCs w:val="32"/>
          <w:lang w:val="zh-CN"/>
        </w:rPr>
        <w:t>八、</w:t>
      </w:r>
      <w:r>
        <w:rPr>
          <w:rFonts w:hint="eastAsia" w:ascii="仿宋" w:hAnsi="仿宋" w:eastAsia="仿宋" w:cs="仿宋"/>
          <w:szCs w:val="32"/>
          <w:lang w:val="en-US" w:eastAsia="zh-CN"/>
        </w:rPr>
        <w:t>服务方案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_Toc15603 \h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_Toc15083 </w:instrText>
      </w:r>
      <w:r>
        <w:rPr>
          <w:rFonts w:hint="eastAsia" w:ascii="仿宋" w:hAnsi="仿宋" w:eastAsia="仿宋" w:cs="仿宋"/>
          <w:szCs w:val="21"/>
        </w:rPr>
        <w:fldChar w:fldCharType="separate"/>
      </w:r>
      <w:r>
        <w:rPr>
          <w:rFonts w:hint="eastAsia" w:ascii="仿宋" w:hAnsi="仿宋" w:eastAsia="仿宋" w:cs="仿宋"/>
          <w:szCs w:val="32"/>
        </w:rPr>
        <w:t>九、</w:t>
      </w:r>
      <w:r>
        <w:rPr>
          <w:rFonts w:hint="eastAsia" w:ascii="仿宋" w:hAnsi="仿宋" w:eastAsia="仿宋" w:cs="仿宋"/>
          <w:szCs w:val="32"/>
          <w:lang w:val="en-US" w:eastAsia="zh-CN"/>
        </w:rPr>
        <w:t>企业实力</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_Toc15083 \h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_Toc3733 </w:instrText>
      </w:r>
      <w:r>
        <w:rPr>
          <w:rFonts w:hint="eastAsia" w:ascii="仿宋" w:hAnsi="仿宋" w:eastAsia="仿宋" w:cs="仿宋"/>
          <w:szCs w:val="21"/>
        </w:rPr>
        <w:fldChar w:fldCharType="separate"/>
      </w:r>
      <w:r>
        <w:rPr>
          <w:rFonts w:hint="eastAsia" w:ascii="仿宋" w:hAnsi="仿宋" w:eastAsia="仿宋" w:cs="仿宋"/>
          <w:szCs w:val="21"/>
        </w:rPr>
        <w:t>十、</w:t>
      </w:r>
      <w:r>
        <w:rPr>
          <w:rFonts w:hint="eastAsia" w:ascii="仿宋" w:hAnsi="仿宋" w:eastAsia="仿宋" w:cs="仿宋"/>
          <w:szCs w:val="21"/>
          <w:lang w:val="en-US" w:eastAsia="zh-CN"/>
        </w:rPr>
        <w:t>售后服务承诺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_Toc3733 \h </w:instrText>
      </w:r>
      <w:r>
        <w:rPr>
          <w:rFonts w:hint="eastAsia" w:ascii="仿宋" w:hAnsi="仿宋" w:eastAsia="仿宋" w:cs="仿宋"/>
        </w:rPr>
        <w:fldChar w:fldCharType="separate"/>
      </w:r>
      <w:r>
        <w:rPr>
          <w:rFonts w:hint="eastAsia" w:ascii="仿宋" w:hAnsi="仿宋" w:eastAsia="仿宋" w:cs="仿宋"/>
        </w:rPr>
        <w:t>58</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_Toc16021 </w:instrText>
      </w:r>
      <w:r>
        <w:rPr>
          <w:rFonts w:hint="eastAsia" w:ascii="仿宋" w:hAnsi="仿宋" w:eastAsia="仿宋" w:cs="仿宋"/>
          <w:szCs w:val="21"/>
        </w:rPr>
        <w:fldChar w:fldCharType="separate"/>
      </w:r>
      <w:r>
        <w:rPr>
          <w:rFonts w:hint="eastAsia" w:ascii="仿宋" w:hAnsi="仿宋" w:eastAsia="仿宋" w:cs="仿宋"/>
          <w:szCs w:val="28"/>
        </w:rPr>
        <w:t>十</w:t>
      </w:r>
      <w:r>
        <w:rPr>
          <w:rFonts w:hint="eastAsia" w:ascii="仿宋" w:hAnsi="仿宋" w:eastAsia="仿宋" w:cs="仿宋"/>
          <w:szCs w:val="28"/>
          <w:lang w:val="en-US" w:eastAsia="zh-CN"/>
        </w:rPr>
        <w:t>一</w:t>
      </w:r>
      <w:r>
        <w:rPr>
          <w:rFonts w:hint="eastAsia" w:ascii="仿宋" w:hAnsi="仿宋" w:eastAsia="仿宋" w:cs="仿宋"/>
          <w:szCs w:val="28"/>
          <w:lang w:val="zh-CN"/>
        </w:rPr>
        <w:t>、近年业绩的有关证明材料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_Toc16021 \h </w:instrText>
      </w:r>
      <w:r>
        <w:rPr>
          <w:rFonts w:hint="eastAsia" w:ascii="仿宋" w:hAnsi="仿宋" w:eastAsia="仿宋" w:cs="仿宋"/>
        </w:rPr>
        <w:fldChar w:fldCharType="separate"/>
      </w:r>
      <w:r>
        <w:rPr>
          <w:rFonts w:hint="eastAsia" w:ascii="仿宋" w:hAnsi="仿宋" w:eastAsia="仿宋" w:cs="仿宋"/>
        </w:rPr>
        <w:t>59</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_Toc12942 </w:instrText>
      </w:r>
      <w:r>
        <w:rPr>
          <w:rFonts w:hint="eastAsia" w:ascii="仿宋" w:hAnsi="仿宋" w:eastAsia="仿宋" w:cs="仿宋"/>
          <w:szCs w:val="21"/>
        </w:rPr>
        <w:fldChar w:fldCharType="separate"/>
      </w:r>
      <w:r>
        <w:rPr>
          <w:rFonts w:hint="eastAsia" w:ascii="仿宋" w:hAnsi="仿宋" w:eastAsia="仿宋" w:cs="仿宋"/>
          <w:szCs w:val="24"/>
          <w:lang w:val="zh-CN"/>
        </w:rPr>
        <w:t>十</w:t>
      </w:r>
      <w:r>
        <w:rPr>
          <w:rFonts w:hint="eastAsia" w:ascii="仿宋" w:hAnsi="仿宋" w:eastAsia="仿宋" w:cs="仿宋"/>
          <w:szCs w:val="24"/>
          <w:lang w:val="en-US" w:eastAsia="zh-CN"/>
        </w:rPr>
        <w:t>二</w:t>
      </w:r>
      <w:r>
        <w:rPr>
          <w:rFonts w:hint="eastAsia" w:ascii="仿宋" w:hAnsi="仿宋" w:eastAsia="仿宋" w:cs="仿宋"/>
          <w:szCs w:val="24"/>
          <w:lang w:val="zh-CN"/>
        </w:rPr>
        <w:t>、供应商企业关系关联承诺书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_Toc12942 \h </w:instrText>
      </w:r>
      <w:r>
        <w:rPr>
          <w:rFonts w:hint="eastAsia" w:ascii="仿宋" w:hAnsi="仿宋" w:eastAsia="仿宋" w:cs="仿宋"/>
        </w:rPr>
        <w:fldChar w:fldCharType="separate"/>
      </w:r>
      <w:r>
        <w:rPr>
          <w:rFonts w:hint="eastAsia" w:ascii="仿宋" w:hAnsi="仿宋" w:eastAsia="仿宋" w:cs="仿宋"/>
        </w:rPr>
        <w:t>60</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_Toc31717 </w:instrText>
      </w:r>
      <w:r>
        <w:rPr>
          <w:rFonts w:hint="eastAsia" w:ascii="仿宋" w:hAnsi="仿宋" w:eastAsia="仿宋" w:cs="仿宋"/>
          <w:szCs w:val="21"/>
        </w:rPr>
        <w:fldChar w:fldCharType="separate"/>
      </w:r>
      <w:r>
        <w:rPr>
          <w:rFonts w:hint="eastAsia" w:ascii="仿宋" w:hAnsi="仿宋" w:eastAsia="仿宋" w:cs="仿宋"/>
          <w:szCs w:val="15"/>
          <w:lang w:val="zh-CN"/>
        </w:rPr>
        <w:t>十</w:t>
      </w:r>
      <w:r>
        <w:rPr>
          <w:rFonts w:hint="eastAsia" w:ascii="仿宋" w:hAnsi="仿宋" w:eastAsia="仿宋" w:cs="仿宋"/>
          <w:szCs w:val="15"/>
          <w:lang w:val="en-US" w:eastAsia="zh-CN"/>
        </w:rPr>
        <w:t>三</w:t>
      </w:r>
      <w:r>
        <w:rPr>
          <w:rFonts w:hint="eastAsia" w:ascii="仿宋" w:hAnsi="仿宋" w:eastAsia="仿宋" w:cs="仿宋"/>
          <w:szCs w:val="15"/>
          <w:lang w:val="zh-CN"/>
        </w:rPr>
        <w:t>、供应商廉洁自律承诺书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_Toc31717 \h </w:instrText>
      </w:r>
      <w:r>
        <w:rPr>
          <w:rFonts w:hint="eastAsia" w:ascii="仿宋" w:hAnsi="仿宋" w:eastAsia="仿宋" w:cs="仿宋"/>
        </w:rPr>
        <w:fldChar w:fldCharType="separate"/>
      </w:r>
      <w:r>
        <w:rPr>
          <w:rFonts w:hint="eastAsia" w:ascii="仿宋" w:hAnsi="仿宋" w:eastAsia="仿宋" w:cs="仿宋"/>
        </w:rPr>
        <w:t>61</w:t>
      </w:r>
      <w:r>
        <w:rPr>
          <w:rFonts w:hint="eastAsia" w:ascii="仿宋" w:hAnsi="仿宋" w:eastAsia="仿宋" w:cs="仿宋"/>
        </w:rPr>
        <w:fldChar w:fldCharType="end"/>
      </w:r>
      <w:r>
        <w:rPr>
          <w:rFonts w:hint="eastAsia" w:ascii="仿宋" w:hAnsi="仿宋" w:eastAsia="仿宋" w:cs="仿宋"/>
          <w:szCs w:val="21"/>
        </w:rPr>
        <w:fldChar w:fldCharType="end"/>
      </w:r>
    </w:p>
    <w:p>
      <w:pPr>
        <w:pStyle w:val="21"/>
        <w:keepNext w:val="0"/>
        <w:keepLines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_Toc23693 </w:instrText>
      </w:r>
      <w:r>
        <w:rPr>
          <w:rFonts w:hint="eastAsia" w:ascii="仿宋" w:hAnsi="仿宋" w:eastAsia="仿宋" w:cs="仿宋"/>
          <w:szCs w:val="21"/>
        </w:rPr>
        <w:fldChar w:fldCharType="separate"/>
      </w:r>
      <w:r>
        <w:rPr>
          <w:rFonts w:hint="eastAsia" w:ascii="仿宋" w:hAnsi="仿宋" w:eastAsia="仿宋" w:cs="仿宋"/>
          <w:szCs w:val="15"/>
          <w:lang w:val="zh-CN"/>
        </w:rPr>
        <w:t>十</w:t>
      </w:r>
      <w:r>
        <w:rPr>
          <w:rFonts w:hint="eastAsia" w:ascii="仿宋" w:hAnsi="仿宋" w:eastAsia="仿宋" w:cs="仿宋"/>
          <w:szCs w:val="15"/>
          <w:lang w:val="en-US" w:eastAsia="zh-CN"/>
        </w:rPr>
        <w:t>四</w:t>
      </w:r>
      <w:r>
        <w:rPr>
          <w:rFonts w:hint="eastAsia" w:ascii="仿宋" w:hAnsi="仿宋" w:eastAsia="仿宋" w:cs="仿宋"/>
          <w:szCs w:val="15"/>
          <w:lang w:val="zh-CN"/>
        </w:rPr>
        <w:t>、供应商认为有必要补充说明的事项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_Toc23693 \h </w:instrText>
      </w:r>
      <w:r>
        <w:rPr>
          <w:rFonts w:hint="eastAsia" w:ascii="仿宋" w:hAnsi="仿宋" w:eastAsia="仿宋" w:cs="仿宋"/>
        </w:rPr>
        <w:fldChar w:fldCharType="separate"/>
      </w:r>
      <w:r>
        <w:rPr>
          <w:rFonts w:hint="eastAsia" w:ascii="仿宋" w:hAnsi="仿宋" w:eastAsia="仿宋" w:cs="仿宋"/>
        </w:rPr>
        <w:t>62</w:t>
      </w:r>
      <w:r>
        <w:rPr>
          <w:rFonts w:hint="eastAsia" w:ascii="仿宋" w:hAnsi="仿宋" w:eastAsia="仿宋" w:cs="仿宋"/>
        </w:rPr>
        <w:fldChar w:fldCharType="end"/>
      </w:r>
      <w:r>
        <w:rPr>
          <w:rFonts w:hint="eastAsia" w:ascii="仿宋" w:hAnsi="仿宋" w:eastAsia="仿宋" w:cs="仿宋"/>
          <w:szCs w:val="21"/>
        </w:rPr>
        <w:fldChar w:fldCharType="end"/>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szCs w:val="21"/>
        </w:rPr>
        <w:sectPr>
          <w:pgSz w:w="11906" w:h="16838"/>
          <w:pgMar w:top="1417" w:right="1417" w:bottom="1417" w:left="1417" w:header="851" w:footer="992" w:gutter="0"/>
          <w:cols w:space="0" w:num="1"/>
          <w:docGrid w:linePitch="312" w:charSpace="0"/>
        </w:sect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ascii="仿宋_GB2312" w:hAnsi="仿宋_GB2312" w:eastAsia="仿宋_GB2312" w:cs="仿宋_GB2312"/>
          <w:bCs/>
          <w:sz w:val="32"/>
          <w:szCs w:val="32"/>
          <w:lang w:val="zh-CN"/>
        </w:rPr>
      </w:pPr>
      <w:r>
        <w:rPr>
          <w:rFonts w:hint="eastAsia" w:ascii="仿宋" w:hAnsi="仿宋" w:eastAsia="仿宋" w:cs="仿宋"/>
          <w:szCs w:val="21"/>
        </w:rPr>
        <w:fldChar w:fldCharType="end"/>
      </w:r>
      <w:bookmarkStart w:id="0" w:name="_Toc28176"/>
      <w:bookmarkStart w:id="1" w:name="_Toc2206"/>
      <w:bookmarkStart w:id="2" w:name="_Toc28369"/>
      <w:bookmarkStart w:id="3" w:name="_Toc11850"/>
      <w:bookmarkStart w:id="4" w:name="_Toc6698"/>
      <w:r>
        <w:rPr>
          <w:rFonts w:hint="eastAsia" w:ascii="仿宋" w:hAnsi="仿宋" w:eastAsia="仿宋" w:cs="仿宋"/>
          <w:b/>
          <w:sz w:val="32"/>
          <w:szCs w:val="32"/>
          <w:lang w:val="zh-CN"/>
        </w:rPr>
        <w:t>第一部分  竞争性磋商公告</w:t>
      </w:r>
      <w:bookmarkEnd w:id="0"/>
      <w:bookmarkEnd w:id="1"/>
      <w:bookmarkEnd w:id="2"/>
      <w:bookmarkEnd w:id="3"/>
      <w:bookmarkEnd w:id="4"/>
    </w:p>
    <w:p>
      <w:pPr>
        <w:pStyle w:val="22"/>
        <w:spacing w:before="0" w:beforeAutospacing="0" w:after="0" w:afterAutospacing="0" w:line="360" w:lineRule="auto"/>
        <w:ind w:firstLine="480" w:firstLineChars="200"/>
        <w:jc w:val="both"/>
        <w:textAlignment w:val="baseline"/>
        <w:rPr>
          <w:rStyle w:val="28"/>
          <w:rFonts w:hint="eastAsia" w:ascii="仿宋" w:hAnsi="仿宋" w:eastAsia="仿宋" w:cs="仿宋"/>
          <w:b w:val="0"/>
          <w:bCs/>
          <w:sz w:val="24"/>
          <w:szCs w:val="24"/>
          <w:shd w:val="clear" w:color="auto" w:fill="FFFFFF"/>
        </w:rPr>
      </w:pPr>
      <w:bookmarkStart w:id="5" w:name="_Toc16644"/>
      <w:bookmarkStart w:id="6" w:name="_Toc27498"/>
      <w:bookmarkStart w:id="7" w:name="_Toc26240"/>
      <w:bookmarkStart w:id="8" w:name="_Toc21600"/>
      <w:bookmarkStart w:id="9" w:name="_Toc32562"/>
      <w:bookmarkStart w:id="10" w:name="_Toc18611"/>
      <w:bookmarkStart w:id="11" w:name="_Toc16236"/>
      <w:bookmarkStart w:id="12" w:name="_Toc22093"/>
      <w:bookmarkStart w:id="13" w:name="_Toc22995"/>
      <w:bookmarkStart w:id="14" w:name="_Toc495681502"/>
      <w:bookmarkStart w:id="15" w:name="_Toc495681375"/>
      <w:bookmarkStart w:id="16" w:name="_Toc495681221"/>
      <w:bookmarkStart w:id="17" w:name="_Toc10158"/>
      <w:bookmarkStart w:id="18" w:name="_Toc10932"/>
      <w:bookmarkStart w:id="19" w:name="_Toc11530"/>
      <w:r>
        <w:rPr>
          <w:rStyle w:val="28"/>
          <w:rFonts w:hint="eastAsia" w:ascii="仿宋" w:hAnsi="仿宋" w:eastAsia="仿宋" w:cs="仿宋"/>
          <w:b w:val="0"/>
          <w:bCs/>
          <w:sz w:val="24"/>
          <w:szCs w:val="24"/>
          <w:shd w:val="clear" w:color="auto" w:fill="FFFFFF"/>
        </w:rPr>
        <w:t>项目概况</w:t>
      </w:r>
    </w:p>
    <w:p>
      <w:pPr>
        <w:pStyle w:val="22"/>
        <w:spacing w:before="0" w:beforeAutospacing="0" w:after="0" w:afterAutospacing="0" w:line="360" w:lineRule="auto"/>
        <w:ind w:firstLine="480" w:firstLineChars="200"/>
        <w:jc w:val="both"/>
        <w:textAlignment w:val="baseline"/>
        <w:rPr>
          <w:rFonts w:hint="eastAsia" w:ascii="仿宋" w:hAnsi="仿宋" w:eastAsia="仿宋" w:cs="仿宋"/>
          <w:bCs/>
          <w:sz w:val="24"/>
          <w:szCs w:val="24"/>
          <w:shd w:val="clear" w:color="auto" w:fill="FFFFFF"/>
        </w:rPr>
      </w:pPr>
      <w:r>
        <w:rPr>
          <w:rStyle w:val="28"/>
          <w:rFonts w:hint="eastAsia" w:ascii="仿宋" w:hAnsi="仿宋" w:eastAsia="仿宋" w:cs="仿宋"/>
          <w:b w:val="0"/>
          <w:bCs/>
          <w:sz w:val="24"/>
          <w:szCs w:val="24"/>
          <w:shd w:val="clear" w:color="auto" w:fill="FFFFFF"/>
          <w:lang w:eastAsia="zh-CN"/>
        </w:rPr>
        <w:t>西安市教育局政务协同办公系统运维服务项目</w:t>
      </w:r>
      <w:r>
        <w:rPr>
          <w:rStyle w:val="28"/>
          <w:rFonts w:hint="eastAsia" w:ascii="仿宋" w:hAnsi="仿宋" w:eastAsia="仿宋" w:cs="仿宋"/>
          <w:b w:val="0"/>
          <w:bCs/>
          <w:sz w:val="24"/>
          <w:szCs w:val="24"/>
          <w:shd w:val="clear" w:color="auto" w:fill="FFFFFF"/>
        </w:rPr>
        <w:t>的潜在供应商应在西安经济技术开发区凤城十一路与文景路十字文景商务广场B座8层获取采购</w:t>
      </w:r>
      <w:bookmarkStart w:id="627" w:name="_GoBack"/>
      <w:bookmarkEnd w:id="627"/>
      <w:r>
        <w:rPr>
          <w:rStyle w:val="28"/>
          <w:rFonts w:hint="eastAsia" w:ascii="仿宋" w:hAnsi="仿宋" w:eastAsia="仿宋" w:cs="仿宋"/>
          <w:b w:val="0"/>
          <w:bCs/>
          <w:sz w:val="24"/>
          <w:szCs w:val="24"/>
          <w:shd w:val="clear" w:color="auto" w:fill="FFFFFF"/>
        </w:rPr>
        <w:t xml:space="preserve">文件，并于 </w:t>
      </w:r>
      <w:r>
        <w:rPr>
          <w:rStyle w:val="28"/>
          <w:rFonts w:hint="eastAsia" w:ascii="仿宋" w:hAnsi="仿宋" w:eastAsia="仿宋" w:cs="仿宋"/>
          <w:b w:val="0"/>
          <w:bCs/>
          <w:sz w:val="24"/>
          <w:szCs w:val="24"/>
          <w:shd w:val="clear" w:color="auto" w:fill="FFFFFF"/>
          <w:lang w:eastAsia="zh-CN"/>
        </w:rPr>
        <w:t>2022年10月24日 09时30分</w:t>
      </w:r>
      <w:r>
        <w:rPr>
          <w:rStyle w:val="28"/>
          <w:rFonts w:hint="eastAsia" w:ascii="仿宋" w:hAnsi="仿宋" w:eastAsia="仿宋" w:cs="仿宋"/>
          <w:b w:val="0"/>
          <w:bCs/>
          <w:sz w:val="24"/>
          <w:szCs w:val="24"/>
          <w:shd w:val="clear" w:color="auto" w:fill="FFFFFF"/>
        </w:rPr>
        <w:t>（北京时间）前提交响应文件。</w:t>
      </w:r>
    </w:p>
    <w:p>
      <w:pPr>
        <w:pStyle w:val="22"/>
        <w:spacing w:before="0" w:beforeAutospacing="0" w:after="0" w:afterAutospacing="0" w:line="360" w:lineRule="auto"/>
        <w:ind w:firstLine="482" w:firstLineChars="200"/>
        <w:jc w:val="both"/>
        <w:textAlignment w:val="baseline"/>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一、项目基本情况</w:t>
      </w:r>
    </w:p>
    <w:p>
      <w:pPr>
        <w:pStyle w:val="22"/>
        <w:spacing w:before="0" w:beforeAutospacing="0" w:after="0" w:afterAutospacing="0" w:line="360" w:lineRule="auto"/>
        <w:ind w:firstLine="480" w:firstLineChars="200"/>
        <w:jc w:val="both"/>
        <w:textAlignment w:val="baseline"/>
        <w:rPr>
          <w:rFonts w:hint="eastAsia" w:ascii="仿宋" w:hAnsi="仿宋" w:eastAsia="仿宋" w:cs="仿宋"/>
          <w:bCs/>
          <w:sz w:val="24"/>
          <w:szCs w:val="24"/>
          <w:shd w:val="clear" w:color="auto" w:fill="FFFFFF"/>
          <w:lang w:eastAsia="zh-CN"/>
        </w:rPr>
      </w:pPr>
      <w:r>
        <w:rPr>
          <w:rFonts w:hint="eastAsia" w:ascii="仿宋" w:hAnsi="仿宋" w:eastAsia="仿宋" w:cs="仿宋"/>
          <w:bCs/>
          <w:sz w:val="24"/>
          <w:szCs w:val="24"/>
          <w:shd w:val="clear" w:color="auto" w:fill="FFFFFF"/>
        </w:rPr>
        <w:t>项目编号：</w:t>
      </w:r>
      <w:r>
        <w:rPr>
          <w:rFonts w:hint="eastAsia" w:ascii="仿宋" w:hAnsi="仿宋" w:eastAsia="仿宋" w:cs="仿宋"/>
          <w:bCs/>
          <w:sz w:val="24"/>
          <w:szCs w:val="24"/>
          <w:shd w:val="clear" w:color="auto" w:fill="FFFFFF"/>
          <w:lang w:eastAsia="zh-CN"/>
        </w:rPr>
        <w:t>DX2022-238</w:t>
      </w:r>
    </w:p>
    <w:p>
      <w:pPr>
        <w:pStyle w:val="22"/>
        <w:spacing w:before="0" w:beforeAutospacing="0" w:after="0" w:afterAutospacing="0" w:line="360" w:lineRule="auto"/>
        <w:ind w:firstLine="480" w:firstLineChars="200"/>
        <w:jc w:val="both"/>
        <w:textAlignment w:val="baseline"/>
        <w:rPr>
          <w:rFonts w:hint="eastAsia" w:ascii="仿宋" w:hAnsi="仿宋" w:eastAsia="仿宋" w:cs="仿宋"/>
          <w:bCs/>
          <w:sz w:val="24"/>
          <w:szCs w:val="24"/>
          <w:shd w:val="clear" w:color="auto" w:fill="FFFFFF"/>
          <w:lang w:eastAsia="zh-CN"/>
        </w:rPr>
      </w:pPr>
      <w:r>
        <w:rPr>
          <w:rFonts w:hint="eastAsia" w:ascii="仿宋" w:hAnsi="仿宋" w:eastAsia="仿宋" w:cs="仿宋"/>
          <w:bCs/>
          <w:sz w:val="24"/>
          <w:szCs w:val="24"/>
          <w:shd w:val="clear" w:color="auto" w:fill="FFFFFF"/>
        </w:rPr>
        <w:t>项目名称：</w:t>
      </w:r>
      <w:r>
        <w:rPr>
          <w:rFonts w:hint="eastAsia" w:ascii="仿宋" w:hAnsi="仿宋" w:eastAsia="仿宋" w:cs="仿宋"/>
          <w:bCs/>
          <w:sz w:val="24"/>
          <w:szCs w:val="24"/>
          <w:shd w:val="clear" w:color="auto" w:fill="FFFFFF"/>
          <w:lang w:eastAsia="zh-CN"/>
        </w:rPr>
        <w:t>西安市教育局政务协同办公系统运维服务项目</w:t>
      </w:r>
    </w:p>
    <w:p>
      <w:pPr>
        <w:pStyle w:val="22"/>
        <w:spacing w:before="0" w:beforeAutospacing="0" w:after="0" w:afterAutospacing="0" w:line="360" w:lineRule="auto"/>
        <w:ind w:firstLine="480" w:firstLineChars="200"/>
        <w:jc w:val="both"/>
        <w:textAlignment w:val="baseline"/>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采购方式：竞争性磋商</w:t>
      </w:r>
    </w:p>
    <w:p>
      <w:pPr>
        <w:pStyle w:val="22"/>
        <w:spacing w:before="0" w:beforeAutospacing="0" w:after="0" w:afterAutospacing="0" w:line="360" w:lineRule="auto"/>
        <w:ind w:firstLine="480" w:firstLineChars="200"/>
        <w:jc w:val="both"/>
        <w:textAlignment w:val="baseline"/>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预算金额：</w:t>
      </w:r>
      <w:r>
        <w:rPr>
          <w:rFonts w:hint="eastAsia" w:ascii="仿宋" w:hAnsi="仿宋" w:eastAsia="仿宋" w:cs="仿宋"/>
          <w:bCs/>
          <w:sz w:val="24"/>
          <w:szCs w:val="24"/>
          <w:shd w:val="clear" w:color="auto" w:fill="FFFFFF"/>
          <w:lang w:eastAsia="zh-CN"/>
        </w:rPr>
        <w:t>490000.00</w:t>
      </w:r>
      <w:r>
        <w:rPr>
          <w:rFonts w:hint="eastAsia" w:ascii="仿宋" w:hAnsi="仿宋" w:eastAsia="仿宋" w:cs="仿宋"/>
          <w:bCs/>
          <w:sz w:val="24"/>
          <w:szCs w:val="24"/>
          <w:shd w:val="clear" w:color="auto" w:fill="FFFFFF"/>
        </w:rPr>
        <w:t>元</w:t>
      </w:r>
    </w:p>
    <w:p>
      <w:pPr>
        <w:pStyle w:val="22"/>
        <w:spacing w:before="0" w:beforeAutospacing="0" w:after="0" w:afterAutospacing="0" w:line="360" w:lineRule="auto"/>
        <w:ind w:firstLine="480" w:firstLineChars="200"/>
        <w:jc w:val="both"/>
        <w:textAlignment w:val="baseline"/>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采购需求：</w:t>
      </w:r>
    </w:p>
    <w:p>
      <w:pPr>
        <w:pStyle w:val="22"/>
        <w:spacing w:before="0" w:beforeAutospacing="0" w:after="0" w:afterAutospacing="0" w:line="360" w:lineRule="auto"/>
        <w:ind w:firstLine="480" w:firstLineChars="200"/>
        <w:jc w:val="both"/>
        <w:textAlignment w:val="baseline"/>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合同包1(</w:t>
      </w:r>
      <w:r>
        <w:rPr>
          <w:rFonts w:hint="eastAsia" w:ascii="仿宋" w:hAnsi="仿宋" w:eastAsia="仿宋" w:cs="仿宋"/>
          <w:bCs/>
          <w:sz w:val="24"/>
          <w:szCs w:val="24"/>
          <w:shd w:val="clear" w:color="auto" w:fill="FFFFFF"/>
          <w:lang w:eastAsia="zh-CN"/>
        </w:rPr>
        <w:t>西安市教育局政务协同办公系统运维服务项目</w:t>
      </w:r>
      <w:r>
        <w:rPr>
          <w:rFonts w:hint="eastAsia" w:ascii="仿宋" w:hAnsi="仿宋" w:eastAsia="仿宋" w:cs="仿宋"/>
          <w:bCs/>
          <w:sz w:val="24"/>
          <w:szCs w:val="24"/>
          <w:shd w:val="clear" w:color="auto" w:fill="FFFFFF"/>
        </w:rPr>
        <w:t>)：</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bCs/>
          <w:sz w:val="24"/>
          <w:szCs w:val="24"/>
          <w:shd w:val="clear" w:color="auto" w:fill="FFFFFF"/>
        </w:rPr>
        <w:t>合同包预算金额：</w:t>
      </w:r>
      <w:r>
        <w:rPr>
          <w:rFonts w:hint="eastAsia" w:ascii="仿宋" w:hAnsi="仿宋" w:eastAsia="仿宋" w:cs="仿宋"/>
          <w:bCs/>
          <w:sz w:val="24"/>
          <w:szCs w:val="24"/>
          <w:shd w:val="clear" w:color="auto" w:fill="FFFFFF"/>
          <w:lang w:eastAsia="zh-CN"/>
        </w:rPr>
        <w:t>490000.00</w:t>
      </w:r>
      <w:r>
        <w:rPr>
          <w:rFonts w:hint="eastAsia" w:ascii="仿宋" w:hAnsi="仿宋" w:eastAsia="仿宋" w:cs="仿宋"/>
          <w:bCs/>
          <w:sz w:val="24"/>
          <w:szCs w:val="24"/>
          <w:shd w:val="clear" w:color="auto" w:fill="FFFFFF"/>
        </w:rPr>
        <w:t>元</w:t>
      </w:r>
    </w:p>
    <w:tbl>
      <w:tblPr>
        <w:tblStyle w:val="25"/>
        <w:tblW w:w="9556" w:type="dxa"/>
        <w:jc w:val="center"/>
        <w:tblLayout w:type="fixed"/>
        <w:tblCellMar>
          <w:top w:w="0" w:type="dxa"/>
          <w:left w:w="0" w:type="dxa"/>
          <w:bottom w:w="0" w:type="dxa"/>
          <w:right w:w="0" w:type="dxa"/>
        </w:tblCellMar>
      </w:tblPr>
      <w:tblGrid>
        <w:gridCol w:w="600"/>
        <w:gridCol w:w="1243"/>
        <w:gridCol w:w="2194"/>
        <w:gridCol w:w="1144"/>
        <w:gridCol w:w="1687"/>
        <w:gridCol w:w="1481"/>
        <w:gridCol w:w="1207"/>
      </w:tblGrid>
      <w:tr>
        <w:tblPrEx>
          <w:tblCellMar>
            <w:top w:w="0" w:type="dxa"/>
            <w:left w:w="0" w:type="dxa"/>
            <w:bottom w:w="0" w:type="dxa"/>
            <w:right w:w="0" w:type="dxa"/>
          </w:tblCellMar>
        </w:tblPrEx>
        <w:trPr>
          <w:trHeight w:val="433" w:hRule="atLeast"/>
          <w:tblHeader/>
          <w:jc w:val="center"/>
        </w:trPr>
        <w:tc>
          <w:tcPr>
            <w:tcW w:w="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2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21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品目预算(元)</w:t>
            </w:r>
          </w:p>
        </w:tc>
        <w:tc>
          <w:tcPr>
            <w:tcW w:w="12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最高限价(元)</w:t>
            </w:r>
          </w:p>
        </w:tc>
      </w:tr>
      <w:tr>
        <w:tblPrEx>
          <w:tblCellMar>
            <w:top w:w="0" w:type="dxa"/>
            <w:left w:w="0" w:type="dxa"/>
            <w:bottom w:w="0" w:type="dxa"/>
            <w:right w:w="0" w:type="dxa"/>
          </w:tblCellMar>
        </w:tblPrEx>
        <w:trPr>
          <w:trHeight w:val="291" w:hRule="atLeast"/>
          <w:jc w:val="center"/>
        </w:trPr>
        <w:tc>
          <w:tcPr>
            <w:tcW w:w="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12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shd w:val="clear" w:color="auto" w:fill="FFFFFF"/>
                <w:lang w:eastAsia="zh-CN"/>
              </w:rPr>
              <w:t>基础环境运维服务</w:t>
            </w:r>
          </w:p>
        </w:tc>
        <w:tc>
          <w:tcPr>
            <w:tcW w:w="21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bCs/>
                <w:sz w:val="24"/>
                <w:szCs w:val="24"/>
                <w:shd w:val="clear" w:color="auto" w:fill="FFFFFF"/>
                <w:lang w:eastAsia="zh-CN"/>
              </w:rPr>
              <w:t>西安市教育局政务协同办公系统运维服务项目</w:t>
            </w:r>
          </w:p>
        </w:tc>
        <w:tc>
          <w:tcPr>
            <w:tcW w:w="11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详见西安市教育局政务协同办公系统运维服务项目需求</w:t>
            </w:r>
          </w:p>
        </w:tc>
        <w:tc>
          <w:tcPr>
            <w:tcW w:w="1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490000.00</w:t>
            </w:r>
          </w:p>
        </w:tc>
        <w:tc>
          <w:tcPr>
            <w:tcW w:w="12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right"/>
              <w:rPr>
                <w:rFonts w:hint="eastAsia" w:ascii="仿宋" w:hAnsi="仿宋" w:eastAsia="仿宋" w:cs="仿宋"/>
                <w:sz w:val="24"/>
                <w:szCs w:val="24"/>
              </w:rPr>
            </w:pPr>
            <w:r>
              <w:rPr>
                <w:rFonts w:hint="eastAsia" w:ascii="仿宋" w:hAnsi="仿宋" w:eastAsia="仿宋" w:cs="仿宋"/>
                <w:sz w:val="24"/>
                <w:szCs w:val="24"/>
              </w:rPr>
              <w:t>-</w:t>
            </w:r>
          </w:p>
        </w:tc>
      </w:tr>
    </w:tbl>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本合同包不接受联合体投标</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合同履行期限：</w:t>
      </w:r>
      <w:r>
        <w:rPr>
          <w:rFonts w:hint="eastAsia" w:ascii="仿宋" w:hAnsi="仿宋" w:eastAsia="仿宋" w:cs="仿宋"/>
          <w:sz w:val="24"/>
          <w:szCs w:val="24"/>
          <w:shd w:val="clear" w:color="auto" w:fill="FFFFFF"/>
          <w:lang w:eastAsia="zh-CN"/>
        </w:rPr>
        <w:t>自合同签订起一年</w:t>
      </w:r>
      <w:r>
        <w:rPr>
          <w:rFonts w:hint="eastAsia" w:ascii="仿宋" w:hAnsi="仿宋" w:eastAsia="仿宋" w:cs="仿宋"/>
          <w:sz w:val="24"/>
          <w:szCs w:val="24"/>
          <w:shd w:val="clear" w:color="auto" w:fill="FFFFFF"/>
        </w:rPr>
        <w:t>。</w:t>
      </w:r>
    </w:p>
    <w:p>
      <w:pPr>
        <w:pStyle w:val="22"/>
        <w:spacing w:before="0" w:beforeAutospacing="0" w:after="0" w:afterAutospacing="0" w:line="360" w:lineRule="auto"/>
        <w:ind w:firstLine="482" w:firstLineChars="200"/>
        <w:jc w:val="both"/>
        <w:textAlignment w:val="baseline"/>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二、申请人的资格要求：</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1.满足《中华人民共和国政府采购法》第二十二条规定;</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2.落实政府采购政策需满足的资格要求：</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合同包1(</w:t>
      </w:r>
      <w:r>
        <w:rPr>
          <w:rFonts w:hint="eastAsia" w:ascii="仿宋" w:hAnsi="仿宋" w:eastAsia="仿宋" w:cs="仿宋"/>
          <w:bCs/>
          <w:sz w:val="24"/>
          <w:szCs w:val="24"/>
          <w:shd w:val="clear" w:color="auto" w:fill="FFFFFF"/>
          <w:lang w:eastAsia="zh-CN"/>
        </w:rPr>
        <w:t>西安市教育局政务协同办公系统运维服务项目</w:t>
      </w:r>
      <w:r>
        <w:rPr>
          <w:rFonts w:hint="eastAsia" w:ascii="仿宋" w:hAnsi="仿宋" w:eastAsia="仿宋" w:cs="仿宋"/>
          <w:sz w:val="24"/>
          <w:szCs w:val="24"/>
          <w:shd w:val="clear" w:color="auto" w:fill="FFFFFF"/>
        </w:rPr>
        <w:t>)落实政府采购政策需满足的资格要求如下：</w:t>
      </w:r>
    </w:p>
    <w:p>
      <w:pPr>
        <w:pStyle w:val="22"/>
        <w:spacing w:before="0" w:beforeAutospacing="0" w:after="0" w:afterAutospacing="0" w:line="360" w:lineRule="auto"/>
        <w:ind w:firstLine="482" w:firstLineChars="200"/>
        <w:jc w:val="both"/>
        <w:textAlignment w:val="baseline"/>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本项目专门面向中小企业采购。</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3.本项目的特定资格要求：</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合同包1(</w:t>
      </w:r>
      <w:r>
        <w:rPr>
          <w:rFonts w:hint="eastAsia" w:ascii="仿宋" w:hAnsi="仿宋" w:eastAsia="仿宋" w:cs="仿宋"/>
          <w:sz w:val="24"/>
          <w:szCs w:val="24"/>
          <w:shd w:val="clear" w:color="auto" w:fill="FFFFFF"/>
          <w:lang w:eastAsia="zh-CN"/>
        </w:rPr>
        <w:t>西安市教育局政务协同办公系统运维服务项目</w:t>
      </w:r>
      <w:r>
        <w:rPr>
          <w:rFonts w:hint="eastAsia" w:ascii="仿宋" w:hAnsi="仿宋" w:eastAsia="仿宋" w:cs="仿宋"/>
          <w:sz w:val="24"/>
          <w:szCs w:val="24"/>
          <w:shd w:val="clear" w:color="auto" w:fill="FFFFFF"/>
        </w:rPr>
        <w:t>)特定资格要求如下：</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1、法定代表人授权书及被授权人身份证，并且提供有效的劳动合同或近三个月养老保险缴纳证明（法人参加只需提供法定代表人身份证明）；</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2、符合《财政部关于在政府采购活动中查询及使用信用记录有关问题的通知》（财库【2016】125号）文件中信用查询的要求；（此项由采购人与采购代理单位在开标时查询，以现场查询为准）；</w:t>
      </w:r>
    </w:p>
    <w:p>
      <w:pPr>
        <w:pStyle w:val="22"/>
        <w:spacing w:before="0" w:beforeAutospacing="0" w:after="0" w:afterAutospacing="0" w:line="360" w:lineRule="auto"/>
        <w:ind w:firstLine="482"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b/>
          <w:bCs/>
          <w:sz w:val="24"/>
          <w:szCs w:val="24"/>
          <w:shd w:val="clear" w:color="auto" w:fill="FFFFFF"/>
        </w:rPr>
        <w:t>三、获取竞争性磋商文件</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时间：</w:t>
      </w:r>
      <w:r>
        <w:rPr>
          <w:rFonts w:hint="eastAsia" w:ascii="仿宋" w:hAnsi="仿宋" w:eastAsia="仿宋" w:cs="仿宋"/>
          <w:sz w:val="24"/>
          <w:szCs w:val="24"/>
          <w:shd w:val="clear" w:color="auto" w:fill="FFFFFF"/>
          <w:lang w:eastAsia="zh-CN"/>
        </w:rPr>
        <w:t>2022年10月12日 至 2022年10月19日</w:t>
      </w:r>
      <w:r>
        <w:rPr>
          <w:rFonts w:hint="eastAsia" w:ascii="仿宋" w:hAnsi="仿宋" w:eastAsia="仿宋" w:cs="仿宋"/>
          <w:sz w:val="24"/>
          <w:szCs w:val="24"/>
          <w:shd w:val="clear" w:color="auto" w:fill="FFFFFF"/>
        </w:rPr>
        <w:t>，每天上午 09：00：00 至 12：00：00 ，下午 14：00：00 至 17：00：00 （北京时间,法定节假日除外）</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途径</w:t>
      </w:r>
      <w:r>
        <w:rPr>
          <w:rFonts w:hint="eastAsia" w:ascii="仿宋" w:hAnsi="仿宋" w:eastAsia="仿宋" w:cs="仿宋"/>
          <w:sz w:val="24"/>
          <w:szCs w:val="24"/>
          <w:shd w:val="clear" w:color="auto" w:fill="FFFFFF"/>
        </w:rPr>
        <w:t>：西安经济技术开发区凤城十一路与文景路十字文景商务广场B座8层</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方式：现场获取</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highlight w:val="yellow"/>
          <w:shd w:val="clear" w:color="auto" w:fill="FFFFFF"/>
          <w:lang w:val="en-US" w:eastAsia="zh-CN"/>
        </w:rPr>
      </w:pPr>
      <w:r>
        <w:rPr>
          <w:rFonts w:hint="eastAsia" w:ascii="仿宋" w:hAnsi="仿宋" w:eastAsia="仿宋" w:cs="仿宋"/>
          <w:sz w:val="24"/>
          <w:szCs w:val="24"/>
          <w:shd w:val="clear" w:color="auto" w:fill="FFFFFF"/>
        </w:rPr>
        <w:t>售价：</w:t>
      </w:r>
      <w:r>
        <w:rPr>
          <w:rFonts w:hint="eastAsia" w:ascii="仿宋" w:hAnsi="仿宋" w:eastAsia="仿宋" w:cs="仿宋"/>
          <w:sz w:val="24"/>
          <w:szCs w:val="24"/>
          <w:shd w:val="clear" w:color="auto" w:fill="FFFFFF"/>
          <w:lang w:val="en-US" w:eastAsia="zh-CN"/>
        </w:rPr>
        <w:t>0元</w:t>
      </w:r>
    </w:p>
    <w:p>
      <w:pPr>
        <w:pStyle w:val="22"/>
        <w:spacing w:before="0" w:beforeAutospacing="0" w:after="0" w:afterAutospacing="0" w:line="360" w:lineRule="auto"/>
        <w:ind w:firstLine="482"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b/>
          <w:bCs/>
          <w:sz w:val="24"/>
          <w:szCs w:val="24"/>
          <w:shd w:val="clear" w:color="auto" w:fill="FFFFFF"/>
        </w:rPr>
        <w:t>四、提交响应文件截止时间、开标时间和地点</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截止时间：</w:t>
      </w:r>
      <w:r>
        <w:rPr>
          <w:rFonts w:hint="eastAsia" w:ascii="仿宋" w:hAnsi="仿宋" w:eastAsia="仿宋" w:cs="仿宋"/>
          <w:sz w:val="24"/>
          <w:szCs w:val="24"/>
          <w:lang w:eastAsia="zh-CN"/>
        </w:rPr>
        <w:t>2022年10月24日 09时30分</w:t>
      </w:r>
      <w:r>
        <w:rPr>
          <w:rFonts w:hint="eastAsia" w:ascii="仿宋" w:hAnsi="仿宋" w:eastAsia="仿宋" w:cs="仿宋"/>
          <w:sz w:val="24"/>
          <w:szCs w:val="24"/>
        </w:rPr>
        <w:t>00秒 （北京时间）</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rPr>
        <w:t>地点：西安经济技术开发区凤城十一路与文景路十字文景商务广场B座8层</w:t>
      </w:r>
    </w:p>
    <w:p>
      <w:pPr>
        <w:pStyle w:val="22"/>
        <w:spacing w:before="0" w:beforeAutospacing="0" w:after="0" w:afterAutospacing="0" w:line="360" w:lineRule="auto"/>
        <w:ind w:firstLine="482" w:firstLineChars="200"/>
        <w:jc w:val="both"/>
        <w:textAlignment w:val="baseline"/>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五、开启</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时间：</w:t>
      </w:r>
      <w:r>
        <w:rPr>
          <w:rFonts w:hint="eastAsia" w:ascii="仿宋" w:hAnsi="仿宋" w:eastAsia="仿宋" w:cs="仿宋"/>
          <w:sz w:val="24"/>
          <w:szCs w:val="24"/>
          <w:lang w:eastAsia="zh-CN"/>
        </w:rPr>
        <w:t>2022年10月24日 09时30分</w:t>
      </w:r>
      <w:r>
        <w:rPr>
          <w:rFonts w:hint="eastAsia" w:ascii="仿宋" w:hAnsi="仿宋" w:eastAsia="仿宋" w:cs="仿宋"/>
          <w:sz w:val="24"/>
          <w:szCs w:val="24"/>
          <w:shd w:val="clear" w:color="auto" w:fill="FFFFFF"/>
        </w:rPr>
        <w:t>00秒 （北京时间）</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地点：西安经济技术开发区凤城十一路与文景路十字文景商务广场B座8层</w:t>
      </w:r>
    </w:p>
    <w:p>
      <w:pPr>
        <w:pStyle w:val="22"/>
        <w:spacing w:before="0" w:beforeAutospacing="0" w:after="0" w:afterAutospacing="0" w:line="360" w:lineRule="auto"/>
        <w:ind w:firstLine="482"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b/>
          <w:bCs/>
          <w:sz w:val="24"/>
          <w:szCs w:val="24"/>
          <w:shd w:val="clear" w:color="auto" w:fill="FFFFFF"/>
        </w:rPr>
        <w:t>六、公告期限</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自本公告发布之日起3个工作日。</w:t>
      </w:r>
    </w:p>
    <w:p>
      <w:pPr>
        <w:pStyle w:val="22"/>
        <w:spacing w:before="0" w:beforeAutospacing="0" w:after="0" w:afterAutospacing="0" w:line="360" w:lineRule="auto"/>
        <w:ind w:firstLine="482"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b/>
          <w:bCs/>
          <w:sz w:val="24"/>
          <w:szCs w:val="24"/>
          <w:shd w:val="clear" w:color="auto" w:fill="FFFFFF"/>
        </w:rPr>
        <w:t>七、其他补充事宜</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1、领取磋商文件时请携带单位介绍信原件、经办人身份证原件及复印件（加盖公章）。</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2、请各供应商获取磋商文件后，按照陕西省财政厅《关于政府采购供应商注册登记有关事项的通知》要求，通过陕西省政府采购网注册登记加入陕西省政府采购供应商库。</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3、执行的其他政府采购政策：</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（1）《政府采购促进中小企业发展管理办法》财库〔2020〕46号</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（2）《财政部 司法部关于政府采购支持监狱企业发展有关问题的通知》财库[2014]68号</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（3）《财政部 发展改革委 生态环境部 市场监管总局关于调整优化节能产品、环境标志产品政府采购执行机制的通知》（财库〔2019〕9号）</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（4）《财政部 国家发展改革委关于印发〈节能产品政府采购实施意见〉的通知》（财库[2004]185号）</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（5）《财政部环保总局关于环境标志产品政府采购实施的意见》财库[2006]90号</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（6）《三部门联合发布关于促进残疾人就业政府采购政策的通知》（财库[2017]141号）</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（7）《陕西省中小企业政府采购信用融资办法》（陕财办采〔2018〕23号）</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（8）《国务院办公厅关于建立政府强制采购节能产品制度的通知》（国办发〔2007〕51号）</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（9）《财政部 国务院扶贫办关于运用政府采购政策支持脱贫攻坚的通知》（财库〔2019〕27号）</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4、响应文件中凡是需要法定代表人盖章之处，非法人单位的负责人均参照执行。</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5、分支机构参与投标时，响应文件中应附法人出具的授权书。法人只能授权一家分支机构参与磋商，且不能与分支机构同时参与磋商。分支机构须提供自己的资格要求证明文件。</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rPr>
        <w:t>6、供应商如不参与项目磋商，需在递交文件截止时间前一日以书面形式告知项目联系人（邮箱号：2059407584@qq.com),否则采购代理机构将向财政局反映，供应商一年内累计出现三次该情形，将被监管部门记录为失信被执行人。</w:t>
      </w:r>
    </w:p>
    <w:p>
      <w:pPr>
        <w:pStyle w:val="22"/>
        <w:spacing w:before="0" w:beforeAutospacing="0" w:after="0" w:afterAutospacing="0" w:line="360" w:lineRule="auto"/>
        <w:jc w:val="both"/>
        <w:textAlignment w:val="baseline"/>
        <w:rPr>
          <w:rFonts w:hint="eastAsia" w:ascii="仿宋" w:hAnsi="仿宋" w:eastAsia="仿宋" w:cs="仿宋"/>
          <w:sz w:val="24"/>
          <w:szCs w:val="24"/>
          <w:shd w:val="clear" w:color="auto" w:fill="FFFFFF"/>
        </w:rPr>
      </w:pPr>
      <w:r>
        <w:rPr>
          <w:rFonts w:hint="eastAsia" w:ascii="仿宋" w:hAnsi="仿宋" w:eastAsia="仿宋" w:cs="仿宋"/>
          <w:b/>
          <w:bCs/>
          <w:sz w:val="24"/>
          <w:szCs w:val="24"/>
          <w:shd w:val="clear" w:color="auto" w:fill="FFFFFF"/>
        </w:rPr>
        <w:t>八、凡对本次采购提出询问，请按以下方式联系。</w:t>
      </w:r>
    </w:p>
    <w:p>
      <w:pPr>
        <w:pStyle w:val="22"/>
        <w:spacing w:before="0" w:beforeAutospacing="0" w:after="0" w:afterAutospacing="0" w:line="360" w:lineRule="auto"/>
        <w:ind w:firstLine="420" w:firstLineChars="175"/>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1.采购人信息</w:t>
      </w:r>
    </w:p>
    <w:p>
      <w:pPr>
        <w:pStyle w:val="22"/>
        <w:spacing w:before="0" w:beforeAutospacing="0" w:after="0" w:afterAutospacing="0" w:line="360" w:lineRule="auto"/>
        <w:ind w:firstLine="840" w:firstLineChars="350"/>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名称：西安市教育局（本级）</w:t>
      </w:r>
    </w:p>
    <w:p>
      <w:pPr>
        <w:pStyle w:val="22"/>
        <w:spacing w:before="0" w:beforeAutospacing="0" w:after="0" w:afterAutospacing="0" w:line="360" w:lineRule="auto"/>
        <w:ind w:firstLine="840" w:firstLineChars="350"/>
        <w:textAlignment w:val="baseline"/>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rPr>
        <w:t>地址：</w:t>
      </w:r>
      <w:r>
        <w:rPr>
          <w:rFonts w:hint="eastAsia" w:ascii="仿宋" w:hAnsi="仿宋" w:eastAsia="仿宋" w:cs="仿宋"/>
          <w:sz w:val="24"/>
          <w:szCs w:val="24"/>
          <w:lang w:eastAsia="zh-CN"/>
        </w:rPr>
        <w:t>凤城八路109号市政府6号楼</w:t>
      </w:r>
    </w:p>
    <w:p>
      <w:pPr>
        <w:pStyle w:val="22"/>
        <w:spacing w:before="0" w:beforeAutospacing="0" w:after="0" w:afterAutospacing="0" w:line="360" w:lineRule="auto"/>
        <w:ind w:firstLine="840" w:firstLineChars="350"/>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联系方式：029-89160882</w:t>
      </w:r>
    </w:p>
    <w:p>
      <w:pPr>
        <w:pStyle w:val="22"/>
        <w:spacing w:before="0" w:beforeAutospacing="0" w:after="0" w:afterAutospacing="0" w:line="360" w:lineRule="auto"/>
        <w:ind w:firstLine="420" w:firstLineChars="175"/>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2.采购代理机构信息</w:t>
      </w:r>
    </w:p>
    <w:p>
      <w:pPr>
        <w:pStyle w:val="22"/>
        <w:spacing w:before="0" w:beforeAutospacing="0" w:after="0" w:afterAutospacing="0" w:line="360" w:lineRule="auto"/>
        <w:ind w:firstLine="840" w:firstLineChars="350"/>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名称：陕西笃信招标有限公司</w:t>
      </w:r>
    </w:p>
    <w:p>
      <w:pPr>
        <w:pStyle w:val="22"/>
        <w:spacing w:before="0" w:beforeAutospacing="0" w:after="0" w:afterAutospacing="0" w:line="360" w:lineRule="auto"/>
        <w:ind w:firstLine="840" w:firstLineChars="350"/>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地址：西安经济技术开发区凤城十一路与文景路十字文景商务广场B座8层</w:t>
      </w:r>
    </w:p>
    <w:p>
      <w:pPr>
        <w:pStyle w:val="22"/>
        <w:spacing w:before="0" w:beforeAutospacing="0" w:after="0" w:afterAutospacing="0" w:line="360" w:lineRule="auto"/>
        <w:ind w:firstLine="840" w:firstLineChars="350"/>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联系方式：029-86253389</w:t>
      </w:r>
    </w:p>
    <w:p>
      <w:pPr>
        <w:pStyle w:val="22"/>
        <w:spacing w:before="0" w:beforeAutospacing="0" w:after="0" w:afterAutospacing="0" w:line="360" w:lineRule="auto"/>
        <w:ind w:firstLine="420" w:firstLineChars="175"/>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3.项目联系方式</w:t>
      </w:r>
    </w:p>
    <w:p>
      <w:pPr>
        <w:pStyle w:val="22"/>
        <w:spacing w:before="0" w:beforeAutospacing="0" w:after="0" w:afterAutospacing="0" w:line="360" w:lineRule="auto"/>
        <w:ind w:firstLine="840" w:firstLineChars="350"/>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项目联系人：黄安舒、李纪旋</w:t>
      </w:r>
    </w:p>
    <w:p>
      <w:pPr>
        <w:pStyle w:val="22"/>
        <w:spacing w:before="0" w:beforeAutospacing="0" w:after="0" w:afterAutospacing="0" w:line="360" w:lineRule="auto"/>
        <w:ind w:firstLine="840" w:firstLineChars="350"/>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电话：029-86253389</w:t>
      </w:r>
    </w:p>
    <w:p>
      <w:pPr>
        <w:pStyle w:val="22"/>
        <w:spacing w:before="0" w:beforeAutospacing="0" w:after="0" w:afterAutospacing="0" w:line="360" w:lineRule="auto"/>
        <w:ind w:firstLine="480" w:firstLineChars="200"/>
        <w:jc w:val="right"/>
        <w:textAlignment w:val="baseline"/>
        <w:rPr>
          <w:rFonts w:hint="eastAsia" w:ascii="仿宋" w:hAnsi="仿宋" w:eastAsia="仿宋" w:cs="仿宋"/>
          <w:sz w:val="24"/>
          <w:szCs w:val="24"/>
          <w:shd w:val="clear" w:color="auto" w:fill="FFFFFF"/>
        </w:rPr>
      </w:pPr>
    </w:p>
    <w:p>
      <w:pPr>
        <w:pStyle w:val="22"/>
        <w:spacing w:before="0" w:beforeAutospacing="0" w:after="0" w:afterAutospacing="0" w:line="360" w:lineRule="auto"/>
        <w:ind w:firstLine="480" w:firstLineChars="200"/>
        <w:jc w:val="right"/>
        <w:textAlignment w:val="baseline"/>
        <w:rPr>
          <w:rFonts w:hint="eastAsia" w:ascii="仿宋" w:hAnsi="仿宋" w:eastAsia="仿宋" w:cs="仿宋"/>
          <w:sz w:val="24"/>
          <w:szCs w:val="24"/>
          <w:shd w:val="clear" w:color="auto" w:fill="FFFFFF"/>
        </w:rPr>
      </w:pPr>
    </w:p>
    <w:p>
      <w:pPr>
        <w:pStyle w:val="22"/>
        <w:spacing w:before="0" w:beforeAutospacing="0" w:after="0" w:afterAutospacing="0" w:line="360" w:lineRule="auto"/>
        <w:ind w:firstLine="480" w:firstLineChars="200"/>
        <w:jc w:val="right"/>
        <w:textAlignment w:val="baseline"/>
        <w:rPr>
          <w:rFonts w:hint="eastAsia" w:ascii="仿宋" w:hAnsi="仿宋" w:eastAsia="仿宋" w:cs="仿宋"/>
          <w:sz w:val="24"/>
          <w:szCs w:val="24"/>
          <w:shd w:val="clear" w:color="auto" w:fill="FFFFFF"/>
        </w:rPr>
      </w:pPr>
    </w:p>
    <w:p>
      <w:pPr>
        <w:pStyle w:val="22"/>
        <w:spacing w:before="0" w:beforeAutospacing="0" w:after="0" w:afterAutospacing="0" w:line="360" w:lineRule="auto"/>
        <w:ind w:firstLine="480" w:firstLineChars="200"/>
        <w:jc w:val="right"/>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陕西笃信招标有限公司</w:t>
      </w:r>
    </w:p>
    <w:p>
      <w:pPr>
        <w:pStyle w:val="22"/>
        <w:spacing w:before="0" w:beforeAutospacing="0" w:after="0" w:afterAutospacing="0" w:line="360" w:lineRule="auto"/>
        <w:ind w:firstLine="480" w:firstLineChars="200"/>
        <w:jc w:val="right"/>
        <w:textAlignment w:val="baseline"/>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rPr>
        <w:t>2022</w:t>
      </w:r>
      <w:r>
        <w:rPr>
          <w:rFonts w:hint="eastAsia" w:ascii="仿宋" w:hAnsi="仿宋" w:eastAsia="仿宋" w:cs="仿宋"/>
          <w:sz w:val="24"/>
          <w:szCs w:val="24"/>
          <w:shd w:val="clear" w:color="auto" w:fill="FFFFFF"/>
          <w:lang w:eastAsia="zh-CN"/>
        </w:rPr>
        <w:t>年</w:t>
      </w:r>
      <w:r>
        <w:rPr>
          <w:rFonts w:hint="eastAsia" w:ascii="仿宋" w:hAnsi="仿宋" w:eastAsia="仿宋" w:cs="仿宋"/>
          <w:sz w:val="24"/>
          <w:szCs w:val="24"/>
          <w:shd w:val="clear" w:color="auto" w:fill="FFFFFF"/>
          <w:lang w:val="en-US" w:eastAsia="zh-CN"/>
        </w:rPr>
        <w:t>10</w:t>
      </w:r>
      <w:r>
        <w:rPr>
          <w:rFonts w:hint="eastAsia" w:ascii="仿宋" w:hAnsi="仿宋" w:eastAsia="仿宋" w:cs="仿宋"/>
          <w:sz w:val="24"/>
          <w:szCs w:val="24"/>
          <w:shd w:val="clear" w:color="auto" w:fill="FFFFFF"/>
          <w:lang w:eastAsia="zh-CN"/>
        </w:rPr>
        <w:t>月</w:t>
      </w:r>
      <w:r>
        <w:rPr>
          <w:rFonts w:hint="eastAsia" w:ascii="仿宋" w:hAnsi="仿宋" w:eastAsia="仿宋" w:cs="仿宋"/>
          <w:sz w:val="24"/>
          <w:szCs w:val="24"/>
          <w:shd w:val="clear" w:color="auto" w:fill="FFFFFF"/>
          <w:lang w:val="en-US" w:eastAsia="zh-CN"/>
        </w:rPr>
        <w:t>12</w:t>
      </w:r>
      <w:r>
        <w:rPr>
          <w:rFonts w:hint="eastAsia" w:ascii="仿宋" w:hAnsi="仿宋" w:eastAsia="仿宋" w:cs="仿宋"/>
          <w:sz w:val="24"/>
          <w:szCs w:val="24"/>
          <w:shd w:val="clear" w:color="auto" w:fill="FFFFFF"/>
          <w:lang w:eastAsia="zh-CN"/>
        </w:rPr>
        <w:t>日</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Pr>
        <w:pageBreakBefore/>
        <w:autoSpaceDE w:val="0"/>
        <w:autoSpaceDN w:val="0"/>
        <w:adjustRightInd w:val="0"/>
        <w:spacing w:line="360" w:lineRule="auto"/>
        <w:jc w:val="center"/>
        <w:outlineLvl w:val="0"/>
        <w:rPr>
          <w:rFonts w:ascii="宋体" w:hAnsi="宋体" w:cs="宋体"/>
          <w:b/>
          <w:sz w:val="32"/>
          <w:szCs w:val="32"/>
          <w:lang w:val="zh-CN"/>
        </w:rPr>
      </w:pPr>
      <w:bookmarkStart w:id="20" w:name="_Toc22008"/>
      <w:bookmarkStart w:id="21" w:name="_Toc8679"/>
      <w:bookmarkStart w:id="22" w:name="_Toc14947"/>
      <w:r>
        <w:rPr>
          <w:rFonts w:hint="eastAsia" w:ascii="仿宋" w:hAnsi="仿宋" w:eastAsia="仿宋" w:cs="仿宋"/>
          <w:b/>
          <w:sz w:val="32"/>
          <w:szCs w:val="32"/>
          <w:lang w:val="zh-CN"/>
        </w:rPr>
        <w:t>第二部分</w:t>
      </w:r>
      <w:r>
        <w:rPr>
          <w:rFonts w:hint="eastAsia" w:ascii="仿宋" w:hAnsi="仿宋" w:eastAsia="仿宋" w:cs="仿宋"/>
          <w:b/>
          <w:sz w:val="32"/>
          <w:szCs w:val="32"/>
        </w:rPr>
        <w:t xml:space="preserve">  </w:t>
      </w:r>
      <w:r>
        <w:rPr>
          <w:rFonts w:hint="eastAsia" w:ascii="仿宋" w:hAnsi="仿宋" w:eastAsia="仿宋" w:cs="仿宋"/>
          <w:b/>
          <w:sz w:val="32"/>
          <w:szCs w:val="32"/>
          <w:lang w:val="zh-CN"/>
        </w:rPr>
        <w:t>竞争性磋商须知</w:t>
      </w:r>
      <w:bookmarkEnd w:id="20"/>
      <w:bookmarkEnd w:id="21"/>
    </w:p>
    <w:p>
      <w:pPr>
        <w:autoSpaceDE w:val="0"/>
        <w:autoSpaceDN w:val="0"/>
        <w:adjustRightInd w:val="0"/>
        <w:spacing w:line="360" w:lineRule="auto"/>
        <w:jc w:val="center"/>
        <w:outlineLvl w:val="1"/>
        <w:rPr>
          <w:rFonts w:ascii="仿宋" w:hAnsi="仿宋" w:eastAsia="仿宋" w:cs="仿宋"/>
          <w:b/>
          <w:bCs/>
          <w:sz w:val="28"/>
          <w:szCs w:val="28"/>
          <w:lang w:val="zh-CN"/>
        </w:rPr>
      </w:pPr>
      <w:bookmarkStart w:id="23" w:name="_Toc3270"/>
      <w:bookmarkStart w:id="24" w:name="_Toc14989"/>
      <w:bookmarkStart w:id="25" w:name="_Toc24047"/>
      <w:bookmarkStart w:id="26" w:name="_Toc13315"/>
      <w:bookmarkStart w:id="27" w:name="_Toc21427"/>
      <w:bookmarkStart w:id="28" w:name="_Toc22065"/>
      <w:bookmarkStart w:id="29" w:name="_Toc5591"/>
      <w:bookmarkStart w:id="30" w:name="_Toc29618"/>
      <w:bookmarkStart w:id="31" w:name="_Toc17430"/>
      <w:bookmarkStart w:id="32" w:name="_Toc323"/>
      <w:bookmarkStart w:id="33" w:name="_Toc25694"/>
      <w:bookmarkStart w:id="34" w:name="_Toc6186"/>
      <w:bookmarkStart w:id="35" w:name="_Toc7000"/>
      <w:r>
        <w:rPr>
          <w:rFonts w:hint="eastAsia" w:ascii="仿宋" w:hAnsi="仿宋" w:eastAsia="仿宋" w:cs="仿宋"/>
          <w:b/>
          <w:bCs/>
          <w:sz w:val="28"/>
          <w:szCs w:val="28"/>
          <w:lang w:val="zh-CN"/>
        </w:rPr>
        <w:t>供应商须知前附表</w:t>
      </w:r>
      <w:bookmarkEnd w:id="22"/>
      <w:bookmarkEnd w:id="23"/>
      <w:bookmarkEnd w:id="24"/>
      <w:bookmarkEnd w:id="25"/>
      <w:bookmarkEnd w:id="26"/>
      <w:bookmarkEnd w:id="27"/>
      <w:bookmarkEnd w:id="28"/>
      <w:bookmarkEnd w:id="29"/>
      <w:bookmarkEnd w:id="30"/>
      <w:bookmarkEnd w:id="31"/>
      <w:bookmarkEnd w:id="32"/>
      <w:bookmarkEnd w:id="33"/>
      <w:bookmarkEnd w:id="34"/>
      <w:bookmarkEnd w:id="35"/>
    </w:p>
    <w:tbl>
      <w:tblPr>
        <w:tblStyle w:val="2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089"/>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条款</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条款名称</w:t>
            </w:r>
          </w:p>
        </w:tc>
        <w:tc>
          <w:tcPr>
            <w:tcW w:w="630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采购人</w:t>
            </w:r>
          </w:p>
        </w:tc>
        <w:tc>
          <w:tcPr>
            <w:tcW w:w="6308" w:type="dxa"/>
            <w:vAlign w:val="center"/>
          </w:tcPr>
          <w:p>
            <w:pPr>
              <w:snapToGrid w:val="0"/>
              <w:spacing w:line="360" w:lineRule="auto"/>
              <w:rPr>
                <w:rFonts w:ascii="仿宋" w:hAnsi="仿宋" w:eastAsia="仿宋" w:cs="仿宋"/>
                <w:kern w:val="0"/>
                <w:sz w:val="24"/>
                <w:szCs w:val="24"/>
              </w:rPr>
            </w:pPr>
            <w:r>
              <w:rPr>
                <w:rFonts w:hint="eastAsia" w:ascii="仿宋" w:hAnsi="仿宋" w:eastAsia="仿宋" w:cs="仿宋"/>
                <w:kern w:val="0"/>
                <w:sz w:val="24"/>
                <w:szCs w:val="24"/>
              </w:rPr>
              <w:t>名称：</w:t>
            </w:r>
            <w:r>
              <w:rPr>
                <w:rFonts w:hint="eastAsia" w:ascii="仿宋" w:hAnsi="仿宋" w:eastAsia="仿宋" w:cs="仿宋"/>
                <w:sz w:val="24"/>
                <w:szCs w:val="24"/>
                <w:lang w:val="zh-CN"/>
              </w:rPr>
              <w:t>西安市教育局（本级）</w:t>
            </w:r>
          </w:p>
          <w:p>
            <w:pPr>
              <w:snapToGrid w:val="0"/>
              <w:spacing w:line="360" w:lineRule="auto"/>
              <w:rPr>
                <w:rFonts w:hint="eastAsia" w:ascii="仿宋" w:hAnsi="仿宋" w:eastAsia="仿宋" w:cs="仿宋"/>
                <w:kern w:val="0"/>
                <w:sz w:val="24"/>
                <w:szCs w:val="24"/>
                <w:lang w:eastAsia="zh-CN"/>
              </w:rPr>
            </w:pPr>
            <w:r>
              <w:rPr>
                <w:rFonts w:hint="eastAsia" w:ascii="仿宋" w:hAnsi="仿宋" w:eastAsia="仿宋" w:cs="仿宋"/>
                <w:kern w:val="0"/>
                <w:sz w:val="24"/>
                <w:szCs w:val="24"/>
              </w:rPr>
              <w:t>地址：</w:t>
            </w:r>
            <w:r>
              <w:rPr>
                <w:rFonts w:hint="eastAsia" w:ascii="仿宋" w:hAnsi="仿宋" w:eastAsia="仿宋" w:cs="仿宋"/>
                <w:kern w:val="0"/>
                <w:sz w:val="24"/>
                <w:szCs w:val="24"/>
                <w:lang w:eastAsia="zh-CN"/>
              </w:rPr>
              <w:t>凤城八路109号市政府6号楼</w:t>
            </w:r>
          </w:p>
          <w:p>
            <w:pPr>
              <w:snapToGrid w:val="0"/>
              <w:spacing w:line="360" w:lineRule="auto"/>
              <w:rPr>
                <w:rFonts w:ascii="仿宋" w:hAnsi="仿宋" w:eastAsia="仿宋" w:cs="仿宋"/>
                <w:sz w:val="24"/>
                <w:szCs w:val="24"/>
              </w:rPr>
            </w:pPr>
            <w:r>
              <w:rPr>
                <w:rFonts w:hint="eastAsia" w:ascii="仿宋" w:hAnsi="仿宋" w:eastAsia="仿宋" w:cs="仿宋"/>
                <w:kern w:val="0"/>
                <w:sz w:val="24"/>
                <w:szCs w:val="24"/>
              </w:rPr>
              <w:t>联系人：</w:t>
            </w:r>
            <w:r>
              <w:rPr>
                <w:rFonts w:hint="eastAsia" w:ascii="仿宋" w:hAnsi="仿宋" w:eastAsia="仿宋" w:cs="仿宋"/>
                <w:sz w:val="24"/>
                <w:szCs w:val="24"/>
              </w:rPr>
              <w:t>西安市教育局经办</w:t>
            </w:r>
          </w:p>
          <w:p>
            <w:pPr>
              <w:spacing w:line="360" w:lineRule="auto"/>
              <w:rPr>
                <w:rFonts w:ascii="仿宋" w:hAnsi="仿宋" w:eastAsia="仿宋" w:cs="仿宋"/>
                <w:sz w:val="24"/>
                <w:szCs w:val="24"/>
              </w:rPr>
            </w:pPr>
            <w:r>
              <w:rPr>
                <w:rFonts w:hint="eastAsia" w:ascii="仿宋" w:hAnsi="仿宋" w:eastAsia="仿宋" w:cs="仿宋"/>
                <w:kern w:val="0"/>
                <w:sz w:val="24"/>
                <w:szCs w:val="24"/>
              </w:rPr>
              <w:t>电话：</w:t>
            </w:r>
            <w:r>
              <w:rPr>
                <w:rFonts w:hint="eastAsia" w:ascii="仿宋" w:hAnsi="仿宋" w:eastAsia="仿宋" w:cs="仿宋"/>
                <w:sz w:val="24"/>
                <w:szCs w:val="24"/>
              </w:rPr>
              <w:t>029-89160882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采购代理机构</w:t>
            </w:r>
          </w:p>
        </w:tc>
        <w:tc>
          <w:tcPr>
            <w:tcW w:w="6308"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名称：陕西笃信招标有限公司</w:t>
            </w:r>
          </w:p>
          <w:p>
            <w:pPr>
              <w:spacing w:line="360" w:lineRule="auto"/>
              <w:jc w:val="left"/>
              <w:rPr>
                <w:rFonts w:ascii="仿宋" w:hAnsi="仿宋" w:eastAsia="仿宋" w:cs="仿宋"/>
                <w:sz w:val="24"/>
                <w:szCs w:val="24"/>
              </w:rPr>
            </w:pPr>
            <w:r>
              <w:rPr>
                <w:rFonts w:hint="eastAsia" w:ascii="仿宋" w:hAnsi="仿宋" w:eastAsia="仿宋" w:cs="仿宋"/>
                <w:sz w:val="24"/>
                <w:szCs w:val="24"/>
              </w:rPr>
              <w:t>地址：西安经济技术开发区凤城十一路与文景路十字文景商务广场B座8层</w:t>
            </w:r>
          </w:p>
          <w:p>
            <w:pPr>
              <w:spacing w:line="360" w:lineRule="auto"/>
              <w:jc w:val="left"/>
              <w:rPr>
                <w:rFonts w:ascii="仿宋" w:hAnsi="仿宋" w:eastAsia="仿宋" w:cs="仿宋"/>
                <w:sz w:val="24"/>
                <w:szCs w:val="24"/>
              </w:rPr>
            </w:pPr>
            <w:r>
              <w:rPr>
                <w:rFonts w:hint="eastAsia" w:ascii="仿宋" w:hAnsi="仿宋" w:eastAsia="仿宋" w:cs="仿宋"/>
                <w:sz w:val="24"/>
                <w:szCs w:val="24"/>
              </w:rPr>
              <w:t>联系人：李纪旋、黄安舒</w:t>
            </w:r>
          </w:p>
          <w:p>
            <w:pPr>
              <w:spacing w:line="360" w:lineRule="auto"/>
              <w:jc w:val="left"/>
              <w:rPr>
                <w:rFonts w:ascii="仿宋" w:hAnsi="仿宋" w:eastAsia="仿宋" w:cs="仿宋"/>
                <w:sz w:val="24"/>
                <w:szCs w:val="24"/>
              </w:rPr>
            </w:pPr>
            <w:r>
              <w:rPr>
                <w:rFonts w:hint="eastAsia" w:ascii="仿宋" w:hAnsi="仿宋" w:eastAsia="仿宋" w:cs="仿宋"/>
                <w:sz w:val="24"/>
                <w:szCs w:val="24"/>
              </w:rPr>
              <w:t>联系电话：029-86253389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项目名称</w:t>
            </w:r>
          </w:p>
        </w:tc>
        <w:tc>
          <w:tcPr>
            <w:tcW w:w="6308" w:type="dxa"/>
            <w:vAlign w:val="center"/>
          </w:tcPr>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西安市教育局政务协同办公系统运维服务项目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磋商文件发售时间</w:t>
            </w:r>
          </w:p>
        </w:tc>
        <w:tc>
          <w:tcPr>
            <w:tcW w:w="6308" w:type="dxa"/>
            <w:vAlign w:val="center"/>
          </w:tcPr>
          <w:p>
            <w:pPr>
              <w:spacing w:line="360" w:lineRule="auto"/>
              <w:rPr>
                <w:rFonts w:ascii="仿宋" w:hAnsi="仿宋" w:eastAsia="仿宋" w:cs="仿宋"/>
                <w:sz w:val="24"/>
                <w:szCs w:val="24"/>
              </w:rPr>
            </w:pPr>
            <w:r>
              <w:rPr>
                <w:rFonts w:hint="eastAsia" w:ascii="仿宋" w:hAnsi="仿宋" w:eastAsia="仿宋" w:cs="仿宋"/>
                <w:kern w:val="0"/>
                <w:sz w:val="24"/>
                <w:szCs w:val="24"/>
              </w:rPr>
              <w:t>2022年10月12日 至 2022年10月19日，每天上午 09：00：00 至 12：00：00 ，下午 14：00：00 至 17：00：00 （北京时间,法定节假日除外）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资金来源</w:t>
            </w:r>
          </w:p>
        </w:tc>
        <w:tc>
          <w:tcPr>
            <w:tcW w:w="6308"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6</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采购预算</w:t>
            </w:r>
          </w:p>
        </w:tc>
        <w:tc>
          <w:tcPr>
            <w:tcW w:w="6308"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lang w:eastAsia="zh-CN"/>
              </w:rPr>
              <w:t>490000.00</w:t>
            </w: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7</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最高限价</w:t>
            </w:r>
          </w:p>
        </w:tc>
        <w:tc>
          <w:tcPr>
            <w:tcW w:w="6308"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8</w:t>
            </w:r>
          </w:p>
        </w:tc>
        <w:tc>
          <w:tcPr>
            <w:tcW w:w="2089" w:type="dxa"/>
            <w:vAlign w:val="center"/>
          </w:tcPr>
          <w:p>
            <w:pPr>
              <w:spacing w:line="360" w:lineRule="auto"/>
              <w:jc w:val="center"/>
              <w:rPr>
                <w:rFonts w:ascii="仿宋" w:hAnsi="仿宋" w:eastAsia="仿宋" w:cs="仿宋"/>
                <w:sz w:val="24"/>
                <w:szCs w:val="24"/>
                <w:highlight w:val="yellow"/>
              </w:rPr>
            </w:pPr>
            <w:r>
              <w:rPr>
                <w:rFonts w:hint="eastAsia" w:ascii="仿宋" w:hAnsi="仿宋" w:eastAsia="仿宋" w:cs="仿宋"/>
                <w:sz w:val="24"/>
                <w:szCs w:val="24"/>
              </w:rPr>
              <w:t>服务期</w:t>
            </w:r>
          </w:p>
        </w:tc>
        <w:tc>
          <w:tcPr>
            <w:tcW w:w="6308" w:type="dxa"/>
            <w:vAlign w:val="center"/>
          </w:tcPr>
          <w:p>
            <w:pPr>
              <w:spacing w:line="360" w:lineRule="auto"/>
              <w:jc w:val="left"/>
              <w:rPr>
                <w:rFonts w:ascii="仿宋" w:hAnsi="仿宋" w:eastAsia="仿宋" w:cs="仿宋"/>
                <w:sz w:val="24"/>
                <w:szCs w:val="24"/>
                <w:highlight w:val="yellow"/>
              </w:rPr>
            </w:pPr>
            <w:r>
              <w:rPr>
                <w:rFonts w:hint="eastAsia" w:ascii="仿宋" w:hAnsi="仿宋" w:eastAsia="仿宋" w:cs="仿宋"/>
                <w:bCs/>
                <w:sz w:val="24"/>
                <w:szCs w:val="24"/>
                <w:lang w:eastAsia="zh-CN"/>
              </w:rPr>
              <w:t>自合同签订起一年</w:t>
            </w:r>
            <w:r>
              <w:rPr>
                <w:rFonts w:hint="eastAsia" w:ascii="仿宋" w:hAnsi="仿宋" w:eastAsia="仿宋" w:cs="仿宋"/>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9</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项目实施地点</w:t>
            </w:r>
          </w:p>
        </w:tc>
        <w:tc>
          <w:tcPr>
            <w:tcW w:w="6308"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按照采购人指定地点。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10</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磋商响应文件递交截止时间</w:t>
            </w:r>
          </w:p>
        </w:tc>
        <w:tc>
          <w:tcPr>
            <w:tcW w:w="6308" w:type="dxa"/>
            <w:vAlign w:val="center"/>
          </w:tcPr>
          <w:p>
            <w:pPr>
              <w:snapToGrid w:val="0"/>
              <w:spacing w:line="360" w:lineRule="auto"/>
              <w:rPr>
                <w:rFonts w:ascii="仿宋" w:hAnsi="仿宋" w:eastAsia="仿宋" w:cs="仿宋"/>
                <w:sz w:val="24"/>
                <w:szCs w:val="24"/>
              </w:rPr>
            </w:pPr>
            <w:r>
              <w:rPr>
                <w:rFonts w:hint="eastAsia" w:ascii="仿宋" w:hAnsi="仿宋" w:eastAsia="仿宋" w:cs="仿宋"/>
                <w:kern w:val="0"/>
                <w:sz w:val="24"/>
                <w:szCs w:val="24"/>
              </w:rPr>
              <w:t>2022</w:t>
            </w:r>
            <w:r>
              <w:rPr>
                <w:rFonts w:hint="eastAsia" w:ascii="仿宋" w:hAnsi="仿宋" w:eastAsia="仿宋" w:cs="仿宋"/>
                <w:kern w:val="0"/>
                <w:sz w:val="24"/>
                <w:szCs w:val="24"/>
                <w:lang w:eastAsia="zh-CN"/>
              </w:rPr>
              <w:t>年</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lang w:eastAsia="zh-CN"/>
              </w:rPr>
              <w:t>月</w:t>
            </w:r>
            <w:r>
              <w:rPr>
                <w:rFonts w:hint="eastAsia" w:ascii="仿宋" w:hAnsi="仿宋" w:eastAsia="仿宋" w:cs="仿宋"/>
                <w:kern w:val="0"/>
                <w:sz w:val="24"/>
                <w:szCs w:val="24"/>
                <w:lang w:val="en-US" w:eastAsia="zh-CN"/>
              </w:rPr>
              <w:t>24</w:t>
            </w:r>
            <w:r>
              <w:rPr>
                <w:rFonts w:hint="eastAsia" w:ascii="仿宋" w:hAnsi="仿宋" w:eastAsia="仿宋" w:cs="仿宋"/>
                <w:kern w:val="0"/>
                <w:sz w:val="24"/>
                <w:szCs w:val="24"/>
                <w:lang w:eastAsia="zh-CN"/>
              </w:rPr>
              <w:t>日</w:t>
            </w:r>
            <w:r>
              <w:rPr>
                <w:rFonts w:hint="eastAsia" w:ascii="仿宋" w:hAnsi="仿宋" w:eastAsia="仿宋" w:cs="仿宋"/>
                <w:kern w:val="0"/>
                <w:sz w:val="24"/>
                <w:szCs w:val="24"/>
              </w:rPr>
              <w:t xml:space="preserve"> 09时30分00秒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11</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递交磋商响应文件地点</w:t>
            </w:r>
          </w:p>
        </w:tc>
        <w:tc>
          <w:tcPr>
            <w:tcW w:w="6308"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西安经济技术开发区凤城十一路与文景路十字文景商务广场B座8层开标室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12</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供应商资格要求</w:t>
            </w:r>
          </w:p>
        </w:tc>
        <w:tc>
          <w:tcPr>
            <w:tcW w:w="6308" w:type="dxa"/>
            <w:vAlign w:val="center"/>
          </w:tcPr>
          <w:p>
            <w:pPr>
              <w:snapToGri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资质要求同磋商公告。</w:t>
            </w:r>
          </w:p>
          <w:p>
            <w:pPr>
              <w:spacing w:line="360" w:lineRule="auto"/>
              <w:ind w:firstLine="480" w:firstLineChars="200"/>
              <w:jc w:val="left"/>
              <w:rPr>
                <w:rFonts w:ascii="仿宋" w:hAnsi="仿宋" w:eastAsia="仿宋" w:cs="仿宋"/>
                <w:bCs/>
                <w:sz w:val="24"/>
                <w:szCs w:val="24"/>
                <w:lang w:val="zh-CN"/>
              </w:rPr>
            </w:pPr>
            <w:r>
              <w:rPr>
                <w:rFonts w:hint="eastAsia" w:ascii="仿宋" w:hAnsi="仿宋" w:eastAsia="仿宋" w:cs="仿宋"/>
                <w:bCs/>
                <w:sz w:val="24"/>
                <w:szCs w:val="24"/>
                <w:lang w:val="zh-CN"/>
              </w:rPr>
              <w:t>以上资质均为必备资质，并在响应文件中附资质复印件加盖公章。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必备资质中</w:t>
            </w:r>
            <w:r>
              <w:rPr>
                <w:rFonts w:hint="eastAsia" w:ascii="仿宋" w:hAnsi="仿宋" w:eastAsia="仿宋" w:cs="仿宋"/>
                <w:bCs/>
                <w:sz w:val="24"/>
                <w:szCs w:val="24"/>
                <w:lang w:val="zh-CN"/>
              </w:rPr>
              <w:t>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13</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磋商响应文件份数</w:t>
            </w:r>
          </w:p>
        </w:tc>
        <w:tc>
          <w:tcPr>
            <w:tcW w:w="6308" w:type="dxa"/>
            <w:vAlign w:val="center"/>
          </w:tcPr>
          <w:p>
            <w:pPr>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正本 1份，副本2份，电子版1份（PDF和word文档格式，正版U盘存储，如因U盘问题导致文件无法打开，责任自负）</w:t>
            </w:r>
          </w:p>
          <w:p>
            <w:pPr>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注：</w:t>
            </w:r>
          </w:p>
          <w:p>
            <w:pPr>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1.磋商文件中“第五部分 四、供应商资格证明文件”单独胶装成册1本，与磋商响应文件正本一同密封。</w:t>
            </w:r>
          </w:p>
          <w:p>
            <w:pPr>
              <w:spacing w:line="360" w:lineRule="auto"/>
              <w:ind w:firstLine="480" w:firstLineChars="200"/>
              <w:jc w:val="left"/>
            </w:pPr>
            <w:r>
              <w:rPr>
                <w:rFonts w:hint="eastAsia" w:ascii="仿宋" w:hAnsi="仿宋" w:eastAsia="仿宋" w:cs="仿宋"/>
                <w:bCs/>
                <w:sz w:val="24"/>
                <w:szCs w:val="24"/>
              </w:rPr>
              <w:t>2.单独胶装的供应商资格证明文件与响应文件正本中资格不一致时，以响应文件正本为准。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14</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供应商对磋商文件提出质疑的截止时间</w:t>
            </w:r>
          </w:p>
        </w:tc>
        <w:tc>
          <w:tcPr>
            <w:tcW w:w="6308"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lang w:val="zh-CN"/>
              </w:rPr>
              <w:t>供应商认为磋商文件、磋商过程、成交结果使自己的权益受到损害的</w:t>
            </w:r>
            <w:r>
              <w:rPr>
                <w:rFonts w:hint="eastAsia" w:ascii="仿宋" w:hAnsi="仿宋" w:eastAsia="仿宋" w:cs="仿宋"/>
                <w:sz w:val="24"/>
                <w:szCs w:val="24"/>
              </w:rPr>
              <w:t>，</w:t>
            </w:r>
            <w:r>
              <w:rPr>
                <w:rFonts w:hint="eastAsia" w:ascii="仿宋" w:hAnsi="仿宋" w:eastAsia="仿宋" w:cs="仿宋"/>
                <w:sz w:val="24"/>
                <w:szCs w:val="24"/>
                <w:lang w:val="zh-CN"/>
              </w:rPr>
              <w:t>可以在知道或者应知其权益受到损害之日起七个工作日内</w:t>
            </w:r>
            <w:r>
              <w:rPr>
                <w:rFonts w:hint="eastAsia" w:ascii="仿宋" w:hAnsi="仿宋" w:eastAsia="仿宋" w:cs="仿宋"/>
                <w:sz w:val="24"/>
                <w:szCs w:val="24"/>
              </w:rPr>
              <w:t>，</w:t>
            </w:r>
            <w:r>
              <w:rPr>
                <w:rFonts w:hint="eastAsia" w:ascii="仿宋" w:hAnsi="仿宋" w:eastAsia="仿宋" w:cs="仿宋"/>
                <w:sz w:val="24"/>
                <w:szCs w:val="24"/>
                <w:lang w:val="zh-CN"/>
              </w:rPr>
              <w:t>以书面形式向采购代理机构提出</w:t>
            </w:r>
            <w:r>
              <w:rPr>
                <w:rFonts w:hint="eastAsia" w:ascii="仿宋" w:hAnsi="仿宋" w:eastAsia="仿宋" w:cs="仿宋"/>
                <w:sz w:val="24"/>
                <w:szCs w:val="24"/>
              </w:rPr>
              <w:t>（同时须将此书面文件电子版一份发送至采购代理机构电子邮箱，电子邮件：2059407584@qq.com），</w:t>
            </w:r>
            <w:r>
              <w:rPr>
                <w:rFonts w:hint="eastAsia" w:ascii="仿宋" w:hAnsi="仿宋" w:eastAsia="仿宋" w:cs="仿宋"/>
                <w:sz w:val="24"/>
                <w:szCs w:val="24"/>
                <w:lang w:val="zh-CN"/>
              </w:rPr>
              <w:t>采购代理机构将予以答复</w:t>
            </w:r>
            <w:r>
              <w:rPr>
                <w:rFonts w:hint="eastAsia" w:ascii="仿宋" w:hAnsi="仿宋" w:eastAsia="仿宋" w:cs="仿宋"/>
                <w:sz w:val="24"/>
                <w:szCs w:val="24"/>
              </w:rPr>
              <w:t>，</w:t>
            </w:r>
            <w:r>
              <w:rPr>
                <w:rFonts w:hint="eastAsia" w:ascii="仿宋" w:hAnsi="仿宋" w:eastAsia="仿宋" w:cs="仿宋"/>
                <w:sz w:val="24"/>
                <w:szCs w:val="24"/>
                <w:lang w:val="zh-CN"/>
              </w:rPr>
              <w:t>以书面形式发给所有获取磋商文件的供应商</w:t>
            </w:r>
            <w:r>
              <w:rPr>
                <w:rFonts w:hint="eastAsia" w:ascii="仿宋" w:hAnsi="仿宋" w:eastAsia="仿宋" w:cs="仿宋"/>
                <w:sz w:val="24"/>
                <w:szCs w:val="24"/>
              </w:rPr>
              <w:t>，</w:t>
            </w:r>
            <w:r>
              <w:rPr>
                <w:rFonts w:hint="eastAsia" w:ascii="仿宋" w:hAnsi="仿宋" w:eastAsia="仿宋" w:cs="仿宋"/>
                <w:sz w:val="24"/>
                <w:szCs w:val="24"/>
                <w:lang w:val="zh-CN"/>
              </w:rPr>
              <w:t>但不指明问题的来源。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供应商确认收到澄清或者修改的时间</w:t>
            </w:r>
          </w:p>
        </w:tc>
        <w:tc>
          <w:tcPr>
            <w:tcW w:w="6308"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lang w:val="zh-CN"/>
              </w:rPr>
              <w:t>供应商在收到澄清或修改文件后，应在一个工作日内以书面形式（加盖公章）向采购代理机构予以确认。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16</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磋商有效期</w:t>
            </w:r>
          </w:p>
        </w:tc>
        <w:tc>
          <w:tcPr>
            <w:tcW w:w="6308"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不少于90日历天（自开标之日起）。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17</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是否接受</w:t>
            </w:r>
          </w:p>
          <w:p>
            <w:pPr>
              <w:spacing w:line="360" w:lineRule="auto"/>
              <w:jc w:val="center"/>
              <w:rPr>
                <w:rFonts w:ascii="仿宋" w:hAnsi="仿宋" w:eastAsia="仿宋" w:cs="仿宋"/>
                <w:sz w:val="24"/>
                <w:szCs w:val="24"/>
              </w:rPr>
            </w:pPr>
            <w:r>
              <w:rPr>
                <w:rFonts w:hint="eastAsia" w:ascii="仿宋" w:hAnsi="仿宋" w:eastAsia="仿宋" w:cs="仿宋"/>
                <w:sz w:val="24"/>
                <w:szCs w:val="24"/>
              </w:rPr>
              <w:t>联合体磋商</w:t>
            </w:r>
          </w:p>
        </w:tc>
        <w:tc>
          <w:tcPr>
            <w:tcW w:w="6308"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18</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答疑会</w:t>
            </w:r>
          </w:p>
        </w:tc>
        <w:tc>
          <w:tcPr>
            <w:tcW w:w="6308"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19</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磋商响应文件装订要求</w:t>
            </w:r>
          </w:p>
        </w:tc>
        <w:tc>
          <w:tcPr>
            <w:tcW w:w="6308"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磋商响应文件建议双面打印，应牢固装订成册，不可插页抽页。牢固装订成册是指用适当的办法,书脊涂有胶粘剂以保证磋商响应文件不至于散开或用简单办法不能将任何一页在没有任何损坏的情况下取出或插入。各种用活页夹、文件夹、塑料方便式书脊（插入式或穿孔式）装订均不认为是牢固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20</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磋商响应文件的签署要求</w:t>
            </w:r>
          </w:p>
        </w:tc>
        <w:tc>
          <w:tcPr>
            <w:tcW w:w="6308" w:type="dxa"/>
            <w:vAlign w:val="center"/>
          </w:tcPr>
          <w:p>
            <w:pPr>
              <w:spacing w:line="360" w:lineRule="auto"/>
              <w:rPr>
                <w:rFonts w:ascii="仿宋" w:hAnsi="仿宋" w:eastAsia="仿宋" w:cs="仿宋"/>
                <w:bCs/>
                <w:sz w:val="24"/>
                <w:szCs w:val="24"/>
              </w:rPr>
            </w:pPr>
            <w:r>
              <w:rPr>
                <w:rFonts w:hint="eastAsia" w:ascii="仿宋" w:hAnsi="仿宋" w:eastAsia="仿宋" w:cs="仿宋"/>
                <w:sz w:val="24"/>
                <w:szCs w:val="24"/>
                <w:lang w:val="zh-CN"/>
              </w:rPr>
              <w:t>磋商响应文件应加盖供应商红色公章</w:t>
            </w:r>
            <w:r>
              <w:rPr>
                <w:rFonts w:hint="eastAsia" w:ascii="仿宋" w:hAnsi="仿宋" w:eastAsia="仿宋" w:cs="仿宋"/>
                <w:bCs/>
                <w:sz w:val="24"/>
                <w:szCs w:val="24"/>
              </w:rPr>
              <w:t>并按照磋商文件要求由法定代表人（或授权代表人）签字。</w:t>
            </w:r>
          </w:p>
          <w:p>
            <w:pPr>
              <w:spacing w:line="360" w:lineRule="auto"/>
              <w:rPr>
                <w:rFonts w:ascii="仿宋" w:hAnsi="仿宋" w:eastAsia="仿宋" w:cs="仿宋"/>
                <w:sz w:val="24"/>
                <w:szCs w:val="24"/>
              </w:rPr>
            </w:pPr>
            <w:r>
              <w:rPr>
                <w:rFonts w:hint="eastAsia" w:ascii="仿宋" w:hAnsi="仿宋" w:eastAsia="仿宋" w:cs="仿宋"/>
                <w:bCs/>
                <w:sz w:val="24"/>
                <w:szCs w:val="24"/>
              </w:rPr>
              <w:t>注：副本可以为正本的复印件。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21</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磋商响应文件密封</w:t>
            </w:r>
          </w:p>
        </w:tc>
        <w:tc>
          <w:tcPr>
            <w:tcW w:w="6308"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（1）供应商应将磋商响应文件的正本、所有副本及电子版文件，用单独的信封分别密封，且在信封上标明“正本”、“副本”、“电子版”字样。</w:t>
            </w:r>
          </w:p>
          <w:p>
            <w:pPr>
              <w:spacing w:line="360" w:lineRule="auto"/>
              <w:jc w:val="left"/>
              <w:rPr>
                <w:rFonts w:ascii="仿宋" w:hAnsi="仿宋" w:eastAsia="仿宋" w:cs="仿宋"/>
                <w:sz w:val="24"/>
                <w:szCs w:val="24"/>
              </w:rPr>
            </w:pPr>
            <w:r>
              <w:rPr>
                <w:rFonts w:hint="eastAsia" w:ascii="仿宋" w:hAnsi="仿宋" w:eastAsia="仿宋" w:cs="仿宋"/>
                <w:sz w:val="24"/>
                <w:szCs w:val="24"/>
              </w:rPr>
              <w:t>（2）封套应加封条密封，在封线处加盖公章（骑缝章），封套标明项目编号、项目名称，供应商全称（公章）等内容。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22</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成交公告公示媒体</w:t>
            </w:r>
          </w:p>
        </w:tc>
        <w:tc>
          <w:tcPr>
            <w:tcW w:w="6308"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2" w:hRule="atLeast"/>
          <w:jc w:val="center"/>
        </w:trPr>
        <w:tc>
          <w:tcPr>
            <w:tcW w:w="83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23</w:t>
            </w:r>
          </w:p>
        </w:tc>
        <w:tc>
          <w:tcPr>
            <w:tcW w:w="208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成交服务费</w:t>
            </w:r>
          </w:p>
        </w:tc>
        <w:tc>
          <w:tcPr>
            <w:tcW w:w="6308"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参照国家计委关于《招标代理服务收费管理暂行办法》（计价格[2002]1980号）、《国家发展改革委办公厅关于招标代理服务收费有关问题的通知》（发改价格[2003]857号）、《国家发展改革委关于进一步放开建设项目专业服务价格的通知》；</w:t>
            </w:r>
          </w:p>
          <w:p>
            <w:pPr>
              <w:spacing w:line="360" w:lineRule="auto"/>
              <w:jc w:val="left"/>
              <w:rPr>
                <w:rFonts w:ascii="仿宋" w:hAnsi="仿宋" w:eastAsia="仿宋" w:cs="仿宋"/>
                <w:sz w:val="24"/>
                <w:szCs w:val="24"/>
              </w:rPr>
            </w:pPr>
            <w:r>
              <w:rPr>
                <w:rFonts w:hint="eastAsia" w:ascii="仿宋" w:hAnsi="仿宋" w:eastAsia="仿宋" w:cs="仿宋"/>
                <w:sz w:val="24"/>
                <w:szCs w:val="24"/>
              </w:rPr>
              <w:t>本项目招标代理服务费由中标人在中标结果公示期满后三个工作日内按照标准支付给招标代理机构。（代理报酬的币种：人民币，汇率：无）</w:t>
            </w:r>
          </w:p>
          <w:tbl>
            <w:tblPr>
              <w:tblStyle w:val="25"/>
              <w:tblW w:w="5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1311"/>
              <w:gridCol w:w="1294"/>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44" w:type="dxa"/>
                  <w:vAlign w:val="center"/>
                </w:tcPr>
                <w:p>
                  <w:pPr>
                    <w:spacing w:line="360" w:lineRule="auto"/>
                    <w:ind w:firstLine="630" w:firstLineChars="300"/>
                    <w:jc w:val="center"/>
                  </w:pPr>
                  <w:r>
                    <mc:AlternateContent>
                      <mc:Choice Requires="wps">
                        <w:drawing>
                          <wp:anchor distT="0" distB="0" distL="114300" distR="114300" simplePos="0" relativeHeight="251664384" behindDoc="0" locked="0" layoutInCell="1" allowOverlap="1">
                            <wp:simplePos x="0" y="0"/>
                            <wp:positionH relativeFrom="column">
                              <wp:posOffset>-68580</wp:posOffset>
                            </wp:positionH>
                            <wp:positionV relativeFrom="paragraph">
                              <wp:posOffset>15240</wp:posOffset>
                            </wp:positionV>
                            <wp:extent cx="1249045" cy="582295"/>
                            <wp:effectExtent l="1905" t="4445" r="6350" b="22860"/>
                            <wp:wrapNone/>
                            <wp:docPr id="1" name="自选图形 2"/>
                            <wp:cNvGraphicFramePr/>
                            <a:graphic xmlns:a="http://schemas.openxmlformats.org/drawingml/2006/main">
                              <a:graphicData uri="http://schemas.microsoft.com/office/word/2010/wordprocessingShape">
                                <wps:wsp>
                                  <wps:cNvCnPr/>
                                  <wps:spPr>
                                    <a:xfrm>
                                      <a:off x="0" y="0"/>
                                      <a:ext cx="1249045" cy="5822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5.4pt;margin-top:1.2pt;height:45.85pt;width:98.35pt;z-index:251664384;mso-width-relative:page;mso-height-relative:page;" filled="f" stroked="t" coordsize="21600,21600" o:gfxdata="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k9adbXAAAACAEAAA8AAAAAAAAAAQAgAAAAIgAAAGRycy9kb3ducmV2LnhtbFBL&#10;AQIUABQAAAAIAIdO4kBl2pCe9wEAAOgDAAAOAAAAAAAAAAEAIAAAACYBAABkcnMvZTJvRG9jLnht&#10;bFBLBQYAAAAABgAGAFkBAACPBQAAAAA=&#10;">
                            <v:fill on="f" focussize="0,0"/>
                            <v:stroke color="#000000" joinstyle="round"/>
                            <v:imagedata o:title=""/>
                            <o:lock v:ext="edit" aspectratio="f"/>
                          </v:shape>
                        </w:pict>
                      </mc:Fallback>
                    </mc:AlternateContent>
                  </w:r>
                  <w:r>
                    <w:rPr>
                      <w:rFonts w:hint="eastAsia"/>
                    </w:rPr>
                    <w:t>采购类型</w:t>
                  </w:r>
                </w:p>
                <w:p>
                  <w:pPr>
                    <w:spacing w:line="360" w:lineRule="auto"/>
                  </w:pPr>
                  <w:r>
                    <w:rPr>
                      <w:rFonts w:hint="eastAsia"/>
                    </w:rPr>
                    <w:t>成交金额</w:t>
                  </w:r>
                </w:p>
                <w:p>
                  <w:pPr>
                    <w:pStyle w:val="23"/>
                    <w:ind w:firstLine="241"/>
                    <w:rPr>
                      <w:rFonts w:eastAsia="仿宋"/>
                    </w:rPr>
                  </w:pPr>
                  <w:r>
                    <w:rPr>
                      <w:rFonts w:hint="eastAsia" w:ascii="仿宋" w:hAnsi="仿宋" w:eastAsia="仿宋" w:cs="仿宋"/>
                      <w:b/>
                      <w:sz w:val="24"/>
                    </w:rPr>
                    <w:t>（万元）</w:t>
                  </w:r>
                </w:p>
              </w:tc>
              <w:tc>
                <w:tcPr>
                  <w:tcW w:w="1311"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货物招标</w:t>
                  </w:r>
                </w:p>
              </w:tc>
              <w:tc>
                <w:tcPr>
                  <w:tcW w:w="1294"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服务招标</w:t>
                  </w:r>
                </w:p>
              </w:tc>
              <w:tc>
                <w:tcPr>
                  <w:tcW w:w="1206"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4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100以下</w:t>
                  </w:r>
                </w:p>
              </w:tc>
              <w:tc>
                <w:tcPr>
                  <w:tcW w:w="1311"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129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1206"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100-500</w:t>
                  </w:r>
                </w:p>
              </w:tc>
              <w:tc>
                <w:tcPr>
                  <w:tcW w:w="1311"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1.1%</w:t>
                  </w:r>
                </w:p>
              </w:tc>
              <w:tc>
                <w:tcPr>
                  <w:tcW w:w="129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0.8%</w:t>
                  </w:r>
                </w:p>
              </w:tc>
              <w:tc>
                <w:tcPr>
                  <w:tcW w:w="1206"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500-1000</w:t>
                  </w:r>
                </w:p>
              </w:tc>
              <w:tc>
                <w:tcPr>
                  <w:tcW w:w="1311"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0.8%</w:t>
                  </w:r>
                </w:p>
              </w:tc>
              <w:tc>
                <w:tcPr>
                  <w:tcW w:w="129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0.45%</w:t>
                  </w:r>
                </w:p>
              </w:tc>
              <w:tc>
                <w:tcPr>
                  <w:tcW w:w="1206"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1000-5000</w:t>
                  </w:r>
                </w:p>
              </w:tc>
              <w:tc>
                <w:tcPr>
                  <w:tcW w:w="1311"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0.5%</w:t>
                  </w:r>
                </w:p>
              </w:tc>
              <w:tc>
                <w:tcPr>
                  <w:tcW w:w="129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0.25%</w:t>
                  </w:r>
                </w:p>
              </w:tc>
              <w:tc>
                <w:tcPr>
                  <w:tcW w:w="1206"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5000-10000</w:t>
                  </w:r>
                </w:p>
              </w:tc>
              <w:tc>
                <w:tcPr>
                  <w:tcW w:w="1311"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0.25%</w:t>
                  </w:r>
                </w:p>
              </w:tc>
              <w:tc>
                <w:tcPr>
                  <w:tcW w:w="129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0.1%</w:t>
                  </w:r>
                </w:p>
              </w:tc>
              <w:tc>
                <w:tcPr>
                  <w:tcW w:w="1206"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10000-100000</w:t>
                  </w:r>
                </w:p>
              </w:tc>
              <w:tc>
                <w:tcPr>
                  <w:tcW w:w="1311"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0.05%</w:t>
                  </w:r>
                </w:p>
              </w:tc>
              <w:tc>
                <w:tcPr>
                  <w:tcW w:w="129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0.05%</w:t>
                  </w:r>
                </w:p>
              </w:tc>
              <w:tc>
                <w:tcPr>
                  <w:tcW w:w="1206"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94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1000000以上</w:t>
                  </w:r>
                </w:p>
              </w:tc>
              <w:tc>
                <w:tcPr>
                  <w:tcW w:w="1311"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0.01%</w:t>
                  </w:r>
                </w:p>
              </w:tc>
              <w:tc>
                <w:tcPr>
                  <w:tcW w:w="129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0.01%</w:t>
                  </w:r>
                </w:p>
              </w:tc>
              <w:tc>
                <w:tcPr>
                  <w:tcW w:w="1206"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0.01%</w:t>
                  </w:r>
                </w:p>
              </w:tc>
            </w:tr>
          </w:tbl>
          <w:p>
            <w:pPr>
              <w:spacing w:line="360" w:lineRule="auto"/>
              <w:jc w:val="left"/>
              <w:rPr>
                <w:rFonts w:ascii="仿宋" w:hAnsi="仿宋" w:eastAsia="仿宋" w:cs="仿宋"/>
                <w:sz w:val="24"/>
                <w:szCs w:val="24"/>
              </w:rPr>
            </w:pPr>
          </w:p>
        </w:tc>
      </w:tr>
    </w:tbl>
    <w:p>
      <w:pPr>
        <w:pageBreakBefore/>
        <w:spacing w:line="360" w:lineRule="auto"/>
        <w:ind w:firstLine="482" w:firstLineChars="200"/>
        <w:outlineLvl w:val="1"/>
        <w:rPr>
          <w:rFonts w:ascii="仿宋" w:hAnsi="仿宋" w:eastAsia="仿宋" w:cs="仿宋"/>
          <w:b/>
          <w:bCs/>
          <w:sz w:val="24"/>
          <w:szCs w:val="24"/>
          <w:lang w:val="zh-CN"/>
        </w:rPr>
      </w:pPr>
      <w:bookmarkStart w:id="36" w:name="_Toc21293"/>
      <w:bookmarkStart w:id="37" w:name="_Toc20605"/>
      <w:bookmarkStart w:id="38" w:name="_Toc4284"/>
      <w:bookmarkStart w:id="39" w:name="_Toc20834"/>
      <w:bookmarkStart w:id="40" w:name="_Toc757"/>
      <w:bookmarkStart w:id="41" w:name="_Toc4172"/>
      <w:bookmarkStart w:id="42" w:name="_Toc16165"/>
      <w:bookmarkStart w:id="43" w:name="_Toc5340"/>
      <w:bookmarkStart w:id="44" w:name="_Toc15836"/>
      <w:bookmarkStart w:id="45" w:name="_Toc495681503"/>
      <w:bookmarkStart w:id="46" w:name="_Toc495681222"/>
      <w:bookmarkStart w:id="47" w:name="_Toc11229"/>
      <w:bookmarkStart w:id="48" w:name="_Toc495908021"/>
      <w:bookmarkStart w:id="49" w:name="_Toc10377"/>
      <w:bookmarkStart w:id="50" w:name="_Toc4782"/>
      <w:bookmarkStart w:id="51" w:name="_Toc495681376"/>
      <w:bookmarkStart w:id="52" w:name="_Toc30549"/>
      <w:r>
        <w:rPr>
          <w:rFonts w:hint="eastAsia" w:ascii="仿宋" w:hAnsi="仿宋" w:eastAsia="仿宋" w:cs="仿宋"/>
          <w:b/>
          <w:bCs/>
          <w:sz w:val="24"/>
          <w:szCs w:val="24"/>
          <w:lang w:val="zh-CN"/>
        </w:rPr>
        <w:t>一、总则</w:t>
      </w:r>
      <w:bookmarkEnd w:id="36"/>
      <w:bookmarkEnd w:id="37"/>
      <w:bookmarkEnd w:id="38"/>
      <w:bookmarkEnd w:id="39"/>
    </w:p>
    <w:p>
      <w:pPr>
        <w:spacing w:line="360" w:lineRule="auto"/>
        <w:ind w:firstLine="482" w:firstLineChars="200"/>
        <w:outlineLvl w:val="2"/>
        <w:rPr>
          <w:rFonts w:ascii="仿宋" w:hAnsi="仿宋" w:eastAsia="仿宋" w:cs="仿宋"/>
          <w:sz w:val="24"/>
          <w:szCs w:val="24"/>
          <w:lang w:val="zh-CN"/>
        </w:rPr>
      </w:pPr>
      <w:bookmarkStart w:id="53" w:name="_Toc29110"/>
      <w:bookmarkStart w:id="54" w:name="_Toc14386"/>
      <w:bookmarkStart w:id="55" w:name="_Toc7648"/>
      <w:bookmarkStart w:id="56" w:name="_Toc18507"/>
      <w:bookmarkStart w:id="57" w:name="_Toc9682"/>
      <w:bookmarkStart w:id="58" w:name="_Toc8852"/>
      <w:bookmarkStart w:id="59" w:name="_Toc12964"/>
      <w:bookmarkStart w:id="60" w:name="_Toc28648"/>
      <w:r>
        <w:rPr>
          <w:rFonts w:hint="eastAsia" w:ascii="仿宋" w:hAnsi="仿宋" w:eastAsia="仿宋" w:cs="仿宋"/>
          <w:b/>
          <w:bCs/>
          <w:sz w:val="24"/>
          <w:szCs w:val="24"/>
          <w:lang w:val="zh-CN"/>
        </w:rPr>
        <w:t>（一）适用范围</w:t>
      </w:r>
      <w:bookmarkEnd w:id="53"/>
      <w:bookmarkEnd w:id="54"/>
      <w:bookmarkEnd w:id="55"/>
      <w:bookmarkEnd w:id="56"/>
      <w:bookmarkEnd w:id="57"/>
      <w:bookmarkEnd w:id="58"/>
      <w:bookmarkEnd w:id="59"/>
      <w:bookmarkEnd w:id="60"/>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1、本磋商文件仅适用于本次磋商所述的</w:t>
      </w:r>
      <w:r>
        <w:rPr>
          <w:rFonts w:hint="eastAsia" w:ascii="仿宋" w:hAnsi="仿宋" w:eastAsia="仿宋" w:cs="仿宋"/>
          <w:sz w:val="24"/>
          <w:szCs w:val="24"/>
          <w:lang w:eastAsia="zh-CN"/>
        </w:rPr>
        <w:t>西安市教育局政务协同办公系统运维服务项目</w:t>
      </w:r>
      <w:r>
        <w:rPr>
          <w:rFonts w:hint="eastAsia" w:ascii="仿宋" w:hAnsi="仿宋" w:eastAsia="仿宋" w:cs="仿宋"/>
          <w:sz w:val="24"/>
          <w:szCs w:val="24"/>
        </w:rPr>
        <w:t>采购活动。</w:t>
      </w:r>
    </w:p>
    <w:p>
      <w:pPr>
        <w:spacing w:line="360" w:lineRule="auto"/>
        <w:ind w:firstLine="482" w:firstLineChars="200"/>
        <w:jc w:val="left"/>
        <w:rPr>
          <w:rFonts w:ascii="仿宋" w:hAnsi="仿宋" w:eastAsia="仿宋" w:cs="仿宋"/>
          <w:b/>
          <w:bCs/>
          <w:sz w:val="24"/>
          <w:szCs w:val="24"/>
          <w:lang w:val="zh-CN"/>
        </w:rPr>
      </w:pPr>
      <w:bookmarkStart w:id="61" w:name="_Toc23631"/>
      <w:bookmarkStart w:id="62" w:name="_Toc30806"/>
      <w:bookmarkStart w:id="63" w:name="_Toc918"/>
      <w:r>
        <w:rPr>
          <w:rFonts w:hint="eastAsia" w:ascii="仿宋" w:hAnsi="仿宋" w:eastAsia="仿宋" w:cs="仿宋"/>
          <w:b/>
          <w:bCs/>
          <w:sz w:val="24"/>
          <w:szCs w:val="24"/>
          <w:lang w:val="zh-CN"/>
        </w:rPr>
        <w:t>（二）名词解释</w:t>
      </w:r>
      <w:bookmarkEnd w:id="40"/>
      <w:bookmarkEnd w:id="41"/>
      <w:bookmarkEnd w:id="42"/>
      <w:bookmarkEnd w:id="43"/>
      <w:bookmarkEnd w:id="44"/>
      <w:bookmarkEnd w:id="45"/>
      <w:bookmarkEnd w:id="46"/>
      <w:bookmarkEnd w:id="47"/>
      <w:bookmarkEnd w:id="48"/>
      <w:bookmarkEnd w:id="49"/>
      <w:bookmarkEnd w:id="50"/>
      <w:bookmarkEnd w:id="51"/>
      <w:bookmarkEnd w:id="52"/>
      <w:bookmarkEnd w:id="61"/>
      <w:bookmarkEnd w:id="62"/>
      <w:bookmarkEnd w:id="63"/>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zh-CN"/>
        </w:rPr>
        <w:t>采 购 人：</w:t>
      </w:r>
      <w:r>
        <w:rPr>
          <w:rFonts w:hint="eastAsia" w:ascii="仿宋" w:hAnsi="仿宋" w:eastAsia="仿宋" w:cs="仿宋"/>
          <w:sz w:val="24"/>
          <w:szCs w:val="24"/>
        </w:rPr>
        <w:t>西安市教育局（本级）</w:t>
      </w: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监督机构：</w:t>
      </w:r>
      <w:r>
        <w:rPr>
          <w:rFonts w:hint="eastAsia" w:ascii="仿宋" w:hAnsi="仿宋" w:eastAsia="仿宋" w:cs="仿宋"/>
          <w:sz w:val="24"/>
          <w:szCs w:val="24"/>
        </w:rPr>
        <w:t>西安市财政局</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采购代理机构：陕西笃信招标有限公司</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供</w:t>
      </w:r>
      <w:r>
        <w:rPr>
          <w:rFonts w:hint="eastAsia" w:ascii="仿宋" w:hAnsi="仿宋" w:eastAsia="仿宋" w:cs="仿宋"/>
          <w:sz w:val="24"/>
          <w:szCs w:val="24"/>
        </w:rPr>
        <w:t xml:space="preserve"> </w:t>
      </w:r>
      <w:r>
        <w:rPr>
          <w:rFonts w:hint="eastAsia" w:ascii="仿宋" w:hAnsi="仿宋" w:eastAsia="仿宋" w:cs="仿宋"/>
          <w:sz w:val="24"/>
          <w:szCs w:val="24"/>
          <w:lang w:val="zh-CN"/>
        </w:rPr>
        <w:t>应</w:t>
      </w:r>
      <w:r>
        <w:rPr>
          <w:rFonts w:hint="eastAsia" w:ascii="仿宋" w:hAnsi="仿宋" w:eastAsia="仿宋" w:cs="仿宋"/>
          <w:sz w:val="24"/>
          <w:szCs w:val="24"/>
        </w:rPr>
        <w:t xml:space="preserve"> </w:t>
      </w:r>
      <w:r>
        <w:rPr>
          <w:rFonts w:hint="eastAsia" w:ascii="仿宋" w:hAnsi="仿宋" w:eastAsia="仿宋" w:cs="仿宋"/>
          <w:sz w:val="24"/>
          <w:szCs w:val="24"/>
          <w:lang w:val="zh-CN"/>
        </w:rPr>
        <w:t>商：响应磋商、参加磋商竞争的法人、其他组织或者自然人</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磋商文件：含澄清、修改内容的书面资料和磋商响应文件格式的统称。</w:t>
      </w:r>
      <w:bookmarkStart w:id="64" w:name="_Toc18166"/>
      <w:bookmarkStart w:id="65" w:name="_Toc24840"/>
      <w:bookmarkStart w:id="66" w:name="_Toc32045"/>
      <w:bookmarkStart w:id="67" w:name="_Toc20963"/>
      <w:bookmarkStart w:id="68" w:name="_Toc16516"/>
      <w:bookmarkStart w:id="69" w:name="_Toc495681223"/>
      <w:bookmarkStart w:id="70" w:name="_Toc495681504"/>
      <w:bookmarkStart w:id="71" w:name="_Toc18525"/>
      <w:bookmarkStart w:id="72" w:name="_Toc9661"/>
      <w:bookmarkStart w:id="73" w:name="_Toc495681377"/>
      <w:bookmarkStart w:id="74" w:name="_Toc14426"/>
      <w:bookmarkStart w:id="75" w:name="_Toc495908022"/>
      <w:bookmarkStart w:id="76" w:name="_Toc26522"/>
    </w:p>
    <w:p>
      <w:pPr>
        <w:autoSpaceDE w:val="0"/>
        <w:autoSpaceDN w:val="0"/>
        <w:adjustRightInd w:val="0"/>
        <w:snapToGrid w:val="0"/>
        <w:spacing w:line="360" w:lineRule="auto"/>
        <w:ind w:firstLine="482" w:firstLineChars="200"/>
        <w:outlineLvl w:val="1"/>
        <w:rPr>
          <w:rFonts w:ascii="仿宋" w:hAnsi="仿宋" w:eastAsia="仿宋" w:cs="仿宋"/>
          <w:b/>
          <w:bCs/>
          <w:sz w:val="24"/>
          <w:szCs w:val="24"/>
          <w:lang w:val="zh-CN"/>
        </w:rPr>
      </w:pPr>
      <w:bookmarkStart w:id="77" w:name="_Toc31469"/>
      <w:bookmarkStart w:id="78" w:name="_Toc9965"/>
      <w:bookmarkStart w:id="79" w:name="_Toc10332"/>
      <w:bookmarkStart w:id="80" w:name="_Toc25386"/>
      <w:r>
        <w:rPr>
          <w:rFonts w:hint="eastAsia" w:ascii="仿宋" w:hAnsi="仿宋" w:eastAsia="仿宋" w:cs="仿宋"/>
          <w:b/>
          <w:bCs/>
          <w:sz w:val="24"/>
          <w:szCs w:val="24"/>
          <w:lang w:val="zh-CN"/>
        </w:rPr>
        <w:t>二、磋商文件</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pStyle w:val="5"/>
        <w:ind w:firstLine="482" w:firstLineChars="200"/>
        <w:jc w:val="both"/>
        <w:rPr>
          <w:lang w:val="zh-CN"/>
        </w:rPr>
      </w:pPr>
      <w:bookmarkStart w:id="81" w:name="_Toc25426"/>
      <w:bookmarkStart w:id="82" w:name="_Toc100"/>
      <w:bookmarkStart w:id="83" w:name="_Toc14002"/>
      <w:bookmarkStart w:id="84" w:name="_Toc19655"/>
      <w:r>
        <w:rPr>
          <w:rFonts w:hint="eastAsia" w:ascii="仿宋" w:hAnsi="仿宋" w:eastAsia="仿宋" w:cs="仿宋"/>
          <w:b/>
          <w:sz w:val="24"/>
          <w:szCs w:val="24"/>
          <w:lang w:val="zh-CN"/>
        </w:rPr>
        <w:t>（一）磋商文件及要求</w:t>
      </w:r>
      <w:bookmarkEnd w:id="81"/>
      <w:bookmarkEnd w:id="82"/>
      <w:bookmarkEnd w:id="83"/>
      <w:bookmarkEnd w:id="84"/>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磋商文件以中文编制，磋商文件包括五部分，各供应商应根据磋商文件中所有内容及要求提交全部资料。</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磋商文件组成：磋商文件是根据本项目的特点和需求编制，包括以下内容：</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）竞争性磋商公告</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2</w:t>
      </w:r>
      <w:r>
        <w:rPr>
          <w:rFonts w:hint="eastAsia" w:ascii="仿宋" w:hAnsi="仿宋" w:eastAsia="仿宋" w:cs="仿宋"/>
          <w:sz w:val="24"/>
          <w:szCs w:val="24"/>
          <w:lang w:val="zh-CN"/>
        </w:rPr>
        <w:t>）竞争性磋商须知</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3</w:t>
      </w:r>
      <w:r>
        <w:rPr>
          <w:rFonts w:hint="eastAsia" w:ascii="仿宋" w:hAnsi="仿宋" w:eastAsia="仿宋" w:cs="仿宋"/>
          <w:sz w:val="24"/>
          <w:szCs w:val="24"/>
          <w:lang w:val="zh-CN"/>
        </w:rPr>
        <w:t>）采购内容及要求</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4</w:t>
      </w:r>
      <w:r>
        <w:rPr>
          <w:rFonts w:hint="eastAsia" w:ascii="仿宋" w:hAnsi="仿宋" w:eastAsia="仿宋" w:cs="仿宋"/>
          <w:sz w:val="24"/>
          <w:szCs w:val="24"/>
          <w:lang w:val="zh-CN"/>
        </w:rPr>
        <w:t>）合同条款及格式(商务主要条款)</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5</w:t>
      </w:r>
      <w:r>
        <w:rPr>
          <w:rFonts w:hint="eastAsia" w:ascii="仿宋" w:hAnsi="仿宋" w:eastAsia="仿宋" w:cs="仿宋"/>
          <w:sz w:val="24"/>
          <w:szCs w:val="24"/>
          <w:lang w:val="zh-CN"/>
        </w:rPr>
        <w:t>）磋商响应文件格式</w:t>
      </w:r>
    </w:p>
    <w:p>
      <w:pPr>
        <w:autoSpaceDE w:val="0"/>
        <w:autoSpaceDN w:val="0"/>
        <w:adjustRightInd w:val="0"/>
        <w:spacing w:line="360" w:lineRule="auto"/>
        <w:ind w:firstLine="482" w:firstLineChars="200"/>
        <w:outlineLvl w:val="2"/>
        <w:rPr>
          <w:rFonts w:ascii="仿宋" w:hAnsi="仿宋" w:eastAsia="仿宋" w:cs="仿宋"/>
          <w:b/>
          <w:bCs/>
          <w:sz w:val="24"/>
          <w:szCs w:val="24"/>
          <w:lang w:val="zh-CN"/>
        </w:rPr>
      </w:pPr>
      <w:bookmarkStart w:id="85" w:name="_Toc28538"/>
      <w:bookmarkStart w:id="86" w:name="_Toc4507"/>
      <w:bookmarkStart w:id="87" w:name="_Toc127"/>
      <w:bookmarkStart w:id="88" w:name="_Toc21028"/>
      <w:r>
        <w:rPr>
          <w:rFonts w:hint="eastAsia" w:ascii="仿宋" w:hAnsi="仿宋" w:eastAsia="仿宋" w:cs="仿宋"/>
          <w:b/>
          <w:bCs/>
          <w:sz w:val="24"/>
          <w:szCs w:val="24"/>
          <w:lang w:val="zh-CN"/>
        </w:rPr>
        <w:t>（二）磋商响应文件的澄清和修改</w:t>
      </w:r>
      <w:bookmarkEnd w:id="85"/>
      <w:bookmarkEnd w:id="86"/>
      <w:bookmarkEnd w:id="87"/>
      <w:bookmarkEnd w:id="88"/>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1、如果磋商文件进行必要的澄清或者修改，将在发布磋商公告的财政部门指定媒体上由采购代理机构发布更正公告，并以书面形式通知所有获取磋商文件的单位。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澄清或者修改的内容为磋商文件的组成部分。</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2、供应商在收到澄清或修改文件后，应在一个工作日内以书面形式（加盖公章）向采购代理机构予以确认。</w:t>
      </w:r>
    </w:p>
    <w:p>
      <w:pPr>
        <w:autoSpaceDE w:val="0"/>
        <w:autoSpaceDN w:val="0"/>
        <w:adjustRightInd w:val="0"/>
        <w:spacing w:line="360" w:lineRule="auto"/>
        <w:ind w:firstLine="482" w:firstLineChars="200"/>
        <w:outlineLvl w:val="2"/>
        <w:rPr>
          <w:rFonts w:ascii="仿宋" w:hAnsi="仿宋" w:eastAsia="仿宋" w:cs="仿宋"/>
          <w:b/>
          <w:bCs/>
          <w:sz w:val="24"/>
          <w:szCs w:val="24"/>
        </w:rPr>
      </w:pPr>
      <w:bookmarkStart w:id="89" w:name="_Toc31097"/>
      <w:bookmarkStart w:id="90" w:name="_Toc17894"/>
      <w:bookmarkStart w:id="91" w:name="_Toc10278"/>
      <w:bookmarkStart w:id="92" w:name="_Toc1819"/>
      <w:bookmarkStart w:id="93" w:name="_Toc12729"/>
      <w:bookmarkStart w:id="94" w:name="_Toc4256"/>
      <w:bookmarkStart w:id="95" w:name="_Toc12617"/>
      <w:bookmarkStart w:id="96" w:name="_Toc5122"/>
      <w:r>
        <w:rPr>
          <w:rFonts w:hint="eastAsia" w:ascii="仿宋" w:hAnsi="仿宋" w:eastAsia="仿宋" w:cs="仿宋"/>
          <w:b/>
          <w:bCs/>
          <w:sz w:val="24"/>
          <w:szCs w:val="24"/>
          <w:lang w:val="zh-CN"/>
        </w:rPr>
        <w:t>（三）磋商文件的询问、质疑及答复</w:t>
      </w:r>
      <w:bookmarkEnd w:id="89"/>
      <w:bookmarkEnd w:id="90"/>
      <w:bookmarkEnd w:id="91"/>
      <w:bookmarkEnd w:id="92"/>
      <w:bookmarkEnd w:id="93"/>
      <w:bookmarkEnd w:id="94"/>
      <w:bookmarkEnd w:id="95"/>
      <w:bookmarkEnd w:id="96"/>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1、供应商应仔细阅读和检查磋商文件的全部内容。如发现缺页或附件不全，应及时向采购代理机构提出，以便补齐。</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供应商认为磋商文件、磋商过程、成交结果使自己的权益受到损害的，可以在知道或者应知其权益受到损害之日起7个工作日内，以书面形式向采购人、采购代理机构提出质疑，在此之后提出的询问和质疑均为无效，采购代理机构不予受理。</w:t>
      </w:r>
    </w:p>
    <w:p>
      <w:pPr>
        <w:pStyle w:val="22"/>
        <w:spacing w:before="0" w:beforeAutospacing="0" w:after="0" w:afterAutospacing="0" w:line="360" w:lineRule="auto"/>
        <w:ind w:firstLine="480" w:firstLineChars="200"/>
        <w:jc w:val="both"/>
        <w:rPr>
          <w:rFonts w:ascii="仿宋" w:hAnsi="仿宋" w:eastAsia="仿宋" w:cs="仿宋"/>
          <w:lang w:val="zh-CN"/>
        </w:rPr>
      </w:pPr>
      <w:r>
        <w:rPr>
          <w:rFonts w:hint="eastAsia" w:ascii="仿宋" w:hAnsi="仿宋" w:eastAsia="仿宋" w:cs="仿宋"/>
        </w:rPr>
        <w:t>3、</w:t>
      </w:r>
      <w:r>
        <w:rPr>
          <w:rFonts w:hint="eastAsia" w:ascii="仿宋" w:hAnsi="仿宋" w:eastAsia="仿宋" w:cs="仿宋"/>
          <w:lang w:val="zh-CN"/>
        </w:rPr>
        <w:t>供应商提出质疑应当有明确的请求和必要的证明材料。</w:t>
      </w:r>
    </w:p>
    <w:p>
      <w:pPr>
        <w:pStyle w:val="22"/>
        <w:spacing w:before="0" w:beforeAutospacing="0" w:after="0" w:afterAutospacing="0" w:line="360" w:lineRule="auto"/>
        <w:ind w:firstLine="480" w:firstLineChars="200"/>
        <w:jc w:val="both"/>
        <w:rPr>
          <w:rFonts w:ascii="仿宋" w:hAnsi="仿宋" w:eastAsia="仿宋" w:cs="仿宋"/>
          <w:lang w:val="zh-CN"/>
        </w:rPr>
      </w:pPr>
      <w:r>
        <w:rPr>
          <w:rFonts w:hint="eastAsia" w:ascii="仿宋" w:hAnsi="仿宋" w:eastAsia="仿宋" w:cs="仿宋"/>
        </w:rPr>
        <w:t>4、</w:t>
      </w:r>
      <w:r>
        <w:rPr>
          <w:rFonts w:hint="eastAsia" w:ascii="仿宋" w:hAnsi="仿宋" w:eastAsia="仿宋" w:cs="仿宋"/>
          <w:lang w:val="zh-CN"/>
        </w:rPr>
        <w:t>对于在规定时间内收到的供应商依法提出的询问或者质疑，采购代理机构将按程序在三个工作日内答复询问，七个工作日内答复质疑。</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供应商在收到答复后，应在一个工作日内以书面形式（加盖公章）向采购代理机构予以确认。</w:t>
      </w:r>
    </w:p>
    <w:p>
      <w:pPr>
        <w:autoSpaceDE w:val="0"/>
        <w:autoSpaceDN w:val="0"/>
        <w:adjustRightInd w:val="0"/>
        <w:snapToGrid w:val="0"/>
        <w:spacing w:line="360" w:lineRule="auto"/>
        <w:ind w:firstLine="482" w:firstLineChars="200"/>
        <w:outlineLvl w:val="2"/>
        <w:rPr>
          <w:rFonts w:ascii="仿宋" w:hAnsi="仿宋" w:eastAsia="仿宋" w:cs="仿宋"/>
          <w:sz w:val="24"/>
          <w:szCs w:val="24"/>
          <w:lang w:val="zh-CN"/>
        </w:rPr>
      </w:pPr>
      <w:bookmarkStart w:id="97" w:name="_Toc23777"/>
      <w:bookmarkStart w:id="98" w:name="_Toc5283"/>
      <w:bookmarkStart w:id="99" w:name="_Toc17969"/>
      <w:bookmarkStart w:id="100" w:name="_Toc10355"/>
      <w:bookmarkStart w:id="101" w:name="_Toc20187"/>
      <w:bookmarkStart w:id="102" w:name="_Toc28965"/>
      <w:bookmarkStart w:id="103" w:name="_Toc16363"/>
      <w:bookmarkStart w:id="104" w:name="_Toc27651"/>
      <w:r>
        <w:rPr>
          <w:rFonts w:hint="eastAsia" w:ascii="仿宋" w:hAnsi="仿宋" w:eastAsia="仿宋" w:cs="仿宋"/>
          <w:b/>
          <w:bCs/>
          <w:sz w:val="24"/>
          <w:szCs w:val="24"/>
          <w:lang w:val="zh-CN"/>
        </w:rPr>
        <w:t>（四）磋商文件的解释权</w:t>
      </w:r>
      <w:bookmarkEnd w:id="97"/>
      <w:bookmarkEnd w:id="98"/>
      <w:bookmarkEnd w:id="99"/>
      <w:bookmarkEnd w:id="100"/>
      <w:bookmarkEnd w:id="101"/>
      <w:bookmarkEnd w:id="102"/>
      <w:bookmarkEnd w:id="103"/>
      <w:bookmarkEnd w:id="104"/>
    </w:p>
    <w:p>
      <w:pPr>
        <w:pStyle w:val="22"/>
        <w:spacing w:before="0" w:beforeAutospacing="0" w:after="0" w:afterAutospacing="0" w:line="360" w:lineRule="auto"/>
        <w:ind w:firstLine="480" w:firstLineChars="200"/>
        <w:jc w:val="both"/>
        <w:rPr>
          <w:rFonts w:ascii="仿宋" w:hAnsi="仿宋" w:eastAsia="仿宋" w:cs="仿宋"/>
          <w:lang w:val="zh-CN"/>
        </w:rPr>
      </w:pPr>
      <w:r>
        <w:rPr>
          <w:rFonts w:hint="eastAsia" w:ascii="仿宋" w:hAnsi="仿宋" w:eastAsia="仿宋" w:cs="仿宋"/>
        </w:rPr>
        <w:t>1、</w:t>
      </w:r>
      <w:r>
        <w:rPr>
          <w:rFonts w:hint="eastAsia" w:ascii="仿宋" w:hAnsi="仿宋" w:eastAsia="仿宋" w:cs="仿宋"/>
          <w:lang w:val="zh-CN"/>
        </w:rPr>
        <w:t>供应商必须从采购代理机构获取磋商文件，供应商自行转让或复制磋商文件视为无效。</w:t>
      </w:r>
    </w:p>
    <w:p>
      <w:pPr>
        <w:pStyle w:val="22"/>
        <w:spacing w:before="0" w:beforeAutospacing="0" w:after="0" w:afterAutospacing="0" w:line="360" w:lineRule="auto"/>
        <w:ind w:firstLine="480" w:firstLineChars="200"/>
        <w:jc w:val="both"/>
        <w:rPr>
          <w:rFonts w:ascii="仿宋" w:hAnsi="仿宋" w:eastAsia="仿宋" w:cs="仿宋"/>
          <w:lang w:val="zh-CN"/>
        </w:rPr>
      </w:pPr>
      <w:r>
        <w:rPr>
          <w:rFonts w:hint="eastAsia" w:ascii="仿宋" w:hAnsi="仿宋" w:eastAsia="仿宋" w:cs="仿宋"/>
        </w:rPr>
        <w:t>2、</w:t>
      </w:r>
      <w:r>
        <w:rPr>
          <w:rFonts w:hint="eastAsia" w:ascii="仿宋" w:hAnsi="仿宋" w:eastAsia="仿宋" w:cs="仿宋"/>
          <w:lang w:val="zh-CN"/>
        </w:rPr>
        <w:t>磋商文件的解释权归采购代理机构。</w:t>
      </w:r>
    </w:p>
    <w:p>
      <w:pPr>
        <w:autoSpaceDE w:val="0"/>
        <w:autoSpaceDN w:val="0"/>
        <w:adjustRightInd w:val="0"/>
        <w:snapToGrid w:val="0"/>
        <w:spacing w:line="360" w:lineRule="auto"/>
        <w:ind w:firstLine="482" w:firstLineChars="200"/>
        <w:outlineLvl w:val="1"/>
        <w:rPr>
          <w:rFonts w:ascii="仿宋" w:hAnsi="仿宋" w:eastAsia="仿宋" w:cs="仿宋"/>
          <w:b/>
          <w:bCs/>
          <w:sz w:val="24"/>
          <w:szCs w:val="24"/>
          <w:lang w:val="zh-CN"/>
        </w:rPr>
      </w:pPr>
      <w:bookmarkStart w:id="105" w:name="_Toc495681505"/>
      <w:bookmarkStart w:id="106" w:name="_Toc495681378"/>
      <w:bookmarkStart w:id="107" w:name="_Toc2631"/>
      <w:bookmarkStart w:id="108" w:name="_Toc6293"/>
      <w:bookmarkStart w:id="109" w:name="_Toc22974"/>
      <w:bookmarkStart w:id="110" w:name="_Toc23206"/>
      <w:bookmarkStart w:id="111" w:name="_Toc32335"/>
      <w:bookmarkStart w:id="112" w:name="_Toc19205"/>
      <w:bookmarkStart w:id="113" w:name="_Toc20678"/>
      <w:bookmarkStart w:id="114" w:name="_Toc13082"/>
      <w:bookmarkStart w:id="115" w:name="_Toc495681224"/>
      <w:bookmarkStart w:id="116" w:name="_Toc6881"/>
      <w:bookmarkStart w:id="117" w:name="_Toc4720"/>
      <w:bookmarkStart w:id="118" w:name="_Toc495908023"/>
      <w:bookmarkStart w:id="119" w:name="_Toc14090"/>
      <w:bookmarkStart w:id="120" w:name="_Toc5897"/>
      <w:bookmarkStart w:id="121" w:name="_Toc20772"/>
      <w:r>
        <w:rPr>
          <w:rFonts w:hint="eastAsia" w:ascii="仿宋" w:hAnsi="仿宋" w:eastAsia="仿宋" w:cs="仿宋"/>
          <w:b/>
          <w:bCs/>
          <w:sz w:val="24"/>
          <w:szCs w:val="24"/>
          <w:lang w:val="zh-CN"/>
        </w:rPr>
        <w:t>三、磋商要求</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autoSpaceDE w:val="0"/>
        <w:autoSpaceDN w:val="0"/>
        <w:adjustRightInd w:val="0"/>
        <w:spacing w:line="360" w:lineRule="auto"/>
        <w:ind w:firstLine="482" w:firstLineChars="200"/>
        <w:outlineLvl w:val="2"/>
        <w:rPr>
          <w:rFonts w:ascii="仿宋" w:hAnsi="仿宋" w:eastAsia="仿宋" w:cs="仿宋"/>
          <w:b/>
          <w:bCs/>
          <w:sz w:val="24"/>
          <w:szCs w:val="24"/>
          <w:lang w:val="zh-CN"/>
        </w:rPr>
      </w:pPr>
      <w:bookmarkStart w:id="122" w:name="_Toc2358"/>
      <w:bookmarkStart w:id="123" w:name="_Toc240"/>
      <w:bookmarkStart w:id="124" w:name="_Toc15181"/>
      <w:bookmarkStart w:id="125" w:name="_Toc14182"/>
      <w:r>
        <w:rPr>
          <w:rFonts w:hint="eastAsia" w:ascii="仿宋" w:hAnsi="仿宋" w:eastAsia="仿宋" w:cs="仿宋"/>
          <w:b/>
          <w:bCs/>
          <w:sz w:val="24"/>
          <w:szCs w:val="24"/>
          <w:lang w:val="zh-CN"/>
        </w:rPr>
        <w:t>（一）磋商内容</w:t>
      </w:r>
      <w:bookmarkEnd w:id="122"/>
      <w:bookmarkEnd w:id="123"/>
      <w:bookmarkEnd w:id="124"/>
      <w:bookmarkEnd w:id="125"/>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本次磋商内容是</w:t>
      </w:r>
      <w:r>
        <w:rPr>
          <w:rFonts w:hint="eastAsia" w:ascii="仿宋" w:hAnsi="仿宋" w:eastAsia="仿宋" w:cs="仿宋"/>
          <w:sz w:val="24"/>
          <w:szCs w:val="24"/>
          <w:lang w:eastAsia="zh-CN"/>
        </w:rPr>
        <w:t>西安市教育局政务协同办公系统运维服务项目</w:t>
      </w:r>
      <w:r>
        <w:rPr>
          <w:rFonts w:hint="eastAsia" w:ascii="仿宋" w:hAnsi="仿宋" w:eastAsia="仿宋" w:cs="仿宋"/>
          <w:sz w:val="24"/>
          <w:szCs w:val="24"/>
          <w:lang w:val="zh-CN"/>
        </w:rPr>
        <w:t>，各供应商应仔细阅读磋商文件中的所有事项、格式、条款和要求，对磋商文件的全部内容及要求作出实质性响应，提交相应资料，不得在其中选项磋商或将其中内容再行分解，否则磋商无效。</w:t>
      </w:r>
    </w:p>
    <w:p>
      <w:pPr>
        <w:snapToGrid w:val="0"/>
        <w:spacing w:line="360" w:lineRule="auto"/>
        <w:ind w:firstLine="482" w:firstLineChars="200"/>
        <w:outlineLvl w:val="2"/>
        <w:rPr>
          <w:rFonts w:ascii="仿宋" w:hAnsi="仿宋" w:eastAsia="仿宋" w:cs="仿宋"/>
          <w:b/>
          <w:bCs/>
          <w:sz w:val="24"/>
          <w:szCs w:val="24"/>
        </w:rPr>
      </w:pPr>
      <w:bookmarkStart w:id="126" w:name="_Toc10504"/>
      <w:bookmarkStart w:id="127" w:name="_Toc1539"/>
      <w:bookmarkStart w:id="128" w:name="_Toc28872"/>
      <w:bookmarkStart w:id="129" w:name="_Toc13025"/>
      <w:r>
        <w:rPr>
          <w:rFonts w:hint="eastAsia" w:ascii="仿宋" w:hAnsi="仿宋" w:eastAsia="仿宋" w:cs="仿宋"/>
          <w:b/>
          <w:bCs/>
          <w:sz w:val="24"/>
          <w:szCs w:val="24"/>
          <w:lang w:val="zh-CN"/>
        </w:rPr>
        <w:t>（二）合格供应商要求</w:t>
      </w:r>
      <w:bookmarkEnd w:id="126"/>
      <w:bookmarkEnd w:id="127"/>
      <w:bookmarkEnd w:id="128"/>
      <w:bookmarkEnd w:id="129"/>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（1）基本资格条件：符合《中华人民共和国政府采购法》第二十二条的规定；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1、提供统一社会信用代码的营业执照或其他组织经营的合法凭证或自然人的提供身份证明文件；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2、财务状况报告：提供具有财务审计资质单位出具的2021年度财务报告或磋商前六个月内其基本账户银行出具的资信证明（附基本户证明资料）或财政部门认可的政府采购专业担保机构出具的担保函，以上形式的证明资料提供任何一种即可；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3、税收缴纳证明：提供已缴纳的 2022年1月1日以来至少一个月的纳税证明或完税证明（提供增值税、企业所得税至少一种），纳税证明或完税证明上应有代收机构或税务机关的公章或业务专用章。依法免税的供应商应提供相关文件证明；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4、社会保障资金缴纳证明：提供已缴存的 2022年1月1日以来至少一个月的社会保障资金缴存单据或社保机构开具的社会保险参保缴费情况证明。成立时间至提交响应文件截止时间不足一个月或依法不需要缴纳社会保障资金的供应商应提供相关文件证明；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5、出具履行合同所必需的设备和专业技术能力的书面声明；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6、出具参加本次政府采购活动的书面声明；</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（2）特定资格条件：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1、法定代表人授权书及被授权人身份证，并且提供有效的劳动合同或近三个月养老保险缴纳证明（法人参加只需提供法定代表人身份证明）；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2、符合《财政部关于在政府采购活动中查询及使用信用记录有关问题的通知》（财库【2016】125号）文件中信用查询的要求；（此项由采购人与采购代理单位在开标时查询，以现场查询为准）。</w:t>
      </w:r>
    </w:p>
    <w:p>
      <w:pPr>
        <w:tabs>
          <w:tab w:val="left" w:pos="9030"/>
        </w:tabs>
        <w:snapToGrid w:val="0"/>
        <w:spacing w:line="360" w:lineRule="auto"/>
        <w:ind w:right="-65" w:firstLine="482" w:firstLineChars="200"/>
        <w:outlineLvl w:val="2"/>
        <w:rPr>
          <w:rFonts w:ascii="仿宋" w:hAnsi="仿宋" w:eastAsia="仿宋" w:cs="仿宋"/>
          <w:b/>
          <w:bCs/>
          <w:sz w:val="24"/>
          <w:szCs w:val="24"/>
          <w:lang w:val="zh-CN"/>
        </w:rPr>
      </w:pPr>
      <w:bookmarkStart w:id="130" w:name="_Toc3642"/>
      <w:bookmarkStart w:id="131" w:name="_Toc445"/>
      <w:bookmarkStart w:id="132" w:name="_Toc21561"/>
      <w:bookmarkStart w:id="133" w:name="_Toc9381"/>
      <w:r>
        <w:rPr>
          <w:rFonts w:hint="eastAsia" w:ascii="仿宋" w:hAnsi="仿宋" w:eastAsia="仿宋" w:cs="仿宋"/>
          <w:b/>
          <w:bCs/>
          <w:sz w:val="24"/>
          <w:szCs w:val="24"/>
          <w:lang w:val="zh-CN"/>
        </w:rPr>
        <w:t>（三）限制磋商要求</w:t>
      </w:r>
      <w:bookmarkEnd w:id="130"/>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供应商单位负责人为同一人或者存在直接控股、管理关系的不同供应商，不得参加同一项目或同一包的政府采购活动。</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除竞争性磋商项目外，为采购项目提供过整体设计、规范编制或者项目管理、监理、检测等服务的供应商，不得再参加同一项目的其他采购活动。</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对列入失信被执行人、重大税收违法案件当事人名单、政府采购严重违法失信行为记录名单及其他不符合《中华人民共和国政府采购法》第二十二条规定条件的供应商，采购代理机构将拒绝其参与政府采购活动。</w:t>
      </w:r>
    </w:p>
    <w:p>
      <w:pPr>
        <w:spacing w:line="360" w:lineRule="auto"/>
        <w:ind w:firstLine="482" w:firstLineChars="200"/>
        <w:rPr>
          <w:rFonts w:ascii="仿宋" w:hAnsi="仿宋" w:eastAsia="仿宋" w:cs="仿宋"/>
          <w:b/>
          <w:bCs/>
          <w:sz w:val="24"/>
          <w:szCs w:val="24"/>
          <w:lang w:val="zh-CN"/>
        </w:rPr>
      </w:pPr>
      <w:r>
        <w:rPr>
          <w:rFonts w:hint="eastAsia" w:ascii="仿宋" w:hAnsi="仿宋" w:eastAsia="仿宋" w:cs="仿宋"/>
          <w:b/>
          <w:bCs/>
          <w:sz w:val="24"/>
          <w:szCs w:val="24"/>
        </w:rPr>
        <w:t>4、</w:t>
      </w:r>
      <w:r>
        <w:rPr>
          <w:rFonts w:hint="eastAsia" w:ascii="仿宋" w:hAnsi="仿宋" w:eastAsia="仿宋" w:cs="仿宋"/>
          <w:b/>
          <w:bCs/>
          <w:sz w:val="24"/>
          <w:szCs w:val="24"/>
          <w:lang w:val="zh-CN"/>
        </w:rPr>
        <w:t>本次磋商项目不接受联合体磋商。</w:t>
      </w:r>
    </w:p>
    <w:p>
      <w:pPr>
        <w:tabs>
          <w:tab w:val="left" w:pos="9030"/>
        </w:tabs>
        <w:snapToGrid w:val="0"/>
        <w:spacing w:line="360" w:lineRule="auto"/>
        <w:ind w:right="-65" w:firstLine="482" w:firstLineChars="200"/>
        <w:outlineLvl w:val="2"/>
        <w:rPr>
          <w:rFonts w:ascii="仿宋" w:hAnsi="仿宋" w:eastAsia="仿宋" w:cs="仿宋"/>
          <w:b/>
          <w:bCs/>
          <w:sz w:val="24"/>
          <w:szCs w:val="24"/>
          <w:lang w:val="zh-CN"/>
        </w:rPr>
      </w:pPr>
      <w:bookmarkStart w:id="134" w:name="_Toc8991"/>
      <w:r>
        <w:rPr>
          <w:rFonts w:hint="eastAsia" w:ascii="仿宋" w:hAnsi="仿宋" w:eastAsia="仿宋" w:cs="仿宋"/>
          <w:b/>
          <w:bCs/>
          <w:sz w:val="24"/>
          <w:szCs w:val="24"/>
          <w:lang w:val="zh-CN"/>
        </w:rPr>
        <w:t>（四）磋商响应文件有效期</w:t>
      </w:r>
      <w:bookmarkEnd w:id="131"/>
      <w:bookmarkEnd w:id="132"/>
      <w:bookmarkEnd w:id="133"/>
      <w:bookmarkEnd w:id="134"/>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磋商响应文件有效期为自磋商之日起不少于90个日历天，在有效期内磋商响应文件对供应商具有法律约束力，以保证采购人完成评标、定标以及合同签订事项。成交供应商的磋商响应文件有效期自动延长至合同执行完毕。</w:t>
      </w:r>
    </w:p>
    <w:p>
      <w:pPr>
        <w:autoSpaceDE w:val="0"/>
        <w:autoSpaceDN w:val="0"/>
        <w:adjustRightInd w:val="0"/>
        <w:snapToGrid w:val="0"/>
        <w:spacing w:line="360" w:lineRule="auto"/>
        <w:ind w:firstLine="482" w:firstLineChars="200"/>
        <w:outlineLvl w:val="2"/>
        <w:rPr>
          <w:rFonts w:ascii="仿宋" w:hAnsi="仿宋" w:eastAsia="仿宋" w:cs="仿宋"/>
          <w:b/>
          <w:sz w:val="24"/>
          <w:szCs w:val="24"/>
          <w:lang w:val="zh-CN"/>
        </w:rPr>
      </w:pPr>
      <w:bookmarkStart w:id="135" w:name="_Toc32264"/>
      <w:bookmarkStart w:id="136" w:name="_Toc708"/>
      <w:bookmarkStart w:id="137" w:name="_Toc495681225"/>
      <w:bookmarkStart w:id="138" w:name="_Toc2035"/>
      <w:bookmarkStart w:id="139" w:name="_Toc32305"/>
      <w:bookmarkStart w:id="140" w:name="_Toc18369"/>
      <w:bookmarkStart w:id="141" w:name="_Toc27500"/>
      <w:bookmarkStart w:id="142" w:name="_Toc7375"/>
      <w:bookmarkStart w:id="143" w:name="_Toc495681379"/>
      <w:bookmarkStart w:id="144" w:name="_Toc19258"/>
      <w:bookmarkStart w:id="145" w:name="_Toc25242"/>
      <w:bookmarkStart w:id="146" w:name="_Toc14448"/>
      <w:bookmarkStart w:id="147" w:name="_Toc10891"/>
      <w:bookmarkStart w:id="148" w:name="_Toc495681506"/>
      <w:bookmarkStart w:id="149" w:name="_Toc495908024"/>
      <w:bookmarkStart w:id="150" w:name="_Toc24960"/>
      <w:bookmarkStart w:id="151" w:name="_Toc1960"/>
      <w:r>
        <w:rPr>
          <w:rFonts w:hint="eastAsia" w:ascii="仿宋" w:hAnsi="仿宋" w:eastAsia="仿宋" w:cs="仿宋"/>
          <w:b/>
          <w:sz w:val="24"/>
          <w:szCs w:val="24"/>
          <w:lang w:val="zh-CN"/>
        </w:rPr>
        <w:t>（五）磋商响应文件的编制要求</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未从采购代理机构处获取磋商文件的供应商，谢绝报价。磋商响应文件应按照采购代理机构发售的磋商响应文件格式编写，各供应商对磋商文件做出实质性响应，具体内容包括：</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）对磋商响应函中内容的响应。</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2</w:t>
      </w:r>
      <w:r>
        <w:rPr>
          <w:rFonts w:hint="eastAsia" w:ascii="仿宋" w:hAnsi="仿宋" w:eastAsia="仿宋" w:cs="仿宋"/>
          <w:sz w:val="24"/>
          <w:szCs w:val="24"/>
          <w:lang w:val="zh-CN"/>
        </w:rPr>
        <w:t>）第一次磋商报价表。</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3</w:t>
      </w:r>
      <w:r>
        <w:rPr>
          <w:rFonts w:hint="eastAsia" w:ascii="仿宋" w:hAnsi="仿宋" w:eastAsia="仿宋" w:cs="仿宋"/>
          <w:sz w:val="24"/>
          <w:szCs w:val="24"/>
          <w:lang w:val="zh-CN"/>
        </w:rPr>
        <w:t>）供应商出具的合格供应商要求文件，证明参加供应商是响应本项目磋商的合格供应商。</w:t>
      </w:r>
    </w:p>
    <w:p>
      <w:pPr>
        <w:autoSpaceDE w:val="0"/>
        <w:autoSpaceDN w:val="0"/>
        <w:adjustRightInd w:val="0"/>
        <w:spacing w:line="360" w:lineRule="auto"/>
        <w:ind w:firstLine="480" w:firstLineChars="200"/>
        <w:rPr>
          <w:rFonts w:ascii="仿宋" w:hAnsi="仿宋" w:eastAsia="仿宋" w:cs="仿宋"/>
          <w:sz w:val="24"/>
          <w:szCs w:val="24"/>
          <w:highlight w:val="yellow"/>
          <w:lang w:val="zh-CN"/>
        </w:rPr>
      </w:pPr>
      <w:r>
        <w:rPr>
          <w:rFonts w:hint="eastAsia" w:ascii="仿宋" w:hAnsi="仿宋" w:eastAsia="仿宋" w:cs="仿宋"/>
          <w:sz w:val="24"/>
          <w:szCs w:val="24"/>
          <w:lang w:val="zh-CN"/>
        </w:rPr>
        <w:t>（</w:t>
      </w:r>
      <w:r>
        <w:rPr>
          <w:rFonts w:hint="eastAsia" w:ascii="仿宋" w:hAnsi="仿宋" w:eastAsia="仿宋" w:cs="仿宋"/>
          <w:sz w:val="24"/>
          <w:szCs w:val="24"/>
        </w:rPr>
        <w:t>4</w:t>
      </w:r>
      <w:r>
        <w:rPr>
          <w:rFonts w:hint="eastAsia" w:ascii="仿宋" w:hAnsi="仿宋" w:eastAsia="仿宋" w:cs="仿宋"/>
          <w:sz w:val="24"/>
          <w:szCs w:val="24"/>
          <w:lang w:val="zh-CN"/>
        </w:rPr>
        <w:t>）供应商为本次磋商采购项目编制的</w:t>
      </w:r>
      <w:r>
        <w:rPr>
          <w:rFonts w:hint="eastAsia" w:ascii="仿宋" w:hAnsi="仿宋" w:eastAsia="仿宋" w:cs="仿宋"/>
          <w:sz w:val="24"/>
          <w:szCs w:val="24"/>
        </w:rPr>
        <w:t>实施</w:t>
      </w:r>
      <w:r>
        <w:rPr>
          <w:rFonts w:hint="eastAsia" w:ascii="仿宋" w:hAnsi="仿宋" w:eastAsia="仿宋" w:cs="仿宋"/>
          <w:sz w:val="24"/>
          <w:szCs w:val="24"/>
          <w:lang w:val="zh-CN"/>
        </w:rPr>
        <w:t>方案，具有履行合同所必须的人员和专业技术能力，配备了相应的商务和技术人员，项目在组织实施、财务保证、服务承诺及</w:t>
      </w:r>
      <w:r>
        <w:rPr>
          <w:rFonts w:hint="eastAsia" w:ascii="仿宋" w:hAnsi="仿宋" w:eastAsia="仿宋" w:cs="仿宋"/>
          <w:sz w:val="24"/>
          <w:szCs w:val="24"/>
        </w:rPr>
        <w:t>售后</w:t>
      </w:r>
      <w:r>
        <w:rPr>
          <w:rFonts w:hint="eastAsia" w:ascii="仿宋" w:hAnsi="仿宋" w:eastAsia="仿宋" w:cs="仿宋"/>
          <w:sz w:val="24"/>
          <w:szCs w:val="24"/>
          <w:lang w:val="zh-CN"/>
        </w:rPr>
        <w:t>等方面具体做法和保障措施。</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5</w:t>
      </w:r>
      <w:r>
        <w:rPr>
          <w:rFonts w:hint="eastAsia" w:ascii="仿宋" w:hAnsi="仿宋" w:eastAsia="仿宋" w:cs="仿宋"/>
          <w:sz w:val="24"/>
          <w:szCs w:val="24"/>
          <w:lang w:val="zh-CN"/>
        </w:rPr>
        <w:t>）供应商提供相应业绩，证明其供应经验及能力，以及为采购活动提供的合理化建议。</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6</w:t>
      </w:r>
      <w:r>
        <w:rPr>
          <w:rFonts w:hint="eastAsia" w:ascii="仿宋" w:hAnsi="仿宋" w:eastAsia="仿宋" w:cs="仿宋"/>
          <w:sz w:val="24"/>
          <w:szCs w:val="24"/>
          <w:lang w:val="zh-CN"/>
        </w:rPr>
        <w:t>）供应商根据磋商文件载明采购活动的实际情况，拟在成交后将成交项目非主体、非关键性工作交由他人完成的，应当在磋商响应文件中注明，并提供交由完成供应商的营业执照、相应资质等内容，且其允许的资质范围包含本项目的内容。</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磋商响应文件的编写</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（1）磋商响应文件按照磋商响应文件的“第五部分 磋商响应文件格式”编写磋商响应文件，如有必要，可以增加附页，作为磋商响应文件的组成部分。</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（2）磋商响应文件编写说明：</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①供应商提交的磋商响应文件以及供应商与采购代理机构就有关磋商的所有来往通知、函件和文件均应使用简体中文。</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②除技术性能另有规定外，磋商响应文件所使用的度量衡单位，均须采用国家法定计量单位。</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③供应商应仔细阅读磋商文件，充分理解磋商文件的要求。凡与磋商文件的规定有重大不符合的磋商响应文件，均按照无效文件处理。</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④供应商必须对磋商文件的所有规定和要求做出实质性响应，否则按照无效文件处理。</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⑤供应商应仔细阅读磋商文件的所有内容，按磋商文件的要求提供磋商响应文件，并保证所提供的全部资料的真实性，否则按照无效文件处理。</w:t>
      </w:r>
    </w:p>
    <w:p>
      <w:pPr>
        <w:snapToGrid w:val="0"/>
        <w:spacing w:line="360" w:lineRule="auto"/>
        <w:ind w:firstLine="482" w:firstLineChars="200"/>
        <w:outlineLvl w:val="2"/>
        <w:rPr>
          <w:rFonts w:ascii="仿宋" w:hAnsi="仿宋" w:eastAsia="仿宋" w:cs="仿宋"/>
          <w:b/>
          <w:sz w:val="24"/>
          <w:szCs w:val="24"/>
        </w:rPr>
      </w:pPr>
      <w:bookmarkStart w:id="152" w:name="_Toc17282"/>
      <w:bookmarkStart w:id="153" w:name="_Toc30998"/>
      <w:bookmarkStart w:id="154" w:name="_Toc495908025"/>
      <w:bookmarkStart w:id="155" w:name="_Toc11947"/>
      <w:bookmarkStart w:id="156" w:name="_Toc495681507"/>
      <w:bookmarkStart w:id="157" w:name="_Toc8946"/>
      <w:bookmarkStart w:id="158" w:name="_Toc27324"/>
      <w:bookmarkStart w:id="159" w:name="_Toc356"/>
      <w:bookmarkStart w:id="160" w:name="_Toc23694"/>
      <w:bookmarkStart w:id="161" w:name="_Toc495681226"/>
      <w:bookmarkStart w:id="162" w:name="_Toc12827"/>
      <w:bookmarkStart w:id="163" w:name="_Toc11288"/>
      <w:bookmarkStart w:id="164" w:name="_Toc26224"/>
      <w:bookmarkStart w:id="165" w:name="_Toc20476"/>
      <w:bookmarkStart w:id="166" w:name="_Toc346"/>
      <w:bookmarkStart w:id="167" w:name="_Toc24492"/>
      <w:bookmarkStart w:id="168" w:name="_Toc495681380"/>
      <w:r>
        <w:rPr>
          <w:rFonts w:hint="eastAsia" w:ascii="仿宋" w:hAnsi="仿宋" w:eastAsia="仿宋" w:cs="仿宋"/>
          <w:b/>
          <w:sz w:val="24"/>
          <w:szCs w:val="24"/>
        </w:rPr>
        <w:t>（六）磋商报价要求</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1、各供应商应在磋商响应文件中的磋商第一次报价表上标明磋商总报价、服务期等项，任何有选择的报价采购代理机构不予接受。</w:t>
      </w:r>
      <w:bookmarkStart w:id="169" w:name="OLE_LINK1"/>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bCs/>
          <w:sz w:val="24"/>
          <w:szCs w:val="24"/>
        </w:rPr>
        <w:t>磋商总报价是指完成本次服务工作所需的全部费用</w:t>
      </w:r>
      <w:bookmarkEnd w:id="169"/>
      <w:r>
        <w:rPr>
          <w:rFonts w:hint="eastAsia" w:ascii="仿宋" w:hAnsi="仿宋" w:eastAsia="仿宋" w:cs="仿宋"/>
          <w:bCs/>
          <w:sz w:val="24"/>
          <w:szCs w:val="24"/>
        </w:rPr>
        <w:t>，竞争性磋商最终报价价格，在合同执行过程中，不得以任何理由变更。</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3、磋商最后报价，在采购内容无实质性变更下，不得高于首次磋商报价,对于差异较大的报价，须做出明确的说明。</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sz w:val="24"/>
          <w:szCs w:val="24"/>
        </w:rPr>
        <w:t>4、</w:t>
      </w:r>
      <w:r>
        <w:rPr>
          <w:rFonts w:hint="eastAsia" w:ascii="仿宋" w:hAnsi="仿宋" w:eastAsia="仿宋" w:cs="仿宋"/>
          <w:sz w:val="24"/>
          <w:szCs w:val="24"/>
          <w:lang w:val="zh-CN"/>
        </w:rPr>
        <w:t>供应商不得以低于成本的报价参与磋商。当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应当将其作为无效报价处理。</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5、凡因供应商对磋商文件阅读不深、误解、疏漏，或因对市场行情了解不清造成的后果和风险均由供应商自负。</w:t>
      </w:r>
    </w:p>
    <w:p>
      <w:pPr>
        <w:autoSpaceDE w:val="0"/>
        <w:autoSpaceDN w:val="0"/>
        <w:adjustRightInd w:val="0"/>
        <w:spacing w:line="360" w:lineRule="auto"/>
        <w:ind w:firstLine="480" w:firstLineChars="200"/>
        <w:rPr>
          <w:rFonts w:ascii="仿宋" w:hAnsi="仿宋" w:eastAsia="仿宋" w:cs="仿宋"/>
          <w:bCs/>
          <w:sz w:val="24"/>
          <w:szCs w:val="24"/>
          <w:highlight w:val="yellow"/>
        </w:rPr>
      </w:pPr>
      <w:r>
        <w:rPr>
          <w:rFonts w:hint="eastAsia" w:ascii="仿宋" w:hAnsi="仿宋" w:eastAsia="仿宋" w:cs="仿宋"/>
          <w:bCs/>
          <w:sz w:val="24"/>
          <w:szCs w:val="24"/>
        </w:rPr>
        <w:t>6、供应商应按各自的能力，结合技术资料、服务期、人员投入等各种因素，综合测定后报价。</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7、磋商报价超出采购预算的供应商不进入下一程序。</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8、最低报价不是确定成交的唯一条件，</w:t>
      </w:r>
      <w:r>
        <w:rPr>
          <w:rFonts w:hint="eastAsia" w:ascii="仿宋" w:hAnsi="仿宋" w:eastAsia="仿宋" w:cs="仿宋"/>
          <w:sz w:val="24"/>
          <w:szCs w:val="24"/>
          <w:lang w:val="zh-CN"/>
        </w:rPr>
        <w:t>磋商过程中所产生的一切费用由供应商自行承担。</w:t>
      </w:r>
    </w:p>
    <w:p>
      <w:pPr>
        <w:snapToGrid w:val="0"/>
        <w:spacing w:line="360" w:lineRule="auto"/>
        <w:ind w:firstLine="482" w:firstLineChars="200"/>
        <w:outlineLvl w:val="2"/>
        <w:rPr>
          <w:rFonts w:ascii="仿宋" w:hAnsi="仿宋" w:eastAsia="仿宋" w:cs="仿宋"/>
          <w:b/>
          <w:sz w:val="24"/>
          <w:szCs w:val="24"/>
        </w:rPr>
      </w:pPr>
      <w:bookmarkStart w:id="170" w:name="_Toc803"/>
      <w:bookmarkStart w:id="171" w:name="_Toc11653"/>
      <w:bookmarkStart w:id="172" w:name="_Toc495681509"/>
      <w:bookmarkStart w:id="173" w:name="_Toc24382"/>
      <w:bookmarkStart w:id="174" w:name="_Toc9078"/>
      <w:bookmarkStart w:id="175" w:name="_Toc7251"/>
      <w:bookmarkStart w:id="176" w:name="_Toc2724"/>
      <w:bookmarkStart w:id="177" w:name="_Toc26187"/>
      <w:bookmarkStart w:id="178" w:name="_Toc25914"/>
      <w:bookmarkStart w:id="179" w:name="_Toc5456"/>
      <w:bookmarkStart w:id="180" w:name="_Toc495681228"/>
      <w:bookmarkStart w:id="181" w:name="_Toc495681382"/>
      <w:bookmarkStart w:id="182" w:name="_Toc2707"/>
      <w:bookmarkStart w:id="183" w:name="_Toc495908027"/>
      <w:bookmarkStart w:id="184" w:name="_Toc21455"/>
      <w:bookmarkStart w:id="185" w:name="_Toc8968"/>
      <w:bookmarkStart w:id="186" w:name="_Toc28461"/>
      <w:r>
        <w:rPr>
          <w:rFonts w:hint="eastAsia" w:ascii="仿宋" w:hAnsi="仿宋" w:eastAsia="仿宋" w:cs="仿宋"/>
          <w:b/>
          <w:sz w:val="24"/>
          <w:szCs w:val="24"/>
        </w:rPr>
        <w:t>（七）磋商响应文件的式样、签署和装订</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各供应商应参照磋商文件给定的样式，准备磋商响应文件正本一份、副本两份，</w:t>
      </w:r>
      <w:r>
        <w:rPr>
          <w:rFonts w:hint="eastAsia" w:ascii="仿宋" w:hAnsi="仿宋" w:eastAsia="仿宋" w:cs="仿宋"/>
          <w:sz w:val="24"/>
          <w:szCs w:val="24"/>
        </w:rPr>
        <w:t>电子版1份</w:t>
      </w:r>
      <w:r>
        <w:rPr>
          <w:rFonts w:hint="eastAsia" w:ascii="仿宋" w:hAnsi="仿宋" w:eastAsia="仿宋" w:cs="仿宋"/>
          <w:b/>
          <w:bCs/>
          <w:sz w:val="24"/>
          <w:szCs w:val="24"/>
        </w:rPr>
        <w:t>（PDF和word文档格式，正版U盘存储，如因U盘问题导致文件无法打开，责任自负）</w:t>
      </w:r>
      <w:r>
        <w:rPr>
          <w:rFonts w:hint="eastAsia" w:ascii="仿宋" w:hAnsi="仿宋" w:eastAsia="仿宋" w:cs="仿宋"/>
          <w:sz w:val="24"/>
          <w:szCs w:val="24"/>
          <w:lang w:val="zh-CN"/>
        </w:rPr>
        <w:t>，</w:t>
      </w:r>
      <w:r>
        <w:rPr>
          <w:rFonts w:hint="eastAsia" w:ascii="仿宋" w:hAnsi="仿宋" w:eastAsia="仿宋" w:cs="仿宋"/>
          <w:b/>
          <w:sz w:val="24"/>
          <w:szCs w:val="24"/>
        </w:rPr>
        <w:t>磋商文件中“第五部分 四、供应商资格证明文件”单独胶装成册1本，与磋商响应文件正本一同密封。</w:t>
      </w:r>
      <w:r>
        <w:rPr>
          <w:rFonts w:hint="eastAsia" w:ascii="仿宋" w:hAnsi="仿宋" w:eastAsia="仿宋" w:cs="仿宋"/>
          <w:sz w:val="24"/>
          <w:szCs w:val="24"/>
          <w:lang w:val="zh-CN"/>
        </w:rPr>
        <w:t>响应文件的封面上应清楚地标记“正本”、“副本”、“电子版”字样，独胶装</w:t>
      </w:r>
      <w:r>
        <w:rPr>
          <w:rFonts w:hint="eastAsia" w:ascii="仿宋" w:hAnsi="仿宋" w:eastAsia="仿宋" w:cs="仿宋"/>
          <w:sz w:val="24"/>
          <w:szCs w:val="24"/>
        </w:rPr>
        <w:t>的</w:t>
      </w:r>
      <w:r>
        <w:rPr>
          <w:rFonts w:hint="eastAsia" w:ascii="仿宋" w:hAnsi="仿宋" w:eastAsia="仿宋" w:cs="仿宋"/>
          <w:sz w:val="24"/>
          <w:szCs w:val="24"/>
          <w:lang w:val="zh-CN"/>
        </w:rPr>
        <w:t>供应商资格证明文件</w:t>
      </w:r>
      <w:r>
        <w:rPr>
          <w:rFonts w:hint="eastAsia" w:ascii="仿宋" w:hAnsi="仿宋" w:eastAsia="仿宋" w:cs="仿宋"/>
          <w:sz w:val="24"/>
          <w:szCs w:val="24"/>
        </w:rPr>
        <w:t>与响应文件正本中资格不一致时，以响应文件正本为准。</w:t>
      </w:r>
    </w:p>
    <w:p>
      <w:pPr>
        <w:tabs>
          <w:tab w:val="left" w:pos="9030"/>
        </w:tabs>
        <w:snapToGrid w:val="0"/>
        <w:spacing w:line="360" w:lineRule="auto"/>
        <w:ind w:right="-65" w:firstLine="480" w:firstLineChars="200"/>
        <w:rPr>
          <w:rFonts w:ascii="仿宋" w:hAnsi="仿宋" w:eastAsia="仿宋" w:cs="仿宋"/>
          <w:spacing w:val="-6"/>
          <w:sz w:val="24"/>
          <w:szCs w:val="24"/>
        </w:rPr>
      </w:pPr>
      <w:r>
        <w:rPr>
          <w:rFonts w:hint="eastAsia" w:ascii="仿宋" w:hAnsi="仿宋" w:eastAsia="仿宋" w:cs="仿宋"/>
          <w:sz w:val="24"/>
          <w:szCs w:val="24"/>
        </w:rPr>
        <w:t>2、</w:t>
      </w:r>
      <w:r>
        <w:rPr>
          <w:rFonts w:hint="eastAsia" w:ascii="仿宋" w:hAnsi="仿宋" w:eastAsia="仿宋" w:cs="仿宋"/>
          <w:sz w:val="24"/>
          <w:szCs w:val="24"/>
          <w:lang w:val="zh-CN"/>
        </w:rPr>
        <w:t>磋商响应文件的正本和所有的副本建议双面打印且用不褪色蓝（黑）墨水（汁）书写，统一装订、编码。</w:t>
      </w:r>
      <w:r>
        <w:rPr>
          <w:rFonts w:hint="eastAsia" w:ascii="仿宋" w:hAnsi="仿宋" w:eastAsia="仿宋" w:cs="仿宋"/>
          <w:spacing w:val="-6"/>
          <w:sz w:val="24"/>
          <w:szCs w:val="24"/>
        </w:rPr>
        <w:t>因字迹不清、表达不准或不按给定的磋商文件格式编制的磋商响应文件，所引起的不利后果由供应商自负。</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磋商响应文件必须加盖供应商红色公章</w:t>
      </w:r>
      <w:r>
        <w:rPr>
          <w:rFonts w:hint="eastAsia" w:ascii="仿宋" w:hAnsi="仿宋" w:eastAsia="仿宋" w:cs="仿宋"/>
          <w:bCs/>
          <w:sz w:val="24"/>
          <w:szCs w:val="24"/>
        </w:rPr>
        <w:t>并按照磋商文件要求由法定代表人（或授权代表人）签字，响应文件副本可以为正本的复印件</w:t>
      </w:r>
      <w:r>
        <w:rPr>
          <w:rFonts w:hint="eastAsia" w:ascii="仿宋" w:hAnsi="仿宋" w:eastAsia="仿宋" w:cs="仿宋"/>
          <w:sz w:val="24"/>
          <w:szCs w:val="24"/>
          <w:lang w:val="zh-CN"/>
        </w:rPr>
        <w:t>。</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磋商响应文件的打印应清楚工整，统一采用A4纸编制（如部分附表需要用其他规格的复印纸编写，则应按A4复印纸折叠）。</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磋商响应文件除各供应商对错处做必要修改外，不得行间插字、涂改和增删，如有修改错漏处，必须由供应商法定代表人或其授权人代表签字或盖章。</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6、</w:t>
      </w:r>
      <w:r>
        <w:rPr>
          <w:rFonts w:hint="eastAsia" w:ascii="仿宋" w:hAnsi="仿宋" w:eastAsia="仿宋" w:cs="仿宋"/>
          <w:sz w:val="24"/>
          <w:szCs w:val="24"/>
          <w:lang w:val="zh-CN"/>
        </w:rPr>
        <w:t>磋商响应文件应牢固装订成册，不可插页抽页。牢固装订成册是指书脊涂有胶粘剂以保证磋商响应文件不至于散开或用简单办法不能将任何一页在没有任何损坏的情况下取出或插入。各种用活页夹、文件夹、塑料方便式书脊（插入式或穿孔式）装订均不认为是牢固装订。</w:t>
      </w:r>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zh-CN"/>
        </w:rPr>
        <w:t>若供应商为其他组织单位，无法定代表人，则响应文件中法定代表人授权书、签字之处可由单位负责人填写。</w:t>
      </w:r>
    </w:p>
    <w:p>
      <w:pPr>
        <w:snapToGrid w:val="0"/>
        <w:spacing w:line="360" w:lineRule="auto"/>
        <w:ind w:firstLine="482" w:firstLineChars="200"/>
        <w:outlineLvl w:val="2"/>
        <w:rPr>
          <w:rFonts w:ascii="仿宋" w:hAnsi="仿宋" w:eastAsia="仿宋" w:cs="仿宋"/>
          <w:b/>
          <w:sz w:val="24"/>
          <w:szCs w:val="24"/>
          <w:lang w:val="zh-CN"/>
        </w:rPr>
      </w:pPr>
      <w:bookmarkStart w:id="187" w:name="_Toc16128"/>
      <w:bookmarkStart w:id="188" w:name="_Toc18243"/>
      <w:bookmarkStart w:id="189" w:name="_Toc495681383"/>
      <w:bookmarkStart w:id="190" w:name="_Toc495681510"/>
      <w:bookmarkStart w:id="191" w:name="_Toc24315"/>
      <w:bookmarkStart w:id="192" w:name="_Toc27109"/>
      <w:bookmarkStart w:id="193" w:name="_Toc495908028"/>
      <w:bookmarkStart w:id="194" w:name="_Toc8989"/>
      <w:bookmarkStart w:id="195" w:name="_Toc32577"/>
      <w:bookmarkStart w:id="196" w:name="_Toc12263"/>
      <w:bookmarkStart w:id="197" w:name="_Toc23115"/>
      <w:bookmarkStart w:id="198" w:name="_Toc7399"/>
      <w:bookmarkStart w:id="199" w:name="_Toc15398"/>
      <w:bookmarkStart w:id="200" w:name="_Toc21204"/>
      <w:bookmarkStart w:id="201" w:name="_Toc495681229"/>
      <w:bookmarkStart w:id="202" w:name="_Toc21545"/>
      <w:bookmarkStart w:id="203" w:name="_Toc21862"/>
      <w:r>
        <w:rPr>
          <w:rFonts w:hint="eastAsia" w:ascii="仿宋" w:hAnsi="仿宋" w:eastAsia="仿宋" w:cs="仿宋"/>
          <w:b/>
          <w:sz w:val="24"/>
          <w:szCs w:val="24"/>
        </w:rPr>
        <w:t>（八）</w:t>
      </w:r>
      <w:r>
        <w:rPr>
          <w:rFonts w:hint="eastAsia" w:ascii="仿宋" w:hAnsi="仿宋" w:eastAsia="仿宋" w:cs="仿宋"/>
          <w:b/>
          <w:sz w:val="24"/>
          <w:szCs w:val="24"/>
          <w:lang w:val="zh-CN"/>
        </w:rPr>
        <w:t>磋商响应文件的密封和提交</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1、磋商响应</w:t>
      </w:r>
      <w:r>
        <w:rPr>
          <w:rFonts w:hint="eastAsia" w:ascii="仿宋" w:hAnsi="仿宋" w:eastAsia="仿宋" w:cs="仿宋"/>
          <w:sz w:val="24"/>
          <w:szCs w:val="24"/>
          <w:lang w:val="zh-CN"/>
        </w:rPr>
        <w:t>文件密封</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供应商应将磋商响应文件密封且在外层包装上标明字样。</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外层包装应加封条密封，在封线处加盖公章（骑缝章），标明项目编号、项目名称，供应商全称（公章）、在</w:t>
      </w:r>
      <w:r>
        <w:rPr>
          <w:rFonts w:hint="eastAsia" w:ascii="仿宋" w:hAnsi="仿宋" w:eastAsia="仿宋" w:cs="仿宋"/>
          <w:sz w:val="24"/>
          <w:szCs w:val="24"/>
        </w:rPr>
        <w:t>XXXX年XX月XX日XX：XX前不得启封</w:t>
      </w:r>
      <w:r>
        <w:rPr>
          <w:rFonts w:hint="eastAsia" w:ascii="仿宋" w:hAnsi="仿宋" w:eastAsia="仿宋" w:cs="仿宋"/>
          <w:sz w:val="24"/>
          <w:szCs w:val="24"/>
          <w:lang w:val="zh-CN"/>
        </w:rPr>
        <w:t>等内容（格式自拟）。</w:t>
      </w:r>
    </w:p>
    <w:p>
      <w:pPr>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2、磋商响应文件的递交</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）供应商应在磋商文件要求提交磋商响应文件的截止时间前将磋商响应文件密封送达磋商地点，递交并办理签收手续。</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2</w:t>
      </w:r>
      <w:r>
        <w:rPr>
          <w:rFonts w:hint="eastAsia" w:ascii="仿宋" w:hAnsi="仿宋" w:eastAsia="仿宋" w:cs="仿宋"/>
          <w:sz w:val="24"/>
          <w:szCs w:val="24"/>
          <w:lang w:val="zh-CN"/>
        </w:rPr>
        <w:t>）对于需要提供必备资格文件和业绩原件等相关资料的采购项目，供应商应将其内容与磋商响应文件一起递交，并标明所提供资料原件的明细表（若磋商文件未要求原件可不提供）。</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3</w:t>
      </w:r>
      <w:r>
        <w:rPr>
          <w:rFonts w:hint="eastAsia" w:ascii="仿宋" w:hAnsi="仿宋" w:eastAsia="仿宋" w:cs="仿宋"/>
          <w:sz w:val="24"/>
          <w:szCs w:val="24"/>
          <w:lang w:val="zh-CN"/>
        </w:rPr>
        <w:t>）在磋商文件要求提交磋商响应文件的截止时间之后送达的磋商响应文件和相关资料原件，为无效文件，采购代理机构拒绝接收。</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4</w:t>
      </w:r>
      <w:r>
        <w:rPr>
          <w:rFonts w:hint="eastAsia" w:ascii="仿宋" w:hAnsi="仿宋" w:eastAsia="仿宋" w:cs="仿宋"/>
          <w:sz w:val="24"/>
          <w:szCs w:val="24"/>
          <w:lang w:val="zh-CN"/>
        </w:rPr>
        <w:t>）采购代理机构在磋商文件规定的磋商响应文件递交截止时间前，只负责磋商响应文件和其相关资料原件的接收、登记和组织工作，对其磋商响应文件和相关资料原件的有效性不负任何责任。</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5</w:t>
      </w:r>
      <w:r>
        <w:rPr>
          <w:rFonts w:hint="eastAsia" w:ascii="仿宋" w:hAnsi="仿宋" w:eastAsia="仿宋" w:cs="仿宋"/>
          <w:sz w:val="24"/>
          <w:szCs w:val="24"/>
          <w:lang w:val="zh-CN"/>
        </w:rPr>
        <w:t>）磋商响应文件递送后，在磋商截止期前，供应商可以补充、修改或撤回其磋商响应文件，并书面通知采购代理机构。补充、修改的内容应按磋商响应文件的要求签署、盖章，密封后，作为磋商响应文件的组成部分。</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6</w:t>
      </w:r>
      <w:r>
        <w:rPr>
          <w:rFonts w:hint="eastAsia" w:ascii="仿宋" w:hAnsi="仿宋" w:eastAsia="仿宋" w:cs="仿宋"/>
          <w:sz w:val="24"/>
          <w:szCs w:val="24"/>
          <w:lang w:val="zh-CN"/>
        </w:rPr>
        <w:t>）磋商截止时间后，供应商不得对其磋商响应文件做任何修改。</w:t>
      </w:r>
    </w:p>
    <w:p>
      <w:pPr>
        <w:snapToGrid w:val="0"/>
        <w:spacing w:line="360" w:lineRule="auto"/>
        <w:ind w:firstLine="482" w:firstLineChars="200"/>
        <w:outlineLvl w:val="1"/>
        <w:rPr>
          <w:rFonts w:ascii="仿宋" w:hAnsi="仿宋" w:eastAsia="仿宋" w:cs="仿宋"/>
          <w:b/>
          <w:sz w:val="24"/>
          <w:szCs w:val="24"/>
        </w:rPr>
      </w:pPr>
      <w:bookmarkStart w:id="204" w:name="_Toc8043"/>
      <w:bookmarkStart w:id="205" w:name="_Toc2690"/>
      <w:bookmarkStart w:id="206" w:name="_Toc25488"/>
      <w:bookmarkStart w:id="207" w:name="_Toc495908030"/>
      <w:bookmarkStart w:id="208" w:name="_Toc22233"/>
      <w:bookmarkStart w:id="209" w:name="_Toc5429"/>
      <w:bookmarkStart w:id="210" w:name="_Toc495681512"/>
      <w:bookmarkStart w:id="211" w:name="_Toc2971"/>
      <w:bookmarkStart w:id="212" w:name="_Toc8686"/>
      <w:bookmarkStart w:id="213" w:name="_Toc9413"/>
      <w:bookmarkStart w:id="214" w:name="_Toc3761"/>
      <w:bookmarkStart w:id="215" w:name="_Toc495681231"/>
      <w:bookmarkStart w:id="216" w:name="_Toc3012"/>
      <w:bookmarkStart w:id="217" w:name="_Toc6863"/>
      <w:bookmarkStart w:id="218" w:name="_Toc19346"/>
      <w:bookmarkStart w:id="219" w:name="_Toc495681385"/>
      <w:bookmarkStart w:id="220" w:name="_Toc17983"/>
      <w:r>
        <w:rPr>
          <w:rFonts w:hint="eastAsia" w:ascii="仿宋" w:hAnsi="仿宋" w:eastAsia="仿宋" w:cs="仿宋"/>
          <w:b/>
          <w:sz w:val="24"/>
          <w:szCs w:val="24"/>
        </w:rPr>
        <w:t>四、磋商小组组成及职责</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snapToGrid w:val="0"/>
        <w:spacing w:line="360" w:lineRule="auto"/>
        <w:ind w:firstLine="482" w:firstLineChars="200"/>
        <w:rPr>
          <w:rFonts w:ascii="仿宋" w:hAnsi="仿宋" w:eastAsia="仿宋" w:cs="仿宋"/>
          <w:sz w:val="24"/>
          <w:szCs w:val="24"/>
          <w:lang w:val="zh-CN"/>
        </w:rPr>
      </w:pPr>
      <w:r>
        <w:rPr>
          <w:rFonts w:hint="eastAsia" w:ascii="仿宋" w:hAnsi="仿宋" w:eastAsia="仿宋" w:cs="仿宋"/>
          <w:b/>
          <w:bCs/>
          <w:sz w:val="24"/>
          <w:szCs w:val="24"/>
          <w:lang w:val="zh-CN"/>
        </w:rPr>
        <w:t>（一）磋商小组的组成</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本项目磋商小组为</w:t>
      </w:r>
      <w:r>
        <w:rPr>
          <w:rFonts w:hint="eastAsia" w:ascii="仿宋" w:hAnsi="仿宋" w:eastAsia="仿宋" w:cs="仿宋"/>
          <w:sz w:val="24"/>
          <w:szCs w:val="24"/>
          <w:u w:val="single"/>
        </w:rPr>
        <w:t xml:space="preserve"> 3 </w:t>
      </w:r>
      <w:r>
        <w:rPr>
          <w:rFonts w:hint="eastAsia" w:ascii="仿宋" w:hAnsi="仿宋" w:eastAsia="仿宋" w:cs="仿宋"/>
          <w:sz w:val="24"/>
          <w:szCs w:val="24"/>
        </w:rPr>
        <w:t>人单数，</w:t>
      </w:r>
      <w:r>
        <w:rPr>
          <w:rFonts w:hint="eastAsia" w:ascii="仿宋" w:hAnsi="仿宋" w:eastAsia="仿宋" w:cs="仿宋"/>
          <w:sz w:val="24"/>
          <w:szCs w:val="24"/>
          <w:lang w:val="zh-CN"/>
        </w:rPr>
        <w:t>磋商小组成员在省级以上财政部门设立的政府采购评审专家库中随机抽取，其中评审专家不得少于成员总数的三分之二，磋商小组成员与供应商有利害关系的应当回避。参照《中华人民共和国政府采购》 、《政府采购竞争性磋商采购方式管理暂行办法》 、财政部规章及政府采购项目所在地有关法规、规章等有关规定组建磋商小组。</w:t>
      </w:r>
    </w:p>
    <w:p>
      <w:pPr>
        <w:tabs>
          <w:tab w:val="left" w:pos="9030"/>
        </w:tabs>
        <w:snapToGrid w:val="0"/>
        <w:spacing w:line="360" w:lineRule="auto"/>
        <w:ind w:right="-65" w:firstLine="482" w:firstLineChars="200"/>
        <w:rPr>
          <w:rFonts w:ascii="仿宋" w:hAnsi="仿宋" w:eastAsia="仿宋" w:cs="仿宋"/>
          <w:sz w:val="24"/>
          <w:szCs w:val="24"/>
          <w:lang w:val="zh-CN"/>
        </w:rPr>
      </w:pPr>
      <w:r>
        <w:rPr>
          <w:rFonts w:hint="eastAsia" w:ascii="仿宋" w:hAnsi="仿宋" w:eastAsia="仿宋" w:cs="仿宋"/>
          <w:b/>
          <w:bCs/>
          <w:sz w:val="24"/>
          <w:szCs w:val="24"/>
          <w:lang w:val="zh-CN"/>
        </w:rPr>
        <w:t>（二）磋商小组成员有下列情形之一的，应当回避：</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参加采购活动前3年内与供应商存在劳动关系；</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参加采购活动前3年内担任供应商的董事、监事；</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参加采购活动前3年内是供应商的控股股东或者实际控制人；</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与供应商的法定代表人或者负责人有夫妻、直系血亲、三代以内旁系血亲或者近姻亲关系；</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与供应商有其他可能影响政府采购活动公平、公正进行的关系。</w:t>
      </w:r>
    </w:p>
    <w:p>
      <w:pPr>
        <w:tabs>
          <w:tab w:val="left" w:pos="9030"/>
        </w:tabs>
        <w:snapToGrid w:val="0"/>
        <w:spacing w:line="360" w:lineRule="auto"/>
        <w:ind w:right="-65" w:firstLine="482" w:firstLineChars="200"/>
        <w:rPr>
          <w:rFonts w:ascii="仿宋" w:hAnsi="仿宋" w:eastAsia="仿宋" w:cs="仿宋"/>
          <w:b/>
          <w:bCs/>
          <w:sz w:val="24"/>
          <w:szCs w:val="24"/>
          <w:lang w:val="zh-CN"/>
        </w:rPr>
      </w:pPr>
      <w:r>
        <w:rPr>
          <w:rFonts w:hint="eastAsia" w:ascii="仿宋" w:hAnsi="仿宋" w:eastAsia="仿宋" w:cs="仿宋"/>
          <w:b/>
          <w:bCs/>
          <w:sz w:val="24"/>
          <w:szCs w:val="24"/>
          <w:lang w:val="zh-CN"/>
        </w:rPr>
        <w:t>（三）磋商小组的权利与义务及监管制度：</w:t>
      </w:r>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1、权利：</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）对政府采购法律制度及相关情况的知情权；</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对政府采购项目的独立评审权；</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3</w:t>
      </w:r>
      <w:r>
        <w:rPr>
          <w:rFonts w:hint="eastAsia" w:ascii="仿宋" w:hAnsi="仿宋" w:eastAsia="仿宋" w:cs="仿宋"/>
          <w:sz w:val="24"/>
          <w:szCs w:val="24"/>
          <w:lang w:val="zh-CN"/>
        </w:rPr>
        <w:t>）按照规定推荐成交候选供应商的权利；</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4</w:t>
      </w:r>
      <w:r>
        <w:rPr>
          <w:rFonts w:hint="eastAsia" w:ascii="仿宋" w:hAnsi="仿宋" w:eastAsia="仿宋" w:cs="仿宋"/>
          <w:sz w:val="24"/>
          <w:szCs w:val="24"/>
          <w:lang w:val="zh-CN"/>
        </w:rPr>
        <w:t>）按照规定获取评审劳务报酬的权利；</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5</w:t>
      </w:r>
      <w:r>
        <w:rPr>
          <w:rFonts w:hint="eastAsia" w:ascii="仿宋" w:hAnsi="仿宋" w:eastAsia="仿宋" w:cs="仿宋"/>
          <w:sz w:val="24"/>
          <w:szCs w:val="24"/>
          <w:lang w:val="zh-CN"/>
        </w:rPr>
        <w:t>）法律、法规规定的其他权利。</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义务及监管制度：</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）磋商小组在评审期间应当严格遵守评审工作纪律，主动出具身份证明，将手机等通讯工具或者相关电子设备交由采购人或者采购代理机构统一保管，不得记录，复制或者带走任何评审资料；</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2</w:t>
      </w:r>
      <w:r>
        <w:rPr>
          <w:rFonts w:hint="eastAsia" w:ascii="仿宋" w:hAnsi="仿宋" w:eastAsia="仿宋" w:cs="仿宋"/>
          <w:sz w:val="24"/>
          <w:szCs w:val="24"/>
          <w:lang w:val="zh-CN"/>
        </w:rPr>
        <w:t>）磋商小组应当按照客观、公正、审慎的原则，根据磋商文件规定的评审程序、评审方法和评审标准进行独立评审；</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）及时向财政部门报告评审过程中发现的采购人、采购代理机构向评审专家做倾向性、误导性的解释或者说明，以及供应商行贿、提供虚假材料或者串通等违法行为；</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4</w:t>
      </w:r>
      <w:r>
        <w:rPr>
          <w:rFonts w:hint="eastAsia" w:ascii="仿宋" w:hAnsi="仿宋" w:eastAsia="仿宋" w:cs="仿宋"/>
          <w:sz w:val="24"/>
          <w:szCs w:val="24"/>
          <w:lang w:val="zh-CN"/>
        </w:rPr>
        <w:t>）维护国家利益、社会公共利益和当事人的合法权益；</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5</w:t>
      </w:r>
      <w:r>
        <w:rPr>
          <w:rFonts w:hint="eastAsia" w:ascii="仿宋" w:hAnsi="仿宋" w:eastAsia="仿宋" w:cs="仿宋"/>
          <w:sz w:val="24"/>
          <w:szCs w:val="24"/>
          <w:lang w:val="zh-CN"/>
        </w:rPr>
        <w:t>）参加由财政部门组织的专题学习、培训；</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6</w:t>
      </w:r>
      <w:r>
        <w:rPr>
          <w:rFonts w:hint="eastAsia" w:ascii="仿宋" w:hAnsi="仿宋" w:eastAsia="仿宋" w:cs="仿宋"/>
          <w:sz w:val="24"/>
          <w:szCs w:val="24"/>
          <w:lang w:val="zh-CN"/>
        </w:rPr>
        <w:t>）法律、法规规定的其他义务；</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7</w:t>
      </w:r>
      <w:r>
        <w:rPr>
          <w:rFonts w:hint="eastAsia" w:ascii="仿宋" w:hAnsi="仿宋" w:eastAsia="仿宋" w:cs="仿宋"/>
          <w:sz w:val="24"/>
          <w:szCs w:val="24"/>
          <w:lang w:val="zh-CN"/>
        </w:rPr>
        <w:t>）磋商小组遵从《陕西省政府采购评审专家管理实施办法》 的各项监督管理制度。</w:t>
      </w:r>
    </w:p>
    <w:p>
      <w:pPr>
        <w:tabs>
          <w:tab w:val="left" w:pos="9030"/>
        </w:tabs>
        <w:snapToGrid w:val="0"/>
        <w:spacing w:line="360" w:lineRule="auto"/>
        <w:ind w:right="-65" w:firstLine="482" w:firstLineChars="200"/>
        <w:rPr>
          <w:rFonts w:ascii="仿宋" w:hAnsi="仿宋" w:eastAsia="仿宋" w:cs="仿宋"/>
          <w:sz w:val="24"/>
          <w:szCs w:val="24"/>
          <w:lang w:val="zh-CN"/>
        </w:rPr>
      </w:pPr>
      <w:r>
        <w:rPr>
          <w:rFonts w:hint="eastAsia" w:ascii="仿宋" w:hAnsi="仿宋" w:eastAsia="仿宋" w:cs="仿宋"/>
          <w:b/>
          <w:bCs/>
          <w:sz w:val="24"/>
          <w:szCs w:val="24"/>
          <w:lang w:val="zh-CN"/>
        </w:rPr>
        <w:t>（四）磋商小组的职责</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1、审查磋商响应文件是否符合磋商文件的要求，并做出评价；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2、可以要求供应商对响应文件中含义不明确、同类问题表述不一致或者有明显文字和计算错误的内容等作出必要的澄清、说明或者更正；</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3、与各供应商就磋商响应文件（含澄清、说明或补正的内容）中的实施方案、磋商报价、业绩、商务响应等进行磋商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4、按照竞争性磋商文件的要求和磋商办法进行评审，推荐成交候选供应商名单，对评审意见承担个人责任；</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4、对评审过程和结果以及供应商的商业秘密保密；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5、编写磋商评审报告；</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6、配合采购代理机构答复供应商提出的质疑；</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7、配合财政部门的投诉处理工作；</w:t>
      </w:r>
    </w:p>
    <w:p>
      <w:pPr>
        <w:snapToGrid w:val="0"/>
        <w:spacing w:line="360" w:lineRule="auto"/>
        <w:ind w:firstLine="480" w:firstLineChars="200"/>
        <w:rPr>
          <w:rFonts w:ascii="仿宋" w:hAnsi="仿宋" w:eastAsia="仿宋" w:cs="仿宋"/>
          <w:b/>
          <w:bCs/>
          <w:sz w:val="24"/>
          <w:szCs w:val="24"/>
          <w:lang w:val="zh-CN"/>
        </w:rPr>
      </w:pPr>
      <w:r>
        <w:rPr>
          <w:rFonts w:hint="eastAsia" w:ascii="仿宋" w:hAnsi="仿宋" w:eastAsia="仿宋" w:cs="仿宋"/>
          <w:sz w:val="24"/>
          <w:szCs w:val="24"/>
        </w:rPr>
        <w:t>8、依据政府采购法有关精神，有权对磋商过程中出现的一切问题做出处理决定。</w:t>
      </w:r>
    </w:p>
    <w:p>
      <w:pPr>
        <w:snapToGrid w:val="0"/>
        <w:spacing w:line="360" w:lineRule="auto"/>
        <w:ind w:firstLine="482" w:firstLineChars="200"/>
        <w:outlineLvl w:val="1"/>
        <w:rPr>
          <w:rFonts w:ascii="仿宋" w:hAnsi="仿宋" w:eastAsia="仿宋" w:cs="仿宋"/>
          <w:b/>
          <w:sz w:val="24"/>
          <w:szCs w:val="24"/>
        </w:rPr>
      </w:pPr>
      <w:bookmarkStart w:id="221" w:name="_Toc7227"/>
      <w:bookmarkStart w:id="222" w:name="_Toc495681386"/>
      <w:bookmarkStart w:id="223" w:name="_Toc16740"/>
      <w:bookmarkStart w:id="224" w:name="_Toc32163"/>
      <w:bookmarkStart w:id="225" w:name="_Toc17170"/>
      <w:bookmarkStart w:id="226" w:name="_Toc6044"/>
      <w:bookmarkStart w:id="227" w:name="_Toc24287"/>
      <w:bookmarkStart w:id="228" w:name="_Toc18764"/>
      <w:bookmarkStart w:id="229" w:name="_Toc495681232"/>
      <w:bookmarkStart w:id="230" w:name="_Toc20226"/>
      <w:bookmarkStart w:id="231" w:name="_Toc9971"/>
      <w:bookmarkStart w:id="232" w:name="_Toc11057"/>
      <w:bookmarkStart w:id="233" w:name="_Toc13067"/>
      <w:bookmarkStart w:id="234" w:name="_Toc705"/>
      <w:bookmarkStart w:id="235" w:name="_Toc495681513"/>
      <w:bookmarkStart w:id="236" w:name="_Toc7591"/>
      <w:bookmarkStart w:id="237" w:name="_Toc495908031"/>
      <w:r>
        <w:rPr>
          <w:rFonts w:hint="eastAsia" w:ascii="仿宋" w:hAnsi="仿宋" w:eastAsia="仿宋" w:cs="仿宋"/>
          <w:b/>
          <w:sz w:val="24"/>
          <w:szCs w:val="24"/>
        </w:rPr>
        <w:t>五、磋商会议</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（一）在磋商文件规定的时间和地点，由采购代理机构组织磋商工作，供应商委派代表参加，签名报到以证明其出席。磋商整个过程接受监督机构的监督和管理。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（二）竞争性磋商会议进行时，由供应商或其推荐的代表与采购监标人共同检查响应文件的密封情况，经检查无误后，签字确认。</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（三）采购代理机构工作人员按照顺序，将各供应商首次响应文件的份数等内容公布，无异议后，由供应商法定代表人（或授权代表人）和监标人签字确认。</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（四）磋商过程由采购代理机构指定专人记录。</w:t>
      </w:r>
    </w:p>
    <w:p>
      <w:pPr>
        <w:snapToGrid w:val="0"/>
        <w:spacing w:line="360" w:lineRule="auto"/>
        <w:ind w:firstLine="482" w:firstLineChars="200"/>
        <w:outlineLvl w:val="1"/>
        <w:rPr>
          <w:rFonts w:ascii="仿宋" w:hAnsi="仿宋" w:eastAsia="仿宋" w:cs="仿宋"/>
          <w:b/>
          <w:sz w:val="24"/>
          <w:szCs w:val="24"/>
        </w:rPr>
      </w:pPr>
      <w:bookmarkStart w:id="238" w:name="_Toc19800"/>
      <w:bookmarkStart w:id="239" w:name="_Toc26932"/>
      <w:bookmarkStart w:id="240" w:name="_Toc19950"/>
      <w:bookmarkStart w:id="241" w:name="_Toc5745"/>
      <w:r>
        <w:rPr>
          <w:rFonts w:hint="eastAsia" w:ascii="仿宋" w:hAnsi="仿宋" w:eastAsia="仿宋" w:cs="仿宋"/>
          <w:b/>
          <w:sz w:val="24"/>
          <w:szCs w:val="24"/>
        </w:rPr>
        <w:t>六、磋商评审程序及评审办法</w:t>
      </w:r>
      <w:bookmarkEnd w:id="238"/>
      <w:bookmarkEnd w:id="239"/>
      <w:bookmarkEnd w:id="240"/>
      <w:bookmarkEnd w:id="241"/>
    </w:p>
    <w:p>
      <w:pPr>
        <w:tabs>
          <w:tab w:val="left" w:pos="9030"/>
        </w:tabs>
        <w:snapToGrid w:val="0"/>
        <w:spacing w:line="360" w:lineRule="auto"/>
        <w:ind w:right="-65" w:firstLine="482" w:firstLineChars="200"/>
        <w:outlineLvl w:val="2"/>
        <w:rPr>
          <w:rFonts w:ascii="仿宋" w:hAnsi="仿宋" w:eastAsia="仿宋" w:cs="仿宋"/>
          <w:sz w:val="24"/>
          <w:szCs w:val="24"/>
        </w:rPr>
      </w:pPr>
      <w:bookmarkStart w:id="242" w:name="_Toc16990"/>
      <w:bookmarkStart w:id="243" w:name="_Toc4804"/>
      <w:bookmarkStart w:id="244" w:name="_Toc14716"/>
      <w:bookmarkStart w:id="245" w:name="_Toc6773"/>
      <w:r>
        <w:rPr>
          <w:rFonts w:hint="eastAsia" w:ascii="仿宋" w:hAnsi="仿宋" w:eastAsia="仿宋" w:cs="仿宋"/>
          <w:b/>
          <w:bCs/>
          <w:sz w:val="24"/>
          <w:szCs w:val="24"/>
        </w:rPr>
        <w:t>（一）磋商响应文件的资格性审查</w:t>
      </w:r>
      <w:bookmarkEnd w:id="242"/>
      <w:bookmarkEnd w:id="243"/>
      <w:bookmarkEnd w:id="244"/>
      <w:r>
        <w:rPr>
          <w:rFonts w:hint="eastAsia" w:ascii="仿宋" w:hAnsi="仿宋" w:eastAsia="仿宋" w:cs="仿宋"/>
          <w:b/>
          <w:bCs/>
          <w:sz w:val="24"/>
          <w:szCs w:val="24"/>
        </w:rPr>
        <w:t>：依据法律法规和磋商文件的规定，采购人或采购代理机构对响应文件中的资格证明文件等进行审查，审查内容为公告中所列的供应商资格条件。</w:t>
      </w:r>
      <w:bookmarkEnd w:id="245"/>
      <w:r>
        <w:rPr>
          <w:rFonts w:hint="eastAsia" w:ascii="仿宋" w:hAnsi="仿宋" w:eastAsia="仿宋" w:cs="仿宋"/>
          <w:b/>
          <w:bCs/>
          <w:sz w:val="24"/>
          <w:szCs w:val="24"/>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195"/>
        <w:gridCol w:w="6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08" w:type="dxa"/>
            <w:vAlign w:val="center"/>
          </w:tcPr>
          <w:p>
            <w:pPr>
              <w:tabs>
                <w:tab w:val="left" w:pos="9030"/>
              </w:tabs>
              <w:snapToGrid w:val="0"/>
              <w:spacing w:line="360" w:lineRule="auto"/>
              <w:jc w:val="center"/>
              <w:rPr>
                <w:rFonts w:ascii="仿宋" w:hAnsi="仿宋" w:eastAsia="仿宋" w:cs="仿宋"/>
                <w:sz w:val="22"/>
                <w:szCs w:val="22"/>
              </w:rPr>
            </w:pPr>
            <w:bookmarkStart w:id="246" w:name="_Toc3356"/>
            <w:bookmarkStart w:id="247" w:name="_Toc17500"/>
            <w:bookmarkStart w:id="248" w:name="_Toc18630"/>
            <w:r>
              <w:rPr>
                <w:rFonts w:hint="eastAsia" w:ascii="仿宋" w:hAnsi="仿宋" w:eastAsia="仿宋" w:cs="仿宋"/>
                <w:sz w:val="22"/>
                <w:szCs w:val="22"/>
              </w:rPr>
              <w:t>序号</w:t>
            </w:r>
          </w:p>
        </w:tc>
        <w:tc>
          <w:tcPr>
            <w:tcW w:w="2195" w:type="dxa"/>
            <w:vAlign w:val="center"/>
          </w:tcPr>
          <w:p>
            <w:pPr>
              <w:tabs>
                <w:tab w:val="left" w:pos="9030"/>
              </w:tabs>
              <w:snapToGrid w:val="0"/>
              <w:spacing w:line="360" w:lineRule="auto"/>
              <w:jc w:val="center"/>
              <w:rPr>
                <w:rFonts w:ascii="仿宋" w:hAnsi="仿宋" w:eastAsia="仿宋" w:cs="仿宋"/>
                <w:sz w:val="22"/>
                <w:szCs w:val="22"/>
              </w:rPr>
            </w:pPr>
            <w:r>
              <w:rPr>
                <w:rFonts w:hint="eastAsia" w:ascii="仿宋" w:hAnsi="仿宋" w:eastAsia="仿宋" w:cs="仿宋"/>
                <w:sz w:val="22"/>
                <w:szCs w:val="22"/>
              </w:rPr>
              <w:t>资格审查项</w:t>
            </w:r>
          </w:p>
        </w:tc>
        <w:tc>
          <w:tcPr>
            <w:tcW w:w="6019" w:type="dxa"/>
            <w:vAlign w:val="center"/>
          </w:tcPr>
          <w:p>
            <w:pPr>
              <w:tabs>
                <w:tab w:val="left" w:pos="9030"/>
              </w:tabs>
              <w:snapToGrid w:val="0"/>
              <w:spacing w:line="360" w:lineRule="auto"/>
              <w:jc w:val="center"/>
              <w:rPr>
                <w:rFonts w:ascii="仿宋" w:hAnsi="仿宋" w:eastAsia="仿宋" w:cs="仿宋"/>
                <w:sz w:val="22"/>
                <w:szCs w:val="22"/>
              </w:rPr>
            </w:pPr>
            <w:r>
              <w:rPr>
                <w:rFonts w:hint="eastAsia" w:ascii="仿宋" w:hAnsi="仿宋" w:eastAsia="仿宋" w:cs="仿宋"/>
                <w:sz w:val="22"/>
                <w:szCs w:val="22"/>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pPr>
              <w:tabs>
                <w:tab w:val="left" w:pos="9030"/>
              </w:tabs>
              <w:snapToGrid w:val="0"/>
              <w:spacing w:line="360" w:lineRule="auto"/>
              <w:jc w:val="center"/>
              <w:rPr>
                <w:rFonts w:ascii="仿宋" w:hAnsi="仿宋" w:eastAsia="仿宋" w:cs="仿宋"/>
                <w:sz w:val="22"/>
                <w:szCs w:val="22"/>
              </w:rPr>
            </w:pPr>
            <w:r>
              <w:rPr>
                <w:rFonts w:hint="eastAsia" w:ascii="仿宋" w:hAnsi="仿宋" w:eastAsia="仿宋" w:cs="仿宋"/>
                <w:sz w:val="22"/>
                <w:szCs w:val="22"/>
              </w:rPr>
              <w:t>1</w:t>
            </w:r>
          </w:p>
        </w:tc>
        <w:tc>
          <w:tcPr>
            <w:tcW w:w="2195" w:type="dxa"/>
            <w:vAlign w:val="center"/>
          </w:tcPr>
          <w:p>
            <w:pPr>
              <w:spacing w:line="360" w:lineRule="auto"/>
              <w:jc w:val="center"/>
              <w:rPr>
                <w:rFonts w:ascii="仿宋" w:hAnsi="仿宋" w:eastAsia="仿宋" w:cs="仿宋"/>
                <w:sz w:val="22"/>
                <w:szCs w:val="22"/>
              </w:rPr>
            </w:pPr>
            <w:r>
              <w:rPr>
                <w:rFonts w:hint="eastAsia" w:ascii="仿宋" w:hAnsi="仿宋" w:eastAsia="仿宋" w:cs="仿宋"/>
                <w:spacing w:val="19"/>
                <w:sz w:val="22"/>
                <w:szCs w:val="22"/>
              </w:rPr>
              <w:t>营业执照等主</w:t>
            </w:r>
            <w:r>
              <w:rPr>
                <w:rFonts w:hint="eastAsia" w:ascii="仿宋" w:hAnsi="仿宋" w:eastAsia="仿宋" w:cs="仿宋"/>
                <w:spacing w:val="20"/>
                <w:sz w:val="22"/>
                <w:szCs w:val="22"/>
              </w:rPr>
              <w:t>体资格证明文</w:t>
            </w:r>
            <w:r>
              <w:rPr>
                <w:rFonts w:hint="eastAsia" w:ascii="仿宋" w:hAnsi="仿宋" w:eastAsia="仿宋" w:cs="仿宋"/>
                <w:sz w:val="22"/>
                <w:szCs w:val="22"/>
              </w:rPr>
              <w:t>件</w:t>
            </w:r>
          </w:p>
        </w:tc>
        <w:tc>
          <w:tcPr>
            <w:tcW w:w="6019" w:type="dxa"/>
            <w:vAlign w:val="center"/>
          </w:tcPr>
          <w:p>
            <w:pPr>
              <w:tabs>
                <w:tab w:val="left" w:pos="9030"/>
              </w:tabs>
              <w:snapToGrid w:val="0"/>
              <w:spacing w:line="360" w:lineRule="auto"/>
              <w:jc w:val="left"/>
              <w:rPr>
                <w:rFonts w:ascii="仿宋" w:hAnsi="仿宋" w:eastAsia="仿宋" w:cs="仿宋"/>
                <w:sz w:val="22"/>
                <w:szCs w:val="22"/>
              </w:rPr>
            </w:pPr>
            <w:r>
              <w:rPr>
                <w:rFonts w:hint="eastAsia" w:ascii="仿宋" w:hAnsi="仿宋" w:eastAsia="仿宋" w:cs="仿宋"/>
                <w:sz w:val="22"/>
                <w:szCs w:val="22"/>
              </w:rPr>
              <w:t>提供统一社会信用代码的营业执照或其他组织经营的合法凭证或自然人的提供身份证明文件。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pPr>
              <w:tabs>
                <w:tab w:val="left" w:pos="9030"/>
              </w:tabs>
              <w:snapToGrid w:val="0"/>
              <w:spacing w:line="360" w:lineRule="auto"/>
              <w:jc w:val="center"/>
              <w:rPr>
                <w:rFonts w:ascii="仿宋" w:hAnsi="仿宋" w:eastAsia="仿宋" w:cs="仿宋"/>
                <w:sz w:val="22"/>
                <w:szCs w:val="22"/>
              </w:rPr>
            </w:pPr>
            <w:r>
              <w:rPr>
                <w:rFonts w:hint="eastAsia" w:ascii="仿宋" w:hAnsi="仿宋" w:eastAsia="仿宋" w:cs="仿宋"/>
                <w:sz w:val="22"/>
                <w:szCs w:val="22"/>
              </w:rPr>
              <w:t>2</w:t>
            </w:r>
          </w:p>
        </w:tc>
        <w:tc>
          <w:tcPr>
            <w:tcW w:w="2195" w:type="dxa"/>
            <w:vAlign w:val="center"/>
          </w:tcPr>
          <w:p>
            <w:pPr>
              <w:spacing w:line="360" w:lineRule="auto"/>
              <w:jc w:val="center"/>
              <w:rPr>
                <w:rFonts w:ascii="仿宋" w:hAnsi="仿宋" w:eastAsia="仿宋" w:cs="仿宋"/>
                <w:sz w:val="22"/>
                <w:szCs w:val="22"/>
              </w:rPr>
            </w:pPr>
            <w:r>
              <w:rPr>
                <w:rFonts w:hint="eastAsia" w:ascii="仿宋" w:hAnsi="仿宋" w:eastAsia="仿宋" w:cs="仿宋"/>
                <w:spacing w:val="-1"/>
                <w:sz w:val="22"/>
                <w:szCs w:val="22"/>
              </w:rPr>
              <w:t>财务状况报告</w:t>
            </w:r>
          </w:p>
        </w:tc>
        <w:tc>
          <w:tcPr>
            <w:tcW w:w="6019" w:type="dxa"/>
            <w:vAlign w:val="center"/>
          </w:tcPr>
          <w:p>
            <w:pPr>
              <w:tabs>
                <w:tab w:val="left" w:pos="9030"/>
              </w:tabs>
              <w:snapToGrid w:val="0"/>
              <w:spacing w:line="360" w:lineRule="auto"/>
              <w:jc w:val="left"/>
              <w:rPr>
                <w:rFonts w:ascii="仿宋" w:hAnsi="仿宋" w:eastAsia="仿宋" w:cs="仿宋"/>
                <w:sz w:val="22"/>
                <w:szCs w:val="22"/>
              </w:rPr>
            </w:pPr>
            <w:r>
              <w:rPr>
                <w:rFonts w:hint="eastAsia" w:ascii="仿宋" w:hAnsi="仿宋" w:eastAsia="仿宋" w:cs="仿宋"/>
                <w:sz w:val="22"/>
                <w:szCs w:val="22"/>
              </w:rPr>
              <w:t>提供具有财务审计资质单位出具的2021年度财务报告或磋商前六个月内其基本账户银行出具的资信证明（附基本户证明资料）或财政部门认可的政府采购专业担保机构出具的担保函，以上形式的证明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pPr>
              <w:tabs>
                <w:tab w:val="left" w:pos="9030"/>
              </w:tabs>
              <w:snapToGrid w:val="0"/>
              <w:spacing w:line="360" w:lineRule="auto"/>
              <w:jc w:val="center"/>
              <w:rPr>
                <w:rFonts w:ascii="仿宋" w:hAnsi="仿宋" w:eastAsia="仿宋" w:cs="仿宋"/>
                <w:sz w:val="22"/>
                <w:szCs w:val="22"/>
              </w:rPr>
            </w:pPr>
            <w:r>
              <w:rPr>
                <w:rFonts w:hint="eastAsia" w:ascii="仿宋" w:hAnsi="仿宋" w:eastAsia="仿宋" w:cs="仿宋"/>
                <w:sz w:val="22"/>
                <w:szCs w:val="22"/>
              </w:rPr>
              <w:t>3</w:t>
            </w:r>
          </w:p>
        </w:tc>
        <w:tc>
          <w:tcPr>
            <w:tcW w:w="2195" w:type="dxa"/>
            <w:vAlign w:val="center"/>
          </w:tcPr>
          <w:p>
            <w:pPr>
              <w:spacing w:line="360" w:lineRule="auto"/>
              <w:jc w:val="center"/>
              <w:rPr>
                <w:rFonts w:ascii="仿宋" w:hAnsi="仿宋" w:eastAsia="仿宋" w:cs="仿宋"/>
                <w:sz w:val="22"/>
                <w:szCs w:val="22"/>
              </w:rPr>
            </w:pPr>
            <w:r>
              <w:rPr>
                <w:rFonts w:hint="eastAsia" w:ascii="仿宋" w:hAnsi="仿宋" w:eastAsia="仿宋" w:cs="仿宋"/>
                <w:spacing w:val="-1"/>
                <w:sz w:val="22"/>
                <w:szCs w:val="22"/>
              </w:rPr>
              <w:t>社保缴纳证明</w:t>
            </w:r>
          </w:p>
        </w:tc>
        <w:tc>
          <w:tcPr>
            <w:tcW w:w="6019" w:type="dxa"/>
            <w:vAlign w:val="center"/>
          </w:tcPr>
          <w:p>
            <w:pPr>
              <w:tabs>
                <w:tab w:val="left" w:pos="9030"/>
              </w:tabs>
              <w:snapToGrid w:val="0"/>
              <w:spacing w:line="360" w:lineRule="auto"/>
              <w:jc w:val="left"/>
              <w:rPr>
                <w:rFonts w:ascii="仿宋" w:hAnsi="仿宋" w:eastAsia="仿宋" w:cs="仿宋"/>
                <w:sz w:val="22"/>
                <w:szCs w:val="22"/>
              </w:rPr>
            </w:pPr>
            <w:r>
              <w:rPr>
                <w:rFonts w:hint="eastAsia" w:ascii="仿宋" w:hAnsi="仿宋" w:eastAsia="仿宋" w:cs="仿宋"/>
                <w:sz w:val="22"/>
                <w:szCs w:val="22"/>
              </w:rPr>
              <w:t>提供已缴纳的 2022年1月1日以来至少一个月的纳税证明或完税证明（提供增值税、企业所得税至少一种），纳税证明或完税证明上应有代收机构或税务机关的公章或业务专用章。依法免税的供应商应提供相关文件证明。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pPr>
              <w:tabs>
                <w:tab w:val="left" w:pos="9030"/>
              </w:tabs>
              <w:snapToGrid w:val="0"/>
              <w:spacing w:line="360" w:lineRule="auto"/>
              <w:jc w:val="center"/>
              <w:rPr>
                <w:rFonts w:ascii="仿宋" w:hAnsi="仿宋" w:eastAsia="仿宋" w:cs="仿宋"/>
                <w:sz w:val="22"/>
                <w:szCs w:val="22"/>
              </w:rPr>
            </w:pPr>
            <w:r>
              <w:rPr>
                <w:rFonts w:hint="eastAsia" w:ascii="仿宋" w:hAnsi="仿宋" w:eastAsia="仿宋" w:cs="仿宋"/>
                <w:sz w:val="22"/>
                <w:szCs w:val="22"/>
              </w:rPr>
              <w:t>4</w:t>
            </w:r>
          </w:p>
        </w:tc>
        <w:tc>
          <w:tcPr>
            <w:tcW w:w="2195" w:type="dxa"/>
            <w:vAlign w:val="center"/>
          </w:tcPr>
          <w:p>
            <w:pPr>
              <w:spacing w:line="360" w:lineRule="auto"/>
              <w:jc w:val="center"/>
              <w:rPr>
                <w:rFonts w:ascii="仿宋" w:hAnsi="仿宋" w:eastAsia="仿宋" w:cs="仿宋"/>
                <w:sz w:val="22"/>
                <w:szCs w:val="22"/>
              </w:rPr>
            </w:pPr>
            <w:r>
              <w:rPr>
                <w:rFonts w:hint="eastAsia" w:ascii="仿宋" w:hAnsi="仿宋" w:eastAsia="仿宋" w:cs="仿宋"/>
                <w:spacing w:val="-1"/>
                <w:sz w:val="22"/>
                <w:szCs w:val="22"/>
              </w:rPr>
              <w:t>税收缴纳证明</w:t>
            </w:r>
          </w:p>
        </w:tc>
        <w:tc>
          <w:tcPr>
            <w:tcW w:w="6019" w:type="dxa"/>
            <w:vAlign w:val="center"/>
          </w:tcPr>
          <w:p>
            <w:pPr>
              <w:spacing w:line="360" w:lineRule="auto"/>
              <w:jc w:val="left"/>
              <w:rPr>
                <w:rFonts w:ascii="仿宋" w:hAnsi="仿宋" w:eastAsia="仿宋" w:cs="仿宋"/>
                <w:sz w:val="22"/>
                <w:szCs w:val="22"/>
              </w:rPr>
            </w:pPr>
            <w:r>
              <w:rPr>
                <w:rFonts w:hint="eastAsia" w:ascii="仿宋" w:hAnsi="仿宋" w:eastAsia="仿宋" w:cs="仿宋"/>
                <w:sz w:val="22"/>
                <w:szCs w:val="22"/>
              </w:rPr>
              <w:t>提供已缴存的 2022年1月1日以来至少一个月的社会保障资金缴存单据或社保机构开具的社会保险参保缴费情况证明。成立时间至提交响应文件截止时间不足一个月或依法不需要缴纳社会保障资金的供应商应提供相关文件证明；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pPr>
              <w:tabs>
                <w:tab w:val="left" w:pos="9030"/>
              </w:tabs>
              <w:snapToGrid w:val="0"/>
              <w:spacing w:line="360" w:lineRule="auto"/>
              <w:jc w:val="center"/>
              <w:rPr>
                <w:rFonts w:ascii="仿宋" w:hAnsi="仿宋" w:eastAsia="仿宋" w:cs="仿宋"/>
                <w:sz w:val="22"/>
                <w:szCs w:val="22"/>
              </w:rPr>
            </w:pPr>
            <w:r>
              <w:rPr>
                <w:rFonts w:hint="eastAsia" w:ascii="仿宋" w:hAnsi="仿宋" w:eastAsia="仿宋" w:cs="仿宋"/>
                <w:sz w:val="22"/>
                <w:szCs w:val="22"/>
              </w:rPr>
              <w:t>5</w:t>
            </w:r>
          </w:p>
        </w:tc>
        <w:tc>
          <w:tcPr>
            <w:tcW w:w="2195" w:type="dxa"/>
            <w:vAlign w:val="center"/>
          </w:tcPr>
          <w:p>
            <w:pPr>
              <w:spacing w:line="360" w:lineRule="auto"/>
              <w:jc w:val="center"/>
              <w:rPr>
                <w:rFonts w:ascii="仿宋" w:hAnsi="仿宋" w:eastAsia="仿宋" w:cs="仿宋"/>
                <w:spacing w:val="-1"/>
                <w:sz w:val="22"/>
                <w:szCs w:val="22"/>
              </w:rPr>
            </w:pPr>
            <w:r>
              <w:rPr>
                <w:rFonts w:hint="eastAsia" w:ascii="仿宋" w:hAnsi="仿宋" w:eastAsia="仿宋" w:cs="仿宋"/>
                <w:spacing w:val="-1"/>
                <w:sz w:val="22"/>
                <w:szCs w:val="22"/>
              </w:rPr>
              <w:t>书面声明</w:t>
            </w:r>
          </w:p>
        </w:tc>
        <w:tc>
          <w:tcPr>
            <w:tcW w:w="6019" w:type="dxa"/>
            <w:vAlign w:val="center"/>
          </w:tcPr>
          <w:p>
            <w:pPr>
              <w:spacing w:line="360" w:lineRule="auto"/>
              <w:rPr>
                <w:rFonts w:ascii="仿宋" w:hAnsi="仿宋" w:eastAsia="仿宋" w:cs="仿宋"/>
                <w:sz w:val="22"/>
                <w:szCs w:val="22"/>
              </w:rPr>
            </w:pPr>
            <w:r>
              <w:rPr>
                <w:rFonts w:hint="eastAsia" w:ascii="仿宋" w:hAnsi="仿宋" w:eastAsia="仿宋" w:cs="仿宋"/>
                <w:sz w:val="22"/>
                <w:szCs w:val="22"/>
              </w:rPr>
              <w:t xml:space="preserve">1.出具履行合同所必需的设备和专业技术能力的书面声明； </w:t>
            </w:r>
          </w:p>
          <w:p>
            <w:pPr>
              <w:spacing w:line="360" w:lineRule="auto"/>
              <w:rPr>
                <w:rFonts w:ascii="仿宋" w:hAnsi="仿宋" w:eastAsia="仿宋" w:cs="仿宋"/>
                <w:sz w:val="22"/>
                <w:szCs w:val="22"/>
              </w:rPr>
            </w:pPr>
            <w:r>
              <w:rPr>
                <w:rFonts w:hint="eastAsia" w:ascii="仿宋" w:hAnsi="仿宋" w:eastAsia="仿宋" w:cs="仿宋"/>
                <w:sz w:val="22"/>
                <w:szCs w:val="22"/>
              </w:rPr>
              <w:t xml:space="preserve">2.出具参加本次政府采购活动的书面声明；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pPr>
              <w:tabs>
                <w:tab w:val="left" w:pos="9030"/>
              </w:tabs>
              <w:snapToGrid w:val="0"/>
              <w:spacing w:line="360" w:lineRule="auto"/>
              <w:jc w:val="center"/>
              <w:rPr>
                <w:rFonts w:ascii="仿宋" w:hAnsi="仿宋" w:eastAsia="仿宋" w:cs="仿宋"/>
                <w:sz w:val="22"/>
                <w:szCs w:val="22"/>
              </w:rPr>
            </w:pPr>
            <w:r>
              <w:rPr>
                <w:rFonts w:hint="eastAsia" w:ascii="仿宋" w:hAnsi="仿宋" w:eastAsia="仿宋" w:cs="仿宋"/>
                <w:sz w:val="22"/>
                <w:szCs w:val="22"/>
              </w:rPr>
              <w:t>6</w:t>
            </w:r>
          </w:p>
        </w:tc>
        <w:tc>
          <w:tcPr>
            <w:tcW w:w="2195" w:type="dxa"/>
            <w:vAlign w:val="center"/>
          </w:tcPr>
          <w:p>
            <w:pPr>
              <w:spacing w:line="360" w:lineRule="auto"/>
              <w:jc w:val="center"/>
              <w:rPr>
                <w:rFonts w:ascii="仿宋" w:hAnsi="仿宋" w:eastAsia="仿宋" w:cs="仿宋"/>
                <w:sz w:val="22"/>
                <w:szCs w:val="22"/>
              </w:rPr>
            </w:pPr>
            <w:r>
              <w:rPr>
                <w:rFonts w:hint="eastAsia" w:ascii="仿宋" w:hAnsi="仿宋" w:eastAsia="仿宋" w:cs="仿宋"/>
                <w:spacing w:val="-2"/>
                <w:sz w:val="22"/>
                <w:szCs w:val="22"/>
              </w:rPr>
              <w:t>信用记录</w:t>
            </w:r>
          </w:p>
        </w:tc>
        <w:tc>
          <w:tcPr>
            <w:tcW w:w="6019" w:type="dxa"/>
            <w:vAlign w:val="center"/>
          </w:tcPr>
          <w:p>
            <w:pPr>
              <w:tabs>
                <w:tab w:val="left" w:pos="9030"/>
              </w:tabs>
              <w:snapToGrid w:val="0"/>
              <w:spacing w:line="360" w:lineRule="auto"/>
              <w:ind w:firstLine="364" w:firstLineChars="200"/>
              <w:jc w:val="left"/>
              <w:rPr>
                <w:rFonts w:ascii="仿宋" w:hAnsi="仿宋" w:eastAsia="仿宋" w:cs="仿宋"/>
                <w:sz w:val="22"/>
                <w:szCs w:val="22"/>
              </w:rPr>
            </w:pPr>
            <w:r>
              <w:rPr>
                <w:rFonts w:hint="eastAsia" w:ascii="仿宋" w:hAnsi="仿宋" w:eastAsia="仿宋" w:cs="仿宋"/>
                <w:spacing w:val="-19"/>
                <w:sz w:val="22"/>
                <w:szCs w:val="22"/>
              </w:rPr>
              <w:t>经查，供应商未被列</w:t>
            </w:r>
            <w:r>
              <w:rPr>
                <w:rFonts w:hint="eastAsia" w:ascii="仿宋" w:hAnsi="仿宋" w:eastAsia="仿宋" w:cs="仿宋"/>
                <w:sz w:val="22"/>
                <w:szCs w:val="22"/>
              </w:rPr>
              <w:t xml:space="preserve"> </w:t>
            </w:r>
            <w:r>
              <w:rPr>
                <w:rFonts w:hint="eastAsia" w:ascii="仿宋" w:hAnsi="仿宋" w:eastAsia="仿宋" w:cs="仿宋"/>
                <w:spacing w:val="4"/>
                <w:sz w:val="22"/>
                <w:szCs w:val="22"/>
              </w:rPr>
              <w:t>入“信用中国”网站记录的“失信被执行</w:t>
            </w:r>
            <w:r>
              <w:rPr>
                <w:rFonts w:hint="eastAsia" w:ascii="仿宋" w:hAnsi="仿宋" w:eastAsia="仿宋" w:cs="仿宋"/>
                <w:spacing w:val="16"/>
                <w:sz w:val="22"/>
                <w:szCs w:val="22"/>
              </w:rPr>
              <w:t xml:space="preserve"> </w:t>
            </w:r>
            <w:r>
              <w:rPr>
                <w:rFonts w:hint="eastAsia" w:ascii="仿宋" w:hAnsi="仿宋" w:eastAsia="仿宋" w:cs="仿宋"/>
                <w:spacing w:val="-5"/>
                <w:sz w:val="22"/>
                <w:szCs w:val="22"/>
              </w:rPr>
              <w:t>人”或“重大税收违法案件当事人”名单；</w:t>
            </w:r>
            <w:r>
              <w:rPr>
                <w:rFonts w:hint="eastAsia" w:ascii="仿宋" w:hAnsi="仿宋" w:eastAsia="仿宋" w:cs="仿宋"/>
                <w:spacing w:val="14"/>
                <w:sz w:val="22"/>
                <w:szCs w:val="22"/>
              </w:rPr>
              <w:t xml:space="preserve"> </w:t>
            </w:r>
            <w:r>
              <w:rPr>
                <w:rFonts w:hint="eastAsia" w:ascii="仿宋" w:hAnsi="仿宋" w:eastAsia="仿宋" w:cs="仿宋"/>
                <w:spacing w:val="-8"/>
                <w:sz w:val="22"/>
                <w:szCs w:val="22"/>
              </w:rPr>
              <w:t>不处于“中国政府采购网”记录的“政府采</w:t>
            </w:r>
            <w:r>
              <w:rPr>
                <w:rFonts w:hint="eastAsia" w:ascii="仿宋" w:hAnsi="仿宋" w:eastAsia="仿宋" w:cs="仿宋"/>
                <w:spacing w:val="-4"/>
                <w:sz w:val="22"/>
                <w:szCs w:val="22"/>
              </w:rPr>
              <w:t>购严重违法失信行为记录名单</w:t>
            </w:r>
            <w:r>
              <w:rPr>
                <w:rFonts w:hint="eastAsia" w:ascii="仿宋" w:hAnsi="仿宋" w:eastAsia="仿宋" w:cs="仿宋"/>
                <w:spacing w:val="41"/>
                <w:sz w:val="22"/>
                <w:szCs w:val="22"/>
              </w:rPr>
              <w:t xml:space="preserve"> </w:t>
            </w:r>
            <w:r>
              <w:rPr>
                <w:rFonts w:hint="eastAsia" w:ascii="仿宋" w:hAnsi="仿宋" w:eastAsia="仿宋" w:cs="仿宋"/>
                <w:spacing w:val="-4"/>
                <w:sz w:val="22"/>
                <w:szCs w:val="22"/>
              </w:rPr>
              <w:t>”中的禁止</w:t>
            </w:r>
            <w:r>
              <w:rPr>
                <w:rFonts w:hint="eastAsia" w:ascii="仿宋" w:hAnsi="仿宋" w:eastAsia="仿宋" w:cs="仿宋"/>
                <w:sz w:val="22"/>
                <w:szCs w:val="22"/>
              </w:rPr>
              <w:t>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pPr>
              <w:tabs>
                <w:tab w:val="left" w:pos="9030"/>
              </w:tabs>
              <w:snapToGrid w:val="0"/>
              <w:spacing w:line="360" w:lineRule="auto"/>
              <w:jc w:val="center"/>
              <w:rPr>
                <w:rFonts w:ascii="仿宋" w:hAnsi="仿宋" w:eastAsia="仿宋" w:cs="仿宋"/>
                <w:sz w:val="22"/>
                <w:szCs w:val="22"/>
              </w:rPr>
            </w:pPr>
            <w:r>
              <w:rPr>
                <w:rFonts w:hint="eastAsia" w:ascii="仿宋" w:hAnsi="仿宋" w:eastAsia="仿宋" w:cs="仿宋"/>
                <w:sz w:val="22"/>
                <w:szCs w:val="22"/>
              </w:rPr>
              <w:t>7</w:t>
            </w:r>
          </w:p>
        </w:tc>
        <w:tc>
          <w:tcPr>
            <w:tcW w:w="2195" w:type="dxa"/>
            <w:vAlign w:val="center"/>
          </w:tcPr>
          <w:p>
            <w:pPr>
              <w:spacing w:line="360" w:lineRule="auto"/>
              <w:jc w:val="center"/>
              <w:rPr>
                <w:rFonts w:ascii="仿宋" w:hAnsi="仿宋" w:eastAsia="仿宋" w:cs="仿宋"/>
                <w:spacing w:val="-2"/>
                <w:sz w:val="22"/>
                <w:szCs w:val="22"/>
              </w:rPr>
            </w:pPr>
            <w:r>
              <w:rPr>
                <w:rFonts w:ascii="仿宋" w:hAnsi="仿宋" w:eastAsia="仿宋" w:cs="仿宋"/>
                <w:spacing w:val="19"/>
                <w:sz w:val="22"/>
                <w:szCs w:val="22"/>
              </w:rPr>
              <w:t>法定代表人授</w:t>
            </w:r>
            <w:r>
              <w:rPr>
                <w:rFonts w:ascii="仿宋" w:hAnsi="仿宋" w:eastAsia="仿宋" w:cs="仿宋"/>
                <w:spacing w:val="-2"/>
                <w:sz w:val="22"/>
                <w:szCs w:val="22"/>
              </w:rPr>
              <w:t>权委托书</w:t>
            </w:r>
          </w:p>
        </w:tc>
        <w:tc>
          <w:tcPr>
            <w:tcW w:w="6019" w:type="dxa"/>
            <w:vAlign w:val="center"/>
          </w:tcPr>
          <w:p>
            <w:pPr>
              <w:spacing w:line="360" w:lineRule="auto"/>
              <w:ind w:firstLine="420" w:firstLineChars="200"/>
              <w:rPr>
                <w:rFonts w:ascii="仿宋" w:hAnsi="仿宋" w:eastAsia="仿宋" w:cs="仿宋"/>
                <w:spacing w:val="-19"/>
                <w:sz w:val="22"/>
                <w:szCs w:val="22"/>
              </w:rPr>
            </w:pPr>
            <w:r>
              <w:rPr>
                <w:rFonts w:hint="eastAsia" w:ascii="仿宋" w:hAnsi="仿宋" w:eastAsia="仿宋" w:cs="仿宋"/>
                <w:spacing w:val="-5"/>
                <w:sz w:val="22"/>
                <w:szCs w:val="22"/>
              </w:rPr>
              <w:t>法定代表人参加磋商的，须提供法定代表人身份证明；法定代表人授权他人参加磋商的，须提供法定代表人授权委托书，被授权代表本单位证明：有效的劳动合同或磋商截止前三个月的养老保险缴纳证明。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pPr>
              <w:tabs>
                <w:tab w:val="left" w:pos="9030"/>
              </w:tabs>
              <w:snapToGrid w:val="0"/>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8</w:t>
            </w:r>
          </w:p>
        </w:tc>
        <w:tc>
          <w:tcPr>
            <w:tcW w:w="2195" w:type="dxa"/>
            <w:vAlign w:val="center"/>
          </w:tcPr>
          <w:p>
            <w:pPr>
              <w:spacing w:line="360" w:lineRule="auto"/>
              <w:jc w:val="center"/>
              <w:rPr>
                <w:rFonts w:hint="default" w:ascii="仿宋" w:hAnsi="仿宋" w:eastAsia="仿宋" w:cs="仿宋"/>
                <w:spacing w:val="19"/>
                <w:sz w:val="22"/>
                <w:szCs w:val="22"/>
                <w:lang w:val="en-US" w:eastAsia="zh-CN"/>
              </w:rPr>
            </w:pPr>
            <w:r>
              <w:rPr>
                <w:rFonts w:hint="eastAsia" w:ascii="仿宋" w:hAnsi="仿宋" w:eastAsia="仿宋" w:cs="仿宋"/>
                <w:spacing w:val="19"/>
                <w:sz w:val="22"/>
                <w:szCs w:val="22"/>
                <w:lang w:val="en-US" w:eastAsia="zh-CN"/>
              </w:rPr>
              <w:t>是否为中小企业</w:t>
            </w:r>
          </w:p>
        </w:tc>
        <w:tc>
          <w:tcPr>
            <w:tcW w:w="6019" w:type="dxa"/>
            <w:vAlign w:val="center"/>
          </w:tcPr>
          <w:p>
            <w:pPr>
              <w:spacing w:line="360" w:lineRule="auto"/>
              <w:rPr>
                <w:rFonts w:hint="eastAsia" w:ascii="仿宋" w:hAnsi="仿宋" w:eastAsia="仿宋" w:cs="仿宋"/>
                <w:spacing w:val="-5"/>
                <w:sz w:val="22"/>
                <w:szCs w:val="22"/>
                <w:lang w:eastAsia="zh-CN"/>
              </w:rPr>
            </w:pPr>
            <w:r>
              <w:rPr>
                <w:rFonts w:hint="eastAsia" w:ascii="仿宋" w:hAnsi="仿宋" w:eastAsia="仿宋" w:cs="仿宋"/>
                <w:spacing w:val="-5"/>
                <w:sz w:val="22"/>
                <w:szCs w:val="22"/>
                <w:lang w:eastAsia="zh-CN"/>
              </w:rPr>
              <w:t>《</w:t>
            </w:r>
            <w:r>
              <w:rPr>
                <w:rFonts w:hint="eastAsia" w:ascii="仿宋" w:hAnsi="仿宋" w:eastAsia="仿宋" w:cs="仿宋"/>
                <w:spacing w:val="-5"/>
                <w:sz w:val="22"/>
                <w:szCs w:val="22"/>
                <w:lang w:val="en-US" w:eastAsia="zh-CN"/>
              </w:rPr>
              <w:t>中小企业声明函</w:t>
            </w:r>
            <w:r>
              <w:rPr>
                <w:rFonts w:hint="eastAsia" w:ascii="仿宋" w:hAnsi="仿宋" w:eastAsia="仿宋" w:cs="仿宋"/>
                <w:spacing w:val="-5"/>
                <w:sz w:val="22"/>
                <w:szCs w:val="22"/>
                <w:lang w:eastAsia="zh-CN"/>
              </w:rPr>
              <w:t>》</w:t>
            </w:r>
          </w:p>
        </w:tc>
      </w:tr>
    </w:tbl>
    <w:p>
      <w:pPr>
        <w:tabs>
          <w:tab w:val="left" w:pos="9030"/>
        </w:tabs>
        <w:snapToGrid w:val="0"/>
        <w:spacing w:line="360" w:lineRule="auto"/>
        <w:ind w:right="-65" w:firstLine="482" w:firstLineChars="200"/>
        <w:rPr>
          <w:rFonts w:ascii="仿宋" w:hAnsi="仿宋" w:eastAsia="仿宋" w:cs="仿宋"/>
          <w:sz w:val="24"/>
          <w:szCs w:val="24"/>
        </w:rPr>
      </w:pPr>
      <w:r>
        <w:rPr>
          <w:rFonts w:hint="eastAsia" w:ascii="仿宋" w:hAnsi="仿宋" w:eastAsia="仿宋" w:cs="仿宋"/>
          <w:b/>
          <w:bCs/>
          <w:sz w:val="24"/>
          <w:szCs w:val="24"/>
          <w:lang w:val="zh-CN"/>
        </w:rPr>
        <w:t>说明：资格审查结束后，资格审查人员对审查结果进行签字确认，若供应商资格审查未通过，注明未通过原因并告知其供应商，资格审查不合格的供应商，不得进入下一评标环节。</w:t>
      </w:r>
    </w:p>
    <w:p>
      <w:pPr>
        <w:tabs>
          <w:tab w:val="left" w:pos="9030"/>
        </w:tabs>
        <w:snapToGrid w:val="0"/>
        <w:spacing w:line="360" w:lineRule="auto"/>
        <w:ind w:right="-65" w:firstLine="482" w:firstLineChars="200"/>
        <w:outlineLvl w:val="2"/>
        <w:rPr>
          <w:rFonts w:ascii="仿宋" w:hAnsi="仿宋" w:eastAsia="仿宋" w:cs="仿宋"/>
          <w:sz w:val="24"/>
          <w:szCs w:val="24"/>
        </w:rPr>
      </w:pPr>
      <w:bookmarkStart w:id="249" w:name="_Toc10987"/>
      <w:r>
        <w:rPr>
          <w:rFonts w:hint="eastAsia" w:ascii="仿宋" w:hAnsi="仿宋" w:eastAsia="仿宋" w:cs="仿宋"/>
          <w:b/>
          <w:bCs/>
          <w:sz w:val="24"/>
          <w:szCs w:val="24"/>
        </w:rPr>
        <w:t>（二）磋商响应文件符合性审查</w:t>
      </w:r>
      <w:bookmarkEnd w:id="246"/>
      <w:bookmarkEnd w:id="247"/>
      <w:bookmarkEnd w:id="248"/>
      <w:r>
        <w:rPr>
          <w:rFonts w:hint="eastAsia" w:ascii="仿宋" w:hAnsi="仿宋" w:eastAsia="仿宋" w:cs="仿宋"/>
          <w:b/>
          <w:bCs/>
          <w:sz w:val="24"/>
          <w:szCs w:val="24"/>
        </w:rPr>
        <w:t>：依据磋商文件的规定，磋商小组从响应文件的有效性、完整性和对磋商文件的响应程度进行审查，以确定是否对磋商文件的实质性内容作出响应。</w:t>
      </w:r>
      <w:bookmarkEnd w:id="249"/>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195"/>
        <w:gridCol w:w="6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08" w:type="dxa"/>
            <w:vAlign w:val="center"/>
          </w:tcPr>
          <w:p>
            <w:pPr>
              <w:tabs>
                <w:tab w:val="left" w:pos="9030"/>
              </w:tabs>
              <w:snapToGrid w:val="0"/>
              <w:spacing w:line="360" w:lineRule="auto"/>
              <w:ind w:right="-65"/>
              <w:jc w:val="center"/>
              <w:rPr>
                <w:rFonts w:ascii="仿宋" w:hAnsi="仿宋" w:eastAsia="仿宋" w:cs="仿宋"/>
                <w:sz w:val="22"/>
                <w:szCs w:val="22"/>
              </w:rPr>
            </w:pPr>
            <w:bookmarkStart w:id="250" w:name="_Toc26970"/>
            <w:bookmarkStart w:id="251" w:name="_Toc27628"/>
            <w:bookmarkStart w:id="252" w:name="_Toc18470"/>
            <w:r>
              <w:rPr>
                <w:rFonts w:hint="eastAsia" w:ascii="仿宋" w:hAnsi="仿宋" w:eastAsia="仿宋" w:cs="仿宋"/>
                <w:sz w:val="22"/>
                <w:szCs w:val="22"/>
              </w:rPr>
              <w:t>序号</w:t>
            </w:r>
          </w:p>
        </w:tc>
        <w:tc>
          <w:tcPr>
            <w:tcW w:w="2195" w:type="dxa"/>
            <w:vAlign w:val="center"/>
          </w:tcPr>
          <w:p>
            <w:pPr>
              <w:tabs>
                <w:tab w:val="left" w:pos="9030"/>
              </w:tabs>
              <w:snapToGrid w:val="0"/>
              <w:spacing w:line="360" w:lineRule="auto"/>
              <w:ind w:right="-65"/>
              <w:jc w:val="center"/>
              <w:rPr>
                <w:rFonts w:ascii="仿宋" w:hAnsi="仿宋" w:eastAsia="仿宋" w:cs="仿宋"/>
                <w:sz w:val="22"/>
                <w:szCs w:val="22"/>
              </w:rPr>
            </w:pPr>
            <w:r>
              <w:rPr>
                <w:rFonts w:ascii="仿宋" w:hAnsi="仿宋" w:eastAsia="仿宋" w:cs="仿宋"/>
                <w:spacing w:val="-1"/>
                <w:sz w:val="22"/>
                <w:szCs w:val="22"/>
              </w:rPr>
              <w:t>符合性审查项</w:t>
            </w:r>
          </w:p>
        </w:tc>
        <w:tc>
          <w:tcPr>
            <w:tcW w:w="6019" w:type="dxa"/>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z w:val="22"/>
                <w:szCs w:val="22"/>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z w:val="22"/>
                <w:szCs w:val="22"/>
              </w:rPr>
              <w:t>1</w:t>
            </w:r>
          </w:p>
        </w:tc>
        <w:tc>
          <w:tcPr>
            <w:tcW w:w="2195" w:type="dxa"/>
            <w:vAlign w:val="center"/>
          </w:tcPr>
          <w:p>
            <w:pPr>
              <w:spacing w:before="313" w:line="360" w:lineRule="auto"/>
              <w:ind w:right="112"/>
              <w:jc w:val="center"/>
              <w:rPr>
                <w:rFonts w:ascii="仿宋" w:hAnsi="仿宋" w:eastAsia="仿宋" w:cs="仿宋"/>
                <w:sz w:val="22"/>
                <w:szCs w:val="22"/>
              </w:rPr>
            </w:pPr>
            <w:r>
              <w:rPr>
                <w:rFonts w:hint="eastAsia" w:ascii="仿宋" w:hAnsi="仿宋" w:eastAsia="仿宋" w:cs="仿宋"/>
                <w:spacing w:val="1"/>
                <w:sz w:val="22"/>
                <w:szCs w:val="22"/>
              </w:rPr>
              <w:t>响应</w:t>
            </w:r>
            <w:r>
              <w:rPr>
                <w:rFonts w:ascii="仿宋" w:hAnsi="仿宋" w:eastAsia="仿宋" w:cs="仿宋"/>
                <w:spacing w:val="1"/>
                <w:sz w:val="22"/>
                <w:szCs w:val="22"/>
              </w:rPr>
              <w:t>文件语言及有效</w:t>
            </w:r>
            <w:r>
              <w:rPr>
                <w:rFonts w:ascii="仿宋" w:hAnsi="仿宋" w:eastAsia="仿宋" w:cs="仿宋"/>
                <w:sz w:val="22"/>
                <w:szCs w:val="22"/>
              </w:rPr>
              <w:t>期</w:t>
            </w:r>
          </w:p>
        </w:tc>
        <w:tc>
          <w:tcPr>
            <w:tcW w:w="6019" w:type="dxa"/>
            <w:vAlign w:val="center"/>
          </w:tcPr>
          <w:p>
            <w:pPr>
              <w:tabs>
                <w:tab w:val="left" w:pos="9030"/>
              </w:tabs>
              <w:snapToGrid w:val="0"/>
              <w:spacing w:line="360" w:lineRule="auto"/>
              <w:ind w:right="-65"/>
              <w:jc w:val="left"/>
              <w:rPr>
                <w:rFonts w:ascii="仿宋" w:hAnsi="仿宋" w:eastAsia="仿宋" w:cs="仿宋"/>
                <w:sz w:val="22"/>
                <w:szCs w:val="22"/>
              </w:rPr>
            </w:pPr>
            <w:r>
              <w:rPr>
                <w:rFonts w:hint="eastAsia" w:ascii="仿宋" w:hAnsi="仿宋" w:eastAsia="仿宋" w:cs="仿宋"/>
                <w:spacing w:val="1"/>
                <w:sz w:val="22"/>
                <w:szCs w:val="22"/>
              </w:rPr>
              <w:t>响应</w:t>
            </w:r>
            <w:r>
              <w:rPr>
                <w:rFonts w:ascii="仿宋" w:hAnsi="仿宋" w:eastAsia="仿宋" w:cs="仿宋"/>
                <w:spacing w:val="1"/>
                <w:sz w:val="22"/>
                <w:szCs w:val="22"/>
              </w:rPr>
              <w:t>文件语言及有效期符合</w:t>
            </w:r>
            <w:r>
              <w:rPr>
                <w:rFonts w:hint="eastAsia" w:ascii="仿宋" w:hAnsi="仿宋" w:eastAsia="仿宋" w:cs="仿宋"/>
                <w:spacing w:val="1"/>
                <w:sz w:val="22"/>
                <w:szCs w:val="22"/>
              </w:rPr>
              <w:t>磋商</w:t>
            </w:r>
            <w:r>
              <w:rPr>
                <w:rFonts w:ascii="仿宋" w:hAnsi="仿宋" w:eastAsia="仿宋" w:cs="仿宋"/>
                <w:spacing w:val="1"/>
                <w:sz w:val="22"/>
                <w:szCs w:val="22"/>
              </w:rPr>
              <w:t>文件</w:t>
            </w:r>
            <w:r>
              <w:rPr>
                <w:rFonts w:ascii="仿宋" w:hAnsi="仿宋" w:eastAsia="仿宋" w:cs="仿宋"/>
                <w:spacing w:val="-11"/>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z w:val="22"/>
                <w:szCs w:val="22"/>
              </w:rPr>
              <w:t>2</w:t>
            </w:r>
          </w:p>
        </w:tc>
        <w:tc>
          <w:tcPr>
            <w:tcW w:w="2195" w:type="dxa"/>
            <w:vAlign w:val="center"/>
          </w:tcPr>
          <w:p>
            <w:pPr>
              <w:spacing w:before="78" w:line="360" w:lineRule="auto"/>
              <w:jc w:val="center"/>
              <w:rPr>
                <w:rFonts w:ascii="仿宋" w:hAnsi="仿宋" w:eastAsia="仿宋" w:cs="仿宋"/>
                <w:sz w:val="22"/>
                <w:szCs w:val="22"/>
              </w:rPr>
            </w:pPr>
            <w:r>
              <w:rPr>
                <w:rFonts w:hint="eastAsia" w:ascii="仿宋" w:hAnsi="仿宋" w:eastAsia="仿宋" w:cs="仿宋"/>
                <w:spacing w:val="1"/>
                <w:sz w:val="22"/>
                <w:szCs w:val="22"/>
              </w:rPr>
              <w:t>响应</w:t>
            </w:r>
            <w:r>
              <w:rPr>
                <w:rFonts w:ascii="仿宋" w:hAnsi="仿宋" w:eastAsia="仿宋" w:cs="仿宋"/>
                <w:spacing w:val="1"/>
                <w:sz w:val="22"/>
                <w:szCs w:val="22"/>
              </w:rPr>
              <w:t>文件的</w:t>
            </w:r>
            <w:r>
              <w:rPr>
                <w:rFonts w:hint="eastAsia" w:ascii="仿宋" w:hAnsi="仿宋" w:eastAsia="仿宋" w:cs="仿宋"/>
                <w:spacing w:val="1"/>
                <w:sz w:val="22"/>
                <w:szCs w:val="22"/>
              </w:rPr>
              <w:t>磋商响应</w:t>
            </w:r>
            <w:r>
              <w:rPr>
                <w:rFonts w:ascii="仿宋" w:hAnsi="仿宋" w:eastAsia="仿宋" w:cs="仿宋"/>
                <w:spacing w:val="1"/>
                <w:sz w:val="22"/>
                <w:szCs w:val="22"/>
              </w:rPr>
              <w:t>函以</w:t>
            </w:r>
            <w:r>
              <w:rPr>
                <w:rFonts w:ascii="仿宋" w:hAnsi="仿宋" w:eastAsia="仿宋" w:cs="仿宋"/>
                <w:sz w:val="22"/>
                <w:szCs w:val="22"/>
              </w:rPr>
              <w:t>及法定代表人授权委</w:t>
            </w:r>
            <w:r>
              <w:rPr>
                <w:rFonts w:ascii="仿宋" w:hAnsi="仿宋" w:eastAsia="仿宋" w:cs="仿宋"/>
                <w:spacing w:val="-4"/>
                <w:sz w:val="22"/>
                <w:szCs w:val="22"/>
              </w:rPr>
              <w:t>托书</w:t>
            </w:r>
          </w:p>
        </w:tc>
        <w:tc>
          <w:tcPr>
            <w:tcW w:w="6019" w:type="dxa"/>
            <w:vAlign w:val="center"/>
          </w:tcPr>
          <w:p>
            <w:pPr>
              <w:tabs>
                <w:tab w:val="left" w:pos="9030"/>
              </w:tabs>
              <w:snapToGrid w:val="0"/>
              <w:spacing w:line="360" w:lineRule="auto"/>
              <w:ind w:right="-65"/>
              <w:jc w:val="left"/>
              <w:rPr>
                <w:rFonts w:ascii="仿宋" w:hAnsi="仿宋" w:eastAsia="仿宋" w:cs="仿宋"/>
                <w:sz w:val="22"/>
                <w:szCs w:val="22"/>
              </w:rPr>
            </w:pPr>
            <w:r>
              <w:rPr>
                <w:rFonts w:ascii="仿宋" w:hAnsi="仿宋" w:eastAsia="仿宋" w:cs="仿宋"/>
                <w:spacing w:val="-10"/>
                <w:sz w:val="22"/>
                <w:szCs w:val="22"/>
              </w:rPr>
              <w:t>二处均无遗漏，且所投项目名称、标</w:t>
            </w:r>
            <w:r>
              <w:rPr>
                <w:rFonts w:ascii="仿宋" w:hAnsi="仿宋" w:eastAsia="仿宋" w:cs="仿宋"/>
                <w:spacing w:val="1"/>
                <w:sz w:val="22"/>
                <w:szCs w:val="22"/>
              </w:rPr>
              <w:t>段应与实际参与项目一致。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z w:val="22"/>
                <w:szCs w:val="22"/>
              </w:rPr>
              <w:t>3</w:t>
            </w:r>
          </w:p>
        </w:tc>
        <w:tc>
          <w:tcPr>
            <w:tcW w:w="2195" w:type="dxa"/>
            <w:vAlign w:val="center"/>
          </w:tcPr>
          <w:p>
            <w:pPr>
              <w:spacing w:before="78" w:line="360" w:lineRule="auto"/>
              <w:jc w:val="center"/>
              <w:rPr>
                <w:rFonts w:ascii="仿宋" w:hAnsi="仿宋" w:eastAsia="仿宋" w:cs="仿宋"/>
                <w:sz w:val="22"/>
                <w:szCs w:val="22"/>
              </w:rPr>
            </w:pPr>
            <w:r>
              <w:rPr>
                <w:rFonts w:hint="eastAsia" w:ascii="仿宋" w:hAnsi="仿宋" w:eastAsia="仿宋" w:cs="仿宋"/>
                <w:sz w:val="22"/>
                <w:szCs w:val="22"/>
              </w:rPr>
              <w:t>磋商报价表</w:t>
            </w:r>
          </w:p>
        </w:tc>
        <w:tc>
          <w:tcPr>
            <w:tcW w:w="6019" w:type="dxa"/>
            <w:vAlign w:val="center"/>
          </w:tcPr>
          <w:p>
            <w:pPr>
              <w:tabs>
                <w:tab w:val="left" w:pos="9030"/>
              </w:tabs>
              <w:snapToGrid w:val="0"/>
              <w:spacing w:line="360" w:lineRule="auto"/>
              <w:ind w:right="-65"/>
              <w:jc w:val="left"/>
              <w:rPr>
                <w:rFonts w:ascii="仿宋" w:hAnsi="仿宋" w:eastAsia="仿宋" w:cs="仿宋"/>
                <w:sz w:val="22"/>
                <w:szCs w:val="22"/>
              </w:rPr>
            </w:pPr>
            <w:r>
              <w:rPr>
                <w:rFonts w:hint="eastAsia" w:ascii="仿宋" w:hAnsi="仿宋" w:eastAsia="仿宋" w:cs="仿宋"/>
                <w:sz w:val="22"/>
                <w:szCs w:val="22"/>
              </w:rPr>
              <w:t>（1） 磋商报价符合唯一性要求：</w:t>
            </w:r>
          </w:p>
          <w:p>
            <w:pPr>
              <w:tabs>
                <w:tab w:val="left" w:pos="9030"/>
              </w:tabs>
              <w:snapToGrid w:val="0"/>
              <w:spacing w:line="360" w:lineRule="auto"/>
              <w:ind w:right="-65"/>
              <w:jc w:val="left"/>
              <w:rPr>
                <w:rFonts w:ascii="仿宋" w:hAnsi="仿宋" w:eastAsia="仿宋" w:cs="仿宋"/>
                <w:sz w:val="22"/>
                <w:szCs w:val="22"/>
              </w:rPr>
            </w:pPr>
            <w:r>
              <w:rPr>
                <w:rFonts w:hint="eastAsia" w:ascii="仿宋" w:hAnsi="仿宋" w:eastAsia="仿宋" w:cs="仿宋"/>
                <w:sz w:val="22"/>
                <w:szCs w:val="22"/>
              </w:rPr>
              <w:t>（2） 磋商报价表填写符合要求；</w:t>
            </w:r>
          </w:p>
          <w:p>
            <w:pPr>
              <w:tabs>
                <w:tab w:val="left" w:pos="9030"/>
              </w:tabs>
              <w:snapToGrid w:val="0"/>
              <w:spacing w:line="360" w:lineRule="auto"/>
              <w:ind w:right="-65"/>
              <w:jc w:val="left"/>
              <w:rPr>
                <w:rFonts w:ascii="仿宋" w:hAnsi="仿宋" w:eastAsia="仿宋" w:cs="仿宋"/>
                <w:sz w:val="22"/>
                <w:szCs w:val="22"/>
              </w:rPr>
            </w:pPr>
            <w:r>
              <w:rPr>
                <w:rFonts w:hint="eastAsia" w:ascii="仿宋" w:hAnsi="仿宋" w:eastAsia="仿宋" w:cs="仿宋"/>
                <w:sz w:val="22"/>
                <w:szCs w:val="22"/>
              </w:rPr>
              <w:t>（3） 计量单位、报价货币均符合磋商文件要求；</w:t>
            </w:r>
          </w:p>
          <w:p>
            <w:pPr>
              <w:tabs>
                <w:tab w:val="left" w:pos="9030"/>
              </w:tabs>
              <w:snapToGrid w:val="0"/>
              <w:spacing w:line="360" w:lineRule="auto"/>
              <w:ind w:right="-65"/>
              <w:jc w:val="left"/>
              <w:rPr>
                <w:rFonts w:ascii="仿宋" w:hAnsi="仿宋" w:eastAsia="仿宋" w:cs="仿宋"/>
                <w:sz w:val="22"/>
                <w:szCs w:val="22"/>
              </w:rPr>
            </w:pPr>
            <w:r>
              <w:rPr>
                <w:rFonts w:hint="eastAsia" w:ascii="仿宋" w:hAnsi="仿宋" w:eastAsia="仿宋" w:cs="仿宋"/>
                <w:sz w:val="22"/>
                <w:szCs w:val="22"/>
              </w:rPr>
              <w:t>（4） 未超出采购预算或磋商文件规定的最高限价。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z w:val="22"/>
                <w:szCs w:val="22"/>
              </w:rPr>
              <w:t>4</w:t>
            </w:r>
          </w:p>
        </w:tc>
        <w:tc>
          <w:tcPr>
            <w:tcW w:w="2195" w:type="dxa"/>
            <w:vAlign w:val="center"/>
          </w:tcPr>
          <w:p>
            <w:pPr>
              <w:spacing w:before="78" w:line="360" w:lineRule="auto"/>
              <w:jc w:val="center"/>
              <w:rPr>
                <w:rFonts w:ascii="仿宋" w:hAnsi="仿宋" w:eastAsia="仿宋" w:cs="仿宋"/>
                <w:sz w:val="22"/>
                <w:szCs w:val="22"/>
              </w:rPr>
            </w:pPr>
            <w:r>
              <w:rPr>
                <w:rFonts w:hint="eastAsia" w:ascii="仿宋" w:hAnsi="仿宋" w:eastAsia="仿宋" w:cs="仿宋"/>
                <w:sz w:val="22"/>
                <w:szCs w:val="22"/>
              </w:rPr>
              <w:t>供应商承诺书</w:t>
            </w:r>
          </w:p>
        </w:tc>
        <w:tc>
          <w:tcPr>
            <w:tcW w:w="6019" w:type="dxa"/>
            <w:vAlign w:val="center"/>
          </w:tcPr>
          <w:p>
            <w:pPr>
              <w:spacing w:line="360" w:lineRule="auto"/>
              <w:jc w:val="left"/>
              <w:rPr>
                <w:rFonts w:ascii="仿宋" w:hAnsi="仿宋" w:eastAsia="仿宋" w:cs="仿宋"/>
                <w:sz w:val="22"/>
                <w:szCs w:val="22"/>
              </w:rPr>
            </w:pPr>
            <w:r>
              <w:rPr>
                <w:rFonts w:hint="eastAsia" w:ascii="仿宋" w:hAnsi="仿宋" w:eastAsia="仿宋" w:cs="仿宋"/>
                <w:sz w:val="22"/>
                <w:szCs w:val="22"/>
              </w:rPr>
              <w:t>完全理解并接受《</w:t>
            </w:r>
            <w:r>
              <w:rPr>
                <w:rFonts w:hint="eastAsia" w:ascii="仿宋" w:hAnsi="仿宋" w:eastAsia="仿宋" w:cs="仿宋"/>
                <w:sz w:val="22"/>
                <w:szCs w:val="22"/>
                <w:lang w:val="zh-CN"/>
              </w:rPr>
              <w:t>供应商廉洁自律承诺书</w:t>
            </w:r>
            <w:r>
              <w:rPr>
                <w:rFonts w:hint="eastAsia" w:ascii="仿宋" w:hAnsi="仿宋" w:eastAsia="仿宋" w:cs="仿宋"/>
                <w:sz w:val="22"/>
                <w:szCs w:val="2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z w:val="22"/>
                <w:szCs w:val="22"/>
              </w:rPr>
              <w:t>5</w:t>
            </w:r>
          </w:p>
        </w:tc>
        <w:tc>
          <w:tcPr>
            <w:tcW w:w="2195" w:type="dxa"/>
            <w:vAlign w:val="center"/>
          </w:tcPr>
          <w:p>
            <w:pPr>
              <w:spacing w:before="78" w:line="360" w:lineRule="auto"/>
              <w:jc w:val="center"/>
              <w:rPr>
                <w:rFonts w:ascii="仿宋" w:hAnsi="仿宋" w:eastAsia="仿宋" w:cs="仿宋"/>
                <w:spacing w:val="-1"/>
                <w:sz w:val="22"/>
                <w:szCs w:val="22"/>
              </w:rPr>
            </w:pPr>
            <w:r>
              <w:rPr>
                <w:rFonts w:hint="eastAsia" w:ascii="仿宋" w:hAnsi="仿宋" w:eastAsia="仿宋" w:cs="仿宋"/>
                <w:spacing w:val="-1"/>
                <w:sz w:val="22"/>
                <w:szCs w:val="22"/>
              </w:rPr>
              <w:t>无其他磋商文件或法</w:t>
            </w:r>
          </w:p>
          <w:p>
            <w:pPr>
              <w:spacing w:before="78" w:line="360" w:lineRule="auto"/>
              <w:jc w:val="center"/>
              <w:rPr>
                <w:rFonts w:ascii="仿宋" w:hAnsi="仿宋" w:eastAsia="仿宋" w:cs="仿宋"/>
                <w:spacing w:val="-1"/>
                <w:sz w:val="22"/>
                <w:szCs w:val="22"/>
              </w:rPr>
            </w:pPr>
            <w:r>
              <w:rPr>
                <w:rFonts w:hint="eastAsia" w:ascii="仿宋" w:hAnsi="仿宋" w:eastAsia="仿宋" w:cs="仿宋"/>
                <w:spacing w:val="-1"/>
                <w:sz w:val="22"/>
                <w:szCs w:val="22"/>
              </w:rPr>
              <w:t>规明确规定响应无效</w:t>
            </w:r>
          </w:p>
          <w:p>
            <w:pPr>
              <w:spacing w:before="78" w:line="360" w:lineRule="auto"/>
              <w:jc w:val="center"/>
              <w:rPr>
                <w:rFonts w:ascii="仿宋" w:hAnsi="仿宋" w:eastAsia="仿宋" w:cs="仿宋"/>
                <w:spacing w:val="-1"/>
                <w:sz w:val="22"/>
                <w:szCs w:val="22"/>
              </w:rPr>
            </w:pPr>
            <w:r>
              <w:rPr>
                <w:rFonts w:hint="eastAsia" w:ascii="仿宋" w:hAnsi="仿宋" w:eastAsia="仿宋" w:cs="仿宋"/>
                <w:spacing w:val="-1"/>
                <w:sz w:val="22"/>
                <w:szCs w:val="22"/>
              </w:rPr>
              <w:t>的事项</w:t>
            </w:r>
          </w:p>
        </w:tc>
        <w:tc>
          <w:tcPr>
            <w:tcW w:w="6019" w:type="dxa"/>
            <w:vAlign w:val="center"/>
          </w:tcPr>
          <w:p>
            <w:pPr>
              <w:spacing w:line="360" w:lineRule="auto"/>
              <w:rPr>
                <w:rFonts w:ascii="仿宋" w:hAnsi="仿宋" w:eastAsia="仿宋" w:cs="仿宋"/>
                <w:sz w:val="22"/>
                <w:szCs w:val="22"/>
              </w:rPr>
            </w:pPr>
            <w:r>
              <w:rPr>
                <w:rFonts w:hint="eastAsia" w:ascii="仿宋" w:hAnsi="仿宋" w:eastAsia="仿宋" w:cs="仿宋"/>
                <w:sz w:val="22"/>
                <w:szCs w:val="22"/>
              </w:rPr>
              <w:t xml:space="preserve">没有不符合磋商文件规定的被视为无效响应的其他条款。 </w:t>
            </w:r>
          </w:p>
        </w:tc>
      </w:tr>
    </w:tbl>
    <w:p>
      <w:pPr>
        <w:tabs>
          <w:tab w:val="left" w:pos="9030"/>
        </w:tabs>
        <w:snapToGrid w:val="0"/>
        <w:spacing w:line="360" w:lineRule="auto"/>
        <w:ind w:right="-65" w:firstLine="482" w:firstLineChars="200"/>
        <w:rPr>
          <w:rFonts w:ascii="仿宋" w:hAnsi="仿宋" w:eastAsia="仿宋" w:cs="仿宋"/>
          <w:sz w:val="24"/>
          <w:szCs w:val="24"/>
        </w:rPr>
      </w:pPr>
      <w:r>
        <w:rPr>
          <w:rFonts w:hint="eastAsia" w:ascii="仿宋" w:hAnsi="仿宋" w:eastAsia="仿宋" w:cs="仿宋"/>
          <w:b/>
          <w:bCs/>
          <w:sz w:val="24"/>
          <w:szCs w:val="24"/>
          <w:lang w:val="zh-CN"/>
        </w:rPr>
        <w:t>说明：符合性审查结束后，符合性审核人员当对审查结果进行签字确认。若供应商符合性审查未通过，注明未通过原因并告知其供应商。符合性审查不合格的供应商，不得进入单一磋商环节。</w:t>
      </w:r>
    </w:p>
    <w:p>
      <w:pPr>
        <w:tabs>
          <w:tab w:val="left" w:pos="9030"/>
        </w:tabs>
        <w:snapToGrid w:val="0"/>
        <w:spacing w:line="360" w:lineRule="auto"/>
        <w:ind w:right="-65" w:firstLine="482" w:firstLineChars="200"/>
        <w:outlineLvl w:val="2"/>
        <w:rPr>
          <w:rFonts w:ascii="仿宋" w:hAnsi="仿宋" w:eastAsia="仿宋" w:cs="仿宋"/>
          <w:sz w:val="24"/>
          <w:szCs w:val="24"/>
        </w:rPr>
      </w:pPr>
      <w:bookmarkStart w:id="253" w:name="_Toc24979"/>
      <w:r>
        <w:rPr>
          <w:rFonts w:hint="eastAsia" w:ascii="仿宋" w:hAnsi="仿宋" w:eastAsia="仿宋" w:cs="仿宋"/>
          <w:b/>
          <w:bCs/>
          <w:sz w:val="24"/>
          <w:szCs w:val="24"/>
        </w:rPr>
        <w:t>（三）磋商响应文件的澄清、说明或者更正</w:t>
      </w:r>
      <w:bookmarkEnd w:id="250"/>
      <w:bookmarkEnd w:id="251"/>
      <w:bookmarkEnd w:id="252"/>
      <w:bookmarkEnd w:id="253"/>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3、报价出现前后不一致的，按照下列规定修正：</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磋商响应文件中第一次磋商报价表内容与磋商响应文件中相应内容不一致的，以第一次磋商报价表为准；</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大写金额和小写金额不一致的，以大写金额为准；</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单价金额小数点或者百分比有明显错位的，以第一次磋商报价表的总价为准，并修改单价；</w:t>
      </w:r>
    </w:p>
    <w:p>
      <w:pPr>
        <w:tabs>
          <w:tab w:val="left" w:pos="9030"/>
        </w:tabs>
        <w:snapToGrid w:val="0"/>
        <w:spacing w:line="360" w:lineRule="auto"/>
        <w:ind w:right="-65" w:firstLine="480" w:firstLineChars="200"/>
        <w:rPr>
          <w:rFonts w:ascii="仿宋" w:hAnsi="仿宋" w:eastAsia="仿宋" w:cs="仿宋"/>
          <w:b/>
          <w:bCs/>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总价金额与按单价汇总金额不一致的，以单价金额计算结果为准。同时</w:t>
      </w:r>
      <w:r>
        <w:rPr>
          <w:rFonts w:hint="eastAsia" w:ascii="仿宋" w:hAnsi="仿宋" w:eastAsia="仿宋" w:cs="仿宋"/>
          <w:b/>
          <w:bCs/>
          <w:sz w:val="24"/>
          <w:szCs w:val="24"/>
          <w:lang w:val="zh-CN"/>
        </w:rPr>
        <w:t>出现两种以上不一致的，按照前款规定的顺序修正。修正后的报价经供应商书面确认后产生约束力，供应商不确认的，其磋商无效。</w:t>
      </w:r>
    </w:p>
    <w:p>
      <w:pPr>
        <w:tabs>
          <w:tab w:val="left" w:pos="9030"/>
        </w:tabs>
        <w:snapToGrid w:val="0"/>
        <w:spacing w:line="360" w:lineRule="auto"/>
        <w:ind w:right="-65" w:firstLine="482" w:firstLineChars="200"/>
        <w:outlineLvl w:val="2"/>
        <w:rPr>
          <w:rFonts w:ascii="仿宋" w:hAnsi="仿宋" w:eastAsia="仿宋" w:cs="仿宋"/>
          <w:sz w:val="24"/>
          <w:szCs w:val="24"/>
          <w:lang w:val="zh-CN"/>
        </w:rPr>
      </w:pPr>
      <w:bookmarkStart w:id="254" w:name="_Toc15145"/>
      <w:bookmarkStart w:id="255" w:name="_Toc26350"/>
      <w:bookmarkStart w:id="256" w:name="_Toc13624"/>
      <w:bookmarkStart w:id="257" w:name="_Toc10917"/>
      <w:r>
        <w:rPr>
          <w:rFonts w:hint="eastAsia" w:ascii="仿宋" w:hAnsi="仿宋" w:eastAsia="仿宋" w:cs="仿宋"/>
          <w:b/>
          <w:bCs/>
          <w:sz w:val="24"/>
          <w:szCs w:val="24"/>
          <w:lang w:val="zh-CN"/>
        </w:rPr>
        <w:t>（四）供应商存在下列情况之一的，磋商无效</w:t>
      </w:r>
      <w:bookmarkEnd w:id="254"/>
      <w:bookmarkEnd w:id="255"/>
      <w:bookmarkEnd w:id="256"/>
      <w:bookmarkEnd w:id="257"/>
    </w:p>
    <w:p>
      <w:pPr>
        <w:tabs>
          <w:tab w:val="left" w:pos="9030"/>
        </w:tabs>
        <w:snapToGrid w:val="0"/>
        <w:spacing w:line="360" w:lineRule="auto"/>
        <w:ind w:right="-65" w:firstLine="480" w:firstLineChars="200"/>
        <w:rPr>
          <w:rFonts w:ascii="仿宋" w:hAnsi="仿宋" w:eastAsia="仿宋" w:cs="仿宋"/>
          <w:kern w:val="0"/>
          <w:sz w:val="24"/>
          <w:szCs w:val="24"/>
        </w:rPr>
      </w:pPr>
      <w:r>
        <w:rPr>
          <w:rFonts w:hint="eastAsia" w:ascii="仿宋" w:hAnsi="仿宋" w:eastAsia="仿宋" w:cs="仿宋"/>
          <w:kern w:val="0"/>
          <w:sz w:val="24"/>
          <w:szCs w:val="24"/>
        </w:rPr>
        <w:t>1、供应商没有经过正常渠道获取磋商文件或供应商的名称与登记领取磋商文件单位的名称不符。</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kern w:val="0"/>
          <w:sz w:val="24"/>
          <w:szCs w:val="24"/>
        </w:rPr>
        <w:t>2、</w:t>
      </w:r>
      <w:r>
        <w:rPr>
          <w:rFonts w:hint="eastAsia" w:ascii="仿宋" w:hAnsi="仿宋" w:eastAsia="仿宋" w:cs="仿宋"/>
          <w:sz w:val="24"/>
          <w:szCs w:val="24"/>
          <w:lang w:val="zh-CN"/>
        </w:rPr>
        <w:t>不具备磋商文件中规定的资格要求的或提供的资格要求文件不符合磋商文件要求的；</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、磋商响应文件递交份数不符合磋商文件要求的；</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、磋商响应文件含有采购人不能接受的附加条件的;</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供应商串通参加磋商活动的，出现以下情形之一的：①不同供应商的磋商响应文件由同一单位或者个人编制；②不同供应商委托同一单位或者个人办理磋商事宜；③不同供应商的磋商响应文件载明的项目管理成员或者联系人员为同一人；④不同供应商的磋商响应文件异常一致或者磋商报价呈规律性差异；⑤不同供应商的磋商响应文件相互混装；</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6</w:t>
      </w:r>
      <w:r>
        <w:rPr>
          <w:rFonts w:hint="eastAsia" w:ascii="仿宋" w:hAnsi="仿宋" w:eastAsia="仿宋" w:cs="仿宋"/>
          <w:sz w:val="24"/>
          <w:szCs w:val="24"/>
          <w:lang w:val="zh-CN"/>
        </w:rPr>
        <w:t>、供应商出现多份报价，出现选择性报价的；</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7</w:t>
      </w:r>
      <w:r>
        <w:rPr>
          <w:rFonts w:hint="eastAsia" w:ascii="仿宋" w:hAnsi="仿宋" w:eastAsia="仿宋" w:cs="仿宋"/>
          <w:sz w:val="24"/>
          <w:szCs w:val="24"/>
          <w:lang w:val="zh-CN"/>
        </w:rPr>
        <w:t>、磋商报价与市场价偏离较大，低于成本，形成不正当竞争；</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8</w:t>
      </w:r>
      <w:r>
        <w:rPr>
          <w:rFonts w:hint="eastAsia" w:ascii="仿宋" w:hAnsi="仿宋" w:eastAsia="仿宋" w:cs="仿宋"/>
          <w:sz w:val="24"/>
          <w:szCs w:val="24"/>
          <w:lang w:val="zh-CN"/>
        </w:rPr>
        <w:t>、提供虚假证明，开具虚假资质，出现虚假应答，除按无效标处理外，还进行相应的处罚；</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9</w:t>
      </w:r>
      <w:r>
        <w:rPr>
          <w:rFonts w:hint="eastAsia" w:ascii="仿宋" w:hAnsi="仿宋" w:eastAsia="仿宋" w:cs="仿宋"/>
          <w:sz w:val="24"/>
          <w:szCs w:val="24"/>
          <w:lang w:val="zh-CN"/>
        </w:rPr>
        <w:t>、报价超过磋商文件中规定的预算金额或者最高限价的。</w:t>
      </w:r>
    </w:p>
    <w:p>
      <w:pPr>
        <w:snapToGrid w:val="0"/>
        <w:spacing w:line="360" w:lineRule="auto"/>
        <w:ind w:firstLine="482" w:firstLineChars="200"/>
        <w:outlineLvl w:val="2"/>
        <w:rPr>
          <w:rFonts w:ascii="仿宋" w:hAnsi="仿宋" w:eastAsia="仿宋" w:cs="仿宋"/>
          <w:b/>
          <w:bCs/>
          <w:sz w:val="24"/>
          <w:szCs w:val="24"/>
        </w:rPr>
      </w:pPr>
      <w:bookmarkStart w:id="258" w:name="_Toc21482"/>
      <w:bookmarkStart w:id="259" w:name="_Toc15869"/>
      <w:bookmarkStart w:id="260" w:name="_Toc20207"/>
      <w:bookmarkStart w:id="261" w:name="_Toc30355"/>
      <w:r>
        <w:rPr>
          <w:rFonts w:hint="eastAsia" w:ascii="仿宋" w:hAnsi="仿宋" w:eastAsia="仿宋" w:cs="仿宋"/>
          <w:b/>
          <w:bCs/>
          <w:sz w:val="24"/>
          <w:szCs w:val="24"/>
        </w:rPr>
        <w:t>（五）磋商</w:t>
      </w:r>
      <w:bookmarkEnd w:id="258"/>
      <w:bookmarkEnd w:id="259"/>
      <w:bookmarkEnd w:id="260"/>
      <w:r>
        <w:rPr>
          <w:rFonts w:hint="eastAsia" w:ascii="仿宋" w:hAnsi="仿宋" w:eastAsia="仿宋" w:cs="仿宋"/>
          <w:b/>
          <w:bCs/>
          <w:sz w:val="24"/>
          <w:szCs w:val="24"/>
        </w:rPr>
        <w:t>环节</w:t>
      </w:r>
      <w:bookmarkEnd w:id="261"/>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磋商小组所有成员与各供应商分别进行磋商，并给所有参加磋商供应商平等的磋商机会。</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360" w:lineRule="auto"/>
        <w:ind w:firstLine="480" w:firstLineChars="200"/>
        <w:rPr>
          <w:rFonts w:ascii="仿宋" w:hAnsi="仿宋" w:eastAsia="仿宋" w:cs="仿宋"/>
          <w:spacing w:val="-6"/>
          <w:sz w:val="24"/>
          <w:szCs w:val="24"/>
        </w:rPr>
      </w:pPr>
      <w:r>
        <w:rPr>
          <w:rFonts w:hint="eastAsia" w:ascii="仿宋" w:hAnsi="仿宋" w:eastAsia="仿宋" w:cs="仿宋"/>
          <w:sz w:val="24"/>
          <w:szCs w:val="24"/>
        </w:rPr>
        <w:t>2、</w:t>
      </w:r>
      <w:r>
        <w:rPr>
          <w:rFonts w:hint="eastAsia" w:ascii="仿宋" w:hAnsi="仿宋" w:eastAsia="仿宋" w:cs="仿宋"/>
          <w:spacing w:val="-6"/>
          <w:sz w:val="24"/>
          <w:szCs w:val="24"/>
        </w:rPr>
        <w:t>对磋商文件作出的实质性变动是磋商文件的有效组成部分，磋商小组应当及时以书面形式同时通知所有参加磋商的供应商。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napToGrid w:val="0"/>
        <w:spacing w:line="360" w:lineRule="auto"/>
        <w:ind w:firstLine="482" w:firstLineChars="200"/>
        <w:outlineLvl w:val="2"/>
        <w:rPr>
          <w:rFonts w:ascii="仿宋" w:hAnsi="仿宋" w:eastAsia="仿宋" w:cs="仿宋"/>
          <w:sz w:val="24"/>
          <w:szCs w:val="24"/>
        </w:rPr>
      </w:pPr>
      <w:bookmarkStart w:id="262" w:name="_Toc22968"/>
      <w:bookmarkStart w:id="263" w:name="_Toc21873"/>
      <w:bookmarkStart w:id="264" w:name="_Toc32415"/>
      <w:bookmarkStart w:id="265" w:name="_Toc16133"/>
      <w:r>
        <w:rPr>
          <w:rFonts w:hint="eastAsia" w:ascii="仿宋" w:hAnsi="仿宋" w:eastAsia="仿宋" w:cs="仿宋"/>
          <w:b/>
          <w:bCs/>
          <w:sz w:val="24"/>
          <w:szCs w:val="24"/>
        </w:rPr>
        <w:t>（六）最终报价</w:t>
      </w:r>
      <w:bookmarkEnd w:id="262"/>
      <w:bookmarkEnd w:id="263"/>
      <w:bookmarkEnd w:id="264"/>
      <w:bookmarkEnd w:id="265"/>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1、磋商文件能够详细列明采购标的的技术、服务要求的，磋商结束后，磋商小组应当要求所有实质性响应的供应商在规定时间内提交最后报价，提交最后报价的供应商不得少于3家。</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磋商文件不能详细列明采购标的的技术、服务要求，需经磋商由供应商提供最终设计方案或解决方案的，磋商结束后，磋商小组应当按照少数服从多数的原则投票推荐3家以上供应商的服务方案或者解决方案，并要求其在规定时间内提交最后报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3、最后报价是供应商响应文件的有效组成部分。</w:t>
      </w:r>
      <w:r>
        <w:rPr>
          <w:rFonts w:hint="eastAsia" w:ascii="仿宋" w:hAnsi="仿宋" w:eastAsia="仿宋" w:cs="仿宋"/>
          <w:snapToGrid w:val="0"/>
          <w:kern w:val="0"/>
          <w:sz w:val="24"/>
          <w:szCs w:val="24"/>
        </w:rPr>
        <w:t>符合</w:t>
      </w:r>
      <w:r>
        <w:rPr>
          <w:rFonts w:hint="eastAsia" w:ascii="仿宋" w:hAnsi="仿宋" w:eastAsia="仿宋" w:cs="仿宋"/>
          <w:sz w:val="24"/>
          <w:szCs w:val="24"/>
        </w:rPr>
        <w:t>《政府采购竞争性磋商采购方式管理暂行办法》</w:t>
      </w:r>
      <w:r>
        <w:rPr>
          <w:rFonts w:hint="eastAsia" w:ascii="仿宋" w:hAnsi="仿宋" w:eastAsia="仿宋" w:cs="仿宋"/>
          <w:snapToGrid w:val="0"/>
          <w:kern w:val="0"/>
          <w:sz w:val="24"/>
          <w:szCs w:val="24"/>
        </w:rPr>
        <w:t>第三条第四项情形的</w:t>
      </w:r>
      <w:r>
        <w:rPr>
          <w:rFonts w:hint="eastAsia" w:ascii="仿宋" w:hAnsi="仿宋" w:eastAsia="仿宋" w:cs="仿宋"/>
          <w:sz w:val="24"/>
          <w:szCs w:val="24"/>
        </w:rPr>
        <w:t>，提交最后报价的供应商可以为2家。</w:t>
      </w:r>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4、最后报价应按首次报价的格式内容填写，且由法定代表人（或授权代表人）签字。</w:t>
      </w:r>
    </w:p>
    <w:p>
      <w:pPr>
        <w:snapToGrid w:val="0"/>
        <w:spacing w:line="360" w:lineRule="auto"/>
        <w:ind w:firstLine="482" w:firstLineChars="200"/>
        <w:outlineLvl w:val="2"/>
        <w:rPr>
          <w:rFonts w:ascii="仿宋" w:hAnsi="仿宋" w:eastAsia="仿宋" w:cs="仿宋"/>
          <w:b/>
          <w:bCs/>
          <w:sz w:val="24"/>
          <w:szCs w:val="24"/>
        </w:rPr>
      </w:pPr>
      <w:bookmarkStart w:id="266" w:name="_Toc2211"/>
      <w:bookmarkStart w:id="267" w:name="_Toc10188"/>
      <w:bookmarkStart w:id="268" w:name="_Toc2197"/>
      <w:bookmarkStart w:id="269" w:name="_Toc8219"/>
      <w:r>
        <w:rPr>
          <w:rFonts w:hint="eastAsia" w:ascii="仿宋" w:hAnsi="仿宋" w:eastAsia="仿宋" w:cs="仿宋"/>
          <w:b/>
          <w:bCs/>
          <w:sz w:val="24"/>
          <w:szCs w:val="24"/>
        </w:rPr>
        <w:t>（七）</w:t>
      </w:r>
      <w:r>
        <w:rPr>
          <w:rFonts w:hint="eastAsia" w:ascii="仿宋" w:hAnsi="仿宋" w:eastAsia="仿宋" w:cs="仿宋"/>
          <w:b/>
          <w:bCs/>
          <w:sz w:val="24"/>
          <w:szCs w:val="24"/>
          <w:lang w:val="zh-CN"/>
        </w:rPr>
        <w:t>比较与评价</w:t>
      </w:r>
      <w:bookmarkEnd w:id="266"/>
      <w:bookmarkEnd w:id="267"/>
      <w:bookmarkEnd w:id="268"/>
      <w:bookmarkEnd w:id="269"/>
    </w:p>
    <w:p>
      <w:pPr>
        <w:snapToGrid w:val="0"/>
        <w:spacing w:line="360" w:lineRule="auto"/>
        <w:ind w:firstLine="480" w:firstLineChars="200"/>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1.经磋商确定最终采购需求和提交最后报价的供应商后，由磋商小组采用综合评分法对提交最后报价的供应商的响应文件和最后报价进行综合评分。</w:t>
      </w:r>
    </w:p>
    <w:p>
      <w:pPr>
        <w:snapToGrid w:val="0"/>
        <w:spacing w:line="360" w:lineRule="auto"/>
        <w:ind w:firstLine="480" w:firstLineChars="200"/>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2.评审方法：采用综合评分法，即对响应文件满足磋商文件全部实质性要求且按评审因素的量化指标评审得分最高的供应商为成交候选供应商的评审方法。</w:t>
      </w:r>
    </w:p>
    <w:p>
      <w:pPr>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3.评标因素及权重分解表（总计100分）</w:t>
      </w:r>
    </w:p>
    <w:p>
      <w:pPr>
        <w:pStyle w:val="9"/>
        <w:spacing w:line="360" w:lineRule="auto"/>
        <w:ind w:firstLine="480" w:firstLineChars="200"/>
        <w:rPr>
          <w:rFonts w:eastAsia="仿宋"/>
        </w:rPr>
      </w:pPr>
      <w:r>
        <w:rPr>
          <w:rFonts w:hint="eastAsia" w:ascii="仿宋" w:hAnsi="仿宋" w:eastAsia="仿宋" w:cs="仿宋"/>
          <w:bCs/>
          <w:snapToGrid w:val="0"/>
          <w:kern w:val="0"/>
          <w:szCs w:val="24"/>
          <w:lang w:val="zh-CN"/>
        </w:rPr>
        <w:t>权重：商务评审</w:t>
      </w:r>
      <w:r>
        <w:rPr>
          <w:rFonts w:hint="eastAsia" w:ascii="仿宋" w:hAnsi="仿宋" w:eastAsia="仿宋" w:cs="仿宋"/>
          <w:bCs/>
          <w:snapToGrid w:val="0"/>
          <w:kern w:val="0"/>
          <w:szCs w:val="24"/>
        </w:rPr>
        <w:t>25%，技术评审75%。</w:t>
      </w:r>
    </w:p>
    <w:tbl>
      <w:tblPr>
        <w:tblStyle w:val="25"/>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414"/>
        <w:gridCol w:w="5808"/>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675" w:type="dxa"/>
            <w:gridSpan w:val="2"/>
            <w:vAlign w:val="center"/>
          </w:tcPr>
          <w:p>
            <w:pPr>
              <w:jc w:val="center"/>
              <w:rPr>
                <w:rFonts w:ascii="仿宋" w:hAnsi="仿宋" w:eastAsia="仿宋" w:cs="仿宋"/>
                <w:b/>
                <w:sz w:val="24"/>
                <w:szCs w:val="24"/>
              </w:rPr>
            </w:pPr>
            <w:r>
              <w:rPr>
                <w:rFonts w:hint="eastAsia" w:ascii="仿宋" w:hAnsi="仿宋" w:eastAsia="仿宋" w:cs="仿宋"/>
                <w:b/>
                <w:sz w:val="24"/>
                <w:szCs w:val="24"/>
              </w:rPr>
              <w:t>评审因素</w:t>
            </w:r>
          </w:p>
        </w:tc>
        <w:tc>
          <w:tcPr>
            <w:tcW w:w="5808" w:type="dxa"/>
            <w:vAlign w:val="center"/>
          </w:tcPr>
          <w:p>
            <w:pPr>
              <w:jc w:val="center"/>
              <w:rPr>
                <w:rFonts w:ascii="仿宋" w:hAnsi="仿宋" w:eastAsia="仿宋" w:cs="仿宋"/>
                <w:b/>
                <w:sz w:val="24"/>
                <w:szCs w:val="24"/>
              </w:rPr>
            </w:pPr>
            <w:r>
              <w:rPr>
                <w:rFonts w:hint="eastAsia" w:ascii="仿宋" w:hAnsi="仿宋" w:eastAsia="仿宋" w:cs="仿宋"/>
                <w:b/>
                <w:sz w:val="24"/>
                <w:szCs w:val="24"/>
              </w:rPr>
              <w:t>内     容</w:t>
            </w:r>
          </w:p>
        </w:tc>
        <w:tc>
          <w:tcPr>
            <w:tcW w:w="942" w:type="dxa"/>
            <w:vAlign w:val="center"/>
          </w:tcPr>
          <w:p>
            <w:pPr>
              <w:jc w:val="center"/>
              <w:rPr>
                <w:rFonts w:ascii="仿宋" w:hAnsi="仿宋" w:eastAsia="仿宋" w:cs="仿宋"/>
                <w:b/>
                <w:sz w:val="24"/>
                <w:szCs w:val="24"/>
              </w:rPr>
            </w:pPr>
            <w:r>
              <w:rPr>
                <w:rFonts w:hint="eastAsia" w:ascii="仿宋" w:hAnsi="仿宋" w:eastAsia="仿宋" w:cs="仿宋"/>
                <w:b/>
                <w:sz w:val="24"/>
                <w:szCs w:val="24"/>
              </w:rPr>
              <w:t>权值</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restart"/>
            <w:vAlign w:val="center"/>
          </w:tcPr>
          <w:p>
            <w:pPr>
              <w:tabs>
                <w:tab w:val="left" w:pos="420"/>
                <w:tab w:val="center" w:pos="4153"/>
                <w:tab w:val="right" w:pos="8306"/>
              </w:tabs>
              <w:adjustRightInd w:val="0"/>
              <w:jc w:val="center"/>
              <w:rPr>
                <w:rFonts w:ascii="仿宋" w:hAnsi="仿宋" w:eastAsia="仿宋" w:cs="仿宋"/>
                <w:kern w:val="0"/>
                <w:sz w:val="24"/>
                <w:szCs w:val="24"/>
              </w:rPr>
            </w:pPr>
            <w:r>
              <w:rPr>
                <w:rFonts w:hint="eastAsia" w:ascii="仿宋" w:hAnsi="仿宋" w:eastAsia="仿宋" w:cs="仿宋"/>
                <w:kern w:val="0"/>
                <w:sz w:val="24"/>
                <w:szCs w:val="24"/>
              </w:rPr>
              <w:t>商务评审</w:t>
            </w:r>
          </w:p>
          <w:p>
            <w:pPr>
              <w:tabs>
                <w:tab w:val="left" w:pos="420"/>
                <w:tab w:val="center" w:pos="4153"/>
                <w:tab w:val="right" w:pos="8306"/>
              </w:tabs>
              <w:adjustRightInd w:val="0"/>
              <w:jc w:val="center"/>
              <w:rPr>
                <w:rFonts w:ascii="仿宋" w:hAnsi="仿宋" w:eastAsia="仿宋" w:cs="仿宋"/>
                <w:kern w:val="0"/>
                <w:sz w:val="24"/>
                <w:szCs w:val="24"/>
              </w:rPr>
            </w:pPr>
            <w:r>
              <w:rPr>
                <w:rFonts w:hint="eastAsia" w:ascii="仿宋" w:hAnsi="仿宋" w:eastAsia="仿宋" w:cs="仿宋"/>
                <w:kern w:val="0"/>
                <w:sz w:val="24"/>
                <w:szCs w:val="24"/>
              </w:rPr>
              <w:t>（25分）</w:t>
            </w:r>
          </w:p>
        </w:tc>
        <w:tc>
          <w:tcPr>
            <w:tcW w:w="1414" w:type="dxa"/>
            <w:vAlign w:val="center"/>
          </w:tcPr>
          <w:p>
            <w:pPr>
              <w:tabs>
                <w:tab w:val="left" w:pos="420"/>
                <w:tab w:val="center" w:pos="4153"/>
                <w:tab w:val="right" w:pos="8306"/>
              </w:tabs>
              <w:adjustRightInd w:val="0"/>
              <w:jc w:val="center"/>
              <w:rPr>
                <w:rFonts w:ascii="仿宋" w:hAnsi="仿宋" w:eastAsia="仿宋" w:cs="仿宋"/>
                <w:kern w:val="0"/>
                <w:sz w:val="24"/>
                <w:szCs w:val="24"/>
              </w:rPr>
            </w:pPr>
          </w:p>
          <w:p>
            <w:pPr>
              <w:tabs>
                <w:tab w:val="left" w:pos="420"/>
                <w:tab w:val="center" w:pos="4153"/>
                <w:tab w:val="right" w:pos="8306"/>
              </w:tabs>
              <w:adjustRightInd w:val="0"/>
              <w:jc w:val="center"/>
              <w:rPr>
                <w:rFonts w:ascii="仿宋" w:hAnsi="仿宋" w:eastAsia="仿宋" w:cs="仿宋"/>
                <w:kern w:val="0"/>
                <w:sz w:val="24"/>
                <w:szCs w:val="24"/>
              </w:rPr>
            </w:pPr>
            <w:r>
              <w:rPr>
                <w:rFonts w:hint="eastAsia" w:ascii="仿宋" w:hAnsi="仿宋" w:eastAsia="仿宋" w:cs="仿宋"/>
                <w:kern w:val="0"/>
                <w:sz w:val="24"/>
                <w:szCs w:val="24"/>
              </w:rPr>
              <w:t>磋商报价</w:t>
            </w:r>
          </w:p>
          <w:p>
            <w:pPr>
              <w:tabs>
                <w:tab w:val="left" w:pos="420"/>
                <w:tab w:val="center" w:pos="4153"/>
                <w:tab w:val="right" w:pos="8306"/>
              </w:tabs>
              <w:adjustRightInd w:val="0"/>
              <w:jc w:val="center"/>
              <w:rPr>
                <w:rFonts w:ascii="仿宋" w:hAnsi="仿宋" w:eastAsia="仿宋" w:cs="仿宋"/>
                <w:kern w:val="0"/>
                <w:sz w:val="24"/>
                <w:szCs w:val="24"/>
              </w:rPr>
            </w:pPr>
          </w:p>
        </w:tc>
        <w:tc>
          <w:tcPr>
            <w:tcW w:w="5808" w:type="dxa"/>
            <w:vAlign w:val="center"/>
          </w:tcPr>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满足竞争性磋商文件要求且磋商总报价最低为评审基准价，其价格分为满分。</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报价得分=（评审基准价／磋商总报价）×权值×100。</w:t>
            </w:r>
          </w:p>
        </w:tc>
        <w:tc>
          <w:tcPr>
            <w:tcW w:w="942" w:type="dxa"/>
            <w:vAlign w:val="center"/>
          </w:tcPr>
          <w:p>
            <w:pPr>
              <w:jc w:val="center"/>
              <w:rPr>
                <w:rFonts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61" w:type="dxa"/>
            <w:vMerge w:val="continue"/>
            <w:vAlign w:val="center"/>
          </w:tcPr>
          <w:p>
            <w:pPr>
              <w:tabs>
                <w:tab w:val="left" w:pos="420"/>
                <w:tab w:val="center" w:pos="4153"/>
                <w:tab w:val="right" w:pos="8306"/>
              </w:tabs>
              <w:adjustRightInd w:val="0"/>
              <w:jc w:val="center"/>
              <w:rPr>
                <w:rFonts w:ascii="仿宋" w:hAnsi="仿宋" w:eastAsia="仿宋" w:cs="仿宋"/>
                <w:kern w:val="0"/>
                <w:sz w:val="24"/>
                <w:szCs w:val="24"/>
              </w:rPr>
            </w:pPr>
          </w:p>
        </w:tc>
        <w:tc>
          <w:tcPr>
            <w:tcW w:w="1414" w:type="dxa"/>
            <w:vAlign w:val="center"/>
          </w:tcPr>
          <w:p>
            <w:pPr>
              <w:tabs>
                <w:tab w:val="left" w:pos="420"/>
                <w:tab w:val="center" w:pos="4153"/>
                <w:tab w:val="right" w:pos="8306"/>
              </w:tabs>
              <w:adjustRightInd w:val="0"/>
              <w:jc w:val="center"/>
              <w:rPr>
                <w:rFonts w:ascii="仿宋" w:hAnsi="仿宋" w:eastAsia="仿宋" w:cs="仿宋"/>
                <w:kern w:val="0"/>
                <w:sz w:val="24"/>
                <w:szCs w:val="24"/>
              </w:rPr>
            </w:pPr>
            <w:r>
              <w:rPr>
                <w:rFonts w:hint="eastAsia" w:ascii="仿宋" w:hAnsi="仿宋" w:eastAsia="仿宋" w:cs="仿宋"/>
                <w:kern w:val="0"/>
                <w:sz w:val="24"/>
                <w:szCs w:val="24"/>
              </w:rPr>
              <w:t>商务条款</w:t>
            </w:r>
          </w:p>
          <w:p>
            <w:pPr>
              <w:tabs>
                <w:tab w:val="left" w:pos="420"/>
                <w:tab w:val="center" w:pos="4153"/>
                <w:tab w:val="right" w:pos="8306"/>
              </w:tabs>
              <w:adjustRightInd w:val="0"/>
              <w:jc w:val="center"/>
              <w:rPr>
                <w:rFonts w:ascii="仿宋" w:hAnsi="仿宋" w:eastAsia="仿宋" w:cs="仿宋"/>
                <w:kern w:val="0"/>
                <w:sz w:val="24"/>
                <w:szCs w:val="24"/>
              </w:rPr>
            </w:pPr>
            <w:r>
              <w:rPr>
                <w:rFonts w:hint="eastAsia" w:ascii="仿宋" w:hAnsi="仿宋" w:eastAsia="仿宋" w:cs="仿宋"/>
                <w:kern w:val="0"/>
                <w:sz w:val="24"/>
                <w:szCs w:val="24"/>
              </w:rPr>
              <w:t>响应程度</w:t>
            </w:r>
          </w:p>
        </w:tc>
        <w:tc>
          <w:tcPr>
            <w:tcW w:w="5808" w:type="dxa"/>
            <w:vAlign w:val="center"/>
          </w:tcPr>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1.磋商响应文件对付款、服务期等商务要求进行响应说明，根据响应程度计0-3分；</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2.磋商响应文件按磋商文件规定的格式、顺序编制，有目录、编页码，装订成册，书面整洁无涂改，没有缺漏项，价格数量等计算准确的，计0-2分，编制有偏差的由专家酌情扣分。</w:t>
            </w:r>
          </w:p>
        </w:tc>
        <w:tc>
          <w:tcPr>
            <w:tcW w:w="942" w:type="dxa"/>
            <w:vAlign w:val="center"/>
          </w:tcPr>
          <w:p>
            <w:pPr>
              <w:jc w:val="center"/>
              <w:rPr>
                <w:rFonts w:ascii="仿宋" w:hAnsi="仿宋" w:eastAsia="仿宋" w:cs="仿宋"/>
                <w:sz w:val="24"/>
                <w:szCs w:val="24"/>
              </w:rPr>
            </w:pPr>
            <w:r>
              <w:rPr>
                <w:rFonts w:hint="eastAsia" w:ascii="仿宋" w:hAnsi="仿宋" w:eastAsia="仿宋" w:cs="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61" w:type="dxa"/>
            <w:vMerge w:val="continue"/>
            <w:vAlign w:val="center"/>
          </w:tcPr>
          <w:p>
            <w:pPr>
              <w:tabs>
                <w:tab w:val="left" w:pos="420"/>
                <w:tab w:val="center" w:pos="4153"/>
                <w:tab w:val="right" w:pos="8306"/>
              </w:tabs>
              <w:adjustRightInd w:val="0"/>
              <w:jc w:val="center"/>
              <w:rPr>
                <w:rFonts w:ascii="仿宋" w:hAnsi="仿宋" w:eastAsia="仿宋" w:cs="仿宋"/>
                <w:kern w:val="0"/>
                <w:sz w:val="24"/>
                <w:szCs w:val="24"/>
              </w:rPr>
            </w:pPr>
          </w:p>
        </w:tc>
        <w:tc>
          <w:tcPr>
            <w:tcW w:w="1414" w:type="dxa"/>
            <w:vAlign w:val="center"/>
          </w:tcPr>
          <w:p>
            <w:pPr>
              <w:tabs>
                <w:tab w:val="left" w:pos="420"/>
                <w:tab w:val="center" w:pos="4153"/>
                <w:tab w:val="right" w:pos="8306"/>
              </w:tabs>
              <w:adjustRightInd w:val="0"/>
              <w:jc w:val="center"/>
              <w:rPr>
                <w:rFonts w:ascii="仿宋" w:hAnsi="仿宋" w:eastAsia="仿宋" w:cs="仿宋"/>
                <w:kern w:val="0"/>
                <w:sz w:val="24"/>
                <w:szCs w:val="24"/>
              </w:rPr>
            </w:pPr>
            <w:r>
              <w:rPr>
                <w:rFonts w:hint="eastAsia" w:ascii="仿宋" w:hAnsi="仿宋" w:eastAsia="仿宋" w:cs="仿宋"/>
                <w:kern w:val="0"/>
                <w:sz w:val="24"/>
                <w:szCs w:val="24"/>
              </w:rPr>
              <w:t>业绩</w:t>
            </w:r>
          </w:p>
        </w:tc>
        <w:tc>
          <w:tcPr>
            <w:tcW w:w="5808" w:type="dxa"/>
            <w:vAlign w:val="center"/>
          </w:tcPr>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供应商具有近三年（2019年8月至今以合同签订时间为准）的</w:t>
            </w:r>
            <w:r>
              <w:rPr>
                <w:rFonts w:hint="eastAsia" w:ascii="仿宋" w:hAnsi="仿宋" w:eastAsia="仿宋" w:cs="仿宋"/>
                <w:sz w:val="24"/>
                <w:szCs w:val="24"/>
                <w:lang w:eastAsia="zh-CN"/>
              </w:rPr>
              <w:t>同类</w:t>
            </w:r>
            <w:r>
              <w:rPr>
                <w:rFonts w:hint="eastAsia" w:ascii="仿宋" w:hAnsi="仿宋" w:eastAsia="仿宋" w:cs="仿宋"/>
                <w:sz w:val="24"/>
                <w:szCs w:val="24"/>
                <w:lang w:val="zh-CN"/>
              </w:rPr>
              <w:t>业绩证明文件</w:t>
            </w:r>
            <w:r>
              <w:rPr>
                <w:rFonts w:hint="eastAsia" w:ascii="仿宋" w:hAnsi="仿宋" w:eastAsia="仿宋" w:cs="仿宋"/>
                <w:sz w:val="24"/>
                <w:szCs w:val="24"/>
              </w:rPr>
              <w:t>，复印件加盖公章，每一份提供得2分，满分10分。</w:t>
            </w:r>
          </w:p>
        </w:tc>
        <w:tc>
          <w:tcPr>
            <w:tcW w:w="942" w:type="dxa"/>
            <w:vAlign w:val="center"/>
          </w:tcPr>
          <w:p>
            <w:pPr>
              <w:jc w:val="center"/>
              <w:rPr>
                <w:rFonts w:ascii="仿宋" w:hAnsi="仿宋" w:eastAsia="仿宋" w:cs="仿宋"/>
                <w:sz w:val="24"/>
                <w:szCs w:val="24"/>
              </w:rPr>
            </w:pPr>
            <w:r>
              <w:rPr>
                <w:rFonts w:hint="eastAsia" w:ascii="仿宋" w:hAnsi="仿宋" w:eastAsia="仿宋" w:cs="仿宋"/>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261" w:type="dxa"/>
            <w:vMerge w:val="restart"/>
            <w:vAlign w:val="center"/>
          </w:tcPr>
          <w:p>
            <w:pPr>
              <w:tabs>
                <w:tab w:val="left" w:pos="420"/>
                <w:tab w:val="center" w:pos="4153"/>
                <w:tab w:val="right" w:pos="8306"/>
              </w:tabs>
              <w:adjustRightInd w:val="0"/>
              <w:jc w:val="center"/>
              <w:rPr>
                <w:rFonts w:ascii="仿宋" w:hAnsi="仿宋" w:eastAsia="仿宋" w:cs="仿宋"/>
                <w:kern w:val="0"/>
                <w:sz w:val="24"/>
                <w:szCs w:val="24"/>
              </w:rPr>
            </w:pPr>
            <w:r>
              <w:rPr>
                <w:rFonts w:hint="eastAsia" w:ascii="仿宋" w:hAnsi="仿宋" w:eastAsia="仿宋" w:cs="仿宋"/>
                <w:kern w:val="0"/>
                <w:sz w:val="24"/>
                <w:szCs w:val="24"/>
              </w:rPr>
              <w:t>技术评审</w:t>
            </w:r>
          </w:p>
          <w:p>
            <w:pPr>
              <w:tabs>
                <w:tab w:val="left" w:pos="420"/>
                <w:tab w:val="center" w:pos="4153"/>
                <w:tab w:val="right" w:pos="8306"/>
              </w:tabs>
              <w:adjustRightInd w:val="0"/>
              <w:jc w:val="center"/>
              <w:rPr>
                <w:rFonts w:ascii="仿宋" w:hAnsi="仿宋" w:eastAsia="仿宋" w:cs="仿宋"/>
                <w:kern w:val="0"/>
                <w:sz w:val="24"/>
                <w:szCs w:val="24"/>
              </w:rPr>
            </w:pPr>
            <w:r>
              <w:rPr>
                <w:rFonts w:hint="eastAsia" w:ascii="仿宋" w:hAnsi="仿宋" w:eastAsia="仿宋" w:cs="仿宋"/>
                <w:kern w:val="0"/>
                <w:sz w:val="24"/>
                <w:szCs w:val="24"/>
              </w:rPr>
              <w:t>（75分）</w:t>
            </w:r>
          </w:p>
        </w:tc>
        <w:tc>
          <w:tcPr>
            <w:tcW w:w="1414" w:type="dxa"/>
            <w:vAlign w:val="center"/>
          </w:tcPr>
          <w:p>
            <w:pPr>
              <w:tabs>
                <w:tab w:val="left" w:pos="420"/>
                <w:tab w:val="center" w:pos="4153"/>
                <w:tab w:val="right" w:pos="8306"/>
              </w:tabs>
              <w:adjustRightInd w:val="0"/>
              <w:jc w:val="center"/>
              <w:rPr>
                <w:rFonts w:ascii="仿宋" w:hAnsi="仿宋" w:eastAsia="仿宋" w:cs="仿宋"/>
                <w:kern w:val="0"/>
                <w:sz w:val="24"/>
                <w:szCs w:val="24"/>
              </w:rPr>
            </w:pPr>
            <w:r>
              <w:rPr>
                <w:rFonts w:hint="eastAsia" w:ascii="仿宋" w:hAnsi="仿宋" w:eastAsia="仿宋" w:cs="仿宋"/>
                <w:kern w:val="0"/>
                <w:sz w:val="24"/>
                <w:szCs w:val="24"/>
              </w:rPr>
              <w:t>服务方案</w:t>
            </w:r>
          </w:p>
        </w:tc>
        <w:tc>
          <w:tcPr>
            <w:tcW w:w="5808" w:type="dxa"/>
            <w:vAlign w:val="center"/>
          </w:tcPr>
          <w:p>
            <w:pPr>
              <w:spacing w:line="360" w:lineRule="auto"/>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1.项目理解程度：包括但不限于对客户需求理解及应用功能综合分析程度、对用户数据中心、IT业务现状的了解、以及对此项目服务需求的理解等。根据方案的优劣程度计(0-9]分；</w:t>
            </w:r>
          </w:p>
          <w:p>
            <w:pPr>
              <w:spacing w:line="360" w:lineRule="auto"/>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2.系统运维方案：包括但不限于信息系统日常监控、信息系统安全管理、信息系统日常问题处理、故障分析处理及巡检、信息系统变更管理等。根据方案的优劣程度计(0-9]分；</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3.驻场运维方案：包括但不限于驻场服务设备配备情况、驻场维护人员工作职责、工作内容等。根据方案的优劣程度计(0-9]分；</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4.实施培训方案：结合项目要求，提供完善的实施、培训方案。方案中须对项目实施、服务内容有针对性的实施计划、培训计划。根据方案的优劣程度计(0-9]分；</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安全防护方案：为保证系统的安全性，服务商需提供云WAF安全防护系统，服务商应对云WAF产品进行功能特性及防护策略详细介绍，并针对云WAF提供详细的部署方案及运维管理方案。根据方案的优劣程度计(0-9]分；</w:t>
            </w:r>
          </w:p>
          <w:p>
            <w:pPr>
              <w:spacing w:line="360" w:lineRule="auto"/>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注：不提供不计分。</w:t>
            </w:r>
          </w:p>
        </w:tc>
        <w:tc>
          <w:tcPr>
            <w:tcW w:w="942" w:type="dxa"/>
            <w:vAlign w:val="center"/>
          </w:tcPr>
          <w:p>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261" w:type="dxa"/>
            <w:vMerge w:val="continue"/>
            <w:vAlign w:val="center"/>
          </w:tcPr>
          <w:p>
            <w:pPr>
              <w:tabs>
                <w:tab w:val="left" w:pos="420"/>
                <w:tab w:val="center" w:pos="4153"/>
                <w:tab w:val="right" w:pos="8306"/>
              </w:tabs>
              <w:adjustRightInd w:val="0"/>
              <w:jc w:val="center"/>
              <w:rPr>
                <w:rFonts w:ascii="仿宋" w:hAnsi="仿宋" w:eastAsia="仿宋" w:cs="仿宋"/>
                <w:kern w:val="0"/>
                <w:sz w:val="24"/>
                <w:szCs w:val="24"/>
              </w:rPr>
            </w:pPr>
          </w:p>
        </w:tc>
        <w:tc>
          <w:tcPr>
            <w:tcW w:w="1414" w:type="dxa"/>
            <w:vAlign w:val="center"/>
          </w:tcPr>
          <w:p>
            <w:pPr>
              <w:tabs>
                <w:tab w:val="left" w:pos="420"/>
                <w:tab w:val="center" w:pos="4153"/>
                <w:tab w:val="right" w:pos="8306"/>
              </w:tabs>
              <w:adjustRightInd w:val="0"/>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企业实力</w:t>
            </w:r>
          </w:p>
        </w:tc>
        <w:tc>
          <w:tcPr>
            <w:tcW w:w="5808" w:type="dxa"/>
            <w:vAlign w:val="center"/>
          </w:tcPr>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1.供应商具备ISO9001、ISO20000和ISO27001证书，每提供一项得1分，满分3分，</w:t>
            </w:r>
            <w:r>
              <w:rPr>
                <w:rFonts w:hint="eastAsia" w:ascii="仿宋" w:hAnsi="仿宋" w:eastAsia="仿宋" w:cs="仿宋"/>
                <w:sz w:val="24"/>
                <w:szCs w:val="24"/>
              </w:rPr>
              <w:t>不提供不计分</w:t>
            </w:r>
            <w:r>
              <w:rPr>
                <w:rFonts w:hint="eastAsia" w:ascii="仿宋" w:hAnsi="仿宋" w:eastAsia="仿宋" w:cs="仿宋"/>
                <w:sz w:val="24"/>
                <w:szCs w:val="24"/>
                <w:lang w:eastAsia="zh-CN"/>
              </w:rPr>
              <w:t>；</w:t>
            </w:r>
          </w:p>
          <w:p>
            <w:p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2.供应商具备协同办公平台著作权得1分，</w:t>
            </w:r>
            <w:r>
              <w:rPr>
                <w:rFonts w:hint="eastAsia" w:ascii="仿宋" w:hAnsi="仿宋" w:eastAsia="仿宋" w:cs="仿宋"/>
                <w:sz w:val="24"/>
                <w:szCs w:val="24"/>
              </w:rPr>
              <w:t>不提供不计分</w:t>
            </w:r>
            <w:r>
              <w:rPr>
                <w:rFonts w:hint="eastAsia" w:ascii="仿宋" w:hAnsi="仿宋" w:eastAsia="仿宋" w:cs="仿宋"/>
                <w:sz w:val="24"/>
                <w:szCs w:val="24"/>
                <w:lang w:eastAsia="zh-CN"/>
              </w:rPr>
              <w:t>；</w:t>
            </w:r>
          </w:p>
          <w:p>
            <w:pPr>
              <w:spacing w:line="360" w:lineRule="auto"/>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3.供应商具备移动办公平台著作权，得1分，</w:t>
            </w:r>
            <w:r>
              <w:rPr>
                <w:rFonts w:hint="eastAsia" w:ascii="仿宋" w:hAnsi="仿宋" w:eastAsia="仿宋" w:cs="仿宋"/>
                <w:sz w:val="24"/>
                <w:szCs w:val="24"/>
              </w:rPr>
              <w:t>不提供不计分。</w:t>
            </w:r>
          </w:p>
        </w:tc>
        <w:tc>
          <w:tcPr>
            <w:tcW w:w="942" w:type="dxa"/>
            <w:vAlign w:val="center"/>
          </w:tcPr>
          <w:p>
            <w:pPr>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261" w:type="dxa"/>
            <w:vMerge w:val="continue"/>
            <w:vAlign w:val="center"/>
          </w:tcPr>
          <w:p>
            <w:pPr>
              <w:tabs>
                <w:tab w:val="left" w:pos="420"/>
                <w:tab w:val="center" w:pos="4153"/>
                <w:tab w:val="right" w:pos="8306"/>
              </w:tabs>
              <w:adjustRightInd w:val="0"/>
              <w:jc w:val="center"/>
              <w:rPr>
                <w:rFonts w:ascii="仿宋" w:hAnsi="仿宋" w:eastAsia="仿宋" w:cs="仿宋"/>
                <w:kern w:val="0"/>
                <w:sz w:val="24"/>
                <w:szCs w:val="24"/>
                <w:lang w:val="zh-CN"/>
              </w:rPr>
            </w:pPr>
          </w:p>
        </w:tc>
        <w:tc>
          <w:tcPr>
            <w:tcW w:w="1414" w:type="dxa"/>
            <w:vAlign w:val="center"/>
          </w:tcPr>
          <w:p>
            <w:pPr>
              <w:tabs>
                <w:tab w:val="left" w:pos="420"/>
                <w:tab w:val="center" w:pos="4153"/>
                <w:tab w:val="right" w:pos="8306"/>
              </w:tabs>
              <w:adjustRightInd w:val="0"/>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rPr>
              <w:t>拟投入人员情况</w:t>
            </w:r>
          </w:p>
        </w:tc>
        <w:tc>
          <w:tcPr>
            <w:tcW w:w="5808" w:type="dxa"/>
            <w:vAlign w:val="center"/>
          </w:tcPr>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针对本项目提供项目负责人及其团队配备情况：</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1.人员配备分工合理、经验丰富、具备较高的专业素质及能力、</w:t>
            </w:r>
            <w:r>
              <w:rPr>
                <w:rFonts w:hint="eastAsia" w:ascii="仿宋" w:hAnsi="仿宋" w:eastAsia="仿宋" w:cs="仿宋"/>
                <w:sz w:val="24"/>
                <w:szCs w:val="24"/>
                <w:lang w:val="en-US" w:eastAsia="zh-CN"/>
              </w:rPr>
              <w:t>人员数量</w:t>
            </w:r>
            <w:r>
              <w:rPr>
                <w:rFonts w:hint="eastAsia" w:ascii="仿宋" w:hAnsi="仿宋" w:eastAsia="仿宋" w:cs="仿宋"/>
                <w:sz w:val="24"/>
                <w:szCs w:val="24"/>
              </w:rPr>
              <w:t>满足或优于采购需求的的得</w:t>
            </w:r>
            <w:r>
              <w:rPr>
                <w:rFonts w:hint="eastAsia" w:ascii="仿宋" w:hAnsi="仿宋" w:eastAsia="仿宋" w:cs="仿宋"/>
                <w:sz w:val="24"/>
                <w:szCs w:val="24"/>
                <w:lang w:val="en-US" w:eastAsia="zh-CN"/>
              </w:rPr>
              <w:t>(5-10]</w:t>
            </w:r>
            <w:r>
              <w:rPr>
                <w:rFonts w:hint="eastAsia" w:ascii="仿宋" w:hAnsi="仿宋" w:eastAsia="仿宋" w:cs="仿宋"/>
                <w:sz w:val="24"/>
                <w:szCs w:val="24"/>
              </w:rPr>
              <w:t>分；</w:t>
            </w:r>
          </w:p>
          <w:p>
            <w:p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2.人员配备情况一般</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人员数量</w:t>
            </w:r>
            <w:r>
              <w:rPr>
                <w:rFonts w:hint="eastAsia" w:ascii="仿宋" w:hAnsi="仿宋" w:eastAsia="仿宋" w:cs="仿宋"/>
                <w:sz w:val="24"/>
                <w:szCs w:val="24"/>
              </w:rPr>
              <w:t>基本满足采购需求的得</w:t>
            </w:r>
            <w:r>
              <w:rPr>
                <w:rFonts w:hint="eastAsia" w:ascii="仿宋" w:hAnsi="仿宋" w:eastAsia="仿宋" w:cs="仿宋"/>
                <w:sz w:val="24"/>
                <w:szCs w:val="24"/>
                <w:lang w:val="en-US" w:eastAsia="zh-CN"/>
              </w:rPr>
              <w:t>(0-5]</w:t>
            </w:r>
            <w:r>
              <w:rPr>
                <w:rFonts w:hint="eastAsia" w:ascii="仿宋" w:hAnsi="仿宋" w:eastAsia="仿宋" w:cs="仿宋"/>
                <w:sz w:val="24"/>
                <w:szCs w:val="24"/>
              </w:rPr>
              <w:t>分</w:t>
            </w:r>
            <w:r>
              <w:rPr>
                <w:rFonts w:hint="eastAsia" w:ascii="仿宋" w:hAnsi="仿宋" w:eastAsia="仿宋" w:cs="仿宋"/>
                <w:sz w:val="24"/>
                <w:szCs w:val="24"/>
                <w:lang w:eastAsia="zh-CN"/>
              </w:rPr>
              <w:t>；</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注：提供所配备人员的近6个月社保缴纳证明并加盖单位公章。</w:t>
            </w:r>
          </w:p>
        </w:tc>
        <w:tc>
          <w:tcPr>
            <w:tcW w:w="942" w:type="dxa"/>
            <w:vAlign w:val="center"/>
          </w:tcPr>
          <w:p>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261" w:type="dxa"/>
            <w:vMerge w:val="continue"/>
            <w:vAlign w:val="center"/>
          </w:tcPr>
          <w:p>
            <w:pPr>
              <w:tabs>
                <w:tab w:val="left" w:pos="420"/>
                <w:tab w:val="center" w:pos="4153"/>
                <w:tab w:val="right" w:pos="8306"/>
              </w:tabs>
              <w:adjustRightInd w:val="0"/>
              <w:jc w:val="center"/>
              <w:rPr>
                <w:rFonts w:ascii="仿宋" w:hAnsi="仿宋" w:eastAsia="仿宋" w:cs="仿宋"/>
                <w:kern w:val="0"/>
                <w:sz w:val="24"/>
                <w:szCs w:val="24"/>
                <w:lang w:val="zh-CN"/>
              </w:rPr>
            </w:pPr>
          </w:p>
        </w:tc>
        <w:tc>
          <w:tcPr>
            <w:tcW w:w="1414" w:type="dxa"/>
            <w:vAlign w:val="center"/>
          </w:tcPr>
          <w:p>
            <w:pPr>
              <w:tabs>
                <w:tab w:val="left" w:pos="420"/>
                <w:tab w:val="center" w:pos="4153"/>
                <w:tab w:val="right" w:pos="8306"/>
              </w:tabs>
              <w:adjustRightInd w:val="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服务承诺</w:t>
            </w:r>
          </w:p>
        </w:tc>
        <w:tc>
          <w:tcPr>
            <w:tcW w:w="5808" w:type="dxa"/>
            <w:vAlign w:val="center"/>
          </w:tcPr>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供应商依据以下提供服务承诺书，格式自拟，不提供不计分：</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1.全年不限次数修改，问题响应时间5分钟，根据问题大小承诺2天内完成升级。</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2.出具服务期内对现有功能的不限次的代码维护及版本升级承诺书。</w:t>
            </w:r>
          </w:p>
          <w:p>
            <w:pPr>
              <w:spacing w:line="360" w:lineRule="auto"/>
              <w:ind w:firstLine="480" w:firstLineChars="200"/>
              <w:jc w:val="left"/>
              <w:rPr>
                <w:rFonts w:hint="default" w:eastAsia="仿宋"/>
                <w:lang w:val="en-US" w:eastAsia="zh-CN"/>
              </w:rPr>
            </w:pPr>
            <w:r>
              <w:rPr>
                <w:rFonts w:hint="eastAsia" w:ascii="仿宋" w:hAnsi="仿宋" w:eastAsia="仿宋" w:cs="仿宋"/>
                <w:sz w:val="24"/>
                <w:szCs w:val="24"/>
                <w:lang w:val="en-US" w:eastAsia="zh-CN"/>
              </w:rPr>
              <w:t>3.承诺整个版本随着外网办公要求而升级。</w:t>
            </w:r>
          </w:p>
        </w:tc>
        <w:tc>
          <w:tcPr>
            <w:tcW w:w="942" w:type="dxa"/>
            <w:vAlign w:val="center"/>
          </w:tcPr>
          <w:p>
            <w:pPr>
              <w:spacing w:line="360" w:lineRule="auto"/>
              <w:jc w:val="center"/>
              <w:rPr>
                <w:rFonts w:hint="eastAsia" w:ascii="仿宋" w:hAnsi="仿宋" w:eastAsia="仿宋" w:cs="Times New Roman"/>
                <w:kern w:val="2"/>
                <w:sz w:val="24"/>
                <w:lang w:val="en-US" w:eastAsia="zh-CN" w:bidi="ar-SA"/>
              </w:rPr>
            </w:pPr>
            <w:r>
              <w:rPr>
                <w:rFonts w:hint="eastAsia" w:ascii="仿宋" w:hAnsi="仿宋" w:eastAsia="仿宋"/>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261" w:type="dxa"/>
            <w:vMerge w:val="continue"/>
            <w:vAlign w:val="center"/>
          </w:tcPr>
          <w:p>
            <w:pPr>
              <w:tabs>
                <w:tab w:val="left" w:pos="420"/>
                <w:tab w:val="center" w:pos="4153"/>
                <w:tab w:val="right" w:pos="8306"/>
              </w:tabs>
              <w:adjustRightInd w:val="0"/>
              <w:jc w:val="center"/>
              <w:rPr>
                <w:rFonts w:ascii="仿宋" w:hAnsi="仿宋" w:eastAsia="仿宋" w:cs="仿宋"/>
                <w:kern w:val="0"/>
                <w:sz w:val="24"/>
                <w:szCs w:val="24"/>
                <w:lang w:val="zh-CN"/>
              </w:rPr>
            </w:pPr>
          </w:p>
        </w:tc>
        <w:tc>
          <w:tcPr>
            <w:tcW w:w="1414" w:type="dxa"/>
            <w:vAlign w:val="center"/>
          </w:tcPr>
          <w:p>
            <w:pPr>
              <w:tabs>
                <w:tab w:val="left" w:pos="420"/>
                <w:tab w:val="center" w:pos="4153"/>
                <w:tab w:val="right" w:pos="8306"/>
              </w:tabs>
              <w:adjustRightIn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演示</w:t>
            </w:r>
          </w:p>
        </w:tc>
        <w:tc>
          <w:tcPr>
            <w:tcW w:w="5808" w:type="dxa"/>
            <w:vAlign w:val="center"/>
          </w:tcPr>
          <w:p>
            <w:pPr>
              <w:spacing w:line="360" w:lineRule="auto"/>
              <w:ind w:firstLine="480" w:firstLineChars="200"/>
              <w:jc w:val="left"/>
              <w:rPr>
                <w:rFonts w:hint="eastAsia" w:ascii="仿宋" w:hAnsi="仿宋" w:eastAsia="仿宋"/>
                <w:sz w:val="24"/>
              </w:rPr>
            </w:pPr>
            <w:r>
              <w:rPr>
                <w:rFonts w:hint="eastAsia" w:ascii="仿宋" w:hAnsi="仿宋" w:eastAsia="仿宋"/>
                <w:sz w:val="24"/>
              </w:rPr>
              <w:t>1.收文演示：通过公文传输系统给教育局发送文件，在教育局办公系统中实现公文签收。</w:t>
            </w:r>
          </w:p>
          <w:p>
            <w:pPr>
              <w:spacing w:line="360" w:lineRule="auto"/>
              <w:ind w:firstLine="480" w:firstLineChars="200"/>
              <w:jc w:val="left"/>
              <w:rPr>
                <w:rFonts w:hint="eastAsia" w:ascii="仿宋" w:hAnsi="仿宋" w:eastAsia="仿宋"/>
                <w:sz w:val="24"/>
              </w:rPr>
            </w:pPr>
            <w:r>
              <w:rPr>
                <w:rFonts w:hint="eastAsia" w:ascii="仿宋" w:hAnsi="仿宋" w:eastAsia="仿宋"/>
                <w:sz w:val="24"/>
              </w:rPr>
              <w:t>2.发文演示：办公系统内部流转文件，起草文件后，经领导审批，审批完成后转出到市电子公文传输系统，实现文件转出功能。</w:t>
            </w:r>
          </w:p>
          <w:p>
            <w:pPr>
              <w:spacing w:line="360" w:lineRule="auto"/>
              <w:ind w:firstLine="482" w:firstLineChars="200"/>
              <w:jc w:val="left"/>
              <w:rPr>
                <w:rFonts w:hint="eastAsia" w:ascii="仿宋" w:hAnsi="仿宋" w:eastAsia="仿宋"/>
                <w:sz w:val="24"/>
                <w:lang w:eastAsia="zh-CN"/>
              </w:rPr>
            </w:pPr>
            <w:r>
              <w:rPr>
                <w:rFonts w:hint="eastAsia" w:ascii="仿宋" w:hAnsi="仿宋" w:eastAsia="仿宋"/>
                <w:b/>
                <w:bCs/>
                <w:sz w:val="24"/>
              </w:rPr>
              <w:t>注：演示一项得5分，不演示不得分，演示不得超过10分钟，现场投标人需自备演示设备</w:t>
            </w:r>
            <w:r>
              <w:rPr>
                <w:rFonts w:hint="eastAsia" w:ascii="仿宋" w:hAnsi="仿宋" w:eastAsia="仿宋"/>
                <w:b/>
                <w:bCs/>
                <w:sz w:val="24"/>
                <w:lang w:eastAsia="zh-CN"/>
              </w:rPr>
              <w:t>，演示顺序根据提交响应文件顺序进行。</w:t>
            </w:r>
          </w:p>
        </w:tc>
        <w:tc>
          <w:tcPr>
            <w:tcW w:w="942" w:type="dxa"/>
            <w:vAlign w:val="center"/>
          </w:tcPr>
          <w:p>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10</w:t>
            </w:r>
          </w:p>
        </w:tc>
      </w:tr>
    </w:tbl>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4.其他事项说明</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因落实政府采购政策进行价格调整的，以调整后的价格计算评审基准价和磋商报价。</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2）</w:t>
      </w:r>
      <w:r>
        <w:rPr>
          <w:rFonts w:hint="eastAsia" w:ascii="仿宋" w:hAnsi="仿宋" w:eastAsia="仿宋" w:cs="仿宋"/>
          <w:sz w:val="24"/>
          <w:szCs w:val="24"/>
          <w:lang w:val="zh-CN"/>
        </w:rPr>
        <w:t>评审时，磋商小组根据以上内容进行综合比较，自主打分，分数四舍五入保留两位小数，独立对每个供应商的磋商响应文件进行评价，并汇总每个供应商的得分。</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提供相同品牌产品且通过资格审查、符合性审查的不同供应商参加同一合同项下磋商活动的，按一家供应商计算，评审后得分最高的同品牌供应商获得成交供应商推荐资格；评审得分相同的，采取随机抽取方式确定，其他同品牌供应商不作为成交候选人。非单一产品采购项目，多家供应商提供的核心产品品牌相同的，按以上规定处理。</w:t>
      </w:r>
    </w:p>
    <w:p>
      <w:pPr>
        <w:snapToGrid w:val="0"/>
        <w:spacing w:line="360" w:lineRule="auto"/>
        <w:ind w:firstLine="482" w:firstLineChars="200"/>
        <w:outlineLvl w:val="2"/>
        <w:rPr>
          <w:rFonts w:ascii="仿宋" w:hAnsi="仿宋" w:eastAsia="仿宋" w:cs="仿宋"/>
          <w:sz w:val="24"/>
          <w:szCs w:val="24"/>
          <w:lang w:val="zh-CN"/>
        </w:rPr>
      </w:pPr>
      <w:bookmarkStart w:id="270" w:name="_Toc21533"/>
      <w:bookmarkStart w:id="271" w:name="_Toc10717"/>
      <w:bookmarkStart w:id="272" w:name="_Toc22385"/>
      <w:bookmarkStart w:id="273" w:name="_Toc28674"/>
      <w:r>
        <w:rPr>
          <w:rFonts w:hint="eastAsia" w:ascii="仿宋" w:hAnsi="仿宋" w:eastAsia="仿宋" w:cs="仿宋"/>
          <w:b/>
          <w:bCs/>
          <w:sz w:val="24"/>
          <w:szCs w:val="24"/>
          <w:lang w:val="zh-CN"/>
        </w:rPr>
        <w:t>（八）推荐成交候选供应商名单</w:t>
      </w:r>
      <w:bookmarkEnd w:id="270"/>
      <w:bookmarkEnd w:id="271"/>
      <w:bookmarkEnd w:id="272"/>
      <w:bookmarkEnd w:id="273"/>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w:t>
      </w:r>
    </w:p>
    <w:p>
      <w:pPr>
        <w:snapToGrid w:val="0"/>
        <w:spacing w:line="360" w:lineRule="auto"/>
        <w:ind w:firstLine="482" w:firstLineChars="200"/>
        <w:outlineLvl w:val="1"/>
        <w:rPr>
          <w:rFonts w:ascii="仿宋" w:hAnsi="仿宋" w:eastAsia="仿宋" w:cs="仿宋"/>
          <w:b/>
          <w:sz w:val="24"/>
          <w:szCs w:val="24"/>
        </w:rPr>
      </w:pPr>
      <w:bookmarkStart w:id="274" w:name="_Toc5498"/>
      <w:bookmarkStart w:id="275" w:name="_Toc8859"/>
      <w:bookmarkStart w:id="276" w:name="_Toc495681387"/>
      <w:bookmarkStart w:id="277" w:name="_Toc1325"/>
      <w:bookmarkStart w:id="278" w:name="_Toc495681233"/>
      <w:bookmarkStart w:id="279" w:name="_Toc14537"/>
      <w:bookmarkStart w:id="280" w:name="_Toc22513"/>
      <w:bookmarkStart w:id="281" w:name="_Toc17968"/>
      <w:bookmarkStart w:id="282" w:name="_Toc18707"/>
      <w:bookmarkStart w:id="283" w:name="_Toc5569"/>
      <w:bookmarkStart w:id="284" w:name="_Toc11824"/>
      <w:bookmarkStart w:id="285" w:name="_Toc495908032"/>
      <w:bookmarkStart w:id="286" w:name="_Toc24654"/>
      <w:bookmarkStart w:id="287" w:name="_Toc19772"/>
      <w:bookmarkStart w:id="288" w:name="_Toc16758"/>
      <w:bookmarkStart w:id="289" w:name="_Toc21709"/>
      <w:bookmarkStart w:id="290" w:name="_Toc495681514"/>
      <w:r>
        <w:rPr>
          <w:rFonts w:hint="eastAsia" w:ascii="仿宋" w:hAnsi="仿宋" w:eastAsia="仿宋" w:cs="仿宋"/>
          <w:b/>
          <w:sz w:val="24"/>
          <w:szCs w:val="24"/>
        </w:rPr>
        <w:t>七、确定成交供应商</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（一）采购代理机构应在评审结束后两个工作日内，将评审报告送采购人确定成交供应商。</w:t>
      </w:r>
    </w:p>
    <w:p>
      <w:pPr>
        <w:snapToGrid w:val="0"/>
        <w:spacing w:line="360" w:lineRule="auto"/>
        <w:ind w:firstLine="480" w:firstLineChars="200"/>
        <w:rPr>
          <w:rFonts w:ascii="仿宋" w:hAnsi="仿宋" w:eastAsia="仿宋" w:cs="仿宋"/>
          <w:snapToGrid w:val="0"/>
          <w:kern w:val="0"/>
          <w:sz w:val="24"/>
          <w:szCs w:val="24"/>
        </w:rPr>
      </w:pPr>
      <w:r>
        <w:rPr>
          <w:rFonts w:hint="eastAsia" w:ascii="仿宋" w:hAnsi="仿宋" w:eastAsia="仿宋" w:cs="仿宋"/>
          <w:sz w:val="24"/>
          <w:szCs w:val="24"/>
        </w:rPr>
        <w:t>（二）采购人在收到评审报告后五个工作日内，从评审报告提出的成交候选人中，</w:t>
      </w:r>
      <w:r>
        <w:rPr>
          <w:rFonts w:hint="eastAsia" w:ascii="仿宋" w:hAnsi="仿宋" w:eastAsia="仿宋" w:cs="仿宋"/>
          <w:snapToGrid w:val="0"/>
          <w:kern w:val="0"/>
          <w:sz w:val="24"/>
          <w:szCs w:val="24"/>
        </w:rPr>
        <w:t>按照排序由高到低的原则确定成交供应商，也可以书面授权磋商小组直接确定成交供应商。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（三）采购代理机构在接到采购人的“成交复函”确认文件后两个工作日内，在</w:t>
      </w:r>
      <w:r>
        <w:rPr>
          <w:rFonts w:hint="eastAsia" w:ascii="仿宋" w:hAnsi="仿宋" w:eastAsia="仿宋" w:cs="仿宋"/>
          <w:snapToGrid w:val="0"/>
          <w:kern w:val="0"/>
          <w:sz w:val="24"/>
          <w:szCs w:val="24"/>
        </w:rPr>
        <w:t>省级以上财政部门指定的政府采购信息发布媒体上公告成交结果，同时向成交供应商发出成交通知书。</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w:t>
      </w:r>
      <w:r>
        <w:rPr>
          <w:rFonts w:hint="eastAsia" w:ascii="仿宋" w:hAnsi="仿宋" w:eastAsia="仿宋" w:cs="仿宋"/>
          <w:sz w:val="24"/>
          <w:szCs w:val="24"/>
          <w:lang w:val="zh-CN"/>
        </w:rPr>
        <w:t>供应商对成交公告有异议的，按照《中华人民共和国政府采购法》第五十二条之规定执行。提出质疑的供应商应当有明确的请求和必要的证明材料，应保证提出的质疑内容及相应证明材料的真实性及来源的合法性，并承担相应的法律责任。</w:t>
      </w:r>
    </w:p>
    <w:p>
      <w:pPr>
        <w:snapToGrid w:val="0"/>
        <w:spacing w:line="360" w:lineRule="auto"/>
        <w:ind w:firstLine="482" w:firstLineChars="200"/>
        <w:outlineLvl w:val="1"/>
        <w:rPr>
          <w:rFonts w:ascii="仿宋" w:hAnsi="仿宋" w:eastAsia="仿宋" w:cs="仿宋"/>
          <w:b/>
          <w:sz w:val="24"/>
          <w:szCs w:val="24"/>
        </w:rPr>
      </w:pPr>
      <w:bookmarkStart w:id="291" w:name="_Toc18122"/>
      <w:bookmarkStart w:id="292" w:name="_Toc29069"/>
      <w:bookmarkStart w:id="293" w:name="_Toc27755"/>
      <w:bookmarkStart w:id="294" w:name="_Toc13929"/>
      <w:bookmarkStart w:id="295" w:name="_Toc495681515"/>
      <w:bookmarkStart w:id="296" w:name="_Toc495681388"/>
      <w:bookmarkStart w:id="297" w:name="_Toc14377"/>
      <w:bookmarkStart w:id="298" w:name="_Toc18909"/>
      <w:bookmarkStart w:id="299" w:name="_Toc21581"/>
      <w:bookmarkStart w:id="300" w:name="_Toc12629"/>
      <w:bookmarkStart w:id="301" w:name="_Toc28410"/>
      <w:bookmarkStart w:id="302" w:name="_Toc19132"/>
      <w:bookmarkStart w:id="303" w:name="_Toc12150"/>
      <w:bookmarkStart w:id="304" w:name="_Toc3315"/>
      <w:bookmarkStart w:id="305" w:name="_Toc495908033"/>
      <w:bookmarkStart w:id="306" w:name="_Toc495681234"/>
      <w:bookmarkStart w:id="307" w:name="_Toc22831"/>
      <w:r>
        <w:rPr>
          <w:rFonts w:hint="eastAsia" w:ascii="仿宋" w:hAnsi="仿宋" w:eastAsia="仿宋" w:cs="仿宋"/>
          <w:b/>
          <w:sz w:val="24"/>
          <w:szCs w:val="24"/>
        </w:rPr>
        <w:t>八、合同</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（一）采购人与成交供应商应当在成交通知书发出之日起30日内，</w:t>
      </w:r>
      <w:r>
        <w:rPr>
          <w:rFonts w:hint="eastAsia" w:ascii="仿宋" w:hAnsi="仿宋" w:eastAsia="仿宋" w:cs="仿宋"/>
          <w:sz w:val="24"/>
          <w:szCs w:val="24"/>
          <w:lang w:val="zh-CN"/>
        </w:rPr>
        <w:t>按照磋商文件和成交供应商磋商响应文件的约定，采购人与成交供应商洽谈合同条款，并签订合同。磋商文件及成交供应商的磋商响应文件均作为合同的组成部分。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（二）成交后，成交供应商无正当理由拖延或拒签合同，</w:t>
      </w:r>
      <w:r>
        <w:rPr>
          <w:rFonts w:hint="eastAsia" w:ascii="仿宋" w:hAnsi="仿宋" w:eastAsia="仿宋" w:cs="仿宋"/>
          <w:sz w:val="24"/>
          <w:szCs w:val="24"/>
          <w:lang w:val="zh-CN"/>
        </w:rPr>
        <w:t>采购人可以按照评审报告推荐的成交候选人名单排序，确定下一候选人为成交供应商，也可以重新开展政府采购活动。</w:t>
      </w:r>
      <w:r>
        <w:rPr>
          <w:rFonts w:hint="eastAsia" w:ascii="仿宋" w:hAnsi="仿宋" w:eastAsia="仿宋" w:cs="仿宋"/>
          <w:sz w:val="24"/>
          <w:szCs w:val="24"/>
        </w:rPr>
        <w:t>同时报请监督机构通报，取消其进入政府采购市场的资格，按规定予以处罚。</w:t>
      </w:r>
    </w:p>
    <w:p>
      <w:pPr>
        <w:autoSpaceDE w:val="0"/>
        <w:autoSpaceDN w:val="0"/>
        <w:adjustRightInd w:val="0"/>
        <w:snapToGrid w:val="0"/>
        <w:spacing w:line="360" w:lineRule="auto"/>
        <w:ind w:firstLine="482" w:firstLineChars="200"/>
        <w:outlineLvl w:val="1"/>
        <w:rPr>
          <w:rFonts w:ascii="仿宋" w:hAnsi="仿宋" w:eastAsia="仿宋" w:cs="仿宋"/>
          <w:b/>
          <w:sz w:val="24"/>
          <w:szCs w:val="24"/>
          <w:lang w:val="zh-CN"/>
        </w:rPr>
      </w:pPr>
      <w:bookmarkStart w:id="308" w:name="_Toc495671243"/>
      <w:bookmarkStart w:id="309" w:name="_Toc21962"/>
      <w:bookmarkStart w:id="310" w:name="_Toc8437"/>
      <w:bookmarkStart w:id="311" w:name="_Toc25837"/>
      <w:bookmarkStart w:id="312" w:name="_Toc495681389"/>
      <w:bookmarkStart w:id="313" w:name="_Toc495681235"/>
      <w:bookmarkStart w:id="314" w:name="_Toc2657"/>
      <w:bookmarkStart w:id="315" w:name="_Toc17728"/>
      <w:bookmarkStart w:id="316" w:name="_Toc9118"/>
      <w:bookmarkStart w:id="317" w:name="_Toc495908034"/>
      <w:bookmarkStart w:id="318" w:name="_Toc20576"/>
      <w:bookmarkStart w:id="319" w:name="_Toc13779"/>
      <w:bookmarkStart w:id="320" w:name="_Toc22242"/>
      <w:bookmarkStart w:id="321" w:name="_Toc12204"/>
      <w:bookmarkStart w:id="322" w:name="_Toc7116"/>
      <w:bookmarkStart w:id="323" w:name="_Toc495681516"/>
      <w:bookmarkStart w:id="324" w:name="_Toc27365"/>
      <w:bookmarkStart w:id="325" w:name="_Toc9688"/>
      <w:r>
        <w:rPr>
          <w:rFonts w:hint="eastAsia" w:ascii="仿宋" w:hAnsi="仿宋" w:eastAsia="仿宋" w:cs="仿宋"/>
          <w:b/>
          <w:sz w:val="24"/>
          <w:szCs w:val="24"/>
          <w:lang w:val="zh-CN"/>
        </w:rPr>
        <w:t>九、成交合同的履约验收</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政府采购合同的履行、违约责任和解决争议的方法等适用《中华人民共和国民法典》，采购人按照政府采购合同规定的技术、服务、安全标准组织对供应商履约情况进行验收，并出具验收书。</w:t>
      </w:r>
    </w:p>
    <w:p>
      <w:pPr>
        <w:snapToGrid w:val="0"/>
        <w:spacing w:line="360" w:lineRule="auto"/>
        <w:ind w:firstLine="482" w:firstLineChars="200"/>
        <w:outlineLvl w:val="1"/>
        <w:rPr>
          <w:rFonts w:ascii="仿宋" w:hAnsi="仿宋" w:eastAsia="仿宋" w:cs="仿宋"/>
          <w:b/>
          <w:sz w:val="24"/>
          <w:szCs w:val="24"/>
        </w:rPr>
      </w:pPr>
      <w:bookmarkStart w:id="326" w:name="_Toc18844"/>
      <w:bookmarkStart w:id="327" w:name="_Toc22334"/>
      <w:bookmarkStart w:id="328" w:name="_Toc29351"/>
      <w:bookmarkStart w:id="329" w:name="_Toc24838"/>
      <w:bookmarkStart w:id="330" w:name="_Toc7570"/>
      <w:bookmarkStart w:id="331" w:name="_Toc7379"/>
      <w:bookmarkStart w:id="332" w:name="_Toc25429"/>
      <w:bookmarkStart w:id="333" w:name="_Toc19"/>
      <w:bookmarkStart w:id="334" w:name="_Toc495681390"/>
      <w:bookmarkStart w:id="335" w:name="_Toc17853"/>
      <w:bookmarkStart w:id="336" w:name="_Toc7638"/>
      <w:bookmarkStart w:id="337" w:name="_Toc495681517"/>
      <w:bookmarkStart w:id="338" w:name="_Toc495681236"/>
      <w:bookmarkStart w:id="339" w:name="_Toc26884"/>
      <w:bookmarkStart w:id="340" w:name="_Toc495908035"/>
      <w:bookmarkStart w:id="341" w:name="_Toc20679"/>
      <w:bookmarkStart w:id="342" w:name="_Toc18466"/>
      <w:r>
        <w:rPr>
          <w:rFonts w:hint="eastAsia" w:ascii="仿宋" w:hAnsi="仿宋" w:eastAsia="仿宋" w:cs="仿宋"/>
          <w:b/>
          <w:sz w:val="24"/>
          <w:szCs w:val="24"/>
        </w:rPr>
        <w:t>十、成交服务费</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snapToGrid w:val="0"/>
        <w:spacing w:line="360" w:lineRule="auto"/>
        <w:ind w:firstLine="480" w:firstLineChars="200"/>
        <w:rPr>
          <w:rFonts w:ascii="仿宋_GB2312" w:hAnsi="仿宋_GB2312" w:eastAsia="仿宋_GB2312" w:cs="仿宋_GB2312"/>
          <w:sz w:val="24"/>
          <w:szCs w:val="24"/>
        </w:rPr>
      </w:pPr>
      <w:r>
        <w:rPr>
          <w:rFonts w:hint="eastAsia" w:ascii="仿宋" w:hAnsi="仿宋" w:eastAsia="仿宋" w:cs="仿宋"/>
          <w:sz w:val="24"/>
          <w:szCs w:val="24"/>
        </w:rPr>
        <w:t>（一）本项目招标代理服务费由成交供应商在成交结果公示期满后三个工作日内按照标准支付给招标代理机构。</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参照国家计委关于《招标代理服务收费管理暂行办法》（计价格[2002]1980号）、《国家发展改革委办公厅关于招标代理服务收费有关问题的通知》（发改价格[2003]857号）、《国家发展改革委关于进一步放开建设项目专业服务价格的通知》。</w:t>
      </w:r>
    </w:p>
    <w:p>
      <w:pPr>
        <w:spacing w:line="360" w:lineRule="auto"/>
        <w:jc w:val="right"/>
        <w:rPr>
          <w:rFonts w:ascii="仿宋" w:hAnsi="仿宋" w:eastAsia="仿宋" w:cs="仿宋"/>
          <w:sz w:val="24"/>
          <w:szCs w:val="24"/>
          <w:lang w:val="zh-CN"/>
        </w:rPr>
      </w:pPr>
      <w:r>
        <w:rPr>
          <w:rFonts w:hint="eastAsia" w:ascii="仿宋" w:hAnsi="仿宋" w:eastAsia="仿宋" w:cs="仿宋"/>
          <w:sz w:val="24"/>
          <w:szCs w:val="24"/>
          <w:lang w:val="zh-CN"/>
        </w:rPr>
        <w:t>单位：万元</w:t>
      </w:r>
    </w:p>
    <w:tbl>
      <w:tblPr>
        <w:tblStyle w:val="2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448" w:type="dxa"/>
          </w:tcPr>
          <w:p>
            <w:pPr>
              <w:spacing w:line="360" w:lineRule="auto"/>
              <w:ind w:firstLine="960" w:firstLineChars="400"/>
              <w:rPr>
                <w:rFonts w:ascii="仿宋" w:hAnsi="仿宋" w:eastAsia="仿宋" w:cs="仿宋"/>
                <w:b/>
                <w:sz w:val="24"/>
                <w:szCs w:val="24"/>
              </w:rPr>
            </w:pPr>
            <w:r>
              <w:rPr>
                <w:rFonts w:ascii="仿宋" w:hAnsi="仿宋" w:eastAsia="仿宋" w:cs="仿宋"/>
                <w:sz w:val="24"/>
                <w:szCs w:val="24"/>
              </w:rPr>
              <mc:AlternateContent>
                <mc:Choice Requires="wps">
                  <w:drawing>
                    <wp:anchor distT="0" distB="0" distL="114300" distR="114300" simplePos="0" relativeHeight="251663360" behindDoc="0" locked="0" layoutInCell="1" allowOverlap="1">
                      <wp:simplePos x="0" y="0"/>
                      <wp:positionH relativeFrom="column">
                        <wp:posOffset>-80645</wp:posOffset>
                      </wp:positionH>
                      <wp:positionV relativeFrom="paragraph">
                        <wp:posOffset>3175</wp:posOffset>
                      </wp:positionV>
                      <wp:extent cx="1570990" cy="577215"/>
                      <wp:effectExtent l="1905" t="4445" r="8255" b="8890"/>
                      <wp:wrapNone/>
                      <wp:docPr id="13" name="直接箭头连接符 13"/>
                      <wp:cNvGraphicFramePr/>
                      <a:graphic xmlns:a="http://schemas.openxmlformats.org/drawingml/2006/main">
                        <a:graphicData uri="http://schemas.microsoft.com/office/word/2010/wordprocessingShape">
                          <wps:wsp>
                            <wps:cNvCnPr/>
                            <wps:spPr>
                              <a:xfrm>
                                <a:off x="0" y="0"/>
                                <a:ext cx="1570990" cy="57721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6.35pt;margin-top:0.25pt;height:45.45pt;width:123.7pt;z-index:251663360;mso-width-relative:page;mso-height-relative:page;" filled="f" stroked="t" coordsize="21600,21600" o:gfxdata="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HbMgP1QAAAAcBAAAPAAAAAAAAAAEAIAAAACIA&#10;AABkcnMvZG93bnJldi54bWxQSwECFAAUAAAACACHTuJAHsUFkwwCAAALBAAADgAAAAAAAAABACAA&#10;AAAkAQAAZHJzL2Uyb0RvYy54bWxQSwUGAAAAAAYABgBZAQAAogUAAAAA&#10;">
                      <v:fill on="f" focussize="0,0"/>
                      <v:stroke color="#000000" joinstyle="round"/>
                      <v:imagedata o:title=""/>
                      <o:lock v:ext="edit" aspectratio="f"/>
                    </v:shape>
                  </w:pict>
                </mc:Fallback>
              </mc:AlternateContent>
            </w:r>
            <w:r>
              <w:rPr>
                <w:rFonts w:hint="eastAsia" w:ascii="仿宋" w:hAnsi="仿宋" w:eastAsia="仿宋" w:cs="仿宋"/>
                <w:b/>
                <w:sz w:val="24"/>
                <w:szCs w:val="24"/>
              </w:rPr>
              <w:t>采购类型</w:t>
            </w:r>
          </w:p>
          <w:p>
            <w:pPr>
              <w:spacing w:line="360" w:lineRule="auto"/>
              <w:rPr>
                <w:rFonts w:ascii="仿宋" w:hAnsi="仿宋" w:eastAsia="仿宋" w:cs="仿宋"/>
                <w:b/>
                <w:sz w:val="24"/>
                <w:szCs w:val="24"/>
              </w:rPr>
            </w:pPr>
            <w:r>
              <w:rPr>
                <w:rFonts w:hint="eastAsia" w:ascii="仿宋" w:hAnsi="仿宋" w:eastAsia="仿宋" w:cs="仿宋"/>
                <w:b/>
                <w:sz w:val="24"/>
                <w:szCs w:val="24"/>
              </w:rPr>
              <w:t>中标金额</w:t>
            </w:r>
          </w:p>
        </w:tc>
        <w:tc>
          <w:tcPr>
            <w:tcW w:w="1980"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货物招标</w:t>
            </w:r>
          </w:p>
        </w:tc>
        <w:tc>
          <w:tcPr>
            <w:tcW w:w="1980"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服务招标</w:t>
            </w:r>
          </w:p>
        </w:tc>
        <w:tc>
          <w:tcPr>
            <w:tcW w:w="1980"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100以下</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100-500</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1.1%</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0.8%</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500-1000</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0.8%</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0.45%</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1000-5000</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0.5%</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0.25%</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5000-10000</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0.25%</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0.1%</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10000-100000</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0.05%</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0.05%</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1000000以上</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0.01%</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0.01%</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0.01%</w:t>
            </w:r>
          </w:p>
        </w:tc>
      </w:tr>
    </w:tbl>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（三）成交供应商服务费交纳信息：</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银行户名：陕西笃信招标有限公司</w:t>
      </w:r>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开户银行：中国建设银行股份有限公司西安劳动北路支行</w:t>
      </w:r>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账   号：61050174390000000193</w:t>
      </w:r>
    </w:p>
    <w:p>
      <w:pPr>
        <w:autoSpaceDE w:val="0"/>
        <w:autoSpaceDN w:val="0"/>
        <w:adjustRightInd w:val="0"/>
        <w:snapToGrid w:val="0"/>
        <w:spacing w:line="360" w:lineRule="auto"/>
        <w:ind w:firstLine="627"/>
        <w:outlineLvl w:val="1"/>
        <w:rPr>
          <w:rFonts w:ascii="仿宋" w:hAnsi="仿宋" w:eastAsia="仿宋" w:cs="仿宋"/>
          <w:b/>
          <w:sz w:val="24"/>
          <w:szCs w:val="24"/>
          <w:lang w:val="zh-CN"/>
        </w:rPr>
      </w:pPr>
      <w:bookmarkStart w:id="343" w:name="_Toc21416"/>
      <w:bookmarkStart w:id="344" w:name="_Toc18260"/>
      <w:bookmarkStart w:id="345" w:name="_Toc30471"/>
      <w:bookmarkStart w:id="346" w:name="_Toc23881"/>
      <w:bookmarkStart w:id="347" w:name="_Toc12871"/>
      <w:bookmarkStart w:id="348" w:name="_Toc16213"/>
      <w:bookmarkStart w:id="349" w:name="_Toc24427"/>
      <w:bookmarkStart w:id="350" w:name="_Toc840"/>
      <w:bookmarkStart w:id="351" w:name="_Toc495908036"/>
      <w:bookmarkStart w:id="352" w:name="_Toc8703"/>
      <w:bookmarkStart w:id="353" w:name="_Toc495671246"/>
      <w:bookmarkStart w:id="354" w:name="_Toc4827"/>
      <w:bookmarkStart w:id="355" w:name="_Toc495681237"/>
      <w:bookmarkStart w:id="356" w:name="_Toc14545"/>
      <w:bookmarkStart w:id="357" w:name="_Toc21377"/>
      <w:bookmarkStart w:id="358" w:name="_Toc495681391"/>
      <w:bookmarkStart w:id="359" w:name="_Toc21615"/>
      <w:bookmarkStart w:id="360" w:name="_Toc27978"/>
      <w:bookmarkStart w:id="361" w:name="_Toc19455"/>
      <w:bookmarkStart w:id="362" w:name="_Toc32251"/>
      <w:bookmarkStart w:id="363" w:name="_Toc11829"/>
      <w:bookmarkStart w:id="364" w:name="_Toc495681518"/>
      <w:r>
        <w:rPr>
          <w:rFonts w:hint="eastAsia" w:ascii="仿宋" w:hAnsi="仿宋" w:eastAsia="仿宋" w:cs="仿宋"/>
          <w:b/>
          <w:sz w:val="24"/>
          <w:szCs w:val="24"/>
          <w:lang w:val="zh-CN"/>
        </w:rPr>
        <w:t>十一、需要落实的政府采购政策</w:t>
      </w:r>
      <w:bookmarkEnd w:id="343"/>
      <w:bookmarkEnd w:id="344"/>
      <w:bookmarkEnd w:id="345"/>
      <w:bookmarkEnd w:id="346"/>
      <w:bookmarkEnd w:id="347"/>
    </w:p>
    <w:p>
      <w:pPr>
        <w:snapToGrid w:val="0"/>
        <w:spacing w:line="360" w:lineRule="auto"/>
        <w:ind w:firstLine="480" w:firstLineChars="200"/>
        <w:rPr>
          <w:rFonts w:ascii="仿宋" w:hAnsi="仿宋" w:eastAsia="仿宋" w:cs="仿宋"/>
          <w:sz w:val="24"/>
          <w:szCs w:val="24"/>
        </w:rPr>
      </w:pPr>
      <w:bookmarkStart w:id="365" w:name="_Toc19879"/>
      <w:bookmarkStart w:id="366" w:name="_Toc5903"/>
      <w:bookmarkStart w:id="367" w:name="_Toc18813"/>
      <w:r>
        <w:rPr>
          <w:rFonts w:hint="eastAsia" w:ascii="仿宋" w:hAnsi="仿宋" w:eastAsia="仿宋" w:cs="仿宋"/>
          <w:sz w:val="24"/>
          <w:szCs w:val="24"/>
        </w:rPr>
        <w:t>（一）落实促进支持中小企业、监狱企业、残疾人福利性单位发展、脱贫攻坚工作的政策(如为专门面向中小企业的采购项目（或采购包），不执行1、2、3条款。)</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1、《政府采购促进中小企业发展管理办法》（财库〔2020〕46号）及《关于进一步加大政府采购支持中小企业力度的通知》（财库〔2022〕19号）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在政府采购活动中，供应商提供的货物、工程或者服务符合下列情形的，享受《办法》规定的中小企业扶持政策:</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(1)在货物采购项目中，货物由中小企业制造，即货物由中小企业生产且使用该中小企业商号或者注册商标；</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(2)在工程采购项目中，工程由中小企业承建，即工程施工单位为中小企业；</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(3)在服务采购项目中，服务由中小企业承接，即提供服务的人员为中小企业依照《中华人民共和国劳动合同法》订立劳动合同的从业人员。</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在货物采购项目中，供应商提供的货物既有中小企业制造货物，也有大型企业制造货物的，不享受《办法》规定的中小企业扶持政策。</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以联合体形式参加政府采购活动，联合体各方均为中小企业的，联合体视同中小企业。其中，联合体各方均为小微企业的，联合体视同小微企业。</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依据《办法》规定享受扶持政策获得政府采购合同的，小微企业不得将合同分包给大中型企业，中型企业不得将合同分包给大型企业。</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根据《政府采购促进中小企业发展管理办法》的通知（财库〔2020〕46号）规定，参加政府采购活动的中小企业应当提供《中小企业声明函》。供应商提供的《中小企业声明函》原件必须真实，否则，按照有关规定予以处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根据《政府采购促进中小企业发展管理办法》及《西安市财政局关于进一步加大政府采购支持中小企业力度的通知》市财函〔2022〕867号的相关规定，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2、《财政部 司法部关于政府采购支持监狱企业发展有关问题的通知》（财库〔2014〕68号）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监狱企业参加政府采购活动时，应当提供由省级以上监狱管理局、戒毒管理局（含新疆生产建设兵团）出具的属于监狱企业的证明文件。在政府采购活动中，监狱企业视同小型、微型企业。</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3、《三部门联合发布关于促进残疾人就业政府采购政策的通知》（财库〔2017〕141号）；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符合条件的残疾人福利性单位在参加政府采购活动时，应当提供本通知规定的《残疾人福利性单位声明函》，并对声明的真实性负责。在政府采购活动中，残疾人福利性单位视同小型、微型企业，享受预留份额。</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（二）落实优先采购节能、环保产品的政策</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2、《财政部 司法部关于政府采购支持监狱企业发展有关问题的通知》（财库〔2014〕68号）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监狱企业参加政府采购活动时，应当提供由省级以上监狱管理局、戒毒管理局（含新疆生产建设兵团）出具的属于监狱企业的证明文件。在政府采购活动中，监狱企业视同小型、微型企业。</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3、《三部门联合发布关于促进残疾人就业政府采购政策的通知》（财库〔2017〕141号）；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符合条件的残疾人福利性单位在参加政府采购活动时，应当提供本通知规定的《残疾人福利性单位声明函》，并对声明的真实性负责。在政府采购活动中，残疾人福利性单位视同小型、微型企业，享受预留份额。</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所有投标产品进入“节能产品政府采购品目清单”的，应提供相关证书复印件，相关证书的颁发机构应来自《参与实施政府采购节能产品认证机构名录》。</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所有投标产品进入“环境标志产品政府采购品目清单”的，应提供相关证书复印件，相关证书的颁发机构应来自《参与实施政府采购环境标志产品认证机构名录》。</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（三）政府采购信用融资政策</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（四）陕西省中小企业政府采购信用担保政策</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如属于政府采购信用担保范围内，中小型企业供应商可以自由按照财政部门的规定，采用履约担保和融资担保。</w:t>
      </w:r>
    </w:p>
    <w:p>
      <w:pPr>
        <w:autoSpaceDE w:val="0"/>
        <w:autoSpaceDN w:val="0"/>
        <w:adjustRightInd w:val="0"/>
        <w:snapToGrid w:val="0"/>
        <w:spacing w:line="360" w:lineRule="auto"/>
        <w:ind w:firstLine="627"/>
        <w:outlineLvl w:val="1"/>
        <w:rPr>
          <w:rFonts w:ascii="仿宋" w:hAnsi="仿宋" w:eastAsia="仿宋" w:cs="仿宋"/>
          <w:b/>
          <w:sz w:val="24"/>
          <w:szCs w:val="24"/>
          <w:lang w:val="zh-CN"/>
        </w:rPr>
      </w:pPr>
      <w:bookmarkStart w:id="368" w:name="_Toc21407"/>
      <w:bookmarkStart w:id="369" w:name="_Toc8696"/>
      <w:bookmarkStart w:id="370" w:name="_Toc23519"/>
      <w:r>
        <w:rPr>
          <w:rFonts w:hint="eastAsia" w:ascii="仿宋" w:hAnsi="仿宋" w:eastAsia="仿宋" w:cs="仿宋"/>
          <w:b/>
          <w:sz w:val="24"/>
          <w:szCs w:val="24"/>
          <w:lang w:val="zh-CN"/>
        </w:rPr>
        <w:t>十二、质疑与投诉</w:t>
      </w:r>
      <w:bookmarkEnd w:id="365"/>
      <w:bookmarkEnd w:id="366"/>
      <w:bookmarkEnd w:id="367"/>
      <w:bookmarkEnd w:id="368"/>
      <w:bookmarkEnd w:id="369"/>
      <w:bookmarkEnd w:id="370"/>
    </w:p>
    <w:p>
      <w:pPr>
        <w:autoSpaceDE w:val="0"/>
        <w:autoSpaceDN w:val="0"/>
        <w:adjustRightInd w:val="0"/>
        <w:snapToGrid w:val="0"/>
        <w:spacing w:line="360" w:lineRule="auto"/>
        <w:ind w:firstLine="627"/>
        <w:rPr>
          <w:rFonts w:ascii="仿宋" w:hAnsi="仿宋" w:eastAsia="仿宋" w:cs="仿宋"/>
          <w:b/>
          <w:sz w:val="24"/>
          <w:szCs w:val="24"/>
          <w:lang w:val="zh-CN"/>
        </w:rPr>
      </w:pPr>
      <w:bookmarkStart w:id="371" w:name="_Toc32253"/>
      <w:r>
        <w:rPr>
          <w:rFonts w:hint="eastAsia" w:ascii="仿宋" w:hAnsi="仿宋" w:eastAsia="仿宋" w:cs="仿宋"/>
          <w:b/>
          <w:sz w:val="24"/>
          <w:szCs w:val="24"/>
          <w:lang w:val="zh-CN"/>
        </w:rPr>
        <w:t>（一）质疑</w:t>
      </w:r>
      <w:bookmarkEnd w:id="371"/>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1、供应商认为磋商文件、采购过程或成交结果使自身的合法权益受到损害，可以在法定期限内，以书面形式向采购代理机构或采购人提出质疑。</w:t>
      </w:r>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（1）提出质疑应当提交质疑函和必要的证明材料，质疑函应当包括以下主要内容：</w:t>
      </w:r>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 xml:space="preserve">①供应商的姓名或者名称、地址、邮编、联系人及联系电话；②质疑项目的名称、编号；③具体、明确的质疑事项和与质疑事项相关的请求；④事实依据；⑤必要的法律依据；⑥提出质疑的日期。 </w:t>
      </w:r>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 xml:space="preserve">（2）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 </w:t>
      </w:r>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3</w:t>
      </w:r>
      <w:r>
        <w:rPr>
          <w:rFonts w:hint="eastAsia" w:ascii="仿宋" w:hAnsi="仿宋" w:eastAsia="仿宋" w:cs="仿宋"/>
          <w:sz w:val="24"/>
          <w:szCs w:val="24"/>
          <w:lang w:val="zh-CN"/>
        </w:rPr>
        <w:t>）有下列情形之一的，属于无效质疑：</w:t>
      </w:r>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①质疑人不是参与本次政府采购项目的供应商或潜在供应商；</w:t>
      </w:r>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②质疑人与质疑事项不存在利害关系的；</w:t>
      </w:r>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③未在法定期限内提出质疑的；</w:t>
      </w:r>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④质疑未以书面形式提出，或质疑函主要内容构成不完整的；</w:t>
      </w:r>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⑤质疑函没有合法有效的签字、盖章或授权的；</w:t>
      </w:r>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⑥以非法手段取得证据、材料的；</w:t>
      </w:r>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⑦质疑答复后，同一质疑人就同一事项再次提出质疑的；</w:t>
      </w:r>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⑧不符合法律、法规、规章和政府采购监管机构规定的其他条件的。</w:t>
      </w:r>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2、符合要求的质疑，采购代理机构将予以受理并答复，具体联系方式如下：</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zh-CN"/>
        </w:rPr>
        <w:t>联系人：</w:t>
      </w:r>
      <w:r>
        <w:rPr>
          <w:rFonts w:hint="eastAsia" w:ascii="仿宋" w:hAnsi="仿宋" w:eastAsia="仿宋" w:cs="仿宋"/>
          <w:sz w:val="24"/>
          <w:szCs w:val="24"/>
        </w:rPr>
        <w:t>李纪旋</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zh-CN"/>
        </w:rPr>
        <w:t>联系电话：029-</w:t>
      </w:r>
      <w:r>
        <w:rPr>
          <w:rFonts w:hint="eastAsia" w:ascii="仿宋" w:hAnsi="仿宋" w:eastAsia="仿宋" w:cs="仿宋"/>
          <w:sz w:val="24"/>
          <w:szCs w:val="24"/>
        </w:rPr>
        <w:t>86253389</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邮箱：2059407584@qq.com</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zh-CN"/>
        </w:rPr>
        <w:t>地址</w:t>
      </w:r>
      <w:r>
        <w:rPr>
          <w:rFonts w:hint="eastAsia" w:ascii="仿宋" w:hAnsi="仿宋" w:eastAsia="仿宋" w:cs="仿宋"/>
          <w:sz w:val="24"/>
          <w:szCs w:val="24"/>
        </w:rPr>
        <w:t>：</w:t>
      </w:r>
      <w:r>
        <w:rPr>
          <w:rFonts w:hint="eastAsia" w:ascii="仿宋" w:hAnsi="仿宋" w:eastAsia="仿宋" w:cs="仿宋"/>
          <w:sz w:val="24"/>
          <w:szCs w:val="24"/>
          <w:lang w:val="zh-CN"/>
        </w:rPr>
        <w:t>西安市经济技术开发区凤城十一路与文景路十字文景商务广场</w:t>
      </w:r>
      <w:r>
        <w:rPr>
          <w:rFonts w:hint="eastAsia" w:ascii="仿宋" w:hAnsi="仿宋" w:eastAsia="仿宋" w:cs="仿宋"/>
          <w:sz w:val="24"/>
          <w:szCs w:val="24"/>
        </w:rPr>
        <w:t>B</w:t>
      </w:r>
      <w:r>
        <w:rPr>
          <w:rFonts w:hint="eastAsia" w:ascii="仿宋" w:hAnsi="仿宋" w:eastAsia="仿宋" w:cs="仿宋"/>
          <w:sz w:val="24"/>
          <w:szCs w:val="24"/>
          <w:lang w:val="zh-CN"/>
        </w:rPr>
        <w:t>座</w:t>
      </w:r>
      <w:r>
        <w:rPr>
          <w:rFonts w:hint="eastAsia" w:ascii="仿宋" w:hAnsi="仿宋" w:eastAsia="仿宋" w:cs="仿宋"/>
          <w:sz w:val="24"/>
          <w:szCs w:val="24"/>
        </w:rPr>
        <w:t>8</w:t>
      </w:r>
      <w:r>
        <w:rPr>
          <w:rFonts w:hint="eastAsia" w:ascii="仿宋" w:hAnsi="仿宋" w:eastAsia="仿宋" w:cs="仿宋"/>
          <w:sz w:val="24"/>
          <w:szCs w:val="24"/>
          <w:lang w:val="zh-CN"/>
        </w:rPr>
        <w:t>层陕西笃信招标有限公司</w:t>
      </w:r>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采购代理机构或采购人将在收到书面质疑后7个工作日内做出答复，并以书面形式通知质疑人和其他有关供应商。</w:t>
      </w:r>
    </w:p>
    <w:p>
      <w:pPr>
        <w:snapToGrid w:val="0"/>
        <w:spacing w:line="360" w:lineRule="auto"/>
        <w:ind w:firstLine="482" w:firstLineChars="200"/>
        <w:rPr>
          <w:rFonts w:ascii="仿宋" w:hAnsi="仿宋" w:eastAsia="仿宋" w:cs="仿宋"/>
          <w:b/>
          <w:bCs/>
          <w:sz w:val="24"/>
          <w:szCs w:val="24"/>
          <w:lang w:val="zh-CN"/>
        </w:rPr>
      </w:pPr>
      <w:bookmarkStart w:id="372" w:name="_Toc27685"/>
      <w:r>
        <w:rPr>
          <w:rFonts w:hint="eastAsia" w:ascii="仿宋" w:hAnsi="仿宋" w:eastAsia="仿宋" w:cs="仿宋"/>
          <w:b/>
          <w:bCs/>
          <w:sz w:val="24"/>
          <w:szCs w:val="24"/>
          <w:lang w:val="zh-CN"/>
        </w:rPr>
        <w:t>（二）投诉</w:t>
      </w:r>
      <w:bookmarkEnd w:id="372"/>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1、质疑人对采购代理机构或采购人的答复不满意，以及采购代理机构或采购人未在规定时间内做出答复的，可以在答复期满后15个工作日内向政府采购监管机构提出投诉。</w:t>
      </w:r>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2、投诉的事项不得超出已质疑事项的范围。</w:t>
      </w:r>
    </w:p>
    <w:p>
      <w:pPr>
        <w:snapToGrid w:val="0"/>
        <w:spacing w:line="360" w:lineRule="auto"/>
        <w:ind w:firstLine="482" w:firstLineChars="200"/>
        <w:rPr>
          <w:rFonts w:ascii="仿宋" w:hAnsi="仿宋" w:eastAsia="仿宋" w:cs="仿宋"/>
          <w:b/>
          <w:bCs/>
          <w:sz w:val="24"/>
          <w:szCs w:val="24"/>
          <w:lang w:val="zh-CN"/>
        </w:rPr>
      </w:pPr>
      <w:r>
        <w:rPr>
          <w:rFonts w:hint="eastAsia" w:ascii="仿宋" w:hAnsi="仿宋" w:eastAsia="仿宋" w:cs="仿宋"/>
          <w:b/>
          <w:bCs/>
          <w:sz w:val="24"/>
          <w:szCs w:val="24"/>
          <w:lang w:val="zh-CN"/>
        </w:rPr>
        <w:t>（三）其他事项</w:t>
      </w:r>
    </w:p>
    <w:p>
      <w:pPr>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1、对捏造事实、提供虚假材料进行质疑、投诉的行为予以严肃处理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依据《中华人民共和国政府采购法》及其实施条例、《政府采购货物和服务招标投标管理办法》（财政部令第 87 号）、《政府采购质疑和投诉办法》等法律法规的规定，供应商质疑、投诉应当有明确的请求和必要的证明材料。投诉人在全国范围内十二个月内三次以上投诉查无实据的，由财政部门列入不良行为记录名单。对于捏造事实、提供虚假材料或者以非法手段取得证明材料进行投诉的，财政部门应当予以驳回，并将其列入不良行为记录名单，禁止其一至三年内参加政府采购活动。 </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2、对捏造事实诬告陷害他人、诽谤他人的法律适用： </w:t>
      </w:r>
    </w:p>
    <w:p>
      <w:pPr>
        <w:autoSpaceDE w:val="0"/>
        <w:autoSpaceDN w:val="0"/>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sz w:val="24"/>
          <w:szCs w:val="24"/>
        </w:rPr>
        <w:t>《中华人民共和国刑法》第 243 条【诬告陷害罪】捏造事实诬告陷害他人，意图使他人受刑事追究，情节严重的，处三年以下有期徒刑、拘役或者管制；造成严重后果的，处三年以上十年以下有期徒刑。《中华人民共和国刑法》第 246 条【侮辱罪、诽谤罪】以暴力或者其他方法公然侮辱他人或者捏造事实诽谤他人，情节严重的，处三年以下有期徒刑、拘役、管制或者剥夺政治权利。</w:t>
      </w:r>
      <w:r>
        <w:rPr>
          <w:rFonts w:ascii="仿宋" w:hAnsi="仿宋" w:eastAsia="仿宋" w:cs="仿宋"/>
          <w:bCs/>
          <w:sz w:val="24"/>
          <w:szCs w:val="24"/>
        </w:rPr>
        <w:t xml:space="preserve"> </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Pr>
        <w:pageBreakBefore/>
        <w:numPr>
          <w:ilvl w:val="0"/>
          <w:numId w:val="1"/>
        </w:numPr>
        <w:spacing w:line="360" w:lineRule="auto"/>
        <w:jc w:val="center"/>
        <w:outlineLvl w:val="0"/>
        <w:rPr>
          <w:rFonts w:ascii="仿宋" w:hAnsi="仿宋" w:eastAsia="仿宋" w:cs="仿宋"/>
          <w:b/>
          <w:sz w:val="32"/>
          <w:szCs w:val="32"/>
        </w:rPr>
      </w:pPr>
      <w:bookmarkStart w:id="373" w:name="_Toc23352"/>
      <w:bookmarkStart w:id="374" w:name="_Toc8287"/>
      <w:bookmarkStart w:id="375" w:name="_Toc20897"/>
      <w:bookmarkStart w:id="376" w:name="_Toc16046"/>
      <w:bookmarkStart w:id="377" w:name="_Toc3119"/>
      <w:bookmarkStart w:id="378" w:name="_Toc11144"/>
      <w:bookmarkStart w:id="379" w:name="_Toc29155"/>
      <w:bookmarkStart w:id="380" w:name="_Toc28744"/>
      <w:bookmarkStart w:id="381" w:name="_Toc22975"/>
      <w:bookmarkStart w:id="382" w:name="_Toc15073"/>
      <w:bookmarkStart w:id="383" w:name="_Toc29879"/>
      <w:bookmarkStart w:id="384" w:name="_Toc29455"/>
      <w:bookmarkStart w:id="385" w:name="_Toc495681393"/>
      <w:bookmarkStart w:id="386" w:name="_Toc495681239"/>
      <w:bookmarkStart w:id="387" w:name="_Toc495681520"/>
      <w:r>
        <w:rPr>
          <w:rFonts w:hint="eastAsia" w:ascii="仿宋" w:hAnsi="仿宋" w:eastAsia="仿宋" w:cs="仿宋"/>
          <w:b/>
          <w:sz w:val="32"/>
          <w:szCs w:val="32"/>
        </w:rPr>
        <w:t xml:space="preserve">  </w:t>
      </w:r>
      <w:bookmarkStart w:id="388" w:name="_Toc19430"/>
      <w:r>
        <w:rPr>
          <w:rFonts w:hint="eastAsia" w:ascii="仿宋" w:hAnsi="仿宋" w:eastAsia="仿宋" w:cs="仿宋"/>
          <w:b/>
          <w:sz w:val="32"/>
          <w:szCs w:val="32"/>
        </w:rPr>
        <w:t>采购内容及要求</w:t>
      </w:r>
      <w:bookmarkEnd w:id="373"/>
      <w:bookmarkEnd w:id="374"/>
      <w:bookmarkEnd w:id="375"/>
      <w:bookmarkEnd w:id="376"/>
      <w:bookmarkEnd w:id="377"/>
      <w:bookmarkEnd w:id="378"/>
      <w:bookmarkEnd w:id="379"/>
      <w:bookmarkEnd w:id="380"/>
      <w:bookmarkEnd w:id="381"/>
      <w:bookmarkEnd w:id="382"/>
      <w:bookmarkEnd w:id="383"/>
      <w:bookmarkEnd w:id="384"/>
      <w:bookmarkEnd w:id="388"/>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一、服务目标</w:t>
      </w:r>
    </w:p>
    <w:p>
      <w:pPr>
        <w:spacing w:line="360" w:lineRule="auto"/>
        <w:ind w:firstLine="480" w:firstLineChars="200"/>
        <w:rPr>
          <w:rFonts w:hint="eastAsia" w:ascii="仿宋" w:hAnsi="仿宋" w:eastAsia="仿宋" w:cs="仿宋"/>
          <w:sz w:val="24"/>
          <w:szCs w:val="24"/>
        </w:rPr>
      </w:pPr>
      <w:bookmarkStart w:id="389" w:name="_Toc511476037"/>
      <w:r>
        <w:rPr>
          <w:rFonts w:hint="eastAsia" w:ascii="仿宋" w:hAnsi="仿宋" w:eastAsia="仿宋" w:cs="仿宋"/>
          <w:sz w:val="24"/>
          <w:szCs w:val="24"/>
        </w:rPr>
        <w:t>为贯彻落实国务院促进云计算、大数据发展等有关意见精神，促进电子政务集约化发展，推进“互联网+”政务工作，结合西安教育实际，</w:t>
      </w:r>
      <w:bookmarkEnd w:id="389"/>
      <w:r>
        <w:rPr>
          <w:rFonts w:hint="eastAsia" w:ascii="仿宋" w:hAnsi="仿宋" w:eastAsia="仿宋" w:cs="仿宋"/>
          <w:sz w:val="24"/>
          <w:szCs w:val="24"/>
        </w:rPr>
        <w:t>建设以网上“办文”、“办事”、“办会”为核心内容，各层次人员在线使用、内外交互（手机办公）的政务协同办公系统，实现行政管理科学化、公文处理电子化、文档管理一体化、事务办理快捷化、政务办公协同化、办公成本低碳化、移动办公无障碍化，提高工作效率和工作质量，为全市教育发展各项工作迈上新台阶提供有力保障。</w:t>
      </w:r>
      <w:bookmarkStart w:id="390" w:name="_Toc24791"/>
      <w:bookmarkStart w:id="391" w:name="_Toc4415"/>
      <w:bookmarkStart w:id="392" w:name="_Toc16752"/>
      <w:bookmarkStart w:id="393" w:name="_Toc11199"/>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w:t>
      </w:r>
      <w:bookmarkEnd w:id="390"/>
      <w:bookmarkEnd w:id="391"/>
      <w:bookmarkEnd w:id="392"/>
      <w:bookmarkEnd w:id="393"/>
      <w:bookmarkStart w:id="394" w:name="_Toc545"/>
      <w:bookmarkStart w:id="395" w:name="_Toc3842"/>
      <w:bookmarkStart w:id="396" w:name="_Toc23423"/>
      <w:bookmarkStart w:id="397" w:name="_Toc19575"/>
      <w:r>
        <w:rPr>
          <w:rFonts w:hint="eastAsia" w:ascii="仿宋" w:hAnsi="仿宋" w:eastAsia="仿宋" w:cs="仿宋"/>
          <w:b/>
          <w:bCs/>
          <w:sz w:val="24"/>
          <w:szCs w:val="24"/>
        </w:rPr>
        <w:t>服务</w:t>
      </w:r>
      <w:bookmarkEnd w:id="394"/>
      <w:bookmarkEnd w:id="395"/>
      <w:bookmarkEnd w:id="396"/>
      <w:bookmarkEnd w:id="397"/>
      <w:r>
        <w:rPr>
          <w:rFonts w:hint="eastAsia" w:ascii="仿宋" w:hAnsi="仿宋" w:eastAsia="仿宋" w:cs="仿宋"/>
          <w:b/>
          <w:bCs/>
          <w:sz w:val="24"/>
          <w:szCs w:val="24"/>
        </w:rPr>
        <w:t>需求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本次项目服务主要包括系统功能及性能优化升级、系统运维服务、驻场运维服务、传输加密证书服务、云waf安全防护服务、流量卡服务、等保二级测评服务、平台对接服务、设备更新及使用培训。</w:t>
      </w:r>
    </w:p>
    <w:p>
      <w:pPr>
        <w:spacing w:line="360" w:lineRule="auto"/>
        <w:ind w:firstLine="480" w:firstLineChars="200"/>
        <w:rPr>
          <w:rFonts w:hint="eastAsia" w:ascii="仿宋" w:hAnsi="仿宋" w:eastAsia="仿宋" w:cs="仿宋"/>
          <w:sz w:val="24"/>
          <w:szCs w:val="24"/>
        </w:rPr>
      </w:pPr>
      <w:bookmarkStart w:id="398" w:name="_Toc31651"/>
      <w:bookmarkStart w:id="399" w:name="_Toc32623"/>
      <w:bookmarkStart w:id="400" w:name="_Toc16691"/>
      <w:bookmarkStart w:id="401" w:name="_Toc9632"/>
      <w:bookmarkStart w:id="402" w:name="_Toc14559"/>
      <w:bookmarkStart w:id="403" w:name="_Toc24826"/>
      <w:r>
        <w:rPr>
          <w:rFonts w:hint="eastAsia" w:ascii="仿宋" w:hAnsi="仿宋" w:eastAsia="仿宋" w:cs="仿宋"/>
          <w:sz w:val="24"/>
          <w:szCs w:val="24"/>
        </w:rPr>
        <w:t>（一）</w:t>
      </w:r>
      <w:bookmarkEnd w:id="398"/>
      <w:bookmarkEnd w:id="399"/>
      <w:bookmarkEnd w:id="400"/>
      <w:r>
        <w:rPr>
          <w:rFonts w:hint="eastAsia" w:ascii="仿宋" w:hAnsi="仿宋" w:eastAsia="仿宋" w:cs="仿宋"/>
          <w:sz w:val="24"/>
          <w:szCs w:val="24"/>
        </w:rPr>
        <w:t>系统功能及性能优化升级</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市教育局用户在使用过程中发现的问题结合现有功能进行功能优化、调整并进行代码级修改，包含公文传输、收文管理、发文管理、电子签章、事务查询、事务待办/提醒、档案管理、日程管理、会议室管理、考勤管理、资料库、个人云盘等功能以及相应的移动端功能。</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根据系统应用变化情况，进行代码适应性优化和系统运行环境优化，提高系统运行效率。</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（二）系统运维服务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（1）业务定制。根据市教育局业务办理流程，对流程、表单等业务进行特殊化定制。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系统运维。保证系统的正常运行，包括但不限于服务器、系统、文件转换、轻阅读，OFD版式文件、印章系统、数据库、插件等内容；并结合用户使用反馈、软件版本升级等情况，提供服务期内的系统升级服务。负责系统的定期巡检，做好软件系统的日常运行负载巡检和日志记录工作。对系统内的业务数据和数据库文件每周做全面备份，须每周对系统内的数据、日志进行备份操作，并保存半年以上。</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（3）硬件维护。对数据库服务器、应用服务器、备份服务器、存储服务器进行巡检，记录服务器资源占用情况、日志情况及用户使用情况等形成巡检报告。</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（4）网络维护。服务商负责为甲方的网络系统进行网络连接维护，包括连通性测试等。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提供7×24小时连续运行服务，支持电话、网上值班等响应方式。平台发生故障，服务商应立即向采购人报告。一般故障应在30分钟内排除故障，重大故障应在2小时内排除。故障不能按时排除的，服务商应启用相关备用设施设备，确保系统正常运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（6）数据整理分析。定期向甲方递交服务数据的分析，提交工作建议，建立评估分析机制，实现对于协同办公（OA）系统平台数据的分析统计评估，出具具有直观图表的统计分析评估报告。</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维护总结。服务商应在每月5日前向甲方提供上月维护工作总结报告，内容包括协同办公（OA）系统平台的维护、运行情况、网络运行状况、业务软件运行情况及使用或工作建议等；定期汇总编制运维月报，提高运维数据整理分析。</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（三）驻场运维服务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确定1名专业技术人员全年驻场提供5×8小时服务，负责系统功能运维及故障处理等，确保系统运转有序高效。制定系统运行管理制度、运行维护流程，形成较为完善的运行维护标准、规范体系，保障系统持续运行和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驻场运维人员对系统数据文件和数据库进行备份。数据文件每日增量备份、每周全备份；数据库每日全备份。数据及数据库短期保留14日；数据抽取每月最后一周全备份进行中、长期保留，数据库抽取每月最后一周全备份进行中、长期保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（4）服务正式开始后，服务商负责整个平台一年的问题处理及技术咨询等运行维护服务，以保障正常运行。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（5）驻场人员对接教育局业务口基本需求，收集用户的需求变更，并联系研发分析用户的变更需的合理性、风险、影响范围、可行性等。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（6）驻场人员提供7*24小时服务热线响应。对软件系统故障，5分钟内应做出响应。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（四）传输加密证书服务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服务商需为市教育局业务系统提供HTTPS证书加密服务，包括SSL证书购买、HTTPS部署、安装，SSL证书安装配置等服务。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云waf安全防护</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商需为市教育局业务系统提供云waf安全防护系统。部署于电子政务外网服务器，主要防护来自对系统源站的动态数据攻击，防护的攻击类型包括SQL注入、XSS攻击、CSRF攻击、恶意爬虫、扫描器、远程文件包含等攻击，保证业务系统安全运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电信流量卡服务</w:t>
      </w:r>
    </w:p>
    <w:bookmarkEnd w:id="401"/>
    <w:bookmarkEnd w:id="402"/>
    <w:bookmarkEnd w:id="403"/>
    <w:p>
      <w:pPr>
        <w:spacing w:line="360" w:lineRule="auto"/>
        <w:ind w:firstLine="480" w:firstLineChars="200"/>
        <w:rPr>
          <w:rFonts w:hint="eastAsia" w:ascii="仿宋" w:hAnsi="仿宋" w:eastAsia="仿宋" w:cs="仿宋"/>
          <w:sz w:val="24"/>
          <w:szCs w:val="24"/>
        </w:rPr>
      </w:pPr>
      <w:bookmarkStart w:id="404" w:name="_Toc32234"/>
      <w:bookmarkStart w:id="405" w:name="_Toc6999"/>
      <w:bookmarkStart w:id="406" w:name="_Toc32067"/>
      <w:bookmarkStart w:id="407" w:name="_Toc1698"/>
      <w:r>
        <w:rPr>
          <w:rFonts w:hint="eastAsia" w:ascii="仿宋" w:hAnsi="仿宋" w:eastAsia="仿宋" w:cs="仿宋"/>
          <w:sz w:val="24"/>
          <w:szCs w:val="24"/>
        </w:rPr>
        <w:t>服务商需为市教育局业务系统使用的pad提供流量卡服务，包括10张卡，时长为12月。</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等保二级测评服务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商需为市教育局业务系统提供等保二级测评服务。服务商应选择经公安部认证的具有资质的专业测评机构，同时应提供测评服务所需的各种资料，组织测评机构进行测评。测评完成后对业务系统进行整改，直到通过等保二级测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平台对接服务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服务商承诺整个版本随着西安市政府外网办公要求而升级，承诺对接：</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（1）西安政务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（2）市政府电子公文传输系统</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（3）市政府移动办公系统</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（4）市级加密体系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并出具对接方案和对接接口描述。</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设备更新</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服务商需按照市教育局业务系统的实际工作需求对指定的设备进行更新。</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使用培训</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服务商需免费提供全面培训工作，提供培训教材和讲师服务。培训人员包括各单位系统使用操作人员、系统管理人员和主管领导。</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培训内容包括综合办公系统、版式文件、与西安市政府电子公文传输系统对接操作等与系统相关内容。</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三、服务范围及规模</w:t>
      </w:r>
      <w:bookmarkEnd w:id="404"/>
      <w:bookmarkEnd w:id="405"/>
      <w:bookmarkEnd w:id="406"/>
      <w:bookmarkEnd w:id="407"/>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服务范围为西安市教育局，21个区县、开发区教育局以及29个直属院校（单位）等。服务用户包含市教育局机关全体工作人员及区县、单位相关工作人员，共计约400人。移动办公系统用户包含涉及单位内部移动协同办公，支持后续其他平台后的业务对接。</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性能需求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应用系统应保持不间断的稳定运行，用户同时在线操作用户数大于等于2000个，同时界面响应时间不超过3秒，并发用户数大于等于100个，100个用户并发请求同一个中等复杂度的事务时，响应时间不超过5秒。</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响应需求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所有服务请求应5分钟响应，其中：一般业务咨询和操作指导类问题原则上应在30分钟内解决；数据修改、配置变更和权限调整问题原则上应在2小时内解决；需求变更类问题要求48小时内提交解决方案。</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服务保障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质量保障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了保证甲方能得到有质量保障的运维服务，服务商应建立完善的服务制度和专业的运维服务团队。服务商应整合运维服务资源，规范运维行为，确保服务质效，形成统一管理、集约高效的一体化运维服务质量保障体系，从而保障甲方购买服务能安全、稳定、高效、持续的运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应急预案</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了规范市教育局应用系统应急事件的应急管理，提高应对应急事件的管理水平和应急处理能力，有效防范信息系统风险，减少信息系统故障对生产业务造成的影响，确保信息系统运行的连续性，服务商应结合市教育局的实际情况，制定切实可行的应急预案。</w:t>
      </w:r>
    </w:p>
    <w:p>
      <w:pPr>
        <w:spacing w:line="360" w:lineRule="auto"/>
        <w:ind w:firstLine="480" w:firstLineChars="200"/>
        <w:rPr>
          <w:rFonts w:ascii="仿宋" w:hAnsi="仿宋" w:eastAsia="仿宋" w:cs="仿宋"/>
          <w:color w:val="000000" w:themeColor="text1"/>
          <w:kern w:val="0"/>
          <w:sz w:val="24"/>
          <w:szCs w:val="24"/>
          <w:shd w:val="clear" w:color="auto" w:fill="FFFFFF"/>
          <w:lang w:bidi="ar"/>
          <w14:textFill>
            <w14:solidFill>
              <w14:schemeClr w14:val="tx1"/>
            </w14:solidFill>
          </w14:textFill>
        </w:rPr>
      </w:pPr>
    </w:p>
    <w:p>
      <w:pPr>
        <w:pageBreakBefore/>
        <w:numPr>
          <w:ilvl w:val="0"/>
          <w:numId w:val="1"/>
        </w:numPr>
        <w:spacing w:line="360" w:lineRule="auto"/>
        <w:jc w:val="center"/>
        <w:outlineLvl w:val="0"/>
        <w:rPr>
          <w:rFonts w:ascii="仿宋" w:hAnsi="仿宋" w:eastAsia="仿宋" w:cs="仿宋"/>
          <w:b/>
          <w:sz w:val="32"/>
          <w:szCs w:val="32"/>
          <w:lang w:val="zh-CN"/>
        </w:rPr>
      </w:pPr>
      <w:bookmarkStart w:id="408" w:name="_Toc3059"/>
      <w:bookmarkStart w:id="409" w:name="_Toc23469"/>
      <w:bookmarkStart w:id="410" w:name="_Toc22699"/>
      <w:bookmarkStart w:id="411" w:name="_Toc2752"/>
      <w:bookmarkStart w:id="412" w:name="_Toc31815"/>
      <w:bookmarkStart w:id="413" w:name="_Toc29117"/>
      <w:bookmarkStart w:id="414" w:name="_Toc19915"/>
      <w:bookmarkStart w:id="415" w:name="_Toc24222"/>
      <w:bookmarkStart w:id="416" w:name="_Toc4229"/>
      <w:bookmarkStart w:id="417" w:name="_Toc22079"/>
      <w:bookmarkStart w:id="418" w:name="_Toc32539"/>
      <w:bookmarkStart w:id="419" w:name="_Toc17761"/>
      <w:r>
        <w:rPr>
          <w:rFonts w:hint="eastAsia" w:ascii="仿宋" w:hAnsi="仿宋" w:eastAsia="仿宋" w:cs="仿宋"/>
          <w:b/>
          <w:sz w:val="32"/>
          <w:szCs w:val="32"/>
        </w:rPr>
        <w:t xml:space="preserve">  </w:t>
      </w:r>
      <w:bookmarkStart w:id="420" w:name="_Toc22604"/>
      <w:r>
        <w:rPr>
          <w:rFonts w:hint="eastAsia" w:ascii="仿宋" w:hAnsi="仿宋" w:eastAsia="仿宋" w:cs="仿宋"/>
          <w:b/>
          <w:sz w:val="32"/>
          <w:szCs w:val="32"/>
        </w:rPr>
        <w:t>合同</w:t>
      </w:r>
      <w:r>
        <w:rPr>
          <w:rFonts w:hint="eastAsia" w:ascii="仿宋" w:hAnsi="仿宋" w:eastAsia="仿宋" w:cs="仿宋"/>
          <w:b/>
          <w:sz w:val="32"/>
          <w:szCs w:val="32"/>
          <w:lang w:val="zh-CN"/>
        </w:rPr>
        <w:t>主要条款及格式</w:t>
      </w:r>
      <w:bookmarkEnd w:id="385"/>
      <w:bookmarkEnd w:id="386"/>
      <w:bookmarkEnd w:id="387"/>
      <w:bookmarkEnd w:id="408"/>
      <w:bookmarkEnd w:id="409"/>
      <w:bookmarkEnd w:id="410"/>
      <w:bookmarkEnd w:id="411"/>
      <w:bookmarkEnd w:id="412"/>
      <w:bookmarkEnd w:id="413"/>
      <w:bookmarkEnd w:id="414"/>
      <w:bookmarkEnd w:id="415"/>
      <w:bookmarkEnd w:id="416"/>
      <w:bookmarkEnd w:id="417"/>
      <w:bookmarkEnd w:id="418"/>
      <w:bookmarkEnd w:id="419"/>
      <w:bookmarkEnd w:id="420"/>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采购人（甲方）：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成交人（乙方）：</w:t>
      </w:r>
    </w:p>
    <w:p>
      <w:pPr>
        <w:tabs>
          <w:tab w:val="left" w:pos="709"/>
          <w:tab w:val="left" w:pos="851"/>
        </w:tabs>
        <w:spacing w:line="360" w:lineRule="auto"/>
        <w:ind w:firstLine="482" w:firstLineChars="200"/>
        <w:rPr>
          <w:rFonts w:ascii="仿宋" w:hAnsi="仿宋" w:eastAsia="仿宋" w:cs="仿宋"/>
          <w:b/>
          <w:color w:val="000000"/>
          <w:sz w:val="24"/>
          <w:szCs w:val="24"/>
        </w:rPr>
      </w:pPr>
      <w:r>
        <w:rPr>
          <w:rFonts w:hint="eastAsia" w:ascii="仿宋" w:hAnsi="仿宋" w:eastAsia="仿宋" w:cs="仿宋"/>
          <w:b/>
          <w:color w:val="000000"/>
          <w:sz w:val="24"/>
          <w:szCs w:val="24"/>
        </w:rPr>
        <w:t>项目基本情况</w:t>
      </w:r>
    </w:p>
    <w:p>
      <w:pPr>
        <w:widowControl/>
        <w:spacing w:line="360" w:lineRule="auto"/>
        <w:ind w:firstLine="480" w:firstLineChars="200"/>
        <w:rPr>
          <w:rFonts w:ascii="仿宋" w:hAnsi="仿宋" w:eastAsia="仿宋" w:cs="仿宋"/>
          <w:kern w:val="0"/>
          <w:sz w:val="24"/>
          <w:szCs w:val="24"/>
        </w:rPr>
      </w:pPr>
      <w:r>
        <w:rPr>
          <w:rFonts w:hint="eastAsia" w:ascii="仿宋" w:hAnsi="仿宋" w:eastAsia="仿宋" w:cs="仿宋"/>
          <w:bCs/>
          <w:sz w:val="24"/>
          <w:szCs w:val="24"/>
          <w:u w:val="single"/>
          <w:lang w:eastAsia="zh-CN"/>
        </w:rPr>
        <w:t>西安市教育局政务协同办公系统运维服务项目</w:t>
      </w:r>
      <w:r>
        <w:rPr>
          <w:rFonts w:hint="eastAsia" w:ascii="仿宋" w:hAnsi="仿宋" w:eastAsia="仿宋" w:cs="仿宋"/>
          <w:sz w:val="24"/>
          <w:szCs w:val="24"/>
        </w:rPr>
        <w:t>(项目编号：</w:t>
      </w:r>
      <w:r>
        <w:rPr>
          <w:rFonts w:hint="eastAsia" w:ascii="仿宋" w:hAnsi="仿宋" w:eastAsia="仿宋" w:cs="仿宋"/>
          <w:sz w:val="24"/>
          <w:szCs w:val="24"/>
          <w:lang w:eastAsia="zh-CN"/>
        </w:rPr>
        <w:t>DX2022-238</w:t>
      </w:r>
      <w:r>
        <w:rPr>
          <w:rFonts w:hint="eastAsia" w:ascii="仿宋" w:hAnsi="仿宋" w:eastAsia="仿宋" w:cs="仿宋"/>
          <w:sz w:val="24"/>
          <w:szCs w:val="24"/>
        </w:rPr>
        <w:t>)，在西安市教育局的监督管理</w:t>
      </w:r>
      <w:r>
        <w:rPr>
          <w:rFonts w:hint="eastAsia" w:ascii="仿宋" w:hAnsi="仿宋" w:eastAsia="仿宋" w:cs="仿宋"/>
          <w:kern w:val="0"/>
          <w:sz w:val="24"/>
          <w:szCs w:val="24"/>
        </w:rPr>
        <w:t>下，由陕西笃信招标有限公司组织竞争性磋商。</w:t>
      </w:r>
      <w:r>
        <w:rPr>
          <w:rFonts w:hint="eastAsia" w:ascii="仿宋" w:hAnsi="仿宋" w:eastAsia="仿宋" w:cs="仿宋"/>
          <w:sz w:val="24"/>
          <w:szCs w:val="24"/>
        </w:rPr>
        <w:t>西安市教育局</w:t>
      </w:r>
      <w:r>
        <w:rPr>
          <w:rFonts w:hint="eastAsia" w:ascii="仿宋" w:hAnsi="仿宋" w:eastAsia="仿宋" w:cs="仿宋"/>
          <w:kern w:val="0"/>
          <w:sz w:val="24"/>
          <w:szCs w:val="24"/>
        </w:rPr>
        <w:t>(以下简称“甲方”)确定 (成交单位名称) （以下简称“乙方”）为成交单位。</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依据《中华人民共和国民法典》和《中华人民共和国政府采购法》《中华人民共和国政府采购法实施条例》，甲方通过竞争性磋商采购</w:t>
      </w:r>
      <w:r>
        <w:rPr>
          <w:rFonts w:hint="eastAsia" w:ascii="仿宋" w:hAnsi="仿宋" w:eastAsia="仿宋" w:cs="仿宋"/>
          <w:kern w:val="0"/>
          <w:sz w:val="24"/>
          <w:szCs w:val="24"/>
          <w:u w:val="single"/>
        </w:rPr>
        <w:t xml:space="preserve">（服务名称） </w:t>
      </w:r>
      <w:r>
        <w:rPr>
          <w:rFonts w:hint="eastAsia" w:ascii="仿宋" w:hAnsi="仿宋" w:eastAsia="仿宋" w:cs="仿宋"/>
          <w:kern w:val="0"/>
          <w:sz w:val="24"/>
          <w:szCs w:val="24"/>
        </w:rPr>
        <w:t>，并接受了乙方以价格</w:t>
      </w:r>
      <w:r>
        <w:rPr>
          <w:rFonts w:hint="eastAsia" w:ascii="仿宋" w:hAnsi="仿宋" w:eastAsia="仿宋" w:cs="仿宋"/>
          <w:kern w:val="0"/>
          <w:sz w:val="24"/>
          <w:szCs w:val="24"/>
          <w:u w:val="single"/>
        </w:rPr>
        <w:t>(成交金额大写)</w:t>
      </w:r>
      <w:r>
        <w:rPr>
          <w:rFonts w:hint="eastAsia" w:ascii="仿宋" w:hAnsi="仿宋" w:eastAsia="仿宋" w:cs="仿宋"/>
          <w:kern w:val="0"/>
          <w:sz w:val="24"/>
          <w:szCs w:val="24"/>
        </w:rPr>
        <w:t>(以下简称“合同价”)提供的服务。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本合同在此声明如下：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1、本合同中的词语和术语的含义与合同条款中定义的相同。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2、下述文件是本合同的一部分，并与本合同一起阅读和解释：</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1）合同条款</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）成交通知书</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）竞争性磋商文件</w:t>
      </w:r>
    </w:p>
    <w:p>
      <w:pPr>
        <w:spacing w:line="360" w:lineRule="auto"/>
        <w:ind w:firstLine="480" w:firstLineChars="200"/>
        <w:rPr>
          <w:rFonts w:ascii="仿宋" w:hAnsi="仿宋" w:eastAsia="仿宋" w:cs="仿宋"/>
          <w:b/>
          <w:sz w:val="24"/>
          <w:szCs w:val="24"/>
        </w:rPr>
      </w:pPr>
      <w:r>
        <w:rPr>
          <w:rFonts w:ascii="仿宋" w:hAnsi="仿宋" w:eastAsia="仿宋" w:cs="仿宋"/>
          <w:sz w:val="24"/>
          <w:szCs w:val="24"/>
        </w:rPr>
        <w:t>4</w:t>
      </w:r>
      <w:r>
        <w:rPr>
          <w:rFonts w:hint="eastAsia" w:ascii="仿宋" w:hAnsi="仿宋" w:eastAsia="仿宋" w:cs="仿宋"/>
          <w:sz w:val="24"/>
          <w:szCs w:val="24"/>
        </w:rPr>
        <w:t>）竞争性磋商响应文件</w:t>
      </w:r>
    </w:p>
    <w:p>
      <w:pPr>
        <w:adjustRightInd w:val="0"/>
        <w:snapToGrid w:val="0"/>
        <w:spacing w:line="360" w:lineRule="auto"/>
        <w:rPr>
          <w:rFonts w:ascii="仿宋" w:hAnsi="仿宋" w:eastAsia="仿宋" w:cs="仿宋"/>
          <w:b/>
          <w:sz w:val="24"/>
          <w:szCs w:val="24"/>
        </w:rPr>
      </w:pPr>
      <w:r>
        <w:rPr>
          <w:rFonts w:hint="eastAsia" w:ascii="仿宋" w:hAnsi="仿宋" w:eastAsia="仿宋" w:cs="仿宋"/>
          <w:b/>
          <w:sz w:val="24"/>
          <w:szCs w:val="24"/>
        </w:rPr>
        <w:t>一、采购内容及支付</w:t>
      </w:r>
    </w:p>
    <w:p>
      <w:pPr>
        <w:autoSpaceDE w:val="0"/>
        <w:autoSpaceDN w:val="0"/>
        <w:adjustRightIn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（一）合同基本信息</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合同名称：</w:t>
      </w:r>
      <w:r>
        <w:rPr>
          <w:rFonts w:hint="eastAsia" w:ascii="仿宋" w:hAnsi="仿宋" w:eastAsia="仿宋" w:cs="仿宋"/>
          <w:bCs/>
          <w:sz w:val="24"/>
          <w:szCs w:val="24"/>
          <w:u w:val="single"/>
        </w:rPr>
        <w:t xml:space="preserve">               </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合同编号：</w:t>
      </w:r>
      <w:r>
        <w:rPr>
          <w:rFonts w:hint="eastAsia" w:ascii="仿宋" w:hAnsi="仿宋" w:eastAsia="仿宋" w:cs="仿宋"/>
          <w:bCs/>
          <w:sz w:val="24"/>
          <w:szCs w:val="24"/>
          <w:u w:val="single"/>
        </w:rPr>
        <w:t xml:space="preserve">               </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签订日期：</w:t>
      </w:r>
      <w:r>
        <w:rPr>
          <w:rFonts w:hint="eastAsia" w:ascii="仿宋" w:hAnsi="仿宋" w:eastAsia="仿宋" w:cs="仿宋"/>
          <w:bCs/>
          <w:sz w:val="24"/>
          <w:szCs w:val="24"/>
          <w:u w:val="single"/>
        </w:rPr>
        <w:t xml:space="preserve">               </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合同期限：</w:t>
      </w:r>
      <w:r>
        <w:rPr>
          <w:rFonts w:hint="eastAsia" w:ascii="仿宋" w:hAnsi="仿宋" w:eastAsia="仿宋" w:cs="仿宋"/>
          <w:bCs/>
          <w:sz w:val="24"/>
          <w:szCs w:val="24"/>
          <w:u w:val="single"/>
        </w:rPr>
        <w:t xml:space="preserve">               </w:t>
      </w:r>
    </w:p>
    <w:p>
      <w:pPr>
        <w:autoSpaceDE w:val="0"/>
        <w:autoSpaceDN w:val="0"/>
        <w:adjustRightIn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（二）合同采购内容</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采购数量：</w:t>
      </w:r>
      <w:r>
        <w:rPr>
          <w:rFonts w:hint="eastAsia" w:ascii="仿宋" w:hAnsi="仿宋" w:eastAsia="仿宋" w:cs="仿宋"/>
          <w:bCs/>
          <w:sz w:val="24"/>
          <w:szCs w:val="24"/>
          <w:u w:val="single"/>
        </w:rPr>
        <w:t xml:space="preserve"> 1 </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计量单位：</w:t>
      </w:r>
      <w:r>
        <w:rPr>
          <w:rFonts w:hint="eastAsia" w:ascii="仿宋" w:hAnsi="仿宋" w:eastAsia="仿宋" w:cs="仿宋"/>
          <w:bCs/>
          <w:sz w:val="24"/>
          <w:szCs w:val="24"/>
          <w:u w:val="single"/>
        </w:rPr>
        <w:t xml:space="preserve"> 项 </w:t>
      </w:r>
    </w:p>
    <w:p>
      <w:pPr>
        <w:autoSpaceDE w:val="0"/>
        <w:autoSpaceDN w:val="0"/>
        <w:adjustRightInd w:val="0"/>
        <w:spacing w:line="360" w:lineRule="auto"/>
        <w:ind w:firstLine="480" w:firstLineChars="200"/>
        <w:rPr>
          <w:rFonts w:hint="eastAsia" w:ascii="仿宋" w:hAnsi="仿宋" w:eastAsia="仿宋" w:cs="仿宋"/>
          <w:bCs/>
          <w:sz w:val="24"/>
          <w:szCs w:val="24"/>
          <w:lang w:eastAsia="zh-CN"/>
        </w:rPr>
      </w:pPr>
      <w:r>
        <w:rPr>
          <w:rFonts w:hint="eastAsia" w:ascii="仿宋" w:hAnsi="仿宋" w:eastAsia="仿宋" w:cs="仿宋"/>
          <w:bCs/>
          <w:sz w:val="24"/>
          <w:szCs w:val="24"/>
        </w:rPr>
        <w:t>服务范围：</w:t>
      </w:r>
      <w:r>
        <w:rPr>
          <w:rFonts w:hint="eastAsia" w:ascii="仿宋" w:hAnsi="仿宋" w:eastAsia="仿宋" w:cs="仿宋"/>
          <w:bCs/>
          <w:sz w:val="24"/>
          <w:szCs w:val="24"/>
          <w:u w:val="single"/>
          <w:lang w:eastAsia="zh-CN"/>
        </w:rPr>
        <w:t>西安市教育局政务协同办公系统运维服务项目</w:t>
      </w:r>
    </w:p>
    <w:p>
      <w:pPr>
        <w:autoSpaceDE w:val="0"/>
        <w:autoSpaceDN w:val="0"/>
        <w:adjustRightIn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（三）交付时间、地点、方式</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交付时间：</w:t>
      </w:r>
      <w:r>
        <w:rPr>
          <w:rFonts w:hint="eastAsia" w:ascii="仿宋" w:hAnsi="仿宋" w:eastAsia="仿宋" w:cs="仿宋"/>
          <w:bCs/>
          <w:sz w:val="24"/>
          <w:szCs w:val="24"/>
          <w:u w:val="single"/>
        </w:rPr>
        <w:t xml:space="preserve">               </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交付地点：</w:t>
      </w:r>
      <w:r>
        <w:rPr>
          <w:rFonts w:hint="eastAsia" w:ascii="仿宋" w:hAnsi="仿宋" w:eastAsia="仿宋" w:cs="仿宋"/>
          <w:bCs/>
          <w:sz w:val="24"/>
          <w:szCs w:val="24"/>
          <w:u w:val="single"/>
        </w:rPr>
        <w:t xml:space="preserve">               </w:t>
      </w:r>
    </w:p>
    <w:p>
      <w:pPr>
        <w:autoSpaceDE w:val="0"/>
        <w:autoSpaceDN w:val="0"/>
        <w:adjustRightInd w:val="0"/>
        <w:spacing w:line="360" w:lineRule="auto"/>
        <w:ind w:firstLine="480" w:firstLineChars="200"/>
        <w:rPr>
          <w:rFonts w:ascii="仿宋" w:hAnsi="仿宋" w:eastAsia="仿宋" w:cs="仿宋"/>
          <w:bCs/>
          <w:sz w:val="24"/>
          <w:szCs w:val="24"/>
          <w:u w:val="single"/>
        </w:rPr>
      </w:pPr>
      <w:r>
        <w:rPr>
          <w:rFonts w:hint="eastAsia" w:ascii="仿宋" w:hAnsi="仿宋" w:eastAsia="仿宋" w:cs="仿宋"/>
          <w:bCs/>
          <w:sz w:val="24"/>
          <w:szCs w:val="24"/>
        </w:rPr>
        <w:t>交付条件：</w:t>
      </w:r>
      <w:r>
        <w:rPr>
          <w:rFonts w:hint="eastAsia" w:ascii="仿宋" w:hAnsi="仿宋" w:eastAsia="仿宋" w:cs="仿宋"/>
          <w:bCs/>
          <w:sz w:val="24"/>
          <w:szCs w:val="24"/>
          <w:u w:val="single"/>
        </w:rPr>
        <w:t xml:space="preserve">               </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服务期限：</w:t>
      </w:r>
      <w:r>
        <w:rPr>
          <w:rFonts w:hint="eastAsia" w:ascii="仿宋" w:hAnsi="仿宋" w:eastAsia="仿宋" w:cs="仿宋"/>
          <w:bCs/>
          <w:sz w:val="24"/>
          <w:szCs w:val="24"/>
          <w:u w:val="single"/>
        </w:rPr>
        <w:t xml:space="preserve">               </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联系人：</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甲方联系人：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，甲方联系人电话：</w:t>
      </w:r>
      <w:r>
        <w:rPr>
          <w:rFonts w:hint="eastAsia" w:ascii="仿宋" w:hAnsi="仿宋" w:eastAsia="仿宋" w:cs="仿宋"/>
          <w:bCs/>
          <w:sz w:val="24"/>
          <w:szCs w:val="24"/>
          <w:u w:val="single"/>
        </w:rPr>
        <w:t xml:space="preserve">       </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乙方联系人：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，乙方联系人电话：</w:t>
      </w:r>
      <w:r>
        <w:rPr>
          <w:rFonts w:hint="eastAsia" w:ascii="仿宋" w:hAnsi="仿宋" w:eastAsia="仿宋" w:cs="仿宋"/>
          <w:bCs/>
          <w:sz w:val="24"/>
          <w:szCs w:val="24"/>
          <w:u w:val="single"/>
        </w:rPr>
        <w:t xml:space="preserve">       </w:t>
      </w:r>
    </w:p>
    <w:p>
      <w:pPr>
        <w:autoSpaceDE w:val="0"/>
        <w:autoSpaceDN w:val="0"/>
        <w:adjustRightIn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（四）产品交付与验收</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验收：</w:t>
      </w:r>
      <w:r>
        <w:rPr>
          <w:rFonts w:hint="eastAsia" w:ascii="仿宋" w:hAnsi="仿宋" w:eastAsia="仿宋" w:cs="仿宋"/>
          <w:bCs/>
          <w:sz w:val="24"/>
          <w:szCs w:val="24"/>
          <w:u w:val="single"/>
        </w:rPr>
        <w:t xml:space="preserve">                                    </w:t>
      </w:r>
    </w:p>
    <w:p>
      <w:pPr>
        <w:autoSpaceDE w:val="0"/>
        <w:autoSpaceDN w:val="0"/>
        <w:adjustRightInd w:val="0"/>
        <w:spacing w:line="360" w:lineRule="auto"/>
        <w:rPr>
          <w:rFonts w:ascii="仿宋" w:hAnsi="仿宋" w:eastAsia="仿宋" w:cs="仿宋"/>
          <w:b/>
          <w:sz w:val="24"/>
          <w:szCs w:val="24"/>
        </w:rPr>
      </w:pPr>
      <w:r>
        <w:rPr>
          <w:rFonts w:hint="eastAsia" w:ascii="仿宋" w:hAnsi="仿宋" w:eastAsia="仿宋" w:cs="仿宋"/>
          <w:b/>
          <w:sz w:val="24"/>
          <w:szCs w:val="24"/>
        </w:rPr>
        <w:t>二、支付售后与违约</w:t>
      </w:r>
    </w:p>
    <w:p>
      <w:pPr>
        <w:autoSpaceDE w:val="0"/>
        <w:autoSpaceDN w:val="0"/>
        <w:adjustRightIn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（一）付款方式、时间及付款条件</w:t>
      </w:r>
    </w:p>
    <w:p>
      <w:pPr>
        <w:autoSpaceDE w:val="0"/>
        <w:autoSpaceDN w:val="0"/>
        <w:adjustRightInd w:val="0"/>
        <w:spacing w:line="360" w:lineRule="auto"/>
        <w:ind w:firstLine="480" w:firstLineChars="200"/>
        <w:rPr>
          <w:rFonts w:ascii="仿宋" w:hAnsi="仿宋" w:eastAsia="仿宋" w:cs="仿宋"/>
          <w:bCs/>
          <w:sz w:val="24"/>
          <w:szCs w:val="24"/>
        </w:rPr>
      </w:pPr>
      <w:bookmarkStart w:id="421" w:name="_Toc491958066"/>
      <w:bookmarkStart w:id="422" w:name="_Toc491957859"/>
      <w:r>
        <w:rPr>
          <w:rFonts w:hint="eastAsia" w:ascii="仿宋" w:hAnsi="仿宋" w:eastAsia="仿宋" w:cs="仿宋"/>
          <w:bCs/>
          <w:sz w:val="24"/>
          <w:szCs w:val="24"/>
        </w:rPr>
        <w:t>1、甲方向乙方提供服务费用共计</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元整，（大写：</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w:t>
      </w:r>
      <w:bookmarkEnd w:id="421"/>
      <w:bookmarkEnd w:id="422"/>
    </w:p>
    <w:p>
      <w:pPr>
        <w:autoSpaceDE w:val="0"/>
        <w:autoSpaceDN w:val="0"/>
        <w:adjustRightInd w:val="0"/>
        <w:spacing w:line="360" w:lineRule="auto"/>
        <w:ind w:firstLine="480" w:firstLineChars="200"/>
        <w:rPr>
          <w:rFonts w:hint="eastAsia" w:ascii="仿宋" w:hAnsi="仿宋" w:eastAsia="仿宋" w:cs="仿宋"/>
          <w:bCs/>
          <w:sz w:val="24"/>
          <w:szCs w:val="24"/>
          <w:u w:val="single"/>
          <w:lang w:val="en-US" w:eastAsia="zh-CN"/>
        </w:rPr>
      </w:pPr>
      <w:r>
        <w:rPr>
          <w:rFonts w:hint="eastAsia" w:ascii="仿宋" w:hAnsi="仿宋" w:eastAsia="仿宋" w:cs="仿宋"/>
          <w:bCs/>
          <w:sz w:val="24"/>
          <w:szCs w:val="24"/>
        </w:rPr>
        <w:t>2、付款方式：</w:t>
      </w:r>
      <w:r>
        <w:rPr>
          <w:rFonts w:hint="eastAsia" w:ascii="仿宋" w:hAnsi="仿宋" w:eastAsia="仿宋" w:cs="仿宋"/>
          <w:bCs/>
          <w:sz w:val="24"/>
          <w:szCs w:val="24"/>
          <w:u w:val="none"/>
        </w:rPr>
        <w:t>合同签订后一个月内支付全部合同款。</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3、合同总价不受市场价变化的影响。</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4、结算方式为银行转账。</w:t>
      </w:r>
    </w:p>
    <w:p>
      <w:pPr>
        <w:autoSpaceDE w:val="0"/>
        <w:autoSpaceDN w:val="0"/>
        <w:adjustRightIn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（二）质量保证及售后服务</w:t>
      </w:r>
    </w:p>
    <w:p>
      <w:pPr>
        <w:adjustRightInd w:val="0"/>
        <w:snapToGrid w:val="0"/>
        <w:spacing w:line="360" w:lineRule="auto"/>
        <w:ind w:firstLine="480" w:firstLineChars="200"/>
        <w:rPr>
          <w:rFonts w:ascii="仿宋" w:hAnsi="仿宋" w:eastAsia="仿宋" w:cs="仿宋"/>
          <w:bCs/>
          <w:color w:val="000000"/>
          <w:sz w:val="24"/>
          <w:szCs w:val="24"/>
        </w:rPr>
      </w:pPr>
      <w:r>
        <w:rPr>
          <w:rFonts w:hint="eastAsia" w:ascii="仿宋" w:hAnsi="仿宋" w:eastAsia="仿宋" w:cs="仿宋"/>
          <w:bCs/>
          <w:color w:val="000000"/>
          <w:sz w:val="24"/>
          <w:szCs w:val="24"/>
        </w:rPr>
        <w:t>质量保证期：</w:t>
      </w:r>
    </w:p>
    <w:p>
      <w:pPr>
        <w:adjustRightInd w:val="0"/>
        <w:snapToGrid w:val="0"/>
        <w:spacing w:line="360" w:lineRule="auto"/>
        <w:ind w:firstLine="480" w:firstLineChars="200"/>
        <w:rPr>
          <w:rFonts w:ascii="仿宋" w:hAnsi="仿宋" w:eastAsia="仿宋" w:cs="仿宋"/>
          <w:bCs/>
          <w:color w:val="000000"/>
          <w:sz w:val="24"/>
          <w:szCs w:val="24"/>
        </w:rPr>
      </w:pPr>
      <w:r>
        <w:rPr>
          <w:rFonts w:hint="eastAsia" w:ascii="仿宋" w:hAnsi="仿宋" w:eastAsia="仿宋" w:cs="仿宋"/>
          <w:bCs/>
          <w:color w:val="000000"/>
          <w:sz w:val="24"/>
          <w:szCs w:val="24"/>
        </w:rPr>
        <w:t>售后服务：</w:t>
      </w:r>
    </w:p>
    <w:p>
      <w:pPr>
        <w:autoSpaceDE w:val="0"/>
        <w:autoSpaceDN w:val="0"/>
        <w:adjustRightIn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（三）违约责任</w:t>
      </w:r>
    </w:p>
    <w:p>
      <w:pPr>
        <w:adjustRightInd w:val="0"/>
        <w:snapToGrid w:val="0"/>
        <w:spacing w:line="360" w:lineRule="auto"/>
        <w:ind w:firstLine="480" w:firstLineChars="200"/>
        <w:jc w:val="left"/>
        <w:rPr>
          <w:rFonts w:ascii="仿宋" w:hAnsi="仿宋" w:eastAsia="仿宋" w:cs="仿宋"/>
          <w:bCs/>
          <w:color w:val="000000"/>
          <w:sz w:val="24"/>
          <w:szCs w:val="24"/>
        </w:rPr>
      </w:pPr>
      <w:r>
        <w:rPr>
          <w:rFonts w:hint="eastAsia" w:ascii="仿宋" w:hAnsi="仿宋" w:eastAsia="仿宋" w:cs="仿宋"/>
          <w:bCs/>
          <w:color w:val="000000"/>
          <w:sz w:val="24"/>
          <w:szCs w:val="24"/>
        </w:rPr>
        <w:t>违约责任：</w:t>
      </w:r>
    </w:p>
    <w:p>
      <w:pPr>
        <w:pStyle w:val="8"/>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1.乙方应按合同约定时间完成各阶段合同义务，若发生延迟，乙方应向甲方支付合同总价款10%的违约金，且甲方有权单方解除本合同。但甲方书面同意延迟或因甲方原因导致延迟的，乙方不承担违约责任。</w:t>
      </w:r>
    </w:p>
    <w:p>
      <w:pPr>
        <w:pStyle w:val="8"/>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2.如甲方未能在本合同约定时间内支付款项，每延迟一天，甲方须向乙方承担迟延支付费用的0.5‰作为违约金，并将服务周期予以相应顺延。</w:t>
      </w:r>
    </w:p>
    <w:p>
      <w:pPr>
        <w:pStyle w:val="8"/>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3.本次活动因乙方原因导致侵害甲方或第三方合法权益的，应由乙方承担相应赔偿责任，并向甲方支付合同总价款10%的违约金。</w:t>
      </w:r>
    </w:p>
    <w:p>
      <w:pPr>
        <w:pStyle w:val="8"/>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4.若乙方未经甲方同意泄露本合同约定的任何秘密信息的，乙方应按照合同总价款的10%向甲方支付违约金，并赔偿因此给甲方造成的损失。</w:t>
      </w:r>
    </w:p>
    <w:p>
      <w:pPr>
        <w:pStyle w:val="8"/>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乙方保证向甲方开具发票的真实性、合法性，若乙方向甲方开具的发票存在真实性、合法性问题，给甲方造成损失的，乙方应按合同总价款的10%向甲方支付违约金，违约金不足以弥补损失的，乙方还应承担相应赔偿责任。</w:t>
      </w:r>
    </w:p>
    <w:p>
      <w:pPr>
        <w:autoSpaceDE w:val="0"/>
        <w:autoSpaceDN w:val="0"/>
        <w:adjustRightIn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（四）履约保证金</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收取履约保证金：否</w:t>
      </w:r>
    </w:p>
    <w:p>
      <w:pPr>
        <w:autoSpaceDE w:val="0"/>
        <w:autoSpaceDN w:val="0"/>
        <w:adjustRightIn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（五）争议解决条款</w:t>
      </w:r>
    </w:p>
    <w:p>
      <w:pPr>
        <w:autoSpaceDE w:val="0"/>
        <w:autoSpaceDN w:val="0"/>
        <w:adjustRightInd w:val="0"/>
        <w:spacing w:line="360" w:lineRule="auto"/>
        <w:ind w:firstLine="480" w:firstLineChars="200"/>
        <w:rPr>
          <w:rFonts w:ascii="仿宋" w:hAnsi="仿宋" w:eastAsia="仿宋" w:cs="仿宋"/>
          <w:b/>
          <w:sz w:val="24"/>
          <w:szCs w:val="24"/>
        </w:rPr>
      </w:pPr>
      <w:r>
        <w:rPr>
          <w:rFonts w:hint="eastAsia" w:ascii="仿宋" w:hAnsi="仿宋" w:eastAsia="仿宋" w:cs="仿宋"/>
          <w:sz w:val="24"/>
          <w:szCs w:val="24"/>
        </w:rPr>
        <w:t>解决争议的方法：执行本合同过程中发生争议，应友好协商解决，协商不成的，任何一方可到甲方所在地人民法院提起诉讼。</w:t>
      </w:r>
    </w:p>
    <w:p>
      <w:pPr>
        <w:autoSpaceDE w:val="0"/>
        <w:autoSpaceDN w:val="0"/>
        <w:adjustRightIn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（六）合同生效</w:t>
      </w:r>
    </w:p>
    <w:p>
      <w:pPr>
        <w:adjustRightInd w:val="0"/>
        <w:snapToGrid w:val="0"/>
        <w:spacing w:line="360" w:lineRule="auto"/>
        <w:ind w:firstLine="480" w:firstLineChars="200"/>
        <w:rPr>
          <w:rFonts w:ascii="仿宋" w:hAnsi="仿宋" w:eastAsia="仿宋" w:cs="仿宋"/>
          <w:b/>
          <w:sz w:val="24"/>
          <w:szCs w:val="24"/>
        </w:rPr>
      </w:pPr>
      <w:r>
        <w:rPr>
          <w:rFonts w:hint="eastAsia" w:ascii="仿宋" w:hAnsi="仿宋" w:eastAsia="仿宋" w:cs="仿宋"/>
          <w:bCs/>
          <w:sz w:val="24"/>
          <w:szCs w:val="24"/>
        </w:rPr>
        <w:t>合同份数：</w:t>
      </w:r>
      <w:r>
        <w:rPr>
          <w:rFonts w:hint="eastAsia" w:ascii="仿宋" w:hAnsi="仿宋" w:eastAsia="仿宋" w:cs="仿宋"/>
          <w:snapToGrid w:val="0"/>
          <w:kern w:val="0"/>
          <w:sz w:val="24"/>
          <w:szCs w:val="24"/>
        </w:rPr>
        <w:t>本合同一式</w:t>
      </w:r>
      <w:r>
        <w:rPr>
          <w:rFonts w:hint="eastAsia" w:ascii="仿宋" w:hAnsi="仿宋" w:eastAsia="仿宋" w:cs="仿宋"/>
          <w:snapToGrid w:val="0"/>
          <w:kern w:val="0"/>
          <w:sz w:val="24"/>
          <w:szCs w:val="24"/>
          <w:u w:val="single"/>
        </w:rPr>
        <w:t xml:space="preserve"> 陆 </w:t>
      </w:r>
      <w:r>
        <w:rPr>
          <w:rFonts w:hint="eastAsia" w:ascii="仿宋" w:hAnsi="仿宋" w:eastAsia="仿宋" w:cs="仿宋"/>
          <w:snapToGrid w:val="0"/>
          <w:kern w:val="0"/>
          <w:sz w:val="24"/>
          <w:szCs w:val="24"/>
        </w:rPr>
        <w:t>份，具有同等法律效力，双方各执</w:t>
      </w:r>
      <w:r>
        <w:rPr>
          <w:rFonts w:hint="eastAsia" w:ascii="仿宋" w:hAnsi="仿宋" w:eastAsia="仿宋" w:cs="仿宋"/>
          <w:snapToGrid w:val="0"/>
          <w:kern w:val="0"/>
          <w:sz w:val="24"/>
          <w:szCs w:val="24"/>
          <w:u w:val="single"/>
        </w:rPr>
        <w:t xml:space="preserve"> 贰 </w:t>
      </w:r>
      <w:r>
        <w:rPr>
          <w:rFonts w:hint="eastAsia" w:ascii="仿宋" w:hAnsi="仿宋" w:eastAsia="仿宋" w:cs="仿宋"/>
          <w:snapToGrid w:val="0"/>
          <w:kern w:val="0"/>
          <w:sz w:val="24"/>
          <w:szCs w:val="24"/>
        </w:rPr>
        <w:t>份，监管部门备案</w:t>
      </w:r>
      <w:r>
        <w:rPr>
          <w:rFonts w:hint="eastAsia" w:ascii="仿宋" w:hAnsi="仿宋" w:eastAsia="仿宋" w:cs="仿宋"/>
          <w:snapToGrid w:val="0"/>
          <w:kern w:val="0"/>
          <w:sz w:val="24"/>
          <w:szCs w:val="24"/>
          <w:u w:val="single"/>
        </w:rPr>
        <w:t xml:space="preserve"> 壹 </w:t>
      </w:r>
      <w:r>
        <w:rPr>
          <w:rFonts w:hint="eastAsia" w:ascii="仿宋" w:hAnsi="仿宋" w:eastAsia="仿宋" w:cs="仿宋"/>
          <w:snapToGrid w:val="0"/>
          <w:kern w:val="0"/>
          <w:sz w:val="24"/>
          <w:szCs w:val="24"/>
        </w:rPr>
        <w:t>份、招标代理机构存档</w:t>
      </w:r>
      <w:r>
        <w:rPr>
          <w:rFonts w:hint="eastAsia" w:ascii="仿宋" w:hAnsi="仿宋" w:eastAsia="仿宋" w:cs="仿宋"/>
          <w:snapToGrid w:val="0"/>
          <w:kern w:val="0"/>
          <w:sz w:val="24"/>
          <w:szCs w:val="24"/>
          <w:u w:val="single"/>
        </w:rPr>
        <w:t xml:space="preserve"> 壹 </w:t>
      </w:r>
      <w:r>
        <w:rPr>
          <w:rFonts w:hint="eastAsia" w:ascii="仿宋" w:hAnsi="仿宋" w:eastAsia="仿宋" w:cs="仿宋"/>
          <w:snapToGrid w:val="0"/>
          <w:kern w:val="0"/>
          <w:sz w:val="24"/>
          <w:szCs w:val="24"/>
        </w:rPr>
        <w:t>份。各方签字盖章后生效，合同执行完毕自动失效。</w:t>
      </w:r>
    </w:p>
    <w:p>
      <w:pPr>
        <w:spacing w:line="360" w:lineRule="auto"/>
        <w:rPr>
          <w:rFonts w:ascii="仿宋" w:hAnsi="仿宋" w:eastAsia="仿宋" w:cs="仿宋"/>
          <w:b/>
          <w:sz w:val="24"/>
          <w:szCs w:val="24"/>
        </w:rPr>
      </w:pPr>
      <w:r>
        <w:rPr>
          <w:rFonts w:hint="eastAsia" w:ascii="仿宋" w:hAnsi="仿宋" w:eastAsia="仿宋" w:cs="仿宋"/>
          <w:b/>
          <w:sz w:val="24"/>
          <w:szCs w:val="24"/>
        </w:rPr>
        <w:t xml:space="preserve"> </w:t>
      </w:r>
    </w:p>
    <w:p>
      <w:pPr>
        <w:pStyle w:val="18"/>
      </w:pPr>
    </w:p>
    <w:p>
      <w:pPr>
        <w:pStyle w:val="18"/>
      </w:pPr>
    </w:p>
    <w:p>
      <w:pPr>
        <w:pStyle w:val="18"/>
      </w:pPr>
    </w:p>
    <w:p>
      <w:pPr>
        <w:pStyle w:val="18"/>
        <w:rPr>
          <w:rFonts w:hint="eastAsia"/>
        </w:rPr>
      </w:pPr>
    </w:p>
    <w:tbl>
      <w:tblPr>
        <w:tblStyle w:val="25"/>
        <w:tblW w:w="0" w:type="auto"/>
        <w:jc w:val="center"/>
        <w:tblLayout w:type="fixed"/>
        <w:tblCellMar>
          <w:top w:w="0" w:type="dxa"/>
          <w:left w:w="108" w:type="dxa"/>
          <w:bottom w:w="0" w:type="dxa"/>
          <w:right w:w="108" w:type="dxa"/>
        </w:tblCellMar>
      </w:tblPr>
      <w:tblGrid>
        <w:gridCol w:w="4111"/>
        <w:gridCol w:w="4569"/>
      </w:tblGrid>
      <w:tr>
        <w:tblPrEx>
          <w:tblCellMar>
            <w:top w:w="0" w:type="dxa"/>
            <w:left w:w="108" w:type="dxa"/>
            <w:bottom w:w="0" w:type="dxa"/>
            <w:right w:w="108" w:type="dxa"/>
          </w:tblCellMar>
        </w:tblPrEx>
        <w:trPr>
          <w:trHeight w:val="1183" w:hRule="atLeast"/>
          <w:jc w:val="center"/>
        </w:trPr>
        <w:tc>
          <w:tcPr>
            <w:tcW w:w="4111"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采购人（公章）</w:t>
            </w:r>
          </w:p>
        </w:tc>
        <w:tc>
          <w:tcPr>
            <w:tcW w:w="4569"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成交供应商（公章）</w:t>
            </w:r>
          </w:p>
        </w:tc>
      </w:tr>
      <w:tr>
        <w:tblPrEx>
          <w:tblCellMar>
            <w:top w:w="0" w:type="dxa"/>
            <w:left w:w="108" w:type="dxa"/>
            <w:bottom w:w="0" w:type="dxa"/>
            <w:right w:w="108" w:type="dxa"/>
          </w:tblCellMar>
        </w:tblPrEx>
        <w:trPr>
          <w:trHeight w:val="1183" w:hRule="atLeast"/>
          <w:jc w:val="center"/>
        </w:trPr>
        <w:tc>
          <w:tcPr>
            <w:tcW w:w="4111"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法定代表人或负责人：</w:t>
            </w:r>
          </w:p>
        </w:tc>
        <w:tc>
          <w:tcPr>
            <w:tcW w:w="4569"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法定代表人或负责人：</w:t>
            </w:r>
          </w:p>
        </w:tc>
      </w:tr>
      <w:tr>
        <w:tblPrEx>
          <w:tblCellMar>
            <w:top w:w="0" w:type="dxa"/>
            <w:left w:w="108" w:type="dxa"/>
            <w:bottom w:w="0" w:type="dxa"/>
            <w:right w:w="108" w:type="dxa"/>
          </w:tblCellMar>
        </w:tblPrEx>
        <w:trPr>
          <w:trHeight w:val="489" w:hRule="atLeast"/>
          <w:jc w:val="center"/>
        </w:trPr>
        <w:tc>
          <w:tcPr>
            <w:tcW w:w="4111"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联系人：</w:t>
            </w:r>
          </w:p>
        </w:tc>
        <w:tc>
          <w:tcPr>
            <w:tcW w:w="4569"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联系人：</w:t>
            </w:r>
          </w:p>
        </w:tc>
      </w:tr>
      <w:tr>
        <w:tblPrEx>
          <w:tblCellMar>
            <w:top w:w="0" w:type="dxa"/>
            <w:left w:w="108" w:type="dxa"/>
            <w:bottom w:w="0" w:type="dxa"/>
            <w:right w:w="108" w:type="dxa"/>
          </w:tblCellMar>
        </w:tblPrEx>
        <w:trPr>
          <w:trHeight w:val="489" w:hRule="atLeast"/>
          <w:jc w:val="center"/>
        </w:trPr>
        <w:tc>
          <w:tcPr>
            <w:tcW w:w="4111"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地址：</w:t>
            </w:r>
          </w:p>
        </w:tc>
        <w:tc>
          <w:tcPr>
            <w:tcW w:w="4569"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地址：</w:t>
            </w:r>
          </w:p>
        </w:tc>
      </w:tr>
      <w:tr>
        <w:tblPrEx>
          <w:tblCellMar>
            <w:top w:w="0" w:type="dxa"/>
            <w:left w:w="108" w:type="dxa"/>
            <w:bottom w:w="0" w:type="dxa"/>
            <w:right w:w="108" w:type="dxa"/>
          </w:tblCellMar>
        </w:tblPrEx>
        <w:trPr>
          <w:trHeight w:val="489" w:hRule="atLeast"/>
          <w:jc w:val="center"/>
        </w:trPr>
        <w:tc>
          <w:tcPr>
            <w:tcW w:w="4111"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联系方式：</w:t>
            </w:r>
          </w:p>
        </w:tc>
        <w:tc>
          <w:tcPr>
            <w:tcW w:w="4569"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联系方式：</w:t>
            </w:r>
          </w:p>
        </w:tc>
      </w:tr>
      <w:tr>
        <w:tblPrEx>
          <w:tblCellMar>
            <w:top w:w="0" w:type="dxa"/>
            <w:left w:w="108" w:type="dxa"/>
            <w:bottom w:w="0" w:type="dxa"/>
            <w:right w:w="108" w:type="dxa"/>
          </w:tblCellMar>
        </w:tblPrEx>
        <w:trPr>
          <w:trHeight w:val="489" w:hRule="atLeast"/>
          <w:jc w:val="center"/>
        </w:trPr>
        <w:tc>
          <w:tcPr>
            <w:tcW w:w="4111"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开户名称：</w:t>
            </w:r>
          </w:p>
        </w:tc>
        <w:tc>
          <w:tcPr>
            <w:tcW w:w="4569"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开户名称：</w:t>
            </w:r>
          </w:p>
        </w:tc>
      </w:tr>
      <w:tr>
        <w:tblPrEx>
          <w:tblCellMar>
            <w:top w:w="0" w:type="dxa"/>
            <w:left w:w="108" w:type="dxa"/>
            <w:bottom w:w="0" w:type="dxa"/>
            <w:right w:w="108" w:type="dxa"/>
          </w:tblCellMar>
        </w:tblPrEx>
        <w:trPr>
          <w:trHeight w:val="489" w:hRule="atLeast"/>
          <w:jc w:val="center"/>
        </w:trPr>
        <w:tc>
          <w:tcPr>
            <w:tcW w:w="4111"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开户银行：</w:t>
            </w:r>
          </w:p>
        </w:tc>
        <w:tc>
          <w:tcPr>
            <w:tcW w:w="4569"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开户银行：</w:t>
            </w:r>
          </w:p>
        </w:tc>
      </w:tr>
      <w:tr>
        <w:tblPrEx>
          <w:tblCellMar>
            <w:top w:w="0" w:type="dxa"/>
            <w:left w:w="108" w:type="dxa"/>
            <w:bottom w:w="0" w:type="dxa"/>
            <w:right w:w="108" w:type="dxa"/>
          </w:tblCellMar>
        </w:tblPrEx>
        <w:trPr>
          <w:trHeight w:val="489" w:hRule="atLeast"/>
          <w:jc w:val="center"/>
        </w:trPr>
        <w:tc>
          <w:tcPr>
            <w:tcW w:w="4111"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银行账号：</w:t>
            </w:r>
          </w:p>
        </w:tc>
        <w:tc>
          <w:tcPr>
            <w:tcW w:w="4569"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银行账号：</w:t>
            </w:r>
          </w:p>
        </w:tc>
      </w:tr>
      <w:tr>
        <w:tblPrEx>
          <w:tblCellMar>
            <w:top w:w="0" w:type="dxa"/>
            <w:left w:w="108" w:type="dxa"/>
            <w:bottom w:w="0" w:type="dxa"/>
            <w:right w:w="108" w:type="dxa"/>
          </w:tblCellMar>
        </w:tblPrEx>
        <w:trPr>
          <w:trHeight w:val="489" w:hRule="atLeast"/>
          <w:jc w:val="center"/>
        </w:trPr>
        <w:tc>
          <w:tcPr>
            <w:tcW w:w="4111"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纳税人识别号：</w:t>
            </w:r>
          </w:p>
        </w:tc>
        <w:tc>
          <w:tcPr>
            <w:tcW w:w="4569"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纳税人识别号：</w:t>
            </w:r>
          </w:p>
        </w:tc>
      </w:tr>
      <w:tr>
        <w:tblPrEx>
          <w:tblCellMar>
            <w:top w:w="0" w:type="dxa"/>
            <w:left w:w="108" w:type="dxa"/>
            <w:bottom w:w="0" w:type="dxa"/>
            <w:right w:w="108" w:type="dxa"/>
          </w:tblCellMar>
        </w:tblPrEx>
        <w:trPr>
          <w:trHeight w:val="489" w:hRule="atLeast"/>
          <w:jc w:val="center"/>
        </w:trPr>
        <w:tc>
          <w:tcPr>
            <w:tcW w:w="4111" w:type="dxa"/>
            <w:vAlign w:val="center"/>
          </w:tcPr>
          <w:p>
            <w:pPr>
              <w:spacing w:line="360" w:lineRule="auto"/>
              <w:rPr>
                <w:rFonts w:hint="eastAsia" w:ascii="仿宋" w:hAnsi="仿宋" w:eastAsia="仿宋" w:cs="仿宋"/>
                <w:sz w:val="24"/>
                <w:szCs w:val="24"/>
              </w:rPr>
            </w:pPr>
          </w:p>
        </w:tc>
        <w:tc>
          <w:tcPr>
            <w:tcW w:w="4569" w:type="dxa"/>
            <w:vAlign w:val="center"/>
          </w:tcPr>
          <w:p>
            <w:pPr>
              <w:spacing w:line="360" w:lineRule="auto"/>
              <w:rPr>
                <w:rFonts w:hint="eastAsia" w:ascii="仿宋" w:hAnsi="仿宋" w:eastAsia="仿宋" w:cs="仿宋"/>
                <w:sz w:val="24"/>
                <w:szCs w:val="24"/>
              </w:rPr>
            </w:pPr>
          </w:p>
        </w:tc>
      </w:tr>
      <w:tr>
        <w:tblPrEx>
          <w:tblCellMar>
            <w:top w:w="0" w:type="dxa"/>
            <w:left w:w="108" w:type="dxa"/>
            <w:bottom w:w="0" w:type="dxa"/>
            <w:right w:w="108" w:type="dxa"/>
          </w:tblCellMar>
        </w:tblPrEx>
        <w:trPr>
          <w:trHeight w:val="499" w:hRule="atLeast"/>
          <w:jc w:val="center"/>
        </w:trPr>
        <w:tc>
          <w:tcPr>
            <w:tcW w:w="4111"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日期：   年  月  日</w:t>
            </w:r>
          </w:p>
        </w:tc>
        <w:tc>
          <w:tcPr>
            <w:tcW w:w="4569"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日期：   年  月  日</w:t>
            </w:r>
          </w:p>
        </w:tc>
      </w:tr>
    </w:tbl>
    <w:p>
      <w:pPr>
        <w:pageBreakBefore/>
        <w:spacing w:line="360" w:lineRule="auto"/>
        <w:jc w:val="center"/>
        <w:outlineLvl w:val="0"/>
        <w:rPr>
          <w:rFonts w:ascii="宋体" w:hAnsi="宋体" w:cs="宋体"/>
          <w:b/>
          <w:sz w:val="32"/>
          <w:szCs w:val="32"/>
        </w:rPr>
      </w:pPr>
      <w:bookmarkStart w:id="423" w:name="_Toc30215"/>
      <w:r>
        <w:rPr>
          <w:rFonts w:hint="eastAsia" w:ascii="宋体" w:hAnsi="宋体" w:cs="宋体"/>
          <w:b/>
          <w:sz w:val="32"/>
          <w:szCs w:val="32"/>
          <w:lang w:val="zh-CN"/>
        </w:rPr>
        <w:t>第五部分</w:t>
      </w:r>
      <w:r>
        <w:rPr>
          <w:rFonts w:hint="eastAsia" w:ascii="宋体" w:hAnsi="宋体" w:cs="宋体"/>
          <w:b/>
          <w:sz w:val="32"/>
          <w:szCs w:val="32"/>
        </w:rPr>
        <w:t xml:space="preserve">  磋商响应文件格式</w:t>
      </w:r>
      <w:bookmarkEnd w:id="423"/>
    </w:p>
    <w:p>
      <w:pPr>
        <w:snapToGrid w:val="0"/>
        <w:spacing w:line="360" w:lineRule="auto"/>
        <w:jc w:val="right"/>
        <w:rPr>
          <w:rFonts w:ascii="仿宋" w:hAnsi="仿宋" w:eastAsia="仿宋" w:cs="仿宋"/>
          <w:b/>
          <w:bCs/>
          <w:sz w:val="32"/>
          <w:szCs w:val="32"/>
          <w:lang w:val="zh-CN"/>
        </w:rPr>
      </w:pPr>
      <w:r>
        <w:rPr>
          <w:rFonts w:hint="eastAsia" w:ascii="仿宋" w:hAnsi="仿宋" w:eastAsia="仿宋" w:cs="仿宋"/>
          <w:b/>
          <w:bCs/>
          <w:sz w:val="32"/>
          <w:szCs w:val="32"/>
          <w:lang w:val="zh-CN"/>
        </w:rPr>
        <w:t>正本/副本</w:t>
      </w:r>
    </w:p>
    <w:p>
      <w:pPr>
        <w:autoSpaceDE w:val="0"/>
        <w:autoSpaceDN w:val="0"/>
        <w:adjustRightInd w:val="0"/>
        <w:snapToGrid w:val="0"/>
        <w:spacing w:line="360" w:lineRule="auto"/>
        <w:ind w:firstLine="321" w:firstLineChars="100"/>
        <w:jc w:val="left"/>
        <w:rPr>
          <w:rFonts w:ascii="仿宋" w:hAnsi="仿宋" w:eastAsia="仿宋" w:cs="仿宋"/>
          <w:b/>
          <w:bCs/>
          <w:sz w:val="32"/>
          <w:szCs w:val="32"/>
        </w:rPr>
      </w:pPr>
      <w:bookmarkStart w:id="424" w:name="OLE_LINK2"/>
      <w:r>
        <w:rPr>
          <w:rFonts w:hint="eastAsia" w:ascii="仿宋" w:hAnsi="仿宋" w:eastAsia="仿宋" w:cs="仿宋"/>
          <w:b/>
          <w:bCs/>
          <w:sz w:val="32"/>
          <w:szCs w:val="32"/>
        </w:rPr>
        <w:t>政府采购项目</w:t>
      </w:r>
    </w:p>
    <w:p>
      <w:pPr>
        <w:tabs>
          <w:tab w:val="left" w:pos="5670"/>
        </w:tabs>
        <w:autoSpaceDE w:val="0"/>
        <w:autoSpaceDN w:val="0"/>
        <w:adjustRightInd w:val="0"/>
        <w:spacing w:line="360" w:lineRule="auto"/>
        <w:ind w:firstLine="300"/>
        <w:rPr>
          <w:rFonts w:ascii="仿宋" w:hAnsi="仿宋" w:eastAsia="仿宋" w:cs="仿宋"/>
          <w:b/>
          <w:bCs/>
          <w:sz w:val="32"/>
          <w:szCs w:val="32"/>
          <w:lang w:val="zh-CN"/>
        </w:rPr>
      </w:pPr>
      <w:r>
        <w:rPr>
          <w:rFonts w:hint="eastAsia" w:ascii="仿宋" w:hAnsi="仿宋" w:eastAsia="仿宋" w:cs="仿宋"/>
          <w:b/>
          <w:bCs/>
          <w:sz w:val="32"/>
          <w:szCs w:val="32"/>
          <w:lang w:val="zh-CN"/>
        </w:rPr>
        <w:t>计划编码：ZCBN-西安市-2022-03803</w:t>
      </w:r>
    </w:p>
    <w:p>
      <w:pPr>
        <w:tabs>
          <w:tab w:val="left" w:pos="5670"/>
        </w:tabs>
        <w:autoSpaceDE w:val="0"/>
        <w:autoSpaceDN w:val="0"/>
        <w:adjustRightInd w:val="0"/>
        <w:spacing w:line="360" w:lineRule="auto"/>
        <w:ind w:firstLine="300"/>
        <w:rPr>
          <w:rFonts w:ascii="仿宋" w:hAnsi="仿宋" w:eastAsia="仿宋" w:cs="仿宋"/>
          <w:b/>
          <w:bCs/>
          <w:sz w:val="36"/>
          <w:szCs w:val="36"/>
          <w:lang w:val="zh-CN"/>
        </w:rPr>
      </w:pPr>
      <w:r>
        <w:rPr>
          <w:rFonts w:hint="eastAsia" w:ascii="仿宋" w:hAnsi="仿宋" w:eastAsia="仿宋" w:cs="仿宋"/>
          <w:b/>
          <w:bCs/>
          <w:sz w:val="32"/>
          <w:szCs w:val="32"/>
          <w:lang w:val="zh-CN"/>
        </w:rPr>
        <w:t>项目编号：DX2022-238</w:t>
      </w:r>
    </w:p>
    <w:p>
      <w:pPr>
        <w:tabs>
          <w:tab w:val="left" w:pos="5670"/>
        </w:tabs>
        <w:autoSpaceDE w:val="0"/>
        <w:autoSpaceDN w:val="0"/>
        <w:adjustRightInd w:val="0"/>
        <w:spacing w:line="360" w:lineRule="auto"/>
        <w:ind w:firstLine="300"/>
        <w:rPr>
          <w:rFonts w:ascii="仿宋" w:hAnsi="仿宋" w:eastAsia="仿宋" w:cs="仿宋"/>
          <w:b/>
          <w:bCs/>
          <w:sz w:val="32"/>
          <w:szCs w:val="32"/>
        </w:rPr>
      </w:pPr>
    </w:p>
    <w:p>
      <w:pPr>
        <w:pStyle w:val="18"/>
        <w:spacing w:line="360" w:lineRule="auto"/>
        <w:rPr>
          <w:rFonts w:ascii="仿宋_GB2312" w:hAnsi="仿宋_GB2312" w:eastAsia="仿宋_GB2312" w:cs="仿宋_GB2312"/>
          <w:b/>
          <w:bCs/>
          <w:sz w:val="32"/>
          <w:szCs w:val="32"/>
        </w:rPr>
      </w:pPr>
    </w:p>
    <w:p>
      <w:pPr>
        <w:pStyle w:val="18"/>
        <w:spacing w:line="360" w:lineRule="auto"/>
        <w:rPr>
          <w:rFonts w:ascii="仿宋_GB2312" w:hAnsi="仿宋_GB2312" w:eastAsia="仿宋_GB2312" w:cs="仿宋_GB2312"/>
          <w:b/>
          <w:bCs/>
          <w:sz w:val="32"/>
          <w:szCs w:val="32"/>
        </w:rPr>
      </w:pPr>
    </w:p>
    <w:bookmarkEnd w:id="424"/>
    <w:p>
      <w:pPr>
        <w:pStyle w:val="11"/>
        <w:tabs>
          <w:tab w:val="left" w:pos="5670"/>
        </w:tabs>
        <w:adjustRightInd w:val="0"/>
        <w:snapToGrid w:val="0"/>
        <w:spacing w:line="360" w:lineRule="auto"/>
        <w:rPr>
          <w:rFonts w:hint="eastAsia" w:ascii="宋体" w:hAnsi="宋体" w:cs="宋体"/>
          <w:spacing w:val="0"/>
          <w:w w:val="100"/>
          <w:sz w:val="44"/>
          <w:szCs w:val="44"/>
        </w:rPr>
      </w:pPr>
      <w:r>
        <w:rPr>
          <w:rFonts w:hint="eastAsia" w:ascii="宋体" w:hAnsi="宋体" w:cs="宋体"/>
          <w:spacing w:val="0"/>
          <w:w w:val="100"/>
          <w:sz w:val="44"/>
          <w:szCs w:val="44"/>
        </w:rPr>
        <w:t>西安市教育局政务协同办公系统运维服务项目</w:t>
      </w:r>
    </w:p>
    <w:p>
      <w:pPr>
        <w:pStyle w:val="11"/>
        <w:tabs>
          <w:tab w:val="left" w:pos="5670"/>
        </w:tabs>
        <w:adjustRightInd w:val="0"/>
        <w:snapToGrid w:val="0"/>
        <w:spacing w:line="360" w:lineRule="auto"/>
        <w:rPr>
          <w:rFonts w:ascii="宋体" w:hAnsi="宋体" w:cs="宋体"/>
          <w:spacing w:val="0"/>
          <w:w w:val="100"/>
          <w:sz w:val="44"/>
          <w:szCs w:val="44"/>
        </w:rPr>
      </w:pPr>
    </w:p>
    <w:p>
      <w:pPr>
        <w:pStyle w:val="11"/>
        <w:tabs>
          <w:tab w:val="left" w:pos="5670"/>
        </w:tabs>
        <w:adjustRightInd w:val="0"/>
        <w:snapToGrid w:val="0"/>
        <w:spacing w:line="360" w:lineRule="auto"/>
        <w:rPr>
          <w:rFonts w:ascii="宋体" w:hAnsi="宋体" w:cs="宋体"/>
          <w:spacing w:val="0"/>
          <w:w w:val="100"/>
          <w:sz w:val="44"/>
          <w:szCs w:val="44"/>
        </w:rPr>
      </w:pPr>
    </w:p>
    <w:p>
      <w:pPr>
        <w:pStyle w:val="11"/>
        <w:tabs>
          <w:tab w:val="left" w:pos="5670"/>
        </w:tabs>
        <w:adjustRightInd w:val="0"/>
        <w:snapToGrid w:val="0"/>
        <w:spacing w:line="360" w:lineRule="auto"/>
        <w:rPr>
          <w:rFonts w:ascii="宋体" w:hAnsi="宋体" w:cs="宋体"/>
          <w:spacing w:val="0"/>
          <w:w w:val="100"/>
          <w:sz w:val="44"/>
          <w:szCs w:val="44"/>
        </w:rPr>
      </w:pPr>
      <w:r>
        <w:rPr>
          <w:rFonts w:hint="eastAsia" w:ascii="宋体" w:hAnsi="宋体" w:cs="宋体"/>
          <w:spacing w:val="0"/>
          <w:w w:val="100"/>
          <w:sz w:val="44"/>
          <w:szCs w:val="44"/>
        </w:rPr>
        <w:t>竞争性磋商响应文件</w:t>
      </w:r>
    </w:p>
    <w:p>
      <w:pPr>
        <w:autoSpaceDE w:val="0"/>
        <w:autoSpaceDN w:val="0"/>
        <w:adjustRightInd w:val="0"/>
        <w:snapToGrid w:val="0"/>
        <w:spacing w:line="360" w:lineRule="auto"/>
        <w:jc w:val="center"/>
        <w:rPr>
          <w:rFonts w:ascii="仿宋_GB2312" w:hAnsi="仿宋_GB2312" w:eastAsia="仿宋_GB2312" w:cs="仿宋_GB2312"/>
          <w:b/>
          <w:bCs/>
          <w:sz w:val="32"/>
          <w:szCs w:val="32"/>
          <w:lang w:val="zh-CN"/>
        </w:rPr>
      </w:pPr>
      <w:r>
        <w:rPr>
          <w:rFonts w:hint="eastAsia" w:ascii="仿宋" w:hAnsi="仿宋" w:eastAsia="仿宋" w:cs="仿宋"/>
          <w:b/>
          <w:bCs/>
          <w:sz w:val="32"/>
          <w:szCs w:val="32"/>
          <w:lang w:val="zh-CN"/>
        </w:rPr>
        <w:t>（格式）</w:t>
      </w:r>
    </w:p>
    <w:p>
      <w:pPr>
        <w:pStyle w:val="18"/>
        <w:spacing w:line="360" w:lineRule="auto"/>
        <w:rPr>
          <w:rFonts w:ascii="仿宋_GB2312" w:hAnsi="仿宋_GB2312" w:eastAsia="仿宋_GB2312" w:cs="仿宋_GB2312"/>
          <w:sz w:val="42"/>
        </w:rPr>
      </w:pPr>
    </w:p>
    <w:p>
      <w:pPr>
        <w:pStyle w:val="18"/>
        <w:spacing w:line="360" w:lineRule="auto"/>
        <w:rPr>
          <w:rFonts w:ascii="仿宋" w:hAnsi="仿宋" w:eastAsia="仿宋" w:cs="仿宋"/>
          <w:sz w:val="32"/>
          <w:szCs w:val="32"/>
        </w:rPr>
      </w:pPr>
    </w:p>
    <w:p>
      <w:pPr>
        <w:spacing w:line="360" w:lineRule="auto"/>
        <w:ind w:left="420" w:leftChars="200" w:firstLine="851" w:firstLineChars="265"/>
        <w:rPr>
          <w:rFonts w:ascii="仿宋" w:hAnsi="仿宋" w:eastAsia="仿宋" w:cs="仿宋"/>
          <w:b/>
          <w:bCs/>
          <w:sz w:val="32"/>
          <w:szCs w:val="32"/>
        </w:rPr>
      </w:pPr>
    </w:p>
    <w:p>
      <w:pPr>
        <w:spacing w:line="360" w:lineRule="auto"/>
        <w:ind w:left="420" w:leftChars="200" w:firstLine="851" w:firstLineChars="265"/>
        <w:rPr>
          <w:rFonts w:ascii="仿宋" w:hAnsi="仿宋" w:eastAsia="仿宋" w:cs="仿宋"/>
          <w:b/>
          <w:bCs/>
          <w:sz w:val="32"/>
          <w:szCs w:val="32"/>
        </w:rPr>
      </w:pPr>
      <w:r>
        <w:rPr>
          <w:rFonts w:hint="eastAsia" w:ascii="仿宋" w:hAnsi="仿宋" w:eastAsia="仿宋" w:cs="仿宋"/>
          <w:b/>
          <w:bCs/>
          <w:sz w:val="32"/>
          <w:szCs w:val="32"/>
        </w:rPr>
        <w:t>供  应  商：</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（盖章）</w:t>
      </w:r>
    </w:p>
    <w:p>
      <w:pPr>
        <w:spacing w:line="360" w:lineRule="auto"/>
        <w:ind w:firstLine="1285" w:firstLineChars="400"/>
        <w:rPr>
          <w:rFonts w:ascii="仿宋" w:hAnsi="仿宋" w:eastAsia="仿宋" w:cs="仿宋"/>
          <w:b/>
          <w:bCs/>
          <w:sz w:val="32"/>
          <w:szCs w:val="32"/>
        </w:rPr>
      </w:pPr>
      <w:r>
        <w:rPr>
          <w:rFonts w:hint="eastAsia" w:ascii="仿宋" w:hAnsi="仿宋" w:eastAsia="仿宋" w:cs="仿宋"/>
          <w:b/>
          <w:sz w:val="32"/>
          <w:szCs w:val="32"/>
        </w:rPr>
        <w:t>法定代表人或授权代表：</w:t>
      </w:r>
      <w:r>
        <w:rPr>
          <w:rFonts w:hint="eastAsia" w:ascii="仿宋" w:hAnsi="仿宋" w:eastAsia="仿宋" w:cs="仿宋"/>
          <w:b/>
          <w:sz w:val="32"/>
          <w:szCs w:val="32"/>
          <w:u w:val="single"/>
        </w:rPr>
        <w:t xml:space="preserve">        </w:t>
      </w:r>
      <w:r>
        <w:rPr>
          <w:rFonts w:hint="eastAsia" w:ascii="仿宋" w:hAnsi="仿宋" w:eastAsia="仿宋" w:cs="仿宋"/>
          <w:b/>
          <w:bCs/>
          <w:sz w:val="32"/>
          <w:szCs w:val="32"/>
        </w:rPr>
        <w:t>（签字或盖章）</w:t>
      </w:r>
    </w:p>
    <w:p>
      <w:pPr>
        <w:autoSpaceDE w:val="0"/>
        <w:autoSpaceDN w:val="0"/>
        <w:adjustRightInd w:val="0"/>
        <w:snapToGrid w:val="0"/>
        <w:spacing w:line="360" w:lineRule="auto"/>
        <w:ind w:firstLine="1263" w:firstLineChars="393"/>
        <w:rPr>
          <w:rFonts w:ascii="仿宋" w:hAnsi="仿宋" w:eastAsia="仿宋" w:cs="仿宋"/>
          <w:b/>
          <w:bCs/>
          <w:sz w:val="32"/>
          <w:szCs w:val="32"/>
        </w:rPr>
      </w:pPr>
      <w:r>
        <w:rPr>
          <w:rFonts w:hint="eastAsia" w:ascii="仿宋" w:hAnsi="仿宋" w:eastAsia="仿宋" w:cs="仿宋"/>
          <w:b/>
          <w:bCs/>
          <w:sz w:val="32"/>
          <w:szCs w:val="32"/>
        </w:rPr>
        <w:t>日    期：</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rPr>
          <w:rFonts w:ascii="仿宋" w:hAnsi="仿宋" w:eastAsia="仿宋" w:cs="仿宋"/>
          <w:b/>
          <w:bCs/>
          <w:sz w:val="32"/>
          <w:szCs w:val="32"/>
        </w:rPr>
      </w:pPr>
      <w:r>
        <w:rPr>
          <w:rFonts w:hint="eastAsia" w:ascii="仿宋" w:hAnsi="仿宋" w:eastAsia="仿宋" w:cs="仿宋"/>
          <w:b/>
          <w:bCs/>
          <w:sz w:val="32"/>
          <w:szCs w:val="32"/>
        </w:rPr>
        <w:br w:type="page"/>
      </w:r>
    </w:p>
    <w:p>
      <w:pPr>
        <w:adjustRightInd w:val="0"/>
        <w:snapToGrid w:val="0"/>
        <w:spacing w:line="360" w:lineRule="auto"/>
        <w:jc w:val="center"/>
        <w:rPr>
          <w:b/>
          <w:bCs/>
          <w:sz w:val="32"/>
          <w:szCs w:val="15"/>
          <w:lang w:val="zh-CN"/>
        </w:rPr>
      </w:pPr>
      <w:bookmarkStart w:id="425" w:name="_Toc16388"/>
      <w:bookmarkStart w:id="426" w:name="_Toc14433"/>
      <w:bookmarkStart w:id="427" w:name="_Toc30727"/>
      <w:bookmarkStart w:id="428" w:name="_Toc3446"/>
      <w:bookmarkStart w:id="429" w:name="_Toc56"/>
      <w:bookmarkStart w:id="430" w:name="_Toc495681241"/>
      <w:bookmarkStart w:id="431" w:name="_Toc495681522"/>
      <w:bookmarkStart w:id="432" w:name="_Toc23370"/>
      <w:bookmarkStart w:id="433" w:name="_Toc495908037"/>
      <w:bookmarkStart w:id="434" w:name="_Toc495681395"/>
      <w:bookmarkStart w:id="435" w:name="_Toc27610"/>
      <w:bookmarkStart w:id="436" w:name="_Toc25880"/>
      <w:bookmarkStart w:id="437" w:name="_Toc25409"/>
      <w:r>
        <w:rPr>
          <w:rFonts w:hint="eastAsia"/>
          <w:b/>
          <w:bCs/>
          <w:sz w:val="32"/>
          <w:szCs w:val="15"/>
          <w:lang w:val="zh-CN"/>
        </w:rPr>
        <w:t>目</w:t>
      </w:r>
      <w:r>
        <w:rPr>
          <w:rFonts w:hint="eastAsia"/>
          <w:b/>
          <w:bCs/>
          <w:sz w:val="32"/>
          <w:szCs w:val="15"/>
        </w:rPr>
        <w:t xml:space="preserve">  </w:t>
      </w:r>
      <w:r>
        <w:rPr>
          <w:rFonts w:hint="eastAsia"/>
          <w:b/>
          <w:bCs/>
          <w:sz w:val="32"/>
          <w:szCs w:val="15"/>
          <w:lang w:val="zh-CN"/>
        </w:rPr>
        <w:t>录</w:t>
      </w:r>
    </w:p>
    <w:p>
      <w:pPr>
        <w:spacing w:line="360" w:lineRule="auto"/>
        <w:jc w:val="center"/>
        <w:rPr>
          <w:lang w:val="zh-CN"/>
        </w:rPr>
      </w:pPr>
      <w:r>
        <w:rPr>
          <w:rFonts w:hint="eastAsia" w:ascii="仿宋" w:hAnsi="仿宋" w:eastAsia="仿宋" w:cs="仿宋"/>
          <w:sz w:val="24"/>
          <w:szCs w:val="16"/>
          <w:lang w:val="zh-CN"/>
        </w:rPr>
        <w:t>请根据磋商响应文件内容自动生成目录</w:t>
      </w:r>
    </w:p>
    <w:p>
      <w:pPr>
        <w:spacing w:line="360" w:lineRule="auto"/>
        <w:rPr>
          <w:rFonts w:ascii="宋体" w:hAnsi="宋体" w:cs="宋体"/>
          <w:sz w:val="32"/>
          <w:szCs w:val="32"/>
        </w:rPr>
      </w:pPr>
      <w:r>
        <w:rPr>
          <w:rFonts w:hint="eastAsia" w:ascii="宋体" w:hAnsi="宋体" w:cs="宋体"/>
          <w:sz w:val="32"/>
          <w:szCs w:val="32"/>
        </w:rPr>
        <w:br w:type="page"/>
      </w:r>
    </w:p>
    <w:p>
      <w:pPr>
        <w:pStyle w:val="4"/>
        <w:spacing w:line="360" w:lineRule="auto"/>
        <w:rPr>
          <w:rFonts w:ascii="仿宋" w:hAnsi="仿宋" w:eastAsia="仿宋" w:cs="仿宋"/>
          <w:sz w:val="32"/>
          <w:szCs w:val="32"/>
        </w:rPr>
      </w:pPr>
      <w:bookmarkStart w:id="438" w:name="_Toc10290"/>
      <w:bookmarkStart w:id="439" w:name="_Toc10159"/>
      <w:bookmarkStart w:id="440" w:name="_Toc19928"/>
      <w:bookmarkStart w:id="441" w:name="_Toc21264"/>
      <w:r>
        <w:rPr>
          <w:rFonts w:hint="eastAsia" w:ascii="仿宋" w:hAnsi="仿宋" w:eastAsia="仿宋" w:cs="仿宋"/>
          <w:sz w:val="32"/>
          <w:szCs w:val="32"/>
        </w:rPr>
        <w:t>一、磋商响应函</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spacing w:line="360" w:lineRule="auto"/>
        <w:rPr>
          <w:rFonts w:ascii="仿宋" w:hAnsi="仿宋" w:eastAsia="仿宋" w:cs="仿宋"/>
          <w:b/>
          <w:bCs/>
          <w:sz w:val="24"/>
          <w:szCs w:val="24"/>
        </w:rPr>
      </w:pPr>
      <w:r>
        <w:rPr>
          <w:rFonts w:hint="eastAsia" w:ascii="仿宋" w:hAnsi="仿宋" w:eastAsia="仿宋" w:cs="仿宋"/>
          <w:b/>
          <w:bCs/>
          <w:sz w:val="24"/>
          <w:szCs w:val="24"/>
        </w:rPr>
        <w:t>陕西笃信招标有限公司：</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我单位收到贵公司</w:t>
      </w:r>
      <w:r>
        <w:rPr>
          <w:rFonts w:hint="eastAsia" w:ascii="仿宋" w:hAnsi="仿宋" w:eastAsia="仿宋" w:cs="仿宋"/>
          <w:sz w:val="24"/>
          <w:szCs w:val="24"/>
          <w:lang w:eastAsia="zh-CN"/>
        </w:rPr>
        <w:t>西安市教育局政务协同办公系统运维服务项目</w:t>
      </w:r>
      <w:r>
        <w:rPr>
          <w:rFonts w:hint="eastAsia" w:ascii="仿宋" w:hAnsi="仿宋" w:eastAsia="仿宋" w:cs="仿宋"/>
          <w:sz w:val="24"/>
          <w:szCs w:val="24"/>
        </w:rPr>
        <w:t>（项目编号：</w:t>
      </w:r>
      <w:r>
        <w:rPr>
          <w:rFonts w:hint="eastAsia" w:ascii="仿宋" w:hAnsi="仿宋" w:eastAsia="仿宋" w:cs="仿宋"/>
          <w:sz w:val="24"/>
          <w:szCs w:val="24"/>
          <w:lang w:eastAsia="zh-CN"/>
        </w:rPr>
        <w:t>DX2022-238</w:t>
      </w:r>
      <w:r>
        <w:rPr>
          <w:rFonts w:hint="eastAsia" w:ascii="仿宋" w:hAnsi="仿宋" w:eastAsia="仿宋" w:cs="仿宋"/>
          <w:sz w:val="24"/>
          <w:szCs w:val="24"/>
        </w:rPr>
        <w:t>）磋商文件，经详细研究，我们决定参加本次项目活动，为此，我方郑重声明以下诸点，并负法律责任。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一、愿意按照磋商文件中的要求，提供磋商技术及服务，完成合同的责任和义务。</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二、按磋商文件的规定，我公司的第一次磋商总报价为：</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元），并对其最后的磋商报价负法律责任。</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三、我方提交的磋商响应文件正本一份、副本两份，电子版一份及资格证明文件1份，并保证磋商响应文件提供的数据和材料真实、准确。否则，愿承担相关的法律责任。 </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四、我方已详细阅读了磋商文件，完全理解并放弃提出含糊不清或易形成歧义的表述和资料。</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五、磋商后在规定的有效期内撤回磋商，我方愿接受政府采购的有关处罚决定。</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六、同意向贵方提供可能要求的，与本次磋商有关的任何证据或资料，我们完全理解最低磋商报价不作为成交的唯一条件，且尊重磋商小组的评审结论和结果。</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七、我方的磋商响应文件在磋商后有效期为90个日历天，若我方成交，磋商响应文件有效期延长至合同执行完毕。</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八、有关于本磋商响应文件的函电，请按下列地址联系。</w:t>
      </w:r>
    </w:p>
    <w:p>
      <w:pPr>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供应商全称（印章）：</w:t>
      </w:r>
      <w:r>
        <w:rPr>
          <w:rFonts w:hint="eastAsia" w:ascii="仿宋" w:hAnsi="仿宋" w:eastAsia="仿宋" w:cs="仿宋"/>
          <w:sz w:val="24"/>
          <w:szCs w:val="24"/>
          <w:u w:val="single"/>
        </w:rPr>
        <w:t xml:space="preserve">                                </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帐    号：</w:t>
      </w:r>
      <w:r>
        <w:rPr>
          <w:rFonts w:hint="eastAsia" w:ascii="仿宋" w:hAnsi="仿宋" w:eastAsia="仿宋" w:cs="仿宋"/>
          <w:sz w:val="24"/>
          <w:szCs w:val="24"/>
          <w:u w:val="single"/>
        </w:rPr>
        <w:t xml:space="preserve">                                          </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u w:val="single"/>
        </w:rPr>
        <w:t xml:space="preserve">                                          </w:t>
      </w:r>
    </w:p>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 xml:space="preserve">                               </w:t>
      </w:r>
    </w:p>
    <w:p>
      <w:pPr>
        <w:snapToGrid w:val="0"/>
        <w:spacing w:line="360" w:lineRule="auto"/>
        <w:jc w:val="center"/>
        <w:rPr>
          <w:rFonts w:ascii="仿宋" w:hAnsi="仿宋" w:eastAsia="仿宋" w:cs="仿宋"/>
          <w:sz w:val="24"/>
          <w:szCs w:val="24"/>
        </w:rPr>
        <w:sectPr>
          <w:footerReference r:id="rId4" w:type="default"/>
          <w:pgSz w:w="11906" w:h="16838"/>
          <w:pgMar w:top="1417" w:right="1417" w:bottom="1417" w:left="1417" w:header="851" w:footer="992" w:gutter="0"/>
          <w:pgNumType w:fmt="decimal" w:start="1"/>
          <w:cols w:space="0" w:num="1"/>
          <w:docGrid w:linePitch="312" w:charSpace="0"/>
        </w:sect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4"/>
        <w:spacing w:line="360" w:lineRule="auto"/>
        <w:rPr>
          <w:rFonts w:ascii="仿宋_GB2312" w:hAnsi="仿宋_GB2312" w:cs="仿宋_GB2312"/>
          <w:sz w:val="32"/>
          <w:szCs w:val="32"/>
        </w:rPr>
      </w:pPr>
      <w:bookmarkStart w:id="442" w:name="_Toc6924"/>
      <w:bookmarkStart w:id="443" w:name="_Toc13342"/>
      <w:bookmarkStart w:id="444" w:name="_Toc13144"/>
      <w:bookmarkStart w:id="445" w:name="_Toc31138"/>
      <w:bookmarkStart w:id="446" w:name="_Toc31519"/>
      <w:bookmarkStart w:id="447" w:name="_Toc495681523"/>
      <w:bookmarkStart w:id="448" w:name="_Toc495681396"/>
      <w:bookmarkStart w:id="449" w:name="_Toc30196"/>
      <w:bookmarkStart w:id="450" w:name="_Toc9496"/>
      <w:bookmarkStart w:id="451" w:name="_Toc495908038"/>
      <w:bookmarkStart w:id="452" w:name="_Toc8463"/>
      <w:bookmarkStart w:id="453" w:name="_Toc23789"/>
      <w:bookmarkStart w:id="454" w:name="_Toc11017"/>
      <w:bookmarkStart w:id="455" w:name="_Toc722"/>
      <w:bookmarkStart w:id="456" w:name="_Toc495681242"/>
      <w:bookmarkStart w:id="457" w:name="_Toc31028"/>
      <w:bookmarkStart w:id="458" w:name="_Toc12303"/>
      <w:r>
        <w:rPr>
          <w:rStyle w:val="39"/>
          <w:rFonts w:hint="eastAsia" w:ascii="仿宋" w:hAnsi="仿宋" w:eastAsia="仿宋" w:cs="仿宋"/>
          <w:b/>
          <w:sz w:val="32"/>
          <w:szCs w:val="32"/>
        </w:rPr>
        <w:t>二、第一次磋商报价表</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tbl>
      <w:tblPr>
        <w:tblStyle w:val="25"/>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2406"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项目名称</w:t>
            </w:r>
          </w:p>
        </w:tc>
        <w:tc>
          <w:tcPr>
            <w:tcW w:w="6473" w:type="dxa"/>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西安市教育局政务协同办公系统运维服务项目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406" w:type="dxa"/>
            <w:vAlign w:val="center"/>
          </w:tcPr>
          <w:p>
            <w:pPr>
              <w:spacing w:line="360" w:lineRule="auto"/>
              <w:jc w:val="center"/>
              <w:rPr>
                <w:rFonts w:ascii="仿宋" w:hAnsi="仿宋" w:eastAsia="仿宋" w:cs="仿宋"/>
                <w:sz w:val="24"/>
                <w:szCs w:val="24"/>
              </w:rPr>
            </w:pPr>
            <w:r>
              <w:rPr>
                <w:rFonts w:hint="eastAsia" w:ascii="仿宋" w:hAnsi="仿宋" w:eastAsia="仿宋" w:cs="仿宋"/>
                <w:bCs/>
                <w:kern w:val="0"/>
                <w:sz w:val="24"/>
                <w:szCs w:val="24"/>
              </w:rPr>
              <w:t>项目编号</w:t>
            </w:r>
          </w:p>
        </w:tc>
        <w:tc>
          <w:tcPr>
            <w:tcW w:w="6473" w:type="dxa"/>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DX2022-238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2406" w:type="dxa"/>
            <w:vAlign w:val="center"/>
          </w:tcPr>
          <w:p>
            <w:pPr>
              <w:autoSpaceDE w:val="0"/>
              <w:autoSpaceDN w:val="0"/>
              <w:adjustRightInd w:val="0"/>
              <w:spacing w:line="360" w:lineRule="auto"/>
              <w:jc w:val="center"/>
              <w:rPr>
                <w:rFonts w:ascii="仿宋" w:hAnsi="仿宋" w:eastAsia="仿宋" w:cs="仿宋"/>
                <w:sz w:val="24"/>
                <w:szCs w:val="24"/>
              </w:rPr>
            </w:pPr>
            <w:r>
              <w:rPr>
                <w:rFonts w:hint="eastAsia" w:ascii="仿宋" w:hAnsi="仿宋" w:eastAsia="仿宋" w:cs="仿宋"/>
                <w:sz w:val="24"/>
                <w:szCs w:val="24"/>
              </w:rPr>
              <w:t>磋商报价（元）</w:t>
            </w:r>
          </w:p>
        </w:tc>
        <w:tc>
          <w:tcPr>
            <w:tcW w:w="6473" w:type="dxa"/>
            <w:vAlign w:val="center"/>
          </w:tcPr>
          <w:p>
            <w:pPr>
              <w:autoSpaceDE w:val="0"/>
              <w:autoSpaceDN w:val="0"/>
              <w:adjustRightInd w:val="0"/>
              <w:spacing w:line="360" w:lineRule="auto"/>
              <w:rPr>
                <w:rFonts w:ascii="仿宋" w:hAnsi="仿宋" w:eastAsia="仿宋" w:cs="仿宋"/>
                <w:sz w:val="24"/>
                <w:szCs w:val="24"/>
              </w:rPr>
            </w:pPr>
            <w:r>
              <w:rPr>
                <w:rFonts w:hint="eastAsia" w:ascii="仿宋" w:hAnsi="仿宋" w:eastAsia="仿宋" w:cs="仿宋"/>
                <w:sz w:val="24"/>
                <w:szCs w:val="24"/>
              </w:rPr>
              <w:t>大写：</w:t>
            </w:r>
            <w:r>
              <w:rPr>
                <w:rFonts w:hint="eastAsia" w:ascii="仿宋" w:hAnsi="仿宋" w:eastAsia="仿宋" w:cs="仿宋"/>
                <w:sz w:val="24"/>
                <w:szCs w:val="24"/>
                <w:u w:val="single"/>
              </w:rPr>
              <w:t xml:space="preserve">                     元</w:t>
            </w:r>
          </w:p>
          <w:p>
            <w:pPr>
              <w:spacing w:line="360" w:lineRule="auto"/>
              <w:rPr>
                <w:rFonts w:ascii="仿宋" w:hAnsi="仿宋" w:eastAsia="仿宋" w:cs="仿宋"/>
                <w:sz w:val="24"/>
                <w:szCs w:val="24"/>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2406" w:type="dxa"/>
            <w:vAlign w:val="center"/>
          </w:tcPr>
          <w:p>
            <w:pPr>
              <w:widowControl/>
              <w:spacing w:line="360" w:lineRule="auto"/>
              <w:jc w:val="center"/>
              <w:rPr>
                <w:rFonts w:ascii="仿宋" w:hAnsi="仿宋" w:eastAsia="仿宋" w:cs="仿宋"/>
                <w:sz w:val="24"/>
                <w:szCs w:val="24"/>
              </w:rPr>
            </w:pPr>
            <w:r>
              <w:rPr>
                <w:rFonts w:hint="eastAsia" w:ascii="仿宋" w:hAnsi="仿宋" w:eastAsia="仿宋" w:cs="仿宋"/>
                <w:sz w:val="24"/>
                <w:szCs w:val="24"/>
              </w:rPr>
              <w:t>服务期</w:t>
            </w:r>
          </w:p>
        </w:tc>
        <w:tc>
          <w:tcPr>
            <w:tcW w:w="6473" w:type="dxa"/>
            <w:vAlign w:val="center"/>
          </w:tcPr>
          <w:p>
            <w:pPr>
              <w:widowControl/>
              <w:spacing w:line="360" w:lineRule="auto"/>
              <w:jc w:val="left"/>
              <w:rPr>
                <w:rFonts w:ascii="仿宋" w:hAnsi="仿宋" w:eastAsia="仿宋" w:cs="仿宋"/>
                <w:kern w:val="0"/>
                <w:sz w:val="24"/>
                <w:szCs w:val="24"/>
              </w:rPr>
            </w:pPr>
            <w:r>
              <w:rPr>
                <w:rFonts w:hint="eastAsia" w:ascii="仿宋" w:hAnsi="仿宋" w:eastAsia="仿宋" w:cs="仿宋"/>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8879" w:type="dxa"/>
            <w:gridSpan w:val="2"/>
            <w:vAlign w:val="center"/>
          </w:tcPr>
          <w:p>
            <w:pPr>
              <w:widowControl/>
              <w:spacing w:line="360" w:lineRule="auto"/>
              <w:jc w:val="left"/>
              <w:rPr>
                <w:rFonts w:ascii="仿宋" w:hAnsi="仿宋" w:eastAsia="仿宋" w:cs="仿宋"/>
                <w:sz w:val="24"/>
                <w:szCs w:val="24"/>
              </w:rPr>
            </w:pPr>
            <w:r>
              <w:rPr>
                <w:rFonts w:hint="eastAsia" w:ascii="仿宋" w:hAnsi="仿宋" w:eastAsia="仿宋" w:cs="仿宋"/>
                <w:sz w:val="24"/>
                <w:szCs w:val="24"/>
              </w:rPr>
              <w:t>说明：</w:t>
            </w:r>
          </w:p>
          <w:p>
            <w:pPr>
              <w:widowControl/>
              <w:spacing w:line="360" w:lineRule="auto"/>
              <w:jc w:val="left"/>
              <w:rPr>
                <w:rFonts w:ascii="仿宋" w:hAnsi="仿宋" w:eastAsia="仿宋" w:cs="仿宋"/>
                <w:sz w:val="24"/>
                <w:szCs w:val="24"/>
              </w:rPr>
            </w:pPr>
            <w:r>
              <w:rPr>
                <w:rFonts w:hint="eastAsia" w:ascii="仿宋" w:hAnsi="仿宋" w:eastAsia="仿宋" w:cs="仿宋"/>
                <w:sz w:val="24"/>
                <w:szCs w:val="24"/>
              </w:rPr>
              <w:t>1.磋商总报价以元为单位，保留小数点后两位，大小写不一致时，以大写为准。</w:t>
            </w:r>
          </w:p>
          <w:p>
            <w:pPr>
              <w:widowControl/>
              <w:spacing w:line="360" w:lineRule="auto"/>
              <w:jc w:val="left"/>
              <w:rPr>
                <w:rFonts w:eastAsia="仿宋"/>
              </w:rPr>
            </w:pPr>
            <w:r>
              <w:rPr>
                <w:rFonts w:hint="eastAsia" w:ascii="仿宋" w:hAnsi="仿宋" w:eastAsia="仿宋" w:cs="仿宋"/>
                <w:sz w:val="24"/>
                <w:szCs w:val="24"/>
              </w:rPr>
              <w:t>2.费用组成明细表合计金额应与磋商总报价金额一致。</w:t>
            </w:r>
          </w:p>
        </w:tc>
      </w:tr>
    </w:tbl>
    <w:p>
      <w:pPr>
        <w:spacing w:line="360" w:lineRule="auto"/>
        <w:rPr>
          <w:rFonts w:ascii="仿宋_GB2312" w:hAnsi="仿宋_GB2312" w:eastAsia="仿宋_GB2312" w:cs="仿宋_GB2312"/>
          <w:b/>
          <w:sz w:val="32"/>
        </w:rPr>
      </w:pPr>
      <w:r>
        <w:rPr>
          <w:rFonts w:hint="eastAsia" w:ascii="仿宋_GB2312" w:hAnsi="仿宋_GB2312" w:eastAsia="仿宋_GB2312" w:cs="仿宋_GB2312"/>
          <w:b/>
          <w:sz w:val="28"/>
        </w:rPr>
        <w:t xml:space="preserve">  </w:t>
      </w:r>
      <w:r>
        <w:rPr>
          <w:rFonts w:hint="eastAsia" w:ascii="仿宋_GB2312" w:hAnsi="仿宋_GB2312" w:eastAsia="仿宋_GB2312" w:cs="仿宋_GB2312"/>
          <w:b/>
          <w:sz w:val="36"/>
        </w:rPr>
        <w:t xml:space="preserve">  </w:t>
      </w:r>
      <w:r>
        <w:rPr>
          <w:rFonts w:hint="eastAsia" w:ascii="仿宋_GB2312" w:hAnsi="仿宋_GB2312" w:eastAsia="仿宋_GB2312" w:cs="仿宋_GB2312"/>
          <w:bCs/>
          <w:sz w:val="36"/>
        </w:rPr>
        <w:t xml:space="preserve">  </w:t>
      </w:r>
    </w:p>
    <w:p>
      <w:pPr>
        <w:spacing w:line="360" w:lineRule="auto"/>
        <w:ind w:firstLine="2560" w:firstLineChars="800"/>
        <w:rPr>
          <w:rFonts w:ascii="仿宋" w:hAnsi="仿宋" w:eastAsia="仿宋" w:cs="仿宋"/>
          <w:sz w:val="32"/>
        </w:rPr>
      </w:pPr>
    </w:p>
    <w:p>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p>
    <w:p>
      <w:pPr>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_GB2312" w:hAnsi="仿宋_GB2312" w:eastAsia="仿宋_GB2312" w:cs="仿宋_GB2312"/>
          <w:sz w:val="24"/>
          <w:szCs w:val="24"/>
          <w:u w:val="single"/>
        </w:rPr>
        <w:t xml:space="preserve">        </w:t>
      </w:r>
    </w:p>
    <w:p>
      <w:pPr>
        <w:spacing w:line="360" w:lineRule="auto"/>
        <w:rPr>
          <w:rFonts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br w:type="page"/>
      </w:r>
    </w:p>
    <w:p>
      <w:pPr>
        <w:pStyle w:val="4"/>
        <w:spacing w:line="360" w:lineRule="auto"/>
        <w:rPr>
          <w:rStyle w:val="39"/>
          <w:rFonts w:ascii="仿宋" w:hAnsi="仿宋" w:eastAsia="仿宋" w:cs="仿宋"/>
          <w:b/>
          <w:sz w:val="32"/>
          <w:szCs w:val="32"/>
        </w:rPr>
      </w:pPr>
      <w:bookmarkStart w:id="459" w:name="_Toc11671"/>
      <w:r>
        <w:rPr>
          <w:rStyle w:val="39"/>
          <w:rFonts w:hint="eastAsia" w:ascii="仿宋" w:hAnsi="仿宋" w:eastAsia="仿宋" w:cs="仿宋"/>
          <w:b/>
          <w:sz w:val="32"/>
          <w:szCs w:val="32"/>
        </w:rPr>
        <w:t>三、分项报价表</w:t>
      </w:r>
      <w:bookmarkEnd w:id="459"/>
    </w:p>
    <w:tbl>
      <w:tblPr>
        <w:tblStyle w:val="25"/>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880"/>
        <w:gridCol w:w="1567"/>
        <w:gridCol w:w="2155"/>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98" w:type="dxa"/>
            <w:vAlign w:val="center"/>
          </w:tcPr>
          <w:p>
            <w:pPr>
              <w:spacing w:line="360" w:lineRule="auto"/>
              <w:jc w:val="center"/>
              <w:rPr>
                <w:rFonts w:ascii="仿宋_GB2312" w:hAnsi="仿宋_GB2312" w:eastAsia="仿宋_GB2312" w:cs="仿宋_GB2312"/>
                <w:sz w:val="24"/>
                <w:szCs w:val="24"/>
              </w:rPr>
            </w:pPr>
            <w:bookmarkStart w:id="460" w:name="_Toc495681400"/>
            <w:bookmarkStart w:id="461" w:name="_Toc26772"/>
            <w:bookmarkStart w:id="462" w:name="_Toc28831"/>
            <w:bookmarkStart w:id="463" w:name="_Toc11784"/>
            <w:bookmarkStart w:id="464" w:name="_Toc25757"/>
            <w:bookmarkStart w:id="465" w:name="_Toc495908042"/>
            <w:bookmarkStart w:id="466" w:name="_Toc14988"/>
            <w:bookmarkStart w:id="467" w:name="_Toc30293"/>
            <w:bookmarkStart w:id="468" w:name="_Toc4009"/>
            <w:bookmarkStart w:id="469" w:name="_Toc19130"/>
            <w:bookmarkStart w:id="470" w:name="_Toc14078"/>
            <w:bookmarkStart w:id="471" w:name="_Toc495681246"/>
            <w:bookmarkStart w:id="472" w:name="_Toc620"/>
            <w:bookmarkStart w:id="473" w:name="_Toc31853"/>
            <w:bookmarkStart w:id="474" w:name="_Toc22665"/>
            <w:bookmarkStart w:id="475" w:name="_Toc2748"/>
            <w:bookmarkStart w:id="476" w:name="_Toc495681527"/>
            <w:bookmarkStart w:id="477" w:name="_Toc13257"/>
          </w:p>
        </w:tc>
        <w:tc>
          <w:tcPr>
            <w:tcW w:w="2880" w:type="dxa"/>
            <w:vAlign w:val="center"/>
          </w:tcPr>
          <w:p>
            <w:pPr>
              <w:spacing w:line="360" w:lineRule="auto"/>
              <w:rPr>
                <w:rFonts w:ascii="仿宋_GB2312" w:hAnsi="仿宋_GB2312" w:eastAsia="仿宋_GB2312" w:cs="仿宋_GB2312"/>
                <w:sz w:val="24"/>
                <w:szCs w:val="24"/>
              </w:rPr>
            </w:pPr>
          </w:p>
        </w:tc>
        <w:tc>
          <w:tcPr>
            <w:tcW w:w="1567" w:type="dxa"/>
            <w:vAlign w:val="center"/>
          </w:tcPr>
          <w:p>
            <w:pPr>
              <w:spacing w:line="360" w:lineRule="auto"/>
              <w:jc w:val="center"/>
              <w:rPr>
                <w:rFonts w:ascii="仿宋_GB2312" w:hAnsi="仿宋_GB2312" w:eastAsia="仿宋_GB2312" w:cs="仿宋_GB2312"/>
                <w:sz w:val="24"/>
                <w:szCs w:val="24"/>
              </w:rPr>
            </w:pPr>
          </w:p>
        </w:tc>
        <w:tc>
          <w:tcPr>
            <w:tcW w:w="2155" w:type="dxa"/>
            <w:vAlign w:val="center"/>
          </w:tcPr>
          <w:p>
            <w:pPr>
              <w:spacing w:line="360" w:lineRule="auto"/>
              <w:jc w:val="center"/>
              <w:rPr>
                <w:rFonts w:ascii="仿宋_GB2312" w:hAnsi="仿宋_GB2312" w:eastAsia="仿宋_GB2312" w:cs="仿宋_GB2312"/>
                <w:sz w:val="24"/>
                <w:szCs w:val="24"/>
              </w:rPr>
            </w:pPr>
          </w:p>
        </w:tc>
        <w:tc>
          <w:tcPr>
            <w:tcW w:w="1136"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98" w:type="dxa"/>
            <w:vAlign w:val="center"/>
          </w:tcPr>
          <w:p>
            <w:pPr>
              <w:spacing w:line="360" w:lineRule="auto"/>
              <w:jc w:val="center"/>
              <w:rPr>
                <w:rFonts w:ascii="仿宋_GB2312" w:hAnsi="仿宋_GB2312" w:eastAsia="仿宋_GB2312" w:cs="仿宋_GB2312"/>
                <w:sz w:val="24"/>
                <w:szCs w:val="24"/>
              </w:rPr>
            </w:pPr>
          </w:p>
        </w:tc>
        <w:tc>
          <w:tcPr>
            <w:tcW w:w="2880" w:type="dxa"/>
            <w:vAlign w:val="center"/>
          </w:tcPr>
          <w:p>
            <w:pPr>
              <w:spacing w:line="360" w:lineRule="auto"/>
              <w:rPr>
                <w:rFonts w:ascii="仿宋_GB2312" w:hAnsi="仿宋_GB2312" w:eastAsia="仿宋_GB2312" w:cs="仿宋_GB2312"/>
                <w:sz w:val="24"/>
                <w:szCs w:val="24"/>
              </w:rPr>
            </w:pPr>
          </w:p>
        </w:tc>
        <w:tc>
          <w:tcPr>
            <w:tcW w:w="1567" w:type="dxa"/>
            <w:vAlign w:val="center"/>
          </w:tcPr>
          <w:p>
            <w:pPr>
              <w:spacing w:line="360" w:lineRule="auto"/>
              <w:jc w:val="center"/>
              <w:rPr>
                <w:rFonts w:ascii="仿宋_GB2312" w:hAnsi="仿宋_GB2312" w:eastAsia="仿宋_GB2312" w:cs="仿宋_GB2312"/>
                <w:sz w:val="24"/>
                <w:szCs w:val="24"/>
              </w:rPr>
            </w:pPr>
          </w:p>
        </w:tc>
        <w:tc>
          <w:tcPr>
            <w:tcW w:w="2155" w:type="dxa"/>
            <w:vAlign w:val="center"/>
          </w:tcPr>
          <w:p>
            <w:pPr>
              <w:spacing w:line="360" w:lineRule="auto"/>
              <w:jc w:val="center"/>
              <w:rPr>
                <w:rFonts w:ascii="仿宋_GB2312" w:hAnsi="仿宋_GB2312" w:eastAsia="仿宋_GB2312" w:cs="仿宋_GB2312"/>
                <w:sz w:val="24"/>
                <w:szCs w:val="24"/>
              </w:rPr>
            </w:pPr>
          </w:p>
        </w:tc>
        <w:tc>
          <w:tcPr>
            <w:tcW w:w="1136"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98" w:type="dxa"/>
            <w:vAlign w:val="center"/>
          </w:tcPr>
          <w:p>
            <w:pPr>
              <w:spacing w:line="360" w:lineRule="auto"/>
              <w:jc w:val="center"/>
              <w:rPr>
                <w:rFonts w:ascii="仿宋_GB2312" w:hAnsi="仿宋_GB2312" w:eastAsia="仿宋_GB2312" w:cs="仿宋_GB2312"/>
                <w:sz w:val="24"/>
                <w:szCs w:val="24"/>
              </w:rPr>
            </w:pPr>
          </w:p>
        </w:tc>
        <w:tc>
          <w:tcPr>
            <w:tcW w:w="2880" w:type="dxa"/>
            <w:vAlign w:val="center"/>
          </w:tcPr>
          <w:p>
            <w:pPr>
              <w:spacing w:line="360" w:lineRule="auto"/>
              <w:rPr>
                <w:rFonts w:ascii="仿宋_GB2312" w:hAnsi="仿宋_GB2312" w:eastAsia="仿宋_GB2312" w:cs="仿宋_GB2312"/>
                <w:sz w:val="24"/>
                <w:szCs w:val="24"/>
              </w:rPr>
            </w:pPr>
          </w:p>
        </w:tc>
        <w:tc>
          <w:tcPr>
            <w:tcW w:w="1567" w:type="dxa"/>
            <w:vAlign w:val="center"/>
          </w:tcPr>
          <w:p>
            <w:pPr>
              <w:spacing w:line="360" w:lineRule="auto"/>
              <w:jc w:val="center"/>
              <w:rPr>
                <w:rFonts w:ascii="仿宋_GB2312" w:hAnsi="仿宋_GB2312" w:eastAsia="仿宋_GB2312" w:cs="仿宋_GB2312"/>
                <w:sz w:val="24"/>
                <w:szCs w:val="24"/>
              </w:rPr>
            </w:pPr>
          </w:p>
        </w:tc>
        <w:tc>
          <w:tcPr>
            <w:tcW w:w="2155" w:type="dxa"/>
            <w:tcBorders>
              <w:bottom w:val="dotted" w:color="auto" w:sz="4" w:space="0"/>
            </w:tcBorders>
            <w:vAlign w:val="center"/>
          </w:tcPr>
          <w:p>
            <w:pPr>
              <w:spacing w:line="360" w:lineRule="auto"/>
              <w:jc w:val="center"/>
              <w:rPr>
                <w:rFonts w:ascii="仿宋_GB2312" w:hAnsi="仿宋_GB2312" w:eastAsia="仿宋_GB2312" w:cs="仿宋_GB2312"/>
                <w:sz w:val="24"/>
                <w:szCs w:val="24"/>
              </w:rPr>
            </w:pPr>
          </w:p>
        </w:tc>
        <w:tc>
          <w:tcPr>
            <w:tcW w:w="1136"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98" w:type="dxa"/>
            <w:vAlign w:val="center"/>
          </w:tcPr>
          <w:p>
            <w:pPr>
              <w:spacing w:line="360" w:lineRule="auto"/>
              <w:jc w:val="center"/>
              <w:rPr>
                <w:rFonts w:ascii="仿宋_GB2312" w:hAnsi="仿宋_GB2312" w:eastAsia="仿宋_GB2312" w:cs="仿宋_GB2312"/>
                <w:sz w:val="24"/>
                <w:szCs w:val="24"/>
              </w:rPr>
            </w:pPr>
          </w:p>
        </w:tc>
        <w:tc>
          <w:tcPr>
            <w:tcW w:w="2880" w:type="dxa"/>
            <w:vAlign w:val="center"/>
          </w:tcPr>
          <w:p>
            <w:pPr>
              <w:spacing w:line="360" w:lineRule="auto"/>
              <w:rPr>
                <w:rFonts w:ascii="仿宋_GB2312" w:hAnsi="仿宋_GB2312" w:eastAsia="仿宋_GB2312" w:cs="仿宋_GB2312"/>
                <w:sz w:val="24"/>
                <w:szCs w:val="24"/>
              </w:rPr>
            </w:pPr>
          </w:p>
        </w:tc>
        <w:tc>
          <w:tcPr>
            <w:tcW w:w="1567" w:type="dxa"/>
            <w:vAlign w:val="center"/>
          </w:tcPr>
          <w:p>
            <w:pPr>
              <w:spacing w:line="360" w:lineRule="auto"/>
              <w:jc w:val="center"/>
              <w:rPr>
                <w:rFonts w:ascii="仿宋_GB2312" w:hAnsi="仿宋_GB2312" w:eastAsia="仿宋_GB2312" w:cs="仿宋_GB2312"/>
                <w:sz w:val="24"/>
                <w:szCs w:val="24"/>
              </w:rPr>
            </w:pPr>
          </w:p>
        </w:tc>
        <w:tc>
          <w:tcPr>
            <w:tcW w:w="2155" w:type="dxa"/>
            <w:tcBorders>
              <w:top w:val="dotted" w:color="auto" w:sz="4" w:space="0"/>
            </w:tcBorders>
            <w:vAlign w:val="center"/>
          </w:tcPr>
          <w:p>
            <w:pPr>
              <w:spacing w:line="360" w:lineRule="auto"/>
              <w:jc w:val="center"/>
              <w:rPr>
                <w:rFonts w:ascii="仿宋_GB2312" w:hAnsi="仿宋_GB2312" w:eastAsia="仿宋_GB2312" w:cs="仿宋_GB2312"/>
                <w:sz w:val="24"/>
                <w:szCs w:val="24"/>
              </w:rPr>
            </w:pPr>
          </w:p>
        </w:tc>
        <w:tc>
          <w:tcPr>
            <w:tcW w:w="1136"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98" w:type="dxa"/>
            <w:vAlign w:val="center"/>
          </w:tcPr>
          <w:p>
            <w:pPr>
              <w:spacing w:line="360" w:lineRule="auto"/>
              <w:jc w:val="center"/>
              <w:rPr>
                <w:rFonts w:ascii="仿宋_GB2312" w:hAnsi="仿宋_GB2312" w:eastAsia="仿宋_GB2312" w:cs="仿宋_GB2312"/>
                <w:sz w:val="24"/>
                <w:szCs w:val="24"/>
              </w:rPr>
            </w:pPr>
          </w:p>
        </w:tc>
        <w:tc>
          <w:tcPr>
            <w:tcW w:w="2880" w:type="dxa"/>
            <w:vAlign w:val="center"/>
          </w:tcPr>
          <w:p>
            <w:pPr>
              <w:spacing w:line="360" w:lineRule="auto"/>
              <w:rPr>
                <w:rFonts w:ascii="仿宋_GB2312" w:hAnsi="仿宋_GB2312" w:eastAsia="仿宋_GB2312" w:cs="仿宋_GB2312"/>
                <w:sz w:val="24"/>
                <w:szCs w:val="24"/>
              </w:rPr>
            </w:pPr>
          </w:p>
        </w:tc>
        <w:tc>
          <w:tcPr>
            <w:tcW w:w="1567" w:type="dxa"/>
            <w:vAlign w:val="center"/>
          </w:tcPr>
          <w:p>
            <w:pPr>
              <w:spacing w:line="360" w:lineRule="auto"/>
              <w:jc w:val="center"/>
              <w:rPr>
                <w:rFonts w:ascii="仿宋_GB2312" w:hAnsi="仿宋_GB2312" w:eastAsia="仿宋_GB2312" w:cs="仿宋_GB2312"/>
                <w:sz w:val="24"/>
                <w:szCs w:val="24"/>
              </w:rPr>
            </w:pPr>
          </w:p>
        </w:tc>
        <w:tc>
          <w:tcPr>
            <w:tcW w:w="2155" w:type="dxa"/>
            <w:vAlign w:val="center"/>
          </w:tcPr>
          <w:p>
            <w:pPr>
              <w:spacing w:line="360" w:lineRule="auto"/>
              <w:jc w:val="center"/>
              <w:rPr>
                <w:rFonts w:ascii="仿宋_GB2312" w:hAnsi="仿宋_GB2312" w:eastAsia="仿宋_GB2312" w:cs="仿宋_GB2312"/>
                <w:sz w:val="24"/>
                <w:szCs w:val="24"/>
              </w:rPr>
            </w:pPr>
          </w:p>
        </w:tc>
        <w:tc>
          <w:tcPr>
            <w:tcW w:w="1136"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98" w:type="dxa"/>
            <w:vAlign w:val="center"/>
          </w:tcPr>
          <w:p>
            <w:pPr>
              <w:spacing w:line="360" w:lineRule="auto"/>
              <w:jc w:val="center"/>
              <w:rPr>
                <w:rFonts w:ascii="仿宋_GB2312" w:hAnsi="仿宋_GB2312" w:eastAsia="仿宋_GB2312" w:cs="仿宋_GB2312"/>
                <w:sz w:val="24"/>
                <w:szCs w:val="24"/>
              </w:rPr>
            </w:pPr>
          </w:p>
        </w:tc>
        <w:tc>
          <w:tcPr>
            <w:tcW w:w="2880" w:type="dxa"/>
            <w:vAlign w:val="center"/>
          </w:tcPr>
          <w:p>
            <w:pPr>
              <w:spacing w:line="360" w:lineRule="auto"/>
              <w:rPr>
                <w:rFonts w:ascii="仿宋_GB2312" w:hAnsi="仿宋_GB2312" w:eastAsia="仿宋_GB2312" w:cs="仿宋_GB2312"/>
                <w:sz w:val="24"/>
                <w:szCs w:val="24"/>
              </w:rPr>
            </w:pPr>
          </w:p>
        </w:tc>
        <w:tc>
          <w:tcPr>
            <w:tcW w:w="1567" w:type="dxa"/>
            <w:vAlign w:val="center"/>
          </w:tcPr>
          <w:p>
            <w:pPr>
              <w:spacing w:line="360" w:lineRule="auto"/>
              <w:jc w:val="center"/>
              <w:rPr>
                <w:rFonts w:ascii="仿宋_GB2312" w:hAnsi="仿宋_GB2312" w:eastAsia="仿宋_GB2312" w:cs="仿宋_GB2312"/>
                <w:sz w:val="24"/>
                <w:szCs w:val="24"/>
              </w:rPr>
            </w:pPr>
          </w:p>
        </w:tc>
        <w:tc>
          <w:tcPr>
            <w:tcW w:w="2155" w:type="dxa"/>
            <w:vAlign w:val="center"/>
          </w:tcPr>
          <w:p>
            <w:pPr>
              <w:spacing w:line="360" w:lineRule="auto"/>
              <w:jc w:val="center"/>
              <w:rPr>
                <w:rFonts w:ascii="仿宋_GB2312" w:hAnsi="仿宋_GB2312" w:eastAsia="仿宋_GB2312" w:cs="仿宋_GB2312"/>
                <w:sz w:val="24"/>
                <w:szCs w:val="24"/>
              </w:rPr>
            </w:pPr>
          </w:p>
        </w:tc>
        <w:tc>
          <w:tcPr>
            <w:tcW w:w="1136"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98" w:type="dxa"/>
            <w:vAlign w:val="center"/>
          </w:tcPr>
          <w:p>
            <w:pPr>
              <w:spacing w:line="360" w:lineRule="auto"/>
              <w:jc w:val="center"/>
              <w:rPr>
                <w:rFonts w:ascii="仿宋_GB2312" w:hAnsi="仿宋_GB2312" w:eastAsia="仿宋_GB2312" w:cs="仿宋_GB2312"/>
                <w:sz w:val="24"/>
                <w:szCs w:val="24"/>
              </w:rPr>
            </w:pPr>
          </w:p>
        </w:tc>
        <w:tc>
          <w:tcPr>
            <w:tcW w:w="2880" w:type="dxa"/>
            <w:vAlign w:val="center"/>
          </w:tcPr>
          <w:p>
            <w:pPr>
              <w:spacing w:line="360" w:lineRule="auto"/>
              <w:rPr>
                <w:rFonts w:ascii="仿宋_GB2312" w:hAnsi="仿宋_GB2312" w:eastAsia="仿宋_GB2312" w:cs="仿宋_GB2312"/>
                <w:sz w:val="24"/>
                <w:szCs w:val="24"/>
              </w:rPr>
            </w:pPr>
          </w:p>
        </w:tc>
        <w:tc>
          <w:tcPr>
            <w:tcW w:w="1567" w:type="dxa"/>
            <w:vAlign w:val="center"/>
          </w:tcPr>
          <w:p>
            <w:pPr>
              <w:spacing w:line="360" w:lineRule="auto"/>
              <w:jc w:val="center"/>
              <w:rPr>
                <w:rFonts w:ascii="仿宋_GB2312" w:hAnsi="仿宋_GB2312" w:eastAsia="仿宋_GB2312" w:cs="仿宋_GB2312"/>
                <w:sz w:val="24"/>
                <w:szCs w:val="24"/>
              </w:rPr>
            </w:pPr>
          </w:p>
        </w:tc>
        <w:tc>
          <w:tcPr>
            <w:tcW w:w="2155" w:type="dxa"/>
            <w:vAlign w:val="center"/>
          </w:tcPr>
          <w:p>
            <w:pPr>
              <w:spacing w:line="360" w:lineRule="auto"/>
              <w:jc w:val="center"/>
              <w:rPr>
                <w:rFonts w:ascii="仿宋_GB2312" w:hAnsi="仿宋_GB2312" w:eastAsia="仿宋_GB2312" w:cs="仿宋_GB2312"/>
                <w:sz w:val="24"/>
                <w:szCs w:val="24"/>
              </w:rPr>
            </w:pPr>
          </w:p>
        </w:tc>
        <w:tc>
          <w:tcPr>
            <w:tcW w:w="1136"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98" w:type="dxa"/>
            <w:vAlign w:val="center"/>
          </w:tcPr>
          <w:p>
            <w:pPr>
              <w:spacing w:line="360" w:lineRule="auto"/>
              <w:jc w:val="center"/>
              <w:rPr>
                <w:rFonts w:ascii="仿宋_GB2312" w:hAnsi="仿宋_GB2312" w:eastAsia="仿宋_GB2312" w:cs="仿宋_GB2312"/>
                <w:sz w:val="24"/>
                <w:szCs w:val="24"/>
              </w:rPr>
            </w:pPr>
          </w:p>
        </w:tc>
        <w:tc>
          <w:tcPr>
            <w:tcW w:w="2880" w:type="dxa"/>
            <w:vAlign w:val="center"/>
          </w:tcPr>
          <w:p>
            <w:pPr>
              <w:spacing w:line="360" w:lineRule="auto"/>
              <w:rPr>
                <w:rFonts w:ascii="仿宋_GB2312" w:hAnsi="仿宋_GB2312" w:eastAsia="仿宋_GB2312" w:cs="仿宋_GB2312"/>
                <w:sz w:val="24"/>
                <w:szCs w:val="24"/>
              </w:rPr>
            </w:pPr>
          </w:p>
        </w:tc>
        <w:tc>
          <w:tcPr>
            <w:tcW w:w="1567" w:type="dxa"/>
            <w:vAlign w:val="center"/>
          </w:tcPr>
          <w:p>
            <w:pPr>
              <w:spacing w:line="360" w:lineRule="auto"/>
              <w:jc w:val="center"/>
              <w:rPr>
                <w:rFonts w:ascii="仿宋_GB2312" w:hAnsi="仿宋_GB2312" w:eastAsia="仿宋_GB2312" w:cs="仿宋_GB2312"/>
                <w:sz w:val="24"/>
                <w:szCs w:val="24"/>
              </w:rPr>
            </w:pPr>
          </w:p>
        </w:tc>
        <w:tc>
          <w:tcPr>
            <w:tcW w:w="2155" w:type="dxa"/>
            <w:vAlign w:val="center"/>
          </w:tcPr>
          <w:p>
            <w:pPr>
              <w:spacing w:line="360" w:lineRule="auto"/>
              <w:jc w:val="center"/>
              <w:rPr>
                <w:rFonts w:ascii="仿宋_GB2312" w:hAnsi="仿宋_GB2312" w:eastAsia="仿宋_GB2312" w:cs="仿宋_GB2312"/>
                <w:sz w:val="24"/>
                <w:szCs w:val="24"/>
              </w:rPr>
            </w:pPr>
          </w:p>
        </w:tc>
        <w:tc>
          <w:tcPr>
            <w:tcW w:w="1136"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98" w:type="dxa"/>
            <w:vAlign w:val="center"/>
          </w:tcPr>
          <w:p>
            <w:pPr>
              <w:spacing w:line="360" w:lineRule="auto"/>
              <w:jc w:val="center"/>
              <w:rPr>
                <w:rFonts w:ascii="仿宋_GB2312" w:hAnsi="仿宋_GB2312" w:eastAsia="仿宋_GB2312" w:cs="仿宋_GB2312"/>
                <w:sz w:val="24"/>
                <w:szCs w:val="24"/>
              </w:rPr>
            </w:pPr>
          </w:p>
        </w:tc>
        <w:tc>
          <w:tcPr>
            <w:tcW w:w="2880" w:type="dxa"/>
            <w:vAlign w:val="center"/>
          </w:tcPr>
          <w:p>
            <w:pPr>
              <w:spacing w:line="360" w:lineRule="auto"/>
              <w:rPr>
                <w:rFonts w:ascii="仿宋_GB2312" w:hAnsi="仿宋_GB2312" w:eastAsia="仿宋_GB2312" w:cs="仿宋_GB2312"/>
                <w:sz w:val="24"/>
                <w:szCs w:val="24"/>
              </w:rPr>
            </w:pPr>
          </w:p>
        </w:tc>
        <w:tc>
          <w:tcPr>
            <w:tcW w:w="1567" w:type="dxa"/>
            <w:vAlign w:val="center"/>
          </w:tcPr>
          <w:p>
            <w:pPr>
              <w:spacing w:line="360" w:lineRule="auto"/>
              <w:jc w:val="center"/>
              <w:rPr>
                <w:rFonts w:ascii="仿宋_GB2312" w:hAnsi="仿宋_GB2312" w:eastAsia="仿宋_GB2312" w:cs="仿宋_GB2312"/>
                <w:sz w:val="24"/>
                <w:szCs w:val="24"/>
              </w:rPr>
            </w:pPr>
          </w:p>
        </w:tc>
        <w:tc>
          <w:tcPr>
            <w:tcW w:w="2155" w:type="dxa"/>
            <w:vAlign w:val="center"/>
          </w:tcPr>
          <w:p>
            <w:pPr>
              <w:spacing w:line="360" w:lineRule="auto"/>
              <w:jc w:val="center"/>
              <w:rPr>
                <w:rFonts w:ascii="仿宋_GB2312" w:hAnsi="仿宋_GB2312" w:eastAsia="仿宋_GB2312" w:cs="仿宋_GB2312"/>
                <w:sz w:val="24"/>
                <w:szCs w:val="24"/>
              </w:rPr>
            </w:pPr>
          </w:p>
        </w:tc>
        <w:tc>
          <w:tcPr>
            <w:tcW w:w="1136"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878" w:type="dxa"/>
            <w:gridSpan w:val="2"/>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　　计</w:t>
            </w:r>
          </w:p>
        </w:tc>
        <w:tc>
          <w:tcPr>
            <w:tcW w:w="4858" w:type="dxa"/>
            <w:gridSpan w:val="3"/>
            <w:vAlign w:val="center"/>
          </w:tcPr>
          <w:p>
            <w:pPr>
              <w:spacing w:line="360" w:lineRule="auto"/>
              <w:jc w:val="center"/>
              <w:rPr>
                <w:rFonts w:ascii="仿宋_GB2312" w:hAnsi="仿宋_GB2312" w:eastAsia="仿宋_GB2312" w:cs="仿宋_GB2312"/>
                <w:sz w:val="24"/>
                <w:szCs w:val="24"/>
              </w:rPr>
            </w:pPr>
          </w:p>
        </w:tc>
      </w:tr>
    </w:tbl>
    <w:p>
      <w:pPr>
        <w:spacing w:line="360" w:lineRule="auto"/>
        <w:jc w:val="center"/>
        <w:rPr>
          <w:rFonts w:ascii="仿宋" w:hAnsi="仿宋" w:eastAsia="仿宋" w:cs="仿宋"/>
          <w:sz w:val="24"/>
          <w:szCs w:val="24"/>
        </w:rPr>
      </w:pPr>
    </w:p>
    <w:p>
      <w:pPr>
        <w:spacing w:line="360" w:lineRule="auto"/>
        <w:ind w:firstLine="3360" w:firstLineChars="1400"/>
        <w:rPr>
          <w:rFonts w:ascii="仿宋" w:hAnsi="仿宋" w:eastAsia="仿宋" w:cs="仿宋"/>
          <w:sz w:val="24"/>
          <w:szCs w:val="24"/>
        </w:rPr>
      </w:pPr>
    </w:p>
    <w:p>
      <w:pPr>
        <w:spacing w:line="360" w:lineRule="auto"/>
        <w:ind w:firstLine="3360" w:firstLineChars="1400"/>
        <w:rPr>
          <w:rFonts w:ascii="仿宋" w:hAnsi="仿宋" w:eastAsia="仿宋" w:cs="仿宋"/>
          <w:sz w:val="24"/>
          <w:szCs w:val="24"/>
        </w:rPr>
      </w:pPr>
    </w:p>
    <w:p>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p>
    <w:p>
      <w:pPr>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autoSpaceDE w:val="0"/>
        <w:autoSpaceDN w:val="0"/>
        <w:adjustRightInd w:val="0"/>
        <w:spacing w:line="360" w:lineRule="auto"/>
        <w:ind w:firstLine="3360" w:firstLineChars="1400"/>
        <w:rPr>
          <w:rFonts w:ascii="仿宋" w:hAnsi="仿宋" w:eastAsia="仿宋" w:cs="仿宋"/>
        </w:rPr>
        <w:sectPr>
          <w:pgSz w:w="11906" w:h="16838"/>
          <w:pgMar w:top="1417" w:right="1417" w:bottom="1417" w:left="1417" w:header="851" w:footer="992" w:gutter="0"/>
          <w:pgNumType w:fmt="decimal"/>
          <w:cols w:space="0" w:num="1"/>
          <w:docGrid w:linePitch="312" w:charSpace="0"/>
        </w:sect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pStyle w:val="43"/>
        <w:pageBreakBefore/>
        <w:ind w:firstLine="0" w:firstLineChars="0"/>
        <w:jc w:val="center"/>
        <w:outlineLvl w:val="1"/>
        <w:rPr>
          <w:rStyle w:val="39"/>
          <w:rFonts w:ascii="仿宋" w:hAnsi="仿宋" w:eastAsia="仿宋" w:cs="仿宋"/>
        </w:rPr>
      </w:pPr>
      <w:bookmarkStart w:id="478" w:name="_Toc16239"/>
      <w:r>
        <w:rPr>
          <w:rStyle w:val="39"/>
          <w:rFonts w:hint="eastAsia" w:ascii="仿宋" w:hAnsi="仿宋" w:eastAsia="仿宋" w:cs="仿宋"/>
          <w:sz w:val="32"/>
          <w:szCs w:val="21"/>
        </w:rPr>
        <w:t>四、供应商资格证明文件</w:t>
      </w:r>
      <w:bookmarkEnd w:id="478"/>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（1）基本资格条件：符合《中华人民共和国政府采购法》第二十二条的规定；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1、提供统一社会信用代码的营业执照或其他组织经营的合法凭证或自然人的提供身份证明文件；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2、财务状况报告：提供具有财务审计资质单位出具的2021年度财务报告或磋商前六个月内其基本账户银行出具的资信证明（附基本户证明资料）或财政部门认可的政府采购专业担保机构出具的担保函，以上形式的证明资料提供任何一种即可；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3、税收缴纳证明：提供已缴纳的 2022年1月1日以来至少一个月的纳税证明或完税证明（提供增值税、企业所得税至少一种），纳税证明或完税证明上应有代收机构或税务机关的公章或业务专用章。依法免税的供应商应提供相关文件证明；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4、社会保障资金缴纳证明：提供已缴存的 2022年1月1日以来至少一个月的社会保障资金缴存单据或社保机构开具的社会保险参保缴费情况证明。成立时间至提交响应文件截止时间不足一个月或依法不需要缴纳社会保障资金的供应商应提供相关文件证明；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5、出具履行合同所必需的设备和专业技术能力的书面声明；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6、出具参加本次政府采购活动的书面声明；</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（2）特定资格条件：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1、法定代表人授权书及被授权人身份证，并且提供有效的劳动合同或近三个月养老保险缴纳证明（法人参加只需提供法定代表人身份证明）；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2、符合《财政部关于在政府采购活动中查询及使用信用记录有关问题的通知》（财库【2016】125号）文件中信用查询的要求；（此项由采购人与采购代理单位在开标时查询，以现场查询为准）。</w:t>
      </w:r>
    </w:p>
    <w:p>
      <w:pPr>
        <w:pStyle w:val="9"/>
        <w:ind w:firstLine="482" w:firstLineChars="200"/>
        <w:rPr>
          <w:rFonts w:ascii="仿宋" w:hAnsi="仿宋" w:eastAsia="仿宋" w:cs="仿宋"/>
          <w:b/>
          <w:bCs/>
          <w:szCs w:val="24"/>
        </w:rPr>
      </w:pPr>
    </w:p>
    <w:p>
      <w:pPr>
        <w:pStyle w:val="9"/>
        <w:rPr>
          <w:rFonts w:ascii="仿宋" w:hAnsi="仿宋" w:eastAsia="仿宋" w:cs="仿宋"/>
          <w:b/>
          <w:bCs/>
          <w:szCs w:val="24"/>
        </w:rPr>
      </w:pPr>
      <w:r>
        <w:rPr>
          <w:rFonts w:hint="eastAsia" w:ascii="仿宋" w:hAnsi="仿宋" w:eastAsia="仿宋" w:cs="仿宋"/>
          <w:b/>
          <w:bCs/>
          <w:szCs w:val="24"/>
        </w:rPr>
        <w:t>注：1、格式后附。</w:t>
      </w:r>
    </w:p>
    <w:p>
      <w:pPr>
        <w:pStyle w:val="9"/>
        <w:ind w:firstLine="482" w:firstLineChars="200"/>
        <w:rPr>
          <w:rFonts w:ascii="仿宋" w:hAnsi="仿宋" w:eastAsia="仿宋" w:cs="仿宋"/>
          <w:b/>
          <w:bCs/>
          <w:szCs w:val="24"/>
        </w:rPr>
      </w:pPr>
      <w:r>
        <w:rPr>
          <w:rFonts w:hint="eastAsia" w:ascii="仿宋" w:hAnsi="仿宋" w:eastAsia="仿宋" w:cs="仿宋"/>
          <w:b/>
          <w:bCs/>
          <w:szCs w:val="24"/>
        </w:rPr>
        <w:t>2、“四、供应商资格证明文件”单独胶装成册1本，与响应文件正本一同密封。</w:t>
      </w:r>
    </w:p>
    <w:p>
      <w:pPr>
        <w:spacing w:line="360" w:lineRule="auto"/>
        <w:ind w:firstLine="420" w:firstLineChars="200"/>
        <w:rPr>
          <w:rFonts w:eastAsia="仿宋"/>
        </w:rPr>
      </w:pPr>
    </w:p>
    <w:p>
      <w:pPr>
        <w:pageBreakBefore/>
        <w:spacing w:line="360" w:lineRule="auto"/>
        <w:jc w:val="center"/>
        <w:rPr>
          <w:rFonts w:ascii="仿宋" w:hAnsi="仿宋" w:eastAsia="仿宋" w:cs="仿宋"/>
          <w:b/>
          <w:bCs/>
          <w:sz w:val="32"/>
          <w:szCs w:val="32"/>
        </w:rPr>
      </w:pPr>
      <w:r>
        <w:rPr>
          <w:rFonts w:hint="eastAsia" w:ascii="仿宋" w:hAnsi="仿宋" w:eastAsia="仿宋" w:cs="仿宋"/>
          <w:b/>
          <w:bCs/>
          <w:sz w:val="32"/>
          <w:szCs w:val="32"/>
        </w:rPr>
        <w:t>供应商基本情况表</w:t>
      </w:r>
    </w:p>
    <w:tbl>
      <w:tblPr>
        <w:tblStyle w:val="25"/>
        <w:tblW w:w="92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053"/>
        <w:gridCol w:w="2205"/>
        <w:gridCol w:w="198"/>
        <w:gridCol w:w="1227"/>
        <w:gridCol w:w="1620"/>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2310" w:type="dxa"/>
            <w:gridSpan w:val="3"/>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供应商名称</w:t>
            </w:r>
          </w:p>
        </w:tc>
        <w:tc>
          <w:tcPr>
            <w:tcW w:w="3630" w:type="dxa"/>
            <w:gridSpan w:val="3"/>
            <w:vAlign w:val="center"/>
          </w:tcPr>
          <w:p>
            <w:pPr>
              <w:topLinePunct/>
              <w:spacing w:line="360" w:lineRule="auto"/>
              <w:jc w:val="center"/>
              <w:rPr>
                <w:rFonts w:ascii="仿宋" w:hAnsi="仿宋" w:eastAsia="仿宋" w:cs="仿宋"/>
                <w:sz w:val="24"/>
                <w:szCs w:val="24"/>
              </w:rPr>
            </w:pPr>
          </w:p>
        </w:tc>
        <w:tc>
          <w:tcPr>
            <w:tcW w:w="1620" w:type="dxa"/>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法定代表人</w:t>
            </w:r>
          </w:p>
        </w:tc>
        <w:tc>
          <w:tcPr>
            <w:tcW w:w="1657" w:type="dxa"/>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2310" w:type="dxa"/>
            <w:gridSpan w:val="3"/>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统一</w:t>
            </w:r>
          </w:p>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社会信用代码</w:t>
            </w:r>
          </w:p>
        </w:tc>
        <w:tc>
          <w:tcPr>
            <w:tcW w:w="3630" w:type="dxa"/>
            <w:gridSpan w:val="3"/>
            <w:vAlign w:val="center"/>
          </w:tcPr>
          <w:p>
            <w:pPr>
              <w:topLinePunct/>
              <w:spacing w:line="360" w:lineRule="auto"/>
              <w:jc w:val="center"/>
              <w:rPr>
                <w:rFonts w:ascii="仿宋" w:hAnsi="仿宋" w:eastAsia="仿宋" w:cs="仿宋"/>
                <w:sz w:val="24"/>
                <w:szCs w:val="24"/>
              </w:rPr>
            </w:pPr>
          </w:p>
        </w:tc>
        <w:tc>
          <w:tcPr>
            <w:tcW w:w="1620" w:type="dxa"/>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邮政编码</w:t>
            </w:r>
          </w:p>
        </w:tc>
        <w:tc>
          <w:tcPr>
            <w:tcW w:w="1657" w:type="dxa"/>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310" w:type="dxa"/>
            <w:gridSpan w:val="3"/>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上年营业收入</w:t>
            </w:r>
          </w:p>
        </w:tc>
        <w:tc>
          <w:tcPr>
            <w:tcW w:w="3630" w:type="dxa"/>
            <w:gridSpan w:val="3"/>
            <w:vAlign w:val="center"/>
          </w:tcPr>
          <w:p>
            <w:pPr>
              <w:topLinePunct/>
              <w:spacing w:line="360" w:lineRule="auto"/>
              <w:jc w:val="center"/>
              <w:rPr>
                <w:rFonts w:ascii="仿宋" w:hAnsi="仿宋" w:eastAsia="仿宋" w:cs="仿宋"/>
                <w:sz w:val="24"/>
                <w:szCs w:val="24"/>
              </w:rPr>
            </w:pPr>
          </w:p>
        </w:tc>
        <w:tc>
          <w:tcPr>
            <w:tcW w:w="1620" w:type="dxa"/>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员工总人数</w:t>
            </w:r>
          </w:p>
        </w:tc>
        <w:tc>
          <w:tcPr>
            <w:tcW w:w="1657" w:type="dxa"/>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restart"/>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营业执照</w:t>
            </w:r>
          </w:p>
        </w:tc>
        <w:tc>
          <w:tcPr>
            <w:tcW w:w="1592" w:type="dxa"/>
            <w:gridSpan w:val="2"/>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注册号码</w:t>
            </w:r>
          </w:p>
        </w:tc>
        <w:tc>
          <w:tcPr>
            <w:tcW w:w="2205" w:type="dxa"/>
            <w:vAlign w:val="center"/>
          </w:tcPr>
          <w:p>
            <w:pPr>
              <w:topLinePunct/>
              <w:spacing w:line="360" w:lineRule="auto"/>
              <w:jc w:val="center"/>
              <w:rPr>
                <w:rFonts w:ascii="仿宋" w:hAnsi="仿宋" w:eastAsia="仿宋" w:cs="仿宋"/>
                <w:sz w:val="24"/>
                <w:szCs w:val="24"/>
              </w:rPr>
            </w:pPr>
          </w:p>
        </w:tc>
        <w:tc>
          <w:tcPr>
            <w:tcW w:w="1425" w:type="dxa"/>
            <w:gridSpan w:val="2"/>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注册地址</w:t>
            </w:r>
          </w:p>
        </w:tc>
        <w:tc>
          <w:tcPr>
            <w:tcW w:w="3277" w:type="dxa"/>
            <w:gridSpan w:val="2"/>
            <w:vAlign w:val="center"/>
          </w:tcPr>
          <w:p>
            <w:pPr>
              <w:topLinePunct/>
              <w:spacing w:line="360" w:lineRule="auto"/>
              <w:ind w:firstLine="120" w:firstLineChars="50"/>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pacing w:line="360" w:lineRule="auto"/>
              <w:jc w:val="center"/>
              <w:rPr>
                <w:rFonts w:ascii="仿宋" w:hAnsi="仿宋" w:eastAsia="仿宋" w:cs="仿宋"/>
                <w:sz w:val="24"/>
                <w:szCs w:val="24"/>
              </w:rPr>
            </w:pPr>
          </w:p>
        </w:tc>
        <w:tc>
          <w:tcPr>
            <w:tcW w:w="1592" w:type="dxa"/>
            <w:gridSpan w:val="2"/>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发证机关</w:t>
            </w:r>
          </w:p>
        </w:tc>
        <w:tc>
          <w:tcPr>
            <w:tcW w:w="2205" w:type="dxa"/>
            <w:vAlign w:val="center"/>
          </w:tcPr>
          <w:p>
            <w:pPr>
              <w:topLinePunct/>
              <w:spacing w:line="360" w:lineRule="auto"/>
              <w:jc w:val="center"/>
              <w:rPr>
                <w:rFonts w:ascii="仿宋" w:hAnsi="仿宋" w:eastAsia="仿宋" w:cs="仿宋"/>
                <w:sz w:val="24"/>
                <w:szCs w:val="24"/>
              </w:rPr>
            </w:pPr>
          </w:p>
        </w:tc>
        <w:tc>
          <w:tcPr>
            <w:tcW w:w="1425" w:type="dxa"/>
            <w:gridSpan w:val="2"/>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发证日期</w:t>
            </w:r>
          </w:p>
        </w:tc>
        <w:tc>
          <w:tcPr>
            <w:tcW w:w="3277" w:type="dxa"/>
            <w:gridSpan w:val="2"/>
            <w:vAlign w:val="center"/>
          </w:tcPr>
          <w:p>
            <w:pPr>
              <w:topLinePunct/>
              <w:spacing w:line="360" w:lineRule="auto"/>
              <w:ind w:firstLine="120" w:firstLineChars="50"/>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718" w:type="dxa"/>
            <w:vMerge w:val="continue"/>
            <w:vAlign w:val="center"/>
          </w:tcPr>
          <w:p>
            <w:pPr>
              <w:topLinePunct/>
              <w:spacing w:line="360" w:lineRule="auto"/>
              <w:jc w:val="center"/>
              <w:rPr>
                <w:rFonts w:ascii="仿宋" w:hAnsi="仿宋" w:eastAsia="仿宋" w:cs="仿宋"/>
                <w:sz w:val="24"/>
                <w:szCs w:val="24"/>
              </w:rPr>
            </w:pPr>
          </w:p>
        </w:tc>
        <w:tc>
          <w:tcPr>
            <w:tcW w:w="1592" w:type="dxa"/>
            <w:gridSpan w:val="2"/>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营业范围</w:t>
            </w:r>
          </w:p>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（主营）</w:t>
            </w:r>
          </w:p>
        </w:tc>
        <w:tc>
          <w:tcPr>
            <w:tcW w:w="6907" w:type="dxa"/>
            <w:gridSpan w:val="5"/>
            <w:vAlign w:val="center"/>
          </w:tcPr>
          <w:p>
            <w:pPr>
              <w:topLinePunct/>
              <w:spacing w:line="360" w:lineRule="auto"/>
              <w:ind w:firstLine="120" w:firstLineChars="50"/>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pacing w:line="360" w:lineRule="auto"/>
              <w:jc w:val="center"/>
              <w:rPr>
                <w:rFonts w:ascii="仿宋" w:hAnsi="仿宋" w:eastAsia="仿宋" w:cs="仿宋"/>
                <w:sz w:val="24"/>
                <w:szCs w:val="24"/>
              </w:rPr>
            </w:pPr>
          </w:p>
        </w:tc>
        <w:tc>
          <w:tcPr>
            <w:tcW w:w="1592" w:type="dxa"/>
            <w:gridSpan w:val="2"/>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营业范围</w:t>
            </w:r>
          </w:p>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（兼营）</w:t>
            </w:r>
          </w:p>
        </w:tc>
        <w:tc>
          <w:tcPr>
            <w:tcW w:w="6907" w:type="dxa"/>
            <w:gridSpan w:val="5"/>
            <w:vAlign w:val="center"/>
          </w:tcPr>
          <w:p>
            <w:pPr>
              <w:topLinePunct/>
              <w:spacing w:line="360" w:lineRule="auto"/>
              <w:ind w:firstLine="120" w:firstLineChars="50"/>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基本账户开户行及账号</w:t>
            </w:r>
          </w:p>
        </w:tc>
        <w:tc>
          <w:tcPr>
            <w:tcW w:w="6907" w:type="dxa"/>
            <w:gridSpan w:val="5"/>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资产总额（万元）</w:t>
            </w:r>
          </w:p>
        </w:tc>
        <w:tc>
          <w:tcPr>
            <w:tcW w:w="6907" w:type="dxa"/>
            <w:gridSpan w:val="5"/>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2310" w:type="dxa"/>
            <w:gridSpan w:val="3"/>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资质名称</w:t>
            </w:r>
          </w:p>
        </w:tc>
        <w:tc>
          <w:tcPr>
            <w:tcW w:w="2403" w:type="dxa"/>
            <w:gridSpan w:val="2"/>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等级</w:t>
            </w:r>
          </w:p>
        </w:tc>
        <w:tc>
          <w:tcPr>
            <w:tcW w:w="1227" w:type="dxa"/>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发证机关</w:t>
            </w:r>
          </w:p>
        </w:tc>
        <w:tc>
          <w:tcPr>
            <w:tcW w:w="3277" w:type="dxa"/>
            <w:gridSpan w:val="2"/>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vAlign w:val="center"/>
          </w:tcPr>
          <w:p>
            <w:pPr>
              <w:topLinePunct/>
              <w:spacing w:line="360" w:lineRule="auto"/>
              <w:jc w:val="center"/>
              <w:rPr>
                <w:rFonts w:ascii="仿宋" w:hAnsi="仿宋" w:eastAsia="仿宋" w:cs="仿宋"/>
                <w:sz w:val="24"/>
                <w:szCs w:val="24"/>
              </w:rPr>
            </w:pPr>
          </w:p>
        </w:tc>
        <w:tc>
          <w:tcPr>
            <w:tcW w:w="2403" w:type="dxa"/>
            <w:gridSpan w:val="2"/>
            <w:vAlign w:val="center"/>
          </w:tcPr>
          <w:p>
            <w:pPr>
              <w:topLinePunct/>
              <w:spacing w:line="360" w:lineRule="auto"/>
              <w:jc w:val="center"/>
              <w:rPr>
                <w:rFonts w:ascii="仿宋" w:hAnsi="仿宋" w:eastAsia="仿宋" w:cs="仿宋"/>
                <w:sz w:val="24"/>
                <w:szCs w:val="24"/>
              </w:rPr>
            </w:pPr>
          </w:p>
        </w:tc>
        <w:tc>
          <w:tcPr>
            <w:tcW w:w="1227" w:type="dxa"/>
            <w:vAlign w:val="center"/>
          </w:tcPr>
          <w:p>
            <w:pPr>
              <w:topLinePunct/>
              <w:spacing w:line="360" w:lineRule="auto"/>
              <w:jc w:val="center"/>
              <w:rPr>
                <w:rFonts w:ascii="仿宋" w:hAnsi="仿宋" w:eastAsia="仿宋" w:cs="仿宋"/>
                <w:sz w:val="24"/>
                <w:szCs w:val="24"/>
              </w:rPr>
            </w:pPr>
          </w:p>
        </w:tc>
        <w:tc>
          <w:tcPr>
            <w:tcW w:w="3277" w:type="dxa"/>
            <w:gridSpan w:val="2"/>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vAlign w:val="center"/>
          </w:tcPr>
          <w:p>
            <w:pPr>
              <w:topLinePunct/>
              <w:spacing w:line="360" w:lineRule="auto"/>
              <w:jc w:val="center"/>
              <w:rPr>
                <w:rFonts w:ascii="仿宋" w:hAnsi="仿宋" w:eastAsia="仿宋" w:cs="仿宋"/>
                <w:sz w:val="24"/>
                <w:szCs w:val="24"/>
              </w:rPr>
            </w:pPr>
          </w:p>
        </w:tc>
        <w:tc>
          <w:tcPr>
            <w:tcW w:w="2403" w:type="dxa"/>
            <w:gridSpan w:val="2"/>
            <w:vAlign w:val="center"/>
          </w:tcPr>
          <w:p>
            <w:pPr>
              <w:topLinePunct/>
              <w:spacing w:line="360" w:lineRule="auto"/>
              <w:jc w:val="center"/>
              <w:rPr>
                <w:rFonts w:ascii="仿宋" w:hAnsi="仿宋" w:eastAsia="仿宋" w:cs="仿宋"/>
                <w:sz w:val="24"/>
                <w:szCs w:val="24"/>
              </w:rPr>
            </w:pPr>
          </w:p>
        </w:tc>
        <w:tc>
          <w:tcPr>
            <w:tcW w:w="1227" w:type="dxa"/>
            <w:vAlign w:val="center"/>
          </w:tcPr>
          <w:p>
            <w:pPr>
              <w:topLinePunct/>
              <w:spacing w:line="360" w:lineRule="auto"/>
              <w:jc w:val="center"/>
              <w:rPr>
                <w:rFonts w:ascii="仿宋" w:hAnsi="仿宋" w:eastAsia="仿宋" w:cs="仿宋"/>
                <w:sz w:val="24"/>
                <w:szCs w:val="24"/>
              </w:rPr>
            </w:pPr>
          </w:p>
        </w:tc>
        <w:tc>
          <w:tcPr>
            <w:tcW w:w="3277" w:type="dxa"/>
            <w:gridSpan w:val="2"/>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257" w:type="dxa"/>
            <w:gridSpan w:val="2"/>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备注</w:t>
            </w:r>
          </w:p>
        </w:tc>
        <w:tc>
          <w:tcPr>
            <w:tcW w:w="7960" w:type="dxa"/>
            <w:gridSpan w:val="6"/>
            <w:vAlign w:val="center"/>
          </w:tcPr>
          <w:p>
            <w:pPr>
              <w:topLinePunct/>
              <w:spacing w:line="360" w:lineRule="auto"/>
              <w:jc w:val="center"/>
              <w:rPr>
                <w:rFonts w:ascii="仿宋" w:hAnsi="仿宋" w:eastAsia="仿宋" w:cs="仿宋"/>
                <w:sz w:val="24"/>
                <w:szCs w:val="24"/>
              </w:rPr>
            </w:pPr>
          </w:p>
        </w:tc>
      </w:tr>
    </w:tbl>
    <w:p>
      <w:pPr>
        <w:autoSpaceDE w:val="0"/>
        <w:autoSpaceDN w:val="0"/>
        <w:adjustRightInd w:val="0"/>
        <w:snapToGrid w:val="0"/>
        <w:spacing w:before="120"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说明：企业类型指大型、中型、小型、微型；上年营业收入、资产总额要与财务报表中的数据一致；资质指特定条件要求提供的资质。</w:t>
      </w:r>
    </w:p>
    <w:p>
      <w:pPr>
        <w:spacing w:line="360" w:lineRule="auto"/>
        <w:ind w:firstLine="3840" w:firstLineChars="1600"/>
        <w:rPr>
          <w:rFonts w:ascii="仿宋" w:hAnsi="仿宋" w:eastAsia="仿宋" w:cs="仿宋"/>
          <w:sz w:val="24"/>
          <w:szCs w:val="24"/>
        </w:rPr>
      </w:pPr>
    </w:p>
    <w:p>
      <w:pPr>
        <w:spacing w:line="360" w:lineRule="auto"/>
        <w:ind w:firstLine="4080" w:firstLineChars="17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p>
    <w:p>
      <w:pPr>
        <w:spacing w:line="360" w:lineRule="auto"/>
        <w:ind w:firstLine="4080" w:firstLineChars="17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spacing w:line="360" w:lineRule="auto"/>
        <w:ind w:firstLine="4080" w:firstLineChars="1700"/>
        <w:rPr>
          <w:rFonts w:ascii="仿宋" w:hAnsi="仿宋" w:eastAsia="仿宋" w:cs="仿宋"/>
        </w:rPr>
        <w:sectPr>
          <w:footerReference r:id="rId5" w:type="default"/>
          <w:pgSz w:w="11906" w:h="16838"/>
          <w:pgMar w:top="1417" w:right="1417" w:bottom="1417" w:left="1417" w:header="851" w:footer="992" w:gutter="0"/>
          <w:pgNumType w:fmt="decimal"/>
          <w:cols w:space="0" w:num="1"/>
          <w:docGrid w:linePitch="312" w:charSpace="0"/>
        </w:sect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autoSpaceDE w:val="0"/>
        <w:autoSpaceDN w:val="0"/>
        <w:adjustRightInd w:val="0"/>
        <w:snapToGrid w:val="0"/>
        <w:spacing w:before="120" w:line="360" w:lineRule="auto"/>
        <w:jc w:val="center"/>
        <w:outlineLvl w:val="2"/>
        <w:rPr>
          <w:rFonts w:ascii="仿宋" w:hAnsi="仿宋" w:eastAsia="仿宋" w:cs="仿宋"/>
          <w:sz w:val="24"/>
          <w:szCs w:val="24"/>
        </w:rPr>
      </w:pPr>
      <w:bookmarkStart w:id="479" w:name="_Toc18949"/>
      <w:bookmarkStart w:id="480" w:name="_Toc21133"/>
      <w:bookmarkStart w:id="481" w:name="_Toc27035"/>
      <w:bookmarkStart w:id="482" w:name="_Toc495671262"/>
      <w:bookmarkStart w:id="483" w:name="_Toc495681251"/>
      <w:bookmarkStart w:id="484" w:name="_Toc31488"/>
      <w:bookmarkStart w:id="485" w:name="_Toc495908047"/>
      <w:bookmarkStart w:id="486" w:name="_Toc495681532"/>
      <w:bookmarkStart w:id="487" w:name="_Toc495681405"/>
      <w:bookmarkStart w:id="488" w:name="_Toc495908056"/>
      <w:bookmarkStart w:id="489" w:name="_Toc495681541"/>
      <w:bookmarkStart w:id="490" w:name="_Toc495681260"/>
      <w:bookmarkStart w:id="491" w:name="_Toc495681414"/>
      <w:bookmarkStart w:id="492" w:name="_Toc495671271"/>
      <w:r>
        <w:rPr>
          <w:rFonts w:hint="eastAsia" w:ascii="仿宋" w:hAnsi="仿宋" w:eastAsia="仿宋" w:cs="仿宋"/>
          <w:b/>
          <w:bCs/>
          <w:sz w:val="28"/>
          <w:szCs w:val="28"/>
        </w:rPr>
        <w:t>（一）</w:t>
      </w:r>
      <w:bookmarkEnd w:id="479"/>
      <w:r>
        <w:rPr>
          <w:rFonts w:hint="eastAsia" w:ascii="仿宋" w:hAnsi="仿宋" w:eastAsia="仿宋" w:cs="仿宋"/>
          <w:b/>
          <w:bCs/>
          <w:sz w:val="28"/>
          <w:szCs w:val="28"/>
        </w:rPr>
        <w:t>提供统一社会信用代码的营业执照或其他组织经营的合法凭证或自然人的提供身份证明文件</w:t>
      </w:r>
      <w:bookmarkEnd w:id="480"/>
    </w:p>
    <w:bookmarkEnd w:id="481"/>
    <w:bookmarkEnd w:id="482"/>
    <w:bookmarkEnd w:id="483"/>
    <w:bookmarkEnd w:id="484"/>
    <w:bookmarkEnd w:id="485"/>
    <w:bookmarkEnd w:id="486"/>
    <w:bookmarkEnd w:id="487"/>
    <w:p>
      <w:pPr>
        <w:pageBreakBefore/>
        <w:spacing w:line="360" w:lineRule="auto"/>
        <w:jc w:val="center"/>
        <w:outlineLvl w:val="2"/>
        <w:rPr>
          <w:rFonts w:ascii="仿宋" w:hAnsi="仿宋" w:eastAsia="仿宋" w:cs="仿宋"/>
          <w:b/>
          <w:bCs/>
          <w:sz w:val="28"/>
          <w:szCs w:val="28"/>
        </w:rPr>
      </w:pPr>
      <w:bookmarkStart w:id="493" w:name="_Toc16307"/>
      <w:bookmarkStart w:id="494" w:name="_Toc894"/>
      <w:r>
        <w:rPr>
          <w:rFonts w:hint="eastAsia" w:ascii="仿宋" w:hAnsi="仿宋" w:eastAsia="仿宋" w:cs="仿宋"/>
          <w:b/>
          <w:bCs/>
          <w:sz w:val="28"/>
          <w:szCs w:val="28"/>
        </w:rPr>
        <w:t>（二）财务状况报告</w:t>
      </w:r>
      <w:bookmarkEnd w:id="493"/>
    </w:p>
    <w:p>
      <w:pPr>
        <w:pStyle w:val="16"/>
        <w:adjustRightInd w:val="0"/>
        <w:snapToGrid w:val="0"/>
        <w:spacing w:line="360" w:lineRule="auto"/>
        <w:jc w:val="left"/>
        <w:rPr>
          <w:rFonts w:ascii="仿宋" w:hAnsi="仿宋" w:eastAsia="仿宋" w:cs="仿宋"/>
          <w:b/>
          <w:sz w:val="24"/>
          <w:szCs w:val="24"/>
        </w:rPr>
      </w:pPr>
    </w:p>
    <w:p>
      <w:pPr>
        <w:spacing w:line="360" w:lineRule="auto"/>
        <w:ind w:firstLine="480"/>
        <w:rPr>
          <w:rFonts w:ascii="仿宋" w:hAnsi="仿宋" w:eastAsia="仿宋" w:cs="仿宋"/>
          <w:kern w:val="0"/>
          <w:sz w:val="24"/>
          <w:szCs w:val="24"/>
        </w:rPr>
      </w:pPr>
      <w:r>
        <w:rPr>
          <w:rFonts w:hint="eastAsia" w:ascii="仿宋" w:hAnsi="仿宋" w:eastAsia="仿宋" w:cs="仿宋"/>
          <w:kern w:val="0"/>
          <w:sz w:val="24"/>
          <w:szCs w:val="24"/>
        </w:rPr>
        <w:t xml:space="preserve"> 说明：</w:t>
      </w:r>
    </w:p>
    <w:p>
      <w:pPr>
        <w:spacing w:line="360" w:lineRule="auto"/>
        <w:ind w:firstLine="480"/>
        <w:rPr>
          <w:rFonts w:ascii="仿宋" w:hAnsi="仿宋" w:eastAsia="仿宋" w:cs="仿宋"/>
          <w:kern w:val="0"/>
          <w:sz w:val="24"/>
          <w:szCs w:val="24"/>
        </w:rPr>
      </w:pPr>
      <w:r>
        <w:rPr>
          <w:rFonts w:hint="eastAsia" w:ascii="仿宋" w:hAnsi="仿宋" w:eastAsia="仿宋" w:cs="仿宋"/>
          <w:sz w:val="24"/>
          <w:szCs w:val="24"/>
        </w:rPr>
        <w:t xml:space="preserve">（1）提供具有财务审计资质单位出具的2021年度财务报告或磋商前六个月内其基本账户银行出具的资信证明（附基本户证明资料）或财政部门认可的政府采购专业担保机构出具的担保函，以上形式的证明资料提供任何一种即可； </w:t>
      </w:r>
    </w:p>
    <w:p>
      <w:pPr>
        <w:spacing w:line="360" w:lineRule="auto"/>
        <w:ind w:firstLine="480"/>
        <w:rPr>
          <w:rFonts w:ascii="仿宋" w:hAnsi="仿宋" w:eastAsia="仿宋" w:cs="仿宋"/>
          <w:kern w:val="0"/>
          <w:sz w:val="24"/>
          <w:szCs w:val="24"/>
        </w:rPr>
      </w:pPr>
      <w:r>
        <w:rPr>
          <w:rFonts w:hint="eastAsia" w:ascii="仿宋" w:hAnsi="仿宋" w:eastAsia="仿宋" w:cs="仿宋"/>
          <w:kern w:val="0"/>
          <w:sz w:val="24"/>
          <w:szCs w:val="24"/>
        </w:rPr>
        <w:t>（2）供应商成立不到1年的，提供季度或月份有关财务报表原件（不需审计）。</w:t>
      </w:r>
    </w:p>
    <w:p>
      <w:pPr>
        <w:spacing w:line="360" w:lineRule="auto"/>
        <w:ind w:firstLine="480"/>
        <w:rPr>
          <w:rFonts w:ascii="仿宋" w:hAnsi="仿宋" w:eastAsia="仿宋" w:cs="仿宋"/>
          <w:kern w:val="0"/>
          <w:sz w:val="24"/>
          <w:szCs w:val="24"/>
        </w:rPr>
      </w:pPr>
      <w:r>
        <w:rPr>
          <w:rFonts w:hint="eastAsia" w:ascii="仿宋" w:hAnsi="仿宋" w:eastAsia="仿宋" w:cs="仿宋"/>
          <w:kern w:val="0"/>
          <w:sz w:val="24"/>
          <w:szCs w:val="24"/>
        </w:rPr>
        <w:t>（3）原件或复印件可直接装订，复印件加盖供应商公章。</w:t>
      </w:r>
    </w:p>
    <w:p>
      <w:pPr>
        <w:spacing w:line="360" w:lineRule="auto"/>
        <w:rPr>
          <w:rFonts w:ascii="仿宋" w:hAnsi="仿宋" w:eastAsia="仿宋" w:cs="仿宋"/>
          <w:b/>
          <w:bCs/>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br w:type="page"/>
      </w:r>
    </w:p>
    <w:p>
      <w:pPr>
        <w:pageBreakBefore/>
        <w:spacing w:line="360" w:lineRule="auto"/>
        <w:jc w:val="center"/>
        <w:outlineLvl w:val="2"/>
        <w:rPr>
          <w:rFonts w:ascii="仿宋" w:hAnsi="仿宋" w:eastAsia="仿宋" w:cs="仿宋"/>
          <w:b/>
          <w:sz w:val="28"/>
          <w:szCs w:val="28"/>
        </w:rPr>
      </w:pPr>
      <w:bookmarkStart w:id="495" w:name="_Toc17265"/>
      <w:r>
        <w:rPr>
          <w:rFonts w:hint="eastAsia" w:ascii="仿宋" w:hAnsi="仿宋" w:eastAsia="仿宋" w:cs="仿宋"/>
          <w:b/>
          <w:sz w:val="28"/>
          <w:szCs w:val="28"/>
        </w:rPr>
        <w:t>（三）税收缴纳证明</w:t>
      </w:r>
      <w:bookmarkEnd w:id="495"/>
    </w:p>
    <w:p>
      <w:pPr>
        <w:pStyle w:val="18"/>
        <w:spacing w:line="360" w:lineRule="auto"/>
      </w:pPr>
    </w:p>
    <w:p>
      <w:pPr>
        <w:spacing w:line="360" w:lineRule="auto"/>
        <w:ind w:firstLine="480"/>
        <w:rPr>
          <w:rFonts w:ascii="仿宋" w:hAnsi="仿宋" w:eastAsia="仿宋" w:cs="仿宋"/>
          <w:kern w:val="0"/>
          <w:sz w:val="24"/>
        </w:rPr>
      </w:pPr>
      <w:r>
        <w:rPr>
          <w:rFonts w:hint="eastAsia" w:ascii="仿宋" w:hAnsi="仿宋" w:eastAsia="仿宋" w:cs="仿宋"/>
          <w:kern w:val="0"/>
          <w:sz w:val="24"/>
        </w:rPr>
        <w:t>说明：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提供已缴纳的 2022年1月1日以来至少一个月的纳税证明或完税证明（提供增值税、企业所得税至少一种），纳税证明或完税证明上应有代收机构或税务机关的公章或业务专用章。依法免税的供应商应提供相关文件证明 。</w:t>
      </w:r>
    </w:p>
    <w:p>
      <w:pPr>
        <w:spacing w:line="360" w:lineRule="auto"/>
        <w:ind w:firstLine="480"/>
        <w:rPr>
          <w:rFonts w:ascii="仿宋" w:hAnsi="仿宋" w:eastAsia="仿宋" w:cs="仿宋"/>
          <w:kern w:val="0"/>
          <w:sz w:val="24"/>
        </w:rPr>
      </w:pPr>
    </w:p>
    <w:p>
      <w:pPr>
        <w:spacing w:line="360" w:lineRule="auto"/>
        <w:ind w:firstLine="480"/>
        <w:rPr>
          <w:rFonts w:ascii="仿宋" w:hAnsi="仿宋" w:eastAsia="仿宋" w:cs="仿宋"/>
          <w:kern w:val="0"/>
          <w:sz w:val="24"/>
          <w:szCs w:val="22"/>
        </w:rPr>
        <w:sectPr>
          <w:pgSz w:w="11906" w:h="16838"/>
          <w:pgMar w:top="1417" w:right="1417" w:bottom="1417" w:left="1417" w:header="851" w:footer="992" w:gutter="0"/>
          <w:pgNumType w:fmt="decimal"/>
          <w:cols w:space="0" w:num="1"/>
          <w:docGrid w:linePitch="312" w:charSpace="0"/>
        </w:sectPr>
      </w:pPr>
    </w:p>
    <w:p>
      <w:pPr>
        <w:spacing w:line="360" w:lineRule="auto"/>
        <w:jc w:val="center"/>
        <w:outlineLvl w:val="2"/>
        <w:rPr>
          <w:rFonts w:ascii="仿宋" w:hAnsi="仿宋" w:eastAsia="仿宋" w:cs="仿宋"/>
          <w:b/>
          <w:sz w:val="28"/>
          <w:szCs w:val="28"/>
        </w:rPr>
      </w:pPr>
      <w:bookmarkStart w:id="496" w:name="_Toc23191"/>
      <w:r>
        <w:rPr>
          <w:rFonts w:hint="eastAsia" w:ascii="仿宋" w:hAnsi="仿宋" w:eastAsia="仿宋" w:cs="仿宋"/>
          <w:b/>
          <w:sz w:val="28"/>
          <w:szCs w:val="28"/>
        </w:rPr>
        <w:t>（四）社会保障资金缴纳证明</w:t>
      </w:r>
      <w:bookmarkEnd w:id="496"/>
    </w:p>
    <w:p>
      <w:pPr>
        <w:spacing w:line="360" w:lineRule="auto"/>
        <w:ind w:firstLine="480"/>
        <w:rPr>
          <w:rFonts w:ascii="仿宋" w:hAnsi="仿宋" w:eastAsia="仿宋" w:cs="仿宋"/>
          <w:kern w:val="0"/>
          <w:sz w:val="24"/>
          <w:szCs w:val="22"/>
        </w:rPr>
      </w:pPr>
    </w:p>
    <w:p>
      <w:pPr>
        <w:spacing w:line="360" w:lineRule="auto"/>
        <w:ind w:firstLine="480"/>
        <w:rPr>
          <w:rFonts w:ascii="仿宋" w:hAnsi="仿宋" w:eastAsia="仿宋" w:cs="仿宋"/>
          <w:kern w:val="0"/>
          <w:sz w:val="24"/>
          <w:szCs w:val="22"/>
        </w:rPr>
      </w:pPr>
      <w:r>
        <w:rPr>
          <w:rFonts w:hint="eastAsia" w:ascii="仿宋" w:hAnsi="仿宋" w:eastAsia="仿宋" w:cs="仿宋"/>
          <w:kern w:val="0"/>
          <w:sz w:val="24"/>
          <w:szCs w:val="22"/>
        </w:rPr>
        <w:t>说明：</w:t>
      </w:r>
    </w:p>
    <w:p>
      <w:pPr>
        <w:spacing w:line="360" w:lineRule="auto"/>
        <w:ind w:firstLine="480" w:firstLineChars="200"/>
        <w:rPr>
          <w:rFonts w:ascii="仿宋" w:hAnsi="仿宋" w:eastAsia="仿宋" w:cs="仿宋"/>
          <w:kern w:val="0"/>
          <w:sz w:val="24"/>
          <w:szCs w:val="22"/>
        </w:rPr>
      </w:pPr>
      <w:r>
        <w:rPr>
          <w:rFonts w:hint="eastAsia" w:ascii="仿宋" w:hAnsi="仿宋" w:eastAsia="仿宋" w:cs="仿宋"/>
          <w:sz w:val="24"/>
          <w:szCs w:val="24"/>
        </w:rPr>
        <w:t>提供已缴存的 2022年1月1日以来至少一个月的社会保障资金缴存单据或社保机构开具的社会保险参保缴费情况证明。成立时间至提交响应文件截止时间不足一个月或依法不需要缴纳社会保障资金的供应商应提供相关文件证明；</w:t>
      </w:r>
    </w:p>
    <w:p>
      <w:pPr>
        <w:spacing w:line="360" w:lineRule="auto"/>
        <w:rPr>
          <w:rFonts w:ascii="仿宋" w:hAnsi="仿宋" w:eastAsia="仿宋" w:cs="仿宋"/>
          <w:b/>
          <w:bCs/>
          <w:sz w:val="24"/>
          <w:szCs w:val="24"/>
        </w:rPr>
      </w:pPr>
    </w:p>
    <w:p>
      <w:pPr>
        <w:pageBreakBefore/>
        <w:spacing w:line="360" w:lineRule="auto"/>
        <w:jc w:val="center"/>
        <w:outlineLvl w:val="2"/>
        <w:rPr>
          <w:rFonts w:ascii="仿宋" w:hAnsi="仿宋" w:eastAsia="仿宋" w:cs="仿宋"/>
          <w:b/>
          <w:sz w:val="28"/>
          <w:szCs w:val="28"/>
        </w:rPr>
      </w:pPr>
      <w:bookmarkStart w:id="497" w:name="_Toc25142"/>
      <w:r>
        <w:rPr>
          <w:rFonts w:hint="eastAsia" w:ascii="仿宋" w:hAnsi="仿宋" w:eastAsia="仿宋" w:cs="仿宋"/>
          <w:b/>
          <w:bCs/>
          <w:sz w:val="28"/>
          <w:szCs w:val="28"/>
        </w:rPr>
        <w:t>（五）出具履行合同所必需的设备和专业技术能力的书面声明</w:t>
      </w:r>
      <w:bookmarkEnd w:id="497"/>
    </w:p>
    <w:p>
      <w:pPr>
        <w:spacing w:line="360" w:lineRule="auto"/>
        <w:rPr>
          <w:rFonts w:ascii="仿宋" w:hAnsi="仿宋" w:eastAsia="仿宋" w:cs="仿宋"/>
          <w:spacing w:val="4"/>
          <w:sz w:val="24"/>
          <w:szCs w:val="24"/>
          <w:u w:val="single"/>
        </w:rPr>
      </w:pPr>
      <w:r>
        <w:rPr>
          <w:rFonts w:hint="eastAsia" w:ascii="仿宋" w:hAnsi="仿宋" w:eastAsia="仿宋" w:cs="仿宋"/>
          <w:spacing w:val="4"/>
          <w:sz w:val="24"/>
          <w:szCs w:val="24"/>
        </w:rPr>
        <w:t>致：</w:t>
      </w:r>
      <w:r>
        <w:rPr>
          <w:rFonts w:hint="eastAsia" w:ascii="仿宋" w:hAnsi="仿宋" w:eastAsia="仿宋" w:cs="仿宋"/>
          <w:spacing w:val="4"/>
          <w:sz w:val="24"/>
          <w:szCs w:val="24"/>
          <w:u w:val="single"/>
        </w:rPr>
        <w:t xml:space="preserve">     （采购人名称）    ：</w:t>
      </w:r>
    </w:p>
    <w:p>
      <w:pPr>
        <w:spacing w:line="360" w:lineRule="auto"/>
        <w:ind w:firstLine="480" w:firstLineChars="200"/>
        <w:rPr>
          <w:rFonts w:ascii="仿宋" w:hAnsi="仿宋" w:eastAsia="仿宋" w:cs="仿宋"/>
          <w:spacing w:val="4"/>
          <w:sz w:val="24"/>
          <w:szCs w:val="24"/>
          <w:u w:val="single"/>
        </w:rPr>
      </w:pPr>
      <w:r>
        <w:rPr>
          <w:rFonts w:hint="eastAsia" w:ascii="仿宋" w:hAnsi="仿宋" w:eastAsia="仿宋" w:cs="仿宋"/>
          <w:kern w:val="0"/>
          <w:sz w:val="24"/>
          <w:szCs w:val="24"/>
          <w:lang w:bidi="ar"/>
        </w:rPr>
        <w:t>我方作为</w:t>
      </w:r>
      <w:r>
        <w:rPr>
          <w:rFonts w:hint="eastAsia" w:ascii="仿宋" w:hAnsi="仿宋" w:eastAsia="仿宋" w:cs="仿宋"/>
          <w:kern w:val="0"/>
          <w:sz w:val="24"/>
          <w:szCs w:val="24"/>
          <w:u w:val="single"/>
          <w:lang w:bidi="ar"/>
        </w:rPr>
        <w:t xml:space="preserve">         （项目名称）         </w:t>
      </w:r>
      <w:r>
        <w:rPr>
          <w:rFonts w:hint="eastAsia" w:ascii="仿宋" w:hAnsi="仿宋" w:eastAsia="仿宋" w:cs="仿宋"/>
          <w:kern w:val="0"/>
          <w:sz w:val="24"/>
          <w:szCs w:val="24"/>
          <w:lang w:bidi="ar"/>
        </w:rPr>
        <w:t>（项目编号：</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）的供应商，在此郑重声明：</w:t>
      </w:r>
    </w:p>
    <w:p>
      <w:pPr>
        <w:widowControl/>
        <w:spacing w:line="360" w:lineRule="auto"/>
        <w:ind w:firstLine="480" w:firstLineChars="200"/>
        <w:jc w:val="left"/>
        <w:rPr>
          <w:rFonts w:ascii="仿宋" w:hAnsi="仿宋" w:eastAsia="仿宋" w:cs="仿宋"/>
          <w:kern w:val="0"/>
          <w:sz w:val="24"/>
          <w:szCs w:val="24"/>
          <w:lang w:bidi="ar"/>
        </w:rPr>
      </w:pPr>
      <w:r>
        <w:rPr>
          <w:rFonts w:ascii="仿宋" w:hAnsi="仿宋" w:eastAsia="仿宋" w:cs="仿宋"/>
          <w:kern w:val="0"/>
          <w:sz w:val="24"/>
          <w:szCs w:val="24"/>
          <w:lang w:bidi="ar"/>
        </w:rPr>
        <w:t>我方具备履行合同所必须的设备和专业技术能力。</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lang w:bidi="ar"/>
        </w:rPr>
        <w:t xml:space="preserve">如有不实，我方将无条件地退出本项目的采购活动，并遵照《政府采购法》有关“提供虚假材料的规定”接受处罚。 </w:t>
      </w:r>
    </w:p>
    <w:p>
      <w:pPr>
        <w:widowControl/>
        <w:spacing w:line="360" w:lineRule="auto"/>
        <w:ind w:firstLine="480" w:firstLineChars="200"/>
        <w:jc w:val="left"/>
        <w:rPr>
          <w:sz w:val="24"/>
          <w:szCs w:val="24"/>
        </w:rPr>
      </w:pPr>
      <w:r>
        <w:rPr>
          <w:rFonts w:hint="eastAsia" w:ascii="仿宋" w:hAnsi="仿宋" w:eastAsia="仿宋" w:cs="仿宋"/>
          <w:kern w:val="0"/>
          <w:sz w:val="24"/>
          <w:szCs w:val="24"/>
          <w:lang w:bidi="ar"/>
        </w:rPr>
        <w:t>特此声明。</w:t>
      </w:r>
    </w:p>
    <w:p>
      <w:pPr>
        <w:spacing w:before="240" w:beforeLines="100" w:after="120" w:afterLines="50" w:line="360" w:lineRule="auto"/>
        <w:ind w:firstLine="620" w:firstLineChars="250"/>
        <w:rPr>
          <w:rFonts w:ascii="仿宋" w:hAnsi="仿宋" w:eastAsia="仿宋" w:cs="仿宋"/>
          <w:spacing w:val="4"/>
          <w:sz w:val="24"/>
          <w:szCs w:val="24"/>
        </w:rPr>
      </w:pPr>
    </w:p>
    <w:p>
      <w:pPr>
        <w:spacing w:before="240" w:beforeLines="100" w:after="120" w:afterLines="50" w:line="360" w:lineRule="auto"/>
        <w:ind w:firstLine="170"/>
        <w:rPr>
          <w:rFonts w:ascii="仿宋" w:hAnsi="仿宋" w:eastAsia="仿宋" w:cs="仿宋"/>
          <w:spacing w:val="4"/>
          <w:sz w:val="24"/>
          <w:szCs w:val="24"/>
        </w:rPr>
      </w:pPr>
    </w:p>
    <w:p>
      <w:pPr>
        <w:spacing w:before="240" w:beforeLines="100" w:after="120" w:afterLines="50" w:line="360" w:lineRule="auto"/>
        <w:ind w:firstLine="170"/>
        <w:rPr>
          <w:rFonts w:ascii="仿宋" w:hAnsi="仿宋" w:eastAsia="仿宋" w:cs="仿宋"/>
          <w:spacing w:val="4"/>
          <w:sz w:val="24"/>
          <w:szCs w:val="24"/>
        </w:rPr>
      </w:pPr>
    </w:p>
    <w:p>
      <w:pPr>
        <w:spacing w:line="360" w:lineRule="auto"/>
        <w:ind w:firstLine="4320" w:firstLineChars="18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p>
    <w:p>
      <w:pPr>
        <w:spacing w:line="360" w:lineRule="auto"/>
        <w:ind w:firstLine="4320" w:firstLineChars="18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spacing w:line="360" w:lineRule="auto"/>
        <w:jc w:val="center"/>
        <w:rPr>
          <w:rFonts w:ascii="仿宋" w:hAnsi="仿宋" w:eastAsia="仿宋" w:cs="仿宋"/>
          <w:sz w:val="24"/>
          <w:szCs w:val="24"/>
          <w:u w:val="single"/>
        </w:rPr>
      </w:pPr>
      <w:r>
        <w:rPr>
          <w:rFonts w:hint="eastAsia" w:ascii="仿宋" w:hAnsi="仿宋" w:eastAsia="仿宋" w:cs="仿宋"/>
          <w:sz w:val="24"/>
          <w:szCs w:val="24"/>
        </w:rPr>
        <w:t xml:space="preserve">       日    期：</w:t>
      </w:r>
      <w:r>
        <w:rPr>
          <w:rFonts w:hint="eastAsia" w:ascii="仿宋" w:hAnsi="仿宋" w:eastAsia="仿宋" w:cs="仿宋"/>
          <w:sz w:val="24"/>
          <w:szCs w:val="24"/>
          <w:u w:val="single"/>
        </w:rPr>
        <w:t xml:space="preserve">                                </w:t>
      </w:r>
    </w:p>
    <w:p>
      <w:pPr>
        <w:spacing w:line="360" w:lineRule="auto"/>
        <w:rPr>
          <w:rFonts w:ascii="仿宋" w:hAnsi="仿宋" w:eastAsia="仿宋" w:cs="仿宋"/>
          <w:bCs/>
          <w:sz w:val="24"/>
          <w:szCs w:val="24"/>
        </w:rPr>
      </w:pPr>
    </w:p>
    <w:p>
      <w:pPr>
        <w:spacing w:line="360" w:lineRule="auto"/>
        <w:rPr>
          <w:rFonts w:ascii="仿宋" w:hAnsi="仿宋" w:eastAsia="仿宋" w:cs="仿宋"/>
          <w:bCs/>
          <w:sz w:val="24"/>
          <w:szCs w:val="24"/>
        </w:rPr>
      </w:pPr>
    </w:p>
    <w:p>
      <w:pPr>
        <w:spacing w:line="360" w:lineRule="auto"/>
        <w:rPr>
          <w:rFonts w:ascii="仿宋" w:hAnsi="仿宋" w:eastAsia="仿宋" w:cs="仿宋"/>
          <w:bCs/>
          <w:sz w:val="24"/>
          <w:szCs w:val="24"/>
        </w:rPr>
      </w:pPr>
      <w:r>
        <w:rPr>
          <w:rFonts w:hint="eastAsia" w:ascii="仿宋" w:hAnsi="仿宋" w:eastAsia="仿宋" w:cs="仿宋"/>
          <w:bCs/>
          <w:sz w:val="24"/>
          <w:szCs w:val="24"/>
        </w:rPr>
        <w:br w:type="page"/>
      </w:r>
    </w:p>
    <w:p>
      <w:pPr>
        <w:spacing w:line="360" w:lineRule="auto"/>
        <w:jc w:val="center"/>
        <w:outlineLvl w:val="2"/>
        <w:rPr>
          <w:rFonts w:ascii="仿宋" w:hAnsi="仿宋" w:eastAsia="仿宋" w:cs="仿宋"/>
          <w:b/>
          <w:sz w:val="28"/>
          <w:szCs w:val="28"/>
        </w:rPr>
      </w:pPr>
      <w:bookmarkStart w:id="498" w:name="_Toc1940"/>
      <w:bookmarkStart w:id="499" w:name="_Toc1093"/>
      <w:bookmarkStart w:id="500" w:name="_Toc28901"/>
      <w:r>
        <w:rPr>
          <w:rFonts w:hint="eastAsia" w:ascii="仿宋" w:hAnsi="仿宋" w:eastAsia="仿宋" w:cs="仿宋"/>
          <w:b/>
          <w:sz w:val="28"/>
          <w:szCs w:val="28"/>
        </w:rPr>
        <w:t>（六）参加政府采购活动的书面声明</w:t>
      </w:r>
      <w:bookmarkEnd w:id="498"/>
      <w:bookmarkEnd w:id="499"/>
    </w:p>
    <w:p>
      <w:pPr>
        <w:spacing w:line="360" w:lineRule="auto"/>
        <w:rPr>
          <w:rFonts w:ascii="仿宋" w:hAnsi="仿宋" w:eastAsia="仿宋" w:cs="仿宋"/>
          <w:spacing w:val="4"/>
          <w:sz w:val="24"/>
          <w:szCs w:val="24"/>
          <w:u w:val="single"/>
        </w:rPr>
      </w:pPr>
      <w:r>
        <w:rPr>
          <w:rFonts w:hint="eastAsia" w:ascii="仿宋" w:hAnsi="仿宋" w:eastAsia="仿宋" w:cs="仿宋"/>
          <w:spacing w:val="4"/>
          <w:sz w:val="24"/>
          <w:szCs w:val="24"/>
        </w:rPr>
        <w:t>致：</w:t>
      </w:r>
      <w:r>
        <w:rPr>
          <w:rFonts w:hint="eastAsia" w:ascii="仿宋" w:hAnsi="仿宋" w:eastAsia="仿宋" w:cs="仿宋"/>
          <w:spacing w:val="4"/>
          <w:sz w:val="24"/>
          <w:szCs w:val="24"/>
          <w:u w:val="single"/>
        </w:rPr>
        <w:t xml:space="preserve">     （采购人名称）    ：</w:t>
      </w:r>
    </w:p>
    <w:p>
      <w:pPr>
        <w:widowControl/>
        <w:spacing w:line="360" w:lineRule="auto"/>
        <w:ind w:firstLine="480" w:firstLineChars="200"/>
        <w:jc w:val="left"/>
        <w:rPr>
          <w:rFonts w:ascii="仿宋" w:hAnsi="仿宋" w:eastAsia="仿宋" w:cs="仿宋"/>
          <w:kern w:val="0"/>
          <w:sz w:val="24"/>
          <w:szCs w:val="24"/>
          <w:lang w:bidi="ar"/>
        </w:rPr>
      </w:pPr>
      <w:r>
        <w:rPr>
          <w:rFonts w:hint="eastAsia" w:ascii="仿宋" w:hAnsi="仿宋" w:eastAsia="仿宋" w:cs="仿宋"/>
          <w:kern w:val="0"/>
          <w:sz w:val="24"/>
          <w:szCs w:val="24"/>
          <w:lang w:bidi="ar"/>
        </w:rPr>
        <w:t>我方作为</w:t>
      </w:r>
      <w:r>
        <w:rPr>
          <w:rFonts w:hint="eastAsia" w:ascii="仿宋" w:hAnsi="仿宋" w:eastAsia="仿宋" w:cs="仿宋"/>
          <w:kern w:val="0"/>
          <w:sz w:val="24"/>
          <w:szCs w:val="24"/>
          <w:u w:val="single"/>
          <w:lang w:bidi="ar"/>
        </w:rPr>
        <w:t xml:space="preserve">         （项目名称）         </w:t>
      </w:r>
      <w:r>
        <w:rPr>
          <w:rFonts w:hint="eastAsia" w:ascii="仿宋" w:hAnsi="仿宋" w:eastAsia="仿宋" w:cs="仿宋"/>
          <w:kern w:val="0"/>
          <w:sz w:val="24"/>
          <w:szCs w:val="24"/>
          <w:lang w:bidi="ar"/>
        </w:rPr>
        <w:t>（项目编号：</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）的供应商，在此郑重声明：</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lang w:bidi="ar"/>
        </w:rPr>
        <w:t>1、在参加本次政府采购活动前 3 年内的经营活动中____（填“没有”或“有”）重大违法记录。供应</w:t>
      </w:r>
      <w:r>
        <w:rPr>
          <w:rFonts w:hint="eastAsia" w:ascii="仿宋" w:hAnsi="仿宋" w:eastAsia="仿宋" w:cs="仿宋"/>
          <w:b/>
          <w:bCs/>
          <w:kern w:val="0"/>
          <w:sz w:val="24"/>
          <w:szCs w:val="24"/>
          <w:lang w:bidi="ar"/>
        </w:rPr>
        <w:t xml:space="preserve">商在参加政府采购活动前 3 年内因违法经营被禁止在一定期限内参加政府采购活动，期限届满的，可以参加政府采购活动，但应提供期限届满的证明材料。 </w:t>
      </w:r>
    </w:p>
    <w:p>
      <w:pPr>
        <w:widowControl/>
        <w:spacing w:line="360" w:lineRule="auto"/>
        <w:ind w:firstLine="480" w:firstLineChars="200"/>
        <w:jc w:val="left"/>
        <w:rPr>
          <w:rFonts w:ascii="仿宋" w:hAnsi="仿宋" w:eastAsia="仿宋" w:cs="仿宋"/>
          <w:kern w:val="0"/>
          <w:sz w:val="24"/>
          <w:szCs w:val="24"/>
          <w:lang w:bidi="ar"/>
        </w:rPr>
      </w:pPr>
      <w:r>
        <w:rPr>
          <w:rFonts w:hint="eastAsia" w:ascii="仿宋" w:hAnsi="仿宋" w:eastAsia="仿宋" w:cs="仿宋"/>
          <w:kern w:val="0"/>
          <w:sz w:val="24"/>
          <w:szCs w:val="24"/>
          <w:lang w:bidi="ar"/>
        </w:rPr>
        <w:t>2、我方______（填“未被列入”或“被列入”）失信被执行人名单。</w:t>
      </w:r>
    </w:p>
    <w:p>
      <w:pPr>
        <w:widowControl/>
        <w:spacing w:line="360" w:lineRule="auto"/>
        <w:ind w:firstLine="480" w:firstLineChars="200"/>
        <w:jc w:val="left"/>
        <w:rPr>
          <w:rFonts w:ascii="仿宋" w:hAnsi="仿宋" w:eastAsia="仿宋" w:cs="仿宋"/>
          <w:kern w:val="0"/>
          <w:sz w:val="24"/>
          <w:szCs w:val="24"/>
          <w:lang w:bidi="ar"/>
        </w:rPr>
      </w:pPr>
      <w:r>
        <w:rPr>
          <w:rFonts w:hint="eastAsia" w:ascii="仿宋" w:hAnsi="仿宋" w:eastAsia="仿宋" w:cs="仿宋"/>
          <w:kern w:val="0"/>
          <w:sz w:val="24"/>
          <w:szCs w:val="24"/>
          <w:lang w:bidi="ar"/>
        </w:rPr>
        <w:t>3、我方______（填“未被列入”或“被列入”）重大税收违法案件当事人名单。</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lang w:bidi="ar"/>
        </w:rPr>
        <w:t xml:space="preserve">4、我方______（填“未被列入”或“被列入”）政府采购严重违法失信行为记录名单。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lang w:bidi="ar"/>
        </w:rPr>
        <w:t xml:space="preserve">如有不实，我方将无条件地退出本项目的采购活动，并遵照《政府采购法》有关“提供虚假材料的规定”接受处罚。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lang w:bidi="ar"/>
        </w:rPr>
        <w:t>特此声明。</w:t>
      </w:r>
    </w:p>
    <w:p>
      <w:pPr>
        <w:autoSpaceDE w:val="0"/>
        <w:autoSpaceDN w:val="0"/>
        <w:adjustRightInd w:val="0"/>
        <w:spacing w:line="360" w:lineRule="auto"/>
        <w:ind w:firstLine="480" w:firstLineChars="200"/>
        <w:rPr>
          <w:rFonts w:ascii="仿宋" w:hAnsi="仿宋" w:eastAsia="仿宋" w:cs="仿宋"/>
          <w:sz w:val="24"/>
          <w:szCs w:val="24"/>
        </w:rPr>
      </w:pPr>
    </w:p>
    <w:p>
      <w:pPr>
        <w:autoSpaceDE w:val="0"/>
        <w:autoSpaceDN w:val="0"/>
        <w:adjustRightInd w:val="0"/>
        <w:spacing w:line="360" w:lineRule="auto"/>
        <w:ind w:firstLine="480" w:firstLineChars="200"/>
        <w:rPr>
          <w:rFonts w:ascii="仿宋" w:hAnsi="仿宋" w:eastAsia="仿宋" w:cs="仿宋"/>
          <w:sz w:val="24"/>
          <w:szCs w:val="24"/>
        </w:rPr>
      </w:pPr>
    </w:p>
    <w:p>
      <w:pPr>
        <w:spacing w:line="360" w:lineRule="auto"/>
        <w:ind w:firstLine="3840" w:firstLineChars="16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p>
    <w:p>
      <w:pPr>
        <w:spacing w:line="360" w:lineRule="auto"/>
        <w:ind w:firstLine="3840" w:firstLineChars="16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autoSpaceDE w:val="0"/>
        <w:autoSpaceDN w:val="0"/>
        <w:adjustRightInd w:val="0"/>
        <w:spacing w:line="360" w:lineRule="auto"/>
        <w:ind w:firstLine="3840" w:firstLineChars="1600"/>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bookmarkEnd w:id="488"/>
      <w:bookmarkEnd w:id="489"/>
      <w:bookmarkEnd w:id="490"/>
      <w:bookmarkEnd w:id="491"/>
      <w:bookmarkEnd w:id="492"/>
      <w:bookmarkEnd w:id="494"/>
      <w:bookmarkEnd w:id="500"/>
    </w:p>
    <w:p>
      <w:pPr>
        <w:pageBreakBefore/>
        <w:spacing w:line="360" w:lineRule="auto"/>
        <w:jc w:val="center"/>
        <w:outlineLvl w:val="2"/>
        <w:rPr>
          <w:rFonts w:ascii="仿宋" w:hAnsi="仿宋" w:eastAsia="仿宋" w:cs="仿宋"/>
          <w:b/>
          <w:sz w:val="28"/>
          <w:szCs w:val="28"/>
          <w:lang w:val="zh-CN"/>
        </w:rPr>
        <w:sectPr>
          <w:pgSz w:w="11906" w:h="16838"/>
          <w:pgMar w:top="1417" w:right="1417" w:bottom="1417" w:left="1417" w:header="851" w:footer="992" w:gutter="0"/>
          <w:pgNumType w:fmt="decimal"/>
          <w:cols w:space="0" w:num="1"/>
          <w:docGrid w:linePitch="312" w:charSpace="0"/>
        </w:sectPr>
      </w:pPr>
      <w:bookmarkStart w:id="501" w:name="_Toc20171"/>
    </w:p>
    <w:p>
      <w:pPr>
        <w:pageBreakBefore/>
        <w:spacing w:line="360" w:lineRule="auto"/>
        <w:jc w:val="center"/>
        <w:outlineLvl w:val="2"/>
        <w:rPr>
          <w:rFonts w:ascii="仿宋" w:hAnsi="仿宋" w:eastAsia="仿宋" w:cs="仿宋"/>
          <w:b/>
          <w:sz w:val="28"/>
          <w:szCs w:val="28"/>
          <w:lang w:val="zh-CN"/>
        </w:rPr>
      </w:pPr>
      <w:bookmarkStart w:id="502" w:name="_Toc14461"/>
      <w:r>
        <w:rPr>
          <w:rFonts w:hint="eastAsia" w:ascii="仿宋" w:hAnsi="仿宋" w:eastAsia="仿宋" w:cs="仿宋"/>
          <w:b/>
          <w:sz w:val="28"/>
          <w:szCs w:val="28"/>
          <w:lang w:val="zh-CN"/>
        </w:rPr>
        <w:t>（七）特定资格要求</w:t>
      </w:r>
      <w:bookmarkEnd w:id="502"/>
    </w:p>
    <w:p>
      <w:pPr>
        <w:adjustRightInd w:val="0"/>
        <w:snapToGrid w:val="0"/>
        <w:spacing w:line="360" w:lineRule="auto"/>
        <w:jc w:val="center"/>
        <w:rPr>
          <w:rFonts w:ascii="仿宋" w:hAnsi="仿宋" w:eastAsia="仿宋" w:cs="仿宋"/>
          <w:b/>
          <w:sz w:val="24"/>
          <w:szCs w:val="24"/>
        </w:rPr>
      </w:pPr>
      <w:bookmarkStart w:id="503" w:name="_Toc495908048"/>
      <w:bookmarkStart w:id="504" w:name="_Toc1610"/>
      <w:bookmarkStart w:id="505" w:name="_Toc495681533"/>
      <w:bookmarkStart w:id="506" w:name="_Toc495671263"/>
      <w:bookmarkStart w:id="507" w:name="_Toc495681406"/>
      <w:bookmarkStart w:id="508" w:name="_Toc495681252"/>
      <w:r>
        <w:rPr>
          <w:rFonts w:hint="eastAsia" w:ascii="仿宋" w:hAnsi="仿宋" w:eastAsia="仿宋" w:cs="仿宋"/>
          <w:b/>
          <w:sz w:val="24"/>
          <w:szCs w:val="24"/>
        </w:rPr>
        <w:t>1、法定代表人身份证明</w:t>
      </w:r>
      <w:bookmarkEnd w:id="503"/>
      <w:bookmarkEnd w:id="504"/>
      <w:bookmarkEnd w:id="505"/>
      <w:bookmarkEnd w:id="506"/>
      <w:bookmarkEnd w:id="507"/>
      <w:bookmarkEnd w:id="508"/>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rPr>
      </w:pPr>
      <w:r>
        <w:rPr>
          <w:rFonts w:hint="eastAsia" w:ascii="仿宋" w:hAnsi="仿宋" w:eastAsia="仿宋" w:cs="仿宋"/>
          <w:sz w:val="24"/>
          <w:szCs w:val="24"/>
        </w:rPr>
        <w:t>供应商</w:t>
      </w:r>
      <w:r>
        <w:rPr>
          <w:rFonts w:hint="eastAsia" w:ascii="仿宋" w:hAnsi="仿宋" w:eastAsia="仿宋" w:cs="仿宋"/>
          <w:kern w:val="0"/>
          <w:sz w:val="24"/>
          <w:szCs w:val="24"/>
        </w:rPr>
        <w:t>名称：</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统一社会信用代码：</w:t>
      </w:r>
      <w:r>
        <w:rPr>
          <w:rFonts w:hint="eastAsia" w:ascii="仿宋" w:hAnsi="仿宋" w:eastAsia="仿宋" w:cs="仿宋"/>
          <w:ker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rPr>
        <w:t>注册地址：</w:t>
      </w:r>
      <w:r>
        <w:rPr>
          <w:rFonts w:hint="eastAsia" w:ascii="仿宋" w:hAnsi="仿宋" w:eastAsia="仿宋" w:cs="仿宋"/>
          <w:ker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成立时间：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年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日；经营期限：</w:t>
      </w:r>
      <w:r>
        <w:rPr>
          <w:rFonts w:hint="eastAsia" w:ascii="仿宋" w:hAnsi="仿宋" w:eastAsia="仿宋" w:cs="仿宋"/>
          <w:ker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rPr>
        <w:t>经营范围：主营：</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；兼营：</w:t>
      </w:r>
      <w:r>
        <w:rPr>
          <w:rFonts w:hint="eastAsia" w:ascii="仿宋" w:hAnsi="仿宋" w:eastAsia="仿宋" w:cs="仿宋"/>
          <w:ker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性别：</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年龄：</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特此证明。</w:t>
      </w:r>
    </w:p>
    <w:p>
      <w:pPr>
        <w:autoSpaceDE w:val="0"/>
        <w:autoSpaceDN w:val="0"/>
        <w:adjustRightInd w:val="0"/>
        <w:snapToGrid w:val="0"/>
        <w:spacing w:before="120"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附：法定代表人身份证复印件</w:t>
      </w:r>
    </w:p>
    <w:tbl>
      <w:tblPr>
        <w:tblStyle w:val="25"/>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sz w:val="24"/>
                <w:szCs w:val="24"/>
                <w:lang w:val="zh-CN"/>
              </w:rPr>
            </w:pPr>
            <w:r>
              <w:rPr>
                <w:rFonts w:hint="eastAsia" w:ascii="仿宋" w:hAnsi="仿宋" w:eastAsia="仿宋" w:cs="仿宋"/>
                <w:sz w:val="24"/>
                <w:szCs w:val="24"/>
                <w:lang w:val="zh-CN"/>
              </w:rPr>
              <w:t>法定代表人身份证</w:t>
            </w:r>
          </w:p>
          <w:p>
            <w:pPr>
              <w:spacing w:line="360" w:lineRule="auto"/>
              <w:jc w:val="center"/>
              <w:rPr>
                <w:rFonts w:ascii="仿宋" w:hAnsi="仿宋" w:eastAsia="仿宋" w:cs="仿宋"/>
                <w:sz w:val="24"/>
                <w:szCs w:val="24"/>
                <w:u w:val="single"/>
              </w:rPr>
            </w:pPr>
            <w:r>
              <w:rPr>
                <w:rFonts w:hint="eastAsia" w:ascii="仿宋" w:hAnsi="仿宋" w:eastAsia="仿宋" w:cs="仿宋"/>
                <w:sz w:val="24"/>
                <w:szCs w:val="24"/>
                <w:lang w:val="zh-CN"/>
              </w:rPr>
              <w:t>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sz w:val="24"/>
                <w:szCs w:val="24"/>
                <w:lang w:val="zh-CN"/>
              </w:rPr>
            </w:pPr>
            <w:r>
              <w:rPr>
                <w:rFonts w:hint="eastAsia" w:ascii="仿宋" w:hAnsi="仿宋" w:eastAsia="仿宋" w:cs="仿宋"/>
                <w:sz w:val="24"/>
                <w:szCs w:val="24"/>
                <w:lang w:val="zh-CN"/>
              </w:rPr>
              <w:t>法定代表人身份证</w:t>
            </w:r>
          </w:p>
          <w:p>
            <w:pPr>
              <w:spacing w:line="360" w:lineRule="auto"/>
              <w:jc w:val="center"/>
              <w:rPr>
                <w:rFonts w:ascii="仿宋" w:hAnsi="仿宋" w:eastAsia="仿宋" w:cs="仿宋"/>
                <w:sz w:val="24"/>
                <w:szCs w:val="24"/>
                <w:u w:val="single"/>
              </w:rPr>
            </w:pPr>
            <w:r>
              <w:rPr>
                <w:rFonts w:hint="eastAsia" w:ascii="仿宋" w:hAnsi="仿宋" w:eastAsia="仿宋" w:cs="仿宋"/>
                <w:sz w:val="24"/>
                <w:szCs w:val="24"/>
                <w:lang w:val="zh-CN"/>
              </w:rPr>
              <w:t>复印件</w:t>
            </w:r>
          </w:p>
        </w:tc>
      </w:tr>
    </w:tbl>
    <w:p>
      <w:pPr>
        <w:spacing w:line="360" w:lineRule="auto"/>
        <w:ind w:firstLine="1920" w:firstLineChars="800"/>
        <w:rPr>
          <w:rFonts w:ascii="仿宋" w:hAnsi="仿宋" w:eastAsia="仿宋" w:cs="仿宋"/>
          <w:sz w:val="24"/>
          <w:szCs w:val="24"/>
        </w:rPr>
      </w:pPr>
    </w:p>
    <w:p>
      <w:pPr>
        <w:spacing w:line="360" w:lineRule="auto"/>
        <w:ind w:firstLine="5280" w:firstLineChars="22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p>
    <w:p>
      <w:pPr>
        <w:spacing w:line="360" w:lineRule="auto"/>
        <w:ind w:firstLine="5280" w:firstLineChars="2200"/>
        <w:rPr>
          <w:rFonts w:ascii="仿宋" w:hAnsi="仿宋" w:eastAsia="仿宋" w:cs="仿宋"/>
          <w:sz w:val="24"/>
          <w:szCs w:val="24"/>
          <w:u w:val="single"/>
        </w:rPr>
      </w:pPr>
      <w:r>
        <w:rPr>
          <w:rFonts w:hint="eastAsia" w:ascii="仿宋" w:hAnsi="仿宋" w:eastAsia="仿宋" w:cs="仿宋"/>
          <w:sz w:val="24"/>
          <w:szCs w:val="24"/>
        </w:rPr>
        <w:t>法定代表人（签字或盖章）：</w:t>
      </w:r>
      <w:r>
        <w:rPr>
          <w:rFonts w:hint="eastAsia" w:ascii="仿宋" w:hAnsi="仿宋" w:eastAsia="仿宋" w:cs="仿宋"/>
          <w:sz w:val="24"/>
          <w:szCs w:val="24"/>
          <w:u w:val="single"/>
        </w:rPr>
        <w:t xml:space="preserve">                    </w:t>
      </w:r>
    </w:p>
    <w:p>
      <w:pPr>
        <w:adjustRightInd w:val="0"/>
        <w:snapToGrid w:val="0"/>
        <w:spacing w:line="360" w:lineRule="auto"/>
        <w:ind w:firstLine="5280" w:firstLineChars="2200"/>
        <w:rPr>
          <w:rFonts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rPr>
        <w:br w:type="page"/>
      </w:r>
      <w:bookmarkStart w:id="509" w:name="_Toc495681534"/>
      <w:bookmarkStart w:id="510" w:name="_Toc495908049"/>
      <w:bookmarkStart w:id="511" w:name="_Toc495671264"/>
      <w:bookmarkStart w:id="512" w:name="_Toc18921"/>
      <w:bookmarkStart w:id="513" w:name="_Toc495681407"/>
      <w:bookmarkStart w:id="514" w:name="_Toc495681253"/>
      <w:r>
        <w:rPr>
          <w:rFonts w:hint="eastAsia" w:ascii="仿宋" w:hAnsi="仿宋" w:eastAsia="仿宋" w:cs="仿宋"/>
          <w:b/>
          <w:sz w:val="24"/>
          <w:szCs w:val="24"/>
        </w:rPr>
        <w:t>2、法定代表人授权书</w:t>
      </w:r>
      <w:bookmarkEnd w:id="509"/>
      <w:bookmarkEnd w:id="510"/>
      <w:bookmarkEnd w:id="511"/>
      <w:bookmarkEnd w:id="512"/>
      <w:bookmarkEnd w:id="513"/>
      <w:bookmarkEnd w:id="514"/>
    </w:p>
    <w:p>
      <w:pPr>
        <w:autoSpaceDE w:val="0"/>
        <w:autoSpaceDN w:val="0"/>
        <w:adjustRightInd w:val="0"/>
        <w:spacing w:line="360" w:lineRule="auto"/>
        <w:rPr>
          <w:rFonts w:ascii="仿宋" w:hAnsi="仿宋" w:eastAsia="仿宋" w:cs="仿宋"/>
          <w:sz w:val="24"/>
          <w:szCs w:val="24"/>
        </w:rPr>
      </w:pPr>
      <w:r>
        <w:rPr>
          <w:rFonts w:hint="eastAsia" w:ascii="仿宋" w:hAnsi="仿宋" w:eastAsia="仿宋" w:cs="仿宋"/>
          <w:sz w:val="24"/>
          <w:szCs w:val="24"/>
          <w:lang w:val="zh-CN"/>
        </w:rPr>
        <w:t>陕西笃信招标有限公司：</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zh-CN"/>
        </w:rPr>
        <w:t>注册于</w:t>
      </w:r>
      <w:r>
        <w:rPr>
          <w:rFonts w:hint="eastAsia" w:ascii="仿宋" w:hAnsi="仿宋" w:eastAsia="仿宋" w:cs="仿宋"/>
          <w:sz w:val="24"/>
          <w:szCs w:val="24"/>
          <w:u w:val="single"/>
          <w:lang w:val="zh-CN"/>
        </w:rPr>
        <w:t xml:space="preserve">  （工商行政管理局名称）  </w:t>
      </w:r>
      <w:r>
        <w:rPr>
          <w:rFonts w:hint="eastAsia" w:ascii="仿宋" w:hAnsi="仿宋" w:eastAsia="仿宋" w:cs="仿宋"/>
          <w:sz w:val="24"/>
          <w:szCs w:val="24"/>
          <w:lang w:val="zh-CN"/>
        </w:rPr>
        <w:t>之</w:t>
      </w:r>
      <w:r>
        <w:rPr>
          <w:rFonts w:hint="eastAsia" w:ascii="仿宋" w:hAnsi="仿宋" w:eastAsia="仿宋" w:cs="仿宋"/>
          <w:sz w:val="24"/>
          <w:szCs w:val="24"/>
          <w:u w:val="single"/>
          <w:lang w:val="zh-CN"/>
        </w:rPr>
        <w:t xml:space="preserve">   （供应商全称）  </w:t>
      </w:r>
      <w:r>
        <w:rPr>
          <w:rFonts w:hint="eastAsia" w:ascii="仿宋" w:hAnsi="仿宋" w:eastAsia="仿宋" w:cs="仿宋"/>
          <w:sz w:val="24"/>
          <w:szCs w:val="24"/>
          <w:lang w:val="zh-CN"/>
        </w:rPr>
        <w:t>的法定代表人</w:t>
      </w:r>
      <w:r>
        <w:rPr>
          <w:rFonts w:hint="eastAsia" w:ascii="仿宋" w:hAnsi="仿宋" w:eastAsia="仿宋" w:cs="仿宋"/>
          <w:sz w:val="24"/>
          <w:szCs w:val="24"/>
          <w:u w:val="single"/>
          <w:lang w:val="zh-CN"/>
        </w:rPr>
        <w:t xml:space="preserve"> （姓名）</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授权</w:t>
      </w:r>
      <w:r>
        <w:rPr>
          <w:rFonts w:hint="eastAsia" w:ascii="仿宋" w:hAnsi="仿宋" w:eastAsia="仿宋" w:cs="仿宋"/>
          <w:sz w:val="24"/>
          <w:szCs w:val="24"/>
          <w:u w:val="single"/>
          <w:lang w:val="zh-CN"/>
        </w:rPr>
        <w:t xml:space="preserve"> （被授权人姓名）</w:t>
      </w:r>
      <w:r>
        <w:rPr>
          <w:rFonts w:hint="eastAsia" w:ascii="仿宋" w:hAnsi="仿宋" w:eastAsia="仿宋" w:cs="仿宋"/>
          <w:sz w:val="24"/>
          <w:szCs w:val="24"/>
          <w:u w:val="single"/>
        </w:rPr>
        <w:t xml:space="preserve"> </w:t>
      </w:r>
      <w:r>
        <w:rPr>
          <w:rFonts w:hint="eastAsia" w:ascii="仿宋" w:hAnsi="仿宋" w:eastAsia="仿宋" w:cs="仿宋"/>
          <w:sz w:val="24"/>
          <w:szCs w:val="24"/>
        </w:rPr>
        <w:t>为我方合法委托代理人。代理人根据授权，以我方名义签署、澄清、说明、递交、撤回、修改</w:t>
      </w:r>
      <w:r>
        <w:rPr>
          <w:rFonts w:hint="eastAsia" w:ascii="仿宋" w:hAnsi="仿宋" w:eastAsia="仿宋" w:cs="仿宋"/>
          <w:sz w:val="24"/>
          <w:szCs w:val="24"/>
          <w:u w:val="single"/>
        </w:rPr>
        <w:t xml:space="preserve">     （项目名称）     </w:t>
      </w:r>
      <w:r>
        <w:rPr>
          <w:rFonts w:hint="eastAsia" w:ascii="仿宋" w:hAnsi="仿宋" w:eastAsia="仿宋" w:cs="仿宋"/>
          <w:sz w:val="24"/>
          <w:szCs w:val="24"/>
        </w:rPr>
        <w:t>磋商响应文件、签订合同和处理有关事宜，其法律后果由我方承担。</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代理人无转委托权。</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sz w:val="24"/>
          <w:szCs w:val="24"/>
        </w:rPr>
        <w:t>（盖单位公章）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spacing w:line="360" w:lineRule="auto"/>
        <w:ind w:firstLine="5520" w:firstLineChars="23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本授权有效期：自开标之日起90日历日。</w:t>
      </w:r>
    </w:p>
    <w:p>
      <w:pPr>
        <w:spacing w:line="360" w:lineRule="auto"/>
        <w:ind w:firstLine="420"/>
        <w:rPr>
          <w:rFonts w:ascii="仿宋" w:hAnsi="仿宋" w:eastAsia="仿宋" w:cs="仿宋"/>
          <w:bCs/>
          <w:sz w:val="24"/>
          <w:szCs w:val="24"/>
        </w:rPr>
      </w:pPr>
    </w:p>
    <w:p>
      <w:pPr>
        <w:spacing w:line="360" w:lineRule="auto"/>
        <w:ind w:firstLine="420"/>
        <w:rPr>
          <w:rFonts w:ascii="仿宋" w:hAnsi="仿宋" w:eastAsia="仿宋" w:cs="仿宋"/>
          <w:bCs/>
          <w:sz w:val="24"/>
          <w:szCs w:val="24"/>
        </w:rPr>
      </w:pPr>
    </w:p>
    <w:p>
      <w:pPr>
        <w:spacing w:line="360" w:lineRule="auto"/>
        <w:ind w:firstLine="480" w:firstLineChars="200"/>
        <w:rPr>
          <w:rFonts w:ascii="仿宋" w:hAnsi="仿宋" w:eastAsia="仿宋" w:cs="仿宋"/>
          <w:bCs/>
          <w:sz w:val="24"/>
          <w:szCs w:val="24"/>
        </w:rPr>
      </w:pPr>
    </w:p>
    <w:p>
      <w:pPr>
        <w:spacing w:line="360" w:lineRule="auto"/>
        <w:ind w:firstLine="480" w:firstLineChars="200"/>
        <w:rPr>
          <w:rFonts w:ascii="仿宋" w:hAnsi="仿宋" w:eastAsia="仿宋" w:cs="仿宋"/>
          <w:bCs/>
          <w:sz w:val="24"/>
          <w:szCs w:val="24"/>
        </w:rPr>
      </w:pPr>
    </w:p>
    <w:p>
      <w:pPr>
        <w:spacing w:line="360" w:lineRule="auto"/>
        <w:ind w:firstLine="480" w:firstLineChars="200"/>
        <w:rPr>
          <w:rFonts w:ascii="仿宋" w:hAnsi="仿宋" w:eastAsia="仿宋" w:cs="仿宋"/>
          <w:sz w:val="24"/>
          <w:szCs w:val="24"/>
          <w:lang w:val="zh-CN"/>
        </w:rPr>
      </w:pP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说明：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1.后附被授权代表本单位证明：有效的劳动合同或近三个月养老保险缴纳证明。</w:t>
      </w: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2.后附法定代表人和被授权委托代理人身份证复印件并加盖红色鲜章。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zh-CN"/>
        </w:rPr>
        <w:t>本授权有效期为磋商之日起不少于90天，仅限授权代表参加磋商时提供。</w:t>
      </w:r>
      <w:bookmarkStart w:id="515" w:name="_Toc15002"/>
    </w:p>
    <w:bookmarkEnd w:id="515"/>
    <w:p>
      <w:pPr>
        <w:spacing w:line="360" w:lineRule="auto"/>
        <w:ind w:firstLine="480" w:firstLineChars="200"/>
        <w:rPr>
          <w:rFonts w:ascii="仿宋" w:hAnsi="仿宋" w:eastAsia="仿宋" w:cs="仿宋"/>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br w:type="page"/>
      </w:r>
    </w:p>
    <w:p>
      <w:pPr>
        <w:pageBreakBefore/>
        <w:spacing w:line="360" w:lineRule="auto"/>
        <w:jc w:val="center"/>
        <w:outlineLvl w:val="2"/>
        <w:rPr>
          <w:rFonts w:ascii="仿宋" w:hAnsi="仿宋" w:eastAsia="仿宋" w:cs="仿宋"/>
          <w:b/>
          <w:sz w:val="28"/>
          <w:szCs w:val="28"/>
          <w:lang w:val="zh-CN"/>
        </w:rPr>
      </w:pPr>
      <w:bookmarkStart w:id="516" w:name="_Toc425"/>
      <w:r>
        <w:rPr>
          <w:rFonts w:hint="eastAsia" w:ascii="仿宋" w:hAnsi="仿宋" w:eastAsia="仿宋" w:cs="仿宋"/>
          <w:b/>
          <w:sz w:val="28"/>
          <w:szCs w:val="28"/>
          <w:lang w:val="zh-CN"/>
        </w:rPr>
        <w:t>（八）提供政府采购政策等证明材料</w:t>
      </w:r>
      <w:bookmarkEnd w:id="501"/>
      <w:bookmarkEnd w:id="516"/>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（1）中小企业声明函（</w:t>
      </w:r>
      <w:r>
        <w:rPr>
          <w:rFonts w:hint="eastAsia" w:ascii="仿宋" w:hAnsi="仿宋" w:eastAsia="仿宋" w:cs="仿宋"/>
          <w:b/>
          <w:bCs/>
          <w:sz w:val="24"/>
          <w:szCs w:val="24"/>
          <w:lang w:eastAsia="zh-CN"/>
        </w:rPr>
        <w:t>必备项</w:t>
      </w:r>
      <w:r>
        <w:rPr>
          <w:rFonts w:hint="eastAsia" w:ascii="仿宋" w:hAnsi="仿宋" w:eastAsia="仿宋" w:cs="仿宋"/>
          <w:sz w:val="24"/>
          <w:szCs w:val="24"/>
        </w:rPr>
        <w:t>，注：本项目属于软件和信息技术服务业）；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（2）残疾人福利性单位声明函（如适用，请提供，格式见附件2）；</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（3）监狱企业、福利企业证明材料（如适用，请提供）；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（4）节能环保产品、环境标志产品明细表（如适用，请按磋商文件中采购项目需要落实的政府采购政策第2条相关规定提供相关证明材料）；</w:t>
      </w:r>
    </w:p>
    <w:p>
      <w:pPr>
        <w:pageBreakBefore/>
        <w:adjustRightInd w:val="0"/>
        <w:snapToGrid w:val="0"/>
        <w:spacing w:line="360" w:lineRule="auto"/>
        <w:jc w:val="left"/>
        <w:rPr>
          <w:rFonts w:ascii="仿宋" w:hAnsi="仿宋" w:eastAsia="仿宋" w:cs="仿宋"/>
          <w:b/>
          <w:bCs/>
          <w:sz w:val="24"/>
          <w:szCs w:val="24"/>
        </w:rPr>
      </w:pPr>
      <w:r>
        <w:rPr>
          <w:rFonts w:hint="eastAsia" w:ascii="仿宋" w:hAnsi="仿宋" w:eastAsia="仿宋" w:cs="仿宋"/>
          <w:b/>
          <w:bCs/>
          <w:sz w:val="24"/>
          <w:szCs w:val="24"/>
        </w:rPr>
        <w:t>附件1</w:t>
      </w:r>
    </w:p>
    <w:p>
      <w:pPr>
        <w:spacing w:line="360" w:lineRule="auto"/>
        <w:jc w:val="center"/>
        <w:rPr>
          <w:rFonts w:ascii="仿宋" w:hAnsi="仿宋" w:eastAsia="仿宋" w:cs="仿宋"/>
          <w:sz w:val="28"/>
          <w:szCs w:val="28"/>
        </w:rPr>
      </w:pPr>
      <w:r>
        <w:rPr>
          <w:rFonts w:hint="eastAsia" w:ascii="仿宋" w:hAnsi="仿宋" w:eastAsia="仿宋" w:cs="仿宋"/>
          <w:b/>
          <w:bCs/>
          <w:sz w:val="28"/>
          <w:szCs w:val="24"/>
        </w:rPr>
        <w:t>中小企业声明函（工程、服务）</w:t>
      </w:r>
    </w:p>
    <w:p>
      <w:pPr>
        <w:pStyle w:val="12"/>
        <w:kinsoku w:val="0"/>
        <w:overflowPunct w:val="0"/>
        <w:spacing w:before="34" w:line="360" w:lineRule="auto"/>
        <w:ind w:firstLine="480" w:firstLineChars="200"/>
        <w:rPr>
          <w:rFonts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2"/>
        <w:kinsoku w:val="0"/>
        <w:overflowPunct w:val="0"/>
        <w:spacing w:before="34"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pStyle w:val="12"/>
        <w:kinsoku w:val="0"/>
        <w:overflowPunct w:val="0"/>
        <w:spacing w:before="34"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ab/>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pStyle w:val="12"/>
        <w:kinsoku w:val="0"/>
        <w:overflowPunct w:val="0"/>
        <w:spacing w:before="34" w:line="360" w:lineRule="auto"/>
        <w:ind w:left="765" w:right="138" w:hanging="5"/>
        <w:rPr>
          <w:rFonts w:ascii="仿宋" w:hAnsi="仿宋" w:eastAsia="仿宋" w:cs="仿宋"/>
          <w:sz w:val="24"/>
          <w:szCs w:val="24"/>
        </w:rPr>
      </w:pPr>
      <w:r>
        <w:rPr>
          <w:rFonts w:hint="eastAsia" w:ascii="仿宋" w:hAnsi="仿宋" w:eastAsia="仿宋" w:cs="仿宋"/>
          <w:sz w:val="24"/>
          <w:szCs w:val="24"/>
        </w:rPr>
        <w:t xml:space="preserve">…… </w:t>
      </w:r>
    </w:p>
    <w:p>
      <w:pPr>
        <w:pStyle w:val="12"/>
        <w:kinsoku w:val="0"/>
        <w:overflowPunct w:val="0"/>
        <w:spacing w:before="34" w:line="360" w:lineRule="auto"/>
        <w:ind w:firstLine="480" w:firstLineChars="200"/>
        <w:rPr>
          <w:rFonts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pPr>
        <w:pStyle w:val="12"/>
        <w:kinsoku w:val="0"/>
        <w:overflowPunct w:val="0"/>
        <w:spacing w:before="34" w:line="360" w:lineRule="auto"/>
        <w:ind w:firstLine="480" w:firstLineChars="200"/>
        <w:rPr>
          <w:rFonts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pPr>
        <w:pStyle w:val="12"/>
        <w:kinsoku w:val="0"/>
        <w:overflowPunct w:val="0"/>
        <w:spacing w:before="56" w:line="360" w:lineRule="auto"/>
        <w:ind w:left="3960" w:right="1748"/>
        <w:rPr>
          <w:rFonts w:ascii="仿宋" w:hAnsi="仿宋" w:eastAsia="仿宋" w:cs="仿宋"/>
          <w:sz w:val="24"/>
          <w:szCs w:val="24"/>
        </w:rPr>
      </w:pPr>
    </w:p>
    <w:p>
      <w:pPr>
        <w:spacing w:line="360" w:lineRule="auto"/>
        <w:ind w:firstLine="2880" w:firstLineChars="1200"/>
        <w:rPr>
          <w:rFonts w:ascii="仿宋" w:hAnsi="仿宋" w:eastAsia="仿宋" w:cs="仿宋"/>
          <w:sz w:val="24"/>
          <w:szCs w:val="24"/>
        </w:rPr>
      </w:pPr>
      <w:r>
        <w:rPr>
          <w:rFonts w:hint="eastAsia" w:ascii="仿宋" w:hAnsi="仿宋" w:eastAsia="仿宋" w:cs="仿宋"/>
          <w:sz w:val="24"/>
          <w:szCs w:val="24"/>
        </w:rPr>
        <w:t>企业名称（盖章）：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360" w:lineRule="auto"/>
        <w:ind w:firstLine="2880" w:firstLineChars="1200"/>
        <w:rPr>
          <w:rFonts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spacing w:line="360" w:lineRule="auto"/>
        <w:rPr>
          <w:rFonts w:ascii="仿宋" w:hAnsi="仿宋" w:eastAsia="仿宋" w:cs="仿宋"/>
          <w:sz w:val="24"/>
          <w:szCs w:val="24"/>
        </w:rPr>
      </w:pP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2、本项目所属行业为租赁和商务服务业。</w:t>
      </w:r>
    </w:p>
    <w:p>
      <w:pPr>
        <w:pageBreakBefore/>
        <w:spacing w:line="360" w:lineRule="auto"/>
        <w:ind w:firstLine="482" w:firstLineChars="200"/>
        <w:rPr>
          <w:rFonts w:ascii="仿宋" w:hAnsi="仿宋" w:eastAsia="仿宋" w:cs="仿宋"/>
          <w:b/>
          <w:spacing w:val="6"/>
          <w:sz w:val="24"/>
          <w:szCs w:val="24"/>
        </w:rPr>
      </w:pPr>
      <w:r>
        <w:rPr>
          <w:rFonts w:hint="eastAsia" w:ascii="仿宋" w:hAnsi="仿宋" w:eastAsia="仿宋" w:cs="仿宋"/>
          <w:b/>
          <w:sz w:val="24"/>
          <w:szCs w:val="24"/>
        </w:rPr>
        <w:t>附件2：</w:t>
      </w:r>
    </w:p>
    <w:p>
      <w:pPr>
        <w:spacing w:line="360" w:lineRule="auto"/>
        <w:jc w:val="center"/>
        <w:rPr>
          <w:rFonts w:ascii="仿宋" w:hAnsi="仿宋" w:eastAsia="仿宋" w:cs="仿宋"/>
          <w:b/>
          <w:spacing w:val="6"/>
          <w:sz w:val="24"/>
          <w:szCs w:val="24"/>
        </w:rPr>
      </w:pPr>
      <w:r>
        <w:rPr>
          <w:rFonts w:hint="eastAsia" w:ascii="仿宋" w:hAnsi="仿宋" w:eastAsia="仿宋" w:cs="仿宋"/>
          <w:b/>
          <w:spacing w:val="6"/>
          <w:sz w:val="24"/>
          <w:szCs w:val="24"/>
        </w:rPr>
        <w:t>残疾人福利性单位声明函</w:t>
      </w:r>
    </w:p>
    <w:p>
      <w:pPr>
        <w:spacing w:line="360" w:lineRule="auto"/>
        <w:ind w:firstLine="504" w:firstLineChars="200"/>
        <w:rPr>
          <w:rFonts w:ascii="仿宋" w:hAnsi="仿宋" w:eastAsia="仿宋" w:cs="仿宋"/>
          <w:spacing w:val="6"/>
          <w:sz w:val="24"/>
          <w:szCs w:val="24"/>
        </w:rPr>
      </w:pPr>
      <w:r>
        <w:rPr>
          <w:rFonts w:hint="eastAsia" w:ascii="仿宋" w:hAnsi="仿宋" w:eastAsia="仿宋" w:cs="仿宋"/>
          <w:spacing w:val="6"/>
          <w:sz w:val="24"/>
          <w:szCs w:val="24"/>
        </w:rPr>
        <w:t>本单位郑重声明，根据《财政部 民政部 中国残疾人联合会关于促进残疾人就业政府采购政策的通知》（财库</w:t>
      </w:r>
      <w:r>
        <w:rPr>
          <w:rFonts w:hint="eastAsia" w:ascii="仿宋" w:hAnsi="仿宋" w:eastAsia="仿宋" w:cs="仿宋"/>
          <w:sz w:val="24"/>
          <w:szCs w:val="24"/>
        </w:rPr>
        <w:t>〔2017〕 141</w:t>
      </w:r>
      <w:r>
        <w:rPr>
          <w:rFonts w:hint="eastAsia" w:ascii="仿宋" w:hAnsi="仿宋" w:eastAsia="仿宋" w:cs="仿宋"/>
          <w:spacing w:val="6"/>
          <w:sz w:val="24"/>
          <w:szCs w:val="24"/>
        </w:rPr>
        <w:t>号）的规定，本单位为符合条件的残疾人福利性单位，且本单位参加</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单位的</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仿宋" w:hAnsi="仿宋" w:eastAsia="仿宋" w:cs="仿宋"/>
          <w:spacing w:val="6"/>
          <w:sz w:val="24"/>
          <w:szCs w:val="24"/>
        </w:rPr>
      </w:pPr>
      <w:r>
        <w:rPr>
          <w:rFonts w:hint="eastAsia" w:ascii="仿宋" w:hAnsi="仿宋" w:eastAsia="仿宋" w:cs="仿宋"/>
          <w:spacing w:val="6"/>
          <w:sz w:val="24"/>
          <w:szCs w:val="24"/>
        </w:rPr>
        <w:t>本单位对上述声明的真实性负责。如有虚假，将依法承担相应责任。</w:t>
      </w:r>
    </w:p>
    <w:p>
      <w:pPr>
        <w:spacing w:line="360" w:lineRule="auto"/>
        <w:ind w:firstLine="504" w:firstLineChars="200"/>
        <w:rPr>
          <w:rFonts w:ascii="仿宋" w:hAnsi="仿宋" w:eastAsia="仿宋" w:cs="仿宋"/>
          <w:spacing w:val="6"/>
          <w:sz w:val="24"/>
          <w:szCs w:val="24"/>
        </w:rPr>
      </w:pPr>
    </w:p>
    <w:p>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p>
    <w:p>
      <w:pPr>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_GB2312" w:hAnsi="仿宋_GB2312" w:eastAsia="仿宋_GB2312" w:cs="仿宋_GB2312"/>
          <w:sz w:val="24"/>
          <w:szCs w:val="24"/>
          <w:u w:val="single"/>
        </w:rPr>
        <w:t xml:space="preserve">       </w:t>
      </w:r>
    </w:p>
    <w:p>
      <w:pPr>
        <w:adjustRightInd w:val="0"/>
        <w:snapToGrid w:val="0"/>
        <w:spacing w:line="360" w:lineRule="auto"/>
        <w:rPr>
          <w:rFonts w:ascii="仿宋" w:hAnsi="仿宋" w:eastAsia="仿宋" w:cs="仿宋"/>
          <w:sz w:val="24"/>
          <w:szCs w:val="24"/>
        </w:rPr>
      </w:pPr>
    </w:p>
    <w:p>
      <w:pPr>
        <w:spacing w:line="360" w:lineRule="auto"/>
        <w:rPr>
          <w:rFonts w:ascii="仿宋" w:hAnsi="仿宋" w:eastAsia="仿宋" w:cs="仿宋"/>
          <w:b/>
          <w:sz w:val="24"/>
          <w:szCs w:val="24"/>
        </w:rPr>
      </w:pPr>
      <w:r>
        <w:rPr>
          <w:rFonts w:hint="eastAsia" w:ascii="仿宋" w:hAnsi="仿宋" w:eastAsia="仿宋" w:cs="仿宋"/>
          <w:sz w:val="24"/>
          <w:szCs w:val="24"/>
        </w:rPr>
        <w:t>说明：</w:t>
      </w:r>
      <w:r>
        <w:rPr>
          <w:rFonts w:hint="eastAsia" w:ascii="仿宋" w:hAnsi="仿宋" w:eastAsia="仿宋" w:cs="仿宋"/>
          <w:bCs/>
          <w:sz w:val="24"/>
          <w:szCs w:val="24"/>
        </w:rPr>
        <w:t>未按上述要求提供、</w:t>
      </w:r>
      <w:r>
        <w:rPr>
          <w:rFonts w:hint="eastAsia" w:ascii="仿宋" w:hAnsi="仿宋" w:eastAsia="仿宋" w:cs="仿宋"/>
          <w:sz w:val="24"/>
          <w:szCs w:val="24"/>
        </w:rPr>
        <w:t>填写</w:t>
      </w:r>
      <w:r>
        <w:rPr>
          <w:rFonts w:hint="eastAsia" w:ascii="仿宋" w:hAnsi="仿宋" w:eastAsia="仿宋" w:cs="仿宋"/>
          <w:bCs/>
          <w:sz w:val="24"/>
          <w:szCs w:val="24"/>
        </w:rPr>
        <w:t>的，评审时不予以考虑。</w:t>
      </w:r>
    </w:p>
    <w:p>
      <w:pPr>
        <w:pStyle w:val="4"/>
        <w:keepNext w:val="0"/>
        <w:pageBreakBefore/>
        <w:tabs>
          <w:tab w:val="left" w:pos="1260"/>
        </w:tabs>
        <w:spacing w:line="360" w:lineRule="auto"/>
        <w:rPr>
          <w:rFonts w:ascii="仿宋" w:hAnsi="仿宋" w:eastAsia="仿宋" w:cs="仿宋"/>
          <w:sz w:val="32"/>
          <w:szCs w:val="32"/>
        </w:rPr>
      </w:pPr>
      <w:bookmarkStart w:id="517" w:name="_Toc5534"/>
      <w:r>
        <w:rPr>
          <w:rFonts w:hint="eastAsia" w:ascii="仿宋" w:hAnsi="仿宋" w:eastAsia="仿宋" w:cs="仿宋"/>
          <w:sz w:val="32"/>
          <w:szCs w:val="32"/>
        </w:rPr>
        <w:t>五、合同主要条款响应偏差表</w:t>
      </w:r>
      <w:bookmarkEnd w:id="517"/>
    </w:p>
    <w:p>
      <w:pPr>
        <w:tabs>
          <w:tab w:val="left" w:pos="1260"/>
        </w:tabs>
        <w:adjustRightInd w:val="0"/>
        <w:snapToGrid w:val="0"/>
        <w:spacing w:line="360" w:lineRule="auto"/>
        <w:ind w:right="640"/>
        <w:rPr>
          <w:rFonts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z w:val="24"/>
          <w:szCs w:val="24"/>
          <w:lang w:val="zh-CN"/>
        </w:rPr>
        <w:t xml:space="preserve">                            </w:t>
      </w:r>
      <w:r>
        <w:rPr>
          <w:rFonts w:hint="eastAsia" w:ascii="仿宋" w:hAnsi="仿宋" w:eastAsia="仿宋" w:cs="仿宋"/>
          <w:sz w:val="24"/>
          <w:szCs w:val="24"/>
        </w:rPr>
        <w:t xml:space="preserve">              </w:t>
      </w:r>
    </w:p>
    <w:tbl>
      <w:tblPr>
        <w:tblStyle w:val="25"/>
        <w:tblW w:w="92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113"/>
        <w:gridCol w:w="1125"/>
        <w:gridCol w:w="15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vAlign w:val="center"/>
          </w:tcPr>
          <w:p>
            <w:pPr>
              <w:tabs>
                <w:tab w:val="left" w:pos="1260"/>
              </w:tabs>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380" w:type="dxa"/>
            <w:vAlign w:val="center"/>
          </w:tcPr>
          <w:p>
            <w:pPr>
              <w:tabs>
                <w:tab w:val="left" w:pos="1260"/>
              </w:tabs>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文件</w:t>
            </w:r>
          </w:p>
          <w:p>
            <w:pPr>
              <w:tabs>
                <w:tab w:val="left" w:pos="1260"/>
              </w:tabs>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条目号</w:t>
            </w:r>
          </w:p>
        </w:tc>
        <w:tc>
          <w:tcPr>
            <w:tcW w:w="2341" w:type="dxa"/>
            <w:vAlign w:val="center"/>
          </w:tcPr>
          <w:p>
            <w:pPr>
              <w:tabs>
                <w:tab w:val="left" w:pos="1260"/>
              </w:tabs>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磋商文件</w:t>
            </w:r>
          </w:p>
          <w:p>
            <w:pPr>
              <w:tabs>
                <w:tab w:val="left" w:pos="1260"/>
              </w:tabs>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商务主要条款</w:t>
            </w:r>
          </w:p>
          <w:p>
            <w:pPr>
              <w:tabs>
                <w:tab w:val="left" w:pos="1260"/>
              </w:tabs>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要求</w:t>
            </w:r>
          </w:p>
        </w:tc>
        <w:tc>
          <w:tcPr>
            <w:tcW w:w="2113" w:type="dxa"/>
            <w:vAlign w:val="center"/>
          </w:tcPr>
          <w:p>
            <w:pPr>
              <w:tabs>
                <w:tab w:val="left" w:pos="1260"/>
              </w:tabs>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磋商响应文件</w:t>
            </w:r>
          </w:p>
          <w:p>
            <w:pPr>
              <w:tabs>
                <w:tab w:val="left" w:pos="1260"/>
              </w:tabs>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商务主要条款</w:t>
            </w:r>
          </w:p>
          <w:p>
            <w:pPr>
              <w:tabs>
                <w:tab w:val="left" w:pos="1260"/>
              </w:tabs>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响应</w:t>
            </w:r>
          </w:p>
        </w:tc>
        <w:tc>
          <w:tcPr>
            <w:tcW w:w="1125" w:type="dxa"/>
            <w:vAlign w:val="center"/>
          </w:tcPr>
          <w:p>
            <w:pPr>
              <w:tabs>
                <w:tab w:val="left" w:pos="1260"/>
              </w:tabs>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偏离</w:t>
            </w:r>
          </w:p>
        </w:tc>
        <w:tc>
          <w:tcPr>
            <w:tcW w:w="1538" w:type="dxa"/>
            <w:vAlign w:val="center"/>
          </w:tcPr>
          <w:p>
            <w:pPr>
              <w:tabs>
                <w:tab w:val="left" w:pos="1260"/>
              </w:tabs>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偏离</w:t>
            </w:r>
          </w:p>
          <w:p>
            <w:pPr>
              <w:tabs>
                <w:tab w:val="left" w:pos="1260"/>
              </w:tabs>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ascii="仿宋" w:hAnsi="仿宋" w:eastAsia="仿宋" w:cs="仿宋"/>
                <w:bCs/>
                <w:sz w:val="24"/>
                <w:szCs w:val="24"/>
              </w:rPr>
            </w:pPr>
          </w:p>
        </w:tc>
        <w:tc>
          <w:tcPr>
            <w:tcW w:w="1380" w:type="dxa"/>
          </w:tcPr>
          <w:p>
            <w:pPr>
              <w:tabs>
                <w:tab w:val="left" w:pos="1260"/>
              </w:tabs>
              <w:adjustRightInd w:val="0"/>
              <w:snapToGrid w:val="0"/>
              <w:spacing w:line="360" w:lineRule="auto"/>
              <w:ind w:right="24"/>
              <w:rPr>
                <w:rFonts w:ascii="仿宋" w:hAnsi="仿宋" w:eastAsia="仿宋" w:cs="仿宋"/>
                <w:bCs/>
                <w:sz w:val="24"/>
                <w:szCs w:val="24"/>
              </w:rPr>
            </w:pPr>
          </w:p>
        </w:tc>
        <w:tc>
          <w:tcPr>
            <w:tcW w:w="2341" w:type="dxa"/>
          </w:tcPr>
          <w:p>
            <w:pPr>
              <w:tabs>
                <w:tab w:val="left" w:pos="1260"/>
              </w:tabs>
              <w:adjustRightInd w:val="0"/>
              <w:snapToGrid w:val="0"/>
              <w:spacing w:line="360" w:lineRule="auto"/>
              <w:ind w:right="24"/>
              <w:rPr>
                <w:rFonts w:ascii="仿宋" w:hAnsi="仿宋" w:eastAsia="仿宋" w:cs="仿宋"/>
                <w:bCs/>
                <w:sz w:val="24"/>
                <w:szCs w:val="24"/>
              </w:rPr>
            </w:pPr>
          </w:p>
        </w:tc>
        <w:tc>
          <w:tcPr>
            <w:tcW w:w="2113" w:type="dxa"/>
          </w:tcPr>
          <w:p>
            <w:pPr>
              <w:tabs>
                <w:tab w:val="left" w:pos="1260"/>
              </w:tabs>
              <w:adjustRightInd w:val="0"/>
              <w:snapToGrid w:val="0"/>
              <w:spacing w:line="360" w:lineRule="auto"/>
              <w:ind w:right="24"/>
              <w:rPr>
                <w:rFonts w:ascii="仿宋" w:hAnsi="仿宋" w:eastAsia="仿宋" w:cs="仿宋"/>
                <w:bCs/>
                <w:sz w:val="24"/>
                <w:szCs w:val="24"/>
              </w:rPr>
            </w:pPr>
          </w:p>
        </w:tc>
        <w:tc>
          <w:tcPr>
            <w:tcW w:w="1125" w:type="dxa"/>
          </w:tcPr>
          <w:p>
            <w:pPr>
              <w:tabs>
                <w:tab w:val="left" w:pos="1260"/>
              </w:tabs>
              <w:adjustRightInd w:val="0"/>
              <w:snapToGrid w:val="0"/>
              <w:spacing w:line="360" w:lineRule="auto"/>
              <w:ind w:right="24"/>
              <w:rPr>
                <w:rFonts w:ascii="仿宋" w:hAnsi="仿宋" w:eastAsia="仿宋" w:cs="仿宋"/>
                <w:bCs/>
                <w:sz w:val="24"/>
                <w:szCs w:val="24"/>
              </w:rPr>
            </w:pPr>
          </w:p>
        </w:tc>
        <w:tc>
          <w:tcPr>
            <w:tcW w:w="1538" w:type="dxa"/>
          </w:tcPr>
          <w:p>
            <w:pPr>
              <w:tabs>
                <w:tab w:val="left" w:pos="1260"/>
              </w:tabs>
              <w:adjustRightInd w:val="0"/>
              <w:snapToGrid w:val="0"/>
              <w:spacing w:line="360" w:lineRule="auto"/>
              <w:ind w:right="24"/>
              <w:rPr>
                <w:rFonts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ascii="仿宋" w:hAnsi="仿宋" w:eastAsia="仿宋" w:cs="仿宋"/>
                <w:bCs/>
                <w:sz w:val="24"/>
                <w:szCs w:val="24"/>
              </w:rPr>
            </w:pPr>
          </w:p>
        </w:tc>
        <w:tc>
          <w:tcPr>
            <w:tcW w:w="1380" w:type="dxa"/>
          </w:tcPr>
          <w:p>
            <w:pPr>
              <w:tabs>
                <w:tab w:val="left" w:pos="1260"/>
              </w:tabs>
              <w:adjustRightInd w:val="0"/>
              <w:snapToGrid w:val="0"/>
              <w:spacing w:line="360" w:lineRule="auto"/>
              <w:ind w:right="24"/>
              <w:rPr>
                <w:rFonts w:ascii="仿宋" w:hAnsi="仿宋" w:eastAsia="仿宋" w:cs="仿宋"/>
                <w:bCs/>
                <w:sz w:val="24"/>
                <w:szCs w:val="24"/>
              </w:rPr>
            </w:pPr>
          </w:p>
        </w:tc>
        <w:tc>
          <w:tcPr>
            <w:tcW w:w="2341" w:type="dxa"/>
          </w:tcPr>
          <w:p>
            <w:pPr>
              <w:tabs>
                <w:tab w:val="left" w:pos="1260"/>
              </w:tabs>
              <w:adjustRightInd w:val="0"/>
              <w:snapToGrid w:val="0"/>
              <w:spacing w:line="360" w:lineRule="auto"/>
              <w:ind w:right="24"/>
              <w:rPr>
                <w:rFonts w:ascii="仿宋" w:hAnsi="仿宋" w:eastAsia="仿宋" w:cs="仿宋"/>
                <w:bCs/>
                <w:sz w:val="24"/>
                <w:szCs w:val="24"/>
              </w:rPr>
            </w:pPr>
          </w:p>
        </w:tc>
        <w:tc>
          <w:tcPr>
            <w:tcW w:w="2113" w:type="dxa"/>
          </w:tcPr>
          <w:p>
            <w:pPr>
              <w:tabs>
                <w:tab w:val="left" w:pos="1260"/>
              </w:tabs>
              <w:adjustRightInd w:val="0"/>
              <w:snapToGrid w:val="0"/>
              <w:spacing w:line="360" w:lineRule="auto"/>
              <w:ind w:right="24"/>
              <w:rPr>
                <w:rFonts w:ascii="仿宋" w:hAnsi="仿宋" w:eastAsia="仿宋" w:cs="仿宋"/>
                <w:bCs/>
                <w:sz w:val="24"/>
                <w:szCs w:val="24"/>
              </w:rPr>
            </w:pPr>
          </w:p>
        </w:tc>
        <w:tc>
          <w:tcPr>
            <w:tcW w:w="1125" w:type="dxa"/>
          </w:tcPr>
          <w:p>
            <w:pPr>
              <w:tabs>
                <w:tab w:val="left" w:pos="1260"/>
              </w:tabs>
              <w:adjustRightInd w:val="0"/>
              <w:snapToGrid w:val="0"/>
              <w:spacing w:line="360" w:lineRule="auto"/>
              <w:ind w:right="24"/>
              <w:rPr>
                <w:rFonts w:ascii="仿宋" w:hAnsi="仿宋" w:eastAsia="仿宋" w:cs="仿宋"/>
                <w:bCs/>
                <w:sz w:val="24"/>
                <w:szCs w:val="24"/>
              </w:rPr>
            </w:pPr>
          </w:p>
        </w:tc>
        <w:tc>
          <w:tcPr>
            <w:tcW w:w="1538" w:type="dxa"/>
          </w:tcPr>
          <w:p>
            <w:pPr>
              <w:tabs>
                <w:tab w:val="left" w:pos="1260"/>
              </w:tabs>
              <w:adjustRightInd w:val="0"/>
              <w:snapToGrid w:val="0"/>
              <w:spacing w:line="360" w:lineRule="auto"/>
              <w:ind w:right="24"/>
              <w:rPr>
                <w:rFonts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ascii="仿宋" w:hAnsi="仿宋" w:eastAsia="仿宋" w:cs="仿宋"/>
                <w:bCs/>
                <w:sz w:val="24"/>
                <w:szCs w:val="24"/>
              </w:rPr>
            </w:pPr>
          </w:p>
        </w:tc>
        <w:tc>
          <w:tcPr>
            <w:tcW w:w="1380" w:type="dxa"/>
          </w:tcPr>
          <w:p>
            <w:pPr>
              <w:tabs>
                <w:tab w:val="left" w:pos="1260"/>
              </w:tabs>
              <w:adjustRightInd w:val="0"/>
              <w:snapToGrid w:val="0"/>
              <w:spacing w:line="360" w:lineRule="auto"/>
              <w:ind w:right="24"/>
              <w:rPr>
                <w:rFonts w:ascii="仿宋" w:hAnsi="仿宋" w:eastAsia="仿宋" w:cs="仿宋"/>
                <w:bCs/>
                <w:sz w:val="24"/>
                <w:szCs w:val="24"/>
              </w:rPr>
            </w:pPr>
          </w:p>
        </w:tc>
        <w:tc>
          <w:tcPr>
            <w:tcW w:w="2341" w:type="dxa"/>
          </w:tcPr>
          <w:p>
            <w:pPr>
              <w:tabs>
                <w:tab w:val="left" w:pos="1260"/>
              </w:tabs>
              <w:adjustRightInd w:val="0"/>
              <w:snapToGrid w:val="0"/>
              <w:spacing w:line="360" w:lineRule="auto"/>
              <w:ind w:right="24"/>
              <w:rPr>
                <w:rFonts w:ascii="仿宋" w:hAnsi="仿宋" w:eastAsia="仿宋" w:cs="仿宋"/>
                <w:bCs/>
                <w:sz w:val="24"/>
                <w:szCs w:val="24"/>
              </w:rPr>
            </w:pPr>
          </w:p>
        </w:tc>
        <w:tc>
          <w:tcPr>
            <w:tcW w:w="2113" w:type="dxa"/>
          </w:tcPr>
          <w:p>
            <w:pPr>
              <w:tabs>
                <w:tab w:val="left" w:pos="1260"/>
              </w:tabs>
              <w:adjustRightInd w:val="0"/>
              <w:snapToGrid w:val="0"/>
              <w:spacing w:line="360" w:lineRule="auto"/>
              <w:ind w:right="24"/>
              <w:rPr>
                <w:rFonts w:ascii="仿宋" w:hAnsi="仿宋" w:eastAsia="仿宋" w:cs="仿宋"/>
                <w:bCs/>
                <w:sz w:val="24"/>
                <w:szCs w:val="24"/>
              </w:rPr>
            </w:pPr>
          </w:p>
        </w:tc>
        <w:tc>
          <w:tcPr>
            <w:tcW w:w="1125" w:type="dxa"/>
          </w:tcPr>
          <w:p>
            <w:pPr>
              <w:tabs>
                <w:tab w:val="left" w:pos="1260"/>
              </w:tabs>
              <w:adjustRightInd w:val="0"/>
              <w:snapToGrid w:val="0"/>
              <w:spacing w:line="360" w:lineRule="auto"/>
              <w:ind w:right="24"/>
              <w:rPr>
                <w:rFonts w:ascii="仿宋" w:hAnsi="仿宋" w:eastAsia="仿宋" w:cs="仿宋"/>
                <w:bCs/>
                <w:sz w:val="24"/>
                <w:szCs w:val="24"/>
              </w:rPr>
            </w:pPr>
          </w:p>
        </w:tc>
        <w:tc>
          <w:tcPr>
            <w:tcW w:w="1538" w:type="dxa"/>
          </w:tcPr>
          <w:p>
            <w:pPr>
              <w:tabs>
                <w:tab w:val="left" w:pos="1260"/>
              </w:tabs>
              <w:adjustRightInd w:val="0"/>
              <w:snapToGrid w:val="0"/>
              <w:spacing w:line="360" w:lineRule="auto"/>
              <w:ind w:right="24"/>
              <w:rPr>
                <w:rFonts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ascii="仿宋" w:hAnsi="仿宋" w:eastAsia="仿宋" w:cs="仿宋"/>
                <w:bCs/>
                <w:sz w:val="24"/>
                <w:szCs w:val="24"/>
              </w:rPr>
            </w:pPr>
          </w:p>
        </w:tc>
        <w:tc>
          <w:tcPr>
            <w:tcW w:w="1380" w:type="dxa"/>
          </w:tcPr>
          <w:p>
            <w:pPr>
              <w:tabs>
                <w:tab w:val="left" w:pos="1260"/>
              </w:tabs>
              <w:adjustRightInd w:val="0"/>
              <w:snapToGrid w:val="0"/>
              <w:spacing w:line="360" w:lineRule="auto"/>
              <w:ind w:right="24"/>
              <w:rPr>
                <w:rFonts w:ascii="仿宋" w:hAnsi="仿宋" w:eastAsia="仿宋" w:cs="仿宋"/>
                <w:bCs/>
                <w:sz w:val="24"/>
                <w:szCs w:val="24"/>
              </w:rPr>
            </w:pPr>
          </w:p>
        </w:tc>
        <w:tc>
          <w:tcPr>
            <w:tcW w:w="2341" w:type="dxa"/>
          </w:tcPr>
          <w:p>
            <w:pPr>
              <w:tabs>
                <w:tab w:val="left" w:pos="1260"/>
              </w:tabs>
              <w:adjustRightInd w:val="0"/>
              <w:snapToGrid w:val="0"/>
              <w:spacing w:line="360" w:lineRule="auto"/>
              <w:ind w:right="24"/>
              <w:rPr>
                <w:rFonts w:ascii="仿宋" w:hAnsi="仿宋" w:eastAsia="仿宋" w:cs="仿宋"/>
                <w:bCs/>
                <w:sz w:val="24"/>
                <w:szCs w:val="24"/>
              </w:rPr>
            </w:pPr>
          </w:p>
        </w:tc>
        <w:tc>
          <w:tcPr>
            <w:tcW w:w="2113" w:type="dxa"/>
          </w:tcPr>
          <w:p>
            <w:pPr>
              <w:tabs>
                <w:tab w:val="left" w:pos="1260"/>
              </w:tabs>
              <w:adjustRightInd w:val="0"/>
              <w:snapToGrid w:val="0"/>
              <w:spacing w:line="360" w:lineRule="auto"/>
              <w:ind w:right="24"/>
              <w:rPr>
                <w:rFonts w:ascii="仿宋" w:hAnsi="仿宋" w:eastAsia="仿宋" w:cs="仿宋"/>
                <w:bCs/>
                <w:sz w:val="24"/>
                <w:szCs w:val="24"/>
              </w:rPr>
            </w:pPr>
          </w:p>
        </w:tc>
        <w:tc>
          <w:tcPr>
            <w:tcW w:w="1125" w:type="dxa"/>
          </w:tcPr>
          <w:p>
            <w:pPr>
              <w:tabs>
                <w:tab w:val="left" w:pos="1260"/>
              </w:tabs>
              <w:adjustRightInd w:val="0"/>
              <w:snapToGrid w:val="0"/>
              <w:spacing w:line="360" w:lineRule="auto"/>
              <w:ind w:right="24"/>
              <w:rPr>
                <w:rFonts w:ascii="仿宋" w:hAnsi="仿宋" w:eastAsia="仿宋" w:cs="仿宋"/>
                <w:bCs/>
                <w:sz w:val="24"/>
                <w:szCs w:val="24"/>
              </w:rPr>
            </w:pPr>
          </w:p>
        </w:tc>
        <w:tc>
          <w:tcPr>
            <w:tcW w:w="1538" w:type="dxa"/>
          </w:tcPr>
          <w:p>
            <w:pPr>
              <w:tabs>
                <w:tab w:val="left" w:pos="1260"/>
              </w:tabs>
              <w:adjustRightInd w:val="0"/>
              <w:snapToGrid w:val="0"/>
              <w:spacing w:line="360" w:lineRule="auto"/>
              <w:ind w:right="24"/>
              <w:rPr>
                <w:rFonts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ascii="仿宋" w:hAnsi="仿宋" w:eastAsia="仿宋" w:cs="仿宋"/>
                <w:bCs/>
                <w:sz w:val="24"/>
                <w:szCs w:val="24"/>
              </w:rPr>
            </w:pPr>
          </w:p>
        </w:tc>
        <w:tc>
          <w:tcPr>
            <w:tcW w:w="1380" w:type="dxa"/>
          </w:tcPr>
          <w:p>
            <w:pPr>
              <w:tabs>
                <w:tab w:val="left" w:pos="1260"/>
              </w:tabs>
              <w:adjustRightInd w:val="0"/>
              <w:snapToGrid w:val="0"/>
              <w:spacing w:line="360" w:lineRule="auto"/>
              <w:ind w:right="24"/>
              <w:rPr>
                <w:rFonts w:ascii="仿宋" w:hAnsi="仿宋" w:eastAsia="仿宋" w:cs="仿宋"/>
                <w:bCs/>
                <w:sz w:val="24"/>
                <w:szCs w:val="24"/>
              </w:rPr>
            </w:pPr>
          </w:p>
        </w:tc>
        <w:tc>
          <w:tcPr>
            <w:tcW w:w="2341" w:type="dxa"/>
          </w:tcPr>
          <w:p>
            <w:pPr>
              <w:tabs>
                <w:tab w:val="left" w:pos="1260"/>
              </w:tabs>
              <w:adjustRightInd w:val="0"/>
              <w:snapToGrid w:val="0"/>
              <w:spacing w:line="360" w:lineRule="auto"/>
              <w:ind w:right="24"/>
              <w:rPr>
                <w:rFonts w:ascii="仿宋" w:hAnsi="仿宋" w:eastAsia="仿宋" w:cs="仿宋"/>
                <w:bCs/>
                <w:sz w:val="24"/>
                <w:szCs w:val="24"/>
              </w:rPr>
            </w:pPr>
          </w:p>
        </w:tc>
        <w:tc>
          <w:tcPr>
            <w:tcW w:w="2113" w:type="dxa"/>
          </w:tcPr>
          <w:p>
            <w:pPr>
              <w:tabs>
                <w:tab w:val="left" w:pos="1260"/>
              </w:tabs>
              <w:adjustRightInd w:val="0"/>
              <w:snapToGrid w:val="0"/>
              <w:spacing w:line="360" w:lineRule="auto"/>
              <w:ind w:right="24"/>
              <w:rPr>
                <w:rFonts w:ascii="仿宋" w:hAnsi="仿宋" w:eastAsia="仿宋" w:cs="仿宋"/>
                <w:bCs/>
                <w:sz w:val="24"/>
                <w:szCs w:val="24"/>
              </w:rPr>
            </w:pPr>
          </w:p>
        </w:tc>
        <w:tc>
          <w:tcPr>
            <w:tcW w:w="1125" w:type="dxa"/>
          </w:tcPr>
          <w:p>
            <w:pPr>
              <w:tabs>
                <w:tab w:val="left" w:pos="1260"/>
              </w:tabs>
              <w:adjustRightInd w:val="0"/>
              <w:snapToGrid w:val="0"/>
              <w:spacing w:line="360" w:lineRule="auto"/>
              <w:ind w:right="24"/>
              <w:rPr>
                <w:rFonts w:ascii="仿宋" w:hAnsi="仿宋" w:eastAsia="仿宋" w:cs="仿宋"/>
                <w:bCs/>
                <w:sz w:val="24"/>
                <w:szCs w:val="24"/>
              </w:rPr>
            </w:pPr>
          </w:p>
        </w:tc>
        <w:tc>
          <w:tcPr>
            <w:tcW w:w="1538" w:type="dxa"/>
          </w:tcPr>
          <w:p>
            <w:pPr>
              <w:tabs>
                <w:tab w:val="left" w:pos="1260"/>
              </w:tabs>
              <w:adjustRightInd w:val="0"/>
              <w:snapToGrid w:val="0"/>
              <w:spacing w:line="360" w:lineRule="auto"/>
              <w:ind w:right="24"/>
              <w:rPr>
                <w:rFonts w:ascii="仿宋" w:hAnsi="仿宋" w:eastAsia="仿宋" w:cs="仿宋"/>
                <w:bCs/>
                <w:sz w:val="24"/>
                <w:szCs w:val="24"/>
              </w:rPr>
            </w:pPr>
          </w:p>
        </w:tc>
      </w:tr>
    </w:tbl>
    <w:p>
      <w:pPr>
        <w:tabs>
          <w:tab w:val="left" w:pos="1260"/>
        </w:tabs>
        <w:spacing w:line="360" w:lineRule="auto"/>
        <w:ind w:right="-197" w:rightChars="-94" w:firstLine="480" w:firstLineChars="200"/>
        <w:jc w:val="left"/>
        <w:rPr>
          <w:rFonts w:ascii="仿宋" w:hAnsi="仿宋" w:eastAsia="仿宋" w:cs="仿宋"/>
          <w:sz w:val="24"/>
          <w:szCs w:val="24"/>
        </w:rPr>
      </w:pPr>
      <w:r>
        <w:rPr>
          <w:rFonts w:hint="eastAsia" w:ascii="仿宋" w:hAnsi="仿宋" w:eastAsia="仿宋" w:cs="仿宋"/>
          <w:sz w:val="24"/>
          <w:szCs w:val="24"/>
        </w:rPr>
        <w:t>注：</w:t>
      </w:r>
    </w:p>
    <w:p>
      <w:pPr>
        <w:tabs>
          <w:tab w:val="left" w:pos="126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1、本表只填写磋商响应文件中与磋商文件有偏离（包括负偏离和正偏离）的内容，在磋商响应文件中须一一列出，无偏离可直接提供空白表。</w:t>
      </w:r>
    </w:p>
    <w:p>
      <w:pPr>
        <w:tabs>
          <w:tab w:val="left" w:pos="1260"/>
        </w:tabs>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2、供应商必须据实填写，不得虚假响应，否则将取消其磋商或成交资格，并按有关规定进处罚。</w:t>
      </w:r>
    </w:p>
    <w:p>
      <w:pPr>
        <w:tabs>
          <w:tab w:val="left" w:pos="1260"/>
        </w:tabs>
        <w:spacing w:line="360" w:lineRule="auto"/>
        <w:ind w:firstLine="470" w:firstLineChars="196"/>
        <w:rPr>
          <w:rFonts w:ascii="仿宋" w:hAnsi="仿宋" w:eastAsia="仿宋" w:cs="仿宋"/>
          <w:sz w:val="24"/>
          <w:szCs w:val="24"/>
        </w:rPr>
      </w:pPr>
    </w:p>
    <w:p>
      <w:pPr>
        <w:tabs>
          <w:tab w:val="left" w:pos="1260"/>
        </w:tabs>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p>
    <w:p>
      <w:pPr>
        <w:tabs>
          <w:tab w:val="left" w:pos="1260"/>
        </w:tabs>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tabs>
          <w:tab w:val="left" w:pos="1260"/>
        </w:tabs>
        <w:autoSpaceDE w:val="0"/>
        <w:autoSpaceDN w:val="0"/>
        <w:adjustRightInd w:val="0"/>
        <w:spacing w:line="360" w:lineRule="auto"/>
        <w:ind w:firstLine="3360" w:firstLineChars="1400"/>
        <w:rPr>
          <w:rFonts w:ascii="仿宋" w:hAnsi="仿宋" w:eastAsia="仿宋" w:cs="仿宋"/>
        </w:rPr>
        <w:sectPr>
          <w:footerReference r:id="rId6" w:type="default"/>
          <w:pgSz w:w="11906" w:h="16838"/>
          <w:pgMar w:top="1417" w:right="1417" w:bottom="1417" w:left="1417" w:header="851" w:footer="992" w:gutter="0"/>
          <w:pgNumType w:fmt="decimal"/>
          <w:cols w:space="0" w:num="1"/>
          <w:docGrid w:linePitch="312" w:charSpace="0"/>
        </w:sect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Pr>
        <w:pStyle w:val="4"/>
        <w:spacing w:line="360" w:lineRule="auto"/>
        <w:rPr>
          <w:rFonts w:ascii="宋体" w:hAnsi="宋体" w:eastAsia="宋体" w:cs="宋体"/>
          <w:sz w:val="32"/>
          <w:szCs w:val="21"/>
        </w:rPr>
      </w:pPr>
      <w:bookmarkStart w:id="518" w:name="_Toc13042"/>
      <w:bookmarkStart w:id="519" w:name="_Toc8297"/>
      <w:bookmarkStart w:id="520" w:name="_Toc14308"/>
      <w:bookmarkStart w:id="521" w:name="_Toc16830"/>
      <w:bookmarkStart w:id="522" w:name="_Toc11576"/>
      <w:bookmarkStart w:id="523" w:name="_Toc495681530"/>
      <w:bookmarkStart w:id="524" w:name="_Toc5618"/>
      <w:bookmarkStart w:id="525" w:name="_Toc16396"/>
      <w:bookmarkStart w:id="526" w:name="_Toc20060"/>
      <w:bookmarkStart w:id="527" w:name="_Toc20167"/>
      <w:bookmarkStart w:id="528" w:name="_Toc495908045"/>
      <w:bookmarkStart w:id="529" w:name="_Toc6613"/>
      <w:bookmarkStart w:id="530" w:name="_Toc495681249"/>
      <w:bookmarkStart w:id="531" w:name="_Toc5380"/>
      <w:bookmarkStart w:id="532" w:name="_Toc5195"/>
      <w:bookmarkStart w:id="533" w:name="_Toc20664"/>
      <w:bookmarkStart w:id="534" w:name="_Toc22388"/>
      <w:bookmarkStart w:id="535" w:name="_Toc495681403"/>
      <w:bookmarkStart w:id="536" w:name="_Toc30274"/>
      <w:bookmarkStart w:id="537" w:name="_Toc26262"/>
      <w:r>
        <w:rPr>
          <w:rFonts w:hint="eastAsia" w:ascii="仿宋" w:hAnsi="仿宋" w:eastAsia="仿宋" w:cs="仿宋"/>
          <w:sz w:val="32"/>
          <w:szCs w:val="32"/>
          <w:lang w:val="zh-CN"/>
        </w:rPr>
        <w:t>六、</w:t>
      </w:r>
      <w:bookmarkEnd w:id="518"/>
      <w:bookmarkStart w:id="538" w:name="_Toc11833"/>
      <w:bookmarkStart w:id="539" w:name="_Toc7263"/>
      <w:bookmarkStart w:id="540" w:name="_Toc9136"/>
      <w:bookmarkStart w:id="541" w:name="_Toc13348"/>
      <w:bookmarkStart w:id="542" w:name="_Toc24533"/>
      <w:r>
        <w:rPr>
          <w:rFonts w:hint="eastAsia" w:ascii="仿宋" w:hAnsi="仿宋" w:eastAsia="仿宋" w:cs="仿宋"/>
          <w:sz w:val="32"/>
          <w:szCs w:val="32"/>
        </w:rPr>
        <w:t>拟投入本项目的主要负责人简历表</w:t>
      </w:r>
      <w:bookmarkEnd w:id="519"/>
      <w:bookmarkEnd w:id="520"/>
      <w:bookmarkEnd w:id="521"/>
      <w:bookmarkEnd w:id="538"/>
      <w:bookmarkEnd w:id="539"/>
      <w:bookmarkEnd w:id="540"/>
      <w:bookmarkEnd w:id="541"/>
      <w:bookmarkEnd w:id="542"/>
    </w:p>
    <w:tbl>
      <w:tblPr>
        <w:tblStyle w:val="25"/>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682"/>
        <w:gridCol w:w="1050"/>
        <w:gridCol w:w="945"/>
        <w:gridCol w:w="945"/>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996" w:type="dxa"/>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姓  名</w:t>
            </w:r>
          </w:p>
        </w:tc>
        <w:tc>
          <w:tcPr>
            <w:tcW w:w="1682" w:type="dxa"/>
            <w:vAlign w:val="center"/>
          </w:tcPr>
          <w:p>
            <w:pPr>
              <w:spacing w:line="360" w:lineRule="auto"/>
              <w:jc w:val="center"/>
              <w:rPr>
                <w:rFonts w:ascii="仿宋" w:hAnsi="仿宋" w:eastAsia="仿宋" w:cs="仿宋"/>
                <w:bCs/>
                <w:sz w:val="24"/>
                <w:szCs w:val="24"/>
              </w:rPr>
            </w:pPr>
          </w:p>
        </w:tc>
        <w:tc>
          <w:tcPr>
            <w:tcW w:w="1050" w:type="dxa"/>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性 别</w:t>
            </w:r>
          </w:p>
        </w:tc>
        <w:tc>
          <w:tcPr>
            <w:tcW w:w="945" w:type="dxa"/>
            <w:vAlign w:val="center"/>
          </w:tcPr>
          <w:p>
            <w:pPr>
              <w:spacing w:line="360" w:lineRule="auto"/>
              <w:rPr>
                <w:rFonts w:ascii="仿宋" w:hAnsi="仿宋" w:eastAsia="仿宋" w:cs="仿宋"/>
                <w:bCs/>
                <w:sz w:val="24"/>
                <w:szCs w:val="24"/>
              </w:rPr>
            </w:pPr>
          </w:p>
        </w:tc>
        <w:tc>
          <w:tcPr>
            <w:tcW w:w="945" w:type="dxa"/>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出生 日期</w:t>
            </w:r>
          </w:p>
        </w:tc>
        <w:tc>
          <w:tcPr>
            <w:tcW w:w="2727" w:type="dxa"/>
            <w:vAlign w:val="center"/>
          </w:tcPr>
          <w:p>
            <w:pPr>
              <w:spacing w:line="360" w:lineRule="auto"/>
              <w:ind w:firstLine="360" w:firstLineChars="150"/>
              <w:jc w:val="left"/>
              <w:rPr>
                <w:rFonts w:ascii="仿宋" w:hAnsi="仿宋" w:eastAsia="仿宋" w:cs="仿宋"/>
                <w:bCs/>
                <w:sz w:val="24"/>
                <w:szCs w:val="24"/>
              </w:rPr>
            </w:pPr>
            <w:r>
              <w:rPr>
                <w:rFonts w:hint="eastAsia" w:ascii="仿宋" w:hAnsi="仿宋" w:eastAsia="仿宋" w:cs="仿宋"/>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96" w:type="dxa"/>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毕业院校及专业</w:t>
            </w:r>
          </w:p>
        </w:tc>
        <w:tc>
          <w:tcPr>
            <w:tcW w:w="3677" w:type="dxa"/>
            <w:gridSpan w:val="3"/>
            <w:vAlign w:val="center"/>
          </w:tcPr>
          <w:p>
            <w:pPr>
              <w:spacing w:line="360" w:lineRule="auto"/>
              <w:rPr>
                <w:rFonts w:ascii="仿宋" w:hAnsi="仿宋" w:eastAsia="仿宋" w:cs="仿宋"/>
                <w:bCs/>
                <w:sz w:val="24"/>
                <w:szCs w:val="24"/>
              </w:rPr>
            </w:pPr>
          </w:p>
        </w:tc>
        <w:tc>
          <w:tcPr>
            <w:tcW w:w="945" w:type="dxa"/>
            <w:vAlign w:val="center"/>
          </w:tcPr>
          <w:p>
            <w:pPr>
              <w:spacing w:line="360" w:lineRule="auto"/>
              <w:ind w:left="-18"/>
              <w:jc w:val="center"/>
              <w:rPr>
                <w:rFonts w:ascii="仿宋" w:hAnsi="仿宋" w:eastAsia="仿宋" w:cs="仿宋"/>
                <w:bCs/>
                <w:sz w:val="24"/>
                <w:szCs w:val="24"/>
              </w:rPr>
            </w:pPr>
            <w:r>
              <w:rPr>
                <w:rFonts w:hint="eastAsia" w:ascii="仿宋" w:hAnsi="仿宋" w:eastAsia="仿宋" w:cs="仿宋"/>
                <w:bCs/>
                <w:sz w:val="24"/>
                <w:szCs w:val="24"/>
              </w:rPr>
              <w:t>毕业 时间</w:t>
            </w:r>
          </w:p>
        </w:tc>
        <w:tc>
          <w:tcPr>
            <w:tcW w:w="2727" w:type="dxa"/>
            <w:vAlign w:val="center"/>
          </w:tcPr>
          <w:p>
            <w:pPr>
              <w:spacing w:line="360" w:lineRule="auto"/>
              <w:ind w:left="45"/>
              <w:jc w:val="left"/>
              <w:rPr>
                <w:rFonts w:ascii="仿宋" w:hAnsi="仿宋" w:eastAsia="仿宋" w:cs="仿宋"/>
                <w:bCs/>
                <w:sz w:val="24"/>
                <w:szCs w:val="24"/>
              </w:rPr>
            </w:pPr>
            <w:r>
              <w:rPr>
                <w:rFonts w:hint="eastAsia" w:ascii="仿宋" w:hAnsi="仿宋" w:eastAsia="仿宋" w:cs="仿宋"/>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996" w:type="dxa"/>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工作年限</w:t>
            </w:r>
          </w:p>
        </w:tc>
        <w:tc>
          <w:tcPr>
            <w:tcW w:w="7349" w:type="dxa"/>
            <w:gridSpan w:val="5"/>
            <w:vAlign w:val="center"/>
          </w:tcPr>
          <w:p>
            <w:pPr>
              <w:spacing w:line="360" w:lineRule="auto"/>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345" w:type="dxa"/>
            <w:gridSpan w:val="6"/>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96" w:type="dxa"/>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时   间</w:t>
            </w:r>
          </w:p>
        </w:tc>
        <w:tc>
          <w:tcPr>
            <w:tcW w:w="4622" w:type="dxa"/>
            <w:gridSpan w:val="4"/>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参加过的项目名称及规模</w:t>
            </w:r>
          </w:p>
        </w:tc>
        <w:tc>
          <w:tcPr>
            <w:tcW w:w="2727" w:type="dxa"/>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1996" w:type="dxa"/>
          </w:tcPr>
          <w:p>
            <w:pPr>
              <w:spacing w:line="360" w:lineRule="auto"/>
              <w:rPr>
                <w:rFonts w:ascii="仿宋" w:hAnsi="仿宋" w:eastAsia="仿宋" w:cs="仿宋"/>
                <w:bCs/>
                <w:sz w:val="24"/>
                <w:szCs w:val="24"/>
              </w:rPr>
            </w:pPr>
          </w:p>
        </w:tc>
        <w:tc>
          <w:tcPr>
            <w:tcW w:w="4622" w:type="dxa"/>
            <w:gridSpan w:val="4"/>
          </w:tcPr>
          <w:p>
            <w:pPr>
              <w:spacing w:line="360" w:lineRule="auto"/>
              <w:rPr>
                <w:rFonts w:ascii="仿宋" w:hAnsi="仿宋" w:eastAsia="仿宋" w:cs="仿宋"/>
                <w:bCs/>
                <w:sz w:val="24"/>
                <w:szCs w:val="24"/>
              </w:rPr>
            </w:pPr>
          </w:p>
        </w:tc>
        <w:tc>
          <w:tcPr>
            <w:tcW w:w="2727" w:type="dxa"/>
          </w:tcPr>
          <w:p>
            <w:pPr>
              <w:spacing w:line="360" w:lineRule="auto"/>
              <w:rPr>
                <w:rFonts w:ascii="仿宋" w:hAnsi="仿宋" w:eastAsia="仿宋" w:cs="仿宋"/>
                <w:bCs/>
                <w:sz w:val="24"/>
                <w:szCs w:val="24"/>
              </w:rPr>
            </w:pPr>
          </w:p>
        </w:tc>
      </w:tr>
    </w:tbl>
    <w:p>
      <w:pPr>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注：供应商需随此表在磋商响应文件中附上相关人员学历证明及相关业绩的复印件加盖公章。</w:t>
      </w:r>
    </w:p>
    <w:p>
      <w:pPr>
        <w:adjustRightInd w:val="0"/>
        <w:snapToGrid w:val="0"/>
        <w:spacing w:line="360" w:lineRule="auto"/>
        <w:ind w:firstLine="480" w:firstLineChars="200"/>
        <w:rPr>
          <w:rFonts w:ascii="仿宋" w:hAnsi="仿宋" w:eastAsia="仿宋" w:cs="仿宋"/>
          <w:bCs/>
          <w:sz w:val="24"/>
          <w:szCs w:val="24"/>
        </w:rPr>
      </w:pPr>
    </w:p>
    <w:p>
      <w:pPr>
        <w:spacing w:line="360" w:lineRule="auto"/>
        <w:ind w:firstLine="3360" w:firstLineChars="1400"/>
        <w:rPr>
          <w:rFonts w:ascii="仿宋" w:hAnsi="仿宋" w:eastAsia="仿宋" w:cs="仿宋"/>
          <w:sz w:val="24"/>
          <w:szCs w:val="24"/>
        </w:rPr>
      </w:pPr>
      <w:bookmarkStart w:id="543" w:name="_Toc300"/>
      <w:bookmarkStart w:id="544" w:name="_Toc3451"/>
      <w:bookmarkStart w:id="545" w:name="_Toc31471"/>
      <w:bookmarkStart w:id="546" w:name="_Toc21194"/>
      <w:bookmarkStart w:id="547" w:name="_Toc31326"/>
      <w:bookmarkStart w:id="548" w:name="_Toc13495"/>
      <w:bookmarkStart w:id="549" w:name="_Toc3056"/>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p>
    <w:p>
      <w:pPr>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_GB2312" w:hAnsi="仿宋_GB2312" w:eastAsia="仿宋_GB2312" w:cs="仿宋_GB2312"/>
          <w:sz w:val="24"/>
          <w:szCs w:val="24"/>
          <w:u w:val="single"/>
        </w:rPr>
        <w:t xml:space="preserve">       </w:t>
      </w:r>
    </w:p>
    <w:p>
      <w:pPr>
        <w:pStyle w:val="4"/>
        <w:keepNext w:val="0"/>
        <w:pageBreakBefore/>
        <w:spacing w:line="360" w:lineRule="auto"/>
        <w:rPr>
          <w:rFonts w:ascii="宋体" w:hAnsi="宋体" w:eastAsia="宋体" w:cs="宋体"/>
          <w:sz w:val="32"/>
          <w:szCs w:val="21"/>
        </w:rPr>
      </w:pPr>
      <w:bookmarkStart w:id="550" w:name="_Toc8721"/>
      <w:bookmarkStart w:id="551" w:name="_Toc18224"/>
      <w:r>
        <w:rPr>
          <w:rFonts w:hint="eastAsia" w:ascii="仿宋" w:hAnsi="仿宋" w:eastAsia="仿宋" w:cs="仿宋"/>
          <w:sz w:val="32"/>
          <w:szCs w:val="32"/>
          <w:lang w:val="zh-CN"/>
        </w:rPr>
        <w:t>七、参与本项目主要人员表</w:t>
      </w:r>
      <w:bookmarkEnd w:id="543"/>
      <w:bookmarkEnd w:id="544"/>
      <w:bookmarkEnd w:id="545"/>
      <w:bookmarkEnd w:id="546"/>
      <w:bookmarkEnd w:id="547"/>
      <w:bookmarkEnd w:id="548"/>
      <w:bookmarkEnd w:id="549"/>
      <w:bookmarkEnd w:id="550"/>
      <w:bookmarkEnd w:id="551"/>
    </w:p>
    <w:tbl>
      <w:tblPr>
        <w:tblStyle w:val="2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34"/>
        <w:gridCol w:w="1680"/>
        <w:gridCol w:w="1686"/>
        <w:gridCol w:w="3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79" w:rightChars="133"/>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
                <w:bCs/>
                <w:sz w:val="24"/>
                <w:szCs w:val="24"/>
              </w:rPr>
            </w:pPr>
            <w:r>
              <w:rPr>
                <w:rFonts w:hint="eastAsia" w:ascii="仿宋" w:hAnsi="仿宋" w:eastAsia="仿宋" w:cs="仿宋"/>
                <w:b/>
                <w:bCs/>
                <w:sz w:val="24"/>
                <w:szCs w:val="24"/>
              </w:rPr>
              <w:t>姓名</w:t>
            </w:r>
          </w:p>
        </w:tc>
        <w:tc>
          <w:tcPr>
            <w:tcW w:w="16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
                <w:bCs/>
                <w:sz w:val="24"/>
                <w:szCs w:val="24"/>
              </w:rPr>
            </w:pPr>
            <w:r>
              <w:rPr>
                <w:rFonts w:hint="eastAsia" w:ascii="仿宋" w:hAnsi="仿宋" w:eastAsia="仿宋" w:cs="仿宋"/>
                <w:b/>
                <w:bCs/>
                <w:sz w:val="24"/>
                <w:szCs w:val="24"/>
              </w:rPr>
              <w:t>专业</w:t>
            </w:r>
          </w:p>
        </w:tc>
        <w:tc>
          <w:tcPr>
            <w:tcW w:w="1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
                <w:bCs/>
                <w:sz w:val="24"/>
                <w:szCs w:val="24"/>
              </w:rPr>
            </w:pPr>
            <w:r>
              <w:rPr>
                <w:rFonts w:hint="eastAsia" w:ascii="仿宋" w:hAnsi="仿宋" w:eastAsia="仿宋" w:cs="仿宋"/>
                <w:b/>
                <w:bCs/>
                <w:sz w:val="24"/>
                <w:szCs w:val="24"/>
              </w:rPr>
              <w:t>工作年限</w:t>
            </w:r>
          </w:p>
        </w:tc>
        <w:tc>
          <w:tcPr>
            <w:tcW w:w="3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34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34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34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34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34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34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34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34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34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16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c>
          <w:tcPr>
            <w:tcW w:w="34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b/>
                <w:bCs/>
                <w:sz w:val="24"/>
                <w:szCs w:val="24"/>
              </w:rPr>
            </w:pPr>
          </w:p>
        </w:tc>
      </w:tr>
    </w:tbl>
    <w:p>
      <w:pPr>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注：本表所列人员必须为实际人员，并提供相关证书，项目实施时必须本人到岗。</w:t>
      </w:r>
    </w:p>
    <w:p>
      <w:pPr>
        <w:adjustRightInd w:val="0"/>
        <w:snapToGrid w:val="0"/>
        <w:spacing w:line="360" w:lineRule="auto"/>
        <w:ind w:firstLine="480" w:firstLineChars="200"/>
        <w:rPr>
          <w:rFonts w:ascii="仿宋" w:hAnsi="仿宋" w:eastAsia="仿宋" w:cs="仿宋"/>
          <w:bCs/>
          <w:sz w:val="24"/>
          <w:szCs w:val="24"/>
        </w:rPr>
      </w:pPr>
    </w:p>
    <w:p>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p>
    <w:p>
      <w:pPr>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_GB2312" w:hAnsi="仿宋_GB2312" w:eastAsia="仿宋_GB2312" w:cs="仿宋_GB2312"/>
          <w:sz w:val="24"/>
          <w:szCs w:val="24"/>
          <w:u w:val="single"/>
        </w:rPr>
        <w:t xml:space="preserve">       </w:t>
      </w:r>
    </w:p>
    <w:p>
      <w:pPr>
        <w:spacing w:line="360" w:lineRule="auto"/>
        <w:rPr>
          <w:rFonts w:ascii="仿宋" w:hAnsi="仿宋" w:eastAsia="仿宋" w:cs="仿宋"/>
        </w:rPr>
        <w:sectPr>
          <w:pgSz w:w="11906" w:h="16838"/>
          <w:pgMar w:top="1417" w:right="1417" w:bottom="1417" w:left="1417" w:header="851" w:footer="992" w:gutter="0"/>
          <w:pgNumType w:fmt="decimal"/>
          <w:cols w:space="0" w:num="1"/>
          <w:docGrid w:linePitch="312" w:charSpace="0"/>
        </w:sectPr>
      </w:pPr>
      <w:r>
        <w:rPr>
          <w:rFonts w:hint="eastAsia" w:ascii="仿宋" w:hAnsi="仿宋" w:eastAsia="仿宋" w:cs="仿宋"/>
          <w:sz w:val="32"/>
          <w:szCs w:val="21"/>
        </w:rPr>
        <w:br w:type="page"/>
      </w:r>
    </w:p>
    <w:p>
      <w:pPr>
        <w:pStyle w:val="4"/>
        <w:keepNext w:val="0"/>
        <w:pageBreakBefore/>
        <w:spacing w:line="360" w:lineRule="auto"/>
        <w:rPr>
          <w:rFonts w:hint="default" w:ascii="仿宋" w:hAnsi="仿宋" w:eastAsia="仿宋" w:cs="仿宋"/>
          <w:sz w:val="32"/>
          <w:szCs w:val="32"/>
          <w:lang w:val="en-US" w:eastAsia="zh-CN"/>
        </w:rPr>
      </w:pPr>
      <w:bookmarkStart w:id="552" w:name="_Toc23710"/>
      <w:bookmarkStart w:id="553" w:name="_Toc12819"/>
      <w:bookmarkStart w:id="554" w:name="_Toc15879"/>
      <w:bookmarkStart w:id="555" w:name="_Toc32065"/>
      <w:bookmarkStart w:id="556" w:name="_Toc17529"/>
      <w:bookmarkStart w:id="557" w:name="_Toc8518"/>
      <w:bookmarkStart w:id="558" w:name="_Toc20815"/>
      <w:bookmarkStart w:id="559" w:name="_Toc15603"/>
      <w:bookmarkStart w:id="560" w:name="_Toc1756"/>
      <w:bookmarkStart w:id="561" w:name="_Toc15748"/>
      <w:r>
        <w:rPr>
          <w:rFonts w:hint="eastAsia" w:ascii="仿宋" w:hAnsi="仿宋" w:eastAsia="仿宋" w:cs="仿宋"/>
          <w:sz w:val="32"/>
          <w:szCs w:val="32"/>
          <w:lang w:val="zh-CN"/>
        </w:rPr>
        <w:t>八、</w:t>
      </w:r>
      <w:bookmarkEnd w:id="552"/>
      <w:bookmarkEnd w:id="553"/>
      <w:bookmarkEnd w:id="554"/>
      <w:bookmarkEnd w:id="555"/>
      <w:bookmarkEnd w:id="556"/>
      <w:bookmarkEnd w:id="557"/>
      <w:bookmarkEnd w:id="558"/>
      <w:r>
        <w:rPr>
          <w:rFonts w:hint="eastAsia" w:ascii="仿宋" w:hAnsi="仿宋" w:eastAsia="仿宋" w:cs="仿宋"/>
          <w:sz w:val="32"/>
          <w:szCs w:val="32"/>
          <w:lang w:val="en-US" w:eastAsia="zh-CN"/>
        </w:rPr>
        <w:t>服务方案</w:t>
      </w:r>
      <w:bookmarkEnd w:id="559"/>
    </w:p>
    <w:p>
      <w:pPr>
        <w:adjustRightInd w:val="0"/>
        <w:snapToGrid w:val="0"/>
        <w:spacing w:line="360" w:lineRule="auto"/>
        <w:jc w:val="center"/>
        <w:rPr>
          <w:rFonts w:ascii="仿宋" w:hAnsi="仿宋" w:eastAsia="仿宋" w:cs="仿宋"/>
          <w:sz w:val="24"/>
          <w:szCs w:val="24"/>
        </w:rPr>
      </w:pPr>
    </w:p>
    <w:p>
      <w:pPr>
        <w:adjustRightInd w:val="0"/>
        <w:snapToGrid w:val="0"/>
        <w:spacing w:line="360" w:lineRule="auto"/>
        <w:jc w:val="center"/>
        <w:rPr>
          <w:rFonts w:ascii="仿宋" w:hAnsi="仿宋" w:eastAsia="仿宋" w:cs="仿宋"/>
          <w:sz w:val="24"/>
          <w:szCs w:val="24"/>
          <w:lang w:val="zh-CN"/>
        </w:rPr>
      </w:pPr>
      <w:r>
        <w:rPr>
          <w:rFonts w:hint="eastAsia" w:ascii="仿宋" w:hAnsi="仿宋" w:eastAsia="仿宋" w:cs="仿宋"/>
          <w:sz w:val="24"/>
          <w:szCs w:val="24"/>
        </w:rPr>
        <w:t>供应商根据打分项自行编制。</w:t>
      </w:r>
    </w:p>
    <w:p>
      <w:pPr>
        <w:rPr>
          <w:lang w:val="zh-CN"/>
        </w:rPr>
        <w:sectPr>
          <w:footerReference r:id="rId7" w:type="default"/>
          <w:pgSz w:w="11906" w:h="16838"/>
          <w:pgMar w:top="1417" w:right="1417" w:bottom="1417" w:left="1417" w:header="851" w:footer="992" w:gutter="0"/>
          <w:pgNumType w:fmt="decimal"/>
          <w:cols w:space="0" w:num="1"/>
          <w:docGrid w:linePitch="312" w:charSpace="0"/>
        </w:sectPr>
      </w:pPr>
    </w:p>
    <w:p>
      <w:pPr>
        <w:pStyle w:val="4"/>
        <w:keepNext w:val="0"/>
        <w:pageBreakBefore/>
        <w:spacing w:line="360" w:lineRule="auto"/>
        <w:rPr>
          <w:rFonts w:hint="default" w:ascii="仿宋" w:hAnsi="仿宋" w:eastAsia="仿宋" w:cs="仿宋"/>
          <w:sz w:val="32"/>
          <w:szCs w:val="32"/>
          <w:lang w:val="en-US" w:eastAsia="zh-CN"/>
        </w:rPr>
      </w:pPr>
      <w:bookmarkStart w:id="562" w:name="_Toc15083"/>
      <w:r>
        <w:rPr>
          <w:rFonts w:hint="eastAsia" w:ascii="仿宋" w:hAnsi="仿宋" w:eastAsia="仿宋" w:cs="仿宋"/>
          <w:sz w:val="32"/>
          <w:szCs w:val="32"/>
        </w:rPr>
        <w:t>九、</w:t>
      </w:r>
      <w:bookmarkEnd w:id="560"/>
      <w:bookmarkEnd w:id="561"/>
      <w:r>
        <w:rPr>
          <w:rFonts w:hint="eastAsia" w:ascii="仿宋" w:hAnsi="仿宋" w:eastAsia="仿宋" w:cs="仿宋"/>
          <w:sz w:val="32"/>
          <w:szCs w:val="32"/>
          <w:lang w:val="en-US" w:eastAsia="zh-CN"/>
        </w:rPr>
        <w:t>企业实力</w:t>
      </w:r>
      <w:bookmarkEnd w:id="562"/>
    </w:p>
    <w:p>
      <w:pPr>
        <w:adjustRightInd w:val="0"/>
        <w:snapToGrid w:val="0"/>
        <w:spacing w:line="360" w:lineRule="auto"/>
        <w:jc w:val="center"/>
        <w:rPr>
          <w:rFonts w:ascii="仿宋" w:hAnsi="仿宋" w:eastAsia="仿宋" w:cs="仿宋"/>
          <w:sz w:val="24"/>
          <w:szCs w:val="24"/>
        </w:rPr>
      </w:pPr>
    </w:p>
    <w:p>
      <w:pPr>
        <w:adjustRightInd w:val="0"/>
        <w:snapToGrid w:val="0"/>
        <w:spacing w:line="360" w:lineRule="auto"/>
        <w:jc w:val="center"/>
        <w:rPr>
          <w:rFonts w:ascii="仿宋" w:hAnsi="仿宋" w:eastAsia="仿宋" w:cs="仿宋"/>
          <w:sz w:val="24"/>
          <w:szCs w:val="24"/>
          <w:lang w:val="zh-CN"/>
        </w:rPr>
      </w:pPr>
      <w:r>
        <w:rPr>
          <w:rFonts w:hint="eastAsia" w:ascii="仿宋" w:hAnsi="仿宋" w:eastAsia="仿宋" w:cs="仿宋"/>
          <w:sz w:val="24"/>
          <w:szCs w:val="24"/>
        </w:rPr>
        <w:t>供应商根据打分项自行编制。</w:t>
      </w:r>
    </w:p>
    <w:p>
      <w:pPr>
        <w:adjustRightInd w:val="0"/>
        <w:snapToGrid w:val="0"/>
        <w:spacing w:line="360" w:lineRule="auto"/>
        <w:jc w:val="center"/>
        <w:rPr>
          <w:rFonts w:ascii="仿宋" w:hAnsi="仿宋" w:eastAsia="仿宋" w:cs="仿宋"/>
          <w:sz w:val="24"/>
          <w:szCs w:val="24"/>
        </w:rPr>
      </w:pPr>
    </w:p>
    <w:p>
      <w:pPr>
        <w:adjustRightInd w:val="0"/>
        <w:snapToGrid w:val="0"/>
        <w:spacing w:line="360" w:lineRule="auto"/>
        <w:jc w:val="center"/>
        <w:rPr>
          <w:rFonts w:ascii="仿宋" w:hAnsi="仿宋" w:eastAsia="仿宋" w:cs="仿宋"/>
          <w:sz w:val="24"/>
          <w:szCs w:val="24"/>
        </w:rPr>
      </w:pPr>
    </w:p>
    <w:p>
      <w:pPr>
        <w:spacing w:line="360" w:lineRule="auto"/>
      </w:pPr>
      <w:r>
        <w:rPr>
          <w:rFonts w:hint="eastAsia" w:ascii="仿宋" w:hAnsi="仿宋" w:eastAsia="仿宋" w:cs="仿宋"/>
          <w:sz w:val="24"/>
          <w:szCs w:val="24"/>
          <w:lang w:val="zh-CN"/>
        </w:rPr>
        <w:br w:type="page"/>
      </w:r>
      <w:bookmarkStart w:id="563" w:name="_Toc205"/>
      <w:bookmarkStart w:id="564" w:name="_Toc27331"/>
      <w:bookmarkStart w:id="565" w:name="_Toc3076"/>
    </w:p>
    <w:p>
      <w:pPr>
        <w:pStyle w:val="43"/>
        <w:pageBreakBefore/>
        <w:ind w:firstLine="0" w:firstLineChars="0"/>
        <w:jc w:val="center"/>
        <w:outlineLvl w:val="1"/>
        <w:rPr>
          <w:rStyle w:val="39"/>
          <w:rFonts w:ascii="仿宋" w:hAnsi="仿宋" w:eastAsia="仿宋" w:cs="仿宋"/>
          <w:sz w:val="32"/>
          <w:szCs w:val="21"/>
        </w:rPr>
        <w:sectPr>
          <w:pgSz w:w="11906" w:h="16838"/>
          <w:pgMar w:top="1417" w:right="1417" w:bottom="1417" w:left="1417" w:header="851" w:footer="992" w:gutter="0"/>
          <w:pgNumType w:fmt="decimal"/>
          <w:cols w:space="0" w:num="1"/>
          <w:docGrid w:linePitch="312" w:charSpace="0"/>
        </w:sectPr>
      </w:pPr>
      <w:bookmarkStart w:id="566" w:name="_Toc21909"/>
    </w:p>
    <w:p>
      <w:pPr>
        <w:adjustRightInd w:val="0"/>
        <w:snapToGrid w:val="0"/>
        <w:spacing w:line="360" w:lineRule="auto"/>
        <w:jc w:val="center"/>
        <w:outlineLvl w:val="1"/>
        <w:rPr>
          <w:rFonts w:ascii="仿宋" w:hAnsi="仿宋" w:eastAsia="仿宋" w:cs="仿宋"/>
          <w:sz w:val="24"/>
          <w:szCs w:val="24"/>
        </w:rPr>
      </w:pPr>
      <w:bookmarkStart w:id="567" w:name="_Toc3733"/>
      <w:r>
        <w:rPr>
          <w:rStyle w:val="39"/>
          <w:rFonts w:hint="eastAsia" w:ascii="仿宋" w:hAnsi="仿宋" w:eastAsia="仿宋" w:cs="仿宋"/>
          <w:sz w:val="32"/>
          <w:szCs w:val="21"/>
        </w:rPr>
        <w:t>十、</w:t>
      </w:r>
      <w:r>
        <w:rPr>
          <w:rStyle w:val="39"/>
          <w:rFonts w:hint="eastAsia" w:ascii="仿宋" w:hAnsi="仿宋" w:eastAsia="仿宋" w:cs="仿宋"/>
          <w:sz w:val="32"/>
          <w:szCs w:val="21"/>
          <w:lang w:val="en-US" w:eastAsia="zh-CN"/>
        </w:rPr>
        <w:t>售后服务承诺</w:t>
      </w:r>
      <w:bookmarkEnd w:id="567"/>
    </w:p>
    <w:p>
      <w:pPr>
        <w:adjustRightInd w:val="0"/>
        <w:snapToGrid w:val="0"/>
        <w:spacing w:line="360" w:lineRule="auto"/>
        <w:jc w:val="center"/>
        <w:rPr>
          <w:rFonts w:hint="eastAsia" w:ascii="仿宋" w:hAnsi="仿宋" w:eastAsia="仿宋" w:cs="仿宋"/>
          <w:sz w:val="24"/>
          <w:szCs w:val="24"/>
        </w:rPr>
      </w:pPr>
    </w:p>
    <w:p>
      <w:pPr>
        <w:adjustRightInd w:val="0"/>
        <w:snapToGrid w:val="0"/>
        <w:spacing w:line="360" w:lineRule="auto"/>
        <w:jc w:val="center"/>
        <w:rPr>
          <w:rFonts w:ascii="仿宋" w:hAnsi="仿宋" w:eastAsia="仿宋" w:cs="仿宋"/>
          <w:sz w:val="24"/>
          <w:szCs w:val="24"/>
          <w:lang w:val="zh-CN"/>
        </w:rPr>
      </w:pPr>
      <w:r>
        <w:rPr>
          <w:rFonts w:hint="eastAsia" w:ascii="仿宋" w:hAnsi="仿宋" w:eastAsia="仿宋" w:cs="仿宋"/>
          <w:sz w:val="24"/>
          <w:szCs w:val="24"/>
        </w:rPr>
        <w:t>供应商根据打分项自行编制。</w:t>
      </w:r>
    </w:p>
    <w:p>
      <w:pPr>
        <w:pStyle w:val="43"/>
        <w:pageBreakBefore/>
        <w:ind w:firstLine="0" w:firstLineChars="0"/>
        <w:jc w:val="center"/>
        <w:outlineLvl w:val="1"/>
        <w:rPr>
          <w:rStyle w:val="39"/>
          <w:rFonts w:hint="default" w:ascii="仿宋" w:hAnsi="仿宋" w:eastAsia="仿宋" w:cs="仿宋"/>
          <w:sz w:val="32"/>
          <w:szCs w:val="21"/>
          <w:lang w:val="en-US" w:eastAsia="zh-CN"/>
        </w:rPr>
        <w:sectPr>
          <w:pgSz w:w="11906" w:h="16838"/>
          <w:pgMar w:top="1417" w:right="1417" w:bottom="1417" w:left="1417" w:header="851" w:footer="992" w:gutter="0"/>
          <w:pgNumType w:fmt="decimal"/>
          <w:cols w:space="0" w:num="1"/>
          <w:docGrid w:linePitch="312" w:charSpace="0"/>
        </w:sectPr>
      </w:pPr>
    </w:p>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63"/>
    <w:bookmarkEnd w:id="564"/>
    <w:bookmarkEnd w:id="565"/>
    <w:bookmarkEnd w:id="566"/>
    <w:p>
      <w:pPr>
        <w:pStyle w:val="4"/>
        <w:keepNext w:val="0"/>
        <w:pageBreakBefore/>
        <w:spacing w:line="360" w:lineRule="auto"/>
        <w:rPr>
          <w:rFonts w:ascii="仿宋" w:hAnsi="仿宋" w:eastAsia="仿宋" w:cs="仿宋"/>
          <w:sz w:val="28"/>
          <w:szCs w:val="28"/>
          <w:lang w:val="zh-CN"/>
        </w:rPr>
      </w:pPr>
      <w:bookmarkStart w:id="568" w:name="_Toc495908057"/>
      <w:bookmarkStart w:id="569" w:name="_Toc476747606"/>
      <w:bookmarkStart w:id="570" w:name="_Toc495681542"/>
      <w:bookmarkStart w:id="571" w:name="_Toc27777"/>
      <w:bookmarkStart w:id="572" w:name="_Toc14115"/>
      <w:bookmarkStart w:id="573" w:name="_Toc16021"/>
      <w:bookmarkStart w:id="574" w:name="_Toc21908"/>
      <w:bookmarkStart w:id="575" w:name="_Toc29583"/>
      <w:bookmarkStart w:id="576" w:name="_Toc475451804"/>
      <w:bookmarkStart w:id="577" w:name="_Toc27697"/>
      <w:bookmarkStart w:id="578" w:name="_Toc1083"/>
      <w:bookmarkStart w:id="579" w:name="_Toc25899"/>
      <w:bookmarkStart w:id="580" w:name="_Toc31162"/>
      <w:bookmarkStart w:id="581" w:name="_Toc495681261"/>
      <w:bookmarkStart w:id="582" w:name="_Toc495681415"/>
      <w:bookmarkStart w:id="583" w:name="_Toc4687"/>
      <w:bookmarkStart w:id="584" w:name="_Toc475451557"/>
      <w:bookmarkStart w:id="585" w:name="_Toc473056008"/>
      <w:bookmarkStart w:id="586" w:name="_Toc12206"/>
      <w:bookmarkStart w:id="587" w:name="_Toc8978"/>
      <w:bookmarkStart w:id="588" w:name="_Toc21252"/>
      <w:r>
        <w:rPr>
          <w:rFonts w:hint="eastAsia" w:ascii="仿宋" w:hAnsi="仿宋" w:eastAsia="仿宋" w:cs="仿宋"/>
          <w:sz w:val="28"/>
          <w:szCs w:val="28"/>
        </w:rPr>
        <w:t>十</w:t>
      </w:r>
      <w:r>
        <w:rPr>
          <w:rFonts w:hint="eastAsia" w:ascii="仿宋" w:hAnsi="仿宋" w:eastAsia="仿宋" w:cs="仿宋"/>
          <w:sz w:val="28"/>
          <w:szCs w:val="28"/>
          <w:lang w:val="en-US" w:eastAsia="zh-CN"/>
        </w:rPr>
        <w:t>一</w:t>
      </w:r>
      <w:r>
        <w:rPr>
          <w:rFonts w:hint="eastAsia" w:ascii="仿宋" w:hAnsi="仿宋" w:eastAsia="仿宋" w:cs="仿宋"/>
          <w:sz w:val="28"/>
          <w:szCs w:val="28"/>
          <w:lang w:val="zh-CN"/>
        </w:rPr>
        <w:t>、近年业绩的有关证明材料</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tbl>
      <w:tblPr>
        <w:tblStyle w:val="25"/>
        <w:tblW w:w="913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2109"/>
        <w:gridCol w:w="2025"/>
        <w:gridCol w:w="24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序号</w:t>
            </w:r>
          </w:p>
        </w:tc>
        <w:tc>
          <w:tcPr>
            <w:tcW w:w="1620"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用户名称</w:t>
            </w:r>
          </w:p>
        </w:tc>
        <w:tc>
          <w:tcPr>
            <w:tcW w:w="2109"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项目名称</w:t>
            </w:r>
          </w:p>
        </w:tc>
        <w:tc>
          <w:tcPr>
            <w:tcW w:w="2025"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合同金额</w:t>
            </w:r>
          </w:p>
        </w:tc>
        <w:tc>
          <w:tcPr>
            <w:tcW w:w="2481"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合同签订时间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bl>
    <w:p>
      <w:pPr>
        <w:spacing w:line="360" w:lineRule="auto"/>
        <w:rPr>
          <w:rFonts w:ascii="仿宋" w:hAnsi="仿宋" w:eastAsia="仿宋" w:cs="仿宋"/>
        </w:rPr>
      </w:pP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说明：</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 xml:space="preserve">1.本表后附合同复印件，合同签订时间及金额以合同中的内容为准； </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2.供应商应如实列出以上情况，如有隐瞒，一经查实将导致其磋商响应文件被拒绝。</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3.未按上述要求提供、填写的，评审时不予以考虑。</w:t>
      </w:r>
    </w:p>
    <w:p>
      <w:pPr>
        <w:spacing w:line="360" w:lineRule="auto"/>
        <w:ind w:firstLine="1920" w:firstLineChars="800"/>
        <w:rPr>
          <w:rFonts w:ascii="仿宋" w:hAnsi="仿宋" w:eastAsia="仿宋" w:cs="仿宋"/>
          <w:sz w:val="24"/>
          <w:szCs w:val="24"/>
        </w:rPr>
      </w:pPr>
    </w:p>
    <w:p>
      <w:pPr>
        <w:spacing w:line="360" w:lineRule="auto"/>
        <w:ind w:firstLine="3360" w:firstLineChars="1400"/>
        <w:rPr>
          <w:rFonts w:ascii="仿宋" w:hAnsi="仿宋" w:eastAsia="仿宋" w:cs="仿宋"/>
          <w:sz w:val="24"/>
          <w:szCs w:val="24"/>
        </w:rPr>
      </w:pPr>
      <w:bookmarkStart w:id="589" w:name="_Toc511298216"/>
      <w:bookmarkStart w:id="590" w:name="_Toc495681544"/>
      <w:bookmarkStart w:id="591" w:name="_Toc495681263"/>
      <w:bookmarkStart w:id="592" w:name="_Toc495908059"/>
      <w:bookmarkStart w:id="593" w:name="_Toc16033"/>
      <w:bookmarkStart w:id="594" w:name="_Toc495681417"/>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p>
    <w:p>
      <w:pPr>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_GB2312" w:hAnsi="仿宋_GB2312" w:eastAsia="仿宋_GB2312" w:cs="仿宋_GB2312"/>
          <w:sz w:val="24"/>
          <w:szCs w:val="24"/>
          <w:u w:val="single"/>
        </w:rPr>
        <w:t xml:space="preserve">       </w:t>
      </w:r>
    </w:p>
    <w:p>
      <w:pPr>
        <w:pStyle w:val="4"/>
        <w:spacing w:line="360" w:lineRule="auto"/>
        <w:rPr>
          <w:rFonts w:ascii="仿宋" w:hAnsi="仿宋" w:eastAsia="仿宋" w:cs="仿宋"/>
          <w:szCs w:val="22"/>
          <w:lang w:val="zh-CN"/>
        </w:rPr>
      </w:pPr>
      <w:r>
        <w:rPr>
          <w:rFonts w:hint="eastAsia" w:ascii="仿宋" w:hAnsi="仿宋" w:eastAsia="仿宋" w:cs="仿宋"/>
        </w:rPr>
        <w:br w:type="page"/>
      </w:r>
      <w:bookmarkStart w:id="595" w:name="_Toc14636"/>
      <w:bookmarkStart w:id="596" w:name="_Toc22060"/>
      <w:bookmarkStart w:id="597" w:name="_Toc14494"/>
      <w:bookmarkStart w:id="598" w:name="_Toc14896"/>
      <w:bookmarkStart w:id="599" w:name="_Toc6195"/>
      <w:bookmarkStart w:id="600" w:name="_Toc24029"/>
      <w:bookmarkStart w:id="601" w:name="_Toc9207"/>
      <w:bookmarkStart w:id="602" w:name="_Toc26608"/>
      <w:bookmarkStart w:id="603" w:name="_Toc23630"/>
      <w:bookmarkStart w:id="604" w:name="_Toc3166"/>
      <w:bookmarkStart w:id="605" w:name="_Toc19979"/>
      <w:bookmarkStart w:id="606" w:name="_Toc12942"/>
      <w:r>
        <w:rPr>
          <w:rFonts w:hint="eastAsia" w:ascii="仿宋" w:hAnsi="仿宋" w:eastAsia="仿宋" w:cs="仿宋"/>
          <w:sz w:val="32"/>
          <w:szCs w:val="24"/>
          <w:lang w:val="zh-CN"/>
        </w:rPr>
        <w:t>十</w:t>
      </w:r>
      <w:r>
        <w:rPr>
          <w:rFonts w:hint="eastAsia" w:ascii="仿宋" w:hAnsi="仿宋" w:eastAsia="仿宋" w:cs="仿宋"/>
          <w:sz w:val="32"/>
          <w:szCs w:val="24"/>
          <w:lang w:val="en-US" w:eastAsia="zh-CN"/>
        </w:rPr>
        <w:t>二</w:t>
      </w:r>
      <w:r>
        <w:rPr>
          <w:rFonts w:hint="eastAsia" w:ascii="仿宋" w:hAnsi="仿宋" w:eastAsia="仿宋" w:cs="仿宋"/>
          <w:sz w:val="32"/>
          <w:szCs w:val="24"/>
          <w:lang w:val="zh-CN"/>
        </w:rPr>
        <w:t>、</w:t>
      </w:r>
      <w:bookmarkEnd w:id="589"/>
      <w:r>
        <w:rPr>
          <w:rFonts w:hint="eastAsia" w:ascii="仿宋" w:hAnsi="仿宋" w:eastAsia="仿宋" w:cs="仿宋"/>
          <w:sz w:val="32"/>
          <w:szCs w:val="24"/>
          <w:lang w:val="zh-CN"/>
        </w:rPr>
        <w:t>供应商企业关系关联承诺书</w:t>
      </w:r>
      <w:bookmarkEnd w:id="595"/>
      <w:bookmarkEnd w:id="596"/>
      <w:bookmarkEnd w:id="597"/>
      <w:bookmarkEnd w:id="598"/>
      <w:bookmarkEnd w:id="599"/>
      <w:bookmarkEnd w:id="600"/>
      <w:bookmarkEnd w:id="601"/>
      <w:bookmarkEnd w:id="602"/>
      <w:bookmarkEnd w:id="603"/>
      <w:bookmarkEnd w:id="604"/>
      <w:bookmarkEnd w:id="605"/>
      <w:bookmarkEnd w:id="606"/>
    </w:p>
    <w:p>
      <w:pPr>
        <w:spacing w:line="360" w:lineRule="auto"/>
        <w:rPr>
          <w:rFonts w:ascii="仿宋" w:hAnsi="仿宋" w:eastAsia="仿宋" w:cs="仿宋"/>
          <w:spacing w:val="4"/>
          <w:sz w:val="24"/>
          <w:szCs w:val="24"/>
          <w:u w:val="single"/>
        </w:rPr>
      </w:pPr>
      <w:r>
        <w:rPr>
          <w:rFonts w:hint="eastAsia" w:ascii="仿宋" w:hAnsi="仿宋" w:eastAsia="仿宋" w:cs="仿宋"/>
          <w:spacing w:val="4"/>
          <w:sz w:val="24"/>
          <w:szCs w:val="24"/>
        </w:rPr>
        <w:t>致：</w:t>
      </w:r>
      <w:r>
        <w:rPr>
          <w:rFonts w:hint="eastAsia" w:ascii="仿宋" w:hAnsi="仿宋" w:eastAsia="仿宋" w:cs="仿宋"/>
          <w:spacing w:val="4"/>
          <w:sz w:val="24"/>
          <w:szCs w:val="24"/>
          <w:u w:val="single"/>
        </w:rPr>
        <w:t xml:space="preserve">     （采购人名称）    ：</w:t>
      </w:r>
    </w:p>
    <w:p>
      <w:pPr>
        <w:widowControl/>
        <w:spacing w:line="360" w:lineRule="auto"/>
        <w:ind w:firstLine="480" w:firstLineChars="200"/>
        <w:jc w:val="left"/>
        <w:rPr>
          <w:rFonts w:ascii="仿宋" w:hAnsi="仿宋" w:eastAsia="仿宋" w:cs="仿宋"/>
          <w:kern w:val="0"/>
          <w:sz w:val="24"/>
          <w:szCs w:val="24"/>
          <w:lang w:bidi="ar"/>
        </w:rPr>
      </w:pPr>
      <w:r>
        <w:rPr>
          <w:rFonts w:hint="eastAsia" w:ascii="仿宋" w:hAnsi="仿宋" w:eastAsia="仿宋" w:cs="仿宋"/>
          <w:kern w:val="0"/>
          <w:sz w:val="24"/>
          <w:szCs w:val="24"/>
          <w:lang w:bidi="ar"/>
        </w:rPr>
        <w:t>我方作为</w:t>
      </w:r>
      <w:r>
        <w:rPr>
          <w:rFonts w:hint="eastAsia" w:ascii="仿宋" w:hAnsi="仿宋" w:eastAsia="仿宋" w:cs="仿宋"/>
          <w:kern w:val="0"/>
          <w:sz w:val="24"/>
          <w:szCs w:val="24"/>
          <w:u w:val="single"/>
          <w:lang w:bidi="ar"/>
        </w:rPr>
        <w:t xml:space="preserve">         （项目名称）         </w:t>
      </w:r>
      <w:r>
        <w:rPr>
          <w:rFonts w:hint="eastAsia" w:ascii="仿宋" w:hAnsi="仿宋" w:eastAsia="仿宋" w:cs="仿宋"/>
          <w:kern w:val="0"/>
          <w:sz w:val="24"/>
          <w:szCs w:val="24"/>
          <w:lang w:bidi="ar"/>
        </w:rPr>
        <w:t>（项目编号：</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）的供应商，在此郑重声明：</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1、供应商在本项目中，不存在与其它供应商负责人为同一人，有控股、管理等关联关系承诺。</w:t>
      </w:r>
    </w:p>
    <w:p>
      <w:pPr>
        <w:widowControl/>
        <w:spacing w:line="360" w:lineRule="auto"/>
        <w:ind w:firstLine="480" w:firstLineChars="200"/>
        <w:jc w:val="left"/>
        <w:rPr>
          <w:rFonts w:ascii="仿宋" w:hAnsi="仿宋" w:eastAsia="仿宋" w:cs="仿宋"/>
          <w:kern w:val="0"/>
          <w:sz w:val="24"/>
          <w:szCs w:val="24"/>
          <w:lang w:bidi="ar"/>
        </w:rPr>
      </w:pPr>
      <w:r>
        <w:rPr>
          <w:rFonts w:hint="eastAsia" w:ascii="仿宋" w:hAnsi="仿宋" w:eastAsia="仿宋" w:cs="仿宋"/>
          <w:kern w:val="0"/>
          <w:sz w:val="24"/>
          <w:szCs w:val="24"/>
          <w:lang w:bidi="ar"/>
        </w:rPr>
        <w:t>2、我方未为本项目提供整体设计、规范编制或者项目管理、监理、检测等服务。</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lang w:bidi="ar"/>
        </w:rPr>
        <w:t xml:space="preserve">如有不实，我方将无条件地退出本项目的采购活动，并遵照《政府采购法》有关“提供虚假材料的规定”接受处罚。 </w:t>
      </w:r>
    </w:p>
    <w:p>
      <w:pPr>
        <w:widowControl/>
        <w:spacing w:line="360" w:lineRule="auto"/>
        <w:ind w:firstLine="480" w:firstLineChars="200"/>
        <w:jc w:val="left"/>
        <w:rPr>
          <w:sz w:val="24"/>
          <w:szCs w:val="24"/>
        </w:rPr>
      </w:pPr>
      <w:r>
        <w:rPr>
          <w:rFonts w:hint="eastAsia" w:ascii="仿宋" w:hAnsi="仿宋" w:eastAsia="仿宋" w:cs="仿宋"/>
          <w:kern w:val="0"/>
          <w:sz w:val="24"/>
          <w:szCs w:val="24"/>
          <w:lang w:bidi="ar"/>
        </w:rPr>
        <w:t>特此声明。</w:t>
      </w:r>
    </w:p>
    <w:p>
      <w:pPr>
        <w:autoSpaceDE w:val="0"/>
        <w:autoSpaceDN w:val="0"/>
        <w:adjustRightInd w:val="0"/>
        <w:spacing w:line="360" w:lineRule="auto"/>
        <w:ind w:firstLine="480" w:firstLineChars="200"/>
        <w:rPr>
          <w:rFonts w:ascii="仿宋" w:hAnsi="仿宋" w:eastAsia="仿宋" w:cs="仿宋"/>
          <w:sz w:val="24"/>
          <w:szCs w:val="24"/>
        </w:rPr>
      </w:pPr>
    </w:p>
    <w:p>
      <w:pPr>
        <w:autoSpaceDE w:val="0"/>
        <w:autoSpaceDN w:val="0"/>
        <w:adjustRightInd w:val="0"/>
        <w:spacing w:line="360" w:lineRule="auto"/>
        <w:rPr>
          <w:rFonts w:ascii="仿宋" w:hAnsi="仿宋" w:eastAsia="仿宋" w:cs="仿宋"/>
          <w:sz w:val="24"/>
          <w:szCs w:val="24"/>
        </w:rPr>
      </w:pPr>
    </w:p>
    <w:p>
      <w:pPr>
        <w:autoSpaceDE w:val="0"/>
        <w:autoSpaceDN w:val="0"/>
        <w:adjustRightInd w:val="0"/>
        <w:spacing w:line="360" w:lineRule="auto"/>
        <w:jc w:val="center"/>
        <w:rPr>
          <w:rFonts w:ascii="仿宋" w:hAnsi="仿宋" w:eastAsia="仿宋" w:cs="仿宋"/>
          <w:b/>
          <w:sz w:val="24"/>
          <w:szCs w:val="24"/>
        </w:rPr>
      </w:pPr>
    </w:p>
    <w:p>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p>
    <w:p>
      <w:pPr>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_GB2312" w:hAnsi="仿宋_GB2312" w:eastAsia="仿宋_GB2312" w:cs="仿宋_GB2312"/>
          <w:sz w:val="24"/>
          <w:szCs w:val="24"/>
          <w:u w:val="single"/>
        </w:rPr>
        <w:t xml:space="preserve">       </w:t>
      </w:r>
    </w:p>
    <w:p>
      <w:pPr>
        <w:spacing w:line="360" w:lineRule="auto"/>
        <w:ind w:firstLine="5280" w:firstLineChars="2200"/>
        <w:rPr>
          <w:rFonts w:ascii="仿宋" w:hAnsi="仿宋" w:eastAsia="仿宋" w:cs="仿宋"/>
          <w:sz w:val="24"/>
          <w:szCs w:val="24"/>
          <w:u w:val="single"/>
        </w:rPr>
      </w:pPr>
    </w:p>
    <w:p>
      <w:pPr>
        <w:adjustRightInd w:val="0"/>
        <w:snapToGrid w:val="0"/>
        <w:spacing w:line="360" w:lineRule="auto"/>
        <w:ind w:firstLine="240" w:firstLineChars="100"/>
        <w:rPr>
          <w:rFonts w:ascii="仿宋" w:hAnsi="仿宋" w:eastAsia="仿宋" w:cs="仿宋"/>
          <w:bCs/>
          <w:sz w:val="24"/>
          <w:szCs w:val="24"/>
        </w:rPr>
      </w:pPr>
      <w:r>
        <w:rPr>
          <w:rFonts w:hint="eastAsia" w:ascii="仿宋" w:hAnsi="仿宋" w:eastAsia="仿宋" w:cs="仿宋"/>
          <w:sz w:val="24"/>
          <w:szCs w:val="24"/>
        </w:rPr>
        <w:br w:type="page"/>
      </w:r>
      <w:bookmarkEnd w:id="590"/>
      <w:bookmarkEnd w:id="591"/>
      <w:bookmarkEnd w:id="592"/>
      <w:bookmarkEnd w:id="593"/>
      <w:bookmarkEnd w:id="594"/>
      <w:bookmarkStart w:id="607" w:name="_Toc12844"/>
      <w:bookmarkStart w:id="608" w:name="_Toc4848"/>
      <w:bookmarkStart w:id="609" w:name="_Toc495671276"/>
      <w:bookmarkStart w:id="610" w:name="_Toc475451806"/>
      <w:bookmarkStart w:id="611" w:name="_Toc473056009"/>
      <w:bookmarkStart w:id="612" w:name="_Toc4915"/>
      <w:bookmarkStart w:id="613" w:name="_Toc16511"/>
      <w:bookmarkStart w:id="614" w:name="_Toc475451559"/>
    </w:p>
    <w:p>
      <w:pPr>
        <w:pageBreakBefore/>
        <w:autoSpaceDE w:val="0"/>
        <w:autoSpaceDN w:val="0"/>
        <w:adjustRightInd w:val="0"/>
        <w:snapToGrid w:val="0"/>
        <w:spacing w:line="360" w:lineRule="auto"/>
        <w:jc w:val="center"/>
        <w:outlineLvl w:val="1"/>
        <w:rPr>
          <w:rFonts w:ascii="仿宋" w:hAnsi="仿宋" w:eastAsia="仿宋" w:cs="仿宋"/>
          <w:b/>
          <w:sz w:val="32"/>
          <w:szCs w:val="15"/>
          <w:lang w:val="zh-CN"/>
        </w:rPr>
      </w:pPr>
      <w:bookmarkStart w:id="615" w:name="_Toc31717"/>
      <w:r>
        <w:rPr>
          <w:rFonts w:hint="eastAsia" w:ascii="仿宋" w:hAnsi="仿宋" w:eastAsia="仿宋" w:cs="仿宋"/>
          <w:b/>
          <w:sz w:val="32"/>
          <w:szCs w:val="15"/>
          <w:lang w:val="zh-CN"/>
        </w:rPr>
        <w:t>十</w:t>
      </w:r>
      <w:r>
        <w:rPr>
          <w:rFonts w:hint="eastAsia" w:ascii="仿宋" w:hAnsi="仿宋" w:eastAsia="仿宋" w:cs="仿宋"/>
          <w:b/>
          <w:sz w:val="32"/>
          <w:szCs w:val="15"/>
          <w:lang w:val="en-US" w:eastAsia="zh-CN"/>
        </w:rPr>
        <w:t>三</w:t>
      </w:r>
      <w:r>
        <w:rPr>
          <w:rFonts w:hint="eastAsia" w:ascii="仿宋" w:hAnsi="仿宋" w:eastAsia="仿宋" w:cs="仿宋"/>
          <w:b/>
          <w:sz w:val="32"/>
          <w:szCs w:val="15"/>
          <w:lang w:val="zh-CN"/>
        </w:rPr>
        <w:t>、供应商廉洁自律承诺书</w:t>
      </w:r>
      <w:bookmarkEnd w:id="607"/>
      <w:bookmarkEnd w:id="615"/>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为响应党中央、国务院关于治理政府采购领域商业贿赂行为的号召，我们特向贵司郑重承诺，在政府采购过程中严格遵守下列行为准则：</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1、严格遵守国家有关法律法规及相关政策，以及廉洁从业的各项规定。</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2、不以围标、串标、陪标、挂靠、提供虚假信息、恶意干扰采购人、磋商小组评审等违规手段实现成交目的；</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3、不以任何理由、任何形式向采购人相关工作人员或其亲戚、朋友等利益相关人行贿或馈赠礼金、有价证券、贵重物品。</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4、不以任何名义为采购人相关工作人员或其亲戚、朋友等利益相关人支付、报销应由其个人支付的费用。</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5、不以任何理由安排采购人相关工作人员或其亲戚、朋友等利益相关人参加健身、娱乐和旅游等活动。</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6、不为采购人的业务部门、关联企业或人员，购置或提供通讯工具、交通工具、高档办公用品或装修住房等。</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7、不以贿赂之外的其他方式拉拢采购方相关工作人员，使其违背公平、公开、公正竞争原则，帮助实现成交目的。</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8、如果采购人相关工作人员以帮助实现成交目的为对价向供应商索取贿赂或谋求其他个人利益，供应商应拒绝采购人相关工作人员的要求，并向采购人监督部门举报。</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如果承诺人违背上述承诺并成交，承诺人自愿承担与贵司签订的合同无效、贵司有权拒绝支付合同款、承诺人自身损失自己承担并赔偿贵司因此产生的一切损失的民事法律责任及因此产生的刑事责任。</w:t>
      </w:r>
    </w:p>
    <w:p>
      <w:pPr>
        <w:spacing w:line="360" w:lineRule="auto"/>
        <w:ind w:firstLine="3360" w:firstLineChars="1400"/>
        <w:rPr>
          <w:rFonts w:ascii="仿宋" w:hAnsi="仿宋" w:eastAsia="仿宋" w:cs="仿宋"/>
          <w:sz w:val="24"/>
          <w:szCs w:val="24"/>
        </w:rPr>
      </w:pPr>
    </w:p>
    <w:p>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p>
    <w:p>
      <w:pPr>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_GB2312" w:hAnsi="仿宋_GB2312" w:eastAsia="仿宋_GB2312" w:cs="仿宋_GB2312"/>
          <w:sz w:val="24"/>
          <w:szCs w:val="24"/>
          <w:u w:val="single"/>
        </w:rPr>
        <w:t xml:space="preserve">       </w:t>
      </w:r>
    </w:p>
    <w:p>
      <w:pPr>
        <w:spacing w:line="360" w:lineRule="auto"/>
        <w:ind w:firstLine="4216" w:firstLineChars="1750"/>
        <w:rPr>
          <w:rFonts w:ascii="仿宋" w:hAnsi="仿宋" w:eastAsia="仿宋" w:cs="仿宋"/>
          <w:b/>
          <w:sz w:val="24"/>
          <w:szCs w:val="24"/>
        </w:rPr>
      </w:pPr>
    </w:p>
    <w:p>
      <w:pPr>
        <w:spacing w:line="360" w:lineRule="auto"/>
      </w:pPr>
    </w:p>
    <w:p>
      <w:pPr>
        <w:pageBreakBefore/>
        <w:autoSpaceDE w:val="0"/>
        <w:autoSpaceDN w:val="0"/>
        <w:adjustRightInd w:val="0"/>
        <w:snapToGrid w:val="0"/>
        <w:spacing w:line="360" w:lineRule="auto"/>
        <w:jc w:val="center"/>
        <w:outlineLvl w:val="1"/>
        <w:rPr>
          <w:rFonts w:ascii="仿宋" w:hAnsi="仿宋" w:eastAsia="仿宋" w:cs="仿宋"/>
          <w:b/>
          <w:sz w:val="32"/>
          <w:szCs w:val="15"/>
          <w:lang w:val="zh-CN"/>
        </w:rPr>
      </w:pPr>
      <w:bookmarkStart w:id="616" w:name="_Toc17375"/>
      <w:bookmarkStart w:id="617" w:name="_Toc9051"/>
      <w:bookmarkStart w:id="618" w:name="_Toc8772"/>
      <w:bookmarkStart w:id="619" w:name="_Toc18685"/>
      <w:bookmarkStart w:id="620" w:name="_Toc6812"/>
      <w:bookmarkStart w:id="621" w:name="_Toc15882"/>
      <w:bookmarkStart w:id="622" w:name="_Toc4453"/>
      <w:bookmarkStart w:id="623" w:name="_Toc2715"/>
      <w:bookmarkStart w:id="624" w:name="_Toc23693"/>
      <w:bookmarkStart w:id="625" w:name="_Toc29125"/>
      <w:bookmarkStart w:id="626" w:name="_Toc17145"/>
      <w:r>
        <w:rPr>
          <w:rFonts w:hint="eastAsia" w:ascii="仿宋" w:hAnsi="仿宋" w:eastAsia="仿宋" w:cs="仿宋"/>
          <w:b/>
          <w:sz w:val="32"/>
          <w:szCs w:val="15"/>
          <w:lang w:val="zh-CN"/>
        </w:rPr>
        <w:t>十</w:t>
      </w:r>
      <w:r>
        <w:rPr>
          <w:rFonts w:hint="eastAsia" w:ascii="仿宋" w:hAnsi="仿宋" w:eastAsia="仿宋" w:cs="仿宋"/>
          <w:b/>
          <w:sz w:val="32"/>
          <w:szCs w:val="15"/>
          <w:lang w:val="en-US" w:eastAsia="zh-CN"/>
        </w:rPr>
        <w:t>四</w:t>
      </w:r>
      <w:r>
        <w:rPr>
          <w:rFonts w:hint="eastAsia" w:ascii="仿宋" w:hAnsi="仿宋" w:eastAsia="仿宋" w:cs="仿宋"/>
          <w:b/>
          <w:sz w:val="32"/>
          <w:szCs w:val="15"/>
          <w:lang w:val="zh-CN"/>
        </w:rPr>
        <w:t>、供应商认为有必要补充说明的事项</w:t>
      </w:r>
      <w:bookmarkEnd w:id="608"/>
      <w:bookmarkEnd w:id="609"/>
      <w:bookmarkEnd w:id="610"/>
      <w:bookmarkEnd w:id="611"/>
      <w:bookmarkEnd w:id="612"/>
      <w:bookmarkEnd w:id="613"/>
      <w:bookmarkEnd w:id="614"/>
      <w:bookmarkEnd w:id="616"/>
      <w:bookmarkEnd w:id="617"/>
      <w:bookmarkEnd w:id="618"/>
      <w:bookmarkEnd w:id="619"/>
      <w:bookmarkEnd w:id="620"/>
      <w:bookmarkEnd w:id="621"/>
      <w:bookmarkEnd w:id="622"/>
      <w:bookmarkEnd w:id="623"/>
      <w:bookmarkEnd w:id="624"/>
      <w:bookmarkEnd w:id="625"/>
      <w:bookmarkEnd w:id="626"/>
    </w:p>
    <w:sectPr>
      <w:pgSz w:w="11906" w:h="16838"/>
      <w:pgMar w:top="1417" w:right="1417" w:bottom="1417" w:left="1417" w:header="851"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Myriad Pro Light">
    <w:altName w:val="Courier New"/>
    <w:panose1 w:val="020B0603030403020204"/>
    <w:charset w:val="00"/>
    <w:family w:val="swiss"/>
    <w:pitch w:val="default"/>
    <w:sig w:usb0="00000000" w:usb1="00000000" w:usb2="00000000" w:usb3="00000000" w:csb0="00000001"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925"/>
        <w:tab w:val="clear" w:pos="8306"/>
      </w:tabs>
      <w:ind w:right="4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jc w:val="right"/>
      <w:rPr>
        <w:rFonts w:ascii="仿宋" w:hAnsi="仿宋" w:eastAsia="仿宋" w:cs="仿宋"/>
        <w:b/>
        <w:bCs/>
      </w:rPr>
    </w:pPr>
    <w:r>
      <w:rPr>
        <w:rFonts w:hint="eastAsia" w:ascii="仿宋" w:hAnsi="仿宋" w:eastAsia="仿宋" w:cs="仿宋"/>
        <w:b/>
        <w:bCs/>
        <w:lang w:eastAsia="zh-CN"/>
      </w:rPr>
      <w:t>西安市教育局政务协同办公系统运维服务项目</w:t>
    </w:r>
    <w:r>
      <w:rPr>
        <w:rFonts w:hint="eastAsia" w:ascii="仿宋" w:hAnsi="仿宋" w:eastAsia="仿宋" w:cs="仿宋"/>
        <w:b/>
        <w:bCs/>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8E3B3"/>
    <w:multiLevelType w:val="singleLevel"/>
    <w:tmpl w:val="43B8E3B3"/>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ZTg4OGJkNWRkOTJlMzY2NDhhMWVjMWFhNWQxMGYifQ=="/>
  </w:docVars>
  <w:rsids>
    <w:rsidRoot w:val="00B60549"/>
    <w:rsid w:val="000B28EA"/>
    <w:rsid w:val="00242145"/>
    <w:rsid w:val="00296707"/>
    <w:rsid w:val="002C7C22"/>
    <w:rsid w:val="003405CA"/>
    <w:rsid w:val="00362811"/>
    <w:rsid w:val="003F6DF1"/>
    <w:rsid w:val="00413329"/>
    <w:rsid w:val="00461D06"/>
    <w:rsid w:val="004646C6"/>
    <w:rsid w:val="004D7C54"/>
    <w:rsid w:val="00520AC4"/>
    <w:rsid w:val="00537157"/>
    <w:rsid w:val="006728E4"/>
    <w:rsid w:val="006C0888"/>
    <w:rsid w:val="007902AD"/>
    <w:rsid w:val="00794FD8"/>
    <w:rsid w:val="007E7FDC"/>
    <w:rsid w:val="007F1A02"/>
    <w:rsid w:val="00857416"/>
    <w:rsid w:val="008816DE"/>
    <w:rsid w:val="008A416F"/>
    <w:rsid w:val="008A581A"/>
    <w:rsid w:val="00915F22"/>
    <w:rsid w:val="009324B9"/>
    <w:rsid w:val="00951A78"/>
    <w:rsid w:val="00956D59"/>
    <w:rsid w:val="0098347C"/>
    <w:rsid w:val="00992228"/>
    <w:rsid w:val="00A41B2F"/>
    <w:rsid w:val="00A95F71"/>
    <w:rsid w:val="00AA6359"/>
    <w:rsid w:val="00AD4442"/>
    <w:rsid w:val="00B05A5E"/>
    <w:rsid w:val="00B60549"/>
    <w:rsid w:val="00BB3EA6"/>
    <w:rsid w:val="00BC5C89"/>
    <w:rsid w:val="00BD3DD0"/>
    <w:rsid w:val="00CA169F"/>
    <w:rsid w:val="00CB1BA1"/>
    <w:rsid w:val="00D023E3"/>
    <w:rsid w:val="00D869E3"/>
    <w:rsid w:val="00D93261"/>
    <w:rsid w:val="00D94DBD"/>
    <w:rsid w:val="00DB113F"/>
    <w:rsid w:val="00E0484D"/>
    <w:rsid w:val="00E93D72"/>
    <w:rsid w:val="00EB734B"/>
    <w:rsid w:val="00EC1502"/>
    <w:rsid w:val="00ED3F30"/>
    <w:rsid w:val="00EF1927"/>
    <w:rsid w:val="00F140B6"/>
    <w:rsid w:val="00F5095A"/>
    <w:rsid w:val="00F5243C"/>
    <w:rsid w:val="00FE0703"/>
    <w:rsid w:val="011A7F65"/>
    <w:rsid w:val="01303FFD"/>
    <w:rsid w:val="013B3118"/>
    <w:rsid w:val="013E3F64"/>
    <w:rsid w:val="01431B20"/>
    <w:rsid w:val="0196206F"/>
    <w:rsid w:val="01967558"/>
    <w:rsid w:val="019727F8"/>
    <w:rsid w:val="01A65ADB"/>
    <w:rsid w:val="01A80840"/>
    <w:rsid w:val="01B21C9D"/>
    <w:rsid w:val="01B60247"/>
    <w:rsid w:val="01F74A0D"/>
    <w:rsid w:val="02216FEE"/>
    <w:rsid w:val="02322978"/>
    <w:rsid w:val="02757670"/>
    <w:rsid w:val="02F8286C"/>
    <w:rsid w:val="03203623"/>
    <w:rsid w:val="03366FA1"/>
    <w:rsid w:val="034A6452"/>
    <w:rsid w:val="037961DA"/>
    <w:rsid w:val="03BB534B"/>
    <w:rsid w:val="03F57D30"/>
    <w:rsid w:val="04253073"/>
    <w:rsid w:val="042E3C79"/>
    <w:rsid w:val="043A6A0B"/>
    <w:rsid w:val="04417703"/>
    <w:rsid w:val="04527A55"/>
    <w:rsid w:val="046F50BD"/>
    <w:rsid w:val="04D3473A"/>
    <w:rsid w:val="04F375C6"/>
    <w:rsid w:val="05220CF5"/>
    <w:rsid w:val="0524591F"/>
    <w:rsid w:val="054F056F"/>
    <w:rsid w:val="057E699D"/>
    <w:rsid w:val="05F20D8B"/>
    <w:rsid w:val="06045A1E"/>
    <w:rsid w:val="06081A66"/>
    <w:rsid w:val="0608568E"/>
    <w:rsid w:val="061A7C1D"/>
    <w:rsid w:val="062F5980"/>
    <w:rsid w:val="06AB3A62"/>
    <w:rsid w:val="06B72692"/>
    <w:rsid w:val="06F82BE0"/>
    <w:rsid w:val="073A0B51"/>
    <w:rsid w:val="07490787"/>
    <w:rsid w:val="07642BDD"/>
    <w:rsid w:val="0788630D"/>
    <w:rsid w:val="078E3F54"/>
    <w:rsid w:val="07AB222D"/>
    <w:rsid w:val="07B05AC3"/>
    <w:rsid w:val="07B24103"/>
    <w:rsid w:val="07CC30E3"/>
    <w:rsid w:val="07CE4A90"/>
    <w:rsid w:val="07DD708E"/>
    <w:rsid w:val="07FF40DA"/>
    <w:rsid w:val="08044B31"/>
    <w:rsid w:val="083276EC"/>
    <w:rsid w:val="08500049"/>
    <w:rsid w:val="08623C45"/>
    <w:rsid w:val="08815013"/>
    <w:rsid w:val="08A5055C"/>
    <w:rsid w:val="08B14334"/>
    <w:rsid w:val="08C20D0E"/>
    <w:rsid w:val="08E13B2D"/>
    <w:rsid w:val="08E62769"/>
    <w:rsid w:val="08E80379"/>
    <w:rsid w:val="090A7A54"/>
    <w:rsid w:val="092804E5"/>
    <w:rsid w:val="0947033F"/>
    <w:rsid w:val="09FA68DE"/>
    <w:rsid w:val="0A1C76DB"/>
    <w:rsid w:val="0A1C7841"/>
    <w:rsid w:val="0A3C3EB1"/>
    <w:rsid w:val="0A4601F6"/>
    <w:rsid w:val="0AA6216A"/>
    <w:rsid w:val="0ABE15CF"/>
    <w:rsid w:val="0AF62741"/>
    <w:rsid w:val="0AF637C1"/>
    <w:rsid w:val="0AF83A39"/>
    <w:rsid w:val="0B000966"/>
    <w:rsid w:val="0B003CCF"/>
    <w:rsid w:val="0B346F57"/>
    <w:rsid w:val="0B3F3A03"/>
    <w:rsid w:val="0B4701B6"/>
    <w:rsid w:val="0B933C8E"/>
    <w:rsid w:val="0BBC4C03"/>
    <w:rsid w:val="0BCB7A63"/>
    <w:rsid w:val="0BE7114B"/>
    <w:rsid w:val="0C2A6C47"/>
    <w:rsid w:val="0C5428E0"/>
    <w:rsid w:val="0C682D50"/>
    <w:rsid w:val="0CB66556"/>
    <w:rsid w:val="0CBF11FE"/>
    <w:rsid w:val="0CC56427"/>
    <w:rsid w:val="0D140682"/>
    <w:rsid w:val="0D482E86"/>
    <w:rsid w:val="0D601C42"/>
    <w:rsid w:val="0D764741"/>
    <w:rsid w:val="0D862E2B"/>
    <w:rsid w:val="0D862F58"/>
    <w:rsid w:val="0DBC5A02"/>
    <w:rsid w:val="0E0D4C62"/>
    <w:rsid w:val="0E105BEA"/>
    <w:rsid w:val="0E4A4226"/>
    <w:rsid w:val="0E4C3DFC"/>
    <w:rsid w:val="0E4D21CB"/>
    <w:rsid w:val="0E4D5BCD"/>
    <w:rsid w:val="0E543BD3"/>
    <w:rsid w:val="0E802D3E"/>
    <w:rsid w:val="0E88739B"/>
    <w:rsid w:val="0E966251"/>
    <w:rsid w:val="0EA14F4B"/>
    <w:rsid w:val="0EA571D2"/>
    <w:rsid w:val="0EB05A49"/>
    <w:rsid w:val="0EDF2C4E"/>
    <w:rsid w:val="0EEC48C9"/>
    <w:rsid w:val="0EFC02E4"/>
    <w:rsid w:val="0F2912D4"/>
    <w:rsid w:val="0F3811DB"/>
    <w:rsid w:val="0F650581"/>
    <w:rsid w:val="0F761443"/>
    <w:rsid w:val="0F944C75"/>
    <w:rsid w:val="0FBB69AC"/>
    <w:rsid w:val="1025540D"/>
    <w:rsid w:val="103B421B"/>
    <w:rsid w:val="10596534"/>
    <w:rsid w:val="106C6A80"/>
    <w:rsid w:val="10724450"/>
    <w:rsid w:val="10AB5CBF"/>
    <w:rsid w:val="10F22672"/>
    <w:rsid w:val="111B1C18"/>
    <w:rsid w:val="111C1BF6"/>
    <w:rsid w:val="1135769B"/>
    <w:rsid w:val="113C1502"/>
    <w:rsid w:val="114A2981"/>
    <w:rsid w:val="11885825"/>
    <w:rsid w:val="1196669F"/>
    <w:rsid w:val="11AA170E"/>
    <w:rsid w:val="11B8134E"/>
    <w:rsid w:val="11E41100"/>
    <w:rsid w:val="11EA618B"/>
    <w:rsid w:val="120F0029"/>
    <w:rsid w:val="12172C30"/>
    <w:rsid w:val="12332CF4"/>
    <w:rsid w:val="12484BF3"/>
    <w:rsid w:val="12665831"/>
    <w:rsid w:val="12767B0A"/>
    <w:rsid w:val="12CA723D"/>
    <w:rsid w:val="12E5048A"/>
    <w:rsid w:val="12F50E95"/>
    <w:rsid w:val="12FB072B"/>
    <w:rsid w:val="130A2A40"/>
    <w:rsid w:val="13247387"/>
    <w:rsid w:val="13720492"/>
    <w:rsid w:val="137A4004"/>
    <w:rsid w:val="13A16637"/>
    <w:rsid w:val="13BA2ECB"/>
    <w:rsid w:val="13CA6A90"/>
    <w:rsid w:val="13D223C9"/>
    <w:rsid w:val="13E1489E"/>
    <w:rsid w:val="140E0CB8"/>
    <w:rsid w:val="142D64F0"/>
    <w:rsid w:val="143E786D"/>
    <w:rsid w:val="143F6388"/>
    <w:rsid w:val="14477EFA"/>
    <w:rsid w:val="14522A65"/>
    <w:rsid w:val="14592278"/>
    <w:rsid w:val="146B0725"/>
    <w:rsid w:val="14843439"/>
    <w:rsid w:val="14B3222C"/>
    <w:rsid w:val="14BE1E1B"/>
    <w:rsid w:val="14EB4E70"/>
    <w:rsid w:val="14EE6A15"/>
    <w:rsid w:val="150F66F4"/>
    <w:rsid w:val="15136BE1"/>
    <w:rsid w:val="152C4475"/>
    <w:rsid w:val="15585866"/>
    <w:rsid w:val="156066D1"/>
    <w:rsid w:val="1586705C"/>
    <w:rsid w:val="1587419B"/>
    <w:rsid w:val="15B22F34"/>
    <w:rsid w:val="15B56B42"/>
    <w:rsid w:val="15D87635"/>
    <w:rsid w:val="15E367C7"/>
    <w:rsid w:val="16935DD8"/>
    <w:rsid w:val="17146788"/>
    <w:rsid w:val="17300CEA"/>
    <w:rsid w:val="17572CC4"/>
    <w:rsid w:val="177F7D05"/>
    <w:rsid w:val="17A80218"/>
    <w:rsid w:val="17AE66AB"/>
    <w:rsid w:val="17E2601E"/>
    <w:rsid w:val="17F3423D"/>
    <w:rsid w:val="18093732"/>
    <w:rsid w:val="18144775"/>
    <w:rsid w:val="18565229"/>
    <w:rsid w:val="18756072"/>
    <w:rsid w:val="18E23F12"/>
    <w:rsid w:val="18FF22A3"/>
    <w:rsid w:val="192D0455"/>
    <w:rsid w:val="194E3E35"/>
    <w:rsid w:val="196F3791"/>
    <w:rsid w:val="19B03C56"/>
    <w:rsid w:val="19E94816"/>
    <w:rsid w:val="1A110BF2"/>
    <w:rsid w:val="1A366696"/>
    <w:rsid w:val="1A5B704B"/>
    <w:rsid w:val="1A6213FC"/>
    <w:rsid w:val="1AB81FF4"/>
    <w:rsid w:val="1ABC4322"/>
    <w:rsid w:val="1AE01239"/>
    <w:rsid w:val="1AEA3E3B"/>
    <w:rsid w:val="1B272664"/>
    <w:rsid w:val="1B5B5F98"/>
    <w:rsid w:val="1B872DE7"/>
    <w:rsid w:val="1B8A2BE4"/>
    <w:rsid w:val="1BB43B98"/>
    <w:rsid w:val="1BC22AF5"/>
    <w:rsid w:val="1C09374B"/>
    <w:rsid w:val="1C0F475C"/>
    <w:rsid w:val="1C1D4A99"/>
    <w:rsid w:val="1C232174"/>
    <w:rsid w:val="1C2F4160"/>
    <w:rsid w:val="1C8F5B80"/>
    <w:rsid w:val="1C9D22A8"/>
    <w:rsid w:val="1CB406AC"/>
    <w:rsid w:val="1CEB33E5"/>
    <w:rsid w:val="1D102F8E"/>
    <w:rsid w:val="1D271DC8"/>
    <w:rsid w:val="1D30008D"/>
    <w:rsid w:val="1D370CCD"/>
    <w:rsid w:val="1D3A2F68"/>
    <w:rsid w:val="1D3C56BC"/>
    <w:rsid w:val="1D71275A"/>
    <w:rsid w:val="1D7C0744"/>
    <w:rsid w:val="1D7F459B"/>
    <w:rsid w:val="1D891E75"/>
    <w:rsid w:val="1DB76AC2"/>
    <w:rsid w:val="1DF30B27"/>
    <w:rsid w:val="1DFE32C5"/>
    <w:rsid w:val="1E0D7210"/>
    <w:rsid w:val="1E465977"/>
    <w:rsid w:val="1E691BB9"/>
    <w:rsid w:val="1EA95B4F"/>
    <w:rsid w:val="1EAC0A22"/>
    <w:rsid w:val="1EAE2304"/>
    <w:rsid w:val="1EAF1B9C"/>
    <w:rsid w:val="1EEE3318"/>
    <w:rsid w:val="1F1B7ADD"/>
    <w:rsid w:val="1F585DFC"/>
    <w:rsid w:val="1F7F3B0C"/>
    <w:rsid w:val="1FFC4475"/>
    <w:rsid w:val="201F0475"/>
    <w:rsid w:val="2027455D"/>
    <w:rsid w:val="20430411"/>
    <w:rsid w:val="20462389"/>
    <w:rsid w:val="204C025E"/>
    <w:rsid w:val="20524A58"/>
    <w:rsid w:val="20543EFD"/>
    <w:rsid w:val="20755AD6"/>
    <w:rsid w:val="209D3176"/>
    <w:rsid w:val="20B15C43"/>
    <w:rsid w:val="2109434D"/>
    <w:rsid w:val="210B3B0D"/>
    <w:rsid w:val="210E3FF7"/>
    <w:rsid w:val="213A784A"/>
    <w:rsid w:val="2147538B"/>
    <w:rsid w:val="216D7521"/>
    <w:rsid w:val="21BB2913"/>
    <w:rsid w:val="21C329ED"/>
    <w:rsid w:val="21D7411B"/>
    <w:rsid w:val="21E51BF5"/>
    <w:rsid w:val="2206390C"/>
    <w:rsid w:val="22151AE4"/>
    <w:rsid w:val="222956AD"/>
    <w:rsid w:val="22347A50"/>
    <w:rsid w:val="2259629D"/>
    <w:rsid w:val="225E6832"/>
    <w:rsid w:val="22772705"/>
    <w:rsid w:val="2279064F"/>
    <w:rsid w:val="2286121C"/>
    <w:rsid w:val="229628E4"/>
    <w:rsid w:val="22AC14DC"/>
    <w:rsid w:val="22BF5081"/>
    <w:rsid w:val="22C3004D"/>
    <w:rsid w:val="22ED0720"/>
    <w:rsid w:val="22F82060"/>
    <w:rsid w:val="230E20FB"/>
    <w:rsid w:val="233D55AB"/>
    <w:rsid w:val="234750A5"/>
    <w:rsid w:val="234C51D1"/>
    <w:rsid w:val="2362415D"/>
    <w:rsid w:val="239062E0"/>
    <w:rsid w:val="239D08AD"/>
    <w:rsid w:val="239E759F"/>
    <w:rsid w:val="23B43164"/>
    <w:rsid w:val="23C450AC"/>
    <w:rsid w:val="23E559A6"/>
    <w:rsid w:val="23F508EC"/>
    <w:rsid w:val="242B69EF"/>
    <w:rsid w:val="242D082B"/>
    <w:rsid w:val="24350B15"/>
    <w:rsid w:val="245579B9"/>
    <w:rsid w:val="24A60D3C"/>
    <w:rsid w:val="24A85509"/>
    <w:rsid w:val="24AD66FB"/>
    <w:rsid w:val="24B036C6"/>
    <w:rsid w:val="24B25916"/>
    <w:rsid w:val="24B65385"/>
    <w:rsid w:val="24C934C5"/>
    <w:rsid w:val="24EA76FE"/>
    <w:rsid w:val="24F600E0"/>
    <w:rsid w:val="25425EEE"/>
    <w:rsid w:val="256774E4"/>
    <w:rsid w:val="25C65A0C"/>
    <w:rsid w:val="25F03044"/>
    <w:rsid w:val="25FF4312"/>
    <w:rsid w:val="26443F4C"/>
    <w:rsid w:val="26462A60"/>
    <w:rsid w:val="26463B55"/>
    <w:rsid w:val="265D7666"/>
    <w:rsid w:val="26755A9E"/>
    <w:rsid w:val="267808CE"/>
    <w:rsid w:val="269208E5"/>
    <w:rsid w:val="26A00D01"/>
    <w:rsid w:val="26AB5E6C"/>
    <w:rsid w:val="26C82A55"/>
    <w:rsid w:val="26FC5DF5"/>
    <w:rsid w:val="271E621D"/>
    <w:rsid w:val="272B2777"/>
    <w:rsid w:val="27412DF3"/>
    <w:rsid w:val="27482D19"/>
    <w:rsid w:val="27600B19"/>
    <w:rsid w:val="276071C9"/>
    <w:rsid w:val="27633F70"/>
    <w:rsid w:val="27747FC4"/>
    <w:rsid w:val="277F6033"/>
    <w:rsid w:val="27BB4AC0"/>
    <w:rsid w:val="27E96745"/>
    <w:rsid w:val="27EC6E09"/>
    <w:rsid w:val="27FD421C"/>
    <w:rsid w:val="281510E0"/>
    <w:rsid w:val="282316FA"/>
    <w:rsid w:val="284F7113"/>
    <w:rsid w:val="28742529"/>
    <w:rsid w:val="2883510B"/>
    <w:rsid w:val="28D83F9A"/>
    <w:rsid w:val="28DB3191"/>
    <w:rsid w:val="28DE63E7"/>
    <w:rsid w:val="29005363"/>
    <w:rsid w:val="29055171"/>
    <w:rsid w:val="290E2854"/>
    <w:rsid w:val="29262E43"/>
    <w:rsid w:val="29365BD0"/>
    <w:rsid w:val="294615E4"/>
    <w:rsid w:val="2966194A"/>
    <w:rsid w:val="29773A14"/>
    <w:rsid w:val="297D7030"/>
    <w:rsid w:val="299056BE"/>
    <w:rsid w:val="29914139"/>
    <w:rsid w:val="29965517"/>
    <w:rsid w:val="29CA51B6"/>
    <w:rsid w:val="2A03090D"/>
    <w:rsid w:val="2A484F76"/>
    <w:rsid w:val="2A487B7A"/>
    <w:rsid w:val="2A5679BA"/>
    <w:rsid w:val="2A7F5137"/>
    <w:rsid w:val="2AC724EE"/>
    <w:rsid w:val="2AD6533C"/>
    <w:rsid w:val="2AE95A8D"/>
    <w:rsid w:val="2B347883"/>
    <w:rsid w:val="2B3E357C"/>
    <w:rsid w:val="2B4B1998"/>
    <w:rsid w:val="2B803493"/>
    <w:rsid w:val="2B996815"/>
    <w:rsid w:val="2B9E5D0A"/>
    <w:rsid w:val="2BB60EE7"/>
    <w:rsid w:val="2BC3688E"/>
    <w:rsid w:val="2BE23EF2"/>
    <w:rsid w:val="2BF811AE"/>
    <w:rsid w:val="2C004E4A"/>
    <w:rsid w:val="2C17689C"/>
    <w:rsid w:val="2C4A2E32"/>
    <w:rsid w:val="2C5F5251"/>
    <w:rsid w:val="2C67002F"/>
    <w:rsid w:val="2C740280"/>
    <w:rsid w:val="2CAC0DED"/>
    <w:rsid w:val="2CE8764B"/>
    <w:rsid w:val="2CE916A0"/>
    <w:rsid w:val="2CFD1BA7"/>
    <w:rsid w:val="2D0179E6"/>
    <w:rsid w:val="2D646102"/>
    <w:rsid w:val="2D7C79A2"/>
    <w:rsid w:val="2D7E103A"/>
    <w:rsid w:val="2DB651CE"/>
    <w:rsid w:val="2DBF70BD"/>
    <w:rsid w:val="2DF04A8F"/>
    <w:rsid w:val="2E3F1298"/>
    <w:rsid w:val="2E901F16"/>
    <w:rsid w:val="2E914A22"/>
    <w:rsid w:val="2E9D20EC"/>
    <w:rsid w:val="2EB456D7"/>
    <w:rsid w:val="2EB81E4E"/>
    <w:rsid w:val="2EC56D43"/>
    <w:rsid w:val="2F113BE5"/>
    <w:rsid w:val="2F262753"/>
    <w:rsid w:val="2F270054"/>
    <w:rsid w:val="2F283B7F"/>
    <w:rsid w:val="2F8361AE"/>
    <w:rsid w:val="2FA71930"/>
    <w:rsid w:val="2FB05F27"/>
    <w:rsid w:val="2FCF2577"/>
    <w:rsid w:val="2FE20BD8"/>
    <w:rsid w:val="2FE40BFD"/>
    <w:rsid w:val="2FE5547E"/>
    <w:rsid w:val="300D3B2C"/>
    <w:rsid w:val="30310130"/>
    <w:rsid w:val="3035074B"/>
    <w:rsid w:val="3066443D"/>
    <w:rsid w:val="30757215"/>
    <w:rsid w:val="30793738"/>
    <w:rsid w:val="30860960"/>
    <w:rsid w:val="308E78D5"/>
    <w:rsid w:val="30962F10"/>
    <w:rsid w:val="30AA1BD2"/>
    <w:rsid w:val="30BA2778"/>
    <w:rsid w:val="30C220DC"/>
    <w:rsid w:val="30F235F0"/>
    <w:rsid w:val="31060447"/>
    <w:rsid w:val="311712AA"/>
    <w:rsid w:val="314506D2"/>
    <w:rsid w:val="3146543D"/>
    <w:rsid w:val="31642DB4"/>
    <w:rsid w:val="31837387"/>
    <w:rsid w:val="31980672"/>
    <w:rsid w:val="319F17AD"/>
    <w:rsid w:val="31BF20EF"/>
    <w:rsid w:val="31CF396F"/>
    <w:rsid w:val="31EA2AAA"/>
    <w:rsid w:val="31EF5742"/>
    <w:rsid w:val="31F2124B"/>
    <w:rsid w:val="32057BA7"/>
    <w:rsid w:val="320F1E41"/>
    <w:rsid w:val="32146D1C"/>
    <w:rsid w:val="3253317A"/>
    <w:rsid w:val="32777ABD"/>
    <w:rsid w:val="32830E45"/>
    <w:rsid w:val="32A509BB"/>
    <w:rsid w:val="32B55712"/>
    <w:rsid w:val="32C4330F"/>
    <w:rsid w:val="32E560FE"/>
    <w:rsid w:val="33297F21"/>
    <w:rsid w:val="33323549"/>
    <w:rsid w:val="33563869"/>
    <w:rsid w:val="336F2E7E"/>
    <w:rsid w:val="33715053"/>
    <w:rsid w:val="338D5E52"/>
    <w:rsid w:val="33901590"/>
    <w:rsid w:val="33925430"/>
    <w:rsid w:val="33A4310C"/>
    <w:rsid w:val="33A643C7"/>
    <w:rsid w:val="33C40BC0"/>
    <w:rsid w:val="33C85C5B"/>
    <w:rsid w:val="33DD2C91"/>
    <w:rsid w:val="33E40E1A"/>
    <w:rsid w:val="33EF17BD"/>
    <w:rsid w:val="341F1392"/>
    <w:rsid w:val="344D35BF"/>
    <w:rsid w:val="346A11C0"/>
    <w:rsid w:val="34843AA5"/>
    <w:rsid w:val="34960442"/>
    <w:rsid w:val="34BB744E"/>
    <w:rsid w:val="34E406B2"/>
    <w:rsid w:val="35663DE8"/>
    <w:rsid w:val="359063DB"/>
    <w:rsid w:val="35AE5B04"/>
    <w:rsid w:val="35C1080D"/>
    <w:rsid w:val="35E23EA3"/>
    <w:rsid w:val="35EB3481"/>
    <w:rsid w:val="36127347"/>
    <w:rsid w:val="36321AB2"/>
    <w:rsid w:val="365774CB"/>
    <w:rsid w:val="36637691"/>
    <w:rsid w:val="367030D1"/>
    <w:rsid w:val="368129E0"/>
    <w:rsid w:val="369C238B"/>
    <w:rsid w:val="36AF3E98"/>
    <w:rsid w:val="36B06E39"/>
    <w:rsid w:val="36C22772"/>
    <w:rsid w:val="36D84ECF"/>
    <w:rsid w:val="36F332C2"/>
    <w:rsid w:val="37052040"/>
    <w:rsid w:val="37195C24"/>
    <w:rsid w:val="372C4DAC"/>
    <w:rsid w:val="37380672"/>
    <w:rsid w:val="374E10D0"/>
    <w:rsid w:val="37513560"/>
    <w:rsid w:val="37582427"/>
    <w:rsid w:val="3761312A"/>
    <w:rsid w:val="377F4539"/>
    <w:rsid w:val="37936642"/>
    <w:rsid w:val="379E1CA7"/>
    <w:rsid w:val="37B54803"/>
    <w:rsid w:val="37FF04B8"/>
    <w:rsid w:val="38002F5A"/>
    <w:rsid w:val="381B0588"/>
    <w:rsid w:val="38261014"/>
    <w:rsid w:val="38342860"/>
    <w:rsid w:val="384276A8"/>
    <w:rsid w:val="384E15ED"/>
    <w:rsid w:val="385A2164"/>
    <w:rsid w:val="38673C95"/>
    <w:rsid w:val="38835929"/>
    <w:rsid w:val="389614A1"/>
    <w:rsid w:val="38A06ACA"/>
    <w:rsid w:val="38A416CB"/>
    <w:rsid w:val="38D20AB3"/>
    <w:rsid w:val="38F13A35"/>
    <w:rsid w:val="393E0ADE"/>
    <w:rsid w:val="39A94E91"/>
    <w:rsid w:val="39CC2F9D"/>
    <w:rsid w:val="39E84A26"/>
    <w:rsid w:val="3A2D3A43"/>
    <w:rsid w:val="3A5A082B"/>
    <w:rsid w:val="3A60713E"/>
    <w:rsid w:val="3A7B64E8"/>
    <w:rsid w:val="3A8A5A70"/>
    <w:rsid w:val="3A997C61"/>
    <w:rsid w:val="3AA53AEF"/>
    <w:rsid w:val="3AD039B4"/>
    <w:rsid w:val="3B0C5326"/>
    <w:rsid w:val="3B0F594A"/>
    <w:rsid w:val="3B524E50"/>
    <w:rsid w:val="3B5C04FD"/>
    <w:rsid w:val="3B71413B"/>
    <w:rsid w:val="3B7B1948"/>
    <w:rsid w:val="3B871355"/>
    <w:rsid w:val="3BB163D0"/>
    <w:rsid w:val="3BB3110B"/>
    <w:rsid w:val="3BFB3CBD"/>
    <w:rsid w:val="3C12336D"/>
    <w:rsid w:val="3C2346A1"/>
    <w:rsid w:val="3C2749AA"/>
    <w:rsid w:val="3C2F3413"/>
    <w:rsid w:val="3C3B0A9A"/>
    <w:rsid w:val="3C6036FE"/>
    <w:rsid w:val="3C652842"/>
    <w:rsid w:val="3C963D1D"/>
    <w:rsid w:val="3CE836DE"/>
    <w:rsid w:val="3CEA078B"/>
    <w:rsid w:val="3CEC119E"/>
    <w:rsid w:val="3D102321"/>
    <w:rsid w:val="3D170D8A"/>
    <w:rsid w:val="3D227269"/>
    <w:rsid w:val="3D2D49B5"/>
    <w:rsid w:val="3D3D419D"/>
    <w:rsid w:val="3D3D50A2"/>
    <w:rsid w:val="3D5C6A2B"/>
    <w:rsid w:val="3D7D3315"/>
    <w:rsid w:val="3D8F5877"/>
    <w:rsid w:val="3DD649F9"/>
    <w:rsid w:val="3DEA337D"/>
    <w:rsid w:val="3DFD0F8A"/>
    <w:rsid w:val="3E0C2959"/>
    <w:rsid w:val="3E6357BE"/>
    <w:rsid w:val="3E7349B5"/>
    <w:rsid w:val="3E9D60C4"/>
    <w:rsid w:val="3ECC6477"/>
    <w:rsid w:val="3F1A3C89"/>
    <w:rsid w:val="3F3B4EF5"/>
    <w:rsid w:val="3F603883"/>
    <w:rsid w:val="3F617595"/>
    <w:rsid w:val="3F6E291A"/>
    <w:rsid w:val="3F6F2CA4"/>
    <w:rsid w:val="3FF20A09"/>
    <w:rsid w:val="40045591"/>
    <w:rsid w:val="40212FD6"/>
    <w:rsid w:val="40226341"/>
    <w:rsid w:val="402D2F82"/>
    <w:rsid w:val="40440979"/>
    <w:rsid w:val="40541A84"/>
    <w:rsid w:val="406F68CD"/>
    <w:rsid w:val="40795E81"/>
    <w:rsid w:val="407C7722"/>
    <w:rsid w:val="408819A8"/>
    <w:rsid w:val="40A5479C"/>
    <w:rsid w:val="40B86483"/>
    <w:rsid w:val="40C11948"/>
    <w:rsid w:val="40F626AD"/>
    <w:rsid w:val="41663523"/>
    <w:rsid w:val="418945E0"/>
    <w:rsid w:val="419C2A2A"/>
    <w:rsid w:val="41A53200"/>
    <w:rsid w:val="41E452C0"/>
    <w:rsid w:val="41EC4EC1"/>
    <w:rsid w:val="421E5734"/>
    <w:rsid w:val="42636FFD"/>
    <w:rsid w:val="42A12457"/>
    <w:rsid w:val="42A576C8"/>
    <w:rsid w:val="436317C0"/>
    <w:rsid w:val="43664346"/>
    <w:rsid w:val="438E669F"/>
    <w:rsid w:val="43AF0D8C"/>
    <w:rsid w:val="43CB60BC"/>
    <w:rsid w:val="43D050B7"/>
    <w:rsid w:val="43F01442"/>
    <w:rsid w:val="43F31D81"/>
    <w:rsid w:val="44234DDC"/>
    <w:rsid w:val="442942EF"/>
    <w:rsid w:val="44587218"/>
    <w:rsid w:val="446A6590"/>
    <w:rsid w:val="446E452A"/>
    <w:rsid w:val="447946BC"/>
    <w:rsid w:val="44A16BB8"/>
    <w:rsid w:val="44C06773"/>
    <w:rsid w:val="450135B2"/>
    <w:rsid w:val="450E6A51"/>
    <w:rsid w:val="45110E25"/>
    <w:rsid w:val="45212E1D"/>
    <w:rsid w:val="452570D8"/>
    <w:rsid w:val="455474B7"/>
    <w:rsid w:val="4578025D"/>
    <w:rsid w:val="457B50A7"/>
    <w:rsid w:val="459647AD"/>
    <w:rsid w:val="45BC5DA6"/>
    <w:rsid w:val="45D958CA"/>
    <w:rsid w:val="45F57A72"/>
    <w:rsid w:val="46000FD4"/>
    <w:rsid w:val="46155F01"/>
    <w:rsid w:val="4629258A"/>
    <w:rsid w:val="46321365"/>
    <w:rsid w:val="463F0FBC"/>
    <w:rsid w:val="46416A09"/>
    <w:rsid w:val="464934AC"/>
    <w:rsid w:val="46621029"/>
    <w:rsid w:val="46920508"/>
    <w:rsid w:val="46C76D13"/>
    <w:rsid w:val="46E612CB"/>
    <w:rsid w:val="46EF0E1D"/>
    <w:rsid w:val="46FC1033"/>
    <w:rsid w:val="471C7726"/>
    <w:rsid w:val="47383B43"/>
    <w:rsid w:val="47B14A2D"/>
    <w:rsid w:val="47C2316A"/>
    <w:rsid w:val="47CB6AB0"/>
    <w:rsid w:val="47CE3ED9"/>
    <w:rsid w:val="47D80A79"/>
    <w:rsid w:val="47E3636E"/>
    <w:rsid w:val="4807103B"/>
    <w:rsid w:val="48131159"/>
    <w:rsid w:val="48235D10"/>
    <w:rsid w:val="48384FA7"/>
    <w:rsid w:val="483B0FBF"/>
    <w:rsid w:val="483D7C76"/>
    <w:rsid w:val="485D559C"/>
    <w:rsid w:val="486F193A"/>
    <w:rsid w:val="48A523BB"/>
    <w:rsid w:val="48D23157"/>
    <w:rsid w:val="48EE372E"/>
    <w:rsid w:val="48FA6B00"/>
    <w:rsid w:val="490C642F"/>
    <w:rsid w:val="493E2E2B"/>
    <w:rsid w:val="494E4E45"/>
    <w:rsid w:val="495E72FA"/>
    <w:rsid w:val="498A6ED1"/>
    <w:rsid w:val="49CA4557"/>
    <w:rsid w:val="49DA44C6"/>
    <w:rsid w:val="49FC2CFB"/>
    <w:rsid w:val="4A001853"/>
    <w:rsid w:val="4A1B49DA"/>
    <w:rsid w:val="4A2813D3"/>
    <w:rsid w:val="4A38793E"/>
    <w:rsid w:val="4A475A6A"/>
    <w:rsid w:val="4A6A4A19"/>
    <w:rsid w:val="4A7F11BF"/>
    <w:rsid w:val="4A9B45BE"/>
    <w:rsid w:val="4AA31707"/>
    <w:rsid w:val="4AB84A8C"/>
    <w:rsid w:val="4ABF08B3"/>
    <w:rsid w:val="4AC309DA"/>
    <w:rsid w:val="4AC768C8"/>
    <w:rsid w:val="4B0318A3"/>
    <w:rsid w:val="4B0413BD"/>
    <w:rsid w:val="4B2E4F72"/>
    <w:rsid w:val="4B3C0652"/>
    <w:rsid w:val="4B806BEB"/>
    <w:rsid w:val="4B8E7F48"/>
    <w:rsid w:val="4BD84831"/>
    <w:rsid w:val="4BE21265"/>
    <w:rsid w:val="4BE34905"/>
    <w:rsid w:val="4C167A76"/>
    <w:rsid w:val="4C1B2332"/>
    <w:rsid w:val="4C242663"/>
    <w:rsid w:val="4C7712F9"/>
    <w:rsid w:val="4C7E5D9E"/>
    <w:rsid w:val="4C860E3E"/>
    <w:rsid w:val="4CB11E8C"/>
    <w:rsid w:val="4D22007D"/>
    <w:rsid w:val="4D2629D4"/>
    <w:rsid w:val="4D48305D"/>
    <w:rsid w:val="4D8B743E"/>
    <w:rsid w:val="4D8B75FA"/>
    <w:rsid w:val="4D904C53"/>
    <w:rsid w:val="4D9F763A"/>
    <w:rsid w:val="4DB04F08"/>
    <w:rsid w:val="4DB75B65"/>
    <w:rsid w:val="4DD523A6"/>
    <w:rsid w:val="4E0B34DA"/>
    <w:rsid w:val="4E395DCC"/>
    <w:rsid w:val="4E532524"/>
    <w:rsid w:val="4E9B14A1"/>
    <w:rsid w:val="4EA04FC7"/>
    <w:rsid w:val="4ECB6FAF"/>
    <w:rsid w:val="4EEB25D9"/>
    <w:rsid w:val="4EEB3D37"/>
    <w:rsid w:val="4EF054BF"/>
    <w:rsid w:val="4EFF2CF7"/>
    <w:rsid w:val="4F390F35"/>
    <w:rsid w:val="4F4D0694"/>
    <w:rsid w:val="4F505781"/>
    <w:rsid w:val="4F6F22EF"/>
    <w:rsid w:val="4FDC5C76"/>
    <w:rsid w:val="4FDC670B"/>
    <w:rsid w:val="4FFE47FD"/>
    <w:rsid w:val="50012F9E"/>
    <w:rsid w:val="50766083"/>
    <w:rsid w:val="509329AA"/>
    <w:rsid w:val="50B24A02"/>
    <w:rsid w:val="50BF4537"/>
    <w:rsid w:val="50C478E6"/>
    <w:rsid w:val="50D7051F"/>
    <w:rsid w:val="50D7772C"/>
    <w:rsid w:val="50F203A8"/>
    <w:rsid w:val="50F52156"/>
    <w:rsid w:val="50FD2B89"/>
    <w:rsid w:val="510143FA"/>
    <w:rsid w:val="511E403D"/>
    <w:rsid w:val="512776C8"/>
    <w:rsid w:val="512A35BB"/>
    <w:rsid w:val="513955BA"/>
    <w:rsid w:val="51816A34"/>
    <w:rsid w:val="51A82755"/>
    <w:rsid w:val="51C4270B"/>
    <w:rsid w:val="51C94340"/>
    <w:rsid w:val="51CA55F2"/>
    <w:rsid w:val="51ED710E"/>
    <w:rsid w:val="51FB0EED"/>
    <w:rsid w:val="52357029"/>
    <w:rsid w:val="5242159F"/>
    <w:rsid w:val="524C5612"/>
    <w:rsid w:val="524F51C5"/>
    <w:rsid w:val="526B6824"/>
    <w:rsid w:val="527026A8"/>
    <w:rsid w:val="5272277A"/>
    <w:rsid w:val="527533FF"/>
    <w:rsid w:val="52B14033"/>
    <w:rsid w:val="52CC211F"/>
    <w:rsid w:val="52D8761C"/>
    <w:rsid w:val="52E367EB"/>
    <w:rsid w:val="52EB18CD"/>
    <w:rsid w:val="530F76E0"/>
    <w:rsid w:val="53333830"/>
    <w:rsid w:val="53553BE2"/>
    <w:rsid w:val="53761CFD"/>
    <w:rsid w:val="537A0B55"/>
    <w:rsid w:val="53927227"/>
    <w:rsid w:val="53A86832"/>
    <w:rsid w:val="53B96947"/>
    <w:rsid w:val="54011BAC"/>
    <w:rsid w:val="542C3573"/>
    <w:rsid w:val="54430F60"/>
    <w:rsid w:val="54AE3F8E"/>
    <w:rsid w:val="54EB69C3"/>
    <w:rsid w:val="5511354F"/>
    <w:rsid w:val="552A7FE7"/>
    <w:rsid w:val="557115C3"/>
    <w:rsid w:val="559D435C"/>
    <w:rsid w:val="55B10DDB"/>
    <w:rsid w:val="55E22BD4"/>
    <w:rsid w:val="55E37396"/>
    <w:rsid w:val="55E624CC"/>
    <w:rsid w:val="56123F39"/>
    <w:rsid w:val="561867D0"/>
    <w:rsid w:val="56704B31"/>
    <w:rsid w:val="56A04549"/>
    <w:rsid w:val="56D63DC1"/>
    <w:rsid w:val="56E36CDD"/>
    <w:rsid w:val="57004A13"/>
    <w:rsid w:val="57290703"/>
    <w:rsid w:val="5732261A"/>
    <w:rsid w:val="57362648"/>
    <w:rsid w:val="57393045"/>
    <w:rsid w:val="57637A1B"/>
    <w:rsid w:val="57755834"/>
    <w:rsid w:val="5778503F"/>
    <w:rsid w:val="57D46CB6"/>
    <w:rsid w:val="580072F7"/>
    <w:rsid w:val="58155B8F"/>
    <w:rsid w:val="58210C7C"/>
    <w:rsid w:val="58331C13"/>
    <w:rsid w:val="58463AF5"/>
    <w:rsid w:val="58653A7E"/>
    <w:rsid w:val="58AA1A0F"/>
    <w:rsid w:val="58B1559E"/>
    <w:rsid w:val="58B32371"/>
    <w:rsid w:val="58B67703"/>
    <w:rsid w:val="58D4455C"/>
    <w:rsid w:val="58F608CA"/>
    <w:rsid w:val="594777D3"/>
    <w:rsid w:val="59503039"/>
    <w:rsid w:val="596217AD"/>
    <w:rsid w:val="59630491"/>
    <w:rsid w:val="596309C3"/>
    <w:rsid w:val="59E815D6"/>
    <w:rsid w:val="59E81FBA"/>
    <w:rsid w:val="59EF1D34"/>
    <w:rsid w:val="5A1E652B"/>
    <w:rsid w:val="5A247CF7"/>
    <w:rsid w:val="5A483A59"/>
    <w:rsid w:val="5A7765CF"/>
    <w:rsid w:val="5A78590C"/>
    <w:rsid w:val="5A892135"/>
    <w:rsid w:val="5AAC75BC"/>
    <w:rsid w:val="5AD4657A"/>
    <w:rsid w:val="5B307250"/>
    <w:rsid w:val="5B3514BC"/>
    <w:rsid w:val="5B3A21A7"/>
    <w:rsid w:val="5B45758E"/>
    <w:rsid w:val="5B4F0206"/>
    <w:rsid w:val="5B536A73"/>
    <w:rsid w:val="5B5E4980"/>
    <w:rsid w:val="5B6D4B1A"/>
    <w:rsid w:val="5BAA3765"/>
    <w:rsid w:val="5BAC5CC3"/>
    <w:rsid w:val="5BB567F1"/>
    <w:rsid w:val="5BC42066"/>
    <w:rsid w:val="5BC72601"/>
    <w:rsid w:val="5BDB25A7"/>
    <w:rsid w:val="5BDB672B"/>
    <w:rsid w:val="5BFC1276"/>
    <w:rsid w:val="5BFC751E"/>
    <w:rsid w:val="5C3921AA"/>
    <w:rsid w:val="5C4B1BF0"/>
    <w:rsid w:val="5C5D3CC4"/>
    <w:rsid w:val="5C842DAA"/>
    <w:rsid w:val="5C876486"/>
    <w:rsid w:val="5C89787E"/>
    <w:rsid w:val="5C8A61F9"/>
    <w:rsid w:val="5C8C5A63"/>
    <w:rsid w:val="5CA47B95"/>
    <w:rsid w:val="5CB5343A"/>
    <w:rsid w:val="5D0529D2"/>
    <w:rsid w:val="5D077506"/>
    <w:rsid w:val="5D0E1677"/>
    <w:rsid w:val="5D1A6B97"/>
    <w:rsid w:val="5D1E1A64"/>
    <w:rsid w:val="5D2E73B7"/>
    <w:rsid w:val="5D7D0691"/>
    <w:rsid w:val="5D967721"/>
    <w:rsid w:val="5DB30833"/>
    <w:rsid w:val="5DBB2351"/>
    <w:rsid w:val="5DF5645E"/>
    <w:rsid w:val="5E2832C0"/>
    <w:rsid w:val="5E4C439C"/>
    <w:rsid w:val="5E5110F5"/>
    <w:rsid w:val="5E973DA2"/>
    <w:rsid w:val="5EA23ED1"/>
    <w:rsid w:val="5EA2501C"/>
    <w:rsid w:val="5EBF04DF"/>
    <w:rsid w:val="5EC97EE4"/>
    <w:rsid w:val="5EDA288D"/>
    <w:rsid w:val="5F094C7D"/>
    <w:rsid w:val="5F3B63D8"/>
    <w:rsid w:val="5F443C5F"/>
    <w:rsid w:val="5F54163A"/>
    <w:rsid w:val="5F550FA9"/>
    <w:rsid w:val="5F6417F4"/>
    <w:rsid w:val="5F6533F3"/>
    <w:rsid w:val="5F71733F"/>
    <w:rsid w:val="5F980975"/>
    <w:rsid w:val="5FF51C2C"/>
    <w:rsid w:val="600152EA"/>
    <w:rsid w:val="601A38DF"/>
    <w:rsid w:val="60241949"/>
    <w:rsid w:val="602826AC"/>
    <w:rsid w:val="60321366"/>
    <w:rsid w:val="60363865"/>
    <w:rsid w:val="60453C66"/>
    <w:rsid w:val="60700828"/>
    <w:rsid w:val="61727A23"/>
    <w:rsid w:val="618E23BF"/>
    <w:rsid w:val="619E013E"/>
    <w:rsid w:val="61D74482"/>
    <w:rsid w:val="61E66DAB"/>
    <w:rsid w:val="61F84C0E"/>
    <w:rsid w:val="623C11FA"/>
    <w:rsid w:val="62421F81"/>
    <w:rsid w:val="62564486"/>
    <w:rsid w:val="62571386"/>
    <w:rsid w:val="62894754"/>
    <w:rsid w:val="628D560C"/>
    <w:rsid w:val="62C34EF6"/>
    <w:rsid w:val="63135A63"/>
    <w:rsid w:val="63231A48"/>
    <w:rsid w:val="63265967"/>
    <w:rsid w:val="63415C07"/>
    <w:rsid w:val="634F2F3D"/>
    <w:rsid w:val="6360587C"/>
    <w:rsid w:val="637E5B1E"/>
    <w:rsid w:val="63951D40"/>
    <w:rsid w:val="639A5C61"/>
    <w:rsid w:val="63A81199"/>
    <w:rsid w:val="63BA261B"/>
    <w:rsid w:val="63FE1362"/>
    <w:rsid w:val="64107064"/>
    <w:rsid w:val="645D28D0"/>
    <w:rsid w:val="645E0EC6"/>
    <w:rsid w:val="64664E06"/>
    <w:rsid w:val="647A4534"/>
    <w:rsid w:val="64930D27"/>
    <w:rsid w:val="64977C5B"/>
    <w:rsid w:val="64C61F68"/>
    <w:rsid w:val="64CD63CC"/>
    <w:rsid w:val="64DE17BA"/>
    <w:rsid w:val="64DF5AF4"/>
    <w:rsid w:val="64E31D58"/>
    <w:rsid w:val="652B0B42"/>
    <w:rsid w:val="655A1B6F"/>
    <w:rsid w:val="6565317F"/>
    <w:rsid w:val="65860B1C"/>
    <w:rsid w:val="65AF5DA3"/>
    <w:rsid w:val="65D01DA9"/>
    <w:rsid w:val="65D427EB"/>
    <w:rsid w:val="66062660"/>
    <w:rsid w:val="66151CC0"/>
    <w:rsid w:val="661643EC"/>
    <w:rsid w:val="663E7FBA"/>
    <w:rsid w:val="66B37678"/>
    <w:rsid w:val="67094037"/>
    <w:rsid w:val="67297C18"/>
    <w:rsid w:val="673E111A"/>
    <w:rsid w:val="677F0D10"/>
    <w:rsid w:val="678C169E"/>
    <w:rsid w:val="679E4341"/>
    <w:rsid w:val="67CF47C3"/>
    <w:rsid w:val="68026E45"/>
    <w:rsid w:val="68452C56"/>
    <w:rsid w:val="684F597E"/>
    <w:rsid w:val="68781C75"/>
    <w:rsid w:val="68993E43"/>
    <w:rsid w:val="68A60DDF"/>
    <w:rsid w:val="68C251D1"/>
    <w:rsid w:val="68F071DA"/>
    <w:rsid w:val="69330877"/>
    <w:rsid w:val="694F6227"/>
    <w:rsid w:val="69504CB2"/>
    <w:rsid w:val="697C5096"/>
    <w:rsid w:val="6982341F"/>
    <w:rsid w:val="69CC7091"/>
    <w:rsid w:val="69D17D43"/>
    <w:rsid w:val="69D237A1"/>
    <w:rsid w:val="69DA3028"/>
    <w:rsid w:val="6A04025D"/>
    <w:rsid w:val="6A0402C6"/>
    <w:rsid w:val="6A1B534B"/>
    <w:rsid w:val="6A1D485A"/>
    <w:rsid w:val="6A417C7E"/>
    <w:rsid w:val="6A8974C3"/>
    <w:rsid w:val="6A994A3F"/>
    <w:rsid w:val="6A9A07B8"/>
    <w:rsid w:val="6A9C6438"/>
    <w:rsid w:val="6AEC49E8"/>
    <w:rsid w:val="6AED5613"/>
    <w:rsid w:val="6AEF5B2D"/>
    <w:rsid w:val="6B4559EA"/>
    <w:rsid w:val="6B535C16"/>
    <w:rsid w:val="6B5756D3"/>
    <w:rsid w:val="6BC11DF7"/>
    <w:rsid w:val="6BC969CF"/>
    <w:rsid w:val="6BD00CF0"/>
    <w:rsid w:val="6BEE5A83"/>
    <w:rsid w:val="6BF74491"/>
    <w:rsid w:val="6C0C2921"/>
    <w:rsid w:val="6C105DF8"/>
    <w:rsid w:val="6C2F06A3"/>
    <w:rsid w:val="6C30656E"/>
    <w:rsid w:val="6C612812"/>
    <w:rsid w:val="6C682691"/>
    <w:rsid w:val="6C767B23"/>
    <w:rsid w:val="6C7867D1"/>
    <w:rsid w:val="6C812E4B"/>
    <w:rsid w:val="6C816061"/>
    <w:rsid w:val="6CB702BA"/>
    <w:rsid w:val="6CCC2157"/>
    <w:rsid w:val="6CF95064"/>
    <w:rsid w:val="6D05318B"/>
    <w:rsid w:val="6D0862F7"/>
    <w:rsid w:val="6D423E1A"/>
    <w:rsid w:val="6D535020"/>
    <w:rsid w:val="6D670699"/>
    <w:rsid w:val="6DAE56C4"/>
    <w:rsid w:val="6DAE690A"/>
    <w:rsid w:val="6DB31940"/>
    <w:rsid w:val="6DC76386"/>
    <w:rsid w:val="6DDE6D29"/>
    <w:rsid w:val="6DE16AFA"/>
    <w:rsid w:val="6DEF017C"/>
    <w:rsid w:val="6E203478"/>
    <w:rsid w:val="6E567C8B"/>
    <w:rsid w:val="6E7401D4"/>
    <w:rsid w:val="6E8746E2"/>
    <w:rsid w:val="6E8D2F0F"/>
    <w:rsid w:val="6E943DF0"/>
    <w:rsid w:val="6E9876EA"/>
    <w:rsid w:val="6EB93D4E"/>
    <w:rsid w:val="6EC0703C"/>
    <w:rsid w:val="6ECD6A3E"/>
    <w:rsid w:val="6ED41E43"/>
    <w:rsid w:val="6F1553E6"/>
    <w:rsid w:val="6F4139FE"/>
    <w:rsid w:val="6F48722E"/>
    <w:rsid w:val="6F6D3D73"/>
    <w:rsid w:val="6F7F22DD"/>
    <w:rsid w:val="6F93152D"/>
    <w:rsid w:val="6FA66156"/>
    <w:rsid w:val="6FBC7C20"/>
    <w:rsid w:val="6FD25B64"/>
    <w:rsid w:val="6FF61878"/>
    <w:rsid w:val="70010A83"/>
    <w:rsid w:val="700E728F"/>
    <w:rsid w:val="705671DF"/>
    <w:rsid w:val="70680EED"/>
    <w:rsid w:val="706C584E"/>
    <w:rsid w:val="70802B6C"/>
    <w:rsid w:val="70954313"/>
    <w:rsid w:val="709C3899"/>
    <w:rsid w:val="70A27079"/>
    <w:rsid w:val="70A90261"/>
    <w:rsid w:val="70E5169F"/>
    <w:rsid w:val="710A4552"/>
    <w:rsid w:val="710E10E9"/>
    <w:rsid w:val="711347E3"/>
    <w:rsid w:val="7128128F"/>
    <w:rsid w:val="71296610"/>
    <w:rsid w:val="715C7271"/>
    <w:rsid w:val="7170122E"/>
    <w:rsid w:val="718C733F"/>
    <w:rsid w:val="718F1E5C"/>
    <w:rsid w:val="71901E5A"/>
    <w:rsid w:val="71BA1FEA"/>
    <w:rsid w:val="71D93B9A"/>
    <w:rsid w:val="71E94C3D"/>
    <w:rsid w:val="72014A68"/>
    <w:rsid w:val="72053E6E"/>
    <w:rsid w:val="720A33A7"/>
    <w:rsid w:val="723E7666"/>
    <w:rsid w:val="72404633"/>
    <w:rsid w:val="725B0C86"/>
    <w:rsid w:val="726B65B0"/>
    <w:rsid w:val="7275745F"/>
    <w:rsid w:val="728E2381"/>
    <w:rsid w:val="72A64A71"/>
    <w:rsid w:val="72B20FA2"/>
    <w:rsid w:val="72D46E3C"/>
    <w:rsid w:val="72F03014"/>
    <w:rsid w:val="731B365A"/>
    <w:rsid w:val="732079B3"/>
    <w:rsid w:val="732A6916"/>
    <w:rsid w:val="734170FF"/>
    <w:rsid w:val="73507C69"/>
    <w:rsid w:val="73561EB3"/>
    <w:rsid w:val="737B4358"/>
    <w:rsid w:val="73E3055D"/>
    <w:rsid w:val="73F17B5B"/>
    <w:rsid w:val="742D790E"/>
    <w:rsid w:val="74555F11"/>
    <w:rsid w:val="746A5055"/>
    <w:rsid w:val="747011CA"/>
    <w:rsid w:val="747B5B83"/>
    <w:rsid w:val="747D217E"/>
    <w:rsid w:val="74BA089C"/>
    <w:rsid w:val="74BF5EE1"/>
    <w:rsid w:val="74D55588"/>
    <w:rsid w:val="74F8048B"/>
    <w:rsid w:val="75031970"/>
    <w:rsid w:val="750B5D90"/>
    <w:rsid w:val="75617D28"/>
    <w:rsid w:val="7566254C"/>
    <w:rsid w:val="75AB338F"/>
    <w:rsid w:val="75B92409"/>
    <w:rsid w:val="75C24048"/>
    <w:rsid w:val="75C83549"/>
    <w:rsid w:val="75C90EF5"/>
    <w:rsid w:val="76096F6A"/>
    <w:rsid w:val="7645157C"/>
    <w:rsid w:val="767B5563"/>
    <w:rsid w:val="767C1843"/>
    <w:rsid w:val="76BB019E"/>
    <w:rsid w:val="76DB31FA"/>
    <w:rsid w:val="76DF4FF1"/>
    <w:rsid w:val="76F71FED"/>
    <w:rsid w:val="77144C7B"/>
    <w:rsid w:val="77641928"/>
    <w:rsid w:val="77726A7A"/>
    <w:rsid w:val="77CC0C74"/>
    <w:rsid w:val="77F67FF5"/>
    <w:rsid w:val="78191AEA"/>
    <w:rsid w:val="781C21C9"/>
    <w:rsid w:val="788335EF"/>
    <w:rsid w:val="78B1336D"/>
    <w:rsid w:val="78B423F8"/>
    <w:rsid w:val="78C97A4C"/>
    <w:rsid w:val="78DD1B68"/>
    <w:rsid w:val="79127323"/>
    <w:rsid w:val="791C0BF5"/>
    <w:rsid w:val="791D28E9"/>
    <w:rsid w:val="79304C6A"/>
    <w:rsid w:val="79455AF6"/>
    <w:rsid w:val="79462058"/>
    <w:rsid w:val="794A32D9"/>
    <w:rsid w:val="79504442"/>
    <w:rsid w:val="79653B33"/>
    <w:rsid w:val="796A0812"/>
    <w:rsid w:val="79736E88"/>
    <w:rsid w:val="797C351A"/>
    <w:rsid w:val="798178D4"/>
    <w:rsid w:val="798B2145"/>
    <w:rsid w:val="79932F71"/>
    <w:rsid w:val="799973F4"/>
    <w:rsid w:val="79A945EE"/>
    <w:rsid w:val="79CB5136"/>
    <w:rsid w:val="79E2559A"/>
    <w:rsid w:val="79E31FC5"/>
    <w:rsid w:val="79E76022"/>
    <w:rsid w:val="79ED1107"/>
    <w:rsid w:val="79F6169D"/>
    <w:rsid w:val="79FC3013"/>
    <w:rsid w:val="7A3F57C2"/>
    <w:rsid w:val="7A5B5254"/>
    <w:rsid w:val="7A7662BA"/>
    <w:rsid w:val="7A833909"/>
    <w:rsid w:val="7A877AC3"/>
    <w:rsid w:val="7AA53D4F"/>
    <w:rsid w:val="7AC07F52"/>
    <w:rsid w:val="7ADC3C6A"/>
    <w:rsid w:val="7B183554"/>
    <w:rsid w:val="7B5F6C1F"/>
    <w:rsid w:val="7B62573A"/>
    <w:rsid w:val="7B9F75A6"/>
    <w:rsid w:val="7BB27626"/>
    <w:rsid w:val="7BC062F2"/>
    <w:rsid w:val="7BE71708"/>
    <w:rsid w:val="7BED3515"/>
    <w:rsid w:val="7BF82C70"/>
    <w:rsid w:val="7BF978FE"/>
    <w:rsid w:val="7C0A4618"/>
    <w:rsid w:val="7C1D4FB0"/>
    <w:rsid w:val="7C273363"/>
    <w:rsid w:val="7C5B6D80"/>
    <w:rsid w:val="7C600B33"/>
    <w:rsid w:val="7C722B6F"/>
    <w:rsid w:val="7CA029F5"/>
    <w:rsid w:val="7CA41BDB"/>
    <w:rsid w:val="7CBB47C1"/>
    <w:rsid w:val="7CD65EE2"/>
    <w:rsid w:val="7CFD1B05"/>
    <w:rsid w:val="7D304AB3"/>
    <w:rsid w:val="7D5E29A8"/>
    <w:rsid w:val="7D6B12BE"/>
    <w:rsid w:val="7D6B1319"/>
    <w:rsid w:val="7DB41764"/>
    <w:rsid w:val="7DD039A8"/>
    <w:rsid w:val="7DDB39A4"/>
    <w:rsid w:val="7DEB29A3"/>
    <w:rsid w:val="7E367DAC"/>
    <w:rsid w:val="7E7018AC"/>
    <w:rsid w:val="7EA2141B"/>
    <w:rsid w:val="7ED3223C"/>
    <w:rsid w:val="7F0C1461"/>
    <w:rsid w:val="7F452BA2"/>
    <w:rsid w:val="7F4542A7"/>
    <w:rsid w:val="7FA10364"/>
    <w:rsid w:val="7FA205EA"/>
    <w:rsid w:val="7FAE104F"/>
    <w:rsid w:val="7FB21F08"/>
    <w:rsid w:val="7FBC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黑体" w:eastAsia="黑体"/>
      <w:sz w:val="28"/>
    </w:rPr>
  </w:style>
  <w:style w:type="paragraph" w:styleId="4">
    <w:name w:val="heading 2"/>
    <w:basedOn w:val="1"/>
    <w:next w:val="1"/>
    <w:link w:val="62"/>
    <w:qFormat/>
    <w:uiPriority w:val="0"/>
    <w:pPr>
      <w:keepNext/>
      <w:spacing w:line="720" w:lineRule="exact"/>
      <w:jc w:val="center"/>
      <w:outlineLvl w:val="1"/>
    </w:pPr>
    <w:rPr>
      <w:rFonts w:ascii="黑体" w:hAnsi="黑体" w:eastAsia="仿宋_GB2312"/>
      <w:b/>
      <w:sz w:val="30"/>
    </w:rPr>
  </w:style>
  <w:style w:type="paragraph" w:styleId="5">
    <w:name w:val="heading 3"/>
    <w:basedOn w:val="1"/>
    <w:next w:val="1"/>
    <w:unhideWhenUsed/>
    <w:qFormat/>
    <w:uiPriority w:val="0"/>
    <w:pPr>
      <w:keepNext/>
      <w:keepLines/>
      <w:spacing w:line="360" w:lineRule="auto"/>
      <w:jc w:val="left"/>
      <w:outlineLvl w:val="2"/>
    </w:pPr>
    <w:rPr>
      <w:rFonts w:ascii="Calibri Light" w:hAnsi="Calibri Light" w:eastAsia="仿宋_GB2312"/>
      <w:bCs/>
      <w:sz w:val="28"/>
      <w:szCs w:val="32"/>
    </w:rPr>
  </w:style>
  <w:style w:type="paragraph" w:styleId="6">
    <w:name w:val="heading 4"/>
    <w:basedOn w:val="1"/>
    <w:next w:val="1"/>
    <w:qFormat/>
    <w:uiPriority w:val="0"/>
    <w:pPr>
      <w:keepNext/>
      <w:spacing w:line="600" w:lineRule="exact"/>
      <w:jc w:val="center"/>
      <w:outlineLvl w:val="3"/>
    </w:pPr>
    <w:rPr>
      <w:rFonts w:ascii="楷体_GB2312" w:eastAsia="楷体_GB2312"/>
      <w:sz w:val="32"/>
    </w:rPr>
  </w:style>
  <w:style w:type="paragraph" w:styleId="7">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1"/>
    </w:rPr>
  </w:style>
  <w:style w:type="paragraph" w:styleId="8">
    <w:name w:val="Note Heading"/>
    <w:basedOn w:val="1"/>
    <w:next w:val="1"/>
    <w:qFormat/>
    <w:uiPriority w:val="0"/>
    <w:pPr>
      <w:jc w:val="center"/>
    </w:pPr>
  </w:style>
  <w:style w:type="paragraph" w:styleId="9">
    <w:name w:val="toa heading"/>
    <w:basedOn w:val="1"/>
    <w:next w:val="1"/>
    <w:unhideWhenUsed/>
    <w:qFormat/>
    <w:uiPriority w:val="99"/>
    <w:rPr>
      <w:rFonts w:ascii="Arial" w:hAnsi="Arial"/>
      <w:sz w:val="24"/>
    </w:rPr>
  </w:style>
  <w:style w:type="paragraph" w:styleId="10">
    <w:name w:val="annotation text"/>
    <w:basedOn w:val="1"/>
    <w:qFormat/>
    <w:uiPriority w:val="0"/>
    <w:pPr>
      <w:jc w:val="left"/>
    </w:pPr>
  </w:style>
  <w:style w:type="paragraph" w:styleId="11">
    <w:name w:val="Body Text 3"/>
    <w:basedOn w:val="1"/>
    <w:qFormat/>
    <w:uiPriority w:val="0"/>
    <w:pPr>
      <w:jc w:val="center"/>
    </w:pPr>
    <w:rPr>
      <w:b/>
      <w:spacing w:val="-20"/>
      <w:w w:val="110"/>
      <w:sz w:val="52"/>
    </w:rPr>
  </w:style>
  <w:style w:type="paragraph" w:styleId="12">
    <w:name w:val="Body Text"/>
    <w:basedOn w:val="1"/>
    <w:next w:val="1"/>
    <w:qFormat/>
    <w:uiPriority w:val="0"/>
  </w:style>
  <w:style w:type="paragraph" w:styleId="13">
    <w:name w:val="Body Text Indent"/>
    <w:basedOn w:val="1"/>
    <w:next w:val="14"/>
    <w:semiHidden/>
    <w:unhideWhenUsed/>
    <w:qFormat/>
    <w:uiPriority w:val="99"/>
    <w:pPr>
      <w:ind w:left="420" w:leftChars="200"/>
    </w:pPr>
  </w:style>
  <w:style w:type="paragraph" w:styleId="14">
    <w:name w:val="envelope return"/>
    <w:basedOn w:val="1"/>
    <w:qFormat/>
    <w:uiPriority w:val="99"/>
    <w:pPr>
      <w:snapToGrid w:val="0"/>
    </w:pPr>
    <w:rPr>
      <w:rFonts w:ascii="Arial" w:hAnsi="Arial" w:cs="Arial"/>
    </w:rPr>
  </w:style>
  <w:style w:type="paragraph" w:styleId="15">
    <w:name w:val="toc 3"/>
    <w:basedOn w:val="1"/>
    <w:next w:val="1"/>
    <w:semiHidden/>
    <w:qFormat/>
    <w:uiPriority w:val="0"/>
    <w:pPr>
      <w:ind w:left="840" w:leftChars="400"/>
    </w:pPr>
  </w:style>
  <w:style w:type="paragraph" w:styleId="16">
    <w:name w:val="Plain Text"/>
    <w:basedOn w:val="1"/>
    <w:qFormat/>
    <w:uiPriority w:val="0"/>
    <w:rPr>
      <w:rFonts w:ascii="宋体" w:hAnsi="Courier New"/>
    </w:rPr>
  </w:style>
  <w:style w:type="paragraph" w:styleId="17">
    <w:name w:val="Balloon Text"/>
    <w:basedOn w:val="1"/>
    <w:link w:val="78"/>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style>
  <w:style w:type="paragraph" w:styleId="21">
    <w:name w:val="toc 2"/>
    <w:basedOn w:val="1"/>
    <w:next w:val="1"/>
    <w:qFormat/>
    <w:uiPriority w:val="39"/>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Body Text First Indent"/>
    <w:basedOn w:val="12"/>
    <w:next w:val="24"/>
    <w:unhideWhenUsed/>
    <w:qFormat/>
    <w:uiPriority w:val="99"/>
    <w:pPr>
      <w:ind w:firstLine="420" w:firstLineChars="100"/>
    </w:pPr>
    <w:rPr>
      <w:szCs w:val="24"/>
    </w:rPr>
  </w:style>
  <w:style w:type="paragraph" w:styleId="24">
    <w:name w:val="Body Text First Indent 2"/>
    <w:basedOn w:val="13"/>
    <w:next w:val="23"/>
    <w:semiHidden/>
    <w:unhideWhenUsed/>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0"/>
    <w:rPr>
      <w:color w:val="333333"/>
      <w:u w:val="none"/>
    </w:rPr>
  </w:style>
  <w:style w:type="character" w:styleId="31">
    <w:name w:val="Emphasis"/>
    <w:basedOn w:val="27"/>
    <w:qFormat/>
    <w:uiPriority w:val="0"/>
  </w:style>
  <w:style w:type="character" w:styleId="32">
    <w:name w:val="HTML Definition"/>
    <w:basedOn w:val="27"/>
    <w:qFormat/>
    <w:uiPriority w:val="0"/>
    <w:rPr>
      <w:i/>
    </w:rPr>
  </w:style>
  <w:style w:type="character" w:styleId="33">
    <w:name w:val="Hyperlink"/>
    <w:basedOn w:val="27"/>
    <w:qFormat/>
    <w:uiPriority w:val="0"/>
    <w:rPr>
      <w:color w:val="296FBE"/>
      <w:u w:val="none"/>
    </w:rPr>
  </w:style>
  <w:style w:type="character" w:styleId="34">
    <w:name w:val="HTML Code"/>
    <w:basedOn w:val="27"/>
    <w:qFormat/>
    <w:uiPriority w:val="0"/>
    <w:rPr>
      <w:rFonts w:hint="default" w:ascii="Consolas" w:hAnsi="Consolas" w:eastAsia="Consolas" w:cs="Consolas"/>
      <w:color w:val="C7254E"/>
      <w:sz w:val="21"/>
      <w:szCs w:val="21"/>
      <w:shd w:val="clear" w:color="auto" w:fill="F9F2F4"/>
    </w:rPr>
  </w:style>
  <w:style w:type="character" w:styleId="35">
    <w:name w:val="HTML Keyboard"/>
    <w:basedOn w:val="27"/>
    <w:qFormat/>
    <w:uiPriority w:val="0"/>
    <w:rPr>
      <w:rFonts w:ascii="Consolas" w:hAnsi="Consolas" w:eastAsia="Consolas" w:cs="Consolas"/>
      <w:color w:val="FFFFFF"/>
      <w:sz w:val="21"/>
      <w:szCs w:val="21"/>
      <w:shd w:val="clear" w:color="auto" w:fill="333333"/>
    </w:rPr>
  </w:style>
  <w:style w:type="character" w:styleId="36">
    <w:name w:val="HTML Sample"/>
    <w:basedOn w:val="27"/>
    <w:qFormat/>
    <w:uiPriority w:val="0"/>
    <w:rPr>
      <w:rFonts w:hint="default" w:ascii="Consolas" w:hAnsi="Consolas" w:eastAsia="Consolas" w:cs="Consolas"/>
      <w:sz w:val="21"/>
      <w:szCs w:val="21"/>
    </w:rPr>
  </w:style>
  <w:style w:type="paragraph" w:customStyle="1" w:styleId="37">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8">
    <w:name w:val="默认段落字体 Para Char Char Char Char"/>
    <w:basedOn w:val="1"/>
    <w:qFormat/>
    <w:uiPriority w:val="0"/>
    <w:rPr>
      <w:szCs w:val="24"/>
    </w:rPr>
  </w:style>
  <w:style w:type="character" w:customStyle="1" w:styleId="39">
    <w:name w:val="标题 2 Char"/>
    <w:qFormat/>
    <w:uiPriority w:val="0"/>
    <w:rPr>
      <w:rFonts w:ascii="黑体" w:hAnsi="黑体" w:eastAsia="仿宋_GB2312"/>
      <w:b/>
      <w:sz w:val="30"/>
    </w:rPr>
  </w:style>
  <w:style w:type="paragraph" w:customStyle="1" w:styleId="40">
    <w:name w:val="列出段落1"/>
    <w:basedOn w:val="1"/>
    <w:qFormat/>
    <w:uiPriority w:val="34"/>
    <w:pPr>
      <w:ind w:firstLine="420" w:firstLineChars="200"/>
    </w:pPr>
    <w:rPr>
      <w:rFonts w:ascii="Calibri" w:hAnsi="Calibri" w:cs="黑体"/>
      <w:szCs w:val="22"/>
    </w:rPr>
  </w:style>
  <w:style w:type="paragraph" w:customStyle="1" w:styleId="41">
    <w:name w:val="Default"/>
    <w:qFormat/>
    <w:uiPriority w:val="99"/>
    <w:pPr>
      <w:widowControl w:val="0"/>
      <w:autoSpaceDE w:val="0"/>
      <w:autoSpaceDN w:val="0"/>
      <w:adjustRightInd w:val="0"/>
    </w:pPr>
    <w:rPr>
      <w:rFonts w:ascii="Myriad Pro Light" w:hAnsi="Calibri" w:eastAsia="Times New Roman" w:cs="Myriad Pro Light"/>
      <w:color w:val="000000"/>
      <w:sz w:val="24"/>
      <w:szCs w:val="24"/>
      <w:lang w:val="en-US" w:eastAsia="zh-CN" w:bidi="ar-SA"/>
    </w:rPr>
  </w:style>
  <w:style w:type="paragraph" w:styleId="42">
    <w:name w:val="List Paragraph"/>
    <w:basedOn w:val="1"/>
    <w:qFormat/>
    <w:uiPriority w:val="0"/>
    <w:pPr>
      <w:ind w:firstLine="420" w:firstLineChars="200"/>
    </w:pPr>
  </w:style>
  <w:style w:type="paragraph" w:customStyle="1" w:styleId="43">
    <w:name w:val="正文自定"/>
    <w:basedOn w:val="1"/>
    <w:qFormat/>
    <w:uiPriority w:val="0"/>
    <w:pPr>
      <w:tabs>
        <w:tab w:val="left" w:pos="7665"/>
      </w:tabs>
      <w:spacing w:line="360" w:lineRule="auto"/>
      <w:ind w:firstLine="480" w:firstLineChars="200"/>
    </w:pPr>
    <w:rPr>
      <w:rFonts w:ascii="宋体" w:hAnsi="宋体"/>
      <w:sz w:val="24"/>
      <w:szCs w:val="24"/>
    </w:rPr>
  </w:style>
  <w:style w:type="character" w:customStyle="1" w:styleId="44">
    <w:name w:val="font11"/>
    <w:basedOn w:val="27"/>
    <w:qFormat/>
    <w:uiPriority w:val="0"/>
    <w:rPr>
      <w:rFonts w:hint="eastAsia" w:ascii="宋体" w:hAnsi="宋体" w:eastAsia="宋体" w:cs="宋体"/>
      <w:color w:val="000000"/>
      <w:sz w:val="18"/>
      <w:szCs w:val="18"/>
      <w:u w:val="none"/>
    </w:rPr>
  </w:style>
  <w:style w:type="character" w:customStyle="1" w:styleId="45">
    <w:name w:val="font41"/>
    <w:basedOn w:val="27"/>
    <w:qFormat/>
    <w:uiPriority w:val="0"/>
    <w:rPr>
      <w:rFonts w:hint="eastAsia" w:ascii="宋体" w:hAnsi="宋体" w:eastAsia="宋体" w:cs="宋体"/>
      <w:color w:val="000000"/>
      <w:sz w:val="24"/>
      <w:szCs w:val="24"/>
      <w:u w:val="none"/>
    </w:rPr>
  </w:style>
  <w:style w:type="character" w:customStyle="1" w:styleId="46">
    <w:name w:val="font81"/>
    <w:basedOn w:val="27"/>
    <w:qFormat/>
    <w:uiPriority w:val="0"/>
    <w:rPr>
      <w:rFonts w:ascii="BatangChe" w:hAnsi="BatangChe" w:eastAsia="BatangChe" w:cs="BatangChe"/>
      <w:color w:val="000000"/>
      <w:sz w:val="18"/>
      <w:szCs w:val="18"/>
      <w:u w:val="none"/>
    </w:rPr>
  </w:style>
  <w:style w:type="character" w:customStyle="1" w:styleId="47">
    <w:name w:val="font01"/>
    <w:basedOn w:val="27"/>
    <w:qFormat/>
    <w:uiPriority w:val="0"/>
    <w:rPr>
      <w:rFonts w:hint="eastAsia" w:ascii="仿宋_GB2312" w:eastAsia="仿宋_GB2312" w:cs="仿宋_GB2312"/>
      <w:color w:val="000000"/>
      <w:sz w:val="18"/>
      <w:szCs w:val="18"/>
      <w:u w:val="none"/>
    </w:rPr>
  </w:style>
  <w:style w:type="character" w:customStyle="1" w:styleId="48">
    <w:name w:val="font31"/>
    <w:basedOn w:val="27"/>
    <w:qFormat/>
    <w:uiPriority w:val="0"/>
    <w:rPr>
      <w:rFonts w:hint="default" w:ascii="Times New Roman" w:hAnsi="Times New Roman" w:cs="Times New Roman"/>
      <w:color w:val="000000"/>
      <w:sz w:val="18"/>
      <w:szCs w:val="18"/>
      <w:u w:val="none"/>
    </w:rPr>
  </w:style>
  <w:style w:type="character" w:customStyle="1" w:styleId="49">
    <w:name w:val="font21"/>
    <w:basedOn w:val="27"/>
    <w:qFormat/>
    <w:uiPriority w:val="0"/>
    <w:rPr>
      <w:rFonts w:hint="eastAsia" w:ascii="仿宋_GB2312" w:eastAsia="仿宋_GB2312" w:cs="仿宋_GB2312"/>
      <w:color w:val="000000"/>
      <w:sz w:val="20"/>
      <w:szCs w:val="20"/>
      <w:u w:val="none"/>
    </w:rPr>
  </w:style>
  <w:style w:type="character" w:customStyle="1" w:styleId="50">
    <w:name w:val="font51"/>
    <w:basedOn w:val="27"/>
    <w:qFormat/>
    <w:uiPriority w:val="0"/>
    <w:rPr>
      <w:rFonts w:hint="eastAsia" w:ascii="仿宋_GB2312" w:eastAsia="仿宋_GB2312" w:cs="仿宋_GB2312"/>
      <w:color w:val="000000"/>
      <w:sz w:val="24"/>
      <w:szCs w:val="24"/>
      <w:u w:val="none"/>
    </w:rPr>
  </w:style>
  <w:style w:type="character" w:customStyle="1" w:styleId="51">
    <w:name w:val="font61"/>
    <w:basedOn w:val="27"/>
    <w:qFormat/>
    <w:uiPriority w:val="0"/>
    <w:rPr>
      <w:rFonts w:hint="default" w:ascii="Times New Roman" w:hAnsi="Times New Roman" w:cs="Times New Roman"/>
      <w:color w:val="000000"/>
      <w:sz w:val="24"/>
      <w:szCs w:val="24"/>
      <w:u w:val="none"/>
    </w:rPr>
  </w:style>
  <w:style w:type="character" w:customStyle="1" w:styleId="52">
    <w:name w:val="hour_pm"/>
    <w:basedOn w:val="27"/>
    <w:qFormat/>
    <w:uiPriority w:val="0"/>
  </w:style>
  <w:style w:type="character" w:customStyle="1" w:styleId="53">
    <w:name w:val="hover3"/>
    <w:basedOn w:val="27"/>
    <w:qFormat/>
    <w:uiPriority w:val="0"/>
    <w:rPr>
      <w:shd w:val="clear" w:color="auto" w:fill="EEEEEE"/>
    </w:rPr>
  </w:style>
  <w:style w:type="character" w:customStyle="1" w:styleId="54">
    <w:name w:val="old"/>
    <w:basedOn w:val="27"/>
    <w:qFormat/>
    <w:uiPriority w:val="0"/>
    <w:rPr>
      <w:color w:val="999999"/>
    </w:rPr>
  </w:style>
  <w:style w:type="character" w:customStyle="1" w:styleId="55">
    <w:name w:val="glyphicon4"/>
    <w:basedOn w:val="27"/>
    <w:qFormat/>
    <w:uiPriority w:val="0"/>
  </w:style>
  <w:style w:type="character" w:customStyle="1" w:styleId="56">
    <w:name w:val="hour_am"/>
    <w:basedOn w:val="27"/>
    <w:qFormat/>
    <w:uiPriority w:val="0"/>
  </w:style>
  <w:style w:type="character" w:customStyle="1" w:styleId="57">
    <w:name w:val="indent"/>
    <w:basedOn w:val="27"/>
    <w:qFormat/>
    <w:uiPriority w:val="0"/>
  </w:style>
  <w:style w:type="character" w:customStyle="1" w:styleId="58">
    <w:name w:val="button"/>
    <w:basedOn w:val="27"/>
    <w:qFormat/>
    <w:uiPriority w:val="0"/>
  </w:style>
  <w:style w:type="character" w:customStyle="1" w:styleId="59">
    <w:name w:val="tmpztreemove_arrow"/>
    <w:basedOn w:val="27"/>
    <w:qFormat/>
    <w:uiPriority w:val="0"/>
    <w:rPr>
      <w:shd w:val="clear" w:color="auto" w:fill="FFFFFF"/>
    </w:rPr>
  </w:style>
  <w:style w:type="paragraph" w:customStyle="1" w:styleId="6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6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62">
    <w:name w:val="标题 2 Char1"/>
    <w:link w:val="4"/>
    <w:qFormat/>
    <w:uiPriority w:val="0"/>
    <w:rPr>
      <w:rFonts w:ascii="黑体" w:hAnsi="黑体" w:eastAsia="宋体"/>
      <w:b/>
      <w:sz w:val="44"/>
    </w:rPr>
  </w:style>
  <w:style w:type="character" w:customStyle="1" w:styleId="63">
    <w:name w:val="active4"/>
    <w:basedOn w:val="27"/>
    <w:qFormat/>
    <w:uiPriority w:val="0"/>
    <w:rPr>
      <w:color w:val="00FF00"/>
      <w:shd w:val="clear" w:color="auto" w:fill="000000"/>
    </w:rPr>
  </w:style>
  <w:style w:type="character" w:customStyle="1" w:styleId="64">
    <w:name w:val="phone"/>
    <w:basedOn w:val="27"/>
    <w:qFormat/>
    <w:uiPriority w:val="0"/>
    <w:rPr>
      <w:color w:val="FF8833"/>
      <w:sz w:val="18"/>
      <w:szCs w:val="18"/>
    </w:rPr>
  </w:style>
  <w:style w:type="character" w:customStyle="1" w:styleId="65">
    <w:name w:val="stclosebtn"/>
    <w:basedOn w:val="27"/>
    <w:qFormat/>
    <w:uiPriority w:val="0"/>
  </w:style>
  <w:style w:type="character" w:customStyle="1" w:styleId="66">
    <w:name w:val="proollist"/>
    <w:basedOn w:val="27"/>
    <w:qFormat/>
    <w:uiPriority w:val="0"/>
  </w:style>
  <w:style w:type="character" w:customStyle="1" w:styleId="67">
    <w:name w:val="span-long"/>
    <w:basedOn w:val="27"/>
    <w:qFormat/>
    <w:uiPriority w:val="0"/>
  </w:style>
  <w:style w:type="character" w:customStyle="1" w:styleId="68">
    <w:name w:val="input-direction"/>
    <w:basedOn w:val="27"/>
    <w:qFormat/>
    <w:uiPriority w:val="0"/>
    <w:rPr>
      <w:color w:val="FF6600"/>
    </w:rPr>
  </w:style>
  <w:style w:type="character" w:customStyle="1" w:styleId="69">
    <w:name w:val="beforeinfotext"/>
    <w:basedOn w:val="27"/>
    <w:qFormat/>
    <w:uiPriority w:val="0"/>
    <w:rPr>
      <w:color w:val="666666"/>
    </w:rPr>
  </w:style>
  <w:style w:type="character" w:customStyle="1" w:styleId="70">
    <w:name w:val="number"/>
    <w:basedOn w:val="27"/>
    <w:qFormat/>
    <w:uiPriority w:val="0"/>
    <w:rPr>
      <w:color w:val="FF8833"/>
      <w:sz w:val="18"/>
      <w:szCs w:val="18"/>
    </w:rPr>
  </w:style>
  <w:style w:type="character" w:customStyle="1" w:styleId="71">
    <w:name w:val="hilite6"/>
    <w:basedOn w:val="27"/>
    <w:qFormat/>
    <w:uiPriority w:val="0"/>
    <w:rPr>
      <w:color w:val="FFFFFF"/>
      <w:shd w:val="clear" w:color="auto" w:fill="666677"/>
    </w:rPr>
  </w:style>
  <w:style w:type="character" w:customStyle="1" w:styleId="72">
    <w:name w:val="active"/>
    <w:basedOn w:val="27"/>
    <w:qFormat/>
    <w:uiPriority w:val="0"/>
    <w:rPr>
      <w:color w:val="00FF00"/>
      <w:shd w:val="clear" w:color="auto" w:fill="000000"/>
    </w:rPr>
  </w:style>
  <w:style w:type="character" w:customStyle="1" w:styleId="73">
    <w:name w:val="active6"/>
    <w:basedOn w:val="27"/>
    <w:qFormat/>
    <w:uiPriority w:val="0"/>
    <w:rPr>
      <w:color w:val="00FF00"/>
      <w:shd w:val="clear" w:color="auto" w:fill="000000"/>
    </w:rPr>
  </w:style>
  <w:style w:type="character" w:customStyle="1" w:styleId="74">
    <w:name w:val="hilite"/>
    <w:basedOn w:val="27"/>
    <w:qFormat/>
    <w:uiPriority w:val="0"/>
    <w:rPr>
      <w:color w:val="FFFFFF"/>
      <w:shd w:val="clear" w:color="auto" w:fill="666677"/>
    </w:rPr>
  </w:style>
  <w:style w:type="character" w:customStyle="1" w:styleId="75">
    <w:name w:val="button2"/>
    <w:basedOn w:val="27"/>
    <w:qFormat/>
    <w:uiPriority w:val="0"/>
  </w:style>
  <w:style w:type="paragraph" w:customStyle="1" w:styleId="76">
    <w:name w:val="Body text|1"/>
    <w:basedOn w:val="1"/>
    <w:qFormat/>
    <w:uiPriority w:val="0"/>
    <w:pPr>
      <w:spacing w:after="140" w:line="406" w:lineRule="auto"/>
      <w:ind w:firstLine="400"/>
    </w:pPr>
    <w:rPr>
      <w:rFonts w:ascii="宋体" w:hAnsi="宋体" w:cs="宋体"/>
      <w:sz w:val="20"/>
      <w:lang w:val="zh-TW" w:eastAsia="zh-TW" w:bidi="zh-TW"/>
    </w:rPr>
  </w:style>
  <w:style w:type="table" w:customStyle="1" w:styleId="77">
    <w:name w:val="Table Normal"/>
    <w:semiHidden/>
    <w:unhideWhenUsed/>
    <w:qFormat/>
    <w:uiPriority w:val="0"/>
    <w:tblPr>
      <w:tblCellMar>
        <w:top w:w="0" w:type="dxa"/>
        <w:left w:w="0" w:type="dxa"/>
        <w:bottom w:w="0" w:type="dxa"/>
        <w:right w:w="0" w:type="dxa"/>
      </w:tblCellMar>
    </w:tblPr>
  </w:style>
  <w:style w:type="character" w:customStyle="1" w:styleId="78">
    <w:name w:val="批注框文本 Char"/>
    <w:basedOn w:val="27"/>
    <w:link w:val="1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65</Pages>
  <Words>28231</Words>
  <Characters>29339</Characters>
  <Lines>246</Lines>
  <Paragraphs>69</Paragraphs>
  <TotalTime>2</TotalTime>
  <ScaleCrop>false</ScaleCrop>
  <LinksUpToDate>false</LinksUpToDate>
  <CharactersWithSpaces>31771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2018-11-19T10:02:00Z</dcterms:created>
  <dc:creator>李纪旋</dc:creator>
  <cp:lastModifiedBy>张亚娜</cp:lastModifiedBy>
  <cp:lastPrinted>2022-08-10T09:58:00Z</cp:lastPrinted>
  <dcterms:modified xsi:type="dcterms:W3CDTF">2022-10-13T10:06:41Z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D0C6B4B1F4F74AF3AC479AB7E93D0E8F</vt:lpwstr>
  </property>
</Properties>
</file>