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宋体" w:eastAsia="宋体" w:cs="宋体"/>
          <w:b/>
          <w:sz w:val="36"/>
          <w:highlight w:val="none"/>
          <w:lang w:val="en-US"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w:t>
      </w:r>
      <w:r>
        <w:rPr>
          <w:rFonts w:hint="eastAsia" w:hAnsi="宋体" w:cs="宋体"/>
          <w:b/>
          <w:bCs/>
          <w:sz w:val="32"/>
          <w:szCs w:val="32"/>
          <w:highlight w:val="none"/>
          <w:lang w:val="en-US" w:eastAsia="zh-CN"/>
        </w:rPr>
        <w:t>1016</w:t>
      </w:r>
    </w:p>
    <w:p>
      <w:pPr>
        <w:rPr>
          <w:rFonts w:hAnsi="宋体" w:cs="宋体"/>
          <w:b/>
          <w:sz w:val="36"/>
          <w:highlight w:val="none"/>
        </w:rPr>
      </w:pPr>
      <w:r>
        <w:rPr>
          <w:rFonts w:hint="eastAsia" w:hAnsi="宋体" w:cs="宋体"/>
          <w:b/>
          <w:sz w:val="36"/>
          <w:highlight w:val="none"/>
        </w:rPr>
        <w:t xml:space="preserve"> </w:t>
      </w:r>
      <w:bookmarkStart w:id="213" w:name="_GoBack"/>
      <w:bookmarkEnd w:id="213"/>
    </w:p>
    <w:p>
      <w:pPr>
        <w:rPr>
          <w:rFonts w:hAnsi="宋体" w:cs="宋体"/>
          <w:b/>
          <w:sz w:val="36"/>
          <w:highlight w:val="none"/>
        </w:rPr>
      </w:pPr>
    </w:p>
    <w:p>
      <w:pPr>
        <w:rPr>
          <w:rFonts w:hAnsi="宋体" w:cs="宋体"/>
          <w:b/>
          <w:sz w:val="40"/>
          <w:szCs w:val="21"/>
          <w:highlight w:val="none"/>
        </w:rPr>
      </w:pPr>
    </w:p>
    <w:p>
      <w:pPr>
        <w:jc w:val="center"/>
        <w:rPr>
          <w:rFonts w:hAnsi="宋体" w:cs="宋体"/>
          <w:b/>
          <w:sz w:val="56"/>
          <w:szCs w:val="56"/>
          <w:highlight w:val="none"/>
        </w:rPr>
      </w:pPr>
    </w:p>
    <w:p>
      <w:pPr>
        <w:spacing w:line="780" w:lineRule="auto"/>
        <w:jc w:val="center"/>
        <w:rPr>
          <w:rFonts w:hint="eastAsia" w:hAnsi="宋体" w:eastAsia="宋体" w:cs="宋体"/>
          <w:b/>
          <w:sz w:val="44"/>
          <w:szCs w:val="44"/>
          <w:highlight w:val="none"/>
          <w:lang w:val="en-US" w:eastAsia="zh-CN"/>
        </w:rPr>
      </w:pPr>
      <w:r>
        <w:rPr>
          <w:rFonts w:hint="eastAsia" w:hAnsi="宋体" w:cs="宋体"/>
          <w:b/>
          <w:sz w:val="44"/>
          <w:szCs w:val="44"/>
          <w:highlight w:val="none"/>
          <w:lang w:eastAsia="zh-CN"/>
        </w:rPr>
        <w:t>西安市商务局关于2022年会议会展产业中高级人才培训班项目</w:t>
      </w:r>
    </w:p>
    <w:p>
      <w:pPr>
        <w:spacing w:line="780" w:lineRule="auto"/>
        <w:jc w:val="center"/>
        <w:rPr>
          <w:rFonts w:hAnsi="宋体" w:cs="宋体"/>
          <w:b/>
          <w:sz w:val="48"/>
          <w:szCs w:val="48"/>
          <w:highlight w:val="none"/>
        </w:rPr>
      </w:pPr>
    </w:p>
    <w:p>
      <w:pPr>
        <w:spacing w:line="780" w:lineRule="auto"/>
        <w:jc w:val="center"/>
        <w:rPr>
          <w:rFonts w:hAnsi="宋体" w:cs="宋体"/>
          <w:b/>
          <w:sz w:val="72"/>
          <w:szCs w:val="72"/>
          <w:highlight w:val="none"/>
        </w:rPr>
      </w:pPr>
    </w:p>
    <w:p>
      <w:pPr>
        <w:spacing w:line="780" w:lineRule="auto"/>
        <w:jc w:val="center"/>
        <w:rPr>
          <w:rFonts w:hAnsi="宋体" w:cs="宋体"/>
          <w:b/>
          <w:sz w:val="52"/>
          <w:szCs w:val="52"/>
          <w:highlight w:val="none"/>
        </w:rPr>
      </w:pPr>
      <w:r>
        <w:rPr>
          <w:rFonts w:hint="eastAsia" w:hAnsi="宋体" w:cs="宋体"/>
          <w:b/>
          <w:sz w:val="52"/>
          <w:szCs w:val="52"/>
          <w:highlight w:val="none"/>
        </w:rPr>
        <w:t>竞争性磋商文件</w:t>
      </w:r>
    </w:p>
    <w:p>
      <w:pPr>
        <w:rPr>
          <w:rFonts w:hAnsi="宋体" w:cs="宋体"/>
          <w:highlight w:val="none"/>
        </w:rPr>
      </w:pPr>
      <w:bookmarkStart w:id="0" w:name="_Toc363463325"/>
    </w:p>
    <w:p>
      <w:pPr>
        <w:rPr>
          <w:rFonts w:hAnsi="宋体" w:cs="宋体"/>
          <w:highlight w:val="none"/>
        </w:rPr>
      </w:pPr>
    </w:p>
    <w:p>
      <w:pPr>
        <w:bidi w:val="0"/>
        <w:rPr>
          <w:highlight w:val="none"/>
        </w:rPr>
      </w:pPr>
    </w:p>
    <w:p>
      <w:pPr>
        <w:rPr>
          <w:rFonts w:hAnsi="宋体" w:cs="宋体"/>
          <w:highlight w:val="none"/>
        </w:rPr>
      </w:pPr>
    </w:p>
    <w:bookmarkEnd w:id="0"/>
    <w:p>
      <w:pPr>
        <w:rPr>
          <w:rFonts w:hAnsi="宋体" w:cs="宋体"/>
          <w:sz w:val="18"/>
          <w:szCs w:val="18"/>
          <w:highlight w:val="none"/>
        </w:rPr>
      </w:pPr>
    </w:p>
    <w:p>
      <w:pPr>
        <w:ind w:firstLine="2249" w:firstLineChars="800"/>
        <w:jc w:val="left"/>
        <w:rPr>
          <w:b/>
          <w:bCs/>
          <w:sz w:val="28"/>
          <w:szCs w:val="21"/>
          <w:highlight w:val="none"/>
        </w:rPr>
      </w:pPr>
    </w:p>
    <w:p>
      <w:pPr>
        <w:ind w:firstLine="2249" w:firstLineChars="800"/>
        <w:jc w:val="left"/>
        <w:rPr>
          <w:b/>
          <w:bCs/>
          <w:sz w:val="28"/>
          <w:szCs w:val="21"/>
          <w:highlight w:val="none"/>
        </w:rPr>
      </w:pPr>
    </w:p>
    <w:p>
      <w:pPr>
        <w:ind w:firstLine="2249" w:firstLineChars="800"/>
        <w:jc w:val="left"/>
        <w:rPr>
          <w:b/>
          <w:bCs/>
          <w:sz w:val="28"/>
          <w:szCs w:val="21"/>
          <w:highlight w:val="none"/>
        </w:rPr>
      </w:pPr>
      <w:r>
        <w:rPr>
          <w:rFonts w:hint="eastAsia"/>
          <w:b/>
          <w:bCs/>
          <w:sz w:val="28"/>
          <w:szCs w:val="21"/>
          <w:highlight w:val="none"/>
        </w:rPr>
        <w:t>采购单位：西安市商务局</w:t>
      </w:r>
    </w:p>
    <w:p>
      <w:pPr>
        <w:ind w:firstLine="2249" w:firstLineChars="800"/>
        <w:jc w:val="left"/>
        <w:rPr>
          <w:b/>
          <w:bCs/>
          <w:sz w:val="28"/>
          <w:szCs w:val="21"/>
          <w:highlight w:val="none"/>
        </w:rPr>
      </w:pPr>
      <w:r>
        <w:rPr>
          <w:rFonts w:hint="eastAsia"/>
          <w:b/>
          <w:bCs/>
          <w:sz w:val="28"/>
          <w:szCs w:val="21"/>
          <w:highlight w:val="none"/>
        </w:rPr>
        <w:t>代理机构：陕西至诚招标咨询有限公司</w:t>
      </w:r>
    </w:p>
    <w:p>
      <w:pPr>
        <w:ind w:firstLine="2249" w:firstLineChars="800"/>
        <w:jc w:val="left"/>
        <w:rPr>
          <w:b/>
          <w:bCs/>
          <w:sz w:val="28"/>
          <w:szCs w:val="21"/>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sz w:val="28"/>
          <w:szCs w:val="21"/>
          <w:highlight w:val="none"/>
        </w:rPr>
        <w:t>日期：二〇二二年</w:t>
      </w:r>
      <w:r>
        <w:rPr>
          <w:rFonts w:hint="eastAsia"/>
          <w:b/>
          <w:bCs/>
          <w:sz w:val="28"/>
          <w:szCs w:val="21"/>
          <w:highlight w:val="none"/>
          <w:lang w:eastAsia="zh-CN"/>
        </w:rPr>
        <w:t>十</w:t>
      </w:r>
      <w:r>
        <w:rPr>
          <w:rFonts w:hint="eastAsia"/>
          <w:b/>
          <w:bCs/>
          <w:sz w:val="28"/>
          <w:szCs w:val="21"/>
          <w:highlight w:val="none"/>
        </w:rPr>
        <w:t>月</w:t>
      </w: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pStyle w:val="18"/>
        <w:tabs>
          <w:tab w:val="right" w:leader="hyphen" w:pos="8787"/>
        </w:tabs>
        <w:spacing w:line="360" w:lineRule="auto"/>
        <w:rPr>
          <w:szCs w:val="24"/>
          <w:highlight w:val="none"/>
        </w:rPr>
      </w:pPr>
      <w:bookmarkStart w:id="1" w:name="_Toc21518"/>
      <w:bookmarkStart w:id="2" w:name="_Toc20652"/>
      <w:bookmarkStart w:id="3" w:name="_Toc389582033"/>
      <w:bookmarkStart w:id="4" w:name="_Toc16218"/>
      <w:bookmarkStart w:id="5" w:name="_Toc5293"/>
      <w:bookmarkStart w:id="6" w:name="_Toc19886"/>
      <w:bookmarkStart w:id="7" w:name="_Toc20858"/>
      <w:bookmarkStart w:id="8" w:name="_Toc27420"/>
      <w:bookmarkStart w:id="9" w:name="_Toc363473971"/>
      <w:bookmarkStart w:id="10" w:name="_Toc403077638"/>
      <w:bookmarkStart w:id="11" w:name="_Toc363474016"/>
      <w:r>
        <w:rPr>
          <w:rFonts w:hint="eastAsia" w:hAnsi="宋体" w:cs="宋体"/>
          <w:bCs/>
          <w:szCs w:val="24"/>
          <w:highlight w:val="none"/>
        </w:rPr>
        <w:fldChar w:fldCharType="begin"/>
      </w:r>
      <w:r>
        <w:rPr>
          <w:rFonts w:hint="eastAsia" w:hAnsi="宋体" w:cs="宋体"/>
          <w:bCs/>
          <w:szCs w:val="24"/>
          <w:highlight w:val="none"/>
        </w:rPr>
        <w:instrText xml:space="preserve">TOC \o "1-4" \h \u </w:instrText>
      </w:r>
      <w:r>
        <w:rPr>
          <w:rFonts w:hint="eastAsia" w:hAnsi="宋体" w:cs="宋体"/>
          <w:bCs/>
          <w:szCs w:val="24"/>
          <w:highlight w:val="none"/>
        </w:rPr>
        <w:fldChar w:fldCharType="separate"/>
      </w:r>
      <w:r>
        <w:rPr>
          <w:highlight w:val="none"/>
        </w:rPr>
        <w:fldChar w:fldCharType="begin"/>
      </w:r>
      <w:r>
        <w:rPr>
          <w:highlight w:val="none"/>
        </w:rPr>
        <w:instrText xml:space="preserve"> HYPERLINK \l "_Toc16591" </w:instrText>
      </w:r>
      <w:r>
        <w:rPr>
          <w:highlight w:val="none"/>
        </w:rPr>
        <w:fldChar w:fldCharType="separate"/>
      </w:r>
      <w:r>
        <w:rPr>
          <w:rFonts w:hint="eastAsia" w:hAnsi="宋体" w:cs="宋体"/>
          <w:bCs/>
          <w:szCs w:val="24"/>
          <w:highlight w:val="none"/>
        </w:rPr>
        <w:t>第一章  竞争性磋商公告</w:t>
      </w:r>
      <w:r>
        <w:rPr>
          <w:szCs w:val="24"/>
          <w:highlight w:val="none"/>
        </w:rPr>
        <w:tab/>
      </w:r>
      <w:r>
        <w:rPr>
          <w:szCs w:val="24"/>
          <w:highlight w:val="none"/>
        </w:rPr>
        <w:fldChar w:fldCharType="begin"/>
      </w:r>
      <w:r>
        <w:rPr>
          <w:szCs w:val="24"/>
          <w:highlight w:val="none"/>
        </w:rPr>
        <w:instrText xml:space="preserve"> PAGEREF _Toc16591 \h </w:instrText>
      </w:r>
      <w:r>
        <w:rPr>
          <w:szCs w:val="24"/>
          <w:highlight w:val="none"/>
        </w:rPr>
        <w:fldChar w:fldCharType="separate"/>
      </w:r>
      <w:r>
        <w:rPr>
          <w:szCs w:val="24"/>
          <w:highlight w:val="none"/>
        </w:rPr>
        <w:t>2</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"_Toc5836" </w:instrText>
      </w:r>
      <w:r>
        <w:rPr>
          <w:highlight w:val="none"/>
        </w:rPr>
        <w:fldChar w:fldCharType="separate"/>
      </w:r>
      <w:r>
        <w:rPr>
          <w:rFonts w:hint="eastAsia" w:hAnsi="宋体" w:cs="宋体"/>
          <w:bCs/>
          <w:kern w:val="2"/>
          <w:szCs w:val="24"/>
          <w:highlight w:val="none"/>
        </w:rPr>
        <w:t>第二章  供应商须知</w:t>
      </w:r>
      <w:r>
        <w:rPr>
          <w:szCs w:val="24"/>
          <w:highlight w:val="none"/>
        </w:rPr>
        <w:tab/>
      </w:r>
      <w:r>
        <w:rPr>
          <w:szCs w:val="24"/>
          <w:highlight w:val="none"/>
        </w:rPr>
        <w:fldChar w:fldCharType="begin"/>
      </w:r>
      <w:r>
        <w:rPr>
          <w:szCs w:val="24"/>
          <w:highlight w:val="none"/>
        </w:rPr>
        <w:instrText xml:space="preserve"> PAGEREF _Toc5836 \h </w:instrText>
      </w:r>
      <w:r>
        <w:rPr>
          <w:szCs w:val="24"/>
          <w:highlight w:val="none"/>
        </w:rPr>
        <w:fldChar w:fldCharType="separate"/>
      </w:r>
      <w:r>
        <w:rPr>
          <w:szCs w:val="24"/>
          <w:highlight w:val="none"/>
        </w:rPr>
        <w:t>6</w:t>
      </w:r>
      <w:r>
        <w:rPr>
          <w:szCs w:val="24"/>
          <w:highlight w:val="none"/>
        </w:rPr>
        <w:fldChar w:fldCharType="end"/>
      </w:r>
      <w:r>
        <w:rPr>
          <w:szCs w:val="24"/>
          <w:highlight w:val="none"/>
        </w:rPr>
        <w:fldChar w:fldCharType="end"/>
      </w:r>
    </w:p>
    <w:p>
      <w:pPr>
        <w:pStyle w:val="20"/>
        <w:tabs>
          <w:tab w:val="right" w:leader="hyphen" w:pos="8787"/>
        </w:tabs>
        <w:spacing w:line="360" w:lineRule="auto"/>
        <w:ind w:left="480"/>
        <w:rPr>
          <w:szCs w:val="24"/>
          <w:highlight w:val="none"/>
        </w:rPr>
      </w:pPr>
      <w:r>
        <w:rPr>
          <w:highlight w:val="none"/>
        </w:rPr>
        <w:fldChar w:fldCharType="begin"/>
      </w:r>
      <w:r>
        <w:rPr>
          <w:highlight w:val="none"/>
        </w:rPr>
        <w:instrText xml:space="preserve"> HYPERLINK \l "_Toc3915" </w:instrText>
      </w:r>
      <w:r>
        <w:rPr>
          <w:highlight w:val="none"/>
        </w:rPr>
        <w:fldChar w:fldCharType="separate"/>
      </w:r>
      <w:r>
        <w:rPr>
          <w:rFonts w:hint="eastAsia" w:hAnsi="宋体" w:cs="宋体"/>
          <w:bCs/>
          <w:szCs w:val="24"/>
          <w:highlight w:val="none"/>
        </w:rPr>
        <w:t>供应商须知前附表</w:t>
      </w:r>
      <w:r>
        <w:rPr>
          <w:szCs w:val="24"/>
          <w:highlight w:val="none"/>
        </w:rPr>
        <w:tab/>
      </w:r>
      <w:r>
        <w:rPr>
          <w:szCs w:val="24"/>
          <w:highlight w:val="none"/>
        </w:rPr>
        <w:fldChar w:fldCharType="begin"/>
      </w:r>
      <w:r>
        <w:rPr>
          <w:szCs w:val="24"/>
          <w:highlight w:val="none"/>
        </w:rPr>
        <w:instrText xml:space="preserve"> PAGEREF _Toc3915 \h </w:instrText>
      </w:r>
      <w:r>
        <w:rPr>
          <w:szCs w:val="24"/>
          <w:highlight w:val="none"/>
        </w:rPr>
        <w:fldChar w:fldCharType="separate"/>
      </w:r>
      <w:r>
        <w:rPr>
          <w:szCs w:val="24"/>
          <w:highlight w:val="none"/>
        </w:rPr>
        <w:t>6</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"_Toc1897" </w:instrText>
      </w:r>
      <w:r>
        <w:rPr>
          <w:highlight w:val="none"/>
        </w:rPr>
        <w:fldChar w:fldCharType="separate"/>
      </w:r>
      <w:r>
        <w:rPr>
          <w:rFonts w:hint="eastAsia" w:hAnsi="宋体" w:cs="宋体"/>
          <w:szCs w:val="24"/>
          <w:highlight w:val="none"/>
        </w:rPr>
        <w:t xml:space="preserve">第三章 </w:t>
      </w:r>
      <w:r>
        <w:rPr>
          <w:rFonts w:hint="eastAsia" w:hAnsi="宋体" w:cs="宋体"/>
          <w:bCs/>
          <w:szCs w:val="24"/>
          <w:highlight w:val="none"/>
        </w:rPr>
        <w:t>评审方法</w:t>
      </w:r>
      <w:r>
        <w:rPr>
          <w:szCs w:val="24"/>
          <w:highlight w:val="none"/>
        </w:rPr>
        <w:tab/>
      </w:r>
      <w:r>
        <w:rPr>
          <w:szCs w:val="24"/>
          <w:highlight w:val="none"/>
        </w:rPr>
        <w:fldChar w:fldCharType="begin"/>
      </w:r>
      <w:r>
        <w:rPr>
          <w:szCs w:val="24"/>
          <w:highlight w:val="none"/>
        </w:rPr>
        <w:instrText xml:space="preserve"> PAGEREF _Toc1897 \h </w:instrText>
      </w:r>
      <w:r>
        <w:rPr>
          <w:szCs w:val="24"/>
          <w:highlight w:val="none"/>
        </w:rPr>
        <w:fldChar w:fldCharType="separate"/>
      </w:r>
      <w:r>
        <w:rPr>
          <w:szCs w:val="24"/>
          <w:highlight w:val="none"/>
        </w:rPr>
        <w:t>23</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"_Toc18357" </w:instrText>
      </w:r>
      <w:r>
        <w:rPr>
          <w:highlight w:val="none"/>
        </w:rPr>
        <w:fldChar w:fldCharType="separate"/>
      </w:r>
      <w:r>
        <w:rPr>
          <w:rFonts w:hint="eastAsia" w:hAnsi="宋体" w:cs="宋体"/>
          <w:bCs/>
          <w:szCs w:val="24"/>
          <w:highlight w:val="none"/>
        </w:rPr>
        <w:t>第四章  合同条款及格式</w:t>
      </w:r>
      <w:r>
        <w:rPr>
          <w:szCs w:val="24"/>
          <w:highlight w:val="none"/>
        </w:rPr>
        <w:tab/>
      </w:r>
      <w:r>
        <w:rPr>
          <w:szCs w:val="24"/>
          <w:highlight w:val="none"/>
        </w:rPr>
        <w:fldChar w:fldCharType="begin"/>
      </w:r>
      <w:r>
        <w:rPr>
          <w:szCs w:val="24"/>
          <w:highlight w:val="none"/>
        </w:rPr>
        <w:instrText xml:space="preserve"> PAGEREF _Toc18357 \h </w:instrText>
      </w:r>
      <w:r>
        <w:rPr>
          <w:szCs w:val="24"/>
          <w:highlight w:val="none"/>
        </w:rPr>
        <w:fldChar w:fldCharType="separate"/>
      </w:r>
      <w:r>
        <w:rPr>
          <w:szCs w:val="24"/>
          <w:highlight w:val="none"/>
        </w:rPr>
        <w:t>27</w:t>
      </w:r>
      <w:r>
        <w:rPr>
          <w:szCs w:val="24"/>
          <w:highlight w:val="none"/>
        </w:rPr>
        <w:fldChar w:fldCharType="end"/>
      </w:r>
      <w:r>
        <w:rPr>
          <w:szCs w:val="24"/>
          <w:highlight w:val="none"/>
        </w:rPr>
        <w:fldChar w:fldCharType="end"/>
      </w:r>
    </w:p>
    <w:p>
      <w:pPr>
        <w:pStyle w:val="20"/>
        <w:tabs>
          <w:tab w:val="right" w:leader="hyphen" w:pos="8787"/>
        </w:tabs>
        <w:spacing w:line="360" w:lineRule="auto"/>
        <w:ind w:left="480"/>
        <w:rPr>
          <w:szCs w:val="24"/>
          <w:highlight w:val="none"/>
        </w:rPr>
      </w:pPr>
      <w:r>
        <w:rPr>
          <w:highlight w:val="none"/>
        </w:rPr>
        <w:fldChar w:fldCharType="begin"/>
      </w:r>
      <w:r>
        <w:rPr>
          <w:highlight w:val="none"/>
        </w:rPr>
        <w:instrText xml:space="preserve"> HYPERLINK \l "_Toc11393" </w:instrText>
      </w:r>
      <w:r>
        <w:rPr>
          <w:highlight w:val="none"/>
        </w:rPr>
        <w:fldChar w:fldCharType="separate"/>
      </w:r>
      <w:r>
        <w:rPr>
          <w:rFonts w:hint="eastAsia" w:hAnsi="宋体" w:cs="宋体"/>
          <w:bCs/>
          <w:szCs w:val="24"/>
          <w:highlight w:val="none"/>
        </w:rPr>
        <w:t>合同前附表</w:t>
      </w:r>
      <w:r>
        <w:rPr>
          <w:szCs w:val="24"/>
          <w:highlight w:val="none"/>
        </w:rPr>
        <w:tab/>
      </w:r>
      <w:r>
        <w:rPr>
          <w:szCs w:val="24"/>
          <w:highlight w:val="none"/>
        </w:rPr>
        <w:fldChar w:fldCharType="begin"/>
      </w:r>
      <w:r>
        <w:rPr>
          <w:szCs w:val="24"/>
          <w:highlight w:val="none"/>
        </w:rPr>
        <w:instrText xml:space="preserve"> PAGEREF _Toc11393 \h </w:instrText>
      </w:r>
      <w:r>
        <w:rPr>
          <w:szCs w:val="24"/>
          <w:highlight w:val="none"/>
        </w:rPr>
        <w:fldChar w:fldCharType="separate"/>
      </w:r>
      <w:r>
        <w:rPr>
          <w:szCs w:val="24"/>
          <w:highlight w:val="none"/>
        </w:rPr>
        <w:t>30</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"_Toc31213" </w:instrText>
      </w:r>
      <w:r>
        <w:rPr>
          <w:highlight w:val="none"/>
        </w:rPr>
        <w:fldChar w:fldCharType="separate"/>
      </w:r>
      <w:r>
        <w:rPr>
          <w:rFonts w:hint="eastAsia" w:hAnsi="宋体" w:cs="宋体"/>
          <w:bCs/>
          <w:kern w:val="2"/>
          <w:szCs w:val="24"/>
          <w:highlight w:val="none"/>
        </w:rPr>
        <w:t>第五章  磋商内容及技术要求</w:t>
      </w:r>
      <w:r>
        <w:rPr>
          <w:szCs w:val="24"/>
          <w:highlight w:val="none"/>
        </w:rPr>
        <w:tab/>
      </w:r>
      <w:r>
        <w:rPr>
          <w:szCs w:val="24"/>
          <w:highlight w:val="none"/>
        </w:rPr>
        <w:fldChar w:fldCharType="begin"/>
      </w:r>
      <w:r>
        <w:rPr>
          <w:szCs w:val="24"/>
          <w:highlight w:val="none"/>
        </w:rPr>
        <w:instrText xml:space="preserve"> PAGEREF _Toc31213 \h </w:instrText>
      </w:r>
      <w:r>
        <w:rPr>
          <w:szCs w:val="24"/>
          <w:highlight w:val="none"/>
        </w:rPr>
        <w:fldChar w:fldCharType="separate"/>
      </w:r>
      <w:r>
        <w:rPr>
          <w:szCs w:val="24"/>
          <w:highlight w:val="none"/>
        </w:rPr>
        <w:t>38</w:t>
      </w:r>
      <w:r>
        <w:rPr>
          <w:szCs w:val="24"/>
          <w:highlight w:val="none"/>
        </w:rPr>
        <w:fldChar w:fldCharType="end"/>
      </w:r>
      <w:r>
        <w:rPr>
          <w:szCs w:val="24"/>
          <w:highlight w:val="none"/>
        </w:rPr>
        <w:fldChar w:fldCharType="end"/>
      </w:r>
    </w:p>
    <w:p>
      <w:pPr>
        <w:pStyle w:val="18"/>
        <w:tabs>
          <w:tab w:val="right" w:leader="hyphen" w:pos="8787"/>
        </w:tabs>
        <w:spacing w:line="360" w:lineRule="auto"/>
        <w:rPr>
          <w:szCs w:val="24"/>
          <w:highlight w:val="none"/>
        </w:rPr>
      </w:pPr>
      <w:r>
        <w:rPr>
          <w:highlight w:val="none"/>
        </w:rPr>
        <w:fldChar w:fldCharType="begin"/>
      </w:r>
      <w:r>
        <w:rPr>
          <w:highlight w:val="none"/>
        </w:rPr>
        <w:instrText xml:space="preserve"> HYPERLINK \l "_Toc5880" </w:instrText>
      </w:r>
      <w:r>
        <w:rPr>
          <w:highlight w:val="none"/>
        </w:rPr>
        <w:fldChar w:fldCharType="separate"/>
      </w:r>
      <w:r>
        <w:rPr>
          <w:rFonts w:hint="eastAsia" w:hAnsi="宋体" w:cs="宋体"/>
          <w:bCs/>
          <w:szCs w:val="24"/>
          <w:highlight w:val="none"/>
        </w:rPr>
        <w:t>第六章 竞争性磋商响应文件格式</w:t>
      </w:r>
      <w:r>
        <w:rPr>
          <w:szCs w:val="24"/>
          <w:highlight w:val="none"/>
        </w:rPr>
        <w:tab/>
      </w:r>
      <w:r>
        <w:rPr>
          <w:szCs w:val="24"/>
          <w:highlight w:val="none"/>
        </w:rPr>
        <w:fldChar w:fldCharType="begin"/>
      </w:r>
      <w:r>
        <w:rPr>
          <w:szCs w:val="24"/>
          <w:highlight w:val="none"/>
        </w:rPr>
        <w:instrText xml:space="preserve"> PAGEREF _Toc5880 \h </w:instrText>
      </w:r>
      <w:r>
        <w:rPr>
          <w:szCs w:val="24"/>
          <w:highlight w:val="none"/>
        </w:rPr>
        <w:fldChar w:fldCharType="separate"/>
      </w:r>
      <w:r>
        <w:rPr>
          <w:szCs w:val="24"/>
          <w:highlight w:val="none"/>
        </w:rPr>
        <w:t>38</w:t>
      </w:r>
      <w:r>
        <w:rPr>
          <w:szCs w:val="24"/>
          <w:highlight w:val="none"/>
        </w:rPr>
        <w:fldChar w:fldCharType="end"/>
      </w:r>
      <w:r>
        <w:rPr>
          <w:szCs w:val="24"/>
          <w:highlight w:val="none"/>
        </w:rPr>
        <w:fldChar w:fldCharType="end"/>
      </w:r>
    </w:p>
    <w:p>
      <w:pPr>
        <w:pStyle w:val="18"/>
        <w:tabs>
          <w:tab w:val="right" w:leader="dot" w:pos="8302"/>
        </w:tabs>
        <w:spacing w:line="360" w:lineRule="auto"/>
        <w:rPr>
          <w:rFonts w:hAnsi="宋体" w:cs="宋体"/>
          <w:bCs/>
          <w:szCs w:val="24"/>
          <w:highlight w:val="none"/>
        </w:rPr>
      </w:pPr>
      <w:r>
        <w:rPr>
          <w:rFonts w:hint="eastAsia" w:hAnsi="宋体" w:cs="宋体"/>
          <w:bCs/>
          <w:szCs w:val="24"/>
          <w:highlight w:val="none"/>
        </w:rPr>
        <w:fldChar w:fldCharType="end"/>
      </w:r>
    </w:p>
    <w:p>
      <w:pPr>
        <w:pStyle w:val="3"/>
        <w:spacing w:before="312" w:beforeLines="100"/>
        <w:jc w:val="center"/>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2705"/>
      <w:bookmarkStart w:id="13" w:name="_Toc423973071"/>
      <w:bookmarkStart w:id="14" w:name="_Toc1659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bookmarkEnd w:id="14"/>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tcPr>
          <w:p>
            <w:pPr>
              <w:rPr>
                <w:highlight w:val="none"/>
              </w:rPr>
            </w:pPr>
            <w:bookmarkStart w:id="15" w:name="_Toc2929"/>
            <w:bookmarkStart w:id="16" w:name="_Toc389582035"/>
            <w:bookmarkStart w:id="17" w:name="_Toc29249"/>
            <w:bookmarkStart w:id="18" w:name="_Toc423973072"/>
            <w:r>
              <w:rPr>
                <w:rFonts w:hint="eastAsia"/>
                <w:b/>
                <w:bCs/>
                <w:highlight w:val="none"/>
              </w:rPr>
              <w:t>项目概况</w:t>
            </w:r>
          </w:p>
          <w:p>
            <w:pPr>
              <w:spacing w:line="360" w:lineRule="auto"/>
              <w:ind w:firstLine="480" w:firstLineChars="200"/>
              <w:rPr>
                <w:highlight w:val="none"/>
              </w:rPr>
            </w:pPr>
            <w:r>
              <w:rPr>
                <w:rFonts w:hint="eastAsia"/>
                <w:highlight w:val="none"/>
                <w:lang w:eastAsia="zh-CN"/>
              </w:rPr>
              <w:t>西安市商务局关于2022年会议会展产业中高级人才培训班项目</w:t>
            </w:r>
            <w:r>
              <w:rPr>
                <w:rFonts w:hint="eastAsia"/>
                <w:highlight w:val="none"/>
              </w:rPr>
              <w:t>的潜在</w:t>
            </w:r>
            <w:r>
              <w:rPr>
                <w:rFonts w:hint="eastAsia"/>
                <w:highlight w:val="none"/>
                <w:lang w:eastAsia="zh-CN"/>
              </w:rPr>
              <w:t>供应商</w:t>
            </w:r>
            <w:r>
              <w:rPr>
                <w:rFonts w:hint="eastAsia"/>
                <w:highlight w:val="none"/>
              </w:rPr>
              <w:t>应在</w:t>
            </w:r>
            <w:r>
              <w:rPr>
                <w:rFonts w:hint="eastAsia"/>
                <w:highlight w:val="none"/>
                <w:lang w:eastAsia="zh-CN"/>
              </w:rPr>
              <w:t>陕西省西安市未央区未央路171-1 银池广场道拉斯财富中心21楼</w:t>
            </w:r>
            <w:r>
              <w:rPr>
                <w:rFonts w:hint="eastAsia"/>
                <w:highlight w:val="none"/>
              </w:rPr>
              <w:t>获取</w:t>
            </w:r>
            <w:r>
              <w:rPr>
                <w:rFonts w:hint="eastAsia"/>
                <w:highlight w:val="none"/>
                <w:lang w:eastAsia="zh-CN"/>
              </w:rPr>
              <w:t>采购</w:t>
            </w:r>
            <w:r>
              <w:rPr>
                <w:rFonts w:hint="eastAsia"/>
                <w:highlight w:val="none"/>
              </w:rPr>
              <w:t>文件，并于 2022年</w:t>
            </w:r>
            <w:r>
              <w:rPr>
                <w:rFonts w:hint="eastAsia"/>
                <w:highlight w:val="none"/>
                <w:lang w:val="en-US" w:eastAsia="zh-CN"/>
              </w:rPr>
              <w:t>10</w:t>
            </w:r>
            <w:r>
              <w:rPr>
                <w:rFonts w:hint="eastAsia"/>
                <w:highlight w:val="none"/>
              </w:rPr>
              <w:t>月</w:t>
            </w:r>
            <w:r>
              <w:rPr>
                <w:rFonts w:hint="eastAsia"/>
                <w:highlight w:val="none"/>
                <w:lang w:val="en-US" w:eastAsia="zh-CN"/>
              </w:rPr>
              <w:t>25</w:t>
            </w:r>
            <w:r>
              <w:rPr>
                <w:rFonts w:hint="eastAsia"/>
                <w:highlight w:val="none"/>
              </w:rPr>
              <w:t>日</w:t>
            </w:r>
            <w:r>
              <w:rPr>
                <w:rFonts w:hint="eastAsia"/>
                <w:highlight w:val="none"/>
                <w:lang w:val="en-US" w:eastAsia="zh-CN"/>
              </w:rPr>
              <w:t>14</w:t>
            </w:r>
            <w:r>
              <w:rPr>
                <w:rFonts w:hint="eastAsia"/>
                <w:highlight w:val="none"/>
              </w:rPr>
              <w:t>时30分 （北京时间）前递交投标文件。</w:t>
            </w:r>
          </w:p>
        </w:tc>
      </w:tr>
    </w:tbl>
    <w:p>
      <w:pPr>
        <w:bidi w:val="0"/>
        <w:spacing w:line="360" w:lineRule="auto"/>
        <w:rPr>
          <w:rFonts w:hint="eastAsia"/>
          <w:b/>
          <w:bCs/>
          <w:highlight w:val="none"/>
          <w:lang w:val="en-US" w:eastAsia="zh-CN"/>
        </w:rPr>
      </w:pPr>
      <w:r>
        <w:rPr>
          <w:rFonts w:hint="eastAsia"/>
          <w:b/>
          <w:bCs/>
          <w:highlight w:val="none"/>
          <w:lang w:val="en-US" w:eastAsia="zh-CN"/>
        </w:rPr>
        <w:t>一、项目基本情况</w:t>
      </w:r>
    </w:p>
    <w:p>
      <w:pPr>
        <w:bidi w:val="0"/>
        <w:spacing w:line="360" w:lineRule="auto"/>
        <w:rPr>
          <w:rFonts w:hint="default"/>
          <w:highlight w:val="none"/>
          <w:lang w:val="en-US" w:eastAsia="zh-CN"/>
        </w:rPr>
      </w:pPr>
      <w:r>
        <w:rPr>
          <w:rFonts w:hint="eastAsia"/>
          <w:highlight w:val="none"/>
          <w:lang w:val="en-US" w:eastAsia="zh-CN"/>
        </w:rPr>
        <w:t>项目编号：SXZCZB2022-ZCCS-1016</w:t>
      </w:r>
    </w:p>
    <w:p>
      <w:pPr>
        <w:bidi w:val="0"/>
        <w:spacing w:line="360" w:lineRule="auto"/>
        <w:rPr>
          <w:rFonts w:hint="eastAsia"/>
          <w:highlight w:val="none"/>
          <w:lang w:val="en-US" w:eastAsia="zh-CN"/>
        </w:rPr>
      </w:pPr>
      <w:r>
        <w:rPr>
          <w:rFonts w:hint="eastAsia"/>
          <w:highlight w:val="none"/>
          <w:lang w:val="en-US" w:eastAsia="zh-CN"/>
        </w:rPr>
        <w:t>项目名称：西安市商务局关于2022年会议会展产业中高级人才培训班项目</w:t>
      </w:r>
    </w:p>
    <w:p>
      <w:pPr>
        <w:bidi w:val="0"/>
        <w:spacing w:line="360" w:lineRule="auto"/>
        <w:rPr>
          <w:rFonts w:hint="eastAsia"/>
          <w:highlight w:val="none"/>
          <w:lang w:val="en-US" w:eastAsia="zh-CN"/>
        </w:rPr>
      </w:pPr>
      <w:r>
        <w:rPr>
          <w:rFonts w:hint="eastAsia"/>
          <w:highlight w:val="none"/>
          <w:lang w:val="en-US" w:eastAsia="zh-CN"/>
        </w:rPr>
        <w:t>采购方式：竞争性磋商</w:t>
      </w:r>
    </w:p>
    <w:p>
      <w:pPr>
        <w:bidi w:val="0"/>
        <w:spacing w:line="360" w:lineRule="auto"/>
        <w:rPr>
          <w:rFonts w:hint="eastAsia"/>
          <w:highlight w:val="none"/>
          <w:lang w:val="en-US" w:eastAsia="zh-CN"/>
        </w:rPr>
      </w:pPr>
      <w:r>
        <w:rPr>
          <w:rFonts w:hint="eastAsia"/>
          <w:highlight w:val="none"/>
          <w:lang w:val="en-US" w:eastAsia="zh-CN"/>
        </w:rPr>
        <w:t>预算金额：300,000.00元</w:t>
      </w:r>
    </w:p>
    <w:p>
      <w:pPr>
        <w:bidi w:val="0"/>
        <w:spacing w:line="360" w:lineRule="auto"/>
        <w:rPr>
          <w:rFonts w:hint="eastAsia"/>
          <w:highlight w:val="none"/>
          <w:lang w:val="en-US" w:eastAsia="zh-CN"/>
        </w:rPr>
      </w:pPr>
      <w:r>
        <w:rPr>
          <w:rFonts w:hint="eastAsia"/>
          <w:highlight w:val="none"/>
          <w:lang w:val="en-US" w:eastAsia="zh-CN"/>
        </w:rPr>
        <w:t>采购需求：</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合同包1(</w:t>
      </w:r>
      <w:r>
        <w:rPr>
          <w:rFonts w:hint="eastAsia" w:hAnsi="Times New Roman" w:cs="Times New Roman"/>
          <w:b w:val="0"/>
          <w:sz w:val="24"/>
          <w:highlight w:val="none"/>
          <w:lang w:val="en-US" w:eastAsia="zh-CN" w:bidi="ar-SA"/>
        </w:rPr>
        <w:t>西安市商务局关于2022年会议会展产业中高级人才培训班项目</w:t>
      </w:r>
      <w:r>
        <w:rPr>
          <w:rFonts w:hint="eastAsia" w:ascii="宋体" w:hAnsi="Times New Roman" w:eastAsia="宋体" w:cs="Times New Roman"/>
          <w:b w:val="0"/>
          <w:sz w:val="24"/>
          <w:highlight w:val="none"/>
          <w:lang w:val="en-US" w:eastAsia="zh-CN" w:bidi="ar-SA"/>
        </w:rPr>
        <w:t>):</w:t>
      </w:r>
    </w:p>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合同包预算金额：</w:t>
      </w:r>
      <w:r>
        <w:rPr>
          <w:rFonts w:hint="eastAsia" w:hAnsi="Times New Roman" w:cs="Times New Roman"/>
          <w:b w:val="0"/>
          <w:sz w:val="24"/>
          <w:highlight w:val="none"/>
          <w:lang w:val="en-US" w:eastAsia="zh-CN" w:bidi="ar-SA"/>
        </w:rPr>
        <w:t>300,000.00元</w:t>
      </w:r>
    </w:p>
    <w:tbl>
      <w:tblPr>
        <w:tblStyle w:val="24"/>
        <w:tblW w:w="499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4"/>
        <w:gridCol w:w="1384"/>
        <w:gridCol w:w="1441"/>
        <w:gridCol w:w="1157"/>
        <w:gridCol w:w="2221"/>
        <w:gridCol w:w="1440"/>
        <w:gridCol w:w="9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品目号</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品目名称</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采购标的</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（单位）</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技术规格、参数及要求</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品目预算(元)</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1-1</w:t>
            </w:r>
          </w:p>
        </w:tc>
        <w:tc>
          <w:tcPr>
            <w:tcW w:w="7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社会与管理咨询服务</w:t>
            </w:r>
          </w:p>
        </w:tc>
        <w:tc>
          <w:tcPr>
            <w:tcW w:w="7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cs="Times New Roman"/>
                <w:b w:val="0"/>
                <w:sz w:val="24"/>
                <w:szCs w:val="24"/>
                <w:highlight w:val="none"/>
                <w:lang w:val="en-US" w:eastAsia="zh-CN" w:bidi="ar-SA"/>
              </w:rPr>
              <w:t>300,000.00</w:t>
            </w:r>
          </w:p>
        </w:tc>
        <w:tc>
          <w:tcPr>
            <w:tcW w:w="6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1(项)</w:t>
            </w:r>
          </w:p>
        </w:tc>
        <w:tc>
          <w:tcPr>
            <w:tcW w:w="11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详见采购文件</w:t>
            </w:r>
          </w:p>
        </w:tc>
        <w:tc>
          <w:tcPr>
            <w:tcW w:w="7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cs="Times New Roman"/>
                <w:b w:val="0"/>
                <w:sz w:val="24"/>
                <w:szCs w:val="24"/>
                <w:highlight w:val="none"/>
                <w:lang w:val="en-US" w:eastAsia="zh-CN" w:bidi="ar-SA"/>
              </w:rPr>
              <w:t>300,000.00</w:t>
            </w:r>
          </w:p>
        </w:tc>
        <w:tc>
          <w:tcPr>
            <w:tcW w:w="4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Times New Roman" w:eastAsia="宋体" w:cs="Times New Roman"/>
                <w:b w:val="0"/>
                <w:sz w:val="24"/>
                <w:szCs w:val="24"/>
                <w:highlight w:val="none"/>
                <w:lang w:val="en-US" w:eastAsia="zh-CN" w:bidi="ar-SA"/>
              </w:rPr>
            </w:pPr>
            <w:r>
              <w:rPr>
                <w:rFonts w:hint="eastAsia" w:ascii="宋体" w:hAnsi="Times New Roman" w:eastAsia="宋体" w:cs="Times New Roman"/>
                <w:b w:val="0"/>
                <w:sz w:val="24"/>
                <w:szCs w:val="24"/>
                <w:highlight w:val="none"/>
                <w:lang w:val="en-US" w:eastAsia="zh-CN" w:bidi="ar-SA"/>
              </w:rPr>
              <w:t>-</w:t>
            </w:r>
          </w:p>
        </w:tc>
      </w:tr>
    </w:tbl>
    <w:p>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rPr>
          <w:rFonts w:hint="eastAsia" w:ascii="宋体" w:hAnsi="Times New Roman" w:eastAsia="宋体" w:cs="Times New Roman"/>
          <w:b w:val="0"/>
          <w:sz w:val="24"/>
          <w:highlight w:val="none"/>
          <w:lang w:val="en-US" w:eastAsia="zh-CN" w:bidi="ar-SA"/>
        </w:rPr>
      </w:pPr>
      <w:r>
        <w:rPr>
          <w:rFonts w:hint="eastAsia" w:ascii="宋体" w:hAnsi="Times New Roman" w:eastAsia="宋体" w:cs="Times New Roman"/>
          <w:b w:val="0"/>
          <w:sz w:val="24"/>
          <w:highlight w:val="none"/>
          <w:lang w:val="en-US" w:eastAsia="zh-CN" w:bidi="ar-SA"/>
        </w:rPr>
        <w:t>本合同包不接受联合体投标</w:t>
      </w:r>
      <w:r>
        <w:rPr>
          <w:rFonts w:hint="eastAsia" w:hAnsi="Times New Roman" w:cs="Times New Roman"/>
          <w:b w:val="0"/>
          <w:sz w:val="24"/>
          <w:highlight w:val="none"/>
          <w:lang w:val="en-US" w:eastAsia="zh-CN" w:bidi="ar-SA"/>
        </w:rPr>
        <w:t>；</w:t>
      </w:r>
    </w:p>
    <w:p>
      <w:pPr>
        <w:bidi w:val="0"/>
        <w:spacing w:line="360" w:lineRule="auto"/>
        <w:rPr>
          <w:rFonts w:hint="eastAsia"/>
          <w:highlight w:val="none"/>
          <w:lang w:val="en-US" w:eastAsia="zh-CN"/>
        </w:rPr>
      </w:pPr>
      <w:r>
        <w:rPr>
          <w:rFonts w:hint="eastAsia"/>
          <w:highlight w:val="none"/>
          <w:lang w:val="en-US" w:eastAsia="zh-CN"/>
        </w:rPr>
        <w:t>合同履行期限：无；</w:t>
      </w:r>
    </w:p>
    <w:p>
      <w:pPr>
        <w:bidi w:val="0"/>
        <w:spacing w:line="360" w:lineRule="auto"/>
        <w:rPr>
          <w:rFonts w:hint="eastAsia"/>
          <w:b/>
          <w:bCs/>
          <w:highlight w:val="none"/>
          <w:lang w:val="en-US" w:eastAsia="zh-CN"/>
        </w:rPr>
      </w:pPr>
      <w:r>
        <w:rPr>
          <w:rFonts w:hint="eastAsia"/>
          <w:b/>
          <w:bCs/>
          <w:highlight w:val="none"/>
          <w:lang w:val="en-US" w:eastAsia="zh-CN"/>
        </w:rPr>
        <w:t>二、申请人的资格要求：</w:t>
      </w:r>
    </w:p>
    <w:p>
      <w:pPr>
        <w:bidi w:val="0"/>
        <w:spacing w:line="360" w:lineRule="auto"/>
        <w:rPr>
          <w:rFonts w:hint="eastAsia"/>
          <w:highlight w:val="none"/>
          <w:lang w:val="en-US" w:eastAsia="zh-CN"/>
        </w:rPr>
      </w:pPr>
      <w:r>
        <w:rPr>
          <w:rFonts w:hint="eastAsia"/>
          <w:highlight w:val="none"/>
          <w:lang w:val="en-US" w:eastAsia="zh-CN"/>
        </w:rPr>
        <w:t>1.满足《中华人民共和国政府采购法》第二十二条规定;</w:t>
      </w:r>
    </w:p>
    <w:p>
      <w:pPr>
        <w:bidi w:val="0"/>
        <w:spacing w:line="360" w:lineRule="auto"/>
        <w:rPr>
          <w:rFonts w:hint="eastAsia"/>
          <w:highlight w:val="none"/>
          <w:lang w:val="en-US" w:eastAsia="zh-CN"/>
        </w:rPr>
      </w:pPr>
      <w:r>
        <w:rPr>
          <w:rFonts w:hint="eastAsia"/>
          <w:highlight w:val="none"/>
          <w:lang w:val="en-US" w:eastAsia="zh-CN"/>
        </w:rPr>
        <w:t>2.落实政府采购政策需满足的资格要求：</w:t>
      </w:r>
    </w:p>
    <w:p>
      <w:pPr>
        <w:bidi w:val="0"/>
        <w:spacing w:line="360" w:lineRule="auto"/>
        <w:rPr>
          <w:rFonts w:hint="eastAsia"/>
          <w:highlight w:val="none"/>
          <w:lang w:val="en-US" w:eastAsia="zh-CN"/>
        </w:rPr>
      </w:pPr>
      <w:r>
        <w:rPr>
          <w:rFonts w:hint="eastAsia"/>
          <w:highlight w:val="none"/>
          <w:lang w:val="en-US" w:eastAsia="zh-CN"/>
        </w:rPr>
        <w:t>合同包1(西安市商务局关于2022年会议会展产业中高级人才培训班项)落实政府采购政策需满足的资格要求如下:</w:t>
      </w:r>
    </w:p>
    <w:p>
      <w:pPr>
        <w:bidi w:val="0"/>
        <w:spacing w:line="360" w:lineRule="auto"/>
        <w:rPr>
          <w:rFonts w:hint="eastAsia"/>
          <w:highlight w:val="none"/>
          <w:lang w:val="en-US" w:eastAsia="zh-CN"/>
        </w:rPr>
      </w:pPr>
      <w:r>
        <w:rPr>
          <w:rFonts w:hint="eastAsia"/>
          <w:highlight w:val="none"/>
          <w:lang w:val="en-US" w:eastAsia="zh-CN"/>
        </w:rPr>
        <w:t>（1）《财政部 国家发展改革委关于印发〈节能产品政府采购实施意见〉的通知》（财库〔2004〕185号）；</w:t>
      </w:r>
    </w:p>
    <w:p>
      <w:pPr>
        <w:bidi w:val="0"/>
        <w:spacing w:line="360" w:lineRule="auto"/>
        <w:rPr>
          <w:rFonts w:hint="eastAsia"/>
          <w:highlight w:val="none"/>
          <w:lang w:val="en-US" w:eastAsia="zh-CN"/>
        </w:rPr>
      </w:pPr>
      <w:r>
        <w:rPr>
          <w:rFonts w:hint="eastAsia"/>
          <w:highlight w:val="none"/>
          <w:lang w:val="en-US" w:eastAsia="zh-CN"/>
        </w:rPr>
        <w:t>（2）（《国务院办公厅关于建立政府强制采购节能产品制度的通知》（国办发〔2007〕51号）；</w:t>
      </w:r>
    </w:p>
    <w:p>
      <w:pPr>
        <w:bidi w:val="0"/>
        <w:spacing w:line="360" w:lineRule="auto"/>
        <w:rPr>
          <w:rFonts w:hint="eastAsia"/>
          <w:highlight w:val="none"/>
          <w:lang w:val="en-US" w:eastAsia="zh-CN"/>
        </w:rPr>
      </w:pPr>
      <w:r>
        <w:rPr>
          <w:rFonts w:hint="eastAsia"/>
          <w:highlight w:val="none"/>
          <w:lang w:val="en-US" w:eastAsia="zh-CN"/>
        </w:rPr>
        <w:t>（3）《财政部环保总局关于环境标志产品政府采购实施的意见》（财库〔2006〕90号）；</w:t>
      </w:r>
    </w:p>
    <w:p>
      <w:pPr>
        <w:bidi w:val="0"/>
        <w:spacing w:line="360" w:lineRule="auto"/>
        <w:rPr>
          <w:rFonts w:hint="eastAsia"/>
          <w:highlight w:val="none"/>
          <w:lang w:val="en-US" w:eastAsia="zh-CN"/>
        </w:rPr>
      </w:pPr>
      <w:r>
        <w:rPr>
          <w:rFonts w:hint="eastAsia"/>
          <w:highlight w:val="none"/>
          <w:lang w:val="en-US" w:eastAsia="zh-CN"/>
        </w:rPr>
        <w:t>（4）《政府采购促进中小企业发展管理办法》（财库〔2020〕46号）；</w:t>
      </w:r>
    </w:p>
    <w:p>
      <w:pPr>
        <w:bidi w:val="0"/>
        <w:spacing w:line="360" w:lineRule="auto"/>
        <w:rPr>
          <w:rFonts w:hint="eastAsia"/>
          <w:highlight w:val="none"/>
          <w:lang w:val="en-US" w:eastAsia="zh-CN"/>
        </w:rPr>
      </w:pPr>
      <w:r>
        <w:rPr>
          <w:rFonts w:hint="eastAsia"/>
          <w:highlight w:val="none"/>
          <w:lang w:val="en-US" w:eastAsia="zh-CN"/>
        </w:rPr>
        <w:t>（5）《财政部 司法部关于政府采购支持监狱企业发展有关问题的通知》（财库〔2014〕68号）；</w:t>
      </w:r>
    </w:p>
    <w:p>
      <w:pPr>
        <w:bidi w:val="0"/>
        <w:spacing w:line="360" w:lineRule="auto"/>
        <w:rPr>
          <w:rFonts w:hint="eastAsia"/>
          <w:highlight w:val="none"/>
          <w:lang w:val="en-US" w:eastAsia="zh-CN"/>
        </w:rPr>
      </w:pPr>
      <w:r>
        <w:rPr>
          <w:rFonts w:hint="eastAsia"/>
          <w:highlight w:val="none"/>
          <w:lang w:val="en-US" w:eastAsia="zh-CN"/>
        </w:rPr>
        <w:t>（6）《三部门联合发布关于促进残疾人就业政府采购政策的通知》（财库〔2017〕141号）；</w:t>
      </w:r>
    </w:p>
    <w:p>
      <w:pPr>
        <w:bidi w:val="0"/>
        <w:spacing w:line="360" w:lineRule="auto"/>
        <w:rPr>
          <w:rFonts w:hint="eastAsia"/>
          <w:highlight w:val="none"/>
          <w:lang w:val="en-US" w:eastAsia="zh-CN"/>
        </w:rPr>
      </w:pPr>
      <w:r>
        <w:rPr>
          <w:rFonts w:hint="eastAsia"/>
          <w:highlight w:val="none"/>
          <w:lang w:val="en-US" w:eastAsia="zh-CN"/>
        </w:rPr>
        <w:t>（7）《财政部发展改革委生态环境部市场监管总局关于调整优化节能产品、环境标志产品政府采购执行机制的通知》（财库〔2019〕9号）；</w:t>
      </w:r>
    </w:p>
    <w:p>
      <w:pPr>
        <w:bidi w:val="0"/>
        <w:spacing w:line="360" w:lineRule="auto"/>
        <w:rPr>
          <w:rFonts w:hint="eastAsia"/>
          <w:highlight w:val="none"/>
          <w:lang w:val="en-US" w:eastAsia="zh-CN"/>
        </w:rPr>
      </w:pPr>
      <w:r>
        <w:rPr>
          <w:rFonts w:hint="eastAsia"/>
          <w:highlight w:val="none"/>
          <w:lang w:val="en-US" w:eastAsia="zh-CN"/>
        </w:rPr>
        <w:t>（8）《财政部 农业农村部 国家乡村振兴局关于运用政府采购政策支持乡村产业振兴的通知》（财库〔2021〕19号）；</w:t>
      </w:r>
    </w:p>
    <w:p>
      <w:pPr>
        <w:bidi w:val="0"/>
        <w:spacing w:line="360" w:lineRule="auto"/>
        <w:rPr>
          <w:rFonts w:hint="eastAsia"/>
          <w:highlight w:val="none"/>
          <w:lang w:val="en-US" w:eastAsia="zh-CN"/>
        </w:rPr>
      </w:pPr>
      <w:r>
        <w:rPr>
          <w:rFonts w:hint="eastAsia"/>
          <w:highlight w:val="none"/>
          <w:lang w:val="en-US" w:eastAsia="zh-CN"/>
        </w:rPr>
        <w:t>（9）《西安市财政局关于促进政府采购公平竞争优化营商环境的通知》（市财函〔2021)431号）；</w:t>
      </w:r>
    </w:p>
    <w:p>
      <w:pPr>
        <w:bidi w:val="0"/>
        <w:spacing w:line="360" w:lineRule="auto"/>
        <w:rPr>
          <w:rFonts w:hint="eastAsia"/>
          <w:highlight w:val="none"/>
          <w:lang w:val="en-US" w:eastAsia="zh-CN"/>
        </w:rPr>
      </w:pPr>
      <w:r>
        <w:rPr>
          <w:rFonts w:hint="eastAsia"/>
          <w:highlight w:val="none"/>
          <w:lang w:val="en-US" w:eastAsia="zh-CN"/>
        </w:rPr>
        <w:t>（10）《陕西省中小企业政府采购信用融资办法》（陕财办采〔2018〕23号）；</w:t>
      </w:r>
    </w:p>
    <w:p>
      <w:pPr>
        <w:bidi w:val="0"/>
        <w:spacing w:line="360" w:lineRule="auto"/>
        <w:rPr>
          <w:rFonts w:hint="eastAsia"/>
          <w:highlight w:val="none"/>
          <w:lang w:val="en-US" w:eastAsia="zh-CN"/>
        </w:rPr>
      </w:pPr>
      <w:r>
        <w:rPr>
          <w:rFonts w:hint="eastAsia"/>
          <w:highlight w:val="none"/>
          <w:lang w:val="en-US" w:eastAsia="zh-CN"/>
        </w:rPr>
        <w:t>（11）其它需要满足的政策。</w:t>
      </w:r>
    </w:p>
    <w:p>
      <w:pPr>
        <w:bidi w:val="0"/>
        <w:spacing w:line="360" w:lineRule="auto"/>
        <w:rPr>
          <w:rFonts w:hint="eastAsia"/>
          <w:b/>
          <w:bCs/>
          <w:highlight w:val="none"/>
          <w:lang w:val="en-US" w:eastAsia="zh-CN"/>
        </w:rPr>
      </w:pPr>
      <w:r>
        <w:rPr>
          <w:rFonts w:hint="eastAsia"/>
          <w:b/>
          <w:bCs/>
          <w:highlight w:val="none"/>
          <w:lang w:val="en-US" w:eastAsia="zh-CN"/>
        </w:rPr>
        <w:t>3.本项目的特定资格要求：</w:t>
      </w:r>
    </w:p>
    <w:p>
      <w:pPr>
        <w:bidi w:val="0"/>
        <w:spacing w:line="360" w:lineRule="auto"/>
        <w:rPr>
          <w:rFonts w:hint="eastAsia"/>
          <w:highlight w:val="none"/>
          <w:lang w:val="en-US" w:eastAsia="zh-CN"/>
        </w:rPr>
      </w:pPr>
      <w:r>
        <w:rPr>
          <w:rFonts w:hint="eastAsia"/>
          <w:highlight w:val="none"/>
          <w:lang w:val="en-US" w:eastAsia="zh-CN"/>
        </w:rPr>
        <w:t>合同包1(西安市商务局关于2022年会议会展产业中高级人才培训班项目)特定资格要求如下:</w:t>
      </w:r>
    </w:p>
    <w:p>
      <w:pPr>
        <w:bidi w:val="0"/>
        <w:spacing w:line="360" w:lineRule="auto"/>
        <w:rPr>
          <w:rFonts w:hint="eastAsia"/>
          <w:highlight w:val="none"/>
          <w:lang w:val="en-US" w:eastAsia="zh-CN"/>
        </w:rPr>
      </w:pPr>
      <w:r>
        <w:rPr>
          <w:rFonts w:hint="eastAsia"/>
          <w:highlight w:val="none"/>
          <w:lang w:val="en-US" w:eastAsia="zh-CN"/>
        </w:rPr>
        <w:t>（1）提供合格有效的法人或者其他组织的营业执照等证明文件，自然人的身份证明；</w:t>
      </w:r>
    </w:p>
    <w:p>
      <w:pPr>
        <w:bidi w:val="0"/>
        <w:spacing w:line="360" w:lineRule="auto"/>
        <w:rPr>
          <w:rFonts w:hint="eastAsia"/>
          <w:highlight w:val="none"/>
          <w:lang w:val="en-US" w:eastAsia="zh-CN"/>
        </w:rPr>
      </w:pPr>
      <w:r>
        <w:rPr>
          <w:rFonts w:hint="eastAsia"/>
          <w:highlight w:val="none"/>
          <w:lang w:val="en-US" w:eastAsia="zh-CN"/>
        </w:rPr>
        <w:t>（2）提供法定代表人授权书（附法定代表人、被授权人身份证复印件）及被授权人身份证原件（法定代表人直接参加投标，须提供法定代表人身份证明及身份证原件）；</w:t>
      </w:r>
    </w:p>
    <w:p>
      <w:pPr>
        <w:bidi w:val="0"/>
        <w:spacing w:line="360" w:lineRule="auto"/>
        <w:rPr>
          <w:rFonts w:hint="eastAsia"/>
          <w:highlight w:val="none"/>
          <w:lang w:val="en-US" w:eastAsia="zh-CN"/>
        </w:rPr>
      </w:pPr>
      <w:r>
        <w:rPr>
          <w:rFonts w:hint="eastAsia"/>
          <w:highlight w:val="none"/>
          <w:lang w:val="en-US" w:eastAsia="zh-CN"/>
        </w:rPr>
        <w:t>（3）财务状况：提供2020年或2021年度经审计的财务审计报告（成立时间至提交磋商响应文件截止时间不足一年的可提供成立后任意时段的资产负债表）或开标时间前六个月内银行出具的资信证明；</w:t>
      </w:r>
    </w:p>
    <w:p>
      <w:pPr>
        <w:bidi w:val="0"/>
        <w:spacing w:line="360" w:lineRule="auto"/>
        <w:rPr>
          <w:rFonts w:hint="eastAsia"/>
          <w:highlight w:val="none"/>
          <w:lang w:val="en-US" w:eastAsia="zh-CN"/>
        </w:rPr>
      </w:pPr>
      <w:r>
        <w:rPr>
          <w:rFonts w:hint="eastAsia"/>
          <w:highlight w:val="none"/>
          <w:lang w:val="en-US" w:eastAsia="zh-CN"/>
        </w:rPr>
        <w:t>（4）税收缴纳证明：提供磋商截止日前近一年内任意一个月的纳税证明或完税证明（任意税种），依法免税的单位应提供相关证明材料；</w:t>
      </w:r>
    </w:p>
    <w:p>
      <w:pPr>
        <w:bidi w:val="0"/>
        <w:spacing w:line="360" w:lineRule="auto"/>
        <w:rPr>
          <w:rFonts w:hint="eastAsia"/>
          <w:highlight w:val="none"/>
          <w:lang w:val="en-US" w:eastAsia="zh-CN"/>
        </w:rPr>
      </w:pPr>
      <w:r>
        <w:rPr>
          <w:rFonts w:hint="eastAsia"/>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bidi w:val="0"/>
        <w:spacing w:line="360" w:lineRule="auto"/>
        <w:rPr>
          <w:rFonts w:hint="eastAsia"/>
          <w:highlight w:val="none"/>
          <w:lang w:val="en-US" w:eastAsia="zh-CN"/>
        </w:rPr>
      </w:pPr>
      <w:r>
        <w:rPr>
          <w:rFonts w:hint="eastAsia"/>
          <w:highlight w:val="none"/>
          <w:lang w:val="en-US" w:eastAsia="zh-CN"/>
        </w:rPr>
        <w:t>（6）供应商应在磋商文件发售期至投标截止时间前通过“信用中国”网站(www.creditchina.gov.cn)、中国政府采购网(www.ccgp.gov.cn) 查询相关主体信用记录；</w:t>
      </w:r>
    </w:p>
    <w:p>
      <w:pPr>
        <w:bidi w:val="0"/>
        <w:spacing w:line="360" w:lineRule="auto"/>
        <w:rPr>
          <w:rFonts w:hint="eastAsia"/>
          <w:highlight w:val="none"/>
          <w:lang w:val="en-US" w:eastAsia="zh-CN"/>
        </w:rPr>
      </w:pPr>
      <w:r>
        <w:rPr>
          <w:rFonts w:hint="eastAsia"/>
          <w:highlight w:val="none"/>
          <w:lang w:val="en-US" w:eastAsia="zh-CN"/>
        </w:rPr>
        <w:t>（7）参加政府采购活动前3年内，在经营活动中没有重大违法记录的书面声明；</w:t>
      </w:r>
    </w:p>
    <w:p>
      <w:pPr>
        <w:bidi w:val="0"/>
        <w:spacing w:line="360" w:lineRule="auto"/>
        <w:rPr>
          <w:rFonts w:hint="eastAsia"/>
          <w:highlight w:val="none"/>
          <w:lang w:val="en-US" w:eastAsia="zh-CN"/>
        </w:rPr>
      </w:pPr>
      <w:r>
        <w:rPr>
          <w:rFonts w:hint="eastAsia"/>
          <w:highlight w:val="none"/>
          <w:lang w:val="en-US" w:eastAsia="zh-CN"/>
        </w:rPr>
        <w:t>（8）提供具有履行合同所必需的设备和专业技术能力的书面承诺；</w:t>
      </w:r>
    </w:p>
    <w:p>
      <w:pPr>
        <w:bidi w:val="0"/>
        <w:spacing w:line="360" w:lineRule="auto"/>
        <w:rPr>
          <w:rFonts w:hint="eastAsia"/>
          <w:highlight w:val="none"/>
          <w:lang w:val="en-US" w:eastAsia="zh-CN"/>
        </w:rPr>
      </w:pPr>
      <w:r>
        <w:rPr>
          <w:rFonts w:hint="eastAsia"/>
          <w:highlight w:val="none"/>
          <w:lang w:val="en-US" w:eastAsia="zh-CN"/>
        </w:rPr>
        <w:t>（9）本项目不接受联合体磋商。</w:t>
      </w:r>
    </w:p>
    <w:p>
      <w:pPr>
        <w:bidi w:val="0"/>
        <w:spacing w:line="360" w:lineRule="auto"/>
        <w:rPr>
          <w:rFonts w:hint="eastAsia"/>
          <w:b/>
          <w:bCs/>
          <w:highlight w:val="none"/>
          <w:lang w:val="en-US" w:eastAsia="zh-CN"/>
        </w:rPr>
      </w:pPr>
      <w:r>
        <w:rPr>
          <w:rFonts w:hint="eastAsia"/>
          <w:b/>
          <w:bCs/>
          <w:highlight w:val="none"/>
          <w:lang w:val="en-US" w:eastAsia="zh-CN"/>
        </w:rPr>
        <w:t>三、获取采购文件</w:t>
      </w:r>
    </w:p>
    <w:p>
      <w:pPr>
        <w:bidi w:val="0"/>
        <w:spacing w:line="360" w:lineRule="auto"/>
        <w:rPr>
          <w:rFonts w:hint="eastAsia"/>
          <w:highlight w:val="none"/>
          <w:lang w:val="en-US" w:eastAsia="zh-CN"/>
        </w:rPr>
      </w:pPr>
      <w:r>
        <w:rPr>
          <w:rFonts w:hint="eastAsia"/>
          <w:highlight w:val="none"/>
          <w:lang w:val="en-US" w:eastAsia="zh-CN"/>
        </w:rPr>
        <w:t>时间： 2022年10月12日 至 2022年10月18日 ，每天上午 09:00:00 至 12:00:00 ，下午 13:30:00 至 17:00:00 （北京时间,法定节假日除外）</w:t>
      </w:r>
    </w:p>
    <w:p>
      <w:pPr>
        <w:bidi w:val="0"/>
        <w:spacing w:line="360" w:lineRule="auto"/>
        <w:rPr>
          <w:rFonts w:hint="eastAsia"/>
          <w:highlight w:val="none"/>
          <w:lang w:val="en-US" w:eastAsia="zh-CN"/>
        </w:rPr>
      </w:pPr>
      <w:r>
        <w:rPr>
          <w:rFonts w:hint="eastAsia"/>
          <w:highlight w:val="none"/>
          <w:lang w:val="en-US" w:eastAsia="zh-CN"/>
        </w:rPr>
        <w:t>地点：陕西省西安市未央区未央路171-1 银池广场道拉斯财富中心21楼</w:t>
      </w:r>
    </w:p>
    <w:p>
      <w:pPr>
        <w:bidi w:val="0"/>
        <w:spacing w:line="360" w:lineRule="auto"/>
        <w:rPr>
          <w:rFonts w:hint="eastAsia"/>
          <w:highlight w:val="none"/>
          <w:lang w:val="en-US" w:eastAsia="zh-CN"/>
        </w:rPr>
      </w:pPr>
      <w:r>
        <w:rPr>
          <w:rFonts w:hint="eastAsia"/>
          <w:highlight w:val="none"/>
          <w:lang w:val="en-US" w:eastAsia="zh-CN"/>
        </w:rPr>
        <w:t>方式：现场获取</w:t>
      </w:r>
    </w:p>
    <w:p>
      <w:pPr>
        <w:bidi w:val="0"/>
        <w:spacing w:line="360" w:lineRule="auto"/>
        <w:rPr>
          <w:rFonts w:hint="eastAsia"/>
          <w:highlight w:val="none"/>
          <w:lang w:val="en-US" w:eastAsia="zh-CN"/>
        </w:rPr>
      </w:pPr>
      <w:r>
        <w:rPr>
          <w:rFonts w:hint="eastAsia"/>
          <w:highlight w:val="none"/>
          <w:lang w:val="en-US" w:eastAsia="zh-CN"/>
        </w:rPr>
        <w:t>售价： 免费获取</w:t>
      </w:r>
    </w:p>
    <w:p>
      <w:pPr>
        <w:bidi w:val="0"/>
        <w:spacing w:line="360" w:lineRule="auto"/>
        <w:rPr>
          <w:rFonts w:hint="eastAsia"/>
          <w:b/>
          <w:bCs/>
          <w:highlight w:val="none"/>
          <w:lang w:val="en-US" w:eastAsia="zh-CN"/>
        </w:rPr>
      </w:pPr>
      <w:r>
        <w:rPr>
          <w:rFonts w:hint="eastAsia"/>
          <w:b/>
          <w:bCs/>
          <w:highlight w:val="none"/>
          <w:lang w:val="en-US" w:eastAsia="zh-CN"/>
        </w:rPr>
        <w:t>四、响应文件提交</w:t>
      </w:r>
    </w:p>
    <w:p>
      <w:pPr>
        <w:bidi w:val="0"/>
        <w:spacing w:line="360" w:lineRule="auto"/>
        <w:rPr>
          <w:rFonts w:hint="eastAsia"/>
          <w:highlight w:val="none"/>
          <w:lang w:val="en-US" w:eastAsia="zh-CN"/>
        </w:rPr>
      </w:pPr>
      <w:r>
        <w:rPr>
          <w:rFonts w:hint="eastAsia"/>
          <w:highlight w:val="none"/>
          <w:lang w:val="en-US" w:eastAsia="zh-CN"/>
        </w:rPr>
        <w:t>截止时间： 2022年10月25日14时30分00秒 （北京时间）</w:t>
      </w:r>
    </w:p>
    <w:p>
      <w:pPr>
        <w:bidi w:val="0"/>
        <w:spacing w:line="360" w:lineRule="auto"/>
        <w:rPr>
          <w:rFonts w:hint="default"/>
          <w:highlight w:val="none"/>
          <w:lang w:val="en-US" w:eastAsia="zh-CN"/>
        </w:rPr>
      </w:pPr>
      <w:r>
        <w:rPr>
          <w:rFonts w:hint="eastAsia"/>
          <w:highlight w:val="none"/>
          <w:lang w:val="en-US" w:eastAsia="zh-CN"/>
        </w:rPr>
        <w:t>地点：陕西省西安市未央区未央路171-1 银池广场道拉斯财富中心 21 楼</w:t>
      </w:r>
    </w:p>
    <w:p>
      <w:pPr>
        <w:bidi w:val="0"/>
        <w:spacing w:line="360" w:lineRule="auto"/>
        <w:rPr>
          <w:rFonts w:hint="eastAsia"/>
          <w:b/>
          <w:bCs/>
          <w:highlight w:val="none"/>
          <w:lang w:val="en-US" w:eastAsia="zh-CN"/>
        </w:rPr>
      </w:pPr>
      <w:r>
        <w:rPr>
          <w:rFonts w:hint="eastAsia"/>
          <w:b/>
          <w:bCs/>
          <w:highlight w:val="none"/>
          <w:lang w:val="en-US" w:eastAsia="zh-CN"/>
        </w:rPr>
        <w:t>五、开启</w:t>
      </w:r>
    </w:p>
    <w:p>
      <w:pPr>
        <w:bidi w:val="0"/>
        <w:spacing w:line="360" w:lineRule="auto"/>
        <w:rPr>
          <w:rFonts w:hint="eastAsia"/>
          <w:highlight w:val="none"/>
          <w:lang w:val="en-US" w:eastAsia="zh-CN"/>
        </w:rPr>
      </w:pPr>
      <w:r>
        <w:rPr>
          <w:rFonts w:hint="eastAsia"/>
          <w:highlight w:val="none"/>
          <w:lang w:val="en-US" w:eastAsia="zh-CN"/>
        </w:rPr>
        <w:t>时间： 2022年10月25日14时30分00秒 （北京时间）</w:t>
      </w:r>
    </w:p>
    <w:p>
      <w:pPr>
        <w:bidi w:val="0"/>
        <w:spacing w:line="360" w:lineRule="auto"/>
        <w:rPr>
          <w:rFonts w:hint="eastAsia"/>
          <w:highlight w:val="none"/>
          <w:lang w:val="en-US" w:eastAsia="zh-CN"/>
        </w:rPr>
      </w:pPr>
      <w:r>
        <w:rPr>
          <w:rFonts w:hint="eastAsia"/>
          <w:highlight w:val="none"/>
          <w:lang w:val="en-US" w:eastAsia="zh-CN"/>
        </w:rPr>
        <w:t>地点：陕西省西安市未央区未央路171-1 银池广场道拉斯财富中心 21 楼</w:t>
      </w:r>
    </w:p>
    <w:p>
      <w:pPr>
        <w:bidi w:val="0"/>
        <w:spacing w:line="360" w:lineRule="auto"/>
        <w:rPr>
          <w:rFonts w:hint="eastAsia"/>
          <w:b/>
          <w:bCs/>
          <w:highlight w:val="none"/>
          <w:lang w:val="en-US" w:eastAsia="zh-CN"/>
        </w:rPr>
      </w:pPr>
      <w:r>
        <w:rPr>
          <w:rFonts w:hint="eastAsia"/>
          <w:b/>
          <w:bCs/>
          <w:highlight w:val="none"/>
          <w:lang w:val="en-US" w:eastAsia="zh-CN"/>
        </w:rPr>
        <w:t>六、公告期限</w:t>
      </w:r>
    </w:p>
    <w:p>
      <w:pPr>
        <w:bidi w:val="0"/>
        <w:spacing w:line="360" w:lineRule="auto"/>
        <w:rPr>
          <w:rFonts w:hint="eastAsia"/>
          <w:highlight w:val="none"/>
          <w:lang w:val="en-US" w:eastAsia="zh-CN"/>
        </w:rPr>
      </w:pPr>
      <w:r>
        <w:rPr>
          <w:rFonts w:hint="eastAsia"/>
          <w:highlight w:val="none"/>
          <w:lang w:val="en-US" w:eastAsia="zh-CN"/>
        </w:rPr>
        <w:t>自本公告发布之日起3个工作日。</w:t>
      </w:r>
    </w:p>
    <w:p>
      <w:pPr>
        <w:bidi w:val="0"/>
        <w:spacing w:line="360" w:lineRule="auto"/>
        <w:rPr>
          <w:rFonts w:hint="eastAsia"/>
          <w:b/>
          <w:bCs/>
          <w:highlight w:val="none"/>
          <w:lang w:val="en-US" w:eastAsia="zh-CN"/>
        </w:rPr>
      </w:pPr>
      <w:r>
        <w:rPr>
          <w:rFonts w:hint="eastAsia"/>
          <w:b/>
          <w:bCs/>
          <w:highlight w:val="none"/>
          <w:lang w:val="en-US" w:eastAsia="zh-CN"/>
        </w:rPr>
        <w:t>七、其他补充事宜</w:t>
      </w:r>
    </w:p>
    <w:p>
      <w:pPr>
        <w:bidi w:val="0"/>
        <w:spacing w:line="360" w:lineRule="auto"/>
        <w:rPr>
          <w:rFonts w:hint="default"/>
          <w:highlight w:val="none"/>
          <w:lang w:val="en-US" w:eastAsia="zh-CN"/>
        </w:rPr>
      </w:pPr>
      <w:r>
        <w:rPr>
          <w:rFonts w:hint="eastAsia"/>
          <w:highlight w:val="none"/>
          <w:lang w:val="en-US" w:eastAsia="zh-CN"/>
        </w:rPr>
        <w:t>1、获取竞争性磋商文件须提供被授权人身份证原件、单位介绍信原件、加盖供应商鲜章的身份证复印件；</w:t>
      </w:r>
    </w:p>
    <w:p>
      <w:pPr>
        <w:bidi w:val="0"/>
        <w:spacing w:line="360" w:lineRule="auto"/>
        <w:rPr>
          <w:rFonts w:hint="eastAsia"/>
          <w:highlight w:val="none"/>
          <w:lang w:val="en-US" w:eastAsia="zh-CN"/>
        </w:rPr>
      </w:pPr>
      <w:r>
        <w:rPr>
          <w:rFonts w:hint="eastAsia"/>
          <w:highlight w:val="none"/>
          <w:lang w:val="en-US" w:eastAsia="zh-CN"/>
        </w:rPr>
        <w:t>2、本项目专门面向中小企业采购，供应商应为中小微企业或监狱企业或残疾人福利性单位。</w:t>
      </w:r>
    </w:p>
    <w:p>
      <w:pPr>
        <w:bidi w:val="0"/>
        <w:spacing w:line="360" w:lineRule="auto"/>
        <w:rPr>
          <w:rFonts w:hint="eastAsia"/>
          <w:b/>
          <w:bCs/>
          <w:highlight w:val="none"/>
          <w:lang w:val="en-US" w:eastAsia="zh-CN"/>
        </w:rPr>
      </w:pPr>
      <w:r>
        <w:rPr>
          <w:rFonts w:hint="eastAsia"/>
          <w:b/>
          <w:bCs/>
          <w:highlight w:val="none"/>
          <w:lang w:val="en-US" w:eastAsia="zh-CN"/>
        </w:rPr>
        <w:t>八、凡对本次采购提出询问，请按以下方式联系。</w:t>
      </w:r>
    </w:p>
    <w:p>
      <w:pPr>
        <w:bidi w:val="0"/>
        <w:spacing w:line="360" w:lineRule="auto"/>
        <w:rPr>
          <w:rFonts w:hint="eastAsia"/>
          <w:highlight w:val="none"/>
          <w:lang w:val="en-US" w:eastAsia="zh-CN"/>
        </w:rPr>
      </w:pPr>
      <w:r>
        <w:rPr>
          <w:rFonts w:hint="eastAsia"/>
          <w:highlight w:val="none"/>
          <w:lang w:val="en-US" w:eastAsia="zh-CN"/>
        </w:rPr>
        <w:t>1.采购人信息</w:t>
      </w:r>
    </w:p>
    <w:p>
      <w:pPr>
        <w:bidi w:val="0"/>
        <w:spacing w:line="360" w:lineRule="auto"/>
        <w:rPr>
          <w:rFonts w:hint="eastAsia"/>
          <w:highlight w:val="none"/>
          <w:lang w:val="en-US" w:eastAsia="zh-CN"/>
        </w:rPr>
      </w:pPr>
      <w:r>
        <w:rPr>
          <w:rFonts w:hint="eastAsia"/>
          <w:highlight w:val="none"/>
          <w:lang w:val="en-US" w:eastAsia="zh-CN"/>
        </w:rPr>
        <w:t>名称：西安市商务局（本级）</w:t>
      </w:r>
    </w:p>
    <w:p>
      <w:pPr>
        <w:bidi w:val="0"/>
        <w:spacing w:line="360" w:lineRule="auto"/>
        <w:rPr>
          <w:rFonts w:hint="eastAsia"/>
          <w:highlight w:val="none"/>
          <w:lang w:val="en-US" w:eastAsia="zh-CN"/>
        </w:rPr>
      </w:pPr>
      <w:r>
        <w:rPr>
          <w:rFonts w:hint="eastAsia"/>
          <w:highlight w:val="none"/>
          <w:lang w:val="en-US" w:eastAsia="zh-CN"/>
        </w:rPr>
        <w:t>地址：西安市未央区凤城八路109号</w:t>
      </w:r>
    </w:p>
    <w:p>
      <w:pPr>
        <w:bidi w:val="0"/>
        <w:spacing w:line="360" w:lineRule="auto"/>
        <w:rPr>
          <w:rFonts w:hint="eastAsia"/>
          <w:highlight w:val="none"/>
          <w:lang w:val="en-US" w:eastAsia="zh-CN"/>
        </w:rPr>
      </w:pPr>
      <w:r>
        <w:rPr>
          <w:rFonts w:hint="eastAsia"/>
          <w:highlight w:val="none"/>
          <w:lang w:val="en-US" w:eastAsia="zh-CN"/>
        </w:rPr>
        <w:t>联系方式：029-86786473</w:t>
      </w:r>
    </w:p>
    <w:p>
      <w:pPr>
        <w:bidi w:val="0"/>
        <w:spacing w:line="360" w:lineRule="auto"/>
        <w:rPr>
          <w:rFonts w:hint="eastAsia"/>
          <w:highlight w:val="none"/>
          <w:lang w:val="en-US" w:eastAsia="zh-CN"/>
        </w:rPr>
      </w:pPr>
      <w:r>
        <w:rPr>
          <w:rFonts w:hint="eastAsia"/>
          <w:highlight w:val="none"/>
          <w:lang w:val="en-US" w:eastAsia="zh-CN"/>
        </w:rPr>
        <w:t>2.采购代理机构信息</w:t>
      </w:r>
    </w:p>
    <w:p>
      <w:pPr>
        <w:bidi w:val="0"/>
        <w:spacing w:line="360" w:lineRule="auto"/>
        <w:rPr>
          <w:rFonts w:hint="eastAsia"/>
          <w:highlight w:val="none"/>
          <w:lang w:val="en-US" w:eastAsia="zh-CN"/>
        </w:rPr>
      </w:pPr>
      <w:r>
        <w:rPr>
          <w:rFonts w:hint="eastAsia"/>
          <w:highlight w:val="none"/>
          <w:lang w:val="en-US" w:eastAsia="zh-CN"/>
        </w:rPr>
        <w:t>名称：陕西至诚招标咨询有限公司</w:t>
      </w:r>
    </w:p>
    <w:p>
      <w:pPr>
        <w:bidi w:val="0"/>
        <w:spacing w:line="360" w:lineRule="auto"/>
        <w:rPr>
          <w:rFonts w:hint="eastAsia"/>
          <w:highlight w:val="none"/>
          <w:lang w:val="en-US" w:eastAsia="zh-CN"/>
        </w:rPr>
      </w:pPr>
      <w:r>
        <w:rPr>
          <w:rFonts w:hint="eastAsia"/>
          <w:highlight w:val="none"/>
          <w:lang w:val="en-US" w:eastAsia="zh-CN"/>
        </w:rPr>
        <w:t>地址：陕西省西安市未央区未央路171-1 银池广场道拉斯财富中心 21 楼</w:t>
      </w:r>
    </w:p>
    <w:p>
      <w:pPr>
        <w:bidi w:val="0"/>
        <w:spacing w:line="360" w:lineRule="auto"/>
        <w:rPr>
          <w:rFonts w:hint="eastAsia"/>
          <w:highlight w:val="none"/>
          <w:lang w:val="en-US" w:eastAsia="zh-CN"/>
        </w:rPr>
      </w:pPr>
      <w:r>
        <w:rPr>
          <w:rFonts w:hint="eastAsia"/>
          <w:highlight w:val="none"/>
          <w:lang w:val="en-US" w:eastAsia="zh-CN"/>
        </w:rPr>
        <w:t>联系方式：029-88219779</w:t>
      </w:r>
    </w:p>
    <w:p>
      <w:pPr>
        <w:bidi w:val="0"/>
        <w:spacing w:line="360" w:lineRule="auto"/>
        <w:rPr>
          <w:rFonts w:hint="eastAsia"/>
          <w:highlight w:val="none"/>
          <w:lang w:val="en-US" w:eastAsia="zh-CN"/>
        </w:rPr>
      </w:pPr>
      <w:r>
        <w:rPr>
          <w:rFonts w:hint="eastAsia"/>
          <w:highlight w:val="none"/>
          <w:lang w:val="en-US" w:eastAsia="zh-CN"/>
        </w:rPr>
        <w:t>3.项目联系方式</w:t>
      </w:r>
    </w:p>
    <w:p>
      <w:pPr>
        <w:bidi w:val="0"/>
        <w:spacing w:line="360" w:lineRule="auto"/>
        <w:rPr>
          <w:rFonts w:hint="eastAsia"/>
          <w:highlight w:val="none"/>
          <w:lang w:val="en-US" w:eastAsia="zh-CN"/>
        </w:rPr>
      </w:pPr>
      <w:r>
        <w:rPr>
          <w:rFonts w:hint="eastAsia"/>
          <w:highlight w:val="none"/>
          <w:lang w:val="en-US" w:eastAsia="zh-CN"/>
        </w:rPr>
        <w:t>项目联系人：王越</w:t>
      </w:r>
    </w:p>
    <w:p>
      <w:pPr>
        <w:bidi w:val="0"/>
        <w:spacing w:line="360" w:lineRule="auto"/>
        <w:rPr>
          <w:rFonts w:hint="default"/>
          <w:highlight w:val="none"/>
          <w:lang w:val="en-US" w:eastAsia="zh-CN"/>
        </w:rPr>
      </w:pPr>
      <w:r>
        <w:rPr>
          <w:rFonts w:hint="eastAsia"/>
          <w:highlight w:val="none"/>
          <w:lang w:val="en-US" w:eastAsia="zh-CN"/>
        </w:rPr>
        <w:t>电话：029-88219779</w:t>
      </w:r>
    </w:p>
    <w:p>
      <w:pPr>
        <w:rPr>
          <w:highlight w:val="none"/>
        </w:rPr>
      </w:pPr>
    </w:p>
    <w:p>
      <w:pPr>
        <w:spacing w:line="360" w:lineRule="auto"/>
        <w:ind w:firstLine="480" w:firstLineChars="200"/>
        <w:rPr>
          <w:highlight w:val="none"/>
        </w:rPr>
      </w:pPr>
      <w:r>
        <w:rPr>
          <w:rFonts w:hint="eastAsia"/>
          <w:highlight w:val="none"/>
        </w:rPr>
        <w:t xml:space="preserve">                                              陕西至诚招标咨询有限公司</w:t>
      </w:r>
    </w:p>
    <w:p>
      <w:pPr>
        <w:spacing w:line="360" w:lineRule="auto"/>
        <w:ind w:firstLine="480" w:firstLineChars="200"/>
        <w:rPr>
          <w:highlight w:val="none"/>
        </w:rPr>
      </w:pPr>
      <w:r>
        <w:rPr>
          <w:rFonts w:hint="eastAsia"/>
          <w:highlight w:val="none"/>
        </w:rPr>
        <w:t xml:space="preserve">                                                </w:t>
      </w:r>
      <w:r>
        <w:rPr>
          <w:rFonts w:hint="eastAsia"/>
          <w:highlight w:val="none"/>
          <w:lang w:val="en-US" w:eastAsia="zh-CN"/>
        </w:rPr>
        <w:t xml:space="preserve"> </w:t>
      </w:r>
      <w:r>
        <w:rPr>
          <w:rFonts w:hint="eastAsia"/>
          <w:highlight w:val="none"/>
        </w:rPr>
        <w:t>2022年</w:t>
      </w:r>
      <w:r>
        <w:rPr>
          <w:rFonts w:hint="eastAsia"/>
          <w:highlight w:val="none"/>
          <w:lang w:val="en-US" w:eastAsia="zh-CN"/>
        </w:rPr>
        <w:t>10月11</w:t>
      </w:r>
      <w:r>
        <w:rPr>
          <w:rFonts w:hint="eastAsia"/>
          <w:highlight w:val="none"/>
        </w:rPr>
        <w:t>日</w:t>
      </w:r>
    </w:p>
    <w:p>
      <w:pPr>
        <w:rPr>
          <w:rFonts w:hAnsi="宋体" w:cs="宋体"/>
          <w:highlight w:val="none"/>
        </w:rPr>
      </w:pPr>
      <w:r>
        <w:rPr>
          <w:rFonts w:hint="eastAsia" w:hAnsi="宋体" w:cs="宋体"/>
          <w:highlight w:val="none"/>
        </w:rPr>
        <w:br w:type="page"/>
      </w:r>
    </w:p>
    <w:p>
      <w:pPr>
        <w:spacing w:line="360" w:lineRule="auto"/>
        <w:ind w:right="119"/>
        <w:jc w:val="center"/>
        <w:outlineLvl w:val="0"/>
        <w:rPr>
          <w:rFonts w:hAnsi="宋体" w:cs="宋体"/>
          <w:bCs/>
          <w:sz w:val="36"/>
          <w:szCs w:val="36"/>
          <w:highlight w:val="none"/>
        </w:rPr>
      </w:pPr>
      <w:bookmarkStart w:id="19" w:name="_Toc5836"/>
      <w:bookmarkStart w:id="20" w:name="_Toc3334"/>
      <w:r>
        <w:rPr>
          <w:rFonts w:hint="eastAsia" w:hAnsi="宋体" w:cs="宋体"/>
          <w:b/>
          <w:bCs/>
          <w:kern w:val="2"/>
          <w:sz w:val="36"/>
          <w:szCs w:val="36"/>
          <w:highlight w:val="none"/>
        </w:rPr>
        <w:t xml:space="preserve">第二章  </w:t>
      </w:r>
      <w:bookmarkEnd w:id="15"/>
      <w:bookmarkEnd w:id="16"/>
      <w:bookmarkStart w:id="21" w:name="OLE_LINK3"/>
      <w:r>
        <w:rPr>
          <w:rFonts w:hint="eastAsia" w:hAnsi="宋体" w:cs="宋体"/>
          <w:b/>
          <w:bCs/>
          <w:kern w:val="2"/>
          <w:sz w:val="36"/>
          <w:szCs w:val="36"/>
          <w:highlight w:val="none"/>
        </w:rPr>
        <w:t>供应商须知</w:t>
      </w:r>
      <w:bookmarkEnd w:id="17"/>
      <w:bookmarkEnd w:id="18"/>
      <w:bookmarkEnd w:id="19"/>
      <w:bookmarkEnd w:id="20"/>
      <w:bookmarkEnd w:id="21"/>
    </w:p>
    <w:p>
      <w:pPr>
        <w:spacing w:line="360" w:lineRule="auto"/>
        <w:ind w:firstLine="3534" w:firstLineChars="1100"/>
        <w:outlineLvl w:val="1"/>
        <w:rPr>
          <w:rFonts w:hAnsi="宋体" w:cs="宋体"/>
          <w:b/>
          <w:bCs/>
          <w:sz w:val="32"/>
          <w:szCs w:val="32"/>
          <w:highlight w:val="none"/>
        </w:rPr>
      </w:pPr>
      <w:bookmarkStart w:id="22" w:name="_Toc8846"/>
      <w:bookmarkStart w:id="23" w:name="_Toc3915"/>
      <w:bookmarkStart w:id="24" w:name="_Toc16830"/>
      <w:r>
        <w:rPr>
          <w:rFonts w:hint="eastAsia" w:hAnsi="宋体" w:cs="宋体"/>
          <w:b/>
          <w:bCs/>
          <w:sz w:val="32"/>
          <w:szCs w:val="32"/>
          <w:highlight w:val="none"/>
        </w:rPr>
        <w:t>供应商须知前附表</w:t>
      </w:r>
      <w:bookmarkEnd w:id="22"/>
      <w:bookmarkEnd w:id="23"/>
      <w:bookmarkEnd w:id="24"/>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75"/>
        <w:gridCol w:w="945"/>
        <w:gridCol w:w="7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序号</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7834" w:type="dxa"/>
            <w:vAlign w:val="center"/>
          </w:tcPr>
          <w:p>
            <w:pPr>
              <w:spacing w:line="360" w:lineRule="auto"/>
              <w:jc w:val="center"/>
              <w:rPr>
                <w:rFonts w:hAnsi="宋体" w:cs="宋体"/>
                <w:szCs w:val="24"/>
                <w:highlight w:val="none"/>
              </w:rPr>
            </w:pPr>
            <w:r>
              <w:rPr>
                <w:rFonts w:hint="eastAsia" w:hAnsi="宋体" w:cs="宋体"/>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834" w:type="dxa"/>
          </w:tcPr>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ind w:left="1680" w:hanging="1680" w:hangingChars="700"/>
              <w:rPr>
                <w:rFonts w:hAnsi="宋体" w:cs="宋体"/>
                <w:szCs w:val="24"/>
                <w:highlight w:val="none"/>
              </w:rPr>
            </w:pPr>
            <w:r>
              <w:rPr>
                <w:rFonts w:hint="eastAsia" w:hAnsi="宋体" w:cs="宋体"/>
                <w:szCs w:val="24"/>
                <w:highlight w:val="none"/>
              </w:rPr>
              <w:t>地        址：陕西省西安市未央区未央路171-1 银池广场道拉斯财富中心 21 楼</w:t>
            </w:r>
          </w:p>
          <w:p>
            <w:pPr>
              <w:spacing w:line="360" w:lineRule="auto"/>
              <w:rPr>
                <w:rFonts w:hAnsi="宋体" w:cs="宋体"/>
                <w:szCs w:val="24"/>
                <w:highlight w:val="none"/>
              </w:rPr>
            </w:pPr>
            <w:r>
              <w:rPr>
                <w:rFonts w:hint="eastAsia" w:hAnsi="宋体" w:cs="宋体"/>
                <w:szCs w:val="24"/>
                <w:highlight w:val="none"/>
              </w:rPr>
              <w:t>邮        编：710065</w:t>
            </w:r>
          </w:p>
          <w:p>
            <w:pPr>
              <w:spacing w:line="360" w:lineRule="auto"/>
              <w:rPr>
                <w:rFonts w:hint="eastAsia" w:hAnsi="宋体" w:eastAsia="宋体" w:cs="宋体"/>
                <w:szCs w:val="24"/>
                <w:highlight w:val="none"/>
                <w:lang w:val="en-US" w:eastAsia="zh-CN"/>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hAnsi="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834" w:type="dxa"/>
          </w:tcPr>
          <w:p>
            <w:pPr>
              <w:spacing w:line="360" w:lineRule="auto"/>
              <w:rPr>
                <w:rFonts w:hint="eastAsia" w:hAnsi="宋体" w:eastAsia="宋体" w:cs="宋体"/>
                <w:szCs w:val="24"/>
                <w:highlight w:val="none"/>
                <w:lang w:eastAsia="zh-CN"/>
              </w:rPr>
            </w:pPr>
            <w:r>
              <w:rPr>
                <w:rFonts w:hint="eastAsia" w:hAnsi="宋体" w:cs="宋体"/>
                <w:b/>
                <w:bCs/>
                <w:szCs w:val="24"/>
                <w:highlight w:val="none"/>
              </w:rPr>
              <w:t>磋商报价：</w:t>
            </w:r>
            <w:r>
              <w:rPr>
                <w:rFonts w:hint="eastAsia" w:hAnsi="宋体" w:cs="宋体"/>
                <w:szCs w:val="24"/>
                <w:highlight w:val="none"/>
              </w:rPr>
              <w:t>是供应商为完成本项目要求的全部服务内容最终价格的体现，</w:t>
            </w:r>
            <w:r>
              <w:rPr>
                <w:rFonts w:hint="eastAsia" w:hAnsi="宋体" w:cs="宋体"/>
                <w:szCs w:val="24"/>
                <w:highlight w:val="none"/>
                <w:lang w:eastAsia="zh-CN"/>
              </w:rPr>
              <w:t>包括但不限于策划费、场地费、培训及附带服务费、招标代理服务费、税金等其他一切相关费用。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834" w:type="dxa"/>
          </w:tcPr>
          <w:p>
            <w:pPr>
              <w:spacing w:line="360" w:lineRule="auto"/>
              <w:rPr>
                <w:rFonts w:hAnsi="宋体" w:cs="宋体"/>
                <w:b/>
                <w:bCs/>
                <w:szCs w:val="24"/>
                <w:highlight w:val="none"/>
              </w:rPr>
            </w:pPr>
            <w:r>
              <w:rPr>
                <w:rFonts w:hint="eastAsia" w:hAnsi="宋体" w:cs="宋体"/>
                <w:b/>
                <w:bCs/>
                <w:szCs w:val="24"/>
                <w:highlight w:val="none"/>
              </w:rPr>
              <w:t>特定资格证明文件：</w:t>
            </w:r>
          </w:p>
          <w:p>
            <w:pPr>
              <w:spacing w:line="360" w:lineRule="auto"/>
              <w:rPr>
                <w:rFonts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rPr>
                <w:rFonts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rPr>
                <w:rFonts w:hAnsi="宋体" w:cs="宋体"/>
                <w:szCs w:val="24"/>
                <w:highlight w:val="none"/>
              </w:rPr>
            </w:pPr>
            <w:r>
              <w:rPr>
                <w:rFonts w:hint="eastAsia" w:hAnsi="宋体" w:cs="宋体"/>
                <w:szCs w:val="24"/>
                <w:highlight w:val="none"/>
              </w:rPr>
              <w:t>3、财务状况：提供2020</w:t>
            </w:r>
            <w:r>
              <w:rPr>
                <w:rFonts w:hint="eastAsia" w:hAnsi="宋体" w:cs="宋体"/>
                <w:szCs w:val="24"/>
                <w:highlight w:val="none"/>
                <w:lang w:eastAsia="zh-CN"/>
              </w:rPr>
              <w:t>年</w:t>
            </w:r>
            <w:r>
              <w:rPr>
                <w:rFonts w:hint="eastAsia" w:hAnsi="宋体" w:cs="宋体"/>
                <w:szCs w:val="24"/>
                <w:highlight w:val="none"/>
              </w:rPr>
              <w:t>或2021年度经审计的财务审计报告（成立时间至提交磋商响应文件截止时间不足一年的可提供成立后任意时段的资产负债表）或开标时间前六个月内银行出具的资信证明；</w:t>
            </w:r>
          </w:p>
          <w:p>
            <w:pPr>
              <w:spacing w:line="360" w:lineRule="auto"/>
              <w:rPr>
                <w:rFonts w:hAnsi="宋体" w:cs="宋体"/>
                <w:szCs w:val="24"/>
                <w:highlight w:val="none"/>
              </w:rPr>
            </w:pPr>
            <w:r>
              <w:rPr>
                <w:rFonts w:hint="eastAsia" w:hAnsi="宋体" w:cs="宋体"/>
                <w:szCs w:val="24"/>
                <w:highlight w:val="none"/>
              </w:rPr>
              <w:t xml:space="preserve">4、税收缴纳证明：提供磋商截止日前近一年内任意一个月的纳税证明或完税证明（任意税种），依法免税的单位应提供相关证明材料； </w:t>
            </w:r>
          </w:p>
          <w:p>
            <w:pPr>
              <w:spacing w:line="360" w:lineRule="auto"/>
              <w:rPr>
                <w:rFonts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rPr>
                <w:rFonts w:hAnsi="宋体" w:cs="宋体"/>
                <w:szCs w:val="24"/>
                <w:highlight w:val="none"/>
              </w:rPr>
            </w:pPr>
            <w:r>
              <w:rPr>
                <w:rFonts w:hint="eastAsia" w:hAnsi="宋体" w:cs="宋体"/>
                <w:szCs w:val="24"/>
                <w:highlight w:val="none"/>
              </w:rPr>
              <w:t>6、供应商应在磋商文件发售期至投标截止时间前通过“信用中国”网站(www.creditchina.gov.cn)、中国政府采购网(www.ccgp.gov.cn) 查询相关主体信用记录；</w:t>
            </w:r>
          </w:p>
          <w:p>
            <w:pPr>
              <w:spacing w:line="360" w:lineRule="auto"/>
              <w:rPr>
                <w:rFonts w:hAnsi="宋体" w:cs="宋体"/>
                <w:szCs w:val="24"/>
                <w:highlight w:val="none"/>
              </w:rPr>
            </w:pPr>
            <w:r>
              <w:rPr>
                <w:rFonts w:hint="eastAsia" w:hAnsi="宋体" w:cs="宋体"/>
                <w:szCs w:val="24"/>
                <w:highlight w:val="none"/>
              </w:rPr>
              <w:t>7、参加政府采购活动前3年内，在经营活动中没有重大违法记录的书面声明；</w:t>
            </w:r>
          </w:p>
          <w:p>
            <w:pPr>
              <w:spacing w:line="360" w:lineRule="auto"/>
              <w:rPr>
                <w:rFonts w:hAnsi="宋体" w:cs="宋体"/>
                <w:szCs w:val="24"/>
                <w:highlight w:val="none"/>
              </w:rPr>
            </w:pPr>
            <w:r>
              <w:rPr>
                <w:rFonts w:hint="eastAsia" w:hAnsi="宋体" w:cs="宋体"/>
                <w:szCs w:val="24"/>
                <w:highlight w:val="none"/>
              </w:rPr>
              <w:t>8、提供具有履行合同所必需的设备和专业技术能力的书面承诺；</w:t>
            </w:r>
          </w:p>
          <w:p>
            <w:pPr>
              <w:spacing w:line="360" w:lineRule="auto"/>
              <w:rPr>
                <w:rFonts w:hAnsi="宋体" w:cs="宋体"/>
                <w:szCs w:val="24"/>
                <w:highlight w:val="none"/>
              </w:rPr>
            </w:pPr>
            <w:r>
              <w:rPr>
                <w:rFonts w:hint="eastAsia" w:hAnsi="宋体" w:cs="宋体"/>
                <w:szCs w:val="24"/>
                <w:highlight w:val="none"/>
              </w:rPr>
              <w:t>9、本项目不接受联合体磋商。</w:t>
            </w:r>
          </w:p>
          <w:p>
            <w:pPr>
              <w:bidi w:val="0"/>
              <w:spacing w:line="360" w:lineRule="auto"/>
              <w:rPr>
                <w:rFonts w:hint="eastAsia" w:hAnsi="宋体" w:cs="宋体"/>
                <w:szCs w:val="24"/>
                <w:highlight w:val="none"/>
              </w:rPr>
            </w:pPr>
            <w:r>
              <w:rPr>
                <w:rFonts w:hint="eastAsia" w:ascii="宋体" w:hAnsi="Times New Roman" w:eastAsia="宋体" w:cs="Times New Roman"/>
                <w:highlight w:val="none"/>
                <w:lang w:val="en-US" w:eastAsia="zh-CN"/>
              </w:rPr>
              <w:t>（注：依法免税、不需要缴纳社会保障资金或成立时间不满三个月的供应商，应提供其依法免税、不需要缴纳社会保障资金的证明文件；成立不满一年或开标前一年内零申报的税收缴纳证明和财务审计报告只需提供财务报表加盖单位公章。）</w:t>
            </w:r>
          </w:p>
          <w:p>
            <w:pPr>
              <w:spacing w:line="360" w:lineRule="auto"/>
              <w:ind w:firstLine="480" w:firstLineChars="200"/>
              <w:rPr>
                <w:rFonts w:hAnsi="宋体" w:cs="宋体"/>
                <w:szCs w:val="24"/>
                <w:highlight w:val="none"/>
              </w:rPr>
            </w:pPr>
            <w:r>
              <w:rPr>
                <w:rFonts w:hint="eastAsia" w:hAnsi="宋体" w:cs="宋体"/>
                <w:szCs w:val="24"/>
                <w:highlight w:val="none"/>
              </w:rPr>
              <w:t>以上（1-8）为必备资质，缺一项或某项达不到要求，按无效磋商处理。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834" w:type="dxa"/>
          </w:tcPr>
          <w:p>
            <w:pPr>
              <w:spacing w:line="360" w:lineRule="auto"/>
              <w:rPr>
                <w:rFonts w:hAnsi="宋体" w:cs="宋体"/>
                <w:szCs w:val="24"/>
                <w:highlight w:val="none"/>
              </w:rPr>
            </w:pPr>
            <w:r>
              <w:rPr>
                <w:rFonts w:hint="eastAsia" w:hAnsi="宋体" w:cs="宋体"/>
                <w:szCs w:val="24"/>
                <w:highlight w:val="none"/>
              </w:rPr>
              <w:t xml:space="preserve">磋商保证金：本项目不缴纳磋商保证金。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16.1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正本的份数：壹份；副本的份数：贰份；开标一览表：壹份；电子版（U盘或光盘）：壹份（需在盘面上标注供应商全称、项目名称、项目编号）。</w:t>
            </w:r>
            <w:r>
              <w:rPr>
                <w:rFonts w:hint="eastAsia" w:hAnsi="宋体" w:cs="宋体"/>
                <w:b/>
                <w:bCs/>
                <w:szCs w:val="24"/>
                <w:highlight w:val="none"/>
              </w:rPr>
              <w:t>（注：电子版为Word版和正本签字盖章后的PDF格式扫描件，与正本具有同等法律效力。）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9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10</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17.2</w:t>
            </w:r>
          </w:p>
        </w:tc>
        <w:tc>
          <w:tcPr>
            <w:tcW w:w="7834"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480" w:firstLineChars="2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480" w:firstLineChars="2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480" w:firstLineChars="200"/>
              <w:rPr>
                <w:rFonts w:hAnsi="宋体" w:cs="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11</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18.1</w:t>
            </w:r>
          </w:p>
        </w:tc>
        <w:tc>
          <w:tcPr>
            <w:tcW w:w="7834" w:type="dxa"/>
          </w:tcPr>
          <w:p>
            <w:pPr>
              <w:spacing w:line="360" w:lineRule="auto"/>
              <w:rPr>
                <w:rFonts w:hAnsi="宋体" w:cs="宋体"/>
                <w:szCs w:val="24"/>
                <w:highlight w:val="none"/>
              </w:rPr>
            </w:pPr>
            <w:r>
              <w:rPr>
                <w:rFonts w:hint="eastAsia" w:hAnsi="宋体" w:cs="宋体"/>
                <w:szCs w:val="24"/>
                <w:highlight w:val="none"/>
              </w:rPr>
              <w:t>磋商响应文件递交截止时间：2022-</w:t>
            </w:r>
            <w:r>
              <w:rPr>
                <w:rFonts w:hint="eastAsia" w:hAnsi="宋体" w:cs="宋体"/>
                <w:szCs w:val="24"/>
                <w:highlight w:val="none"/>
                <w:lang w:val="en-US" w:eastAsia="zh-CN"/>
              </w:rPr>
              <w:t>10</w:t>
            </w:r>
            <w:r>
              <w:rPr>
                <w:rFonts w:hint="eastAsia" w:hAnsi="宋体" w:cs="宋体"/>
                <w:szCs w:val="24"/>
                <w:highlight w:val="none"/>
              </w:rPr>
              <w:t>-</w:t>
            </w:r>
            <w:r>
              <w:rPr>
                <w:rFonts w:hint="eastAsia" w:hAnsi="宋体" w:cs="宋体"/>
                <w:szCs w:val="24"/>
                <w:highlight w:val="none"/>
                <w:lang w:val="en-US" w:eastAsia="zh-CN"/>
              </w:rPr>
              <w:t>25</w:t>
            </w:r>
            <w:r>
              <w:rPr>
                <w:rFonts w:hint="eastAsia" w:hAnsi="宋体" w:cs="宋体"/>
                <w:szCs w:val="24"/>
                <w:highlight w:val="none"/>
              </w:rPr>
              <w:t xml:space="preserve"> </w:t>
            </w:r>
            <w:r>
              <w:rPr>
                <w:rFonts w:hint="eastAsia" w:hAnsi="宋体" w:cs="宋体"/>
                <w:szCs w:val="24"/>
                <w:highlight w:val="none"/>
                <w:lang w:val="en-US" w:eastAsia="zh-CN"/>
              </w:rPr>
              <w:t>14</w:t>
            </w:r>
            <w:r>
              <w:rPr>
                <w:rFonts w:hint="eastAsia" w:hAnsi="宋体" w:cs="宋体"/>
                <w:szCs w:val="24"/>
                <w:highlight w:val="none"/>
              </w:rPr>
              <w:t>:30:00(北京时间)</w:t>
            </w:r>
          </w:p>
          <w:p>
            <w:pPr>
              <w:spacing w:line="360" w:lineRule="auto"/>
              <w:ind w:left="2640" w:hanging="2640" w:hangingChars="1100"/>
              <w:rPr>
                <w:rFonts w:hint="eastAsia" w:hAnsi="宋体" w:eastAsia="宋体" w:cs="宋体"/>
                <w:szCs w:val="24"/>
                <w:highlight w:val="none"/>
                <w:lang w:val="en-US" w:eastAsia="zh-CN"/>
              </w:rPr>
            </w:pPr>
            <w:r>
              <w:rPr>
                <w:rFonts w:hint="eastAsia" w:hAnsi="宋体" w:cs="宋体"/>
                <w:szCs w:val="24"/>
                <w:highlight w:val="none"/>
              </w:rPr>
              <w:t>磋商响应文件递交地址：陕西省西安市未央区未央路171-1 银池广场道拉斯财富中心 21 楼</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12</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21.1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磋商时间：2022-</w:t>
            </w:r>
            <w:r>
              <w:rPr>
                <w:rFonts w:hint="eastAsia" w:hAnsi="宋体" w:cs="宋体"/>
                <w:szCs w:val="24"/>
                <w:highlight w:val="none"/>
                <w:lang w:val="en-US" w:eastAsia="zh-CN"/>
              </w:rPr>
              <w:t>10</w:t>
            </w:r>
            <w:r>
              <w:rPr>
                <w:rFonts w:hint="eastAsia" w:hAnsi="宋体" w:cs="宋体"/>
                <w:szCs w:val="24"/>
                <w:highlight w:val="none"/>
              </w:rPr>
              <w:t>-</w:t>
            </w:r>
            <w:r>
              <w:rPr>
                <w:rFonts w:hint="eastAsia" w:hAnsi="宋体" w:cs="宋体"/>
                <w:szCs w:val="24"/>
                <w:highlight w:val="none"/>
                <w:lang w:val="en-US" w:eastAsia="zh-CN"/>
              </w:rPr>
              <w:t>25</w:t>
            </w:r>
            <w:r>
              <w:rPr>
                <w:rFonts w:hint="eastAsia" w:hAnsi="宋体" w:cs="宋体"/>
                <w:szCs w:val="24"/>
                <w:highlight w:val="none"/>
              </w:rPr>
              <w:t xml:space="preserve"> </w:t>
            </w:r>
            <w:r>
              <w:rPr>
                <w:rFonts w:hint="eastAsia" w:hAnsi="宋体" w:cs="宋体"/>
                <w:szCs w:val="24"/>
                <w:highlight w:val="none"/>
                <w:lang w:val="en-US" w:eastAsia="zh-CN"/>
              </w:rPr>
              <w:t>14</w:t>
            </w:r>
            <w:r>
              <w:rPr>
                <w:rFonts w:hint="eastAsia" w:hAnsi="宋体" w:cs="宋体"/>
                <w:szCs w:val="24"/>
                <w:highlight w:val="none"/>
              </w:rPr>
              <w:t>:30:00(北京时间)</w:t>
            </w:r>
          </w:p>
          <w:p>
            <w:pPr>
              <w:spacing w:line="360" w:lineRule="auto"/>
              <w:ind w:left="1200" w:hanging="1200" w:hangingChars="500"/>
              <w:rPr>
                <w:rFonts w:hAnsi="宋体" w:cs="宋体"/>
                <w:szCs w:val="24"/>
                <w:highlight w:val="none"/>
              </w:rPr>
            </w:pPr>
            <w:r>
              <w:rPr>
                <w:rFonts w:hint="eastAsia" w:hAnsi="宋体" w:cs="宋体"/>
                <w:szCs w:val="24"/>
                <w:highlight w:val="none"/>
              </w:rPr>
              <w:t>磋商地点：陕西省西安市未央区未央路171-1 银池广场道拉斯财富中心 21 楼开标室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2"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13</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24.1</w:t>
            </w:r>
          </w:p>
        </w:tc>
        <w:tc>
          <w:tcPr>
            <w:tcW w:w="7834" w:type="dxa"/>
            <w:vAlign w:val="center"/>
          </w:tcPr>
          <w:p>
            <w:pPr>
              <w:spacing w:line="360" w:lineRule="auto"/>
              <w:rPr>
                <w:rFonts w:hAnsi="宋体" w:cs="宋体"/>
                <w:szCs w:val="24"/>
                <w:highlight w:val="none"/>
              </w:rPr>
            </w:pPr>
            <w:r>
              <w:rPr>
                <w:rFonts w:hint="eastAsia" w:hAnsi="宋体" w:cs="宋体"/>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14</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29</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 xml:space="preserve">磋商代理服务费： </w:t>
            </w:r>
          </w:p>
          <w:p>
            <w:pPr>
              <w:spacing w:line="360" w:lineRule="auto"/>
              <w:rPr>
                <w:rFonts w:hAnsi="宋体" w:cs="宋体"/>
                <w:szCs w:val="24"/>
                <w:highlight w:val="none"/>
              </w:rPr>
            </w:pPr>
            <w:r>
              <w:rPr>
                <w:rFonts w:hint="eastAsia" w:hAnsi="宋体" w:cs="宋体"/>
                <w:szCs w:val="24"/>
                <w:highlight w:val="none"/>
              </w:rPr>
              <w:t>29.1按</w:t>
            </w:r>
            <w:bookmarkStart w:id="25" w:name="OLE_LINK10"/>
            <w:bookmarkStart w:id="26" w:name="OLE_LINK9"/>
            <w:r>
              <w:rPr>
                <w:rFonts w:hint="eastAsia" w:hAnsi="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p>
          <w:p>
            <w:pPr>
              <w:spacing w:line="360" w:lineRule="auto"/>
              <w:rPr>
                <w:rFonts w:hAnsi="宋体" w:cs="宋体"/>
                <w:szCs w:val="24"/>
                <w:highlight w:val="none"/>
              </w:rPr>
            </w:pPr>
            <w:r>
              <w:rPr>
                <w:rFonts w:hint="eastAsia" w:hAnsi="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15</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银行</w:t>
            </w:r>
          </w:p>
          <w:p>
            <w:pPr>
              <w:spacing w:line="360" w:lineRule="auto"/>
              <w:jc w:val="center"/>
              <w:rPr>
                <w:rFonts w:hAnsi="宋体" w:cs="宋体"/>
                <w:szCs w:val="24"/>
                <w:highlight w:val="none"/>
              </w:rPr>
            </w:pPr>
            <w:r>
              <w:rPr>
                <w:rFonts w:hint="eastAsia" w:hAnsi="宋体" w:cs="宋体"/>
                <w:szCs w:val="24"/>
                <w:highlight w:val="none"/>
              </w:rPr>
              <w:t>账户</w:t>
            </w:r>
          </w:p>
          <w:p>
            <w:pPr>
              <w:spacing w:line="360" w:lineRule="auto"/>
              <w:jc w:val="center"/>
              <w:rPr>
                <w:rFonts w:hAnsi="宋体" w:cs="宋体"/>
                <w:szCs w:val="24"/>
                <w:highlight w:val="none"/>
              </w:rPr>
            </w:pPr>
            <w:r>
              <w:rPr>
                <w:rFonts w:hint="eastAsia" w:hAnsi="宋体" w:cs="宋体"/>
                <w:szCs w:val="24"/>
                <w:highlight w:val="none"/>
              </w:rPr>
              <w:t>信息</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代理服务费账户：</w:t>
            </w:r>
          </w:p>
          <w:p>
            <w:pPr>
              <w:spacing w:line="360" w:lineRule="auto"/>
              <w:rPr>
                <w:rFonts w:hAnsi="宋体" w:cs="宋体"/>
                <w:szCs w:val="24"/>
                <w:highlight w:val="none"/>
              </w:rPr>
            </w:pPr>
            <w:r>
              <w:rPr>
                <w:rFonts w:hint="eastAsia" w:hAnsi="宋体" w:cs="宋体"/>
                <w:szCs w:val="24"/>
                <w:highlight w:val="none"/>
              </w:rPr>
              <w:t>1、采购代理机构开户名称: 陕西至诚招标咨询有限公司</w:t>
            </w:r>
          </w:p>
          <w:p>
            <w:pPr>
              <w:spacing w:line="360" w:lineRule="auto"/>
              <w:rPr>
                <w:rFonts w:hAnsi="宋体" w:cs="宋体"/>
                <w:szCs w:val="24"/>
                <w:highlight w:val="none"/>
              </w:rPr>
            </w:pPr>
            <w:r>
              <w:rPr>
                <w:rFonts w:hint="eastAsia" w:hAnsi="宋体" w:cs="宋体"/>
                <w:szCs w:val="24"/>
                <w:highlight w:val="none"/>
              </w:rPr>
              <w:t>2、开户行名称：中国建设银行股份有限公司西安高新技术产业开发区支行</w:t>
            </w:r>
          </w:p>
          <w:p>
            <w:pPr>
              <w:spacing w:line="360" w:lineRule="auto"/>
              <w:rPr>
                <w:rFonts w:hAnsi="宋体" w:cs="宋体"/>
                <w:szCs w:val="24"/>
                <w:highlight w:val="none"/>
              </w:rPr>
            </w:pPr>
            <w:r>
              <w:rPr>
                <w:rFonts w:hint="eastAsia" w:hAnsi="宋体" w:cs="宋体"/>
                <w:szCs w:val="24"/>
                <w:highlight w:val="none"/>
              </w:rPr>
              <w:t>3、账号：61050192090000002152。</w:t>
            </w:r>
          </w:p>
          <w:p>
            <w:pPr>
              <w:spacing w:line="360" w:lineRule="auto"/>
              <w:ind w:firstLine="480" w:firstLineChars="200"/>
              <w:rPr>
                <w:rFonts w:hAnsi="宋体" w:cs="宋体"/>
                <w:szCs w:val="24"/>
                <w:highlight w:val="none"/>
              </w:rPr>
            </w:pPr>
            <w:r>
              <w:rPr>
                <w:rFonts w:hint="eastAsia" w:hAnsi="宋体" w:cs="宋体"/>
                <w:szCs w:val="24"/>
                <w:highlight w:val="none"/>
              </w:rPr>
              <w:t>请供应商按照要求将服务费汇入以上指定账户，如因自身原因发生错误，产生的不利后果均由供应商自行承担。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b/>
                <w:bCs/>
                <w:szCs w:val="24"/>
                <w:highlight w:val="none"/>
              </w:rPr>
            </w:pPr>
            <w:r>
              <w:rPr>
                <w:rFonts w:hint="eastAsia" w:hAnsi="宋体" w:cs="宋体"/>
                <w:b/>
                <w:bCs/>
                <w:szCs w:val="24"/>
                <w:highlight w:val="none"/>
              </w:rPr>
              <w:t>16</w:t>
            </w:r>
          </w:p>
        </w:tc>
        <w:tc>
          <w:tcPr>
            <w:tcW w:w="945" w:type="dxa"/>
            <w:vAlign w:val="center"/>
          </w:tcPr>
          <w:p>
            <w:pPr>
              <w:spacing w:line="360" w:lineRule="auto"/>
              <w:jc w:val="center"/>
              <w:rPr>
                <w:rFonts w:hAnsi="宋体" w:cs="宋体"/>
                <w:b/>
                <w:bCs/>
                <w:szCs w:val="24"/>
                <w:highlight w:val="none"/>
              </w:rPr>
            </w:pPr>
            <w:r>
              <w:rPr>
                <w:rFonts w:hint="eastAsia" w:hAnsi="宋体" w:cs="宋体"/>
                <w:b/>
                <w:bCs/>
                <w:szCs w:val="24"/>
                <w:highlight w:val="none"/>
              </w:rPr>
              <w:t>项目</w:t>
            </w:r>
          </w:p>
          <w:p>
            <w:pPr>
              <w:spacing w:line="360" w:lineRule="auto"/>
              <w:jc w:val="center"/>
              <w:rPr>
                <w:rFonts w:hAnsi="宋体" w:cs="宋体"/>
                <w:b/>
                <w:bCs/>
                <w:szCs w:val="24"/>
                <w:highlight w:val="none"/>
              </w:rPr>
            </w:pPr>
            <w:r>
              <w:rPr>
                <w:rFonts w:hint="eastAsia" w:hAnsi="宋体" w:cs="宋体"/>
                <w:b/>
                <w:bCs/>
                <w:szCs w:val="24"/>
                <w:highlight w:val="none"/>
              </w:rPr>
              <w:t>性质</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lang w:val="zh-CN"/>
              </w:rPr>
              <w:t>专门面向中小企业采购，供应商应为中小微企业或监狱企业或残疾人福利性单位</w:t>
            </w:r>
            <w:r>
              <w:rPr>
                <w:rFonts w:hint="eastAsia" w:hAnsi="宋体" w:cs="宋体"/>
                <w:b/>
                <w:bCs/>
                <w:szCs w:val="24"/>
                <w:highlight w:val="none"/>
                <w:lang w:val="zh-CN" w:eastAsia="zh-CN"/>
              </w:rPr>
              <w:t>（需要提供中小企业声明函）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17</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其他</w:t>
            </w:r>
          </w:p>
        </w:tc>
        <w:tc>
          <w:tcPr>
            <w:tcW w:w="7834" w:type="dxa"/>
            <w:vAlign w:val="center"/>
          </w:tcPr>
          <w:p>
            <w:pPr>
              <w:numPr>
                <w:ilvl w:val="0"/>
                <w:numId w:val="1"/>
              </w:numPr>
              <w:spacing w:line="360" w:lineRule="auto"/>
              <w:rPr>
                <w:highlight w:val="none"/>
              </w:rPr>
            </w:pPr>
            <w:r>
              <w:rPr>
                <w:rFonts w:hint="eastAsia"/>
                <w:highlight w:val="none"/>
              </w:rPr>
              <w:t>根据《西安市财政局关于促进政府采购公平竞争优化营商环境的通知》（市财函〔2021) 431号），供应商登记免费领取采购文件的，如不参与项目投标，应在递交投标（或相应）文件截止时间前一日以书面形式告知釆购代理机构。否则，采购代理机构可以向财政部门反映情况并提供相应的佐证。供应商一年内累计出现三次该情形，将被监管部门记录为失信行为。</w:t>
            </w:r>
          </w:p>
          <w:p>
            <w:pPr>
              <w:numPr>
                <w:ilvl w:val="0"/>
                <w:numId w:val="1"/>
              </w:numPr>
              <w:spacing w:line="360" w:lineRule="auto"/>
              <w:rPr>
                <w:highlight w:val="none"/>
              </w:rPr>
            </w:pPr>
            <w:r>
              <w:rPr>
                <w:rFonts w:hint="eastAsia"/>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 登录陕西省政府采购信用融资平台(http://www.ccgp-shaanxi.gov.cn/zcdservice/zcd/shan xi/）在线申请，依法参加政府采购信用融资活动。</w:t>
            </w:r>
          </w:p>
          <w:p>
            <w:pPr>
              <w:spacing w:line="360" w:lineRule="auto"/>
              <w:ind w:firstLine="480" w:firstLineChars="200"/>
              <w:rPr>
                <w:highlight w:val="none"/>
              </w:rPr>
            </w:pPr>
            <w:r>
              <w:rPr>
                <w:rFonts w:hint="eastAsia"/>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56" w:hRule="atLeast"/>
          <w:jc w:val="center"/>
        </w:trPr>
        <w:tc>
          <w:tcPr>
            <w:tcW w:w="575" w:type="dxa"/>
            <w:vAlign w:val="center"/>
          </w:tcPr>
          <w:p>
            <w:pPr>
              <w:spacing w:line="360" w:lineRule="auto"/>
              <w:jc w:val="center"/>
              <w:rPr>
                <w:rFonts w:hAnsi="宋体" w:cs="宋体"/>
                <w:szCs w:val="24"/>
                <w:highlight w:val="none"/>
              </w:rPr>
            </w:pPr>
            <w:r>
              <w:rPr>
                <w:rFonts w:hint="eastAsia" w:hAnsi="宋体" w:cs="宋体"/>
                <w:szCs w:val="24"/>
                <w:highlight w:val="none"/>
              </w:rPr>
              <w:t>18</w:t>
            </w:r>
          </w:p>
        </w:tc>
        <w:tc>
          <w:tcPr>
            <w:tcW w:w="945" w:type="dxa"/>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7834" w:type="dxa"/>
            <w:vAlign w:val="center"/>
          </w:tcPr>
          <w:p>
            <w:pPr>
              <w:spacing w:line="360" w:lineRule="auto"/>
              <w:rPr>
                <w:rFonts w:hAnsi="宋体" w:cs="宋体"/>
                <w:b/>
                <w:bCs/>
                <w:szCs w:val="24"/>
                <w:highlight w:val="none"/>
              </w:rPr>
            </w:pPr>
            <w:r>
              <w:rPr>
                <w:rFonts w:hint="eastAsia" w:hAnsi="宋体" w:cs="宋体"/>
                <w:b/>
                <w:bCs/>
                <w:szCs w:val="24"/>
                <w:highlight w:val="none"/>
              </w:rPr>
              <w:t>供应商注册登记提醒：</w:t>
            </w:r>
          </w:p>
          <w:p>
            <w:pPr>
              <w:spacing w:line="360" w:lineRule="auto"/>
              <w:rPr>
                <w:rFonts w:hAnsi="宋体" w:cs="宋体"/>
                <w:szCs w:val="24"/>
                <w:highlight w:val="none"/>
              </w:rPr>
            </w:pPr>
            <w:r>
              <w:rPr>
                <w:rFonts w:hint="eastAsia" w:hAnsi="宋体" w:cs="宋体"/>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szCs w:val="24"/>
                <w:highlight w:val="none"/>
              </w:rPr>
              <w:t>http://www.ccgp-shaanxi.gov.cn/information/informationDetail.do?informationguid=8a85be3567ed23460167ed36804d0009</w:t>
            </w:r>
            <w:r>
              <w:rPr>
                <w:rFonts w:hint="eastAsia" w:hAnsi="宋体" w:cs="宋体"/>
                <w:szCs w:val="24"/>
                <w:highlight w:val="none"/>
              </w:rPr>
              <w:fldChar w:fldCharType="end"/>
            </w:r>
            <w:r>
              <w:rPr>
                <w:rFonts w:hint="eastAsia" w:hAnsi="宋体" w:cs="宋体"/>
                <w:szCs w:val="24"/>
                <w:highlight w:val="none"/>
              </w:rPr>
              <w:t>）注册登记加入陕西省政府采购供应商库的，应按要求及时办理注册登记，并接受财政部门监督管理。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bookmarkStart w:id="27" w:name="_Toc363474017"/>
            <w:bookmarkStart w:id="28" w:name="_Toc403077639"/>
            <w:bookmarkStart w:id="29" w:name="_Toc363473972"/>
            <w:r>
              <w:rPr>
                <w:rFonts w:hint="eastAsia" w:hAnsi="宋体" w:cs="宋体"/>
                <w:szCs w:val="24"/>
                <w:highlight w:val="none"/>
                <w:lang w:val="en-US" w:eastAsia="zh-CN"/>
              </w:rPr>
              <w:t>19</w:t>
            </w:r>
          </w:p>
        </w:tc>
        <w:tc>
          <w:tcPr>
            <w:tcW w:w="945" w:type="dxa"/>
            <w:vAlign w:val="center"/>
          </w:tcPr>
          <w:p>
            <w:pPr>
              <w:spacing w:line="360" w:lineRule="auto"/>
              <w:jc w:val="center"/>
              <w:rPr>
                <w:rFonts w:hint="eastAsia" w:hAnsi="宋体" w:cs="宋体"/>
                <w:szCs w:val="24"/>
                <w:highlight w:val="none"/>
              </w:rPr>
            </w:pPr>
            <w:r>
              <w:rPr>
                <w:rFonts w:hint="eastAsia" w:hAnsi="宋体" w:cs="宋体"/>
                <w:szCs w:val="24"/>
                <w:highlight w:val="none"/>
                <w:lang w:eastAsia="zh-CN"/>
              </w:rPr>
              <w:t>采购标的</w:t>
            </w:r>
            <w:r>
              <w:rPr>
                <w:rFonts w:hint="eastAsia" w:hAnsi="宋体" w:cs="宋体"/>
                <w:szCs w:val="24"/>
                <w:highlight w:val="none"/>
              </w:rPr>
              <w:t>所属</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rPr>
              <w:t>行业</w:t>
            </w:r>
          </w:p>
        </w:tc>
        <w:tc>
          <w:tcPr>
            <w:tcW w:w="7834" w:type="dxa"/>
            <w:vAlign w:val="center"/>
          </w:tcPr>
          <w:p>
            <w:pPr>
              <w:spacing w:line="360" w:lineRule="auto"/>
              <w:rPr>
                <w:rFonts w:hint="eastAsia" w:ascii="宋体" w:hAnsi="宋体" w:eastAsia="宋体" w:cs="宋体"/>
                <w:sz w:val="24"/>
                <w:szCs w:val="24"/>
                <w:highlight w:val="none"/>
                <w:lang w:val="en-US" w:eastAsia="zh-CN" w:bidi="ar-SA"/>
              </w:rPr>
            </w:pPr>
            <w:r>
              <w:rPr>
                <w:rFonts w:ascii="宋体" w:hAnsi="宋体"/>
                <w:sz w:val="24"/>
                <w:highlight w:val="none"/>
              </w:rPr>
              <w:t>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75"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20</w:t>
            </w:r>
          </w:p>
        </w:tc>
        <w:tc>
          <w:tcPr>
            <w:tcW w:w="945" w:type="dxa"/>
            <w:vAlign w:val="center"/>
          </w:tcPr>
          <w:p>
            <w:pPr>
              <w:spacing w:line="360" w:lineRule="auto"/>
              <w:jc w:val="center"/>
              <w:rPr>
                <w:rFonts w:hint="eastAsia" w:hAnsi="宋体" w:cs="宋体"/>
                <w:szCs w:val="24"/>
                <w:highlight w:val="none"/>
                <w:lang w:eastAsia="zh-CN"/>
              </w:rPr>
            </w:pPr>
            <w:r>
              <w:rPr>
                <w:rFonts w:hint="eastAsia" w:hAnsi="宋体" w:cs="宋体"/>
                <w:szCs w:val="24"/>
                <w:highlight w:val="none"/>
                <w:lang w:eastAsia="zh-CN"/>
              </w:rPr>
              <w:t>项目</w:t>
            </w:r>
          </w:p>
          <w:p>
            <w:pPr>
              <w:spacing w:line="360" w:lineRule="auto"/>
              <w:jc w:val="center"/>
              <w:rPr>
                <w:rFonts w:hint="eastAsia" w:ascii="宋体" w:hAnsi="宋体" w:eastAsia="宋体" w:cs="宋体"/>
                <w:sz w:val="24"/>
                <w:szCs w:val="24"/>
                <w:highlight w:val="none"/>
                <w:lang w:val="en-US" w:eastAsia="zh-CN" w:bidi="ar-SA"/>
              </w:rPr>
            </w:pPr>
            <w:r>
              <w:rPr>
                <w:rFonts w:hint="eastAsia" w:hAnsi="宋体" w:cs="宋体"/>
                <w:szCs w:val="24"/>
                <w:highlight w:val="none"/>
                <w:lang w:eastAsia="zh-CN"/>
              </w:rPr>
              <w:t>属性</w:t>
            </w:r>
          </w:p>
        </w:tc>
        <w:tc>
          <w:tcPr>
            <w:tcW w:w="7834" w:type="dxa"/>
            <w:vAlign w:val="center"/>
          </w:tcPr>
          <w:p>
            <w:pPr>
              <w:spacing w:line="360" w:lineRule="auto"/>
              <w:rPr>
                <w:rFonts w:hint="eastAsia" w:ascii="宋体" w:hAnsi="宋体" w:eastAsia="宋体" w:cs="宋体"/>
                <w:sz w:val="24"/>
                <w:szCs w:val="24"/>
                <w:highlight w:val="none"/>
                <w:lang w:val="en-US" w:eastAsia="zh-CN" w:bidi="ar-SA"/>
              </w:rPr>
            </w:pPr>
            <w:r>
              <w:rPr>
                <w:rFonts w:hint="eastAsia" w:hAnsi="宋体" w:cs="宋体"/>
                <w:szCs w:val="24"/>
                <w:highlight w:val="none"/>
                <w:lang w:val="en-US" w:eastAsia="zh-CN"/>
              </w:rPr>
              <w:t>服务</w:t>
            </w:r>
          </w:p>
        </w:tc>
      </w:tr>
      <w:bookmarkEnd w:id="9"/>
      <w:bookmarkEnd w:id="10"/>
      <w:bookmarkEnd w:id="11"/>
    </w:tbl>
    <w:p>
      <w:pPr>
        <w:spacing w:before="156" w:beforeLines="50" w:after="156" w:afterLines="50"/>
        <w:jc w:val="center"/>
        <w:outlineLvl w:val="2"/>
        <w:rPr>
          <w:rFonts w:hAnsi="宋体" w:cs="宋体"/>
          <w:sz w:val="32"/>
          <w:szCs w:val="32"/>
          <w:highlight w:val="none"/>
        </w:rPr>
      </w:pPr>
      <w:r>
        <w:rPr>
          <w:rFonts w:hint="eastAsia" w:hAnsi="宋体" w:cs="宋体"/>
          <w:b/>
          <w:sz w:val="32"/>
          <w:szCs w:val="32"/>
          <w:highlight w:val="none"/>
        </w:rPr>
        <w:br w:type="page"/>
      </w:r>
      <w:bookmarkStart w:id="30" w:name="_Toc27537"/>
      <w:bookmarkStart w:id="31" w:name="_Toc24413"/>
      <w:bookmarkStart w:id="32" w:name="_Toc3623"/>
      <w:r>
        <w:rPr>
          <w:rFonts w:hint="eastAsia" w:hAnsi="宋体" w:cs="宋体"/>
          <w:b/>
          <w:sz w:val="32"/>
          <w:szCs w:val="32"/>
          <w:highlight w:val="none"/>
        </w:rPr>
        <w:t>一.总  则</w:t>
      </w:r>
      <w:bookmarkEnd w:id="27"/>
      <w:bookmarkEnd w:id="28"/>
      <w:bookmarkEnd w:id="29"/>
      <w:bookmarkEnd w:id="30"/>
      <w:bookmarkEnd w:id="31"/>
      <w:bookmarkEnd w:id="32"/>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1.1本次竞争性磋商所签合同使用财政资金支付，资金已落实到位。</w:t>
      </w:r>
    </w:p>
    <w:p>
      <w:pPr>
        <w:numPr>
          <w:ilvl w:val="0"/>
          <w:numId w:val="2"/>
        </w:numPr>
        <w:spacing w:line="360" w:lineRule="auto"/>
        <w:rPr>
          <w:rFonts w:hAnsi="宋体" w:cs="宋体"/>
          <w:b/>
          <w:szCs w:val="24"/>
          <w:highlight w:val="none"/>
        </w:rPr>
      </w:pPr>
      <w:bookmarkStart w:id="33" w:name="_Toc403077640"/>
      <w:bookmarkStart w:id="34" w:name="_Toc363473973"/>
      <w:bookmarkStart w:id="35" w:name="_Toc363474018"/>
      <w:r>
        <w:rPr>
          <w:rFonts w:hint="eastAsia" w:hAnsi="宋体" w:cs="宋体"/>
          <w:b/>
          <w:szCs w:val="24"/>
          <w:highlight w:val="none"/>
        </w:rPr>
        <w:t>名词解释</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2.1采购人：西安市商务局（本级）</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2.2监督机构：同级人民政府财政部门</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2.3采购代理机构：陕西至诚招标咨询有限公司</w:t>
      </w:r>
    </w:p>
    <w:p>
      <w:pPr>
        <w:tabs>
          <w:tab w:val="left" w:pos="7665"/>
        </w:tabs>
        <w:spacing w:line="360" w:lineRule="auto"/>
        <w:ind w:firstLine="480" w:firstLineChars="200"/>
        <w:rPr>
          <w:rFonts w:hAnsi="宋体" w:cs="宋体"/>
          <w:szCs w:val="24"/>
          <w:highlight w:val="none"/>
        </w:rPr>
      </w:pPr>
      <w:r>
        <w:rPr>
          <w:rFonts w:hint="eastAsia" w:hAnsi="宋体" w:cs="宋体"/>
          <w:szCs w:val="24"/>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2.5产品是指本竞争性磋商文件中第四章所述所有产品。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2.6服务是指供应商为满足竞争性磋商文件要求而提供的服务。</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szCs w:val="24"/>
          <w:highlight w:val="none"/>
        </w:rPr>
      </w:pPr>
      <w:r>
        <w:rPr>
          <w:rFonts w:hint="eastAsia" w:hAnsi="宋体" w:cs="宋体"/>
          <w:szCs w:val="24"/>
          <w:highlight w:val="none"/>
        </w:rPr>
        <w:t>2.11残疾人福利性单位是指符合《三部门联合发布关于促进残疾人就业政府采购政策的通知》财库〔2017〕141号规定的对残疾人福利性单位划分标准的单位。</w:t>
      </w:r>
    </w:p>
    <w:p>
      <w:pPr>
        <w:spacing w:line="360" w:lineRule="auto"/>
        <w:rPr>
          <w:rFonts w:hAnsi="宋体" w:cs="宋体"/>
          <w:b/>
          <w:szCs w:val="24"/>
          <w:highlight w:val="none"/>
        </w:rPr>
      </w:pPr>
      <w:r>
        <w:rPr>
          <w:rFonts w:hint="eastAsia" w:hAnsi="宋体" w:cs="宋体"/>
          <w:b/>
          <w:szCs w:val="24"/>
          <w:highlight w:val="none"/>
        </w:rPr>
        <w:t>3.合格的供应商</w:t>
      </w:r>
    </w:p>
    <w:p>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360" w:lineRule="auto"/>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360" w:lineRule="auto"/>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360" w:lineRule="auto"/>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360" w:lineRule="auto"/>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360" w:lineRule="auto"/>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360" w:lineRule="auto"/>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360" w:lineRule="auto"/>
        <w:ind w:firstLine="480" w:firstLineChars="200"/>
        <w:rPr>
          <w:rFonts w:hAnsi="宋体" w:cs="宋体"/>
          <w:szCs w:val="24"/>
          <w:highlight w:val="none"/>
        </w:rPr>
      </w:pPr>
      <w:r>
        <w:rPr>
          <w:rFonts w:hint="eastAsia" w:hAnsi="宋体" w:cs="宋体"/>
          <w:szCs w:val="24"/>
          <w:highlight w:val="none"/>
        </w:rPr>
        <w:t>3.4供应商必须在陕西至诚招标咨询有限公司购买竞争性磋商文件，方可参加磋商。竞争性磋商文件售后不退。</w:t>
      </w:r>
    </w:p>
    <w:p>
      <w:pPr>
        <w:spacing w:line="360" w:lineRule="auto"/>
        <w:ind w:firstLine="480" w:firstLineChars="200"/>
        <w:rPr>
          <w:rFonts w:hAnsi="宋体" w:cs="宋体"/>
          <w:szCs w:val="24"/>
          <w:highlight w:val="none"/>
        </w:rPr>
      </w:pPr>
      <w:r>
        <w:rPr>
          <w:rFonts w:hint="eastAsia" w:hAnsi="宋体" w:cs="宋体"/>
          <w:szCs w:val="24"/>
          <w:highlight w:val="none"/>
        </w:rPr>
        <w:t>3.5本项目不接受联合体磋商。</w:t>
      </w:r>
    </w:p>
    <w:p>
      <w:pPr>
        <w:spacing w:line="360" w:lineRule="auto"/>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360" w:lineRule="auto"/>
        <w:rPr>
          <w:rFonts w:hAnsi="宋体" w:cs="宋体"/>
          <w:b/>
          <w:bCs/>
          <w:szCs w:val="24"/>
          <w:highlight w:val="none"/>
        </w:rPr>
      </w:pPr>
      <w:r>
        <w:rPr>
          <w:rFonts w:hint="eastAsia" w:hAnsi="宋体" w:cs="宋体"/>
          <w:b/>
          <w:bCs/>
          <w:szCs w:val="24"/>
          <w:highlight w:val="none"/>
        </w:rPr>
        <w:t>4.</w:t>
      </w:r>
      <w:r>
        <w:rPr>
          <w:rFonts w:hint="eastAsia" w:hAnsi="宋体" w:cs="宋体"/>
          <w:b/>
          <w:szCs w:val="24"/>
          <w:highlight w:val="none"/>
        </w:rPr>
        <w:t>.竞争性磋商产品（含服务）的合格性和合法性</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4.1竞争性磋商产品（含服务）应满足竞争性磋商文件的要求并应符合国家法律法规、行业管理部门要求的其他强制性标准。并满足竞争性磋商文件规定的质量、价格、有效期、售后服务及供应商须承担的运输、配送、技术支持和竞争性磋商文件规定的其他伴随服务等要求。</w:t>
      </w:r>
    </w:p>
    <w:p>
      <w:pPr>
        <w:tabs>
          <w:tab w:val="left" w:pos="747"/>
        </w:tabs>
        <w:snapToGrid w:val="0"/>
        <w:spacing w:line="360" w:lineRule="auto"/>
        <w:ind w:firstLine="480" w:firstLineChars="200"/>
        <w:rPr>
          <w:rFonts w:hAnsi="宋体" w:cs="宋体"/>
          <w:szCs w:val="24"/>
          <w:highlight w:val="none"/>
        </w:rPr>
      </w:pPr>
      <w:r>
        <w:rPr>
          <w:rFonts w:hint="eastAsia" w:hAnsi="宋体" w:cs="宋体"/>
          <w:szCs w:val="24"/>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outlineLvl w:val="2"/>
        <w:rPr>
          <w:rFonts w:hAnsi="宋体" w:cs="宋体"/>
          <w:b/>
          <w:szCs w:val="24"/>
          <w:highlight w:val="none"/>
        </w:rPr>
      </w:pPr>
      <w:bookmarkStart w:id="36" w:name="_Toc1960"/>
      <w:bookmarkStart w:id="37" w:name="_Toc27903"/>
      <w:bookmarkStart w:id="38" w:name="_Toc31742"/>
      <w:r>
        <w:rPr>
          <w:rFonts w:hint="eastAsia" w:hAnsi="宋体" w:cs="宋体"/>
          <w:b/>
          <w:szCs w:val="24"/>
          <w:highlight w:val="none"/>
        </w:rPr>
        <w:t>二.竞争性磋商文件</w:t>
      </w:r>
      <w:bookmarkEnd w:id="33"/>
      <w:bookmarkEnd w:id="34"/>
      <w:bookmarkEnd w:id="35"/>
      <w:bookmarkEnd w:id="36"/>
      <w:bookmarkEnd w:id="37"/>
      <w:bookmarkEnd w:id="38"/>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360" w:lineRule="auto"/>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2"/>
        <w:rPr>
          <w:rFonts w:hAnsi="宋体" w:cs="宋体"/>
          <w:b/>
          <w:szCs w:val="24"/>
          <w:highlight w:val="none"/>
        </w:rPr>
      </w:pPr>
      <w:bookmarkStart w:id="39" w:name="_Toc13747"/>
      <w:bookmarkStart w:id="40" w:name="_Toc363474019"/>
      <w:bookmarkStart w:id="41" w:name="_Toc403077641"/>
      <w:bookmarkStart w:id="42" w:name="_Toc28227"/>
      <w:bookmarkStart w:id="43" w:name="_Toc26653"/>
      <w:bookmarkStart w:id="44" w:name="_Toc363473974"/>
      <w:r>
        <w:rPr>
          <w:rFonts w:hint="eastAsia" w:hAnsi="宋体" w:cs="宋体"/>
          <w:b/>
          <w:szCs w:val="24"/>
          <w:highlight w:val="none"/>
        </w:rPr>
        <w:t>三.磋商响应文件的编制</w:t>
      </w:r>
      <w:bookmarkEnd w:id="39"/>
      <w:bookmarkEnd w:id="40"/>
      <w:bookmarkEnd w:id="41"/>
      <w:bookmarkEnd w:id="42"/>
      <w:bookmarkEnd w:id="43"/>
      <w:bookmarkEnd w:id="44"/>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int="eastAsia" w:hAnsi="宋体" w:eastAsia="宋体" w:cs="宋体"/>
          <w:szCs w:val="24"/>
          <w:highlight w:val="none"/>
          <w:lang w:eastAsia="zh-CN"/>
        </w:rPr>
      </w:pPr>
      <w:r>
        <w:rPr>
          <w:rFonts w:hint="eastAsia" w:hAnsi="宋体" w:cs="宋体"/>
          <w:szCs w:val="24"/>
          <w:highlight w:val="none"/>
        </w:rPr>
        <w:t>11.1磋商报价：是供应商为完成本项目要求的全部服务内容最终价格的体现，包括</w:t>
      </w:r>
      <w:r>
        <w:rPr>
          <w:rFonts w:hint="eastAsia" w:hAnsi="宋体" w:cs="宋体"/>
          <w:szCs w:val="24"/>
          <w:highlight w:val="none"/>
          <w:lang w:eastAsia="zh-CN"/>
        </w:rPr>
        <w:t>包括但不限于策划费、场地费、培训及附带服务费、招标代理服务费、税金等其他一切相关费用。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Ansi="宋体" w:cs="宋体"/>
          <w:szCs w:val="24"/>
          <w:highlight w:val="none"/>
        </w:rPr>
      </w:pPr>
      <w:r>
        <w:rPr>
          <w:rFonts w:hint="eastAsia" w:hAnsi="宋体" w:cs="宋体"/>
          <w:szCs w:val="24"/>
          <w:highlight w:val="none"/>
        </w:rPr>
        <w:t>本项目不缴纳磋商保证金。</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5"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5"/>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szCs w:val="24"/>
          <w:highlight w:val="none"/>
        </w:rPr>
        <w:t>电子版（U盘）</w:t>
      </w:r>
      <w:r>
        <w:rPr>
          <w:rFonts w:hint="eastAsia" w:hAnsi="宋体" w:cs="宋体"/>
          <w:szCs w:val="24"/>
          <w:highlight w:val="none"/>
        </w:rPr>
        <w:t>并在盘面标注供应商全称、项目名称、项目编号，并与竞争性磋商响应文件同时递交。</w:t>
      </w:r>
    </w:p>
    <w:p>
      <w:pPr>
        <w:spacing w:line="360" w:lineRule="auto"/>
        <w:ind w:firstLine="480" w:firstLineChars="200"/>
        <w:rPr>
          <w:rFonts w:hAnsi="宋体" w:cs="宋体"/>
          <w:b/>
          <w:bCs/>
          <w:szCs w:val="24"/>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360" w:lineRule="auto"/>
        <w:ind w:firstLine="480" w:firstLineChars="200"/>
        <w:rPr>
          <w:rFonts w:hAnsi="宋体" w:cs="宋体"/>
          <w:szCs w:val="24"/>
          <w:highlight w:val="none"/>
        </w:rPr>
      </w:pPr>
      <w:r>
        <w:rPr>
          <w:rFonts w:hint="eastAsia" w:hAnsi="宋体" w:cs="宋体"/>
          <w:szCs w:val="24"/>
          <w:highlight w:val="none"/>
        </w:rPr>
        <w:t>16.6竞争性磋商文件的副本、电子版须和正本保持一致。若正本、副本和电子版有不一致的内容，以正本为准。</w:t>
      </w:r>
    </w:p>
    <w:p>
      <w:pPr>
        <w:keepNext/>
        <w:keepLines/>
        <w:spacing w:before="312" w:beforeLines="100" w:after="156" w:afterLines="50" w:line="360" w:lineRule="auto"/>
        <w:jc w:val="center"/>
        <w:outlineLvl w:val="2"/>
        <w:rPr>
          <w:rFonts w:hAnsi="宋体" w:cs="宋体"/>
          <w:b/>
          <w:szCs w:val="24"/>
          <w:highlight w:val="none"/>
        </w:rPr>
      </w:pPr>
      <w:bookmarkStart w:id="46" w:name="_Toc20799"/>
      <w:bookmarkStart w:id="47" w:name="_Toc9599"/>
      <w:bookmarkStart w:id="48" w:name="_Toc18686"/>
      <w:r>
        <w:rPr>
          <w:rFonts w:hint="eastAsia" w:hAnsi="宋体" w:cs="宋体"/>
          <w:b/>
          <w:szCs w:val="24"/>
          <w:highlight w:val="none"/>
        </w:rPr>
        <w:t>四.竞争性磋商响应文件的递交</w:t>
      </w:r>
      <w:bookmarkEnd w:id="46"/>
      <w:bookmarkEnd w:id="47"/>
      <w:bookmarkEnd w:id="48"/>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szCs w:val="24"/>
          <w:highlight w:val="none"/>
        </w:rPr>
        <w:t>17.2供应商应将竞争性磋商响应文件正本、所有的副本、电子版本、报价一览表单独密封装在封袋中（封袋不得有破损），且在封袋正面标明“正本”“副本”“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2"/>
        <w:rPr>
          <w:rFonts w:hAnsi="宋体" w:cs="宋体"/>
          <w:b/>
          <w:szCs w:val="24"/>
          <w:highlight w:val="none"/>
        </w:rPr>
      </w:pPr>
      <w:bookmarkStart w:id="49" w:name="_Toc363474021"/>
      <w:bookmarkStart w:id="50" w:name="_Toc23622"/>
      <w:bookmarkStart w:id="51" w:name="_Toc363473976"/>
      <w:bookmarkStart w:id="52" w:name="_Toc13669"/>
      <w:bookmarkStart w:id="53" w:name="_Toc403077643"/>
      <w:bookmarkStart w:id="54" w:name="_Toc15436"/>
      <w:r>
        <w:rPr>
          <w:rFonts w:hint="eastAsia" w:hAnsi="宋体" w:cs="宋体"/>
          <w:b/>
          <w:szCs w:val="24"/>
          <w:highlight w:val="none"/>
        </w:rPr>
        <w:t>五.磋商与评标</w:t>
      </w:r>
      <w:bookmarkEnd w:id="49"/>
      <w:bookmarkEnd w:id="50"/>
      <w:bookmarkEnd w:id="51"/>
      <w:bookmarkEnd w:id="52"/>
      <w:bookmarkEnd w:id="53"/>
      <w:bookmarkEnd w:id="54"/>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360" w:lineRule="auto"/>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w:t>
      </w:r>
    </w:p>
    <w:p>
      <w:pPr>
        <w:spacing w:line="360" w:lineRule="auto"/>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360" w:lineRule="auto"/>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360" w:lineRule="auto"/>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360" w:lineRule="auto"/>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360" w:lineRule="auto"/>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w:t>
      </w:r>
      <w:r>
        <w:rPr>
          <w:rFonts w:hint="eastAsia" w:hAnsi="宋体" w:cs="宋体"/>
          <w:szCs w:val="24"/>
          <w:highlight w:val="none"/>
          <w:lang w:eastAsia="zh-CN"/>
        </w:rPr>
        <w:t>消</w:t>
      </w:r>
      <w:r>
        <w:rPr>
          <w:rFonts w:hint="eastAsia" w:hAnsi="宋体" w:cs="宋体"/>
          <w:szCs w:val="24"/>
          <w:highlight w:val="none"/>
        </w:rPr>
        <w:t>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9）磋商总报价低于成本或者高于竞争性磋商文件公布的采购预算的。</w:t>
      </w:r>
    </w:p>
    <w:p>
      <w:pPr>
        <w:pStyle w:val="21"/>
        <w:spacing w:before="0" w:beforeAutospacing="0" w:after="0" w:afterAutospacing="0" w:line="360" w:lineRule="auto"/>
        <w:ind w:firstLine="482" w:firstLineChars="200"/>
        <w:jc w:val="both"/>
        <w:rPr>
          <w:rFonts w:cs="宋体"/>
          <w:b/>
          <w:bCs/>
          <w:highlight w:val="none"/>
        </w:rPr>
      </w:pPr>
      <w:r>
        <w:rPr>
          <w:rFonts w:hint="eastAsia" w:cs="宋体"/>
          <w:b/>
          <w:bCs/>
          <w:highlight w:val="none"/>
        </w:rPr>
        <w:t>10）竞争性磋商响应文件含有采购人不能接受的附加条件的；</w:t>
      </w:r>
    </w:p>
    <w:p>
      <w:pPr>
        <w:spacing w:line="360" w:lineRule="auto"/>
        <w:ind w:firstLine="482" w:firstLineChars="200"/>
        <w:rPr>
          <w:rFonts w:hAnsi="宋体" w:cs="宋体"/>
          <w:b/>
          <w:bCs/>
          <w:szCs w:val="24"/>
          <w:highlight w:val="none"/>
        </w:rPr>
      </w:pPr>
      <w:r>
        <w:rPr>
          <w:rFonts w:hint="eastAsia" w:hAnsi="宋体" w:cs="宋体"/>
          <w:b/>
          <w:bCs/>
          <w:szCs w:val="24"/>
          <w:highlight w:val="none"/>
        </w:rPr>
        <w:t>11）竞争性磋商响应文件不符合法律法规要求的；</w:t>
      </w:r>
    </w:p>
    <w:p>
      <w:pPr>
        <w:pStyle w:val="21"/>
        <w:spacing w:before="0" w:beforeAutospacing="0" w:after="0" w:afterAutospacing="0" w:line="360" w:lineRule="auto"/>
        <w:ind w:firstLine="482" w:firstLineChars="200"/>
        <w:jc w:val="both"/>
        <w:rPr>
          <w:rFonts w:cs="宋体"/>
          <w:highlight w:val="none"/>
        </w:rPr>
      </w:pPr>
      <w:r>
        <w:rPr>
          <w:rFonts w:hint="eastAsia" w:cs="宋体"/>
          <w:b/>
          <w:bCs/>
          <w:highlight w:val="none"/>
        </w:rPr>
        <w:t>12）供应商被列入失信被执行人、重大税收违法案件当事人名单、政府采购严重违法失信行为记录名单及其他不符合《中华人民共和国政府采购法》第二十二条规定条件。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spacing w:line="360" w:lineRule="auto"/>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2"/>
        <w:rPr>
          <w:rFonts w:hAnsi="宋体" w:cs="宋体"/>
          <w:b/>
          <w:szCs w:val="24"/>
          <w:highlight w:val="none"/>
        </w:rPr>
      </w:pPr>
      <w:bookmarkStart w:id="55" w:name="_Toc15100"/>
      <w:bookmarkStart w:id="56" w:name="_Toc2463"/>
      <w:bookmarkStart w:id="57" w:name="_Toc29146"/>
      <w:r>
        <w:rPr>
          <w:rFonts w:hint="eastAsia" w:hAnsi="宋体" w:cs="宋体"/>
          <w:b/>
          <w:szCs w:val="24"/>
          <w:highlight w:val="none"/>
        </w:rPr>
        <w:t>六.成交、通知与签约</w:t>
      </w:r>
      <w:bookmarkEnd w:id="55"/>
      <w:bookmarkEnd w:id="56"/>
      <w:bookmarkEnd w:id="57"/>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360" w:lineRule="auto"/>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2"/>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3"/>
        </w:numPr>
        <w:spacing w:line="360" w:lineRule="auto"/>
        <w:rPr>
          <w:rFonts w:hAnsi="宋体" w:cs="宋体"/>
          <w:b/>
          <w:bCs/>
          <w:szCs w:val="24"/>
          <w:highlight w:val="none"/>
        </w:rPr>
      </w:pPr>
      <w:r>
        <w:rPr>
          <w:rFonts w:hint="eastAsia" w:hAnsi="宋体" w:cs="宋体"/>
          <w:b/>
          <w:bCs/>
          <w:szCs w:val="24"/>
          <w:highlight w:val="none"/>
        </w:rPr>
        <w:t>质疑</w:t>
      </w:r>
    </w:p>
    <w:p>
      <w:pPr>
        <w:spacing w:line="360" w:lineRule="auto"/>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360" w:lineRule="auto"/>
        <w:ind w:right="12" w:firstLine="480"/>
        <w:rPr>
          <w:rStyle w:val="27"/>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360" w:lineRule="auto"/>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left="3" w:firstLine="518" w:firstLineChars="216"/>
        <w:rPr>
          <w:rStyle w:val="27"/>
          <w:rFonts w:hAnsi="宋体" w:cs="宋体"/>
          <w:b w:val="0"/>
          <w:szCs w:val="24"/>
          <w:highlight w:val="none"/>
          <w:shd w:val="clear" w:color="auto" w:fill="FFFFFF"/>
        </w:rPr>
      </w:pPr>
      <w:r>
        <w:rPr>
          <w:rStyle w:val="27"/>
          <w:rFonts w:hint="eastAsia" w:hAnsi="宋体" w:cs="宋体"/>
          <w:b w:val="0"/>
          <w:szCs w:val="24"/>
          <w:highlight w:val="none"/>
          <w:shd w:val="clear" w:color="auto" w:fill="FFFFFF"/>
        </w:rPr>
        <w:t>30.4以联合体形式参加政府采购活动的，其质疑应当由组成联合体的所有供应商共同提出。</w:t>
      </w:r>
    </w:p>
    <w:p>
      <w:pPr>
        <w:spacing w:line="360" w:lineRule="auto"/>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360" w:lineRule="auto"/>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360" w:lineRule="auto"/>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360" w:lineRule="auto"/>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360" w:lineRule="auto"/>
        <w:ind w:right="12" w:firstLine="480" w:firstLineChars="200"/>
        <w:rPr>
          <w:rFonts w:hAnsi="宋体" w:cs="宋体"/>
          <w:szCs w:val="24"/>
          <w:highlight w:val="none"/>
        </w:rPr>
      </w:pPr>
      <w:r>
        <w:rPr>
          <w:rFonts w:hint="eastAsia" w:hAnsi="宋体" w:cs="宋体"/>
          <w:szCs w:val="24"/>
          <w:highlight w:val="none"/>
        </w:rPr>
        <w:t>30.5.4事实依据；</w:t>
      </w:r>
    </w:p>
    <w:p>
      <w:pPr>
        <w:spacing w:line="360" w:lineRule="auto"/>
        <w:ind w:right="12" w:firstLine="480" w:firstLineChars="200"/>
        <w:rPr>
          <w:rFonts w:hAnsi="宋体" w:cs="宋体"/>
          <w:szCs w:val="24"/>
          <w:highlight w:val="none"/>
        </w:rPr>
      </w:pPr>
      <w:r>
        <w:rPr>
          <w:rFonts w:hint="eastAsia" w:hAnsi="宋体" w:cs="宋体"/>
          <w:szCs w:val="24"/>
          <w:highlight w:val="none"/>
        </w:rPr>
        <w:t>30.5.5必要的法律依据；</w:t>
      </w:r>
    </w:p>
    <w:p>
      <w:pPr>
        <w:spacing w:line="360" w:lineRule="auto"/>
        <w:ind w:right="12" w:firstLine="480" w:firstLineChars="200"/>
        <w:rPr>
          <w:rStyle w:val="27"/>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szCs w:val="24"/>
          <w:highlight w:val="none"/>
        </w:rPr>
      </w:pPr>
      <w:r>
        <w:rPr>
          <w:rFonts w:hint="eastAsia" w:hAnsi="宋体" w:cs="宋体"/>
          <w:szCs w:val="24"/>
          <w:highlight w:val="none"/>
        </w:rPr>
        <w:t>30.6有下列情形之一的，属于无效质疑，采购代理机构和采购人不予受理：</w:t>
      </w:r>
    </w:p>
    <w:p>
      <w:pPr>
        <w:widowControl/>
        <w:spacing w:line="360" w:lineRule="auto"/>
        <w:ind w:firstLine="480" w:firstLineChars="200"/>
        <w:rPr>
          <w:rFonts w:hAnsi="宋体" w:cs="宋体"/>
          <w:szCs w:val="24"/>
          <w:highlight w:val="none"/>
        </w:rPr>
      </w:pPr>
      <w:r>
        <w:rPr>
          <w:rFonts w:hint="eastAsia" w:hAnsi="宋体" w:cs="宋体"/>
          <w:szCs w:val="24"/>
          <w:highlight w:val="none"/>
        </w:rPr>
        <w:t>30.6.1质疑供应商不是参与本次政府采购项目的供应商；</w:t>
      </w:r>
    </w:p>
    <w:p>
      <w:pPr>
        <w:widowControl/>
        <w:spacing w:line="360" w:lineRule="auto"/>
        <w:ind w:firstLine="480" w:firstLineChars="200"/>
        <w:rPr>
          <w:rFonts w:hAnsi="宋体" w:cs="宋体"/>
          <w:szCs w:val="24"/>
          <w:highlight w:val="none"/>
        </w:rPr>
      </w:pPr>
      <w:r>
        <w:rPr>
          <w:rFonts w:hint="eastAsia" w:hAnsi="宋体" w:cs="宋体"/>
          <w:szCs w:val="24"/>
          <w:highlight w:val="none"/>
        </w:rPr>
        <w:t>30.6.2质疑供应商与质疑事项不存在利害关系的；</w:t>
      </w:r>
    </w:p>
    <w:p>
      <w:pPr>
        <w:widowControl/>
        <w:spacing w:line="360" w:lineRule="auto"/>
        <w:ind w:firstLine="480" w:firstLineChars="200"/>
        <w:rPr>
          <w:rFonts w:hAnsi="宋体" w:cs="宋体"/>
          <w:szCs w:val="24"/>
          <w:highlight w:val="none"/>
        </w:rPr>
      </w:pPr>
      <w:r>
        <w:rPr>
          <w:rFonts w:hint="eastAsia" w:hAnsi="宋体" w:cs="宋体"/>
          <w:szCs w:val="24"/>
          <w:highlight w:val="none"/>
        </w:rPr>
        <w:t>30.6.3未在法定期限内提出质疑的；</w:t>
      </w:r>
    </w:p>
    <w:p>
      <w:pPr>
        <w:widowControl/>
        <w:spacing w:line="360" w:lineRule="auto"/>
        <w:ind w:firstLine="480" w:firstLineChars="200"/>
        <w:rPr>
          <w:rFonts w:hAnsi="宋体" w:cs="宋体"/>
          <w:szCs w:val="24"/>
          <w:highlight w:val="none"/>
        </w:rPr>
      </w:pPr>
      <w:r>
        <w:rPr>
          <w:rFonts w:hint="eastAsia" w:hAnsi="宋体" w:cs="宋体"/>
          <w:szCs w:val="24"/>
          <w:highlight w:val="none"/>
        </w:rPr>
        <w:t>30.6.4质疑未以书面形式提出，或质疑函主要内容构成不完整的；</w:t>
      </w:r>
    </w:p>
    <w:p>
      <w:pPr>
        <w:widowControl/>
        <w:spacing w:line="360" w:lineRule="auto"/>
        <w:ind w:firstLine="480" w:firstLineChars="200"/>
        <w:rPr>
          <w:rFonts w:hAnsi="宋体" w:cs="宋体"/>
          <w:szCs w:val="24"/>
          <w:highlight w:val="none"/>
        </w:rPr>
      </w:pPr>
      <w:r>
        <w:rPr>
          <w:rFonts w:hint="eastAsia" w:hAnsi="宋体" w:cs="宋体"/>
          <w:szCs w:val="24"/>
          <w:highlight w:val="none"/>
        </w:rPr>
        <w:t>30.6.5应当提交授权书而未提交的；</w:t>
      </w:r>
    </w:p>
    <w:p>
      <w:pPr>
        <w:widowControl/>
        <w:spacing w:line="360" w:lineRule="auto"/>
        <w:ind w:firstLine="480" w:firstLineChars="200"/>
        <w:rPr>
          <w:rFonts w:hAnsi="宋体" w:cs="宋体"/>
          <w:szCs w:val="24"/>
          <w:highlight w:val="none"/>
        </w:rPr>
      </w:pPr>
      <w:r>
        <w:rPr>
          <w:rFonts w:hint="eastAsia" w:hAnsi="宋体" w:cs="宋体"/>
          <w:szCs w:val="24"/>
          <w:highlight w:val="none"/>
        </w:rPr>
        <w:t>30.6.6以非法手段取得证据、材料的；</w:t>
      </w:r>
    </w:p>
    <w:p>
      <w:pPr>
        <w:widowControl/>
        <w:spacing w:line="360" w:lineRule="auto"/>
        <w:ind w:firstLine="480" w:firstLineChars="200"/>
        <w:rPr>
          <w:rFonts w:hAnsi="宋体" w:cs="宋体"/>
          <w:szCs w:val="24"/>
          <w:highlight w:val="none"/>
        </w:rPr>
      </w:pPr>
      <w:r>
        <w:rPr>
          <w:rFonts w:hint="eastAsia" w:hAnsi="宋体" w:cs="宋体"/>
          <w:szCs w:val="24"/>
          <w:highlight w:val="none"/>
        </w:rPr>
        <w:t>30.6.7质疑答复后，同一质疑人就同一事项或同一采购程序环节再次提出质疑的；</w:t>
      </w:r>
    </w:p>
    <w:p>
      <w:pPr>
        <w:widowControl/>
        <w:spacing w:line="360" w:lineRule="auto"/>
        <w:ind w:firstLine="480" w:firstLineChars="200"/>
        <w:rPr>
          <w:rStyle w:val="27"/>
          <w:rFonts w:hAnsi="宋体" w:cs="宋体"/>
          <w:b w:val="0"/>
          <w:szCs w:val="24"/>
          <w:highlight w:val="none"/>
          <w:shd w:val="clear" w:color="auto" w:fill="FFFFFF"/>
        </w:rPr>
      </w:pPr>
      <w:r>
        <w:rPr>
          <w:rFonts w:hint="eastAsia" w:hAnsi="宋体" w:cs="宋体"/>
          <w:szCs w:val="24"/>
          <w:highlight w:val="none"/>
        </w:rPr>
        <w:t>30.6.8不符合法律、法规、规章和政府采购监管机构规定的其他条件的。</w:t>
      </w:r>
    </w:p>
    <w:p>
      <w:pPr>
        <w:spacing w:line="360" w:lineRule="auto"/>
        <w:ind w:right="12"/>
        <w:rPr>
          <w:rFonts w:hAnsi="宋体" w:cs="宋体"/>
          <w:szCs w:val="24"/>
          <w:highlight w:val="none"/>
        </w:rPr>
      </w:pPr>
      <w:r>
        <w:rPr>
          <w:rFonts w:hint="eastAsia" w:hAnsi="宋体" w:cs="宋体"/>
          <w:szCs w:val="24"/>
          <w:highlight w:val="none"/>
        </w:rPr>
        <w:t xml:space="preserve">    30.7质疑答复</w:t>
      </w:r>
    </w:p>
    <w:p>
      <w:pPr>
        <w:pStyle w:val="32"/>
        <w:spacing w:line="360" w:lineRule="auto"/>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供应商还应当造成损失部分予以赔偿，并依法承担相应法律责任。</w:t>
      </w:r>
      <w:bookmarkStart w:id="58" w:name="_Toc363474023"/>
    </w:p>
    <w:p>
      <w:pPr>
        <w:pStyle w:val="19"/>
        <w:spacing w:line="360" w:lineRule="auto"/>
        <w:ind w:left="0" w:leftChars="0" w:firstLine="0" w:firstLineChars="0"/>
        <w:rPr>
          <w:rFonts w:cs="宋体"/>
          <w:b/>
          <w:sz w:val="24"/>
          <w:szCs w:val="24"/>
          <w:highlight w:val="none"/>
        </w:rPr>
      </w:pPr>
      <w:bookmarkStart w:id="59" w:name="_Toc423973074"/>
      <w:bookmarkStart w:id="60" w:name="_Toc403077645"/>
      <w:bookmarkStart w:id="61" w:name="_Toc25783"/>
      <w:r>
        <w:rPr>
          <w:rFonts w:hint="eastAsia" w:cs="宋体"/>
          <w:b/>
          <w:szCs w:val="24"/>
          <w:highlight w:val="none"/>
        </w:rPr>
        <w:br w:type="page"/>
      </w:r>
    </w:p>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62" w:name="_Toc22973"/>
      <w:r>
        <w:rPr>
          <w:rFonts w:hint="eastAsia" w:ascii="宋体" w:eastAsia="宋体" w:cs="宋体"/>
          <w:bCs/>
          <w:sz w:val="36"/>
          <w:szCs w:val="36"/>
          <w:highlight w:val="none"/>
        </w:rPr>
        <w:t xml:space="preserve">第三章  </w:t>
      </w:r>
      <w:bookmarkStart w:id="63" w:name="_Toc1897"/>
      <w:r>
        <w:rPr>
          <w:rFonts w:hint="eastAsia" w:ascii="宋体" w:eastAsia="宋体" w:cs="宋体"/>
          <w:bCs/>
          <w:sz w:val="36"/>
          <w:szCs w:val="36"/>
          <w:highlight w:val="none"/>
        </w:rPr>
        <w:t>评审方法</w:t>
      </w:r>
      <w:bookmarkEnd w:id="62"/>
      <w:bookmarkEnd w:id="63"/>
    </w:p>
    <w:p>
      <w:pPr>
        <w:spacing w:line="360" w:lineRule="auto"/>
        <w:outlineLvl w:val="1"/>
        <w:rPr>
          <w:rFonts w:hAnsi="宋体" w:cs="宋体"/>
          <w:b/>
          <w:szCs w:val="24"/>
          <w:highlight w:val="none"/>
        </w:rPr>
      </w:pPr>
      <w:bookmarkStart w:id="64" w:name="_Toc140"/>
      <w:bookmarkStart w:id="65" w:name="_Toc32051"/>
      <w:bookmarkStart w:id="66" w:name="_Toc26649"/>
      <w:bookmarkStart w:id="67" w:name="_Toc28665"/>
      <w:bookmarkStart w:id="68" w:name="_Toc27615"/>
      <w:bookmarkStart w:id="69" w:name="_Toc20625"/>
      <w:bookmarkStart w:id="70" w:name="_Toc2374"/>
      <w:r>
        <w:rPr>
          <w:rFonts w:hint="eastAsia" w:hAnsi="宋体" w:cs="宋体"/>
          <w:b/>
          <w:szCs w:val="24"/>
          <w:highlight w:val="none"/>
        </w:rPr>
        <w:t>一．评审方法</w:t>
      </w:r>
      <w:bookmarkEnd w:id="64"/>
      <w:bookmarkEnd w:id="65"/>
      <w:bookmarkEnd w:id="66"/>
      <w:bookmarkEnd w:id="67"/>
    </w:p>
    <w:p>
      <w:pPr>
        <w:spacing w:line="360" w:lineRule="auto"/>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360" w:lineRule="auto"/>
        <w:outlineLvl w:val="1"/>
        <w:rPr>
          <w:rFonts w:hAnsi="宋体" w:cs="宋体"/>
          <w:b/>
          <w:spacing w:val="4"/>
          <w:szCs w:val="24"/>
          <w:highlight w:val="none"/>
        </w:rPr>
      </w:pPr>
      <w:bookmarkStart w:id="71" w:name="_Toc14844"/>
      <w:r>
        <w:rPr>
          <w:rFonts w:hint="eastAsia" w:hAnsi="宋体" w:cs="宋体"/>
          <w:b/>
          <w:spacing w:val="4"/>
          <w:szCs w:val="24"/>
          <w:highlight w:val="none"/>
        </w:rPr>
        <w:t>二、评审程序</w:t>
      </w:r>
      <w:bookmarkEnd w:id="68"/>
      <w:bookmarkEnd w:id="69"/>
      <w:bookmarkEnd w:id="70"/>
      <w:bookmarkEnd w:id="71"/>
    </w:p>
    <w:p>
      <w:pPr>
        <w:tabs>
          <w:tab w:val="left" w:pos="0"/>
        </w:tabs>
        <w:adjustRightInd w:val="0"/>
        <w:snapToGrid w:val="0"/>
        <w:spacing w:line="360" w:lineRule="auto"/>
        <w:ind w:firstLine="470" w:firstLineChars="196"/>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360" w:lineRule="auto"/>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1.1资格性审查。</w:t>
      </w:r>
      <w:r>
        <w:rPr>
          <w:rFonts w:hint="eastAsia" w:hAnsi="宋体" w:cs="宋体"/>
          <w:szCs w:val="24"/>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360" w:lineRule="auto"/>
        <w:ind w:firstLine="472" w:firstLineChars="196"/>
        <w:rPr>
          <w:rFonts w:hAnsi="宋体" w:cs="宋体"/>
          <w:szCs w:val="24"/>
          <w:highlight w:val="none"/>
        </w:rPr>
      </w:pPr>
      <w:r>
        <w:rPr>
          <w:rFonts w:hint="eastAsia" w:hAnsi="宋体" w:cs="宋体"/>
          <w:b/>
          <w:bCs/>
          <w:szCs w:val="24"/>
          <w:highlight w:val="none"/>
        </w:rPr>
        <w:t>1.2符合性审查。</w:t>
      </w:r>
      <w:r>
        <w:rPr>
          <w:rFonts w:hint="eastAsia" w:hAnsi="宋体" w:cs="宋体"/>
          <w:szCs w:val="24"/>
          <w:highlight w:val="none"/>
        </w:rPr>
        <w:t>磋商小组从磋商响应文件的完整性、有效性和对磋商文件的响应程度进行审查，以确定其是否对磋商文件实质性内容作出响应。</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360" w:lineRule="auto"/>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360" w:lineRule="auto"/>
        <w:ind w:firstLine="480" w:firstLineChars="200"/>
        <w:rPr>
          <w:rFonts w:hAnsi="宋体" w:cs="宋体"/>
          <w:szCs w:val="24"/>
          <w:highlight w:val="none"/>
        </w:rPr>
      </w:pPr>
      <w:r>
        <w:rPr>
          <w:rFonts w:hint="eastAsia" w:hAnsi="宋体" w:cs="宋体"/>
          <w:szCs w:val="24"/>
          <w:highlight w:val="none"/>
        </w:rPr>
        <w:t>1.2.4报价是否超过采购预算。</w:t>
      </w:r>
    </w:p>
    <w:p>
      <w:pPr>
        <w:spacing w:after="156" w:afterLines="50" w:line="360" w:lineRule="auto"/>
        <w:ind w:firstLine="482" w:firstLineChars="200"/>
        <w:rPr>
          <w:rFonts w:hAnsi="宋体" w:cs="宋体"/>
          <w:b/>
          <w:szCs w:val="24"/>
          <w:highlight w:val="none"/>
        </w:rPr>
      </w:pPr>
      <w:r>
        <w:rPr>
          <w:rFonts w:hint="eastAsia" w:hAnsi="宋体" w:cs="宋体"/>
          <w:b/>
          <w:szCs w:val="24"/>
          <w:highlight w:val="none"/>
        </w:rPr>
        <w:t>2、磋商响应文件的澄清</w:t>
      </w:r>
    </w:p>
    <w:p>
      <w:pPr>
        <w:spacing w:line="360" w:lineRule="auto"/>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360" w:lineRule="auto"/>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360" w:lineRule="auto"/>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2"/>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360" w:lineRule="auto"/>
        <w:jc w:val="left"/>
        <w:outlineLvl w:val="1"/>
        <w:rPr>
          <w:rFonts w:hAnsi="宋体" w:cs="宋体"/>
          <w:b/>
          <w:szCs w:val="24"/>
          <w:highlight w:val="none"/>
        </w:rPr>
      </w:pPr>
      <w:bookmarkStart w:id="72" w:name="_Toc17814"/>
      <w:bookmarkStart w:id="73" w:name="_Toc4428"/>
      <w:bookmarkStart w:id="74" w:name="_Toc19221"/>
      <w:bookmarkStart w:id="75" w:name="_Toc24776"/>
      <w:r>
        <w:rPr>
          <w:rFonts w:hint="eastAsia" w:hAnsi="宋体" w:cs="宋体"/>
          <w:b/>
          <w:szCs w:val="24"/>
          <w:highlight w:val="none"/>
        </w:rPr>
        <w:t>三、政策性扣减</w:t>
      </w:r>
      <w:bookmarkEnd w:id="72"/>
      <w:bookmarkEnd w:id="73"/>
      <w:bookmarkEnd w:id="74"/>
      <w:bookmarkEnd w:id="75"/>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360" w:lineRule="auto"/>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1.2依照&lt;关于印发《政府采购促进中小企业发展暂行办法》的通知&gt;（财库(2011〕181号）的规定，小型、微型企业应当同时符合以下条件：</w:t>
      </w:r>
    </w:p>
    <w:p>
      <w:pPr>
        <w:spacing w:line="360" w:lineRule="auto"/>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360" w:lineRule="auto"/>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360" w:lineRule="auto"/>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360" w:lineRule="auto"/>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360" w:lineRule="auto"/>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360" w:lineRule="auto"/>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360" w:lineRule="auto"/>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360" w:lineRule="auto"/>
        <w:ind w:firstLine="480" w:firstLineChars="200"/>
        <w:jc w:val="left"/>
        <w:rPr>
          <w:rFonts w:hint="eastAsia" w:hAnsi="宋体" w:cs="宋体"/>
          <w:szCs w:val="24"/>
          <w:highlight w:val="none"/>
        </w:rPr>
      </w:pPr>
      <w:r>
        <w:rPr>
          <w:rFonts w:hint="eastAsia" w:hAnsi="宋体" w:cs="宋体"/>
          <w:szCs w:val="24"/>
          <w:highlight w:val="none"/>
        </w:rPr>
        <w:t>根据财政部关于进一步加大政府采购支持中小企业力度的通知（财库﹝2022﹞19号）：“发布采购公告或者发出采购邀请、未预留份额专门面向中小企业的货物服务采购项目，给予小微企业的价格扣除优惠提高至10%—20%，用扣除后的价格参加评审”，本项目按“磋商最终报价×10%”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360" w:lineRule="auto"/>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360" w:lineRule="auto"/>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360" w:lineRule="auto"/>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360" w:lineRule="auto"/>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2"/>
        <w:spacing w:line="360" w:lineRule="auto"/>
        <w:rPr>
          <w:rFonts w:ascii="宋体" w:hAnsi="宋体" w:cs="宋体"/>
          <w:sz w:val="24"/>
          <w:szCs w:val="24"/>
          <w:highlight w:val="none"/>
        </w:rPr>
      </w:pPr>
    </w:p>
    <w:p>
      <w:pPr>
        <w:rPr>
          <w:rFonts w:hint="eastAsia"/>
          <w:highlight w:val="none"/>
        </w:rPr>
      </w:pPr>
      <w:bookmarkStart w:id="76" w:name="_Toc18357"/>
      <w:bookmarkStart w:id="77" w:name="_Toc10029"/>
      <w:r>
        <w:rPr>
          <w:rFonts w:hint="eastAsia" w:hAnsi="宋体" w:cs="宋体"/>
          <w:bCs/>
          <w:sz w:val="36"/>
          <w:szCs w:val="36"/>
          <w:highlight w:val="none"/>
        </w:rPr>
        <w:br w:type="page"/>
      </w:r>
      <w:bookmarkStart w:id="78" w:name="_Toc28532"/>
      <w:bookmarkStart w:id="79" w:name="_Toc4223"/>
      <w:bookmarkStart w:id="80" w:name="_Toc8185"/>
      <w:bookmarkStart w:id="81" w:name="_Toc13330"/>
    </w:p>
    <w:p>
      <w:pPr>
        <w:spacing w:line="360" w:lineRule="auto"/>
        <w:ind w:firstLine="498" w:firstLineChars="200"/>
        <w:jc w:val="center"/>
        <w:outlineLvl w:val="1"/>
        <w:rPr>
          <w:rFonts w:hAnsi="宋体" w:cs="宋体"/>
          <w:b/>
          <w:szCs w:val="24"/>
          <w:highlight w:val="none"/>
        </w:rPr>
      </w:pPr>
      <w:r>
        <w:rPr>
          <w:rFonts w:hint="eastAsia" w:hAnsi="宋体" w:cs="宋体"/>
          <w:b/>
          <w:spacing w:val="4"/>
          <w:szCs w:val="24"/>
          <w:highlight w:val="none"/>
        </w:rPr>
        <w:t>四、</w:t>
      </w:r>
      <w:r>
        <w:rPr>
          <w:rFonts w:hint="eastAsia" w:hAnsi="宋体" w:cs="宋体"/>
          <w:b/>
          <w:szCs w:val="24"/>
          <w:highlight w:val="none"/>
        </w:rPr>
        <w:t>评审要素和分值分解表</w:t>
      </w:r>
      <w:bookmarkEnd w:id="78"/>
      <w:bookmarkEnd w:id="79"/>
      <w:bookmarkEnd w:id="80"/>
      <w:bookmarkEnd w:id="81"/>
    </w:p>
    <w:p>
      <w:pPr>
        <w:spacing w:line="24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评价和比较以磋商响应文件为依据，从“价格评审”、“</w:t>
      </w:r>
      <w:r>
        <w:rPr>
          <w:rFonts w:hint="eastAsia" w:hAnsi="宋体" w:cs="宋体"/>
          <w:szCs w:val="24"/>
          <w:highlight w:val="none"/>
          <w:lang w:eastAsia="zh-CN"/>
        </w:rPr>
        <w:t>技术</w:t>
      </w:r>
      <w:r>
        <w:rPr>
          <w:rFonts w:hint="eastAsia" w:hAnsi="宋体" w:cs="宋体"/>
          <w:szCs w:val="24"/>
          <w:highlight w:val="none"/>
        </w:rPr>
        <w:t>方案”、“履约能力</w:t>
      </w:r>
      <w:r>
        <w:rPr>
          <w:rFonts w:hint="eastAsia" w:hAnsi="宋体" w:cs="宋体"/>
          <w:szCs w:val="24"/>
          <w:highlight w:val="none"/>
          <w:lang w:eastAsia="zh-CN"/>
        </w:rPr>
        <w:t>及售后服务</w:t>
      </w:r>
      <w:r>
        <w:rPr>
          <w:rFonts w:hint="eastAsia" w:hAnsi="宋体" w:cs="宋体"/>
          <w:szCs w:val="24"/>
          <w:highlight w:val="none"/>
        </w:rPr>
        <w:t>”等方面进行评审并按照百分制进行赋分。</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638"/>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663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评审原则与标准</w:t>
            </w:r>
          </w:p>
        </w:tc>
        <w:tc>
          <w:tcPr>
            <w:tcW w:w="75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价格评审</w:t>
            </w:r>
          </w:p>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638"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满足磋商文件商务及技术要求且最后报价最低的供应商的价格为磋商基准价，其价格分为满分。</w:t>
            </w:r>
          </w:p>
          <w:p>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报价得分=（磋商基准价/最后磋商报价）*价格分值</w:t>
            </w:r>
          </w:p>
        </w:tc>
        <w:tc>
          <w:tcPr>
            <w:tcW w:w="758"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restart"/>
            <w:noWrap w:val="0"/>
            <w:vAlign w:val="center"/>
          </w:tcPr>
          <w:p>
            <w:pPr>
              <w:bidi w:val="0"/>
              <w:spacing w:line="360" w:lineRule="auto"/>
              <w:jc w:val="center"/>
              <w:rPr>
                <w:rFonts w:hint="eastAsia"/>
                <w:highlight w:val="none"/>
                <w:lang w:eastAsia="zh-CN"/>
              </w:rPr>
            </w:pPr>
            <w:r>
              <w:rPr>
                <w:rFonts w:hint="eastAsia"/>
                <w:highlight w:val="none"/>
                <w:lang w:eastAsia="zh-CN"/>
              </w:rPr>
              <w:t>技术</w:t>
            </w:r>
          </w:p>
          <w:p>
            <w:pPr>
              <w:bidi w:val="0"/>
              <w:spacing w:line="360" w:lineRule="auto"/>
              <w:jc w:val="center"/>
              <w:rPr>
                <w:rFonts w:hint="eastAsia"/>
                <w:highlight w:val="none"/>
                <w:lang w:eastAsia="zh-CN"/>
              </w:rPr>
            </w:pPr>
            <w:r>
              <w:rPr>
                <w:rFonts w:hint="eastAsia"/>
                <w:highlight w:val="none"/>
                <w:lang w:eastAsia="zh-CN"/>
              </w:rPr>
              <w:t>方案</w:t>
            </w:r>
          </w:p>
          <w:p>
            <w:pPr>
              <w:bidi w:val="0"/>
              <w:spacing w:line="360" w:lineRule="auto"/>
              <w:jc w:val="center"/>
              <w:rPr>
                <w:rFonts w:hint="eastAsia" w:hAnsi="Times New Roman" w:cs="Times New Roman"/>
                <w:highlight w:val="none"/>
                <w:lang w:eastAsia="zh-CN"/>
              </w:rPr>
            </w:pPr>
            <w:r>
              <w:rPr>
                <w:rFonts w:hint="eastAsia" w:hAnsi="Times New Roman" w:cs="Times New Roman"/>
                <w:highlight w:val="none"/>
                <w:lang w:eastAsia="zh-CN"/>
              </w:rPr>
              <w:t>（</w:t>
            </w:r>
            <w:r>
              <w:rPr>
                <w:rFonts w:hint="eastAsia" w:hAnsi="Times New Roman" w:cs="Times New Roman"/>
                <w:highlight w:val="none"/>
                <w:lang w:val="en-US" w:eastAsia="zh-CN"/>
              </w:rPr>
              <w:t>68分</w:t>
            </w:r>
            <w:r>
              <w:rPr>
                <w:rFonts w:hint="eastAsia" w:hAnsi="Times New Roman" w:cs="Times New Roman"/>
                <w:highlight w:val="none"/>
                <w:lang w:eastAsia="zh-CN"/>
              </w:rPr>
              <w:t>）</w:t>
            </w:r>
          </w:p>
          <w:p>
            <w:pPr>
              <w:pStyle w:val="4"/>
              <w:rPr>
                <w:rFonts w:hint="eastAsia"/>
                <w:highlight w:val="none"/>
                <w:lang w:eastAsia="zh-CN"/>
              </w:rPr>
            </w:pP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服务</w:t>
            </w:r>
          </w:p>
          <w:p>
            <w:pPr>
              <w:bidi w:val="0"/>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方案</w:t>
            </w:r>
          </w:p>
        </w:tc>
        <w:tc>
          <w:tcPr>
            <w:tcW w:w="6638" w:type="dxa"/>
            <w:noWrap w:val="0"/>
            <w:vAlign w:val="center"/>
          </w:tcPr>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针对本次服务具有完整性的服务方案：供应商活动策划思路及构思完整定位准确，能够充分满足采购人的需求，提供针对本项目制定的服务方案，包括但不限于需求理解、活动设计思路、服务整体流程、服务承诺等内容。</w:t>
            </w:r>
          </w:p>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1、方案合理、完善、详尽，完全满足项目的要求且可行性强的得14-20分；</w:t>
            </w:r>
          </w:p>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2、方案合理、完善、详尽，满足项目的要求且有一定可行性的得7-14分；</w:t>
            </w:r>
          </w:p>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3、方案合理、完善、详尽，基本满足项目的要求且基本可行性的得1-7分。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管理</w:t>
            </w:r>
          </w:p>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方案</w:t>
            </w:r>
          </w:p>
        </w:tc>
        <w:tc>
          <w:tcPr>
            <w:tcW w:w="6638" w:type="dxa"/>
            <w:noWrap w:val="0"/>
            <w:vAlign w:val="center"/>
          </w:tcPr>
          <w:p>
            <w:pPr>
              <w:bidi w:val="0"/>
              <w:spacing w:line="360" w:lineRule="auto"/>
              <w:rPr>
                <w:rFonts w:hint="eastAsia"/>
                <w:highlight w:val="none"/>
                <w:lang w:val="zh-CN"/>
              </w:rPr>
            </w:pPr>
            <w:r>
              <w:rPr>
                <w:rFonts w:hint="eastAsia"/>
                <w:highlight w:val="none"/>
                <w:lang w:val="zh-CN"/>
              </w:rPr>
              <w:t>供应商应建立完善的培训规章制度、人员管理方法等：</w:t>
            </w:r>
          </w:p>
          <w:p>
            <w:pPr>
              <w:bidi w:val="0"/>
              <w:spacing w:line="360" w:lineRule="auto"/>
              <w:rPr>
                <w:rFonts w:hint="eastAsia"/>
                <w:highlight w:val="none"/>
              </w:rPr>
            </w:pPr>
            <w:r>
              <w:rPr>
                <w:rFonts w:hint="eastAsia"/>
                <w:highlight w:val="none"/>
                <w:lang w:val="en-US" w:eastAsia="zh-CN"/>
              </w:rPr>
              <w:t>1</w:t>
            </w:r>
            <w:r>
              <w:rPr>
                <w:rFonts w:hint="eastAsia"/>
                <w:highlight w:val="none"/>
              </w:rPr>
              <w:t>、</w:t>
            </w:r>
            <w:r>
              <w:rPr>
                <w:rFonts w:hint="eastAsia"/>
                <w:highlight w:val="none"/>
                <w:lang w:val="zh-CN"/>
              </w:rPr>
              <w:t>供应商所提供的服务</w:t>
            </w:r>
            <w:r>
              <w:rPr>
                <w:rFonts w:hint="eastAsia"/>
                <w:highlight w:val="none"/>
              </w:rPr>
              <w:t>规章制度不尽完善、不能完全满足采购人实际应用需求，</w:t>
            </w:r>
            <w:r>
              <w:rPr>
                <w:rFonts w:hint="eastAsia"/>
                <w:highlight w:val="none"/>
                <w:lang w:val="zh-CN"/>
              </w:rPr>
              <w:t>根据响应情况得</w:t>
            </w:r>
            <w:r>
              <w:rPr>
                <w:rFonts w:hint="eastAsia"/>
                <w:highlight w:val="none"/>
                <w:lang w:val="en-US" w:eastAsia="zh-CN"/>
              </w:rPr>
              <w:t>0</w:t>
            </w:r>
            <w:r>
              <w:rPr>
                <w:rFonts w:hint="eastAsia"/>
                <w:highlight w:val="none"/>
              </w:rPr>
              <w:t>～</w:t>
            </w:r>
            <w:r>
              <w:rPr>
                <w:rFonts w:hint="eastAsia"/>
                <w:highlight w:val="none"/>
                <w:lang w:val="en-US" w:eastAsia="zh-CN"/>
              </w:rPr>
              <w:t>5</w:t>
            </w:r>
            <w:r>
              <w:rPr>
                <w:rFonts w:hint="eastAsia"/>
                <w:highlight w:val="none"/>
              </w:rPr>
              <w:t>分</w:t>
            </w:r>
            <w:r>
              <w:rPr>
                <w:rFonts w:hint="eastAsia"/>
                <w:highlight w:val="none"/>
                <w:lang w:val="zh-CN"/>
              </w:rPr>
              <w:t>。</w:t>
            </w:r>
          </w:p>
          <w:p>
            <w:pPr>
              <w:bidi w:val="0"/>
              <w:spacing w:line="360" w:lineRule="auto"/>
              <w:rPr>
                <w:rFonts w:hint="eastAsia"/>
                <w:highlight w:val="none"/>
                <w:lang w:val="zh-CN"/>
              </w:rPr>
            </w:pPr>
            <w:r>
              <w:rPr>
                <w:rFonts w:hint="eastAsia"/>
                <w:highlight w:val="none"/>
              </w:rPr>
              <w:t>2、</w:t>
            </w:r>
            <w:r>
              <w:rPr>
                <w:rFonts w:hint="eastAsia"/>
                <w:highlight w:val="none"/>
                <w:lang w:val="zh-CN"/>
              </w:rPr>
              <w:t>供应商有基本的日常管理措施，制度基本完善，管理措施较为合理，根据响应情况得</w:t>
            </w:r>
            <w:r>
              <w:rPr>
                <w:rFonts w:hint="eastAsia"/>
                <w:highlight w:val="none"/>
                <w:lang w:val="en-US" w:eastAsia="zh-CN"/>
              </w:rPr>
              <w:t>5</w:t>
            </w:r>
            <w:r>
              <w:rPr>
                <w:rFonts w:hint="eastAsia"/>
                <w:highlight w:val="none"/>
              </w:rPr>
              <w:t>～</w:t>
            </w:r>
            <w:r>
              <w:rPr>
                <w:rFonts w:hint="eastAsia"/>
                <w:highlight w:val="none"/>
                <w:lang w:val="en-US" w:eastAsia="zh-CN"/>
              </w:rPr>
              <w:t>10</w:t>
            </w:r>
            <w:r>
              <w:rPr>
                <w:rFonts w:hint="eastAsia"/>
                <w:highlight w:val="none"/>
              </w:rPr>
              <w:t>分</w:t>
            </w:r>
            <w:r>
              <w:rPr>
                <w:rFonts w:hint="eastAsia"/>
                <w:highlight w:val="none"/>
                <w:lang w:val="zh-CN"/>
              </w:rPr>
              <w:t>；</w:t>
            </w:r>
          </w:p>
          <w:p>
            <w:pPr>
              <w:bidi w:val="0"/>
              <w:spacing w:line="360" w:lineRule="auto"/>
              <w:rPr>
                <w:rFonts w:hint="eastAsia" w:ascii="宋体" w:hAnsi="宋体" w:eastAsia="宋体" w:cs="宋体"/>
                <w:szCs w:val="24"/>
                <w:highlight w:val="none"/>
              </w:rPr>
            </w:pPr>
            <w:r>
              <w:rPr>
                <w:rFonts w:hint="eastAsia"/>
                <w:highlight w:val="none"/>
                <w:lang w:val="en-US" w:eastAsia="zh-CN"/>
              </w:rPr>
              <w:t>3、</w:t>
            </w:r>
            <w:r>
              <w:rPr>
                <w:rFonts w:hint="eastAsia"/>
                <w:highlight w:val="none"/>
                <w:lang w:eastAsia="zh-CN"/>
              </w:rPr>
              <w:t>供应商</w:t>
            </w:r>
            <w:r>
              <w:rPr>
                <w:rFonts w:hint="eastAsia"/>
                <w:highlight w:val="none"/>
              </w:rPr>
              <w:t>有完善的管理本项目</w:t>
            </w:r>
            <w:r>
              <w:rPr>
                <w:rFonts w:hint="eastAsia"/>
                <w:highlight w:val="none"/>
                <w:lang w:val="zh-CN"/>
              </w:rPr>
              <w:t>服务的</w:t>
            </w:r>
            <w:r>
              <w:rPr>
                <w:rFonts w:hint="eastAsia"/>
                <w:highlight w:val="none"/>
              </w:rPr>
              <w:t>规章制度</w:t>
            </w:r>
            <w:r>
              <w:rPr>
                <w:rFonts w:hint="eastAsia"/>
                <w:highlight w:val="none"/>
                <w:lang w:val="zh-CN"/>
              </w:rPr>
              <w:t>、有明确的项目管理职责与分工，能有效保证本项目实施，根据响应情况得</w:t>
            </w:r>
            <w:r>
              <w:rPr>
                <w:rFonts w:hint="eastAsia"/>
                <w:highlight w:val="none"/>
                <w:lang w:val="en-US" w:eastAsia="zh-CN"/>
              </w:rPr>
              <w:t>10</w:t>
            </w:r>
            <w:r>
              <w:rPr>
                <w:rFonts w:hint="eastAsia"/>
                <w:highlight w:val="none"/>
              </w:rPr>
              <w:t>～</w:t>
            </w:r>
            <w:r>
              <w:rPr>
                <w:rFonts w:hint="eastAsia"/>
                <w:highlight w:val="none"/>
                <w:lang w:val="en-US" w:eastAsia="zh-CN"/>
              </w:rPr>
              <w:t>15</w:t>
            </w:r>
            <w:r>
              <w:rPr>
                <w:rFonts w:hint="eastAsia"/>
                <w:highlight w:val="none"/>
                <w:lang w:val="zh-CN"/>
              </w:rPr>
              <w:t>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val="zh-CN" w:eastAsia="zh-CN" w:bidi="ar-SA"/>
              </w:rPr>
            </w:pPr>
            <w:r>
              <w:rPr>
                <w:rFonts w:hint="eastAsia" w:hAnsi="宋体" w:cs="宋体"/>
                <w:sz w:val="24"/>
                <w:szCs w:val="24"/>
                <w:highlight w:val="none"/>
                <w:lang w:val="zh-CN" w:eastAsia="zh-CN" w:bidi="ar-SA"/>
              </w:rPr>
              <w:t>培训</w:t>
            </w:r>
          </w:p>
          <w:p>
            <w:pPr>
              <w:bidi w:val="0"/>
              <w:spacing w:line="360" w:lineRule="auto"/>
              <w:jc w:val="center"/>
              <w:rPr>
                <w:rFonts w:hint="eastAsia" w:ascii="宋体" w:hAnsi="宋体" w:eastAsia="宋体" w:cs="宋体"/>
                <w:sz w:val="24"/>
                <w:szCs w:val="24"/>
                <w:highlight w:val="none"/>
                <w:lang w:val="zh-CN" w:eastAsia="zh-CN" w:bidi="ar-SA"/>
              </w:rPr>
            </w:pPr>
            <w:r>
              <w:rPr>
                <w:rFonts w:hint="eastAsia" w:hAnsi="宋体" w:cs="宋体"/>
                <w:sz w:val="24"/>
                <w:szCs w:val="24"/>
                <w:highlight w:val="none"/>
                <w:lang w:val="zh-CN" w:eastAsia="zh-CN" w:bidi="ar-SA"/>
              </w:rPr>
              <w:t>课程</w:t>
            </w:r>
          </w:p>
        </w:tc>
        <w:tc>
          <w:tcPr>
            <w:tcW w:w="6638" w:type="dxa"/>
            <w:noWrap w:val="0"/>
            <w:vAlign w:val="center"/>
          </w:tcPr>
          <w:p>
            <w:pPr>
              <w:numPr>
                <w:ilvl w:val="0"/>
                <w:numId w:val="0"/>
              </w:numPr>
              <w:bidi w:val="0"/>
              <w:spacing w:line="360" w:lineRule="auto"/>
              <w:rPr>
                <w:rFonts w:hint="eastAsia"/>
                <w:highlight w:val="none"/>
                <w:lang w:val="en-US" w:eastAsia="zh-CN"/>
              </w:rPr>
            </w:pPr>
            <w:r>
              <w:rPr>
                <w:rFonts w:hint="eastAsia"/>
                <w:highlight w:val="none"/>
                <w:lang w:val="en-US" w:eastAsia="zh-CN"/>
              </w:rPr>
              <w:t>整体培训课程框架的设计合理，有合理完整的培训课程提纲，培训课程内容完全满足采购人的需求，培训方式采用线上线下配合模式。</w:t>
            </w:r>
          </w:p>
          <w:p>
            <w:pPr>
              <w:numPr>
                <w:ilvl w:val="0"/>
                <w:numId w:val="5"/>
              </w:numPr>
              <w:bidi w:val="0"/>
              <w:spacing w:line="360" w:lineRule="auto"/>
              <w:rPr>
                <w:rFonts w:hint="eastAsia"/>
                <w:highlight w:val="none"/>
                <w:lang w:val="en-US" w:eastAsia="zh-CN"/>
              </w:rPr>
            </w:pPr>
            <w:r>
              <w:rPr>
                <w:rFonts w:hint="eastAsia"/>
                <w:highlight w:val="none"/>
                <w:lang w:val="en-US" w:eastAsia="zh-CN"/>
              </w:rPr>
              <w:t>培训课程内容完整，培训方式合理，满足或优于采购需求，能达到预期培训效果，得10-15分；</w:t>
            </w:r>
          </w:p>
          <w:p>
            <w:pPr>
              <w:numPr>
                <w:ilvl w:val="0"/>
                <w:numId w:val="0"/>
              </w:numPr>
              <w:bidi w:val="0"/>
              <w:spacing w:line="360" w:lineRule="auto"/>
              <w:rPr>
                <w:rFonts w:hint="eastAsia"/>
                <w:highlight w:val="none"/>
                <w:lang w:val="en-US" w:eastAsia="zh-CN"/>
              </w:rPr>
            </w:pPr>
            <w:r>
              <w:rPr>
                <w:rFonts w:hint="eastAsia"/>
                <w:highlight w:val="none"/>
                <w:lang w:val="en-US" w:eastAsia="zh-CN"/>
              </w:rPr>
              <w:t>2、培训内容与本次活动内容匹配程度高，课程内容丰富，培训方式满足采购需求，得5-10分；</w:t>
            </w:r>
          </w:p>
          <w:p>
            <w:pPr>
              <w:numPr>
                <w:ilvl w:val="0"/>
                <w:numId w:val="0"/>
              </w:numPr>
              <w:bidi w:val="0"/>
              <w:spacing w:line="360" w:lineRule="auto"/>
              <w:rPr>
                <w:rFonts w:hint="default"/>
                <w:highlight w:val="none"/>
                <w:lang w:val="en-US" w:eastAsia="zh-CN"/>
              </w:rPr>
            </w:pPr>
            <w:r>
              <w:rPr>
                <w:rFonts w:hint="eastAsia"/>
                <w:highlight w:val="none"/>
                <w:lang w:val="en-US" w:eastAsia="zh-CN"/>
              </w:rPr>
              <w:t>③培训课程内容针对性一般，课程内容较简单，培训方式基本满足采购需求，计0-5分；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rPr>
                <w:rFonts w:hint="eastAsia"/>
                <w:sz w:val="24"/>
                <w:szCs w:val="20"/>
                <w:highlight w:val="none"/>
                <w:lang w:val="en-US" w:eastAsia="zh-CN"/>
              </w:rPr>
            </w:pPr>
            <w:r>
              <w:rPr>
                <w:rFonts w:hint="eastAsia"/>
                <w:sz w:val="24"/>
                <w:szCs w:val="20"/>
                <w:highlight w:val="none"/>
              </w:rPr>
              <w:t>场地</w:t>
            </w:r>
            <w:r>
              <w:rPr>
                <w:rFonts w:hint="eastAsia"/>
                <w:sz w:val="24"/>
                <w:szCs w:val="20"/>
                <w:highlight w:val="none"/>
                <w:lang w:eastAsia="zh-CN"/>
              </w:rPr>
              <w:t>、设备</w:t>
            </w:r>
            <w:r>
              <w:rPr>
                <w:rFonts w:hint="eastAsia"/>
                <w:sz w:val="24"/>
                <w:szCs w:val="20"/>
                <w:highlight w:val="none"/>
              </w:rPr>
              <w:t>要求</w:t>
            </w:r>
          </w:p>
        </w:tc>
        <w:tc>
          <w:tcPr>
            <w:tcW w:w="6638" w:type="dxa"/>
            <w:noWrap w:val="0"/>
            <w:vAlign w:val="center"/>
          </w:tcPr>
          <w:p>
            <w:pPr>
              <w:bidi w:val="0"/>
              <w:spacing w:line="360" w:lineRule="auto"/>
              <w:rPr>
                <w:rFonts w:hint="default"/>
                <w:sz w:val="24"/>
                <w:szCs w:val="20"/>
                <w:highlight w:val="none"/>
                <w:lang w:val="en-US" w:eastAsia="zh-CN"/>
              </w:rPr>
            </w:pPr>
            <w:r>
              <w:rPr>
                <w:rFonts w:hint="eastAsia"/>
                <w:sz w:val="24"/>
                <w:szCs w:val="20"/>
                <w:highlight w:val="none"/>
                <w:lang w:val="en-US" w:eastAsia="zh-CN"/>
              </w:rPr>
              <w:t>会务搭建布局合理、可行性高，要有响应的配套培训设备（须提供设备清单），满足培训要求，根据响应程度综合赋分1-6分；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val="en-US" w:eastAsia="zh-CN" w:bidi="ar-SA"/>
              </w:rPr>
            </w:pPr>
            <w:r>
              <w:rPr>
                <w:rFonts w:hint="eastAsia" w:hAnsi="宋体" w:cs="宋体"/>
                <w:sz w:val="24"/>
                <w:szCs w:val="24"/>
                <w:highlight w:val="none"/>
                <w:lang w:val="en-US" w:eastAsia="zh-CN" w:bidi="ar-SA"/>
              </w:rPr>
              <w:t>应急</w:t>
            </w:r>
          </w:p>
          <w:p>
            <w:pPr>
              <w:bidi w:val="0"/>
              <w:spacing w:line="360" w:lineRule="auto"/>
              <w:jc w:val="center"/>
              <w:rPr>
                <w:rFonts w:hint="eastAsia"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预案</w:t>
            </w:r>
          </w:p>
        </w:tc>
        <w:tc>
          <w:tcPr>
            <w:tcW w:w="6638" w:type="dxa"/>
            <w:noWrap w:val="0"/>
            <w:vAlign w:val="center"/>
          </w:tcPr>
          <w:p>
            <w:pPr>
              <w:bidi w:val="0"/>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提供疫情防控方案、安保、消防等后勤保障措施。措施完备、可行性强、针对性强，</w:t>
            </w:r>
            <w:r>
              <w:rPr>
                <w:rFonts w:hint="eastAsia"/>
                <w:sz w:val="24"/>
                <w:szCs w:val="20"/>
                <w:highlight w:val="none"/>
                <w:lang w:val="en-US" w:eastAsia="zh-CN"/>
              </w:rPr>
              <w:t>根据响应程度综合赋分1-6分；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bidi="ar-SA"/>
              </w:rPr>
            </w:pPr>
            <w:r>
              <w:rPr>
                <w:rFonts w:hint="eastAsia" w:hAnsi="宋体" w:cs="宋体"/>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hAnsi="宋体" w:cs="宋体"/>
                <w:sz w:val="24"/>
                <w:szCs w:val="24"/>
                <w:highlight w:val="none"/>
                <w:lang w:val="en-US" w:eastAsia="zh-CN" w:bidi="ar-SA"/>
              </w:rPr>
            </w:pPr>
            <w:r>
              <w:rPr>
                <w:rFonts w:hint="eastAsia" w:hAnsi="宋体" w:cs="宋体"/>
                <w:sz w:val="24"/>
                <w:szCs w:val="24"/>
                <w:highlight w:val="none"/>
                <w:lang w:val="en-US" w:eastAsia="zh-CN" w:bidi="ar-SA"/>
              </w:rPr>
              <w:t>媒体</w:t>
            </w:r>
          </w:p>
          <w:p>
            <w:pPr>
              <w:bidi w:val="0"/>
              <w:spacing w:line="360" w:lineRule="auto"/>
              <w:jc w:val="center"/>
              <w:rPr>
                <w:rFonts w:hint="eastAsia" w:hAnsi="宋体" w:cs="宋体"/>
                <w:sz w:val="24"/>
                <w:szCs w:val="24"/>
                <w:highlight w:val="none"/>
                <w:lang w:val="en-US" w:eastAsia="zh-CN" w:bidi="ar-SA"/>
              </w:rPr>
            </w:pPr>
            <w:r>
              <w:rPr>
                <w:rFonts w:hint="eastAsia" w:hAnsi="宋体" w:cs="宋体"/>
                <w:sz w:val="24"/>
                <w:szCs w:val="24"/>
                <w:highlight w:val="none"/>
                <w:lang w:val="en-US" w:eastAsia="zh-CN" w:bidi="ar-SA"/>
              </w:rPr>
              <w:t>宣传</w:t>
            </w:r>
          </w:p>
        </w:tc>
        <w:tc>
          <w:tcPr>
            <w:tcW w:w="6638" w:type="dxa"/>
            <w:noWrap w:val="0"/>
            <w:vAlign w:val="center"/>
          </w:tcPr>
          <w:p>
            <w:pPr>
              <w:bidi w:val="0"/>
              <w:spacing w:line="360" w:lineRule="auto"/>
              <w:rPr>
                <w:rFonts w:hint="default"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bidi="ar-SA"/>
              </w:rPr>
              <w:t>供应商能够根据本次活动要求</w:t>
            </w:r>
            <w:r>
              <w:rPr>
                <w:rFonts w:hint="eastAsia" w:ascii="宋体" w:hAnsi="宋体" w:eastAsia="宋体" w:cs="宋体"/>
                <w:sz w:val="24"/>
                <w:szCs w:val="24"/>
                <w:highlight w:val="none"/>
                <w:lang w:val="en-US" w:eastAsia="zh-CN" w:bidi="ar-SA"/>
              </w:rPr>
              <w:t>进行</w:t>
            </w:r>
            <w:r>
              <w:rPr>
                <w:rFonts w:hint="default" w:ascii="宋体" w:hAnsi="宋体" w:eastAsia="宋体" w:cs="宋体"/>
                <w:sz w:val="24"/>
                <w:szCs w:val="24"/>
                <w:highlight w:val="none"/>
                <w:lang w:val="en-US" w:eastAsia="zh-CN" w:bidi="ar-SA"/>
              </w:rPr>
              <w:t>社交媒体及自媒体营销渠道进行会议活动的</w:t>
            </w:r>
            <w:r>
              <w:rPr>
                <w:rFonts w:hint="eastAsia" w:ascii="宋体" w:hAnsi="宋体" w:eastAsia="宋体" w:cs="宋体"/>
                <w:sz w:val="24"/>
                <w:szCs w:val="24"/>
                <w:highlight w:val="none"/>
                <w:lang w:val="en-US" w:eastAsia="zh-CN" w:bidi="ar-SA"/>
              </w:rPr>
              <w:t>多渠道</w:t>
            </w:r>
            <w:r>
              <w:rPr>
                <w:rFonts w:hint="default" w:ascii="宋体" w:hAnsi="宋体" w:eastAsia="宋体" w:cs="宋体"/>
                <w:sz w:val="24"/>
                <w:szCs w:val="24"/>
                <w:highlight w:val="none"/>
                <w:lang w:val="en-US" w:eastAsia="zh-CN" w:bidi="ar-SA"/>
              </w:rPr>
              <w:t>宣传</w:t>
            </w:r>
            <w:r>
              <w:rPr>
                <w:rFonts w:hint="eastAsia" w:ascii="宋体" w:hAnsi="宋体" w:eastAsia="宋体" w:cs="宋体"/>
                <w:sz w:val="24"/>
                <w:szCs w:val="24"/>
                <w:highlight w:val="none"/>
                <w:lang w:val="en-US" w:eastAsia="zh-CN" w:bidi="ar-SA"/>
              </w:rPr>
              <w:t>，宣传方式多样合理，满足采购人需求，</w:t>
            </w:r>
            <w:r>
              <w:rPr>
                <w:rFonts w:hint="eastAsia"/>
                <w:sz w:val="24"/>
                <w:szCs w:val="20"/>
                <w:highlight w:val="none"/>
                <w:lang w:val="en-US" w:eastAsia="zh-CN"/>
              </w:rPr>
              <w:t>根据响应程度综合赋分1-6分；</w:t>
            </w:r>
          </w:p>
        </w:tc>
        <w:tc>
          <w:tcPr>
            <w:tcW w:w="758" w:type="dxa"/>
            <w:noWrap w:val="0"/>
            <w:vAlign w:val="center"/>
          </w:tcPr>
          <w:p>
            <w:pPr>
              <w:bidi w:val="0"/>
              <w:spacing w:line="360" w:lineRule="auto"/>
              <w:jc w:val="center"/>
              <w:rPr>
                <w:rFonts w:hint="default" w:hAnsi="宋体" w:cs="宋体"/>
                <w:sz w:val="24"/>
                <w:szCs w:val="24"/>
                <w:highlight w:val="none"/>
                <w:lang w:val="en-US" w:eastAsia="zh-CN" w:bidi="ar-SA"/>
              </w:rPr>
            </w:pPr>
            <w:r>
              <w:rPr>
                <w:rFonts w:hint="eastAsia" w:hAnsi="宋体" w:cs="宋体"/>
                <w:sz w:val="24"/>
                <w:szCs w:val="24"/>
                <w:highlight w:val="none"/>
                <w:lang w:val="en-US" w:eastAsia="zh-CN" w:bidi="ar-SA"/>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91" w:type="dxa"/>
            <w:vMerge w:val="restart"/>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履约能力及售后服务（</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分）</w:t>
            </w:r>
          </w:p>
        </w:tc>
        <w:tc>
          <w:tcPr>
            <w:tcW w:w="966" w:type="dxa"/>
            <w:noWrap w:val="0"/>
            <w:vAlign w:val="center"/>
          </w:tcPr>
          <w:p>
            <w:pPr>
              <w:bidi w:val="0"/>
              <w:spacing w:line="360" w:lineRule="auto"/>
              <w:jc w:val="center"/>
              <w:rPr>
                <w:rFonts w:hint="eastAsia" w:hAnsi="宋体" w:cs="宋体"/>
                <w:sz w:val="24"/>
                <w:szCs w:val="24"/>
                <w:highlight w:val="none"/>
                <w:lang w:eastAsia="zh-CN"/>
              </w:rPr>
            </w:pPr>
            <w:r>
              <w:rPr>
                <w:rFonts w:hint="eastAsia" w:hAnsi="宋体" w:cs="宋体"/>
                <w:sz w:val="24"/>
                <w:szCs w:val="24"/>
                <w:highlight w:val="none"/>
                <w:lang w:eastAsia="zh-CN"/>
              </w:rPr>
              <w:t>人员</w:t>
            </w:r>
          </w:p>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配备</w:t>
            </w:r>
          </w:p>
        </w:tc>
        <w:tc>
          <w:tcPr>
            <w:tcW w:w="6638" w:type="dxa"/>
            <w:noWrap w:val="0"/>
            <w:vAlign w:val="center"/>
          </w:tcPr>
          <w:p>
            <w:pPr>
              <w:bidi w:val="0"/>
              <w:spacing w:line="360" w:lineRule="auto"/>
              <w:rPr>
                <w:rFonts w:hint="eastAsia"/>
                <w:highlight w:val="none"/>
              </w:rPr>
            </w:pPr>
            <w:r>
              <w:rPr>
                <w:rFonts w:hint="eastAsia"/>
                <w:b/>
                <w:bCs/>
                <w:highlight w:val="none"/>
                <w:lang w:val="en-US" w:eastAsia="zh-CN"/>
              </w:rPr>
              <w:t>1、人员配备方案（8分）：</w:t>
            </w:r>
            <w:r>
              <w:rPr>
                <w:rFonts w:hint="eastAsia"/>
                <w:highlight w:val="none"/>
              </w:rPr>
              <w:t>针对本项目人员组织安排、培训人员岗位职责、人员素质及配备合理性等方面，根据</w:t>
            </w:r>
            <w:r>
              <w:rPr>
                <w:rFonts w:hint="eastAsia"/>
                <w:highlight w:val="none"/>
                <w:lang w:eastAsia="zh-CN"/>
              </w:rPr>
              <w:t>供应商</w:t>
            </w:r>
            <w:r>
              <w:rPr>
                <w:rFonts w:hint="eastAsia"/>
                <w:highlight w:val="none"/>
              </w:rPr>
              <w:t>所提供的人员配备方案：①</w:t>
            </w:r>
            <w:r>
              <w:rPr>
                <w:rFonts w:hint="eastAsia"/>
                <w:highlight w:val="none"/>
                <w:lang w:eastAsia="zh-CN"/>
              </w:rPr>
              <w:t>供应商</w:t>
            </w:r>
            <w:r>
              <w:rPr>
                <w:rFonts w:hint="eastAsia"/>
                <w:highlight w:val="none"/>
              </w:rPr>
              <w:t>所提供针对本项目的人员配备方案较差、存在分配不合理、职责不明确的情况。根据响应情况得：</w:t>
            </w:r>
            <w:r>
              <w:rPr>
                <w:rFonts w:hint="eastAsia"/>
                <w:highlight w:val="none"/>
                <w:lang w:val="en-US" w:eastAsia="zh-CN"/>
              </w:rPr>
              <w:t>0</w:t>
            </w:r>
            <w:r>
              <w:rPr>
                <w:rFonts w:hint="eastAsia"/>
                <w:highlight w:val="none"/>
              </w:rPr>
              <w:t>～</w:t>
            </w:r>
            <w:r>
              <w:rPr>
                <w:rFonts w:hint="eastAsia"/>
                <w:highlight w:val="none"/>
                <w:lang w:val="en-US" w:eastAsia="zh-CN"/>
              </w:rPr>
              <w:t>2</w:t>
            </w:r>
            <w:r>
              <w:rPr>
                <w:rFonts w:hint="eastAsia"/>
                <w:highlight w:val="none"/>
              </w:rPr>
              <w:t>分。②</w:t>
            </w:r>
            <w:r>
              <w:rPr>
                <w:rFonts w:hint="eastAsia"/>
                <w:highlight w:val="none"/>
                <w:lang w:eastAsia="zh-CN"/>
              </w:rPr>
              <w:t>供应商</w:t>
            </w:r>
            <w:r>
              <w:rPr>
                <w:rFonts w:hint="eastAsia"/>
                <w:highlight w:val="none"/>
              </w:rPr>
              <w:t>所提供人员配备方案进本完善且合理，基本满足采购人实际需求，根据响应情况得：</w:t>
            </w:r>
            <w:r>
              <w:rPr>
                <w:rFonts w:hint="eastAsia"/>
                <w:highlight w:val="none"/>
                <w:lang w:val="en-US" w:eastAsia="zh-CN"/>
              </w:rPr>
              <w:t>2</w:t>
            </w:r>
            <w:r>
              <w:rPr>
                <w:rFonts w:hint="eastAsia"/>
                <w:highlight w:val="none"/>
              </w:rPr>
              <w:t>～</w:t>
            </w:r>
            <w:r>
              <w:rPr>
                <w:rFonts w:hint="eastAsia"/>
                <w:highlight w:val="none"/>
                <w:lang w:val="en-US" w:eastAsia="zh-CN"/>
              </w:rPr>
              <w:t>5</w:t>
            </w:r>
            <w:r>
              <w:rPr>
                <w:rFonts w:hint="eastAsia"/>
                <w:highlight w:val="none"/>
              </w:rPr>
              <w:t>分</w:t>
            </w:r>
            <w:r>
              <w:rPr>
                <w:rFonts w:hint="eastAsia"/>
                <w:highlight w:val="none"/>
                <w:lang w:eastAsia="zh-CN"/>
              </w:rPr>
              <w:t>；</w:t>
            </w:r>
            <w:r>
              <w:rPr>
                <w:rFonts w:hint="eastAsia"/>
                <w:highlight w:val="none"/>
              </w:rPr>
              <w:t>③结合本项目要求，</w:t>
            </w:r>
            <w:r>
              <w:rPr>
                <w:rFonts w:hint="eastAsia"/>
                <w:highlight w:val="none"/>
                <w:lang w:val="zh-CN"/>
              </w:rPr>
              <w:t>配备满足相关服务资格、责任心强的服务人员，提供完善的人员概况及人员相关证明资料，能有效保证项目的实际实施。</w:t>
            </w:r>
            <w:r>
              <w:rPr>
                <w:rFonts w:hint="eastAsia"/>
                <w:highlight w:val="none"/>
              </w:rPr>
              <w:t>根据响应情况得</w:t>
            </w:r>
            <w:r>
              <w:rPr>
                <w:rFonts w:hint="eastAsia"/>
                <w:highlight w:val="none"/>
                <w:lang w:val="en-US" w:eastAsia="zh-CN"/>
              </w:rPr>
              <w:t>5</w:t>
            </w:r>
            <w:r>
              <w:rPr>
                <w:rFonts w:hint="eastAsia"/>
                <w:highlight w:val="none"/>
              </w:rPr>
              <w:t>～</w:t>
            </w:r>
            <w:r>
              <w:rPr>
                <w:rFonts w:hint="eastAsia"/>
                <w:highlight w:val="none"/>
                <w:lang w:val="en-US" w:eastAsia="zh-CN"/>
              </w:rPr>
              <w:t>8</w:t>
            </w:r>
            <w:r>
              <w:rPr>
                <w:rFonts w:hint="eastAsia"/>
                <w:highlight w:val="none"/>
              </w:rPr>
              <w:t>分</w:t>
            </w:r>
            <w:r>
              <w:rPr>
                <w:rFonts w:hint="eastAsia"/>
                <w:highlight w:val="none"/>
                <w:lang w:eastAsia="zh-CN"/>
              </w:rPr>
              <w:t>；</w:t>
            </w:r>
          </w:p>
          <w:p>
            <w:pPr>
              <w:bidi w:val="0"/>
              <w:spacing w:line="360" w:lineRule="auto"/>
              <w:rPr>
                <w:rFonts w:hint="eastAsia" w:eastAsia="宋体"/>
                <w:highlight w:val="none"/>
                <w:lang w:val="en-US" w:eastAsia="zh-CN"/>
              </w:rPr>
            </w:pPr>
            <w:r>
              <w:rPr>
                <w:rFonts w:hint="eastAsia"/>
                <w:b/>
                <w:bCs/>
                <w:highlight w:val="none"/>
                <w:lang w:val="en-US" w:eastAsia="zh-CN"/>
              </w:rPr>
              <w:t>2、师资力量（7分）：</w:t>
            </w:r>
            <w:r>
              <w:rPr>
                <w:rFonts w:hint="eastAsia"/>
                <w:highlight w:val="none"/>
              </w:rPr>
              <w:t>供应商须详细介绍拟投入本项目授课团队人员配备及培训师资队伍，包括在职专家、</w:t>
            </w:r>
            <w:r>
              <w:rPr>
                <w:rFonts w:hint="eastAsia"/>
                <w:highlight w:val="none"/>
                <w:lang w:eastAsia="zh-CN"/>
              </w:rPr>
              <w:t>国内知名会展专家（不少于5名）</w:t>
            </w:r>
            <w:r>
              <w:rPr>
                <w:rFonts w:hint="eastAsia"/>
                <w:highlight w:val="none"/>
              </w:rPr>
              <w:t>及各专家的知识水平、教学能力、职称证明等并提供相应证明材料</w:t>
            </w:r>
            <w:r>
              <w:rPr>
                <w:rFonts w:hint="eastAsia"/>
                <w:highlight w:val="none"/>
                <w:lang w:eastAsia="zh-CN"/>
              </w:rPr>
              <w:t>，</w:t>
            </w:r>
            <w:r>
              <w:rPr>
                <w:rFonts w:hint="eastAsia"/>
                <w:highlight w:val="none"/>
                <w:lang w:val="en-US" w:eastAsia="zh-CN"/>
              </w:rPr>
              <w:t>根据响应程度综合赋分1-7分；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服务保障承诺及措施</w:t>
            </w:r>
          </w:p>
        </w:tc>
        <w:tc>
          <w:tcPr>
            <w:tcW w:w="6638" w:type="dxa"/>
            <w:noWrap w:val="0"/>
            <w:vAlign w:val="center"/>
          </w:tcPr>
          <w:p>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服务承诺内容、质量保证措施全面、合理，根据内容的合理性、完整性、响应性综合赋分0-2分；</w:t>
            </w:r>
          </w:p>
        </w:tc>
        <w:tc>
          <w:tcPr>
            <w:tcW w:w="758" w:type="dxa"/>
            <w:noWrap w:val="0"/>
            <w:vAlign w:val="center"/>
          </w:tcPr>
          <w:p>
            <w:pPr>
              <w:bidi w:val="0"/>
              <w:spacing w:line="360" w:lineRule="auto"/>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bidi w:val="0"/>
              <w:spacing w:line="360" w:lineRule="auto"/>
              <w:jc w:val="center"/>
              <w:rPr>
                <w:rFonts w:hint="eastAsia" w:ascii="宋体" w:hAnsi="宋体" w:eastAsia="宋体" w:cs="宋体"/>
                <w:sz w:val="24"/>
                <w:szCs w:val="24"/>
                <w:highlight w:val="none"/>
              </w:rPr>
            </w:pPr>
          </w:p>
        </w:tc>
        <w:tc>
          <w:tcPr>
            <w:tcW w:w="966" w:type="dxa"/>
            <w:noWrap w:val="0"/>
            <w:vAlign w:val="center"/>
          </w:tcPr>
          <w:p>
            <w:pPr>
              <w:bidi w:val="0"/>
              <w:spacing w:line="360" w:lineRule="auto"/>
              <w:jc w:val="center"/>
              <w:rPr>
                <w:rFonts w:hint="eastAsia" w:ascii="宋体" w:hAnsi="宋体" w:eastAsia="宋体" w:cs="宋体"/>
                <w:sz w:val="24"/>
                <w:szCs w:val="24"/>
                <w:highlight w:val="none"/>
                <w:lang w:eastAsia="zh-CN"/>
              </w:rPr>
            </w:pPr>
            <w:r>
              <w:rPr>
                <w:rFonts w:hint="eastAsia" w:hAnsi="宋体" w:cs="宋体"/>
                <w:sz w:val="24"/>
                <w:szCs w:val="24"/>
                <w:highlight w:val="none"/>
                <w:lang w:eastAsia="zh-CN"/>
              </w:rPr>
              <w:t>业绩</w:t>
            </w:r>
          </w:p>
        </w:tc>
        <w:tc>
          <w:tcPr>
            <w:tcW w:w="6638" w:type="dxa"/>
            <w:noWrap w:val="0"/>
            <w:vAlign w:val="center"/>
          </w:tcPr>
          <w:p>
            <w:pPr>
              <w:bidi w:val="0"/>
              <w:spacing w:line="360" w:lineRule="auto"/>
              <w:rPr>
                <w:rFonts w:hint="eastAsia" w:ascii="宋体" w:hAnsi="宋体" w:eastAsia="宋体" w:cs="宋体"/>
                <w:sz w:val="24"/>
                <w:szCs w:val="24"/>
                <w:highlight w:val="none"/>
              </w:rPr>
            </w:pPr>
            <w:r>
              <w:rPr>
                <w:rFonts w:hint="eastAsia" w:ascii="宋体" w:hAnsi="宋体"/>
                <w:sz w:val="24"/>
                <w:szCs w:val="24"/>
                <w:highlight w:val="none"/>
                <w:lang w:eastAsia="zh-CN"/>
              </w:rPr>
              <w:t>提供</w:t>
            </w:r>
            <w:r>
              <w:rPr>
                <w:rFonts w:hint="eastAsia" w:ascii="宋体" w:hAnsi="宋体"/>
                <w:sz w:val="24"/>
                <w:szCs w:val="24"/>
                <w:highlight w:val="none"/>
              </w:rPr>
              <w:t>201</w:t>
            </w:r>
            <w:r>
              <w:rPr>
                <w:rFonts w:hint="eastAsia" w:ascii="宋体" w:hAnsi="宋体"/>
                <w:sz w:val="24"/>
                <w:szCs w:val="24"/>
                <w:highlight w:val="none"/>
                <w:lang w:val="en-US" w:eastAsia="zh-CN"/>
              </w:rPr>
              <w:t>9</w:t>
            </w:r>
            <w:r>
              <w:rPr>
                <w:rFonts w:hint="eastAsia" w:ascii="宋体" w:hAnsi="宋体"/>
                <w:sz w:val="24"/>
                <w:szCs w:val="24"/>
                <w:highlight w:val="none"/>
              </w:rPr>
              <w:t>年1月1日起至今，</w:t>
            </w:r>
            <w:r>
              <w:rPr>
                <w:rFonts w:hint="eastAsia" w:ascii="宋体" w:hAnsi="宋体"/>
                <w:sz w:val="24"/>
                <w:szCs w:val="24"/>
                <w:highlight w:val="none"/>
                <w:lang w:eastAsia="zh-CN"/>
              </w:rPr>
              <w:t>供应商</w:t>
            </w:r>
            <w:r>
              <w:rPr>
                <w:rFonts w:hint="eastAsia" w:ascii="宋体" w:hAnsi="宋体"/>
                <w:sz w:val="24"/>
                <w:szCs w:val="24"/>
                <w:highlight w:val="none"/>
              </w:rPr>
              <w:t>承接</w:t>
            </w:r>
            <w:r>
              <w:rPr>
                <w:rFonts w:hint="eastAsia" w:hAnsi="宋体"/>
                <w:sz w:val="24"/>
                <w:szCs w:val="24"/>
                <w:highlight w:val="none"/>
                <w:lang w:eastAsia="zh-CN"/>
              </w:rPr>
              <w:t>类似</w:t>
            </w:r>
            <w:r>
              <w:rPr>
                <w:rFonts w:hint="eastAsia" w:ascii="宋体" w:hAnsi="宋体"/>
                <w:sz w:val="24"/>
                <w:szCs w:val="24"/>
                <w:highlight w:val="none"/>
              </w:rPr>
              <w:t>服务项目的业绩，每提供一份有效业绩得</w:t>
            </w:r>
            <w:r>
              <w:rPr>
                <w:rFonts w:hint="eastAsia" w:hAnsi="宋体"/>
                <w:sz w:val="24"/>
                <w:szCs w:val="24"/>
                <w:highlight w:val="none"/>
                <w:lang w:val="en-US" w:eastAsia="zh-CN"/>
              </w:rPr>
              <w:t>1</w:t>
            </w:r>
            <w:r>
              <w:rPr>
                <w:rFonts w:hint="eastAsia" w:ascii="宋体" w:hAnsi="宋体"/>
                <w:sz w:val="24"/>
                <w:szCs w:val="24"/>
                <w:highlight w:val="none"/>
              </w:rPr>
              <w:t>分，最多得</w:t>
            </w:r>
            <w:r>
              <w:rPr>
                <w:rFonts w:hint="eastAsia" w:ascii="宋体" w:hAnsi="宋体"/>
                <w:sz w:val="24"/>
                <w:szCs w:val="24"/>
                <w:highlight w:val="none"/>
                <w:lang w:val="en-US" w:eastAsia="zh-CN"/>
              </w:rPr>
              <w:t>5</w:t>
            </w:r>
            <w:r>
              <w:rPr>
                <w:rFonts w:hint="eastAsia" w:ascii="宋体" w:hAnsi="宋体"/>
                <w:sz w:val="24"/>
                <w:szCs w:val="24"/>
                <w:highlight w:val="none"/>
              </w:rPr>
              <w:t>分</w:t>
            </w:r>
            <w:r>
              <w:rPr>
                <w:rFonts w:hint="eastAsia" w:ascii="宋体" w:hAnsi="宋体"/>
                <w:sz w:val="24"/>
                <w:szCs w:val="24"/>
                <w:highlight w:val="none"/>
                <w:lang w:eastAsia="zh-CN"/>
              </w:rPr>
              <w:t>，不提供不得分</w:t>
            </w:r>
            <w:r>
              <w:rPr>
                <w:rFonts w:hint="eastAsia" w:ascii="宋体" w:hAnsi="宋体"/>
                <w:sz w:val="24"/>
                <w:szCs w:val="24"/>
                <w:highlight w:val="none"/>
              </w:rPr>
              <w:t>。</w:t>
            </w:r>
            <w:r>
              <w:rPr>
                <w:rFonts w:hint="eastAsia" w:ascii="宋体" w:hAnsi="宋体"/>
                <w:sz w:val="24"/>
                <w:szCs w:val="24"/>
                <w:highlight w:val="none"/>
                <w:lang w:eastAsia="zh-CN"/>
              </w:rPr>
              <w:t>（提供合同或</w:t>
            </w:r>
            <w:r>
              <w:rPr>
                <w:rFonts w:hint="eastAsia" w:ascii="宋体" w:hAnsi="宋体"/>
                <w:sz w:val="24"/>
                <w:szCs w:val="24"/>
                <w:highlight w:val="none"/>
                <w:lang w:val="en-US" w:eastAsia="zh-CN"/>
              </w:rPr>
              <w:t>中标通知书</w:t>
            </w:r>
            <w:r>
              <w:rPr>
                <w:rFonts w:hint="eastAsia" w:ascii="宋体" w:hAnsi="宋体"/>
                <w:sz w:val="24"/>
                <w:szCs w:val="24"/>
                <w:highlight w:val="none"/>
                <w:lang w:eastAsia="zh-CN"/>
              </w:rPr>
              <w:t>复印件并加盖公章）</w:t>
            </w:r>
          </w:p>
        </w:tc>
        <w:tc>
          <w:tcPr>
            <w:tcW w:w="758" w:type="dxa"/>
            <w:noWrap w:val="0"/>
            <w:vAlign w:val="center"/>
          </w:tcPr>
          <w:p>
            <w:pPr>
              <w:bidi w:val="0"/>
              <w:spacing w:line="36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5分</w:t>
            </w:r>
          </w:p>
        </w:tc>
      </w:tr>
    </w:tbl>
    <w:p>
      <w:pPr>
        <w:spacing w:line="360" w:lineRule="auto"/>
        <w:ind w:firstLine="480" w:firstLineChars="200"/>
        <w:rPr>
          <w:rFonts w:hint="eastAsia" w:hAnsi="宋体" w:cs="宋体"/>
          <w:szCs w:val="24"/>
          <w:highlight w:val="none"/>
        </w:rPr>
      </w:pPr>
    </w:p>
    <w:p>
      <w:pPr>
        <w:spacing w:line="360" w:lineRule="auto"/>
        <w:ind w:firstLine="480" w:firstLineChars="200"/>
        <w:rPr>
          <w:rFonts w:hAnsi="宋体" w:cs="宋体"/>
          <w:b/>
          <w:bCs/>
          <w:szCs w:val="24"/>
          <w:highlight w:val="none"/>
        </w:rPr>
      </w:pPr>
      <w:r>
        <w:rPr>
          <w:rFonts w:hint="eastAsia" w:hAnsi="宋体" w:cs="宋体"/>
          <w:szCs w:val="24"/>
          <w:highlight w:val="none"/>
        </w:rPr>
        <w:t>评价和比较以投标响应文件为依据，进行评审并按照百分制进行赋分。</w:t>
      </w: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highlight w:val="none"/>
        </w:rPr>
      </w:pPr>
      <w:r>
        <w:rPr>
          <w:rFonts w:hint="eastAsia"/>
          <w:highlight w:val="none"/>
        </w:rPr>
        <w:br w:type="page"/>
      </w:r>
    </w:p>
    <w:p>
      <w:pPr>
        <w:pStyle w:val="3"/>
        <w:jc w:val="center"/>
        <w:rPr>
          <w:rFonts w:ascii="宋体" w:eastAsia="宋体" w:cs="宋体"/>
          <w:bCs/>
          <w:sz w:val="36"/>
          <w:szCs w:val="36"/>
          <w:highlight w:val="none"/>
        </w:rPr>
      </w:pPr>
      <w:r>
        <w:rPr>
          <w:rFonts w:hint="eastAsia" w:ascii="宋体" w:eastAsia="宋体" w:cs="宋体"/>
          <w:bCs/>
          <w:sz w:val="36"/>
          <w:szCs w:val="36"/>
          <w:highlight w:val="none"/>
        </w:rPr>
        <w:t>第四章  合同条款及格式</w:t>
      </w:r>
      <w:bookmarkEnd w:id="59"/>
      <w:bookmarkEnd w:id="60"/>
      <w:bookmarkEnd w:id="61"/>
      <w:bookmarkEnd w:id="76"/>
      <w:bookmarkEnd w:id="77"/>
    </w:p>
    <w:p>
      <w:pPr>
        <w:tabs>
          <w:tab w:val="left" w:pos="210"/>
          <w:tab w:val="left" w:pos="525"/>
        </w:tabs>
        <w:spacing w:line="360" w:lineRule="auto"/>
        <w:jc w:val="center"/>
        <w:outlineLvl w:val="1"/>
        <w:rPr>
          <w:rFonts w:hAnsi="宋体" w:cs="宋体"/>
          <w:sz w:val="32"/>
          <w:szCs w:val="32"/>
          <w:highlight w:val="none"/>
        </w:rPr>
      </w:pPr>
      <w:bookmarkStart w:id="82" w:name="_Toc32476"/>
      <w:bookmarkStart w:id="83" w:name="_Toc11393"/>
      <w:bookmarkStart w:id="84" w:name="_Toc23705"/>
      <w:bookmarkStart w:id="85" w:name="_Toc3424"/>
      <w:r>
        <w:rPr>
          <w:rFonts w:hint="eastAsia" w:hAnsi="宋体" w:cs="宋体"/>
          <w:b/>
          <w:bCs/>
          <w:sz w:val="32"/>
          <w:szCs w:val="32"/>
          <w:highlight w:val="none"/>
        </w:rPr>
        <w:t>合同前附表</w:t>
      </w:r>
      <w:bookmarkEnd w:id="82"/>
      <w:bookmarkEnd w:id="83"/>
      <w:bookmarkEnd w:id="84"/>
      <w:bookmarkEnd w:id="85"/>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采购人名称：西安市商务局</w:t>
            </w:r>
          </w:p>
          <w:p>
            <w:pPr>
              <w:spacing w:line="360" w:lineRule="auto"/>
              <w:rPr>
                <w:rFonts w:hAnsi="宋体" w:cs="宋体"/>
                <w:szCs w:val="24"/>
                <w:highlight w:val="none"/>
              </w:rPr>
            </w:pPr>
            <w:r>
              <w:rPr>
                <w:rFonts w:hint="eastAsia" w:hAnsi="宋体" w:cs="宋体"/>
                <w:szCs w:val="24"/>
                <w:highlight w:val="none"/>
              </w:rPr>
              <w:t>地      址：西安市未央区凤城八路109号</w:t>
            </w:r>
          </w:p>
          <w:p>
            <w:pPr>
              <w:spacing w:line="360" w:lineRule="auto"/>
              <w:ind w:left="1200" w:hanging="1200" w:hangingChars="500"/>
              <w:rPr>
                <w:rFonts w:hint="eastAsia" w:hAnsi="宋体" w:eastAsia="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西安市商务局关于2022年会议会展产业中高级人才培训班项目</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项目实施地点：西安市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spacing w:line="360" w:lineRule="auto"/>
              <w:rPr>
                <w:rFonts w:hint="eastAsia" w:hAnsi="宋体" w:cs="宋体"/>
                <w:szCs w:val="24"/>
                <w:highlight w:val="none"/>
              </w:rPr>
            </w:pPr>
            <w:r>
              <w:rPr>
                <w:rFonts w:hint="eastAsia" w:hAnsi="宋体" w:cs="宋体"/>
                <w:szCs w:val="24"/>
                <w:highlight w:val="none"/>
              </w:rPr>
              <w:t>服务期：自合同签订之日起至2022年12月31日止。</w:t>
            </w:r>
          </w:p>
          <w:p>
            <w:pPr>
              <w:spacing w:line="360" w:lineRule="auto"/>
              <w:rPr>
                <w:rFonts w:hint="eastAsia" w:hAnsi="宋体" w:eastAsia="宋体" w:cs="宋体"/>
                <w:szCs w:val="24"/>
                <w:highlight w:val="none"/>
                <w:lang w:eastAsia="zh-CN"/>
              </w:rPr>
            </w:pPr>
          </w:p>
          <w:p>
            <w:pPr>
              <w:spacing w:line="360" w:lineRule="auto"/>
              <w:rPr>
                <w:rFonts w:hAnsi="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exact"/>
        </w:trPr>
        <w:tc>
          <w:tcPr>
            <w:tcW w:w="1171" w:type="dxa"/>
            <w:vAlign w:val="center"/>
          </w:tcPr>
          <w:p>
            <w:pPr>
              <w:spacing w:line="360" w:lineRule="auto"/>
              <w:jc w:val="center"/>
              <w:rPr>
                <w:rFonts w:hint="eastAsia" w:hAnsi="宋体" w:eastAsia="宋体" w:cs="宋体"/>
                <w:szCs w:val="24"/>
                <w:highlight w:val="none"/>
                <w:lang w:val="en-US" w:eastAsia="zh-CN"/>
              </w:rPr>
            </w:pPr>
            <w:r>
              <w:rPr>
                <w:rFonts w:hint="eastAsia" w:hAnsi="宋体" w:cs="宋体"/>
                <w:szCs w:val="24"/>
                <w:highlight w:val="none"/>
                <w:lang w:val="en-US" w:eastAsia="zh-CN"/>
              </w:rPr>
              <w:t>4</w:t>
            </w:r>
          </w:p>
        </w:tc>
        <w:tc>
          <w:tcPr>
            <w:tcW w:w="8181" w:type="dxa"/>
            <w:vAlign w:val="center"/>
          </w:tcPr>
          <w:p>
            <w:pPr>
              <w:spacing w:line="360" w:lineRule="auto"/>
              <w:rPr>
                <w:rFonts w:hint="eastAsia" w:hAnsi="宋体" w:cs="宋体"/>
                <w:szCs w:val="24"/>
                <w:highlight w:val="none"/>
                <w:lang w:eastAsia="zh-CN"/>
              </w:rPr>
            </w:pPr>
            <w:r>
              <w:rPr>
                <w:rFonts w:hint="eastAsia" w:hAnsi="宋体" w:cs="宋体"/>
                <w:szCs w:val="24"/>
                <w:highlight w:val="none"/>
                <w:lang w:eastAsia="zh-CN"/>
              </w:rPr>
              <w:t>成果交付要求：需达到采购人对项目的具体要求。</w:t>
            </w:r>
          </w:p>
          <w:p>
            <w:pPr>
              <w:spacing w:line="360" w:lineRule="auto"/>
              <w:rPr>
                <w:rFonts w:hint="eastAsia" w:hAnsi="宋体" w:eastAsia="宋体" w:cs="宋体"/>
                <w:szCs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5</w:t>
            </w:r>
          </w:p>
        </w:tc>
        <w:tc>
          <w:tcPr>
            <w:tcW w:w="8181" w:type="dxa"/>
            <w:vAlign w:val="center"/>
          </w:tcPr>
          <w:p>
            <w:pPr>
              <w:spacing w:line="360" w:lineRule="auto"/>
              <w:rPr>
                <w:rFonts w:hAnsi="宋体" w:cs="宋体"/>
                <w:b/>
                <w:sz w:val="21"/>
                <w:szCs w:val="21"/>
                <w:highlight w:val="none"/>
              </w:rPr>
            </w:pPr>
            <w:r>
              <w:rPr>
                <w:rFonts w:hint="eastAsia" w:hAnsi="宋体" w:cs="宋体"/>
                <w:b/>
                <w:sz w:val="21"/>
                <w:szCs w:val="21"/>
                <w:highlight w:val="none"/>
              </w:rPr>
              <w:t>付款：</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1.合同总价即成交价，不受市场价变化或实际工作量变化的影响。供应商应在磋商报价表中标明完成本次磋商所要求的全部服务的所有费用，</w:t>
            </w:r>
            <w:r>
              <w:rPr>
                <w:rFonts w:hint="eastAsia" w:hAnsi="宋体" w:cs="宋体"/>
                <w:szCs w:val="24"/>
                <w:highlight w:val="none"/>
                <w:lang w:eastAsia="zh-CN"/>
              </w:rPr>
              <w:t>包括但不限于策划费、场地费、培训及附带服务费、招标代理服务费、税金等其他一切相关费用。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pPr>
              <w:spacing w:line="360" w:lineRule="auto"/>
              <w:ind w:firstLine="480" w:firstLineChars="200"/>
              <w:rPr>
                <w:rFonts w:hAnsi="宋体" w:cs="宋体"/>
                <w:szCs w:val="24"/>
                <w:highlight w:val="none"/>
              </w:rPr>
            </w:pPr>
            <w:r>
              <w:rPr>
                <w:rFonts w:hint="eastAsia" w:hAnsi="宋体" w:cs="宋体"/>
                <w:szCs w:val="24"/>
                <w:highlight w:val="none"/>
              </w:rPr>
              <w:t>2.2付款方式：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lang w:eastAsia="zh-CN"/>
              </w:rPr>
              <w:t>自合同</w:t>
            </w:r>
            <w:r>
              <w:rPr>
                <w:rFonts w:hint="eastAsia" w:ascii="宋体" w:hAnsi="宋体" w:eastAsia="宋体" w:cs="宋体"/>
                <w:szCs w:val="24"/>
                <w:highlight w:val="none"/>
              </w:rPr>
              <w:t>签订后5个工作日内， 支付合同总金额的70%作为预付款；合同总金额的30%作为余款</w:t>
            </w:r>
            <w:r>
              <w:rPr>
                <w:rFonts w:hint="eastAsia" w:ascii="宋体" w:hAnsi="宋体" w:eastAsia="宋体" w:cs="宋体"/>
                <w:szCs w:val="24"/>
                <w:highlight w:val="none"/>
                <w:lang w:eastAsia="zh-CN"/>
              </w:rPr>
              <w:t>，</w:t>
            </w:r>
            <w:r>
              <w:rPr>
                <w:rFonts w:hint="eastAsia" w:ascii="宋体" w:hAnsi="宋体" w:eastAsia="宋体" w:cs="宋体"/>
                <w:szCs w:val="24"/>
                <w:highlight w:val="none"/>
              </w:rPr>
              <w:t>于活动结束后5个工作日一次性付清。</w:t>
            </w:r>
          </w:p>
          <w:p>
            <w:pPr>
              <w:spacing w:line="360" w:lineRule="auto"/>
              <w:ind w:firstLine="480" w:firstLineChars="200"/>
              <w:rPr>
                <w:rFonts w:hAnsi="宋体" w:cs="宋体"/>
                <w:color w:val="auto"/>
                <w:szCs w:val="24"/>
                <w:highlight w:val="none"/>
              </w:rPr>
            </w:pPr>
            <w:r>
              <w:rPr>
                <w:rFonts w:hint="eastAsia" w:hAnsi="宋体" w:cs="宋体"/>
                <w:szCs w:val="24"/>
                <w:highlight w:val="none"/>
              </w:rPr>
              <w:t>（具体以签订合同为准）</w:t>
            </w:r>
          </w:p>
          <w:p>
            <w:pPr>
              <w:spacing w:line="360" w:lineRule="auto"/>
              <w:ind w:firstLine="480" w:firstLineChars="200"/>
              <w:rPr>
                <w:highlight w:val="none"/>
              </w:rPr>
            </w:pPr>
            <w:r>
              <w:rPr>
                <w:rFonts w:hint="eastAsia"/>
                <w:highlight w:val="none"/>
              </w:rPr>
              <w:t>由甲方负责结算，在付款前，乙方必须开具全额发票给甲方，否则，甲方有权拒绝付款，无需承担任何责任，且乙方不得以此为由拒绝履行协议义务。</w:t>
            </w:r>
          </w:p>
          <w:p>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6</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服务支持：</w:t>
            </w:r>
          </w:p>
          <w:p>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7</w:t>
            </w:r>
          </w:p>
        </w:tc>
        <w:tc>
          <w:tcPr>
            <w:tcW w:w="8181" w:type="dxa"/>
            <w:vAlign w:val="center"/>
          </w:tcPr>
          <w:p>
            <w:pPr>
              <w:spacing w:line="360" w:lineRule="auto"/>
              <w:jc w:val="left"/>
              <w:rPr>
                <w:rFonts w:hAnsi="宋体" w:cs="宋体"/>
                <w:bCs/>
                <w:szCs w:val="21"/>
                <w:highlight w:val="none"/>
              </w:rPr>
            </w:pPr>
            <w:r>
              <w:rPr>
                <w:rFonts w:hint="eastAsia" w:hAnsi="宋体" w:cs="宋体"/>
                <w:b/>
                <w:bCs/>
                <w:szCs w:val="24"/>
                <w:highlight w:val="none"/>
              </w:rPr>
              <w:t>质量保证：符合甲方要求，完全响应磋商响应文件要求。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eastAsia" w:hAnsi="宋体" w:eastAsia="宋体" w:cs="宋体"/>
                <w:szCs w:val="24"/>
                <w:highlight w:val="none"/>
                <w:lang w:eastAsia="zh-CN"/>
              </w:rPr>
            </w:pPr>
            <w:r>
              <w:rPr>
                <w:rFonts w:hint="eastAsia" w:hAnsi="宋体" w:cs="宋体"/>
                <w:szCs w:val="24"/>
                <w:highlight w:val="none"/>
                <w:lang w:val="en-US" w:eastAsia="zh-CN"/>
              </w:rPr>
              <w:t>9</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1、按《民法典》中的相关条款执行。</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napToGrid w:val="0"/>
              <w:spacing w:line="360" w:lineRule="auto"/>
              <w:ind w:firstLine="480" w:firstLineChars="200"/>
              <w:rPr>
                <w:rFonts w:hint="eastAsia" w:hAnsi="宋体" w:cs="宋体"/>
                <w:szCs w:val="24"/>
                <w:highlight w:val="none"/>
              </w:rPr>
            </w:pPr>
            <w:r>
              <w:rPr>
                <w:rFonts w:hint="eastAsia" w:hAnsi="宋体" w:cs="宋体"/>
                <w:szCs w:val="24"/>
                <w:highlight w:val="none"/>
              </w:rPr>
              <w:t>3、由于“疫情”等不可抗力因素造成无法按照原计划提供服务，双方互不追究违约责任。</w:t>
            </w:r>
          </w:p>
          <w:p>
            <w:pPr>
              <w:snapToGrid w:val="0"/>
              <w:spacing w:line="360" w:lineRule="auto"/>
              <w:ind w:firstLine="480" w:firstLineChars="200"/>
              <w:rPr>
                <w:rFonts w:hAnsi="宋体" w:cs="宋体"/>
                <w:szCs w:val="24"/>
                <w:highlight w:val="none"/>
              </w:rPr>
            </w:pPr>
            <w:r>
              <w:rPr>
                <w:rFonts w:hint="eastAsia" w:hAnsi="宋体" w:cs="宋体"/>
                <w:szCs w:val="24"/>
                <w:highlight w:val="none"/>
              </w:rPr>
              <w:t>4、如有异议另行协商。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10</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政府采购合同适用合同法。采购人和供应商之间的权利和义务，应当按照平等、自愿的原则以合同方式约定。</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3"/>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pPr>
              <w:pStyle w:val="13"/>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int="default" w:hAnsi="宋体" w:eastAsia="宋体" w:cs="宋体"/>
                <w:szCs w:val="24"/>
                <w:highlight w:val="none"/>
                <w:lang w:val="en-US" w:eastAsia="zh-CN"/>
              </w:rPr>
            </w:pPr>
            <w:bookmarkStart w:id="86" w:name="_Toc423973075"/>
            <w:bookmarkStart w:id="87" w:name="_Toc389582037"/>
            <w:bookmarkStart w:id="88" w:name="_Toc4679"/>
            <w:bookmarkStart w:id="89" w:name="_Toc8333"/>
            <w:bookmarkStart w:id="90" w:name="_Toc19199"/>
            <w:bookmarkStart w:id="91" w:name="_Toc19246"/>
            <w:bookmarkStart w:id="92" w:name="_Toc31520"/>
            <w:bookmarkStart w:id="93" w:name="_Toc26595"/>
            <w:bookmarkStart w:id="94" w:name="_Toc29888"/>
            <w:r>
              <w:rPr>
                <w:rFonts w:hint="eastAsia" w:hAnsi="宋体" w:cs="宋体"/>
                <w:szCs w:val="24"/>
                <w:highlight w:val="none"/>
                <w:lang w:val="en-US" w:eastAsia="zh-CN"/>
              </w:rPr>
              <w:t>11</w:t>
            </w:r>
          </w:p>
        </w:tc>
        <w:tc>
          <w:tcPr>
            <w:tcW w:w="8181" w:type="dxa"/>
            <w:vAlign w:val="center"/>
          </w:tcPr>
          <w:p>
            <w:pPr>
              <w:pStyle w:val="13"/>
              <w:spacing w:line="360" w:lineRule="auto"/>
              <w:rPr>
                <w:rFonts w:hint="eastAsia" w:hAnsi="宋体" w:cs="宋体"/>
                <w:sz w:val="24"/>
                <w:szCs w:val="24"/>
                <w:highlight w:val="none"/>
                <w:lang w:eastAsia="zh-CN"/>
              </w:rPr>
            </w:pPr>
            <w:r>
              <w:rPr>
                <w:rFonts w:hint="eastAsia" w:hAnsi="宋体" w:cs="宋体"/>
                <w:sz w:val="24"/>
                <w:szCs w:val="24"/>
                <w:highlight w:val="none"/>
                <w:lang w:eastAsia="zh-CN"/>
              </w:rPr>
              <w:t>验收责任：</w:t>
            </w:r>
          </w:p>
          <w:p>
            <w:pPr>
              <w:bidi w:val="0"/>
              <w:spacing w:line="360" w:lineRule="auto"/>
              <w:jc w:val="left"/>
              <w:rPr>
                <w:rFonts w:hint="eastAsia"/>
                <w:highlight w:val="none"/>
                <w:lang w:eastAsia="zh-CN"/>
              </w:rPr>
            </w:pPr>
            <w:r>
              <w:rPr>
                <w:rFonts w:hint="eastAsia"/>
                <w:highlight w:val="none"/>
                <w:lang w:eastAsia="zh-CN"/>
              </w:rPr>
              <w:t>1、服务期满后按照成交供应商所提供的资料及数据进行验收；</w:t>
            </w:r>
          </w:p>
          <w:p>
            <w:pPr>
              <w:bidi w:val="0"/>
              <w:spacing w:line="360" w:lineRule="auto"/>
              <w:jc w:val="left"/>
              <w:rPr>
                <w:rFonts w:hint="eastAsia"/>
                <w:highlight w:val="none"/>
                <w:lang w:eastAsia="zh-CN"/>
              </w:rPr>
            </w:pPr>
            <w:r>
              <w:rPr>
                <w:rFonts w:hint="eastAsia"/>
                <w:highlight w:val="none"/>
                <w:lang w:eastAsia="zh-CN"/>
              </w:rPr>
              <w:t>2、最终验收：自合同签订之日起至完成全部项目内容，需按照采购人确定的时间完成交付并验收合格，验收合格后，填写验收单。</w:t>
            </w:r>
          </w:p>
          <w:p>
            <w:pPr>
              <w:bidi w:val="0"/>
              <w:spacing w:line="360" w:lineRule="auto"/>
              <w:jc w:val="left"/>
              <w:rPr>
                <w:rFonts w:hint="eastAsia"/>
                <w:highlight w:val="none"/>
                <w:lang w:eastAsia="zh-CN"/>
              </w:rPr>
            </w:pPr>
            <w:r>
              <w:rPr>
                <w:rFonts w:hint="eastAsia"/>
                <w:highlight w:val="none"/>
                <w:lang w:eastAsia="zh-CN"/>
              </w:rPr>
              <w:t>3、验收和评价方式</w:t>
            </w:r>
          </w:p>
          <w:p>
            <w:pPr>
              <w:bidi w:val="0"/>
              <w:spacing w:line="360" w:lineRule="auto"/>
              <w:jc w:val="left"/>
              <w:rPr>
                <w:rFonts w:hint="eastAsia"/>
                <w:highlight w:val="none"/>
                <w:lang w:eastAsia="zh-CN"/>
              </w:rPr>
            </w:pPr>
            <w:r>
              <w:rPr>
                <w:rFonts w:hint="eastAsia"/>
                <w:highlight w:val="none"/>
                <w:lang w:eastAsia="zh-CN"/>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bidi w:val="0"/>
              <w:spacing w:line="360" w:lineRule="auto"/>
              <w:jc w:val="left"/>
              <w:rPr>
                <w:rFonts w:hint="eastAsia"/>
                <w:highlight w:val="none"/>
                <w:lang w:eastAsia="zh-CN"/>
              </w:rPr>
            </w:pPr>
            <w:r>
              <w:rPr>
                <w:rFonts w:hint="eastAsia"/>
                <w:highlight w:val="none"/>
                <w:lang w:eastAsia="zh-CN"/>
              </w:rPr>
              <w:t>3.2  若发现乙方有弄虚作假的，及在项目实施阶段故意或随意夸大服务，本项目合同解除，乙方赔偿甲方相应的损失。</w:t>
            </w:r>
          </w:p>
          <w:p>
            <w:pPr>
              <w:bidi w:val="0"/>
              <w:spacing w:line="360" w:lineRule="auto"/>
              <w:jc w:val="left"/>
              <w:rPr>
                <w:rFonts w:hint="eastAsia"/>
                <w:highlight w:val="none"/>
                <w:lang w:eastAsia="zh-CN"/>
              </w:rPr>
            </w:pPr>
            <w:r>
              <w:rPr>
                <w:rFonts w:hint="eastAsia"/>
                <w:highlight w:val="none"/>
                <w:lang w:eastAsia="zh-CN"/>
              </w:rPr>
              <w:t>3.3  验收标准：按磋商文件、磋商响应文件等服务指标进行逐项验收，各项指标均应符合验收标准及要求。</w:t>
            </w:r>
          </w:p>
          <w:p>
            <w:pPr>
              <w:bidi w:val="0"/>
              <w:spacing w:line="360" w:lineRule="auto"/>
              <w:jc w:val="left"/>
              <w:rPr>
                <w:rFonts w:hint="eastAsia"/>
                <w:highlight w:val="none"/>
                <w:lang w:eastAsia="zh-CN"/>
              </w:rPr>
            </w:pPr>
            <w:r>
              <w:rPr>
                <w:rFonts w:hint="eastAsia"/>
                <w:highlight w:val="none"/>
                <w:lang w:eastAsia="zh-CN"/>
              </w:rPr>
              <w:t>3.4  验收合格后，填写验收单，双方盖章、签字生效。</w:t>
            </w:r>
          </w:p>
          <w:p>
            <w:pPr>
              <w:bidi w:val="0"/>
              <w:spacing w:line="360" w:lineRule="auto"/>
              <w:jc w:val="left"/>
              <w:rPr>
                <w:rFonts w:hint="eastAsia"/>
                <w:highlight w:val="none"/>
                <w:lang w:eastAsia="zh-CN"/>
              </w:rPr>
            </w:pPr>
            <w:r>
              <w:rPr>
                <w:rFonts w:hint="eastAsia"/>
                <w:highlight w:val="none"/>
                <w:lang w:eastAsia="zh-CN"/>
              </w:rPr>
              <w:t>3.5  验收依据</w:t>
            </w:r>
          </w:p>
          <w:p>
            <w:pPr>
              <w:bidi w:val="0"/>
              <w:spacing w:line="360" w:lineRule="auto"/>
              <w:jc w:val="left"/>
              <w:rPr>
                <w:rFonts w:hint="eastAsia"/>
                <w:highlight w:val="none"/>
                <w:lang w:eastAsia="zh-CN"/>
              </w:rPr>
            </w:pPr>
            <w:r>
              <w:rPr>
                <w:rFonts w:hint="eastAsia"/>
                <w:highlight w:val="none"/>
                <w:lang w:eastAsia="zh-CN"/>
              </w:rPr>
              <w:t>3.5.1  合同文本。</w:t>
            </w:r>
          </w:p>
          <w:p>
            <w:pPr>
              <w:bidi w:val="0"/>
              <w:spacing w:line="360" w:lineRule="auto"/>
              <w:jc w:val="left"/>
              <w:rPr>
                <w:rFonts w:hint="eastAsia"/>
                <w:highlight w:val="none"/>
                <w:lang w:eastAsia="zh-CN"/>
              </w:rPr>
            </w:pPr>
            <w:r>
              <w:rPr>
                <w:rFonts w:hint="eastAsia"/>
                <w:highlight w:val="none"/>
                <w:lang w:eastAsia="zh-CN"/>
              </w:rPr>
              <w:t>3.5.2  磋商响应文件、磋商文件、澄清函。</w:t>
            </w:r>
          </w:p>
          <w:p>
            <w:pPr>
              <w:bidi w:val="0"/>
              <w:spacing w:line="360" w:lineRule="auto"/>
              <w:jc w:val="left"/>
              <w:rPr>
                <w:rFonts w:hint="eastAsia"/>
                <w:highlight w:val="none"/>
                <w:lang w:eastAsia="zh-CN"/>
              </w:rPr>
            </w:pPr>
            <w:r>
              <w:rPr>
                <w:rFonts w:hint="eastAsia"/>
                <w:highlight w:val="none"/>
                <w:lang w:eastAsia="zh-CN"/>
              </w:rPr>
              <w:t>3.5.3  国家和行业制定的相应的标准和规范。</w:t>
            </w:r>
          </w:p>
        </w:tc>
      </w:tr>
    </w:tbl>
    <w:p>
      <w:pPr>
        <w:rPr>
          <w:rFonts w:hAnsi="宋体" w:cs="宋体"/>
          <w:sz w:val="32"/>
          <w:highlight w:val="none"/>
        </w:rPr>
      </w:pPr>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1"/>
        <w:rPr>
          <w:rFonts w:hAnsi="宋体" w:cs="宋体"/>
          <w:b/>
          <w:sz w:val="32"/>
          <w:szCs w:val="32"/>
          <w:highlight w:val="none"/>
        </w:rPr>
      </w:pPr>
      <w:bookmarkStart w:id="95" w:name="_Toc7874"/>
      <w:bookmarkStart w:id="96" w:name="_Toc28375"/>
      <w:bookmarkStart w:id="97" w:name="_Toc5216"/>
      <w:bookmarkStart w:id="98" w:name="_Toc1362"/>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95"/>
      <w:bookmarkEnd w:id="96"/>
      <w:bookmarkEnd w:id="97"/>
      <w:bookmarkEnd w:id="98"/>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（项目编号</w:t>
      </w:r>
      <w:r>
        <w:rPr>
          <w:rFonts w:hint="eastAsia" w:hAnsi="宋体" w:cs="宋体"/>
          <w:sz w:val="30"/>
          <w:szCs w:val="30"/>
          <w:highlight w:val="none"/>
          <w:lang w:eastAsia="zh-CN"/>
        </w:rPr>
        <w:t>：</w:t>
      </w:r>
      <w:r>
        <w:rPr>
          <w:rFonts w:hint="eastAsia" w:hAnsi="宋体" w:cs="宋体"/>
          <w:sz w:val="30"/>
          <w:szCs w:val="30"/>
          <w:highlight w:val="none"/>
        </w:rPr>
        <w:t xml:space="preserve">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  日</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2"/>
        <w:rPr>
          <w:rFonts w:ascii="黑体"/>
          <w:b/>
          <w:sz w:val="36"/>
          <w:szCs w:val="36"/>
          <w:highlight w:val="none"/>
        </w:rPr>
      </w:pPr>
      <w:r>
        <w:rPr>
          <w:rFonts w:hint="eastAsia" w:hAnsi="宋体" w:cs="宋体"/>
          <w:b/>
          <w:szCs w:val="21"/>
          <w:highlight w:val="none"/>
        </w:rPr>
        <w:br w:type="page"/>
      </w:r>
      <w:bookmarkStart w:id="99" w:name="_Toc32529"/>
      <w:bookmarkStart w:id="100" w:name="_Toc28398"/>
      <w:r>
        <w:rPr>
          <w:rFonts w:hint="eastAsia" w:ascii="黑体" w:eastAsia="黑体"/>
          <w:b/>
          <w:sz w:val="36"/>
          <w:szCs w:val="36"/>
          <w:highlight w:val="none"/>
        </w:rPr>
        <w:t>协 议 书</w:t>
      </w:r>
      <w:bookmarkEnd w:id="99"/>
      <w:bookmarkEnd w:id="100"/>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根据《中华人民共和国民法典》、《中华人民共和国政府采购法》与项目行业有关的法律法规，以及本项目《</w:t>
      </w:r>
      <w:r>
        <w:rPr>
          <w:rFonts w:hint="eastAsia" w:hAnsi="宋体" w:cs="宋体"/>
          <w:szCs w:val="21"/>
          <w:highlight w:val="none"/>
          <w:lang w:eastAsia="zh-CN"/>
        </w:rPr>
        <w:t>西安市商务局关于2022年会议会展产业中高级人才培训班项目</w:t>
      </w:r>
      <w:r>
        <w:rPr>
          <w:rFonts w:hint="eastAsia" w:hAnsi="宋体" w:cs="宋体"/>
          <w:szCs w:val="21"/>
          <w:highlight w:val="none"/>
        </w:rPr>
        <w:t>》相关采购要求的规定，合同双方就乙方向采购方提供《</w:t>
      </w:r>
      <w:r>
        <w:rPr>
          <w:rFonts w:hint="eastAsia" w:hAnsi="宋体" w:cs="宋体"/>
          <w:szCs w:val="21"/>
          <w:highlight w:val="none"/>
          <w:lang w:eastAsia="zh-CN"/>
        </w:rPr>
        <w:t>西安市商务局关于2022年会议会展产业中高级人才培训班项目</w:t>
      </w:r>
      <w:r>
        <w:rPr>
          <w:rFonts w:hint="eastAsia" w:hAnsi="宋体" w:cs="宋体"/>
          <w:szCs w:val="21"/>
          <w:highlight w:val="none"/>
        </w:rPr>
        <w:t>》协商达成一致，确立本合同。</w:t>
      </w:r>
    </w:p>
    <w:p>
      <w:pPr>
        <w:tabs>
          <w:tab w:val="left" w:pos="480"/>
        </w:tabs>
        <w:spacing w:line="360" w:lineRule="auto"/>
        <w:outlineLvl w:val="1"/>
        <w:rPr>
          <w:rFonts w:hAnsi="宋体" w:cs="宋体"/>
          <w:b/>
          <w:szCs w:val="21"/>
          <w:highlight w:val="none"/>
        </w:rPr>
      </w:pPr>
      <w:bookmarkStart w:id="101" w:name="_Toc30883"/>
      <w:bookmarkStart w:id="102" w:name="_Toc8841"/>
      <w:bookmarkStart w:id="103" w:name="_Toc3164"/>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1"/>
      <w:bookmarkEnd w:id="102"/>
      <w:bookmarkEnd w:id="103"/>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1"/>
        <w:rPr>
          <w:rFonts w:hAnsi="宋体" w:cs="宋体"/>
          <w:b/>
          <w:szCs w:val="21"/>
          <w:highlight w:val="none"/>
        </w:rPr>
      </w:pPr>
      <w:bookmarkStart w:id="104" w:name="_Toc3926"/>
      <w:bookmarkStart w:id="105" w:name="_Toc8066"/>
      <w:bookmarkStart w:id="106" w:name="_Toc4137"/>
      <w:r>
        <w:rPr>
          <w:rFonts w:hint="eastAsia" w:hAnsi="宋体" w:cs="宋体"/>
          <w:b/>
          <w:szCs w:val="21"/>
          <w:highlight w:val="none"/>
        </w:rPr>
        <w:t>二、合同价款</w:t>
      </w:r>
      <w:bookmarkEnd w:id="104"/>
      <w:bookmarkEnd w:id="105"/>
      <w:bookmarkEnd w:id="106"/>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int="eastAsia" w:hAnsi="宋体" w:eastAsia="宋体" w:cs="宋体"/>
          <w:szCs w:val="21"/>
          <w:highlight w:val="none"/>
          <w:lang w:eastAsia="zh-CN"/>
        </w:rPr>
      </w:pPr>
      <w:r>
        <w:rPr>
          <w:rFonts w:hint="eastAsia" w:hAnsi="宋体" w:cs="宋体"/>
          <w:szCs w:val="21"/>
          <w:highlight w:val="none"/>
        </w:rPr>
        <w:t>（二）合同价包括：包括</w:t>
      </w:r>
      <w:r>
        <w:rPr>
          <w:rFonts w:hint="eastAsia" w:hAnsi="宋体" w:cs="宋体"/>
          <w:szCs w:val="21"/>
          <w:highlight w:val="none"/>
          <w:lang w:eastAsia="zh-CN"/>
        </w:rPr>
        <w:t>包括但不限于策划费、场地费、培训及附带服务费、招标代理服务费、税金等其他一切相关费用。</w:t>
      </w:r>
    </w:p>
    <w:p>
      <w:pPr>
        <w:tabs>
          <w:tab w:val="left" w:pos="480"/>
        </w:tabs>
        <w:spacing w:line="360" w:lineRule="auto"/>
        <w:outlineLvl w:val="1"/>
        <w:rPr>
          <w:rFonts w:hAnsi="宋体" w:cs="宋体"/>
          <w:b/>
          <w:szCs w:val="21"/>
          <w:highlight w:val="none"/>
        </w:rPr>
      </w:pPr>
      <w:bookmarkStart w:id="107" w:name="_Toc23247"/>
      <w:bookmarkStart w:id="108" w:name="_Toc28664"/>
      <w:bookmarkStart w:id="109" w:name="_Toc5678"/>
      <w:r>
        <w:rPr>
          <w:rFonts w:hint="eastAsia" w:hAnsi="宋体" w:cs="宋体"/>
          <w:b/>
          <w:szCs w:val="21"/>
          <w:highlight w:val="none"/>
        </w:rPr>
        <w:t>三、款项结算</w:t>
      </w:r>
      <w:bookmarkEnd w:id="107"/>
      <w:bookmarkEnd w:id="108"/>
      <w:bookmarkEnd w:id="10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pPr>
        <w:tabs>
          <w:tab w:val="left" w:pos="480"/>
        </w:tabs>
        <w:spacing w:line="360" w:lineRule="auto"/>
        <w:outlineLvl w:val="1"/>
        <w:rPr>
          <w:rFonts w:hAnsi="宋体" w:cs="宋体"/>
          <w:szCs w:val="21"/>
          <w:highlight w:val="none"/>
        </w:rPr>
      </w:pPr>
      <w:bookmarkStart w:id="110" w:name="_Toc24406"/>
      <w:bookmarkStart w:id="111" w:name="_Toc15939"/>
      <w:bookmarkStart w:id="112" w:name="_Toc21714"/>
      <w:r>
        <w:rPr>
          <w:rFonts w:hint="eastAsia" w:hAnsi="宋体" w:cs="宋体"/>
          <w:b/>
          <w:szCs w:val="21"/>
          <w:highlight w:val="none"/>
        </w:rPr>
        <w:t>四、服务条件：</w:t>
      </w:r>
      <w:bookmarkEnd w:id="110"/>
      <w:bookmarkEnd w:id="111"/>
      <w:bookmarkEnd w:id="112"/>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（二）服务期：自合同签订之日起</w:t>
      </w:r>
      <w:r>
        <w:rPr>
          <w:rFonts w:hint="eastAsia" w:hAnsi="宋体" w:cs="宋体"/>
          <w:szCs w:val="21"/>
          <w:highlight w:val="none"/>
          <w:u w:val="single"/>
        </w:rPr>
        <w:t xml:space="preserve">               </w:t>
      </w:r>
      <w:r>
        <w:rPr>
          <w:rFonts w:hint="eastAsia" w:hAnsi="宋体" w:cs="宋体"/>
          <w:szCs w:val="21"/>
          <w:highlight w:val="none"/>
        </w:rPr>
        <w:t>。</w:t>
      </w:r>
    </w:p>
    <w:p>
      <w:pPr>
        <w:spacing w:line="360" w:lineRule="auto"/>
        <w:ind w:firstLine="480" w:firstLineChars="200"/>
        <w:rPr>
          <w:i/>
          <w:iCs/>
          <w:highlight w:val="none"/>
          <w:u w:val="single"/>
        </w:rPr>
      </w:pPr>
      <w:bookmarkStart w:id="113" w:name="_Toc27382"/>
      <w:bookmarkStart w:id="114" w:name="_Toc7966"/>
      <w:r>
        <w:rPr>
          <w:rFonts w:hint="eastAsia"/>
          <w:highlight w:val="none"/>
        </w:rPr>
        <w:t>（三）项目负责人：</w:t>
      </w:r>
      <w:r>
        <w:rPr>
          <w:rFonts w:hint="eastAsia"/>
          <w:i/>
          <w:iCs/>
          <w:highlight w:val="none"/>
          <w:u w:val="single"/>
        </w:rPr>
        <w:t xml:space="preserve">                            。</w:t>
      </w:r>
    </w:p>
    <w:p>
      <w:pPr>
        <w:spacing w:line="360" w:lineRule="auto"/>
        <w:ind w:firstLine="480"/>
        <w:rPr>
          <w:rFonts w:hAnsi="宋体" w:cs="宋体"/>
          <w:b/>
          <w:szCs w:val="21"/>
          <w:highlight w:val="none"/>
        </w:rPr>
      </w:pPr>
      <w:r>
        <w:rPr>
          <w:rFonts w:hint="eastAsia" w:hAnsi="宋体" w:cs="宋体"/>
          <w:b/>
          <w:szCs w:val="21"/>
          <w:highlight w:val="none"/>
        </w:rPr>
        <w:t>五、质量保</w:t>
      </w:r>
      <w:bookmarkEnd w:id="113"/>
      <w:bookmarkEnd w:id="114"/>
      <w:r>
        <w:rPr>
          <w:rFonts w:hint="eastAsia" w:hAnsi="宋体" w:cs="宋体"/>
          <w:b/>
          <w:szCs w:val="21"/>
          <w:highlight w:val="none"/>
        </w:rPr>
        <w:t>障</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pPr>
        <w:spacing w:line="360" w:lineRule="auto"/>
        <w:ind w:firstLine="480" w:firstLineChars="200"/>
        <w:rPr>
          <w:highlight w:val="none"/>
        </w:rPr>
      </w:pPr>
      <w:bookmarkStart w:id="115" w:name="_Toc12558"/>
      <w:bookmarkStart w:id="116" w:name="_Toc21314"/>
      <w:r>
        <w:rPr>
          <w:rFonts w:hint="eastAsia"/>
          <w:highlight w:val="none"/>
        </w:rPr>
        <w:t>3、符合甲方要求，并通过验收。</w:t>
      </w:r>
    </w:p>
    <w:p>
      <w:pPr>
        <w:tabs>
          <w:tab w:val="left" w:pos="480"/>
        </w:tabs>
        <w:spacing w:line="360" w:lineRule="auto"/>
        <w:outlineLvl w:val="1"/>
        <w:rPr>
          <w:rFonts w:hAnsi="宋体" w:cs="宋体"/>
          <w:b/>
          <w:szCs w:val="21"/>
          <w:highlight w:val="none"/>
        </w:rPr>
      </w:pPr>
      <w:bookmarkStart w:id="117" w:name="_Toc3171"/>
      <w:r>
        <w:rPr>
          <w:rFonts w:hint="eastAsia" w:hAnsi="宋体" w:cs="宋体"/>
          <w:b/>
          <w:szCs w:val="21"/>
          <w:highlight w:val="none"/>
        </w:rPr>
        <w:t>六、技术与服务</w:t>
      </w:r>
      <w:bookmarkEnd w:id="115"/>
      <w:bookmarkEnd w:id="116"/>
      <w:bookmarkEnd w:id="117"/>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1"/>
        <w:rPr>
          <w:rFonts w:hAnsi="宋体" w:cs="宋体"/>
          <w:b/>
          <w:szCs w:val="21"/>
          <w:highlight w:val="none"/>
        </w:rPr>
      </w:pPr>
      <w:bookmarkStart w:id="118" w:name="_Toc20183"/>
      <w:bookmarkStart w:id="119" w:name="_Toc12975"/>
      <w:bookmarkStart w:id="120" w:name="_Toc22161"/>
      <w:r>
        <w:rPr>
          <w:rFonts w:hint="eastAsia" w:hAnsi="宋体" w:cs="宋体"/>
          <w:b/>
          <w:szCs w:val="21"/>
          <w:highlight w:val="none"/>
        </w:rPr>
        <w:t>七、验收</w:t>
      </w:r>
      <w:bookmarkEnd w:id="118"/>
      <w:bookmarkEnd w:id="119"/>
      <w:bookmarkEnd w:id="120"/>
    </w:p>
    <w:p>
      <w:pPr>
        <w:tabs>
          <w:tab w:val="left" w:pos="480"/>
        </w:tabs>
        <w:spacing w:line="360" w:lineRule="auto"/>
        <w:ind w:firstLine="240" w:firstLineChars="100"/>
        <w:outlineLvl w:val="1"/>
        <w:rPr>
          <w:rFonts w:hint="eastAsia"/>
          <w:highlight w:val="none"/>
        </w:rPr>
      </w:pPr>
      <w:bookmarkStart w:id="121" w:name="_Toc9858"/>
      <w:bookmarkStart w:id="122" w:name="_Toc16693"/>
      <w:bookmarkStart w:id="123" w:name="_Toc20026"/>
      <w:r>
        <w:rPr>
          <w:rFonts w:hint="eastAsia"/>
          <w:highlight w:val="none"/>
        </w:rPr>
        <w:t>（1）服务期满后按照成交供应商所提供的资料及数据进行验收；</w:t>
      </w:r>
    </w:p>
    <w:p>
      <w:pPr>
        <w:tabs>
          <w:tab w:val="left" w:pos="480"/>
        </w:tabs>
        <w:spacing w:line="360" w:lineRule="auto"/>
        <w:ind w:firstLine="240" w:firstLineChars="100"/>
        <w:outlineLvl w:val="1"/>
        <w:rPr>
          <w:rFonts w:hint="eastAsia"/>
          <w:highlight w:val="none"/>
        </w:rPr>
      </w:pPr>
      <w:r>
        <w:rPr>
          <w:rFonts w:hint="eastAsia"/>
          <w:highlight w:val="none"/>
        </w:rPr>
        <w:t>（2）最终验收：自合同签订之日起至完成全部项目内容，需按照采购人确定的时间完成交付并验收合格，验收合格后，填写验收单。</w:t>
      </w:r>
    </w:p>
    <w:p>
      <w:pPr>
        <w:tabs>
          <w:tab w:val="left" w:pos="480"/>
        </w:tabs>
        <w:spacing w:line="360" w:lineRule="auto"/>
        <w:ind w:firstLine="240" w:firstLineChars="100"/>
        <w:outlineLvl w:val="1"/>
        <w:rPr>
          <w:rFonts w:hint="eastAsia"/>
          <w:highlight w:val="none"/>
        </w:rPr>
      </w:pPr>
      <w:r>
        <w:rPr>
          <w:rFonts w:hint="eastAsia"/>
          <w:highlight w:val="none"/>
        </w:rPr>
        <w:t>（3）验收和评价方式：</w:t>
      </w:r>
    </w:p>
    <w:p>
      <w:pPr>
        <w:tabs>
          <w:tab w:val="left" w:pos="480"/>
        </w:tabs>
        <w:spacing w:line="360" w:lineRule="auto"/>
        <w:ind w:firstLine="480" w:firstLineChars="200"/>
        <w:outlineLvl w:val="1"/>
        <w:rPr>
          <w:rFonts w:hint="eastAsia"/>
          <w:highlight w:val="none"/>
        </w:rPr>
      </w:pPr>
      <w:r>
        <w:rPr>
          <w:rFonts w:hint="eastAsia"/>
          <w:highlight w:val="none"/>
        </w:rPr>
        <w:t>1、服务期满后按照成交供应商所提供的资料及数据进行验收；</w:t>
      </w:r>
    </w:p>
    <w:p>
      <w:pPr>
        <w:tabs>
          <w:tab w:val="left" w:pos="480"/>
        </w:tabs>
        <w:spacing w:line="360" w:lineRule="auto"/>
        <w:ind w:firstLine="480" w:firstLineChars="200"/>
        <w:outlineLvl w:val="1"/>
        <w:rPr>
          <w:rFonts w:hint="eastAsia"/>
          <w:highlight w:val="none"/>
        </w:rPr>
      </w:pPr>
      <w:r>
        <w:rPr>
          <w:rFonts w:hint="eastAsia"/>
          <w:highlight w:val="none"/>
        </w:rPr>
        <w:t>2、最终验收：自合同签订之日起至完成全部项目内容，需按照采购人确定的时间完成交付并验收合格，验收合格后，填写验收单。</w:t>
      </w:r>
    </w:p>
    <w:p>
      <w:pPr>
        <w:tabs>
          <w:tab w:val="left" w:pos="480"/>
        </w:tabs>
        <w:spacing w:line="360" w:lineRule="auto"/>
        <w:ind w:firstLine="480" w:firstLineChars="200"/>
        <w:outlineLvl w:val="1"/>
        <w:rPr>
          <w:rFonts w:hint="eastAsia"/>
          <w:highlight w:val="none"/>
        </w:rPr>
      </w:pPr>
      <w:r>
        <w:rPr>
          <w:rFonts w:hint="eastAsia"/>
          <w:highlight w:val="none"/>
        </w:rPr>
        <w:t>3、验收和评价方式</w:t>
      </w:r>
    </w:p>
    <w:p>
      <w:pPr>
        <w:tabs>
          <w:tab w:val="left" w:pos="480"/>
        </w:tabs>
        <w:spacing w:line="360" w:lineRule="auto"/>
        <w:ind w:firstLine="480" w:firstLineChars="200"/>
        <w:outlineLvl w:val="1"/>
        <w:rPr>
          <w:rFonts w:hint="eastAsia"/>
          <w:highlight w:val="none"/>
        </w:rPr>
      </w:pPr>
      <w:r>
        <w:rPr>
          <w:rFonts w:hint="eastAsia"/>
          <w:highlight w:val="none"/>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pPr>
        <w:tabs>
          <w:tab w:val="left" w:pos="480"/>
        </w:tabs>
        <w:spacing w:line="360" w:lineRule="auto"/>
        <w:ind w:firstLine="480" w:firstLineChars="200"/>
        <w:outlineLvl w:val="1"/>
        <w:rPr>
          <w:rFonts w:hint="eastAsia"/>
          <w:highlight w:val="none"/>
        </w:rPr>
      </w:pPr>
      <w:r>
        <w:rPr>
          <w:rFonts w:hint="eastAsia"/>
          <w:highlight w:val="none"/>
        </w:rPr>
        <w:t>3.2  若发现乙方有弄虚作假的，及在项目实施阶段故意或随意夸大服务，本项目合同解除，乙方赔偿甲方相应的损失。</w:t>
      </w:r>
    </w:p>
    <w:p>
      <w:pPr>
        <w:tabs>
          <w:tab w:val="left" w:pos="480"/>
        </w:tabs>
        <w:spacing w:line="360" w:lineRule="auto"/>
        <w:ind w:firstLine="480" w:firstLineChars="200"/>
        <w:outlineLvl w:val="1"/>
        <w:rPr>
          <w:rFonts w:hint="eastAsia"/>
          <w:highlight w:val="none"/>
        </w:rPr>
      </w:pPr>
      <w:r>
        <w:rPr>
          <w:rFonts w:hint="eastAsia"/>
          <w:highlight w:val="none"/>
        </w:rPr>
        <w:t>3.3  验收标准：按磋商文件、磋商响应文件等服务指标进行逐项验收，各项指标均应符合验收标准及要求。</w:t>
      </w:r>
    </w:p>
    <w:p>
      <w:pPr>
        <w:tabs>
          <w:tab w:val="left" w:pos="480"/>
        </w:tabs>
        <w:spacing w:line="360" w:lineRule="auto"/>
        <w:ind w:firstLine="480" w:firstLineChars="200"/>
        <w:outlineLvl w:val="1"/>
        <w:rPr>
          <w:rFonts w:hint="eastAsia"/>
          <w:highlight w:val="none"/>
        </w:rPr>
      </w:pPr>
      <w:r>
        <w:rPr>
          <w:rFonts w:hint="eastAsia"/>
          <w:highlight w:val="none"/>
        </w:rPr>
        <w:t>3.4  验收合格后，填写验收单，双方盖章、签字生效。</w:t>
      </w:r>
    </w:p>
    <w:p>
      <w:pPr>
        <w:tabs>
          <w:tab w:val="left" w:pos="480"/>
        </w:tabs>
        <w:spacing w:line="360" w:lineRule="auto"/>
        <w:ind w:firstLine="480" w:firstLineChars="200"/>
        <w:outlineLvl w:val="1"/>
        <w:rPr>
          <w:rFonts w:hint="eastAsia"/>
          <w:highlight w:val="none"/>
        </w:rPr>
      </w:pPr>
      <w:r>
        <w:rPr>
          <w:rFonts w:hint="eastAsia"/>
          <w:highlight w:val="none"/>
        </w:rPr>
        <w:t>3.5  验收依据</w:t>
      </w:r>
    </w:p>
    <w:p>
      <w:pPr>
        <w:tabs>
          <w:tab w:val="left" w:pos="480"/>
        </w:tabs>
        <w:spacing w:line="360" w:lineRule="auto"/>
        <w:ind w:firstLine="480" w:firstLineChars="200"/>
        <w:outlineLvl w:val="1"/>
        <w:rPr>
          <w:rFonts w:hint="eastAsia"/>
          <w:highlight w:val="none"/>
        </w:rPr>
      </w:pPr>
      <w:r>
        <w:rPr>
          <w:rFonts w:hint="eastAsia"/>
          <w:highlight w:val="none"/>
        </w:rPr>
        <w:t>3.5.1  合同文本。</w:t>
      </w:r>
    </w:p>
    <w:p>
      <w:pPr>
        <w:tabs>
          <w:tab w:val="left" w:pos="480"/>
        </w:tabs>
        <w:spacing w:line="360" w:lineRule="auto"/>
        <w:ind w:firstLine="480" w:firstLineChars="200"/>
        <w:outlineLvl w:val="1"/>
        <w:rPr>
          <w:rFonts w:hint="eastAsia"/>
          <w:highlight w:val="none"/>
        </w:rPr>
      </w:pPr>
      <w:r>
        <w:rPr>
          <w:rFonts w:hint="eastAsia"/>
          <w:highlight w:val="none"/>
        </w:rPr>
        <w:t>3.5.2  磋商响应文件、磋商文件、澄清函。</w:t>
      </w:r>
    </w:p>
    <w:p>
      <w:pPr>
        <w:tabs>
          <w:tab w:val="left" w:pos="480"/>
        </w:tabs>
        <w:spacing w:line="360" w:lineRule="auto"/>
        <w:ind w:firstLine="480" w:firstLineChars="200"/>
        <w:outlineLvl w:val="1"/>
        <w:rPr>
          <w:rFonts w:hint="eastAsia"/>
          <w:highlight w:val="none"/>
        </w:rPr>
      </w:pPr>
      <w:r>
        <w:rPr>
          <w:rFonts w:hint="eastAsia"/>
          <w:highlight w:val="none"/>
        </w:rPr>
        <w:t>3.5.3  国家和行业制定的相应的标准和规范。</w:t>
      </w:r>
    </w:p>
    <w:p>
      <w:pPr>
        <w:tabs>
          <w:tab w:val="left" w:pos="480"/>
        </w:tabs>
        <w:spacing w:line="360" w:lineRule="auto"/>
        <w:outlineLvl w:val="1"/>
        <w:rPr>
          <w:rFonts w:hAnsi="宋体" w:cs="宋体"/>
          <w:b/>
          <w:szCs w:val="21"/>
          <w:highlight w:val="none"/>
        </w:rPr>
      </w:pPr>
      <w:r>
        <w:rPr>
          <w:rFonts w:hint="eastAsia" w:hAnsi="宋体" w:cs="宋体"/>
          <w:b/>
          <w:szCs w:val="21"/>
          <w:highlight w:val="none"/>
        </w:rPr>
        <w:t>八、违约责任</w:t>
      </w:r>
      <w:bookmarkEnd w:id="121"/>
      <w:bookmarkEnd w:id="122"/>
      <w:bookmarkEnd w:id="123"/>
    </w:p>
    <w:p>
      <w:pPr>
        <w:tabs>
          <w:tab w:val="left" w:pos="480"/>
        </w:tabs>
        <w:spacing w:line="360" w:lineRule="auto"/>
        <w:ind w:firstLine="480" w:firstLineChars="200"/>
        <w:outlineLvl w:val="1"/>
        <w:rPr>
          <w:rFonts w:hint="eastAsia" w:hAnsi="宋体" w:cs="宋体"/>
          <w:szCs w:val="21"/>
          <w:highlight w:val="none"/>
        </w:rPr>
      </w:pPr>
      <w:bookmarkStart w:id="124" w:name="_Toc13662"/>
      <w:bookmarkStart w:id="125" w:name="_Toc15454"/>
      <w:bookmarkStart w:id="126" w:name="_Toc15856"/>
      <w:r>
        <w:rPr>
          <w:rFonts w:hint="eastAsia" w:hAnsi="宋体" w:cs="宋体"/>
          <w:szCs w:val="21"/>
          <w:highlight w:val="none"/>
        </w:rPr>
        <w:t>1、按《民法典》中的相关条款执行。</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3、由于“疫情”等不可抗力因素造成无法按照原计划提供服务，双方互不追究违约责任。</w:t>
      </w:r>
    </w:p>
    <w:p>
      <w:pPr>
        <w:tabs>
          <w:tab w:val="left" w:pos="480"/>
        </w:tabs>
        <w:spacing w:line="360" w:lineRule="auto"/>
        <w:ind w:firstLine="480" w:firstLineChars="200"/>
        <w:outlineLvl w:val="1"/>
        <w:rPr>
          <w:rFonts w:hint="eastAsia" w:hAnsi="宋体" w:cs="宋体"/>
          <w:szCs w:val="21"/>
          <w:highlight w:val="none"/>
        </w:rPr>
      </w:pPr>
      <w:r>
        <w:rPr>
          <w:rFonts w:hint="eastAsia" w:hAnsi="宋体" w:cs="宋体"/>
          <w:szCs w:val="21"/>
          <w:highlight w:val="none"/>
        </w:rPr>
        <w:t>4、如有异议另行协商。</w:t>
      </w:r>
    </w:p>
    <w:p>
      <w:pPr>
        <w:tabs>
          <w:tab w:val="left" w:pos="480"/>
        </w:tabs>
        <w:spacing w:line="360" w:lineRule="auto"/>
        <w:outlineLvl w:val="1"/>
        <w:rPr>
          <w:rFonts w:hAnsi="宋体" w:cs="宋体"/>
          <w:b/>
          <w:szCs w:val="21"/>
          <w:highlight w:val="none"/>
        </w:rPr>
      </w:pPr>
      <w:r>
        <w:rPr>
          <w:rFonts w:hint="eastAsia" w:hAnsi="宋体" w:cs="宋体"/>
          <w:b/>
          <w:szCs w:val="21"/>
          <w:highlight w:val="none"/>
        </w:rPr>
        <w:t>九、合同争议解决的方式</w:t>
      </w:r>
      <w:bookmarkEnd w:id="124"/>
      <w:bookmarkEnd w:id="125"/>
      <w:bookmarkEnd w:id="126"/>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tabs>
          <w:tab w:val="left" w:pos="480"/>
        </w:tabs>
        <w:spacing w:line="360" w:lineRule="auto"/>
        <w:outlineLvl w:val="1"/>
        <w:rPr>
          <w:rFonts w:hAnsi="宋体" w:cs="宋体"/>
          <w:b/>
          <w:szCs w:val="21"/>
          <w:highlight w:val="none"/>
        </w:rPr>
      </w:pPr>
      <w:bookmarkStart w:id="127" w:name="_Toc7342"/>
      <w:bookmarkStart w:id="128" w:name="_Toc5573"/>
      <w:bookmarkStart w:id="129" w:name="_Toc18389"/>
      <w:r>
        <w:rPr>
          <w:rFonts w:hint="eastAsia" w:hAnsi="宋体" w:cs="宋体"/>
          <w:b/>
          <w:szCs w:val="21"/>
          <w:highlight w:val="none"/>
        </w:rPr>
        <w:t>十、合同生效</w:t>
      </w:r>
      <w:bookmarkEnd w:id="127"/>
      <w:bookmarkEnd w:id="128"/>
      <w:bookmarkEnd w:id="12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1"/>
        <w:rPr>
          <w:rFonts w:hAnsi="宋体" w:cs="宋体"/>
          <w:b/>
          <w:szCs w:val="21"/>
          <w:highlight w:val="none"/>
        </w:rPr>
      </w:pPr>
      <w:bookmarkStart w:id="130" w:name="_Toc18381"/>
      <w:bookmarkStart w:id="131" w:name="_Toc823"/>
      <w:bookmarkStart w:id="132" w:name="_Toc9178"/>
      <w:r>
        <w:rPr>
          <w:rFonts w:hint="eastAsia" w:hAnsi="宋体" w:cs="宋体"/>
          <w:b/>
          <w:szCs w:val="21"/>
          <w:highlight w:val="none"/>
        </w:rPr>
        <w:t>十一、其他事项</w:t>
      </w:r>
      <w:bookmarkEnd w:id="130"/>
      <w:bookmarkEnd w:id="131"/>
      <w:bookmarkEnd w:id="132"/>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int="eastAsia"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鉴证方：（盖章）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单位名称：                                </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 xml:space="preserve">地  址：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法定代表人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或委托代理人：                                                                      </w:t>
      </w: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联系电话：                                </w:t>
      </w:r>
    </w:p>
    <w:p>
      <w:pPr>
        <w:ind w:firstLine="480" w:firstLineChars="200"/>
        <w:rPr>
          <w:rFonts w:hAnsi="宋体" w:cs="宋体"/>
          <w:b/>
          <w:bCs/>
          <w:kern w:val="2"/>
          <w:sz w:val="36"/>
          <w:szCs w:val="36"/>
          <w:highlight w:val="none"/>
        </w:rPr>
      </w:pPr>
      <w:r>
        <w:rPr>
          <w:rFonts w:hint="eastAsia" w:hAnsi="宋体" w:cs="宋体"/>
          <w:szCs w:val="21"/>
          <w:highlight w:val="none"/>
        </w:rPr>
        <w:t xml:space="preserve">签订日期：     年    月      日    </w:t>
      </w:r>
      <w:r>
        <w:rPr>
          <w:rFonts w:hint="eastAsia" w:hAnsi="宋体" w:cs="宋体"/>
          <w:szCs w:val="21"/>
          <w:highlight w:val="none"/>
        </w:rPr>
        <w:br w:type="page"/>
      </w:r>
      <w:bookmarkStart w:id="133" w:name="_Toc4254"/>
    </w:p>
    <w:p>
      <w:pPr>
        <w:rPr>
          <w:highlight w:val="none"/>
        </w:rPr>
      </w:pPr>
      <w:bookmarkStart w:id="134" w:name="_Toc31213"/>
    </w:p>
    <w:p>
      <w:pPr>
        <w:pStyle w:val="3"/>
        <w:jc w:val="center"/>
        <w:rPr>
          <w:rStyle w:val="29"/>
          <w:b/>
          <w:highlight w:val="none"/>
        </w:rPr>
      </w:pPr>
      <w:r>
        <w:rPr>
          <w:rFonts w:hint="eastAsia" w:ascii="宋体" w:eastAsia="宋体" w:cs="宋体"/>
          <w:bCs/>
          <w:sz w:val="36"/>
          <w:szCs w:val="36"/>
          <w:highlight w:val="none"/>
        </w:rPr>
        <w:t xml:space="preserve">第五章 </w:t>
      </w:r>
      <w:bookmarkEnd w:id="86"/>
      <w:bookmarkEnd w:id="87"/>
      <w:bookmarkEnd w:id="88"/>
      <w:bookmarkEnd w:id="89"/>
      <w:bookmarkEnd w:id="90"/>
      <w:bookmarkEnd w:id="91"/>
      <w:bookmarkEnd w:id="92"/>
      <w:bookmarkEnd w:id="93"/>
      <w:bookmarkEnd w:id="94"/>
      <w:r>
        <w:rPr>
          <w:rFonts w:hint="eastAsia" w:ascii="宋体" w:eastAsia="宋体" w:cs="宋体"/>
          <w:bCs/>
          <w:sz w:val="36"/>
          <w:szCs w:val="36"/>
          <w:highlight w:val="none"/>
        </w:rPr>
        <w:t xml:space="preserve"> 磋商内容及技术要求</w:t>
      </w:r>
      <w:bookmarkEnd w:id="58"/>
      <w:bookmarkEnd w:id="133"/>
      <w:bookmarkEnd w:id="134"/>
      <w:bookmarkStart w:id="135" w:name="_Toc363474025"/>
      <w:bookmarkStart w:id="136" w:name="_Toc403077646"/>
      <w:bookmarkStart w:id="137" w:name="_Toc423973079"/>
      <w:bookmarkStart w:id="138" w:name="_Toc5084"/>
    </w:p>
    <w:p>
      <w:pPr>
        <w:bidi w:val="0"/>
        <w:spacing w:line="360" w:lineRule="auto"/>
        <w:rPr>
          <w:rFonts w:hint="eastAsia"/>
          <w:b/>
          <w:bCs/>
          <w:highlight w:val="none"/>
        </w:rPr>
      </w:pPr>
      <w:bookmarkStart w:id="139" w:name="_Toc5880"/>
      <w:r>
        <w:rPr>
          <w:rFonts w:hint="eastAsia"/>
          <w:b/>
          <w:bCs/>
          <w:highlight w:val="none"/>
        </w:rPr>
        <w:t>一、项目概况</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西安市商务局拟于近期举办会议会展产业中高级人才培训班，以提升西安市会展行业从业人员整体素质，培养会展业中高端人才，促进会展业高质量发展，推动西安市会展行业适应新时代要求，打造西安会议会展业人才的培育氛围，达到促进西安会议会展业人才与全国会议会展业人才交流与学习的目的。</w:t>
      </w:r>
    </w:p>
    <w:p>
      <w:pPr>
        <w:bidi w:val="0"/>
        <w:spacing w:line="360" w:lineRule="auto"/>
        <w:rPr>
          <w:rFonts w:hint="eastAsia"/>
          <w:b/>
          <w:bCs/>
          <w:highlight w:val="none"/>
        </w:rPr>
      </w:pPr>
      <w:r>
        <w:rPr>
          <w:rFonts w:hint="eastAsia"/>
          <w:b/>
          <w:bCs/>
          <w:highlight w:val="none"/>
        </w:rPr>
        <w:t>二、服务内容</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1.具备组织、举办大型展览、会议的能力及经验，能够做好疫情防控、现场安全等相关工作；</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2.能够邀请不少于5名国内知名会展专家作为授课嘉宾，同时具备同时开展线上线下培训能力；</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3.活动期间多渠道开展宣传。</w:t>
      </w:r>
    </w:p>
    <w:p>
      <w:pPr>
        <w:bidi w:val="0"/>
        <w:spacing w:line="360" w:lineRule="auto"/>
        <w:rPr>
          <w:rFonts w:hint="eastAsia"/>
          <w:b/>
          <w:bCs/>
          <w:highlight w:val="none"/>
        </w:rPr>
      </w:pPr>
      <w:r>
        <w:rPr>
          <w:rFonts w:hint="eastAsia"/>
          <w:b/>
          <w:bCs/>
          <w:highlight w:val="none"/>
        </w:rPr>
        <w:t>三、服务要求</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策划不少于5个课题的培训内容。在全市会展从业者中征集培训人员，严格按照疫情防控要求控制线下培训人数，利用数字平台最大化拓展线上参与培训范围，达到促进西安会议会展业人才与全国会议会展业人才交流与学习的目的。</w:t>
      </w:r>
    </w:p>
    <w:p>
      <w:pPr>
        <w:bidi w:val="0"/>
        <w:spacing w:line="360" w:lineRule="auto"/>
        <w:rPr>
          <w:rFonts w:hint="eastAsia"/>
          <w:b/>
          <w:bCs/>
          <w:highlight w:val="none"/>
        </w:rPr>
      </w:pPr>
      <w:r>
        <w:rPr>
          <w:rFonts w:hint="eastAsia"/>
          <w:b/>
          <w:bCs/>
          <w:highlight w:val="none"/>
          <w:lang w:eastAsia="zh-CN"/>
        </w:rPr>
        <w:t>四、</w:t>
      </w:r>
      <w:r>
        <w:rPr>
          <w:rFonts w:hint="eastAsia"/>
          <w:b/>
          <w:bCs/>
          <w:highlight w:val="none"/>
        </w:rPr>
        <w:t>商务要求</w:t>
      </w:r>
    </w:p>
    <w:p>
      <w:pPr>
        <w:bidi w:val="0"/>
        <w:spacing w:line="360" w:lineRule="auto"/>
        <w:rPr>
          <w:rFonts w:hint="eastAsia"/>
          <w:highlight w:val="none"/>
        </w:rPr>
      </w:pPr>
      <w:r>
        <w:rPr>
          <w:rFonts w:hint="eastAsia"/>
          <w:highlight w:val="none"/>
        </w:rPr>
        <w:t>（一）服务期限</w:t>
      </w:r>
    </w:p>
    <w:p>
      <w:pPr>
        <w:bidi w:val="0"/>
        <w:spacing w:line="360" w:lineRule="auto"/>
        <w:ind w:firstLine="480" w:firstLineChars="200"/>
        <w:rPr>
          <w:rFonts w:hint="eastAsia"/>
          <w:highlight w:val="none"/>
        </w:rPr>
      </w:pPr>
      <w:r>
        <w:rPr>
          <w:rFonts w:hint="eastAsia"/>
          <w:highlight w:val="none"/>
        </w:rPr>
        <w:t>自合同签订之日起至2022年12月31日止。</w:t>
      </w:r>
    </w:p>
    <w:p>
      <w:pPr>
        <w:bidi w:val="0"/>
        <w:spacing w:line="360" w:lineRule="auto"/>
        <w:rPr>
          <w:rFonts w:hint="eastAsia"/>
          <w:highlight w:val="none"/>
        </w:rPr>
      </w:pPr>
      <w:r>
        <w:rPr>
          <w:rFonts w:hint="eastAsia"/>
          <w:highlight w:val="none"/>
        </w:rPr>
        <w:t>（二）款项结算</w:t>
      </w:r>
    </w:p>
    <w:p>
      <w:pPr>
        <w:bidi w:val="0"/>
        <w:spacing w:line="360" w:lineRule="auto"/>
        <w:ind w:firstLine="480" w:firstLineChars="20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自合同签订后5个工作日内， 支付合同总金额的70%作为预付款；合同总金额的30%作为余款；于活动结束后5个工作日一次性付清。</w:t>
      </w:r>
    </w:p>
    <w:p>
      <w:pPr>
        <w:bidi w:val="0"/>
        <w:spacing w:line="360" w:lineRule="auto"/>
        <w:rPr>
          <w:rFonts w:hint="eastAsia"/>
          <w:b/>
          <w:bCs/>
          <w:highlight w:val="none"/>
        </w:rPr>
      </w:pPr>
      <w:r>
        <w:rPr>
          <w:rFonts w:hint="eastAsia"/>
          <w:b/>
          <w:bCs/>
          <w:highlight w:val="none"/>
          <w:lang w:eastAsia="zh-CN"/>
        </w:rPr>
        <w:t>五、</w:t>
      </w:r>
      <w:r>
        <w:rPr>
          <w:rFonts w:hint="eastAsia"/>
          <w:b/>
          <w:bCs/>
          <w:highlight w:val="none"/>
        </w:rPr>
        <w:t>其他</w:t>
      </w:r>
    </w:p>
    <w:p>
      <w:pPr>
        <w:bidi w:val="0"/>
        <w:spacing w:line="360" w:lineRule="auto"/>
        <w:rPr>
          <w:rFonts w:hint="eastAsia"/>
          <w:highlight w:val="none"/>
        </w:rPr>
      </w:pPr>
      <w:r>
        <w:rPr>
          <w:rFonts w:hint="eastAsia"/>
          <w:highlight w:val="none"/>
        </w:rPr>
        <w:t>（一）成果交付要求</w:t>
      </w:r>
    </w:p>
    <w:p>
      <w:pPr>
        <w:bidi w:val="0"/>
        <w:spacing w:line="360" w:lineRule="auto"/>
        <w:rPr>
          <w:rFonts w:hint="eastAsia"/>
          <w:highlight w:val="none"/>
        </w:rPr>
      </w:pPr>
      <w:r>
        <w:rPr>
          <w:rFonts w:hint="eastAsia"/>
          <w:highlight w:val="none"/>
        </w:rPr>
        <w:t>邀请不少于5名国内知名会展专家作为授课嘉宾，同时开展线上线下培训课程；</w:t>
      </w:r>
    </w:p>
    <w:p>
      <w:pPr>
        <w:bidi w:val="0"/>
        <w:spacing w:line="360" w:lineRule="auto"/>
        <w:rPr>
          <w:rFonts w:hint="eastAsia"/>
          <w:highlight w:val="none"/>
        </w:rPr>
      </w:pPr>
      <w:r>
        <w:rPr>
          <w:rFonts w:hint="eastAsia"/>
          <w:highlight w:val="none"/>
        </w:rPr>
        <w:t>（</w:t>
      </w:r>
      <w:r>
        <w:rPr>
          <w:rFonts w:hint="eastAsia"/>
          <w:highlight w:val="none"/>
          <w:lang w:eastAsia="zh-CN"/>
        </w:rPr>
        <w:t>二</w:t>
      </w:r>
      <w:r>
        <w:rPr>
          <w:rFonts w:hint="eastAsia"/>
          <w:highlight w:val="none"/>
        </w:rPr>
        <w:t>）如活动因疫情原因推迟，则服务期限以举办活动时间为基准确定。</w:t>
      </w:r>
    </w:p>
    <w:p>
      <w:pPr>
        <w:bidi w:val="0"/>
        <w:spacing w:line="360" w:lineRule="auto"/>
        <w:rPr>
          <w:rFonts w:hint="eastAsia"/>
          <w:highlight w:val="none"/>
        </w:rPr>
      </w:pPr>
      <w:r>
        <w:rPr>
          <w:rFonts w:hint="eastAsia"/>
          <w:highlight w:val="none"/>
        </w:rPr>
        <w:br w:type="page"/>
      </w:r>
    </w:p>
    <w:p>
      <w:pPr>
        <w:pStyle w:val="3"/>
        <w:jc w:val="center"/>
        <w:rPr>
          <w:rFonts w:ascii="宋体" w:eastAsia="宋体" w:cs="宋体"/>
          <w:bCs/>
          <w:sz w:val="36"/>
          <w:szCs w:val="36"/>
          <w:highlight w:val="none"/>
        </w:rPr>
      </w:pPr>
      <w:r>
        <w:rPr>
          <w:rFonts w:hint="eastAsia" w:ascii="宋体" w:eastAsia="宋体" w:cs="宋体"/>
          <w:bCs/>
          <w:sz w:val="36"/>
          <w:szCs w:val="36"/>
          <w:highlight w:val="none"/>
        </w:rPr>
        <w:t>第六章 竞争性磋商响应文件格式</w:t>
      </w:r>
      <w:bookmarkEnd w:id="135"/>
      <w:bookmarkEnd w:id="136"/>
      <w:bookmarkEnd w:id="137"/>
      <w:bookmarkEnd w:id="138"/>
      <w:bookmarkEnd w:id="139"/>
    </w:p>
    <w:p>
      <w:pPr>
        <w:rPr>
          <w:rFonts w:hAnsi="宋体" w:cs="宋体"/>
          <w:highlight w:val="none"/>
        </w:rPr>
      </w:pPr>
    </w:p>
    <w:p>
      <w:pPr>
        <w:rPr>
          <w:rFonts w:hAnsi="宋体" w:cs="宋体"/>
          <w:highlight w:val="none"/>
        </w:rPr>
      </w:pPr>
    </w:p>
    <w:p>
      <w:pPr>
        <w:framePr w:hSpace="180" w:wrap="around" w:vAnchor="text" w:hAnchor="page" w:x="1472" w:y="18"/>
        <w:rPr>
          <w:rFonts w:hint="eastAsia" w:eastAsia="宋体" w:asciiTheme="minorEastAsia" w:hAnsiTheme="minorEastAsia" w:cstheme="minorEastAsia"/>
          <w:szCs w:val="24"/>
          <w:highlight w:val="none"/>
          <w:shd w:val="clear" w:color="auto" w:fill="FFFFFF"/>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SXZCZB2022-ZCCS-1016</w:t>
      </w:r>
    </w:p>
    <w:p>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bCs/>
          <w:sz w:val="32"/>
          <w:szCs w:val="32"/>
          <w:highlight w:val="none"/>
          <w:lang w:val="en-US" w:eastAsia="zh-CN"/>
        </w:rPr>
        <w:t xml:space="preserve">   </w:t>
      </w:r>
      <w:r>
        <w:rPr>
          <w:rFonts w:hint="eastAsia" w:hAnsi="宋体" w:cs="宋体"/>
          <w:b/>
          <w:sz w:val="32"/>
          <w:szCs w:val="32"/>
          <w:highlight w:val="none"/>
        </w:rPr>
        <w:t>（正本或副本）</w:t>
      </w:r>
    </w:p>
    <w:p>
      <w:pPr>
        <w:jc w:val="right"/>
        <w:rPr>
          <w:rFonts w:hAnsi="宋体" w:cs="宋体"/>
          <w:b/>
          <w:sz w:val="32"/>
          <w:szCs w:val="32"/>
          <w:highlight w:val="none"/>
        </w:rPr>
      </w:pPr>
    </w:p>
    <w:p>
      <w:pPr>
        <w:jc w:val="right"/>
        <w:rPr>
          <w:rFonts w:hAnsi="宋体" w:cs="宋体"/>
          <w:b/>
          <w:sz w:val="32"/>
          <w:szCs w:val="32"/>
          <w:highlight w:val="none"/>
        </w:rPr>
      </w:pPr>
    </w:p>
    <w:p>
      <w:pPr>
        <w:pStyle w:val="2"/>
        <w:rPr>
          <w:rFonts w:ascii="宋体" w:hAnsi="宋体" w:cs="宋体"/>
          <w:highlight w:val="none"/>
        </w:rPr>
      </w:pPr>
    </w:p>
    <w:p>
      <w:pPr>
        <w:spacing w:line="360" w:lineRule="auto"/>
        <w:jc w:val="center"/>
        <w:rPr>
          <w:rFonts w:hint="eastAsia" w:hAnsi="宋体" w:eastAsia="宋体" w:cs="宋体"/>
          <w:b/>
          <w:sz w:val="48"/>
          <w:szCs w:val="52"/>
          <w:highlight w:val="none"/>
          <w:lang w:eastAsia="zh-CN"/>
        </w:rPr>
      </w:pPr>
      <w:r>
        <w:rPr>
          <w:rFonts w:hint="eastAsia" w:hAnsi="宋体" w:cs="宋体"/>
          <w:b/>
          <w:sz w:val="48"/>
          <w:szCs w:val="52"/>
          <w:highlight w:val="none"/>
          <w:lang w:eastAsia="zh-CN"/>
        </w:rPr>
        <w:t>西安市商务局关于2022年会议会展产业中高级人才培训班项目</w:t>
      </w:r>
    </w:p>
    <w:p>
      <w:pPr>
        <w:pStyle w:val="2"/>
        <w:rPr>
          <w:rFonts w:ascii="宋体" w:hAnsi="宋体" w:cs="宋体"/>
          <w:b/>
          <w:sz w:val="62"/>
          <w:szCs w:val="72"/>
          <w:highlight w:val="none"/>
        </w:rPr>
      </w:pPr>
    </w:p>
    <w:p>
      <w:pPr>
        <w:rPr>
          <w:rFonts w:hAnsi="宋体" w:cs="宋体"/>
          <w:highlight w:val="none"/>
        </w:rPr>
      </w:pPr>
    </w:p>
    <w:p>
      <w:pPr>
        <w:jc w:val="center"/>
        <w:rPr>
          <w:rFonts w:hAnsi="宋体" w:cs="宋体"/>
          <w:b/>
          <w:sz w:val="52"/>
          <w:szCs w:val="52"/>
          <w:highlight w:val="none"/>
        </w:rPr>
      </w:pPr>
      <w:r>
        <w:rPr>
          <w:rFonts w:hint="eastAsia" w:hAnsi="宋体" w:cs="宋体"/>
          <w:b/>
          <w:sz w:val="52"/>
          <w:szCs w:val="52"/>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   日</w:t>
      </w:r>
      <w:r>
        <w:rPr>
          <w:rFonts w:hint="eastAsia" w:hAnsi="宋体" w:cs="宋体"/>
          <w:b/>
          <w:sz w:val="36"/>
          <w:szCs w:val="36"/>
          <w:highlight w:val="none"/>
        </w:rPr>
        <w:br w:type="page"/>
      </w:r>
      <w:bookmarkStart w:id="140" w:name="_Toc344572156"/>
    </w:p>
    <w:p>
      <w:pPr>
        <w:jc w:val="center"/>
        <w:rPr>
          <w:rFonts w:hAnsi="宋体" w:cs="宋体"/>
          <w:b/>
          <w:sz w:val="44"/>
          <w:highlight w:val="none"/>
        </w:rPr>
      </w:pPr>
      <w:r>
        <w:rPr>
          <w:rFonts w:hint="eastAsia" w:hAnsi="宋体" w:cs="宋体"/>
          <w:b/>
          <w:sz w:val="44"/>
          <w:highlight w:val="none"/>
        </w:rPr>
        <w:t>目  录</w:t>
      </w:r>
    </w:p>
    <w:p>
      <w:pPr>
        <w:pStyle w:val="2"/>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四、商务响应说明书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7"/>
        <w:spacing w:line="360" w:lineRule="auto"/>
        <w:rPr>
          <w:rFonts w:ascii="宋体" w:hAnsi="宋体" w:cs="宋体"/>
          <w:highlight w:val="none"/>
        </w:rPr>
      </w:pPr>
    </w:p>
    <w:p>
      <w:pPr>
        <w:pStyle w:val="7"/>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7"/>
        <w:ind w:firstLine="880"/>
        <w:rPr>
          <w:rFonts w:ascii="宋体" w:hAnsi="宋体" w:cs="宋体"/>
          <w:bCs/>
          <w:sz w:val="44"/>
          <w:highlight w:val="none"/>
        </w:rPr>
      </w:pPr>
    </w:p>
    <w:p>
      <w:pPr>
        <w:pStyle w:val="7"/>
        <w:ind w:firstLine="880"/>
        <w:rPr>
          <w:rFonts w:ascii="宋体" w:hAnsi="宋体" w:cs="宋体"/>
          <w:bCs/>
          <w:sz w:val="44"/>
          <w:highlight w:val="none"/>
        </w:rPr>
      </w:pPr>
    </w:p>
    <w:bookmarkEnd w:id="140"/>
    <w:p>
      <w:pPr>
        <w:pStyle w:val="2"/>
        <w:rPr>
          <w:rFonts w:ascii="宋体" w:hAnsi="宋体" w:cs="宋体"/>
          <w:b/>
          <w:sz w:val="32"/>
          <w:szCs w:val="32"/>
          <w:highlight w:val="none"/>
        </w:rPr>
      </w:pPr>
      <w:bookmarkStart w:id="141" w:name="_Toc403077648"/>
      <w:bookmarkStart w:id="142" w:name="_Toc363474027"/>
      <w:bookmarkStart w:id="143" w:name="_Toc204524343"/>
    </w:p>
    <w:p>
      <w:pPr>
        <w:pStyle w:val="2"/>
        <w:rPr>
          <w:rFonts w:ascii="宋体" w:hAnsi="宋体" w:cs="宋体"/>
          <w:b/>
          <w:sz w:val="32"/>
          <w:szCs w:val="32"/>
          <w:highlight w:val="none"/>
        </w:rPr>
      </w:pPr>
    </w:p>
    <w:p>
      <w:pPr>
        <w:pStyle w:val="2"/>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44" w:name="_Toc32002"/>
      <w:bookmarkStart w:id="145" w:name="_Toc15762"/>
      <w:bookmarkStart w:id="146" w:name="_Toc4367"/>
      <w:bookmarkStart w:id="147" w:name="_Toc8094"/>
      <w:r>
        <w:rPr>
          <w:rFonts w:hint="eastAsia" w:hAnsi="宋体" w:cs="宋体"/>
          <w:b/>
          <w:sz w:val="32"/>
          <w:szCs w:val="32"/>
          <w:highlight w:val="none"/>
        </w:rPr>
        <w:t>一、磋商</w:t>
      </w:r>
      <w:bookmarkEnd w:id="141"/>
      <w:bookmarkEnd w:id="142"/>
      <w:r>
        <w:rPr>
          <w:rFonts w:hint="eastAsia" w:hAnsi="宋体" w:cs="宋体"/>
          <w:b/>
          <w:sz w:val="32"/>
          <w:szCs w:val="32"/>
          <w:highlight w:val="none"/>
        </w:rPr>
        <w:t>响应函</w:t>
      </w:r>
      <w:bookmarkEnd w:id="144"/>
      <w:bookmarkEnd w:id="145"/>
      <w:bookmarkEnd w:id="146"/>
      <w:bookmarkEnd w:id="147"/>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 xml:space="preserve">根据贵方“ </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rPr>
        <w:t xml:space="preserve">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6"/>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 xml:space="preserve">为小写： </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6"/>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6）我们同意，如果成交，向陕西至诚招标咨询有限公司交纳招标代理服务费。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highlight w:val="none"/>
          <w:lang w:eastAsia="zh-CN"/>
        </w:rPr>
        <w:t>（</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pacing w:val="4"/>
          <w:highlight w:val="none"/>
          <w:lang w:eastAsia="zh-CN"/>
        </w:rPr>
        <w:t>）</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4"/>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48" w:name="_Toc28910"/>
      <w:bookmarkStart w:id="149" w:name="_Toc9730"/>
      <w:bookmarkStart w:id="150" w:name="_Toc17800"/>
      <w:bookmarkStart w:id="151" w:name="_Toc363474030"/>
      <w:bookmarkStart w:id="152" w:name="_Toc11497"/>
      <w:bookmarkStart w:id="153" w:name="_Toc403077651"/>
      <w:r>
        <w:rPr>
          <w:rFonts w:hint="eastAsia" w:ascii="宋体" w:hAnsi="宋体" w:cs="宋体"/>
          <w:bCs w:val="0"/>
          <w:sz w:val="32"/>
          <w:highlight w:val="none"/>
        </w:rPr>
        <w:t>二、磋商报价表</w:t>
      </w:r>
      <w:bookmarkEnd w:id="148"/>
      <w:bookmarkEnd w:id="149"/>
      <w:bookmarkEnd w:id="150"/>
      <w:bookmarkEnd w:id="151"/>
      <w:bookmarkEnd w:id="152"/>
      <w:bookmarkEnd w:id="153"/>
    </w:p>
    <w:p>
      <w:pPr>
        <w:spacing w:line="360" w:lineRule="auto"/>
        <w:jc w:val="center"/>
        <w:outlineLvl w:val="1"/>
        <w:rPr>
          <w:rFonts w:hAnsi="宋体" w:cs="宋体"/>
          <w:szCs w:val="24"/>
          <w:highlight w:val="none"/>
        </w:rPr>
      </w:pPr>
      <w:bookmarkStart w:id="154" w:name="_Toc12732"/>
      <w:bookmarkStart w:id="155" w:name="_Toc20548"/>
      <w:bookmarkStart w:id="156" w:name="_Toc7982"/>
      <w:bookmarkStart w:id="157" w:name="_Toc32277"/>
      <w:r>
        <w:rPr>
          <w:rFonts w:hint="eastAsia" w:hAnsi="宋体" w:cs="宋体"/>
          <w:szCs w:val="24"/>
          <w:highlight w:val="none"/>
        </w:rPr>
        <w:t>2.1报价一览表</w:t>
      </w:r>
      <w:bookmarkEnd w:id="154"/>
      <w:bookmarkEnd w:id="155"/>
      <w:bookmarkEnd w:id="156"/>
      <w:bookmarkEnd w:id="157"/>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6"/>
        <w:gridCol w:w="3170"/>
        <w:gridCol w:w="3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665" w:type="pct"/>
            <w:vAlign w:val="center"/>
          </w:tcPr>
          <w:p>
            <w:pPr>
              <w:jc w:val="center"/>
              <w:rPr>
                <w:rFonts w:hint="eastAsia" w:hAnsi="宋体" w:eastAsia="宋体" w:cs="宋体"/>
                <w:szCs w:val="24"/>
                <w:highlight w:val="none"/>
                <w:lang w:eastAsia="zh-CN"/>
              </w:rPr>
            </w:pPr>
            <w:r>
              <w:rPr>
                <w:rFonts w:hint="eastAsia" w:hAnsi="宋体" w:cs="宋体"/>
                <w:szCs w:val="24"/>
                <w:highlight w:val="none"/>
              </w:rPr>
              <w:t>磋商报价</w:t>
            </w:r>
            <w:r>
              <w:rPr>
                <w:rFonts w:hint="eastAsia" w:hAnsi="宋体" w:cs="宋体"/>
                <w:szCs w:val="24"/>
                <w:highlight w:val="none"/>
                <w:lang w:eastAsia="zh-CN"/>
              </w:rPr>
              <w:t>（元）</w:t>
            </w:r>
          </w:p>
          <w:p>
            <w:pPr>
              <w:jc w:val="center"/>
              <w:rPr>
                <w:rFonts w:hAnsi="宋体" w:cs="宋体"/>
                <w:szCs w:val="24"/>
                <w:highlight w:val="none"/>
              </w:rPr>
            </w:pPr>
          </w:p>
        </w:tc>
        <w:tc>
          <w:tcPr>
            <w:tcW w:w="1667" w:type="pct"/>
            <w:vAlign w:val="center"/>
          </w:tcPr>
          <w:p>
            <w:pPr>
              <w:jc w:val="center"/>
              <w:rPr>
                <w:rFonts w:hint="eastAsia" w:hAnsi="宋体" w:eastAsia="宋体" w:cs="宋体"/>
                <w:szCs w:val="24"/>
                <w:highlight w:val="none"/>
                <w:lang w:val="en-US" w:eastAsia="zh-CN"/>
              </w:rPr>
            </w:pPr>
            <w:r>
              <w:rPr>
                <w:rFonts w:hint="eastAsia" w:hAnsi="宋体" w:cs="宋体"/>
                <w:szCs w:val="24"/>
                <w:highlight w:val="none"/>
                <w:lang w:eastAsia="zh-CN"/>
              </w:rPr>
              <w:t>服务期</w:t>
            </w:r>
          </w:p>
        </w:tc>
        <w:tc>
          <w:tcPr>
            <w:tcW w:w="1667" w:type="pct"/>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665" w:type="pct"/>
            <w:vAlign w:val="center"/>
          </w:tcPr>
          <w:p>
            <w:pPr>
              <w:jc w:val="both"/>
              <w:rPr>
                <w:rFonts w:hint="eastAsia"/>
                <w:highlight w:val="none"/>
                <w:lang w:eastAsia="zh-CN"/>
              </w:rPr>
            </w:pPr>
            <w:r>
              <w:rPr>
                <w:rFonts w:hint="eastAsia"/>
                <w:highlight w:val="none"/>
                <w:lang w:eastAsia="zh-CN"/>
              </w:rPr>
              <w:t>大写：</w:t>
            </w:r>
          </w:p>
          <w:p>
            <w:pPr>
              <w:pStyle w:val="4"/>
              <w:ind w:left="0" w:leftChars="0" w:firstLine="0" w:firstLineChars="0"/>
              <w:jc w:val="both"/>
              <w:rPr>
                <w:rFonts w:hint="eastAsia"/>
                <w:highlight w:val="none"/>
                <w:lang w:eastAsia="zh-CN"/>
              </w:rPr>
            </w:pPr>
            <w:r>
              <w:rPr>
                <w:rFonts w:hint="eastAsia" w:ascii="宋体" w:hAnsi="Times New Roman" w:eastAsia="宋体" w:cs="Times New Roman"/>
                <w:b w:val="0"/>
                <w:bCs w:val="0"/>
                <w:sz w:val="24"/>
                <w:szCs w:val="20"/>
                <w:highlight w:val="none"/>
                <w:lang w:val="en-US" w:eastAsia="zh-CN" w:bidi="ar-SA"/>
              </w:rPr>
              <w:t>小写：</w:t>
            </w:r>
          </w:p>
        </w:tc>
        <w:tc>
          <w:tcPr>
            <w:tcW w:w="1667" w:type="pct"/>
            <w:vAlign w:val="center"/>
          </w:tcPr>
          <w:p>
            <w:pPr>
              <w:jc w:val="center"/>
              <w:rPr>
                <w:rFonts w:hAnsi="宋体" w:cs="宋体"/>
                <w:szCs w:val="24"/>
                <w:highlight w:val="none"/>
              </w:rPr>
            </w:pPr>
          </w:p>
        </w:tc>
        <w:tc>
          <w:tcPr>
            <w:tcW w:w="1667" w:type="pct"/>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000" w:type="pct"/>
            <w:gridSpan w:val="3"/>
            <w:vAlign w:val="center"/>
          </w:tcPr>
          <w:p>
            <w:pPr>
              <w:rPr>
                <w:rFonts w:hint="eastAsia" w:hAnsi="宋体" w:cs="宋体"/>
                <w:szCs w:val="24"/>
                <w:highlight w:val="none"/>
              </w:rPr>
            </w:pPr>
            <w:r>
              <w:rPr>
                <w:rFonts w:hint="eastAsia" w:hAnsi="宋体" w:cs="宋体"/>
                <w:szCs w:val="24"/>
                <w:highlight w:val="none"/>
              </w:rPr>
              <w:t>备注：表内报价内容以元为单位，保留小数点后（两位）。</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w:t>
      </w:r>
    </w:p>
    <w:p>
      <w:pPr>
        <w:jc w:val="center"/>
        <w:rPr>
          <w:rFonts w:hAnsi="宋体" w:cs="宋体"/>
          <w:b/>
          <w:sz w:val="30"/>
          <w:szCs w:val="30"/>
          <w:highlight w:val="none"/>
        </w:rPr>
      </w:pPr>
    </w:p>
    <w:p>
      <w:pPr>
        <w:jc w:val="center"/>
        <w:outlineLvl w:val="1"/>
        <w:rPr>
          <w:rFonts w:hAnsi="宋体" w:cs="宋体"/>
          <w:b/>
          <w:sz w:val="30"/>
          <w:szCs w:val="30"/>
          <w:highlight w:val="none"/>
        </w:rPr>
      </w:pPr>
      <w:r>
        <w:rPr>
          <w:rFonts w:hint="eastAsia" w:hAnsi="宋体" w:cs="宋体"/>
          <w:b/>
          <w:sz w:val="30"/>
          <w:szCs w:val="30"/>
          <w:highlight w:val="none"/>
        </w:rPr>
        <w:br w:type="page"/>
      </w:r>
      <w:bookmarkStart w:id="158" w:name="_Toc11197"/>
      <w:bookmarkStart w:id="159" w:name="_Toc9760"/>
      <w:bookmarkStart w:id="160" w:name="_Toc8017"/>
      <w:bookmarkStart w:id="161" w:name="_Toc428"/>
      <w:r>
        <w:rPr>
          <w:rFonts w:hint="eastAsia" w:hAnsi="宋体" w:cs="宋体"/>
          <w:b/>
          <w:sz w:val="30"/>
          <w:szCs w:val="30"/>
          <w:highlight w:val="none"/>
        </w:rPr>
        <w:t>2.2分项报价表</w:t>
      </w:r>
      <w:bookmarkEnd w:id="158"/>
      <w:bookmarkEnd w:id="159"/>
      <w:bookmarkEnd w:id="160"/>
      <w:bookmarkEnd w:id="161"/>
    </w:p>
    <w:p>
      <w:pPr>
        <w:pStyle w:val="2"/>
        <w:jc w:val="center"/>
        <w:rPr>
          <w:rFonts w:ascii="宋体" w:hAnsi="宋体" w:cs="宋体"/>
          <w:bCs/>
          <w:sz w:val="24"/>
          <w:szCs w:val="24"/>
          <w:highlight w:val="none"/>
        </w:rPr>
      </w:pPr>
    </w:p>
    <w:p>
      <w:pPr>
        <w:pStyle w:val="2"/>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供应商自行拟定格式（此表用于说明2.1报价一览表中报价的组成。）</w:t>
      </w:r>
    </w:p>
    <w:p>
      <w:pPr>
        <w:pStyle w:val="2"/>
        <w:rPr>
          <w:rFonts w:ascii="宋体" w:hAnsi="宋体" w:cs="宋体"/>
          <w:highlight w:val="none"/>
        </w:rPr>
      </w:pPr>
    </w:p>
    <w:p>
      <w:pPr>
        <w:ind w:firstLine="420"/>
        <w:rPr>
          <w:rFonts w:hAnsi="宋体" w:cs="宋体"/>
          <w:highlight w:val="none"/>
        </w:rPr>
      </w:pPr>
    </w:p>
    <w:p>
      <w:pPr>
        <w:pStyle w:val="2"/>
        <w:spacing w:line="360" w:lineRule="auto"/>
        <w:rPr>
          <w:rFonts w:ascii="宋体" w:hAnsi="宋体" w:cs="宋体"/>
          <w:sz w:val="28"/>
          <w:szCs w:val="28"/>
          <w:highlight w:val="none"/>
        </w:rPr>
      </w:pPr>
    </w:p>
    <w:p>
      <w:pPr>
        <w:rPr>
          <w:rFonts w:hAnsi="宋体" w:cs="宋体"/>
          <w:highlight w:val="none"/>
        </w:rPr>
      </w:pPr>
    </w:p>
    <w:bookmarkEnd w:id="143"/>
    <w:p>
      <w:pPr>
        <w:jc w:val="center"/>
        <w:outlineLvl w:val="1"/>
        <w:rPr>
          <w:rFonts w:hAnsi="宋体" w:cs="宋体"/>
          <w:sz w:val="32"/>
          <w:szCs w:val="32"/>
          <w:highlight w:val="none"/>
        </w:rPr>
      </w:pPr>
      <w:bookmarkStart w:id="162" w:name="_Toc344572163"/>
      <w:r>
        <w:rPr>
          <w:rFonts w:hint="eastAsia" w:hAnsi="宋体" w:cs="宋体"/>
          <w:sz w:val="32"/>
          <w:szCs w:val="32"/>
          <w:highlight w:val="none"/>
        </w:rPr>
        <w:br w:type="page"/>
      </w:r>
      <w:bookmarkStart w:id="163" w:name="_Toc25469"/>
      <w:bookmarkStart w:id="164" w:name="_Toc32126"/>
      <w:bookmarkStart w:id="165" w:name="_Toc5944"/>
      <w:bookmarkStart w:id="166" w:name="_Toc3628"/>
      <w:r>
        <w:rPr>
          <w:rFonts w:hint="eastAsia" w:hAnsi="宋体" w:cs="宋体"/>
          <w:b/>
          <w:bCs/>
          <w:sz w:val="32"/>
          <w:szCs w:val="32"/>
          <w:highlight w:val="none"/>
        </w:rPr>
        <w:t>三、磋商方案说明书</w:t>
      </w:r>
      <w:bookmarkEnd w:id="163"/>
      <w:bookmarkEnd w:id="164"/>
      <w:bookmarkEnd w:id="165"/>
      <w:bookmarkEnd w:id="166"/>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r>
        <w:rPr>
          <w:rFonts w:hint="eastAsia" w:hAnsi="宋体" w:cs="宋体"/>
          <w:szCs w:val="24"/>
          <w:highlight w:val="none"/>
        </w:rPr>
        <w:tab/>
      </w:r>
    </w:p>
    <w:p>
      <w:pPr>
        <w:spacing w:line="480" w:lineRule="auto"/>
        <w:ind w:firstLine="480" w:firstLineChars="200"/>
        <w:rPr>
          <w:rFonts w:hAnsi="宋体" w:cs="宋体"/>
          <w:b/>
          <w:bCs/>
          <w:szCs w:val="24"/>
          <w:highlight w:val="none"/>
        </w:rPr>
      </w:pPr>
      <w:r>
        <w:rPr>
          <w:rFonts w:hint="eastAsia" w:hAnsi="宋体" w:cs="宋体"/>
          <w:szCs w:val="24"/>
          <w:highlight w:val="none"/>
        </w:rPr>
        <w:t>按照磋商文件的要求编制的技术响应说明书，</w:t>
      </w:r>
      <w:r>
        <w:rPr>
          <w:rFonts w:hint="eastAsia" w:hAnsi="宋体" w:cs="宋体"/>
          <w:szCs w:val="24"/>
          <w:highlight w:val="none"/>
          <w:lang w:eastAsia="zh-CN"/>
        </w:rPr>
        <w:t>结合第五章磋商内容及技术要求，</w:t>
      </w:r>
      <w:r>
        <w:rPr>
          <w:rFonts w:hint="eastAsia" w:hAnsi="宋体" w:cs="宋体"/>
          <w:szCs w:val="24"/>
          <w:highlight w:val="none"/>
        </w:rPr>
        <w:t>内容（包括但不限于）可参照第三章评审办法进行响应。</w:t>
      </w:r>
    </w:p>
    <w:p>
      <w:pPr>
        <w:pStyle w:val="2"/>
        <w:rPr>
          <w:rFonts w:ascii="宋体" w:hAnsi="宋体" w:cs="宋体"/>
          <w:highlight w:val="none"/>
        </w:rPr>
      </w:pPr>
    </w:p>
    <w:p>
      <w:pPr>
        <w:pStyle w:val="2"/>
        <w:rPr>
          <w:rFonts w:ascii="宋体" w:hAnsi="宋体" w:cs="宋体"/>
          <w:highlight w:val="none"/>
        </w:rPr>
      </w:pPr>
    </w:p>
    <w:p>
      <w:pPr>
        <w:rPr>
          <w:rFonts w:hAnsi="宋体" w:cs="宋体"/>
          <w:highlight w:val="none"/>
        </w:rPr>
      </w:pPr>
    </w:p>
    <w:p>
      <w:pPr>
        <w:pStyle w:val="2"/>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法定代表人/或被授权人（签字或盖章）：</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rPr>
          <w:rFonts w:hAnsi="宋体" w:cs="宋体"/>
          <w:b/>
          <w:szCs w:val="24"/>
          <w:highlight w:val="none"/>
        </w:rPr>
      </w:pPr>
      <w:r>
        <w:rPr>
          <w:rFonts w:hint="eastAsia" w:hAnsi="宋体" w:cs="宋体"/>
          <w:b/>
          <w:szCs w:val="24"/>
          <w:highlight w:val="none"/>
        </w:rPr>
        <w:br w:type="page"/>
      </w:r>
      <w:bookmarkStart w:id="167" w:name="_Toc23455"/>
      <w:bookmarkStart w:id="168" w:name="_Toc2621"/>
      <w:bookmarkStart w:id="169" w:name="_Toc9218"/>
      <w:bookmarkStart w:id="170" w:name="_Toc1379"/>
      <w:bookmarkStart w:id="171" w:name="_Toc21284"/>
      <w:bookmarkStart w:id="172" w:name="_Toc15265"/>
      <w:bookmarkStart w:id="173" w:name="_Toc5662"/>
      <w:bookmarkStart w:id="174" w:name="_Toc8845"/>
    </w:p>
    <w:p>
      <w:pPr>
        <w:ind w:firstLine="161" w:firstLineChars="50"/>
        <w:jc w:val="center"/>
        <w:outlineLvl w:val="1"/>
        <w:rPr>
          <w:rFonts w:hAnsi="宋体" w:cs="宋体"/>
          <w:sz w:val="32"/>
          <w:szCs w:val="32"/>
          <w:highlight w:val="none"/>
        </w:rPr>
      </w:pPr>
      <w:bookmarkStart w:id="175" w:name="_Toc17052"/>
      <w:r>
        <w:rPr>
          <w:rFonts w:hint="eastAsia" w:hAnsi="宋体" w:cs="宋体"/>
          <w:b/>
          <w:bCs/>
          <w:sz w:val="32"/>
          <w:szCs w:val="32"/>
          <w:highlight w:val="none"/>
        </w:rPr>
        <w:t>四、</w:t>
      </w:r>
      <w:bookmarkEnd w:id="167"/>
      <w:bookmarkEnd w:id="168"/>
      <w:bookmarkEnd w:id="169"/>
      <w:bookmarkEnd w:id="170"/>
      <w:bookmarkEnd w:id="171"/>
      <w:r>
        <w:rPr>
          <w:rFonts w:hint="eastAsia" w:hAnsi="宋体" w:cs="宋体"/>
          <w:b/>
          <w:bCs/>
          <w:sz w:val="32"/>
          <w:szCs w:val="32"/>
          <w:highlight w:val="none"/>
        </w:rPr>
        <w:t>商务条款偏离表</w:t>
      </w:r>
      <w:bookmarkEnd w:id="172"/>
      <w:bookmarkEnd w:id="173"/>
      <w:bookmarkEnd w:id="174"/>
      <w:bookmarkEnd w:id="175"/>
    </w:p>
    <w:p>
      <w:pPr>
        <w:pStyle w:val="21"/>
        <w:widowControl w:val="0"/>
        <w:spacing w:before="0" w:beforeAutospacing="0" w:after="0" w:afterAutospacing="0"/>
        <w:jc w:val="both"/>
        <w:rPr>
          <w:rFonts w:cs="宋体"/>
          <w:highlight w:val="none"/>
        </w:rPr>
      </w:pPr>
    </w:p>
    <w:p>
      <w:pPr>
        <w:pStyle w:val="21"/>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21"/>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21"/>
        <w:widowControl w:val="0"/>
        <w:spacing w:before="0" w:beforeAutospacing="0" w:after="0" w:afterAutospacing="0"/>
        <w:ind w:firstLine="480" w:firstLineChars="200"/>
        <w:jc w:val="center"/>
        <w:rPr>
          <w:rFonts w:cs="宋体"/>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1"/>
              <w:widowControl w:val="0"/>
              <w:spacing w:before="0" w:beforeAutospacing="0" w:after="0" w:afterAutospacing="0"/>
              <w:ind w:firstLine="480" w:firstLineChars="200"/>
              <w:jc w:val="center"/>
              <w:rPr>
                <w:rFonts w:cs="宋体"/>
                <w:highlight w:val="none"/>
              </w:rPr>
            </w:pPr>
          </w:p>
        </w:tc>
      </w:tr>
    </w:tbl>
    <w:p>
      <w:pPr>
        <w:pStyle w:val="21"/>
        <w:widowControl w:val="0"/>
        <w:spacing w:before="0" w:beforeAutospacing="0" w:after="0" w:afterAutospacing="0"/>
        <w:rPr>
          <w:rFonts w:cs="宋体"/>
          <w:highlight w:val="none"/>
        </w:rPr>
      </w:pPr>
      <w:r>
        <w:rPr>
          <w:rFonts w:hint="eastAsia" w:cs="宋体"/>
          <w:highlight w:val="none"/>
        </w:rPr>
        <w:t>说明：</w:t>
      </w:r>
    </w:p>
    <w:p>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1.本表只填写磋商响应文件中与磋商文件有偏离（包括正偏离和负偏离）的内容，磋商响应文件中商务响应与磋商文件要求完全一致的，不用在此表中列出，但必须提交空白表。</w:t>
      </w:r>
    </w:p>
    <w:p>
      <w:pPr>
        <w:pStyle w:val="21"/>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1"/>
        <w:widowControl w:val="0"/>
        <w:spacing w:before="0" w:beforeAutospacing="0" w:after="0" w:afterAutospacing="0"/>
        <w:ind w:firstLine="480" w:firstLineChars="200"/>
        <w:jc w:val="center"/>
        <w:rPr>
          <w:rFonts w:cs="宋体"/>
          <w:highlight w:val="none"/>
        </w:rPr>
      </w:pPr>
    </w:p>
    <w:p>
      <w:pPr>
        <w:pStyle w:val="21"/>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1"/>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（签字或盖章）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62"/>
    <w:p>
      <w:pPr>
        <w:spacing w:line="360" w:lineRule="auto"/>
        <w:jc w:val="center"/>
        <w:outlineLvl w:val="1"/>
        <w:rPr>
          <w:rFonts w:hAnsi="宋体" w:cs="宋体"/>
          <w:b/>
          <w:bCs/>
          <w:sz w:val="30"/>
          <w:szCs w:val="30"/>
          <w:highlight w:val="none"/>
        </w:rPr>
      </w:pPr>
      <w:bookmarkStart w:id="176" w:name="_Toc403077656"/>
      <w:bookmarkStart w:id="177" w:name="_Toc363474033"/>
      <w:r>
        <w:rPr>
          <w:rFonts w:hint="eastAsia" w:hAnsi="宋体" w:cs="宋体"/>
          <w:b/>
          <w:bCs/>
          <w:sz w:val="30"/>
          <w:szCs w:val="30"/>
          <w:highlight w:val="none"/>
        </w:rPr>
        <w:br w:type="page"/>
      </w:r>
      <w:bookmarkStart w:id="178" w:name="_Toc27470"/>
      <w:bookmarkStart w:id="179" w:name="_Toc1542"/>
      <w:bookmarkStart w:id="180" w:name="_Toc3386"/>
      <w:bookmarkStart w:id="181" w:name="_Toc9081"/>
      <w:r>
        <w:rPr>
          <w:rFonts w:hint="eastAsia" w:hAnsi="宋体" w:cs="宋体"/>
          <w:b/>
          <w:bCs/>
          <w:sz w:val="30"/>
          <w:szCs w:val="30"/>
          <w:highlight w:val="none"/>
        </w:rPr>
        <w:t>五、陕西省政府采购供应商拒绝政府采购领域商业贿赂承诺书</w:t>
      </w:r>
      <w:bookmarkEnd w:id="176"/>
      <w:bookmarkEnd w:id="177"/>
      <w:bookmarkEnd w:id="178"/>
      <w:bookmarkEnd w:id="179"/>
      <w:bookmarkEnd w:id="180"/>
      <w:bookmarkEnd w:id="181"/>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全权代表（签字或盖章）：</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82" w:name="_Toc363474034"/>
      <w:bookmarkStart w:id="183" w:name="_Toc403077657"/>
      <w:r>
        <w:rPr>
          <w:rFonts w:hint="eastAsia" w:hAnsi="宋体" w:cs="宋体"/>
          <w:b/>
          <w:bCs/>
          <w:sz w:val="30"/>
          <w:szCs w:val="30"/>
          <w:highlight w:val="none"/>
        </w:rPr>
        <w:br w:type="page"/>
      </w:r>
      <w:bookmarkStart w:id="184" w:name="_Toc7842"/>
      <w:bookmarkStart w:id="185" w:name="_Toc8806"/>
      <w:bookmarkStart w:id="186" w:name="_Toc29285"/>
      <w:bookmarkStart w:id="187" w:name="_Toc32016"/>
      <w:r>
        <w:rPr>
          <w:rFonts w:hint="eastAsia" w:hAnsi="宋体" w:cs="宋体"/>
          <w:b/>
          <w:bCs/>
          <w:sz w:val="30"/>
          <w:szCs w:val="30"/>
          <w:highlight w:val="none"/>
        </w:rPr>
        <w:t>六、特定资格证明文件</w:t>
      </w:r>
      <w:bookmarkEnd w:id="182"/>
      <w:bookmarkEnd w:id="183"/>
      <w:bookmarkEnd w:id="184"/>
      <w:bookmarkEnd w:id="185"/>
      <w:bookmarkEnd w:id="186"/>
      <w:bookmarkEnd w:id="187"/>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spacing w:line="360" w:lineRule="auto"/>
        <w:ind w:firstLine="480" w:firstLineChars="200"/>
        <w:rPr>
          <w:rFonts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Ansi="宋体" w:cs="宋体"/>
          <w:szCs w:val="24"/>
          <w:highlight w:val="none"/>
        </w:rPr>
      </w:pPr>
      <w:r>
        <w:rPr>
          <w:rFonts w:hint="eastAsia" w:hAnsi="宋体" w:cs="宋体"/>
          <w:szCs w:val="24"/>
          <w:highlight w:val="none"/>
        </w:rPr>
        <w:t>3、财务状况：提供2020</w:t>
      </w:r>
      <w:r>
        <w:rPr>
          <w:rFonts w:hint="eastAsia" w:hAnsi="宋体" w:cs="宋体"/>
          <w:szCs w:val="24"/>
          <w:highlight w:val="none"/>
          <w:lang w:eastAsia="zh-CN"/>
        </w:rPr>
        <w:t>年</w:t>
      </w:r>
      <w:r>
        <w:rPr>
          <w:rFonts w:hint="eastAsia" w:hAnsi="宋体" w:cs="宋体"/>
          <w:szCs w:val="24"/>
          <w:highlight w:val="none"/>
        </w:rPr>
        <w:t>或2021年度经审计的财务审计报告（成立时间至提交磋商响应文件截止时间不足一年的可提供成立后任意时段的资产负债表）或开标时间前六个月内银行出具的资信证明；</w:t>
      </w:r>
    </w:p>
    <w:p>
      <w:pPr>
        <w:spacing w:line="360" w:lineRule="auto"/>
        <w:ind w:firstLine="480" w:firstLineChars="200"/>
        <w:rPr>
          <w:rFonts w:hAnsi="宋体" w:cs="宋体"/>
          <w:szCs w:val="24"/>
          <w:highlight w:val="none"/>
        </w:rPr>
      </w:pPr>
      <w:r>
        <w:rPr>
          <w:rFonts w:hint="eastAsia" w:hAnsi="宋体" w:cs="宋体"/>
          <w:szCs w:val="24"/>
          <w:highlight w:val="none"/>
        </w:rPr>
        <w:t xml:space="preserve">4、税收缴纳证明：提供磋商截止日前近一年内任意一个月的纳税证明或完税证明（任意税种），依法免税的单位应提供相关证明材料； </w:t>
      </w:r>
    </w:p>
    <w:p>
      <w:pPr>
        <w:spacing w:line="360" w:lineRule="auto"/>
        <w:ind w:firstLine="480" w:firstLineChars="200"/>
        <w:rPr>
          <w:rFonts w:hAnsi="宋体" w:cs="宋体"/>
          <w:szCs w:val="24"/>
          <w:highlight w:val="none"/>
        </w:rPr>
      </w:pPr>
      <w:r>
        <w:rPr>
          <w:rFonts w:hint="eastAsia" w:hAnsi="宋体" w:cs="宋体"/>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Ansi="宋体" w:cs="宋体"/>
          <w:szCs w:val="24"/>
          <w:highlight w:val="none"/>
        </w:rPr>
      </w:pPr>
      <w:r>
        <w:rPr>
          <w:rFonts w:hint="eastAsia" w:hAnsi="宋体" w:cs="宋体"/>
          <w:szCs w:val="24"/>
          <w:highlight w:val="none"/>
        </w:rPr>
        <w:t>6、供应商应在磋商文件发售期至投标截止时间前通过“信用中国”网站(www.creditchina.gov.cn)、中国政府采购网(www.ccgp.gov.cn) 查询相关主体信用记录；</w:t>
      </w:r>
    </w:p>
    <w:p>
      <w:pPr>
        <w:spacing w:line="360" w:lineRule="auto"/>
        <w:ind w:firstLine="480" w:firstLineChars="200"/>
        <w:rPr>
          <w:rFonts w:hAnsi="宋体" w:cs="宋体"/>
          <w:szCs w:val="24"/>
          <w:highlight w:val="none"/>
        </w:rPr>
      </w:pPr>
      <w:r>
        <w:rPr>
          <w:rFonts w:hint="eastAsia" w:hAnsi="宋体" w:cs="宋体"/>
          <w:szCs w:val="24"/>
          <w:highlight w:val="none"/>
        </w:rPr>
        <w:t>7、参加政府采购活动前3年内，在经营活动中没有重大违法记录的书面声明；</w:t>
      </w:r>
    </w:p>
    <w:p>
      <w:pPr>
        <w:spacing w:line="360" w:lineRule="auto"/>
        <w:ind w:firstLine="480" w:firstLineChars="200"/>
        <w:rPr>
          <w:rFonts w:hAnsi="宋体" w:cs="宋体"/>
          <w:szCs w:val="24"/>
          <w:highlight w:val="none"/>
        </w:rPr>
      </w:pPr>
      <w:r>
        <w:rPr>
          <w:rFonts w:hint="eastAsia" w:hAnsi="宋体" w:cs="宋体"/>
          <w:szCs w:val="24"/>
          <w:highlight w:val="none"/>
        </w:rPr>
        <w:t>8、提供具有履行合同所必需的设备和专业技术能力的书面承诺；</w:t>
      </w:r>
    </w:p>
    <w:p>
      <w:pPr>
        <w:spacing w:line="360" w:lineRule="auto"/>
        <w:ind w:firstLine="480" w:firstLineChars="200"/>
        <w:rPr>
          <w:rFonts w:hAnsi="宋体" w:cs="宋体"/>
          <w:szCs w:val="24"/>
          <w:highlight w:val="none"/>
        </w:rPr>
      </w:pPr>
      <w:r>
        <w:rPr>
          <w:rFonts w:hint="eastAsia" w:hAnsi="宋体" w:cs="宋体"/>
          <w:szCs w:val="24"/>
          <w:highlight w:val="none"/>
        </w:rPr>
        <w:t>9、本项目不接受联合体磋商。</w:t>
      </w:r>
    </w:p>
    <w:p>
      <w:pPr>
        <w:bidi w:val="0"/>
        <w:spacing w:line="360" w:lineRule="auto"/>
        <w:rPr>
          <w:rFonts w:hint="eastAsia"/>
          <w:b/>
          <w:bCs/>
          <w:highlight w:val="none"/>
          <w:lang w:val="en-US" w:eastAsia="zh-CN"/>
        </w:rPr>
      </w:pPr>
      <w:r>
        <w:rPr>
          <w:rFonts w:hint="eastAsia" w:ascii="宋体" w:hAnsi="Times New Roman" w:eastAsia="宋体" w:cs="Times New Roman"/>
          <w:highlight w:val="none"/>
          <w:lang w:val="en-US" w:eastAsia="zh-CN"/>
        </w:rPr>
        <w:t>（注：依法免税、不需要缴纳社会保障资金或成立时间不满三个月的供应商，应提供其依法免税、不需要缴纳社会保障资金的证明文件；成立不满一年或开标前一年内零申报的税收缴纳证明和财务审计报告只需提供财务报表加盖单位公章。）</w:t>
      </w:r>
    </w:p>
    <w:p>
      <w:pPr>
        <w:bidi w:val="0"/>
        <w:jc w:val="center"/>
        <w:rPr>
          <w:rFonts w:hAnsi="宋体" w:cs="宋体"/>
          <w:b/>
          <w:bCs/>
          <w:sz w:val="30"/>
          <w:szCs w:val="30"/>
          <w:highlight w:val="none"/>
        </w:rPr>
      </w:pPr>
      <w:r>
        <w:rPr>
          <w:rFonts w:hint="eastAsia" w:hAnsi="宋体" w:cs="宋体"/>
          <w:szCs w:val="24"/>
          <w:highlight w:val="none"/>
        </w:rPr>
        <w:br w:type="page"/>
      </w:r>
      <w:bookmarkStart w:id="188" w:name="_Toc6853"/>
      <w:bookmarkStart w:id="189" w:name="_Toc19114"/>
      <w:bookmarkStart w:id="190" w:name="_Toc12717"/>
      <w:bookmarkStart w:id="191" w:name="_Toc11394"/>
      <w:r>
        <w:rPr>
          <w:rFonts w:hint="eastAsia" w:ascii="宋体" w:hAnsi="宋体" w:eastAsia="宋体" w:cs="宋体"/>
          <w:b/>
          <w:bCs/>
          <w:sz w:val="30"/>
          <w:szCs w:val="30"/>
          <w:highlight w:val="none"/>
        </w:rPr>
        <w:t>七、其它</w:t>
      </w:r>
      <w:bookmarkEnd w:id="188"/>
      <w:bookmarkEnd w:id="189"/>
      <w:bookmarkEnd w:id="190"/>
      <w:bookmarkEnd w:id="191"/>
    </w:p>
    <w:p>
      <w:pPr>
        <w:pStyle w:val="2"/>
        <w:spacing w:line="360" w:lineRule="auto"/>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2"/>
        <w:spacing w:line="360" w:lineRule="auto"/>
        <w:rPr>
          <w:rFonts w:ascii="宋体" w:hAnsi="宋体" w:cs="宋体"/>
          <w:sz w:val="24"/>
          <w:szCs w:val="24"/>
          <w:highlight w:val="none"/>
        </w:rPr>
      </w:pPr>
      <w:r>
        <w:rPr>
          <w:rFonts w:hint="eastAsia" w:ascii="宋体" w:hAnsi="宋体" w:cs="宋体"/>
          <w:sz w:val="24"/>
          <w:szCs w:val="24"/>
          <w:highlight w:val="none"/>
        </w:rPr>
        <w:t>2、开户许可证或基本存款证明。</w:t>
      </w:r>
    </w:p>
    <w:p>
      <w:pPr>
        <w:pStyle w:val="2"/>
        <w:spacing w:line="360" w:lineRule="auto"/>
        <w:rPr>
          <w:rFonts w:ascii="宋体" w:hAnsi="宋体" w:cs="宋体"/>
          <w:sz w:val="24"/>
          <w:szCs w:val="24"/>
          <w:highlight w:val="none"/>
        </w:rPr>
      </w:pPr>
      <w:r>
        <w:rPr>
          <w:rFonts w:hint="eastAsia" w:ascii="宋体" w:hAnsi="宋体" w:cs="宋体"/>
          <w:sz w:val="24"/>
          <w:szCs w:val="24"/>
          <w:highlight w:val="none"/>
        </w:rPr>
        <w:t>3、其他可以证明供应商实力的文件。</w:t>
      </w:r>
    </w:p>
    <w:p>
      <w:pPr>
        <w:rPr>
          <w:highlight w:val="none"/>
        </w:rPr>
      </w:pPr>
    </w:p>
    <w:p>
      <w:pPr>
        <w:rPr>
          <w:highlight w:val="none"/>
        </w:rPr>
      </w:pP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192" w:name="_Toc6055"/>
      <w:bookmarkStart w:id="193" w:name="_Toc17513"/>
      <w:bookmarkStart w:id="194" w:name="_Toc30515"/>
      <w:r>
        <w:rPr>
          <w:rFonts w:hint="eastAsia" w:hAnsi="宋体" w:cs="宋体"/>
          <w:b/>
          <w:sz w:val="28"/>
          <w:szCs w:val="28"/>
          <w:highlight w:val="none"/>
        </w:rPr>
        <w:t>附件1：法定代表人身份证明/法定代表人授权书</w:t>
      </w:r>
      <w:bookmarkEnd w:id="192"/>
      <w:bookmarkEnd w:id="193"/>
      <w:bookmarkEnd w:id="194"/>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2"/>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w:t>
      </w:r>
      <w:r>
        <w:rPr>
          <w:rFonts w:hint="eastAsia" w:hAnsi="宋体" w:cs="宋体"/>
          <w:szCs w:val="24"/>
          <w:highlight w:val="non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统一社会信用代码：</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注册地址：</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成立时间：</w:t>
      </w:r>
      <w:r>
        <w:rPr>
          <w:rFonts w:hint="eastAsia" w:hAnsi="宋体" w:cs="宋体"/>
          <w:szCs w:val="24"/>
          <w:highlight w:val="none"/>
          <w:u w:val="single"/>
        </w:rPr>
        <w:t xml:space="preserve">    </w:t>
      </w:r>
      <w:r>
        <w:rPr>
          <w:rFonts w:hint="eastAsia" w:hAnsi="宋体" w:cs="宋体"/>
          <w:szCs w:val="24"/>
          <w:highlight w:val="none"/>
        </w:rPr>
        <w:t xml:space="preserve">年 </w:t>
      </w:r>
      <w:r>
        <w:rPr>
          <w:rFonts w:hint="eastAsia" w:hAnsi="宋体" w:cs="宋体"/>
          <w:szCs w:val="24"/>
          <w:highlight w:val="none"/>
          <w:u w:val="single"/>
        </w:rPr>
        <w:t xml:space="preserve">  </w:t>
      </w:r>
      <w:r>
        <w:rPr>
          <w:rFonts w:hint="eastAsia" w:hAnsi="宋体" w:cs="宋体"/>
          <w:szCs w:val="24"/>
          <w:highlight w:val="none"/>
        </w:rPr>
        <w:t>月</w:t>
      </w:r>
      <w:r>
        <w:rPr>
          <w:rFonts w:hint="eastAsia" w:hAnsi="宋体" w:cs="宋体"/>
          <w:szCs w:val="24"/>
          <w:highlight w:val="none"/>
          <w:u w:val="single"/>
        </w:rPr>
        <w:t xml:space="preserve">  </w:t>
      </w:r>
      <w:r>
        <w:rPr>
          <w:rFonts w:hint="eastAsia" w:hAnsi="宋体" w:cs="宋体"/>
          <w:szCs w:val="24"/>
          <w:highlight w:val="none"/>
        </w:rPr>
        <w:t>日</w:t>
      </w:r>
    </w:p>
    <w:p>
      <w:pPr>
        <w:autoSpaceDE w:val="0"/>
        <w:autoSpaceDN w:val="0"/>
        <w:adjustRightInd w:val="0"/>
        <w:snapToGrid w:val="0"/>
        <w:spacing w:before="156" w:beforeLines="50" w:line="360" w:lineRule="auto"/>
        <w:jc w:val="left"/>
        <w:rPr>
          <w:rFonts w:hAnsi="宋体" w:cs="宋体"/>
          <w:szCs w:val="24"/>
          <w:highlight w:val="none"/>
          <w:u w:val="single"/>
        </w:rPr>
      </w:pPr>
      <w:r>
        <w:rPr>
          <w:rFonts w:hint="eastAsia" w:hAnsi="宋体" w:cs="宋体"/>
          <w:szCs w:val="24"/>
          <w:highlight w:val="none"/>
        </w:rPr>
        <w:t>经营期限：</w:t>
      </w:r>
      <w:r>
        <w:rPr>
          <w:rFonts w:hint="eastAsia" w:hAnsi="宋体" w:cs="宋体"/>
          <w:szCs w:val="24"/>
          <w:highlight w:val="none"/>
          <w:u w:val="single"/>
        </w:rPr>
        <w:t xml:space="preserve">                  </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姓名：</w:t>
      </w:r>
      <w:r>
        <w:rPr>
          <w:rFonts w:hint="eastAsia" w:hAnsi="宋体" w:cs="宋体"/>
          <w:szCs w:val="24"/>
          <w:highlight w:val="none"/>
          <w:u w:val="single"/>
        </w:rPr>
        <w:t xml:space="preserve">      </w:t>
      </w:r>
      <w:r>
        <w:rPr>
          <w:rFonts w:hint="eastAsia" w:hAnsi="宋体" w:cs="宋体"/>
          <w:szCs w:val="24"/>
          <w:highlight w:val="none"/>
        </w:rPr>
        <w:t xml:space="preserve"> 性别：</w:t>
      </w:r>
      <w:r>
        <w:rPr>
          <w:rFonts w:hint="eastAsia" w:hAnsi="宋体" w:cs="宋体"/>
          <w:szCs w:val="24"/>
          <w:highlight w:val="none"/>
          <w:u w:val="single"/>
        </w:rPr>
        <w:t xml:space="preserve">  </w:t>
      </w:r>
      <w:r>
        <w:rPr>
          <w:rFonts w:hint="eastAsia" w:hAnsi="宋体" w:cs="宋体"/>
          <w:szCs w:val="24"/>
          <w:highlight w:val="none"/>
        </w:rPr>
        <w:t xml:space="preserve"> 年龄：</w:t>
      </w:r>
      <w:r>
        <w:rPr>
          <w:rFonts w:hint="eastAsia" w:hAnsi="宋体" w:cs="宋体"/>
          <w:szCs w:val="24"/>
          <w:highlight w:val="none"/>
          <w:u w:val="single"/>
        </w:rPr>
        <w:t xml:space="preserve">  </w:t>
      </w:r>
      <w:r>
        <w:rPr>
          <w:rFonts w:hint="eastAsia" w:hAnsi="宋体" w:cs="宋体"/>
          <w:szCs w:val="24"/>
          <w:highlight w:val="none"/>
        </w:rPr>
        <w:t xml:space="preserve"> 系</w:t>
      </w:r>
      <w:r>
        <w:rPr>
          <w:rFonts w:hint="eastAsia" w:hAnsi="宋体" w:cs="宋体"/>
          <w:szCs w:val="24"/>
          <w:highlight w:val="none"/>
          <w:u w:val="single"/>
        </w:rPr>
        <w:t xml:space="preserve">            </w:t>
      </w:r>
      <w:r>
        <w:rPr>
          <w:rFonts w:hint="eastAsia" w:hAnsi="宋体" w:cs="宋体"/>
          <w:szCs w:val="24"/>
          <w:highlight w:val="none"/>
        </w:rPr>
        <w:t>（供应商名称）的法定代表人。</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特此证明。</w:t>
      </w:r>
    </w:p>
    <w:p>
      <w:pPr>
        <w:autoSpaceDE w:val="0"/>
        <w:autoSpaceDN w:val="0"/>
        <w:adjustRightInd w:val="0"/>
        <w:snapToGrid w:val="0"/>
        <w:spacing w:before="156" w:beforeLines="50" w:line="360" w:lineRule="auto"/>
        <w:jc w:val="left"/>
        <w:rPr>
          <w:rFonts w:hAnsi="宋体" w:cs="宋体"/>
          <w:szCs w:val="24"/>
          <w:highlight w:val="none"/>
        </w:rPr>
      </w:pPr>
      <w:r>
        <w:rPr>
          <w:rFonts w:hint="eastAsia" w:hAnsi="宋体" w:cs="宋体"/>
          <w:szCs w:val="24"/>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p>
            <w:pPr>
              <w:autoSpaceDE w:val="0"/>
              <w:autoSpaceDN w:val="0"/>
              <w:adjustRightInd w:val="0"/>
              <w:snapToGrid w:val="0"/>
              <w:spacing w:before="156" w:beforeLines="50" w:line="360" w:lineRule="auto"/>
              <w:jc w:val="center"/>
              <w:rPr>
                <w:rFonts w:hAnsi="宋体" w:cs="宋体"/>
                <w:szCs w:val="24"/>
                <w:highlight w:val="none"/>
              </w:rPr>
            </w:pPr>
            <w:r>
              <w:rPr>
                <w:rFonts w:hint="eastAsia" w:hAnsi="宋体" w:cs="宋体"/>
                <w:szCs w:val="24"/>
                <w:highlight w:val="none"/>
              </w:rPr>
              <w:t>法定代表人身份证复印件粘贴处</w:t>
            </w:r>
          </w:p>
          <w:p>
            <w:pPr>
              <w:pStyle w:val="2"/>
              <w:spacing w:line="360" w:lineRule="auto"/>
              <w:jc w:val="center"/>
              <w:rPr>
                <w:rFonts w:ascii="宋体" w:hAnsi="宋体" w:cs="宋体"/>
                <w:sz w:val="24"/>
                <w:szCs w:val="24"/>
                <w:highlight w:val="none"/>
              </w:rPr>
            </w:pPr>
            <w:r>
              <w:rPr>
                <w:rFonts w:hint="eastAsia" w:ascii="宋体" w:hAnsi="宋体" w:cs="宋体"/>
                <w:sz w:val="24"/>
                <w:szCs w:val="24"/>
                <w:highlight w:val="none"/>
              </w:rPr>
              <w:t>（正反面）</w:t>
            </w:r>
          </w:p>
          <w:p>
            <w:pPr>
              <w:snapToGrid w:val="0"/>
              <w:spacing w:line="360" w:lineRule="auto"/>
              <w:jc w:val="center"/>
              <w:rPr>
                <w:rFonts w:hAnsi="宋体" w:cs="宋体"/>
                <w:szCs w:val="24"/>
                <w:highlight w:val="none"/>
              </w:rPr>
            </w:pPr>
          </w:p>
          <w:p>
            <w:pPr>
              <w:snapToGrid w:val="0"/>
              <w:spacing w:line="360" w:lineRule="auto"/>
              <w:jc w:val="center"/>
              <w:rPr>
                <w:rFonts w:hAnsi="宋体" w:cs="宋体"/>
                <w:szCs w:val="24"/>
                <w:highlight w:val="none"/>
              </w:rPr>
            </w:pPr>
          </w:p>
        </w:tc>
      </w:tr>
    </w:tbl>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snapToGrid w:val="0"/>
        <w:spacing w:line="360" w:lineRule="auto"/>
        <w:rPr>
          <w:rFonts w:hAnsi="宋体" w:cs="宋体"/>
          <w:szCs w:val="24"/>
          <w:highlight w:val="none"/>
        </w:rPr>
      </w:pPr>
    </w:p>
    <w:p>
      <w:pPr>
        <w:adjustRightInd w:val="0"/>
        <w:snapToGrid w:val="0"/>
        <w:spacing w:line="360" w:lineRule="auto"/>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p>
    <w:p>
      <w:pPr>
        <w:adjustRightInd w:val="0"/>
        <w:snapToGrid w:val="0"/>
        <w:spacing w:line="360" w:lineRule="auto"/>
        <w:ind w:right="420"/>
        <w:rPr>
          <w:rFonts w:hAnsi="宋体" w:cs="宋体"/>
          <w:szCs w:val="24"/>
          <w:highlight w:val="none"/>
        </w:rPr>
      </w:pPr>
      <w:r>
        <w:rPr>
          <w:rFonts w:hint="eastAsia" w:hAnsi="宋体" w:cs="宋体"/>
          <w:szCs w:val="24"/>
          <w:highlight w:val="none"/>
        </w:rPr>
        <w:t>供应商名称（公章）：</w:t>
      </w:r>
    </w:p>
    <w:p>
      <w:pPr>
        <w:adjustRightInd w:val="0"/>
        <w:snapToGrid w:val="0"/>
        <w:spacing w:line="360" w:lineRule="auto"/>
        <w:ind w:right="420"/>
        <w:rPr>
          <w:rFonts w:hAnsi="宋体" w:cs="宋体"/>
          <w:szCs w:val="24"/>
          <w:highlight w:val="none"/>
        </w:rPr>
      </w:pPr>
      <w:r>
        <w:rPr>
          <w:rFonts w:hint="eastAsia" w:hAnsi="宋体" w:cs="宋体"/>
          <w:szCs w:val="24"/>
          <w:highlight w:val="none"/>
        </w:rPr>
        <w:t>日期：    年  月  日</w:t>
      </w:r>
    </w:p>
    <w:p>
      <w:pPr>
        <w:pStyle w:val="2"/>
        <w:spacing w:line="360" w:lineRule="auto"/>
        <w:rPr>
          <w:rFonts w:ascii="宋体" w:hAnsi="宋体" w:cs="宋体"/>
          <w:sz w:val="24"/>
          <w:szCs w:val="24"/>
          <w:highlight w:val="none"/>
        </w:rPr>
      </w:pPr>
    </w:p>
    <w:p>
      <w:pPr>
        <w:adjustRightInd w:val="0"/>
        <w:snapToGrid w:val="0"/>
        <w:spacing w:line="360" w:lineRule="auto"/>
        <w:ind w:right="420"/>
        <w:rPr>
          <w:rFonts w:hint="eastAsia" w:cs="宋体"/>
          <w:b/>
          <w:bCs/>
          <w:szCs w:val="24"/>
          <w:highlight w:val="none"/>
        </w:rPr>
      </w:pPr>
      <w:r>
        <w:rPr>
          <w:rFonts w:hint="eastAsia" w:cs="宋体"/>
          <w:b/>
          <w:bCs/>
          <w:szCs w:val="24"/>
          <w:highlight w:val="none"/>
        </w:rPr>
        <w:t>说明：仅限法定代表人参加磋商时提供</w:t>
      </w:r>
      <w:r>
        <w:rPr>
          <w:rFonts w:hint="eastAsia" w:cs="宋体"/>
          <w:b/>
          <w:bCs/>
          <w:szCs w:val="24"/>
          <w:highlight w:val="none"/>
          <w:lang w:eastAsia="zh-CN"/>
        </w:rPr>
        <w:t>，</w:t>
      </w:r>
      <w:r>
        <w:rPr>
          <w:rFonts w:hint="eastAsia" w:cs="宋体"/>
          <w:b/>
          <w:bCs/>
          <w:szCs w:val="24"/>
          <w:highlight w:val="none"/>
          <w:lang w:val="en-US" w:eastAsia="zh-CN"/>
        </w:rPr>
        <w:t>授权代表参加时也需要提供</w:t>
      </w:r>
      <w:r>
        <w:rPr>
          <w:rFonts w:hint="eastAsia" w:cs="宋体"/>
          <w:szCs w:val="24"/>
          <w:highlight w:val="none"/>
        </w:rPr>
        <w:t>。</w:t>
      </w: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w:t>
      </w:r>
      <w:r>
        <w:rPr>
          <w:rFonts w:hint="eastAsia" w:hAnsi="宋体" w:cs="宋体"/>
          <w:spacing w:val="4"/>
          <w:szCs w:val="24"/>
          <w:highlight w:val="none"/>
          <w:u w:val="single"/>
          <w:lang w:eastAsia="zh-CN"/>
        </w:rPr>
        <w:t>：</w:t>
      </w:r>
      <w:r>
        <w:rPr>
          <w:rFonts w:hint="eastAsia" w:hAnsi="宋体" w:cs="宋体"/>
          <w:spacing w:val="4"/>
          <w:szCs w:val="24"/>
          <w:highlight w:val="none"/>
          <w:u w:val="single"/>
        </w:rPr>
        <w:t xml:space="preserve">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4"/>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spacing w:before="156" w:after="156" w:line="360" w:lineRule="auto"/>
        <w:rPr>
          <w:rFonts w:hint="eastAsia"/>
          <w:b/>
          <w:bCs/>
          <w:szCs w:val="24"/>
          <w:highlight w:val="none"/>
        </w:rPr>
      </w:pPr>
    </w:p>
    <w:p>
      <w:pPr>
        <w:spacing w:before="156" w:after="156" w:line="360" w:lineRule="auto"/>
        <w:rPr>
          <w:highlight w:val="none"/>
        </w:rPr>
      </w:pPr>
      <w:r>
        <w:rPr>
          <w:rFonts w:hint="eastAsia"/>
          <w:b/>
          <w:bCs/>
          <w:szCs w:val="24"/>
          <w:highlight w:val="none"/>
        </w:rPr>
        <w:t>说明：仅限授权代表参加磋商时提供。</w:t>
      </w:r>
    </w:p>
    <w:p>
      <w:pPr>
        <w:spacing w:before="100" w:beforeAutospacing="1" w:after="156" w:afterLines="50" w:line="360" w:lineRule="auto"/>
        <w:jc w:val="left"/>
        <w:outlineLvl w:val="2"/>
        <w:rPr>
          <w:rFonts w:hAnsi="宋体" w:cs="宋体"/>
          <w:b/>
          <w:sz w:val="28"/>
          <w:szCs w:val="28"/>
          <w:highlight w:val="none"/>
        </w:rPr>
      </w:pPr>
      <w:r>
        <w:rPr>
          <w:rFonts w:hint="eastAsia" w:hAnsi="宋体" w:cs="宋体"/>
          <w:b/>
          <w:sz w:val="28"/>
          <w:szCs w:val="28"/>
          <w:highlight w:val="none"/>
        </w:rPr>
        <w:br w:type="page"/>
      </w:r>
      <w:bookmarkStart w:id="195" w:name="_Toc8962"/>
      <w:bookmarkStart w:id="196" w:name="_Toc11767"/>
      <w:bookmarkStart w:id="197" w:name="_Toc17295"/>
      <w:r>
        <w:rPr>
          <w:rFonts w:hint="eastAsia" w:hAnsi="宋体" w:cs="宋体"/>
          <w:b/>
          <w:sz w:val="28"/>
          <w:szCs w:val="28"/>
          <w:highlight w:val="none"/>
        </w:rPr>
        <w:t>附件2：中小企业声明函（如有）</w:t>
      </w:r>
      <w:bookmarkEnd w:id="195"/>
      <w:bookmarkEnd w:id="196"/>
      <w:bookmarkEnd w:id="197"/>
    </w:p>
    <w:p>
      <w:pPr>
        <w:spacing w:line="588" w:lineRule="exact"/>
        <w:jc w:val="center"/>
        <w:rPr>
          <w:rFonts w:hAnsi="宋体" w:cs="宋体"/>
          <w:b/>
          <w:spacing w:val="6"/>
          <w:sz w:val="32"/>
          <w:szCs w:val="32"/>
          <w:highlight w:val="none"/>
        </w:rPr>
      </w:pPr>
      <w:bookmarkStart w:id="198" w:name="_Toc13836"/>
    </w:p>
    <w:p>
      <w:pPr>
        <w:spacing w:line="588" w:lineRule="exact"/>
        <w:jc w:val="center"/>
        <w:rPr>
          <w:rFonts w:hint="eastAsia" w:ascii="宋体" w:eastAsia="宋体"/>
          <w:b/>
          <w:sz w:val="24"/>
          <w:highlight w:val="none"/>
          <w:lang w:eastAsia="zh-CN"/>
        </w:rPr>
      </w:pPr>
      <w:r>
        <w:rPr>
          <w:rFonts w:hAnsi="宋体" w:cs="宋体"/>
          <w:b/>
          <w:spacing w:val="6"/>
          <w:sz w:val="32"/>
          <w:szCs w:val="32"/>
          <w:highlight w:val="none"/>
        </w:rPr>
        <w:t>中小企业声明函</w:t>
      </w:r>
      <w:r>
        <w:rPr>
          <w:rFonts w:hint="eastAsia" w:hAnsi="宋体" w:cs="宋体"/>
          <w:b/>
          <w:spacing w:val="6"/>
          <w:sz w:val="32"/>
          <w:szCs w:val="32"/>
          <w:highlight w:val="none"/>
          <w:lang w:eastAsia="zh-CN"/>
        </w:rPr>
        <w:t>（</w:t>
      </w:r>
      <w:r>
        <w:rPr>
          <w:rFonts w:hint="eastAsia" w:hAnsi="宋体" w:cs="宋体"/>
          <w:b/>
          <w:spacing w:val="6"/>
          <w:sz w:val="32"/>
          <w:szCs w:val="32"/>
          <w:highlight w:val="none"/>
          <w:lang w:val="en-US" w:eastAsia="zh-CN"/>
        </w:rPr>
        <w:t>服务</w:t>
      </w:r>
      <w:r>
        <w:rPr>
          <w:rFonts w:hint="eastAsia" w:hAnsi="宋体" w:cs="宋体"/>
          <w:b/>
          <w:spacing w:val="6"/>
          <w:sz w:val="32"/>
          <w:szCs w:val="32"/>
          <w:highlight w:val="none"/>
          <w:lang w:eastAsia="zh-CN"/>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本公司（联合体）郑重声明，根据《政府采购促进中小企业发展管理办法》（财库﹝2020﹞46 号）的规定，本公司（联合体）参加</w:t>
      </w:r>
      <w:r>
        <w:rPr>
          <w:rFonts w:hint="eastAsia" w:ascii="宋体" w:hAnsi="宋体" w:cs="宋体"/>
          <w:spacing w:val="6"/>
          <w:sz w:val="24"/>
          <w:szCs w:val="24"/>
          <w:highlight w:val="none"/>
          <w:u w:val="single"/>
        </w:rPr>
        <w:t>（单位名称）</w:t>
      </w:r>
      <w:r>
        <w:rPr>
          <w:rFonts w:hint="eastAsia" w:ascii="宋体" w:hAnsi="宋体" w:cs="宋体"/>
          <w:spacing w:val="6"/>
          <w:sz w:val="24"/>
          <w:szCs w:val="24"/>
          <w:highlight w:val="none"/>
        </w:rPr>
        <w:t>的</w:t>
      </w:r>
      <w:r>
        <w:rPr>
          <w:rFonts w:hint="eastAsia" w:ascii="宋体" w:hAnsi="宋体" w:cs="宋体"/>
          <w:spacing w:val="6"/>
          <w:sz w:val="24"/>
          <w:szCs w:val="24"/>
          <w:highlight w:val="none"/>
          <w:u w:val="single"/>
        </w:rPr>
        <w:t>（项目名称）</w:t>
      </w:r>
      <w:r>
        <w:rPr>
          <w:rFonts w:hint="eastAsia" w:ascii="宋体" w:hAnsi="宋体" w:cs="宋体"/>
          <w:spacing w:val="6"/>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1.</w:t>
      </w:r>
      <w:r>
        <w:rPr>
          <w:rFonts w:hint="eastAsia" w:ascii="宋体" w:hAnsi="宋体" w:cs="宋体"/>
          <w:spacing w:val="6"/>
          <w:sz w:val="24"/>
          <w:szCs w:val="24"/>
          <w:highlight w:val="none"/>
          <w:u w:val="single"/>
        </w:rPr>
        <w:t xml:space="preserve"> （标的名称）</w:t>
      </w:r>
      <w:r>
        <w:rPr>
          <w:rFonts w:hint="eastAsia" w:ascii="宋体" w:hAnsi="宋体" w:cs="宋体"/>
          <w:spacing w:val="6"/>
          <w:sz w:val="24"/>
          <w:szCs w:val="24"/>
          <w:highlight w:val="none"/>
        </w:rPr>
        <w:t xml:space="preserve"> ，属于</w:t>
      </w:r>
      <w:r>
        <w:rPr>
          <w:rFonts w:hint="eastAsia" w:ascii="宋体" w:hAnsi="宋体" w:cs="宋体"/>
          <w:spacing w:val="6"/>
          <w:sz w:val="24"/>
          <w:szCs w:val="24"/>
          <w:highlight w:val="none"/>
          <w:u w:val="single"/>
        </w:rPr>
        <w:t>（采购文件中明确的所属行业</w:t>
      </w:r>
      <w:r>
        <w:rPr>
          <w:rFonts w:hint="eastAsia" w:ascii="宋体" w:hAnsi="宋体" w:cs="宋体"/>
          <w:spacing w:val="6"/>
          <w:sz w:val="24"/>
          <w:szCs w:val="24"/>
          <w:highlight w:val="none"/>
        </w:rPr>
        <w:t>）；承建（承接）企业为</w:t>
      </w:r>
      <w:r>
        <w:rPr>
          <w:rFonts w:hint="eastAsia" w:ascii="宋体" w:hAnsi="宋体" w:cs="宋体"/>
          <w:spacing w:val="6"/>
          <w:sz w:val="24"/>
          <w:szCs w:val="24"/>
          <w:highlight w:val="none"/>
          <w:u w:val="single"/>
        </w:rPr>
        <w:t>（企业名称）</w:t>
      </w:r>
      <w:r>
        <w:rPr>
          <w:rFonts w:hint="eastAsia" w:ascii="宋体" w:hAnsi="宋体" w:cs="宋体"/>
          <w:spacing w:val="6"/>
          <w:sz w:val="24"/>
          <w:szCs w:val="24"/>
          <w:highlight w:val="none"/>
        </w:rPr>
        <w:t>，从业人员</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人，营业收入为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万元，资产总额为</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rPr>
        <w:t>万元</w:t>
      </w:r>
      <w:r>
        <w:rPr>
          <w:rFonts w:hint="eastAsia" w:ascii="宋体" w:hAnsi="宋体" w:eastAsia="宋体" w:cs="宋体"/>
          <w:spacing w:val="6"/>
          <w:sz w:val="24"/>
          <w:szCs w:val="24"/>
          <w:highlight w:val="none"/>
        </w:rPr>
        <w:t>¹</w:t>
      </w:r>
      <w:r>
        <w:rPr>
          <w:rFonts w:hint="eastAsia" w:ascii="宋体" w:hAnsi="宋体" w:cs="宋体"/>
          <w:spacing w:val="6"/>
          <w:sz w:val="24"/>
          <w:szCs w:val="24"/>
          <w:highlight w:val="none"/>
        </w:rPr>
        <w:t>，属于</w:t>
      </w:r>
      <w:r>
        <w:rPr>
          <w:rFonts w:hint="eastAsia" w:ascii="宋体" w:hAnsi="宋体" w:cs="宋体"/>
          <w:spacing w:val="6"/>
          <w:sz w:val="24"/>
          <w:szCs w:val="24"/>
          <w:highlight w:val="none"/>
          <w:u w:val="single"/>
        </w:rPr>
        <w:t>（中型企业、小型企业、微型企业）</w:t>
      </w: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 xml:space="preserve">2. </w:t>
      </w:r>
      <w:r>
        <w:rPr>
          <w:rFonts w:hint="eastAsia" w:ascii="宋体" w:hAnsi="宋体" w:cs="宋体"/>
          <w:spacing w:val="6"/>
          <w:sz w:val="24"/>
          <w:szCs w:val="24"/>
          <w:highlight w:val="none"/>
          <w:u w:val="single"/>
        </w:rPr>
        <w:t>（标的名称）</w:t>
      </w:r>
      <w:r>
        <w:rPr>
          <w:rFonts w:hint="eastAsia" w:ascii="宋体" w:hAnsi="宋体" w:cs="宋体"/>
          <w:spacing w:val="6"/>
          <w:sz w:val="24"/>
          <w:szCs w:val="24"/>
          <w:highlight w:val="none"/>
        </w:rPr>
        <w:t xml:space="preserve"> ，属于</w:t>
      </w:r>
      <w:r>
        <w:rPr>
          <w:rFonts w:hint="eastAsia" w:ascii="宋体" w:hAnsi="宋体" w:cs="宋体"/>
          <w:spacing w:val="6"/>
          <w:sz w:val="24"/>
          <w:szCs w:val="24"/>
          <w:highlight w:val="none"/>
          <w:u w:val="single"/>
        </w:rPr>
        <w:t>（采购文件中明确的所属行业）</w:t>
      </w:r>
      <w:r>
        <w:rPr>
          <w:rFonts w:hint="eastAsia" w:ascii="宋体" w:hAnsi="宋体" w:cs="宋体"/>
          <w:spacing w:val="6"/>
          <w:sz w:val="24"/>
          <w:szCs w:val="24"/>
          <w:highlight w:val="none"/>
        </w:rPr>
        <w:t>；承建（承接）企业为</w:t>
      </w:r>
      <w:r>
        <w:rPr>
          <w:rFonts w:hint="eastAsia" w:ascii="宋体" w:hAnsi="宋体" w:cs="宋体"/>
          <w:spacing w:val="6"/>
          <w:sz w:val="24"/>
          <w:szCs w:val="24"/>
          <w:highlight w:val="none"/>
          <w:u w:val="single"/>
        </w:rPr>
        <w:t>（企业名称）</w:t>
      </w:r>
      <w:r>
        <w:rPr>
          <w:rFonts w:hint="eastAsia" w:ascii="宋体" w:hAnsi="宋体" w:cs="宋体"/>
          <w:spacing w:val="6"/>
          <w:sz w:val="24"/>
          <w:szCs w:val="24"/>
          <w:highlight w:val="none"/>
        </w:rPr>
        <w:t>，从业人员</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人，营业收入为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万元，资产总额为</w:t>
      </w:r>
      <w:r>
        <w:rPr>
          <w:rFonts w:hint="eastAsia" w:ascii="宋体" w:hAnsi="宋体" w:cs="宋体"/>
          <w:spacing w:val="6"/>
          <w:sz w:val="24"/>
          <w:szCs w:val="24"/>
          <w:highlight w:val="none"/>
          <w:u w:val="single"/>
        </w:rPr>
        <w:t xml:space="preserve"> </w:t>
      </w:r>
      <w:r>
        <w:rPr>
          <w:rFonts w:hint="eastAsia" w:ascii="宋体" w:hAnsi="宋体" w:cs="宋体"/>
          <w:spacing w:val="6"/>
          <w:sz w:val="24"/>
          <w:szCs w:val="24"/>
          <w:highlight w:val="none"/>
          <w:u w:val="single"/>
          <w:lang w:val="en-US" w:eastAsia="zh-CN"/>
        </w:rPr>
        <w:t xml:space="preserve">    </w:t>
      </w:r>
      <w:r>
        <w:rPr>
          <w:rFonts w:hint="eastAsia" w:ascii="宋体" w:hAnsi="宋体" w:cs="宋体"/>
          <w:spacing w:val="6"/>
          <w:sz w:val="24"/>
          <w:szCs w:val="24"/>
          <w:highlight w:val="none"/>
        </w:rPr>
        <w:t>万元，属于</w:t>
      </w:r>
      <w:r>
        <w:rPr>
          <w:rFonts w:hint="eastAsia" w:ascii="宋体" w:hAnsi="宋体" w:cs="宋体"/>
          <w:spacing w:val="6"/>
          <w:sz w:val="24"/>
          <w:szCs w:val="24"/>
          <w:highlight w:val="none"/>
          <w:u w:val="single"/>
        </w:rPr>
        <w:t>（中型企业、小型企业、微型企业）</w:t>
      </w: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以上企业，不属于大企业的分支机构，不存在控股股东为大企业的情形，也不存在与大企业的负责人为同一人的情形。</w:t>
      </w:r>
    </w:p>
    <w:p>
      <w:pPr>
        <w:spacing w:line="360" w:lineRule="auto"/>
        <w:ind w:firstLine="504" w:firstLineChars="200"/>
        <w:rPr>
          <w:rFonts w:hint="eastAsia" w:ascii="宋体" w:hAnsi="宋体" w:cs="宋体"/>
          <w:spacing w:val="6"/>
          <w:sz w:val="24"/>
          <w:szCs w:val="24"/>
          <w:highlight w:val="none"/>
        </w:rPr>
      </w:pPr>
      <w:r>
        <w:rPr>
          <w:rFonts w:hint="eastAsia" w:ascii="宋体" w:hAnsi="宋体" w:cs="宋体"/>
          <w:spacing w:val="6"/>
          <w:sz w:val="24"/>
          <w:szCs w:val="24"/>
          <w:highlight w:val="none"/>
        </w:rPr>
        <w:t>本企业对上述声明内容的真实性负责。如有虚假，将依法承担相应责任。</w:t>
      </w: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p>
    <w:p>
      <w:pPr>
        <w:spacing w:line="360" w:lineRule="auto"/>
        <w:ind w:firstLine="4788" w:firstLineChars="1900"/>
        <w:rPr>
          <w:rFonts w:hint="eastAsia" w:ascii="宋体" w:hAnsi="宋体" w:cs="宋体"/>
          <w:spacing w:val="6"/>
          <w:sz w:val="24"/>
          <w:szCs w:val="24"/>
          <w:highlight w:val="none"/>
        </w:rPr>
      </w:pPr>
      <w:r>
        <w:rPr>
          <w:rFonts w:hint="eastAsia" w:ascii="宋体" w:hAnsi="宋体" w:cs="宋体"/>
          <w:spacing w:val="6"/>
          <w:sz w:val="24"/>
          <w:szCs w:val="24"/>
          <w:highlight w:val="none"/>
        </w:rPr>
        <w:t>企业名称（盖章）：</w:t>
      </w:r>
    </w:p>
    <w:p>
      <w:pPr>
        <w:spacing w:line="360" w:lineRule="auto"/>
        <w:ind w:firstLine="5040" w:firstLineChars="2000"/>
        <w:jc w:val="left"/>
        <w:rPr>
          <w:rFonts w:hint="eastAsia" w:ascii="宋体" w:hAnsi="宋体" w:cs="宋体"/>
          <w:spacing w:val="6"/>
          <w:sz w:val="24"/>
          <w:szCs w:val="24"/>
          <w:highlight w:val="none"/>
        </w:rPr>
      </w:pPr>
      <w:r>
        <w:rPr>
          <w:rFonts w:hint="eastAsia" w:ascii="宋体" w:hAnsi="宋体" w:cs="宋体"/>
          <w:spacing w:val="6"/>
          <w:sz w:val="24"/>
          <w:szCs w:val="24"/>
          <w:highlight w:val="none"/>
        </w:rPr>
        <w:t>日 期：</w:t>
      </w:r>
    </w:p>
    <w:p>
      <w:pPr>
        <w:spacing w:line="360" w:lineRule="auto"/>
        <w:ind w:firstLine="5040" w:firstLineChars="2000"/>
        <w:jc w:val="left"/>
        <w:rPr>
          <w:rFonts w:hint="eastAsia" w:ascii="宋体" w:hAnsi="宋体" w:cs="宋体"/>
          <w:spacing w:val="6"/>
          <w:sz w:val="24"/>
          <w:szCs w:val="24"/>
          <w:highlight w:val="none"/>
        </w:rPr>
      </w:pPr>
    </w:p>
    <w:p>
      <w:pPr>
        <w:spacing w:line="360" w:lineRule="auto"/>
        <w:ind w:firstLine="5040" w:firstLineChars="2000"/>
        <w:jc w:val="left"/>
        <w:rPr>
          <w:rFonts w:hint="eastAsia" w:ascii="宋体" w:hAnsi="宋体" w:cs="宋体"/>
          <w:spacing w:val="6"/>
          <w:sz w:val="24"/>
          <w:szCs w:val="24"/>
          <w:highlight w:val="none"/>
        </w:rPr>
      </w:pPr>
    </w:p>
    <w:p>
      <w:pPr>
        <w:bidi w:val="0"/>
        <w:rPr>
          <w:rFonts w:hint="eastAsia" w:ascii="宋体" w:hAnsi="宋体" w:eastAsia="宋体" w:cs="宋体"/>
          <w:spacing w:val="6"/>
          <w:sz w:val="22"/>
          <w:szCs w:val="22"/>
          <w:highlight w:val="none"/>
          <w:lang w:eastAsia="zh-CN"/>
        </w:rPr>
      </w:pPr>
    </w:p>
    <w:p>
      <w:pPr>
        <w:bidi w:val="0"/>
        <w:rPr>
          <w:rFonts w:hint="eastAsia" w:ascii="宋体" w:hAnsi="宋体" w:eastAsia="宋体" w:cs="宋体"/>
          <w:spacing w:val="6"/>
          <w:sz w:val="22"/>
          <w:szCs w:val="22"/>
          <w:highlight w:val="none"/>
          <w:lang w:eastAsia="zh-CN"/>
        </w:rPr>
      </w:pPr>
    </w:p>
    <w:p>
      <w:pPr>
        <w:spacing w:line="360" w:lineRule="auto"/>
        <w:rPr>
          <w:rFonts w:hAnsi="宋体" w:cs="宋体"/>
          <w:b/>
          <w:szCs w:val="24"/>
          <w:highlight w:val="none"/>
        </w:rPr>
      </w:pPr>
      <w:r>
        <w:rPr>
          <w:rFonts w:hint="eastAsia" w:ascii="宋体" w:hAnsi="宋体" w:eastAsia="宋体" w:cs="宋体"/>
          <w:spacing w:val="6"/>
          <w:sz w:val="22"/>
          <w:szCs w:val="22"/>
          <w:highlight w:val="none"/>
          <w:lang w:eastAsia="zh-CN"/>
        </w:rPr>
        <w:t>备注：</w:t>
      </w:r>
      <w:r>
        <w:rPr>
          <w:rFonts w:hint="eastAsia" w:ascii="宋体" w:hAnsi="宋体" w:eastAsia="宋体" w:cs="宋体"/>
          <w:spacing w:val="6"/>
          <w:sz w:val="22"/>
          <w:szCs w:val="22"/>
          <w:highlight w:val="none"/>
        </w:rPr>
        <w:t>1 从业人员、营业收入、资产总额填报上一年度数据，无上一年度数据的新成立企业可不填报。</w:t>
      </w:r>
      <w:r>
        <w:rPr>
          <w:rFonts w:hint="eastAsia" w:hAnsi="宋体" w:cs="宋体"/>
          <w:b/>
          <w:szCs w:val="24"/>
          <w:highlight w:val="none"/>
        </w:rPr>
        <w:br w:type="page"/>
      </w:r>
    </w:p>
    <w:p>
      <w:pPr>
        <w:bidi w:val="0"/>
        <w:rPr>
          <w:rFonts w:ascii="宋体" w:hAnsi="宋体"/>
          <w:b/>
          <w:sz w:val="24"/>
          <w:highlight w:val="none"/>
        </w:rPr>
      </w:pPr>
      <w:bookmarkStart w:id="199" w:name="_Toc12704"/>
      <w:bookmarkStart w:id="200" w:name="_Toc26401"/>
      <w:bookmarkStart w:id="201" w:name="_Toc13530"/>
      <w:r>
        <w:rPr>
          <w:rFonts w:hint="eastAsia" w:ascii="宋体" w:hAnsi="宋体"/>
          <w:b/>
          <w:sz w:val="24"/>
          <w:highlight w:val="none"/>
        </w:rPr>
        <w:t>附：《</w:t>
      </w:r>
      <w:r>
        <w:rPr>
          <w:rFonts w:ascii="宋体" w:hAnsi="宋体"/>
          <w:b/>
          <w:sz w:val="24"/>
          <w:highlight w:val="none"/>
        </w:rPr>
        <w:t>中小企业划型标准规定</w:t>
      </w:r>
      <w:r>
        <w:rPr>
          <w:rFonts w:hint="eastAsia" w:ascii="宋体" w:hAnsi="宋体"/>
          <w:b/>
          <w:sz w:val="24"/>
          <w:highlight w:val="none"/>
        </w:rPr>
        <w:t>》</w:t>
      </w:r>
      <w:r>
        <w:rPr>
          <w:rFonts w:ascii="宋体" w:hAnsi="宋体"/>
          <w:b/>
          <w:sz w:val="24"/>
          <w:highlight w:val="none"/>
        </w:rPr>
        <w:t>各行业划型标准</w:t>
      </w:r>
    </w:p>
    <w:p>
      <w:pPr>
        <w:spacing w:line="360" w:lineRule="auto"/>
        <w:ind w:firstLine="420"/>
        <w:jc w:val="left"/>
        <w:rPr>
          <w:rFonts w:ascii="宋体" w:hAnsi="宋体"/>
          <w:sz w:val="24"/>
          <w:highlight w:val="none"/>
        </w:rPr>
      </w:pPr>
      <w:r>
        <w:rPr>
          <w:rFonts w:ascii="宋体" w:hAnsi="宋体"/>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420"/>
        <w:jc w:val="left"/>
        <w:rPr>
          <w:rFonts w:ascii="宋体" w:hAnsi="宋体"/>
          <w:sz w:val="24"/>
          <w:highlight w:val="none"/>
        </w:rPr>
      </w:pPr>
      <w:r>
        <w:rPr>
          <w:rFonts w:ascii="宋体" w:hAnsi="宋体"/>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420"/>
        <w:jc w:val="left"/>
        <w:rPr>
          <w:rFonts w:ascii="宋体" w:hAnsi="宋体"/>
          <w:sz w:val="24"/>
          <w:highlight w:val="none"/>
        </w:rPr>
      </w:pPr>
      <w:r>
        <w:rPr>
          <w:rFonts w:ascii="宋体" w:hAnsi="宋体"/>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420"/>
        <w:jc w:val="left"/>
        <w:rPr>
          <w:rFonts w:ascii="宋体" w:hAnsi="宋体"/>
          <w:sz w:val="24"/>
          <w:highlight w:val="none"/>
        </w:rPr>
      </w:pPr>
      <w:r>
        <w:rPr>
          <w:rFonts w:ascii="宋体" w:hAnsi="宋体"/>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420"/>
        <w:jc w:val="left"/>
        <w:rPr>
          <w:rFonts w:ascii="宋体" w:hAnsi="宋体"/>
          <w:sz w:val="24"/>
          <w:highlight w:val="none"/>
        </w:rPr>
      </w:pPr>
      <w:r>
        <w:rPr>
          <w:rFonts w:ascii="宋体" w:hAnsi="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420"/>
        <w:jc w:val="left"/>
        <w:rPr>
          <w:rFonts w:ascii="宋体" w:hAnsi="宋体"/>
          <w:sz w:val="24"/>
          <w:highlight w:val="none"/>
        </w:rPr>
      </w:pPr>
      <w:r>
        <w:rPr>
          <w:rFonts w:ascii="宋体" w:hAnsi="宋体"/>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420"/>
        <w:jc w:val="left"/>
        <w:rPr>
          <w:rFonts w:ascii="宋体" w:hAnsi="宋体"/>
          <w:sz w:val="24"/>
          <w:highlight w:val="none"/>
        </w:rPr>
      </w:pPr>
      <w:r>
        <w:rPr>
          <w:rFonts w:ascii="宋体" w:hAnsi="宋体"/>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420"/>
        <w:jc w:val="left"/>
        <w:rPr>
          <w:rFonts w:ascii="宋体" w:hAnsi="宋体"/>
          <w:sz w:val="24"/>
          <w:highlight w:val="none"/>
        </w:rPr>
      </w:pPr>
      <w:r>
        <w:rPr>
          <w:rFonts w:ascii="宋体" w:hAnsi="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20"/>
        <w:jc w:val="left"/>
        <w:rPr>
          <w:rFonts w:hint="eastAsia" w:ascii="宋体" w:hAnsi="宋体"/>
          <w:sz w:val="24"/>
          <w:highlight w:val="none"/>
        </w:rPr>
      </w:pPr>
      <w:r>
        <w:rPr>
          <w:rFonts w:ascii="宋体" w:hAnsi="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jc w:val="left"/>
        <w:rPr>
          <w:rFonts w:ascii="宋体" w:hAnsi="宋体"/>
          <w:sz w:val="24"/>
          <w:highlight w:val="none"/>
        </w:rPr>
      </w:pPr>
      <w:r>
        <w:rPr>
          <w:rFonts w:ascii="宋体" w:hAnsi="宋体"/>
          <w:sz w:val="24"/>
          <w:highlight w:val="none"/>
        </w:rPr>
        <w:t>（十六）其他未列明行业。从业人员300人以下的为中小微型企业。其中，从业人员100人及以上的为中型企业；从业人员10人及以上的为小型企业；从业人员10人以下的为微型企业。</w:t>
      </w:r>
    </w:p>
    <w:p>
      <w:pPr>
        <w:rPr>
          <w:rFonts w:hAnsi="宋体" w:cs="宋体"/>
          <w:b/>
          <w:szCs w:val="24"/>
          <w:highlight w:val="none"/>
        </w:rPr>
      </w:pPr>
      <w:r>
        <w:rPr>
          <w:rFonts w:hint="eastAsia"/>
          <w:b/>
          <w:sz w:val="28"/>
          <w:szCs w:val="28"/>
          <w:highlight w:val="none"/>
        </w:rPr>
        <w:br w:type="page"/>
      </w:r>
      <w:r>
        <w:rPr>
          <w:rFonts w:hint="eastAsia" w:hAnsi="宋体" w:cs="宋体"/>
          <w:b/>
          <w:szCs w:val="24"/>
          <w:highlight w:val="none"/>
        </w:rPr>
        <w:t>附件3：磋商产品属节能、环境标志产品列表（如有）</w:t>
      </w:r>
      <w:bookmarkEnd w:id="199"/>
      <w:bookmarkEnd w:id="200"/>
      <w:bookmarkEnd w:id="201"/>
    </w:p>
    <w:p>
      <w:pPr>
        <w:spacing w:before="312" w:beforeLines="100" w:after="156" w:afterLines="50" w:line="360" w:lineRule="auto"/>
        <w:jc w:val="center"/>
        <w:rPr>
          <w:rFonts w:hAnsi="宋体" w:cs="宋体"/>
          <w:b/>
          <w:szCs w:val="24"/>
          <w:highlight w:val="none"/>
        </w:rPr>
      </w:pPr>
      <w:r>
        <w:rPr>
          <w:rFonts w:hint="eastAsia" w:hAnsi="宋体" w:cs="宋体"/>
          <w:b/>
          <w:szCs w:val="24"/>
          <w:highlight w:val="none"/>
        </w:rPr>
        <w:t>磋商产品属节能、环境标志产品列表</w:t>
      </w:r>
      <w:bookmarkEnd w:id="198"/>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项目编号、包号：</w:t>
      </w:r>
    </w:p>
    <w:tbl>
      <w:tblPr>
        <w:tblStyle w:val="24"/>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line="360" w:lineRule="auto"/>
              <w:jc w:val="center"/>
              <w:rPr>
                <w:rFonts w:hAnsi="宋体" w:cs="宋体"/>
                <w:szCs w:val="24"/>
                <w:highlight w:val="none"/>
              </w:rPr>
            </w:pPr>
            <w:r>
              <w:rPr>
                <w:rFonts w:hint="eastAsia" w:hAnsi="宋体" w:cs="宋体"/>
                <w:szCs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szCs w:val="24"/>
                <w:highlight w:val="none"/>
              </w:rPr>
            </w:pPr>
            <w:r>
              <w:rPr>
                <w:rFonts w:hint="eastAsia" w:hAnsi="宋体" w:cs="宋体"/>
                <w:szCs w:val="24"/>
                <w:highlight w:val="none"/>
              </w:rPr>
              <w:t>单价</w:t>
            </w:r>
          </w:p>
          <w:p>
            <w:pPr>
              <w:spacing w:after="120" w:line="360" w:lineRule="auto"/>
              <w:jc w:val="center"/>
              <w:rPr>
                <w:rFonts w:hAnsi="宋体" w:cs="宋体"/>
                <w:bCs/>
                <w:szCs w:val="24"/>
                <w:highlight w:val="none"/>
              </w:rPr>
            </w:pPr>
            <w:r>
              <w:rPr>
                <w:rFonts w:hint="eastAsia" w:hAnsi="宋体" w:cs="宋体"/>
                <w:szCs w:val="24"/>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line="360" w:lineRule="auto"/>
              <w:jc w:val="center"/>
              <w:rPr>
                <w:rFonts w:hAnsi="宋体" w:cs="宋体"/>
                <w:bCs/>
                <w:szCs w:val="24"/>
                <w:highlight w:val="none"/>
              </w:rPr>
            </w:pPr>
            <w:r>
              <w:rPr>
                <w:rFonts w:hint="eastAsia" w:hAnsi="宋体" w:cs="宋体"/>
                <w:bCs/>
                <w:szCs w:val="24"/>
                <w:highlight w:val="none"/>
              </w:rPr>
              <w:t>总价</w:t>
            </w:r>
          </w:p>
          <w:p>
            <w:pPr>
              <w:spacing w:after="120" w:line="360" w:lineRule="auto"/>
              <w:jc w:val="center"/>
              <w:rPr>
                <w:rFonts w:hAnsi="宋体" w:cs="宋体"/>
                <w:bCs/>
                <w:szCs w:val="24"/>
                <w:highlight w:val="none"/>
              </w:rPr>
            </w:pPr>
            <w:r>
              <w:rPr>
                <w:rFonts w:hint="eastAsia" w:hAnsi="宋体" w:cs="宋体"/>
                <w:bCs/>
                <w:szCs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line="360" w:lineRule="auto"/>
              <w:jc w:val="center"/>
              <w:rPr>
                <w:rFonts w:hAnsi="宋体" w:cs="宋体"/>
                <w:b/>
                <w:szCs w:val="24"/>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left"/>
              <w:rPr>
                <w:rFonts w:hAnsi="宋体" w:cs="宋体"/>
                <w:szCs w:val="24"/>
                <w:highlight w:val="none"/>
              </w:rPr>
            </w:pPr>
            <w:r>
              <w:rPr>
                <w:rFonts w:hint="eastAsia" w:hAnsi="宋体" w:cs="宋体"/>
                <w:szCs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spacing w:line="360" w:lineRule="auto"/>
              <w:jc w:val="center"/>
              <w:rPr>
                <w:rFonts w:hAnsi="宋体" w:cs="宋体"/>
                <w:szCs w:val="24"/>
                <w:highlight w:val="none"/>
              </w:rPr>
            </w:pPr>
            <w:r>
              <w:rPr>
                <w:rFonts w:hint="eastAsia" w:hAnsi="宋体" w:cs="宋体"/>
                <w:szCs w:val="24"/>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line="360" w:lineRule="auto"/>
              <w:jc w:val="center"/>
              <w:rPr>
                <w:rFonts w:hAnsi="宋体" w:cs="宋体"/>
                <w:szCs w:val="24"/>
                <w:highlight w:val="none"/>
              </w:rPr>
            </w:pPr>
            <w:r>
              <w:rPr>
                <w:rFonts w:hint="eastAsia" w:hAnsi="宋体" w:cs="宋体"/>
                <w:spacing w:val="-6"/>
                <w:szCs w:val="24"/>
                <w:highlight w:val="none"/>
              </w:rPr>
              <w:t>保留小数点后两位。</w:t>
            </w:r>
          </w:p>
        </w:tc>
      </w:tr>
    </w:tbl>
    <w:p>
      <w:pPr>
        <w:adjustRightInd w:val="0"/>
        <w:snapToGrid w:val="0"/>
        <w:spacing w:line="360" w:lineRule="auto"/>
        <w:rPr>
          <w:rFonts w:hAnsi="宋体" w:cs="宋体"/>
          <w:szCs w:val="24"/>
          <w:highlight w:val="none"/>
        </w:rPr>
      </w:pPr>
    </w:p>
    <w:p>
      <w:pPr>
        <w:adjustRightInd w:val="0"/>
        <w:snapToGrid w:val="0"/>
        <w:spacing w:line="360" w:lineRule="auto"/>
        <w:rPr>
          <w:rFonts w:hAnsi="宋体" w:cs="宋体"/>
          <w:bCs/>
          <w:szCs w:val="24"/>
          <w:highlight w:val="none"/>
        </w:rPr>
      </w:pPr>
      <w:r>
        <w:rPr>
          <w:rFonts w:hint="eastAsia" w:hAnsi="宋体" w:cs="宋体"/>
          <w:szCs w:val="24"/>
          <w:highlight w:val="none"/>
        </w:rPr>
        <w:t>说明：</w:t>
      </w:r>
      <w:r>
        <w:rPr>
          <w:rFonts w:hint="eastAsia" w:hAnsi="宋体" w:cs="宋体"/>
          <w:bCs/>
          <w:szCs w:val="24"/>
          <w:highlight w:val="none"/>
        </w:rPr>
        <w:t>1、</w:t>
      </w:r>
      <w:r>
        <w:rPr>
          <w:rFonts w:hint="eastAsia" w:hAnsi="宋体" w:cs="宋体"/>
          <w:szCs w:val="24"/>
          <w:highlight w:val="none"/>
        </w:rPr>
        <w:t>供应商提供的属于节能、环境标志产品品目清单中优先采购的产品，须按磋商文件要求提供相关证明材料。</w:t>
      </w:r>
    </w:p>
    <w:p>
      <w:pPr>
        <w:pStyle w:val="36"/>
        <w:spacing w:line="360" w:lineRule="auto"/>
        <w:ind w:left="480" w:leftChars="200" w:firstLine="240" w:firstLineChars="100"/>
        <w:rPr>
          <w:rFonts w:hAnsi="宋体" w:cs="宋体"/>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outlineLvl w:val="2"/>
        <w:rPr>
          <w:rFonts w:hAnsi="宋体" w:cs="宋体"/>
          <w:b/>
          <w:bCs/>
          <w:spacing w:val="6"/>
          <w:szCs w:val="24"/>
          <w:highlight w:val="none"/>
        </w:rPr>
      </w:pPr>
      <w:r>
        <w:rPr>
          <w:rFonts w:hint="eastAsia" w:hAnsi="宋体" w:cs="宋体"/>
          <w:szCs w:val="24"/>
          <w:highlight w:val="none"/>
        </w:rPr>
        <w:br w:type="page"/>
      </w:r>
      <w:bookmarkStart w:id="202" w:name="_Toc22425"/>
      <w:bookmarkStart w:id="203" w:name="_Toc11235"/>
      <w:bookmarkStart w:id="204" w:name="_Toc17038"/>
      <w:r>
        <w:rPr>
          <w:rFonts w:hint="eastAsia" w:hAnsi="宋体" w:cs="宋体"/>
          <w:b/>
          <w:bCs/>
          <w:spacing w:val="6"/>
          <w:szCs w:val="24"/>
          <w:highlight w:val="none"/>
        </w:rPr>
        <w:t>附件4：残疾人福利性单位声明函（如有）</w:t>
      </w:r>
      <w:bookmarkEnd w:id="202"/>
      <w:bookmarkEnd w:id="203"/>
      <w:bookmarkEnd w:id="204"/>
    </w:p>
    <w:p>
      <w:pPr>
        <w:spacing w:line="360" w:lineRule="auto"/>
        <w:jc w:val="center"/>
        <w:rPr>
          <w:rFonts w:hAnsi="宋体" w:cs="宋体"/>
          <w:b/>
          <w:spacing w:val="6"/>
          <w:szCs w:val="24"/>
          <w:highlight w:val="none"/>
        </w:rPr>
      </w:pPr>
      <w:bookmarkStart w:id="205" w:name="OLE_LINK14"/>
      <w:bookmarkStart w:id="206" w:name="OLE_LINK13"/>
      <w:r>
        <w:rPr>
          <w:rFonts w:hint="eastAsia" w:hAnsi="宋体" w:cs="宋体"/>
          <w:b/>
          <w:spacing w:val="6"/>
          <w:szCs w:val="24"/>
          <w:highlight w:val="none"/>
        </w:rPr>
        <w:t>残疾人福利性单位声明函</w:t>
      </w:r>
    </w:p>
    <w:bookmarkEnd w:id="205"/>
    <w:bookmarkEnd w:id="206"/>
    <w:p>
      <w:pPr>
        <w:spacing w:line="360" w:lineRule="auto"/>
        <w:rPr>
          <w:rFonts w:hAnsi="宋体" w:cs="宋体"/>
          <w:b/>
          <w:spacing w:val="6"/>
          <w:szCs w:val="24"/>
          <w:highlight w:val="none"/>
        </w:rPr>
      </w:pP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spacing w:line="360" w:lineRule="auto"/>
        <w:ind w:firstLine="504" w:firstLineChars="200"/>
        <w:rPr>
          <w:rFonts w:hAnsi="宋体" w:cs="宋体"/>
          <w:spacing w:val="6"/>
          <w:szCs w:val="24"/>
          <w:highlight w:val="none"/>
        </w:rPr>
      </w:pP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360" w:lineRule="auto"/>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spacing w:line="360" w:lineRule="auto"/>
        <w:jc w:val="left"/>
        <w:outlineLvl w:val="2"/>
        <w:rPr>
          <w:rFonts w:hAnsi="宋体" w:cs="宋体"/>
          <w:b/>
          <w:szCs w:val="24"/>
          <w:highlight w:val="none"/>
        </w:rPr>
      </w:pPr>
      <w:r>
        <w:rPr>
          <w:rFonts w:hint="eastAsia" w:hAnsi="宋体" w:cs="宋体"/>
          <w:szCs w:val="24"/>
          <w:highlight w:val="none"/>
        </w:rPr>
        <w:br w:type="page"/>
      </w:r>
      <w:bookmarkStart w:id="207" w:name="_Toc15616"/>
      <w:bookmarkStart w:id="208" w:name="_Toc32154"/>
      <w:bookmarkStart w:id="209" w:name="_Toc10296"/>
      <w:r>
        <w:rPr>
          <w:rFonts w:hint="eastAsia" w:hAnsi="宋体" w:cs="宋体"/>
          <w:b/>
          <w:szCs w:val="24"/>
          <w:highlight w:val="none"/>
        </w:rPr>
        <w:t>附件5：磋商担保函（参考格式）</w:t>
      </w:r>
      <w:bookmarkEnd w:id="207"/>
      <w:bookmarkEnd w:id="208"/>
      <w:bookmarkEnd w:id="209"/>
    </w:p>
    <w:p>
      <w:pPr>
        <w:spacing w:line="360" w:lineRule="auto"/>
        <w:jc w:val="center"/>
        <w:rPr>
          <w:rFonts w:hAnsi="宋体" w:cs="宋体"/>
          <w:b/>
          <w:bCs/>
          <w:szCs w:val="24"/>
          <w:highlight w:val="none"/>
        </w:rPr>
      </w:pPr>
      <w:r>
        <w:rPr>
          <w:rFonts w:hint="eastAsia" w:hAnsi="宋体" w:cs="宋体"/>
          <w:b/>
          <w:bCs/>
          <w:szCs w:val="24"/>
          <w:highlight w:val="none"/>
        </w:rPr>
        <w:t>磋商担保函</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jc w:val="center"/>
        <w:rPr>
          <w:rFonts w:hAnsi="宋体" w:cs="宋体"/>
          <w:szCs w:val="24"/>
          <w:highlight w:val="none"/>
        </w:rPr>
      </w:pPr>
      <w:r>
        <w:rPr>
          <w:rFonts w:hint="eastAsia" w:hAnsi="宋体" w:cs="宋体"/>
          <w:szCs w:val="24"/>
          <w:highlight w:val="none"/>
        </w:rPr>
        <w:t xml:space="preserve">                              编号： </w:t>
      </w:r>
    </w:p>
    <w:p>
      <w:pPr>
        <w:spacing w:line="360" w:lineRule="auto"/>
        <w:rPr>
          <w:rFonts w:hAnsi="宋体" w:cs="宋体"/>
          <w:szCs w:val="24"/>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outlineLvl w:val="2"/>
        <w:rPr>
          <w:rFonts w:hAnsi="宋体" w:cs="宋体"/>
          <w:b/>
          <w:szCs w:val="24"/>
          <w:highlight w:val="none"/>
        </w:rPr>
      </w:pPr>
      <w:bookmarkStart w:id="210" w:name="_Toc2139"/>
      <w:bookmarkStart w:id="211" w:name="_Toc22124"/>
      <w:bookmarkStart w:id="212" w:name="_Toc2119"/>
      <w:r>
        <w:rPr>
          <w:rFonts w:hint="eastAsia" w:hAnsi="宋体" w:cs="宋体"/>
          <w:b/>
          <w:szCs w:val="24"/>
          <w:highlight w:val="none"/>
        </w:rPr>
        <w:t>附件6：质疑函范本</w:t>
      </w:r>
      <w:bookmarkEnd w:id="210"/>
      <w:bookmarkEnd w:id="211"/>
      <w:bookmarkEnd w:id="212"/>
    </w:p>
    <w:p>
      <w:pPr>
        <w:spacing w:line="360" w:lineRule="auto"/>
        <w:jc w:val="center"/>
        <w:rPr>
          <w:rFonts w:hAnsi="宋体" w:cs="宋体"/>
          <w:b/>
          <w:bCs/>
          <w:szCs w:val="24"/>
          <w:highlight w:val="none"/>
        </w:rPr>
      </w:pPr>
      <w:r>
        <w:rPr>
          <w:rFonts w:hint="eastAsia" w:hAnsi="宋体" w:cs="宋体"/>
          <w:b/>
          <w:bCs/>
          <w:szCs w:val="2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p>
    <w:p>
      <w:pPr>
        <w:spacing w:line="360" w:lineRule="auto"/>
        <w:jc w:val="center"/>
        <w:rPr>
          <w:rFonts w:hAnsi="宋体" w:cs="宋体"/>
          <w:b/>
          <w:szCs w:val="24"/>
          <w:highlight w:val="none"/>
        </w:rPr>
      </w:pPr>
    </w:p>
    <w:p>
      <w:pPr>
        <w:spacing w:line="360" w:lineRule="auto"/>
        <w:jc w:val="center"/>
        <w:rPr>
          <w:rFonts w:hAnsi="宋体" w:cs="宋体"/>
          <w:b/>
          <w:szCs w:val="24"/>
          <w:highlight w:val="none"/>
        </w:rPr>
      </w:pPr>
    </w:p>
    <w:p>
      <w:pPr>
        <w:spacing w:line="360" w:lineRule="auto"/>
        <w:rPr>
          <w:rFonts w:hAnsi="宋体" w:cs="宋体"/>
          <w:b/>
          <w:szCs w:val="24"/>
          <w:highlight w:val="none"/>
        </w:rPr>
      </w:pPr>
    </w:p>
    <w:p>
      <w:pPr>
        <w:spacing w:line="360" w:lineRule="auto"/>
        <w:jc w:val="center"/>
        <w:rPr>
          <w:rFonts w:hAnsi="宋体" w:cs="宋体"/>
          <w:b/>
          <w:szCs w:val="24"/>
          <w:highlight w:val="none"/>
        </w:rPr>
      </w:pPr>
      <w:r>
        <w:rPr>
          <w:rFonts w:hint="eastAsia" w:hAnsi="宋体" w:cs="宋体"/>
          <w:b/>
          <w:szCs w:val="24"/>
          <w:highlight w:val="none"/>
        </w:rPr>
        <w:t>投诉书范本</w:t>
      </w:r>
    </w:p>
    <w:p>
      <w:pPr>
        <w:spacing w:line="360" w:lineRule="auto"/>
        <w:rPr>
          <w:rFonts w:hAnsi="宋体" w:cs="宋体"/>
          <w:szCs w:val="24"/>
          <w:highlight w:val="none"/>
        </w:rPr>
      </w:pPr>
      <w:r>
        <w:rPr>
          <w:rFonts w:hint="eastAsia" w:hAnsi="宋体" w:cs="宋体"/>
          <w:szCs w:val="24"/>
          <w:highlight w:val="none"/>
        </w:rPr>
        <w:t>一、投诉相关主体基本情况</w:t>
      </w:r>
    </w:p>
    <w:p>
      <w:pPr>
        <w:spacing w:line="360" w:lineRule="auto"/>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spacing w:line="360" w:lineRule="auto"/>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spacing w:line="360" w:lineRule="auto"/>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被投诉人2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rPr>
      </w:pPr>
      <w:r>
        <w:rPr>
          <w:rFonts w:hint="eastAsia" w:hAnsi="宋体" w:cs="宋体"/>
          <w:szCs w:val="24"/>
          <w:highlight w:val="none"/>
        </w:rPr>
        <w:t>二、投诉项目基本情况</w:t>
      </w:r>
    </w:p>
    <w:p>
      <w:pPr>
        <w:spacing w:line="360" w:lineRule="auto"/>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spacing w:line="360" w:lineRule="auto"/>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三、质疑基本情况</w:t>
      </w:r>
    </w:p>
    <w:p>
      <w:pPr>
        <w:spacing w:line="360" w:lineRule="auto"/>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spacing w:line="360" w:lineRule="auto"/>
        <w:rPr>
          <w:rFonts w:hAnsi="宋体" w:cs="宋体"/>
          <w:szCs w:val="24"/>
          <w:highlight w:val="none"/>
        </w:rPr>
      </w:pPr>
      <w:r>
        <w:rPr>
          <w:rFonts w:hint="eastAsia" w:hAnsi="宋体" w:cs="宋体"/>
          <w:szCs w:val="24"/>
          <w:highlight w:val="none"/>
        </w:rPr>
        <w:t>四、投诉事项具体内容</w:t>
      </w:r>
    </w:p>
    <w:p>
      <w:pPr>
        <w:spacing w:line="360" w:lineRule="auto"/>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spacing w:line="360" w:lineRule="auto"/>
        <w:rPr>
          <w:rFonts w:hAnsi="宋体" w:cs="宋体"/>
          <w:szCs w:val="24"/>
          <w:highlight w:val="none"/>
          <w:u w:val="dotted"/>
        </w:rPr>
      </w:pPr>
      <w:r>
        <w:rPr>
          <w:rFonts w:hint="eastAsia" w:hAnsi="宋体" w:cs="宋体"/>
          <w:szCs w:val="24"/>
          <w:highlight w:val="none"/>
          <w:u w:val="dotted"/>
        </w:rPr>
        <w:t xml:space="preserve">                                                      </w:t>
      </w:r>
    </w:p>
    <w:p>
      <w:pPr>
        <w:spacing w:line="360" w:lineRule="auto"/>
        <w:rPr>
          <w:rFonts w:hAnsi="宋体" w:cs="宋体"/>
          <w:szCs w:val="24"/>
          <w:highlight w:val="none"/>
        </w:rPr>
      </w:pPr>
      <w:r>
        <w:rPr>
          <w:rFonts w:hint="eastAsia" w:hAnsi="宋体" w:cs="宋体"/>
          <w:szCs w:val="24"/>
          <w:highlight w:val="none"/>
        </w:rPr>
        <w:t>投诉事项2</w:t>
      </w:r>
    </w:p>
    <w:p>
      <w:pPr>
        <w:spacing w:line="360" w:lineRule="auto"/>
        <w:rPr>
          <w:rFonts w:hAnsi="宋体" w:cs="宋体"/>
          <w:szCs w:val="24"/>
          <w:highlight w:val="none"/>
          <w:u w:val="dotted"/>
        </w:rPr>
      </w:pPr>
      <w:r>
        <w:rPr>
          <w:rFonts w:hint="eastAsia" w:hAnsi="宋体" w:cs="宋体"/>
          <w:szCs w:val="24"/>
          <w:highlight w:val="none"/>
        </w:rPr>
        <w:t>……</w:t>
      </w:r>
    </w:p>
    <w:p>
      <w:pPr>
        <w:spacing w:line="360" w:lineRule="auto"/>
        <w:rPr>
          <w:rFonts w:hAnsi="宋体" w:cs="宋体"/>
          <w:szCs w:val="24"/>
          <w:highlight w:val="none"/>
        </w:rPr>
      </w:pPr>
      <w:r>
        <w:rPr>
          <w:rFonts w:hint="eastAsia" w:hAnsi="宋体" w:cs="宋体"/>
          <w:szCs w:val="24"/>
          <w:highlight w:val="none"/>
        </w:rPr>
        <w:t>五、与投诉事项相关的投诉请求</w:t>
      </w:r>
    </w:p>
    <w:p>
      <w:pPr>
        <w:spacing w:line="360" w:lineRule="auto"/>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spacing w:line="360" w:lineRule="auto"/>
        <w:rPr>
          <w:rFonts w:hAnsi="宋体" w:cs="宋体"/>
          <w:szCs w:val="24"/>
          <w:highlight w:val="none"/>
          <w:u w:val="single"/>
        </w:rPr>
      </w:pP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签字(签章)：                   公章：                      </w:t>
      </w:r>
    </w:p>
    <w:p>
      <w:pPr>
        <w:spacing w:line="360" w:lineRule="auto"/>
        <w:rPr>
          <w:rFonts w:hAnsi="宋体" w:cs="宋体"/>
          <w:szCs w:val="24"/>
          <w:highlight w:val="none"/>
        </w:rPr>
      </w:pPr>
      <w:r>
        <w:rPr>
          <w:rFonts w:hint="eastAsia" w:hAnsi="宋体" w:cs="宋体"/>
          <w:szCs w:val="24"/>
          <w:highlight w:val="none"/>
        </w:rPr>
        <w:t xml:space="preserve">日期：   </w:t>
      </w:r>
      <w:r>
        <w:rPr>
          <w:rFonts w:hint="eastAsia" w:hAnsi="宋体" w:cs="宋体"/>
          <w:sz w:val="32"/>
          <w:szCs w:val="32"/>
          <w:highlight w:val="none"/>
        </w:rPr>
        <w:t xml:space="preserve"> </w:t>
      </w:r>
      <w:r>
        <w:rPr>
          <w:rFonts w:hint="eastAsia" w:hAnsi="宋体" w:cs="宋体"/>
          <w:szCs w:val="24"/>
          <w:highlight w:val="none"/>
        </w:rPr>
        <w:t xml:space="preserve">                  </w:t>
      </w:r>
    </w:p>
    <w:p>
      <w:pPr>
        <w:spacing w:line="360" w:lineRule="auto"/>
        <w:rPr>
          <w:rFonts w:hAnsi="宋体" w:cs="宋体"/>
          <w:szCs w:val="24"/>
          <w:highlight w:val="none"/>
        </w:rPr>
      </w:pPr>
      <w:r>
        <w:rPr>
          <w:rFonts w:hint="eastAsia" w:hAnsi="宋体" w:cs="宋体"/>
          <w:szCs w:val="24"/>
          <w:highlight w:val="none"/>
        </w:rPr>
        <w:t xml:space="preserve">                                </w:t>
      </w:r>
    </w:p>
    <w:p>
      <w:pPr>
        <w:tabs>
          <w:tab w:val="left" w:pos="7839"/>
        </w:tabs>
        <w:rPr>
          <w:rFonts w:hAnsi="宋体" w:cs="宋体"/>
          <w:szCs w:val="24"/>
          <w:highlight w:val="none"/>
        </w:rPr>
      </w:pPr>
      <w:r>
        <w:rPr>
          <w:rFonts w:hint="eastAsia" w:hAnsi="宋体" w:cs="宋体"/>
          <w:szCs w:val="24"/>
          <w:highlight w:val="none"/>
        </w:rPr>
        <w:tab/>
      </w:r>
    </w:p>
    <w:p>
      <w:pPr>
        <w:rPr>
          <w:highlight w:val="none"/>
        </w:rPr>
      </w:pPr>
    </w:p>
    <w:p>
      <w:pPr>
        <w:rPr>
          <w:highlight w:val="none"/>
        </w:rPr>
      </w:pP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 w:val="28"/>
        <w:szCs w:val="28"/>
      </w:rPr>
    </w:pPr>
    <w:r>
      <w:rPr>
        <w:rFonts w:hint="eastAsia" w:hAnsi="宋体"/>
        <w:bCs/>
        <w:sz w:val="18"/>
        <w:szCs w:val="18"/>
        <w:u w:val="single"/>
        <w:lang w:eastAsia="zh-CN"/>
      </w:rPr>
      <w:t>西安市商务局关于2022年会议会展产业中高级人才培训班项目</w:t>
    </w:r>
    <w:r>
      <w:rPr>
        <w:rFonts w:hint="eastAsia" w:hAnsi="宋体"/>
        <w:bCs/>
        <w:sz w:val="20"/>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179FF"/>
    <w:multiLevelType w:val="singleLevel"/>
    <w:tmpl w:val="FB8179FF"/>
    <w:lvl w:ilvl="0" w:tentative="0">
      <w:start w:val="1"/>
      <w:numFmt w:val="decimal"/>
      <w:suff w:val="nothing"/>
      <w:lvlText w:val="%1、"/>
      <w:lvlJc w:val="left"/>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abstractNum w:abstractNumId="5">
    <w:nsid w:val="76C54A60"/>
    <w:multiLevelType w:val="singleLevel"/>
    <w:tmpl w:val="76C54A60"/>
    <w:lvl w:ilvl="0" w:tentative="0">
      <w:start w:val="1"/>
      <w:numFmt w:val="decimal"/>
      <w:suff w:val="nothing"/>
      <w:lvlText w:val="（%1）"/>
      <w:lvlJc w:val="left"/>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DFkNThhMjZjM2YzYmQ1NDFlNmQwYWMyYmNiZDgifQ=="/>
  </w:docVars>
  <w:rsids>
    <w:rsidRoot w:val="00973DC7"/>
    <w:rsid w:val="0002358A"/>
    <w:rsid w:val="00026C34"/>
    <w:rsid w:val="00042951"/>
    <w:rsid w:val="00176014"/>
    <w:rsid w:val="001C1075"/>
    <w:rsid w:val="001E001B"/>
    <w:rsid w:val="00220708"/>
    <w:rsid w:val="002331E9"/>
    <w:rsid w:val="00243B16"/>
    <w:rsid w:val="00287E1D"/>
    <w:rsid w:val="002A28C8"/>
    <w:rsid w:val="002E4055"/>
    <w:rsid w:val="0032048F"/>
    <w:rsid w:val="003610E4"/>
    <w:rsid w:val="003D60A8"/>
    <w:rsid w:val="003F011A"/>
    <w:rsid w:val="00421E0C"/>
    <w:rsid w:val="004276AD"/>
    <w:rsid w:val="004279FB"/>
    <w:rsid w:val="0045428F"/>
    <w:rsid w:val="00472FD4"/>
    <w:rsid w:val="004E6E17"/>
    <w:rsid w:val="00535F2B"/>
    <w:rsid w:val="00540F71"/>
    <w:rsid w:val="0055012E"/>
    <w:rsid w:val="0057331F"/>
    <w:rsid w:val="005E5C80"/>
    <w:rsid w:val="00602E63"/>
    <w:rsid w:val="00615F4B"/>
    <w:rsid w:val="00674F2A"/>
    <w:rsid w:val="006764FB"/>
    <w:rsid w:val="006D261C"/>
    <w:rsid w:val="006E0B53"/>
    <w:rsid w:val="006F277C"/>
    <w:rsid w:val="00736E3A"/>
    <w:rsid w:val="00747BC3"/>
    <w:rsid w:val="007D55DA"/>
    <w:rsid w:val="007D7A41"/>
    <w:rsid w:val="007F1AEA"/>
    <w:rsid w:val="00830F08"/>
    <w:rsid w:val="00837690"/>
    <w:rsid w:val="008428AD"/>
    <w:rsid w:val="00904F5F"/>
    <w:rsid w:val="00924D4E"/>
    <w:rsid w:val="00935635"/>
    <w:rsid w:val="00973DC7"/>
    <w:rsid w:val="009755FF"/>
    <w:rsid w:val="00A3727B"/>
    <w:rsid w:val="00A64328"/>
    <w:rsid w:val="00A64E43"/>
    <w:rsid w:val="00AB06A5"/>
    <w:rsid w:val="00AE3372"/>
    <w:rsid w:val="00B17CF2"/>
    <w:rsid w:val="00B41EB2"/>
    <w:rsid w:val="00B45A99"/>
    <w:rsid w:val="00B466F8"/>
    <w:rsid w:val="00B8148A"/>
    <w:rsid w:val="00B87204"/>
    <w:rsid w:val="00C75AC4"/>
    <w:rsid w:val="00D4250E"/>
    <w:rsid w:val="00D62D53"/>
    <w:rsid w:val="00D96721"/>
    <w:rsid w:val="00DB0F79"/>
    <w:rsid w:val="00E049B6"/>
    <w:rsid w:val="00E47816"/>
    <w:rsid w:val="00E5348C"/>
    <w:rsid w:val="00EB6D79"/>
    <w:rsid w:val="00ED3DD8"/>
    <w:rsid w:val="00F8616E"/>
    <w:rsid w:val="00F973A6"/>
    <w:rsid w:val="00FA70FB"/>
    <w:rsid w:val="00FB03BE"/>
    <w:rsid w:val="00FB4100"/>
    <w:rsid w:val="00FF4534"/>
    <w:rsid w:val="00FF57C5"/>
    <w:rsid w:val="011E05A8"/>
    <w:rsid w:val="01C61E35"/>
    <w:rsid w:val="022E64FC"/>
    <w:rsid w:val="03726A10"/>
    <w:rsid w:val="04021E3A"/>
    <w:rsid w:val="04740C66"/>
    <w:rsid w:val="052267B3"/>
    <w:rsid w:val="05AB27B6"/>
    <w:rsid w:val="05CF2330"/>
    <w:rsid w:val="05DC0BC5"/>
    <w:rsid w:val="067D4CBB"/>
    <w:rsid w:val="06B639C8"/>
    <w:rsid w:val="06D01AA0"/>
    <w:rsid w:val="070A6D90"/>
    <w:rsid w:val="0757185D"/>
    <w:rsid w:val="084F02FA"/>
    <w:rsid w:val="0858727E"/>
    <w:rsid w:val="090B69EE"/>
    <w:rsid w:val="090C1C94"/>
    <w:rsid w:val="09376CFA"/>
    <w:rsid w:val="093F6824"/>
    <w:rsid w:val="0983380B"/>
    <w:rsid w:val="09AC3D9D"/>
    <w:rsid w:val="0A6B23EB"/>
    <w:rsid w:val="0A8801C3"/>
    <w:rsid w:val="0BCA2CBB"/>
    <w:rsid w:val="0BF00680"/>
    <w:rsid w:val="0C683852"/>
    <w:rsid w:val="0C8A2E07"/>
    <w:rsid w:val="0C8C1C06"/>
    <w:rsid w:val="0CF37706"/>
    <w:rsid w:val="0D136775"/>
    <w:rsid w:val="0D7769D5"/>
    <w:rsid w:val="0D870F11"/>
    <w:rsid w:val="0E501561"/>
    <w:rsid w:val="0E892334"/>
    <w:rsid w:val="0EDA5CE1"/>
    <w:rsid w:val="0F5608D1"/>
    <w:rsid w:val="0FCD3AAE"/>
    <w:rsid w:val="10BC57F8"/>
    <w:rsid w:val="121C12F4"/>
    <w:rsid w:val="122F520E"/>
    <w:rsid w:val="124E6541"/>
    <w:rsid w:val="131A26F2"/>
    <w:rsid w:val="136B30E9"/>
    <w:rsid w:val="139B7B8F"/>
    <w:rsid w:val="14C136B2"/>
    <w:rsid w:val="14E33AB0"/>
    <w:rsid w:val="14E64AC7"/>
    <w:rsid w:val="153F795A"/>
    <w:rsid w:val="15515E6C"/>
    <w:rsid w:val="159E1FC4"/>
    <w:rsid w:val="15F21E69"/>
    <w:rsid w:val="16301CA8"/>
    <w:rsid w:val="164954E6"/>
    <w:rsid w:val="16C07888"/>
    <w:rsid w:val="16E73150"/>
    <w:rsid w:val="17005FBC"/>
    <w:rsid w:val="170C6806"/>
    <w:rsid w:val="17151EB2"/>
    <w:rsid w:val="178E5765"/>
    <w:rsid w:val="17DD234B"/>
    <w:rsid w:val="18651EE8"/>
    <w:rsid w:val="195C11B3"/>
    <w:rsid w:val="19B217FE"/>
    <w:rsid w:val="1A1D22EC"/>
    <w:rsid w:val="1A354BF2"/>
    <w:rsid w:val="1A42108B"/>
    <w:rsid w:val="1B005CAB"/>
    <w:rsid w:val="1B54472B"/>
    <w:rsid w:val="1BBA4B74"/>
    <w:rsid w:val="1BCA6820"/>
    <w:rsid w:val="1DCB77A4"/>
    <w:rsid w:val="1DD16F98"/>
    <w:rsid w:val="1E250A39"/>
    <w:rsid w:val="1E580433"/>
    <w:rsid w:val="1E73543E"/>
    <w:rsid w:val="1ED62FA5"/>
    <w:rsid w:val="1F2B7580"/>
    <w:rsid w:val="1F833C2E"/>
    <w:rsid w:val="1F9D7BD8"/>
    <w:rsid w:val="20FF4843"/>
    <w:rsid w:val="211C365B"/>
    <w:rsid w:val="21210A4D"/>
    <w:rsid w:val="216A1093"/>
    <w:rsid w:val="21E802E6"/>
    <w:rsid w:val="22C87E1F"/>
    <w:rsid w:val="23AE65D0"/>
    <w:rsid w:val="248F6A8B"/>
    <w:rsid w:val="2500362B"/>
    <w:rsid w:val="2590335E"/>
    <w:rsid w:val="25CD67EA"/>
    <w:rsid w:val="263142A6"/>
    <w:rsid w:val="26450D58"/>
    <w:rsid w:val="267912FF"/>
    <w:rsid w:val="269D0F1A"/>
    <w:rsid w:val="269F3714"/>
    <w:rsid w:val="26D501B5"/>
    <w:rsid w:val="26FB12A2"/>
    <w:rsid w:val="27CA51B3"/>
    <w:rsid w:val="28307F81"/>
    <w:rsid w:val="28797669"/>
    <w:rsid w:val="288C497D"/>
    <w:rsid w:val="29AA1368"/>
    <w:rsid w:val="29C918F6"/>
    <w:rsid w:val="2A1F32F0"/>
    <w:rsid w:val="2A454F8A"/>
    <w:rsid w:val="2A91460E"/>
    <w:rsid w:val="2CB05D3F"/>
    <w:rsid w:val="2D625576"/>
    <w:rsid w:val="2DA83DCF"/>
    <w:rsid w:val="2EBB4D79"/>
    <w:rsid w:val="2ED72502"/>
    <w:rsid w:val="2F02634B"/>
    <w:rsid w:val="2F4A00A5"/>
    <w:rsid w:val="2FC86AE1"/>
    <w:rsid w:val="300611A5"/>
    <w:rsid w:val="31DE4D8C"/>
    <w:rsid w:val="32733FAC"/>
    <w:rsid w:val="33AA77EF"/>
    <w:rsid w:val="33FE173B"/>
    <w:rsid w:val="34604A96"/>
    <w:rsid w:val="357B6BF2"/>
    <w:rsid w:val="37005B29"/>
    <w:rsid w:val="37265F69"/>
    <w:rsid w:val="372C45BC"/>
    <w:rsid w:val="383B0B9E"/>
    <w:rsid w:val="38DE0838"/>
    <w:rsid w:val="396452D2"/>
    <w:rsid w:val="39956894"/>
    <w:rsid w:val="39DF785B"/>
    <w:rsid w:val="39FF1CAB"/>
    <w:rsid w:val="3A31251A"/>
    <w:rsid w:val="3A3F0516"/>
    <w:rsid w:val="3AAD1D7E"/>
    <w:rsid w:val="3AF02658"/>
    <w:rsid w:val="3B1810FD"/>
    <w:rsid w:val="3B6A2E21"/>
    <w:rsid w:val="3C347E93"/>
    <w:rsid w:val="3C7D53DE"/>
    <w:rsid w:val="3CB777E3"/>
    <w:rsid w:val="3EBE2F0F"/>
    <w:rsid w:val="3ECA4180"/>
    <w:rsid w:val="3F336184"/>
    <w:rsid w:val="3F3929D2"/>
    <w:rsid w:val="40835B1C"/>
    <w:rsid w:val="416039C5"/>
    <w:rsid w:val="421A1D78"/>
    <w:rsid w:val="430D1EB3"/>
    <w:rsid w:val="43931DE2"/>
    <w:rsid w:val="45985989"/>
    <w:rsid w:val="46305D8F"/>
    <w:rsid w:val="463F3C8A"/>
    <w:rsid w:val="465E5F4F"/>
    <w:rsid w:val="46891F49"/>
    <w:rsid w:val="47DE5643"/>
    <w:rsid w:val="48024D8E"/>
    <w:rsid w:val="483B785E"/>
    <w:rsid w:val="48B14C36"/>
    <w:rsid w:val="48BE32BB"/>
    <w:rsid w:val="49187402"/>
    <w:rsid w:val="49951CE4"/>
    <w:rsid w:val="49A77582"/>
    <w:rsid w:val="4C7C5044"/>
    <w:rsid w:val="4D0B5336"/>
    <w:rsid w:val="4D596375"/>
    <w:rsid w:val="4DD03C33"/>
    <w:rsid w:val="4DE566E6"/>
    <w:rsid w:val="4E09460E"/>
    <w:rsid w:val="4E0B5697"/>
    <w:rsid w:val="4E170611"/>
    <w:rsid w:val="4E226623"/>
    <w:rsid w:val="4E477EC0"/>
    <w:rsid w:val="4E58692D"/>
    <w:rsid w:val="4E6A2E09"/>
    <w:rsid w:val="4E7C16C5"/>
    <w:rsid w:val="4EB63DA9"/>
    <w:rsid w:val="4F414601"/>
    <w:rsid w:val="4F4E1041"/>
    <w:rsid w:val="505607A8"/>
    <w:rsid w:val="50DA2769"/>
    <w:rsid w:val="50DF7D4B"/>
    <w:rsid w:val="50F51AE2"/>
    <w:rsid w:val="5118526A"/>
    <w:rsid w:val="51ED02C6"/>
    <w:rsid w:val="52111E4B"/>
    <w:rsid w:val="52927B75"/>
    <w:rsid w:val="52B6298B"/>
    <w:rsid w:val="54734506"/>
    <w:rsid w:val="55420CF4"/>
    <w:rsid w:val="558E40D8"/>
    <w:rsid w:val="5645418E"/>
    <w:rsid w:val="564F6596"/>
    <w:rsid w:val="569F2779"/>
    <w:rsid w:val="573942E7"/>
    <w:rsid w:val="577D1A8B"/>
    <w:rsid w:val="57D67253"/>
    <w:rsid w:val="5821226E"/>
    <w:rsid w:val="59221EC3"/>
    <w:rsid w:val="59264CF1"/>
    <w:rsid w:val="5A3713B6"/>
    <w:rsid w:val="5A937513"/>
    <w:rsid w:val="5AE74D53"/>
    <w:rsid w:val="5AFB7C61"/>
    <w:rsid w:val="5B4B267F"/>
    <w:rsid w:val="5B664351"/>
    <w:rsid w:val="5BC17A0C"/>
    <w:rsid w:val="5C4E1BA9"/>
    <w:rsid w:val="5C6621F3"/>
    <w:rsid w:val="5D237834"/>
    <w:rsid w:val="5D7A14C5"/>
    <w:rsid w:val="5DD5361E"/>
    <w:rsid w:val="5EB94246"/>
    <w:rsid w:val="5ED82522"/>
    <w:rsid w:val="5F2660BD"/>
    <w:rsid w:val="5F694217"/>
    <w:rsid w:val="5FF05A6E"/>
    <w:rsid w:val="604B36E9"/>
    <w:rsid w:val="60551A04"/>
    <w:rsid w:val="609A0F47"/>
    <w:rsid w:val="630A3D64"/>
    <w:rsid w:val="63A00E6C"/>
    <w:rsid w:val="63C06F1C"/>
    <w:rsid w:val="63F53CA1"/>
    <w:rsid w:val="650A2874"/>
    <w:rsid w:val="653270AA"/>
    <w:rsid w:val="66342450"/>
    <w:rsid w:val="663761A5"/>
    <w:rsid w:val="66C52024"/>
    <w:rsid w:val="66F41125"/>
    <w:rsid w:val="67223F20"/>
    <w:rsid w:val="67495E49"/>
    <w:rsid w:val="679B47E6"/>
    <w:rsid w:val="681F35B8"/>
    <w:rsid w:val="69DE533E"/>
    <w:rsid w:val="6B016C5F"/>
    <w:rsid w:val="6B2616F9"/>
    <w:rsid w:val="6BF07522"/>
    <w:rsid w:val="6BFE6C6C"/>
    <w:rsid w:val="6C426376"/>
    <w:rsid w:val="6C5B35EE"/>
    <w:rsid w:val="6C822533"/>
    <w:rsid w:val="6C866E4A"/>
    <w:rsid w:val="6CFE7A1D"/>
    <w:rsid w:val="6DA51EB1"/>
    <w:rsid w:val="6DB83ED5"/>
    <w:rsid w:val="6E19229B"/>
    <w:rsid w:val="6E20589F"/>
    <w:rsid w:val="6E4E4786"/>
    <w:rsid w:val="6EB630EA"/>
    <w:rsid w:val="6F4B1277"/>
    <w:rsid w:val="6F8B4D87"/>
    <w:rsid w:val="6FD22246"/>
    <w:rsid w:val="70406237"/>
    <w:rsid w:val="710524AC"/>
    <w:rsid w:val="716D35E0"/>
    <w:rsid w:val="72472F2D"/>
    <w:rsid w:val="72B47012"/>
    <w:rsid w:val="73BB5659"/>
    <w:rsid w:val="756D651C"/>
    <w:rsid w:val="757642DF"/>
    <w:rsid w:val="75C57A49"/>
    <w:rsid w:val="76381B53"/>
    <w:rsid w:val="76E06023"/>
    <w:rsid w:val="771442B4"/>
    <w:rsid w:val="7755261F"/>
    <w:rsid w:val="77D31CA4"/>
    <w:rsid w:val="780A49AE"/>
    <w:rsid w:val="786A6207"/>
    <w:rsid w:val="78E210B0"/>
    <w:rsid w:val="79336444"/>
    <w:rsid w:val="799562EB"/>
    <w:rsid w:val="79C42BF9"/>
    <w:rsid w:val="7A176260"/>
    <w:rsid w:val="7A4063C7"/>
    <w:rsid w:val="7A502634"/>
    <w:rsid w:val="7B7A16ED"/>
    <w:rsid w:val="7C693323"/>
    <w:rsid w:val="7CDC740A"/>
    <w:rsid w:val="7D93436C"/>
    <w:rsid w:val="7E297483"/>
    <w:rsid w:val="7E833BD5"/>
    <w:rsid w:val="7F1B489E"/>
    <w:rsid w:val="7FAF7B8A"/>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4"/>
    <w:qFormat/>
    <w:uiPriority w:val="0"/>
    <w:pPr>
      <w:keepNext/>
      <w:outlineLvl w:val="0"/>
    </w:pPr>
    <w:rPr>
      <w:rFonts w:ascii="仿宋_GB2312" w:hAnsi="宋体" w:eastAsia="仿宋_GB2312"/>
      <w:b/>
      <w:kern w:val="2"/>
      <w:sz w:val="32"/>
    </w:rPr>
  </w:style>
  <w:style w:type="paragraph" w:styleId="4">
    <w:name w:val="heading 2"/>
    <w:basedOn w:val="1"/>
    <w:next w:val="1"/>
    <w:link w:val="2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unhideWhenUsed/>
    <w:qFormat/>
    <w:uiPriority w:val="0"/>
    <w:pPr>
      <w:keepNext/>
      <w:keepLines/>
      <w:jc w:val="left"/>
      <w:outlineLvl w:val="3"/>
    </w:pPr>
    <w:rPr>
      <w:rFonts w:hint="eastAsia" w:ascii="Arial" w:hAnsi="Arial"/>
      <w:b/>
      <w:sz w:val="32"/>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kern w:val="2"/>
      <w:sz w:val="21"/>
    </w:r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toa heading"/>
    <w:basedOn w:val="1"/>
    <w:next w:val="1"/>
    <w:qFormat/>
    <w:uiPriority w:val="0"/>
    <w:pPr>
      <w:spacing w:before="12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Indent"/>
    <w:basedOn w:val="1"/>
    <w:qFormat/>
    <w:uiPriority w:val="0"/>
    <w:pPr>
      <w:widowControl/>
      <w:ind w:firstLine="652" w:firstLineChars="233"/>
    </w:pPr>
    <w:rPr>
      <w:rFonts w:ascii="Calibri" w:hAnsi="Calibri Light" w:eastAsia="华文仿宋"/>
      <w:sz w:val="28"/>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Body Text Indent 2"/>
    <w:basedOn w:val="1"/>
    <w:qFormat/>
    <w:uiPriority w:val="0"/>
    <w:pPr>
      <w:spacing w:line="640" w:lineRule="exact"/>
      <w:ind w:firstLine="645"/>
    </w:pPr>
    <w:rPr>
      <w:rFonts w:ascii="楷体_GB2312" w:eastAsia="楷体_GB2312"/>
      <w:sz w:val="32"/>
    </w:rPr>
  </w:style>
  <w:style w:type="paragraph" w:styleId="15">
    <w:name w:val="Balloon Text"/>
    <w:basedOn w:val="1"/>
    <w:link w:val="37"/>
    <w:qFormat/>
    <w:uiPriority w:val="0"/>
    <w:rPr>
      <w:sz w:val="18"/>
      <w:szCs w:val="18"/>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hAnsi="宋体"/>
      <w:szCs w:val="24"/>
    </w:rPr>
  </w:style>
  <w:style w:type="paragraph" w:styleId="22">
    <w:name w:val="Body Text First Indent"/>
    <w:basedOn w:val="2"/>
    <w:unhideWhenUsed/>
    <w:qFormat/>
    <w:uiPriority w:val="0"/>
    <w:pPr>
      <w:ind w:firstLine="420" w:firstLineChars="100"/>
    </w:pPr>
    <w:rPr>
      <w:rFonts w:ascii="Times New Roman"/>
      <w:sz w:val="18"/>
      <w:szCs w:val="18"/>
    </w:rPr>
  </w:style>
  <w:style w:type="paragraph" w:styleId="23">
    <w:name w:val="Body Text First Indent 2"/>
    <w:basedOn w:val="1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qFormat/>
    <w:uiPriority w:val="0"/>
    <w:rPr>
      <w:color w:val="0000FF"/>
      <w:u w:val="single"/>
    </w:rPr>
  </w:style>
  <w:style w:type="character" w:customStyle="1" w:styleId="29">
    <w:name w:val="标题 2 Char"/>
    <w:link w:val="4"/>
    <w:qFormat/>
    <w:uiPriority w:val="9"/>
    <w:rPr>
      <w:rFonts w:ascii="Arial" w:hAnsi="Arial"/>
      <w:b/>
      <w:bCs/>
      <w:sz w:val="28"/>
      <w:szCs w:val="32"/>
    </w:rPr>
  </w:style>
  <w:style w:type="paragraph" w:customStyle="1" w:styleId="30">
    <w:name w:val="MessageHeader"/>
    <w:basedOn w:val="1"/>
    <w:next w:val="31"/>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qFormat/>
    <w:uiPriority w:val="0"/>
    <w:pPr>
      <w:jc w:val="center"/>
      <w:textAlignment w:val="baseline"/>
    </w:pPr>
  </w:style>
  <w:style w:type="paragraph" w:customStyle="1" w:styleId="32">
    <w:name w:val="列出段落1"/>
    <w:basedOn w:val="1"/>
    <w:qFormat/>
    <w:uiPriority w:val="34"/>
    <w:pPr>
      <w:ind w:firstLine="420" w:firstLineChars="200"/>
    </w:pPr>
  </w:style>
  <w:style w:type="paragraph" w:customStyle="1" w:styleId="3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4">
    <w:name w:val="标题 1 Char"/>
    <w:link w:val="3"/>
    <w:qFormat/>
    <w:uiPriority w:val="0"/>
    <w:rPr>
      <w:rFonts w:ascii="仿宋_GB2312" w:hAnsi="宋体" w:eastAsia="仿宋_GB2312"/>
      <w:b/>
      <w:kern w:val="2"/>
      <w:sz w:val="32"/>
    </w:rPr>
  </w:style>
  <w:style w:type="paragraph" w:customStyle="1" w:styleId="35">
    <w:name w:val="表格文字中"/>
    <w:basedOn w:val="1"/>
    <w:qFormat/>
    <w:uiPriority w:val="0"/>
    <w:pPr>
      <w:adjustRightInd w:val="0"/>
      <w:snapToGrid w:val="0"/>
      <w:ind w:left="22" w:leftChars="8"/>
      <w:jc w:val="center"/>
    </w:pPr>
    <w:rPr>
      <w:szCs w:val="24"/>
    </w:rPr>
  </w:style>
  <w:style w:type="paragraph" w:customStyle="1" w:styleId="36">
    <w:name w:val="Char1"/>
    <w:basedOn w:val="1"/>
    <w:qFormat/>
    <w:uiPriority w:val="0"/>
    <w:pPr>
      <w:tabs>
        <w:tab w:val="left" w:pos="360"/>
      </w:tabs>
      <w:ind w:left="360" w:hanging="360" w:hangingChars="200"/>
    </w:pPr>
    <w:rPr>
      <w:szCs w:val="24"/>
    </w:rPr>
  </w:style>
  <w:style w:type="character" w:customStyle="1" w:styleId="37">
    <w:name w:val="批注框文本 Char"/>
    <w:basedOn w:val="26"/>
    <w:link w:val="15"/>
    <w:qFormat/>
    <w:uiPriority w:val="0"/>
    <w:rPr>
      <w:rFonts w:ascii="宋体"/>
      <w:sz w:val="18"/>
      <w:szCs w:val="18"/>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29151</Words>
  <Characters>31162</Characters>
  <Lines>250</Lines>
  <Paragraphs>70</Paragraphs>
  <TotalTime>1</TotalTime>
  <ScaleCrop>false</ScaleCrop>
  <LinksUpToDate>false</LinksUpToDate>
  <CharactersWithSpaces>35290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sweet</cp:lastModifiedBy>
  <cp:lastPrinted>2022-03-29T00:41:00Z</cp:lastPrinted>
  <dcterms:modified xsi:type="dcterms:W3CDTF">2022-10-12T09:19:44Z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79B9181D57D84958862BFB8E383F7E0A</vt:lpwstr>
  </property>
  <property fmtid="{D5CDD505-2E9C-101B-9397-08002B2CF9AE}" pid="4" name="commondata">
    <vt:lpwstr>eyJoZGlkIjoiOTBhMDFkNThhMjZjM2YzYmQ1NDFlNmQwYWMyYmNiZDgifQ==</vt:lpwstr>
  </property>
</Properties>
</file>