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napToGrid w:val="0"/>
          <w:color w:val="000000"/>
          <w:kern w:val="0"/>
          <w:sz w:val="24"/>
        </w:rPr>
        <w:t>被推荐供应商名单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：中国电信股份有限公司西安分公司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推荐理由：</w:t>
      </w:r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磋商程序及评审结果：</w:t>
      </w:r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1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资格审查</w:t>
      </w:r>
      <w:bookmarkStart w:id="0" w:name="_GoBack"/>
      <w:bookmarkEnd w:id="0"/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本项目共有五家供应商递交了磋商响应文件，磋商采购单位按照磋商文件要求审查所有供应商的资质，资格审查全部合格。</w:t>
      </w:r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2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符合性审查</w:t>
      </w:r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经符合性审查，五家供应商的磋商响应文件均符合磋商文件要求。</w:t>
      </w:r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3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评审结果</w:t>
      </w:r>
    </w:p>
    <w:p>
      <w:pPr>
        <w:spacing w:line="640" w:lineRule="exact"/>
        <w:ind w:firstLine="480" w:firstLineChars="200"/>
        <w:rPr>
          <w:rFonts w:hint="eastAsia" w:ascii="宋体" w:hAnsi="宋体"/>
          <w:bCs/>
          <w:snapToGrid w:val="0"/>
          <w:color w:val="000000"/>
          <w:kern w:val="0"/>
          <w:sz w:val="24"/>
          <w:lang w:eastAsia="zh-CN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24"/>
        </w:rPr>
        <w:t>磋商专家按照磋商文件已经明确的评分细则，独立自主赋分。经综合汇总得分，磋商小组推荐拟成交候选单位为：中国电信股份有限公司西安分公司，拟成交金额为：573000.00元</w:t>
      </w:r>
      <w:r>
        <w:rPr>
          <w:rFonts w:hint="eastAsia" w:ascii="宋体" w:hAnsi="宋体"/>
          <w:bCs/>
          <w:snapToGrid w:val="0"/>
          <w:color w:val="000000"/>
          <w:kern w:val="0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mExYTY2ODAzY2U0M2ZhYmJhZGY1ZTNlZDU5NjMifQ=="/>
  </w:docVars>
  <w:rsids>
    <w:rsidRoot w:val="2C925658"/>
    <w:rsid w:val="2C9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2022-11-10T05:18:00Z</dcterms:created>
  <dc:creator>Administrator</dc:creator>
  <cp:lastModifiedBy>Administrator</cp:lastModifiedBy>
  <dcterms:modified xsi:type="dcterms:W3CDTF">2022-11-10T05:24:53Z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E429851FF5A64C88967CC305F0FE23A6</vt:lpwstr>
  </property>
</Properties>
</file>