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bidi w:val="0"/>
        <w:spacing w:before="101" w:line="360" w:lineRule="auto"/>
        <w:jc w:val="center"/>
        <w:outlineLvl w:val="0"/>
        <w:rPr>
          <w:rFonts w:hint="eastAsia" w:ascii="宋体" w:hAnsi="宋体" w:eastAsia="宋体" w:cs="宋体"/>
          <w:b/>
          <w:bCs/>
          <w:spacing w:val="0"/>
          <w:sz w:val="30"/>
          <w:szCs w:val="30"/>
        </w:rPr>
      </w:pPr>
      <w:bookmarkStart w:id="0" w:name="_Toc25413"/>
      <w:r>
        <w:rPr>
          <w:rFonts w:hint="eastAsia" w:ascii="宋体" w:hAnsi="宋体" w:eastAsia="宋体" w:cs="宋体"/>
          <w:b/>
          <w:bCs/>
          <w:spacing w:val="0"/>
          <w:sz w:val="30"/>
          <w:szCs w:val="30"/>
        </w:rPr>
        <w:t>第</w:t>
      </w:r>
      <w:r>
        <w:rPr>
          <w:rFonts w:hint="eastAsia" w:ascii="宋体" w:hAnsi="宋体" w:cs="宋体"/>
          <w:b/>
          <w:bCs/>
          <w:spacing w:val="0"/>
          <w:sz w:val="30"/>
          <w:szCs w:val="30"/>
          <w:lang w:val="en-US" w:eastAsia="zh-CN"/>
        </w:rPr>
        <w:t>三</w:t>
      </w:r>
      <w:r>
        <w:rPr>
          <w:rFonts w:hint="eastAsia" w:ascii="宋体" w:hAnsi="宋体" w:eastAsia="宋体" w:cs="宋体"/>
          <w:b/>
          <w:bCs/>
          <w:spacing w:val="0"/>
          <w:sz w:val="30"/>
          <w:szCs w:val="30"/>
        </w:rPr>
        <w:t>章 招标内容及要求</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一、项目概况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西安市垃圾分类示范管理平台，包括西安市垃圾分类信息一张图信息展示系统、垃圾收运车辆管控系统、垃圾投放点位管控系统、垃圾分类信息全流程管控系统、垃圾分类工作评估系统等。为提升我市生活垃圾分类业务的管理水平，实现垃圾分类管理网络化、电子化、平台化。解决原有垃圾分类管理模式的纸质化、台帐化、数据不准确、不同步、执行信息不闭环等问题。简化各区县、开发区垃圾分类管理流程，实现全市分类工作情况的统筹管理和精准管理，提升垃圾分类工作的质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立西安市垃圾分类示范管理平台，实现辖区内垃圾投放点位、垃圾收运车辆、垃圾处理厂、垃圾分类工作相关人员等垃圾分类工作信息全程管控，并能直观展示全市垃圾分类工作的全维度信息数据。通过向各个区县、开发区及相关单位下发相应的操作权限，依托该系统可以完成辖区垃圾分类工作日常管理及数据的采集，便于对全市分类工作情况宏观掌握。平台建设完成后可接入市大数据平台。</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(一)功能要求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西安市垃圾分类管理一张图系统。系统应用包括，垃圾收运车辆实时运行数据管理和展示、垃圾投放点位监管数据信息管理和展示、垃圾处理厂实时运行数据管理和展示，相关业务工作人员工作信息管理和展示等，实现统一决策、统一部署、统一指挥等全流程可视化管控，打造全市垃圾分类工作整体情况实时一键预览的管理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2、5G数字化垃圾收运车辆改装试点。通过对部分垃圾收运车辆加装5G天线、边缘采集终端、</w:t>
      </w:r>
      <w:r>
        <w:rPr>
          <w:rFonts w:hint="eastAsia" w:ascii="宋体" w:hAnsi="宋体" w:eastAsia="宋体" w:cs="宋体"/>
          <w:sz w:val="24"/>
          <w:szCs w:val="24"/>
          <w:highlight w:val="none"/>
        </w:rPr>
        <w:t>GPS组件</w:t>
      </w:r>
      <w:r>
        <w:rPr>
          <w:rFonts w:hint="eastAsia" w:ascii="宋体" w:hAnsi="宋体" w:cs="宋体"/>
          <w:sz w:val="24"/>
          <w:szCs w:val="24"/>
          <w:highlight w:val="none"/>
          <w:lang w:val="en-US" w:eastAsia="zh-CN"/>
        </w:rPr>
        <w:t>(GPS必须使用千兆、北斗)</w:t>
      </w:r>
      <w:r>
        <w:rPr>
          <w:rFonts w:hint="eastAsia" w:ascii="宋体" w:hAnsi="宋体" w:eastAsia="宋体" w:cs="宋体"/>
          <w:sz w:val="24"/>
          <w:szCs w:val="24"/>
          <w:highlight w:val="none"/>
        </w:rPr>
        <w:t>、0</w:t>
      </w:r>
      <w:r>
        <w:rPr>
          <w:rFonts w:hint="eastAsia" w:ascii="宋体" w:hAnsi="宋体" w:eastAsia="宋体" w:cs="宋体"/>
          <w:sz w:val="24"/>
          <w:szCs w:val="24"/>
        </w:rPr>
        <w:t>BD车辆信息接入模块等，实现垃圾收运车辆实时定位、作业过程全流程监管。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全市垃圾收运管控移动应用APP。系统角色包括：管理员角色、垃圾收运车驾驶员角色、点位监管员角色等。功能包括监督检查、信息反馈、流程管控、安全提醒、日常打卡等。实现垃圾分类业务的移动化、实时化、便捷化工作，减少一线工作人员的作业负担，提升业务开展的质量效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垃圾分类示范站点建设。垃圾分类站点建设主要包括点位视频监控建设和人员打卡系统建设。采用5G摄像机+太阳能供电，降低系统建设的难度，便于推广。功能包括垃圾分类智能识别及告警、垃圾分类引导员及监管员人员打卡以及行为监管、垃圾收运车辆作业行为监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(二)建设原则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1、易用性。系统日常使用，分为管理员、监管员、驾驶员等角色，便于使用和管理。系统展示平台和移动端APP的开发要遵循易用性原则，主要查询功能操作需要在三步内实现、组合功能操作需要在五步内实现。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安全性。系统中包括社区、居民、收运车辆以及工作人员等信息，部分涉及敏感信息。数据传输、存储及发布等涉及信息流转的系统，在设计时要充分考虑安全性原则，关键数据传输、存储要采用国产化软硬件，并要符合市大数据管理相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3、扩展性。系统建设要充分考虑日后功能升级维护以及系统横向扩展性。系统升级维护包括功能升级、用户扩展以及维护等；系统横向扩展包括系统扩容、平行系统对接等，实现与市大数据平台的无缝对接。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4、所使用的大数据规范接口必须满足《住房和城乡建设部办公厅关于全面加快建设城市运行管理服务平台的通知》</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建办督〔2021〕54号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文中要求的“四标准一指南”（《城市运行管理服务平台技术标准》（GJJ/T312-2021）、《城市运行管理服务平台数据标准》（GJ/T545-2021）、《城市运行管理服务平台城市管理》、《城市运行管理服务平台城市运行》及《城市运行管理服务平台建设指南》）</w:t>
      </w:r>
      <w:r>
        <w:rPr>
          <w:rFonts w:hint="eastAsia" w:ascii="宋体" w:hAnsi="宋体" w:cs="宋体"/>
          <w:sz w:val="24"/>
          <w:szCs w:val="24"/>
          <w:highlight w:val="none"/>
          <w:lang w:val="en-US" w:eastAsia="zh-CN"/>
        </w:rPr>
        <w:t>，</w:t>
      </w:r>
      <w:r>
        <w:rPr>
          <w:rFonts w:hint="eastAsia" w:ascii="宋体" w:hAnsi="宋体" w:cs="宋体"/>
          <w:spacing w:val="0"/>
          <w:sz w:val="24"/>
          <w:szCs w:val="24"/>
          <w:highlight w:val="none"/>
          <w:lang w:val="en-US" w:eastAsia="zh-CN"/>
        </w:rPr>
        <w:t>若不满足视为不响应本项目需求</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四、商务要求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(一)服务期限：合同签订后3个月内完成平台的搭建及后续人员的培训等相关工作。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款项结算：合同签订后10个工作日内支付合同总价款的70%,并在3个月内完成平台搭建，并且在各区县、开发区及相关单位完成终端调试、人员培训等工作，开始验收。验收完成后试运行一个月，合格后10个工作日内支付合同总价款的30%。</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mIyMWE2ZDE3ZDQxZjNmNWNkZDk5YjcxMGVhMzIifQ=="/>
  </w:docVars>
  <w:rsids>
    <w:rsidRoot w:val="58733788"/>
    <w:rsid w:val="5873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2022-11-28T02:15:00Z</dcterms:created>
  <dc:creator>小花朵朵</dc:creator>
  <cp:lastModifiedBy>小花朵朵</cp:lastModifiedBy>
  <dcterms:modified xsi:type="dcterms:W3CDTF">2022-11-28T02:16:04Z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5093210875EE4EA1AB72E07370C7CA56</vt:lpwstr>
  </property>
</Properties>
</file>