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</w:rPr>
        <w:t>液相色谱柱及液质色谱柱采购</w:t>
      </w:r>
      <w:r>
        <w:rPr>
          <w:rFonts w:hint="eastAsia"/>
          <w:b/>
          <w:bCs/>
          <w:sz w:val="32"/>
          <w:szCs w:val="32"/>
          <w:lang w:eastAsia="zh-CN"/>
        </w:rPr>
        <w:t>需求</w:t>
      </w:r>
    </w:p>
    <w:tbl>
      <w:tblPr>
        <w:tblStyle w:val="4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2492"/>
        <w:gridCol w:w="5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00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液相色谱柱（国产）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4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品名</w:t>
            </w:r>
          </w:p>
        </w:tc>
        <w:tc>
          <w:tcPr>
            <w:tcW w:w="24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57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技术指标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4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液相色谱柱</w:t>
            </w:r>
          </w:p>
        </w:tc>
        <w:tc>
          <w:tcPr>
            <w:tcW w:w="2492" w:type="dxa"/>
            <w:vAlign w:val="center"/>
          </w:tcPr>
          <w:p>
            <w:pPr>
              <w:spacing w:beforeLines="5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vertAlign w:val="subscript"/>
              </w:rPr>
              <w:t>18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液相色谱柱</w:t>
            </w:r>
          </w:p>
        </w:tc>
        <w:tc>
          <w:tcPr>
            <w:tcW w:w="5767" w:type="dxa"/>
            <w:vAlign w:val="center"/>
          </w:tcPr>
          <w:p>
            <w:pPr>
              <w:spacing w:beforeLines="50" w:afterLines="5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1、规格：C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vertAlign w:val="subscript"/>
              </w:rPr>
              <w:t>18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，5μm ，250x4.6mm</w:t>
            </w:r>
          </w:p>
          <w:p>
            <w:pPr>
              <w:spacing w:beforeLines="50" w:afterLines="5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2、PH：2.0-6.0</w:t>
            </w:r>
          </w:p>
          <w:p>
            <w:pPr>
              <w:spacing w:beforeLines="50" w:afterLines="5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★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3、填料适用于100%水溶液流动相</w:t>
            </w:r>
          </w:p>
          <w:p>
            <w:pPr>
              <w:spacing w:beforeLines="50" w:afterLines="5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4、于复杂基质中对较单一组分化合物的分析定量。</w:t>
            </w:r>
          </w:p>
          <w:p>
            <w:pPr>
              <w:spacing w:beforeLines="50" w:afterLines="5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★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5、在流动相A甲醇：B磷酸氢二铵=5:95，柱流速1.0mL/min，柱温30℃，波长214nm色谱条件下，基质样品中丙酸盐分离度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≥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1.5，不对称度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≤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1.0 ，峰宽（50%）小于0.2min。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</w:trPr>
        <w:tc>
          <w:tcPr>
            <w:tcW w:w="74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492" w:type="dxa"/>
            <w:vAlign w:val="center"/>
          </w:tcPr>
          <w:p>
            <w:pPr>
              <w:spacing w:beforeLines="5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vertAlign w:val="subscript"/>
              </w:rPr>
              <w:t>18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液相色谱柱</w:t>
            </w:r>
          </w:p>
        </w:tc>
        <w:tc>
          <w:tcPr>
            <w:tcW w:w="5767" w:type="dxa"/>
            <w:vAlign w:val="center"/>
          </w:tcPr>
          <w:p>
            <w:pPr>
              <w:spacing w:beforeLines="50" w:afterLines="5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1、规格：C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vertAlign w:val="subscript"/>
              </w:rPr>
              <w:t>18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，5μm ，250x4.6mm</w:t>
            </w:r>
          </w:p>
          <w:p>
            <w:pPr>
              <w:spacing w:beforeLines="50" w:afterLines="5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2、PH：1.5-10.0</w:t>
            </w:r>
          </w:p>
          <w:p>
            <w:pPr>
              <w:spacing w:beforeLines="50" w:afterLines="5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3、载碳量：12%</w:t>
            </w:r>
          </w:p>
          <w:p>
            <w:pPr>
              <w:spacing w:beforeLines="50" w:afterLines="5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★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4、能与100%水流动相条件兼容</w:t>
            </w:r>
          </w:p>
          <w:p>
            <w:pPr>
              <w:spacing w:beforeLines="50" w:afterLines="5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★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5、在流动相A甲醇：B乙酸铵=5:95，柱流速1.0mL/min，柱温35℃，波长230nm色谱条件下，基质样品中苯甲酸、山梨酸、糖精钠分离度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≥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1.5。</w:t>
            </w:r>
          </w:p>
          <w:p>
            <w:pPr>
              <w:spacing w:beforeLines="50" w:afterLines="5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★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6、在流动相A甲醇：B乙酸铵，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0~14min A :5%，14~26min A: 18%-75%，26~28min A:75%-98,28~30min A :98%-5%，30~35min A:5%，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柱流速1.0mL/min，柱温35℃，波长254nm，508nm色谱条件下，基质样品中柠檬黄，新红，苋菜红，胭脂红、日落黄、亮蓝、赤藓红分离度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≥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1.5。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</w:trPr>
        <w:tc>
          <w:tcPr>
            <w:tcW w:w="74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bookmarkStart w:id="0" w:name="_GoBack" w:colFirst="1" w:colLast="2"/>
          </w:p>
        </w:tc>
        <w:tc>
          <w:tcPr>
            <w:tcW w:w="2492" w:type="dxa"/>
            <w:vAlign w:val="center"/>
          </w:tcPr>
          <w:p>
            <w:pPr>
              <w:spacing w:beforeLines="5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vertAlign w:val="subscript"/>
              </w:rPr>
              <w:t>18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液相色谱柱</w:t>
            </w:r>
          </w:p>
        </w:tc>
        <w:tc>
          <w:tcPr>
            <w:tcW w:w="5767" w:type="dxa"/>
            <w:vAlign w:val="center"/>
          </w:tcPr>
          <w:p>
            <w:pPr>
              <w:spacing w:beforeLines="50" w:afterLines="5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1、规格：C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vertAlign w:val="subscript"/>
              </w:rPr>
              <w:t>18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，5μm，250x4.6mm</w:t>
            </w:r>
          </w:p>
          <w:p>
            <w:pPr>
              <w:spacing w:beforeLines="50" w:afterLines="5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2、PH：1.5-10.0</w:t>
            </w:r>
          </w:p>
          <w:p>
            <w:pPr>
              <w:spacing w:beforeLines="50" w:afterLines="5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3、载碳量：14%</w:t>
            </w:r>
          </w:p>
          <w:p>
            <w:pPr>
              <w:spacing w:beforeLines="50" w:afterLines="5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★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4、在甲醇：乙酸铵=12:88，柱流速1.0mL/min，柱温30℃，波长293nm色谱条件下，脱氢乙酸不对称度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≤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1.2，峰宽（50%）≤0.15min。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</w:trPr>
        <w:tc>
          <w:tcPr>
            <w:tcW w:w="74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492" w:type="dxa"/>
            <w:vAlign w:val="center"/>
          </w:tcPr>
          <w:p>
            <w:pPr>
              <w:spacing w:beforeLines="50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氨基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液相色谱柱</w:t>
            </w:r>
          </w:p>
          <w:p>
            <w:pPr>
              <w:spacing w:beforeLines="50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highlight w:val="none"/>
              </w:rPr>
              <w:t>（核心产品）</w:t>
            </w:r>
          </w:p>
        </w:tc>
        <w:tc>
          <w:tcPr>
            <w:tcW w:w="5767" w:type="dxa"/>
            <w:vAlign w:val="center"/>
          </w:tcPr>
          <w:p>
            <w:pPr>
              <w:spacing w:beforeLines="50"/>
              <w:jc w:val="left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1、规格：4.6×250mm，5μm</w:t>
            </w:r>
          </w:p>
          <w:p>
            <w:pPr>
              <w:spacing w:beforeLines="50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2、pH：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8</w:t>
            </w:r>
          </w:p>
          <w:p>
            <w:pPr>
              <w:spacing w:beforeLines="50"/>
              <w:jc w:val="left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3、填料能适应80%水溶液流动相</w:t>
            </w:r>
          </w:p>
          <w:p>
            <w:pPr>
              <w:spacing w:beforeLines="50" w:afterLines="50"/>
              <w:jc w:val="left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★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4、适用于GB 5009.8-2016，能使基质样品中的蔗糖，麦芽糖，葡萄糖，果糖，乳糖等糖的分离度≥1.5。</w:t>
            </w:r>
          </w:p>
        </w:tc>
      </w:tr>
      <w:bookmarkEnd w:id="0"/>
    </w:tbl>
    <w:p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mOWVkN2M4ZTI1N2JjNmQ4YmNjNWNjZDFkZmVkODkifQ=="/>
  </w:docVars>
  <w:rsids>
    <w:rsidRoot w:val="2AEF4A7A"/>
    <w:rsid w:val="00847DE1"/>
    <w:rsid w:val="018C519F"/>
    <w:rsid w:val="19EC2827"/>
    <w:rsid w:val="2AEF4A7A"/>
    <w:rsid w:val="3F740A45"/>
    <w:rsid w:val="53D8739D"/>
    <w:rsid w:val="6B4D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jc w:val="left"/>
      <w:outlineLvl w:val="3"/>
    </w:pPr>
    <w:rPr>
      <w:rFonts w:hint="eastAsia" w:ascii="Arial" w:hAnsi="Arial" w:eastAsia="宋体" w:cs="Times New Roman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511</Words>
  <Characters>771</Characters>
  <Lines>0</Lines>
  <Paragraphs>0</Paragraphs>
  <TotalTime>2</TotalTime>
  <ScaleCrop>false</ScaleCrop>
  <LinksUpToDate>false</LinksUpToDate>
  <CharactersWithSpaces>783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2022-11-07T04:27:00Z</dcterms:created>
  <dc:creator>邱阳阳</dc:creator>
  <cp:lastModifiedBy>邱阳阳</cp:lastModifiedBy>
  <dcterms:modified xsi:type="dcterms:W3CDTF">2022-11-07T04:30:43Z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3639F023C75F4EDC9073618590731A6A</vt:lpwstr>
  </property>
</Properties>
</file>