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2"/>
          <w:szCs w:val="32"/>
        </w:rPr>
      </w:pPr>
      <w:r>
        <w:rPr>
          <w:rFonts w:hint="eastAsia" w:ascii="宋体" w:hAnsi="宋体" w:eastAsia="宋体" w:cs="宋体"/>
          <w:sz w:val="32"/>
          <w:szCs w:val="32"/>
        </w:rPr>
        <w:t>投标邀请函</w:t>
      </w:r>
    </w:p>
    <w:p>
      <w:pPr>
        <w:spacing w:line="56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陕西万泽招标有限公司受</w:t>
      </w:r>
      <w:r>
        <w:rPr>
          <w:rFonts w:hint="eastAsia" w:ascii="宋体" w:hAnsi="宋体" w:eastAsia="宋体" w:cs="宋体"/>
          <w:sz w:val="24"/>
          <w:szCs w:val="24"/>
          <w:lang w:eastAsia="zh-CN"/>
        </w:rPr>
        <w:t>西安市儿童医院</w:t>
      </w:r>
      <w:r>
        <w:rPr>
          <w:rFonts w:hint="eastAsia" w:ascii="宋体" w:hAnsi="宋体" w:eastAsia="宋体" w:cs="宋体"/>
          <w:sz w:val="24"/>
          <w:szCs w:val="24"/>
        </w:rPr>
        <w:t>的委托，经政府采购监管部门批准，按照政府采购程序，对</w:t>
      </w:r>
      <w:r>
        <w:rPr>
          <w:rFonts w:hint="eastAsia" w:ascii="宋体" w:hAnsi="宋体" w:eastAsia="宋体" w:cs="宋体"/>
          <w:sz w:val="24"/>
          <w:szCs w:val="24"/>
          <w:lang w:eastAsia="zh-CN"/>
        </w:rPr>
        <w:t>西安市儿童医院2022年经开院区医疗设备采购项目七</w:t>
      </w:r>
      <w:r>
        <w:rPr>
          <w:rFonts w:hint="eastAsia" w:ascii="宋体" w:hAnsi="宋体" w:eastAsia="宋体" w:cs="宋体"/>
          <w:sz w:val="24"/>
          <w:szCs w:val="24"/>
        </w:rPr>
        <w:t>进行公开招标，欢迎符合资格条件的、有能力提供本项目所需货物和服务的供应商参加投标。</w:t>
      </w:r>
    </w:p>
    <w:p>
      <w:pPr>
        <w:bidi w:val="0"/>
        <w:rPr>
          <w:rFonts w:hint="eastAsia"/>
        </w:rPr>
      </w:pPr>
      <w:bookmarkStart w:id="0" w:name="_Toc28572"/>
      <w:bookmarkStart w:id="1" w:name="_Toc6759"/>
      <w:bookmarkStart w:id="2" w:name="_Toc6324"/>
      <w:r>
        <w:rPr>
          <w:rFonts w:hint="eastAsia"/>
        </w:rPr>
        <w:t>一、项目基本信息：</w:t>
      </w:r>
      <w:bookmarkEnd w:id="0"/>
      <w:bookmarkEnd w:id="1"/>
      <w:bookmarkEnd w:id="2"/>
    </w:p>
    <w:p>
      <w:pPr>
        <w:spacing w:line="560" w:lineRule="exact"/>
        <w:ind w:left="1620" w:leftChars="200" w:hanging="1200" w:hangingChars="500"/>
        <w:jc w:val="both"/>
        <w:outlineLvl w:val="9"/>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西安市儿童医院2022年经开院区医疗设备采购项目七</w:t>
      </w:r>
      <w:r>
        <w:rPr>
          <w:rFonts w:hint="eastAsia" w:ascii="宋体" w:hAnsi="宋体" w:eastAsia="宋体" w:cs="宋体"/>
          <w:sz w:val="24"/>
          <w:szCs w:val="24"/>
        </w:rPr>
        <w:t xml:space="preserve">  </w:t>
      </w:r>
    </w:p>
    <w:p>
      <w:pPr>
        <w:spacing w:line="560" w:lineRule="exact"/>
        <w:ind w:firstLine="480" w:firstLineChars="200"/>
        <w:jc w:val="both"/>
        <w:outlineLvl w:val="9"/>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SXWZ2022ZB-ETYY-288</w:t>
      </w:r>
    </w:p>
    <w:p>
      <w:pPr>
        <w:spacing w:line="560" w:lineRule="exact"/>
        <w:ind w:firstLine="480" w:firstLineChars="200"/>
        <w:jc w:val="both"/>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预算执行书编号：ZCSP-西安市-2022-02201</w:t>
      </w:r>
    </w:p>
    <w:p>
      <w:pPr>
        <w:numPr>
          <w:ilvl w:val="0"/>
          <w:numId w:val="1"/>
        </w:numPr>
        <w:bidi w:val="0"/>
        <w:rPr>
          <w:rFonts w:hint="eastAsia"/>
        </w:rPr>
      </w:pPr>
      <w:bookmarkStart w:id="3" w:name="_Toc1840"/>
      <w:bookmarkStart w:id="4" w:name="_Toc10927"/>
      <w:bookmarkStart w:id="5" w:name="_Toc20921"/>
      <w:r>
        <w:rPr>
          <w:rFonts w:hint="eastAsia"/>
        </w:rPr>
        <w:t>项目性质：非专门面向中小企业的采购</w:t>
      </w:r>
      <w:bookmarkEnd w:id="3"/>
      <w:bookmarkEnd w:id="4"/>
      <w:bookmarkEnd w:id="5"/>
    </w:p>
    <w:p>
      <w:pPr>
        <w:numPr>
          <w:ilvl w:val="0"/>
          <w:numId w:val="1"/>
        </w:numPr>
        <w:bidi w:val="0"/>
        <w:rPr>
          <w:rFonts w:hint="eastAsia"/>
        </w:rPr>
      </w:pPr>
      <w:bookmarkStart w:id="6" w:name="_Toc2952"/>
      <w:bookmarkStart w:id="7" w:name="_Toc11058"/>
      <w:bookmarkStart w:id="8" w:name="_Toc27587"/>
      <w:r>
        <w:rPr>
          <w:rFonts w:hint="eastAsia"/>
        </w:rPr>
        <w:t>采购内容和要求：</w:t>
      </w:r>
      <w:bookmarkEnd w:id="6"/>
      <w:bookmarkEnd w:id="7"/>
      <w:bookmarkEnd w:id="8"/>
    </w:p>
    <w:tbl>
      <w:tblPr>
        <w:tblStyle w:val="4"/>
        <w:tblW w:w="10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820"/>
        <w:gridCol w:w="1040"/>
        <w:gridCol w:w="1734"/>
        <w:gridCol w:w="1713"/>
        <w:gridCol w:w="1260"/>
        <w:gridCol w:w="114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73" w:type="dxa"/>
            <w:vAlign w:val="center"/>
          </w:tcPr>
          <w:p>
            <w:pPr>
              <w:tabs>
                <w:tab w:val="left" w:pos="480"/>
              </w:tabs>
              <w:spacing w:line="240" w:lineRule="exact"/>
              <w:jc w:val="both"/>
              <w:rPr>
                <w:rFonts w:hint="eastAsia"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序号</w:t>
            </w:r>
          </w:p>
        </w:tc>
        <w:tc>
          <w:tcPr>
            <w:tcW w:w="1820" w:type="dxa"/>
            <w:vAlign w:val="center"/>
          </w:tcPr>
          <w:p>
            <w:pPr>
              <w:tabs>
                <w:tab w:val="left" w:pos="480"/>
              </w:tabs>
              <w:spacing w:line="240" w:lineRule="exact"/>
              <w:jc w:val="center"/>
              <w:rPr>
                <w:rFonts w:ascii="宋体" w:hAnsi="宋体" w:cs="宋体"/>
                <w:color w:val="auto"/>
                <w:sz w:val="24"/>
                <w:szCs w:val="24"/>
              </w:rPr>
            </w:pPr>
            <w:r>
              <w:rPr>
                <w:rFonts w:hint="eastAsia" w:ascii="宋体" w:hAnsi="宋体" w:cs="宋体"/>
                <w:color w:val="auto"/>
                <w:sz w:val="24"/>
                <w:szCs w:val="24"/>
              </w:rPr>
              <w:t>物品名称</w:t>
            </w:r>
          </w:p>
        </w:tc>
        <w:tc>
          <w:tcPr>
            <w:tcW w:w="1040" w:type="dxa"/>
            <w:vAlign w:val="center"/>
          </w:tcPr>
          <w:p>
            <w:pPr>
              <w:tabs>
                <w:tab w:val="left" w:pos="480"/>
              </w:tabs>
              <w:spacing w:line="240" w:lineRule="exact"/>
              <w:jc w:val="center"/>
              <w:rPr>
                <w:rFonts w:ascii="宋体" w:hAnsi="宋体" w:cs="宋体"/>
                <w:color w:val="auto"/>
                <w:sz w:val="24"/>
                <w:szCs w:val="24"/>
              </w:rPr>
            </w:pPr>
            <w:r>
              <w:rPr>
                <w:rFonts w:hint="eastAsia" w:ascii="宋体" w:hAnsi="宋体" w:cs="宋体"/>
                <w:color w:val="auto"/>
                <w:sz w:val="24"/>
                <w:szCs w:val="24"/>
              </w:rPr>
              <w:t>数量</w:t>
            </w:r>
          </w:p>
        </w:tc>
        <w:tc>
          <w:tcPr>
            <w:tcW w:w="1734" w:type="dxa"/>
            <w:vAlign w:val="center"/>
          </w:tcPr>
          <w:p>
            <w:pPr>
              <w:tabs>
                <w:tab w:val="left" w:pos="480"/>
              </w:tabs>
              <w:spacing w:line="240" w:lineRule="exact"/>
              <w:jc w:val="center"/>
              <w:rPr>
                <w:rFonts w:ascii="宋体" w:hAnsi="宋体" w:cs="宋体"/>
                <w:color w:val="auto"/>
                <w:sz w:val="24"/>
                <w:szCs w:val="24"/>
              </w:rPr>
            </w:pPr>
            <w:r>
              <w:rPr>
                <w:rFonts w:hint="eastAsia" w:ascii="宋体" w:hAnsi="宋体" w:cs="宋体"/>
                <w:color w:val="auto"/>
                <w:sz w:val="24"/>
                <w:szCs w:val="24"/>
              </w:rPr>
              <w:t>预算金额（元）</w:t>
            </w:r>
          </w:p>
        </w:tc>
        <w:tc>
          <w:tcPr>
            <w:tcW w:w="1713"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最高限价（元）</w:t>
            </w:r>
          </w:p>
        </w:tc>
        <w:tc>
          <w:tcPr>
            <w:tcW w:w="1260" w:type="dxa"/>
            <w:vAlign w:val="center"/>
          </w:tcPr>
          <w:p>
            <w:pPr>
              <w:widowControl/>
              <w:tabs>
                <w:tab w:val="left" w:pos="1620"/>
              </w:tabs>
              <w:wordWrap w:val="0"/>
              <w:snapToGrid w:val="0"/>
              <w:spacing w:line="360" w:lineRule="auto"/>
              <w:jc w:val="center"/>
              <w:rPr>
                <w:rFonts w:hint="eastAsia" w:ascii="宋体" w:hAnsi="宋体" w:cs="宋体" w:eastAsiaTheme="minorEastAsia"/>
                <w:color w:val="auto"/>
                <w:sz w:val="24"/>
                <w:szCs w:val="24"/>
                <w:lang w:val="en-US" w:eastAsia="zh-CN" w:bidi="ar-SA"/>
              </w:rPr>
            </w:pPr>
            <w:r>
              <w:rPr>
                <w:rFonts w:hint="eastAsia" w:ascii="宋体" w:hAnsi="宋体" w:eastAsia="宋体" w:cs="宋体"/>
                <w:color w:val="auto"/>
                <w:kern w:val="0"/>
                <w:sz w:val="24"/>
                <w:szCs w:val="24"/>
              </w:rPr>
              <w:t>项目性质</w:t>
            </w:r>
          </w:p>
        </w:tc>
        <w:tc>
          <w:tcPr>
            <w:tcW w:w="1140" w:type="dxa"/>
            <w:vAlign w:val="center"/>
          </w:tcPr>
          <w:p>
            <w:pPr>
              <w:widowControl/>
              <w:tabs>
                <w:tab w:val="left" w:pos="1620"/>
              </w:tabs>
              <w:wordWrap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项目</w:t>
            </w:r>
            <w:r>
              <w:rPr>
                <w:rFonts w:hint="eastAsia" w:ascii="宋体" w:hAnsi="宋体" w:eastAsia="宋体" w:cs="宋体"/>
                <w:color w:val="auto"/>
                <w:kern w:val="0"/>
                <w:sz w:val="24"/>
                <w:szCs w:val="24"/>
                <w:lang w:eastAsia="zh-CN"/>
              </w:rPr>
              <w:t>用途</w:t>
            </w: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73" w:type="dxa"/>
            <w:vAlign w:val="center"/>
          </w:tcPr>
          <w:p>
            <w:pPr>
              <w:spacing w:line="240" w:lineRule="exact"/>
              <w:jc w:val="center"/>
              <w:rPr>
                <w:rFonts w:hint="eastAsia" w:ascii="Times New Roman" w:hAnsi="Times New Roman" w:eastAsia="宋体" w:cs="宋体"/>
                <w:bCs/>
                <w:color w:val="000000" w:themeColor="text1"/>
                <w:kern w:val="0"/>
                <w:sz w:val="22"/>
                <w:lang w:val="en-US" w:eastAsia="zh-CN"/>
                <w14:textFill>
                  <w14:solidFill>
                    <w14:schemeClr w14:val="tx1"/>
                  </w14:solidFill>
                </w14:textFill>
              </w:rPr>
            </w:pPr>
            <w:r>
              <w:rPr>
                <w:rFonts w:hint="eastAsia" w:ascii="Times New Roman" w:hAnsi="Times New Roman" w:eastAsia="宋体" w:cs="宋体"/>
                <w:bCs/>
                <w:color w:val="000000" w:themeColor="text1"/>
                <w:kern w:val="0"/>
                <w:sz w:val="22"/>
                <w:lang w:val="en-US" w:eastAsia="zh-CN"/>
                <w14:textFill>
                  <w14:solidFill>
                    <w14:schemeClr w14:val="tx1"/>
                  </w14:solidFill>
                </w14:textFill>
              </w:rPr>
              <w:t>1</w:t>
            </w:r>
          </w:p>
        </w:tc>
        <w:tc>
          <w:tcPr>
            <w:tcW w:w="1820" w:type="dxa"/>
            <w:vAlign w:val="center"/>
          </w:tcPr>
          <w:p>
            <w:pPr>
              <w:spacing w:line="240" w:lineRule="exact"/>
              <w:jc w:val="center"/>
              <w:rPr>
                <w:rFonts w:hint="default" w:ascii="宋体" w:hAnsi="宋体" w:cs="宋体" w:eastAsiaTheme="minorEastAsia"/>
                <w:color w:val="auto"/>
                <w:sz w:val="24"/>
                <w:szCs w:val="24"/>
                <w:lang w:val="en-US" w:eastAsia="zh-CN"/>
              </w:rPr>
            </w:pPr>
            <w:r>
              <w:rPr>
                <w:rFonts w:hint="default" w:ascii="宋体" w:hAnsi="宋体" w:cs="宋体" w:eastAsiaTheme="minorEastAsia"/>
                <w:color w:val="auto"/>
                <w:sz w:val="24"/>
                <w:szCs w:val="24"/>
                <w:lang w:val="en-US" w:eastAsia="zh-CN"/>
              </w:rPr>
              <w:t xml:space="preserve"> </w:t>
            </w:r>
            <w:r>
              <w:rPr>
                <w:rFonts w:hint="default" w:ascii="宋体" w:hAnsi="宋体" w:cs="宋体" w:eastAsiaTheme="minorEastAsia"/>
                <w:b/>
                <w:bCs/>
                <w:color w:val="auto"/>
                <w:sz w:val="24"/>
                <w:szCs w:val="24"/>
                <w:lang w:val="en-US" w:eastAsia="zh-CN"/>
              </w:rPr>
              <w:t xml:space="preserve">3.0T 磁共振成像系统 </w:t>
            </w:r>
            <w:r>
              <w:rPr>
                <w:rFonts w:hint="eastAsia" w:ascii="宋体" w:hAnsi="宋体" w:cs="宋体"/>
                <w:b/>
                <w:bCs/>
                <w:color w:val="auto"/>
                <w:sz w:val="24"/>
                <w:szCs w:val="24"/>
                <w:lang w:val="en-US" w:eastAsia="zh-CN"/>
              </w:rPr>
              <w:t>（核心产品）</w:t>
            </w:r>
          </w:p>
        </w:tc>
        <w:tc>
          <w:tcPr>
            <w:tcW w:w="1040" w:type="dxa"/>
            <w:vAlign w:val="center"/>
          </w:tcPr>
          <w:p>
            <w:pPr>
              <w:spacing w:line="240" w:lineRule="exact"/>
              <w:ind w:firstLine="117" w:firstLineChars="49"/>
              <w:jc w:val="center"/>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套</w:t>
            </w:r>
          </w:p>
        </w:tc>
        <w:tc>
          <w:tcPr>
            <w:tcW w:w="1734" w:type="dxa"/>
            <w:vAlign w:val="center"/>
          </w:tcPr>
          <w:p>
            <w:pPr>
              <w:spacing w:line="240" w:lineRule="exact"/>
              <w:jc w:val="center"/>
              <w:rPr>
                <w:rFonts w:hint="default" w:eastAsiaTheme="minorEastAsia"/>
                <w:lang w:val="en-US" w:eastAsia="zh-CN"/>
              </w:rPr>
            </w:pPr>
            <w:r>
              <w:rPr>
                <w:rFonts w:hint="eastAsia" w:ascii="宋体" w:hAnsi="宋体" w:cs="宋体"/>
                <w:color w:val="auto"/>
                <w:sz w:val="24"/>
                <w:szCs w:val="24"/>
                <w:lang w:val="en-US" w:eastAsia="zh-CN"/>
              </w:rPr>
              <w:t>25000000</w:t>
            </w:r>
            <w:r>
              <w:rPr>
                <w:rFonts w:hint="eastAsia"/>
                <w:lang w:val="en-US" w:eastAsia="zh-CN"/>
              </w:rPr>
              <w:t>.00</w:t>
            </w:r>
          </w:p>
        </w:tc>
        <w:tc>
          <w:tcPr>
            <w:tcW w:w="1713" w:type="dxa"/>
            <w:vAlign w:val="center"/>
          </w:tcPr>
          <w:p>
            <w:pPr>
              <w:widowControl/>
              <w:tabs>
                <w:tab w:val="left" w:pos="1620"/>
              </w:tabs>
              <w:wordWrap w:val="0"/>
              <w:snapToGrid w:val="0"/>
              <w:spacing w:line="360" w:lineRule="auto"/>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22000000.00</w:t>
            </w:r>
          </w:p>
        </w:tc>
        <w:tc>
          <w:tcPr>
            <w:tcW w:w="1260" w:type="dxa"/>
            <w:vMerge w:val="restart"/>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财政资金</w:t>
            </w:r>
          </w:p>
          <w:p>
            <w:pPr>
              <w:widowControl/>
              <w:tabs>
                <w:tab w:val="left" w:pos="1620"/>
              </w:tabs>
              <w:wordWrap w:val="0"/>
              <w:snapToGrid w:val="0"/>
              <w:spacing w:line="360" w:lineRule="auto"/>
              <w:jc w:val="center"/>
              <w:rPr>
                <w:rFonts w:hint="eastAsia" w:ascii="宋体" w:hAnsi="宋体" w:eastAsia="宋体" w:cs="宋体"/>
                <w:color w:val="auto"/>
                <w:kern w:val="0"/>
                <w:sz w:val="24"/>
                <w:szCs w:val="24"/>
                <w:lang w:val="en-US" w:eastAsia="zh-CN" w:bidi="ar-SA"/>
              </w:rPr>
            </w:pPr>
          </w:p>
        </w:tc>
        <w:tc>
          <w:tcPr>
            <w:tcW w:w="1140" w:type="dxa"/>
            <w:vMerge w:val="restart"/>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自用</w:t>
            </w: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本产品已做进口论证，允许采购进口产品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73" w:type="dxa"/>
            <w:vAlign w:val="center"/>
          </w:tcPr>
          <w:p>
            <w:pPr>
              <w:spacing w:line="240" w:lineRule="exact"/>
              <w:jc w:val="center"/>
              <w:rPr>
                <w:rFonts w:hint="eastAsia" w:ascii="Times New Roman" w:hAnsi="Times New Roman" w:eastAsia="宋体" w:cs="宋体"/>
                <w:bCs/>
                <w:color w:val="000000" w:themeColor="text1"/>
                <w:kern w:val="0"/>
                <w:sz w:val="22"/>
                <w:lang w:val="en-US" w:eastAsia="zh-CN"/>
                <w14:textFill>
                  <w14:solidFill>
                    <w14:schemeClr w14:val="tx1"/>
                  </w14:solidFill>
                </w14:textFill>
              </w:rPr>
            </w:pPr>
            <w:r>
              <w:rPr>
                <w:rFonts w:hint="eastAsia" w:ascii="Times New Roman" w:hAnsi="Times New Roman" w:eastAsia="宋体" w:cs="宋体"/>
                <w:bCs/>
                <w:color w:val="000000" w:themeColor="text1"/>
                <w:kern w:val="0"/>
                <w:sz w:val="22"/>
                <w:lang w:val="en-US" w:eastAsia="zh-CN"/>
                <w14:textFill>
                  <w14:solidFill>
                    <w14:schemeClr w14:val="tx1"/>
                  </w14:solidFill>
                </w14:textFill>
              </w:rPr>
              <w:t>2</w:t>
            </w:r>
          </w:p>
        </w:tc>
        <w:tc>
          <w:tcPr>
            <w:tcW w:w="1820" w:type="dxa"/>
            <w:vAlign w:val="center"/>
          </w:tcPr>
          <w:p>
            <w:pPr>
              <w:spacing w:line="240" w:lineRule="exact"/>
              <w:jc w:val="center"/>
              <w:rPr>
                <w:rFonts w:hint="eastAsia" w:ascii="Times New Roman" w:hAnsi="Times New Roman" w:eastAsia="宋体" w:cs="宋体"/>
                <w:bCs/>
                <w:color w:val="000000" w:themeColor="text1"/>
                <w:kern w:val="0"/>
                <w:sz w:val="22"/>
                <w:lang w:eastAsia="zh-CN"/>
                <w14:textFill>
                  <w14:solidFill>
                    <w14:schemeClr w14:val="tx1"/>
                  </w14:solidFill>
                </w14:textFill>
              </w:rPr>
            </w:pPr>
            <w:r>
              <w:rPr>
                <w:rFonts w:hint="eastAsia" w:ascii="新宋体" w:hAnsi="新宋体" w:eastAsia="新宋体" w:cs="新宋体"/>
                <w:sz w:val="24"/>
                <w:szCs w:val="24"/>
              </w:rPr>
              <w:t xml:space="preserve">医用血液冷藏箱   </w:t>
            </w:r>
          </w:p>
        </w:tc>
        <w:tc>
          <w:tcPr>
            <w:tcW w:w="1040" w:type="dxa"/>
            <w:vAlign w:val="center"/>
          </w:tcPr>
          <w:p>
            <w:pPr>
              <w:spacing w:line="240" w:lineRule="exact"/>
              <w:ind w:firstLine="117" w:firstLineChars="49"/>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4台</w:t>
            </w:r>
          </w:p>
        </w:tc>
        <w:tc>
          <w:tcPr>
            <w:tcW w:w="1734" w:type="dxa"/>
            <w:vAlign w:val="center"/>
          </w:tcPr>
          <w:p>
            <w:pPr>
              <w:spacing w:line="24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200000.00</w:t>
            </w:r>
          </w:p>
        </w:tc>
        <w:tc>
          <w:tcPr>
            <w:tcW w:w="1713" w:type="dxa"/>
            <w:vAlign w:val="center"/>
          </w:tcPr>
          <w:p>
            <w:pPr>
              <w:spacing w:line="240" w:lineRule="exac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szCs w:val="24"/>
                <w:lang w:val="en-US" w:eastAsia="zh-CN"/>
              </w:rPr>
              <w:t>200000.00</w:t>
            </w:r>
          </w:p>
        </w:tc>
        <w:tc>
          <w:tcPr>
            <w:tcW w:w="126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val="en-US" w:eastAsia="zh-CN" w:bidi="ar-SA"/>
              </w:rPr>
            </w:pPr>
          </w:p>
        </w:tc>
        <w:tc>
          <w:tcPr>
            <w:tcW w:w="114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73" w:type="dxa"/>
            <w:vAlign w:val="center"/>
          </w:tcPr>
          <w:p>
            <w:pPr>
              <w:spacing w:line="240" w:lineRule="exact"/>
              <w:jc w:val="center"/>
              <w:rPr>
                <w:rFonts w:hint="eastAsia" w:ascii="Times New Roman" w:hAnsi="Times New Roman" w:eastAsia="宋体" w:cs="宋体"/>
                <w:bCs/>
                <w:color w:val="000000" w:themeColor="text1"/>
                <w:kern w:val="0"/>
                <w:sz w:val="22"/>
                <w:lang w:val="en-US" w:eastAsia="zh-CN"/>
                <w14:textFill>
                  <w14:solidFill>
                    <w14:schemeClr w14:val="tx1"/>
                  </w14:solidFill>
                </w14:textFill>
              </w:rPr>
            </w:pPr>
            <w:r>
              <w:rPr>
                <w:rFonts w:hint="eastAsia" w:ascii="Times New Roman" w:hAnsi="Times New Roman" w:eastAsia="宋体" w:cs="宋体"/>
                <w:bCs/>
                <w:color w:val="000000" w:themeColor="text1"/>
                <w:kern w:val="0"/>
                <w:sz w:val="22"/>
                <w:lang w:val="en-US" w:eastAsia="zh-CN"/>
                <w14:textFill>
                  <w14:solidFill>
                    <w14:schemeClr w14:val="tx1"/>
                  </w14:solidFill>
                </w14:textFill>
              </w:rPr>
              <w:t>3</w:t>
            </w:r>
          </w:p>
        </w:tc>
        <w:tc>
          <w:tcPr>
            <w:tcW w:w="1820" w:type="dxa"/>
            <w:vAlign w:val="center"/>
          </w:tcPr>
          <w:p>
            <w:pPr>
              <w:spacing w:line="240" w:lineRule="exact"/>
              <w:jc w:val="center"/>
              <w:rPr>
                <w:rFonts w:hint="eastAsia" w:ascii="Times New Roman" w:hAnsi="Times New Roman" w:eastAsia="宋体" w:cs="宋体"/>
                <w:bCs/>
                <w:color w:val="000000" w:themeColor="text1"/>
                <w:kern w:val="0"/>
                <w:sz w:val="22"/>
                <w:lang w:eastAsia="zh-CN"/>
                <w14:textFill>
                  <w14:solidFill>
                    <w14:schemeClr w14:val="tx1"/>
                  </w14:solidFill>
                </w14:textFill>
              </w:rPr>
            </w:pPr>
            <w:r>
              <w:rPr>
                <w:rFonts w:hint="eastAsia" w:ascii="新宋体" w:hAnsi="新宋体" w:eastAsia="新宋体" w:cs="新宋体"/>
                <w:sz w:val="24"/>
                <w:szCs w:val="24"/>
              </w:rPr>
              <w:t xml:space="preserve">医用低温保存箱   </w:t>
            </w:r>
          </w:p>
        </w:tc>
        <w:tc>
          <w:tcPr>
            <w:tcW w:w="1040" w:type="dxa"/>
            <w:vAlign w:val="center"/>
          </w:tcPr>
          <w:p>
            <w:pPr>
              <w:spacing w:line="240" w:lineRule="exact"/>
              <w:ind w:firstLine="117" w:firstLineChars="49"/>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2台</w:t>
            </w:r>
          </w:p>
        </w:tc>
        <w:tc>
          <w:tcPr>
            <w:tcW w:w="1734" w:type="dxa"/>
            <w:vAlign w:val="center"/>
          </w:tcPr>
          <w:p>
            <w:pPr>
              <w:spacing w:line="24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60000.00</w:t>
            </w:r>
          </w:p>
        </w:tc>
        <w:tc>
          <w:tcPr>
            <w:tcW w:w="1713" w:type="dxa"/>
            <w:vAlign w:val="center"/>
          </w:tcPr>
          <w:p>
            <w:pPr>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sz w:val="24"/>
                <w:szCs w:val="24"/>
                <w:lang w:val="en-US" w:eastAsia="zh-CN"/>
              </w:rPr>
              <w:t>60000.00</w:t>
            </w:r>
          </w:p>
        </w:tc>
        <w:tc>
          <w:tcPr>
            <w:tcW w:w="126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14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3" w:type="dxa"/>
            <w:vAlign w:val="center"/>
          </w:tcPr>
          <w:p>
            <w:pPr>
              <w:spacing w:line="240" w:lineRule="exact"/>
              <w:jc w:val="center"/>
              <w:rPr>
                <w:rFonts w:hint="eastAsia" w:ascii="Times New Roman" w:hAnsi="Times New Roman" w:eastAsia="宋体" w:cs="宋体"/>
                <w:bCs/>
                <w:color w:val="000000" w:themeColor="text1"/>
                <w:kern w:val="0"/>
                <w:sz w:val="22"/>
                <w:lang w:val="en-US" w:eastAsia="zh-CN"/>
                <w14:textFill>
                  <w14:solidFill>
                    <w14:schemeClr w14:val="tx1"/>
                  </w14:solidFill>
                </w14:textFill>
              </w:rPr>
            </w:pPr>
            <w:r>
              <w:rPr>
                <w:rFonts w:hint="eastAsia" w:ascii="Times New Roman" w:hAnsi="Times New Roman" w:eastAsia="宋体" w:cs="宋体"/>
                <w:bCs/>
                <w:color w:val="000000" w:themeColor="text1"/>
                <w:kern w:val="0"/>
                <w:sz w:val="22"/>
                <w:lang w:val="en-US" w:eastAsia="zh-CN"/>
                <w14:textFill>
                  <w14:solidFill>
                    <w14:schemeClr w14:val="tx1"/>
                  </w14:solidFill>
                </w14:textFill>
              </w:rPr>
              <w:t>4</w:t>
            </w:r>
          </w:p>
        </w:tc>
        <w:tc>
          <w:tcPr>
            <w:tcW w:w="1820" w:type="dxa"/>
            <w:vAlign w:val="center"/>
          </w:tcPr>
          <w:p>
            <w:pPr>
              <w:spacing w:line="240" w:lineRule="exact"/>
              <w:jc w:val="center"/>
              <w:rPr>
                <w:rFonts w:hint="eastAsia" w:ascii="Times New Roman" w:hAnsi="Times New Roman" w:eastAsia="宋体" w:cs="宋体"/>
                <w:bCs/>
                <w:color w:val="000000" w:themeColor="text1"/>
                <w:kern w:val="0"/>
                <w:sz w:val="22"/>
                <w:lang w:eastAsia="zh-CN"/>
                <w14:textFill>
                  <w14:solidFill>
                    <w14:schemeClr w14:val="tx1"/>
                  </w14:solidFill>
                </w14:textFill>
              </w:rPr>
            </w:pPr>
            <w:r>
              <w:rPr>
                <w:rFonts w:hint="eastAsia" w:ascii="新宋体" w:hAnsi="新宋体" w:eastAsia="新宋体" w:cs="新宋体"/>
                <w:sz w:val="24"/>
                <w:szCs w:val="24"/>
              </w:rPr>
              <w:t xml:space="preserve">血小板恒温振荡保存箱 </w:t>
            </w:r>
          </w:p>
        </w:tc>
        <w:tc>
          <w:tcPr>
            <w:tcW w:w="1040" w:type="dxa"/>
            <w:vAlign w:val="center"/>
          </w:tcPr>
          <w:p>
            <w:pPr>
              <w:spacing w:line="240" w:lineRule="exact"/>
              <w:ind w:firstLine="117" w:firstLineChars="49"/>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1台</w:t>
            </w:r>
          </w:p>
        </w:tc>
        <w:tc>
          <w:tcPr>
            <w:tcW w:w="1734" w:type="dxa"/>
            <w:vAlign w:val="center"/>
          </w:tcPr>
          <w:p>
            <w:pPr>
              <w:spacing w:line="24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150000.00</w:t>
            </w:r>
          </w:p>
        </w:tc>
        <w:tc>
          <w:tcPr>
            <w:tcW w:w="1713" w:type="dxa"/>
            <w:vAlign w:val="center"/>
          </w:tcPr>
          <w:p>
            <w:pPr>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sz w:val="24"/>
                <w:szCs w:val="24"/>
                <w:lang w:val="en-US" w:eastAsia="zh-CN"/>
              </w:rPr>
              <w:t>150000.00</w:t>
            </w:r>
          </w:p>
        </w:tc>
        <w:tc>
          <w:tcPr>
            <w:tcW w:w="126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14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73" w:type="dxa"/>
            <w:vAlign w:val="center"/>
          </w:tcPr>
          <w:p>
            <w:pPr>
              <w:spacing w:line="240" w:lineRule="exact"/>
              <w:jc w:val="center"/>
              <w:rPr>
                <w:rFonts w:hint="eastAsia" w:ascii="Times New Roman" w:hAnsi="Times New Roman" w:eastAsia="宋体" w:cs="宋体"/>
                <w:bCs/>
                <w:color w:val="000000" w:themeColor="text1"/>
                <w:kern w:val="0"/>
                <w:sz w:val="22"/>
                <w:lang w:val="en-US" w:eastAsia="zh-CN"/>
                <w14:textFill>
                  <w14:solidFill>
                    <w14:schemeClr w14:val="tx1"/>
                  </w14:solidFill>
                </w14:textFill>
              </w:rPr>
            </w:pPr>
            <w:r>
              <w:rPr>
                <w:rFonts w:hint="eastAsia" w:ascii="Times New Roman" w:hAnsi="Times New Roman" w:eastAsia="宋体" w:cs="宋体"/>
                <w:bCs/>
                <w:color w:val="000000" w:themeColor="text1"/>
                <w:kern w:val="0"/>
                <w:sz w:val="22"/>
                <w:lang w:val="en-US" w:eastAsia="zh-CN"/>
                <w14:textFill>
                  <w14:solidFill>
                    <w14:schemeClr w14:val="tx1"/>
                  </w14:solidFill>
                </w14:textFill>
              </w:rPr>
              <w:t>5</w:t>
            </w:r>
          </w:p>
        </w:tc>
        <w:tc>
          <w:tcPr>
            <w:tcW w:w="1820" w:type="dxa"/>
            <w:vAlign w:val="center"/>
          </w:tcPr>
          <w:p>
            <w:pPr>
              <w:spacing w:line="240" w:lineRule="exact"/>
              <w:jc w:val="center"/>
              <w:rPr>
                <w:rFonts w:hint="eastAsia" w:ascii="Times New Roman" w:hAnsi="Times New Roman" w:eastAsia="宋体" w:cs="宋体"/>
                <w:bCs/>
                <w:color w:val="000000" w:themeColor="text1"/>
                <w:kern w:val="0"/>
                <w:sz w:val="22"/>
                <w:lang w:eastAsia="zh-CN"/>
                <w14:textFill>
                  <w14:solidFill>
                    <w14:schemeClr w14:val="tx1"/>
                  </w14:solidFill>
                </w14:textFill>
              </w:rPr>
            </w:pPr>
            <w:r>
              <w:rPr>
                <w:rFonts w:hint="eastAsia" w:ascii="Times New Roman" w:hAnsi="Times New Roman" w:eastAsia="宋体" w:cs="宋体"/>
                <w:bCs/>
                <w:color w:val="000000" w:themeColor="text1"/>
                <w:kern w:val="0"/>
                <w:sz w:val="22"/>
                <w:lang w:eastAsia="zh-CN"/>
                <w14:textFill>
                  <w14:solidFill>
                    <w14:schemeClr w14:val="tx1"/>
                  </w14:solidFill>
                </w14:textFill>
              </w:rPr>
              <w:t xml:space="preserve"> 血型血清学用离心机   </w:t>
            </w:r>
          </w:p>
        </w:tc>
        <w:tc>
          <w:tcPr>
            <w:tcW w:w="1040" w:type="dxa"/>
            <w:vAlign w:val="center"/>
          </w:tcPr>
          <w:p>
            <w:pPr>
              <w:spacing w:line="240" w:lineRule="exact"/>
              <w:ind w:firstLine="117" w:firstLineChars="49"/>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1台</w:t>
            </w:r>
          </w:p>
        </w:tc>
        <w:tc>
          <w:tcPr>
            <w:tcW w:w="1734" w:type="dxa"/>
            <w:vAlign w:val="center"/>
          </w:tcPr>
          <w:p>
            <w:pPr>
              <w:spacing w:line="24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50000.00</w:t>
            </w:r>
          </w:p>
        </w:tc>
        <w:tc>
          <w:tcPr>
            <w:tcW w:w="1713" w:type="dxa"/>
            <w:vAlign w:val="center"/>
          </w:tcPr>
          <w:p>
            <w:pPr>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sz w:val="24"/>
                <w:szCs w:val="24"/>
                <w:lang w:val="en-US" w:eastAsia="zh-CN"/>
              </w:rPr>
              <w:t>50000.00</w:t>
            </w:r>
          </w:p>
        </w:tc>
        <w:tc>
          <w:tcPr>
            <w:tcW w:w="126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14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73" w:type="dxa"/>
            <w:vAlign w:val="center"/>
          </w:tcPr>
          <w:p>
            <w:pPr>
              <w:spacing w:line="240" w:lineRule="exact"/>
              <w:jc w:val="center"/>
              <w:rPr>
                <w:rFonts w:hint="eastAsia" w:ascii="Times New Roman" w:hAnsi="Times New Roman" w:eastAsia="宋体" w:cs="宋体"/>
                <w:bCs/>
                <w:color w:val="000000" w:themeColor="text1"/>
                <w:kern w:val="0"/>
                <w:sz w:val="22"/>
                <w:lang w:val="en-US" w:eastAsia="zh-CN"/>
                <w14:textFill>
                  <w14:solidFill>
                    <w14:schemeClr w14:val="tx1"/>
                  </w14:solidFill>
                </w14:textFill>
              </w:rPr>
            </w:pPr>
            <w:r>
              <w:rPr>
                <w:rFonts w:hint="eastAsia" w:ascii="Times New Roman" w:hAnsi="Times New Roman" w:eastAsia="宋体" w:cs="宋体"/>
                <w:bCs/>
                <w:color w:val="000000" w:themeColor="text1"/>
                <w:kern w:val="0"/>
                <w:sz w:val="22"/>
                <w:lang w:val="en-US" w:eastAsia="zh-CN"/>
                <w14:textFill>
                  <w14:solidFill>
                    <w14:schemeClr w14:val="tx1"/>
                  </w14:solidFill>
                </w14:textFill>
              </w:rPr>
              <w:t>6</w:t>
            </w:r>
          </w:p>
        </w:tc>
        <w:tc>
          <w:tcPr>
            <w:tcW w:w="1820" w:type="dxa"/>
            <w:vAlign w:val="center"/>
          </w:tcPr>
          <w:p>
            <w:pPr>
              <w:spacing w:line="240" w:lineRule="exact"/>
              <w:jc w:val="center"/>
              <w:rPr>
                <w:rFonts w:hint="eastAsia" w:ascii="宋体" w:hAnsi="宋体" w:cs="宋体"/>
                <w:kern w:val="0"/>
                <w:sz w:val="24"/>
                <w:szCs w:val="24"/>
              </w:rPr>
            </w:pPr>
          </w:p>
          <w:p>
            <w:pPr>
              <w:spacing w:line="240" w:lineRule="exact"/>
              <w:jc w:val="center"/>
              <w:rPr>
                <w:rFonts w:hint="eastAsia" w:ascii="Times New Roman" w:hAnsi="Times New Roman" w:eastAsia="宋体" w:cs="宋体"/>
                <w:bCs/>
                <w:color w:val="000000" w:themeColor="text1"/>
                <w:kern w:val="0"/>
                <w:sz w:val="22"/>
                <w:lang w:eastAsia="zh-CN"/>
                <w14:textFill>
                  <w14:solidFill>
                    <w14:schemeClr w14:val="tx1"/>
                  </w14:solidFill>
                </w14:textFill>
              </w:rPr>
            </w:pPr>
            <w:r>
              <w:rPr>
                <w:rFonts w:hint="eastAsia" w:ascii="宋体" w:hAnsi="宋体" w:cs="宋体"/>
                <w:kern w:val="0"/>
                <w:sz w:val="24"/>
                <w:szCs w:val="24"/>
              </w:rPr>
              <w:t>全温控监测智能化血浆解冻仪</w:t>
            </w:r>
          </w:p>
        </w:tc>
        <w:tc>
          <w:tcPr>
            <w:tcW w:w="1040" w:type="dxa"/>
            <w:vAlign w:val="center"/>
          </w:tcPr>
          <w:p>
            <w:pPr>
              <w:spacing w:line="240" w:lineRule="exact"/>
              <w:ind w:firstLine="117" w:firstLineChars="49"/>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1台</w:t>
            </w:r>
          </w:p>
        </w:tc>
        <w:tc>
          <w:tcPr>
            <w:tcW w:w="1734" w:type="dxa"/>
            <w:vAlign w:val="center"/>
          </w:tcPr>
          <w:p>
            <w:pPr>
              <w:spacing w:line="24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250000.00</w:t>
            </w:r>
          </w:p>
        </w:tc>
        <w:tc>
          <w:tcPr>
            <w:tcW w:w="1713" w:type="dxa"/>
            <w:vAlign w:val="center"/>
          </w:tcPr>
          <w:p>
            <w:pPr>
              <w:spacing w:line="240" w:lineRule="exact"/>
              <w:jc w:val="center"/>
              <w:rPr>
                <w:rFonts w:hint="eastAsia" w:ascii="宋体" w:hAnsi="宋体" w:eastAsia="宋体" w:cs="宋体"/>
                <w:color w:val="auto"/>
                <w:kern w:val="0"/>
                <w:sz w:val="24"/>
                <w:szCs w:val="24"/>
                <w:lang w:eastAsia="zh-CN"/>
              </w:rPr>
            </w:pPr>
            <w:r>
              <w:rPr>
                <w:rFonts w:hint="eastAsia" w:ascii="宋体" w:hAnsi="宋体" w:cs="宋体"/>
                <w:color w:val="auto"/>
                <w:sz w:val="24"/>
                <w:szCs w:val="24"/>
                <w:lang w:val="en-US" w:eastAsia="zh-CN"/>
              </w:rPr>
              <w:t>250000.00</w:t>
            </w:r>
          </w:p>
        </w:tc>
        <w:tc>
          <w:tcPr>
            <w:tcW w:w="126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140" w:type="dxa"/>
            <w:vMerge w:val="continue"/>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c>
          <w:tcPr>
            <w:tcW w:w="1732" w:type="dxa"/>
            <w:vAlign w:val="center"/>
          </w:tcPr>
          <w:p>
            <w:pPr>
              <w:widowControl/>
              <w:tabs>
                <w:tab w:val="left" w:pos="1620"/>
              </w:tabs>
              <w:wordWrap w:val="0"/>
              <w:snapToGrid w:val="0"/>
              <w:spacing w:line="360" w:lineRule="auto"/>
              <w:jc w:val="center"/>
              <w:rPr>
                <w:rFonts w:hint="eastAsia" w:ascii="宋体" w:hAnsi="宋体" w:eastAsia="宋体" w:cs="宋体"/>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912" w:type="dxa"/>
            <w:gridSpan w:val="8"/>
            <w:vAlign w:val="center"/>
          </w:tcPr>
          <w:p>
            <w:pPr>
              <w:widowControl/>
              <w:tabs>
                <w:tab w:val="left" w:pos="1620"/>
                <w:tab w:val="left" w:pos="1978"/>
              </w:tabs>
              <w:wordWrap w:val="0"/>
              <w:snapToGrid w:val="0"/>
              <w:spacing w:line="360" w:lineRule="auto"/>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采购预算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 xml:space="preserve">25710000.00元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最高限价：22710000.00元</w:t>
            </w:r>
            <w:r>
              <w:rPr>
                <w:rFonts w:hint="eastAsia" w:ascii="宋体" w:hAnsi="宋体" w:eastAsia="宋体" w:cs="宋体"/>
                <w:color w:val="FF0000"/>
                <w:kern w:val="0"/>
                <w:sz w:val="24"/>
                <w:szCs w:val="24"/>
                <w:lang w:val="en-US" w:eastAsia="zh-CN"/>
              </w:rPr>
              <w:t xml:space="preserve">  </w:t>
            </w:r>
          </w:p>
        </w:tc>
      </w:tr>
    </w:tbl>
    <w:p>
      <w:pPr>
        <w:spacing w:line="560" w:lineRule="exact"/>
        <w:jc w:val="both"/>
        <w:outlineLvl w:val="9"/>
        <w:rPr>
          <w:rFonts w:hint="eastAsia" w:ascii="宋体" w:hAnsi="宋体" w:eastAsia="宋体" w:cs="宋体"/>
          <w:sz w:val="24"/>
          <w:szCs w:val="24"/>
        </w:rPr>
      </w:pPr>
      <w:r>
        <w:rPr>
          <w:rFonts w:hint="eastAsia" w:ascii="宋体" w:hAnsi="宋体" w:eastAsia="宋体" w:cs="宋体"/>
          <w:sz w:val="24"/>
          <w:szCs w:val="24"/>
        </w:rPr>
        <w:t>（详见招标文件第三章〈招标内容及要求〉）</w:t>
      </w:r>
    </w:p>
    <w:p>
      <w:pPr>
        <w:bidi w:val="0"/>
        <w:rPr>
          <w:rFonts w:hint="eastAsia"/>
          <w:color w:val="000000" w:themeColor="text1"/>
          <w:lang w:val="en-US" w:eastAsia="zh-CN"/>
          <w14:textFill>
            <w14:solidFill>
              <w14:schemeClr w14:val="tx1"/>
            </w14:solidFill>
          </w14:textFill>
        </w:rPr>
      </w:pPr>
      <w:bookmarkStart w:id="9" w:name="_Toc26651"/>
      <w:bookmarkStart w:id="10" w:name="_Toc29589"/>
      <w:bookmarkStart w:id="11" w:name="_Toc5777"/>
      <w:r>
        <w:rPr>
          <w:rFonts w:hint="eastAsia"/>
        </w:rPr>
        <w:t>四、采购预算：</w:t>
      </w:r>
      <w:r>
        <w:rPr>
          <w:rFonts w:hint="eastAsia" w:ascii="宋体" w:hAnsi="宋体" w:eastAsia="宋体" w:cs="宋体"/>
          <w:color w:val="auto"/>
          <w:kern w:val="0"/>
          <w:sz w:val="24"/>
          <w:szCs w:val="24"/>
          <w:lang w:val="en-US" w:eastAsia="zh-CN"/>
        </w:rPr>
        <w:t>25710000</w:t>
      </w:r>
      <w:r>
        <w:rPr>
          <w:rFonts w:hint="eastAsia" w:ascii="宋体" w:hAnsi="宋体" w:cs="宋体"/>
          <w:color w:val="auto"/>
          <w:sz w:val="24"/>
          <w:szCs w:val="24"/>
          <w:lang w:val="en-US" w:eastAsia="zh-CN"/>
        </w:rPr>
        <w:t>.00</w:t>
      </w:r>
      <w:r>
        <w:rPr>
          <w:rFonts w:hint="eastAsia"/>
          <w:lang w:val="en-US" w:eastAsia="zh-CN"/>
        </w:rPr>
        <w:t>元，</w:t>
      </w:r>
      <w:r>
        <w:rPr>
          <w:rFonts w:hint="eastAsia"/>
          <w:color w:val="000000" w:themeColor="text1"/>
          <w:lang w:val="en-US" w:eastAsia="zh-CN"/>
          <w14:textFill>
            <w14:solidFill>
              <w14:schemeClr w14:val="tx1"/>
            </w14:solidFill>
          </w14:textFill>
        </w:rPr>
        <w:t>最高限价：</w:t>
      </w:r>
      <w:r>
        <w:rPr>
          <w:rFonts w:hint="eastAsia" w:ascii="宋体" w:hAnsi="宋体" w:eastAsia="宋体" w:cs="宋体"/>
          <w:color w:val="000000" w:themeColor="text1"/>
          <w:kern w:val="0"/>
          <w:sz w:val="24"/>
          <w:szCs w:val="24"/>
          <w:lang w:val="en-US" w:eastAsia="zh-CN"/>
          <w14:textFill>
            <w14:solidFill>
              <w14:schemeClr w14:val="tx1"/>
            </w14:solidFill>
          </w14:textFill>
        </w:rPr>
        <w:t>22710000</w:t>
      </w:r>
      <w:r>
        <w:rPr>
          <w:rFonts w:hint="eastAsia" w:ascii="宋体" w:hAnsi="宋体" w:cs="宋体"/>
          <w:color w:val="000000" w:themeColor="text1"/>
          <w:sz w:val="24"/>
          <w:szCs w:val="24"/>
          <w:lang w:val="en-US" w:eastAsia="zh-CN"/>
          <w14:textFill>
            <w14:solidFill>
              <w14:schemeClr w14:val="tx1"/>
            </w14:solidFill>
          </w14:textFill>
        </w:rPr>
        <w:t>.00</w:t>
      </w:r>
      <w:r>
        <w:rPr>
          <w:rFonts w:hint="eastAsia"/>
          <w:color w:val="000000" w:themeColor="text1"/>
          <w:lang w:val="en-US" w:eastAsia="zh-CN"/>
          <w14:textFill>
            <w14:solidFill>
              <w14:schemeClr w14:val="tx1"/>
            </w14:solidFill>
          </w14:textFill>
        </w:rPr>
        <w:t>元</w:t>
      </w:r>
      <w:bookmarkEnd w:id="9"/>
      <w:bookmarkEnd w:id="10"/>
      <w:bookmarkEnd w:id="11"/>
    </w:p>
    <w:p>
      <w:pPr>
        <w:bidi w:val="0"/>
        <w:rPr>
          <w:rFonts w:hint="eastAsia" w:ascii="宋体" w:hAnsi="宋体" w:eastAsia="宋体" w:cs="宋体"/>
          <w:szCs w:val="24"/>
        </w:rPr>
      </w:pPr>
      <w:bookmarkStart w:id="12" w:name="_Toc15670"/>
      <w:bookmarkStart w:id="13" w:name="_Toc7327"/>
      <w:bookmarkStart w:id="14" w:name="_Toc4241"/>
      <w:r>
        <w:rPr>
          <w:rFonts w:hint="eastAsia"/>
        </w:rPr>
        <w:t>五、供应商资格要求：</w:t>
      </w:r>
      <w:bookmarkEnd w:id="12"/>
      <w:bookmarkEnd w:id="13"/>
      <w:bookmarkEnd w:id="14"/>
    </w:p>
    <w:p>
      <w:pPr>
        <w:bidi w:val="0"/>
        <w:rPr>
          <w:rFonts w:hint="eastAsia"/>
        </w:rPr>
      </w:pPr>
      <w:bookmarkStart w:id="15" w:name="_Toc2061"/>
      <w:r>
        <w:rPr>
          <w:rFonts w:hint="eastAsia"/>
        </w:rPr>
        <w:t>1．基本资格条件</w:t>
      </w:r>
      <w:bookmarkEnd w:id="15"/>
    </w:p>
    <w:p>
      <w:pPr>
        <w:spacing w:line="560" w:lineRule="exact"/>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满足《中华人民共和国政府釆购法》第二十二条规定。</w:t>
      </w:r>
    </w:p>
    <w:p>
      <w:pPr>
        <w:bidi w:val="0"/>
        <w:rPr>
          <w:rFonts w:hint="eastAsia"/>
        </w:rPr>
      </w:pPr>
      <w:bookmarkStart w:id="16" w:name="_Toc25521"/>
      <w:r>
        <w:rPr>
          <w:rFonts w:hint="eastAsia"/>
        </w:rPr>
        <w:t>2．特定资格条件</w:t>
      </w:r>
      <w:bookmarkEnd w:id="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2.2社会保障资金缴纳证明：供应商提供本单位2022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2.3税收缴纳证明：供应商提供本单位2022年1月至今已缴纳的至少一个月纳税证明或完税证明，依法免税的单位应提供相关证明材料；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2.4财务状况证明：提供本单位经会计师事务所审计的2020年或2021年任意一年的财务审计报告或在开标日期前六个月内其基本开户银行出具的资信证明；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2.5供应商应出具参加本次政府采购活动前3年内在经营活动中没有重大违法违纪，以及未被列入失信被执行人、重大税收违法案件当事人名单、政府采购严重违法失信行为记录名单的书面声明；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2.6非法定代表人参加投标，须提供法定代表人授权委托书及被授权人身份证原件；法定代表人参加投标时,只须提供法定代表人身份证原件；</w:t>
      </w:r>
    </w:p>
    <w:p>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2.7所投产品为进口产品还须提供产品制造厂商针对该产品完整授权链的授权书。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2.8投标人为代理商的应提供《医疗器械经营许可证》或《医疗器械经营备案凭证》及所投产品医疗器械注册证(含附件和附页)；投标人为制造厂商的应提供《医疗器械生产许可证》或《医疗器械生产备案凭证》（进口产品除外）和《医疗器械经营许可证》及所投产品《医疗器械注册证》(含附件和附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2.9本项目不接受联合体投标。</w:t>
      </w:r>
    </w:p>
    <w:p>
      <w:pPr>
        <w:bidi w:val="0"/>
        <w:rPr>
          <w:rFonts w:hint="eastAsia"/>
        </w:rPr>
      </w:pPr>
      <w:bookmarkStart w:id="17" w:name="_Toc31906"/>
      <w:bookmarkStart w:id="18" w:name="_Toc3181"/>
      <w:bookmarkStart w:id="19" w:name="_Toc16518"/>
      <w:r>
        <w:rPr>
          <w:rFonts w:hint="eastAsia"/>
        </w:rPr>
        <w:t>六、执行的其他政府采购政策：</w:t>
      </w:r>
      <w:bookmarkEnd w:id="17"/>
      <w:bookmarkEnd w:id="18"/>
      <w:bookmarkEnd w:id="19"/>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关于政府采购支持监狱企业发展有关问题的通知》（财库〔2014〕68号）以及《关于促进残疾人就业政府采购政策的通知》（财库〔2017〕141号）。</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3．陕西省财政厅关于印发《陕西省中小企业政府采购信用融资办法》（陕财办采〔2018〕23号）。</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4．详见招标文件第二章相关事项。</w:t>
      </w:r>
    </w:p>
    <w:p>
      <w:pPr>
        <w:bidi w:val="0"/>
        <w:rPr>
          <w:rFonts w:hint="eastAsia"/>
        </w:rPr>
      </w:pPr>
      <w:bookmarkStart w:id="20" w:name="_Toc3878"/>
      <w:bookmarkStart w:id="21" w:name="_Toc6511"/>
      <w:bookmarkStart w:id="22" w:name="_Toc19338"/>
      <w:r>
        <w:rPr>
          <w:rFonts w:hint="eastAsia"/>
        </w:rPr>
        <w:t>七、招标文件获取方式及公告期限：</w:t>
      </w:r>
      <w:bookmarkEnd w:id="20"/>
      <w:bookmarkEnd w:id="21"/>
      <w:bookmarkEnd w:id="22"/>
    </w:p>
    <w:p>
      <w:pPr>
        <w:bidi w:val="0"/>
        <w:rPr>
          <w:rFonts w:hint="eastAsia" w:ascii="宋体" w:hAnsi="宋体" w:eastAsia="宋体" w:cs="宋体"/>
          <w:szCs w:val="24"/>
        </w:rPr>
      </w:pPr>
      <w:bookmarkStart w:id="23" w:name="_Toc28215"/>
      <w:r>
        <w:rPr>
          <w:rFonts w:hint="eastAsia"/>
        </w:rPr>
        <w:t>1．获取方式：</w:t>
      </w:r>
      <w:bookmarkEnd w:id="23"/>
    </w:p>
    <w:p>
      <w:pPr>
        <w:spacing w:line="560" w:lineRule="exact"/>
        <w:ind w:firstLine="480" w:firstLineChars="200"/>
        <w:jc w:val="both"/>
        <w:outlineLvl w:val="9"/>
        <w:rPr>
          <w:rFonts w:hint="default" w:ascii="宋体" w:hAnsi="宋体" w:eastAsia="宋体" w:cs="宋体"/>
          <w:b w:val="0"/>
          <w:bCs w:val="0"/>
          <w:sz w:val="24"/>
          <w:szCs w:val="24"/>
          <w:lang w:val="en-US" w:eastAsia="zh-CN" w:bidi="ar-SA"/>
        </w:rPr>
      </w:pPr>
      <w:r>
        <w:rPr>
          <w:rFonts w:hint="eastAsia" w:ascii="宋体" w:hAnsi="宋体" w:eastAsia="宋体" w:cs="宋体"/>
          <w:sz w:val="24"/>
          <w:szCs w:val="24"/>
        </w:rPr>
        <w:t>打开【全国公共资源交易平台（陕西省·西安市）】网站（简称西安市公共资源交易平台，官网地址：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"http://sxggzyjy.xa.gov.cn/" </w:instrText>
      </w:r>
      <w:r>
        <w:rPr>
          <w:rFonts w:hint="eastAsia" w:ascii="宋体" w:hAnsi="宋体" w:eastAsia="宋体" w:cs="宋体"/>
          <w:sz w:val="24"/>
          <w:szCs w:val="24"/>
        </w:rPr>
        <w:fldChar w:fldCharType="separate"/>
      </w:r>
      <w:r>
        <w:rPr>
          <w:rStyle w:val="7"/>
          <w:rFonts w:hint="eastAsia" w:ascii="宋体" w:hAnsi="宋体" w:eastAsia="宋体" w:cs="宋体"/>
          <w:color w:val="auto"/>
          <w:sz w:val="24"/>
          <w:szCs w:val="24"/>
          <w:u w:val="none"/>
        </w:rPr>
        <w:t>http://sxggzyjy.xa.gov.cn/</w:t>
      </w:r>
      <w:r>
        <w:rPr>
          <w:rStyle w:val="7"/>
          <w:rFonts w:hint="eastAsia" w:ascii="宋体" w:hAnsi="宋体" w:eastAsia="宋体" w:cs="宋体"/>
          <w:color w:val="auto"/>
          <w:sz w:val="24"/>
          <w:szCs w:val="24"/>
          <w:u w:val="none"/>
        </w:rPr>
        <w:fldChar w:fldCharType="end"/>
      </w:r>
      <w:r>
        <w:rPr>
          <w:rFonts w:hint="eastAsia" w:ascii="宋体" w:hAnsi="宋体" w:eastAsia="宋体" w:cs="宋体"/>
          <w:sz w:val="24"/>
          <w:szCs w:val="24"/>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bidi w:val="0"/>
        <w:ind w:firstLine="210" w:firstLineChars="100"/>
        <w:rPr>
          <w:rFonts w:hint="eastAsia"/>
          <w:color w:val="auto"/>
          <w:highlight w:val="none"/>
        </w:rPr>
      </w:pPr>
      <w:bookmarkStart w:id="24" w:name="_Toc2082"/>
      <w:r>
        <w:rPr>
          <w:rFonts w:hint="eastAsia"/>
          <w:color w:val="auto"/>
          <w:highlight w:val="none"/>
        </w:rPr>
        <w:t>2．</w:t>
      </w:r>
      <w:r>
        <w:rPr>
          <w:rFonts w:hint="eastAsia"/>
          <w:color w:val="auto"/>
          <w:highlight w:val="none"/>
          <w:lang w:eastAsia="zh-CN"/>
        </w:rPr>
        <w:t>获取</w:t>
      </w:r>
      <w:r>
        <w:rPr>
          <w:rFonts w:hint="eastAsia"/>
          <w:color w:val="auto"/>
          <w:highlight w:val="none"/>
        </w:rPr>
        <w:t>时间：202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14</w:t>
      </w:r>
      <w:r>
        <w:rPr>
          <w:rFonts w:hint="eastAsia"/>
          <w:color w:val="auto"/>
          <w:highlight w:val="none"/>
        </w:rPr>
        <w:t>日起至202</w:t>
      </w:r>
      <w:r>
        <w:rPr>
          <w:rFonts w:hint="eastAsia"/>
          <w:color w:val="auto"/>
          <w:highlight w:val="none"/>
          <w:lang w:val="en-US" w:eastAsia="zh-CN"/>
        </w:rPr>
        <w:t>2</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21</w:t>
      </w:r>
      <w:r>
        <w:rPr>
          <w:rFonts w:hint="eastAsia"/>
          <w:color w:val="auto"/>
          <w:highlight w:val="none"/>
        </w:rPr>
        <w:t>日止</w:t>
      </w:r>
      <w:bookmarkEnd w:id="24"/>
    </w:p>
    <w:p>
      <w:pPr>
        <w:bidi w:val="0"/>
        <w:spacing w:line="360" w:lineRule="auto"/>
        <w:ind w:firstLine="210" w:firstLineChars="100"/>
        <w:rPr>
          <w:rFonts w:hint="eastAsia"/>
          <w:lang w:val="en-US" w:eastAsia="zh-CN"/>
        </w:rPr>
      </w:pPr>
      <w:bookmarkStart w:id="25" w:name="_Toc3722"/>
      <w:r>
        <w:rPr>
          <w:rFonts w:hint="eastAsia"/>
        </w:rPr>
        <w:t>3．</w:t>
      </w:r>
      <w:r>
        <w:rPr>
          <w:rFonts w:hint="eastAsia"/>
          <w:lang w:val="en-US" w:eastAsia="zh-CN"/>
        </w:rPr>
        <w:t>公告期自公告发布之日起5个工作日</w:t>
      </w:r>
      <w:bookmarkEnd w:id="25"/>
    </w:p>
    <w:p>
      <w:pPr>
        <w:bidi w:val="0"/>
        <w:spacing w:line="360" w:lineRule="auto"/>
        <w:ind w:firstLine="210" w:firstLineChars="100"/>
        <w:rPr>
          <w:rFonts w:hint="eastAsia"/>
        </w:rPr>
      </w:pPr>
      <w:bookmarkStart w:id="26" w:name="_Toc26633"/>
      <w:r>
        <w:rPr>
          <w:rFonts w:hint="eastAsia"/>
          <w:lang w:val="en-US" w:eastAsia="zh-CN"/>
        </w:rPr>
        <w:t>4.</w:t>
      </w:r>
      <w:r>
        <w:rPr>
          <w:rFonts w:hint="eastAsia"/>
        </w:rPr>
        <w:t>友情提示：</w:t>
      </w:r>
      <w:bookmarkEnd w:id="26"/>
    </w:p>
    <w:p>
      <w:pPr>
        <w:spacing w:line="560" w:lineRule="exact"/>
        <w:ind w:firstLine="480" w:firstLineChars="200"/>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rPr>
        <w:t>（1）本项目为电子化政府采购项目，供应商初次</w:t>
      </w:r>
      <w:r>
        <w:rPr>
          <w:rFonts w:hint="eastAsia" w:ascii="宋体" w:hAnsi="宋体" w:eastAsia="宋体" w:cs="宋体"/>
          <w:sz w:val="24"/>
          <w:szCs w:val="24"/>
          <w:lang w:eastAsia="zh-CN"/>
        </w:rPr>
        <w:t>使用电子交易平台时，请先阅读【全国公共资源交易平台（陕西省</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西安市）】（</w:t>
      </w:r>
      <w:r>
        <w:rPr>
          <w:rFonts w:hint="eastAsia" w:ascii="宋体" w:hAnsi="宋体" w:eastAsia="宋体" w:cs="宋体"/>
          <w:sz w:val="24"/>
          <w:szCs w:val="24"/>
          <w:lang w:val="en-US" w:eastAsia="zh-CN"/>
        </w:rPr>
        <w:t>http://sxggzyjy.xa.gov,cn/</w:t>
      </w:r>
      <w:r>
        <w:rPr>
          <w:rFonts w:hint="eastAsia" w:ascii="宋体" w:hAnsi="宋体" w:eastAsia="宋体" w:cs="宋体"/>
          <w:sz w:val="24"/>
          <w:szCs w:val="24"/>
          <w:lang w:eastAsia="zh-CN"/>
        </w:rPr>
        <w:t>）网站【首页</w:t>
      </w:r>
      <w:r>
        <w:rPr>
          <w:rFonts w:hint="eastAsia" w:ascii="宋体" w:hAnsi="宋体" w:eastAsia="宋体" w:cs="宋体"/>
          <w:sz w:val="24"/>
          <w:szCs w:val="24"/>
          <w:lang w:val="en-US" w:eastAsia="zh-CN"/>
        </w:rPr>
        <w:t>&gt;服务指南&gt;下载专区</w:t>
      </w:r>
      <w:r>
        <w:rPr>
          <w:rFonts w:hint="eastAsia" w:ascii="宋体" w:hAnsi="宋体" w:eastAsia="宋体" w:cs="宋体"/>
          <w:sz w:val="24"/>
          <w:szCs w:val="24"/>
          <w:lang w:eastAsia="zh-CN"/>
        </w:rPr>
        <w:t>】中的《西安市市级单位电子化政府采购项目投标指南》，并按要求完成诚信入库登记、</w:t>
      </w:r>
      <w:r>
        <w:rPr>
          <w:rFonts w:hint="eastAsia" w:ascii="宋体" w:hAnsi="宋体" w:eastAsia="宋体" w:cs="宋体"/>
          <w:sz w:val="24"/>
          <w:szCs w:val="24"/>
          <w:lang w:val="en-US" w:eastAsia="zh-CN"/>
        </w:rPr>
        <w:t>CA认证及企业信息绑定。</w:t>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办理CA认证：电子交易平台已接入陕西CA、深圳CA、西部CA、北京CA四家数字认证公司，各供应商在交易过程中登录系统、加密/解密投标文件、文件签章等均可使用上述四家CA公司签发的数字。办理须知及所需资料详见：</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"http://www.sxggzyjy.cn/fwzn/004003/20220701/6972fe02-f996-4928-951e-545dab02e53c.html" </w:instrText>
      </w:r>
      <w:r>
        <w:rPr>
          <w:rFonts w:hint="eastAsia" w:ascii="宋体" w:hAnsi="宋体" w:eastAsia="宋体" w:cs="宋体"/>
          <w:sz w:val="24"/>
          <w:szCs w:val="24"/>
          <w:lang w:val="en-US" w:eastAsia="zh-CN"/>
        </w:rPr>
        <w:fldChar w:fldCharType="separate"/>
      </w:r>
      <w:r>
        <w:rPr>
          <w:rStyle w:val="6"/>
          <w:rFonts w:hint="eastAsia" w:ascii="宋体" w:hAnsi="宋体" w:eastAsia="宋体" w:cs="宋体"/>
          <w:sz w:val="24"/>
          <w:szCs w:val="24"/>
          <w:lang w:val="en-US" w:eastAsia="zh-CN"/>
        </w:rPr>
        <w:t>http://www.sxggzyjy.cn/fwzn/004003/20220701/6972fe02-f996-4928-951e-545dab02e53c.html</w:t>
      </w:r>
      <w:r>
        <w:rPr>
          <w:rFonts w:hint="eastAsia" w:ascii="宋体" w:hAnsi="宋体" w:eastAsia="宋体" w:cs="宋体"/>
          <w:sz w:val="24"/>
          <w:szCs w:val="24"/>
          <w:lang w:val="en-US" w:eastAsia="zh-CN"/>
        </w:rPr>
        <w:fldChar w:fldCharType="end"/>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（3）请供应商务必及时下载项目招标文件并做好备份，否则会影响投标文件编制及后续投标活动。</w:t>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（4）本项目采用“不见面开标”形式，供应商可登录全国公共资源交易平台（陕西省.西安市）网站</w:t>
      </w:r>
    </w:p>
    <w:p>
      <w:pPr>
        <w:spacing w:line="560" w:lineRule="exact"/>
        <w:ind w:firstLine="480" w:firstLineChars="200"/>
        <w:jc w:val="left"/>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【首页&gt;不见面开标】系统，在线参加开标过程。操作手册详见【首页&gt;服务指南&gt;下载专区】中的《西安公共资源交易不见面开标大厅供应商操作手册》</w:t>
      </w:r>
    </w:p>
    <w:p>
      <w:pPr>
        <w:spacing w:line="560" w:lineRule="exact"/>
        <w:ind w:firstLine="480" w:firstLineChars="200"/>
        <w:jc w:val="left"/>
        <w:outlineLvl w:val="9"/>
        <w:rPr>
          <w:rFonts w:hint="default" w:ascii="宋体" w:hAnsi="宋体" w:eastAsia="宋体" w:cs="宋体"/>
          <w:sz w:val="24"/>
          <w:szCs w:val="24"/>
          <w:lang w:val="en-US"/>
        </w:rPr>
      </w:pPr>
      <w:r>
        <w:rPr>
          <w:rFonts w:hint="eastAsia" w:ascii="宋体" w:hAnsi="宋体" w:eastAsia="宋体" w:cs="宋体"/>
          <w:sz w:val="24"/>
          <w:szCs w:val="24"/>
          <w:lang w:val="en-US" w:eastAsia="zh-CN"/>
        </w:rPr>
        <w:t>（5）按照陕西省财政厅《关于政府采购供应商注册登记有关事项的通知》中的要求，供应商通过陕西省政府采购网（http://www.ccgp-shannxi.gov.cn/）注册登记，加入陕西省政府采购供应商库。</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）制作电子投标文件（*.SXSTF）需要使用专用制作工具。软件下载及操作说明详见西安市公共资源交易平台〖首页·〉服务指南·〉下载专区〗中的《政府采购项目投标文件制作软件及操作手册》。</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bidi w:val="0"/>
        <w:rPr>
          <w:rFonts w:hint="eastAsia" w:ascii="宋体" w:hAnsi="宋体" w:eastAsia="宋体" w:cs="宋体"/>
          <w:b/>
          <w:bCs/>
          <w:szCs w:val="24"/>
        </w:rPr>
      </w:pPr>
      <w:bookmarkStart w:id="27" w:name="_Toc15253"/>
      <w:bookmarkStart w:id="28" w:name="_Toc13341"/>
      <w:bookmarkStart w:id="29" w:name="_Toc6616"/>
      <w:r>
        <w:rPr>
          <w:rFonts w:hint="eastAsia"/>
        </w:rPr>
        <w:t>八、提交投标文件方式、截止时间及开标时间、形式：</w:t>
      </w:r>
      <w:bookmarkEnd w:id="27"/>
      <w:bookmarkEnd w:id="28"/>
      <w:bookmarkEnd w:id="29"/>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pacing w:line="560" w:lineRule="exact"/>
        <w:ind w:firstLine="480" w:firstLineChars="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2．提交投标文件截止时间及开标时间：202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0，逾期提交的，系统将拒绝接收。</w:t>
      </w:r>
    </w:p>
    <w:p>
      <w:pPr>
        <w:keepNext w:val="0"/>
        <w:keepLines w:val="0"/>
        <w:pageBreakBefore w:val="0"/>
        <w:widowControl/>
        <w:kinsoku/>
        <w:wordWrap/>
        <w:overflowPunct/>
        <w:topLinePunct w:val="0"/>
        <w:autoSpaceDE/>
        <w:autoSpaceDN/>
        <w:bidi w:val="0"/>
        <w:adjustRightInd/>
        <w:snapToGrid/>
        <w:ind w:firstLine="480" w:firstLineChars="200"/>
        <w:textAlignment w:val="auto"/>
        <w:outlineLvl w:val="9"/>
        <w:rPr>
          <w:rFonts w:hint="default" w:eastAsiaTheme="minorEastAsia"/>
          <w:sz w:val="24"/>
          <w:szCs w:val="24"/>
          <w:highlight w:val="none"/>
          <w:lang w:val="en-US" w:eastAsia="zh-CN"/>
        </w:rPr>
      </w:pPr>
      <w:r>
        <w:rPr>
          <w:rFonts w:hint="eastAsia" w:ascii="宋体" w:hAnsi="宋体" w:eastAsia="宋体" w:cs="宋体"/>
          <w:sz w:val="24"/>
          <w:szCs w:val="24"/>
          <w:highlight w:val="none"/>
          <w:lang w:val="en-US" w:eastAsia="zh-CN"/>
        </w:rPr>
        <w:t>3.开标地址：西安市公共资源交易中心3楼开标室311室。</w:t>
      </w:r>
    </w:p>
    <w:p>
      <w:pPr>
        <w:spacing w:line="560" w:lineRule="exact"/>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．开标形式：本项目将采用“不见面开标”形式。操作说明详见平台〖首页·〉服务指南·〉下载专区〗中的《西安公共资源交易不见面开标大厅供应商操作手册》。</w:t>
      </w:r>
    </w:p>
    <w:p>
      <w:pPr>
        <w:bidi w:val="0"/>
        <w:rPr>
          <w:rFonts w:hint="eastAsia"/>
        </w:rPr>
      </w:pPr>
      <w:bookmarkStart w:id="30" w:name="_Toc2146"/>
      <w:bookmarkStart w:id="31" w:name="_Toc4897"/>
      <w:bookmarkStart w:id="32" w:name="_Toc31797"/>
      <w:r>
        <w:rPr>
          <w:rFonts w:hint="eastAsia"/>
        </w:rPr>
        <w:t>九、联系方式</w:t>
      </w:r>
      <w:bookmarkEnd w:id="30"/>
      <w:bookmarkEnd w:id="31"/>
      <w:bookmarkEnd w:id="32"/>
    </w:p>
    <w:p>
      <w:pPr>
        <w:bidi w:val="0"/>
        <w:spacing w:line="360" w:lineRule="auto"/>
        <w:ind w:firstLine="420" w:firstLineChars="200"/>
        <w:rPr>
          <w:rFonts w:hint="eastAsia"/>
        </w:rPr>
      </w:pPr>
      <w:bookmarkStart w:id="33" w:name="_Toc5553"/>
      <w:r>
        <w:rPr>
          <w:rFonts w:hint="eastAsia"/>
        </w:rPr>
        <w:t>1．采购人：</w:t>
      </w:r>
      <w:bookmarkEnd w:id="33"/>
      <w:r>
        <w:rPr>
          <w:rFonts w:hint="eastAsia"/>
        </w:rPr>
        <w:t>西安市儿童医院</w:t>
      </w:r>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cs="宋体"/>
          <w:kern w:val="0"/>
          <w:sz w:val="24"/>
          <w:szCs w:val="24"/>
        </w:rPr>
        <w:t>陕西省西安市西举院巷69号</w:t>
      </w:r>
    </w:p>
    <w:p>
      <w:pPr>
        <w:spacing w:line="360" w:lineRule="auto"/>
        <w:ind w:firstLine="480" w:firstLineChars="200"/>
        <w:jc w:val="both"/>
        <w:outlineLvl w:val="9"/>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乌老师</w:t>
      </w:r>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kern w:val="0"/>
          <w:sz w:val="24"/>
          <w:szCs w:val="24"/>
        </w:rPr>
        <w:t>029-87692082</w:t>
      </w:r>
    </w:p>
    <w:p>
      <w:pPr>
        <w:bidi w:val="0"/>
        <w:spacing w:line="360" w:lineRule="auto"/>
        <w:ind w:firstLine="420" w:firstLineChars="200"/>
        <w:rPr>
          <w:rFonts w:hint="eastAsia"/>
        </w:rPr>
      </w:pPr>
      <w:bookmarkStart w:id="34" w:name="_Toc20402"/>
      <w:r>
        <w:rPr>
          <w:rFonts w:hint="eastAsia"/>
        </w:rPr>
        <w:t>2．采购代理机构：陕西万泽招标有限公司</w:t>
      </w:r>
      <w:bookmarkEnd w:id="34"/>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地址：西安市莲湖区西关正街英达大厦1507室</w:t>
      </w:r>
    </w:p>
    <w:p>
      <w:pPr>
        <w:spacing w:line="360" w:lineRule="auto"/>
        <w:ind w:firstLine="480" w:firstLineChars="200"/>
        <w:jc w:val="both"/>
        <w:outlineLvl w:val="9"/>
        <w:rPr>
          <w:rFonts w:hint="default" w:ascii="宋体" w:hAnsi="宋体" w:eastAsia="宋体" w:cs="宋体"/>
          <w:sz w:val="24"/>
          <w:szCs w:val="24"/>
          <w:lang w:val="en-US" w:eastAsia="zh-CN"/>
        </w:rPr>
      </w:pPr>
      <w:r>
        <w:rPr>
          <w:rFonts w:hint="eastAsia" w:ascii="宋体" w:hAnsi="宋体" w:eastAsia="宋体" w:cs="宋体"/>
          <w:sz w:val="24"/>
          <w:szCs w:val="24"/>
        </w:rPr>
        <w:t>总机：029-88319689</w:t>
      </w:r>
    </w:p>
    <w:p>
      <w:pPr>
        <w:spacing w:line="360" w:lineRule="auto"/>
        <w:ind w:firstLine="480" w:firstLineChars="200"/>
        <w:jc w:val="both"/>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rPr>
        <w:t>：</w:t>
      </w:r>
      <w:r>
        <w:rPr>
          <w:rFonts w:hint="eastAsia" w:ascii="宋体" w:hAnsi="宋体" w:eastAsia="宋体" w:cs="宋体"/>
          <w:sz w:val="24"/>
          <w:szCs w:val="24"/>
          <w:lang w:eastAsia="zh-CN"/>
        </w:rPr>
        <w:t>崔方明</w:t>
      </w:r>
      <w:r>
        <w:rPr>
          <w:rFonts w:hint="eastAsia" w:ascii="宋体" w:hAnsi="宋体" w:eastAsia="宋体" w:cs="宋体"/>
          <w:sz w:val="24"/>
          <w:szCs w:val="24"/>
        </w:rPr>
        <w:t xml:space="preserve">  </w:t>
      </w:r>
      <w:r>
        <w:rPr>
          <w:rFonts w:hint="eastAsia" w:ascii="宋体" w:hAnsi="宋体" w:eastAsia="宋体" w:cs="宋体"/>
          <w:sz w:val="24"/>
          <w:szCs w:val="24"/>
          <w:lang w:eastAsia="zh-CN"/>
        </w:rPr>
        <w:t>许芳芳</w:t>
      </w:r>
      <w:r>
        <w:rPr>
          <w:rFonts w:hint="eastAsia" w:ascii="宋体" w:hAnsi="宋体" w:eastAsia="宋体" w:cs="宋体"/>
          <w:sz w:val="24"/>
          <w:szCs w:val="24"/>
        </w:rPr>
        <w:t xml:space="preserve">  </w:t>
      </w:r>
      <w:r>
        <w:rPr>
          <w:rFonts w:hint="eastAsia" w:ascii="宋体" w:hAnsi="宋体" w:eastAsia="宋体" w:cs="宋体"/>
          <w:sz w:val="24"/>
          <w:szCs w:val="24"/>
          <w:lang w:eastAsia="zh-CN"/>
        </w:rPr>
        <w:t>刘嘉辉</w:t>
      </w:r>
    </w:p>
    <w:p>
      <w:pPr>
        <w:spacing w:line="360" w:lineRule="auto"/>
        <w:ind w:firstLine="480" w:firstLineChars="200"/>
        <w:jc w:val="both"/>
        <w:outlineLvl w:val="9"/>
        <w:rPr>
          <w:rFonts w:hint="eastAsia" w:ascii="宋体" w:hAnsi="宋体" w:eastAsia="宋体" w:cs="宋体"/>
          <w:sz w:val="24"/>
          <w:szCs w:val="24"/>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：029-88319689-804/811</w:t>
      </w:r>
    </w:p>
    <w:p>
      <w:pPr>
        <w:spacing w:line="560" w:lineRule="exact"/>
        <w:ind w:firstLine="480" w:firstLineChars="200"/>
        <w:jc w:val="righ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陕西万泽招标有限公司</w:t>
      </w:r>
    </w:p>
    <w:p>
      <w:pPr>
        <w:spacing w:line="560" w:lineRule="exact"/>
        <w:ind w:firstLine="480" w:firstLineChars="200"/>
        <w:jc w:val="right"/>
        <w:outlineLvl w:val="9"/>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2022年12月14日</w:t>
      </w:r>
    </w:p>
    <w:p>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C489B"/>
    <w:multiLevelType w:val="singleLevel"/>
    <w:tmpl w:val="221C48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OWIwYjUyYWRkZDIxNzRkYTcwZTc4ODlkMDBhNmUifQ=="/>
  </w:docVars>
  <w:rsids>
    <w:rsidRoot w:val="1A0F3F66"/>
    <w:rsid w:val="1A0F3F66"/>
    <w:rsid w:val="6D09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rPr>
      <w:rFonts w:cs="Times New Roman"/>
      <w:kern w:val="0"/>
      <w:sz w:val="20"/>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2022-12-14T09:35:00Z</dcterms:created>
  <dc:creator>0</dc:creator>
  <cp:lastModifiedBy>0</cp:lastModifiedBy>
  <dcterms:modified xsi:type="dcterms:W3CDTF">2022-12-14T09:37:02Z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4DB418D225BF4E1BB3C420E6C5176920</vt:lpwstr>
  </property>
</Properties>
</file>