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rPr>
      </w:pPr>
      <w:bookmarkStart w:id="0" w:name="_Toc183682338"/>
      <w:bookmarkStart w:id="1" w:name="_Toc217446030"/>
      <w:r>
        <w:rPr>
          <w:rFonts w:hint="eastAsia" w:ascii="宋体" w:hAnsi="宋体" w:cs="宋体"/>
        </w:rPr>
        <w:t xml:space="preserve"> </w:t>
      </w:r>
    </w:p>
    <w:bookmarkEnd w:id="0"/>
    <w:bookmarkEnd w:id="1"/>
    <w:p>
      <w:pPr>
        <w:tabs>
          <w:tab w:val="left" w:pos="5670"/>
        </w:tabs>
        <w:autoSpaceDE w:val="0"/>
        <w:autoSpaceDN w:val="0"/>
        <w:adjustRightInd w:val="0"/>
        <w:spacing w:line="360" w:lineRule="auto"/>
        <w:jc w:val="right"/>
        <w:rPr>
          <w:rFonts w:ascii="宋体" w:hAnsi="宋体" w:cs="宋体"/>
          <w:b/>
          <w:bCs/>
          <w:sz w:val="32"/>
          <w:szCs w:val="32"/>
          <w:lang w:val="zh-CN"/>
        </w:rPr>
      </w:pPr>
      <w:bookmarkStart w:id="2" w:name="_Toc10529"/>
      <w:bookmarkStart w:id="3" w:name="_Toc19445"/>
      <w:bookmarkStart w:id="4" w:name="_Toc531256389"/>
      <w:bookmarkStart w:id="5" w:name="_Toc531683071"/>
      <w:r>
        <w:rPr>
          <w:rFonts w:hint="eastAsia" w:ascii="宋体" w:hAnsi="宋体" w:cs="宋体"/>
          <w:b/>
          <w:bCs/>
          <w:sz w:val="32"/>
          <w:szCs w:val="32"/>
          <w:lang w:val="zh-CN"/>
        </w:rPr>
        <w:t xml:space="preserve">    </w:t>
      </w:r>
      <w:r>
        <w:rPr>
          <w:rFonts w:hint="eastAsia" w:ascii="宋体" w:hAnsi="宋体" w:cs="宋体"/>
          <w:b/>
          <w:bCs/>
          <w:sz w:val="32"/>
          <w:szCs w:val="32"/>
        </w:rPr>
        <w:drawing>
          <wp:anchor distT="0" distB="0" distL="0" distR="0" simplePos="0" relativeHeight="251659264" behindDoc="0" locked="0" layoutInCell="1" allowOverlap="1">
            <wp:simplePos x="0" y="0"/>
            <wp:positionH relativeFrom="column">
              <wp:posOffset>48895</wp:posOffset>
            </wp:positionH>
            <wp:positionV relativeFrom="paragraph">
              <wp:posOffset>1905</wp:posOffset>
            </wp:positionV>
            <wp:extent cx="2760980" cy="551180"/>
            <wp:effectExtent l="0" t="0" r="1270" b="1270"/>
            <wp:wrapNone/>
            <wp:docPr id="1026" name="图片 3" descr="图形2"/>
            <wp:cNvGraphicFramePr/>
            <a:graphic xmlns:a="http://schemas.openxmlformats.org/drawingml/2006/main">
              <a:graphicData uri="http://schemas.openxmlformats.org/drawingml/2006/picture">
                <pic:pic xmlns:pic="http://schemas.openxmlformats.org/drawingml/2006/picture">
                  <pic:nvPicPr>
                    <pic:cNvPr id="1026" name="图片 3" descr="图形2"/>
                    <pic:cNvPicPr/>
                  </pic:nvPicPr>
                  <pic:blipFill>
                    <a:blip r:embed="rId14" cstate="print"/>
                    <a:srcRect/>
                    <a:stretch>
                      <a:fillRect/>
                    </a:stretch>
                  </pic:blipFill>
                  <pic:spPr>
                    <a:xfrm>
                      <a:off x="0" y="0"/>
                      <a:ext cx="2760980" cy="551180"/>
                    </a:xfrm>
                    <a:prstGeom prst="rect">
                      <a:avLst/>
                    </a:prstGeom>
                    <a:ln>
                      <a:noFill/>
                    </a:ln>
                  </pic:spPr>
                </pic:pic>
              </a:graphicData>
            </a:graphic>
          </wp:anchor>
        </w:drawing>
      </w:r>
      <w:r>
        <w:rPr>
          <w:rFonts w:hint="eastAsia" w:ascii="宋体" w:hAnsi="宋体" w:cs="宋体"/>
          <w:b/>
          <w:bCs/>
          <w:sz w:val="32"/>
          <w:szCs w:val="32"/>
          <w:bdr w:val="single" w:color="auto" w:sz="4" w:space="0"/>
          <w:lang w:val="zh-CN"/>
        </w:rPr>
        <w:t>政府采购项目</w:t>
      </w:r>
    </w:p>
    <w:p>
      <w:pPr>
        <w:tabs>
          <w:tab w:val="left" w:pos="5670"/>
        </w:tabs>
        <w:autoSpaceDE w:val="0"/>
        <w:autoSpaceDN w:val="0"/>
        <w:adjustRightInd w:val="0"/>
        <w:spacing w:line="360" w:lineRule="auto"/>
        <w:rPr>
          <w:rFonts w:ascii="宋体" w:hAnsi="宋体" w:cs="宋体"/>
          <w:b/>
          <w:bCs/>
          <w:sz w:val="32"/>
          <w:szCs w:val="32"/>
          <w:lang w:val="zh-CN"/>
        </w:rPr>
      </w:pPr>
    </w:p>
    <w:p>
      <w:pPr>
        <w:tabs>
          <w:tab w:val="left" w:pos="5670"/>
          <w:tab w:val="left" w:pos="6663"/>
        </w:tabs>
        <w:autoSpaceDE w:val="0"/>
        <w:autoSpaceDN w:val="0"/>
        <w:adjustRightInd w:val="0"/>
        <w:snapToGrid w:val="0"/>
        <w:spacing w:line="360" w:lineRule="auto"/>
        <w:jc w:val="center"/>
        <w:rPr>
          <w:rFonts w:ascii="宋体" w:hAnsi="宋体" w:cs="宋体"/>
          <w:b/>
          <w:sz w:val="44"/>
          <w:szCs w:val="44"/>
        </w:rPr>
      </w:pPr>
    </w:p>
    <w:p>
      <w:pPr>
        <w:pStyle w:val="2"/>
        <w:rPr>
          <w:rFonts w:ascii="宋体" w:hAnsi="宋体" w:cs="宋体"/>
        </w:rPr>
      </w:pPr>
    </w:p>
    <w:p>
      <w:pPr>
        <w:tabs>
          <w:tab w:val="left" w:pos="5670"/>
          <w:tab w:val="left" w:pos="6663"/>
        </w:tabs>
        <w:autoSpaceDE w:val="0"/>
        <w:autoSpaceDN w:val="0"/>
        <w:adjustRightInd w:val="0"/>
        <w:snapToGrid w:val="0"/>
        <w:spacing w:line="360" w:lineRule="auto"/>
        <w:jc w:val="center"/>
        <w:rPr>
          <w:rFonts w:hint="eastAsia" w:ascii="宋体" w:hAnsi="宋体" w:eastAsia="宋体" w:cs="宋体"/>
          <w:b/>
          <w:spacing w:val="-6"/>
          <w:sz w:val="48"/>
          <w:szCs w:val="48"/>
          <w:lang w:eastAsia="zh-CN"/>
        </w:rPr>
      </w:pPr>
      <w:r>
        <w:rPr>
          <w:rFonts w:hint="eastAsia" w:ascii="宋体" w:hAnsi="宋体" w:cs="宋体"/>
          <w:b/>
          <w:spacing w:val="-6"/>
          <w:sz w:val="48"/>
          <w:szCs w:val="48"/>
          <w:lang w:eastAsia="zh-CN"/>
        </w:rPr>
        <w:t>西安商贸旅游技师学院烹饪系实训室改造项目（二次）</w:t>
      </w:r>
    </w:p>
    <w:p>
      <w:pPr>
        <w:tabs>
          <w:tab w:val="left" w:pos="5670"/>
          <w:tab w:val="left" w:pos="6663"/>
        </w:tabs>
        <w:autoSpaceDE w:val="0"/>
        <w:autoSpaceDN w:val="0"/>
        <w:adjustRightInd w:val="0"/>
        <w:snapToGrid w:val="0"/>
        <w:spacing w:line="360" w:lineRule="auto"/>
        <w:jc w:val="center"/>
        <w:rPr>
          <w:rFonts w:ascii="宋体" w:hAnsi="宋体" w:cs="宋体"/>
          <w:b/>
          <w:spacing w:val="-6"/>
          <w:sz w:val="40"/>
          <w:szCs w:val="40"/>
          <w:highlight w:val="none"/>
        </w:rPr>
      </w:pPr>
      <w:r>
        <w:rPr>
          <w:rFonts w:hint="eastAsia" w:ascii="宋体" w:hAnsi="宋体" w:cs="宋体"/>
          <w:b/>
          <w:spacing w:val="-6"/>
          <w:sz w:val="40"/>
          <w:szCs w:val="40"/>
          <w:highlight w:val="none"/>
        </w:rPr>
        <w:t>（项目编号：</w:t>
      </w:r>
      <w:r>
        <w:rPr>
          <w:rFonts w:hint="eastAsia" w:ascii="宋体" w:hAnsi="宋体" w:cs="宋体"/>
          <w:b/>
          <w:spacing w:val="-6"/>
          <w:sz w:val="40"/>
          <w:szCs w:val="40"/>
          <w:highlight w:val="none"/>
          <w:lang w:eastAsia="zh-CN"/>
        </w:rPr>
        <w:t>MZ2022-TP1070</w:t>
      </w:r>
      <w:r>
        <w:rPr>
          <w:rFonts w:hint="eastAsia" w:ascii="宋体" w:hAnsi="宋体" w:cs="宋体"/>
          <w:b/>
          <w:spacing w:val="-6"/>
          <w:sz w:val="40"/>
          <w:szCs w:val="40"/>
          <w:highlight w:val="none"/>
        </w:rPr>
        <w:t>）</w:t>
      </w:r>
    </w:p>
    <w:p>
      <w:pPr>
        <w:pStyle w:val="114"/>
        <w:rPr>
          <w:rFonts w:ascii="宋体" w:hAnsi="宋体" w:eastAsia="宋体" w:cs="宋体"/>
          <w:color w:val="auto"/>
        </w:rPr>
      </w:pPr>
      <w:bookmarkStart w:id="6" w:name="_Toc532549500"/>
      <w:r>
        <w:rPr>
          <w:rFonts w:hint="eastAsia" w:ascii="宋体" w:hAnsi="宋体" w:eastAsia="宋体" w:cs="宋体"/>
          <w:color w:val="auto"/>
        </w:rPr>
        <w:t xml:space="preserve"> </w:t>
      </w:r>
    </w:p>
    <w:p>
      <w:pPr>
        <w:pStyle w:val="114"/>
        <w:rPr>
          <w:rFonts w:ascii="宋体" w:hAnsi="宋体" w:eastAsia="宋体" w:cs="宋体"/>
          <w:color w:val="auto"/>
        </w:rPr>
      </w:pPr>
    </w:p>
    <w:p>
      <w:pPr>
        <w:pStyle w:val="114"/>
        <w:rPr>
          <w:rFonts w:ascii="宋体" w:hAnsi="宋体" w:eastAsia="宋体" w:cs="宋体"/>
          <w:color w:val="auto"/>
        </w:rPr>
      </w:pPr>
    </w:p>
    <w:p>
      <w:pPr>
        <w:pStyle w:val="114"/>
        <w:rPr>
          <w:rFonts w:ascii="宋体" w:hAnsi="宋体" w:eastAsia="宋体" w:cs="宋体"/>
          <w:color w:val="auto"/>
        </w:rPr>
      </w:pPr>
    </w:p>
    <w:p>
      <w:pPr>
        <w:pStyle w:val="114"/>
        <w:rPr>
          <w:rFonts w:ascii="宋体" w:hAnsi="宋体" w:eastAsia="宋体" w:cs="宋体"/>
          <w:color w:val="auto"/>
        </w:rPr>
      </w:pPr>
    </w:p>
    <w:p>
      <w:pPr>
        <w:jc w:val="center"/>
        <w:rPr>
          <w:rFonts w:ascii="宋体" w:hAnsi="宋体" w:cs="宋体"/>
          <w:b/>
          <w:kern w:val="0"/>
          <w:sz w:val="44"/>
          <w:szCs w:val="44"/>
        </w:rPr>
      </w:pPr>
    </w:p>
    <w:bookmarkEnd w:id="6"/>
    <w:p>
      <w:pPr>
        <w:jc w:val="center"/>
        <w:rPr>
          <w:rFonts w:ascii="宋体" w:hAnsi="宋体" w:cs="宋体"/>
          <w:b/>
          <w:kern w:val="0"/>
          <w:sz w:val="72"/>
          <w:szCs w:val="72"/>
        </w:rPr>
      </w:pPr>
      <w:r>
        <w:rPr>
          <w:rFonts w:hint="eastAsia" w:ascii="宋体" w:hAnsi="宋体" w:cs="宋体"/>
          <w:b/>
          <w:kern w:val="0"/>
          <w:sz w:val="44"/>
          <w:szCs w:val="44"/>
        </w:rPr>
        <w:t>竞争性谈判文件</w:t>
      </w:r>
    </w:p>
    <w:p>
      <w:pPr>
        <w:pStyle w:val="2"/>
        <w:jc w:val="center"/>
        <w:rPr>
          <w:rFonts w:ascii="宋体" w:hAnsi="宋体" w:cs="宋体"/>
          <w:b/>
          <w:kern w:val="0"/>
          <w:sz w:val="44"/>
          <w:szCs w:val="44"/>
        </w:rPr>
      </w:pPr>
    </w:p>
    <w:p>
      <w:pPr>
        <w:rPr>
          <w:rFonts w:ascii="宋体" w:hAnsi="宋体" w:cs="宋体"/>
        </w:rPr>
      </w:pPr>
    </w:p>
    <w:p>
      <w:pPr>
        <w:autoSpaceDE w:val="0"/>
        <w:autoSpaceDN w:val="0"/>
        <w:adjustRightInd w:val="0"/>
        <w:snapToGrid w:val="0"/>
        <w:spacing w:line="360" w:lineRule="auto"/>
        <w:rPr>
          <w:rFonts w:ascii="宋体" w:hAnsi="宋体" w:cs="宋体"/>
          <w:b/>
          <w:bCs/>
          <w:sz w:val="32"/>
          <w:szCs w:val="32"/>
          <w:lang w:val="zh-CN"/>
        </w:rPr>
      </w:pPr>
    </w:p>
    <w:p>
      <w:pPr>
        <w:autoSpaceDE w:val="0"/>
        <w:autoSpaceDN w:val="0"/>
        <w:adjustRightInd w:val="0"/>
        <w:snapToGrid w:val="0"/>
        <w:spacing w:line="360" w:lineRule="auto"/>
        <w:rPr>
          <w:rFonts w:ascii="宋体" w:hAnsi="宋体" w:cs="宋体"/>
          <w:b/>
          <w:bCs/>
          <w:sz w:val="32"/>
          <w:szCs w:val="32"/>
          <w:lang w:val="zh-CN"/>
        </w:rPr>
      </w:pPr>
    </w:p>
    <w:p>
      <w:pPr>
        <w:pStyle w:val="2"/>
        <w:rPr>
          <w:rFonts w:ascii="宋体" w:hAnsi="宋体" w:cs="宋体"/>
          <w:b/>
          <w:bCs/>
          <w:sz w:val="32"/>
          <w:szCs w:val="32"/>
          <w:lang w:val="zh-CN"/>
        </w:rPr>
      </w:pPr>
    </w:p>
    <w:p>
      <w:pPr>
        <w:rPr>
          <w:lang w:val="zh-CN"/>
        </w:rPr>
      </w:pPr>
    </w:p>
    <w:p>
      <w:pPr>
        <w:autoSpaceDE w:val="0"/>
        <w:autoSpaceDN w:val="0"/>
        <w:adjustRightInd w:val="0"/>
        <w:snapToGrid w:val="0"/>
        <w:spacing w:line="360" w:lineRule="auto"/>
        <w:jc w:val="center"/>
        <w:rPr>
          <w:rFonts w:ascii="宋体" w:hAnsi="宋体" w:cs="宋体"/>
          <w:b/>
          <w:bCs/>
          <w:sz w:val="32"/>
          <w:szCs w:val="32"/>
          <w:lang w:val="zh-CN"/>
        </w:rPr>
      </w:pPr>
      <w:r>
        <w:rPr>
          <w:rFonts w:hint="eastAsia" w:ascii="宋体" w:hAnsi="宋体" w:cs="宋体"/>
          <w:b/>
          <w:bCs/>
          <w:sz w:val="32"/>
          <w:szCs w:val="32"/>
          <w:lang w:val="zh-CN"/>
        </w:rPr>
        <w:t>陕西明正招标有限公司</w:t>
      </w:r>
    </w:p>
    <w:p>
      <w:pPr>
        <w:autoSpaceDE w:val="0"/>
        <w:autoSpaceDN w:val="0"/>
        <w:adjustRightInd w:val="0"/>
        <w:snapToGrid w:val="0"/>
        <w:spacing w:line="360" w:lineRule="auto"/>
        <w:jc w:val="center"/>
        <w:rPr>
          <w:rFonts w:hint="eastAsia" w:ascii="宋体" w:hAnsi="宋体" w:cs="宋体"/>
          <w:b/>
          <w:bCs/>
          <w:sz w:val="32"/>
          <w:szCs w:val="32"/>
          <w:lang w:val="zh-CN"/>
        </w:rPr>
      </w:pPr>
      <w:r>
        <w:rPr>
          <w:rFonts w:hint="eastAsia" w:ascii="宋体" w:hAnsi="宋体" w:cs="宋体"/>
          <w:b/>
          <w:bCs/>
          <w:sz w:val="32"/>
          <w:szCs w:val="32"/>
          <w:lang w:val="zh-CN"/>
        </w:rPr>
        <w:t>二零二</w:t>
      </w:r>
      <w:r>
        <w:rPr>
          <w:rFonts w:hint="eastAsia" w:ascii="宋体" w:hAnsi="宋体" w:cs="宋体"/>
          <w:b/>
          <w:bCs/>
          <w:sz w:val="32"/>
          <w:szCs w:val="32"/>
        </w:rPr>
        <w:t>二</w:t>
      </w:r>
      <w:r>
        <w:rPr>
          <w:rFonts w:hint="eastAsia" w:ascii="宋体" w:hAnsi="宋体" w:cs="宋体"/>
          <w:b/>
          <w:bCs/>
          <w:sz w:val="32"/>
          <w:szCs w:val="32"/>
          <w:lang w:val="zh-CN"/>
        </w:rPr>
        <w:t>年</w:t>
      </w:r>
      <w:r>
        <w:rPr>
          <w:rFonts w:hint="eastAsia" w:ascii="宋体" w:hAnsi="宋体" w:cs="宋体"/>
          <w:b/>
          <w:bCs/>
          <w:sz w:val="32"/>
          <w:szCs w:val="32"/>
          <w:lang w:val="en-US" w:eastAsia="zh-CN"/>
        </w:rPr>
        <w:t>八</w:t>
      </w:r>
      <w:r>
        <w:rPr>
          <w:rFonts w:hint="eastAsia" w:ascii="宋体" w:hAnsi="宋体" w:cs="宋体"/>
          <w:b/>
          <w:bCs/>
          <w:sz w:val="32"/>
          <w:szCs w:val="32"/>
          <w:lang w:val="zh-CN"/>
        </w:rPr>
        <w:t>月</w:t>
      </w:r>
    </w:p>
    <w:p>
      <w:pPr>
        <w:pStyle w:val="2"/>
        <w:rPr>
          <w:rFonts w:hint="eastAsia" w:ascii="宋体" w:hAnsi="宋体" w:cs="宋体"/>
          <w:b/>
          <w:bCs/>
          <w:sz w:val="32"/>
          <w:szCs w:val="32"/>
          <w:lang w:val="zh-CN"/>
        </w:rPr>
      </w:pPr>
    </w:p>
    <w:p>
      <w:pPr>
        <w:sectPr>
          <w:headerReference r:id="rId4" w:type="first"/>
          <w:footerReference r:id="rId6" w:type="first"/>
          <w:headerReference r:id="rId3" w:type="default"/>
          <w:footerReference r:id="rId5" w:type="default"/>
          <w:pgSz w:w="11906" w:h="16838"/>
          <w:pgMar w:top="1440" w:right="1080" w:bottom="1440" w:left="1080" w:header="720" w:footer="720" w:gutter="0"/>
          <w:cols w:space="720" w:num="1"/>
          <w:titlePg/>
          <w:docGrid w:linePitch="312" w:charSpace="0"/>
        </w:sectPr>
      </w:pPr>
    </w:p>
    <w:p>
      <w:pPr>
        <w:spacing w:line="360" w:lineRule="auto"/>
        <w:jc w:val="center"/>
        <w:rPr>
          <w:rFonts w:ascii="宋体" w:hAnsi="宋体" w:cs="宋体"/>
          <w:b/>
          <w:bCs/>
          <w:sz w:val="44"/>
          <w:szCs w:val="44"/>
          <w:lang w:val="zh-CN"/>
        </w:rPr>
      </w:pPr>
      <w:bookmarkStart w:id="7" w:name="_Toc22435"/>
      <w:bookmarkStart w:id="8" w:name="_Toc28205"/>
      <w:bookmarkStart w:id="9" w:name="_Toc2983"/>
      <w:r>
        <w:rPr>
          <w:rFonts w:hint="eastAsia" w:ascii="宋体" w:hAnsi="宋体" w:cs="宋体"/>
          <w:b/>
          <w:bCs/>
          <w:sz w:val="44"/>
          <w:szCs w:val="44"/>
          <w:lang w:val="zh-CN"/>
        </w:rPr>
        <w:t>温馨提示</w:t>
      </w:r>
    </w:p>
    <w:p>
      <w:pPr>
        <w:spacing w:line="360" w:lineRule="auto"/>
        <w:ind w:firstLine="620" w:firstLineChars="194"/>
        <w:rPr>
          <w:rFonts w:ascii="宋体" w:hAnsi="宋体"/>
          <w:bCs/>
          <w:sz w:val="32"/>
          <w:szCs w:val="32"/>
          <w:lang w:val="zh-CN"/>
        </w:rPr>
      </w:pPr>
      <w:r>
        <w:rPr>
          <w:rFonts w:hint="eastAsia" w:ascii="宋体" w:hAnsi="宋体"/>
          <w:bCs/>
          <w:sz w:val="32"/>
          <w:szCs w:val="32"/>
        </w:rPr>
        <w:t>领取谈判</w:t>
      </w:r>
      <w:r>
        <w:rPr>
          <w:rFonts w:hint="eastAsia" w:ascii="宋体" w:hAnsi="宋体"/>
          <w:bCs/>
          <w:sz w:val="32"/>
          <w:szCs w:val="32"/>
          <w:lang w:val="zh-CN"/>
        </w:rPr>
        <w:t>文件后，请仔细阅读，如有疑问，请来电咨询。项目部电话：029-87551608。财务部电话：029-87551611</w:t>
      </w:r>
    </w:p>
    <w:p>
      <w:pPr>
        <w:spacing w:line="360" w:lineRule="auto"/>
        <w:ind w:firstLine="1260" w:firstLineChars="394"/>
        <w:rPr>
          <w:rFonts w:ascii="宋体" w:hAnsi="宋体"/>
          <w:bCs/>
          <w:sz w:val="32"/>
          <w:szCs w:val="32"/>
          <w:lang w:val="zh-CN"/>
        </w:rPr>
      </w:pPr>
    </w:p>
    <w:p>
      <w:pPr>
        <w:spacing w:line="360" w:lineRule="auto"/>
        <w:ind w:firstLine="1260" w:firstLineChars="394"/>
        <w:rPr>
          <w:rFonts w:ascii="宋体" w:hAnsi="宋体"/>
          <w:bCs/>
          <w:sz w:val="32"/>
          <w:szCs w:val="32"/>
          <w:lang w:val="zh-CN"/>
        </w:rPr>
      </w:pPr>
      <w:r>
        <w:rPr>
          <w:rFonts w:hint="eastAsia" w:ascii="宋体" w:hAnsi="宋体"/>
          <w:bCs/>
          <w:sz w:val="32"/>
          <w:szCs w:val="32"/>
          <w:lang w:val="zh-CN"/>
        </w:rPr>
        <w:t>请将委托</w:t>
      </w:r>
      <w:r>
        <w:rPr>
          <w:rFonts w:hint="eastAsia" w:ascii="宋体" w:hAnsi="宋体"/>
          <w:b/>
          <w:sz w:val="32"/>
          <w:szCs w:val="32"/>
          <w:lang w:val="zh-CN"/>
        </w:rPr>
        <w:t>代理服务费</w:t>
      </w:r>
      <w:r>
        <w:rPr>
          <w:rFonts w:hint="eastAsia" w:ascii="宋体" w:hAnsi="宋体"/>
          <w:bCs/>
          <w:sz w:val="32"/>
          <w:szCs w:val="32"/>
          <w:lang w:val="zh-CN"/>
        </w:rPr>
        <w:t>汇至下列指定账户：</w:t>
      </w:r>
    </w:p>
    <w:p>
      <w:pPr>
        <w:widowControl/>
        <w:spacing w:line="540" w:lineRule="exact"/>
        <w:ind w:right="-197" w:rightChars="-94" w:firstLine="1440" w:firstLineChars="450"/>
        <w:jc w:val="left"/>
        <w:rPr>
          <w:rFonts w:ascii="宋体" w:hAnsi="宋体"/>
          <w:kern w:val="0"/>
          <w:sz w:val="32"/>
          <w:szCs w:val="32"/>
        </w:rPr>
      </w:pPr>
      <w:r>
        <w:rPr>
          <w:rFonts w:hint="eastAsia" w:ascii="宋体" w:hAnsi="宋体"/>
          <w:kern w:val="0"/>
          <w:sz w:val="32"/>
          <w:szCs w:val="32"/>
        </w:rPr>
        <w:t>开户名称：陕西明正招标有限公司</w:t>
      </w:r>
    </w:p>
    <w:p>
      <w:pPr>
        <w:widowControl/>
        <w:spacing w:line="540" w:lineRule="exact"/>
        <w:ind w:right="-197" w:rightChars="-94" w:firstLine="1440" w:firstLineChars="450"/>
        <w:jc w:val="left"/>
        <w:rPr>
          <w:rFonts w:ascii="宋体" w:hAnsi="宋体"/>
          <w:kern w:val="0"/>
          <w:sz w:val="32"/>
          <w:szCs w:val="32"/>
        </w:rPr>
      </w:pPr>
      <w:r>
        <w:rPr>
          <w:rFonts w:hint="eastAsia" w:ascii="宋体" w:hAnsi="宋体"/>
          <w:kern w:val="0"/>
          <w:sz w:val="32"/>
          <w:szCs w:val="32"/>
        </w:rPr>
        <w:t>开户行名称：招商银行股份有限公司西安白沙路支行</w:t>
      </w:r>
    </w:p>
    <w:p>
      <w:pPr>
        <w:widowControl/>
        <w:spacing w:line="540" w:lineRule="exact"/>
        <w:ind w:right="-197" w:rightChars="-94" w:firstLine="1440" w:firstLineChars="450"/>
        <w:jc w:val="left"/>
        <w:rPr>
          <w:rFonts w:ascii="宋体" w:hAnsi="宋体"/>
          <w:kern w:val="0"/>
          <w:sz w:val="32"/>
          <w:szCs w:val="32"/>
        </w:rPr>
      </w:pPr>
      <w:r>
        <w:rPr>
          <w:rFonts w:hint="eastAsia" w:ascii="宋体" w:hAnsi="宋体"/>
          <w:kern w:val="0"/>
          <w:sz w:val="32"/>
          <w:szCs w:val="32"/>
        </w:rPr>
        <w:t>账      号：129907967910101</w:t>
      </w:r>
    </w:p>
    <w:p>
      <w:pPr>
        <w:spacing w:line="360" w:lineRule="auto"/>
        <w:ind w:firstLine="203" w:firstLineChars="46"/>
        <w:jc w:val="center"/>
        <w:rPr>
          <w:rFonts w:ascii="宋体" w:hAnsi="宋体" w:cs="宋体"/>
          <w:b/>
          <w:bCs/>
          <w:sz w:val="36"/>
          <w:szCs w:val="36"/>
        </w:rPr>
      </w:pPr>
      <w:r>
        <w:rPr>
          <w:rFonts w:hint="eastAsia" w:ascii="宋体" w:hAnsi="宋体" w:cs="宋体"/>
          <w:b/>
          <w:bCs/>
          <w:sz w:val="44"/>
          <w:szCs w:val="44"/>
        </w:rPr>
        <w:br w:type="page"/>
      </w:r>
      <w:r>
        <w:rPr>
          <w:rFonts w:hint="eastAsia" w:ascii="宋体" w:hAnsi="宋体" w:cs="宋体"/>
          <w:b/>
          <w:bCs/>
          <w:sz w:val="44"/>
          <w:szCs w:val="44"/>
        </w:rPr>
        <w:t>特别</w:t>
      </w:r>
      <w:r>
        <w:rPr>
          <w:rFonts w:hint="eastAsia" w:ascii="宋体" w:hAnsi="宋体" w:cs="宋体"/>
          <w:b/>
          <w:bCs/>
          <w:sz w:val="44"/>
          <w:szCs w:val="44"/>
          <w:lang w:val="zh-CN"/>
        </w:rPr>
        <w:t>提示</w:t>
      </w:r>
    </w:p>
    <w:p>
      <w:pPr>
        <w:spacing w:line="336" w:lineRule="auto"/>
        <w:jc w:val="left"/>
        <w:rPr>
          <w:rFonts w:ascii="宋体" w:hAnsi="宋体" w:cs="宋体"/>
          <w:b/>
          <w:bCs/>
          <w:sz w:val="36"/>
          <w:szCs w:val="36"/>
        </w:rPr>
      </w:pPr>
      <w:r>
        <w:rPr>
          <w:rFonts w:hint="eastAsia" w:ascii="宋体" w:hAnsi="宋体" w:cs="宋体"/>
          <w:b/>
          <w:bCs/>
          <w:sz w:val="36"/>
          <w:szCs w:val="36"/>
        </w:rPr>
        <w:t>一、供应商入库</w:t>
      </w:r>
    </w:p>
    <w:p>
      <w:pPr>
        <w:pStyle w:val="31"/>
        <w:spacing w:before="0" w:beforeAutospacing="0" w:after="0" w:afterAutospacing="0" w:line="360" w:lineRule="auto"/>
        <w:ind w:firstLine="560" w:firstLineChars="200"/>
        <w:rPr>
          <w:rFonts w:cs="宋体"/>
          <w:bCs/>
          <w:sz w:val="28"/>
          <w:szCs w:val="28"/>
        </w:rPr>
      </w:pPr>
      <w:r>
        <w:rPr>
          <w:rFonts w:hint="eastAsia" w:cs="宋体"/>
          <w:bCs/>
          <w:sz w:val="28"/>
          <w:szCs w:val="28"/>
        </w:rPr>
        <w:t>请各供应商领取谈判文件后，按照陕西省财政厅《关于政府采购供应商注册登记有关事项的通知》要求，通过陕西省政府采购网注册登记加入陕西省政府采购供应商库。</w:t>
      </w:r>
    </w:p>
    <w:p>
      <w:pPr>
        <w:spacing w:line="360" w:lineRule="auto"/>
        <w:rPr>
          <w:rFonts w:ascii="宋体" w:hAnsi="宋体" w:cs="宋体"/>
          <w:bCs/>
          <w:kern w:val="0"/>
          <w:sz w:val="28"/>
          <w:szCs w:val="28"/>
        </w:rPr>
      </w:pPr>
      <w:r>
        <w:rPr>
          <w:rFonts w:hint="eastAsia" w:ascii="宋体" w:hAnsi="宋体" w:cs="宋体"/>
          <w:bCs/>
          <w:kern w:val="0"/>
          <w:sz w:val="28"/>
          <w:szCs w:val="28"/>
        </w:rPr>
        <w:t>入库流程：</w:t>
      </w:r>
    </w:p>
    <w:p>
      <w:pPr>
        <w:pStyle w:val="31"/>
        <w:spacing w:before="0" w:beforeAutospacing="0" w:after="0" w:afterAutospacing="0" w:line="360" w:lineRule="auto"/>
        <w:ind w:firstLine="560" w:firstLineChars="200"/>
        <w:rPr>
          <w:rFonts w:cs="宋体"/>
          <w:bCs/>
          <w:sz w:val="28"/>
          <w:szCs w:val="28"/>
        </w:rPr>
      </w:pPr>
      <w:r>
        <w:rPr>
          <w:rFonts w:hint="eastAsia" w:cs="宋体"/>
          <w:bCs/>
          <w:sz w:val="28"/>
          <w:szCs w:val="28"/>
        </w:rPr>
        <w:t>1.登陆陕西省政府采购网，自行注册并获取供应商用户名及密码。</w:t>
      </w:r>
    </w:p>
    <w:p>
      <w:pPr>
        <w:pStyle w:val="31"/>
        <w:spacing w:before="0" w:beforeAutospacing="0" w:after="0" w:afterAutospacing="0" w:line="360" w:lineRule="auto"/>
        <w:ind w:firstLine="560" w:firstLineChars="200"/>
        <w:rPr>
          <w:rFonts w:cs="宋体"/>
          <w:bCs/>
          <w:sz w:val="28"/>
          <w:szCs w:val="28"/>
        </w:rPr>
      </w:pPr>
      <w:r>
        <w:rPr>
          <w:rFonts w:hint="eastAsia" w:cs="宋体"/>
          <w:bCs/>
          <w:sz w:val="28"/>
          <w:szCs w:val="28"/>
        </w:rPr>
        <w:t>2.填写基本信息，在线提交相关材料扫描件。</w:t>
      </w:r>
    </w:p>
    <w:p>
      <w:pPr>
        <w:pStyle w:val="31"/>
        <w:spacing w:before="0" w:beforeAutospacing="0" w:after="0" w:afterAutospacing="0" w:line="360" w:lineRule="auto"/>
        <w:ind w:firstLine="560" w:firstLineChars="200"/>
        <w:rPr>
          <w:rFonts w:cs="宋体"/>
          <w:bCs/>
          <w:sz w:val="28"/>
          <w:szCs w:val="28"/>
        </w:rPr>
      </w:pPr>
      <w:r>
        <w:rPr>
          <w:rFonts w:hint="eastAsia" w:cs="宋体"/>
          <w:bCs/>
          <w:sz w:val="28"/>
          <w:szCs w:val="28"/>
        </w:rPr>
        <w:t>3.供应商填报信息后提交，供应商的基本信息将通过陕西省政府采购网进行公示。</w:t>
      </w:r>
    </w:p>
    <w:p>
      <w:pPr>
        <w:pStyle w:val="29"/>
        <w:spacing w:line="360" w:lineRule="auto"/>
        <w:ind w:firstLine="560" w:firstLineChars="200"/>
        <w:rPr>
          <w:rFonts w:ascii="宋体" w:hAnsi="宋体" w:eastAsia="宋体" w:cs="宋体"/>
          <w:bCs/>
          <w:kern w:val="0"/>
          <w:szCs w:val="28"/>
        </w:rPr>
      </w:pPr>
      <w:r>
        <w:rPr>
          <w:rFonts w:hint="eastAsia" w:ascii="宋体" w:hAnsi="宋体" w:eastAsia="宋体" w:cs="宋体"/>
          <w:bCs/>
          <w:kern w:val="0"/>
          <w:szCs w:val="28"/>
        </w:rPr>
        <w:t>详情见链接：</w:t>
      </w:r>
    </w:p>
    <w:p>
      <w:pPr>
        <w:snapToGrid w:val="0"/>
        <w:spacing w:line="360" w:lineRule="auto"/>
        <w:ind w:firstLine="560" w:firstLineChars="200"/>
        <w:jc w:val="left"/>
        <w:rPr>
          <w:rFonts w:ascii="宋体" w:hAnsi="宋体" w:cs="宋体"/>
          <w:b/>
          <w:bCs/>
          <w:sz w:val="36"/>
          <w:szCs w:val="36"/>
        </w:rPr>
      </w:pPr>
      <w:r>
        <w:rPr>
          <w:rFonts w:hint="eastAsia" w:ascii="宋体" w:hAnsi="宋体" w:cs="宋体"/>
          <w:bCs/>
          <w:kern w:val="0"/>
          <w:sz w:val="28"/>
          <w:szCs w:val="28"/>
        </w:rPr>
        <w:t>http://www.ccgp-shaanxi.gov.cn/gpbs-gpbs/index.html#/gpbs/supplierReg/registrationPage?zoneCode=610001&amp;tenantId=ZF_JGBM_000009</w:t>
      </w:r>
      <w:r>
        <w:rPr>
          <w:rFonts w:hint="eastAsia" w:ascii="宋体" w:hAnsi="宋体" w:cs="宋体"/>
          <w:b/>
          <w:bCs/>
          <w:sz w:val="36"/>
          <w:szCs w:val="36"/>
        </w:rPr>
        <w:fldChar w:fldCharType="begin"/>
      </w:r>
      <w:r>
        <w:rPr>
          <w:rFonts w:hint="eastAsia" w:ascii="宋体" w:hAnsi="宋体" w:cs="宋体"/>
          <w:b/>
          <w:bCs/>
          <w:sz w:val="36"/>
          <w:szCs w:val="36"/>
        </w:rPr>
        <w:instrText xml:space="preserve"> HYPERLINK "http://www.ccgp-shaanxi.gov.cn/gpbs-gpbs/index.html#/gpbs/supplierReg/registrationPage?zoneCode=610001&amp;tenantId=ZF_JGBM_000009" </w:instrText>
      </w:r>
      <w:r>
        <w:rPr>
          <w:rFonts w:hint="eastAsia" w:ascii="宋体" w:hAnsi="宋体" w:cs="宋体"/>
          <w:b/>
          <w:bCs/>
          <w:sz w:val="36"/>
          <w:szCs w:val="36"/>
        </w:rPr>
        <w:fldChar w:fldCharType="separate"/>
      </w:r>
    </w:p>
    <w:p>
      <w:pPr>
        <w:snapToGrid w:val="0"/>
        <w:spacing w:line="360" w:lineRule="auto"/>
        <w:ind w:firstLine="723" w:firstLineChars="200"/>
        <w:jc w:val="left"/>
        <w:rPr>
          <w:rFonts w:ascii="宋体" w:hAnsi="宋体" w:cs="宋体"/>
          <w:b/>
          <w:bCs/>
          <w:sz w:val="36"/>
          <w:szCs w:val="36"/>
        </w:rPr>
      </w:pPr>
      <w:r>
        <w:rPr>
          <w:rFonts w:hint="eastAsia" w:ascii="宋体" w:hAnsi="宋体" w:cs="宋体"/>
          <w:b/>
          <w:bCs/>
          <w:sz w:val="36"/>
          <w:szCs w:val="36"/>
        </w:rPr>
        <w:fldChar w:fldCharType="end"/>
      </w:r>
      <w:r>
        <w:rPr>
          <w:rFonts w:hint="eastAsia" w:ascii="宋体" w:hAnsi="宋体" w:cs="宋体"/>
          <w:b/>
          <w:bCs/>
          <w:sz w:val="36"/>
          <w:szCs w:val="36"/>
        </w:rPr>
        <w:t>二、关于放弃投标的说明</w:t>
      </w:r>
    </w:p>
    <w:p>
      <w:pPr>
        <w:spacing w:line="360" w:lineRule="auto"/>
        <w:ind w:firstLine="560" w:firstLineChars="200"/>
        <w:rPr>
          <w:rFonts w:ascii="宋体" w:hAnsi="宋体" w:cs="宋体"/>
          <w:bCs/>
          <w:kern w:val="0"/>
          <w:sz w:val="28"/>
          <w:szCs w:val="28"/>
        </w:rPr>
      </w:pPr>
      <w:r>
        <w:rPr>
          <w:rFonts w:hint="eastAsia" w:ascii="宋体" w:hAnsi="宋体" w:cs="宋体"/>
          <w:bCs/>
          <w:kern w:val="0"/>
          <w:sz w:val="28"/>
          <w:szCs w:val="28"/>
        </w:rPr>
        <w:t>根据西安市财政局关于《促进政府采购公平竞争优化营商环境的通知》，供应商登记免费领取采购文件的，如因为一些特殊原因不能参加本次投标活动，请务必在递交投标（响应）文件截止时间前一日（如为周末或节假日请相应提前至工作日）将放弃投标的说明（加盖公章）以邮件（邮箱：sxmzzb@163.com，发送后与代理机构项目联系人确认）或现场递交的形式告知我们，以便我们正常开展后期工作。否则，采购代理机构可以向财政部门反映并提供相应的佐证，供应商一年内累计出现三次该情况，将被监管部门记录为失信行为。感谢您的配合。</w:t>
      </w:r>
    </w:p>
    <w:p>
      <w:pPr>
        <w:spacing w:line="360" w:lineRule="auto"/>
        <w:rPr>
          <w:rFonts w:ascii="宋体" w:hAnsi="宋体" w:cs="宋体"/>
          <w:bCs/>
          <w:kern w:val="0"/>
          <w:sz w:val="28"/>
          <w:szCs w:val="28"/>
        </w:rPr>
        <w:sectPr>
          <w:headerReference r:id="rId7" w:type="default"/>
          <w:footerReference r:id="rId8" w:type="default"/>
          <w:pgSz w:w="11906" w:h="16838"/>
          <w:pgMar w:top="1440" w:right="1080" w:bottom="1440" w:left="1080" w:header="850" w:footer="850" w:gutter="0"/>
          <w:pgNumType w:fmt="decimal" w:start="1"/>
          <w:cols w:space="720" w:num="1"/>
          <w:docGrid w:linePitch="312" w:charSpace="0"/>
        </w:sectPr>
      </w:pPr>
    </w:p>
    <w:p>
      <w:pPr>
        <w:spacing w:line="360" w:lineRule="auto"/>
        <w:jc w:val="center"/>
        <w:rPr>
          <w:rFonts w:ascii="宋体" w:hAnsi="宋体" w:cs="宋体"/>
          <w:b/>
          <w:sz w:val="44"/>
          <w:szCs w:val="44"/>
        </w:rPr>
      </w:pPr>
      <w:r>
        <w:rPr>
          <w:rFonts w:hint="eastAsia" w:ascii="宋体" w:hAnsi="宋体" w:cs="宋体"/>
          <w:b/>
          <w:sz w:val="44"/>
          <w:szCs w:val="44"/>
        </w:rPr>
        <w:t>目   录</w:t>
      </w:r>
      <w:bookmarkEnd w:id="2"/>
      <w:bookmarkEnd w:id="3"/>
      <w:bookmarkEnd w:id="4"/>
      <w:bookmarkEnd w:id="5"/>
      <w:bookmarkEnd w:id="7"/>
      <w:bookmarkEnd w:id="8"/>
      <w:bookmarkEnd w:id="9"/>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60" w:lineRule="exact"/>
        <w:textAlignment w:val="auto"/>
      </w:pPr>
      <w:r>
        <w:rPr>
          <w:rFonts w:hint="eastAsia" w:cs="宋体"/>
          <w:b w:val="0"/>
          <w:sz w:val="28"/>
          <w:szCs w:val="28"/>
        </w:rPr>
        <w:fldChar w:fldCharType="begin"/>
      </w:r>
      <w:r>
        <w:rPr>
          <w:rFonts w:hint="eastAsia" w:cs="宋体"/>
          <w:b w:val="0"/>
          <w:sz w:val="28"/>
          <w:szCs w:val="28"/>
        </w:rPr>
        <w:instrText xml:space="preserve"> TOC \o "1-2" \h \z \u </w:instrText>
      </w:r>
      <w:r>
        <w:rPr>
          <w:rFonts w:hint="eastAsia" w:cs="宋体"/>
          <w:b w:val="0"/>
          <w:sz w:val="28"/>
          <w:szCs w:val="28"/>
        </w:rPr>
        <w:fldChar w:fldCharType="separate"/>
      </w:r>
      <w:r>
        <w:rPr>
          <w:rFonts w:hint="eastAsia" w:cs="宋体"/>
          <w:szCs w:val="28"/>
        </w:rPr>
        <w:fldChar w:fldCharType="begin"/>
      </w:r>
      <w:r>
        <w:rPr>
          <w:rFonts w:hint="eastAsia" w:cs="宋体"/>
          <w:szCs w:val="28"/>
        </w:rPr>
        <w:instrText xml:space="preserve"> HYPERLINK \l _Toc28700 </w:instrText>
      </w:r>
      <w:r>
        <w:rPr>
          <w:rFonts w:hint="eastAsia" w:cs="宋体"/>
          <w:szCs w:val="28"/>
        </w:rPr>
        <w:fldChar w:fldCharType="separate"/>
      </w:r>
      <w:r>
        <w:rPr>
          <w:rFonts w:hint="eastAsia" w:ascii="宋体" w:hAnsi="宋体" w:cs="宋体"/>
          <w:szCs w:val="44"/>
        </w:rPr>
        <w:t>第一章 采购邀请（竞争性谈判公告）</w:t>
      </w:r>
      <w:r>
        <w:tab/>
      </w:r>
      <w:r>
        <w:fldChar w:fldCharType="begin"/>
      </w:r>
      <w:r>
        <w:instrText xml:space="preserve"> PAGEREF _Toc28700 \h </w:instrText>
      </w:r>
      <w:r>
        <w:fldChar w:fldCharType="separate"/>
      </w:r>
      <w:r>
        <w:t>4</w:t>
      </w:r>
      <w:r>
        <w:fldChar w:fldCharType="end"/>
      </w:r>
      <w:r>
        <w:rPr>
          <w:rFonts w:hint="eastAsia" w:cs="宋体"/>
          <w:szCs w:val="28"/>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_Toc13238 </w:instrText>
      </w:r>
      <w:r>
        <w:rPr>
          <w:rFonts w:hint="eastAsia" w:ascii="宋体" w:hAnsi="宋体" w:cs="宋体"/>
          <w:szCs w:val="28"/>
        </w:rPr>
        <w:fldChar w:fldCharType="separate"/>
      </w:r>
      <w:r>
        <w:rPr>
          <w:rFonts w:hint="eastAsia" w:ascii="宋体" w:hAnsi="宋体" w:cs="宋体"/>
          <w:bCs w:val="0"/>
          <w:kern w:val="44"/>
          <w:szCs w:val="44"/>
        </w:rPr>
        <w:t>第二章 供应商须知前附表</w:t>
      </w:r>
      <w:r>
        <w:tab/>
      </w:r>
      <w:r>
        <w:fldChar w:fldCharType="begin"/>
      </w:r>
      <w:r>
        <w:instrText xml:space="preserve"> PAGEREF _Toc13238 \h </w:instrText>
      </w:r>
      <w:r>
        <w:fldChar w:fldCharType="separate"/>
      </w:r>
      <w:r>
        <w:t>8</w:t>
      </w:r>
      <w:r>
        <w:fldChar w:fldCharType="end"/>
      </w:r>
      <w:r>
        <w:rPr>
          <w:rFonts w:hint="eastAsia" w:ascii="宋体" w:hAnsi="宋体" w:cs="宋体"/>
          <w:szCs w:val="28"/>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_Toc6024 </w:instrText>
      </w:r>
      <w:r>
        <w:rPr>
          <w:rFonts w:hint="eastAsia" w:ascii="宋体" w:hAnsi="宋体" w:cs="宋体"/>
          <w:szCs w:val="28"/>
        </w:rPr>
        <w:fldChar w:fldCharType="separate"/>
      </w:r>
      <w:r>
        <w:rPr>
          <w:rFonts w:hint="eastAsia" w:ascii="宋体" w:hAnsi="宋体" w:cs="宋体"/>
          <w:szCs w:val="44"/>
        </w:rPr>
        <w:t>第三章 供应商须知</w:t>
      </w:r>
      <w:r>
        <w:tab/>
      </w:r>
      <w:r>
        <w:fldChar w:fldCharType="begin"/>
      </w:r>
      <w:r>
        <w:instrText xml:space="preserve"> PAGEREF _Toc6024 \h </w:instrText>
      </w:r>
      <w:r>
        <w:fldChar w:fldCharType="separate"/>
      </w:r>
      <w:r>
        <w:t>10</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_Toc19294 </w:instrText>
      </w:r>
      <w:r>
        <w:rPr>
          <w:rFonts w:hint="eastAsia" w:ascii="宋体" w:hAnsi="宋体" w:cs="宋体"/>
          <w:szCs w:val="28"/>
        </w:rPr>
        <w:fldChar w:fldCharType="separate"/>
      </w:r>
      <w:r>
        <w:rPr>
          <w:rFonts w:hint="eastAsia" w:ascii="宋体" w:hAnsi="宋体" w:eastAsia="宋体" w:cs="宋体"/>
          <w:szCs w:val="28"/>
        </w:rPr>
        <w:t>一、总  则</w:t>
      </w:r>
      <w:r>
        <w:tab/>
      </w:r>
      <w:r>
        <w:fldChar w:fldCharType="begin"/>
      </w:r>
      <w:r>
        <w:instrText xml:space="preserve"> PAGEREF _Toc19294 \h </w:instrText>
      </w:r>
      <w:r>
        <w:fldChar w:fldCharType="separate"/>
      </w:r>
      <w:r>
        <w:t>10</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_Toc4198 </w:instrText>
      </w:r>
      <w:r>
        <w:rPr>
          <w:rFonts w:hint="eastAsia" w:ascii="宋体" w:hAnsi="宋体" w:cs="宋体"/>
          <w:szCs w:val="28"/>
        </w:rPr>
        <w:fldChar w:fldCharType="separate"/>
      </w:r>
      <w:r>
        <w:rPr>
          <w:rFonts w:hint="eastAsia" w:ascii="宋体" w:hAnsi="宋体" w:eastAsia="宋体" w:cs="宋体"/>
          <w:szCs w:val="28"/>
        </w:rPr>
        <w:t>二、谈判文件</w:t>
      </w:r>
      <w:r>
        <w:tab/>
      </w:r>
      <w:r>
        <w:fldChar w:fldCharType="begin"/>
      </w:r>
      <w:r>
        <w:instrText xml:space="preserve"> PAGEREF _Toc4198 \h </w:instrText>
      </w:r>
      <w:r>
        <w:fldChar w:fldCharType="separate"/>
      </w:r>
      <w:r>
        <w:t>12</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_Toc25698 </w:instrText>
      </w:r>
      <w:r>
        <w:rPr>
          <w:rFonts w:hint="eastAsia" w:ascii="宋体" w:hAnsi="宋体" w:cs="宋体"/>
          <w:szCs w:val="28"/>
        </w:rPr>
        <w:fldChar w:fldCharType="separate"/>
      </w:r>
      <w:r>
        <w:rPr>
          <w:rFonts w:hint="eastAsia" w:ascii="宋体" w:hAnsi="宋体" w:eastAsia="宋体" w:cs="宋体"/>
          <w:bCs/>
        </w:rPr>
        <w:t>三、供应商</w:t>
      </w:r>
      <w:r>
        <w:tab/>
      </w:r>
      <w:r>
        <w:fldChar w:fldCharType="begin"/>
      </w:r>
      <w:r>
        <w:instrText xml:space="preserve"> PAGEREF _Toc25698 \h </w:instrText>
      </w:r>
      <w:r>
        <w:fldChar w:fldCharType="separate"/>
      </w:r>
      <w:r>
        <w:t>14</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_Toc28963 </w:instrText>
      </w:r>
      <w:r>
        <w:rPr>
          <w:rFonts w:hint="eastAsia" w:ascii="宋体" w:hAnsi="宋体" w:cs="宋体"/>
          <w:szCs w:val="28"/>
        </w:rPr>
        <w:fldChar w:fldCharType="separate"/>
      </w:r>
      <w:r>
        <w:rPr>
          <w:rFonts w:hint="eastAsia" w:ascii="宋体" w:hAnsi="宋体" w:eastAsia="宋体" w:cs="宋体"/>
          <w:bCs/>
        </w:rPr>
        <w:t>四、谈判响应文件</w:t>
      </w:r>
      <w:r>
        <w:tab/>
      </w:r>
      <w:r>
        <w:fldChar w:fldCharType="begin"/>
      </w:r>
      <w:r>
        <w:instrText xml:space="preserve"> PAGEREF _Toc28963 \h </w:instrText>
      </w:r>
      <w:r>
        <w:fldChar w:fldCharType="separate"/>
      </w:r>
      <w:r>
        <w:t>19</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_Toc6899 </w:instrText>
      </w:r>
      <w:r>
        <w:rPr>
          <w:rFonts w:hint="eastAsia" w:ascii="宋体" w:hAnsi="宋体" w:cs="宋体"/>
          <w:szCs w:val="28"/>
        </w:rPr>
        <w:fldChar w:fldCharType="separate"/>
      </w:r>
      <w:r>
        <w:rPr>
          <w:rFonts w:hint="eastAsia" w:ascii="宋体" w:hAnsi="宋体" w:eastAsia="宋体" w:cs="宋体"/>
          <w:bCs/>
        </w:rPr>
        <w:t>五、响应文件的递交</w:t>
      </w:r>
      <w:r>
        <w:tab/>
      </w:r>
      <w:r>
        <w:fldChar w:fldCharType="begin"/>
      </w:r>
      <w:r>
        <w:instrText xml:space="preserve"> PAGEREF _Toc6899 \h </w:instrText>
      </w:r>
      <w:r>
        <w:fldChar w:fldCharType="separate"/>
      </w:r>
      <w:r>
        <w:t>23</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_Toc11964 </w:instrText>
      </w:r>
      <w:r>
        <w:rPr>
          <w:rFonts w:hint="eastAsia" w:ascii="宋体" w:hAnsi="宋体" w:cs="宋体"/>
          <w:szCs w:val="28"/>
        </w:rPr>
        <w:fldChar w:fldCharType="separate"/>
      </w:r>
      <w:r>
        <w:rPr>
          <w:rFonts w:hint="eastAsia" w:ascii="宋体" w:hAnsi="宋体" w:eastAsia="宋体" w:cs="宋体"/>
          <w:bCs/>
        </w:rPr>
        <w:t>六、谈判</w:t>
      </w:r>
      <w:r>
        <w:tab/>
      </w:r>
      <w:r>
        <w:fldChar w:fldCharType="begin"/>
      </w:r>
      <w:r>
        <w:instrText xml:space="preserve"> PAGEREF _Toc11964 \h </w:instrText>
      </w:r>
      <w:r>
        <w:fldChar w:fldCharType="separate"/>
      </w:r>
      <w:r>
        <w:t>24</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_Toc31585 </w:instrText>
      </w:r>
      <w:r>
        <w:rPr>
          <w:rFonts w:hint="eastAsia" w:ascii="宋体" w:hAnsi="宋体" w:cs="宋体"/>
          <w:szCs w:val="28"/>
        </w:rPr>
        <w:fldChar w:fldCharType="separate"/>
      </w:r>
      <w:r>
        <w:rPr>
          <w:rFonts w:hint="eastAsia" w:ascii="宋体" w:hAnsi="宋体" w:eastAsia="宋体" w:cs="宋体"/>
          <w:bCs/>
        </w:rPr>
        <w:t>七、供应商资格审查</w:t>
      </w:r>
      <w:r>
        <w:tab/>
      </w:r>
      <w:r>
        <w:fldChar w:fldCharType="begin"/>
      </w:r>
      <w:r>
        <w:instrText xml:space="preserve"> PAGEREF _Toc31585 \h </w:instrText>
      </w:r>
      <w:r>
        <w:fldChar w:fldCharType="separate"/>
      </w:r>
      <w:r>
        <w:t>25</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_Toc2663 </w:instrText>
      </w:r>
      <w:r>
        <w:rPr>
          <w:rFonts w:hint="eastAsia" w:ascii="宋体" w:hAnsi="宋体" w:cs="宋体"/>
          <w:szCs w:val="28"/>
        </w:rPr>
        <w:fldChar w:fldCharType="separate"/>
      </w:r>
      <w:r>
        <w:rPr>
          <w:rFonts w:hint="eastAsia" w:ascii="宋体" w:hAnsi="宋体" w:eastAsia="宋体" w:cs="宋体"/>
          <w:bCs/>
        </w:rPr>
        <w:t>八、定标</w:t>
      </w:r>
      <w:r>
        <w:tab/>
      </w:r>
      <w:r>
        <w:fldChar w:fldCharType="begin"/>
      </w:r>
      <w:r>
        <w:instrText xml:space="preserve"> PAGEREF _Toc2663 \h </w:instrText>
      </w:r>
      <w:r>
        <w:fldChar w:fldCharType="separate"/>
      </w:r>
      <w:r>
        <w:t>31</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_Toc6054 </w:instrText>
      </w:r>
      <w:r>
        <w:rPr>
          <w:rFonts w:hint="eastAsia" w:ascii="宋体" w:hAnsi="宋体" w:cs="宋体"/>
          <w:szCs w:val="28"/>
        </w:rPr>
        <w:fldChar w:fldCharType="separate"/>
      </w:r>
      <w:r>
        <w:rPr>
          <w:rFonts w:hint="eastAsia" w:ascii="宋体" w:hAnsi="宋体" w:eastAsia="宋体" w:cs="宋体"/>
          <w:bCs/>
        </w:rPr>
        <w:t>九、废标或变更采购方式</w:t>
      </w:r>
      <w:r>
        <w:tab/>
      </w:r>
      <w:r>
        <w:fldChar w:fldCharType="begin"/>
      </w:r>
      <w:r>
        <w:instrText xml:space="preserve"> PAGEREF _Toc6054 \h </w:instrText>
      </w:r>
      <w:r>
        <w:fldChar w:fldCharType="separate"/>
      </w:r>
      <w:r>
        <w:t>32</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_Toc13665 </w:instrText>
      </w:r>
      <w:r>
        <w:rPr>
          <w:rFonts w:hint="eastAsia" w:ascii="宋体" w:hAnsi="宋体" w:cs="宋体"/>
          <w:szCs w:val="28"/>
        </w:rPr>
        <w:fldChar w:fldCharType="separate"/>
      </w:r>
      <w:r>
        <w:rPr>
          <w:rFonts w:hint="eastAsia" w:ascii="宋体" w:hAnsi="宋体" w:eastAsia="宋体" w:cs="宋体"/>
          <w:bCs/>
        </w:rPr>
        <w:t>十、合同授予</w:t>
      </w:r>
      <w:r>
        <w:tab/>
      </w:r>
      <w:r>
        <w:fldChar w:fldCharType="begin"/>
      </w:r>
      <w:r>
        <w:instrText xml:space="preserve"> PAGEREF _Toc13665 \h </w:instrText>
      </w:r>
      <w:r>
        <w:fldChar w:fldCharType="separate"/>
      </w:r>
      <w:r>
        <w:t>32</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_Toc28278 </w:instrText>
      </w:r>
      <w:r>
        <w:rPr>
          <w:rFonts w:hint="eastAsia" w:ascii="宋体" w:hAnsi="宋体" w:cs="宋体"/>
          <w:szCs w:val="28"/>
        </w:rPr>
        <w:fldChar w:fldCharType="separate"/>
      </w:r>
      <w:r>
        <w:rPr>
          <w:rFonts w:hint="eastAsia" w:ascii="宋体" w:hAnsi="宋体" w:eastAsia="宋体" w:cs="宋体"/>
          <w:bCs/>
        </w:rPr>
        <w:t>十一、成交服务费</w:t>
      </w:r>
      <w:r>
        <w:tab/>
      </w:r>
      <w:r>
        <w:fldChar w:fldCharType="begin"/>
      </w:r>
      <w:r>
        <w:instrText xml:space="preserve"> PAGEREF _Toc28278 \h </w:instrText>
      </w:r>
      <w:r>
        <w:fldChar w:fldCharType="separate"/>
      </w:r>
      <w:r>
        <w:t>34</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_Toc9305 </w:instrText>
      </w:r>
      <w:r>
        <w:rPr>
          <w:rFonts w:hint="eastAsia" w:ascii="宋体" w:hAnsi="宋体" w:cs="宋体"/>
          <w:szCs w:val="28"/>
        </w:rPr>
        <w:fldChar w:fldCharType="separate"/>
      </w:r>
      <w:r>
        <w:rPr>
          <w:rFonts w:hint="eastAsia" w:ascii="宋体" w:hAnsi="宋体" w:eastAsia="宋体" w:cs="宋体"/>
          <w:bCs/>
        </w:rPr>
        <w:t>十二、质疑与投诉</w:t>
      </w:r>
      <w:r>
        <w:tab/>
      </w:r>
      <w:r>
        <w:fldChar w:fldCharType="begin"/>
      </w:r>
      <w:r>
        <w:instrText xml:space="preserve"> PAGEREF _Toc9305 \h </w:instrText>
      </w:r>
      <w:r>
        <w:fldChar w:fldCharType="separate"/>
      </w:r>
      <w:r>
        <w:t>35</w:t>
      </w:r>
      <w:r>
        <w:fldChar w:fldCharType="end"/>
      </w:r>
      <w:r>
        <w:rPr>
          <w:rFonts w:hint="eastAsia" w:ascii="宋体" w:hAnsi="宋体" w:cs="宋体"/>
          <w:szCs w:val="28"/>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_Toc22398 </w:instrText>
      </w:r>
      <w:r>
        <w:rPr>
          <w:rFonts w:hint="eastAsia" w:ascii="宋体" w:hAnsi="宋体" w:cs="宋体"/>
          <w:szCs w:val="28"/>
        </w:rPr>
        <w:fldChar w:fldCharType="separate"/>
      </w:r>
      <w:r>
        <w:rPr>
          <w:rFonts w:hint="eastAsia" w:ascii="宋体" w:hAnsi="宋体" w:cs="宋体"/>
          <w:szCs w:val="44"/>
        </w:rPr>
        <w:t>第四章 评审程序和评审方法</w:t>
      </w:r>
      <w:r>
        <w:tab/>
      </w:r>
      <w:r>
        <w:fldChar w:fldCharType="begin"/>
      </w:r>
      <w:r>
        <w:instrText xml:space="preserve"> PAGEREF _Toc22398 \h </w:instrText>
      </w:r>
      <w:r>
        <w:fldChar w:fldCharType="separate"/>
      </w:r>
      <w:r>
        <w:t>38</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_Toc5905 </w:instrText>
      </w:r>
      <w:r>
        <w:rPr>
          <w:rFonts w:hint="eastAsia" w:ascii="宋体" w:hAnsi="宋体" w:cs="宋体"/>
          <w:szCs w:val="28"/>
        </w:rPr>
        <w:fldChar w:fldCharType="separate"/>
      </w:r>
      <w:r>
        <w:rPr>
          <w:rFonts w:hint="eastAsia" w:ascii="宋体" w:hAnsi="宋体" w:eastAsia="宋体" w:cs="宋体"/>
          <w:bCs/>
        </w:rPr>
        <w:t>一、谈判步骤与评审方法</w:t>
      </w:r>
      <w:r>
        <w:tab/>
      </w:r>
      <w:r>
        <w:fldChar w:fldCharType="begin"/>
      </w:r>
      <w:r>
        <w:instrText xml:space="preserve"> PAGEREF _Toc5905 \h </w:instrText>
      </w:r>
      <w:r>
        <w:fldChar w:fldCharType="separate"/>
      </w:r>
      <w:r>
        <w:t>38</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_Toc1792 </w:instrText>
      </w:r>
      <w:r>
        <w:rPr>
          <w:rFonts w:hint="eastAsia" w:ascii="宋体" w:hAnsi="宋体" w:cs="宋体"/>
          <w:szCs w:val="28"/>
        </w:rPr>
        <w:fldChar w:fldCharType="separate"/>
      </w:r>
      <w:r>
        <w:rPr>
          <w:rFonts w:hint="eastAsia" w:ascii="宋体" w:hAnsi="宋体" w:eastAsia="宋体" w:cs="宋体"/>
          <w:bCs/>
        </w:rPr>
        <w:t>二、评审方法</w:t>
      </w:r>
      <w:r>
        <w:tab/>
      </w:r>
      <w:r>
        <w:fldChar w:fldCharType="begin"/>
      </w:r>
      <w:r>
        <w:instrText xml:space="preserve"> PAGEREF _Toc1792 \h </w:instrText>
      </w:r>
      <w:r>
        <w:fldChar w:fldCharType="separate"/>
      </w:r>
      <w:r>
        <w:t>41</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_Toc15917 </w:instrText>
      </w:r>
      <w:r>
        <w:rPr>
          <w:rFonts w:hint="eastAsia" w:ascii="宋体" w:hAnsi="宋体" w:cs="宋体"/>
          <w:szCs w:val="28"/>
        </w:rPr>
        <w:fldChar w:fldCharType="separate"/>
      </w:r>
      <w:r>
        <w:rPr>
          <w:rFonts w:hint="eastAsia" w:ascii="宋体" w:hAnsi="宋体" w:eastAsia="宋体" w:cs="宋体"/>
          <w:bCs/>
        </w:rPr>
        <w:t>三、评审专家义务与纪律</w:t>
      </w:r>
      <w:r>
        <w:tab/>
      </w:r>
      <w:r>
        <w:fldChar w:fldCharType="begin"/>
      </w:r>
      <w:r>
        <w:instrText xml:space="preserve"> PAGEREF _Toc15917 \h </w:instrText>
      </w:r>
      <w:r>
        <w:fldChar w:fldCharType="separate"/>
      </w:r>
      <w:r>
        <w:t>44</w:t>
      </w:r>
      <w:r>
        <w:fldChar w:fldCharType="end"/>
      </w:r>
      <w:r>
        <w:rPr>
          <w:rFonts w:hint="eastAsia" w:ascii="宋体" w:hAnsi="宋体" w:cs="宋体"/>
          <w:szCs w:val="28"/>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_Toc2798 </w:instrText>
      </w:r>
      <w:r>
        <w:rPr>
          <w:rFonts w:hint="eastAsia" w:ascii="宋体" w:hAnsi="宋体" w:cs="宋体"/>
          <w:szCs w:val="28"/>
        </w:rPr>
        <w:fldChar w:fldCharType="separate"/>
      </w:r>
      <w:r>
        <w:rPr>
          <w:rFonts w:hint="eastAsia" w:ascii="宋体" w:hAnsi="宋体" w:cs="宋体"/>
          <w:kern w:val="0"/>
          <w:szCs w:val="44"/>
        </w:rPr>
        <w:t>第五章 采购需求</w:t>
      </w:r>
      <w:r>
        <w:tab/>
      </w:r>
      <w:r>
        <w:fldChar w:fldCharType="begin"/>
      </w:r>
      <w:r>
        <w:instrText xml:space="preserve"> PAGEREF _Toc2798 \h </w:instrText>
      </w:r>
      <w:r>
        <w:fldChar w:fldCharType="separate"/>
      </w:r>
      <w:r>
        <w:t>46</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_Toc30786 </w:instrText>
      </w:r>
      <w:r>
        <w:rPr>
          <w:rFonts w:hint="eastAsia" w:ascii="宋体" w:hAnsi="宋体" w:cs="宋体"/>
          <w:szCs w:val="28"/>
        </w:rPr>
        <w:fldChar w:fldCharType="separate"/>
      </w:r>
      <w:r>
        <w:rPr>
          <w:rFonts w:hint="eastAsia" w:ascii="宋体" w:hAnsi="宋体" w:eastAsia="宋体" w:cs="宋体"/>
          <w:bCs/>
          <w:szCs w:val="24"/>
        </w:rPr>
        <w:t>一、商务要求</w:t>
      </w:r>
      <w:r>
        <w:tab/>
      </w:r>
      <w:r>
        <w:fldChar w:fldCharType="begin"/>
      </w:r>
      <w:r>
        <w:instrText xml:space="preserve"> PAGEREF _Toc30786 \h </w:instrText>
      </w:r>
      <w:r>
        <w:fldChar w:fldCharType="separate"/>
      </w:r>
      <w:r>
        <w:t>46</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_Toc30252 </w:instrText>
      </w:r>
      <w:r>
        <w:rPr>
          <w:rFonts w:hint="eastAsia" w:ascii="宋体" w:hAnsi="宋体" w:cs="宋体"/>
          <w:szCs w:val="28"/>
        </w:rPr>
        <w:fldChar w:fldCharType="separate"/>
      </w:r>
      <w:r>
        <w:rPr>
          <w:rFonts w:hint="eastAsia" w:ascii="宋体" w:hAnsi="宋体" w:eastAsia="宋体" w:cs="宋体"/>
          <w:bCs/>
          <w:szCs w:val="24"/>
        </w:rPr>
        <w:t>（一）主要商务条款和要求</w:t>
      </w:r>
      <w:r>
        <w:tab/>
      </w:r>
      <w:r>
        <w:fldChar w:fldCharType="begin"/>
      </w:r>
      <w:r>
        <w:instrText xml:space="preserve"> PAGEREF _Toc30252 \h </w:instrText>
      </w:r>
      <w:r>
        <w:fldChar w:fldCharType="separate"/>
      </w:r>
      <w:r>
        <w:t>46</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_Toc10411 </w:instrText>
      </w:r>
      <w:r>
        <w:rPr>
          <w:rFonts w:hint="eastAsia" w:ascii="宋体" w:hAnsi="宋体" w:cs="宋体"/>
          <w:szCs w:val="28"/>
        </w:rPr>
        <w:fldChar w:fldCharType="separate"/>
      </w:r>
      <w:r>
        <w:rPr>
          <w:rFonts w:hint="eastAsia" w:ascii="宋体" w:hAnsi="宋体" w:eastAsia="宋体" w:cs="宋体"/>
          <w:bCs/>
          <w:szCs w:val="24"/>
        </w:rPr>
        <w:t>（二）商务条件响应说明</w:t>
      </w:r>
      <w:r>
        <w:tab/>
      </w:r>
      <w:r>
        <w:fldChar w:fldCharType="begin"/>
      </w:r>
      <w:r>
        <w:instrText xml:space="preserve"> PAGEREF _Toc10411 \h </w:instrText>
      </w:r>
      <w:r>
        <w:fldChar w:fldCharType="separate"/>
      </w:r>
      <w:r>
        <w:t>46</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_Toc21161 </w:instrText>
      </w:r>
      <w:r>
        <w:rPr>
          <w:rFonts w:hint="eastAsia" w:ascii="宋体" w:hAnsi="宋体" w:cs="宋体"/>
          <w:szCs w:val="28"/>
        </w:rPr>
        <w:fldChar w:fldCharType="separate"/>
      </w:r>
      <w:r>
        <w:rPr>
          <w:rFonts w:hint="eastAsia" w:ascii="宋体" w:hAnsi="宋体" w:eastAsia="宋体" w:cs="宋体"/>
          <w:bCs/>
          <w:szCs w:val="24"/>
        </w:rPr>
        <w:t>二、采购内容</w:t>
      </w:r>
      <w:r>
        <w:tab/>
      </w:r>
      <w:r>
        <w:fldChar w:fldCharType="begin"/>
      </w:r>
      <w:r>
        <w:instrText xml:space="preserve"> PAGEREF _Toc21161 \h </w:instrText>
      </w:r>
      <w:r>
        <w:fldChar w:fldCharType="separate"/>
      </w:r>
      <w:r>
        <w:t>47</w:t>
      </w:r>
      <w:r>
        <w:fldChar w:fldCharType="end"/>
      </w:r>
      <w:r>
        <w:rPr>
          <w:rFonts w:hint="eastAsia" w:ascii="宋体" w:hAnsi="宋体" w:cs="宋体"/>
          <w:szCs w:val="28"/>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_Toc32170 </w:instrText>
      </w:r>
      <w:r>
        <w:rPr>
          <w:rFonts w:hint="eastAsia" w:ascii="宋体" w:hAnsi="宋体" w:cs="宋体"/>
          <w:szCs w:val="28"/>
        </w:rPr>
        <w:fldChar w:fldCharType="separate"/>
      </w:r>
      <w:r>
        <w:rPr>
          <w:rFonts w:hint="eastAsia" w:ascii="宋体" w:hAnsi="宋体" w:cs="宋体"/>
          <w:bCs/>
          <w:szCs w:val="44"/>
        </w:rPr>
        <w:t>第六章 拟签订的合同文本</w:t>
      </w:r>
      <w:r>
        <w:tab/>
      </w:r>
      <w:r>
        <w:fldChar w:fldCharType="begin"/>
      </w:r>
      <w:r>
        <w:instrText xml:space="preserve"> PAGEREF _Toc32170 \h </w:instrText>
      </w:r>
      <w:r>
        <w:fldChar w:fldCharType="separate"/>
      </w:r>
      <w:r>
        <w:t>68</w:t>
      </w:r>
      <w:r>
        <w:fldChar w:fldCharType="end"/>
      </w:r>
      <w:r>
        <w:rPr>
          <w:rFonts w:hint="eastAsia" w:ascii="宋体" w:hAnsi="宋体" w:cs="宋体"/>
          <w:szCs w:val="28"/>
        </w:rPr>
        <w:fldChar w:fldCharType="end"/>
      </w:r>
    </w:p>
    <w:p>
      <w:pPr>
        <w:pStyle w:val="26"/>
        <w:keepNext w:val="0"/>
        <w:keepLines w:val="0"/>
        <w:pageBreakBefore w:val="0"/>
        <w:widowControl w:val="0"/>
        <w:tabs>
          <w:tab w:val="right" w:leader="dot" w:pos="9270"/>
          <w:tab w:val="clear" w:pos="906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_Toc31081 </w:instrText>
      </w:r>
      <w:r>
        <w:rPr>
          <w:rFonts w:hint="eastAsia" w:ascii="宋体" w:hAnsi="宋体" w:cs="宋体"/>
          <w:szCs w:val="28"/>
        </w:rPr>
        <w:fldChar w:fldCharType="separate"/>
      </w:r>
      <w:r>
        <w:rPr>
          <w:rFonts w:hint="eastAsia" w:ascii="宋体" w:hAnsi="宋体" w:cs="宋体"/>
          <w:szCs w:val="44"/>
        </w:rPr>
        <w:t>第七章 谈判响应文件格式</w:t>
      </w:r>
      <w:r>
        <w:tab/>
      </w:r>
      <w:r>
        <w:fldChar w:fldCharType="begin"/>
      </w:r>
      <w:r>
        <w:instrText xml:space="preserve"> PAGEREF _Toc31081 \h </w:instrText>
      </w:r>
      <w:r>
        <w:fldChar w:fldCharType="separate"/>
      </w:r>
      <w:r>
        <w:t>72</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_Toc26840 </w:instrText>
      </w:r>
      <w:r>
        <w:rPr>
          <w:rFonts w:hint="eastAsia" w:ascii="宋体" w:hAnsi="宋体" w:cs="宋体"/>
          <w:szCs w:val="28"/>
        </w:rPr>
        <w:fldChar w:fldCharType="separate"/>
      </w:r>
      <w:r>
        <w:rPr>
          <w:rFonts w:hint="eastAsia" w:ascii="宋体" w:hAnsi="宋体" w:eastAsia="宋体" w:cs="宋体"/>
          <w:bCs/>
          <w:szCs w:val="32"/>
        </w:rPr>
        <w:t>一、谈判响应函</w:t>
      </w:r>
      <w:r>
        <w:tab/>
      </w:r>
      <w:r>
        <w:fldChar w:fldCharType="begin"/>
      </w:r>
      <w:r>
        <w:instrText xml:space="preserve"> PAGEREF _Toc26840 \h </w:instrText>
      </w:r>
      <w:r>
        <w:fldChar w:fldCharType="separate"/>
      </w:r>
      <w:r>
        <w:t>83</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_Toc10167 </w:instrText>
      </w:r>
      <w:r>
        <w:rPr>
          <w:rFonts w:hint="eastAsia" w:ascii="宋体" w:hAnsi="宋体" w:cs="宋体"/>
          <w:szCs w:val="28"/>
        </w:rPr>
        <w:fldChar w:fldCharType="separate"/>
      </w:r>
      <w:r>
        <w:rPr>
          <w:rFonts w:hint="eastAsia" w:ascii="宋体" w:hAnsi="宋体" w:eastAsia="宋体" w:cs="宋体"/>
          <w:bCs/>
          <w:kern w:val="2"/>
          <w:szCs w:val="32"/>
        </w:rPr>
        <w:t>二、第一次谈判报价表</w:t>
      </w:r>
      <w:r>
        <w:tab/>
      </w:r>
      <w:r>
        <w:fldChar w:fldCharType="begin"/>
      </w:r>
      <w:r>
        <w:instrText xml:space="preserve"> PAGEREF _Toc10167 \h </w:instrText>
      </w:r>
      <w:r>
        <w:fldChar w:fldCharType="separate"/>
      </w:r>
      <w:r>
        <w:t>84</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_Toc25601 </w:instrText>
      </w:r>
      <w:r>
        <w:rPr>
          <w:rFonts w:hint="eastAsia" w:ascii="宋体" w:hAnsi="宋体" w:cs="宋体"/>
          <w:szCs w:val="28"/>
        </w:rPr>
        <w:fldChar w:fldCharType="separate"/>
      </w:r>
      <w:r>
        <w:rPr>
          <w:rFonts w:hint="eastAsia" w:ascii="宋体" w:hAnsi="宋体" w:eastAsia="宋体" w:cs="宋体"/>
          <w:bCs/>
          <w:szCs w:val="32"/>
        </w:rPr>
        <w:t>三、分项报价表</w:t>
      </w:r>
      <w:r>
        <w:tab/>
      </w:r>
      <w:r>
        <w:fldChar w:fldCharType="begin"/>
      </w:r>
      <w:r>
        <w:instrText xml:space="preserve"> PAGEREF _Toc25601 \h </w:instrText>
      </w:r>
      <w:r>
        <w:fldChar w:fldCharType="separate"/>
      </w:r>
      <w:r>
        <w:t>85</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_Toc8988 </w:instrText>
      </w:r>
      <w:r>
        <w:rPr>
          <w:rFonts w:hint="eastAsia" w:ascii="宋体" w:hAnsi="宋体" w:cs="宋体"/>
          <w:szCs w:val="28"/>
        </w:rPr>
        <w:fldChar w:fldCharType="separate"/>
      </w:r>
      <w:r>
        <w:rPr>
          <w:rFonts w:hint="eastAsia" w:ascii="宋体" w:hAnsi="宋体" w:cs="宋体"/>
          <w:bCs/>
          <w:kern w:val="0"/>
          <w:szCs w:val="32"/>
        </w:rPr>
        <w:t>四、采购内容偏离表</w:t>
      </w:r>
      <w:r>
        <w:tab/>
      </w:r>
      <w:r>
        <w:fldChar w:fldCharType="begin"/>
      </w:r>
      <w:r>
        <w:instrText xml:space="preserve"> PAGEREF _Toc8988 \h </w:instrText>
      </w:r>
      <w:r>
        <w:fldChar w:fldCharType="separate"/>
      </w:r>
      <w:r>
        <w:t>89</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_Toc11731 </w:instrText>
      </w:r>
      <w:r>
        <w:rPr>
          <w:rFonts w:hint="eastAsia" w:ascii="宋体" w:hAnsi="宋体" w:cs="宋体"/>
          <w:szCs w:val="28"/>
        </w:rPr>
        <w:fldChar w:fldCharType="separate"/>
      </w:r>
      <w:r>
        <w:rPr>
          <w:rFonts w:hint="eastAsia" w:ascii="宋体" w:hAnsi="宋体" w:eastAsia="宋体" w:cs="宋体"/>
          <w:bCs/>
          <w:szCs w:val="32"/>
        </w:rPr>
        <w:t>五、商务响应偏离表</w:t>
      </w:r>
      <w:r>
        <w:tab/>
      </w:r>
      <w:r>
        <w:fldChar w:fldCharType="begin"/>
      </w:r>
      <w:r>
        <w:instrText xml:space="preserve"> PAGEREF _Toc11731 \h </w:instrText>
      </w:r>
      <w:r>
        <w:fldChar w:fldCharType="separate"/>
      </w:r>
      <w:r>
        <w:t>90</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_Toc2505 </w:instrText>
      </w:r>
      <w:r>
        <w:rPr>
          <w:rFonts w:hint="eastAsia" w:ascii="宋体" w:hAnsi="宋体" w:cs="宋体"/>
          <w:szCs w:val="28"/>
        </w:rPr>
        <w:fldChar w:fldCharType="separate"/>
      </w:r>
      <w:r>
        <w:rPr>
          <w:rFonts w:hint="eastAsia" w:ascii="宋体" w:hAnsi="宋体" w:cs="宋体"/>
          <w:bCs/>
          <w:kern w:val="0"/>
          <w:szCs w:val="32"/>
        </w:rPr>
        <w:t>六、谈判响应方案说明</w:t>
      </w:r>
      <w:r>
        <w:tab/>
      </w:r>
      <w:r>
        <w:fldChar w:fldCharType="begin"/>
      </w:r>
      <w:r>
        <w:instrText xml:space="preserve"> PAGEREF _Toc2505 \h </w:instrText>
      </w:r>
      <w:r>
        <w:fldChar w:fldCharType="separate"/>
      </w:r>
      <w:r>
        <w:t>91</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_Toc17672 </w:instrText>
      </w:r>
      <w:r>
        <w:rPr>
          <w:rFonts w:hint="eastAsia" w:ascii="宋体" w:hAnsi="宋体" w:cs="宋体"/>
          <w:szCs w:val="28"/>
        </w:rPr>
        <w:fldChar w:fldCharType="separate"/>
      </w:r>
      <w:r>
        <w:rPr>
          <w:rFonts w:hint="eastAsia" w:ascii="宋体" w:hAnsi="宋体" w:cs="宋体"/>
          <w:bCs/>
          <w:szCs w:val="32"/>
        </w:rPr>
        <w:t>七、业绩的有关证明材料</w:t>
      </w:r>
      <w:r>
        <w:tab/>
      </w:r>
      <w:r>
        <w:fldChar w:fldCharType="begin"/>
      </w:r>
      <w:r>
        <w:instrText xml:space="preserve"> PAGEREF _Toc17672 \h </w:instrText>
      </w:r>
      <w:r>
        <w:fldChar w:fldCharType="separate"/>
      </w:r>
      <w:r>
        <w:t>92</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_Toc7061 </w:instrText>
      </w:r>
      <w:r>
        <w:rPr>
          <w:rFonts w:hint="eastAsia" w:ascii="宋体" w:hAnsi="宋体" w:cs="宋体"/>
          <w:szCs w:val="28"/>
        </w:rPr>
        <w:fldChar w:fldCharType="separate"/>
      </w:r>
      <w:r>
        <w:rPr>
          <w:rFonts w:hint="eastAsia" w:ascii="宋体" w:hAnsi="宋体" w:eastAsia="宋体" w:cs="宋体"/>
          <w:bCs/>
          <w:kern w:val="2"/>
          <w:szCs w:val="32"/>
        </w:rPr>
        <w:t>八、供应商承诺书</w:t>
      </w:r>
      <w:r>
        <w:tab/>
      </w:r>
      <w:r>
        <w:fldChar w:fldCharType="begin"/>
      </w:r>
      <w:r>
        <w:instrText xml:space="preserve"> PAGEREF _Toc7061 \h </w:instrText>
      </w:r>
      <w:r>
        <w:fldChar w:fldCharType="separate"/>
      </w:r>
      <w:r>
        <w:t>93</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_Toc24061 </w:instrText>
      </w:r>
      <w:r>
        <w:rPr>
          <w:rFonts w:hint="eastAsia" w:ascii="宋体" w:hAnsi="宋体" w:cs="宋体"/>
          <w:szCs w:val="28"/>
        </w:rPr>
        <w:fldChar w:fldCharType="separate"/>
      </w:r>
      <w:r>
        <w:rPr>
          <w:rFonts w:hint="eastAsia" w:ascii="宋体" w:hAnsi="宋体" w:eastAsia="宋体" w:cs="宋体"/>
          <w:bCs/>
          <w:kern w:val="2"/>
          <w:szCs w:val="32"/>
        </w:rPr>
        <w:t>九、拒绝政府采购领域商业贿赂承诺书</w:t>
      </w:r>
      <w:r>
        <w:tab/>
      </w:r>
      <w:r>
        <w:fldChar w:fldCharType="begin"/>
      </w:r>
      <w:r>
        <w:instrText xml:space="preserve"> PAGEREF _Toc24061 \h </w:instrText>
      </w:r>
      <w:r>
        <w:fldChar w:fldCharType="separate"/>
      </w:r>
      <w:r>
        <w:t>95</w:t>
      </w:r>
      <w:r>
        <w:fldChar w:fldCharType="end"/>
      </w:r>
      <w:r>
        <w:rPr>
          <w:rFonts w:hint="eastAsia" w:ascii="宋体" w:hAnsi="宋体" w:cs="宋体"/>
          <w:szCs w:val="28"/>
        </w:rPr>
        <w:fldChar w:fldCharType="end"/>
      </w:r>
    </w:p>
    <w:p>
      <w:pPr>
        <w:pStyle w:val="28"/>
        <w:keepNext w:val="0"/>
        <w:keepLines w:val="0"/>
        <w:pageBreakBefore w:val="0"/>
        <w:widowControl w:val="0"/>
        <w:tabs>
          <w:tab w:val="right" w:leader="dot" w:pos="9270"/>
        </w:tabs>
        <w:kinsoku/>
        <w:wordWrap/>
        <w:overflowPunct/>
        <w:topLinePunct w:val="0"/>
        <w:autoSpaceDE/>
        <w:autoSpaceDN/>
        <w:bidi w:val="0"/>
        <w:adjustRightInd/>
        <w:snapToGrid/>
        <w:spacing w:line="360" w:lineRule="exact"/>
        <w:textAlignment w:val="auto"/>
      </w:pPr>
      <w:r>
        <w:rPr>
          <w:rFonts w:hint="eastAsia" w:ascii="宋体" w:hAnsi="宋体" w:cs="宋体"/>
          <w:szCs w:val="28"/>
        </w:rPr>
        <w:fldChar w:fldCharType="begin"/>
      </w:r>
      <w:r>
        <w:rPr>
          <w:rFonts w:hint="eastAsia" w:ascii="宋体" w:hAnsi="宋体" w:cs="宋体"/>
          <w:szCs w:val="28"/>
        </w:rPr>
        <w:instrText xml:space="preserve"> HYPERLINK \l _Toc26570 </w:instrText>
      </w:r>
      <w:r>
        <w:rPr>
          <w:rFonts w:hint="eastAsia" w:ascii="宋体" w:hAnsi="宋体" w:cs="宋体"/>
          <w:szCs w:val="28"/>
        </w:rPr>
        <w:fldChar w:fldCharType="separate"/>
      </w:r>
      <w:r>
        <w:rPr>
          <w:rFonts w:hint="eastAsia" w:ascii="宋体" w:hAnsi="宋体" w:eastAsia="宋体" w:cs="宋体"/>
          <w:bCs/>
          <w:kern w:val="2"/>
          <w:szCs w:val="32"/>
        </w:rPr>
        <w:t>十、落实政府采购政策需提供的相关材料及供应商认为有必要补充说明的事项</w:t>
      </w:r>
      <w:r>
        <w:tab/>
      </w:r>
      <w:r>
        <w:fldChar w:fldCharType="begin"/>
      </w:r>
      <w:r>
        <w:instrText xml:space="preserve"> PAGEREF _Toc26570 \h </w:instrText>
      </w:r>
      <w:r>
        <w:fldChar w:fldCharType="separate"/>
      </w:r>
      <w:r>
        <w:t>96</w:t>
      </w:r>
      <w:r>
        <w:fldChar w:fldCharType="end"/>
      </w:r>
      <w:r>
        <w:rPr>
          <w:rFonts w:hint="eastAsia" w:ascii="宋体" w:hAnsi="宋体" w:cs="宋体"/>
          <w:szCs w:val="28"/>
        </w:rPr>
        <w:fldChar w:fldCharType="end"/>
      </w:r>
    </w:p>
    <w:p>
      <w:pPr>
        <w:pBdr>
          <w:top w:val="none" w:color="auto" w:sz="0" w:space="1"/>
          <w:left w:val="none" w:color="auto" w:sz="0" w:space="4"/>
          <w:right w:val="none" w:color="auto" w:sz="0" w:space="4"/>
        </w:pBdr>
        <w:spacing w:line="288" w:lineRule="auto"/>
        <w:jc w:val="center"/>
        <w:outlineLvl w:val="0"/>
        <w:rPr>
          <w:rFonts w:ascii="宋体" w:hAnsi="宋体" w:cs="宋体"/>
        </w:rPr>
      </w:pPr>
      <w:r>
        <w:rPr>
          <w:rFonts w:hint="eastAsia" w:ascii="宋体" w:hAnsi="宋体" w:cs="宋体"/>
          <w:szCs w:val="28"/>
        </w:rPr>
        <w:fldChar w:fldCharType="end"/>
      </w:r>
      <w:bookmarkStart w:id="10" w:name="_Toc28700"/>
      <w:r>
        <w:rPr>
          <w:rFonts w:hint="eastAsia" w:ascii="宋体" w:hAnsi="宋体" w:cs="宋体"/>
        </w:rPr>
        <w:br w:type="page"/>
      </w:r>
      <w:r>
        <w:rPr>
          <w:rFonts w:hint="eastAsia" w:ascii="宋体" w:hAnsi="宋体" w:cs="宋体"/>
          <w:b/>
          <w:sz w:val="44"/>
          <w:szCs w:val="44"/>
        </w:rPr>
        <w:t>第一章 采购邀请（竞争性谈判公告）</w:t>
      </w:r>
      <w:bookmarkEnd w:id="1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397" w:type="dxa"/>
          </w:tcPr>
          <w:p>
            <w:pPr>
              <w:pStyle w:val="31"/>
              <w:spacing w:before="150" w:beforeAutospacing="0" w:after="0" w:afterAutospacing="0" w:line="360" w:lineRule="auto"/>
              <w:rPr>
                <w:rFonts w:cs="宋体"/>
                <w:b/>
                <w:bCs/>
                <w:color w:val="333333"/>
                <w:sz w:val="24"/>
                <w:szCs w:val="24"/>
                <w:shd w:val="clear" w:color="auto" w:fill="FFFFFF"/>
              </w:rPr>
            </w:pPr>
            <w:r>
              <w:rPr>
                <w:rFonts w:hint="eastAsia" w:cs="宋体"/>
                <w:b/>
                <w:bCs/>
                <w:color w:val="333333"/>
                <w:sz w:val="24"/>
                <w:szCs w:val="24"/>
                <w:shd w:val="clear" w:color="auto" w:fill="FFFFFF"/>
              </w:rPr>
              <w:t>项目概况</w:t>
            </w:r>
          </w:p>
          <w:p>
            <w:pPr>
              <w:pStyle w:val="31"/>
              <w:spacing w:before="150" w:beforeAutospacing="0" w:after="0" w:afterAutospacing="0" w:line="360" w:lineRule="auto"/>
              <w:ind w:firstLine="480" w:firstLineChars="200"/>
              <w:rPr>
                <w:rFonts w:cs="宋体"/>
                <w:color w:val="333333"/>
                <w:sz w:val="24"/>
                <w:szCs w:val="24"/>
                <w:shd w:val="clear" w:color="auto" w:fill="FFFFFF"/>
              </w:rPr>
            </w:pPr>
            <w:r>
              <w:rPr>
                <w:rFonts w:hint="eastAsia" w:cs="宋体"/>
                <w:sz w:val="24"/>
                <w:szCs w:val="24"/>
                <w:highlight w:val="none"/>
                <w:lang w:eastAsia="zh-CN"/>
              </w:rPr>
              <w:t>西安商贸旅游技师学院烹饪系实训室改造项目（二次）</w:t>
            </w:r>
            <w:r>
              <w:rPr>
                <w:rFonts w:hint="eastAsia" w:cs="宋体"/>
                <w:sz w:val="24"/>
                <w:szCs w:val="24"/>
                <w:highlight w:val="none"/>
              </w:rPr>
              <w:t>采购项目的潜在供应商应在西安市雁塔区二环南路西段88号老三届世纪星大厦30层AB座获取采购文件，并于2022年0</w:t>
            </w:r>
            <w:r>
              <w:rPr>
                <w:rFonts w:hint="eastAsia" w:cs="宋体"/>
                <w:sz w:val="24"/>
                <w:szCs w:val="24"/>
                <w:highlight w:val="none"/>
                <w:lang w:val="en-US" w:eastAsia="zh-CN"/>
              </w:rPr>
              <w:t>8</w:t>
            </w:r>
            <w:r>
              <w:rPr>
                <w:rFonts w:hint="eastAsia" w:cs="宋体"/>
                <w:sz w:val="24"/>
                <w:szCs w:val="24"/>
                <w:highlight w:val="none"/>
              </w:rPr>
              <w:t>月</w:t>
            </w:r>
            <w:r>
              <w:rPr>
                <w:rFonts w:hint="eastAsia" w:cs="宋体"/>
                <w:sz w:val="24"/>
                <w:szCs w:val="24"/>
                <w:highlight w:val="none"/>
                <w:lang w:val="en-US" w:eastAsia="zh-CN"/>
              </w:rPr>
              <w:t>18</w:t>
            </w:r>
            <w:r>
              <w:rPr>
                <w:rFonts w:hint="eastAsia" w:cs="宋体"/>
                <w:sz w:val="24"/>
                <w:szCs w:val="24"/>
                <w:highlight w:val="none"/>
              </w:rPr>
              <w:t>日</w:t>
            </w:r>
            <w:r>
              <w:rPr>
                <w:rFonts w:hint="eastAsia" w:cs="宋体"/>
                <w:sz w:val="24"/>
                <w:szCs w:val="24"/>
                <w:highlight w:val="none"/>
                <w:lang w:val="en-US" w:eastAsia="zh-CN"/>
              </w:rPr>
              <w:t>09</w:t>
            </w:r>
            <w:r>
              <w:rPr>
                <w:rFonts w:hint="eastAsia" w:cs="宋体"/>
                <w:sz w:val="24"/>
                <w:szCs w:val="24"/>
                <w:highlight w:val="none"/>
              </w:rPr>
              <w:t>时</w:t>
            </w:r>
            <w:r>
              <w:rPr>
                <w:rFonts w:hint="eastAsia" w:cs="宋体"/>
                <w:sz w:val="24"/>
                <w:szCs w:val="24"/>
                <w:highlight w:val="none"/>
                <w:lang w:val="en-US" w:eastAsia="zh-CN"/>
              </w:rPr>
              <w:t>30</w:t>
            </w:r>
            <w:r>
              <w:rPr>
                <w:rFonts w:hint="eastAsia" w:cs="宋体"/>
                <w:sz w:val="24"/>
                <w:szCs w:val="24"/>
                <w:highlight w:val="none"/>
              </w:rPr>
              <w:t>分（北京时间）前提交响应文件。</w:t>
            </w:r>
          </w:p>
        </w:tc>
      </w:tr>
    </w:tbl>
    <w:p>
      <w:pPr>
        <w:pStyle w:val="31"/>
        <w:spacing w:before="150" w:beforeAutospacing="0" w:after="0" w:afterAutospacing="0" w:line="360" w:lineRule="auto"/>
        <w:rPr>
          <w:rFonts w:cs="宋体"/>
          <w:b/>
          <w:bCs/>
          <w:sz w:val="24"/>
          <w:szCs w:val="24"/>
        </w:rPr>
      </w:pPr>
      <w:r>
        <w:rPr>
          <w:rFonts w:hint="eastAsia" w:cs="宋体"/>
          <w:b/>
          <w:bCs/>
          <w:sz w:val="24"/>
          <w:szCs w:val="24"/>
        </w:rPr>
        <w:t>一、项目基本情况：</w:t>
      </w:r>
    </w:p>
    <w:p>
      <w:pPr>
        <w:pStyle w:val="31"/>
        <w:spacing w:before="0" w:beforeAutospacing="0" w:after="0" w:afterAutospacing="0" w:line="360" w:lineRule="auto"/>
        <w:ind w:firstLine="420"/>
        <w:rPr>
          <w:rFonts w:hint="eastAsia" w:eastAsia="宋体" w:cs="宋体"/>
          <w:sz w:val="24"/>
          <w:szCs w:val="24"/>
          <w:highlight w:val="yellow"/>
          <w:lang w:eastAsia="zh-CN"/>
        </w:rPr>
      </w:pPr>
      <w:r>
        <w:rPr>
          <w:rFonts w:hint="eastAsia" w:cs="宋体"/>
          <w:sz w:val="24"/>
          <w:szCs w:val="24"/>
        </w:rPr>
        <w:t>项目编号：</w:t>
      </w:r>
      <w:r>
        <w:rPr>
          <w:rFonts w:hint="eastAsia" w:cs="宋体"/>
          <w:sz w:val="24"/>
          <w:szCs w:val="24"/>
          <w:highlight w:val="none"/>
          <w:lang w:eastAsia="zh-CN"/>
        </w:rPr>
        <w:t>MZ2022-TP1070</w:t>
      </w:r>
    </w:p>
    <w:p>
      <w:pPr>
        <w:pStyle w:val="31"/>
        <w:spacing w:before="0" w:beforeAutospacing="0" w:after="0" w:afterAutospacing="0" w:line="360" w:lineRule="auto"/>
        <w:ind w:firstLine="420"/>
        <w:rPr>
          <w:rFonts w:hint="eastAsia" w:eastAsia="宋体" w:cs="宋体"/>
          <w:sz w:val="24"/>
          <w:szCs w:val="24"/>
          <w:lang w:eastAsia="zh-CN"/>
        </w:rPr>
      </w:pPr>
      <w:r>
        <w:rPr>
          <w:rFonts w:hint="eastAsia" w:cs="宋体"/>
          <w:sz w:val="24"/>
          <w:szCs w:val="24"/>
        </w:rPr>
        <w:t>项目名称：</w:t>
      </w:r>
      <w:r>
        <w:rPr>
          <w:rFonts w:hint="eastAsia" w:cs="宋体"/>
          <w:sz w:val="24"/>
          <w:szCs w:val="24"/>
          <w:lang w:eastAsia="zh-CN"/>
        </w:rPr>
        <w:t>西安商贸旅游技师学院烹饪系实训室改造项目（二次）</w:t>
      </w:r>
    </w:p>
    <w:p>
      <w:pPr>
        <w:pStyle w:val="31"/>
        <w:spacing w:before="0" w:beforeAutospacing="0" w:after="0" w:afterAutospacing="0" w:line="360" w:lineRule="auto"/>
        <w:ind w:firstLine="420"/>
        <w:rPr>
          <w:rFonts w:cs="宋体"/>
          <w:sz w:val="24"/>
          <w:szCs w:val="24"/>
        </w:rPr>
      </w:pPr>
      <w:r>
        <w:rPr>
          <w:rFonts w:hint="eastAsia" w:cs="宋体"/>
          <w:sz w:val="24"/>
          <w:szCs w:val="24"/>
        </w:rPr>
        <w:t>采购方式：竞争性谈判</w:t>
      </w:r>
    </w:p>
    <w:p>
      <w:pPr>
        <w:pStyle w:val="31"/>
        <w:spacing w:before="0" w:beforeAutospacing="0" w:after="0" w:afterAutospacing="0" w:line="360" w:lineRule="auto"/>
        <w:ind w:firstLine="420"/>
        <w:rPr>
          <w:rFonts w:cs="宋体"/>
          <w:sz w:val="24"/>
          <w:szCs w:val="24"/>
        </w:rPr>
      </w:pPr>
      <w:r>
        <w:rPr>
          <w:rFonts w:hint="eastAsia" w:cs="宋体"/>
          <w:sz w:val="24"/>
          <w:szCs w:val="24"/>
        </w:rPr>
        <w:t>预算金额：</w:t>
      </w:r>
      <w:r>
        <w:rPr>
          <w:rFonts w:hint="eastAsia" w:cs="宋体"/>
          <w:sz w:val="24"/>
          <w:szCs w:val="24"/>
          <w:lang w:eastAsia="zh-CN"/>
        </w:rPr>
        <w:t>800,000.00</w:t>
      </w:r>
      <w:r>
        <w:rPr>
          <w:rFonts w:hint="eastAsia" w:cs="宋体"/>
          <w:sz w:val="24"/>
          <w:szCs w:val="24"/>
        </w:rPr>
        <w:t>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720" w:firstLineChars="300"/>
        <w:jc w:val="both"/>
        <w:textAlignment w:val="baseline"/>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合同包1(</w:t>
      </w:r>
      <w:r>
        <w:rPr>
          <w:rFonts w:hint="eastAsia" w:cs="宋体"/>
          <w:sz w:val="24"/>
          <w:szCs w:val="24"/>
          <w:lang w:eastAsia="zh-CN"/>
        </w:rPr>
        <w:t>西安商贸旅游技师学院烹饪系实训室改造项目（二次）</w:t>
      </w:r>
      <w:r>
        <w:rPr>
          <w:rFonts w:hint="eastAsia" w:ascii="宋体" w:hAnsi="宋体" w:eastAsia="宋体" w:cs="宋体"/>
          <w:b w:val="0"/>
          <w:bCs/>
          <w:color w:val="auto"/>
          <w:kern w:val="2"/>
          <w:sz w:val="24"/>
          <w:szCs w:val="24"/>
          <w:highlight w:val="none"/>
          <w:lang w:val="en-US" w:eastAsia="zh-CN" w:bidi="ar-SA"/>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720" w:firstLineChars="300"/>
        <w:jc w:val="both"/>
        <w:textAlignment w:val="baseline"/>
        <w:rPr>
          <w:rFonts w:hint="eastAsia" w:hAnsi="宋体" w:cs="宋体"/>
          <w:color w:val="auto"/>
          <w:sz w:val="24"/>
          <w:szCs w:val="24"/>
        </w:rPr>
      </w:pPr>
      <w:r>
        <w:rPr>
          <w:rFonts w:hint="eastAsia" w:ascii="宋体" w:hAnsi="宋体" w:eastAsia="宋体" w:cs="宋体"/>
          <w:b w:val="0"/>
          <w:bCs/>
          <w:color w:val="auto"/>
          <w:kern w:val="2"/>
          <w:sz w:val="24"/>
          <w:szCs w:val="24"/>
          <w:highlight w:val="none"/>
          <w:lang w:val="en-US" w:eastAsia="zh-CN" w:bidi="ar-SA"/>
        </w:rPr>
        <w:t>合同包预算金额：</w:t>
      </w:r>
      <w:r>
        <w:rPr>
          <w:rFonts w:hint="eastAsia" w:cs="宋体"/>
          <w:sz w:val="24"/>
          <w:szCs w:val="24"/>
          <w:lang w:eastAsia="zh-CN"/>
        </w:rPr>
        <w:t>800,000.00</w:t>
      </w:r>
      <w:r>
        <w:rPr>
          <w:rFonts w:hint="eastAsia" w:cs="宋体"/>
          <w:sz w:val="24"/>
          <w:szCs w:val="24"/>
        </w:rPr>
        <w:t>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720" w:firstLineChars="300"/>
        <w:jc w:val="both"/>
        <w:textAlignment w:val="baseline"/>
        <w:rPr>
          <w:rFonts w:hint="eastAsia" w:cs="宋体"/>
          <w:sz w:val="24"/>
          <w:szCs w:val="24"/>
        </w:rPr>
      </w:pPr>
      <w:r>
        <w:rPr>
          <w:rFonts w:hint="eastAsia" w:hAnsi="宋体" w:cs="宋体"/>
          <w:color w:val="auto"/>
          <w:sz w:val="24"/>
          <w:szCs w:val="24"/>
          <w:lang w:val="en-US" w:eastAsia="zh-CN"/>
        </w:rPr>
        <w:t>合同包最高限价：</w:t>
      </w:r>
      <w:r>
        <w:rPr>
          <w:rFonts w:hint="eastAsia" w:cs="宋体"/>
          <w:sz w:val="24"/>
          <w:szCs w:val="24"/>
          <w:lang w:eastAsia="zh-CN"/>
        </w:rPr>
        <w:t>800,000.00</w:t>
      </w:r>
      <w:r>
        <w:rPr>
          <w:rFonts w:hint="eastAsia" w:cs="宋体"/>
          <w:sz w:val="24"/>
          <w:szCs w:val="24"/>
        </w:rPr>
        <w:t>元</w:t>
      </w:r>
    </w:p>
    <w:tbl>
      <w:tblPr>
        <w:tblStyle w:val="36"/>
        <w:tblW w:w="9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1"/>
        <w:gridCol w:w="1231"/>
        <w:gridCol w:w="2295"/>
        <w:gridCol w:w="1057"/>
        <w:gridCol w:w="1931"/>
        <w:gridCol w:w="1317"/>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blHeader/>
        </w:trPr>
        <w:tc>
          <w:tcPr>
            <w:tcW w:w="6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品目号</w:t>
            </w:r>
          </w:p>
        </w:tc>
        <w:tc>
          <w:tcPr>
            <w:tcW w:w="123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品目名称</w:t>
            </w:r>
          </w:p>
        </w:tc>
        <w:tc>
          <w:tcPr>
            <w:tcW w:w="229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采购标的</w:t>
            </w:r>
          </w:p>
        </w:tc>
        <w:tc>
          <w:tcPr>
            <w:tcW w:w="105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（单位）</w:t>
            </w:r>
          </w:p>
        </w:tc>
        <w:tc>
          <w:tcPr>
            <w:tcW w:w="193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技术规格、参数及要求</w:t>
            </w:r>
          </w:p>
        </w:tc>
        <w:tc>
          <w:tcPr>
            <w:tcW w:w="131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品目预算(元)</w:t>
            </w:r>
          </w:p>
        </w:tc>
        <w:tc>
          <w:tcPr>
            <w:tcW w:w="130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5" w:hRule="atLeast"/>
        </w:trPr>
        <w:tc>
          <w:tcPr>
            <w:tcW w:w="6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1-1</w:t>
            </w:r>
          </w:p>
        </w:tc>
        <w:tc>
          <w:tcPr>
            <w:tcW w:w="123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菜类食品加工机械</w:t>
            </w:r>
          </w:p>
        </w:tc>
        <w:tc>
          <w:tcPr>
            <w:tcW w:w="229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烹饪系实训室改建及设备更新</w:t>
            </w:r>
          </w:p>
        </w:tc>
        <w:tc>
          <w:tcPr>
            <w:tcW w:w="105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1(个)</w:t>
            </w:r>
          </w:p>
        </w:tc>
        <w:tc>
          <w:tcPr>
            <w:tcW w:w="193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详见采购文件</w:t>
            </w:r>
          </w:p>
        </w:tc>
        <w:tc>
          <w:tcPr>
            <w:tcW w:w="131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800,000.00</w:t>
            </w:r>
          </w:p>
        </w:tc>
        <w:tc>
          <w:tcPr>
            <w:tcW w:w="130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800,000.00</w:t>
            </w:r>
          </w:p>
        </w:tc>
      </w:tr>
    </w:tbl>
    <w:p>
      <w:pPr>
        <w:pStyle w:val="31"/>
        <w:spacing w:before="0" w:beforeAutospacing="0" w:after="0" w:afterAutospacing="0" w:line="360" w:lineRule="auto"/>
        <w:ind w:firstLine="720" w:firstLineChars="300"/>
        <w:jc w:val="both"/>
        <w:textAlignment w:val="baseline"/>
        <w:rPr>
          <w:rFonts w:hint="eastAsia" w:cs="宋体"/>
          <w:bCs/>
          <w:color w:val="auto"/>
          <w:kern w:val="2"/>
          <w:sz w:val="24"/>
          <w:szCs w:val="24"/>
        </w:rPr>
      </w:pPr>
      <w:r>
        <w:rPr>
          <w:rFonts w:hint="eastAsia" w:cs="宋体"/>
          <w:bCs/>
          <w:color w:val="auto"/>
          <w:kern w:val="2"/>
          <w:sz w:val="24"/>
          <w:szCs w:val="24"/>
        </w:rPr>
        <w:t>本合同包不接受联合体投标</w:t>
      </w:r>
    </w:p>
    <w:p>
      <w:pPr>
        <w:pStyle w:val="31"/>
        <w:spacing w:before="0" w:beforeAutospacing="0" w:after="0" w:afterAutospacing="0" w:line="360" w:lineRule="auto"/>
        <w:ind w:firstLine="720" w:firstLineChars="300"/>
        <w:jc w:val="both"/>
        <w:textAlignment w:val="baseline"/>
        <w:rPr>
          <w:rFonts w:hint="eastAsia" w:ascii="宋体" w:hAnsi="宋体" w:eastAsia="宋体" w:cs="宋体"/>
          <w:b w:val="0"/>
          <w:bCs/>
          <w:color w:val="auto"/>
          <w:sz w:val="24"/>
          <w:lang w:val="en-US" w:eastAsia="zh-CN"/>
        </w:rPr>
      </w:pPr>
      <w:r>
        <w:rPr>
          <w:rFonts w:hint="eastAsia" w:cs="宋体"/>
          <w:bCs/>
          <w:color w:val="auto"/>
          <w:kern w:val="2"/>
          <w:sz w:val="24"/>
          <w:szCs w:val="24"/>
        </w:rPr>
        <w:t>合同履行期限：</w:t>
      </w:r>
      <w:r>
        <w:rPr>
          <w:rFonts w:hint="eastAsia" w:ascii="宋体" w:hAnsi="宋体" w:eastAsia="宋体" w:cs="宋体"/>
          <w:b w:val="0"/>
          <w:bCs/>
          <w:color w:val="auto"/>
          <w:sz w:val="24"/>
          <w:lang w:val="en-US" w:eastAsia="zh-CN"/>
        </w:rPr>
        <w:t>合同签订后 30天内完成。</w:t>
      </w:r>
    </w:p>
    <w:p>
      <w:pPr>
        <w:pStyle w:val="31"/>
        <w:spacing w:before="150" w:beforeAutospacing="0" w:after="0" w:afterAutospacing="0" w:line="360" w:lineRule="auto"/>
        <w:rPr>
          <w:rFonts w:cs="宋体"/>
          <w:b/>
          <w:bCs/>
          <w:sz w:val="24"/>
          <w:szCs w:val="24"/>
        </w:rPr>
      </w:pPr>
      <w:r>
        <w:rPr>
          <w:rFonts w:hint="eastAsia" w:cs="宋体"/>
          <w:b/>
          <w:bCs/>
          <w:sz w:val="24"/>
          <w:szCs w:val="24"/>
        </w:rPr>
        <w:t xml:space="preserve">二、 申请人的资格要求 </w:t>
      </w:r>
    </w:p>
    <w:p>
      <w:pPr>
        <w:pStyle w:val="31"/>
        <w:spacing w:before="0" w:beforeAutospacing="0" w:after="0" w:afterAutospacing="0" w:line="360" w:lineRule="auto"/>
        <w:ind w:firstLine="420"/>
        <w:rPr>
          <w:rFonts w:cs="宋体"/>
          <w:sz w:val="24"/>
          <w:szCs w:val="24"/>
        </w:rPr>
      </w:pPr>
      <w:r>
        <w:rPr>
          <w:rFonts w:hint="eastAsia" w:cs="宋体"/>
          <w:sz w:val="24"/>
          <w:szCs w:val="24"/>
        </w:rPr>
        <w:t>1、满足《中华人民共和国政府采购法》第二十二条规定</w:t>
      </w:r>
    </w:p>
    <w:p>
      <w:pPr>
        <w:pStyle w:val="31"/>
        <w:spacing w:before="0" w:beforeAutospacing="0" w:after="0" w:afterAutospacing="0" w:line="360" w:lineRule="auto"/>
        <w:ind w:firstLine="420"/>
        <w:rPr>
          <w:rFonts w:cs="宋体"/>
          <w:sz w:val="24"/>
          <w:szCs w:val="24"/>
        </w:rPr>
      </w:pPr>
      <w:r>
        <w:rPr>
          <w:rFonts w:hint="eastAsia" w:cs="宋体"/>
          <w:sz w:val="24"/>
          <w:szCs w:val="24"/>
        </w:rPr>
        <w:t>2、落实政府采购政策需满足的资格要求：</w:t>
      </w:r>
    </w:p>
    <w:p>
      <w:pPr>
        <w:pStyle w:val="31"/>
        <w:spacing w:before="0" w:beforeAutospacing="0" w:after="0" w:afterAutospacing="0" w:line="360" w:lineRule="auto"/>
        <w:ind w:firstLine="480" w:firstLineChars="200"/>
        <w:rPr>
          <w:rFonts w:cs="宋体"/>
          <w:sz w:val="24"/>
          <w:szCs w:val="24"/>
        </w:rPr>
      </w:pPr>
      <w:r>
        <w:rPr>
          <w:rFonts w:hint="eastAsia" w:cs="宋体"/>
          <w:sz w:val="24"/>
          <w:szCs w:val="24"/>
        </w:rPr>
        <w:t>合同包1(</w:t>
      </w:r>
      <w:r>
        <w:rPr>
          <w:rFonts w:hint="eastAsia" w:cs="宋体"/>
          <w:sz w:val="24"/>
          <w:szCs w:val="24"/>
          <w:lang w:eastAsia="zh-CN"/>
        </w:rPr>
        <w:t>西安商贸旅游技师学院烹饪系实训室改造项目（二次）</w:t>
      </w:r>
      <w:r>
        <w:rPr>
          <w:rFonts w:hint="eastAsia" w:cs="宋体"/>
          <w:sz w:val="24"/>
          <w:szCs w:val="24"/>
        </w:rPr>
        <w:t>)落实政府采购政策需满足的资格要求如下:</w:t>
      </w:r>
    </w:p>
    <w:p>
      <w:pPr>
        <w:pStyle w:val="31"/>
        <w:adjustRightInd w:val="0"/>
        <w:snapToGrid w:val="0"/>
        <w:spacing w:before="0" w:beforeAutospacing="0" w:after="0" w:afterAutospacing="0" w:line="336" w:lineRule="auto"/>
        <w:ind w:firstLine="480" w:firstLineChars="200"/>
        <w:rPr>
          <w:rFonts w:cs="宋体"/>
          <w:sz w:val="24"/>
          <w:szCs w:val="24"/>
        </w:rPr>
      </w:pPr>
      <w:r>
        <w:rPr>
          <w:rFonts w:hint="eastAsia" w:ascii="宋体" w:hAnsi="宋体" w:eastAsia="宋体" w:cs="宋体"/>
          <w:b w:val="0"/>
          <w:bCs/>
          <w:color w:val="auto"/>
          <w:kern w:val="2"/>
          <w:sz w:val="24"/>
          <w:szCs w:val="24"/>
          <w:highlight w:val="none"/>
          <w:lang w:val="en-US" w:eastAsia="zh-CN" w:bidi="ar-SA"/>
        </w:rPr>
        <w:t>（1）财政部、工业和信息化部关于印发《政府采购促进中小企业发展管理办法》的通知(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展改革委、生态环境部 市场41监管总局关于调整优化节能产品环境标志产品政府采购执行机制的通知》（财库〔2019〕9号）；（8）《财政部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市场监督总局关于发布参与实施政府采购节能产品、环境标志产品认证机构名录的公告》—2019年第16号等其他需要落实的政府采购政策；（11）陕西省财政厅关于落实政府采购支持中小企业政策有关事项的通知(陕财办采函〔2022〕10号)。</w:t>
      </w:r>
    </w:p>
    <w:p>
      <w:pPr>
        <w:pStyle w:val="31"/>
        <w:spacing w:before="0" w:beforeAutospacing="0" w:after="0" w:afterAutospacing="0" w:line="360" w:lineRule="auto"/>
        <w:ind w:firstLine="420"/>
        <w:rPr>
          <w:rFonts w:cs="宋体"/>
          <w:sz w:val="24"/>
          <w:szCs w:val="24"/>
        </w:rPr>
      </w:pPr>
      <w:r>
        <w:rPr>
          <w:rFonts w:hint="eastAsia" w:cs="宋体"/>
          <w:sz w:val="24"/>
          <w:szCs w:val="24"/>
        </w:rPr>
        <w:t>3、本项目的特定资格要求：</w:t>
      </w:r>
    </w:p>
    <w:p>
      <w:pPr>
        <w:pStyle w:val="31"/>
        <w:spacing w:before="0" w:beforeAutospacing="0" w:after="0" w:afterAutospacing="0" w:line="360" w:lineRule="auto"/>
        <w:ind w:firstLine="420"/>
        <w:rPr>
          <w:rFonts w:cs="宋体"/>
          <w:sz w:val="24"/>
          <w:szCs w:val="24"/>
        </w:rPr>
      </w:pPr>
      <w:r>
        <w:rPr>
          <w:rFonts w:hint="eastAsia" w:cs="宋体"/>
          <w:sz w:val="24"/>
          <w:szCs w:val="24"/>
        </w:rPr>
        <w:t>合同包1(</w:t>
      </w:r>
      <w:r>
        <w:rPr>
          <w:rFonts w:hint="eastAsia" w:cs="宋体"/>
          <w:sz w:val="24"/>
          <w:szCs w:val="24"/>
          <w:lang w:eastAsia="zh-CN"/>
        </w:rPr>
        <w:t>西安商贸旅游技师学院烹饪系实训室改造项目（二次）</w:t>
      </w:r>
      <w:r>
        <w:rPr>
          <w:rFonts w:hint="eastAsia" w:cs="宋体"/>
          <w:sz w:val="24"/>
          <w:szCs w:val="24"/>
        </w:rPr>
        <w:t>)特定资格要求如下:</w:t>
      </w:r>
    </w:p>
    <w:p>
      <w:pPr>
        <w:widowControl/>
        <w:numPr>
          <w:ilvl w:val="0"/>
          <w:numId w:val="4"/>
        </w:numPr>
        <w:tabs>
          <w:tab w:val="left" w:pos="1620"/>
        </w:tabs>
        <w:spacing w:line="360" w:lineRule="auto"/>
        <w:ind w:left="-60" w:leftChars="0" w:right="-197" w:rightChars="-94" w:firstLine="480" w:firstLineChars="0"/>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供应商应具有独立承担民事责任的能力的企业法人、事业法人、其他组织或自然人，出具合法有效的营业执照等相关证明文件，自然人参与的提供其身份证明；（2）法定代表人直接参加投标的，须出具法定代表人证明及法人身份证；法定代表人授权代表参加投标的，须出具法定代表人授权书及授权代表身份证。（3）财务状况报告：提供经审计的2021年度财务报告或开标前六个月内其本公司银行账户出具的资信证明；（4）税收缴纳证明：供应商提供截止至开标时间前六个月任一月份的缴费凭据；依法免税的应提供相关文件证明；（5）社会保障资金缴纳证明：供应商提供截止至开标时间前六个月任一月份的缴费凭据或社保机构开具的社会保险参保缴费情况证明；依法不需要缴纳社会保障资金的应提供相关文件证明；（6）供应商提供具有履行本合同所必需的设备和专业技术能力的承诺函；（7）供应商提供参加政府采购活动前三年内在经营活动中没有重大违法记录的承诺函；（8）符合《财政部关于在政府采购活动中查询及使用信用记录有关问题的通知》（财库【2016】125号）文件中信用查询的要求；（9）</w:t>
      </w:r>
      <w:r>
        <w:rPr>
          <w:rFonts w:hint="eastAsia" w:ascii="宋体" w:hAnsi="宋体" w:cs="宋体"/>
          <w:sz w:val="24"/>
        </w:rPr>
        <w:t>供应商须具备建设行政主管部门核发的建筑装饰装修工程专业承包二级及以上资质</w:t>
      </w:r>
      <w:r>
        <w:rPr>
          <w:rFonts w:hint="eastAsia" w:ascii="宋体" w:hAnsi="宋体" w:cs="宋体"/>
          <w:kern w:val="0"/>
          <w:sz w:val="24"/>
        </w:rPr>
        <w:t>，安全生产许可证在有效期内</w:t>
      </w:r>
      <w:r>
        <w:rPr>
          <w:rFonts w:hint="eastAsia" w:ascii="宋体" w:hAnsi="宋体" w:cs="宋体"/>
          <w:sz w:val="24"/>
        </w:rPr>
        <w:t>。</w:t>
      </w:r>
      <w:r>
        <w:rPr>
          <w:rFonts w:hint="eastAsia" w:ascii="宋体" w:hAnsi="宋体" w:eastAsia="宋体" w:cs="宋体"/>
          <w:b w:val="0"/>
          <w:bCs/>
          <w:color w:val="auto"/>
          <w:kern w:val="2"/>
          <w:sz w:val="24"/>
          <w:szCs w:val="24"/>
          <w:highlight w:val="none"/>
          <w:lang w:val="en-US" w:eastAsia="zh-CN" w:bidi="ar-SA"/>
        </w:rPr>
        <w:t>（10）本项目为专门面向中小企业或小微型企</w:t>
      </w:r>
      <w:r>
        <w:rPr>
          <w:rFonts w:hint="eastAsia" w:ascii="宋体" w:hAnsi="宋体" w:eastAsia="宋体" w:cs="宋体"/>
          <w:b w:val="0"/>
          <w:bCs/>
          <w:kern w:val="2"/>
          <w:sz w:val="24"/>
          <w:szCs w:val="24"/>
          <w:highlight w:val="none"/>
          <w:lang w:val="en-US" w:eastAsia="zh-CN" w:bidi="ar-SA"/>
        </w:rPr>
        <w:t>业采购的项目，监狱企业和残疾人福利性单位视同小微企业。</w:t>
      </w:r>
    </w:p>
    <w:p>
      <w:pPr>
        <w:pStyle w:val="31"/>
        <w:spacing w:before="0" w:beforeAutospacing="0" w:after="0" w:afterAutospacing="0" w:line="360" w:lineRule="auto"/>
        <w:ind w:firstLine="420"/>
        <w:rPr>
          <w:rFonts w:cs="宋体"/>
          <w:sz w:val="24"/>
          <w:szCs w:val="24"/>
          <w:highlight w:val="none"/>
        </w:rPr>
      </w:pPr>
      <w:r>
        <w:rPr>
          <w:rFonts w:hint="eastAsia" w:cs="宋体"/>
          <w:b/>
          <w:bCs/>
          <w:sz w:val="24"/>
          <w:szCs w:val="24"/>
        </w:rPr>
        <w:t xml:space="preserve">三、 </w:t>
      </w:r>
      <w:r>
        <w:rPr>
          <w:rFonts w:hint="eastAsia" w:cs="宋体"/>
          <w:b/>
          <w:bCs/>
          <w:sz w:val="24"/>
          <w:szCs w:val="24"/>
          <w:highlight w:val="none"/>
        </w:rPr>
        <w:t>获取采购文件</w:t>
      </w:r>
    </w:p>
    <w:p>
      <w:pPr>
        <w:pStyle w:val="31"/>
        <w:spacing w:before="0" w:beforeAutospacing="0" w:after="0" w:afterAutospacing="0" w:line="360" w:lineRule="auto"/>
        <w:ind w:firstLine="420"/>
        <w:rPr>
          <w:rFonts w:cs="宋体"/>
          <w:sz w:val="24"/>
          <w:szCs w:val="24"/>
          <w:highlight w:val="none"/>
        </w:rPr>
      </w:pPr>
      <w:r>
        <w:rPr>
          <w:rFonts w:hint="eastAsia" w:cs="宋体"/>
          <w:sz w:val="24"/>
          <w:szCs w:val="24"/>
          <w:highlight w:val="none"/>
        </w:rPr>
        <w:t>时间：2022年0</w:t>
      </w:r>
      <w:r>
        <w:rPr>
          <w:rFonts w:hint="eastAsia" w:cs="宋体"/>
          <w:sz w:val="24"/>
          <w:szCs w:val="24"/>
          <w:highlight w:val="none"/>
          <w:lang w:val="en-US" w:eastAsia="zh-CN"/>
        </w:rPr>
        <w:t>8</w:t>
      </w:r>
      <w:r>
        <w:rPr>
          <w:rFonts w:hint="eastAsia" w:cs="宋体"/>
          <w:sz w:val="24"/>
          <w:szCs w:val="24"/>
          <w:highlight w:val="none"/>
        </w:rPr>
        <w:t>月</w:t>
      </w:r>
      <w:r>
        <w:rPr>
          <w:rFonts w:hint="eastAsia" w:cs="宋体"/>
          <w:sz w:val="24"/>
          <w:szCs w:val="24"/>
          <w:highlight w:val="none"/>
          <w:lang w:val="en-US" w:eastAsia="zh-CN"/>
        </w:rPr>
        <w:t>11</w:t>
      </w:r>
      <w:r>
        <w:rPr>
          <w:rFonts w:hint="eastAsia" w:cs="宋体"/>
          <w:sz w:val="24"/>
          <w:szCs w:val="24"/>
          <w:highlight w:val="none"/>
        </w:rPr>
        <w:t>日至2022年0</w:t>
      </w:r>
      <w:r>
        <w:rPr>
          <w:rFonts w:hint="eastAsia" w:cs="宋体"/>
          <w:sz w:val="24"/>
          <w:szCs w:val="24"/>
          <w:highlight w:val="none"/>
          <w:lang w:val="en-US" w:eastAsia="zh-CN"/>
        </w:rPr>
        <w:t>8</w:t>
      </w:r>
      <w:r>
        <w:rPr>
          <w:rFonts w:hint="eastAsia" w:cs="宋体"/>
          <w:sz w:val="24"/>
          <w:szCs w:val="24"/>
          <w:highlight w:val="none"/>
        </w:rPr>
        <w:t>月</w:t>
      </w:r>
      <w:r>
        <w:rPr>
          <w:rFonts w:hint="eastAsia" w:cs="宋体"/>
          <w:sz w:val="24"/>
          <w:szCs w:val="24"/>
          <w:highlight w:val="none"/>
          <w:lang w:val="en-US" w:eastAsia="zh-CN"/>
        </w:rPr>
        <w:t>16</w:t>
      </w:r>
      <w:r>
        <w:rPr>
          <w:rFonts w:hint="eastAsia" w:cs="宋体"/>
          <w:sz w:val="24"/>
          <w:szCs w:val="24"/>
          <w:highlight w:val="none"/>
        </w:rPr>
        <w:t>日，每天上午09:00:00至12:00:00，下午1</w:t>
      </w:r>
      <w:r>
        <w:rPr>
          <w:rFonts w:hint="eastAsia" w:cs="宋体"/>
          <w:sz w:val="24"/>
          <w:szCs w:val="24"/>
          <w:highlight w:val="none"/>
          <w:lang w:val="en-US" w:eastAsia="zh-CN"/>
        </w:rPr>
        <w:t>4</w:t>
      </w:r>
      <w:r>
        <w:rPr>
          <w:rFonts w:hint="eastAsia" w:cs="宋体"/>
          <w:sz w:val="24"/>
          <w:szCs w:val="24"/>
          <w:highlight w:val="none"/>
        </w:rPr>
        <w:t>:</w:t>
      </w:r>
      <w:r>
        <w:rPr>
          <w:rFonts w:hint="eastAsia" w:cs="宋体"/>
          <w:sz w:val="24"/>
          <w:szCs w:val="24"/>
          <w:highlight w:val="none"/>
          <w:lang w:val="en-US" w:eastAsia="zh-CN"/>
        </w:rPr>
        <w:t>0</w:t>
      </w:r>
      <w:r>
        <w:rPr>
          <w:rFonts w:hint="eastAsia" w:cs="宋体"/>
          <w:sz w:val="24"/>
          <w:szCs w:val="24"/>
          <w:highlight w:val="none"/>
        </w:rPr>
        <w:t>0:00至16:30:00（北京时间,法定节假日除外）</w:t>
      </w:r>
    </w:p>
    <w:p>
      <w:pPr>
        <w:pStyle w:val="31"/>
        <w:spacing w:before="0" w:beforeAutospacing="0" w:after="0" w:afterAutospacing="0" w:line="360" w:lineRule="auto"/>
        <w:ind w:firstLine="420"/>
        <w:rPr>
          <w:rFonts w:hint="eastAsia" w:eastAsia="宋体" w:cs="宋体"/>
          <w:sz w:val="24"/>
          <w:szCs w:val="24"/>
          <w:highlight w:val="none"/>
          <w:lang w:eastAsia="zh-CN"/>
        </w:rPr>
      </w:pPr>
      <w:r>
        <w:rPr>
          <w:rFonts w:hint="eastAsia" w:cs="宋体"/>
          <w:sz w:val="24"/>
          <w:szCs w:val="24"/>
          <w:highlight w:val="none"/>
        </w:rPr>
        <w:t>地点：</w:t>
      </w:r>
      <w:r>
        <w:rPr>
          <w:rFonts w:hint="eastAsia" w:cs="宋体"/>
          <w:sz w:val="24"/>
          <w:szCs w:val="24"/>
          <w:highlight w:val="none"/>
          <w:lang w:eastAsia="zh-CN"/>
        </w:rPr>
        <w:t>西安市雁塔区二环南路西段88号老三届世纪星大厦30层AB座</w:t>
      </w:r>
    </w:p>
    <w:p>
      <w:pPr>
        <w:pStyle w:val="31"/>
        <w:spacing w:before="0" w:beforeAutospacing="0" w:after="0" w:afterAutospacing="0" w:line="360" w:lineRule="auto"/>
        <w:ind w:firstLine="420"/>
        <w:rPr>
          <w:rFonts w:cs="宋体"/>
          <w:sz w:val="24"/>
          <w:szCs w:val="24"/>
          <w:highlight w:val="none"/>
        </w:rPr>
      </w:pPr>
      <w:r>
        <w:rPr>
          <w:rFonts w:hint="eastAsia" w:cs="宋体"/>
          <w:sz w:val="24"/>
          <w:szCs w:val="24"/>
          <w:highlight w:val="none"/>
        </w:rPr>
        <w:t>方式：现场获取</w:t>
      </w:r>
    </w:p>
    <w:p>
      <w:pPr>
        <w:pStyle w:val="31"/>
        <w:spacing w:before="0" w:beforeAutospacing="0" w:after="0" w:afterAutospacing="0" w:line="360" w:lineRule="auto"/>
        <w:ind w:firstLine="420"/>
        <w:rPr>
          <w:rFonts w:cs="宋体"/>
          <w:sz w:val="24"/>
          <w:szCs w:val="24"/>
          <w:highlight w:val="none"/>
        </w:rPr>
      </w:pPr>
      <w:r>
        <w:rPr>
          <w:rFonts w:hint="eastAsia" w:cs="宋体"/>
          <w:sz w:val="24"/>
          <w:szCs w:val="24"/>
          <w:highlight w:val="none"/>
        </w:rPr>
        <w:t xml:space="preserve">售价：免费获取 </w:t>
      </w:r>
    </w:p>
    <w:p>
      <w:pPr>
        <w:pStyle w:val="31"/>
        <w:numPr>
          <w:ilvl w:val="0"/>
          <w:numId w:val="5"/>
        </w:numPr>
        <w:spacing w:before="0" w:beforeAutospacing="0" w:after="0" w:afterAutospacing="0" w:line="360" w:lineRule="auto"/>
        <w:rPr>
          <w:rFonts w:cs="宋体"/>
          <w:b/>
          <w:bCs/>
          <w:sz w:val="24"/>
          <w:szCs w:val="24"/>
          <w:highlight w:val="none"/>
        </w:rPr>
      </w:pPr>
      <w:r>
        <w:rPr>
          <w:rFonts w:hint="eastAsia" w:cs="宋体"/>
          <w:b/>
          <w:bCs/>
          <w:sz w:val="24"/>
          <w:szCs w:val="24"/>
          <w:highlight w:val="none"/>
        </w:rPr>
        <w:t>响应文件提交</w:t>
      </w:r>
    </w:p>
    <w:p>
      <w:pPr>
        <w:pStyle w:val="31"/>
        <w:spacing w:before="0" w:beforeAutospacing="0" w:after="0" w:afterAutospacing="0" w:line="360" w:lineRule="auto"/>
        <w:ind w:firstLine="420"/>
        <w:rPr>
          <w:rFonts w:cs="宋体"/>
          <w:sz w:val="24"/>
          <w:szCs w:val="24"/>
          <w:highlight w:val="none"/>
        </w:rPr>
      </w:pPr>
      <w:r>
        <w:rPr>
          <w:rFonts w:cs="宋体"/>
          <w:sz w:val="24"/>
          <w:szCs w:val="24"/>
          <w:highlight w:val="none"/>
        </w:rPr>
        <w:t>截止时间：2022年0</w:t>
      </w:r>
      <w:r>
        <w:rPr>
          <w:rFonts w:hint="eastAsia" w:cs="宋体"/>
          <w:sz w:val="24"/>
          <w:szCs w:val="24"/>
          <w:highlight w:val="none"/>
          <w:lang w:val="en-US" w:eastAsia="zh-CN"/>
        </w:rPr>
        <w:t>8</w:t>
      </w:r>
      <w:r>
        <w:rPr>
          <w:rFonts w:cs="宋体"/>
          <w:sz w:val="24"/>
          <w:szCs w:val="24"/>
          <w:highlight w:val="none"/>
        </w:rPr>
        <w:t>月</w:t>
      </w:r>
      <w:r>
        <w:rPr>
          <w:rFonts w:hint="eastAsia" w:cs="宋体"/>
          <w:sz w:val="24"/>
          <w:szCs w:val="24"/>
          <w:highlight w:val="none"/>
          <w:lang w:val="en-US" w:eastAsia="zh-CN"/>
        </w:rPr>
        <w:t>18</w:t>
      </w:r>
      <w:r>
        <w:rPr>
          <w:rFonts w:cs="宋体"/>
          <w:sz w:val="24"/>
          <w:szCs w:val="24"/>
          <w:highlight w:val="none"/>
        </w:rPr>
        <w:t xml:space="preserve">日 </w:t>
      </w:r>
      <w:r>
        <w:rPr>
          <w:rFonts w:hint="eastAsia" w:cs="宋体"/>
          <w:sz w:val="24"/>
          <w:szCs w:val="24"/>
          <w:highlight w:val="none"/>
          <w:lang w:val="en-US" w:eastAsia="zh-CN"/>
        </w:rPr>
        <w:t>09</w:t>
      </w:r>
      <w:r>
        <w:rPr>
          <w:rFonts w:cs="宋体"/>
          <w:sz w:val="24"/>
          <w:szCs w:val="24"/>
          <w:highlight w:val="none"/>
        </w:rPr>
        <w:t>时</w:t>
      </w:r>
      <w:r>
        <w:rPr>
          <w:rFonts w:hint="eastAsia" w:cs="宋体"/>
          <w:sz w:val="24"/>
          <w:szCs w:val="24"/>
          <w:highlight w:val="none"/>
          <w:lang w:val="en-US" w:eastAsia="zh-CN"/>
        </w:rPr>
        <w:t>30</w:t>
      </w:r>
      <w:r>
        <w:rPr>
          <w:rFonts w:cs="宋体"/>
          <w:sz w:val="24"/>
          <w:szCs w:val="24"/>
          <w:highlight w:val="none"/>
        </w:rPr>
        <w:t>分00秒（北京时间）</w:t>
      </w:r>
    </w:p>
    <w:p>
      <w:pPr>
        <w:pStyle w:val="31"/>
        <w:spacing w:before="0" w:beforeAutospacing="0" w:after="0" w:afterAutospacing="0" w:line="360" w:lineRule="auto"/>
        <w:ind w:firstLine="420"/>
        <w:rPr>
          <w:rFonts w:hint="eastAsia" w:eastAsia="宋体" w:cs="宋体"/>
          <w:sz w:val="24"/>
          <w:szCs w:val="24"/>
          <w:highlight w:val="none"/>
          <w:lang w:eastAsia="zh-CN"/>
        </w:rPr>
      </w:pPr>
      <w:r>
        <w:rPr>
          <w:rFonts w:cs="宋体"/>
          <w:sz w:val="24"/>
          <w:szCs w:val="24"/>
          <w:highlight w:val="none"/>
        </w:rPr>
        <w:t>地点：</w:t>
      </w:r>
      <w:r>
        <w:rPr>
          <w:rFonts w:hint="eastAsia" w:cs="宋体"/>
          <w:sz w:val="24"/>
          <w:szCs w:val="24"/>
          <w:highlight w:val="none"/>
          <w:lang w:eastAsia="zh-CN"/>
        </w:rPr>
        <w:t>西安市雁塔区二环南路西段88号老三届世纪星大厦30层AB座</w:t>
      </w:r>
      <w:r>
        <w:rPr>
          <w:rFonts w:hint="eastAsia" w:ascii="宋体" w:hAnsi="宋体" w:eastAsia="宋体" w:cs="宋体"/>
          <w:b w:val="0"/>
          <w:bCs/>
          <w:color w:val="auto"/>
          <w:kern w:val="2"/>
          <w:sz w:val="24"/>
          <w:szCs w:val="24"/>
          <w:highlight w:val="none"/>
          <w:lang w:val="en-US" w:eastAsia="zh-CN" w:bidi="ar-SA"/>
        </w:rPr>
        <w:t>开标室</w:t>
      </w:r>
    </w:p>
    <w:p>
      <w:pPr>
        <w:pStyle w:val="31"/>
        <w:spacing w:before="0" w:beforeAutospacing="0" w:after="0" w:afterAutospacing="0" w:line="360" w:lineRule="auto"/>
        <w:rPr>
          <w:rFonts w:cs="宋体"/>
          <w:b/>
          <w:bCs/>
          <w:sz w:val="24"/>
          <w:szCs w:val="24"/>
          <w:highlight w:val="none"/>
        </w:rPr>
      </w:pPr>
      <w:r>
        <w:rPr>
          <w:rFonts w:hint="eastAsia" w:cs="宋体"/>
          <w:b/>
          <w:bCs/>
          <w:sz w:val="24"/>
          <w:szCs w:val="24"/>
          <w:highlight w:val="none"/>
        </w:rPr>
        <w:t>五、开启</w:t>
      </w:r>
    </w:p>
    <w:p>
      <w:pPr>
        <w:pStyle w:val="31"/>
        <w:spacing w:before="0" w:beforeAutospacing="0" w:after="0" w:afterAutospacing="0" w:line="360" w:lineRule="auto"/>
        <w:ind w:firstLine="420"/>
        <w:rPr>
          <w:rFonts w:cs="宋体"/>
          <w:sz w:val="24"/>
          <w:szCs w:val="24"/>
          <w:highlight w:val="none"/>
        </w:rPr>
      </w:pPr>
      <w:r>
        <w:rPr>
          <w:rFonts w:cs="宋体"/>
          <w:sz w:val="24"/>
          <w:szCs w:val="24"/>
          <w:highlight w:val="none"/>
        </w:rPr>
        <w:t>截止时间：2022年0</w:t>
      </w:r>
      <w:r>
        <w:rPr>
          <w:rFonts w:hint="eastAsia" w:cs="宋体"/>
          <w:sz w:val="24"/>
          <w:szCs w:val="24"/>
          <w:highlight w:val="none"/>
          <w:lang w:val="en-US" w:eastAsia="zh-CN"/>
        </w:rPr>
        <w:t>8</w:t>
      </w:r>
      <w:r>
        <w:rPr>
          <w:rFonts w:cs="宋体"/>
          <w:sz w:val="24"/>
          <w:szCs w:val="24"/>
          <w:highlight w:val="none"/>
        </w:rPr>
        <w:t>月</w:t>
      </w:r>
      <w:r>
        <w:rPr>
          <w:rFonts w:hint="eastAsia" w:cs="宋体"/>
          <w:sz w:val="24"/>
          <w:szCs w:val="24"/>
          <w:highlight w:val="none"/>
          <w:lang w:val="en-US" w:eastAsia="zh-CN"/>
        </w:rPr>
        <w:t>18</w:t>
      </w:r>
      <w:r>
        <w:rPr>
          <w:rFonts w:cs="宋体"/>
          <w:sz w:val="24"/>
          <w:szCs w:val="24"/>
          <w:highlight w:val="none"/>
        </w:rPr>
        <w:t xml:space="preserve">日 </w:t>
      </w:r>
      <w:r>
        <w:rPr>
          <w:rFonts w:hint="eastAsia" w:cs="宋体"/>
          <w:sz w:val="24"/>
          <w:szCs w:val="24"/>
          <w:highlight w:val="none"/>
          <w:lang w:val="en-US" w:eastAsia="zh-CN"/>
        </w:rPr>
        <w:t>09</w:t>
      </w:r>
      <w:r>
        <w:rPr>
          <w:rFonts w:cs="宋体"/>
          <w:sz w:val="24"/>
          <w:szCs w:val="24"/>
          <w:highlight w:val="none"/>
        </w:rPr>
        <w:t>时</w:t>
      </w:r>
      <w:r>
        <w:rPr>
          <w:rFonts w:hint="eastAsia" w:cs="宋体"/>
          <w:sz w:val="24"/>
          <w:szCs w:val="24"/>
          <w:highlight w:val="none"/>
          <w:lang w:val="en-US" w:eastAsia="zh-CN"/>
        </w:rPr>
        <w:t>30</w:t>
      </w:r>
      <w:r>
        <w:rPr>
          <w:rFonts w:cs="宋体"/>
          <w:sz w:val="24"/>
          <w:szCs w:val="24"/>
          <w:highlight w:val="none"/>
        </w:rPr>
        <w:t>分00秒（北京时间）</w:t>
      </w:r>
    </w:p>
    <w:p>
      <w:pPr>
        <w:pStyle w:val="31"/>
        <w:spacing w:before="0" w:beforeAutospacing="0" w:after="0" w:afterAutospacing="0" w:line="360" w:lineRule="auto"/>
        <w:ind w:firstLine="420"/>
        <w:rPr>
          <w:rFonts w:hint="eastAsia" w:eastAsia="宋体" w:cs="宋体"/>
          <w:sz w:val="24"/>
          <w:szCs w:val="24"/>
          <w:highlight w:val="none"/>
          <w:lang w:eastAsia="zh-CN"/>
        </w:rPr>
      </w:pPr>
      <w:r>
        <w:rPr>
          <w:rFonts w:cs="宋体"/>
          <w:sz w:val="24"/>
          <w:szCs w:val="24"/>
          <w:highlight w:val="none"/>
        </w:rPr>
        <w:t>地点：</w:t>
      </w:r>
      <w:r>
        <w:rPr>
          <w:rFonts w:hint="eastAsia" w:cs="宋体"/>
          <w:sz w:val="24"/>
          <w:szCs w:val="24"/>
          <w:highlight w:val="none"/>
          <w:lang w:eastAsia="zh-CN"/>
        </w:rPr>
        <w:t>西安市雁塔区二环南路西段88号老三届世纪星大厦30层AB座</w:t>
      </w:r>
      <w:r>
        <w:rPr>
          <w:rFonts w:hint="eastAsia" w:ascii="宋体" w:hAnsi="宋体" w:eastAsia="宋体" w:cs="宋体"/>
          <w:b w:val="0"/>
          <w:bCs/>
          <w:color w:val="auto"/>
          <w:kern w:val="2"/>
          <w:sz w:val="24"/>
          <w:szCs w:val="24"/>
          <w:highlight w:val="none"/>
          <w:lang w:val="en-US" w:eastAsia="zh-CN" w:bidi="ar-SA"/>
        </w:rPr>
        <w:t>开标室</w:t>
      </w:r>
    </w:p>
    <w:p>
      <w:pPr>
        <w:pStyle w:val="31"/>
        <w:snapToGrid w:val="0"/>
        <w:spacing w:before="0" w:beforeAutospacing="0" w:after="0" w:afterAutospacing="0" w:line="360" w:lineRule="auto"/>
        <w:rPr>
          <w:rFonts w:cs="宋体"/>
          <w:b/>
          <w:bCs/>
          <w:sz w:val="24"/>
          <w:szCs w:val="24"/>
          <w:highlight w:val="none"/>
        </w:rPr>
      </w:pPr>
      <w:r>
        <w:rPr>
          <w:rFonts w:hint="eastAsia" w:cs="宋体"/>
          <w:b/>
          <w:bCs/>
          <w:sz w:val="24"/>
          <w:szCs w:val="24"/>
          <w:highlight w:val="none"/>
        </w:rPr>
        <w:t>六、公告期限</w:t>
      </w:r>
    </w:p>
    <w:p>
      <w:pPr>
        <w:pStyle w:val="31"/>
        <w:snapToGrid w:val="0"/>
        <w:spacing w:before="0" w:beforeAutospacing="0" w:after="0" w:afterAutospacing="0" w:line="360" w:lineRule="auto"/>
        <w:ind w:firstLine="420"/>
        <w:rPr>
          <w:rFonts w:cs="宋体"/>
          <w:sz w:val="24"/>
          <w:szCs w:val="24"/>
          <w:highlight w:val="none"/>
        </w:rPr>
      </w:pPr>
      <w:r>
        <w:rPr>
          <w:rFonts w:hint="eastAsia" w:cs="宋体"/>
          <w:sz w:val="24"/>
          <w:szCs w:val="24"/>
          <w:highlight w:val="none"/>
        </w:rPr>
        <w:t>自本公告发布之日起3个工作日。</w:t>
      </w:r>
    </w:p>
    <w:p>
      <w:pPr>
        <w:pStyle w:val="31"/>
        <w:snapToGrid w:val="0"/>
        <w:spacing w:before="0" w:beforeAutospacing="0" w:after="0" w:afterAutospacing="0" w:line="360" w:lineRule="auto"/>
        <w:rPr>
          <w:rFonts w:cs="宋体"/>
          <w:b/>
          <w:bCs/>
          <w:sz w:val="24"/>
          <w:szCs w:val="24"/>
          <w:highlight w:val="none"/>
        </w:rPr>
      </w:pPr>
      <w:r>
        <w:rPr>
          <w:rFonts w:hint="eastAsia" w:cs="宋体"/>
          <w:b/>
          <w:bCs/>
          <w:sz w:val="24"/>
          <w:szCs w:val="24"/>
          <w:highlight w:val="none"/>
        </w:rPr>
        <w:t>七、其他补充事宜</w:t>
      </w:r>
    </w:p>
    <w:p>
      <w:pPr>
        <w:pStyle w:val="31"/>
        <w:spacing w:before="0" w:beforeAutospacing="0" w:after="0" w:afterAutospacing="0" w:line="360" w:lineRule="auto"/>
        <w:ind w:firstLine="420"/>
        <w:rPr>
          <w:rFonts w:hint="eastAsia" w:cs="宋体"/>
          <w:sz w:val="24"/>
          <w:szCs w:val="24"/>
          <w:highlight w:val="none"/>
        </w:rPr>
      </w:pPr>
      <w:r>
        <w:rPr>
          <w:rFonts w:hint="eastAsia" w:ascii="宋体" w:hAnsi="宋体" w:eastAsia="宋体" w:cs="宋体"/>
          <w:b w:val="0"/>
          <w:bCs/>
          <w:color w:val="auto"/>
          <w:kern w:val="2"/>
          <w:sz w:val="24"/>
          <w:szCs w:val="24"/>
          <w:highlight w:val="none"/>
          <w:lang w:val="en-US" w:eastAsia="zh-CN" w:bidi="ar-SA"/>
        </w:rPr>
        <w:t>本项目谈判地点：西安市雁塔区二环南路西段88号老三届世纪星大厦30层AB座开标室</w:t>
      </w:r>
    </w:p>
    <w:p>
      <w:pPr>
        <w:pStyle w:val="31"/>
        <w:spacing w:before="0" w:beforeAutospacing="0" w:after="0" w:afterAutospacing="0" w:line="360" w:lineRule="auto"/>
        <w:ind w:firstLine="420"/>
        <w:rPr>
          <w:rFonts w:cs="宋体"/>
          <w:sz w:val="24"/>
          <w:szCs w:val="24"/>
          <w:highlight w:val="none"/>
        </w:rPr>
      </w:pPr>
      <w:r>
        <w:rPr>
          <w:rFonts w:hint="eastAsia" w:cs="宋体"/>
          <w:sz w:val="24"/>
          <w:szCs w:val="24"/>
          <w:highlight w:val="none"/>
        </w:rPr>
        <w:t>1、</w:t>
      </w:r>
      <w:r>
        <w:rPr>
          <w:rFonts w:hint="eastAsia" w:ascii="宋体" w:hAnsi="宋体" w:eastAsia="宋体" w:cs="宋体"/>
          <w:b w:val="0"/>
          <w:bCs/>
          <w:color w:val="auto"/>
          <w:kern w:val="2"/>
          <w:sz w:val="24"/>
          <w:szCs w:val="24"/>
          <w:highlight w:val="none"/>
          <w:lang w:val="en-US" w:eastAsia="zh-CN" w:bidi="ar-SA"/>
        </w:rPr>
        <w:t>获取</w:t>
      </w:r>
      <w:r>
        <w:rPr>
          <w:rFonts w:hint="eastAsia" w:cs="宋体"/>
          <w:b w:val="0"/>
          <w:bCs/>
          <w:color w:val="auto"/>
          <w:kern w:val="2"/>
          <w:sz w:val="24"/>
          <w:szCs w:val="24"/>
          <w:highlight w:val="none"/>
          <w:lang w:val="en-US" w:eastAsia="zh-CN" w:bidi="ar-SA"/>
        </w:rPr>
        <w:t>谈判</w:t>
      </w:r>
      <w:r>
        <w:rPr>
          <w:rFonts w:hint="eastAsia" w:ascii="宋体" w:hAnsi="宋体" w:eastAsia="宋体" w:cs="宋体"/>
          <w:b w:val="0"/>
          <w:bCs/>
          <w:color w:val="auto"/>
          <w:kern w:val="2"/>
          <w:sz w:val="24"/>
          <w:szCs w:val="24"/>
          <w:highlight w:val="none"/>
          <w:lang w:val="en-US" w:eastAsia="zh-CN" w:bidi="ar-SA"/>
        </w:rPr>
        <w:t>文件时，需携带有效期内的单位介绍信原件、本人身份证原件及身份证复印件加盖公章。谢绝邮购。</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cs="宋体"/>
          <w:sz w:val="24"/>
          <w:szCs w:val="24"/>
          <w:highlight w:val="none"/>
        </w:rPr>
      </w:pPr>
      <w:r>
        <w:rPr>
          <w:rFonts w:hint="eastAsia" w:cs="宋体"/>
          <w:sz w:val="24"/>
          <w:szCs w:val="24"/>
          <w:highlight w:val="none"/>
        </w:rPr>
        <w:t>2、</w:t>
      </w:r>
      <w:r>
        <w:rPr>
          <w:rFonts w:hint="default" w:ascii="宋体" w:hAnsi="宋体" w:eastAsia="宋体" w:cs="宋体"/>
          <w:b w:val="0"/>
          <w:bCs/>
          <w:color w:val="auto"/>
          <w:kern w:val="2"/>
          <w:sz w:val="24"/>
          <w:szCs w:val="24"/>
          <w:highlight w:val="none"/>
          <w:lang w:val="en-US" w:eastAsia="zh-CN" w:bidi="ar-SA"/>
        </w:rPr>
        <w:t>请各供应商</w:t>
      </w:r>
      <w:r>
        <w:rPr>
          <w:rFonts w:hint="eastAsia" w:ascii="宋体" w:hAnsi="宋体" w:eastAsia="宋体" w:cs="宋体"/>
          <w:b w:val="0"/>
          <w:bCs/>
          <w:color w:val="auto"/>
          <w:kern w:val="2"/>
          <w:sz w:val="24"/>
          <w:szCs w:val="24"/>
          <w:highlight w:val="none"/>
          <w:lang w:val="en-US" w:eastAsia="zh-CN" w:bidi="ar-SA"/>
        </w:rPr>
        <w:t>获取</w:t>
      </w:r>
      <w:r>
        <w:rPr>
          <w:rFonts w:hint="eastAsia" w:cs="宋体"/>
          <w:b w:val="0"/>
          <w:bCs/>
          <w:color w:val="auto"/>
          <w:kern w:val="2"/>
          <w:sz w:val="24"/>
          <w:szCs w:val="24"/>
          <w:highlight w:val="none"/>
          <w:lang w:val="en-US" w:eastAsia="zh-CN" w:bidi="ar-SA"/>
        </w:rPr>
        <w:t>谈判</w:t>
      </w:r>
      <w:r>
        <w:rPr>
          <w:rFonts w:hint="default" w:ascii="宋体" w:hAnsi="宋体" w:eastAsia="宋体" w:cs="宋体"/>
          <w:b w:val="0"/>
          <w:bCs/>
          <w:color w:val="auto"/>
          <w:kern w:val="2"/>
          <w:sz w:val="24"/>
          <w:szCs w:val="24"/>
          <w:highlight w:val="none"/>
          <w:lang w:val="en-US" w:eastAsia="zh-CN" w:bidi="ar-SA"/>
        </w:rPr>
        <w:t>文件后，按照陕西省财政厅《关于政府采购供应商注册登记有关事项的通知》要求，通过陕西省政府采购网注册登记加入陕西省政府采购供应商库。</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color w:val="auto"/>
          <w:kern w:val="2"/>
          <w:sz w:val="24"/>
          <w:szCs w:val="24"/>
          <w:highlight w:val="none"/>
          <w:lang w:val="en-US" w:eastAsia="zh-CN" w:bidi="ar-SA"/>
        </w:rPr>
      </w:pPr>
      <w:r>
        <w:rPr>
          <w:rFonts w:hint="eastAsia" w:cs="宋体"/>
          <w:color w:val="333333"/>
          <w:sz w:val="24"/>
          <w:szCs w:val="24"/>
          <w:shd w:val="clear" w:color="auto" w:fill="FFFFFF"/>
        </w:rPr>
        <w:t>3、</w:t>
      </w:r>
      <w:r>
        <w:rPr>
          <w:rFonts w:hint="default" w:ascii="宋体" w:hAnsi="宋体" w:eastAsia="宋体" w:cs="宋体"/>
          <w:b w:val="0"/>
          <w:bCs/>
          <w:color w:val="auto"/>
          <w:kern w:val="2"/>
          <w:sz w:val="24"/>
          <w:szCs w:val="24"/>
          <w:highlight w:val="none"/>
          <w:lang w:val="en-US" w:eastAsia="zh-CN" w:bidi="ar-SA"/>
        </w:rPr>
        <w:t>疫情防控期间，各</w:t>
      </w:r>
      <w:r>
        <w:rPr>
          <w:rFonts w:hint="eastAsia" w:ascii="宋体" w:hAnsi="宋体" w:eastAsia="宋体" w:cs="宋体"/>
          <w:b w:val="0"/>
          <w:bCs/>
          <w:color w:val="auto"/>
          <w:kern w:val="2"/>
          <w:sz w:val="24"/>
          <w:szCs w:val="24"/>
          <w:highlight w:val="none"/>
          <w:lang w:val="en-US" w:eastAsia="zh-CN" w:bidi="ar-SA"/>
        </w:rPr>
        <w:t>供应商尽量</w:t>
      </w:r>
      <w:r>
        <w:rPr>
          <w:rFonts w:hint="default" w:ascii="宋体" w:hAnsi="宋体" w:eastAsia="宋体" w:cs="宋体"/>
          <w:b w:val="0"/>
          <w:bCs/>
          <w:color w:val="auto"/>
          <w:kern w:val="2"/>
          <w:sz w:val="24"/>
          <w:szCs w:val="24"/>
          <w:highlight w:val="none"/>
          <w:lang w:val="en-US" w:eastAsia="zh-CN" w:bidi="ar-SA"/>
        </w:rPr>
        <w:t>委托一名持绿色健康码的代表前来</w:t>
      </w:r>
      <w:r>
        <w:rPr>
          <w:rFonts w:hint="eastAsia" w:ascii="宋体" w:hAnsi="宋体" w:eastAsia="宋体" w:cs="宋体"/>
          <w:b w:val="0"/>
          <w:bCs/>
          <w:color w:val="auto"/>
          <w:kern w:val="2"/>
          <w:sz w:val="24"/>
          <w:szCs w:val="24"/>
          <w:highlight w:val="none"/>
          <w:lang w:val="en-US" w:eastAsia="zh-CN" w:bidi="ar-SA"/>
        </w:rPr>
        <w:t>获取</w:t>
      </w:r>
      <w:r>
        <w:rPr>
          <w:rFonts w:hint="eastAsia" w:cs="宋体"/>
          <w:b w:val="0"/>
          <w:bCs/>
          <w:color w:val="auto"/>
          <w:kern w:val="2"/>
          <w:sz w:val="24"/>
          <w:szCs w:val="24"/>
          <w:highlight w:val="none"/>
          <w:lang w:val="en-US" w:eastAsia="zh-CN" w:bidi="ar-SA"/>
        </w:rPr>
        <w:t>谈判</w:t>
      </w:r>
      <w:r>
        <w:rPr>
          <w:rFonts w:hint="eastAsia" w:ascii="宋体" w:hAnsi="宋体" w:eastAsia="宋体" w:cs="宋体"/>
          <w:b w:val="0"/>
          <w:bCs/>
          <w:color w:val="auto"/>
          <w:kern w:val="2"/>
          <w:sz w:val="24"/>
          <w:szCs w:val="24"/>
          <w:highlight w:val="none"/>
          <w:lang w:val="en-US" w:eastAsia="zh-CN" w:bidi="ar-SA"/>
        </w:rPr>
        <w:t>文件、</w:t>
      </w:r>
      <w:r>
        <w:rPr>
          <w:rFonts w:hint="eastAsia" w:cs="宋体"/>
          <w:b w:val="0"/>
          <w:bCs/>
          <w:color w:val="auto"/>
          <w:kern w:val="2"/>
          <w:sz w:val="24"/>
          <w:szCs w:val="24"/>
          <w:highlight w:val="none"/>
          <w:lang w:val="en-US" w:eastAsia="zh-CN" w:bidi="ar-SA"/>
        </w:rPr>
        <w:t>谈判</w:t>
      </w:r>
      <w:r>
        <w:rPr>
          <w:rFonts w:hint="default" w:ascii="宋体" w:hAnsi="宋体" w:eastAsia="宋体" w:cs="宋体"/>
          <w:b w:val="0"/>
          <w:bCs/>
          <w:color w:val="auto"/>
          <w:kern w:val="2"/>
          <w:sz w:val="24"/>
          <w:szCs w:val="24"/>
          <w:highlight w:val="none"/>
          <w:lang w:val="en-US" w:eastAsia="zh-CN" w:bidi="ar-SA"/>
        </w:rPr>
        <w:t>，核酸检测根据政府疫情防控的要求</w:t>
      </w:r>
      <w:r>
        <w:rPr>
          <w:rFonts w:hint="eastAsia" w:ascii="宋体" w:hAnsi="宋体" w:eastAsia="宋体" w:cs="宋体"/>
          <w:b w:val="0"/>
          <w:bCs/>
          <w:color w:val="auto"/>
          <w:kern w:val="2"/>
          <w:sz w:val="24"/>
          <w:szCs w:val="24"/>
          <w:highlight w:val="none"/>
          <w:lang w:val="en-US" w:eastAsia="zh-CN" w:bidi="ar-SA"/>
        </w:rPr>
        <w:t>进行查验</w:t>
      </w:r>
      <w:r>
        <w:rPr>
          <w:rFonts w:hint="default" w:ascii="宋体" w:hAnsi="宋体" w:eastAsia="宋体" w:cs="宋体"/>
          <w:b w:val="0"/>
          <w:bCs/>
          <w:color w:val="auto"/>
          <w:kern w:val="2"/>
          <w:sz w:val="24"/>
          <w:szCs w:val="24"/>
          <w:highlight w:val="none"/>
          <w:lang w:val="en-US" w:eastAsia="zh-CN" w:bidi="ar-SA"/>
        </w:rPr>
        <w:t>，开标全程佩戴口罩，做好防护。</w:t>
      </w:r>
    </w:p>
    <w:p>
      <w:pPr>
        <w:pStyle w:val="31"/>
        <w:snapToGrid w:val="0"/>
        <w:spacing w:before="0" w:beforeAutospacing="0" w:after="0" w:afterAutospacing="0" w:line="360" w:lineRule="auto"/>
        <w:rPr>
          <w:rFonts w:cs="宋体"/>
          <w:b/>
          <w:bCs/>
          <w:sz w:val="24"/>
          <w:szCs w:val="24"/>
        </w:rPr>
      </w:pPr>
      <w:r>
        <w:rPr>
          <w:rFonts w:hint="eastAsia" w:cs="宋体"/>
          <w:b/>
          <w:bCs/>
          <w:sz w:val="24"/>
          <w:szCs w:val="24"/>
        </w:rPr>
        <w:t xml:space="preserve">八、凡对本次采购提出询问，请按以下方式联系。 </w:t>
      </w:r>
    </w:p>
    <w:p>
      <w:pPr>
        <w:tabs>
          <w:tab w:val="left" w:pos="7665"/>
        </w:tabs>
        <w:spacing w:line="360" w:lineRule="auto"/>
        <w:ind w:firstLine="480" w:firstLineChars="200"/>
        <w:rPr>
          <w:rFonts w:ascii="宋体" w:hAnsi="宋体" w:cs="宋体"/>
          <w:sz w:val="24"/>
        </w:rPr>
      </w:pPr>
      <w:r>
        <w:rPr>
          <w:rFonts w:hint="eastAsia" w:ascii="宋体" w:hAnsi="宋体" w:cs="宋体"/>
          <w:sz w:val="24"/>
        </w:rPr>
        <w:t>1、采购人信息</w:t>
      </w:r>
    </w:p>
    <w:p>
      <w:pPr>
        <w:tabs>
          <w:tab w:val="left" w:pos="7665"/>
        </w:tabs>
        <w:spacing w:line="360"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西安商贸旅游技师学院</w:t>
      </w:r>
    </w:p>
    <w:p>
      <w:pPr>
        <w:tabs>
          <w:tab w:val="left" w:pos="7665"/>
        </w:tabs>
        <w:spacing w:line="360" w:lineRule="auto"/>
        <w:ind w:firstLine="960" w:firstLineChars="4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西安市南关正街99号</w:t>
      </w:r>
    </w:p>
    <w:p>
      <w:pPr>
        <w:tabs>
          <w:tab w:val="left" w:pos="7665"/>
        </w:tabs>
        <w:spacing w:line="360" w:lineRule="auto"/>
        <w:ind w:firstLine="960" w:firstLineChars="400"/>
        <w:rPr>
          <w:rFonts w:ascii="宋体" w:hAnsi="宋体" w:cs="宋体"/>
          <w:sz w:val="24"/>
          <w:highlight w:val="none"/>
        </w:rPr>
      </w:pPr>
      <w:r>
        <w:rPr>
          <w:rFonts w:hint="eastAsia" w:ascii="宋体" w:hAnsi="宋体" w:cs="宋体"/>
          <w:sz w:val="24"/>
          <w:highlight w:val="none"/>
        </w:rPr>
        <w:t>联系方式：</w:t>
      </w:r>
      <w:r>
        <w:rPr>
          <w:rFonts w:hint="eastAsia" w:ascii="宋体" w:hAnsi="宋体" w:eastAsia="宋体" w:cs="宋体"/>
          <w:color w:val="auto"/>
          <w:sz w:val="24"/>
          <w:szCs w:val="24"/>
          <w:highlight w:val="none"/>
          <w:lang w:val="en-US" w:eastAsia="zh-CN"/>
        </w:rPr>
        <w:t>029-61819122</w:t>
      </w:r>
    </w:p>
    <w:p>
      <w:pPr>
        <w:tabs>
          <w:tab w:val="left" w:pos="7665"/>
        </w:tabs>
        <w:spacing w:line="360" w:lineRule="auto"/>
        <w:ind w:firstLine="480" w:firstLineChars="200"/>
        <w:rPr>
          <w:rFonts w:ascii="宋体" w:hAnsi="宋体" w:cs="宋体"/>
          <w:sz w:val="24"/>
        </w:rPr>
      </w:pPr>
      <w:r>
        <w:rPr>
          <w:rFonts w:hint="eastAsia" w:ascii="宋体" w:hAnsi="宋体" w:cs="宋体"/>
          <w:sz w:val="24"/>
        </w:rPr>
        <w:t>2、采购代理机构信息</w:t>
      </w:r>
    </w:p>
    <w:p>
      <w:pPr>
        <w:tabs>
          <w:tab w:val="left" w:pos="7665"/>
        </w:tabs>
        <w:spacing w:line="360" w:lineRule="auto"/>
        <w:ind w:firstLine="960" w:firstLineChars="400"/>
        <w:rPr>
          <w:rFonts w:ascii="宋体" w:hAnsi="宋体" w:cs="宋体"/>
          <w:sz w:val="24"/>
        </w:rPr>
      </w:pPr>
      <w:r>
        <w:rPr>
          <w:rFonts w:hint="eastAsia" w:ascii="宋体" w:hAnsi="宋体" w:cs="宋体"/>
          <w:sz w:val="24"/>
        </w:rPr>
        <w:t>名称:陕西</w:t>
      </w:r>
      <w:r>
        <w:rPr>
          <w:rFonts w:hint="eastAsia" w:ascii="宋体" w:hAnsi="宋体" w:cs="宋体"/>
          <w:sz w:val="24"/>
          <w:lang w:val="en-US" w:eastAsia="zh-CN"/>
        </w:rPr>
        <w:t>明正</w:t>
      </w:r>
      <w:r>
        <w:rPr>
          <w:rFonts w:hint="eastAsia" w:ascii="宋体" w:hAnsi="宋体" w:cs="宋体"/>
          <w:sz w:val="24"/>
        </w:rPr>
        <w:t>招标有限公司</w:t>
      </w:r>
    </w:p>
    <w:p>
      <w:pPr>
        <w:tabs>
          <w:tab w:val="left" w:pos="7665"/>
        </w:tabs>
        <w:spacing w:line="360" w:lineRule="auto"/>
        <w:ind w:firstLine="960" w:firstLineChars="400"/>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lang w:eastAsia="zh-CN"/>
        </w:rPr>
        <w:t>西安市雁塔区二环南路西段88号老三届世纪星大厦30层AB座</w:t>
      </w:r>
    </w:p>
    <w:p>
      <w:pPr>
        <w:tabs>
          <w:tab w:val="left" w:pos="7665"/>
        </w:tabs>
        <w:spacing w:line="360" w:lineRule="auto"/>
        <w:ind w:firstLine="960" w:firstLineChars="400"/>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029-87551608</w:t>
      </w:r>
    </w:p>
    <w:p>
      <w:pPr>
        <w:numPr>
          <w:ilvl w:val="0"/>
          <w:numId w:val="6"/>
        </w:numPr>
        <w:tabs>
          <w:tab w:val="left" w:pos="7665"/>
        </w:tabs>
        <w:spacing w:line="360" w:lineRule="auto"/>
        <w:ind w:firstLine="480" w:firstLineChars="200"/>
        <w:rPr>
          <w:rFonts w:ascii="宋体" w:hAnsi="宋体" w:cs="宋体"/>
          <w:sz w:val="24"/>
        </w:rPr>
      </w:pPr>
      <w:r>
        <w:rPr>
          <w:rFonts w:hint="eastAsia" w:ascii="宋体" w:hAnsi="宋体" w:cs="宋体"/>
          <w:sz w:val="24"/>
        </w:rPr>
        <w:t>项目联系方式</w:t>
      </w:r>
    </w:p>
    <w:p>
      <w:pPr>
        <w:tabs>
          <w:tab w:val="left" w:pos="7665"/>
        </w:tabs>
        <w:spacing w:line="360" w:lineRule="auto"/>
        <w:ind w:firstLine="960" w:firstLineChars="400"/>
        <w:rPr>
          <w:rFonts w:hint="eastAsia" w:ascii="宋体" w:hAnsi="宋体" w:eastAsia="宋体" w:cs="宋体"/>
          <w:sz w:val="24"/>
          <w:highlight w:val="yellow"/>
          <w:lang w:eastAsia="zh-CN"/>
        </w:rPr>
      </w:pPr>
      <w:r>
        <w:rPr>
          <w:rFonts w:hint="eastAsia" w:ascii="宋体" w:hAnsi="宋体" w:cs="宋体"/>
          <w:sz w:val="24"/>
        </w:rPr>
        <w:t>项目联</w:t>
      </w:r>
      <w:r>
        <w:rPr>
          <w:rFonts w:hint="eastAsia" w:ascii="宋体" w:hAnsi="宋体" w:cs="宋体"/>
          <w:sz w:val="24"/>
          <w:highlight w:val="none"/>
        </w:rPr>
        <w:t>系人：</w:t>
      </w:r>
      <w:r>
        <w:rPr>
          <w:rFonts w:hint="eastAsia" w:ascii="宋体" w:hAnsi="宋体" w:cs="宋体"/>
          <w:sz w:val="24"/>
          <w:highlight w:val="none"/>
          <w:lang w:eastAsia="zh-CN"/>
        </w:rPr>
        <w:t>冯 瑶  乔 艳</w:t>
      </w:r>
    </w:p>
    <w:p>
      <w:pPr>
        <w:pStyle w:val="31"/>
        <w:spacing w:before="0" w:beforeAutospacing="0" w:after="0" w:afterAutospacing="0" w:line="360" w:lineRule="auto"/>
        <w:ind w:firstLine="960" w:firstLineChars="400"/>
        <w:rPr>
          <w:rFonts w:hint="eastAsia" w:eastAsia="宋体" w:cs="宋体"/>
          <w:sz w:val="24"/>
          <w:szCs w:val="24"/>
          <w:lang w:eastAsia="zh-CN"/>
        </w:rPr>
      </w:pPr>
      <w:r>
        <w:rPr>
          <w:rFonts w:hint="eastAsia" w:cs="宋体"/>
          <w:sz w:val="24"/>
          <w:lang w:val="en-US" w:eastAsia="zh-CN"/>
        </w:rPr>
        <w:t>电话</w:t>
      </w:r>
      <w:r>
        <w:rPr>
          <w:rFonts w:hint="eastAsia" w:cs="宋体"/>
          <w:sz w:val="24"/>
        </w:rPr>
        <w:t>：</w:t>
      </w:r>
      <w:r>
        <w:rPr>
          <w:rFonts w:hint="eastAsia" w:cs="宋体"/>
          <w:sz w:val="24"/>
          <w:lang w:eastAsia="zh-CN"/>
        </w:rPr>
        <w:t>029-87551608</w:t>
      </w:r>
    </w:p>
    <w:p>
      <w:pPr>
        <w:pStyle w:val="31"/>
        <w:adjustRightInd w:val="0"/>
        <w:snapToGrid w:val="0"/>
        <w:spacing w:before="0" w:beforeAutospacing="0" w:after="0" w:afterAutospacing="0" w:line="360" w:lineRule="auto"/>
        <w:jc w:val="both"/>
        <w:rPr>
          <w:rFonts w:cs="宋体"/>
          <w:sz w:val="24"/>
          <w:szCs w:val="24"/>
        </w:rPr>
      </w:pPr>
    </w:p>
    <w:p>
      <w:pPr>
        <w:pStyle w:val="31"/>
        <w:adjustRightInd w:val="0"/>
        <w:snapToGrid w:val="0"/>
        <w:spacing w:before="0" w:beforeAutospacing="0" w:after="0" w:afterAutospacing="0" w:line="360" w:lineRule="auto"/>
        <w:ind w:firstLine="420"/>
        <w:jc w:val="right"/>
        <w:rPr>
          <w:rFonts w:cs="宋体"/>
          <w:sz w:val="24"/>
          <w:szCs w:val="24"/>
        </w:rPr>
      </w:pPr>
      <w:r>
        <w:rPr>
          <w:rFonts w:hint="eastAsia" w:cs="宋体"/>
          <w:sz w:val="24"/>
          <w:szCs w:val="24"/>
        </w:rPr>
        <w:t>陕西明正招标有限公司</w:t>
      </w:r>
    </w:p>
    <w:p>
      <w:pPr>
        <w:pStyle w:val="31"/>
        <w:adjustRightInd w:val="0"/>
        <w:snapToGrid w:val="0"/>
        <w:spacing w:before="0" w:beforeAutospacing="0" w:after="0" w:afterAutospacing="0" w:line="360" w:lineRule="auto"/>
        <w:ind w:firstLine="420"/>
        <w:jc w:val="center"/>
        <w:rPr>
          <w:rFonts w:cs="宋体"/>
          <w:bCs/>
          <w:kern w:val="44"/>
          <w:sz w:val="44"/>
          <w:szCs w:val="44"/>
        </w:rPr>
      </w:pPr>
      <w:r>
        <w:rPr>
          <w:rFonts w:hint="eastAsia" w:cs="宋体"/>
          <w:sz w:val="24"/>
          <w:szCs w:val="24"/>
        </w:rPr>
        <w:t xml:space="preserve">                                                          2022年0</w:t>
      </w:r>
      <w:r>
        <w:rPr>
          <w:rFonts w:hint="eastAsia" w:cs="宋体"/>
          <w:sz w:val="24"/>
          <w:szCs w:val="24"/>
          <w:lang w:val="en-US" w:eastAsia="zh-CN"/>
        </w:rPr>
        <w:t>8</w:t>
      </w:r>
      <w:r>
        <w:rPr>
          <w:rFonts w:hint="eastAsia" w:cs="宋体"/>
          <w:sz w:val="24"/>
          <w:szCs w:val="24"/>
        </w:rPr>
        <w:t>月</w:t>
      </w:r>
      <w:r>
        <w:rPr>
          <w:rFonts w:hint="eastAsia" w:cs="宋体"/>
          <w:sz w:val="24"/>
          <w:szCs w:val="24"/>
          <w:lang w:val="en-US" w:eastAsia="zh-CN"/>
        </w:rPr>
        <w:t>11</w:t>
      </w:r>
      <w:r>
        <w:rPr>
          <w:rFonts w:hint="eastAsia" w:cs="宋体"/>
          <w:sz w:val="24"/>
          <w:szCs w:val="24"/>
        </w:rPr>
        <w:t>日</w:t>
      </w:r>
    </w:p>
    <w:p>
      <w:pPr>
        <w:pStyle w:val="32"/>
        <w:ind w:firstLine="2209" w:firstLineChars="500"/>
        <w:jc w:val="both"/>
        <w:rPr>
          <w:rFonts w:ascii="宋体" w:hAnsi="宋体" w:cs="宋体"/>
        </w:rPr>
      </w:pPr>
      <w:bookmarkStart w:id="11" w:name="_Toc217446033"/>
      <w:bookmarkStart w:id="12" w:name="_Toc77400778"/>
      <w:bookmarkStart w:id="13" w:name="_Toc183682341"/>
      <w:bookmarkStart w:id="14" w:name="_Toc89075873"/>
      <w:bookmarkStart w:id="15" w:name="_Toc183582204"/>
      <w:bookmarkStart w:id="16" w:name="_Toc217446031"/>
      <w:bookmarkStart w:id="17" w:name="_Toc213396759"/>
      <w:bookmarkStart w:id="18" w:name="_Toc213496267"/>
      <w:bookmarkStart w:id="19" w:name="_Toc89075871"/>
      <w:bookmarkStart w:id="20" w:name="_Toc213397009"/>
      <w:bookmarkStart w:id="21" w:name="_Toc213396945"/>
      <w:bookmarkStart w:id="22" w:name="_Toc77400776"/>
      <w:bookmarkStart w:id="23" w:name="_Toc183682339"/>
      <w:bookmarkStart w:id="24" w:name="_Toc183582202"/>
      <w:r>
        <w:rPr>
          <w:rFonts w:ascii="宋体" w:hAnsi="宋体" w:cs="宋体"/>
          <w:bCs w:val="0"/>
          <w:kern w:val="44"/>
          <w:sz w:val="44"/>
          <w:szCs w:val="44"/>
        </w:rPr>
        <w:br w:type="page"/>
      </w:r>
      <w:bookmarkStart w:id="25" w:name="_Toc13238"/>
      <w:r>
        <w:rPr>
          <w:rFonts w:hint="eastAsia" w:ascii="宋体" w:hAnsi="宋体" w:cs="宋体"/>
          <w:bCs w:val="0"/>
          <w:kern w:val="44"/>
          <w:sz w:val="44"/>
          <w:szCs w:val="44"/>
        </w:rPr>
        <w:t>第二章 供应商须知前附表</w:t>
      </w:r>
      <w:bookmarkEnd w:id="25"/>
    </w:p>
    <w:tbl>
      <w:tblPr>
        <w:tblStyle w:val="36"/>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246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tblHeader/>
          <w:jc w:val="center"/>
        </w:trPr>
        <w:tc>
          <w:tcPr>
            <w:tcW w:w="681" w:type="dxa"/>
            <w:vAlign w:val="center"/>
          </w:tcPr>
          <w:p>
            <w:pPr>
              <w:pStyle w:val="133"/>
              <w:autoSpaceDE/>
              <w:autoSpaceDN/>
              <w:snapToGrid w:val="0"/>
              <w:spacing w:line="3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464" w:type="dxa"/>
            <w:vAlign w:val="center"/>
          </w:tcPr>
          <w:p>
            <w:pPr>
              <w:pStyle w:val="133"/>
              <w:autoSpaceDE/>
              <w:autoSpaceDN/>
              <w:snapToGrid w:val="0"/>
              <w:spacing w:line="3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内容</w:t>
            </w:r>
          </w:p>
        </w:tc>
        <w:tc>
          <w:tcPr>
            <w:tcW w:w="6934" w:type="dxa"/>
            <w:vAlign w:val="center"/>
          </w:tcPr>
          <w:p>
            <w:pPr>
              <w:pStyle w:val="133"/>
              <w:autoSpaceDE/>
              <w:autoSpaceDN/>
              <w:snapToGrid w:val="0"/>
              <w:spacing w:line="3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9" w:hRule="atLeast"/>
          <w:jc w:val="center"/>
        </w:trPr>
        <w:tc>
          <w:tcPr>
            <w:tcW w:w="681" w:type="dxa"/>
            <w:vAlign w:val="center"/>
          </w:tcPr>
          <w:p>
            <w:pPr>
              <w:pStyle w:val="133"/>
              <w:autoSpaceDE/>
              <w:autoSpaceDN/>
              <w:snapToGrid w:val="0"/>
              <w:spacing w:line="3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464" w:type="dxa"/>
            <w:vAlign w:val="center"/>
          </w:tcPr>
          <w:p>
            <w:pPr>
              <w:pStyle w:val="133"/>
              <w:autoSpaceDE/>
              <w:autoSpaceDN/>
              <w:snapToGrid w:val="0"/>
              <w:spacing w:line="3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6934" w:type="dxa"/>
            <w:vAlign w:val="center"/>
          </w:tcPr>
          <w:p>
            <w:pPr>
              <w:pStyle w:val="133"/>
              <w:snapToGrid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西安商贸旅游技师学院</w:t>
            </w:r>
          </w:p>
          <w:p>
            <w:pPr>
              <w:pStyle w:val="133"/>
              <w:snapToGrid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西安市南关正街99号</w:t>
            </w:r>
          </w:p>
          <w:p>
            <w:pPr>
              <w:pStyle w:val="133"/>
              <w:snapToGrid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余老师</w:t>
            </w:r>
          </w:p>
          <w:p>
            <w:pPr>
              <w:tabs>
                <w:tab w:val="left" w:pos="7665"/>
              </w:tabs>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highlight w:val="none"/>
              </w:rPr>
              <w:t>联系电话：</w:t>
            </w:r>
            <w:r>
              <w:rPr>
                <w:rFonts w:hint="eastAsia" w:ascii="宋体" w:hAnsi="宋体" w:eastAsia="宋体" w:cs="宋体"/>
                <w:color w:val="auto"/>
                <w:sz w:val="24"/>
                <w:szCs w:val="24"/>
                <w:highlight w:val="none"/>
                <w:lang w:val="en-US" w:eastAsia="zh-CN"/>
              </w:rPr>
              <w:t>029-61819122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4" w:hRule="atLeast"/>
          <w:jc w:val="center"/>
        </w:trPr>
        <w:tc>
          <w:tcPr>
            <w:tcW w:w="681" w:type="dxa"/>
            <w:vAlign w:val="center"/>
          </w:tcPr>
          <w:p>
            <w:pPr>
              <w:pStyle w:val="133"/>
              <w:autoSpaceDE/>
              <w:autoSpaceDN/>
              <w:snapToGrid w:val="0"/>
              <w:spacing w:line="3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464" w:type="dxa"/>
            <w:vAlign w:val="center"/>
          </w:tcPr>
          <w:p>
            <w:pPr>
              <w:pStyle w:val="133"/>
              <w:autoSpaceDE/>
              <w:autoSpaceDN/>
              <w:snapToGrid w:val="0"/>
              <w:spacing w:line="3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名  称：陕西明正招标有限公司</w:t>
            </w:r>
          </w:p>
          <w:p>
            <w:pPr>
              <w:pStyle w:val="133"/>
              <w:snapToGrid w:val="0"/>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地  址：西安市雁塔区二环南路西段88号老三届世纪星大厦30层AB座</w:t>
            </w:r>
          </w:p>
          <w:p>
            <w:pPr>
              <w:pStyle w:val="133"/>
              <w:snapToGrid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rPr>
              <w:t>联系人：</w:t>
            </w:r>
            <w:r>
              <w:rPr>
                <w:rFonts w:hint="eastAsia" w:ascii="宋体" w:hAnsi="宋体" w:eastAsia="宋体" w:cs="宋体"/>
                <w:sz w:val="24"/>
                <w:szCs w:val="24"/>
                <w:lang w:eastAsia="zh-CN"/>
              </w:rPr>
              <w:t>冯 瑶  乔 艳</w:t>
            </w:r>
          </w:p>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联系</w:t>
            </w:r>
            <w:r>
              <w:rPr>
                <w:rFonts w:hint="eastAsia" w:ascii="宋体" w:hAnsi="宋体" w:eastAsia="宋体" w:cs="宋体"/>
                <w:sz w:val="24"/>
                <w:szCs w:val="24"/>
              </w:rPr>
              <w:t>电话</w:t>
            </w:r>
            <w:r>
              <w:rPr>
                <w:rFonts w:hint="eastAsia" w:ascii="宋体" w:hAnsi="宋体" w:eastAsia="宋体" w:cs="宋体"/>
                <w:sz w:val="24"/>
                <w:szCs w:val="24"/>
                <w:lang w:val="zh-CN"/>
              </w:rPr>
              <w:t>：029-87551608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681" w:type="dxa"/>
            <w:vAlign w:val="center"/>
          </w:tcPr>
          <w:p>
            <w:pPr>
              <w:pStyle w:val="133"/>
              <w:autoSpaceDE/>
              <w:autoSpaceDN/>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464" w:type="dxa"/>
            <w:vAlign w:val="center"/>
          </w:tcPr>
          <w:p>
            <w:pPr>
              <w:pStyle w:val="133"/>
              <w:autoSpaceDE/>
              <w:autoSpaceDN/>
              <w:snapToGrid w:val="0"/>
              <w:spacing w:line="36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监督机构</w:t>
            </w:r>
          </w:p>
        </w:tc>
        <w:tc>
          <w:tcPr>
            <w:tcW w:w="6934" w:type="dxa"/>
            <w:vAlign w:val="center"/>
          </w:tcPr>
          <w:p>
            <w:pPr>
              <w:pStyle w:val="133"/>
              <w:snapToGrid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西安市财政局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6" w:hRule="atLeast"/>
          <w:jc w:val="center"/>
        </w:trPr>
        <w:tc>
          <w:tcPr>
            <w:tcW w:w="681" w:type="dxa"/>
            <w:vAlign w:val="center"/>
          </w:tcPr>
          <w:p>
            <w:pPr>
              <w:pStyle w:val="133"/>
              <w:autoSpaceDE/>
              <w:autoSpaceDN/>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464" w:type="dxa"/>
            <w:vAlign w:val="center"/>
          </w:tcPr>
          <w:p>
            <w:pPr>
              <w:pStyle w:val="133"/>
              <w:autoSpaceDE/>
              <w:autoSpaceDN/>
              <w:snapToGrid w:val="0"/>
              <w:spacing w:line="36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采购项目名称</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cs="宋体"/>
                <w:sz w:val="24"/>
                <w:szCs w:val="24"/>
                <w:lang w:val="zh-CN"/>
              </w:rPr>
              <w:t>西安商贸旅游技师学院烹饪系实训室改造项目（二次）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atLeast"/>
          <w:jc w:val="center"/>
        </w:trPr>
        <w:tc>
          <w:tcPr>
            <w:tcW w:w="681" w:type="dxa"/>
            <w:vAlign w:val="center"/>
          </w:tcPr>
          <w:p>
            <w:pPr>
              <w:pStyle w:val="133"/>
              <w:autoSpaceDE/>
              <w:autoSpaceDN/>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464" w:type="dxa"/>
            <w:vAlign w:val="center"/>
          </w:tcPr>
          <w:p>
            <w:pPr>
              <w:pStyle w:val="133"/>
              <w:autoSpaceDE/>
              <w:autoSpaceDN/>
              <w:snapToGrid w:val="0"/>
              <w:spacing w:line="36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采购项目编号</w:t>
            </w:r>
          </w:p>
        </w:tc>
        <w:tc>
          <w:tcPr>
            <w:tcW w:w="6934" w:type="dxa"/>
            <w:vAlign w:val="center"/>
          </w:tcPr>
          <w:p>
            <w:pPr>
              <w:pStyle w:val="133"/>
              <w:snapToGrid w:val="0"/>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MZ2022-TP1070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atLeast"/>
          <w:jc w:val="center"/>
        </w:trPr>
        <w:tc>
          <w:tcPr>
            <w:tcW w:w="681" w:type="dxa"/>
            <w:vAlign w:val="center"/>
          </w:tcPr>
          <w:p>
            <w:pPr>
              <w:pStyle w:val="133"/>
              <w:autoSpaceDE/>
              <w:autoSpaceDN/>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464" w:type="dxa"/>
            <w:vAlign w:val="center"/>
          </w:tcPr>
          <w:p>
            <w:pPr>
              <w:pStyle w:val="31"/>
              <w:adjustRightInd w:val="0"/>
              <w:snapToGrid w:val="0"/>
              <w:spacing w:before="0" w:beforeAutospacing="0" w:after="0" w:afterAutospacing="0" w:line="360" w:lineRule="exact"/>
              <w:jc w:val="center"/>
              <w:rPr>
                <w:rFonts w:hint="eastAsia" w:ascii="宋体" w:hAnsi="宋体" w:eastAsia="宋体" w:cs="宋体"/>
                <w:sz w:val="24"/>
                <w:szCs w:val="24"/>
              </w:rPr>
            </w:pPr>
            <w:r>
              <w:rPr>
                <w:rFonts w:hint="eastAsia" w:ascii="宋体" w:hAnsi="宋体" w:eastAsia="宋体" w:cs="宋体"/>
                <w:sz w:val="24"/>
                <w:szCs w:val="24"/>
              </w:rPr>
              <w:t>采购预算金额</w:t>
            </w:r>
          </w:p>
        </w:tc>
        <w:tc>
          <w:tcPr>
            <w:tcW w:w="6934" w:type="dxa"/>
            <w:vAlign w:val="center"/>
          </w:tcPr>
          <w:p>
            <w:pPr>
              <w:pStyle w:val="133"/>
              <w:snapToGrid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800，000.00</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681" w:type="dxa"/>
            <w:vAlign w:val="center"/>
          </w:tcPr>
          <w:p>
            <w:pPr>
              <w:pStyle w:val="133"/>
              <w:autoSpaceDE/>
              <w:autoSpaceDN/>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464" w:type="dxa"/>
            <w:vAlign w:val="center"/>
          </w:tcPr>
          <w:p>
            <w:pPr>
              <w:pStyle w:val="31"/>
              <w:adjustRightInd w:val="0"/>
              <w:snapToGrid w:val="0"/>
              <w:spacing w:before="0" w:beforeAutospacing="0" w:after="0" w:afterAutospacing="0" w:line="360" w:lineRule="exact"/>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6934" w:type="dxa"/>
            <w:vAlign w:val="center"/>
          </w:tcPr>
          <w:p>
            <w:pPr>
              <w:pStyle w:val="133"/>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8</w:t>
            </w:r>
          </w:p>
        </w:tc>
        <w:tc>
          <w:tcPr>
            <w:tcW w:w="2464" w:type="dxa"/>
            <w:vAlign w:val="center"/>
          </w:tcPr>
          <w:p>
            <w:pPr>
              <w:pStyle w:val="133"/>
              <w:snapToGrid w:val="0"/>
              <w:jc w:val="center"/>
              <w:rPr>
                <w:rFonts w:hint="eastAsia" w:ascii="宋体" w:hAnsi="宋体" w:eastAsia="宋体" w:cs="宋体"/>
                <w:sz w:val="24"/>
                <w:szCs w:val="24"/>
              </w:rPr>
            </w:pPr>
            <w:r>
              <w:rPr>
                <w:rFonts w:hint="eastAsia" w:ascii="宋体" w:hAnsi="宋体" w:eastAsia="宋体" w:cs="宋体"/>
                <w:sz w:val="24"/>
                <w:szCs w:val="24"/>
                <w:lang w:val="zh-CN"/>
              </w:rPr>
              <w:t>联合体</w:t>
            </w:r>
            <w:r>
              <w:rPr>
                <w:rFonts w:hint="eastAsia" w:ascii="宋体" w:hAnsi="宋体" w:eastAsia="宋体" w:cs="宋体"/>
                <w:sz w:val="24"/>
                <w:szCs w:val="24"/>
              </w:rPr>
              <w:t>谈判</w:t>
            </w:r>
          </w:p>
        </w:tc>
        <w:tc>
          <w:tcPr>
            <w:tcW w:w="6934" w:type="dxa"/>
            <w:vAlign w:val="center"/>
          </w:tcPr>
          <w:p>
            <w:pPr>
              <w:pStyle w:val="133"/>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681" w:type="dxa"/>
            <w:vAlign w:val="center"/>
          </w:tcPr>
          <w:p>
            <w:pPr>
              <w:pStyle w:val="133"/>
              <w:autoSpaceDE/>
              <w:autoSpaceDN/>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2464" w:type="dxa"/>
            <w:vAlign w:val="center"/>
          </w:tcPr>
          <w:p>
            <w:pPr>
              <w:pStyle w:val="31"/>
              <w:adjustRightInd w:val="0"/>
              <w:snapToGrid w:val="0"/>
              <w:spacing w:before="0" w:beforeAutospacing="0" w:after="0" w:afterAutospacing="0" w:line="360" w:lineRule="exact"/>
              <w:ind w:left="559" w:leftChars="266"/>
              <w:rPr>
                <w:rFonts w:hint="eastAsia" w:ascii="宋体" w:hAnsi="宋体" w:eastAsia="宋体" w:cs="宋体"/>
                <w:sz w:val="24"/>
                <w:szCs w:val="24"/>
              </w:rPr>
            </w:pPr>
            <w:r>
              <w:rPr>
                <w:rFonts w:hint="eastAsia" w:ascii="宋体" w:hAnsi="宋体" w:eastAsia="宋体" w:cs="宋体"/>
                <w:sz w:val="24"/>
                <w:szCs w:val="24"/>
              </w:rPr>
              <w:t>项目属性</w:t>
            </w:r>
          </w:p>
        </w:tc>
        <w:tc>
          <w:tcPr>
            <w:tcW w:w="6934" w:type="dxa"/>
            <w:vAlign w:val="center"/>
          </w:tcPr>
          <w:p>
            <w:pPr>
              <w:pStyle w:val="133"/>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政府采购货物类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30" w:hRule="atLeast"/>
          <w:jc w:val="center"/>
        </w:trPr>
        <w:tc>
          <w:tcPr>
            <w:tcW w:w="681" w:type="dxa"/>
            <w:vAlign w:val="center"/>
          </w:tcPr>
          <w:p>
            <w:pPr>
              <w:pStyle w:val="133"/>
              <w:autoSpaceDE/>
              <w:autoSpaceDN/>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2464" w:type="dxa"/>
            <w:vAlign w:val="center"/>
          </w:tcPr>
          <w:p>
            <w:pPr>
              <w:adjustRightInd w:val="0"/>
              <w:snapToGrid w:val="0"/>
              <w:jc w:val="center"/>
              <w:rPr>
                <w:rFonts w:hint="eastAsia" w:ascii="宋体" w:hAnsi="宋体" w:eastAsia="宋体" w:cs="宋体"/>
                <w:kern w:val="2"/>
                <w:sz w:val="24"/>
                <w:szCs w:val="24"/>
                <w:lang w:val="zh-CN" w:eastAsia="zh-CN" w:bidi="ar-SA"/>
              </w:rPr>
            </w:pPr>
            <w:r>
              <w:rPr>
                <w:rFonts w:hint="eastAsia" w:ascii="宋体" w:hAnsi="宋体" w:eastAsia="宋体" w:cs="宋体"/>
                <w:kern w:val="0"/>
                <w:sz w:val="24"/>
                <w:szCs w:val="24"/>
                <w:lang w:val="zh-CN"/>
              </w:rPr>
              <w:t>是否专门面向中小企业采购</w:t>
            </w:r>
          </w:p>
        </w:tc>
        <w:tc>
          <w:tcPr>
            <w:tcW w:w="6934" w:type="dxa"/>
            <w:vAlign w:val="center"/>
          </w:tcPr>
          <w:p>
            <w:pPr>
              <w:keepNext w:val="0"/>
              <w:keepLines w:val="0"/>
              <w:pageBreakBefore w:val="0"/>
              <w:widowControl/>
              <w:tabs>
                <w:tab w:val="left" w:pos="1620"/>
              </w:tabs>
              <w:wordWrap/>
              <w:overflowPunct/>
              <w:topLinePunct w:val="0"/>
              <w:bidi w:val="0"/>
              <w:adjustRightInd w:val="0"/>
              <w:snapToGrid w:val="0"/>
              <w:spacing w:line="288" w:lineRule="auto"/>
              <w:ind w:firstLine="482" w:firstLineChars="200"/>
              <w:jc w:val="both"/>
              <w:textAlignment w:val="auto"/>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kern w:val="0"/>
                <w:sz w:val="24"/>
                <w:szCs w:val="24"/>
                <w:highlight w:val="none"/>
                <w:lang w:val="en-US" w:eastAsia="zh-CN"/>
              </w:rPr>
              <w:t>是，非中小企业或小微型企业、监狱企业或者残疾人福利性单位的投标人，其投标无效。本次采购标的对应的中小企业或小微型企业所属行业为</w:t>
            </w:r>
            <w:r>
              <w:rPr>
                <w:rFonts w:hint="eastAsia" w:ascii="宋体" w:hAnsi="宋体" w:eastAsia="宋体" w:cs="宋体"/>
                <w:b/>
                <w:bCs/>
                <w:color w:val="auto"/>
                <w:kern w:val="0"/>
                <w:sz w:val="24"/>
                <w:szCs w:val="24"/>
                <w:highlight w:val="none"/>
                <w:lang w:val="en-US" w:eastAsia="zh-CN"/>
              </w:rPr>
              <w:t>工业（制造业）。本次采购标的应</w:t>
            </w:r>
            <w:r>
              <w:rPr>
                <w:rFonts w:hint="eastAsia" w:ascii="宋体" w:hAnsi="宋体" w:eastAsia="宋体" w:cs="宋体"/>
                <w:b/>
                <w:bCs/>
                <w:color w:val="auto"/>
                <w:kern w:val="0"/>
                <w:sz w:val="24"/>
                <w:szCs w:val="24"/>
                <w:highlight w:val="none"/>
                <w:lang w:val="zh-CN" w:eastAsia="zh-CN"/>
              </w:rPr>
              <w:t>全部由</w:t>
            </w:r>
            <w:r>
              <w:rPr>
                <w:rFonts w:hint="eastAsia" w:ascii="宋体" w:hAnsi="宋体" w:eastAsia="宋体" w:cs="宋体"/>
                <w:b/>
                <w:bCs/>
                <w:color w:val="auto"/>
                <w:kern w:val="0"/>
                <w:sz w:val="24"/>
                <w:szCs w:val="24"/>
                <w:highlight w:val="none"/>
                <w:lang w:val="en-US" w:eastAsia="zh-CN"/>
              </w:rPr>
              <w:t>中</w:t>
            </w:r>
            <w:r>
              <w:rPr>
                <w:rFonts w:hint="eastAsia" w:ascii="宋体" w:hAnsi="宋体" w:eastAsia="宋体" w:cs="宋体"/>
                <w:b/>
                <w:bCs/>
                <w:color w:val="auto"/>
                <w:kern w:val="0"/>
                <w:sz w:val="24"/>
                <w:szCs w:val="24"/>
                <w:highlight w:val="none"/>
                <w:lang w:val="zh-CN" w:eastAsia="zh-CN"/>
              </w:rPr>
              <w:t>小型和微型企业制造的货物、或者承接的服务。</w:t>
            </w:r>
          </w:p>
          <w:p>
            <w:pPr>
              <w:pStyle w:val="31"/>
              <w:adjustRightInd w:val="0"/>
              <w:snapToGrid w:val="0"/>
              <w:spacing w:before="0" w:beforeAutospacing="0" w:after="0" w:afterAutospacing="0" w:line="34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highlight w:val="none"/>
                <w:lang w:val="en-US" w:eastAsia="zh-CN"/>
              </w:rPr>
              <w:t>注：专门面向中小企业采购的项目或者采购包，不再执行价格评审优惠的扶持政策。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autoSpaceDE/>
              <w:autoSpaceDN/>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2464" w:type="dxa"/>
            <w:vAlign w:val="center"/>
          </w:tcPr>
          <w:p>
            <w:pPr>
              <w:pStyle w:val="133"/>
              <w:snapToGrid w:val="0"/>
              <w:jc w:val="center"/>
              <w:rPr>
                <w:rFonts w:hint="eastAsia" w:ascii="Times New Roman" w:hAnsi="宋体" w:eastAsia="宋体" w:cs="宋体"/>
                <w:kern w:val="2"/>
                <w:sz w:val="24"/>
                <w:szCs w:val="24"/>
                <w:lang w:val="zh-CN" w:eastAsia="zh-CN" w:bidi="ar-SA"/>
              </w:rPr>
            </w:pPr>
            <w:r>
              <w:rPr>
                <w:rFonts w:hint="eastAsia" w:ascii="宋体" w:hAnsi="宋体" w:eastAsia="宋体" w:cs="宋体"/>
                <w:sz w:val="24"/>
                <w:szCs w:val="24"/>
              </w:rPr>
              <w:t>是否允许进口产品投标</w:t>
            </w:r>
          </w:p>
        </w:tc>
        <w:tc>
          <w:tcPr>
            <w:tcW w:w="6934" w:type="dxa"/>
            <w:vAlign w:val="center"/>
          </w:tcPr>
          <w:p>
            <w:pPr>
              <w:pStyle w:val="133"/>
              <w:snapToGrid w:val="0"/>
              <w:ind w:firstLine="480" w:firstLineChars="200"/>
              <w:jc w:val="both"/>
              <w:rPr>
                <w:rFonts w:hint="eastAsia" w:ascii="Times New Roman" w:hAnsi="宋体" w:eastAsia="宋体" w:cs="宋体"/>
                <w:kern w:val="2"/>
                <w:sz w:val="24"/>
                <w:szCs w:val="24"/>
                <w:lang w:val="zh-CN" w:eastAsia="zh-CN" w:bidi="ar-SA"/>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12</w:t>
            </w:r>
          </w:p>
        </w:tc>
        <w:tc>
          <w:tcPr>
            <w:tcW w:w="2464" w:type="dxa"/>
            <w:vAlign w:val="center"/>
          </w:tcPr>
          <w:p>
            <w:pPr>
              <w:adjustRightInd w:val="0"/>
              <w:snapToGrid w:val="0"/>
              <w:jc w:val="center"/>
              <w:rPr>
                <w:rFonts w:hint="eastAsia" w:ascii="宋体" w:hAnsi="宋体" w:eastAsia="宋体" w:cs="宋体"/>
                <w:kern w:val="2"/>
                <w:sz w:val="24"/>
                <w:szCs w:val="24"/>
                <w:lang w:val="zh-CN"/>
              </w:rPr>
            </w:pPr>
            <w:r>
              <w:rPr>
                <w:rFonts w:hint="eastAsia" w:ascii="宋体" w:hAnsi="宋体" w:eastAsia="宋体" w:cs="宋体"/>
                <w:sz w:val="24"/>
                <w:szCs w:val="24"/>
              </w:rPr>
              <w:t>现场踏勘</w:t>
            </w:r>
          </w:p>
        </w:tc>
        <w:tc>
          <w:tcPr>
            <w:tcW w:w="6934" w:type="dxa"/>
            <w:vAlign w:val="center"/>
          </w:tcPr>
          <w:p>
            <w:pPr>
              <w:pStyle w:val="31"/>
              <w:adjustRightInd w:val="0"/>
              <w:snapToGrid w:val="0"/>
              <w:spacing w:before="0" w:beforeAutospacing="0" w:after="0" w:afterAutospacing="0" w:line="3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13</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标前答疑会</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3"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14</w:t>
            </w:r>
          </w:p>
        </w:tc>
        <w:tc>
          <w:tcPr>
            <w:tcW w:w="2464" w:type="dxa"/>
            <w:vAlign w:val="center"/>
          </w:tcPr>
          <w:p>
            <w:pPr>
              <w:adjustRightInd w:val="0"/>
              <w:snapToGrid w:val="0"/>
              <w:jc w:val="center"/>
              <w:rPr>
                <w:rFonts w:hint="eastAsia" w:ascii="宋体" w:hAnsi="宋体" w:eastAsia="宋体" w:cs="宋体"/>
                <w:sz w:val="24"/>
                <w:szCs w:val="24"/>
                <w:lang w:val="zh-CN"/>
              </w:rPr>
            </w:pPr>
            <w:r>
              <w:rPr>
                <w:rFonts w:hint="eastAsia" w:ascii="宋体" w:hAnsi="宋体" w:eastAsia="宋体" w:cs="宋体"/>
                <w:kern w:val="0"/>
                <w:sz w:val="24"/>
                <w:szCs w:val="24"/>
                <w:lang w:val="zh-CN"/>
              </w:rPr>
              <w:t>对</w:t>
            </w:r>
            <w:r>
              <w:rPr>
                <w:rFonts w:hint="eastAsia" w:ascii="宋体" w:hAnsi="宋体" w:eastAsia="宋体" w:cs="宋体"/>
                <w:kern w:val="0"/>
                <w:sz w:val="24"/>
                <w:szCs w:val="24"/>
              </w:rPr>
              <w:t>谈判</w:t>
            </w:r>
            <w:r>
              <w:rPr>
                <w:rFonts w:hint="eastAsia" w:ascii="宋体" w:hAnsi="宋体" w:eastAsia="宋体" w:cs="宋体"/>
                <w:kern w:val="0"/>
                <w:sz w:val="24"/>
                <w:szCs w:val="24"/>
                <w:lang w:val="zh-CN"/>
              </w:rPr>
              <w:t>文件澄清或修改的时间</w:t>
            </w:r>
          </w:p>
        </w:tc>
        <w:tc>
          <w:tcPr>
            <w:tcW w:w="6934" w:type="dxa"/>
            <w:vAlign w:val="center"/>
          </w:tcPr>
          <w:p>
            <w:pPr>
              <w:adjustRightInd w:val="0"/>
              <w:snapToGrid w:val="0"/>
              <w:ind w:firstLine="480" w:firstLineChars="200"/>
              <w:rPr>
                <w:rFonts w:hint="eastAsia" w:ascii="宋体" w:hAnsi="宋体" w:eastAsia="宋体" w:cs="宋体"/>
                <w:sz w:val="24"/>
                <w:szCs w:val="24"/>
                <w:lang w:val="zh-CN"/>
              </w:rPr>
            </w:pPr>
            <w:r>
              <w:rPr>
                <w:rFonts w:hint="eastAsia" w:ascii="宋体" w:hAnsi="宋体" w:eastAsia="宋体" w:cs="宋体"/>
                <w:kern w:val="0"/>
                <w:sz w:val="24"/>
                <w:szCs w:val="24"/>
                <w:lang w:val="zh-CN"/>
              </w:rPr>
              <w:t>采购人或采购代理机构对已发出的</w:t>
            </w:r>
            <w:r>
              <w:rPr>
                <w:rFonts w:hint="eastAsia" w:ascii="宋体" w:hAnsi="宋体" w:eastAsia="宋体" w:cs="宋体"/>
                <w:kern w:val="0"/>
                <w:sz w:val="24"/>
                <w:szCs w:val="24"/>
              </w:rPr>
              <w:t>谈判</w:t>
            </w:r>
            <w:r>
              <w:rPr>
                <w:rFonts w:hint="eastAsia" w:ascii="宋体" w:hAnsi="宋体" w:eastAsia="宋体" w:cs="宋体"/>
                <w:kern w:val="0"/>
                <w:sz w:val="24"/>
                <w:szCs w:val="24"/>
                <w:lang w:val="zh-CN"/>
              </w:rPr>
              <w:t>文件进行必要的澄清或者修改，应当在</w:t>
            </w:r>
            <w:r>
              <w:rPr>
                <w:rFonts w:hint="eastAsia" w:ascii="宋体" w:hAnsi="宋体" w:eastAsia="宋体" w:cs="宋体"/>
                <w:kern w:val="0"/>
                <w:sz w:val="24"/>
                <w:szCs w:val="24"/>
              </w:rPr>
              <w:t>谈判</w:t>
            </w:r>
            <w:r>
              <w:rPr>
                <w:rFonts w:hint="eastAsia" w:ascii="宋体" w:hAnsi="宋体" w:eastAsia="宋体" w:cs="宋体"/>
                <w:kern w:val="0"/>
                <w:sz w:val="24"/>
                <w:szCs w:val="24"/>
                <w:lang w:val="zh-CN"/>
              </w:rPr>
              <w:t>文件要求提交</w:t>
            </w:r>
            <w:r>
              <w:rPr>
                <w:rFonts w:hint="eastAsia" w:ascii="宋体" w:hAnsi="宋体" w:eastAsia="宋体" w:cs="宋体"/>
                <w:kern w:val="0"/>
                <w:sz w:val="24"/>
                <w:szCs w:val="24"/>
              </w:rPr>
              <w:t>谈判响应</w:t>
            </w:r>
            <w:r>
              <w:rPr>
                <w:rFonts w:hint="eastAsia" w:ascii="宋体" w:hAnsi="宋体" w:eastAsia="宋体" w:cs="宋体"/>
                <w:kern w:val="0"/>
                <w:sz w:val="24"/>
                <w:szCs w:val="24"/>
                <w:lang w:val="zh-CN"/>
              </w:rPr>
              <w:t>文件截止时间</w:t>
            </w:r>
            <w:r>
              <w:rPr>
                <w:rFonts w:hint="eastAsia" w:ascii="宋体" w:hAnsi="宋体" w:eastAsia="宋体" w:cs="宋体"/>
                <w:kern w:val="0"/>
                <w:sz w:val="24"/>
                <w:szCs w:val="24"/>
              </w:rPr>
              <w:t>3</w:t>
            </w:r>
            <w:r>
              <w:rPr>
                <w:rFonts w:hint="eastAsia" w:ascii="宋体" w:hAnsi="宋体" w:eastAsia="宋体" w:cs="宋体"/>
                <w:kern w:val="0"/>
                <w:sz w:val="24"/>
                <w:szCs w:val="24"/>
                <w:lang w:val="zh-CN"/>
              </w:rPr>
              <w:t>日前，不足</w:t>
            </w:r>
            <w:r>
              <w:rPr>
                <w:rFonts w:hint="eastAsia" w:ascii="宋体" w:hAnsi="宋体" w:eastAsia="宋体" w:cs="宋体"/>
                <w:kern w:val="0"/>
                <w:sz w:val="24"/>
                <w:szCs w:val="24"/>
              </w:rPr>
              <w:t>3</w:t>
            </w:r>
            <w:r>
              <w:rPr>
                <w:rFonts w:hint="eastAsia" w:ascii="宋体" w:hAnsi="宋体" w:eastAsia="宋体" w:cs="宋体"/>
                <w:kern w:val="0"/>
                <w:sz w:val="24"/>
                <w:szCs w:val="24"/>
                <w:lang w:val="zh-CN"/>
              </w:rPr>
              <w:t>日的应当顺延提交</w:t>
            </w:r>
            <w:r>
              <w:rPr>
                <w:rFonts w:hint="eastAsia" w:ascii="宋体" w:hAnsi="宋体" w:eastAsia="宋体" w:cs="宋体"/>
                <w:kern w:val="0"/>
                <w:sz w:val="24"/>
                <w:szCs w:val="24"/>
              </w:rPr>
              <w:t>谈判响应</w:t>
            </w:r>
            <w:r>
              <w:rPr>
                <w:rFonts w:hint="eastAsia" w:ascii="宋体" w:hAnsi="宋体" w:eastAsia="宋体" w:cs="宋体"/>
                <w:kern w:val="0"/>
                <w:sz w:val="24"/>
                <w:szCs w:val="24"/>
                <w:lang w:val="zh-CN"/>
              </w:rPr>
              <w:t>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tabs>
                <w:tab w:val="left" w:pos="475"/>
              </w:tabs>
              <w:jc w:val="center"/>
              <w:rPr>
                <w:rFonts w:hint="eastAsia" w:ascii="宋体" w:hAnsi="宋体" w:eastAsia="宋体" w:cs="宋体"/>
                <w:sz w:val="24"/>
                <w:szCs w:val="24"/>
              </w:rPr>
            </w:pPr>
            <w:r>
              <w:rPr>
                <w:rFonts w:hint="eastAsia" w:ascii="宋体" w:hAnsi="宋体" w:eastAsia="宋体" w:cs="宋体"/>
                <w:sz w:val="24"/>
                <w:szCs w:val="24"/>
              </w:rPr>
              <w:t>15</w:t>
            </w:r>
          </w:p>
        </w:tc>
        <w:tc>
          <w:tcPr>
            <w:tcW w:w="2464" w:type="dxa"/>
            <w:vAlign w:val="center"/>
          </w:tcPr>
          <w:p>
            <w:pPr>
              <w:pStyle w:val="133"/>
              <w:snapToGrid w:val="0"/>
              <w:jc w:val="center"/>
              <w:rPr>
                <w:rFonts w:hint="eastAsia" w:ascii="宋体" w:hAnsi="宋体" w:eastAsia="宋体" w:cs="宋体"/>
                <w:sz w:val="24"/>
                <w:szCs w:val="24"/>
              </w:rPr>
            </w:pPr>
            <w:r>
              <w:rPr>
                <w:rFonts w:hint="eastAsia" w:ascii="宋体" w:hAnsi="宋体" w:eastAsia="宋体" w:cs="宋体"/>
                <w:sz w:val="24"/>
                <w:szCs w:val="24"/>
                <w:lang w:val="zh-CN"/>
              </w:rPr>
              <w:t>构成</w:t>
            </w:r>
            <w:r>
              <w:rPr>
                <w:rFonts w:hint="eastAsia" w:ascii="宋体" w:hAnsi="宋体" w:eastAsia="宋体" w:cs="宋体"/>
                <w:sz w:val="24"/>
                <w:szCs w:val="24"/>
              </w:rPr>
              <w:t>谈判</w:t>
            </w:r>
            <w:r>
              <w:rPr>
                <w:rFonts w:hint="eastAsia" w:ascii="宋体" w:hAnsi="宋体" w:eastAsia="宋体" w:cs="宋体"/>
                <w:sz w:val="24"/>
                <w:szCs w:val="24"/>
                <w:lang w:val="zh-CN"/>
              </w:rPr>
              <w:t>文件的</w:t>
            </w:r>
          </w:p>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其他文件</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以书面形式发出的答疑纪要或对</w:t>
            </w:r>
            <w:r>
              <w:rPr>
                <w:rFonts w:hint="eastAsia" w:ascii="宋体" w:hAnsi="宋体" w:eastAsia="宋体" w:cs="宋体"/>
                <w:sz w:val="24"/>
                <w:szCs w:val="24"/>
              </w:rPr>
              <w:t>谈判</w:t>
            </w:r>
            <w:r>
              <w:rPr>
                <w:rFonts w:hint="eastAsia" w:ascii="宋体" w:hAnsi="宋体" w:eastAsia="宋体" w:cs="宋体"/>
                <w:sz w:val="24"/>
                <w:szCs w:val="24"/>
                <w:lang w:val="zh-CN"/>
              </w:rPr>
              <w:t>文件的澄清或修改内容，均为</w:t>
            </w:r>
            <w:r>
              <w:rPr>
                <w:rFonts w:hint="eastAsia" w:ascii="宋体" w:hAnsi="宋体" w:eastAsia="宋体" w:cs="宋体"/>
                <w:sz w:val="24"/>
                <w:szCs w:val="24"/>
              </w:rPr>
              <w:t>谈判</w:t>
            </w:r>
            <w:r>
              <w:rPr>
                <w:rFonts w:hint="eastAsia" w:ascii="宋体" w:hAnsi="宋体" w:eastAsia="宋体" w:cs="宋体"/>
                <w:sz w:val="24"/>
                <w:szCs w:val="24"/>
                <w:lang w:val="zh-CN"/>
              </w:rPr>
              <w:t>文件的组成部分，对</w:t>
            </w:r>
            <w:r>
              <w:rPr>
                <w:rFonts w:hint="eastAsia" w:ascii="宋体" w:hAnsi="宋体" w:eastAsia="宋体" w:cs="宋体"/>
                <w:sz w:val="24"/>
                <w:szCs w:val="24"/>
              </w:rPr>
              <w:t>供应商</w:t>
            </w:r>
            <w:r>
              <w:rPr>
                <w:rFonts w:hint="eastAsia" w:ascii="宋体" w:hAnsi="宋体" w:eastAsia="宋体" w:cs="宋体"/>
                <w:sz w:val="24"/>
                <w:szCs w:val="24"/>
                <w:lang w:val="zh-CN"/>
              </w:rPr>
              <w:t>起约束作用。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16</w:t>
            </w:r>
          </w:p>
        </w:tc>
        <w:tc>
          <w:tcPr>
            <w:tcW w:w="2464" w:type="dxa"/>
            <w:vAlign w:val="center"/>
          </w:tcPr>
          <w:p>
            <w:pPr>
              <w:pStyle w:val="133"/>
              <w:snapToGrid w:val="0"/>
              <w:jc w:val="center"/>
              <w:rPr>
                <w:rFonts w:hint="eastAsia" w:ascii="宋体" w:hAnsi="宋体" w:eastAsia="宋体" w:cs="宋体"/>
                <w:bCs/>
                <w:sz w:val="24"/>
                <w:szCs w:val="24"/>
              </w:rPr>
            </w:pPr>
            <w:r>
              <w:rPr>
                <w:rFonts w:hint="eastAsia" w:ascii="宋体" w:hAnsi="宋体" w:eastAsia="宋体" w:cs="宋体"/>
                <w:sz w:val="24"/>
                <w:szCs w:val="24"/>
              </w:rPr>
              <w:t>谈判</w:t>
            </w:r>
            <w:r>
              <w:rPr>
                <w:rFonts w:hint="eastAsia" w:ascii="宋体" w:hAnsi="宋体" w:eastAsia="宋体" w:cs="宋体"/>
                <w:sz w:val="24"/>
                <w:szCs w:val="24"/>
                <w:lang w:val="zh-CN"/>
              </w:rPr>
              <w:t>有效期</w:t>
            </w:r>
          </w:p>
        </w:tc>
        <w:tc>
          <w:tcPr>
            <w:tcW w:w="6934" w:type="dxa"/>
            <w:vAlign w:val="center"/>
          </w:tcPr>
          <w:p>
            <w:pPr>
              <w:pStyle w:val="133"/>
              <w:snapToGrid w:val="0"/>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从</w:t>
            </w:r>
            <w:r>
              <w:rPr>
                <w:rFonts w:hint="eastAsia" w:ascii="宋体" w:hAnsi="宋体" w:eastAsia="宋体" w:cs="宋体"/>
                <w:sz w:val="24"/>
                <w:szCs w:val="24"/>
              </w:rPr>
              <w:t>谈判</w:t>
            </w:r>
            <w:r>
              <w:rPr>
                <w:rFonts w:hint="eastAsia" w:ascii="宋体" w:hAnsi="宋体" w:eastAsia="宋体" w:cs="宋体"/>
                <w:sz w:val="24"/>
                <w:szCs w:val="24"/>
                <w:lang w:val="zh-CN"/>
              </w:rPr>
              <w:t>截止日起不少于90日历</w:t>
            </w:r>
            <w:r>
              <w:rPr>
                <w:rFonts w:hint="eastAsia" w:ascii="宋体" w:hAnsi="宋体" w:eastAsia="宋体" w:cs="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17</w:t>
            </w:r>
          </w:p>
        </w:tc>
        <w:tc>
          <w:tcPr>
            <w:tcW w:w="2464" w:type="dxa"/>
            <w:vAlign w:val="center"/>
          </w:tcPr>
          <w:p>
            <w:pPr>
              <w:pStyle w:val="133"/>
              <w:snapToGrid w:val="0"/>
              <w:jc w:val="center"/>
              <w:rPr>
                <w:rFonts w:hint="eastAsia" w:ascii="宋体" w:hAnsi="宋体" w:eastAsia="宋体" w:cs="宋体"/>
                <w:bCs/>
                <w:sz w:val="24"/>
                <w:szCs w:val="24"/>
              </w:rPr>
            </w:pPr>
            <w:r>
              <w:rPr>
                <w:rFonts w:hint="eastAsia" w:ascii="宋体" w:hAnsi="宋体" w:eastAsia="宋体" w:cs="宋体"/>
                <w:sz w:val="24"/>
                <w:szCs w:val="24"/>
              </w:rPr>
              <w:t>谈判保证金</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本项目不收取保证金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18</w:t>
            </w:r>
          </w:p>
        </w:tc>
        <w:tc>
          <w:tcPr>
            <w:tcW w:w="2464" w:type="dxa"/>
            <w:vAlign w:val="center"/>
          </w:tcPr>
          <w:p>
            <w:pPr>
              <w:pStyle w:val="133"/>
              <w:snapToGrid w:val="0"/>
              <w:jc w:val="center"/>
              <w:rPr>
                <w:rFonts w:hint="eastAsia" w:ascii="宋体" w:hAnsi="宋体" w:eastAsia="宋体" w:cs="宋体"/>
                <w:bCs/>
                <w:sz w:val="24"/>
                <w:szCs w:val="24"/>
              </w:rPr>
            </w:pPr>
            <w:r>
              <w:rPr>
                <w:rFonts w:hint="eastAsia" w:ascii="宋体" w:hAnsi="宋体" w:eastAsia="宋体" w:cs="宋体"/>
                <w:sz w:val="24"/>
                <w:szCs w:val="24"/>
              </w:rPr>
              <w:t>谈判文件售价</w:t>
            </w:r>
          </w:p>
        </w:tc>
        <w:tc>
          <w:tcPr>
            <w:tcW w:w="6934" w:type="dxa"/>
            <w:vAlign w:val="center"/>
          </w:tcPr>
          <w:p>
            <w:pPr>
              <w:pStyle w:val="133"/>
              <w:snapToGrid w:val="0"/>
              <w:ind w:firstLine="480" w:firstLineChars="200"/>
              <w:rPr>
                <w:rFonts w:hint="eastAsia" w:ascii="宋体" w:hAnsi="宋体" w:eastAsia="宋体" w:cs="宋体"/>
                <w:sz w:val="24"/>
                <w:szCs w:val="24"/>
              </w:rPr>
            </w:pPr>
            <w:r>
              <w:rPr>
                <w:rFonts w:hint="eastAsia" w:ascii="宋体" w:hAnsi="宋体" w:eastAsia="宋体" w:cs="宋体"/>
                <w:sz w:val="24"/>
                <w:szCs w:val="24"/>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19</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是否允许递交多个</w:t>
            </w:r>
          </w:p>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备选</w:t>
            </w:r>
            <w:r>
              <w:rPr>
                <w:rFonts w:hint="eastAsia" w:ascii="宋体" w:hAnsi="宋体" w:eastAsia="宋体" w:cs="宋体"/>
                <w:sz w:val="24"/>
                <w:szCs w:val="24"/>
              </w:rPr>
              <w:t>谈判</w:t>
            </w:r>
            <w:r>
              <w:rPr>
                <w:rFonts w:hint="eastAsia" w:ascii="宋体" w:hAnsi="宋体" w:eastAsia="宋体" w:cs="宋体"/>
                <w:sz w:val="24"/>
                <w:szCs w:val="24"/>
                <w:lang w:val="zh-CN"/>
              </w:rPr>
              <w:t>方案</w:t>
            </w:r>
          </w:p>
        </w:tc>
        <w:tc>
          <w:tcPr>
            <w:tcW w:w="6934" w:type="dxa"/>
            <w:vAlign w:val="center"/>
          </w:tcPr>
          <w:p>
            <w:pPr>
              <w:pStyle w:val="133"/>
              <w:snapToGrid w:val="0"/>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9"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20</w:t>
            </w:r>
          </w:p>
        </w:tc>
        <w:tc>
          <w:tcPr>
            <w:tcW w:w="2464"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kern w:val="0"/>
                <w:sz w:val="24"/>
                <w:szCs w:val="24"/>
                <w:lang w:val="zh-CN"/>
              </w:rPr>
              <w:t>签字或盖章要求</w:t>
            </w:r>
          </w:p>
        </w:tc>
        <w:tc>
          <w:tcPr>
            <w:tcW w:w="6934" w:type="dxa"/>
            <w:vAlign w:val="center"/>
          </w:tcPr>
          <w:p>
            <w:pPr>
              <w:adjustRightInd w:val="0"/>
              <w:snapToGrid w:val="0"/>
              <w:ind w:firstLine="480" w:firstLineChars="200"/>
              <w:rPr>
                <w:rFonts w:hint="eastAsia" w:ascii="宋体" w:hAnsi="宋体" w:eastAsia="宋体" w:cs="宋体"/>
                <w:sz w:val="24"/>
                <w:szCs w:val="24"/>
              </w:rPr>
            </w:pPr>
            <w:r>
              <w:rPr>
                <w:rFonts w:hint="eastAsia" w:ascii="宋体" w:hAnsi="宋体" w:eastAsia="宋体" w:cs="宋体"/>
                <w:kern w:val="0"/>
                <w:sz w:val="24"/>
                <w:szCs w:val="24"/>
              </w:rPr>
              <w:t>谈判响应</w:t>
            </w:r>
            <w:r>
              <w:rPr>
                <w:rFonts w:hint="eastAsia" w:ascii="宋体" w:hAnsi="宋体" w:eastAsia="宋体" w:cs="宋体"/>
                <w:kern w:val="0"/>
                <w:sz w:val="24"/>
                <w:szCs w:val="24"/>
                <w:lang w:val="zh-CN"/>
              </w:rPr>
              <w:t>文件加盖</w:t>
            </w:r>
            <w:r>
              <w:rPr>
                <w:rFonts w:hint="eastAsia" w:ascii="宋体" w:hAnsi="宋体" w:eastAsia="宋体" w:cs="宋体"/>
                <w:kern w:val="0"/>
                <w:sz w:val="24"/>
                <w:szCs w:val="24"/>
              </w:rPr>
              <w:t>供应商</w:t>
            </w:r>
            <w:r>
              <w:rPr>
                <w:rFonts w:hint="eastAsia" w:ascii="宋体" w:hAnsi="宋体" w:eastAsia="宋体" w:cs="宋体"/>
                <w:kern w:val="0"/>
                <w:sz w:val="24"/>
                <w:szCs w:val="24"/>
                <w:lang w:val="zh-CN"/>
              </w:rPr>
              <w:t>公章并经法定代表人或其授权代表签字。由授权代表签字的在</w:t>
            </w:r>
            <w:r>
              <w:rPr>
                <w:rFonts w:hint="eastAsia" w:ascii="宋体" w:hAnsi="宋体" w:eastAsia="宋体" w:cs="宋体"/>
                <w:kern w:val="0"/>
                <w:sz w:val="24"/>
                <w:szCs w:val="24"/>
              </w:rPr>
              <w:t>谈判响应</w:t>
            </w:r>
            <w:r>
              <w:rPr>
                <w:rFonts w:hint="eastAsia" w:ascii="宋体" w:hAnsi="宋体" w:eastAsia="宋体" w:cs="宋体"/>
                <w:kern w:val="0"/>
                <w:sz w:val="24"/>
                <w:szCs w:val="24"/>
                <w:lang w:val="zh-CN"/>
              </w:rPr>
              <w:t>文件中须同时提交有效</w:t>
            </w:r>
            <w:r>
              <w:rPr>
                <w:rFonts w:hint="eastAsia" w:ascii="宋体" w:hAnsi="宋体" w:eastAsia="宋体" w:cs="宋体"/>
                <w:kern w:val="0"/>
                <w:sz w:val="24"/>
                <w:szCs w:val="24"/>
              </w:rPr>
              <w:t>谈判响应</w:t>
            </w:r>
            <w:r>
              <w:rPr>
                <w:rFonts w:hint="eastAsia" w:ascii="宋体" w:hAnsi="宋体" w:eastAsia="宋体" w:cs="宋体"/>
                <w:kern w:val="0"/>
                <w:sz w:val="24"/>
                <w:szCs w:val="24"/>
                <w:lang w:val="zh-CN"/>
              </w:rPr>
              <w:t>文件签署授权委托书。</w:t>
            </w:r>
            <w:r>
              <w:rPr>
                <w:rFonts w:hint="eastAsia" w:ascii="宋体" w:hAnsi="宋体" w:eastAsia="宋体" w:cs="宋体"/>
                <w:kern w:val="0"/>
                <w:sz w:val="24"/>
                <w:szCs w:val="24"/>
              </w:rPr>
              <w:t>谈判</w:t>
            </w:r>
            <w:r>
              <w:rPr>
                <w:rFonts w:hint="eastAsia" w:ascii="宋体" w:hAnsi="宋体" w:eastAsia="宋体" w:cs="宋体"/>
                <w:kern w:val="0"/>
                <w:sz w:val="24"/>
                <w:szCs w:val="24"/>
                <w:lang w:val="zh-CN"/>
              </w:rPr>
              <w:t>文件中凡是需要法定代表人签字或盖章之处，非法人单位的负责人均参照执行。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8"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21</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rPr>
              <w:t>谈判响应</w:t>
            </w:r>
            <w:r>
              <w:rPr>
                <w:rFonts w:hint="eastAsia" w:ascii="宋体" w:hAnsi="宋体" w:eastAsia="宋体" w:cs="宋体"/>
                <w:sz w:val="24"/>
                <w:szCs w:val="24"/>
                <w:lang w:val="zh-CN"/>
              </w:rPr>
              <w:t>文件份数</w:t>
            </w:r>
          </w:p>
        </w:tc>
        <w:tc>
          <w:tcPr>
            <w:tcW w:w="6934" w:type="dxa"/>
            <w:vAlign w:val="center"/>
          </w:tcPr>
          <w:p>
            <w:pPr>
              <w:pStyle w:val="133"/>
              <w:keepNext w:val="0"/>
              <w:keepLines w:val="0"/>
              <w:pageBreakBefore w:val="0"/>
              <w:kinsoku/>
              <w:wordWrap/>
              <w:overflowPunct/>
              <w:topLinePunct w:val="0"/>
              <w:bidi w:val="0"/>
              <w:adjustRightInd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olor w:val="auto"/>
              </w:rPr>
              <w:t>正本1份；副本3份；电子版1份</w:t>
            </w:r>
            <w:r>
              <w:rPr>
                <w:rFonts w:hint="eastAsia" w:ascii="宋体" w:hAnsi="宋体" w:eastAsia="宋体" w:cs="宋体"/>
                <w:color w:val="auto"/>
                <w:sz w:val="24"/>
                <w:szCs w:val="24"/>
                <w:lang w:val="zh-CN" w:eastAsia="zh-CN"/>
              </w:rPr>
              <w:t>（WORD格式</w:t>
            </w:r>
            <w:r>
              <w:rPr>
                <w:rFonts w:hint="eastAsia" w:ascii="宋体" w:hAnsi="宋体" w:eastAsia="宋体" w:cs="宋体"/>
                <w:color w:val="auto"/>
                <w:sz w:val="24"/>
                <w:szCs w:val="24"/>
                <w:lang w:val="en-US" w:eastAsia="zh-CN"/>
              </w:rPr>
              <w:t>和PDF格式</w:t>
            </w:r>
            <w:r>
              <w:rPr>
                <w:rFonts w:hint="eastAsia" w:ascii="宋体" w:hAnsi="宋体" w:eastAsia="宋体" w:cs="宋体"/>
                <w:color w:val="auto"/>
                <w:sz w:val="24"/>
                <w:szCs w:val="24"/>
                <w:lang w:val="zh-CN" w:eastAsia="zh-CN"/>
              </w:rPr>
              <w:t>存储</w:t>
            </w:r>
            <w:r>
              <w:rPr>
                <w:rFonts w:hint="eastAsia" w:ascii="宋体" w:hAnsi="宋体" w:eastAsia="宋体" w:cs="宋体"/>
                <w:color w:val="auto"/>
                <w:sz w:val="24"/>
                <w:szCs w:val="24"/>
                <w:lang w:val="en-US" w:eastAsia="zh-CN"/>
              </w:rPr>
              <w:t>（供应商提供与纸质响应文件正本一致的PDF格式，且盖章、签字处必须扫描并清晰可辨），采用U盘</w:t>
            </w:r>
            <w:r>
              <w:rPr>
                <w:rFonts w:hint="eastAsia" w:ascii="宋体" w:hAnsi="宋体" w:eastAsia="宋体" w:cs="宋体"/>
                <w:color w:val="auto"/>
                <w:sz w:val="24"/>
                <w:szCs w:val="24"/>
                <w:highlight w:val="none"/>
                <w:lang w:val="en-US" w:eastAsia="zh-CN"/>
              </w:rPr>
              <w:t>存储</w:t>
            </w:r>
            <w:r>
              <w:rPr>
                <w:rFonts w:hint="eastAsia" w:ascii="宋体" w:hAnsi="宋体" w:eastAsia="宋体" w:cs="宋体"/>
                <w:color w:val="auto"/>
                <w:highlight w:val="none"/>
              </w:rPr>
              <w:t>（需在U盘面上标注供应商简称、项目编号）</w:t>
            </w:r>
            <w:r>
              <w:rPr>
                <w:rFonts w:hint="eastAsia" w:ascii="宋体" w:hAnsi="宋体" w:eastAsia="宋体" w:cs="宋体"/>
                <w:color w:val="auto"/>
                <w:sz w:val="24"/>
                <w:szCs w:val="24"/>
                <w:highlight w:val="none"/>
                <w:lang w:val="en-US" w:eastAsia="zh-CN"/>
              </w:rPr>
              <w:t>。</w:t>
            </w:r>
          </w:p>
          <w:p>
            <w:pPr>
              <w:pStyle w:val="133"/>
              <w:snapToGrid w:val="0"/>
              <w:ind w:firstLine="480" w:firstLineChars="200"/>
              <w:rPr>
                <w:rFonts w:hint="eastAsia" w:ascii="宋体" w:hAnsi="宋体" w:eastAsia="宋体" w:cs="宋体"/>
                <w:sz w:val="24"/>
                <w:szCs w:val="24"/>
              </w:rPr>
            </w:pPr>
            <w:r>
              <w:rPr>
                <w:rFonts w:hint="eastAsia" w:ascii="宋体" w:hAnsi="宋体" w:eastAsia="宋体" w:cs="宋体"/>
                <w:color w:val="auto"/>
                <w:sz w:val="24"/>
                <w:szCs w:val="24"/>
                <w:lang w:val="en-US" w:eastAsia="zh-CN"/>
              </w:rPr>
              <w:t>供应商须在响应文件正本及副本的书脊标明：项目编号及供应商名称。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22</w:t>
            </w:r>
          </w:p>
        </w:tc>
        <w:tc>
          <w:tcPr>
            <w:tcW w:w="2464" w:type="dxa"/>
            <w:vAlign w:val="center"/>
          </w:tcPr>
          <w:p>
            <w:pPr>
              <w:adjustRightInd w:val="0"/>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谈判截止时间</w:t>
            </w:r>
          </w:p>
        </w:tc>
        <w:tc>
          <w:tcPr>
            <w:tcW w:w="6934" w:type="dxa"/>
            <w:vAlign w:val="center"/>
          </w:tcPr>
          <w:p>
            <w:pPr>
              <w:adjustRightInd w:val="0"/>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202</w:t>
            </w: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0</w:t>
            </w:r>
            <w:r>
              <w:rPr>
                <w:rFonts w:hint="eastAsia" w:ascii="宋体" w:hAnsi="宋体" w:eastAsia="宋体" w:cs="宋体"/>
                <w:sz w:val="24"/>
                <w:szCs w:val="24"/>
                <w:lang w:val="en-US" w:eastAsia="zh-CN"/>
              </w:rPr>
              <w:t>8</w:t>
            </w:r>
            <w:r>
              <w:rPr>
                <w:rFonts w:hint="eastAsia" w:ascii="宋体" w:hAnsi="宋体" w:eastAsia="宋体" w:cs="宋体"/>
                <w:sz w:val="24"/>
                <w:szCs w:val="24"/>
                <w:lang w:val="zh-CN"/>
              </w:rPr>
              <w:t>-</w:t>
            </w:r>
            <w:r>
              <w:rPr>
                <w:rFonts w:hint="eastAsia" w:ascii="宋体" w:hAnsi="宋体" w:cs="宋体"/>
                <w:sz w:val="24"/>
                <w:szCs w:val="24"/>
                <w:lang w:val="en-US" w:eastAsia="zh-CN"/>
              </w:rPr>
              <w:t>18</w:t>
            </w:r>
            <w:r>
              <w:rPr>
                <w:rFonts w:hint="eastAsia" w:ascii="宋体" w:hAnsi="宋体" w:eastAsia="宋体" w:cs="宋体"/>
                <w:sz w:val="24"/>
                <w:szCs w:val="24"/>
                <w:lang w:val="zh-CN"/>
              </w:rPr>
              <w:t xml:space="preserve"> </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9</w:t>
            </w:r>
            <w:r>
              <w:rPr>
                <w:rFonts w:hint="eastAsia" w:ascii="宋体" w:hAnsi="宋体" w:eastAsia="宋体" w:cs="宋体"/>
                <w:sz w:val="24"/>
                <w:szCs w:val="24"/>
                <w:lang w:val="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23</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rPr>
              <w:t>递交谈判响应文件地点</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西安市雁塔区二环南路西段88号老三届世纪星大厦30层AB座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24</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rPr>
              <w:t>谈判响应</w:t>
            </w:r>
            <w:r>
              <w:rPr>
                <w:rFonts w:hint="eastAsia" w:ascii="宋体" w:hAnsi="宋体" w:eastAsia="宋体" w:cs="宋体"/>
                <w:sz w:val="24"/>
                <w:szCs w:val="24"/>
                <w:lang w:val="zh-CN"/>
              </w:rPr>
              <w:t>文件开标后是否退还</w:t>
            </w:r>
          </w:p>
        </w:tc>
        <w:tc>
          <w:tcPr>
            <w:tcW w:w="6934" w:type="dxa"/>
            <w:vAlign w:val="center"/>
          </w:tcPr>
          <w:p>
            <w:pPr>
              <w:autoSpaceDE w:val="0"/>
              <w:autoSpaceDN w:val="0"/>
              <w:adjustRightInd w:val="0"/>
              <w:snapToGrid w:val="0"/>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3"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25</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谈判时间和地点</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谈判时间：202</w:t>
            </w: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0</w:t>
            </w:r>
            <w:r>
              <w:rPr>
                <w:rFonts w:hint="eastAsia" w:ascii="宋体" w:hAnsi="宋体" w:eastAsia="宋体" w:cs="宋体"/>
                <w:sz w:val="24"/>
                <w:szCs w:val="24"/>
                <w:lang w:val="en-US" w:eastAsia="zh-CN"/>
              </w:rPr>
              <w:t>8</w:t>
            </w:r>
            <w:r>
              <w:rPr>
                <w:rFonts w:hint="eastAsia" w:ascii="宋体" w:hAnsi="宋体" w:eastAsia="宋体" w:cs="宋体"/>
                <w:sz w:val="24"/>
                <w:szCs w:val="24"/>
                <w:lang w:val="zh-CN"/>
              </w:rPr>
              <w:t>-</w:t>
            </w:r>
            <w:r>
              <w:rPr>
                <w:rFonts w:hint="eastAsia" w:cs="宋体"/>
                <w:sz w:val="24"/>
                <w:szCs w:val="24"/>
                <w:lang w:val="en-US" w:eastAsia="zh-CN"/>
              </w:rPr>
              <w:t>18</w:t>
            </w:r>
            <w:r>
              <w:rPr>
                <w:rFonts w:hint="eastAsia" w:ascii="宋体" w:hAnsi="宋体" w:eastAsia="宋体" w:cs="宋体"/>
                <w:sz w:val="24"/>
                <w:szCs w:val="24"/>
                <w:lang w:val="zh-CN"/>
              </w:rPr>
              <w:t xml:space="preserve"> </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9</w:t>
            </w:r>
            <w:r>
              <w:rPr>
                <w:rFonts w:hint="eastAsia" w:ascii="宋体" w:hAnsi="宋体" w:eastAsia="宋体" w:cs="宋体"/>
                <w:sz w:val="24"/>
                <w:szCs w:val="24"/>
                <w:lang w:val="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:00</w:t>
            </w:r>
          </w:p>
          <w:p>
            <w:pPr>
              <w:pStyle w:val="133"/>
              <w:snapToGrid w:val="0"/>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zh-CN"/>
              </w:rPr>
              <w:t>谈判地点：</w:t>
            </w:r>
            <w:r>
              <w:rPr>
                <w:rFonts w:hint="eastAsia" w:ascii="宋体" w:hAnsi="宋体" w:eastAsia="宋体" w:cs="宋体"/>
                <w:sz w:val="24"/>
                <w:szCs w:val="24"/>
                <w:lang w:val="zh-CN"/>
              </w:rPr>
              <w:t>西安市雁塔区二环南路西段88号老三届世纪星大厦30层AB座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26</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rPr>
              <w:t>成交</w:t>
            </w:r>
            <w:r>
              <w:rPr>
                <w:rFonts w:hint="eastAsia" w:ascii="宋体" w:hAnsi="宋体" w:eastAsia="宋体" w:cs="宋体"/>
                <w:sz w:val="24"/>
                <w:szCs w:val="24"/>
                <w:lang w:val="zh-CN"/>
              </w:rPr>
              <w:t>公告</w:t>
            </w:r>
          </w:p>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媒介、期限</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公告媒介：陕西省政府采购网</w:t>
            </w:r>
          </w:p>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公告期限：</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27</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934" w:type="dxa"/>
            <w:vAlign w:val="center"/>
          </w:tcPr>
          <w:p>
            <w:pPr>
              <w:pStyle w:val="133"/>
              <w:snapToGrid w:val="0"/>
              <w:ind w:firstLine="480" w:firstLineChars="200"/>
              <w:rPr>
                <w:rFonts w:hint="default" w:ascii="宋体" w:hAnsi="宋体" w:eastAsia="宋体" w:cs="宋体"/>
                <w:sz w:val="24"/>
                <w:szCs w:val="24"/>
                <w:lang w:val="en-US" w:eastAsia="zh-CN"/>
              </w:rPr>
            </w:pPr>
            <w:r>
              <w:rPr>
                <w:rFonts w:hint="eastAsia" w:cs="宋体"/>
                <w:sz w:val="24"/>
                <w:szCs w:val="24"/>
                <w:lang w:val="en-US" w:eastAsia="zh-CN"/>
              </w:rPr>
              <w:t>合同金额的5%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3" w:hRule="atLeast"/>
          <w:jc w:val="center"/>
        </w:trPr>
        <w:tc>
          <w:tcPr>
            <w:tcW w:w="681" w:type="dxa"/>
            <w:vAlign w:val="center"/>
          </w:tcPr>
          <w:p>
            <w:pPr>
              <w:pStyle w:val="133"/>
              <w:jc w:val="center"/>
              <w:rPr>
                <w:rFonts w:hint="eastAsia" w:ascii="宋体" w:hAnsi="宋体" w:eastAsia="宋体" w:cs="宋体"/>
                <w:sz w:val="24"/>
                <w:szCs w:val="24"/>
              </w:rPr>
            </w:pPr>
            <w:r>
              <w:rPr>
                <w:rFonts w:hint="eastAsia" w:ascii="宋体" w:hAnsi="宋体" w:eastAsia="宋体" w:cs="宋体"/>
                <w:sz w:val="24"/>
                <w:szCs w:val="24"/>
              </w:rPr>
              <w:t>38</w:t>
            </w:r>
          </w:p>
        </w:tc>
        <w:tc>
          <w:tcPr>
            <w:tcW w:w="2464" w:type="dxa"/>
            <w:vAlign w:val="center"/>
          </w:tcPr>
          <w:p>
            <w:pPr>
              <w:pStyle w:val="133"/>
              <w:snapToGrid w:val="0"/>
              <w:jc w:val="center"/>
              <w:rPr>
                <w:rFonts w:hint="eastAsia" w:ascii="宋体" w:hAnsi="宋体" w:eastAsia="宋体" w:cs="宋体"/>
                <w:sz w:val="24"/>
                <w:szCs w:val="24"/>
                <w:lang w:val="zh-CN"/>
              </w:rPr>
            </w:pPr>
            <w:r>
              <w:rPr>
                <w:rFonts w:hint="eastAsia" w:ascii="宋体" w:hAnsi="宋体" w:eastAsia="宋体" w:cs="宋体"/>
                <w:sz w:val="24"/>
                <w:szCs w:val="24"/>
              </w:rPr>
              <w:t>成交</w:t>
            </w:r>
            <w:r>
              <w:rPr>
                <w:rFonts w:hint="eastAsia" w:ascii="宋体" w:hAnsi="宋体" w:eastAsia="宋体" w:cs="宋体"/>
                <w:sz w:val="24"/>
                <w:szCs w:val="24"/>
                <w:lang w:val="zh-CN"/>
              </w:rPr>
              <w:t>服务费</w:t>
            </w:r>
          </w:p>
        </w:tc>
        <w:tc>
          <w:tcPr>
            <w:tcW w:w="6934" w:type="dxa"/>
            <w:vAlign w:val="center"/>
          </w:tcPr>
          <w:p>
            <w:pPr>
              <w:pStyle w:val="133"/>
              <w:snapToGrid w:val="0"/>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成交</w:t>
            </w:r>
            <w:r>
              <w:rPr>
                <w:rFonts w:hint="eastAsia" w:ascii="宋体" w:hAnsi="宋体" w:eastAsia="宋体" w:cs="宋体"/>
                <w:sz w:val="24"/>
                <w:szCs w:val="24"/>
                <w:lang w:val="zh-CN"/>
              </w:rPr>
              <w:t>服务费</w:t>
            </w:r>
            <w:r>
              <w:rPr>
                <w:rFonts w:hint="eastAsia" w:ascii="宋体" w:hAnsi="宋体" w:eastAsia="宋体" w:cs="宋体"/>
                <w:sz w:val="24"/>
                <w:szCs w:val="24"/>
              </w:rPr>
              <w:t>由成交供应商支付，</w:t>
            </w:r>
            <w:r>
              <w:rPr>
                <w:rFonts w:hint="eastAsia" w:ascii="宋体" w:hAnsi="宋体" w:eastAsia="宋体" w:cs="宋体"/>
                <w:sz w:val="24"/>
                <w:szCs w:val="24"/>
                <w:lang w:val="zh-CN"/>
              </w:rPr>
              <w:t>参考《国家计委关于印发〈招标代理服务</w:t>
            </w:r>
            <w:r>
              <w:rPr>
                <w:rFonts w:hint="eastAsia" w:ascii="宋体" w:hAnsi="宋体" w:eastAsia="宋体" w:cs="宋体"/>
                <w:sz w:val="24"/>
                <w:szCs w:val="24"/>
              </w:rPr>
              <w:t>收</w:t>
            </w:r>
            <w:r>
              <w:rPr>
                <w:rFonts w:hint="eastAsia" w:ascii="宋体" w:hAnsi="宋体" w:eastAsia="宋体" w:cs="宋体"/>
                <w:sz w:val="24"/>
                <w:szCs w:val="24"/>
                <w:lang w:val="zh-CN"/>
              </w:rPr>
              <w:t>费管理暂行办法〉的通知》（计价格〔200</w:t>
            </w:r>
            <w:r>
              <w:rPr>
                <w:rFonts w:hint="eastAsia" w:ascii="宋体" w:hAnsi="宋体" w:eastAsia="宋体" w:cs="宋体"/>
                <w:sz w:val="24"/>
                <w:szCs w:val="24"/>
              </w:rPr>
              <w:t>2</w:t>
            </w:r>
            <w:r>
              <w:rPr>
                <w:rFonts w:hint="eastAsia" w:ascii="宋体" w:hAnsi="宋体" w:eastAsia="宋体" w:cs="宋体"/>
                <w:sz w:val="24"/>
                <w:szCs w:val="24"/>
                <w:lang w:val="zh-CN"/>
              </w:rPr>
              <w:t>〕1980号）、《国家发展和改革委员会办公厅关于招标代理服务收费有关问题的通知》（发改办价格〔2003〕857号）规定，</w:t>
            </w:r>
            <w:r>
              <w:rPr>
                <w:rFonts w:hint="eastAsia" w:ascii="宋体" w:hAnsi="宋体" w:eastAsia="宋体" w:cs="宋体"/>
                <w:sz w:val="24"/>
                <w:szCs w:val="24"/>
              </w:rPr>
              <w:t>具体收费金额将在结果公告中公布。</w:t>
            </w:r>
          </w:p>
        </w:tc>
      </w:tr>
    </w:tbl>
    <w:p>
      <w:pPr>
        <w:pStyle w:val="3"/>
        <w:spacing w:line="240" w:lineRule="auto"/>
        <w:jc w:val="center"/>
        <w:rPr>
          <w:rFonts w:ascii="宋体" w:hAnsi="宋体" w:cs="宋体"/>
        </w:rPr>
      </w:pPr>
      <w:r>
        <w:rPr>
          <w:rFonts w:hint="eastAsia" w:ascii="宋体" w:hAnsi="宋体" w:cs="宋体"/>
          <w:sz w:val="44"/>
          <w:szCs w:val="44"/>
        </w:rPr>
        <w:br w:type="page"/>
      </w:r>
      <w:bookmarkStart w:id="26" w:name="_Toc6024"/>
      <w:r>
        <w:rPr>
          <w:rFonts w:hint="eastAsia" w:ascii="宋体" w:hAnsi="宋体" w:cs="宋体"/>
          <w:sz w:val="44"/>
          <w:szCs w:val="44"/>
        </w:rPr>
        <w:t>第三章 供应商须知</w:t>
      </w:r>
      <w:bookmarkEnd w:id="26"/>
    </w:p>
    <w:p>
      <w:pPr>
        <w:pStyle w:val="4"/>
        <w:adjustRightInd w:val="0"/>
        <w:snapToGrid w:val="0"/>
        <w:spacing w:before="120" w:beforeLines="50" w:after="120" w:afterLines="50" w:line="360" w:lineRule="auto"/>
        <w:rPr>
          <w:rFonts w:ascii="宋体" w:hAnsi="宋体" w:eastAsia="宋体" w:cs="宋体"/>
          <w:szCs w:val="28"/>
        </w:rPr>
      </w:pPr>
      <w:bookmarkStart w:id="27" w:name="_Toc531253632"/>
      <w:bookmarkStart w:id="28" w:name="_Toc19294"/>
      <w:r>
        <w:rPr>
          <w:rFonts w:hint="eastAsia" w:ascii="宋体" w:hAnsi="宋体" w:eastAsia="宋体" w:cs="宋体"/>
          <w:szCs w:val="28"/>
        </w:rPr>
        <w:t>一、总  则</w:t>
      </w:r>
      <w:bookmarkEnd w:id="11"/>
      <w:bookmarkEnd w:id="12"/>
      <w:bookmarkEnd w:id="13"/>
      <w:bookmarkEnd w:id="14"/>
      <w:bookmarkEnd w:id="15"/>
      <w:bookmarkEnd w:id="27"/>
      <w:bookmarkEnd w:id="28"/>
      <w:bookmarkStart w:id="29" w:name="_Toc183682342"/>
      <w:bookmarkStart w:id="30" w:name="_Toc183582205"/>
      <w:bookmarkStart w:id="31" w:name="_Toc217446034"/>
    </w:p>
    <w:p>
      <w:pPr>
        <w:pStyle w:val="5"/>
        <w:adjustRightInd w:val="0"/>
        <w:snapToGrid w:val="0"/>
        <w:spacing w:before="120" w:beforeLines="50" w:after="120" w:afterLines="50" w:line="360" w:lineRule="auto"/>
        <w:rPr>
          <w:rFonts w:ascii="宋体" w:hAnsi="宋体" w:cs="宋体"/>
        </w:rPr>
      </w:pPr>
      <w:bookmarkStart w:id="32" w:name="_Toc531253633"/>
      <w:r>
        <w:rPr>
          <w:rFonts w:hint="eastAsia" w:ascii="宋体" w:hAnsi="宋体" w:cs="宋体"/>
        </w:rPr>
        <w:t>1.</w:t>
      </w:r>
      <w:bookmarkEnd w:id="29"/>
      <w:bookmarkEnd w:id="30"/>
      <w:r>
        <w:rPr>
          <w:rFonts w:hint="eastAsia" w:ascii="宋体" w:hAnsi="宋体" w:cs="宋体"/>
        </w:rPr>
        <w:t>适用范围</w:t>
      </w:r>
      <w:bookmarkEnd w:id="31"/>
      <w:bookmarkEnd w:id="32"/>
    </w:p>
    <w:p>
      <w:pPr>
        <w:tabs>
          <w:tab w:val="left" w:pos="7665"/>
        </w:tabs>
        <w:spacing w:line="360" w:lineRule="auto"/>
        <w:ind w:firstLine="480" w:firstLineChars="200"/>
        <w:rPr>
          <w:rFonts w:ascii="宋体" w:hAnsi="宋体" w:cs="宋体"/>
          <w:sz w:val="24"/>
        </w:rPr>
      </w:pPr>
      <w:r>
        <w:rPr>
          <w:rFonts w:hint="eastAsia" w:ascii="宋体" w:hAnsi="宋体" w:cs="宋体"/>
          <w:sz w:val="24"/>
        </w:rPr>
        <w:t>1.1本谈判文件仅适用于本次竞争性谈判（以下简称谈判）所叙述的货物或服务项目采购活动。</w:t>
      </w:r>
      <w:bookmarkStart w:id="33" w:name="_Toc183682343"/>
      <w:bookmarkStart w:id="34" w:name="_Toc183582206"/>
      <w:bookmarkStart w:id="35" w:name="_Toc217446035"/>
    </w:p>
    <w:p>
      <w:pPr>
        <w:tabs>
          <w:tab w:val="left" w:pos="7665"/>
        </w:tabs>
        <w:spacing w:line="360" w:lineRule="auto"/>
        <w:ind w:firstLine="480" w:firstLineChars="200"/>
        <w:rPr>
          <w:rFonts w:ascii="宋体" w:hAnsi="宋体" w:cs="宋体"/>
          <w:sz w:val="24"/>
        </w:rPr>
      </w:pPr>
      <w:r>
        <w:rPr>
          <w:rFonts w:hint="eastAsia" w:ascii="宋体" w:hAnsi="宋体" w:cs="宋体"/>
          <w:sz w:val="24"/>
        </w:rPr>
        <w:t>1.2供应商须知前附表规定专门面向中小企业采购的，仅适用中小微企业、监狱企业和残疾人福利性单位参加投标的采购活动。</w:t>
      </w:r>
    </w:p>
    <w:p>
      <w:pPr>
        <w:pStyle w:val="5"/>
        <w:spacing w:before="120" w:beforeLines="50" w:after="120" w:afterLines="50" w:line="360" w:lineRule="auto"/>
        <w:rPr>
          <w:rFonts w:ascii="宋体" w:hAnsi="宋体" w:cs="宋体"/>
          <w:b w:val="0"/>
          <w:sz w:val="24"/>
        </w:rPr>
      </w:pPr>
      <w:r>
        <w:rPr>
          <w:rFonts w:hint="eastAsia" w:ascii="宋体" w:hAnsi="宋体" w:cs="宋体"/>
        </w:rPr>
        <w:t>2.</w:t>
      </w:r>
      <w:bookmarkEnd w:id="33"/>
      <w:bookmarkEnd w:id="34"/>
      <w:bookmarkEnd w:id="35"/>
      <w:r>
        <w:rPr>
          <w:rFonts w:hint="eastAsia" w:ascii="宋体" w:hAnsi="宋体" w:cs="宋体"/>
        </w:rPr>
        <w:t>名词解释</w:t>
      </w:r>
    </w:p>
    <w:p>
      <w:pPr>
        <w:adjustRightInd w:val="0"/>
        <w:snapToGrid w:val="0"/>
        <w:spacing w:line="360" w:lineRule="auto"/>
        <w:ind w:firstLine="480" w:firstLineChars="200"/>
        <w:rPr>
          <w:rFonts w:hint="eastAsia" w:ascii="宋体" w:hAnsi="宋体" w:eastAsia="宋体" w:cs="宋体"/>
          <w:sz w:val="24"/>
          <w:lang w:eastAsia="zh-CN"/>
        </w:rPr>
      </w:pPr>
      <w:bookmarkStart w:id="36" w:name="_Toc217390843"/>
      <w:bookmarkStart w:id="37" w:name="_Toc183582207"/>
      <w:bookmarkStart w:id="38" w:name="_Toc183682344"/>
      <w:bookmarkStart w:id="39" w:name="_Toc217446036"/>
      <w:r>
        <w:rPr>
          <w:rFonts w:hint="eastAsia" w:ascii="宋体" w:hAnsi="宋体" w:cs="宋体"/>
          <w:sz w:val="24"/>
        </w:rPr>
        <w:t>2.1采购人：</w:t>
      </w:r>
      <w:r>
        <w:rPr>
          <w:rFonts w:hint="eastAsia" w:ascii="宋体" w:hAnsi="宋体" w:cs="宋体"/>
          <w:sz w:val="24"/>
          <w:lang w:eastAsia="zh-CN"/>
        </w:rPr>
        <w:t>西安商贸旅游技师学院</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2.2监督机构：</w:t>
      </w:r>
      <w:r>
        <w:rPr>
          <w:rFonts w:hint="eastAsia" w:ascii="宋体" w:hAnsi="宋体" w:cs="宋体"/>
          <w:sz w:val="24"/>
          <w:lang w:eastAsia="zh-CN"/>
        </w:rPr>
        <w:t>西安市财政局</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2.3采购代理机构：陕西明正招标有限公司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2.4供应商：是指响应竞争性谈判文件（以下简称谈判文件），参加谈判竞争的法人或其他组织或个人。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2.5货物是指本谈判文件中第五章所述所有货物。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2.6服务是指人为满足谈判文件要求而提供的服务。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2.7节能产品或者环境标志产品是指符合财政部发布的《财政部发展改革委生态环境部 市场监管总局关于调整优化节能产品 环境标志产品政府采购执行机制的通知》（财库〔2019〕9号）文件要求采购清单中的产品。（如有）</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2.8进口产品是指通过中国海关报关验放进入中国境内且产自关境外的产品，详见《关于政府采购进口产品管理有关问题的通知》(财库[2007]119号)。</w:t>
      </w:r>
      <w:r>
        <w:rPr>
          <w:rFonts w:hint="eastAsia" w:ascii="宋体" w:hAnsi="宋体" w:cs="宋体"/>
          <w:sz w:val="24"/>
        </w:rPr>
        <w:t>（如有）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2.9中小企业是指满足财政部、工业和信息化部关于印发《政府采购促进中小企业发展管理办法》的通知--财库〔2020〕46号)文件规定，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2.11残疾人福利性单位是指符合《民政部 财政部 中国残疾人联合会关于促进残疾人就业政府采购政策的通知》（财库〔2017〕141号）规定的对残疾人福利性单位的划分标准的企业。</w:t>
      </w:r>
    </w:p>
    <w:p>
      <w:pPr>
        <w:pStyle w:val="5"/>
        <w:spacing w:before="120" w:beforeLines="50" w:after="120" w:afterLines="50" w:line="360" w:lineRule="auto"/>
        <w:rPr>
          <w:rFonts w:ascii="宋体" w:hAnsi="宋体" w:cs="宋体"/>
        </w:rPr>
      </w:pPr>
      <w:r>
        <w:rPr>
          <w:rFonts w:hint="eastAsia" w:ascii="宋体" w:hAnsi="宋体" w:cs="宋体"/>
        </w:rPr>
        <w:t>3.合格的</w:t>
      </w:r>
      <w:bookmarkEnd w:id="36"/>
      <w:bookmarkEnd w:id="37"/>
      <w:bookmarkEnd w:id="38"/>
      <w:bookmarkEnd w:id="39"/>
      <w:r>
        <w:rPr>
          <w:rFonts w:hint="eastAsia" w:ascii="宋体" w:hAnsi="宋体" w:cs="宋体"/>
        </w:rPr>
        <w:t>供应商</w:t>
      </w:r>
    </w:p>
    <w:p>
      <w:pPr>
        <w:tabs>
          <w:tab w:val="left" w:pos="7665"/>
        </w:tabs>
        <w:spacing w:line="360" w:lineRule="auto"/>
        <w:ind w:firstLine="470" w:firstLineChars="196"/>
        <w:rPr>
          <w:rFonts w:ascii="宋体" w:hAnsi="宋体" w:cs="宋体"/>
          <w:sz w:val="24"/>
        </w:rPr>
      </w:pPr>
      <w:r>
        <w:rPr>
          <w:rFonts w:hint="eastAsia" w:ascii="宋体" w:hAnsi="宋体" w:cs="宋体"/>
          <w:sz w:val="24"/>
        </w:rPr>
        <w:t>3.1合格的供应商应具备以下条件：</w:t>
      </w:r>
    </w:p>
    <w:p>
      <w:pPr>
        <w:tabs>
          <w:tab w:val="left" w:pos="7665"/>
        </w:tabs>
        <w:spacing w:line="360" w:lineRule="auto"/>
        <w:ind w:firstLine="480" w:firstLineChars="200"/>
        <w:rPr>
          <w:rFonts w:ascii="宋体" w:hAnsi="宋体" w:cs="宋体"/>
          <w:spacing w:val="-4"/>
          <w:sz w:val="24"/>
        </w:rPr>
      </w:pPr>
      <w:r>
        <w:rPr>
          <w:rFonts w:hint="eastAsia" w:ascii="宋体" w:hAnsi="宋体" w:cs="宋体"/>
          <w:sz w:val="24"/>
        </w:rPr>
        <w:t>（1）具备且满足“竞争性谈判公告”要求的</w:t>
      </w:r>
      <w:r>
        <w:rPr>
          <w:rFonts w:hint="eastAsia" w:ascii="宋体" w:hAnsi="宋体" w:cs="宋体"/>
          <w:spacing w:val="-4"/>
          <w:sz w:val="24"/>
        </w:rPr>
        <w:t>；</w:t>
      </w:r>
    </w:p>
    <w:p>
      <w:pPr>
        <w:tabs>
          <w:tab w:val="left" w:pos="7665"/>
        </w:tabs>
        <w:spacing w:line="360" w:lineRule="auto"/>
        <w:ind w:firstLine="480" w:firstLineChars="200"/>
        <w:rPr>
          <w:rFonts w:ascii="宋体" w:hAnsi="宋体" w:cs="宋体"/>
          <w:sz w:val="24"/>
        </w:rPr>
      </w:pPr>
      <w:r>
        <w:rPr>
          <w:rFonts w:hint="eastAsia" w:ascii="宋体" w:hAnsi="宋体" w:cs="宋体"/>
          <w:sz w:val="24"/>
        </w:rPr>
        <w:t>（2）向采购代理机构领取了谈判文件并登记备案；</w:t>
      </w:r>
    </w:p>
    <w:p>
      <w:pPr>
        <w:tabs>
          <w:tab w:val="left" w:pos="7665"/>
        </w:tabs>
        <w:spacing w:line="360" w:lineRule="auto"/>
        <w:ind w:firstLine="480" w:firstLineChars="200"/>
        <w:rPr>
          <w:rFonts w:ascii="宋体" w:hAnsi="宋体" w:cs="宋体"/>
          <w:sz w:val="24"/>
        </w:rPr>
      </w:pPr>
      <w:r>
        <w:rPr>
          <w:rFonts w:hint="eastAsia" w:ascii="宋体" w:hAnsi="宋体" w:cs="宋体"/>
          <w:sz w:val="24"/>
        </w:rPr>
        <w:t>（3）遵守国家、陕西省、西安市有关的法律、法规和规范性文件要求；</w:t>
      </w:r>
    </w:p>
    <w:p>
      <w:pPr>
        <w:tabs>
          <w:tab w:val="left" w:pos="7665"/>
        </w:tabs>
        <w:spacing w:line="360" w:lineRule="auto"/>
        <w:ind w:firstLine="480" w:firstLineChars="200"/>
        <w:rPr>
          <w:rFonts w:ascii="宋体" w:hAnsi="宋体" w:cs="宋体"/>
          <w:sz w:val="24"/>
        </w:rPr>
      </w:pPr>
      <w:r>
        <w:rPr>
          <w:rFonts w:hint="eastAsia" w:ascii="宋体" w:hAnsi="宋体" w:cs="宋体"/>
          <w:sz w:val="24"/>
        </w:rPr>
        <w:t>（4）谈判文件和法律、行政法规规定的其他条件。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3.2限制投标要求：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（l）与采购人、采购代理机构存在</w:t>
      </w:r>
      <w:r>
        <w:rPr>
          <w:rFonts w:hint="eastAsia" w:ascii="宋体" w:hAnsi="宋体" w:cs="宋体"/>
          <w:bCs/>
          <w:sz w:val="24"/>
        </w:rPr>
        <w:t>隶属关系或者其他利害关系；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（2）与其他人的法定代表人（或者负责人）为同一人，或者与其他人存在控股、关联关系；</w:t>
      </w:r>
    </w:p>
    <w:p>
      <w:pPr>
        <w:adjustRightInd w:val="0"/>
        <w:snapToGrid w:val="0"/>
        <w:spacing w:line="360" w:lineRule="auto"/>
        <w:ind w:firstLine="480" w:firstLineChars="200"/>
        <w:rPr>
          <w:rFonts w:ascii="宋体" w:hAnsi="宋体" w:cs="宋体"/>
          <w:bCs/>
          <w:sz w:val="24"/>
        </w:rPr>
      </w:pPr>
      <w:r>
        <w:rPr>
          <w:rFonts w:hint="eastAsia" w:ascii="宋体" w:hAnsi="宋体" w:cs="宋体"/>
          <w:sz w:val="24"/>
        </w:rPr>
        <w:t>（3）除单一来源采购项目外，为采购项目提供过整体设计、规范编制或者项目管理、监理、检测等服务的供应商，不得再参加同一项目的其他采购活动</w:t>
      </w:r>
      <w:r>
        <w:rPr>
          <w:rFonts w:hint="eastAsia" w:ascii="宋体" w:hAnsi="宋体" w:cs="宋体"/>
          <w:bCs/>
          <w:sz w:val="24"/>
        </w:rPr>
        <w:t>；</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（4）因违法经营受到刑事处罚；</w:t>
      </w:r>
    </w:p>
    <w:p>
      <w:pPr>
        <w:adjustRightInd w:val="0"/>
        <w:snapToGrid w:val="0"/>
        <w:spacing w:line="360" w:lineRule="auto"/>
        <w:ind w:left="599" w:leftChars="228" w:hanging="120" w:hangingChars="50"/>
        <w:rPr>
          <w:rFonts w:ascii="宋体" w:hAnsi="宋体" w:cs="宋体"/>
          <w:bCs/>
          <w:sz w:val="24"/>
        </w:rPr>
      </w:pPr>
      <w:r>
        <w:rPr>
          <w:rFonts w:hint="eastAsia" w:ascii="宋体" w:hAnsi="宋体" w:cs="宋体"/>
          <w:bCs/>
          <w:sz w:val="24"/>
        </w:rPr>
        <w:t>（5）被责令停产停业、暂扣或者吊销许可证、暂扣或者吊销执照的行政处罚；</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（6）在一至三年内禁止参加政府采购活动或存在</w:t>
      </w:r>
      <w:r>
        <w:rPr>
          <w:rFonts w:hint="eastAsia" w:ascii="宋体" w:hAnsi="宋体" w:cs="宋体"/>
          <w:sz w:val="24"/>
        </w:rPr>
        <w:t>财政部门认定的其他重大违法记录。</w:t>
      </w:r>
    </w:p>
    <w:p>
      <w:pPr>
        <w:pStyle w:val="5"/>
        <w:spacing w:line="360" w:lineRule="auto"/>
        <w:rPr>
          <w:rFonts w:ascii="宋体" w:hAnsi="宋体" w:cs="宋体"/>
        </w:rPr>
      </w:pPr>
      <w:bookmarkStart w:id="40" w:name="_Toc217446047"/>
      <w:bookmarkStart w:id="41" w:name="_Toc183582208"/>
      <w:bookmarkStart w:id="42" w:name="_Toc183682345"/>
      <w:bookmarkStart w:id="43" w:name="_Toc217446037"/>
      <w:r>
        <w:rPr>
          <w:rFonts w:hint="eastAsia" w:ascii="宋体" w:hAnsi="宋体" w:cs="宋体"/>
        </w:rPr>
        <w:t>4.合格的货物（产品）和服务</w:t>
      </w:r>
    </w:p>
    <w:p>
      <w:pPr>
        <w:tabs>
          <w:tab w:val="left" w:pos="747"/>
        </w:tabs>
        <w:snapToGrid w:val="0"/>
        <w:spacing w:line="360" w:lineRule="auto"/>
        <w:ind w:firstLine="480" w:firstLineChars="200"/>
        <w:rPr>
          <w:rFonts w:ascii="宋体" w:hAnsi="宋体" w:cs="宋体"/>
          <w:sz w:val="24"/>
        </w:rPr>
      </w:pPr>
      <w:r>
        <w:rPr>
          <w:rFonts w:hint="eastAsia" w:ascii="宋体" w:hAnsi="宋体" w:cs="宋体"/>
          <w:bCs/>
          <w:sz w:val="24"/>
        </w:rPr>
        <w:t>4.1</w:t>
      </w:r>
      <w:r>
        <w:rPr>
          <w:rFonts w:hint="eastAsia" w:ascii="宋体" w:hAnsi="宋体" w:cs="宋体"/>
          <w:sz w:val="24"/>
        </w:rPr>
        <w:t>供应商提供的所有货物和服务，必须是合法生产、合法来源，符合国家有关标准要求。</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4.2采购人有权拒绝接受任何不合格的货物和服务，由此产生的费用及相关后果均由供应商自行承担。</w:t>
      </w:r>
    </w:p>
    <w:p>
      <w:pPr>
        <w:adjustRightInd w:val="0"/>
        <w:snapToGrid w:val="0"/>
        <w:spacing w:line="360" w:lineRule="auto"/>
        <w:outlineLvl w:val="2"/>
        <w:rPr>
          <w:rFonts w:ascii="宋体" w:hAnsi="宋体" w:cs="宋体"/>
          <w:b/>
          <w:sz w:val="32"/>
          <w:szCs w:val="20"/>
        </w:rPr>
      </w:pPr>
      <w:r>
        <w:rPr>
          <w:rFonts w:hint="eastAsia" w:ascii="宋体" w:hAnsi="宋体" w:cs="宋体"/>
          <w:b/>
          <w:sz w:val="32"/>
          <w:szCs w:val="20"/>
        </w:rPr>
        <w:t>5.知识产权</w:t>
      </w:r>
      <w:bookmarkEnd w:id="40"/>
    </w:p>
    <w:p>
      <w:pPr>
        <w:pStyle w:val="16"/>
        <w:spacing w:line="360" w:lineRule="auto"/>
        <w:ind w:firstLine="480" w:firstLineChars="200"/>
        <w:rPr>
          <w:rFonts w:ascii="宋体" w:hAnsi="宋体" w:cs="宋体"/>
          <w:sz w:val="24"/>
          <w:szCs w:val="24"/>
        </w:rPr>
      </w:pPr>
      <w:r>
        <w:rPr>
          <w:rFonts w:hint="eastAsia" w:ascii="宋体" w:hAnsi="宋体" w:cs="宋体"/>
          <w:sz w:val="24"/>
          <w:szCs w:val="24"/>
        </w:rPr>
        <w:t>5.1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6"/>
        <w:spacing w:line="360" w:lineRule="auto"/>
        <w:ind w:firstLine="480" w:firstLineChars="200"/>
        <w:rPr>
          <w:rFonts w:ascii="宋体" w:hAnsi="宋体" w:cs="宋体"/>
          <w:sz w:val="24"/>
          <w:szCs w:val="24"/>
        </w:rPr>
      </w:pPr>
      <w:r>
        <w:rPr>
          <w:rFonts w:hint="eastAsia" w:ascii="宋体" w:hAnsi="宋体" w:cs="宋体"/>
          <w:sz w:val="24"/>
          <w:szCs w:val="24"/>
        </w:rPr>
        <w:t>5.2采购人享有本项目实施过程中产生的知识成果及知识产权。</w:t>
      </w:r>
    </w:p>
    <w:p>
      <w:pPr>
        <w:spacing w:line="360" w:lineRule="auto"/>
        <w:ind w:firstLine="480" w:firstLineChars="200"/>
        <w:rPr>
          <w:rFonts w:ascii="宋体" w:hAnsi="宋体" w:cs="宋体"/>
          <w:sz w:val="24"/>
        </w:rPr>
      </w:pPr>
      <w:r>
        <w:rPr>
          <w:rFonts w:hint="eastAsia" w:ascii="宋体" w:hAnsi="宋体" w:cs="宋体"/>
          <w:sz w:val="24"/>
        </w:rPr>
        <w:t>5.3供应商如欲在项目实施过程中采用自有知识成果，需在谈判响应文件中声明，并提供相关知识产权证明文件。使用该知识成果后，并承诺提供无限期技术支持，采购人享有永久使用权。</w:t>
      </w:r>
    </w:p>
    <w:p>
      <w:pPr>
        <w:spacing w:line="360" w:lineRule="auto"/>
        <w:ind w:firstLine="480" w:firstLineChars="200"/>
        <w:rPr>
          <w:rFonts w:ascii="宋体" w:hAnsi="宋体" w:cs="宋体"/>
          <w:sz w:val="24"/>
        </w:rPr>
      </w:pPr>
      <w:r>
        <w:rPr>
          <w:rFonts w:hint="eastAsia" w:ascii="宋体" w:hAnsi="宋体" w:cs="宋体"/>
          <w:sz w:val="24"/>
        </w:rPr>
        <w:t>5.4如采用供应商所不拥有的知识产权，则在谈判报价中必须包括合法获取该知识产权的相关费用。</w:t>
      </w:r>
    </w:p>
    <w:p>
      <w:pPr>
        <w:pStyle w:val="5"/>
        <w:spacing w:line="360" w:lineRule="auto"/>
        <w:rPr>
          <w:rFonts w:ascii="宋体" w:hAnsi="宋体" w:cs="宋体"/>
        </w:rPr>
      </w:pPr>
      <w:r>
        <w:rPr>
          <w:rFonts w:hint="eastAsia" w:ascii="宋体" w:hAnsi="宋体" w:cs="宋体"/>
        </w:rPr>
        <w:t>6.谈判费用</w:t>
      </w:r>
      <w:bookmarkEnd w:id="41"/>
      <w:bookmarkEnd w:id="42"/>
      <w:bookmarkEnd w:id="43"/>
    </w:p>
    <w:p>
      <w:pPr>
        <w:spacing w:line="360" w:lineRule="auto"/>
        <w:ind w:firstLine="480" w:firstLineChars="200"/>
        <w:rPr>
          <w:rFonts w:ascii="宋体" w:hAnsi="宋体" w:cs="宋体"/>
          <w:sz w:val="24"/>
        </w:rPr>
      </w:pPr>
      <w:r>
        <w:rPr>
          <w:rFonts w:hint="eastAsia" w:ascii="宋体" w:hAnsi="宋体" w:cs="宋体"/>
          <w:sz w:val="24"/>
        </w:rPr>
        <w:t>不论谈判结果如何，供应商准备和参加谈判活动的费用自理。</w:t>
      </w:r>
      <w:bookmarkStart w:id="44" w:name="_Toc183682346"/>
      <w:bookmarkStart w:id="45" w:name="_Toc183582209"/>
      <w:bookmarkStart w:id="46" w:name="_Toc217446038"/>
      <w:bookmarkStart w:id="47" w:name="_Toc77400779"/>
      <w:bookmarkStart w:id="48" w:name="_Toc89075875"/>
    </w:p>
    <w:p>
      <w:pPr>
        <w:pStyle w:val="4"/>
        <w:spacing w:before="240" w:beforeLines="100" w:after="240" w:afterLines="100" w:line="360" w:lineRule="auto"/>
        <w:rPr>
          <w:rFonts w:ascii="宋体" w:hAnsi="宋体" w:eastAsia="宋体" w:cs="宋体"/>
          <w:szCs w:val="28"/>
        </w:rPr>
      </w:pPr>
      <w:bookmarkStart w:id="49" w:name="_Toc4198"/>
      <w:r>
        <w:rPr>
          <w:rFonts w:hint="eastAsia" w:ascii="宋体" w:hAnsi="宋体" w:eastAsia="宋体" w:cs="宋体"/>
          <w:szCs w:val="28"/>
        </w:rPr>
        <w:t>二、</w:t>
      </w:r>
      <w:bookmarkEnd w:id="44"/>
      <w:bookmarkEnd w:id="45"/>
      <w:bookmarkEnd w:id="46"/>
      <w:bookmarkEnd w:id="47"/>
      <w:bookmarkEnd w:id="48"/>
      <w:bookmarkStart w:id="50" w:name="_Toc183582210"/>
      <w:bookmarkStart w:id="51" w:name="_Toc217446039"/>
      <w:bookmarkStart w:id="52" w:name="_Toc183682347"/>
      <w:r>
        <w:rPr>
          <w:rFonts w:hint="eastAsia" w:ascii="宋体" w:hAnsi="宋体" w:eastAsia="宋体" w:cs="宋体"/>
          <w:szCs w:val="28"/>
        </w:rPr>
        <w:t>谈判文件</w:t>
      </w:r>
      <w:bookmarkEnd w:id="49"/>
    </w:p>
    <w:p>
      <w:pPr>
        <w:pStyle w:val="5"/>
        <w:spacing w:before="0" w:after="0" w:line="360" w:lineRule="auto"/>
        <w:rPr>
          <w:rFonts w:ascii="宋体" w:hAnsi="宋体" w:cs="宋体"/>
        </w:rPr>
      </w:pPr>
      <w:r>
        <w:rPr>
          <w:rFonts w:hint="eastAsia" w:ascii="宋体" w:hAnsi="宋体" w:cs="宋体"/>
        </w:rPr>
        <w:t>7.谈判文件的</w:t>
      </w:r>
      <w:bookmarkEnd w:id="50"/>
      <w:bookmarkEnd w:id="51"/>
      <w:bookmarkEnd w:id="52"/>
      <w:r>
        <w:rPr>
          <w:rFonts w:hint="eastAsia" w:ascii="宋体" w:hAnsi="宋体" w:cs="宋体"/>
        </w:rPr>
        <w:t>组成</w:t>
      </w:r>
    </w:p>
    <w:p>
      <w:pPr>
        <w:tabs>
          <w:tab w:val="left" w:pos="7665"/>
        </w:tabs>
        <w:spacing w:before="120" w:beforeLines="50"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b/>
          <w:bCs/>
          <w:sz w:val="24"/>
        </w:rPr>
        <w:t>.</w:t>
      </w:r>
      <w:r>
        <w:rPr>
          <w:rFonts w:hint="eastAsia" w:ascii="宋体" w:hAnsi="宋体" w:cs="宋体"/>
          <w:sz w:val="24"/>
        </w:rPr>
        <w:t>1谈判文件用以阐明招标项目所需的资质、技术服务及报价等要求、竞争性谈判程序、有关规定和注意事项以及合同主要条款等。本谈判文件包括以下内容：</w:t>
      </w:r>
    </w:p>
    <w:p>
      <w:pPr>
        <w:tabs>
          <w:tab w:val="left" w:pos="7665"/>
        </w:tabs>
        <w:spacing w:line="360" w:lineRule="auto"/>
        <w:ind w:firstLine="480" w:firstLineChars="200"/>
        <w:rPr>
          <w:rFonts w:ascii="宋体" w:hAnsi="宋体" w:cs="宋体"/>
          <w:sz w:val="24"/>
        </w:rPr>
      </w:pPr>
      <w:r>
        <w:rPr>
          <w:rFonts w:hint="eastAsia" w:ascii="宋体" w:hAnsi="宋体" w:cs="宋体"/>
          <w:sz w:val="24"/>
        </w:rPr>
        <w:t>（1）采购邀请（竞争性谈判公告）；</w:t>
      </w:r>
    </w:p>
    <w:p>
      <w:pPr>
        <w:tabs>
          <w:tab w:val="left" w:pos="7665"/>
        </w:tabs>
        <w:spacing w:line="360" w:lineRule="auto"/>
        <w:ind w:firstLine="480" w:firstLineChars="200"/>
        <w:rPr>
          <w:rFonts w:ascii="宋体" w:hAnsi="宋体" w:cs="宋体"/>
          <w:sz w:val="24"/>
        </w:rPr>
      </w:pPr>
      <w:r>
        <w:rPr>
          <w:rFonts w:hint="eastAsia" w:ascii="宋体" w:hAnsi="宋体" w:cs="宋体"/>
          <w:sz w:val="24"/>
        </w:rPr>
        <w:t>（2）供应商须知前附表；</w:t>
      </w:r>
    </w:p>
    <w:p>
      <w:pPr>
        <w:tabs>
          <w:tab w:val="left" w:pos="7665"/>
        </w:tabs>
        <w:spacing w:line="360" w:lineRule="auto"/>
        <w:ind w:firstLine="480" w:firstLineChars="200"/>
        <w:rPr>
          <w:rFonts w:ascii="宋体" w:hAnsi="宋体" w:cs="宋体"/>
          <w:sz w:val="24"/>
        </w:rPr>
      </w:pPr>
      <w:r>
        <w:rPr>
          <w:rFonts w:hint="eastAsia" w:ascii="宋体" w:hAnsi="宋体" w:cs="宋体"/>
          <w:sz w:val="24"/>
        </w:rPr>
        <w:t>（3）供应商须知；</w:t>
      </w:r>
    </w:p>
    <w:p>
      <w:pPr>
        <w:tabs>
          <w:tab w:val="left" w:pos="7665"/>
        </w:tabs>
        <w:spacing w:line="360" w:lineRule="auto"/>
        <w:ind w:firstLine="480" w:firstLineChars="200"/>
        <w:rPr>
          <w:rFonts w:ascii="宋体" w:hAnsi="宋体" w:cs="宋体"/>
          <w:sz w:val="24"/>
        </w:rPr>
      </w:pPr>
      <w:r>
        <w:rPr>
          <w:rFonts w:hint="eastAsia" w:ascii="宋体" w:hAnsi="宋体" w:cs="宋体"/>
          <w:sz w:val="24"/>
        </w:rPr>
        <w:t>（4）评审程序和评审办法；</w:t>
      </w:r>
    </w:p>
    <w:p>
      <w:pPr>
        <w:tabs>
          <w:tab w:val="left" w:pos="7665"/>
        </w:tabs>
        <w:spacing w:line="360" w:lineRule="auto"/>
        <w:ind w:firstLine="480" w:firstLineChars="200"/>
        <w:rPr>
          <w:rFonts w:ascii="宋体" w:hAnsi="宋体" w:cs="宋体"/>
          <w:sz w:val="24"/>
        </w:rPr>
      </w:pPr>
      <w:r>
        <w:rPr>
          <w:rFonts w:hint="eastAsia" w:ascii="宋体" w:hAnsi="宋体" w:cs="宋体"/>
          <w:sz w:val="24"/>
        </w:rPr>
        <w:t>（5）采购需求；</w:t>
      </w:r>
    </w:p>
    <w:p>
      <w:pPr>
        <w:tabs>
          <w:tab w:val="left" w:pos="7665"/>
        </w:tabs>
        <w:spacing w:line="360" w:lineRule="auto"/>
        <w:ind w:firstLine="480" w:firstLineChars="200"/>
        <w:rPr>
          <w:rFonts w:ascii="宋体" w:hAnsi="宋体" w:cs="宋体"/>
          <w:sz w:val="24"/>
        </w:rPr>
      </w:pPr>
      <w:r>
        <w:rPr>
          <w:rFonts w:hint="eastAsia" w:ascii="宋体" w:hAnsi="宋体" w:cs="宋体"/>
          <w:sz w:val="24"/>
        </w:rPr>
        <w:t>（6）拟签订的合同文本；</w:t>
      </w:r>
    </w:p>
    <w:p>
      <w:pPr>
        <w:tabs>
          <w:tab w:val="left" w:pos="7665"/>
        </w:tabs>
        <w:spacing w:line="360" w:lineRule="auto"/>
        <w:ind w:firstLine="480" w:firstLineChars="200"/>
        <w:rPr>
          <w:rFonts w:ascii="宋体" w:hAnsi="宋体" w:cs="宋体"/>
          <w:sz w:val="24"/>
        </w:rPr>
      </w:pPr>
      <w:r>
        <w:rPr>
          <w:rFonts w:hint="eastAsia" w:ascii="宋体" w:hAnsi="宋体" w:cs="宋体"/>
          <w:sz w:val="24"/>
        </w:rPr>
        <w:t>（7）谈判响应文件格式；</w:t>
      </w:r>
    </w:p>
    <w:p>
      <w:pPr>
        <w:pStyle w:val="5"/>
        <w:spacing w:before="120" w:beforeLines="50" w:after="120" w:afterLines="50" w:line="360" w:lineRule="auto"/>
        <w:rPr>
          <w:rFonts w:ascii="宋体" w:hAnsi="宋体" w:cs="宋体"/>
        </w:rPr>
      </w:pPr>
      <w:bookmarkStart w:id="53" w:name="_Toc183682348"/>
      <w:bookmarkStart w:id="54" w:name="_Toc183582211"/>
      <w:bookmarkStart w:id="55" w:name="_Toc217446040"/>
      <w:r>
        <w:rPr>
          <w:rFonts w:hint="eastAsia" w:ascii="宋体" w:hAnsi="宋体" w:cs="宋体"/>
        </w:rPr>
        <w:t>8.谈判文件的澄清</w:t>
      </w:r>
      <w:bookmarkEnd w:id="53"/>
      <w:bookmarkEnd w:id="54"/>
      <w:r>
        <w:rPr>
          <w:rFonts w:hint="eastAsia" w:ascii="宋体" w:hAnsi="宋体" w:cs="宋体"/>
        </w:rPr>
        <w:t>和修改</w:t>
      </w:r>
      <w:bookmarkEnd w:id="55"/>
    </w:p>
    <w:p>
      <w:pPr>
        <w:tabs>
          <w:tab w:val="left" w:pos="720"/>
        </w:tabs>
        <w:spacing w:line="360" w:lineRule="auto"/>
        <w:ind w:firstLine="480" w:firstLineChars="200"/>
        <w:rPr>
          <w:rFonts w:ascii="宋体" w:hAnsi="宋体" w:cs="宋体"/>
          <w:sz w:val="24"/>
        </w:rPr>
      </w:pPr>
      <w:r>
        <w:rPr>
          <w:rFonts w:hint="eastAsia" w:ascii="宋体" w:hAnsi="宋体" w:cs="宋体"/>
          <w:sz w:val="24"/>
        </w:rPr>
        <w:t>8.1 在谈判截止时间前，采购代理机构无论出于何种原因，可以对已发出谈判文件进行必要的澄清或者修改，但不得修改采购标的和资格条件。</w:t>
      </w:r>
    </w:p>
    <w:p>
      <w:pPr>
        <w:spacing w:line="360" w:lineRule="auto"/>
        <w:ind w:firstLine="480" w:firstLineChars="200"/>
        <w:rPr>
          <w:rFonts w:ascii="宋体" w:hAnsi="宋体" w:cs="宋体"/>
          <w:sz w:val="24"/>
        </w:rPr>
      </w:pPr>
      <w:r>
        <w:rPr>
          <w:rFonts w:hint="eastAsia" w:ascii="宋体" w:hAnsi="宋体" w:cs="宋体"/>
          <w:sz w:val="24"/>
        </w:rPr>
        <w:t>8.2采购人或采购代理机构对已发出的谈判文件进行必要的澄清或者修改，澄清或修改的内容可能影响谈判响应文件编制的，应当在谈判响应文件截止时间3日前，以书面形式将澄清或者修改的内容通知所有获取谈判文件的潜在供应商，同时在原信息发布媒体上发布澄清公告。供应商在收到上述通知后，应立即以书面形式向采购代理机构确认。如果澄清或者修改发出的时间距规定的谈判截止时间不足3日，将相应顺延谈判截止时间。</w:t>
      </w:r>
    </w:p>
    <w:p>
      <w:pPr>
        <w:spacing w:line="360" w:lineRule="auto"/>
        <w:ind w:firstLine="480" w:firstLineChars="200"/>
        <w:rPr>
          <w:rFonts w:ascii="宋体" w:hAnsi="宋体" w:cs="宋体"/>
          <w:sz w:val="24"/>
        </w:rPr>
      </w:pPr>
      <w:r>
        <w:rPr>
          <w:rFonts w:hint="eastAsia" w:ascii="宋体" w:hAnsi="宋体" w:cs="宋体"/>
          <w:sz w:val="24"/>
        </w:rPr>
        <w:t>8.3供应商应仔细阅读和检查谈判文件的全部内容。如发现缺页或附件不全，应及时向采购代理机构提出，以便补齐。</w:t>
      </w:r>
    </w:p>
    <w:p>
      <w:pPr>
        <w:spacing w:line="360" w:lineRule="auto"/>
        <w:ind w:firstLine="480" w:firstLineChars="200"/>
        <w:rPr>
          <w:rFonts w:ascii="宋体" w:hAnsi="宋体" w:cs="宋体"/>
          <w:sz w:val="24"/>
        </w:rPr>
      </w:pPr>
      <w:r>
        <w:rPr>
          <w:rFonts w:hint="eastAsia" w:ascii="宋体" w:hAnsi="宋体" w:cs="宋体"/>
          <w:sz w:val="24"/>
        </w:rPr>
        <w:t>8.4应商对谈判文件有询问或者质疑的，应在获取采购文件之日起七个工作日内，以书面形式向采购代理机构提出，在此之后提出的询问和质疑均为无效，采购代理机构不予受理。对于在规定时间内收到的供应商依法提出的询问或者质疑，采购代理机构将按程序在3个工作日内书面答复询问，七个工作日内书面答复质疑，或认为有必要召开答疑会。超过该时间收到的需要询问或质疑，采购代理机构有权不予答复。</w:t>
      </w:r>
    </w:p>
    <w:p>
      <w:pPr>
        <w:spacing w:line="360" w:lineRule="auto"/>
        <w:ind w:firstLine="480" w:firstLineChars="200"/>
        <w:rPr>
          <w:rFonts w:ascii="宋体" w:hAnsi="宋体" w:cs="宋体"/>
          <w:sz w:val="24"/>
        </w:rPr>
      </w:pPr>
      <w:r>
        <w:rPr>
          <w:rFonts w:hint="eastAsia" w:ascii="宋体" w:hAnsi="宋体" w:cs="宋体"/>
          <w:sz w:val="24"/>
        </w:rPr>
        <w:t>8.5在谈判截止时间前，采购代理机构可以视采购具体情况，延长谈判截止时间和谈判时间，并在谈判文件要求提交谈判响应文件的截止时间前，将变更时间以书面形式通知所有获取谈判文件的潜在供应商，同时在原信息发布媒体上发布变更公告。</w:t>
      </w:r>
      <w:bookmarkStart w:id="56" w:name="_Toc183682350"/>
      <w:bookmarkStart w:id="57" w:name="_Toc183582213"/>
      <w:bookmarkStart w:id="58" w:name="_Toc217446041"/>
      <w:bookmarkStart w:id="59" w:name="_Toc208848971"/>
    </w:p>
    <w:p>
      <w:pPr>
        <w:spacing w:line="360" w:lineRule="auto"/>
        <w:ind w:firstLine="480" w:firstLineChars="200"/>
        <w:rPr>
          <w:rFonts w:ascii="宋体" w:hAnsi="宋体" w:cs="宋体"/>
          <w:sz w:val="24"/>
        </w:rPr>
      </w:pPr>
      <w:r>
        <w:rPr>
          <w:rFonts w:hint="eastAsia" w:ascii="宋体" w:hAnsi="宋体" w:cs="宋体"/>
          <w:sz w:val="24"/>
        </w:rPr>
        <w:t>8.6 谈判文件澄清、答复、修改或补充的内容为谈判文件的组成部分。当谈判文件澄清、答复、修改或补充通知就同一内容表述不一致时，以最后发出的书面文件内容为准。</w:t>
      </w:r>
    </w:p>
    <w:bookmarkEnd w:id="56"/>
    <w:bookmarkEnd w:id="57"/>
    <w:p>
      <w:pPr>
        <w:pStyle w:val="5"/>
        <w:spacing w:before="120" w:beforeLines="50" w:after="120" w:afterLines="50" w:line="360" w:lineRule="auto"/>
        <w:rPr>
          <w:rFonts w:ascii="宋体" w:hAnsi="宋体" w:cs="宋体"/>
        </w:rPr>
      </w:pPr>
      <w:r>
        <w:rPr>
          <w:rFonts w:hint="eastAsia" w:ascii="宋体" w:hAnsi="宋体" w:cs="宋体"/>
        </w:rPr>
        <w:t>9.答疑会</w:t>
      </w:r>
      <w:bookmarkEnd w:id="58"/>
      <w:bookmarkEnd w:id="59"/>
    </w:p>
    <w:p>
      <w:pPr>
        <w:spacing w:line="360" w:lineRule="auto"/>
        <w:ind w:firstLine="480" w:firstLineChars="200"/>
        <w:rPr>
          <w:rFonts w:ascii="宋体" w:hAnsi="宋体" w:cs="宋体"/>
          <w:sz w:val="24"/>
        </w:rPr>
      </w:pPr>
      <w:r>
        <w:rPr>
          <w:rFonts w:hint="eastAsia" w:ascii="宋体" w:hAnsi="宋体" w:cs="宋体"/>
          <w:sz w:val="24"/>
        </w:rPr>
        <w:t>9.1根据采购项目和具体情况，采购代理机构认为有必要，可以组织召开谈判前答疑会或组织供应商对项目现场进行考察。答疑会或进行现场考察的时间，采购代理机构将以书面形式通知所有领取了谈判文件的供应商。</w:t>
      </w:r>
    </w:p>
    <w:p>
      <w:pPr>
        <w:adjustRightInd w:val="0"/>
        <w:snapToGrid w:val="0"/>
        <w:spacing w:line="360" w:lineRule="auto"/>
        <w:ind w:firstLine="420" w:firstLineChars="175"/>
        <w:rPr>
          <w:rFonts w:ascii="宋体" w:hAnsi="宋体" w:cs="宋体"/>
          <w:sz w:val="24"/>
        </w:rPr>
      </w:pPr>
      <w:r>
        <w:rPr>
          <w:rFonts w:hint="eastAsia" w:ascii="宋体" w:hAnsi="宋体" w:cs="宋体"/>
          <w:sz w:val="24"/>
        </w:rPr>
        <w:t>9.2 答疑会或现场考察后，采购人或采购代理机构对供应商所提问题的澄清（答复）以书面形式通知所有领取了谈判文件的供应商。该澄清内容为谈判文件的组成部分。</w:t>
      </w:r>
    </w:p>
    <w:p>
      <w:pPr>
        <w:adjustRightInd w:val="0"/>
        <w:snapToGrid w:val="0"/>
        <w:spacing w:line="360" w:lineRule="auto"/>
        <w:ind w:firstLine="420" w:firstLineChars="175"/>
        <w:rPr>
          <w:rFonts w:ascii="宋体" w:hAnsi="宋体" w:cs="宋体"/>
          <w:sz w:val="24"/>
        </w:rPr>
      </w:pPr>
      <w:r>
        <w:rPr>
          <w:rFonts w:hint="eastAsia" w:ascii="宋体" w:hAnsi="宋体" w:cs="宋体"/>
          <w:sz w:val="24"/>
        </w:rPr>
        <w:t>9.3 采购人不对供应商现场考察而做出的推论、理解和结论负责。一旦成交，成交供应商不得以任何借口，提出额外补偿，或延长合同期限的要求。</w:t>
      </w:r>
    </w:p>
    <w:p>
      <w:pPr>
        <w:adjustRightInd w:val="0"/>
        <w:snapToGrid w:val="0"/>
        <w:spacing w:line="360" w:lineRule="auto"/>
        <w:ind w:firstLine="420" w:firstLineChars="175"/>
        <w:rPr>
          <w:rFonts w:ascii="宋体" w:hAnsi="宋体" w:cs="宋体"/>
          <w:sz w:val="24"/>
        </w:rPr>
      </w:pPr>
      <w:r>
        <w:rPr>
          <w:rFonts w:hint="eastAsia" w:ascii="宋体" w:hAnsi="宋体" w:cs="宋体"/>
          <w:sz w:val="24"/>
        </w:rPr>
        <w:t>9.4 答疑或考察现场所发生的一切费用由供应商自行承担。</w:t>
      </w:r>
    </w:p>
    <w:p>
      <w:pPr>
        <w:adjustRightInd w:val="0"/>
        <w:snapToGrid w:val="0"/>
        <w:spacing w:line="360" w:lineRule="auto"/>
        <w:ind w:firstLine="420" w:firstLineChars="175"/>
        <w:rPr>
          <w:rFonts w:ascii="宋体" w:hAnsi="宋体" w:cs="宋体"/>
          <w:sz w:val="24"/>
        </w:rPr>
      </w:pPr>
      <w:r>
        <w:rPr>
          <w:rFonts w:hint="eastAsia" w:ascii="宋体" w:hAnsi="宋体" w:cs="宋体"/>
          <w:sz w:val="24"/>
        </w:rPr>
        <w:t>9.5本项目是否组织答疑会以供应商须知前附表中内容为准。</w:t>
      </w:r>
    </w:p>
    <w:p>
      <w:pPr>
        <w:pStyle w:val="5"/>
        <w:spacing w:before="120" w:beforeLines="50" w:after="120" w:afterLines="50" w:line="360" w:lineRule="auto"/>
        <w:rPr>
          <w:rFonts w:ascii="宋体" w:hAnsi="宋体" w:cs="宋体"/>
        </w:rPr>
      </w:pPr>
      <w:r>
        <w:rPr>
          <w:rFonts w:hint="eastAsia" w:ascii="宋体" w:hAnsi="宋体" w:cs="宋体"/>
        </w:rPr>
        <w:t>10.谈判文件的解释权</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谈判文件的解释权归采购代理机构，如发现谈判文件内容与现行法律法规不相符的情况，以现行法律法规为准。</w:t>
      </w:r>
      <w:bookmarkStart w:id="60" w:name="_Toc89075876"/>
      <w:bookmarkStart w:id="61" w:name="_Toc183682351"/>
      <w:bookmarkStart w:id="62" w:name="_Toc77400780"/>
      <w:bookmarkStart w:id="63" w:name="_Toc217446042"/>
      <w:bookmarkStart w:id="64" w:name="_Toc183582214"/>
    </w:p>
    <w:p>
      <w:pPr>
        <w:pStyle w:val="4"/>
        <w:spacing w:before="120" w:beforeLines="50" w:after="120" w:afterLines="50" w:line="360" w:lineRule="auto"/>
        <w:rPr>
          <w:rFonts w:ascii="宋体" w:hAnsi="宋体" w:eastAsia="宋体" w:cs="宋体"/>
          <w:bCs/>
        </w:rPr>
      </w:pPr>
      <w:bookmarkStart w:id="65" w:name="_Toc25698"/>
      <w:r>
        <w:rPr>
          <w:rFonts w:hint="eastAsia" w:ascii="宋体" w:hAnsi="宋体" w:eastAsia="宋体" w:cs="宋体"/>
          <w:bCs/>
        </w:rPr>
        <w:t>三、供应商</w:t>
      </w:r>
      <w:bookmarkEnd w:id="65"/>
    </w:p>
    <w:p>
      <w:pPr>
        <w:pStyle w:val="5"/>
        <w:spacing w:before="120" w:beforeLines="50" w:after="120" w:afterLines="50" w:line="360" w:lineRule="auto"/>
        <w:rPr>
          <w:rFonts w:ascii="宋体" w:hAnsi="宋体" w:cs="宋体"/>
        </w:rPr>
      </w:pPr>
      <w:r>
        <w:rPr>
          <w:rFonts w:hint="eastAsia" w:ascii="宋体" w:hAnsi="宋体" w:cs="宋体"/>
        </w:rPr>
        <w:t>11.</w:t>
      </w:r>
      <w:bookmarkEnd w:id="60"/>
      <w:bookmarkEnd w:id="61"/>
      <w:bookmarkEnd w:id="62"/>
      <w:bookmarkEnd w:id="63"/>
      <w:bookmarkEnd w:id="64"/>
      <w:bookmarkStart w:id="66" w:name="_Toc217446043"/>
      <w:bookmarkStart w:id="67" w:name="_Toc183682352"/>
      <w:bookmarkStart w:id="68" w:name="_Toc183582215"/>
      <w:r>
        <w:rPr>
          <w:rFonts w:hint="eastAsia" w:ascii="宋体" w:hAnsi="宋体" w:cs="宋体"/>
        </w:rPr>
        <w:t>供应商资格要求</w:t>
      </w:r>
    </w:p>
    <w:p>
      <w:pPr>
        <w:adjustRightInd w:val="0"/>
        <w:snapToGrid w:val="0"/>
        <w:spacing w:line="360" w:lineRule="auto"/>
        <w:ind w:firstLine="480" w:firstLineChars="200"/>
        <w:rPr>
          <w:rFonts w:hint="eastAsia" w:hAnsi="宋体" w:cs="宋体"/>
          <w:sz w:val="24"/>
        </w:rPr>
      </w:pPr>
      <w:r>
        <w:rPr>
          <w:rFonts w:hint="eastAsia" w:hAnsi="宋体" w:cs="宋体"/>
          <w:sz w:val="24"/>
        </w:rPr>
        <w:t>11.1供应商应符合《中华人民共和国政府采购法》第二十二条规定的条件</w:t>
      </w:r>
      <w:r>
        <w:rPr>
          <w:rFonts w:hint="eastAsia" w:hAnsi="宋体" w:cs="宋体"/>
        </w:rPr>
        <w:t>，</w:t>
      </w:r>
      <w:r>
        <w:rPr>
          <w:rFonts w:hint="eastAsia" w:hAnsi="宋体" w:cs="宋体"/>
          <w:sz w:val="24"/>
        </w:rPr>
        <w:t>提供下列材料：</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1、供应商应具有独立承担民事责任的能力的企业法人、事业法人、其他组织或自然人，出具合法有效的营业执照等相关证明文件，自然人参与的提供其身份证明；</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2、法定代表人直接参加投标的，须出具法定代表人证明及法人身份证；法定代表人授权代表参加投标的，须出具法定代表人授权书及授权代表身份证。</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3、财务状况报告：提供经审计的2021年度财务报告或开标前六个月内其本公司银行账户出具的资信证明；</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4、税收缴纳证明：供应商提供截止至开标时间前六个月任一月份的缴费凭据；依法免税的应提供相关文件证明；</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5、社会保障资金缴纳证明：供应商提供截止至开标时间前六个月任一月份的缴费凭据或社保机构开具的社会保险参保缴费情况证明；依法不需要缴纳社会保障资金的应提供相关文件证明；</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6、供应商提供具有履行本合同所必需的设备和专业技术能力的承诺函；</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7、供应商提供参加政府采购活动前三年内在经营活动中没有重大违法记录的承诺函；</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8、符合《财政部关于在政府采购活动中查询及使用信用记录有关问题的通知》（财库【2016】125号）文件中信用查询的要求；</w:t>
      </w:r>
    </w:p>
    <w:p>
      <w:pPr>
        <w:pStyle w:val="24"/>
        <w:adjustRightInd w:val="0"/>
        <w:spacing w:line="360" w:lineRule="auto"/>
        <w:ind w:firstLine="480" w:firstLineChars="200"/>
        <w:rPr>
          <w:rFonts w:hint="eastAsia" w:hAnsi="宋体" w:cs="宋体"/>
          <w:sz w:val="24"/>
          <w:szCs w:val="24"/>
        </w:rPr>
      </w:pPr>
      <w:r>
        <w:rPr>
          <w:rFonts w:hint="eastAsia" w:hAnsi="宋体" w:cs="宋体"/>
          <w:sz w:val="24"/>
          <w:szCs w:val="24"/>
        </w:rPr>
        <w:t>采购人或采购代理机构将在</w:t>
      </w:r>
      <w:r>
        <w:rPr>
          <w:rFonts w:hint="eastAsia" w:cs="宋体"/>
          <w:b w:val="0"/>
          <w:bCs/>
          <w:color w:val="auto"/>
          <w:kern w:val="2"/>
          <w:sz w:val="24"/>
          <w:szCs w:val="24"/>
          <w:highlight w:val="none"/>
          <w:lang w:val="en-US" w:eastAsia="zh-CN" w:bidi="ar-SA"/>
        </w:rPr>
        <w:t>谈判</w:t>
      </w:r>
      <w:r>
        <w:rPr>
          <w:rFonts w:hint="eastAsia" w:hAnsi="宋体" w:cs="宋体"/>
          <w:sz w:val="24"/>
          <w:szCs w:val="24"/>
        </w:rPr>
        <w:t>截止日当天资格审查阶段通过【信用中国（www.creditchina.gov.cn）】和【中国政府采购网（www.ccgp.gov.cn）】网站对供应商的信用情况进行查询，并将网页截图附在评审资料中作为留存依据（如相关失信记录已失效，供应商需提供相关证明资料，若没有则此项不需要提供）。</w:t>
      </w:r>
    </w:p>
    <w:p>
      <w:pPr>
        <w:pStyle w:val="24"/>
        <w:adjustRightInd w:val="0"/>
        <w:spacing w:line="360" w:lineRule="auto"/>
        <w:ind w:firstLine="480" w:firstLineChars="200"/>
        <w:rPr>
          <w:rFonts w:hint="eastAsia" w:ascii="宋体" w:hAnsi="宋体" w:cs="宋体"/>
          <w:sz w:val="24"/>
        </w:rPr>
      </w:pPr>
      <w:r>
        <w:rPr>
          <w:rFonts w:hint="eastAsia" w:hAnsi="宋体" w:cs="宋体"/>
          <w:sz w:val="24"/>
          <w:szCs w:val="24"/>
          <w:lang w:val="en-US" w:eastAsia="zh-CN"/>
        </w:rPr>
        <w:t>9、</w:t>
      </w:r>
      <w:r>
        <w:rPr>
          <w:rFonts w:hint="eastAsia" w:ascii="宋体" w:hAnsi="宋体" w:cs="宋体"/>
          <w:sz w:val="24"/>
        </w:rPr>
        <w:t>供应商须具备建设行政主管部门核发的建筑装饰装修工程专业承包二级及以上资质</w:t>
      </w:r>
      <w:r>
        <w:rPr>
          <w:rFonts w:hint="eastAsia" w:ascii="宋体" w:hAnsi="宋体" w:cs="宋体"/>
          <w:kern w:val="0"/>
          <w:sz w:val="24"/>
        </w:rPr>
        <w:t>，安全生产许可证在有效期内</w:t>
      </w:r>
      <w:r>
        <w:rPr>
          <w:rFonts w:hint="eastAsia" w:ascii="宋体" w:hAnsi="宋体" w:cs="宋体"/>
          <w:sz w:val="24"/>
        </w:rPr>
        <w:t>。</w:t>
      </w:r>
    </w:p>
    <w:p>
      <w:pPr>
        <w:pStyle w:val="24"/>
        <w:adjustRightInd w:val="0"/>
        <w:spacing w:line="360" w:lineRule="auto"/>
        <w:ind w:firstLine="480" w:firstLineChars="200"/>
        <w:rPr>
          <w:rFonts w:hint="eastAsia" w:hAnsi="宋体" w:eastAsia="宋体" w:cs="宋体"/>
          <w:sz w:val="24"/>
          <w:szCs w:val="24"/>
          <w:lang w:val="en-US" w:eastAsia="zh-CN"/>
        </w:rPr>
      </w:pPr>
      <w:r>
        <w:rPr>
          <w:rFonts w:hint="eastAsia" w:hAnsi="宋体" w:cs="宋体"/>
          <w:sz w:val="24"/>
          <w:szCs w:val="24"/>
          <w:lang w:val="en-US" w:eastAsia="zh-CN"/>
        </w:rPr>
        <w:t>10、</w:t>
      </w:r>
      <w:r>
        <w:rPr>
          <w:rFonts w:hint="eastAsia" w:ascii="宋体" w:hAnsi="宋体" w:eastAsia="宋体" w:cs="宋体"/>
          <w:bCs/>
          <w:kern w:val="2"/>
          <w:sz w:val="24"/>
          <w:szCs w:val="20"/>
          <w:highlight w:val="none"/>
          <w:lang w:val="en-US" w:eastAsia="zh-CN" w:bidi="ar-SA"/>
        </w:rPr>
        <w:t>供应商提供小型微型企业声明函/中小企业声明函（附件4）或残疾人福利性单位声明函(附件5）或监狱、戒毒企业声明函（附件6）。</w:t>
      </w:r>
    </w:p>
    <w:p>
      <w:pPr>
        <w:numPr>
          <w:ilvl w:val="0"/>
          <w:numId w:val="0"/>
        </w:numPr>
        <w:spacing w:line="360" w:lineRule="auto"/>
        <w:ind w:firstLine="482" w:firstLineChars="200"/>
        <w:rPr>
          <w:rFonts w:hint="eastAsia" w:hAnsi="宋体" w:cs="宋体"/>
          <w:b/>
          <w:bCs/>
          <w:sz w:val="24"/>
        </w:rPr>
      </w:pPr>
      <w:r>
        <w:rPr>
          <w:rFonts w:hint="eastAsia" w:hAnsi="宋体" w:cs="宋体"/>
          <w:b/>
          <w:bCs/>
          <w:sz w:val="24"/>
        </w:rPr>
        <w:t>说明：</w:t>
      </w:r>
    </w:p>
    <w:p>
      <w:pPr>
        <w:spacing w:line="360" w:lineRule="auto"/>
        <w:ind w:firstLine="482" w:firstLineChars="200"/>
        <w:rPr>
          <w:rFonts w:hint="eastAsia" w:hAnsi="宋体" w:cs="宋体"/>
          <w:b/>
          <w:bCs/>
          <w:sz w:val="24"/>
        </w:rPr>
      </w:pPr>
      <w:r>
        <w:rPr>
          <w:rFonts w:hint="eastAsia" w:hAnsi="宋体" w:cs="宋体"/>
          <w:b/>
          <w:bCs/>
          <w:sz w:val="24"/>
        </w:rPr>
        <w:t>（1）以上为供应商必备资格要求，资格证明文件无效或缺项响应文件按无效响应文件处理。</w:t>
      </w:r>
    </w:p>
    <w:p>
      <w:pPr>
        <w:spacing w:line="360" w:lineRule="auto"/>
        <w:ind w:firstLine="482" w:firstLineChars="200"/>
        <w:rPr>
          <w:rFonts w:hint="eastAsia" w:hAnsi="宋体" w:cs="宋体"/>
          <w:b/>
          <w:bCs/>
          <w:sz w:val="24"/>
        </w:rPr>
      </w:pPr>
      <w:r>
        <w:rPr>
          <w:rFonts w:hint="eastAsia" w:hAnsi="宋体" w:cs="宋体"/>
          <w:b/>
          <w:bCs/>
          <w:sz w:val="24"/>
        </w:rPr>
        <w:t>（2）</w:t>
      </w:r>
      <w:r>
        <w:rPr>
          <w:rFonts w:hint="eastAsia" w:hAnsi="宋体" w:cs="宋体"/>
          <w:b/>
          <w:sz w:val="24"/>
        </w:rPr>
        <w:t>在</w:t>
      </w:r>
      <w:r>
        <w:rPr>
          <w:rFonts w:hint="eastAsia" w:hAnsi="宋体" w:cs="宋体"/>
          <w:b/>
          <w:sz w:val="24"/>
          <w:lang w:val="en-US" w:eastAsia="zh-CN"/>
        </w:rPr>
        <w:t>谈判</w:t>
      </w:r>
      <w:r>
        <w:rPr>
          <w:rFonts w:hint="eastAsia" w:hAnsi="宋体" w:cs="宋体"/>
          <w:b/>
          <w:sz w:val="24"/>
        </w:rPr>
        <w:t>响应文件正副本中应附完整的资格证明材料复印件，正本加盖供应商红色鲜章</w:t>
      </w:r>
      <w:r>
        <w:rPr>
          <w:rFonts w:hint="eastAsia" w:hAnsi="宋体" w:cs="宋体"/>
          <w:b/>
          <w:color w:val="000000"/>
          <w:sz w:val="24"/>
        </w:rPr>
        <w:t>。</w:t>
      </w:r>
    </w:p>
    <w:p>
      <w:pPr>
        <w:spacing w:line="360" w:lineRule="auto"/>
        <w:ind w:firstLine="482" w:firstLineChars="200"/>
        <w:rPr>
          <w:rFonts w:hint="eastAsia" w:hAnsi="宋体" w:cs="宋体"/>
          <w:b/>
          <w:bCs/>
          <w:sz w:val="24"/>
        </w:rPr>
      </w:pPr>
      <w:r>
        <w:rPr>
          <w:rFonts w:hint="eastAsia" w:hAnsi="宋体" w:cs="宋体"/>
          <w:b/>
          <w:bCs/>
          <w:sz w:val="24"/>
        </w:rPr>
        <w:t>（3）依法免税或不需要缴纳社会保障资金的供应商提供相应证明文件；</w:t>
      </w:r>
    </w:p>
    <w:p>
      <w:pPr>
        <w:spacing w:line="360" w:lineRule="auto"/>
        <w:ind w:firstLine="482" w:firstLineChars="200"/>
        <w:rPr>
          <w:rFonts w:hint="eastAsia"/>
        </w:rPr>
      </w:pPr>
      <w:r>
        <w:rPr>
          <w:rFonts w:hint="eastAsia" w:ascii="宋体" w:hAnsi="宋体" w:cs="宋体"/>
          <w:b/>
          <w:bCs/>
          <w:kern w:val="0"/>
          <w:sz w:val="24"/>
          <w:highlight w:val="none"/>
        </w:rPr>
        <w:t>（4）</w:t>
      </w:r>
      <w:r>
        <w:rPr>
          <w:rFonts w:hint="eastAsia" w:ascii="宋体" w:hAnsi="宋体" w:cs="宋体"/>
          <w:b/>
          <w:bCs/>
          <w:kern w:val="0"/>
          <w:sz w:val="24"/>
          <w:highlight w:val="none"/>
          <w:lang w:val="en-US" w:eastAsia="zh-CN"/>
        </w:rPr>
        <w:t>供应商</w:t>
      </w:r>
      <w:r>
        <w:rPr>
          <w:rFonts w:hint="eastAsia" w:ascii="宋体" w:hAnsi="宋体" w:cs="宋体"/>
          <w:b/>
          <w:bCs/>
          <w:kern w:val="0"/>
          <w:sz w:val="24"/>
          <w:highlight w:val="none"/>
        </w:rPr>
        <w:t>须知前附表规定本项目专门面向中小企业采购的，投标人应符合政府采购政策规定的中小企业条件，提供相应证明材料。</w:t>
      </w:r>
    </w:p>
    <w:p>
      <w:pPr>
        <w:spacing w:line="360" w:lineRule="auto"/>
        <w:ind w:firstLine="480" w:firstLineChars="200"/>
        <w:rPr>
          <w:rFonts w:hint="eastAsia" w:hAnsi="宋体" w:cs="宋体"/>
          <w:b/>
          <w:bCs/>
          <w:sz w:val="24"/>
        </w:rPr>
      </w:pPr>
      <w:r>
        <w:rPr>
          <w:rFonts w:hint="eastAsia" w:hAnsi="宋体" w:cs="宋体"/>
          <w:sz w:val="24"/>
        </w:rPr>
        <w:t>11.2供应商应保证所提供的全部证明材料的真实性，并保证愿意接受由采购人对其所提供材料的真实性的调查和考证。</w:t>
      </w:r>
    </w:p>
    <w:p>
      <w:pPr>
        <w:pStyle w:val="5"/>
        <w:spacing w:before="120" w:beforeLines="50" w:after="120" w:afterLines="50" w:line="360" w:lineRule="auto"/>
        <w:rPr>
          <w:rFonts w:ascii="宋体" w:hAnsi="宋体" w:cs="宋体"/>
        </w:rPr>
      </w:pPr>
      <w:r>
        <w:rPr>
          <w:rFonts w:hint="eastAsia" w:ascii="宋体" w:hAnsi="宋体" w:cs="宋体"/>
        </w:rPr>
        <w:t>12.授权委托</w:t>
      </w:r>
    </w:p>
    <w:p>
      <w:pPr>
        <w:pStyle w:val="20"/>
        <w:adjustRightInd w:val="0"/>
        <w:snapToGrid w:val="0"/>
        <w:spacing w:line="360" w:lineRule="auto"/>
        <w:ind w:left="-178" w:leftChars="-85" w:firstLine="600" w:firstLineChars="250"/>
        <w:rPr>
          <w:rFonts w:hAnsi="宋体" w:cs="宋体"/>
          <w:sz w:val="24"/>
          <w:szCs w:val="24"/>
        </w:rPr>
      </w:pPr>
      <w:r>
        <w:rPr>
          <w:rFonts w:hint="eastAsia" w:hAnsi="宋体" w:cs="宋体"/>
          <w:sz w:val="24"/>
          <w:szCs w:val="24"/>
        </w:rPr>
        <w:t>供应商代表为法定代表人（单位负责人）的，应持有法定代表人（单位负责人）证明、身份证。供应商代表不是法定代表人（单位负责人）的，应持有法定代表人（单位负责人）授权书，被授权人代表身份证。</w:t>
      </w:r>
    </w:p>
    <w:p>
      <w:pPr>
        <w:pStyle w:val="5"/>
        <w:spacing w:before="120" w:beforeLines="50" w:after="120" w:afterLines="50" w:line="360" w:lineRule="auto"/>
        <w:rPr>
          <w:rFonts w:ascii="宋体" w:hAnsi="宋体" w:cs="宋体"/>
        </w:rPr>
      </w:pPr>
      <w:r>
        <w:rPr>
          <w:rFonts w:hint="eastAsia" w:ascii="宋体" w:hAnsi="宋体" w:cs="宋体"/>
        </w:rPr>
        <w:t>13.联合谈判（适用于允许联合体谈判情形）</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13.1两个以上供应商可以组成一个谈判联合体，以一个供应商的身份谈判。以联合体形式参加谈判的，联合体各方均应当符合《中华人民共和国政府采购法》及实施条例规定的条件。</w:t>
      </w:r>
    </w:p>
    <w:p>
      <w:pPr>
        <w:spacing w:line="360" w:lineRule="auto"/>
        <w:ind w:firstLine="468" w:firstLineChars="195"/>
        <w:rPr>
          <w:rFonts w:ascii="宋体" w:hAnsi="宋体" w:cs="宋体"/>
          <w:sz w:val="24"/>
        </w:rPr>
      </w:pPr>
      <w:r>
        <w:rPr>
          <w:rFonts w:hint="eastAsia" w:ascii="宋体" w:hAnsi="宋体" w:cs="宋体"/>
          <w:sz w:val="24"/>
        </w:rPr>
        <w:t>13.2联合体各方之间应当签订共同谈判协议，明确约定联合体各方承担的合同工作量比例和相应的责任，并将共同谈判协议连同谈判响应文件一并提交采购单位。联合体各方签订共同谈判协议后，不得再以自己名义单独在同一项目中谈判，也不得组成新的联合体参加同一项目谈判。</w:t>
      </w:r>
    </w:p>
    <w:p>
      <w:pPr>
        <w:pStyle w:val="20"/>
        <w:adjustRightInd w:val="0"/>
        <w:snapToGrid w:val="0"/>
        <w:spacing w:line="360" w:lineRule="auto"/>
        <w:ind w:left="-178" w:leftChars="-85" w:firstLine="600" w:firstLineChars="250"/>
        <w:rPr>
          <w:rFonts w:hAnsi="宋体" w:cs="宋体"/>
          <w:sz w:val="24"/>
          <w:szCs w:val="24"/>
        </w:rPr>
      </w:pPr>
      <w:r>
        <w:rPr>
          <w:rFonts w:hint="eastAsia" w:hAnsi="宋体" w:cs="宋体"/>
          <w:sz w:val="24"/>
          <w:szCs w:val="24"/>
        </w:rPr>
        <w:t>13.3</w:t>
      </w:r>
      <w:r>
        <w:rPr>
          <w:rFonts w:hint="eastAsia" w:hAnsi="宋体" w:cs="宋体"/>
          <w:sz w:val="24"/>
          <w:szCs w:val="24"/>
          <w:lang w:val="zh-CN"/>
        </w:rPr>
        <w:t>联合体中有同类资质的供应商按照联合体分工承担相同工作的，按照资质等级较低的供应商确定资质等级；</w:t>
      </w:r>
    </w:p>
    <w:p>
      <w:pPr>
        <w:spacing w:line="360" w:lineRule="auto"/>
        <w:ind w:firstLine="470" w:firstLineChars="196"/>
        <w:rPr>
          <w:rFonts w:ascii="宋体" w:hAnsi="宋体" w:cs="宋体"/>
          <w:sz w:val="24"/>
        </w:rPr>
      </w:pPr>
      <w:r>
        <w:rPr>
          <w:rFonts w:hint="eastAsia" w:ascii="宋体" w:hAnsi="宋体" w:cs="宋体"/>
          <w:sz w:val="24"/>
        </w:rPr>
        <w:t>13.4联合体应当确定其中一个单位为谈判的全权代表，负责参加谈判的一切事务，并承担谈判及履约中应承担的全部责任与义务。</w:t>
      </w:r>
    </w:p>
    <w:p>
      <w:pPr>
        <w:pStyle w:val="16"/>
        <w:spacing w:line="360" w:lineRule="auto"/>
        <w:ind w:firstLine="480" w:firstLineChars="200"/>
        <w:rPr>
          <w:rFonts w:ascii="宋体" w:hAnsi="宋体" w:cs="宋体"/>
          <w:sz w:val="24"/>
          <w:szCs w:val="24"/>
        </w:rPr>
      </w:pPr>
      <w:r>
        <w:rPr>
          <w:rFonts w:hint="eastAsia" w:ascii="宋体" w:hAnsi="宋体" w:cs="宋体"/>
          <w:sz w:val="24"/>
          <w:szCs w:val="24"/>
        </w:rPr>
        <w:t>13.5联合体各方应当共同与采购人签订采购合同，就采购合同约定的事项对采购人承担连带责任。</w:t>
      </w:r>
    </w:p>
    <w:p>
      <w:pPr>
        <w:pStyle w:val="16"/>
        <w:spacing w:line="360" w:lineRule="auto"/>
        <w:ind w:firstLine="480" w:firstLineChars="200"/>
        <w:rPr>
          <w:rFonts w:ascii="宋体" w:hAnsi="宋体" w:cs="宋体"/>
          <w:sz w:val="24"/>
          <w:szCs w:val="24"/>
        </w:rPr>
      </w:pPr>
      <w:r>
        <w:rPr>
          <w:rFonts w:hint="eastAsia" w:ascii="宋体" w:hAnsi="宋体" w:cs="宋体"/>
          <w:sz w:val="24"/>
          <w:szCs w:val="24"/>
        </w:rPr>
        <w:t>本项目不接受联合体谈判。</w:t>
      </w:r>
    </w:p>
    <w:p>
      <w:pPr>
        <w:pStyle w:val="5"/>
        <w:spacing w:before="120" w:beforeLines="50" w:after="120" w:afterLines="50" w:line="360" w:lineRule="auto"/>
        <w:rPr>
          <w:rFonts w:ascii="宋体" w:hAnsi="宋体" w:cs="宋体"/>
        </w:rPr>
      </w:pPr>
      <w:r>
        <w:rPr>
          <w:rFonts w:hint="eastAsia" w:ascii="宋体" w:hAnsi="宋体" w:cs="宋体"/>
        </w:rPr>
        <w:t>14.落实政府采购政策</w:t>
      </w: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14.1中小企业落实政府采购政策</w:t>
      </w:r>
    </w:p>
    <w:p>
      <w:pPr>
        <w:adjustRightInd w:val="0"/>
        <w:snapToGrid w:val="0"/>
        <w:spacing w:line="360" w:lineRule="auto"/>
        <w:ind w:firstLine="480" w:firstLineChars="200"/>
        <w:jc w:val="left"/>
        <w:rPr>
          <w:rFonts w:hint="eastAsia" w:hAnsi="宋体" w:cs="宋体"/>
          <w:sz w:val="24"/>
        </w:rPr>
      </w:pPr>
      <w:bookmarkStart w:id="69" w:name="_Toc531253634"/>
      <w:r>
        <w:rPr>
          <w:rFonts w:hint="eastAsia" w:ascii="宋体" w:hAnsi="宋体" w:cs="宋体"/>
          <w:color w:val="auto"/>
          <w:sz w:val="24"/>
          <w:highlight w:val="none"/>
        </w:rPr>
        <w:t>中小企业应符合工信部联企业[2011]300号文件划型标准规定，采购活动执行</w:t>
      </w:r>
      <w:r>
        <w:rPr>
          <w:rFonts w:hint="eastAsia" w:ascii="宋体" w:hAnsi="宋体" w:cs="宋体"/>
          <w:color w:val="auto"/>
          <w:sz w:val="24"/>
          <w:szCs w:val="21"/>
        </w:rPr>
        <w:t>《政府采购促进中小企业发展管理办法》（财库〔2020〕46 号）</w:t>
      </w:r>
      <w:r>
        <w:rPr>
          <w:rFonts w:hint="eastAsia" w:ascii="宋体" w:hAnsi="宋体" w:cs="宋体"/>
          <w:color w:val="auto"/>
          <w:sz w:val="24"/>
          <w:szCs w:val="21"/>
          <w:lang w:val="en-US" w:eastAsia="zh-CN"/>
        </w:rPr>
        <w:t>及</w:t>
      </w:r>
      <w:r>
        <w:rPr>
          <w:rFonts w:hint="eastAsia" w:ascii="宋体" w:hAnsi="宋体" w:cs="宋体"/>
          <w:color w:val="auto"/>
          <w:sz w:val="24"/>
          <w:highlight w:val="none"/>
          <w:lang w:eastAsia="zh-CN"/>
        </w:rPr>
        <w:t>《</w:t>
      </w:r>
      <w:r>
        <w:rPr>
          <w:rFonts w:hint="eastAsia" w:ascii="宋体" w:hAnsi="宋体" w:eastAsia="宋体" w:cs="宋体"/>
          <w:b w:val="0"/>
          <w:bCs/>
          <w:color w:val="auto"/>
          <w:kern w:val="2"/>
          <w:sz w:val="24"/>
          <w:szCs w:val="24"/>
          <w:highlight w:val="none"/>
          <w:lang w:val="en-US" w:eastAsia="zh-CN" w:bidi="ar-SA"/>
        </w:rPr>
        <w:t>陕西省财政厅关于落实政府采购支持中小企业政策有关事项的通知</w:t>
      </w:r>
      <w:r>
        <w:rPr>
          <w:rFonts w:hint="eastAsia" w:ascii="宋体" w:hAnsi="宋体" w:cs="宋体"/>
          <w:color w:val="auto"/>
          <w:sz w:val="24"/>
          <w:highlight w:val="none"/>
          <w:lang w:eastAsia="zh-CN"/>
        </w:rPr>
        <w:t>》</w:t>
      </w:r>
      <w:r>
        <w:rPr>
          <w:rFonts w:hint="eastAsia" w:ascii="宋体" w:hAnsi="宋体" w:eastAsia="宋体" w:cs="宋体"/>
          <w:b w:val="0"/>
          <w:bCs/>
          <w:color w:val="auto"/>
          <w:kern w:val="2"/>
          <w:sz w:val="24"/>
          <w:szCs w:val="24"/>
          <w:highlight w:val="none"/>
          <w:lang w:val="en-US" w:eastAsia="zh-CN" w:bidi="ar-SA"/>
        </w:rPr>
        <w:t>(陕财办采函〔2022〕10号)</w:t>
      </w:r>
      <w:r>
        <w:rPr>
          <w:rFonts w:hint="eastAsia" w:ascii="宋体" w:hAnsi="宋体" w:cs="宋体"/>
          <w:color w:val="auto"/>
          <w:sz w:val="24"/>
          <w:highlight w:val="none"/>
        </w:rPr>
        <w:t>的规定。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20"/>
        <w:adjustRightInd w:val="0"/>
        <w:snapToGrid w:val="0"/>
        <w:spacing w:line="360" w:lineRule="auto"/>
        <w:ind w:firstLine="480" w:firstLineChars="200"/>
        <w:rPr>
          <w:rFonts w:hAnsi="宋体" w:cs="宋体"/>
          <w:sz w:val="24"/>
        </w:rPr>
      </w:pPr>
      <w:r>
        <w:rPr>
          <w:rFonts w:hint="eastAsia" w:hAnsi="宋体" w:cs="宋体"/>
          <w:sz w:val="24"/>
        </w:rPr>
        <w:t>（2）供应商为中小企业应提供《政府采购促进中小企业发展管理办法》（财库〔2020〕46 号）文件规定的《中小企业声明函》（见第七章谈判响应文件格式），以此为依据享受政府采购政策，不提供或提供有瑕疵的：</w:t>
      </w:r>
      <w:r>
        <w:rPr>
          <w:rFonts w:hAnsi="宋体" w:cs="宋体"/>
          <w:sz w:val="24"/>
        </w:rPr>
        <w:t>①</w:t>
      </w:r>
      <w:r>
        <w:rPr>
          <w:rFonts w:hint="eastAsia" w:hAnsi="宋体" w:cs="宋体"/>
          <w:sz w:val="24"/>
        </w:rPr>
        <w:t>在评审时，不享受政府采购价格折扣的优惠政策；</w:t>
      </w:r>
      <w:r>
        <w:rPr>
          <w:rFonts w:hAnsi="宋体" w:cs="宋体"/>
          <w:sz w:val="24"/>
        </w:rPr>
        <w:t>②</w:t>
      </w:r>
      <w:r>
        <w:rPr>
          <w:rFonts w:hint="eastAsia" w:hAnsi="宋体" w:cs="宋体"/>
          <w:sz w:val="24"/>
        </w:rPr>
        <w:t>在资格审查时，不予通过资格审查（仅限专门面向中小企业采购的项目）。</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（3）在享受支持政策而中标或成交后，小微企业不得将合同分包给大中型企业，中型企业不得将合同分包给大型企业。</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w:t>
      </w:r>
      <w:r>
        <w:rPr>
          <w:rFonts w:hint="eastAsia" w:hAnsi="宋体" w:cs="宋体"/>
          <w:sz w:val="24"/>
        </w:rPr>
        <w:t>供应商</w:t>
      </w:r>
      <w:r>
        <w:rPr>
          <w:rFonts w:hint="eastAsia" w:ascii="宋体" w:hAnsi="宋体" w:cs="宋体"/>
          <w:sz w:val="24"/>
        </w:rPr>
        <w:t>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（5）</w:t>
      </w:r>
      <w:r>
        <w:rPr>
          <w:rFonts w:ascii="宋体" w:hAnsi="宋体" w:cs="宋体"/>
          <w:sz w:val="24"/>
        </w:rPr>
        <w:t>采购代理机构随</w:t>
      </w:r>
      <w:r>
        <w:rPr>
          <w:rFonts w:hint="eastAsia" w:ascii="宋体" w:hAnsi="宋体" w:cs="宋体"/>
          <w:sz w:val="24"/>
        </w:rPr>
        <w:t>采购</w:t>
      </w:r>
      <w:r>
        <w:rPr>
          <w:rFonts w:ascii="宋体" w:hAnsi="宋体" w:cs="宋体"/>
          <w:sz w:val="24"/>
        </w:rPr>
        <w:t>结果公开</w:t>
      </w:r>
      <w:r>
        <w:rPr>
          <w:rFonts w:hint="eastAsia" w:ascii="宋体" w:hAnsi="宋体" w:cs="宋体"/>
          <w:sz w:val="24"/>
        </w:rPr>
        <w:t>成交</w:t>
      </w:r>
      <w:r>
        <w:rPr>
          <w:rFonts w:ascii="宋体" w:hAnsi="宋体" w:cs="宋体"/>
          <w:sz w:val="24"/>
        </w:rPr>
        <w:t>供应商的《中小企业声明函》。</w:t>
      </w:r>
      <w:r>
        <w:rPr>
          <w:rFonts w:hint="eastAsia" w:ascii="宋体" w:hAnsi="宋体" w:cs="宋体"/>
          <w:sz w:val="24"/>
        </w:rPr>
        <w:t>供应商提供的《中小企业声明函》必须真实有效，如果被举报经查实出具虚假声明函的，将被取消谈判资格，并按有关规定予以处理。</w:t>
      </w:r>
    </w:p>
    <w:p>
      <w:pPr>
        <w:adjustRightInd w:val="0"/>
        <w:snapToGrid w:val="0"/>
        <w:spacing w:line="360" w:lineRule="auto"/>
        <w:ind w:firstLine="480" w:firstLineChars="200"/>
        <w:jc w:val="left"/>
        <w:rPr>
          <w:rFonts w:ascii="宋体" w:hAnsi="宋体" w:cs="宋体"/>
          <w:spacing w:val="6"/>
          <w:sz w:val="24"/>
        </w:rPr>
      </w:pPr>
      <w:r>
        <w:rPr>
          <w:rFonts w:hint="eastAsia" w:ascii="宋体" w:hAnsi="宋体" w:cs="宋体"/>
          <w:sz w:val="24"/>
        </w:rPr>
        <w:t>14</w:t>
      </w:r>
      <w:r>
        <w:rPr>
          <w:rFonts w:hint="eastAsia" w:ascii="宋体" w:hAnsi="宋体" w:cs="宋体"/>
          <w:spacing w:val="6"/>
          <w:sz w:val="24"/>
        </w:rPr>
        <w:t>.2监狱企业</w:t>
      </w:r>
    </w:p>
    <w:p>
      <w:pPr>
        <w:adjustRightInd w:val="0"/>
        <w:snapToGrid w:val="0"/>
        <w:spacing w:line="360" w:lineRule="auto"/>
        <w:ind w:firstLine="504" w:firstLineChars="200"/>
        <w:jc w:val="left"/>
        <w:rPr>
          <w:rFonts w:ascii="宋体" w:hAnsi="宋体" w:cs="宋体"/>
          <w:spacing w:val="6"/>
          <w:sz w:val="24"/>
        </w:rPr>
      </w:pPr>
      <w:r>
        <w:rPr>
          <w:rFonts w:hint="eastAsia" w:ascii="宋体" w:hAnsi="宋体" w:cs="宋体"/>
          <w:spacing w:val="6"/>
          <w:sz w:val="24"/>
        </w:rPr>
        <w:t>（1</w:t>
      </w:r>
      <w:r>
        <w:rPr>
          <w:rFonts w:hint="eastAsia" w:ascii="宋体" w:hAnsi="宋体" w:cs="宋体"/>
          <w:sz w:val="24"/>
        </w:rPr>
        <w:t>）监狱企业参加政府采购活动时，视同小型微型企业。符合（财库[2014]68号）文件规定的监狱企业，提供本企业制造的货物、承担的工程或者服务。</w:t>
      </w:r>
    </w:p>
    <w:p>
      <w:pPr>
        <w:adjustRightInd w:val="0"/>
        <w:snapToGrid w:val="0"/>
        <w:spacing w:line="360" w:lineRule="auto"/>
        <w:ind w:firstLine="504" w:firstLineChars="200"/>
        <w:jc w:val="left"/>
        <w:rPr>
          <w:rFonts w:ascii="宋体" w:hAnsi="宋体" w:cs="宋体"/>
          <w:spacing w:val="6"/>
          <w:sz w:val="24"/>
        </w:rPr>
      </w:pPr>
      <w:r>
        <w:rPr>
          <w:rFonts w:hint="eastAsia" w:ascii="宋体" w:hAnsi="宋体" w:cs="宋体"/>
          <w:spacing w:val="6"/>
          <w:sz w:val="24"/>
        </w:rPr>
        <w:t>（2）提供由省级以上监狱管理局、戒毒管理局(含新疆生产建设兵团)出具的属于监狱企业的证明。不提供或提供有瑕疵的，不视为小型微型企业。</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14.3残疾人福利性单位</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残疾人福利性单位参加政府采购活动时，视同小型微型企业。符合（财库[2017]141号）文件规定的残疾人福利性单位，提供本单位制造的货物、承担的工程或者服务（以下简称产品），或者提供其他残疾人福利性单位制造的货物（不包括使用非残疾人福利性单位注册商标的货物）。</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（2）响应文件中须提供《残疾人福利性单位声明函》（见第七章谈判响应文件格式），并对声明的真实性负责。不提供或提供有瑕疵的，不视为小型微型企业。</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采购代理机构随</w:t>
      </w:r>
      <w:r>
        <w:rPr>
          <w:rFonts w:hint="eastAsia" w:ascii="宋体" w:hAnsi="宋体" w:cs="宋体"/>
          <w:sz w:val="24"/>
        </w:rPr>
        <w:t>采购</w:t>
      </w:r>
      <w:r>
        <w:rPr>
          <w:rFonts w:ascii="宋体" w:hAnsi="宋体" w:cs="宋体"/>
          <w:sz w:val="24"/>
        </w:rPr>
        <w:t>结果公开</w:t>
      </w:r>
      <w:r>
        <w:rPr>
          <w:rFonts w:hint="eastAsia" w:ascii="宋体" w:hAnsi="宋体" w:cs="宋体"/>
          <w:sz w:val="24"/>
        </w:rPr>
        <w:t>成交</w:t>
      </w:r>
      <w:r>
        <w:rPr>
          <w:rFonts w:ascii="宋体" w:hAnsi="宋体" w:cs="宋体"/>
          <w:sz w:val="24"/>
        </w:rPr>
        <w:t>供应商的《</w:t>
      </w:r>
      <w:r>
        <w:rPr>
          <w:rFonts w:hint="eastAsia" w:ascii="宋体" w:hAnsi="宋体" w:cs="宋体"/>
          <w:sz w:val="24"/>
        </w:rPr>
        <w:t>残疾人福利性单位声明函》</w:t>
      </w:r>
      <w:r>
        <w:rPr>
          <w:rFonts w:ascii="宋体" w:hAnsi="宋体" w:cs="宋体"/>
          <w:sz w:val="24"/>
        </w:rPr>
        <w:t>。</w:t>
      </w:r>
    </w:p>
    <w:p>
      <w:pPr>
        <w:adjustRightInd w:val="0"/>
        <w:snapToGrid w:val="0"/>
        <w:spacing w:line="360" w:lineRule="auto"/>
        <w:ind w:firstLine="480" w:firstLineChars="200"/>
        <w:jc w:val="left"/>
        <w:rPr>
          <w:rFonts w:ascii="宋体" w:hAnsi="宋体" w:cs="宋体"/>
          <w:b/>
          <w:sz w:val="24"/>
        </w:rPr>
      </w:pPr>
      <w:r>
        <w:rPr>
          <w:rFonts w:hint="eastAsia" w:ascii="宋体" w:hAnsi="宋体" w:cs="宋体"/>
          <w:sz w:val="24"/>
        </w:rPr>
        <w:t>14.4所投产品符合政府采购强制采购政策的，实行强制采购。</w:t>
      </w:r>
    </w:p>
    <w:p>
      <w:pPr>
        <w:pStyle w:val="16"/>
        <w:adjustRightInd w:val="0"/>
        <w:snapToGrid w:val="0"/>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14.5投标产品政府采购政策</w:t>
      </w:r>
    </w:p>
    <w:p>
      <w:pPr>
        <w:pStyle w:val="16"/>
        <w:adjustRightInd w:val="0"/>
        <w:snapToGrid w:val="0"/>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所投产品属于《关于印发环境标志产品政府采购品目清单的通知》（财库[2019]18号文）、《关于印发节能产品政府采购品目清单的通知》（财库[2019]19号文）中品目清单内的产品，在投标时提供经国家确定的认证机构出具的、处于有效期之内的节能产品、环境标志产品认证证书，采购人对获得证书的产品实施政府优先采购或强制采购。国家确定的节能产品、环境标志产品认证机构详见市场监管总局《关于发布参与实施政府采购节能产品、环境标志产品认证机构名录的公告》（2019年第16号）。</w:t>
      </w:r>
    </w:p>
    <w:p>
      <w:pPr>
        <w:pStyle w:val="16"/>
        <w:adjustRightInd w:val="0"/>
        <w:snapToGrid w:val="0"/>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（2）</w:t>
      </w:r>
      <w:r>
        <w:rPr>
          <w:rFonts w:hint="eastAsia" w:hAnsi="宋体" w:cs="宋体"/>
          <w:sz w:val="24"/>
        </w:rPr>
        <w:t>供应商</w:t>
      </w:r>
      <w:r>
        <w:rPr>
          <w:rFonts w:hint="eastAsia" w:ascii="宋体" w:hAnsi="宋体" w:cs="宋体"/>
          <w:spacing w:val="6"/>
          <w:sz w:val="24"/>
          <w:szCs w:val="24"/>
        </w:rPr>
        <w:t>在谈判响应文件中必须按照《节能产品、环境标志产品明细表》格式对此类产品单独分项报价计算出占投标报价总金额的百分比。</w:t>
      </w:r>
    </w:p>
    <w:p>
      <w:pPr>
        <w:pStyle w:val="16"/>
        <w:adjustRightInd w:val="0"/>
        <w:snapToGrid w:val="0"/>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（3）</w:t>
      </w:r>
      <w:bookmarkEnd w:id="69"/>
      <w:r>
        <w:rPr>
          <w:rFonts w:hint="eastAsia" w:ascii="宋体" w:hAnsi="宋体" w:cs="宋体"/>
          <w:spacing w:val="6"/>
          <w:sz w:val="24"/>
          <w:szCs w:val="24"/>
        </w:rPr>
        <w:t>单一产品，提供相同品牌产品且通过资格审查、符合性审查的的不同供应商参加同一合同项下谈判的，以报价最低的参加谈判；最后报价相同的，如果供应商拟提供的所有产品列入了国家有关部门最新公布的政府采购节能产品、环境标志产品实施品目清单，并提供了由国家确定的认证机构出具的、处于有效期之内的节能产品、环境标志产品认证证书，则其排序在前优先采购。”其他同品牌供应商不作为成交候选人。</w:t>
      </w:r>
    </w:p>
    <w:p>
      <w:pPr>
        <w:pStyle w:val="16"/>
        <w:adjustRightInd w:val="0"/>
        <w:snapToGrid w:val="0"/>
        <w:spacing w:line="360" w:lineRule="auto"/>
        <w:ind w:firstLine="504" w:firstLineChars="200"/>
        <w:rPr>
          <w:rFonts w:ascii="宋体" w:hAnsi="宋体" w:cs="宋体"/>
          <w:b/>
          <w:bCs/>
          <w:sz w:val="24"/>
          <w:szCs w:val="24"/>
        </w:rPr>
      </w:pPr>
      <w:r>
        <w:rPr>
          <w:rFonts w:hint="eastAsia" w:ascii="宋体" w:hAnsi="宋体" w:cs="宋体"/>
          <w:spacing w:val="6"/>
          <w:sz w:val="24"/>
          <w:szCs w:val="24"/>
        </w:rPr>
        <w:t>（4）非单一产品，多家供应商提供的核心产品品牌全部相同的，按上述规定处理。</w:t>
      </w:r>
    </w:p>
    <w:p>
      <w:pPr>
        <w:pStyle w:val="20"/>
        <w:adjustRightInd w:val="0"/>
        <w:snapToGrid w:val="0"/>
        <w:spacing w:line="360" w:lineRule="auto"/>
        <w:ind w:firstLine="482" w:firstLineChars="200"/>
        <w:rPr>
          <w:rFonts w:hAnsi="宋体" w:cs="宋体"/>
          <w:spacing w:val="6"/>
          <w:sz w:val="24"/>
          <w:szCs w:val="24"/>
          <w:lang w:val="zh-CN"/>
        </w:rPr>
      </w:pPr>
      <w:r>
        <w:rPr>
          <w:rFonts w:hint="eastAsia" w:hAnsi="宋体" w:cs="宋体"/>
          <w:b/>
          <w:bCs/>
          <w:sz w:val="24"/>
          <w:szCs w:val="24"/>
        </w:rPr>
        <w:t>备注：供应商谈判响应文件中未按上述要求提供相关证明不给予优先采购。</w:t>
      </w:r>
    </w:p>
    <w:p>
      <w:pPr>
        <w:autoSpaceDE w:val="0"/>
        <w:autoSpaceDN w:val="0"/>
        <w:snapToGrid w:val="0"/>
        <w:spacing w:line="360" w:lineRule="auto"/>
        <w:rPr>
          <w:rFonts w:ascii="宋体" w:hAnsi="宋体" w:cs="宋体"/>
          <w:spacing w:val="6"/>
          <w:sz w:val="24"/>
        </w:rPr>
      </w:pPr>
      <w:r>
        <w:rPr>
          <w:rFonts w:hint="eastAsia" w:ascii="宋体" w:hAnsi="宋体" w:cs="宋体"/>
          <w:spacing w:val="6"/>
          <w:sz w:val="24"/>
        </w:rPr>
        <w:t>14.6融资担保</w:t>
      </w:r>
    </w:p>
    <w:p>
      <w:pPr>
        <w:spacing w:line="360" w:lineRule="auto"/>
        <w:ind w:firstLine="480" w:firstLineChars="200"/>
        <w:jc w:val="left"/>
        <w:rPr>
          <w:rFonts w:ascii="宋体" w:hAnsi="宋体" w:cs="宋体"/>
          <w:sz w:val="24"/>
          <w:lang w:val="zh-CN"/>
        </w:rPr>
      </w:pPr>
      <w:r>
        <w:rPr>
          <w:rFonts w:hint="eastAsia" w:ascii="宋体" w:hAnsi="宋体" w:cs="宋体"/>
          <w:sz w:val="24"/>
        </w:rPr>
        <w:t>（1）</w:t>
      </w:r>
      <w:r>
        <w:rPr>
          <w:rFonts w:hint="eastAsia" w:ascii="宋体" w:hAnsi="宋体" w:cs="宋体"/>
          <w:sz w:val="24"/>
          <w:lang w:val="zh-CN"/>
        </w:rPr>
        <w:t>陕西省信用担保</w:t>
      </w:r>
      <w:r>
        <w:rPr>
          <w:rFonts w:hint="eastAsia" w:ascii="宋体" w:hAnsi="宋体" w:cs="宋体"/>
          <w:sz w:val="24"/>
        </w:rPr>
        <w:t>及信用融资政策</w:t>
      </w:r>
    </w:p>
    <w:p>
      <w:pPr>
        <w:spacing w:line="360" w:lineRule="auto"/>
        <w:ind w:firstLine="480" w:firstLineChars="200"/>
        <w:jc w:val="left"/>
        <w:rPr>
          <w:rFonts w:ascii="宋体" w:hAnsi="宋体" w:cs="宋体"/>
          <w:sz w:val="24"/>
          <w:lang w:val="zh-CN"/>
        </w:rPr>
      </w:pPr>
      <w:r>
        <w:rPr>
          <w:rFonts w:hint="eastAsia" w:ascii="宋体" w:hAnsi="宋体" w:cs="宋体"/>
          <w:sz w:val="24"/>
          <w:lang w:val="zh-CN"/>
        </w:rPr>
        <w:t>为支持和促进中小企业发展，进一步发挥政府采购政策功能作用，有效缓解中小企业融资难等问题，根据财政部财库【2011】124号文件的精神，陕西省财政厅制订了《陕西省中小企业政府采购信用融资办法》（陕财办采〔2018〕23号），为参与陕西省政府采购项目的投标人提供政府采购</w:t>
      </w:r>
      <w:r>
        <w:rPr>
          <w:rFonts w:hint="eastAsia" w:ascii="宋体" w:hAnsi="宋体" w:cs="宋体"/>
          <w:sz w:val="24"/>
        </w:rPr>
        <w:t>信用融资服务</w:t>
      </w:r>
      <w:r>
        <w:rPr>
          <w:rFonts w:hint="eastAsia" w:ascii="宋体" w:hAnsi="宋体" w:cs="宋体"/>
          <w:sz w:val="24"/>
          <w:lang w:val="zh-CN"/>
        </w:rPr>
        <w:t>，并按照程序确定了合作的</w:t>
      </w:r>
      <w:r>
        <w:rPr>
          <w:rFonts w:hint="eastAsia" w:ascii="宋体" w:hAnsi="宋体" w:cs="宋体"/>
          <w:sz w:val="24"/>
        </w:rPr>
        <w:t>金融</w:t>
      </w:r>
      <w:r>
        <w:rPr>
          <w:rFonts w:hint="eastAsia" w:ascii="宋体" w:hAnsi="宋体" w:cs="宋体"/>
          <w:sz w:val="24"/>
          <w:lang w:val="zh-CN"/>
        </w:rPr>
        <w:t>机构。</w:t>
      </w:r>
      <w:r>
        <w:rPr>
          <w:rFonts w:hint="eastAsia" w:ascii="宋体" w:hAnsi="宋体" w:cs="宋体"/>
          <w:sz w:val="24"/>
        </w:rPr>
        <w:t>成交供应商</w:t>
      </w:r>
      <w:r>
        <w:rPr>
          <w:rFonts w:hint="eastAsia" w:ascii="宋体" w:hAnsi="宋体" w:cs="宋体"/>
          <w:sz w:val="24"/>
          <w:lang w:val="zh-CN"/>
        </w:rPr>
        <w:t>如果需要融资贷款服务的，可凭</w:t>
      </w:r>
      <w:r>
        <w:rPr>
          <w:rFonts w:hint="eastAsia" w:ascii="宋体" w:hAnsi="宋体" w:cs="宋体"/>
          <w:sz w:val="24"/>
        </w:rPr>
        <w:t>成交</w:t>
      </w:r>
      <w:r>
        <w:rPr>
          <w:rFonts w:hint="eastAsia" w:ascii="宋体" w:hAnsi="宋体" w:cs="宋体"/>
          <w:sz w:val="24"/>
          <w:lang w:val="zh-CN"/>
        </w:rPr>
        <w:t>通知书、政府采购合同等相关资料，</w:t>
      </w:r>
      <w:r>
        <w:rPr>
          <w:rFonts w:hint="eastAsia" w:ascii="宋体" w:hAnsi="宋体" w:cs="宋体"/>
          <w:sz w:val="24"/>
        </w:rPr>
        <w:t>按照</w:t>
      </w:r>
      <w:r>
        <w:rPr>
          <w:rFonts w:hint="eastAsia" w:hAnsi="宋体" w:cs="宋体"/>
          <w:sz w:val="24"/>
        </w:rPr>
        <w:t>文件</w:t>
      </w:r>
      <w:r>
        <w:rPr>
          <w:rFonts w:hint="eastAsia" w:ascii="宋体" w:hAnsi="宋体" w:cs="宋体"/>
          <w:sz w:val="24"/>
        </w:rPr>
        <w:t>规定的程</w:t>
      </w:r>
      <w:r>
        <w:rPr>
          <w:rFonts w:hint="eastAsia" w:hAnsi="宋体" w:cs="宋体"/>
          <w:sz w:val="24"/>
        </w:rPr>
        <w:t>序向有资格的银行</w:t>
      </w:r>
      <w:r>
        <w:rPr>
          <w:rFonts w:hint="eastAsia" w:ascii="宋体" w:hAnsi="宋体" w:cs="宋体"/>
          <w:sz w:val="24"/>
        </w:rPr>
        <w:t>申请办理。</w:t>
      </w:r>
      <w:r>
        <w:rPr>
          <w:rFonts w:hint="eastAsia" w:ascii="宋体" w:hAnsi="宋体" w:cs="宋体"/>
          <w:sz w:val="24"/>
          <w:lang w:val="zh-CN"/>
        </w:rPr>
        <w:t>具体规定可登陆陕西省政府采购网(www.ccgp-shaanxi.gov.cn/)重要通知专栏中查询了解。</w:t>
      </w:r>
    </w:p>
    <w:p>
      <w:pPr>
        <w:spacing w:line="360" w:lineRule="auto"/>
        <w:ind w:firstLine="480" w:firstLineChars="200"/>
        <w:jc w:val="left"/>
        <w:rPr>
          <w:rFonts w:ascii="宋体" w:hAnsi="宋体" w:cs="宋体"/>
          <w:sz w:val="24"/>
          <w:lang w:val="zh-CN"/>
        </w:rPr>
      </w:pPr>
      <w:r>
        <w:rPr>
          <w:rFonts w:hint="eastAsia" w:ascii="宋体" w:hAnsi="宋体" w:cs="宋体"/>
          <w:sz w:val="24"/>
        </w:rPr>
        <w:t>（2）西安市政府采购信用担保及信用融资政策</w:t>
      </w:r>
    </w:p>
    <w:p>
      <w:pPr>
        <w:pStyle w:val="20"/>
        <w:adjustRightInd w:val="0"/>
        <w:snapToGrid w:val="0"/>
        <w:spacing w:line="360" w:lineRule="auto"/>
        <w:ind w:firstLine="480" w:firstLineChars="200"/>
        <w:rPr>
          <w:rFonts w:hAnsi="宋体" w:cs="宋体"/>
          <w:spacing w:val="6"/>
          <w:sz w:val="24"/>
          <w:szCs w:val="24"/>
          <w:lang w:val="zh-CN"/>
        </w:rPr>
      </w:pPr>
      <w:r>
        <w:rPr>
          <w:rFonts w:hint="eastAsia" w:hAnsi="宋体" w:cs="宋体"/>
          <w:sz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文件规定的程序向有资格的担保合作银行申请办理，具体规定可登陆西安市财政局网站（</w:t>
      </w:r>
      <w:r>
        <w:fldChar w:fldCharType="begin"/>
      </w:r>
      <w:r>
        <w:instrText xml:space="preserve"> HYPERLINK "http://xaczj.xa.gov.cn/" </w:instrText>
      </w:r>
      <w:r>
        <w:fldChar w:fldCharType="separate"/>
      </w:r>
      <w:r>
        <w:rPr>
          <w:rFonts w:hint="eastAsia" w:hAnsi="宋体" w:cs="宋体"/>
          <w:sz w:val="24"/>
        </w:rPr>
        <w:t>http://xaczj.xa.gov.cn/</w:t>
      </w:r>
      <w:r>
        <w:rPr>
          <w:rFonts w:hint="eastAsia" w:hAnsi="宋体" w:cs="宋体"/>
          <w:sz w:val="24"/>
        </w:rPr>
        <w:fldChar w:fldCharType="end"/>
      </w:r>
      <w:r>
        <w:rPr>
          <w:rFonts w:hint="eastAsia" w:hAnsi="宋体" w:cs="宋体"/>
          <w:sz w:val="24"/>
        </w:rPr>
        <w:t>）查询了解。</w:t>
      </w:r>
    </w:p>
    <w:p>
      <w:pPr>
        <w:pStyle w:val="5"/>
        <w:spacing w:before="120" w:beforeLines="50" w:after="120" w:afterLines="50" w:line="360" w:lineRule="auto"/>
        <w:rPr>
          <w:rFonts w:ascii="宋体" w:hAnsi="宋体" w:cs="宋体"/>
        </w:rPr>
      </w:pPr>
      <w:r>
        <w:rPr>
          <w:rFonts w:hint="eastAsia" w:ascii="宋体" w:hAnsi="宋体" w:cs="宋体"/>
        </w:rPr>
        <w:t>15.转包与分包</w:t>
      </w:r>
    </w:p>
    <w:p>
      <w:pPr>
        <w:spacing w:line="360" w:lineRule="auto"/>
        <w:ind w:firstLine="480" w:firstLineChars="200"/>
        <w:rPr>
          <w:rFonts w:ascii="宋体" w:hAnsi="宋体" w:cs="宋体"/>
          <w:sz w:val="24"/>
        </w:rPr>
      </w:pPr>
      <w:r>
        <w:rPr>
          <w:rFonts w:hint="eastAsia" w:ascii="宋体" w:hAnsi="宋体" w:cs="宋体"/>
          <w:kern w:val="0"/>
          <w:sz w:val="24"/>
        </w:rPr>
        <w:t>15.1</w:t>
      </w:r>
      <w:r>
        <w:rPr>
          <w:rFonts w:hint="eastAsia" w:ascii="宋体" w:hAnsi="宋体" w:cs="宋体"/>
          <w:sz w:val="24"/>
        </w:rPr>
        <w:t>本项目严禁采取转包方式履行合同。本项目所称转包，是指供应商将政府采购合同业务转让给第三人，并退出现有政府采购合同当事人双方权利业务关系，受让人（即第三人）成为政府采购合同的另一方当事人的行为。</w:t>
      </w:r>
    </w:p>
    <w:p>
      <w:pPr>
        <w:spacing w:line="360" w:lineRule="auto"/>
        <w:ind w:firstLine="480" w:firstLineChars="200"/>
        <w:rPr>
          <w:rFonts w:ascii="宋体" w:hAnsi="宋体" w:cs="宋体"/>
          <w:sz w:val="24"/>
        </w:rPr>
      </w:pPr>
      <w:r>
        <w:rPr>
          <w:rFonts w:hint="eastAsia" w:ascii="宋体" w:hAnsi="宋体" w:cs="宋体"/>
          <w:sz w:val="24"/>
        </w:rPr>
        <w:t>成交供应商转包的，视同拒绝履行政府采购合同业务，将依法追究法律责任。</w:t>
      </w:r>
    </w:p>
    <w:p>
      <w:pPr>
        <w:spacing w:line="360" w:lineRule="auto"/>
        <w:ind w:firstLine="482" w:firstLineChars="200"/>
        <w:rPr>
          <w:rFonts w:ascii="宋体" w:hAnsi="宋体" w:cs="宋体"/>
        </w:rPr>
      </w:pPr>
      <w:r>
        <w:rPr>
          <w:rFonts w:hint="eastAsia" w:ascii="宋体" w:hAnsi="宋体" w:cs="宋体"/>
          <w:b/>
          <w:bCs/>
          <w:sz w:val="24"/>
        </w:rPr>
        <w:t>15.2本项目不允许分包。</w:t>
      </w:r>
    </w:p>
    <w:p>
      <w:pPr>
        <w:spacing w:line="360" w:lineRule="auto"/>
        <w:ind w:firstLine="480" w:firstLineChars="200"/>
        <w:rPr>
          <w:rFonts w:ascii="宋体" w:hAnsi="宋体" w:cs="宋体"/>
        </w:rPr>
      </w:pPr>
      <w:r>
        <w:rPr>
          <w:rFonts w:hint="eastAsia" w:ascii="宋体" w:hAnsi="宋体" w:cs="宋体"/>
          <w:kern w:val="0"/>
          <w:sz w:val="24"/>
        </w:rPr>
        <w:t>15.3未经采购人许可，不得将本采购项目采取转包实施的办法，一经发现，立即取消其成交资格，并承担由此产生的一切经济损失。</w:t>
      </w:r>
    </w:p>
    <w:p>
      <w:pPr>
        <w:pStyle w:val="5"/>
        <w:spacing w:before="120" w:beforeLines="50" w:after="120" w:afterLines="50" w:line="360" w:lineRule="auto"/>
        <w:rPr>
          <w:rFonts w:ascii="宋体" w:hAnsi="宋体" w:cs="宋体"/>
        </w:rPr>
      </w:pPr>
      <w:r>
        <w:rPr>
          <w:rFonts w:hint="eastAsia" w:ascii="宋体" w:hAnsi="宋体" w:cs="宋体"/>
        </w:rPr>
        <w:t>16.供应商的风险</w:t>
      </w:r>
    </w:p>
    <w:p>
      <w:pPr>
        <w:tabs>
          <w:tab w:val="left" w:pos="7665"/>
        </w:tabs>
        <w:spacing w:line="360" w:lineRule="auto"/>
        <w:ind w:firstLine="480" w:firstLineChars="200"/>
        <w:rPr>
          <w:rFonts w:ascii="宋体" w:hAnsi="宋体" w:cs="宋体"/>
          <w:kern w:val="0"/>
          <w:sz w:val="24"/>
        </w:rPr>
      </w:pPr>
      <w:r>
        <w:rPr>
          <w:rFonts w:hint="eastAsia" w:ascii="宋体" w:hAnsi="宋体" w:cs="宋体"/>
          <w:sz w:val="24"/>
        </w:rPr>
        <w:t>供应商应认真阅读和充分理解谈判文件中所有的事项、格式条款和规范要求，任何对</w:t>
      </w:r>
      <w:r>
        <w:rPr>
          <w:rFonts w:hint="eastAsia" w:ascii="宋体" w:hAnsi="宋体" w:cs="宋体"/>
          <w:bCs/>
          <w:sz w:val="24"/>
        </w:rPr>
        <w:t>谈判文件</w:t>
      </w:r>
      <w:r>
        <w:rPr>
          <w:rFonts w:hint="eastAsia" w:ascii="宋体" w:hAnsi="宋体" w:cs="宋体"/>
          <w:sz w:val="24"/>
        </w:rPr>
        <w:t>的忽略或误解不能作为谈判响应文件存在缺陷或瑕疵的理由；供应商</w:t>
      </w:r>
      <w:r>
        <w:rPr>
          <w:rFonts w:hint="eastAsia" w:ascii="宋体" w:hAnsi="宋体" w:cs="宋体"/>
          <w:kern w:val="0"/>
          <w:sz w:val="24"/>
        </w:rPr>
        <w:t>没有按照谈判文件要求提供全部资料，</w:t>
      </w:r>
      <w:r>
        <w:rPr>
          <w:rFonts w:hint="eastAsia" w:ascii="宋体" w:hAnsi="宋体" w:cs="宋体"/>
          <w:sz w:val="24"/>
        </w:rPr>
        <w:t>或对谈判文件全面做出实质性响应是供应商的风险，</w:t>
      </w:r>
      <w:r>
        <w:rPr>
          <w:rFonts w:hint="eastAsia" w:ascii="宋体" w:hAnsi="宋体" w:cs="宋体"/>
          <w:kern w:val="0"/>
          <w:sz w:val="24"/>
        </w:rPr>
        <w:t>并可能导致其谈判响应文件被拒绝。</w:t>
      </w:r>
    </w:p>
    <w:p>
      <w:pPr>
        <w:pStyle w:val="5"/>
        <w:spacing w:before="120" w:beforeLines="50" w:after="120" w:afterLines="50" w:line="360" w:lineRule="auto"/>
        <w:rPr>
          <w:rFonts w:ascii="宋体" w:hAnsi="宋体" w:cs="宋体"/>
        </w:rPr>
      </w:pPr>
      <w:r>
        <w:rPr>
          <w:rFonts w:hint="eastAsia" w:ascii="宋体" w:hAnsi="宋体" w:cs="宋体"/>
        </w:rPr>
        <w:t>17.供应商的纪律要求</w:t>
      </w:r>
    </w:p>
    <w:p>
      <w:pPr>
        <w:pStyle w:val="8"/>
        <w:spacing w:line="360" w:lineRule="auto"/>
        <w:ind w:firstLine="495"/>
        <w:rPr>
          <w:rFonts w:ascii="宋体" w:hAnsi="宋体" w:cs="宋体"/>
          <w:sz w:val="24"/>
          <w:szCs w:val="24"/>
        </w:rPr>
      </w:pPr>
      <w:r>
        <w:rPr>
          <w:rFonts w:hint="eastAsia" w:ascii="宋体" w:hAnsi="宋体" w:cs="宋体"/>
          <w:sz w:val="24"/>
          <w:szCs w:val="24"/>
        </w:rPr>
        <w:t>17.1有下列情形之一的，属于不合格供应商，其谈判或成交资格将被取消：</w:t>
      </w:r>
    </w:p>
    <w:p>
      <w:pPr>
        <w:spacing w:line="360" w:lineRule="auto"/>
        <w:ind w:firstLine="460" w:firstLineChars="192"/>
        <w:rPr>
          <w:rFonts w:ascii="宋体" w:hAnsi="宋体" w:cs="宋体"/>
          <w:sz w:val="24"/>
        </w:rPr>
      </w:pPr>
      <w:r>
        <w:rPr>
          <w:rFonts w:hint="eastAsia" w:ascii="宋体" w:hAnsi="宋体" w:cs="宋体"/>
          <w:sz w:val="24"/>
        </w:rPr>
        <w:t>（1）提供虚假材料谋取成交；</w:t>
      </w:r>
    </w:p>
    <w:p>
      <w:pPr>
        <w:spacing w:line="360" w:lineRule="auto"/>
        <w:ind w:firstLine="460" w:firstLineChars="192"/>
        <w:rPr>
          <w:rFonts w:ascii="宋体" w:hAnsi="宋体" w:cs="宋体"/>
          <w:sz w:val="24"/>
        </w:rPr>
      </w:pPr>
      <w:r>
        <w:rPr>
          <w:rFonts w:hint="eastAsia" w:ascii="宋体" w:hAnsi="宋体" w:cs="宋体"/>
          <w:sz w:val="24"/>
        </w:rPr>
        <w:t>（2）采取不正当手段诋毁、排挤其他供应商；</w:t>
      </w:r>
    </w:p>
    <w:p>
      <w:pPr>
        <w:spacing w:line="360" w:lineRule="auto"/>
        <w:ind w:firstLine="480" w:firstLineChars="200"/>
        <w:rPr>
          <w:rFonts w:ascii="宋体" w:hAnsi="宋体" w:cs="宋体"/>
          <w:sz w:val="24"/>
        </w:rPr>
      </w:pPr>
      <w:r>
        <w:rPr>
          <w:rFonts w:hint="eastAsia" w:ascii="宋体" w:hAnsi="宋体" w:cs="宋体"/>
          <w:sz w:val="24"/>
        </w:rPr>
        <w:t>（3）与采购人、采购代理机构、其他供应商恶意串通；</w:t>
      </w:r>
    </w:p>
    <w:p>
      <w:pPr>
        <w:spacing w:line="360" w:lineRule="auto"/>
        <w:ind w:firstLine="480" w:firstLineChars="200"/>
        <w:rPr>
          <w:rFonts w:ascii="宋体" w:hAnsi="宋体" w:cs="宋体"/>
          <w:sz w:val="24"/>
        </w:rPr>
      </w:pPr>
      <w:r>
        <w:rPr>
          <w:rFonts w:hint="eastAsia" w:ascii="宋体" w:hAnsi="宋体" w:cs="宋体"/>
          <w:sz w:val="24"/>
        </w:rPr>
        <w:t>（4）向采购人、采购代理机构、谈判小组成员行贿或者提供其他不正当利益；</w:t>
      </w:r>
    </w:p>
    <w:p>
      <w:pPr>
        <w:pStyle w:val="22"/>
        <w:tabs>
          <w:tab w:val="left" w:pos="720"/>
        </w:tabs>
        <w:spacing w:line="360" w:lineRule="auto"/>
        <w:ind w:firstLine="460" w:firstLineChars="192"/>
        <w:rPr>
          <w:rFonts w:ascii="宋体" w:hAnsi="宋体" w:cs="宋体"/>
          <w:sz w:val="24"/>
          <w:szCs w:val="24"/>
        </w:rPr>
      </w:pPr>
      <w:r>
        <w:rPr>
          <w:rFonts w:hint="eastAsia" w:ascii="宋体" w:hAnsi="宋体" w:cs="宋体"/>
          <w:sz w:val="24"/>
          <w:szCs w:val="24"/>
        </w:rPr>
        <w:t>（5）在</w:t>
      </w:r>
      <w:r>
        <w:rPr>
          <w:rFonts w:hint="eastAsia" w:ascii="宋体" w:hAnsi="宋体" w:cs="宋体"/>
          <w:sz w:val="24"/>
          <w:szCs w:val="24"/>
          <w:lang w:val="en-US" w:eastAsia="zh-CN"/>
        </w:rPr>
        <w:t>谈判</w:t>
      </w:r>
      <w:r>
        <w:rPr>
          <w:rFonts w:hint="eastAsia" w:ascii="宋体" w:hAnsi="宋体" w:cs="宋体"/>
          <w:sz w:val="24"/>
          <w:szCs w:val="24"/>
        </w:rPr>
        <w:t>过程中与</w:t>
      </w:r>
      <w:r>
        <w:rPr>
          <w:rFonts w:hint="eastAsia" w:ascii="宋体" w:hAnsi="宋体" w:cs="宋体"/>
          <w:sz w:val="24"/>
        </w:rPr>
        <w:t>采购人、采购代理机构</w:t>
      </w:r>
      <w:r>
        <w:rPr>
          <w:rFonts w:hint="eastAsia" w:ascii="宋体" w:hAnsi="宋体" w:cs="宋体"/>
          <w:sz w:val="24"/>
          <w:szCs w:val="24"/>
        </w:rPr>
        <w:t>进行协商谈判；</w:t>
      </w:r>
    </w:p>
    <w:p>
      <w:pPr>
        <w:pStyle w:val="22"/>
        <w:spacing w:line="360" w:lineRule="auto"/>
        <w:ind w:firstLine="480" w:firstLineChars="200"/>
        <w:rPr>
          <w:rFonts w:ascii="宋体" w:hAnsi="宋体" w:cs="宋体"/>
          <w:sz w:val="24"/>
          <w:szCs w:val="24"/>
        </w:rPr>
      </w:pPr>
      <w:r>
        <w:rPr>
          <w:rFonts w:hint="eastAsia" w:ascii="宋体" w:hAnsi="宋体" w:cs="宋体"/>
          <w:sz w:val="24"/>
          <w:szCs w:val="24"/>
        </w:rPr>
        <w:t>（6）拒绝有关部门的监督检查或者向监督检查部门提供虚假情况。</w:t>
      </w:r>
    </w:p>
    <w:p>
      <w:pPr>
        <w:spacing w:line="360" w:lineRule="auto"/>
        <w:ind w:firstLine="360" w:firstLineChars="150"/>
        <w:rPr>
          <w:rFonts w:ascii="宋体" w:hAnsi="宋体" w:cs="宋体"/>
          <w:sz w:val="24"/>
        </w:rPr>
      </w:pPr>
      <w:r>
        <w:rPr>
          <w:rFonts w:hint="eastAsia" w:ascii="宋体" w:hAnsi="宋体" w:cs="宋体"/>
          <w:sz w:val="24"/>
        </w:rPr>
        <w:t>17.2有下列情形之一的，视为供应商相互恶意串通谈判，其谈判无效：</w:t>
      </w:r>
    </w:p>
    <w:p>
      <w:pPr>
        <w:spacing w:line="360" w:lineRule="auto"/>
        <w:ind w:firstLine="480" w:firstLineChars="200"/>
        <w:rPr>
          <w:rFonts w:ascii="宋体" w:hAnsi="宋体" w:cs="宋体"/>
          <w:sz w:val="24"/>
        </w:rPr>
      </w:pPr>
      <w:r>
        <w:rPr>
          <w:rFonts w:hint="eastAsia" w:ascii="宋体" w:hAnsi="宋体" w:cs="宋体"/>
          <w:sz w:val="24"/>
        </w:rPr>
        <w:t>（1）不同供应商的谈判响应文件由同一单位或者个人编制；</w:t>
      </w:r>
    </w:p>
    <w:p>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（2）不同供应商委托同一单位或者个人办理谈判事宜；</w:t>
      </w:r>
    </w:p>
    <w:p>
      <w:pPr>
        <w:spacing w:line="360" w:lineRule="auto"/>
        <w:ind w:firstLine="480" w:firstLineChars="200"/>
        <w:rPr>
          <w:rFonts w:ascii="宋体" w:hAnsi="宋体" w:cs="宋体"/>
          <w:sz w:val="24"/>
        </w:rPr>
      </w:pPr>
      <w:r>
        <w:rPr>
          <w:rFonts w:hint="eastAsia" w:ascii="宋体" w:hAnsi="宋体" w:cs="宋体"/>
          <w:sz w:val="24"/>
        </w:rPr>
        <w:t>（3）不同供应商的谈判响应文件载明的项目管理成员为同一人；</w:t>
      </w:r>
    </w:p>
    <w:p>
      <w:pPr>
        <w:spacing w:line="360" w:lineRule="auto"/>
        <w:ind w:firstLine="480" w:firstLineChars="200"/>
        <w:rPr>
          <w:rFonts w:ascii="宋体" w:hAnsi="宋体" w:cs="宋体"/>
          <w:sz w:val="24"/>
        </w:rPr>
      </w:pPr>
      <w:r>
        <w:rPr>
          <w:rFonts w:hint="eastAsia" w:ascii="宋体" w:hAnsi="宋体" w:cs="宋体"/>
          <w:sz w:val="24"/>
        </w:rPr>
        <w:t>（4）不同供应商的谈判响应文件异常一致或者谈判报价呈规律性差异；</w:t>
      </w:r>
    </w:p>
    <w:p>
      <w:pPr>
        <w:spacing w:line="360" w:lineRule="auto"/>
        <w:ind w:firstLine="480" w:firstLineChars="200"/>
        <w:rPr>
          <w:rFonts w:ascii="宋体" w:hAnsi="宋体" w:cs="宋体"/>
          <w:sz w:val="24"/>
        </w:rPr>
      </w:pPr>
      <w:r>
        <w:rPr>
          <w:rFonts w:hint="eastAsia" w:ascii="宋体" w:hAnsi="宋体" w:cs="宋体"/>
          <w:sz w:val="24"/>
        </w:rPr>
        <w:t>（5）不同供应商的谈判响应文件相互混装；</w:t>
      </w:r>
    </w:p>
    <w:p>
      <w:pPr>
        <w:spacing w:line="360" w:lineRule="auto"/>
        <w:ind w:firstLine="480" w:firstLineChars="200"/>
        <w:rPr>
          <w:rFonts w:ascii="宋体" w:hAnsi="宋体" w:cs="宋体"/>
        </w:rPr>
      </w:pPr>
      <w:r>
        <w:rPr>
          <w:rFonts w:hint="eastAsia" w:ascii="宋体" w:hAnsi="宋体" w:cs="宋体"/>
          <w:sz w:val="24"/>
        </w:rPr>
        <w:t>（6）不同供应商的响应文件由同一供应商送达。</w:t>
      </w:r>
    </w:p>
    <w:p>
      <w:pPr>
        <w:pStyle w:val="4"/>
        <w:spacing w:before="120" w:beforeLines="50" w:after="120" w:afterLines="50" w:line="360" w:lineRule="auto"/>
        <w:rPr>
          <w:rFonts w:ascii="宋体" w:hAnsi="宋体" w:eastAsia="宋体" w:cs="宋体"/>
          <w:bCs/>
        </w:rPr>
      </w:pPr>
      <w:bookmarkStart w:id="70" w:name="_Toc28963"/>
      <w:r>
        <w:rPr>
          <w:rFonts w:hint="eastAsia" w:ascii="宋体" w:hAnsi="宋体" w:eastAsia="宋体" w:cs="宋体"/>
          <w:bCs/>
        </w:rPr>
        <w:t>四、谈判响应文件</w:t>
      </w:r>
      <w:bookmarkEnd w:id="70"/>
    </w:p>
    <w:p>
      <w:pPr>
        <w:pStyle w:val="5"/>
        <w:spacing w:before="120" w:beforeLines="50" w:after="120" w:afterLines="50" w:line="360" w:lineRule="auto"/>
        <w:rPr>
          <w:rFonts w:ascii="宋体" w:hAnsi="宋体" w:cs="宋体"/>
        </w:rPr>
      </w:pPr>
      <w:bookmarkStart w:id="71" w:name="_Toc531253635"/>
      <w:r>
        <w:rPr>
          <w:rFonts w:hint="eastAsia" w:ascii="宋体" w:hAnsi="宋体" w:cs="宋体"/>
        </w:rPr>
        <w:t>18.谈判响应文件的编写原则和要求</w:t>
      </w:r>
      <w:bookmarkEnd w:id="71"/>
    </w:p>
    <w:p>
      <w:pPr>
        <w:tabs>
          <w:tab w:val="left" w:pos="720"/>
        </w:tabs>
        <w:snapToGrid w:val="0"/>
        <w:spacing w:line="360" w:lineRule="auto"/>
        <w:ind w:firstLine="480" w:firstLineChars="200"/>
        <w:rPr>
          <w:rFonts w:ascii="宋体" w:hAnsi="宋体" w:cs="宋体"/>
          <w:sz w:val="24"/>
        </w:rPr>
      </w:pPr>
      <w:r>
        <w:rPr>
          <w:rFonts w:hint="eastAsia" w:ascii="宋体" w:hAnsi="宋体" w:cs="宋体"/>
          <w:sz w:val="24"/>
        </w:rPr>
        <w:t>18.1供应商应仔细阅读谈判文件的所有内容，按谈判文件规定及要求编写，应当对谈判文件提出的实质性要求做出响应，并提交完整的谈判响应文件。供应商应对采购需求提供完整详细的谈判响应方案，若供应商对指定的采购内容及服务要求不能完全响应，应在谈判响应文件中清楚地注明。供应商对本谈判文件的每一项要求所给予的响应必须是唯一的，否则将视为无效谈判响应文件。</w:t>
      </w:r>
    </w:p>
    <w:p>
      <w:pPr>
        <w:tabs>
          <w:tab w:val="left" w:pos="720"/>
        </w:tabs>
        <w:snapToGrid w:val="0"/>
        <w:spacing w:line="360" w:lineRule="auto"/>
        <w:ind w:firstLine="480" w:firstLineChars="200"/>
        <w:rPr>
          <w:rFonts w:ascii="宋体" w:hAnsi="宋体" w:cs="宋体"/>
          <w:sz w:val="24"/>
        </w:rPr>
      </w:pPr>
      <w:r>
        <w:rPr>
          <w:rFonts w:hint="eastAsia" w:ascii="宋体" w:hAnsi="宋体" w:cs="宋体"/>
          <w:sz w:val="24"/>
        </w:rPr>
        <w:t>18.2真实性原则</w:t>
      </w:r>
    </w:p>
    <w:p>
      <w:pPr>
        <w:tabs>
          <w:tab w:val="left" w:pos="720"/>
        </w:tabs>
        <w:snapToGrid w:val="0"/>
        <w:spacing w:line="360" w:lineRule="auto"/>
        <w:ind w:firstLine="480"/>
        <w:rPr>
          <w:rFonts w:ascii="宋体" w:hAnsi="宋体" w:cs="宋体"/>
          <w:sz w:val="24"/>
        </w:rPr>
      </w:pPr>
      <w:r>
        <w:rPr>
          <w:rFonts w:hint="eastAsia" w:ascii="宋体" w:hAnsi="宋体" w:cs="宋体"/>
          <w:sz w:val="24"/>
        </w:rPr>
        <w:t>18.2.1供应商应保证所提供的谈判响应文件和所有资料的真实性、准确性和完整性。</w:t>
      </w:r>
    </w:p>
    <w:p>
      <w:pPr>
        <w:tabs>
          <w:tab w:val="left" w:pos="720"/>
        </w:tabs>
        <w:snapToGrid w:val="0"/>
        <w:spacing w:line="360" w:lineRule="auto"/>
        <w:ind w:firstLine="482"/>
        <w:rPr>
          <w:rFonts w:ascii="宋体" w:hAnsi="宋体" w:cs="宋体"/>
          <w:sz w:val="24"/>
        </w:rPr>
      </w:pPr>
      <w:r>
        <w:rPr>
          <w:rFonts w:hint="eastAsia" w:ascii="宋体" w:hAnsi="宋体" w:cs="宋体"/>
          <w:sz w:val="24"/>
        </w:rPr>
        <w:t>18.2.2供应商在政府采购过程中提供不真实的材料，无论其材料是否重要，采购人均有权拒绝，并取消其谈判资格，供应商需承担相应的后果及法律责任。</w:t>
      </w:r>
    </w:p>
    <w:p>
      <w:pPr>
        <w:tabs>
          <w:tab w:val="left" w:pos="720"/>
        </w:tabs>
        <w:snapToGrid w:val="0"/>
        <w:spacing w:line="360" w:lineRule="auto"/>
        <w:ind w:firstLine="480" w:firstLineChars="200"/>
        <w:rPr>
          <w:rFonts w:ascii="宋体" w:hAnsi="宋体" w:cs="宋体"/>
          <w:sz w:val="24"/>
        </w:rPr>
      </w:pPr>
      <w:r>
        <w:rPr>
          <w:rFonts w:hint="eastAsia" w:ascii="宋体" w:hAnsi="宋体" w:cs="宋体"/>
          <w:sz w:val="24"/>
        </w:rPr>
        <w:t>18.3谈判语言</w:t>
      </w:r>
    </w:p>
    <w:p>
      <w:pPr>
        <w:spacing w:line="360" w:lineRule="auto"/>
        <w:ind w:firstLine="480" w:firstLineChars="200"/>
        <w:rPr>
          <w:rFonts w:ascii="宋体" w:hAnsi="宋体" w:cs="宋体"/>
          <w:sz w:val="24"/>
        </w:rPr>
      </w:pPr>
      <w:r>
        <w:rPr>
          <w:rFonts w:hint="eastAsia" w:ascii="宋体" w:hAnsi="宋体" w:cs="宋体"/>
          <w:sz w:val="24"/>
        </w:rPr>
        <w:t>18.3.1供应商提交的谈判响应文件以及供应商与采购代理机构就有关谈判的所有来往书面文件均须使用简体中文。谈判响应文件中如附有外文资料，必须逐一对应翻译成简体中文并加盖供应商公章后附在相关外文资料后面，否则，由此带来的一切影响后果自负。</w:t>
      </w: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18.3.2翻译的中文资料与外文资料如果出现差异和矛盾时，以中文为准。但不能故意错误翻译，否则，供应商的谈判响应文件将作为无效响应处理。</w:t>
      </w:r>
      <w:r>
        <w:rPr>
          <w:rFonts w:hint="eastAsia" w:hAnsi="宋体" w:cs="宋体"/>
          <w:kern w:val="0"/>
          <w:sz w:val="24"/>
          <w:szCs w:val="24"/>
        </w:rPr>
        <w:t>必要时采购人可以要求供应商提供附有公证书的中文翻译文件或者与原版文件签章相一致的中文翻译文件。</w:t>
      </w:r>
    </w:p>
    <w:p>
      <w:pPr>
        <w:tabs>
          <w:tab w:val="left" w:pos="720"/>
        </w:tabs>
        <w:snapToGrid w:val="0"/>
        <w:spacing w:line="360" w:lineRule="auto"/>
        <w:ind w:firstLine="480"/>
        <w:rPr>
          <w:rFonts w:ascii="宋体" w:hAnsi="宋体" w:cs="宋体"/>
          <w:sz w:val="24"/>
        </w:rPr>
      </w:pPr>
      <w:r>
        <w:rPr>
          <w:rFonts w:hint="eastAsia" w:ascii="宋体" w:hAnsi="宋体" w:cs="宋体"/>
          <w:sz w:val="24"/>
        </w:rPr>
        <w:t>18.4计量单位</w:t>
      </w:r>
    </w:p>
    <w:p>
      <w:pPr>
        <w:tabs>
          <w:tab w:val="left" w:pos="720"/>
        </w:tabs>
        <w:snapToGrid w:val="0"/>
        <w:spacing w:line="360" w:lineRule="auto"/>
        <w:ind w:firstLine="480"/>
        <w:rPr>
          <w:rFonts w:ascii="宋体" w:hAnsi="宋体" w:cs="宋体"/>
          <w:kern w:val="0"/>
          <w:sz w:val="24"/>
        </w:rPr>
      </w:pPr>
      <w:r>
        <w:rPr>
          <w:rFonts w:hint="eastAsia" w:ascii="宋体" w:hAnsi="宋体" w:cs="宋体"/>
          <w:kern w:val="0"/>
          <w:sz w:val="24"/>
        </w:rPr>
        <w:t>谈判文件已有明确规定的，使用谈判文件规定的计量单位；谈判文件没有规定的，应采用中华人民共和国法定计量单位</w:t>
      </w:r>
      <w:r>
        <w:rPr>
          <w:rFonts w:hint="eastAsia" w:ascii="宋体" w:hAnsi="宋体" w:cs="宋体"/>
          <w:sz w:val="24"/>
        </w:rPr>
        <w:t>(国际单位制和国家选定的其他计量单位)</w:t>
      </w:r>
      <w:r>
        <w:rPr>
          <w:rFonts w:hint="eastAsia" w:ascii="宋体" w:hAnsi="宋体" w:cs="宋体"/>
          <w:kern w:val="0"/>
          <w:sz w:val="24"/>
        </w:rPr>
        <w:t>。否则，视为对谈判文件未作出实质性响应。</w:t>
      </w:r>
    </w:p>
    <w:p>
      <w:pPr>
        <w:tabs>
          <w:tab w:val="left" w:pos="720"/>
        </w:tabs>
        <w:snapToGrid w:val="0"/>
        <w:spacing w:line="360" w:lineRule="auto"/>
        <w:ind w:firstLine="480"/>
        <w:rPr>
          <w:rFonts w:ascii="宋体" w:hAnsi="宋体" w:cs="宋体"/>
          <w:sz w:val="24"/>
        </w:rPr>
      </w:pPr>
      <w:r>
        <w:rPr>
          <w:rFonts w:hint="eastAsia" w:ascii="宋体" w:hAnsi="宋体" w:cs="宋体"/>
          <w:sz w:val="24"/>
        </w:rPr>
        <w:t>18.5谈判货币</w:t>
      </w:r>
    </w:p>
    <w:p>
      <w:pPr>
        <w:tabs>
          <w:tab w:val="left" w:pos="720"/>
        </w:tabs>
        <w:snapToGrid w:val="0"/>
        <w:spacing w:line="360" w:lineRule="auto"/>
        <w:ind w:firstLine="480"/>
        <w:rPr>
          <w:rFonts w:ascii="宋体" w:hAnsi="宋体" w:cs="宋体"/>
          <w:kern w:val="0"/>
          <w:sz w:val="24"/>
        </w:rPr>
      </w:pPr>
      <w:r>
        <w:rPr>
          <w:rFonts w:hint="eastAsia" w:ascii="宋体" w:hAnsi="宋体" w:cs="宋体"/>
          <w:kern w:val="0"/>
          <w:sz w:val="24"/>
        </w:rPr>
        <w:t>本次采购项目的谈判报价均以人民币报价。</w:t>
      </w:r>
    </w:p>
    <w:p>
      <w:pPr>
        <w:pStyle w:val="20"/>
        <w:adjustRightInd w:val="0"/>
        <w:snapToGrid w:val="0"/>
        <w:spacing w:line="360" w:lineRule="auto"/>
        <w:ind w:firstLine="480" w:firstLineChars="200"/>
        <w:rPr>
          <w:rFonts w:hAnsi="宋体" w:cs="宋体"/>
          <w:sz w:val="24"/>
        </w:rPr>
      </w:pPr>
      <w:r>
        <w:rPr>
          <w:rFonts w:hint="eastAsia" w:hAnsi="宋体" w:cs="宋体"/>
          <w:sz w:val="24"/>
        </w:rPr>
        <w:t>18.6谈判响应文件</w:t>
      </w:r>
      <w:r>
        <w:rPr>
          <w:rFonts w:hint="eastAsia" w:hAnsi="宋体" w:cs="宋体"/>
          <w:sz w:val="24"/>
          <w:szCs w:val="24"/>
        </w:rPr>
        <w:t>形式</w:t>
      </w:r>
    </w:p>
    <w:p>
      <w:pPr>
        <w:pStyle w:val="20"/>
        <w:adjustRightInd w:val="0"/>
        <w:snapToGrid w:val="0"/>
        <w:spacing w:line="360" w:lineRule="auto"/>
        <w:ind w:firstLine="480" w:firstLineChars="200"/>
        <w:rPr>
          <w:rFonts w:hAnsi="宋体" w:cs="宋体"/>
          <w:sz w:val="24"/>
          <w:szCs w:val="24"/>
        </w:rPr>
      </w:pPr>
      <w:r>
        <w:rPr>
          <w:rFonts w:hint="eastAsia" w:hAnsi="宋体" w:cs="宋体"/>
          <w:sz w:val="24"/>
        </w:rPr>
        <w:t>本项目谈判响应文件</w:t>
      </w:r>
      <w:r>
        <w:rPr>
          <w:rFonts w:hint="eastAsia" w:hAnsi="宋体" w:cs="宋体"/>
          <w:sz w:val="24"/>
          <w:szCs w:val="24"/>
        </w:rPr>
        <w:t>应采用书面文件形式，电报、传真、电子邮件形式的谈判响应文件不予接受。</w:t>
      </w:r>
    </w:p>
    <w:p>
      <w:pPr>
        <w:tabs>
          <w:tab w:val="left" w:pos="720"/>
        </w:tabs>
        <w:snapToGrid w:val="0"/>
        <w:spacing w:line="360" w:lineRule="auto"/>
        <w:ind w:firstLine="480" w:firstLineChars="200"/>
        <w:rPr>
          <w:rFonts w:ascii="宋体" w:hAnsi="宋体" w:cs="宋体"/>
          <w:sz w:val="24"/>
        </w:rPr>
      </w:pPr>
      <w:r>
        <w:rPr>
          <w:rFonts w:hint="eastAsia" w:ascii="宋体" w:hAnsi="宋体" w:cs="宋体"/>
          <w:sz w:val="24"/>
        </w:rPr>
        <w:t>18.7备选方案</w:t>
      </w:r>
    </w:p>
    <w:p>
      <w:pPr>
        <w:tabs>
          <w:tab w:val="left" w:pos="720"/>
        </w:tabs>
        <w:snapToGrid w:val="0"/>
        <w:spacing w:line="360" w:lineRule="auto"/>
        <w:ind w:firstLine="480" w:firstLineChars="200"/>
        <w:rPr>
          <w:rFonts w:ascii="宋体" w:hAnsi="宋体" w:cs="宋体"/>
          <w:sz w:val="24"/>
        </w:rPr>
      </w:pPr>
      <w:r>
        <w:rPr>
          <w:rFonts w:hint="eastAsia" w:ascii="宋体" w:hAnsi="宋体" w:cs="宋体"/>
          <w:sz w:val="24"/>
        </w:rPr>
        <w:t>本项目不接受备选谈判方案，谈判响应文件的报价只允许有一个报价，不接受有任何选择或具有附加条件的报价，否则，在评审时将其视为无效响应</w:t>
      </w:r>
      <w:r>
        <w:rPr>
          <w:rFonts w:hint="eastAsia" w:ascii="宋体" w:hAnsi="宋体" w:cs="宋体"/>
        </w:rPr>
        <w:t>。</w:t>
      </w:r>
    </w:p>
    <w:bookmarkEnd w:id="66"/>
    <w:bookmarkEnd w:id="67"/>
    <w:bookmarkEnd w:id="68"/>
    <w:p>
      <w:pPr>
        <w:pStyle w:val="5"/>
        <w:spacing w:before="120" w:beforeLines="50" w:after="120" w:afterLines="50" w:line="360" w:lineRule="auto"/>
        <w:rPr>
          <w:rFonts w:ascii="宋体" w:hAnsi="宋体" w:cs="宋体"/>
        </w:rPr>
      </w:pPr>
      <w:r>
        <w:rPr>
          <w:rFonts w:hint="eastAsia" w:ascii="宋体" w:hAnsi="宋体" w:cs="宋体"/>
        </w:rPr>
        <w:t>19.谈判报价</w:t>
      </w:r>
    </w:p>
    <w:p>
      <w:pPr>
        <w:spacing w:line="360" w:lineRule="auto"/>
        <w:ind w:firstLine="470" w:firstLineChars="196"/>
        <w:rPr>
          <w:rFonts w:ascii="宋体" w:hAnsi="宋体" w:cs="宋体"/>
          <w:sz w:val="24"/>
        </w:rPr>
      </w:pPr>
      <w:r>
        <w:rPr>
          <w:rFonts w:hint="eastAsia" w:ascii="宋体" w:hAnsi="宋体" w:cs="宋体"/>
          <w:sz w:val="24"/>
        </w:rPr>
        <w:t>19.1</w:t>
      </w:r>
      <w:r>
        <w:rPr>
          <w:rFonts w:hint="eastAsia" w:ascii="宋体" w:hAnsi="宋体" w:cs="宋体"/>
          <w:bCs/>
          <w:sz w:val="24"/>
        </w:rPr>
        <w:t>供应商应</w:t>
      </w:r>
      <w:r>
        <w:rPr>
          <w:rFonts w:hint="eastAsia" w:ascii="宋体" w:hAnsi="宋体" w:cs="宋体"/>
          <w:sz w:val="24"/>
        </w:rPr>
        <w:t>按照谈判文件要求填报谈判报价，并充分了解该采购项目的总体情况以及影响谈判报价的其他要素。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19.2本项目采购预算金额或最高限价见供应商须知前附表，供应商报价超出采购预算金额或最高限价，作为不实质性响应谈判文件，按无效响应文件处理。</w:t>
      </w:r>
    </w:p>
    <w:p>
      <w:pPr>
        <w:spacing w:line="360" w:lineRule="auto"/>
        <w:ind w:firstLine="470" w:firstLineChars="196"/>
        <w:rPr>
          <w:rFonts w:ascii="宋体" w:hAnsi="宋体" w:cs="宋体"/>
          <w:sz w:val="24"/>
        </w:rPr>
      </w:pPr>
      <w:r>
        <w:rPr>
          <w:rFonts w:hint="eastAsia" w:ascii="宋体" w:hAnsi="宋体" w:cs="宋体"/>
          <w:sz w:val="24"/>
        </w:rPr>
        <w:t>19.3供应商的报价是供应商响应谈判项目要求的全部工作内容的价格体现，包括供应商所提供的货物、服务、安装调试费、运杂费（含保险）、培训费、人工费、</w:t>
      </w:r>
      <w:r>
        <w:rPr>
          <w:rFonts w:hint="eastAsia" w:ascii="宋体" w:hAnsi="宋体"/>
          <w:sz w:val="24"/>
        </w:rPr>
        <w:t>材料费、机械费、管理费、利润、</w:t>
      </w:r>
      <w:r>
        <w:rPr>
          <w:rFonts w:hint="eastAsia" w:ascii="宋体" w:hAnsi="宋体" w:cs="宋体"/>
          <w:sz w:val="24"/>
        </w:rPr>
        <w:t>税金等直至验收合格的一切费用。供应商所报的价格应考虑到可能发生的所有与完成本项目相关服务及履行合同义务有关的一切费用。</w:t>
      </w:r>
    </w:p>
    <w:p>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19.4供应商</w:t>
      </w:r>
      <w:r>
        <w:rPr>
          <w:rFonts w:hint="eastAsia" w:ascii="宋体" w:hAnsi="宋体" w:cs="宋体"/>
          <w:kern w:val="0"/>
          <w:sz w:val="24"/>
        </w:rPr>
        <w:t>应按</w:t>
      </w:r>
      <w:r>
        <w:rPr>
          <w:rFonts w:hint="eastAsia" w:ascii="宋体" w:hAnsi="宋体" w:cs="宋体"/>
          <w:sz w:val="24"/>
        </w:rPr>
        <w:t>“第一次谈判报价表”</w:t>
      </w:r>
      <w:r>
        <w:rPr>
          <w:rFonts w:hint="eastAsia" w:ascii="宋体" w:hAnsi="宋体" w:cs="宋体"/>
          <w:kern w:val="0"/>
          <w:sz w:val="24"/>
        </w:rPr>
        <w:t>的内容</w:t>
      </w:r>
      <w:r>
        <w:rPr>
          <w:rFonts w:hint="eastAsia" w:ascii="宋体" w:hAnsi="宋体" w:cs="宋体"/>
          <w:sz w:val="24"/>
        </w:rPr>
        <w:t>和格式要求填写。谈判总价中不得包含谈判文件要求以外的内容，否则，在评审时不予核减。</w:t>
      </w:r>
    </w:p>
    <w:p>
      <w:pPr>
        <w:spacing w:line="360" w:lineRule="auto"/>
        <w:ind w:firstLine="480" w:firstLineChars="200"/>
        <w:rPr>
          <w:rFonts w:ascii="宋体" w:hAnsi="宋体" w:cs="宋体"/>
          <w:sz w:val="24"/>
        </w:rPr>
      </w:pPr>
      <w:r>
        <w:rPr>
          <w:rFonts w:hint="eastAsia" w:ascii="宋体" w:hAnsi="宋体" w:cs="宋体"/>
          <w:sz w:val="24"/>
        </w:rPr>
        <w:t>19.5谈判最后报价，在采购需求无实质性变更下，不得高于首次谈判报价，各供应商分项报价中所有报价（与最终谈判报价比例一致）同比例下浮。</w:t>
      </w:r>
    </w:p>
    <w:p>
      <w:pPr>
        <w:spacing w:line="360" w:lineRule="auto"/>
        <w:ind w:firstLine="480" w:firstLineChars="200"/>
        <w:rPr>
          <w:rFonts w:ascii="宋体" w:hAnsi="宋体" w:cs="宋体"/>
          <w:sz w:val="24"/>
        </w:rPr>
      </w:pPr>
      <w:r>
        <w:rPr>
          <w:rFonts w:hint="eastAsia" w:ascii="宋体" w:hAnsi="宋体" w:cs="宋体"/>
          <w:sz w:val="24"/>
        </w:rPr>
        <w:t>19.6当谈判小组认为，某供应商的报价存在明显低于其他通过符合性审查供应商的报价，有可能影响项目质量和不能诚信履约的，应当要求其在评审现场规定时间内，提供必要的书面文件予以解释和说明，必要时提交相关证明材料；若供应商不能证明其报价合理性，谈判小组将其作无效响应处理。</w:t>
      </w:r>
    </w:p>
    <w:p>
      <w:pPr>
        <w:pStyle w:val="5"/>
        <w:spacing w:before="120" w:beforeLines="50" w:after="120" w:afterLines="50" w:line="360" w:lineRule="auto"/>
        <w:rPr>
          <w:rFonts w:ascii="宋体" w:hAnsi="宋体" w:cs="宋体"/>
        </w:rPr>
      </w:pPr>
      <w:r>
        <w:rPr>
          <w:rFonts w:hint="eastAsia" w:ascii="宋体" w:hAnsi="宋体" w:cs="宋体"/>
        </w:rPr>
        <w:t>20.谈判响应文件</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bCs/>
          <w:sz w:val="24"/>
        </w:rPr>
        <w:t>20.1供应商应</w:t>
      </w:r>
      <w:r>
        <w:rPr>
          <w:rFonts w:hint="eastAsia" w:ascii="宋体" w:hAnsi="宋体" w:cs="宋体"/>
          <w:sz w:val="24"/>
        </w:rPr>
        <w:t>按照谈判文件商务要求做出完全响应。未作出商务响应的，作为不实质性响应谈判文件，按无效响应处理。</w:t>
      </w:r>
    </w:p>
    <w:p>
      <w:pPr>
        <w:pStyle w:val="8"/>
        <w:spacing w:line="360" w:lineRule="auto"/>
        <w:ind w:firstLine="465"/>
        <w:rPr>
          <w:rFonts w:ascii="宋体" w:hAnsi="宋体" w:cs="宋体"/>
          <w:sz w:val="24"/>
          <w:szCs w:val="24"/>
        </w:rPr>
      </w:pPr>
      <w:bookmarkStart w:id="72" w:name="_Toc183582223"/>
      <w:bookmarkStart w:id="73" w:name="_Toc217446050"/>
      <w:bookmarkStart w:id="74" w:name="_Toc183682360"/>
      <w:r>
        <w:rPr>
          <w:rFonts w:hint="eastAsia" w:ascii="宋体" w:hAnsi="宋体" w:cs="宋体"/>
          <w:sz w:val="24"/>
          <w:szCs w:val="24"/>
        </w:rPr>
        <w:t>20.2</w:t>
      </w:r>
      <w:r>
        <w:rPr>
          <w:rFonts w:hint="eastAsia" w:ascii="宋体" w:hAnsi="宋体" w:cs="宋体"/>
          <w:bCs/>
          <w:sz w:val="24"/>
          <w:szCs w:val="24"/>
        </w:rPr>
        <w:t>供应商</w:t>
      </w:r>
      <w:r>
        <w:rPr>
          <w:rFonts w:hint="eastAsia" w:ascii="宋体" w:hAnsi="宋体" w:cs="宋体"/>
          <w:sz w:val="24"/>
          <w:szCs w:val="24"/>
        </w:rPr>
        <w:t>按照谈判文件要求做出的响应方案，主要是针对谈判响应项目的采购需求做出的实质性响应和满足。</w:t>
      </w:r>
    </w:p>
    <w:p>
      <w:pPr>
        <w:pStyle w:val="5"/>
        <w:spacing w:before="120" w:beforeLines="50" w:after="120" w:afterLines="50" w:line="360" w:lineRule="auto"/>
        <w:rPr>
          <w:rFonts w:ascii="宋体" w:hAnsi="宋体" w:cs="宋体"/>
        </w:rPr>
      </w:pPr>
      <w:r>
        <w:rPr>
          <w:rFonts w:hint="eastAsia" w:ascii="宋体" w:hAnsi="宋体" w:cs="宋体"/>
        </w:rPr>
        <w:t>21.谈判保证金</w:t>
      </w:r>
      <w:bookmarkEnd w:id="72"/>
      <w:bookmarkEnd w:id="73"/>
      <w:bookmarkEnd w:id="74"/>
    </w:p>
    <w:p>
      <w:pPr>
        <w:tabs>
          <w:tab w:val="left" w:pos="7665"/>
        </w:tabs>
        <w:spacing w:line="360" w:lineRule="auto"/>
        <w:ind w:left="13" w:leftChars="6" w:firstLine="480" w:firstLineChars="200"/>
        <w:rPr>
          <w:rFonts w:ascii="宋体" w:hAnsi="宋体" w:cs="宋体"/>
          <w:sz w:val="24"/>
        </w:rPr>
      </w:pPr>
      <w:bookmarkStart w:id="75" w:name="_Toc217446051"/>
      <w:bookmarkStart w:id="76" w:name="_Toc183582224"/>
      <w:bookmarkStart w:id="77" w:name="_Toc183682361"/>
      <w:r>
        <w:rPr>
          <w:rFonts w:hint="eastAsia" w:ascii="宋体" w:hAnsi="宋体" w:cs="宋体"/>
          <w:sz w:val="24"/>
        </w:rPr>
        <w:t>21.1本项目不收取保证金</w:t>
      </w:r>
    </w:p>
    <w:p>
      <w:pPr>
        <w:tabs>
          <w:tab w:val="left" w:pos="7665"/>
        </w:tabs>
        <w:spacing w:line="360" w:lineRule="auto"/>
        <w:ind w:left="13" w:leftChars="6" w:firstLine="480" w:firstLineChars="200"/>
        <w:rPr>
          <w:rFonts w:ascii="宋体" w:hAnsi="宋体" w:cs="宋体"/>
          <w:sz w:val="24"/>
        </w:rPr>
      </w:pPr>
      <w:r>
        <w:rPr>
          <w:rFonts w:hint="eastAsia" w:ascii="宋体" w:hAnsi="宋体" w:cs="宋体"/>
          <w:sz w:val="24"/>
        </w:rPr>
        <w:t>21.2成交供应商需在合同签订后两个工作日内，提供完整的合同复印件加盖公章以PDF格式发送至采购代理机构邮箱（邮箱：sxmzzb@163.com）。</w:t>
      </w:r>
    </w:p>
    <w:p>
      <w:pPr>
        <w:pStyle w:val="5"/>
        <w:spacing w:before="120" w:beforeLines="50" w:after="120" w:afterLines="50" w:line="360" w:lineRule="auto"/>
        <w:rPr>
          <w:rFonts w:ascii="宋体" w:hAnsi="宋体" w:cs="宋体"/>
        </w:rPr>
      </w:pPr>
      <w:r>
        <w:rPr>
          <w:rFonts w:hint="eastAsia" w:ascii="宋体" w:hAnsi="宋体" w:cs="宋体"/>
        </w:rPr>
        <w:t>22.谈判有效期</w:t>
      </w:r>
      <w:bookmarkEnd w:id="75"/>
      <w:bookmarkEnd w:id="76"/>
      <w:bookmarkEnd w:id="77"/>
    </w:p>
    <w:p>
      <w:pPr>
        <w:tabs>
          <w:tab w:val="left" w:pos="7665"/>
        </w:tabs>
        <w:spacing w:line="360" w:lineRule="auto"/>
        <w:ind w:left="13" w:leftChars="6" w:firstLine="480" w:firstLineChars="200"/>
        <w:rPr>
          <w:rFonts w:ascii="宋体" w:hAnsi="宋体" w:cs="宋体"/>
          <w:sz w:val="24"/>
        </w:rPr>
      </w:pPr>
      <w:r>
        <w:rPr>
          <w:rFonts w:hint="eastAsia" w:ascii="宋体" w:hAnsi="宋体" w:cs="宋体"/>
          <w:sz w:val="24"/>
        </w:rPr>
        <w:t>22.1从谈判截止日起不少于90日历天。谈判有效期短于此规定期限的谈判，将按无效响应处理。</w:t>
      </w:r>
    </w:p>
    <w:p>
      <w:pPr>
        <w:tabs>
          <w:tab w:val="left" w:pos="7665"/>
        </w:tabs>
        <w:spacing w:line="360" w:lineRule="auto"/>
        <w:ind w:left="13" w:leftChars="6" w:firstLine="480" w:firstLineChars="200"/>
        <w:rPr>
          <w:rFonts w:ascii="宋体" w:hAnsi="宋体" w:cs="宋体"/>
          <w:sz w:val="24"/>
        </w:rPr>
      </w:pPr>
      <w:bookmarkStart w:id="78" w:name="_Toc217446052"/>
      <w:bookmarkStart w:id="79" w:name="_Toc183682362"/>
      <w:bookmarkStart w:id="80" w:name="_Toc183582225"/>
      <w:r>
        <w:rPr>
          <w:rFonts w:hint="eastAsia" w:ascii="宋体" w:hAnsi="宋体" w:cs="宋体"/>
          <w:sz w:val="24"/>
        </w:rPr>
        <w:t>22.2 出现特殊情况需要延长谈判有效期的，采购代理机构或采购人可于谈判有效期满之前要求供应商同意延长有效期，要求与答复均应为书面形式。供应商拒绝延长的，谈判在原谈判有效期期届满后将不再有效；供应商同意延长的，但不能修改或撤回其谈判响应文件。</w:t>
      </w:r>
    </w:p>
    <w:p>
      <w:pPr>
        <w:tabs>
          <w:tab w:val="left" w:pos="7665"/>
        </w:tabs>
        <w:spacing w:line="360" w:lineRule="auto"/>
        <w:ind w:left="13" w:leftChars="6" w:firstLine="480" w:firstLineChars="200"/>
        <w:rPr>
          <w:rFonts w:ascii="宋体" w:hAnsi="宋体" w:cs="宋体"/>
          <w:sz w:val="24"/>
        </w:rPr>
      </w:pPr>
      <w:r>
        <w:rPr>
          <w:rFonts w:hint="eastAsia" w:ascii="宋体" w:hAnsi="宋体" w:cs="宋体"/>
          <w:sz w:val="24"/>
        </w:rPr>
        <w:t>22.3 在谈判有效期内，供应商撤销谈判响应文件的，应承担谈判文件和法律规定的责任。</w:t>
      </w:r>
    </w:p>
    <w:p>
      <w:pPr>
        <w:tabs>
          <w:tab w:val="left" w:pos="7665"/>
        </w:tabs>
        <w:spacing w:line="360" w:lineRule="auto"/>
        <w:ind w:left="13" w:leftChars="6" w:firstLine="480" w:firstLineChars="200"/>
        <w:rPr>
          <w:rFonts w:ascii="宋体" w:hAnsi="宋体" w:cs="宋体"/>
          <w:sz w:val="24"/>
        </w:rPr>
      </w:pPr>
      <w:r>
        <w:rPr>
          <w:rFonts w:hint="eastAsia" w:ascii="宋体" w:hAnsi="宋体" w:cs="宋体"/>
          <w:sz w:val="24"/>
        </w:rPr>
        <w:t>22.4成交供应商的谈判有效期自动延长至合同终止为止</w:t>
      </w:r>
      <w:r>
        <w:rPr>
          <w:rFonts w:hint="eastAsia" w:ascii="宋体" w:hAnsi="宋体" w:cs="宋体"/>
          <w:szCs w:val="21"/>
        </w:rPr>
        <w:t>。</w:t>
      </w:r>
    </w:p>
    <w:p>
      <w:pPr>
        <w:pStyle w:val="5"/>
        <w:spacing w:before="120" w:beforeLines="50" w:after="120" w:afterLines="50" w:line="360" w:lineRule="auto"/>
        <w:rPr>
          <w:rFonts w:ascii="宋体" w:hAnsi="宋体" w:cs="宋体"/>
        </w:rPr>
      </w:pPr>
      <w:r>
        <w:rPr>
          <w:rFonts w:hint="eastAsia" w:ascii="宋体" w:hAnsi="宋体" w:cs="宋体"/>
        </w:rPr>
        <w:t>23.谈判响应文件的制作和签署</w:t>
      </w:r>
      <w:bookmarkEnd w:id="78"/>
      <w:bookmarkEnd w:id="79"/>
      <w:bookmarkEnd w:id="80"/>
    </w:p>
    <w:p>
      <w:pPr>
        <w:tabs>
          <w:tab w:val="left" w:pos="7665"/>
        </w:tabs>
        <w:spacing w:line="360" w:lineRule="auto"/>
        <w:ind w:left="13" w:leftChars="6" w:firstLine="480" w:firstLineChars="200"/>
        <w:rPr>
          <w:rFonts w:ascii="宋体" w:hAnsi="宋体" w:cs="宋体"/>
          <w:sz w:val="24"/>
        </w:rPr>
      </w:pPr>
      <w:r>
        <w:rPr>
          <w:rFonts w:hint="eastAsia" w:ascii="宋体" w:hAnsi="宋体" w:cs="宋体"/>
          <w:sz w:val="24"/>
        </w:rPr>
        <w:t>23.1谈判响应文件由资格部分、商务技术部分两部分组成，两部分谈判响应文件分开装订成册。谈判响应文件应根据谈判文件的要求制作，供应商应填写全称，同时加盖单位公章，签署、盖章、谈判响应文件内容应完整。</w:t>
      </w:r>
    </w:p>
    <w:p>
      <w:pPr>
        <w:tabs>
          <w:tab w:val="left" w:pos="7665"/>
        </w:tabs>
        <w:spacing w:line="360" w:lineRule="auto"/>
        <w:ind w:left="13" w:leftChars="6" w:firstLine="480" w:firstLineChars="200"/>
      </w:pPr>
      <w:r>
        <w:rPr>
          <w:rFonts w:hint="eastAsia" w:ascii="宋体" w:hAnsi="宋体" w:cs="宋体"/>
          <w:sz w:val="24"/>
        </w:rPr>
        <w:t>23.2 谈判响应文件格式。供应商应严格按照谈判文件第七章提供的“竞争性谈判响应文件格式”编写相关内容。除明确允许供应商可以自行编写的外，供应商不得以“竞争性谈判响应文件格式”规定之外的方式填写相关内容。谈判响应文件各项内容不能存在缺漏项，否则，供应商提供的谈判响应文件将作为无效响应文件处理。</w:t>
      </w:r>
    </w:p>
    <w:p>
      <w:pPr>
        <w:tabs>
          <w:tab w:val="left" w:pos="7665"/>
        </w:tabs>
        <w:spacing w:line="360" w:lineRule="auto"/>
        <w:ind w:firstLine="480" w:firstLineChars="200"/>
        <w:rPr>
          <w:rFonts w:ascii="宋体" w:hAnsi="宋体" w:cs="宋体"/>
          <w:sz w:val="24"/>
        </w:rPr>
      </w:pPr>
      <w:r>
        <w:rPr>
          <w:rFonts w:hint="eastAsia" w:ascii="宋体" w:hAnsi="宋体" w:cs="宋体"/>
          <w:sz w:val="24"/>
        </w:rPr>
        <w:t>23.3对于没有格式要求的谈判响应文件由供应商自行编写。</w:t>
      </w:r>
    </w:p>
    <w:p>
      <w:pPr>
        <w:tabs>
          <w:tab w:val="left" w:pos="1080"/>
        </w:tabs>
        <w:spacing w:line="360" w:lineRule="auto"/>
        <w:ind w:firstLine="460" w:firstLineChars="192"/>
        <w:rPr>
          <w:rFonts w:ascii="宋体" w:hAnsi="宋体" w:cs="宋体"/>
          <w:sz w:val="24"/>
        </w:rPr>
      </w:pPr>
      <w:r>
        <w:rPr>
          <w:rFonts w:hint="eastAsia" w:ascii="宋体" w:hAnsi="宋体" w:cs="宋体"/>
          <w:sz w:val="24"/>
        </w:rPr>
        <w:t>23.4供应商应按“供应商须知前附表”准备谈判响应文件正本、副本和相应的电子文件。谈判响应文件的正本和副本应在其封面右上角清楚地标明“正本”、“副本”或“电子版”字样。</w:t>
      </w:r>
      <w:r>
        <w:rPr>
          <w:rFonts w:hint="eastAsia" w:ascii="宋体" w:hAnsi="宋体" w:cs="宋体"/>
          <w:b/>
          <w:bCs/>
          <w:sz w:val="24"/>
        </w:rPr>
        <w:t>若正本和副本有不一致的内容，以正本书面谈判响应文件为准。</w:t>
      </w:r>
    </w:p>
    <w:p>
      <w:pPr>
        <w:tabs>
          <w:tab w:val="left" w:pos="1080"/>
        </w:tabs>
        <w:spacing w:line="360" w:lineRule="auto"/>
        <w:ind w:firstLine="460" w:firstLineChars="192"/>
        <w:rPr>
          <w:rFonts w:ascii="宋体" w:hAnsi="宋体" w:cs="宋体"/>
          <w:sz w:val="24"/>
        </w:rPr>
      </w:pPr>
      <w:r>
        <w:rPr>
          <w:rFonts w:hint="eastAsia" w:ascii="宋体" w:hAnsi="宋体" w:cs="宋体"/>
          <w:sz w:val="24"/>
        </w:rPr>
        <w:t>23.5 谈判响应文件的正本和副本均需打印或用不褪色、不变质的墨水书写，并由供应商的法定代表人或其授权代表在谈判文件的规定地方进行签署、盖章。谈判响应文件副本不可采用正本的复印件。</w:t>
      </w:r>
    </w:p>
    <w:p>
      <w:pPr>
        <w:tabs>
          <w:tab w:val="left" w:pos="1095"/>
        </w:tabs>
        <w:spacing w:line="360" w:lineRule="auto"/>
        <w:ind w:firstLine="460" w:firstLineChars="192"/>
        <w:rPr>
          <w:rFonts w:ascii="宋体" w:hAnsi="宋体" w:cs="宋体"/>
          <w:sz w:val="24"/>
        </w:rPr>
      </w:pPr>
      <w:r>
        <w:rPr>
          <w:rFonts w:hint="eastAsia" w:ascii="宋体" w:hAnsi="宋体" w:cs="宋体"/>
          <w:sz w:val="24"/>
        </w:rPr>
        <w:t>23.6谈判响应文件必须按照谈判文件第七章“谈判响应文件格式”中的要求进行签署、盖章；谈判文件中凡是需要法定代表人签字或盖章之处，非法人单位的负责人均参照执行。</w:t>
      </w:r>
    </w:p>
    <w:p>
      <w:pPr>
        <w:pStyle w:val="133"/>
        <w:spacing w:line="360" w:lineRule="auto"/>
        <w:ind w:firstLine="480" w:firstLineChars="200"/>
        <w:rPr>
          <w:rFonts w:ascii="宋体" w:hAnsi="宋体" w:cs="宋体"/>
          <w:sz w:val="24"/>
        </w:rPr>
      </w:pPr>
      <w:r>
        <w:rPr>
          <w:rFonts w:hint="eastAsia" w:ascii="宋体" w:hAnsi="宋体" w:cs="宋体"/>
          <w:sz w:val="24"/>
        </w:rPr>
        <w:t>23.7谈判响应文件正本和副本</w:t>
      </w:r>
      <w:r>
        <w:rPr>
          <w:rFonts w:hint="eastAsia" w:ascii="宋体" w:hAnsi="宋体" w:cs="宋体"/>
          <w:sz w:val="24"/>
          <w:lang w:val="zh-CN"/>
        </w:rPr>
        <w:t>分别装订成册，</w:t>
      </w:r>
      <w:r>
        <w:rPr>
          <w:rFonts w:hint="eastAsia" w:ascii="宋体" w:hAnsi="宋体" w:cs="宋体"/>
          <w:sz w:val="24"/>
        </w:rPr>
        <w:t>并逐页编码。文件胶装装订后，页面不可抽取，不得有活动页，无破损、不可拆分。</w:t>
      </w:r>
      <w:r>
        <w:rPr>
          <w:rFonts w:hint="eastAsia" w:ascii="宋体" w:hAnsi="宋体" w:cs="宋体"/>
          <w:b/>
          <w:bCs/>
          <w:sz w:val="24"/>
          <w:lang w:val="en-US" w:eastAsia="zh-CN"/>
        </w:rPr>
        <w:t>供应商</w:t>
      </w:r>
      <w:r>
        <w:rPr>
          <w:rFonts w:hint="eastAsia" w:ascii="宋体" w:hAnsi="宋体" w:cs="宋体"/>
          <w:b/>
          <w:bCs/>
          <w:sz w:val="24"/>
        </w:rPr>
        <w:t>须在</w:t>
      </w:r>
      <w:r>
        <w:rPr>
          <w:rFonts w:hint="eastAsia" w:ascii="宋体" w:hAnsi="宋体" w:cs="宋体"/>
          <w:b/>
          <w:bCs/>
          <w:sz w:val="24"/>
          <w:lang w:val="en-US" w:eastAsia="zh-CN"/>
        </w:rPr>
        <w:t>响应</w:t>
      </w:r>
      <w:r>
        <w:rPr>
          <w:rFonts w:hint="eastAsia" w:ascii="宋体" w:hAnsi="宋体" w:cs="宋体"/>
          <w:b/>
          <w:bCs/>
          <w:sz w:val="24"/>
        </w:rPr>
        <w:t>文件正本及副本的书脊标明：项目</w:t>
      </w:r>
      <w:r>
        <w:rPr>
          <w:rFonts w:hint="eastAsia" w:ascii="宋体" w:hAnsi="宋体" w:cs="宋体"/>
          <w:b/>
          <w:bCs/>
          <w:sz w:val="24"/>
          <w:lang w:val="en-US" w:eastAsia="zh-CN"/>
        </w:rPr>
        <w:t>编号</w:t>
      </w:r>
      <w:r>
        <w:rPr>
          <w:rFonts w:hint="eastAsia" w:ascii="宋体" w:hAnsi="宋体" w:cs="宋体"/>
          <w:b/>
          <w:bCs/>
          <w:sz w:val="24"/>
        </w:rPr>
        <w:t>及</w:t>
      </w:r>
      <w:r>
        <w:rPr>
          <w:rFonts w:hint="eastAsia" w:ascii="宋体" w:hAnsi="宋体" w:cs="宋体"/>
          <w:b/>
          <w:bCs/>
          <w:sz w:val="24"/>
          <w:lang w:val="en-US" w:eastAsia="zh-CN"/>
        </w:rPr>
        <w:t>供应商名称</w:t>
      </w:r>
      <w:r>
        <w:rPr>
          <w:rFonts w:hint="eastAsia" w:ascii="宋体" w:hAnsi="宋体" w:cs="宋体"/>
          <w:sz w:val="24"/>
        </w:rPr>
        <w:t>。</w:t>
      </w:r>
    </w:p>
    <w:p>
      <w:pPr>
        <w:spacing w:line="360" w:lineRule="auto"/>
        <w:ind w:firstLine="480" w:firstLineChars="200"/>
        <w:jc w:val="left"/>
        <w:rPr>
          <w:rFonts w:hint="eastAsia" w:hAnsi="宋体" w:cs="宋体"/>
          <w:b/>
          <w:sz w:val="24"/>
          <w:highlight w:val="none"/>
        </w:rPr>
      </w:pPr>
      <w:r>
        <w:rPr>
          <w:rFonts w:hint="eastAsia" w:ascii="宋体" w:hAnsi="宋体" w:cs="宋体"/>
          <w:sz w:val="24"/>
        </w:rPr>
        <w:t>23.8</w:t>
      </w:r>
      <w:r>
        <w:rPr>
          <w:rFonts w:hint="eastAsia" w:ascii="宋体" w:hAnsi="宋体" w:cs="宋体"/>
          <w:b/>
          <w:bCs/>
          <w:sz w:val="24"/>
        </w:rPr>
        <w:t>谈判响应文件电子版与纸质正本谈判响应文件的内容应保持一致，具有同等法律效力。</w:t>
      </w:r>
      <w:bookmarkStart w:id="81" w:name="_Toc89075877"/>
      <w:bookmarkStart w:id="82" w:name="_Toc183582226"/>
      <w:bookmarkStart w:id="83" w:name="_Toc183682363"/>
      <w:bookmarkStart w:id="84" w:name="_Toc77400781"/>
      <w:bookmarkStart w:id="85" w:name="_Toc217446053"/>
      <w:r>
        <w:rPr>
          <w:rFonts w:hint="eastAsia" w:ascii="宋体" w:hAnsi="宋体" w:cs="宋体"/>
          <w:b/>
          <w:bCs/>
          <w:sz w:val="24"/>
          <w:highlight w:val="none"/>
        </w:rPr>
        <w:t>采用Word格式</w:t>
      </w:r>
      <w:r>
        <w:rPr>
          <w:rFonts w:hint="eastAsia" w:ascii="宋体" w:hAnsi="宋体" w:eastAsia="宋体" w:cs="宋体"/>
          <w:b/>
          <w:bCs/>
          <w:color w:val="auto"/>
          <w:sz w:val="24"/>
          <w:highlight w:val="none"/>
          <w:lang w:val="en-US" w:eastAsia="zh-CN"/>
        </w:rPr>
        <w:t>及加盖公章的和PDF格式（供应商提供与纸质响应文件正本一致的PDF格式，且盖章、签字处必须扫描并清晰可辨）</w:t>
      </w:r>
      <w:r>
        <w:rPr>
          <w:rFonts w:hint="eastAsia" w:ascii="宋体" w:hAnsi="宋体" w:eastAsia="宋体" w:cs="宋体"/>
          <w:b/>
          <w:bCs/>
          <w:color w:val="auto"/>
          <w:sz w:val="24"/>
          <w:highlight w:val="none"/>
        </w:rPr>
        <w:t>，采用U盘存储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需在U盘面上标注供应商简称、项目编号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w:t>
      </w:r>
    </w:p>
    <w:p>
      <w:pPr>
        <w:pStyle w:val="4"/>
        <w:spacing w:before="120" w:beforeLines="50" w:after="120" w:afterLines="50" w:line="360" w:lineRule="auto"/>
        <w:rPr>
          <w:rFonts w:ascii="宋体" w:hAnsi="宋体" w:eastAsia="宋体" w:cs="宋体"/>
          <w:bCs/>
        </w:rPr>
      </w:pPr>
      <w:bookmarkStart w:id="86" w:name="_Toc6899"/>
      <w:r>
        <w:rPr>
          <w:rFonts w:hint="eastAsia" w:ascii="宋体" w:hAnsi="宋体" w:eastAsia="宋体" w:cs="宋体"/>
          <w:bCs/>
        </w:rPr>
        <w:t>五、响应文件的递交</w:t>
      </w:r>
      <w:bookmarkEnd w:id="86"/>
    </w:p>
    <w:p>
      <w:pPr>
        <w:pStyle w:val="5"/>
        <w:spacing w:before="120" w:beforeLines="50" w:after="120" w:afterLines="50" w:line="360" w:lineRule="auto"/>
        <w:rPr>
          <w:rFonts w:ascii="宋体" w:hAnsi="宋体" w:cs="宋体"/>
        </w:rPr>
      </w:pPr>
      <w:r>
        <w:rPr>
          <w:rFonts w:hint="eastAsia" w:ascii="宋体" w:hAnsi="宋体" w:cs="宋体"/>
        </w:rPr>
        <w:t>24.响应文件内容要求</w:t>
      </w:r>
    </w:p>
    <w:p>
      <w:pPr>
        <w:tabs>
          <w:tab w:val="left" w:pos="1080"/>
        </w:tabs>
        <w:spacing w:line="360" w:lineRule="auto"/>
        <w:ind w:firstLine="460" w:firstLineChars="192"/>
        <w:rPr>
          <w:rFonts w:ascii="宋体" w:hAnsi="宋体" w:cs="宋体"/>
          <w:sz w:val="24"/>
        </w:rPr>
      </w:pPr>
      <w:r>
        <w:rPr>
          <w:rFonts w:hint="eastAsia" w:ascii="宋体" w:hAnsi="宋体" w:cs="宋体"/>
          <w:sz w:val="24"/>
        </w:rPr>
        <w:t>供应商应仔细阅读采购谈判文件中的所有事项、格式、条款和要求，对采购谈判文件的全部内容及要求作出实质性响应，提交相应资料。若分包，应以包为单位递交响应文件，不得在其中选项谈判或将其中内容再行分解，否则其响应文件将被视为无效响应文件。</w:t>
      </w:r>
    </w:p>
    <w:p>
      <w:pPr>
        <w:pStyle w:val="5"/>
        <w:spacing w:before="120" w:beforeLines="50" w:after="120" w:afterLines="50" w:line="360" w:lineRule="auto"/>
        <w:rPr>
          <w:rFonts w:ascii="宋体" w:hAnsi="宋体" w:cs="宋体"/>
        </w:rPr>
      </w:pPr>
      <w:r>
        <w:rPr>
          <w:rFonts w:hint="eastAsia" w:ascii="宋体" w:hAnsi="宋体" w:cs="宋体"/>
        </w:rPr>
        <w:t>25.谈判响应文件的密封和标</w:t>
      </w:r>
      <w:bookmarkEnd w:id="81"/>
      <w:bookmarkEnd w:id="82"/>
      <w:bookmarkEnd w:id="83"/>
      <w:bookmarkEnd w:id="84"/>
      <w:r>
        <w:rPr>
          <w:rFonts w:hint="eastAsia" w:ascii="宋体" w:hAnsi="宋体" w:cs="宋体"/>
        </w:rPr>
        <w:t>注</w:t>
      </w:r>
      <w:bookmarkEnd w:id="85"/>
    </w:p>
    <w:p>
      <w:pPr>
        <w:adjustRightInd w:val="0"/>
        <w:snapToGrid w:val="0"/>
        <w:spacing w:line="360" w:lineRule="auto"/>
        <w:ind w:firstLine="480" w:firstLineChars="200"/>
        <w:rPr>
          <w:rFonts w:ascii="宋体" w:hAnsi="宋体" w:cs="宋体"/>
          <w:sz w:val="24"/>
        </w:rPr>
      </w:pPr>
      <w:bookmarkStart w:id="87" w:name="_Toc183582227"/>
      <w:bookmarkStart w:id="88" w:name="_Toc183682364"/>
      <w:bookmarkStart w:id="89" w:name="_Toc217446054"/>
      <w:r>
        <w:rPr>
          <w:rFonts w:hint="eastAsia" w:ascii="宋体" w:hAnsi="宋体" w:cs="宋体"/>
          <w:sz w:val="24"/>
        </w:rPr>
        <w:t>25.1密封包装方式：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（1）资格部分谈判响应文件正本用封袋单独密封，副本用封袋单独或一起密封。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（2）商务技术部分谈判响应文件正本用封袋单独密封，副本用封袋单独或一起密封。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（3）谈判响应文件电子版单独密封</w:t>
      </w:r>
      <w:r>
        <w:rPr>
          <w:rFonts w:hint="eastAsia" w:ascii="宋体" w:hAnsi="宋体" w:cs="宋体"/>
          <w:kern w:val="0"/>
          <w:sz w:val="24"/>
        </w:rPr>
        <w:t>。</w:t>
      </w:r>
    </w:p>
    <w:p>
      <w:pPr>
        <w:tabs>
          <w:tab w:val="left" w:pos="1080"/>
        </w:tabs>
        <w:spacing w:line="360" w:lineRule="auto"/>
        <w:ind w:firstLine="435"/>
        <w:rPr>
          <w:rFonts w:ascii="宋体" w:hAnsi="宋体" w:cs="宋体"/>
          <w:sz w:val="24"/>
        </w:rPr>
      </w:pPr>
      <w:r>
        <w:rPr>
          <w:rFonts w:hint="eastAsia" w:ascii="宋体" w:hAnsi="宋体" w:cs="宋体"/>
          <w:kern w:val="0"/>
          <w:sz w:val="24"/>
        </w:rPr>
        <w:t>（4）</w:t>
      </w:r>
      <w:r>
        <w:rPr>
          <w:rFonts w:hint="eastAsia" w:ascii="宋体" w:hAnsi="宋体" w:cs="宋体"/>
          <w:sz w:val="24"/>
        </w:rPr>
        <w:t>谈判响应</w:t>
      </w:r>
      <w:r>
        <w:rPr>
          <w:rFonts w:hint="eastAsia" w:ascii="宋体" w:hAnsi="宋体" w:cs="宋体"/>
          <w:kern w:val="0"/>
          <w:sz w:val="24"/>
        </w:rPr>
        <w:t>文件</w:t>
      </w:r>
      <w:r>
        <w:rPr>
          <w:rFonts w:hint="eastAsia" w:ascii="宋体" w:hAnsi="宋体" w:cs="宋体"/>
          <w:sz w:val="24"/>
        </w:rPr>
        <w:t>封袋包装应加封条密封，在封线处加盖公章（骑缝章），标明项目编号、项目名称、“正本”、“副本”、“电子版”字样、供应商全称（公章）及法定代表人或授权代表签字等内容。</w:t>
      </w:r>
    </w:p>
    <w:p>
      <w:pPr>
        <w:tabs>
          <w:tab w:val="left" w:pos="1080"/>
        </w:tabs>
        <w:spacing w:line="360" w:lineRule="auto"/>
        <w:ind w:firstLine="435"/>
        <w:rPr>
          <w:rFonts w:ascii="宋体" w:hAnsi="宋体" w:cs="宋体"/>
          <w:sz w:val="24"/>
        </w:rPr>
      </w:pPr>
      <w:r>
        <w:rPr>
          <w:rFonts w:hint="eastAsia" w:ascii="宋体" w:hAnsi="宋体" w:cs="宋体"/>
          <w:sz w:val="24"/>
        </w:rPr>
        <w:t>25.2 未按本章第25.1条款要求进行密封的谈判响应文件，采购代理机构将拒绝接收。</w:t>
      </w:r>
    </w:p>
    <w:p>
      <w:pPr>
        <w:pStyle w:val="5"/>
        <w:spacing w:before="120" w:beforeLines="50" w:after="120" w:afterLines="50" w:line="360" w:lineRule="auto"/>
        <w:rPr>
          <w:rFonts w:ascii="宋体" w:hAnsi="宋体" w:cs="宋体"/>
        </w:rPr>
      </w:pPr>
      <w:r>
        <w:rPr>
          <w:rFonts w:hint="eastAsia" w:ascii="宋体" w:hAnsi="宋体" w:cs="宋体"/>
        </w:rPr>
        <w:t>26.谈判响应文件的</w:t>
      </w:r>
      <w:bookmarkEnd w:id="87"/>
      <w:bookmarkEnd w:id="88"/>
      <w:r>
        <w:rPr>
          <w:rFonts w:hint="eastAsia" w:ascii="宋体" w:hAnsi="宋体" w:cs="宋体"/>
        </w:rPr>
        <w:t>递交</w:t>
      </w:r>
      <w:bookmarkEnd w:id="89"/>
    </w:p>
    <w:p>
      <w:pPr>
        <w:tabs>
          <w:tab w:val="left" w:pos="1095"/>
        </w:tabs>
        <w:spacing w:line="360" w:lineRule="auto"/>
        <w:ind w:firstLine="460" w:firstLineChars="192"/>
        <w:rPr>
          <w:rFonts w:ascii="宋体" w:hAnsi="宋体" w:cs="宋体"/>
          <w:sz w:val="24"/>
        </w:rPr>
      </w:pPr>
      <w:bookmarkStart w:id="90" w:name="_Toc183682365"/>
      <w:bookmarkStart w:id="91" w:name="_Toc183582228"/>
      <w:bookmarkStart w:id="92" w:name="_Toc217446055"/>
      <w:r>
        <w:rPr>
          <w:rFonts w:hint="eastAsia" w:ascii="宋体" w:hAnsi="宋体" w:cs="宋体"/>
          <w:sz w:val="24"/>
        </w:rPr>
        <w:t>26.1采购代理机构在收到谈判响应文件后记载谈判响应文件送达时间及密封情况，签收保存，并向供应商出具签收回执。采购代理机构在谈判文件规定的谈判响应文件递交截止时间前，只负责谈判响应文件的接收、登记和组织工作，对其谈判响应文件有效性不负任何责任。</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26.2 本次招标不接受邮寄的谈判响应文件。</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26.3谈判截止时间前按要求提供样品（如需要），迟到的样品不予接收。</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26.4 除谈判文件另有规定外，供应商递交的谈判响应文件不予退还。</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26.5供应商提交谈判响应文件时，出现下列情况之一的，其谈判响应文件将被拒绝接收：</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（1）逾期送达的；</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（2）未按照谈判文件要求密封或加写标注的；</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（3）提交的谈判响应文件与本项目不相符的；</w:t>
      </w:r>
    </w:p>
    <w:p>
      <w:pPr>
        <w:tabs>
          <w:tab w:val="left" w:pos="1095"/>
        </w:tabs>
        <w:spacing w:line="360" w:lineRule="auto"/>
        <w:ind w:firstLine="460" w:firstLineChars="192"/>
        <w:rPr>
          <w:rFonts w:ascii="宋体" w:hAnsi="宋体" w:cs="宋体"/>
          <w:sz w:val="24"/>
          <w:lang w:val="zh-CN"/>
        </w:rPr>
      </w:pPr>
      <w:r>
        <w:rPr>
          <w:rFonts w:hint="eastAsia" w:ascii="宋体" w:hAnsi="宋体" w:cs="宋体"/>
          <w:sz w:val="24"/>
        </w:rPr>
        <w:t>（4）供应商名称与领取谈判文件时填写的文件领取登记表中名称不相符的</w:t>
      </w:r>
      <w:r>
        <w:rPr>
          <w:rFonts w:hint="eastAsia" w:ascii="宋体" w:hAnsi="宋体" w:cs="宋体"/>
          <w:sz w:val="24"/>
          <w:lang w:val="zh-CN"/>
        </w:rPr>
        <w:t>。</w:t>
      </w: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27.谈判响应文件的修改和撤</w:t>
      </w:r>
      <w:bookmarkEnd w:id="90"/>
      <w:bookmarkEnd w:id="91"/>
      <w:r>
        <w:rPr>
          <w:rFonts w:hint="eastAsia" w:ascii="宋体" w:hAnsi="宋体" w:cs="宋体"/>
        </w:rPr>
        <w:t>回</w:t>
      </w:r>
      <w:bookmarkEnd w:id="92"/>
    </w:p>
    <w:p>
      <w:pPr>
        <w:spacing w:line="360" w:lineRule="auto"/>
        <w:ind w:firstLine="470" w:firstLineChars="196"/>
        <w:rPr>
          <w:rFonts w:ascii="宋体" w:hAnsi="宋体" w:cs="宋体"/>
          <w:sz w:val="24"/>
        </w:rPr>
      </w:pPr>
      <w:r>
        <w:rPr>
          <w:rFonts w:hint="eastAsia" w:ascii="宋体" w:hAnsi="宋体" w:cs="宋体"/>
          <w:sz w:val="24"/>
        </w:rPr>
        <w:t>27.1供应商在递交了谈判响应文件后，可以修改或撤回其谈判响应文件，但必须在规定的谈判截止时间前，以书面形式通知采购代理机构。</w:t>
      </w:r>
    </w:p>
    <w:p>
      <w:pPr>
        <w:spacing w:line="360" w:lineRule="auto"/>
        <w:ind w:firstLine="470" w:firstLineChars="196"/>
        <w:rPr>
          <w:rFonts w:ascii="宋体" w:hAnsi="宋体" w:cs="宋体"/>
          <w:sz w:val="24"/>
        </w:rPr>
      </w:pPr>
      <w:r>
        <w:rPr>
          <w:rFonts w:hint="eastAsia" w:ascii="宋体" w:hAnsi="宋体" w:cs="宋体"/>
          <w:sz w:val="24"/>
        </w:rPr>
        <w:t>27.2供应商的修改书或撤回通知书，应由其法定代表人或委托代理人签署并盖单位公章。修改书应按供应商须知前附表规定进行密封和标注，并在密封袋上标注“谈判响应文件修改”或“谈判响应文件撤回通知”字样，“修改文件”作为谈判响应文件的组成部分。</w:t>
      </w:r>
    </w:p>
    <w:p>
      <w:pPr>
        <w:spacing w:line="360" w:lineRule="auto"/>
        <w:ind w:firstLine="470" w:firstLineChars="196"/>
        <w:rPr>
          <w:rFonts w:ascii="宋体" w:hAnsi="宋体" w:cs="宋体"/>
          <w:sz w:val="24"/>
        </w:rPr>
      </w:pPr>
      <w:r>
        <w:rPr>
          <w:rFonts w:hint="eastAsia" w:ascii="宋体" w:hAnsi="宋体" w:cs="宋体"/>
          <w:sz w:val="24"/>
        </w:rPr>
        <w:t>27.3在谈判截止时间之后，供应商不得对其递交的谈判响应文件做任何修改或撤销谈判。</w:t>
      </w:r>
      <w:bookmarkStart w:id="93" w:name="_Toc183682368"/>
      <w:bookmarkStart w:id="94" w:name="_Toc89075878"/>
      <w:bookmarkStart w:id="95" w:name="_Toc217446056"/>
      <w:bookmarkStart w:id="96" w:name="_Toc77400782"/>
      <w:bookmarkStart w:id="97" w:name="_Toc183582231"/>
    </w:p>
    <w:p>
      <w:pPr>
        <w:pStyle w:val="4"/>
        <w:spacing w:before="120" w:beforeLines="50" w:after="120" w:afterLines="50" w:line="360" w:lineRule="auto"/>
        <w:rPr>
          <w:rFonts w:ascii="宋体" w:hAnsi="宋体" w:eastAsia="宋体" w:cs="宋体"/>
          <w:bCs/>
        </w:rPr>
      </w:pPr>
      <w:bookmarkStart w:id="98" w:name="_Toc11964"/>
      <w:r>
        <w:rPr>
          <w:rFonts w:hint="eastAsia" w:ascii="宋体" w:hAnsi="宋体" w:eastAsia="宋体" w:cs="宋体"/>
          <w:bCs/>
        </w:rPr>
        <w:t>六、</w:t>
      </w:r>
      <w:bookmarkEnd w:id="93"/>
      <w:bookmarkEnd w:id="94"/>
      <w:bookmarkEnd w:id="95"/>
      <w:bookmarkEnd w:id="96"/>
      <w:bookmarkEnd w:id="97"/>
      <w:r>
        <w:rPr>
          <w:rFonts w:hint="eastAsia" w:ascii="宋体" w:hAnsi="宋体" w:eastAsia="宋体" w:cs="宋体"/>
          <w:bCs/>
        </w:rPr>
        <w:t>谈判</w:t>
      </w:r>
      <w:bookmarkEnd w:id="98"/>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28.谈判时间和地点</w:t>
      </w:r>
    </w:p>
    <w:p>
      <w:pPr>
        <w:spacing w:line="360" w:lineRule="auto"/>
        <w:ind w:firstLine="480" w:firstLineChars="200"/>
        <w:rPr>
          <w:rFonts w:ascii="宋体" w:hAnsi="宋体" w:cs="宋体"/>
          <w:sz w:val="24"/>
        </w:rPr>
      </w:pPr>
      <w:r>
        <w:rPr>
          <w:rFonts w:hint="eastAsia" w:ascii="宋体" w:hAnsi="宋体" w:cs="宋体"/>
          <w:sz w:val="24"/>
        </w:rPr>
        <w:t>28.1采购代理机构在供应商须知前附表中规定的谈判截止时间和地点组织竞争性谈判。谈判由采购代理机构主持，采购人、供应商和有关方面代表参加，签名报到以证明其出席。</w:t>
      </w:r>
    </w:p>
    <w:p>
      <w:pPr>
        <w:spacing w:line="360" w:lineRule="auto"/>
        <w:ind w:firstLine="480" w:firstLineChars="200"/>
        <w:rPr>
          <w:rFonts w:ascii="宋体" w:hAnsi="宋体" w:cs="宋体"/>
          <w:b/>
          <w:bCs/>
          <w:sz w:val="24"/>
        </w:rPr>
      </w:pPr>
      <w:r>
        <w:rPr>
          <w:rFonts w:hint="eastAsia" w:ascii="宋体" w:hAnsi="宋体" w:cs="宋体"/>
          <w:sz w:val="24"/>
        </w:rPr>
        <w:t>28.2 供应商未参加谈判的，视同认可谈判结果。</w:t>
      </w:r>
    </w:p>
    <w:p>
      <w:pPr>
        <w:spacing w:line="360" w:lineRule="auto"/>
        <w:ind w:firstLine="480" w:firstLineChars="200"/>
        <w:rPr>
          <w:rFonts w:ascii="宋体" w:hAnsi="宋体" w:cs="宋体"/>
          <w:sz w:val="24"/>
        </w:rPr>
      </w:pPr>
      <w:r>
        <w:rPr>
          <w:rFonts w:hint="eastAsia" w:ascii="宋体" w:hAnsi="宋体" w:cs="宋体"/>
          <w:sz w:val="24"/>
        </w:rPr>
        <w:t>28.3采购人或者采购代理机构负责组织评审工作，并履行相应职责。</w:t>
      </w:r>
      <w:bookmarkStart w:id="99" w:name="_Toc217446058"/>
    </w:p>
    <w:p>
      <w:pPr>
        <w:spacing w:line="360" w:lineRule="auto"/>
        <w:ind w:firstLine="480" w:firstLineChars="200"/>
        <w:rPr>
          <w:rFonts w:ascii="宋体" w:hAnsi="宋体" w:cs="宋体"/>
          <w:sz w:val="24"/>
        </w:rPr>
      </w:pPr>
      <w:r>
        <w:rPr>
          <w:rFonts w:hint="eastAsia" w:ascii="宋体" w:hAnsi="宋体" w:cs="宋体"/>
          <w:sz w:val="24"/>
        </w:rPr>
        <w:t>28.4 竞争性谈判的特殊情况处理：</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napToGrid w:val="0"/>
          <w:kern w:val="0"/>
          <w:sz w:val="24"/>
        </w:rPr>
        <w:t>谈判文件能够详细列明采购标的的技术、服务要求的，谈判结束后，谈判小组应当要求所有实质性响应的供应商在规定时间内提交最后报价，提交最后报价的供应商不得少于3家。但经财政部批准，只有2家供应商进行谈判的除外。</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napToGrid w:val="0"/>
          <w:kern w:val="0"/>
          <w:sz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29.谈判程序</w:t>
      </w:r>
      <w:bookmarkEnd w:id="99"/>
    </w:p>
    <w:p>
      <w:pPr>
        <w:pStyle w:val="27"/>
        <w:ind w:firstLine="480"/>
        <w:rPr>
          <w:rFonts w:ascii="宋体" w:hAnsi="宋体" w:eastAsia="宋体" w:cs="宋体"/>
          <w:sz w:val="24"/>
          <w:szCs w:val="24"/>
        </w:rPr>
      </w:pPr>
      <w:r>
        <w:rPr>
          <w:rFonts w:hint="eastAsia" w:ascii="宋体" w:hAnsi="宋体" w:eastAsia="宋体" w:cs="宋体"/>
          <w:sz w:val="24"/>
          <w:szCs w:val="24"/>
        </w:rPr>
        <w:t>29.1谈判会议由采购代理机构主持。主持人按照谈判文件规定的谈判时间宣布谈判，按照规定要求主持谈判会并按以下程序进行（但不限于）：</w:t>
      </w:r>
    </w:p>
    <w:p>
      <w:pPr>
        <w:spacing w:line="360" w:lineRule="auto"/>
        <w:ind w:firstLine="480" w:firstLineChars="200"/>
        <w:rPr>
          <w:rFonts w:ascii="宋体" w:hAnsi="宋体" w:cs="宋体"/>
          <w:sz w:val="24"/>
        </w:rPr>
      </w:pPr>
      <w:r>
        <w:rPr>
          <w:rFonts w:hint="eastAsia" w:ascii="宋体" w:hAnsi="宋体" w:cs="宋体"/>
          <w:sz w:val="24"/>
        </w:rPr>
        <w:t>（1）宣布谈判开始并致辞。</w:t>
      </w:r>
    </w:p>
    <w:p>
      <w:pPr>
        <w:spacing w:line="360" w:lineRule="auto"/>
        <w:ind w:firstLine="480" w:firstLineChars="200"/>
        <w:rPr>
          <w:rFonts w:ascii="宋体" w:hAnsi="宋体" w:cs="宋体"/>
          <w:sz w:val="24"/>
        </w:rPr>
      </w:pPr>
      <w:r>
        <w:rPr>
          <w:rFonts w:hint="eastAsia" w:ascii="宋体" w:hAnsi="宋体" w:cs="宋体"/>
          <w:sz w:val="24"/>
        </w:rPr>
        <w:t>（2）宣布谈判纪律和有关注意事项。</w:t>
      </w:r>
    </w:p>
    <w:p>
      <w:pPr>
        <w:spacing w:line="360" w:lineRule="auto"/>
        <w:ind w:firstLine="480" w:firstLineChars="200"/>
        <w:rPr>
          <w:rFonts w:ascii="宋体" w:hAnsi="宋体" w:cs="宋体"/>
          <w:sz w:val="24"/>
        </w:rPr>
      </w:pPr>
      <w:r>
        <w:rPr>
          <w:rFonts w:hint="eastAsia" w:ascii="宋体" w:hAnsi="宋体" w:cs="宋体"/>
          <w:sz w:val="24"/>
        </w:rPr>
        <w:t>（3）公布参加谈判的供应商名单；</w:t>
      </w:r>
    </w:p>
    <w:p>
      <w:pPr>
        <w:spacing w:line="360" w:lineRule="auto"/>
        <w:ind w:firstLine="480" w:firstLineChars="200"/>
        <w:rPr>
          <w:rFonts w:ascii="宋体" w:hAnsi="宋体" w:cs="宋体"/>
          <w:sz w:val="24"/>
        </w:rPr>
      </w:pPr>
      <w:r>
        <w:rPr>
          <w:rFonts w:hint="eastAsia" w:ascii="宋体" w:hAnsi="宋体" w:cs="宋体"/>
          <w:sz w:val="24"/>
        </w:rPr>
        <w:t>（4）宣布主持人、记录人等有关工作人员；</w:t>
      </w:r>
    </w:p>
    <w:p>
      <w:pPr>
        <w:spacing w:line="360" w:lineRule="auto"/>
        <w:ind w:firstLine="480" w:firstLineChars="200"/>
        <w:rPr>
          <w:rFonts w:ascii="宋体" w:hAnsi="宋体" w:cs="宋体"/>
          <w:sz w:val="24"/>
        </w:rPr>
      </w:pPr>
      <w:r>
        <w:rPr>
          <w:rFonts w:hint="eastAsia" w:ascii="宋体" w:hAnsi="宋体" w:cs="宋体"/>
          <w:sz w:val="24"/>
        </w:rPr>
        <w:t>（5）检查谈判响应文件密封情况是指，由供应商或者其推选的代表检查其自己递交的谈判响应文件的密封情况，以确认各供应商的谈判响应文件密封情况是否与递交时一致，没有被提前启封等异常情况，经检查无误后，签字确认。</w:t>
      </w:r>
    </w:p>
    <w:p>
      <w:pPr>
        <w:spacing w:line="360" w:lineRule="auto"/>
        <w:ind w:firstLine="480" w:firstLineChars="200"/>
        <w:rPr>
          <w:rFonts w:ascii="宋体" w:hAnsi="宋体" w:cs="宋体"/>
          <w:sz w:val="24"/>
        </w:rPr>
      </w:pPr>
      <w:r>
        <w:rPr>
          <w:rFonts w:hint="eastAsia" w:ascii="宋体" w:hAnsi="宋体" w:cs="宋体"/>
          <w:sz w:val="24"/>
        </w:rPr>
        <w:t>（6）谈判拆标。主持人宣布谈判后，由现场工作人员按顺序对供应商的“谈判响应文件”当众进行拆封，并对所有供应商的响应文件数量进行核对，由供应商法人代表或授权代表签字确认；</w:t>
      </w:r>
    </w:p>
    <w:p>
      <w:pPr>
        <w:spacing w:line="360" w:lineRule="auto"/>
        <w:ind w:firstLine="460" w:firstLineChars="192"/>
        <w:rPr>
          <w:rFonts w:ascii="宋体" w:hAnsi="宋体" w:cs="宋体"/>
          <w:sz w:val="24"/>
        </w:rPr>
      </w:pPr>
      <w:bookmarkStart w:id="100" w:name="_Toc217446059"/>
      <w:r>
        <w:rPr>
          <w:rFonts w:hint="eastAsia" w:ascii="宋体" w:hAnsi="宋体" w:cs="宋体"/>
          <w:sz w:val="24"/>
        </w:rPr>
        <w:t>（7）宣布谈判会议结束。主持人宣布谈判会议结束后，所有供应商应立即退场（谈判文件要求有演示、介绍等的除外）。同时所有供应商应保持通讯设备的畅通，以方便在评审过程中谈判小组要求供应商对谈判响应文件的必要澄清。</w:t>
      </w:r>
    </w:p>
    <w:p>
      <w:pPr>
        <w:spacing w:line="360" w:lineRule="auto"/>
        <w:ind w:firstLine="480" w:firstLineChars="200"/>
        <w:rPr>
          <w:rFonts w:ascii="宋体" w:hAnsi="宋体" w:cs="宋体"/>
          <w:kern w:val="0"/>
          <w:sz w:val="24"/>
        </w:rPr>
      </w:pPr>
      <w:r>
        <w:rPr>
          <w:rFonts w:hint="eastAsia" w:ascii="宋体" w:hAnsi="宋体" w:cs="宋体"/>
          <w:sz w:val="24"/>
        </w:rPr>
        <w:t xml:space="preserve">29.2 </w:t>
      </w:r>
      <w:r>
        <w:rPr>
          <w:rFonts w:hint="eastAsia" w:ascii="宋体" w:hAnsi="宋体" w:cs="宋体"/>
          <w:kern w:val="0"/>
          <w:sz w:val="24"/>
        </w:rPr>
        <w:t>供应商对谈判过程和谈判记录有疑义，以及认为采购人、采购代理机构相关工作人员有需要回避的情形的，应当场提出询问或者回避申请。采购人、采购代理机构对供应商代表提出的询问或者回避申请应当及时处理，并制作记录。</w:t>
      </w:r>
    </w:p>
    <w:p>
      <w:pPr>
        <w:spacing w:line="360" w:lineRule="auto"/>
        <w:ind w:firstLine="460" w:firstLineChars="192"/>
        <w:rPr>
          <w:rFonts w:ascii="宋体" w:hAnsi="宋体" w:cs="宋体"/>
          <w:kern w:val="0"/>
          <w:sz w:val="24"/>
        </w:rPr>
      </w:pPr>
      <w:r>
        <w:rPr>
          <w:rFonts w:hint="eastAsia" w:ascii="宋体" w:hAnsi="宋体" w:cs="宋体"/>
          <w:kern w:val="0"/>
          <w:sz w:val="24"/>
        </w:rPr>
        <w:t>29.3采购代理机构对谈判、资格审查和评审全过程进行全程摄（录）像、文字记录，并存档备查。</w:t>
      </w:r>
    </w:p>
    <w:p>
      <w:pPr>
        <w:pStyle w:val="4"/>
        <w:spacing w:before="300" w:after="120" w:afterLines="50" w:line="360" w:lineRule="auto"/>
        <w:rPr>
          <w:rFonts w:ascii="宋体" w:hAnsi="宋体" w:eastAsia="宋体" w:cs="宋体"/>
          <w:bCs/>
          <w:highlight w:val="none"/>
        </w:rPr>
      </w:pPr>
      <w:bookmarkStart w:id="101" w:name="_Toc71729629"/>
      <w:bookmarkStart w:id="102" w:name="_Toc31585"/>
      <w:r>
        <w:rPr>
          <w:rFonts w:hint="eastAsia" w:ascii="宋体" w:hAnsi="宋体" w:eastAsia="宋体" w:cs="宋体"/>
          <w:bCs/>
          <w:highlight w:val="none"/>
        </w:rPr>
        <w:t>七、供应商资格审查</w:t>
      </w:r>
      <w:bookmarkEnd w:id="101"/>
      <w:bookmarkEnd w:id="102"/>
    </w:p>
    <w:p>
      <w:pPr>
        <w:pStyle w:val="5"/>
        <w:rPr>
          <w:rFonts w:ascii="宋体" w:hAnsi="宋体" w:cs="宋体"/>
          <w:highlight w:val="none"/>
        </w:rPr>
      </w:pPr>
      <w:r>
        <w:rPr>
          <w:rFonts w:hint="eastAsia" w:ascii="宋体" w:hAnsi="宋体" w:cs="宋体"/>
          <w:highlight w:val="none"/>
        </w:rPr>
        <w:t>30.1资格审查人员</w:t>
      </w:r>
    </w:p>
    <w:p>
      <w:pPr>
        <w:spacing w:after="120" w:afterLines="50" w:line="360" w:lineRule="auto"/>
        <w:rPr>
          <w:rFonts w:ascii="宋体" w:hAnsi="宋体" w:cs="宋体"/>
          <w:kern w:val="0"/>
          <w:sz w:val="24"/>
          <w:highlight w:val="none"/>
        </w:rPr>
      </w:pPr>
      <w:r>
        <w:rPr>
          <w:rFonts w:hint="eastAsia" w:ascii="宋体" w:hAnsi="宋体" w:cs="宋体"/>
          <w:kern w:val="0"/>
          <w:sz w:val="24"/>
          <w:highlight w:val="none"/>
        </w:rPr>
        <w:t xml:space="preserve">    开标结束后，采购人按照《中华人民共和国政府采购法》有关规定，对谈判响应文件正本中的供应商资格证明文件进行审查。资格审查结束后，资格审查人员对审查结果进行签字确认，若供应商资格审查未通过，注明未通过原因并告知其供应商。</w:t>
      </w:r>
    </w:p>
    <w:p>
      <w:pPr>
        <w:pStyle w:val="5"/>
        <w:rPr>
          <w:rFonts w:ascii="宋体" w:hAnsi="宋体" w:cs="宋体"/>
          <w:highlight w:val="none"/>
        </w:rPr>
      </w:pPr>
      <w:r>
        <w:rPr>
          <w:rFonts w:hint="eastAsia" w:ascii="宋体" w:hAnsi="宋体" w:cs="宋体"/>
          <w:highlight w:val="none"/>
        </w:rPr>
        <w:t>30.2资格审查办法</w:t>
      </w:r>
    </w:p>
    <w:p>
      <w:pPr>
        <w:tabs>
          <w:tab w:val="left" w:pos="0"/>
        </w:tabs>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30.2.1资格审查在开标之后评审之前进行。</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sz w:val="24"/>
          <w:highlight w:val="none"/>
        </w:rPr>
        <w:t>30.2.2资格审查人员将依据供应商谈判响应文件，按照谈判文件第三章11.1条款所述资格要求对供应商进行资格审查，以确定其是否具备相应资格。</w:t>
      </w:r>
      <w:r>
        <w:rPr>
          <w:rFonts w:hint="eastAsia" w:ascii="宋体" w:hAnsi="宋体" w:cs="宋体"/>
          <w:kern w:val="0"/>
          <w:sz w:val="24"/>
          <w:highlight w:val="none"/>
        </w:rPr>
        <w:t>如果供应商不具备资格、不满足谈判文件所规定的资格条件,将被视为未实质性响应谈判文件,按无效投标处理，资格审查不合格的供应商，不得进入下一评审环节。</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kern w:val="0"/>
          <w:sz w:val="24"/>
          <w:highlight w:val="none"/>
        </w:rPr>
        <w:t>30.2.3 供应商须知前附表规定本项目专门面向中小企业采购的，供应商应符合政府采购政策规定的中小企业条件，并提供相应证明材料：《中小企业声明函》或者《残疾人福利性单位声明函》或者监狱企业的证明。</w:t>
      </w:r>
      <w:r>
        <w:rPr>
          <w:rFonts w:hint="eastAsia" w:ascii="宋体" w:hAnsi="宋体" w:cs="宋体"/>
          <w:sz w:val="24"/>
          <w:highlight w:val="none"/>
        </w:rPr>
        <w:t>不提供或提供有瑕疵的，</w:t>
      </w:r>
      <w:r>
        <w:rPr>
          <w:rFonts w:hint="eastAsia" w:ascii="宋体" w:hAnsi="宋体" w:cs="宋体"/>
          <w:kern w:val="0"/>
          <w:sz w:val="24"/>
          <w:highlight w:val="none"/>
        </w:rPr>
        <w:t>不得进入下一评审环节。</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kern w:val="0"/>
          <w:sz w:val="24"/>
          <w:highlight w:val="none"/>
        </w:rPr>
        <w:t>30.2.4供应商信用查询结果使用，凡存在下列情形之一的，审查不予通过：</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kern w:val="0"/>
          <w:sz w:val="24"/>
          <w:highlight w:val="none"/>
        </w:rPr>
        <w:t>（1）列入严重违法失信名单的；</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shd w:val="clear" w:color="auto" w:fill="FFFFFF"/>
        </w:rPr>
        <w:t>列入政府采购严重违法失信行为记录名单的；</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kern w:val="0"/>
          <w:sz w:val="24"/>
          <w:highlight w:val="none"/>
        </w:rPr>
        <w:t>（3）列入</w:t>
      </w:r>
      <w:r>
        <w:rPr>
          <w:rFonts w:hint="eastAsia" w:cs="宋体"/>
          <w:bCs/>
          <w:sz w:val="24"/>
          <w:highlight w:val="none"/>
          <w:lang w:val="en-US" w:eastAsia="zh-CN"/>
        </w:rPr>
        <w:t>重大</w:t>
      </w:r>
      <w:r>
        <w:rPr>
          <w:rFonts w:hint="eastAsia" w:cs="宋体"/>
          <w:bCs/>
          <w:sz w:val="24"/>
          <w:highlight w:val="none"/>
          <w:lang w:eastAsia="zh-CN"/>
        </w:rPr>
        <w:t>税收违法</w:t>
      </w:r>
      <w:r>
        <w:rPr>
          <w:rFonts w:hint="eastAsia" w:cs="宋体"/>
          <w:bCs/>
          <w:sz w:val="24"/>
          <w:highlight w:val="none"/>
          <w:lang w:val="en-US" w:eastAsia="zh-CN"/>
        </w:rPr>
        <w:t>失信主体</w:t>
      </w:r>
      <w:r>
        <w:rPr>
          <w:rFonts w:hint="eastAsia" w:ascii="宋体" w:hAnsi="宋体" w:cs="宋体"/>
          <w:kern w:val="0"/>
          <w:sz w:val="24"/>
          <w:highlight w:val="none"/>
        </w:rPr>
        <w:t>的；</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kern w:val="0"/>
          <w:sz w:val="24"/>
          <w:highlight w:val="none"/>
        </w:rPr>
        <w:t>（4）近3年内受到暂扣或者吊销许可证、暂扣或者吊销执照行政处罚的；</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kern w:val="0"/>
          <w:sz w:val="24"/>
          <w:highlight w:val="none"/>
        </w:rPr>
        <w:t>（5）近3年内受到责令停产停业行政处罚的；</w:t>
      </w:r>
    </w:p>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sz w:val="24"/>
          <w:highlight w:val="none"/>
          <w:shd w:val="clear" w:color="auto" w:fill="FFFFFF"/>
        </w:rPr>
        <w:t>（6）</w:t>
      </w:r>
      <w:r>
        <w:rPr>
          <w:rFonts w:hint="eastAsia" w:ascii="宋体" w:hAnsi="宋体" w:cs="宋体"/>
          <w:kern w:val="0"/>
          <w:sz w:val="24"/>
          <w:highlight w:val="none"/>
        </w:rPr>
        <w:t>法律法规规定的其他情形的。</w:t>
      </w:r>
    </w:p>
    <w:p>
      <w:pPr>
        <w:tabs>
          <w:tab w:val="left" w:pos="0"/>
        </w:tabs>
        <w:adjustRightInd w:val="0"/>
        <w:snapToGrid w:val="0"/>
        <w:spacing w:line="360" w:lineRule="auto"/>
        <w:ind w:left="488" w:leftChars="228" w:hanging="9" w:hangingChars="4"/>
        <w:rPr>
          <w:rFonts w:ascii="宋体" w:hAnsi="宋体" w:cs="宋体"/>
          <w:kern w:val="0"/>
          <w:sz w:val="24"/>
          <w:highlight w:val="none"/>
        </w:rPr>
      </w:pPr>
      <w:r>
        <w:rPr>
          <w:rFonts w:hint="eastAsia" w:ascii="宋体" w:hAnsi="宋体" w:cs="宋体"/>
          <w:kern w:val="0"/>
          <w:sz w:val="24"/>
          <w:highlight w:val="none"/>
        </w:rPr>
        <w:t>30.2.5资格审查标准</w:t>
      </w:r>
    </w:p>
    <w:p>
      <w:pPr>
        <w:pStyle w:val="130"/>
        <w:rPr>
          <w:rFonts w:ascii="宋体" w:hAnsi="宋体" w:cs="宋体"/>
          <w:color w:val="auto"/>
          <w:highlight w:val="none"/>
        </w:rPr>
      </w:pPr>
    </w:p>
    <w:tbl>
      <w:tblPr>
        <w:tblStyle w:val="3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299"/>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
                <w:bCs/>
                <w:sz w:val="24"/>
                <w:highlight w:val="none"/>
              </w:rPr>
            </w:pPr>
            <w:r>
              <w:rPr>
                <w:rFonts w:hint="eastAsia" w:ascii="宋体" w:hAnsi="宋体" w:cs="宋体"/>
                <w:b/>
                <w:bCs/>
                <w:sz w:val="24"/>
                <w:highlight w:val="none"/>
              </w:rPr>
              <w:t>序号</w:t>
            </w:r>
          </w:p>
        </w:tc>
        <w:tc>
          <w:tcPr>
            <w:tcW w:w="6299"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
                <w:bCs/>
                <w:sz w:val="24"/>
                <w:highlight w:val="none"/>
              </w:rPr>
            </w:pPr>
            <w:r>
              <w:rPr>
                <w:rFonts w:hint="eastAsia" w:ascii="宋体" w:hAnsi="宋体" w:cs="宋体"/>
                <w:b/>
                <w:bCs/>
                <w:sz w:val="24"/>
                <w:highlight w:val="none"/>
              </w:rPr>
              <w:t>资格审查事项</w:t>
            </w:r>
          </w:p>
        </w:tc>
        <w:tc>
          <w:tcPr>
            <w:tcW w:w="257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
                <w:bCs/>
                <w:sz w:val="24"/>
                <w:highlight w:val="none"/>
              </w:rPr>
            </w:pPr>
            <w:r>
              <w:rPr>
                <w:rFonts w:hint="eastAsia" w:ascii="宋体" w:hAnsi="宋体" w:cs="宋体"/>
                <w:b/>
                <w:bCs/>
                <w:sz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597" w:type="dxa"/>
            <w:gridSpan w:val="3"/>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b/>
                <w:bCs/>
                <w:sz w:val="24"/>
                <w:highlight w:val="none"/>
              </w:rPr>
            </w:pPr>
            <w:r>
              <w:rPr>
                <w:rFonts w:hint="eastAsia" w:ascii="宋体" w:hAnsi="宋体" w:cs="宋体"/>
                <w:b/>
                <w:bCs/>
                <w:sz w:val="24"/>
                <w:highlight w:val="none"/>
              </w:rPr>
              <w:t>基本资格条件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4"/>
                <w:highlight w:val="none"/>
              </w:rPr>
            </w:pPr>
            <w:r>
              <w:rPr>
                <w:rFonts w:hint="eastAsia" w:ascii="宋体" w:hAnsi="宋体" w:cs="宋体"/>
                <w:sz w:val="24"/>
                <w:highlight w:val="none"/>
              </w:rPr>
              <w:t>1</w:t>
            </w:r>
          </w:p>
        </w:tc>
        <w:tc>
          <w:tcPr>
            <w:tcW w:w="6299" w:type="dxa"/>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b/>
                <w:bCs/>
                <w:sz w:val="24"/>
                <w:highlight w:val="none"/>
              </w:rPr>
            </w:pPr>
            <w:r>
              <w:rPr>
                <w:rFonts w:hint="eastAsia" w:ascii="宋体" w:hAnsi="宋体" w:cs="宋体"/>
                <w:b/>
                <w:bCs/>
                <w:sz w:val="24"/>
                <w:highlight w:val="none"/>
              </w:rPr>
              <w:t>供应商营业执照等证明文件，自然人的身份证明</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kern w:val="0"/>
                <w:sz w:val="24"/>
                <w:highlight w:val="none"/>
              </w:rPr>
            </w:pPr>
            <w:r>
              <w:rPr>
                <w:rFonts w:hint="eastAsia" w:ascii="宋体" w:hAnsi="宋体" w:cs="宋体"/>
                <w:kern w:val="0"/>
                <w:sz w:val="24"/>
                <w:highlight w:val="none"/>
              </w:rPr>
              <w:t>根据供应商类别进行审查：</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kern w:val="0"/>
                <w:sz w:val="24"/>
                <w:highlight w:val="none"/>
              </w:rPr>
            </w:pPr>
            <w:r>
              <w:rPr>
                <w:rFonts w:hint="eastAsia" w:ascii="宋体" w:hAnsi="宋体" w:cs="宋体"/>
                <w:kern w:val="0"/>
                <w:sz w:val="24"/>
                <w:highlight w:val="none"/>
              </w:rPr>
              <w:t>(1)企业投标的：营业执照(3证合1或多证合1)</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kern w:val="0"/>
                <w:sz w:val="24"/>
                <w:highlight w:val="none"/>
              </w:rPr>
            </w:pPr>
            <w:r>
              <w:rPr>
                <w:rFonts w:hint="eastAsia" w:ascii="宋体" w:hAnsi="宋体" w:cs="宋体"/>
                <w:kern w:val="0"/>
                <w:sz w:val="24"/>
                <w:highlight w:val="none"/>
              </w:rPr>
              <w:t>(2)事业单位投标的：事业单位法人证书</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kern w:val="0"/>
                <w:sz w:val="24"/>
                <w:highlight w:val="none"/>
              </w:rPr>
            </w:pPr>
            <w:r>
              <w:rPr>
                <w:rFonts w:hint="eastAsia" w:ascii="宋体" w:hAnsi="宋体" w:cs="宋体"/>
                <w:kern w:val="0"/>
                <w:sz w:val="24"/>
                <w:highlight w:val="none"/>
              </w:rPr>
              <w:t>(3)其他组织投标的：登记证书</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sz w:val="24"/>
                <w:highlight w:val="none"/>
              </w:rPr>
            </w:pPr>
            <w:r>
              <w:rPr>
                <w:rFonts w:hint="eastAsia" w:ascii="宋体" w:hAnsi="宋体" w:cs="宋体"/>
                <w:kern w:val="0"/>
                <w:sz w:val="24"/>
                <w:highlight w:val="none"/>
              </w:rPr>
              <w:t>(4)自然人投标的：身份证</w:t>
            </w:r>
          </w:p>
        </w:tc>
        <w:tc>
          <w:tcPr>
            <w:tcW w:w="257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kern w:val="0"/>
                <w:sz w:val="24"/>
                <w:highlight w:val="none"/>
              </w:rPr>
            </w:pPr>
            <w:r>
              <w:rPr>
                <w:rFonts w:hint="eastAsia" w:ascii="宋体" w:hAnsi="宋体" w:cs="宋体"/>
                <w:kern w:val="0"/>
                <w:sz w:val="24"/>
                <w:highlight w:val="none"/>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2</w:t>
            </w:r>
          </w:p>
        </w:tc>
        <w:tc>
          <w:tcPr>
            <w:tcW w:w="6299" w:type="dxa"/>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b/>
                <w:bCs/>
                <w:sz w:val="24"/>
                <w:highlight w:val="none"/>
              </w:rPr>
            </w:pPr>
            <w:r>
              <w:rPr>
                <w:rFonts w:hint="eastAsia" w:ascii="宋体" w:hAnsi="宋体" w:cs="宋体"/>
                <w:b/>
                <w:bCs/>
                <w:sz w:val="24"/>
                <w:highlight w:val="none"/>
              </w:rPr>
              <w:t>法定代表人身份证明/法定代表人授权书</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kern w:val="0"/>
                <w:sz w:val="24"/>
                <w:highlight w:val="none"/>
              </w:rPr>
            </w:pPr>
            <w:r>
              <w:rPr>
                <w:rFonts w:hint="eastAsia" w:ascii="宋体" w:hAnsi="宋体" w:cs="宋体"/>
                <w:kern w:val="0"/>
                <w:sz w:val="24"/>
                <w:highlight w:val="none"/>
              </w:rPr>
              <w:t>（1）法定代表人（负责人）投标的：提供法定代表人（负责人）身份证明</w:t>
            </w: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cs="宋体"/>
                <w:kern w:val="0"/>
                <w:sz w:val="24"/>
                <w:highlight w:val="none"/>
              </w:rPr>
            </w:pPr>
            <w:r>
              <w:rPr>
                <w:rFonts w:hint="eastAsia" w:ascii="宋体" w:hAnsi="宋体" w:cs="宋体"/>
                <w:kern w:val="0"/>
                <w:sz w:val="24"/>
                <w:highlight w:val="none"/>
              </w:rPr>
              <w:t>（2）法定代表人授权他人参加投标的：提供法定代表人委托授权书</w:t>
            </w:r>
          </w:p>
        </w:tc>
        <w:tc>
          <w:tcPr>
            <w:tcW w:w="2571"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cs="宋体"/>
                <w:kern w:val="0"/>
                <w:sz w:val="24"/>
                <w:highlight w:val="none"/>
              </w:rPr>
            </w:pPr>
            <w:r>
              <w:rPr>
                <w:rFonts w:hint="eastAsia" w:ascii="宋体" w:hAnsi="宋体" w:cs="宋体"/>
                <w:kern w:val="0"/>
                <w:sz w:val="24"/>
                <w:highlight w:val="none"/>
              </w:rPr>
              <w:t>合法有效，按采购文件格式提供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eastAsia="宋体" w:cs="宋体"/>
                <w:kern w:val="2"/>
                <w:sz w:val="24"/>
                <w:szCs w:val="24"/>
                <w:highlight w:val="none"/>
                <w:lang w:val="en-US" w:eastAsia="zh-CN" w:bidi="ar-SA"/>
              </w:rPr>
            </w:pPr>
            <w:r>
              <w:rPr>
                <w:rFonts w:hint="eastAsia" w:ascii="宋体" w:hAnsi="宋体" w:cs="宋体"/>
                <w:sz w:val="24"/>
                <w:highlight w:val="none"/>
              </w:rPr>
              <w:t>3</w:t>
            </w:r>
          </w:p>
        </w:tc>
        <w:tc>
          <w:tcPr>
            <w:tcW w:w="6299"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kern w:val="0"/>
                <w:sz w:val="24"/>
                <w:highlight w:val="none"/>
                <w:lang w:eastAsia="zh-CN"/>
              </w:rPr>
            </w:pPr>
            <w:r>
              <w:rPr>
                <w:rFonts w:hint="eastAsia" w:ascii="宋体" w:hAnsi="宋体" w:cs="宋体"/>
                <w:b/>
                <w:bCs/>
                <w:sz w:val="24"/>
                <w:highlight w:val="none"/>
              </w:rPr>
              <w:t>财务状况报告</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满足其中任意一项</w:t>
            </w:r>
            <w:r>
              <w:rPr>
                <w:rFonts w:hint="eastAsia" w:ascii="宋体" w:hAnsi="宋体" w:cs="宋体"/>
                <w:b/>
                <w:bCs/>
                <w:sz w:val="24"/>
                <w:highlight w:val="none"/>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要求：</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财务报告：应提供2021全年度经审计的供应商财务报告</w:t>
            </w:r>
            <w:r>
              <w:rPr>
                <w:rFonts w:hint="eastAsia" w:ascii="宋体" w:hAnsi="宋体" w:cs="宋体"/>
                <w:kern w:val="0"/>
                <w:sz w:val="24"/>
                <w:highlight w:val="none"/>
                <w:lang w:eastAsia="zh-CN"/>
              </w:rPr>
              <w:t>。</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napToGrid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资信证明：提供谈判前六个月内由银行出具的资信证明。</w:t>
            </w: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（3）自然人，提供谈判前六个月内由银行出具的资信证明。</w:t>
            </w: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ascii="宋体" w:hAnsi="宋体" w:cs="宋体"/>
                <w:sz w:val="24"/>
                <w:highlight w:val="none"/>
              </w:rPr>
            </w:pPr>
            <w:r>
              <w:rPr>
                <w:rFonts w:hint="eastAsia" w:ascii="宋体" w:hAnsi="宋体" w:cs="宋体"/>
                <w:kern w:val="0"/>
                <w:sz w:val="24"/>
                <w:highlight w:val="none"/>
              </w:rPr>
              <w:t>（4）事业单位无需提供财务审计报告。</w:t>
            </w:r>
          </w:p>
        </w:tc>
        <w:tc>
          <w:tcPr>
            <w:tcW w:w="2571"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1.2021年全年度经审计财务报告</w:t>
            </w:r>
            <w:r>
              <w:rPr>
                <w:rFonts w:hint="eastAsia" w:ascii="宋体" w:hAnsi="宋体" w:cs="宋体"/>
                <w:kern w:val="0"/>
                <w:sz w:val="24"/>
                <w:highlight w:val="none"/>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ascii="宋体" w:hAnsi="宋体" w:cs="宋体"/>
                <w:kern w:val="0"/>
                <w:sz w:val="24"/>
                <w:highlight w:val="none"/>
              </w:rPr>
            </w:pPr>
            <w:r>
              <w:rPr>
                <w:rFonts w:hint="eastAsia" w:ascii="宋体" w:hAnsi="宋体" w:cs="宋体"/>
                <w:kern w:val="0"/>
                <w:sz w:val="24"/>
                <w:highlight w:val="none"/>
              </w:rPr>
              <w:t>2.资信证明未由银行出具或未在开标前六个月内开具的，视为不合格。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eastAsia="宋体" w:cs="宋体"/>
                <w:kern w:val="2"/>
                <w:sz w:val="24"/>
                <w:szCs w:val="24"/>
                <w:highlight w:val="none"/>
                <w:lang w:val="en-US" w:eastAsia="zh-CN" w:bidi="ar-SA"/>
              </w:rPr>
            </w:pPr>
            <w:r>
              <w:rPr>
                <w:rFonts w:hint="eastAsia" w:ascii="宋体" w:hAnsi="宋体" w:cs="宋体"/>
                <w:sz w:val="24"/>
                <w:highlight w:val="none"/>
              </w:rPr>
              <w:t>4</w:t>
            </w:r>
          </w:p>
        </w:tc>
        <w:tc>
          <w:tcPr>
            <w:tcW w:w="6299"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b/>
                <w:bCs/>
                <w:sz w:val="24"/>
                <w:highlight w:val="none"/>
              </w:rPr>
            </w:pPr>
            <w:r>
              <w:rPr>
                <w:rFonts w:hint="eastAsia" w:ascii="宋体" w:hAnsi="宋体" w:cs="宋体"/>
                <w:b/>
                <w:bCs/>
                <w:sz w:val="24"/>
                <w:highlight w:val="none"/>
              </w:rPr>
              <w:t>税收缴纳证明</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（1）供应商提供</w:t>
            </w:r>
            <w:r>
              <w:rPr>
                <w:rFonts w:hint="eastAsia" w:hAnsi="宋体" w:cs="宋体"/>
                <w:sz w:val="24"/>
                <w:highlight w:val="none"/>
              </w:rPr>
              <w:t>截止至</w:t>
            </w:r>
            <w:r>
              <w:rPr>
                <w:rFonts w:hint="eastAsia" w:cs="宋体"/>
                <w:b w:val="0"/>
                <w:bCs/>
                <w:color w:val="auto"/>
                <w:kern w:val="2"/>
                <w:sz w:val="24"/>
                <w:szCs w:val="24"/>
                <w:highlight w:val="none"/>
                <w:lang w:val="en-US" w:eastAsia="zh-CN" w:bidi="ar-SA"/>
              </w:rPr>
              <w:t>谈判</w:t>
            </w:r>
            <w:r>
              <w:rPr>
                <w:rFonts w:hint="eastAsia" w:hAnsi="宋体" w:cs="宋体"/>
                <w:sz w:val="24"/>
                <w:highlight w:val="none"/>
              </w:rPr>
              <w:t>时间前六个月</w:t>
            </w:r>
            <w:r>
              <w:rPr>
                <w:rFonts w:hint="eastAsia" w:ascii="宋体" w:hAnsi="宋体" w:cs="宋体"/>
                <w:sz w:val="24"/>
                <w:highlight w:val="none"/>
              </w:rPr>
              <w:t>任一月份的缴费凭据或税务机关开具的完税证明</w:t>
            </w:r>
            <w:r>
              <w:rPr>
                <w:rFonts w:hint="eastAsia" w:ascii="宋体" w:hAnsi="宋体" w:cs="宋体"/>
                <w:kern w:val="0"/>
                <w:sz w:val="24"/>
                <w:highlight w:val="none"/>
              </w:rPr>
              <w:t>（任意税种）；</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（2）依法免税的应提供相关文件证明；</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sz w:val="24"/>
                <w:highlight w:val="none"/>
              </w:rPr>
            </w:pPr>
            <w:r>
              <w:rPr>
                <w:rFonts w:hint="eastAsia" w:ascii="宋体" w:hAnsi="宋体" w:cs="宋体"/>
                <w:kern w:val="0"/>
                <w:sz w:val="24"/>
                <w:highlight w:val="none"/>
              </w:rPr>
              <w:t>（3）事业单位无需提供；</w:t>
            </w:r>
          </w:p>
        </w:tc>
        <w:tc>
          <w:tcPr>
            <w:tcW w:w="257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kern w:val="0"/>
                <w:sz w:val="24"/>
                <w:highlight w:val="none"/>
              </w:rPr>
            </w:pPr>
            <w:r>
              <w:rPr>
                <w:rFonts w:hint="eastAsia" w:ascii="宋体" w:hAnsi="宋体" w:cs="宋体"/>
                <w:kern w:val="0"/>
                <w:sz w:val="24"/>
                <w:highlight w:val="none"/>
              </w:rPr>
              <w:t>合法</w:t>
            </w:r>
            <w:r>
              <w:rPr>
                <w:rFonts w:hint="eastAsia" w:ascii="宋体" w:hAnsi="宋体" w:cs="宋体"/>
                <w:kern w:val="0"/>
                <w:sz w:val="24"/>
                <w:highlight w:val="none"/>
                <w:lang w:eastAsia="zh-CN"/>
              </w:rPr>
              <w:t>、</w:t>
            </w:r>
            <w:r>
              <w:rPr>
                <w:rFonts w:hint="eastAsia" w:ascii="宋体" w:hAnsi="宋体" w:cs="宋体"/>
                <w:kern w:val="0"/>
                <w:sz w:val="24"/>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eastAsia="宋体" w:cs="宋体"/>
                <w:kern w:val="2"/>
                <w:sz w:val="24"/>
                <w:szCs w:val="24"/>
                <w:highlight w:val="none"/>
                <w:lang w:val="en-US" w:eastAsia="zh-CN" w:bidi="ar-SA"/>
              </w:rPr>
            </w:pPr>
            <w:r>
              <w:rPr>
                <w:rFonts w:hint="eastAsia" w:ascii="宋体" w:hAnsi="宋体" w:cs="宋体"/>
                <w:sz w:val="24"/>
                <w:highlight w:val="none"/>
              </w:rPr>
              <w:t>5</w:t>
            </w:r>
          </w:p>
        </w:tc>
        <w:tc>
          <w:tcPr>
            <w:tcW w:w="6299"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b/>
                <w:bCs/>
                <w:sz w:val="24"/>
                <w:highlight w:val="none"/>
              </w:rPr>
            </w:pPr>
            <w:r>
              <w:rPr>
                <w:rFonts w:hint="eastAsia" w:ascii="宋体" w:hAnsi="宋体" w:cs="宋体"/>
                <w:b/>
                <w:bCs/>
                <w:sz w:val="24"/>
                <w:highlight w:val="none"/>
              </w:rPr>
              <w:t>社会保障资金缴纳证明</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z w:val="24"/>
                <w:highlight w:val="none"/>
              </w:rPr>
              <w:t>供应商提供</w:t>
            </w:r>
            <w:r>
              <w:rPr>
                <w:rFonts w:hint="eastAsia" w:hAnsi="宋体" w:cs="宋体"/>
                <w:sz w:val="24"/>
                <w:highlight w:val="none"/>
              </w:rPr>
              <w:t>截止至</w:t>
            </w:r>
            <w:r>
              <w:rPr>
                <w:rFonts w:hint="eastAsia" w:cs="宋体"/>
                <w:b w:val="0"/>
                <w:bCs/>
                <w:color w:val="auto"/>
                <w:kern w:val="2"/>
                <w:sz w:val="24"/>
                <w:szCs w:val="24"/>
                <w:highlight w:val="none"/>
                <w:lang w:val="en-US" w:eastAsia="zh-CN" w:bidi="ar-SA"/>
              </w:rPr>
              <w:t>谈判</w:t>
            </w:r>
            <w:r>
              <w:rPr>
                <w:rFonts w:hint="eastAsia" w:hAnsi="宋体" w:cs="宋体"/>
                <w:sz w:val="24"/>
                <w:highlight w:val="none"/>
              </w:rPr>
              <w:t>时间前六个月</w:t>
            </w:r>
            <w:r>
              <w:rPr>
                <w:rFonts w:hint="eastAsia" w:ascii="宋体" w:hAnsi="宋体" w:cs="宋体"/>
                <w:sz w:val="24"/>
                <w:highlight w:val="none"/>
              </w:rPr>
              <w:t>任一月份的缴费凭据或社保机构开具的社会保险参保缴费情况证明；</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（2）依法不需要缴纳社会保障资金的供应商应提供相关文件证明；</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kern w:val="0"/>
                <w:sz w:val="24"/>
                <w:highlight w:val="none"/>
              </w:rPr>
            </w:pPr>
            <w:r>
              <w:rPr>
                <w:rFonts w:hint="eastAsia" w:ascii="宋体" w:hAnsi="宋体" w:cs="宋体"/>
                <w:kern w:val="0"/>
                <w:sz w:val="24"/>
                <w:highlight w:val="none"/>
              </w:rPr>
              <w:t>（3）事业单位无需提供；</w:t>
            </w:r>
          </w:p>
        </w:tc>
        <w:tc>
          <w:tcPr>
            <w:tcW w:w="2571"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ascii="宋体" w:hAnsi="宋体" w:cs="宋体"/>
                <w:kern w:val="0"/>
                <w:sz w:val="24"/>
                <w:highlight w:val="none"/>
              </w:rPr>
            </w:pPr>
            <w:r>
              <w:rPr>
                <w:rFonts w:hint="eastAsia" w:ascii="宋体" w:hAnsi="宋体" w:cs="宋体"/>
                <w:kern w:val="0"/>
                <w:sz w:val="24"/>
                <w:highlight w:val="none"/>
              </w:rPr>
              <w:t>合法</w:t>
            </w:r>
            <w:r>
              <w:rPr>
                <w:rFonts w:hint="eastAsia" w:ascii="宋体" w:hAnsi="宋体" w:cs="宋体"/>
                <w:kern w:val="0"/>
                <w:sz w:val="24"/>
                <w:highlight w:val="none"/>
                <w:lang w:eastAsia="zh-CN"/>
              </w:rPr>
              <w:t>、</w:t>
            </w:r>
            <w:r>
              <w:rPr>
                <w:rFonts w:hint="eastAsia" w:ascii="宋体" w:hAnsi="宋体" w:cs="宋体"/>
                <w:kern w:val="0"/>
                <w:sz w:val="24"/>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eastAsia="宋体" w:cs="宋体"/>
                <w:kern w:val="2"/>
                <w:sz w:val="24"/>
                <w:szCs w:val="24"/>
                <w:highlight w:val="none"/>
                <w:lang w:val="en-US" w:eastAsia="zh-CN" w:bidi="ar-SA"/>
              </w:rPr>
            </w:pPr>
            <w:r>
              <w:rPr>
                <w:rFonts w:hint="eastAsia" w:ascii="宋体" w:hAnsi="宋体" w:cs="宋体"/>
                <w:sz w:val="24"/>
                <w:highlight w:val="none"/>
              </w:rPr>
              <w:t>6</w:t>
            </w:r>
          </w:p>
        </w:tc>
        <w:tc>
          <w:tcPr>
            <w:tcW w:w="6299" w:type="dxa"/>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sz w:val="24"/>
                <w:highlight w:val="none"/>
              </w:rPr>
            </w:pPr>
            <w:r>
              <w:rPr>
                <w:rFonts w:hint="eastAsia" w:ascii="宋体" w:hAnsi="宋体" w:cs="宋体"/>
                <w:sz w:val="24"/>
                <w:highlight w:val="none"/>
              </w:rPr>
              <w:t>具有履行本合同所必需的设备和专业技术能力的承诺函</w:t>
            </w:r>
          </w:p>
        </w:tc>
        <w:tc>
          <w:tcPr>
            <w:tcW w:w="257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kern w:val="0"/>
                <w:sz w:val="24"/>
                <w:highlight w:val="none"/>
              </w:rPr>
            </w:pPr>
            <w:r>
              <w:rPr>
                <w:rFonts w:hint="eastAsia" w:ascii="宋体" w:hAnsi="宋体" w:cs="宋体"/>
                <w:kern w:val="0"/>
                <w:sz w:val="24"/>
                <w:highlight w:val="none"/>
              </w:rPr>
              <w:t>按谈判文件格式提供</w:t>
            </w:r>
            <w:r>
              <w:rPr>
                <w:rFonts w:hint="eastAsia" w:ascii="宋体" w:hAnsi="宋体" w:cs="宋体"/>
                <w:sz w:val="24"/>
                <w:highlight w:val="none"/>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eastAsia="宋体" w:cs="宋体"/>
                <w:kern w:val="2"/>
                <w:sz w:val="24"/>
                <w:szCs w:val="24"/>
                <w:highlight w:val="none"/>
                <w:lang w:val="en-US" w:eastAsia="zh-CN" w:bidi="ar-SA"/>
              </w:rPr>
            </w:pPr>
            <w:r>
              <w:rPr>
                <w:rFonts w:hint="eastAsia" w:ascii="宋体" w:hAnsi="宋体" w:cs="宋体"/>
                <w:sz w:val="24"/>
                <w:highlight w:val="none"/>
              </w:rPr>
              <w:t>7</w:t>
            </w:r>
          </w:p>
        </w:tc>
        <w:tc>
          <w:tcPr>
            <w:tcW w:w="6299" w:type="dxa"/>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sz w:val="24"/>
                <w:highlight w:val="none"/>
                <w:lang w:val="zh-CN"/>
              </w:rPr>
            </w:pPr>
            <w:r>
              <w:rPr>
                <w:rFonts w:hint="eastAsia" w:ascii="宋体" w:hAnsi="宋体" w:cs="宋体"/>
                <w:sz w:val="24"/>
                <w:highlight w:val="none"/>
              </w:rPr>
              <w:t>参加政府采购活动前三年内在经营活动中没有重大违法记录的承诺函</w:t>
            </w:r>
          </w:p>
        </w:tc>
        <w:tc>
          <w:tcPr>
            <w:tcW w:w="257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kern w:val="0"/>
                <w:sz w:val="24"/>
                <w:highlight w:val="none"/>
              </w:rPr>
            </w:pPr>
            <w:r>
              <w:rPr>
                <w:rFonts w:hint="eastAsia" w:ascii="宋体" w:hAnsi="宋体" w:cs="宋体"/>
                <w:kern w:val="0"/>
                <w:sz w:val="24"/>
                <w:highlight w:val="none"/>
              </w:rPr>
              <w:t>按谈判文件格式提供</w:t>
            </w:r>
            <w:r>
              <w:rPr>
                <w:rFonts w:hint="eastAsia" w:ascii="宋体" w:hAnsi="宋体" w:cs="宋体"/>
                <w:sz w:val="24"/>
                <w:highlight w:val="none"/>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8</w:t>
            </w:r>
          </w:p>
        </w:tc>
        <w:tc>
          <w:tcPr>
            <w:tcW w:w="6299" w:type="dxa"/>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b/>
                <w:bCs/>
                <w:sz w:val="24"/>
                <w:highlight w:val="none"/>
              </w:rPr>
            </w:pPr>
            <w:r>
              <w:rPr>
                <w:rFonts w:hint="eastAsia" w:ascii="宋体" w:hAnsi="宋体" w:cs="宋体"/>
                <w:b/>
                <w:bCs/>
                <w:sz w:val="24"/>
                <w:highlight w:val="none"/>
              </w:rPr>
              <w:t>信用查询</w:t>
            </w:r>
          </w:p>
          <w:p>
            <w:pPr>
              <w:keepNext w:val="0"/>
              <w:keepLines w:val="0"/>
              <w:pageBreakBefore w:val="0"/>
              <w:widowControl w:val="0"/>
              <w:kinsoku/>
              <w:wordWrap/>
              <w:overflowPunct/>
              <w:topLinePunct w:val="0"/>
              <w:autoSpaceDE/>
              <w:autoSpaceDN/>
              <w:bidi w:val="0"/>
              <w:spacing w:line="400" w:lineRule="exact"/>
              <w:jc w:val="left"/>
              <w:textAlignment w:val="auto"/>
              <w:rPr>
                <w:rFonts w:ascii="宋体" w:hAnsi="宋体" w:cs="宋体"/>
                <w:kern w:val="0"/>
                <w:sz w:val="24"/>
                <w:highlight w:val="none"/>
              </w:rPr>
            </w:pPr>
            <w:r>
              <w:rPr>
                <w:rFonts w:hint="eastAsia" w:ascii="宋体" w:hAnsi="宋体" w:cs="宋体"/>
                <w:sz w:val="24"/>
                <w:highlight w:val="none"/>
              </w:rPr>
              <w:t>采购人或采购代理机构将在投标截止日当天资格审查阶段通过【信用中国（www.creditchina.gov.cn）】和【中国政府采购网（www.ccgp.gov.cn）】网站对供应商的信用情况进行查询，并将网页截图附在评审资料中作为留存依据（如相关失信记录已失效，供应商需提供相关证明资料，若没有则此项不需要提供）</w:t>
            </w:r>
          </w:p>
        </w:tc>
        <w:tc>
          <w:tcPr>
            <w:tcW w:w="257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sz w:val="24"/>
                <w:highlight w:val="none"/>
              </w:rPr>
            </w:pPr>
            <w:r>
              <w:rPr>
                <w:rFonts w:hint="eastAsia" w:ascii="宋体" w:hAnsi="宋体" w:cs="宋体"/>
                <w:kern w:val="0"/>
                <w:sz w:val="24"/>
                <w:highlight w:val="none"/>
              </w:rPr>
              <w:t>供应商存在本章第</w:t>
            </w:r>
            <w:r>
              <w:rPr>
                <w:rFonts w:hint="eastAsia" w:ascii="宋体" w:hAnsi="宋体" w:cs="宋体"/>
                <w:sz w:val="24"/>
                <w:highlight w:val="none"/>
              </w:rPr>
              <w:t>30.2.4条列举</w:t>
            </w:r>
            <w:r>
              <w:rPr>
                <w:rFonts w:hint="eastAsia" w:ascii="宋体" w:hAnsi="宋体" w:cs="宋体"/>
                <w:kern w:val="0"/>
                <w:sz w:val="24"/>
                <w:highlight w:val="none"/>
              </w:rPr>
              <w:t>情形之一的，审查不予通过，即判定其限定资格条件审查结果为不合格，将不具备投标资格，按无效投标文件处理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9</w:t>
            </w:r>
          </w:p>
        </w:tc>
        <w:tc>
          <w:tcPr>
            <w:tcW w:w="6299" w:type="dxa"/>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cs="宋体"/>
                <w:sz w:val="24"/>
                <w:highlight w:val="none"/>
              </w:rPr>
            </w:pPr>
            <w:r>
              <w:rPr>
                <w:rFonts w:hint="eastAsia" w:ascii="宋体" w:hAnsi="宋体" w:eastAsia="宋体" w:cs="宋体"/>
                <w:kern w:val="0"/>
                <w:sz w:val="24"/>
                <w:highlight w:val="none"/>
                <w:lang w:val="en-US" w:eastAsia="zh-CN"/>
              </w:rPr>
              <w:t>供应商提供小型微型企业声明函/中小企业声明函（附件4）或残疾人福利性单位声明函(附件5）或监狱、戒毒企业声明函（附件6）。</w:t>
            </w:r>
          </w:p>
        </w:tc>
        <w:tc>
          <w:tcPr>
            <w:tcW w:w="257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kern w:val="0"/>
                <w:sz w:val="24"/>
                <w:highlight w:val="none"/>
              </w:rPr>
            </w:pPr>
            <w:r>
              <w:rPr>
                <w:rFonts w:hint="eastAsia" w:ascii="宋体" w:hAnsi="宋体" w:cs="宋体"/>
                <w:kern w:val="0"/>
                <w:sz w:val="24"/>
                <w:highlight w:val="none"/>
              </w:rPr>
              <w:t>合法有效，按采购文件格式提供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7"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10</w:t>
            </w:r>
          </w:p>
        </w:tc>
        <w:tc>
          <w:tcPr>
            <w:tcW w:w="6299" w:type="dxa"/>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供应商须具备建设行政主管部门核发的建筑装饰装修工程专业承包二级及以上资质，安全生产许可证在有效期内。</w:t>
            </w:r>
          </w:p>
        </w:tc>
        <w:tc>
          <w:tcPr>
            <w:tcW w:w="2571"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kern w:val="0"/>
                <w:sz w:val="24"/>
                <w:highlight w:val="none"/>
              </w:rPr>
            </w:pPr>
            <w:r>
              <w:rPr>
                <w:rFonts w:hint="eastAsia" w:ascii="宋体" w:hAnsi="宋体" w:cs="宋体"/>
                <w:kern w:val="0"/>
                <w:sz w:val="24"/>
                <w:highlight w:val="none"/>
              </w:rPr>
              <w:t>合法</w:t>
            </w:r>
            <w:r>
              <w:rPr>
                <w:rFonts w:hint="eastAsia" w:ascii="宋体" w:hAnsi="宋体" w:cs="宋体"/>
                <w:kern w:val="0"/>
                <w:sz w:val="24"/>
                <w:highlight w:val="none"/>
                <w:lang w:eastAsia="zh-CN"/>
              </w:rPr>
              <w:t>、</w:t>
            </w:r>
            <w:r>
              <w:rPr>
                <w:rFonts w:hint="eastAsia" w:ascii="宋体" w:hAnsi="宋体" w:cs="宋体"/>
                <w:kern w:val="0"/>
                <w:sz w:val="24"/>
                <w:highlight w:val="none"/>
              </w:rPr>
              <w:t>有效</w:t>
            </w:r>
          </w:p>
        </w:tc>
      </w:tr>
    </w:tbl>
    <w:p>
      <w:pPr>
        <w:tabs>
          <w:tab w:val="left" w:pos="0"/>
        </w:tabs>
        <w:adjustRightInd w:val="0"/>
        <w:snapToGrid w:val="0"/>
        <w:spacing w:line="360" w:lineRule="auto"/>
        <w:ind w:firstLine="470" w:firstLineChars="196"/>
        <w:rPr>
          <w:rFonts w:ascii="宋体" w:hAnsi="宋体" w:cs="宋体"/>
          <w:kern w:val="0"/>
          <w:sz w:val="24"/>
          <w:highlight w:val="none"/>
        </w:rPr>
      </w:pPr>
      <w:r>
        <w:rPr>
          <w:rFonts w:hint="eastAsia" w:ascii="宋体" w:hAnsi="宋体" w:cs="宋体"/>
          <w:sz w:val="24"/>
          <w:highlight w:val="none"/>
        </w:rPr>
        <w:t>30.2.6 合格供应商不足3家的，不得评标。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30.2.7 不合格的供应商，不得进入符合性审查环节。</w:t>
      </w:r>
    </w:p>
    <w:p>
      <w:pPr>
        <w:pStyle w:val="5"/>
        <w:adjustRightInd w:val="0"/>
        <w:snapToGrid w:val="0"/>
        <w:spacing w:before="120" w:beforeLines="50" w:after="120" w:afterLines="50" w:line="360" w:lineRule="auto"/>
        <w:rPr>
          <w:rFonts w:ascii="宋体" w:hAnsi="宋体" w:cs="宋体"/>
        </w:rPr>
      </w:pPr>
      <w:bookmarkStart w:id="265" w:name="_GoBack"/>
      <w:bookmarkEnd w:id="265"/>
      <w:r>
        <w:rPr>
          <w:rFonts w:hint="eastAsia" w:ascii="宋体" w:hAnsi="宋体" w:cs="宋体"/>
        </w:rPr>
        <w:t>31.谈判小组</w:t>
      </w:r>
    </w:p>
    <w:p>
      <w:pPr>
        <w:spacing w:line="360" w:lineRule="auto"/>
        <w:ind w:firstLine="460" w:firstLineChars="192"/>
        <w:rPr>
          <w:rFonts w:ascii="宋体" w:hAnsi="宋体" w:cs="宋体"/>
          <w:kern w:val="0"/>
          <w:sz w:val="24"/>
        </w:rPr>
      </w:pPr>
      <w:r>
        <w:rPr>
          <w:rFonts w:hint="eastAsia" w:ascii="宋体" w:hAnsi="宋体" w:cs="宋体"/>
          <w:kern w:val="0"/>
          <w:sz w:val="24"/>
        </w:rPr>
        <w:t>31.1采购代理机构按照《中华人民共和国政府采购法》、中华人民共和国2015年第658号国务院令--《中华人民共和国政府采购法实施条例》和《政府采购非招标采购方式管理办法》的规定，依法组建谈判小组。</w:t>
      </w:r>
    </w:p>
    <w:p>
      <w:pPr>
        <w:spacing w:line="360" w:lineRule="auto"/>
        <w:ind w:firstLine="460" w:firstLineChars="192"/>
        <w:rPr>
          <w:rFonts w:ascii="宋体" w:hAnsi="宋体" w:cs="宋体"/>
          <w:kern w:val="0"/>
          <w:sz w:val="24"/>
        </w:rPr>
      </w:pPr>
      <w:r>
        <w:rPr>
          <w:rFonts w:hint="eastAsia" w:ascii="宋体" w:hAnsi="宋体" w:cs="宋体"/>
          <w:kern w:val="0"/>
          <w:sz w:val="24"/>
        </w:rPr>
        <w:t>31.2谈判小组由采购人代表和评审专家共3人以上单数组成，其中评审专家人数不得少于谈判小组成员总数的三分之二。采购人代表不得以评审专家身份参与本部门或本单位采购项目的评审。采购代理机构人员不得参加本机构代理的采购项目的评审。</w:t>
      </w:r>
    </w:p>
    <w:p>
      <w:pPr>
        <w:spacing w:line="360" w:lineRule="auto"/>
        <w:ind w:firstLine="460" w:firstLineChars="192"/>
        <w:rPr>
          <w:rFonts w:ascii="宋体" w:hAnsi="宋体" w:cs="宋体"/>
          <w:kern w:val="0"/>
          <w:sz w:val="24"/>
        </w:rPr>
      </w:pPr>
      <w:r>
        <w:rPr>
          <w:rFonts w:hint="eastAsia" w:ascii="宋体" w:hAnsi="宋体" w:cs="宋体"/>
          <w:kern w:val="0"/>
          <w:sz w:val="24"/>
        </w:rPr>
        <w:t>采用竞争性谈判方式的政府采购项目，评审专家应当从政府采购评审专家库内相关专业的专家名单中随机抽取。</w:t>
      </w: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32.谈判与评审</w:t>
      </w:r>
    </w:p>
    <w:p>
      <w:pPr>
        <w:spacing w:line="360" w:lineRule="auto"/>
        <w:ind w:firstLine="460" w:firstLineChars="192"/>
        <w:rPr>
          <w:rFonts w:ascii="宋体" w:hAnsi="宋体" w:cs="宋体"/>
          <w:kern w:val="0"/>
          <w:sz w:val="24"/>
        </w:rPr>
      </w:pPr>
      <w:r>
        <w:rPr>
          <w:rFonts w:hint="eastAsia" w:ascii="宋体" w:hAnsi="宋体" w:cs="宋体"/>
          <w:kern w:val="0"/>
          <w:sz w:val="24"/>
        </w:rPr>
        <w:t>32.1 详见谈判文件第四章“评审办法”。</w:t>
      </w:r>
      <w:bookmarkEnd w:id="100"/>
      <w:bookmarkStart w:id="103" w:name="_Toc217446060"/>
    </w:p>
    <w:p>
      <w:pPr>
        <w:spacing w:line="360" w:lineRule="auto"/>
        <w:ind w:firstLine="460" w:firstLineChars="192"/>
        <w:rPr>
          <w:rFonts w:hint="eastAsia" w:ascii="宋体" w:hAnsi="宋体" w:cs="宋体"/>
          <w:kern w:val="0"/>
          <w:sz w:val="24"/>
        </w:rPr>
      </w:pPr>
      <w:r>
        <w:rPr>
          <w:rFonts w:hint="eastAsia" w:ascii="宋体" w:hAnsi="宋体" w:cs="宋体"/>
          <w:kern w:val="0"/>
          <w:sz w:val="24"/>
        </w:rPr>
        <w:t>32.2谈判小组成员到位后，推荐一名评审专家担任评审组长，并由评审组长牵头组织该项目评审工作，采购人授权的评审专家，不得担任评审组长。</w:t>
      </w:r>
    </w:p>
    <w:p>
      <w:pPr>
        <w:spacing w:line="360" w:lineRule="auto"/>
        <w:ind w:firstLine="460" w:firstLineChars="192"/>
        <w:rPr>
          <w:rFonts w:ascii="宋体" w:hAnsi="宋体" w:cs="宋体"/>
          <w:kern w:val="0"/>
          <w:sz w:val="24"/>
        </w:rPr>
      </w:pPr>
      <w:r>
        <w:rPr>
          <w:rFonts w:hint="eastAsia" w:ascii="宋体" w:hAnsi="宋体" w:cs="宋体"/>
          <w:kern w:val="0"/>
          <w:sz w:val="24"/>
        </w:rPr>
        <w:t>32.3 谈判小组成员有下列情形之一的，应当回避：</w:t>
      </w:r>
    </w:p>
    <w:p>
      <w:pPr>
        <w:spacing w:line="360" w:lineRule="auto"/>
        <w:ind w:firstLine="460" w:firstLineChars="192"/>
        <w:rPr>
          <w:rFonts w:ascii="宋体" w:hAnsi="宋体" w:cs="宋体"/>
          <w:kern w:val="0"/>
          <w:sz w:val="24"/>
        </w:rPr>
      </w:pPr>
      <w:r>
        <w:rPr>
          <w:rFonts w:hint="eastAsia" w:ascii="宋体" w:hAnsi="宋体" w:cs="宋体"/>
          <w:kern w:val="0"/>
          <w:sz w:val="24"/>
        </w:rPr>
        <w:t>（1）参加采购活动前三年内，与供应商存在劳动关系，或者担任过供应商的董事、监事，或者是供应商的控股股东或实际控制人；</w:t>
      </w:r>
    </w:p>
    <w:p>
      <w:pPr>
        <w:spacing w:line="360" w:lineRule="auto"/>
        <w:ind w:firstLine="460" w:firstLineChars="192"/>
        <w:rPr>
          <w:rFonts w:ascii="宋体" w:hAnsi="宋体" w:cs="宋体"/>
          <w:kern w:val="0"/>
          <w:sz w:val="24"/>
        </w:rPr>
      </w:pPr>
      <w:r>
        <w:rPr>
          <w:rFonts w:hint="eastAsia" w:ascii="宋体" w:hAnsi="宋体" w:cs="宋体"/>
          <w:kern w:val="0"/>
          <w:sz w:val="24"/>
        </w:rPr>
        <w:t>（2）参加采购活动前3年内与供应商发生过法律纠纷；</w:t>
      </w:r>
    </w:p>
    <w:p>
      <w:pPr>
        <w:spacing w:line="360" w:lineRule="auto"/>
        <w:ind w:firstLine="460" w:firstLineChars="192"/>
        <w:rPr>
          <w:rFonts w:ascii="宋体" w:hAnsi="宋体" w:cs="宋体"/>
          <w:kern w:val="0"/>
          <w:sz w:val="24"/>
        </w:rPr>
      </w:pPr>
      <w:r>
        <w:rPr>
          <w:rFonts w:hint="eastAsia" w:ascii="宋体" w:hAnsi="宋体" w:cs="宋体"/>
          <w:kern w:val="0"/>
          <w:sz w:val="24"/>
        </w:rPr>
        <w:t>（3）与供应商的法定代表人或者负责人有夫妻、直系血亲、三代以内旁系血亲或者近姻亲关系；</w:t>
      </w:r>
    </w:p>
    <w:p>
      <w:pPr>
        <w:spacing w:line="360" w:lineRule="auto"/>
        <w:ind w:firstLine="460" w:firstLineChars="192"/>
        <w:rPr>
          <w:rFonts w:ascii="宋体" w:hAnsi="宋体" w:cs="宋体"/>
          <w:kern w:val="0"/>
          <w:sz w:val="24"/>
        </w:rPr>
      </w:pPr>
      <w:r>
        <w:rPr>
          <w:rFonts w:hint="eastAsia" w:ascii="宋体" w:hAnsi="宋体" w:cs="宋体"/>
          <w:kern w:val="0"/>
          <w:sz w:val="24"/>
        </w:rPr>
        <w:t>（4）与供应商有其他可能影响政府采购活动公平、公正进行的关系。</w:t>
      </w:r>
    </w:p>
    <w:p>
      <w:pPr>
        <w:spacing w:line="360" w:lineRule="auto"/>
        <w:ind w:firstLine="460" w:firstLineChars="192"/>
        <w:rPr>
          <w:rFonts w:ascii="宋体" w:hAnsi="宋体" w:cs="宋体"/>
          <w:kern w:val="0"/>
          <w:sz w:val="24"/>
        </w:rPr>
      </w:pPr>
      <w:r>
        <w:rPr>
          <w:rFonts w:hint="eastAsia" w:ascii="宋体" w:hAnsi="宋体" w:cs="宋体"/>
          <w:kern w:val="0"/>
          <w:sz w:val="24"/>
        </w:rPr>
        <w:t>32.4 谈判小组成员名单在成交结果公告前，应当保密。</w:t>
      </w: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33.评审原则</w:t>
      </w:r>
    </w:p>
    <w:p>
      <w:pPr>
        <w:spacing w:line="360" w:lineRule="auto"/>
        <w:ind w:firstLine="460" w:firstLineChars="192"/>
        <w:rPr>
          <w:rFonts w:ascii="宋体" w:hAnsi="宋体" w:cs="宋体"/>
          <w:kern w:val="0"/>
          <w:sz w:val="24"/>
        </w:rPr>
      </w:pPr>
      <w:r>
        <w:rPr>
          <w:rFonts w:hint="eastAsia" w:ascii="宋体" w:hAnsi="宋体" w:cs="宋体"/>
          <w:kern w:val="0"/>
          <w:sz w:val="24"/>
        </w:rPr>
        <w:t>33.1“公平、公正、科学、择优”为本次评审的基本原则，谈判小组按照这一原则的要求，公正、平等地对待各供应商。同时，在评审中恪守以下原则：</w:t>
      </w:r>
    </w:p>
    <w:p>
      <w:pPr>
        <w:spacing w:line="360" w:lineRule="auto"/>
        <w:ind w:firstLine="460" w:firstLineChars="192"/>
        <w:rPr>
          <w:rFonts w:ascii="宋体" w:hAnsi="宋体" w:cs="宋体"/>
          <w:kern w:val="0"/>
          <w:sz w:val="24"/>
        </w:rPr>
      </w:pPr>
      <w:r>
        <w:rPr>
          <w:rFonts w:hint="eastAsia" w:ascii="宋体" w:hAnsi="宋体" w:cs="宋体"/>
          <w:kern w:val="0"/>
          <w:sz w:val="24"/>
        </w:rPr>
        <w:t>（1）统一性原则：谈判小组将按照统一的评审原则和评审方法，用统一标准进行评审。</w:t>
      </w:r>
    </w:p>
    <w:p>
      <w:pPr>
        <w:spacing w:line="360" w:lineRule="auto"/>
        <w:ind w:firstLine="460" w:firstLineChars="192"/>
        <w:rPr>
          <w:rFonts w:ascii="宋体" w:hAnsi="宋体" w:cs="宋体"/>
          <w:kern w:val="0"/>
          <w:sz w:val="24"/>
        </w:rPr>
      </w:pPr>
      <w:r>
        <w:rPr>
          <w:rFonts w:hint="eastAsia" w:ascii="宋体" w:hAnsi="宋体" w:cs="宋体"/>
          <w:kern w:val="0"/>
          <w:sz w:val="24"/>
        </w:rPr>
        <w:t>（2）独立性原则:评审工作在谈判小组内部独立进行，不受外界任何因素的干扰和影响。谈判小组成员对其出具的意见承担个人责任。供应商试图影响或干预评审的任何行为，将导致其丧失谈判的资格，并承担相应的法律责任。</w:t>
      </w:r>
    </w:p>
    <w:p>
      <w:pPr>
        <w:spacing w:line="360" w:lineRule="auto"/>
        <w:ind w:firstLine="460" w:firstLineChars="192"/>
        <w:rPr>
          <w:rFonts w:ascii="宋体" w:hAnsi="宋体" w:cs="宋体"/>
          <w:kern w:val="0"/>
          <w:sz w:val="24"/>
        </w:rPr>
      </w:pPr>
      <w:r>
        <w:rPr>
          <w:rFonts w:hint="eastAsia" w:ascii="宋体" w:hAnsi="宋体" w:cs="宋体"/>
          <w:kern w:val="0"/>
          <w:sz w:val="24"/>
        </w:rPr>
        <w:t>（3）客观性原则：谈判小组将严格按照谈判文件要求，对供应商的谈判响应文件进行认真评审；谈判小组对谈判响应文件的评审仅依据谈判响应文件本身，而不依据谈判响应文件以外的任何因素。</w:t>
      </w:r>
    </w:p>
    <w:p>
      <w:pPr>
        <w:spacing w:line="360" w:lineRule="auto"/>
        <w:ind w:firstLine="460" w:firstLineChars="192"/>
        <w:rPr>
          <w:rFonts w:ascii="宋体" w:hAnsi="宋体" w:cs="宋体"/>
          <w:kern w:val="0"/>
          <w:sz w:val="24"/>
        </w:rPr>
      </w:pPr>
      <w:r>
        <w:rPr>
          <w:rFonts w:hint="eastAsia" w:ascii="宋体" w:hAnsi="宋体" w:cs="宋体"/>
          <w:kern w:val="0"/>
          <w:sz w:val="24"/>
        </w:rPr>
        <w:t>（4）保密性原则：采购代理机构应当采取必要的措施，保证评审在严格保密情况下进行。</w:t>
      </w:r>
    </w:p>
    <w:p>
      <w:pPr>
        <w:spacing w:line="360" w:lineRule="auto"/>
        <w:ind w:firstLine="460" w:firstLineChars="192"/>
        <w:rPr>
          <w:rFonts w:ascii="宋体" w:hAnsi="宋体" w:cs="宋体"/>
          <w:kern w:val="0"/>
          <w:sz w:val="24"/>
        </w:rPr>
      </w:pPr>
      <w:r>
        <w:rPr>
          <w:rFonts w:hint="eastAsia" w:ascii="宋体" w:hAnsi="宋体" w:cs="宋体"/>
          <w:kern w:val="0"/>
          <w:sz w:val="24"/>
        </w:rPr>
        <w:t>（5）综合性原则:谈判小组将综合分析、评审供应商的各项指标，而不以单项指标的优劣评定出成交供应商。</w:t>
      </w:r>
    </w:p>
    <w:p>
      <w:pPr>
        <w:spacing w:line="360" w:lineRule="auto"/>
        <w:ind w:firstLine="460" w:firstLineChars="192"/>
        <w:rPr>
          <w:rFonts w:ascii="宋体" w:hAnsi="宋体" w:cs="宋体"/>
          <w:kern w:val="0"/>
          <w:sz w:val="24"/>
        </w:rPr>
      </w:pPr>
      <w:r>
        <w:rPr>
          <w:rFonts w:hint="eastAsia" w:ascii="宋体" w:hAnsi="宋体" w:cs="宋体"/>
          <w:kern w:val="0"/>
          <w:sz w:val="24"/>
        </w:rPr>
        <w:t>33.2谈判小组有权对整个谈判过程中出现的一切问题，根据《中华人民共和国政府采购法》及实施条例和《政府采购非招标采购方式管理办法》等相关规定进行处理。</w:t>
      </w:r>
    </w:p>
    <w:p>
      <w:pPr>
        <w:tabs>
          <w:tab w:val="left" w:pos="0"/>
        </w:tabs>
        <w:adjustRightInd w:val="0"/>
        <w:snapToGrid w:val="0"/>
        <w:spacing w:line="360" w:lineRule="auto"/>
        <w:ind w:firstLine="470" w:firstLineChars="196"/>
      </w:pPr>
      <w:r>
        <w:rPr>
          <w:rFonts w:hint="eastAsia" w:ascii="宋体" w:hAnsi="宋体" w:cs="宋体"/>
          <w:sz w:val="24"/>
        </w:rPr>
        <w:t>33.3谈判后到向成交的供应商授予合同为止，凡与审查、澄清、评价和比较谈判的有关资料及评审意见等内容，谈判小组均不得向供应商及与谈判无关的其他人透露。</w:t>
      </w: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34.评审</w:t>
      </w:r>
    </w:p>
    <w:p>
      <w:pPr>
        <w:spacing w:line="360" w:lineRule="auto"/>
        <w:ind w:firstLine="460" w:firstLineChars="192"/>
        <w:rPr>
          <w:rFonts w:ascii="宋体" w:hAnsi="宋体" w:cs="宋体"/>
          <w:kern w:val="0"/>
          <w:sz w:val="24"/>
        </w:rPr>
      </w:pPr>
      <w:r>
        <w:rPr>
          <w:rFonts w:hint="eastAsia" w:ascii="宋体" w:hAnsi="宋体" w:cs="宋体"/>
          <w:kern w:val="0"/>
          <w:sz w:val="24"/>
        </w:rPr>
        <w:t>34.1 谈判小组严格按照谈判文件第四章“评审办法”规定的方法、评审因素、标准和程序对谈判响应文件进行评审。第四章“评审办法”没有规定的方法、评审因素和标准，不作为评审依据。</w:t>
      </w:r>
    </w:p>
    <w:p>
      <w:pPr>
        <w:spacing w:line="360" w:lineRule="auto"/>
        <w:ind w:firstLine="460" w:firstLineChars="192"/>
        <w:rPr>
          <w:rFonts w:ascii="宋体" w:hAnsi="宋体" w:cs="宋体"/>
          <w:kern w:val="0"/>
          <w:sz w:val="24"/>
        </w:rPr>
      </w:pPr>
      <w:r>
        <w:rPr>
          <w:rFonts w:hint="eastAsia" w:ascii="宋体" w:hAnsi="宋体" w:cs="宋体"/>
          <w:kern w:val="0"/>
          <w:sz w:val="24"/>
        </w:rPr>
        <w:t>34.2 谈判小组负责具体评审事务，并独立履行下列职责：</w:t>
      </w:r>
    </w:p>
    <w:p>
      <w:pPr>
        <w:spacing w:line="360" w:lineRule="auto"/>
        <w:ind w:firstLine="460" w:firstLineChars="192"/>
        <w:rPr>
          <w:rFonts w:ascii="宋体" w:hAnsi="宋体" w:cs="宋体"/>
          <w:kern w:val="0"/>
          <w:sz w:val="24"/>
        </w:rPr>
      </w:pPr>
      <w:r>
        <w:rPr>
          <w:rFonts w:hint="eastAsia" w:ascii="宋体" w:hAnsi="宋体" w:cs="宋体"/>
          <w:kern w:val="0"/>
          <w:sz w:val="24"/>
        </w:rPr>
        <w:t>（1）审查、评价谈判响应文件是否符合谈判文件的商务、技术、服务等实质性要求；</w:t>
      </w:r>
    </w:p>
    <w:p>
      <w:pPr>
        <w:spacing w:line="360" w:lineRule="auto"/>
        <w:ind w:firstLine="460" w:firstLineChars="192"/>
        <w:rPr>
          <w:rFonts w:ascii="宋体" w:hAnsi="宋体" w:cs="宋体"/>
          <w:kern w:val="0"/>
          <w:sz w:val="24"/>
        </w:rPr>
      </w:pPr>
      <w:r>
        <w:rPr>
          <w:rFonts w:hint="eastAsia" w:ascii="宋体" w:hAnsi="宋体" w:cs="宋体"/>
          <w:kern w:val="0"/>
          <w:sz w:val="24"/>
        </w:rPr>
        <w:t>（2）要求供应商对谈判响应文件有关事项作出澄清或者说明；</w:t>
      </w:r>
    </w:p>
    <w:p>
      <w:pPr>
        <w:spacing w:line="360" w:lineRule="auto"/>
        <w:ind w:firstLine="460" w:firstLineChars="192"/>
        <w:rPr>
          <w:rFonts w:ascii="宋体" w:hAnsi="宋体" w:cs="宋体"/>
          <w:kern w:val="0"/>
          <w:sz w:val="24"/>
        </w:rPr>
      </w:pPr>
      <w:r>
        <w:rPr>
          <w:rFonts w:hint="eastAsia" w:ascii="宋体" w:hAnsi="宋体" w:cs="宋体"/>
          <w:kern w:val="0"/>
          <w:sz w:val="24"/>
        </w:rPr>
        <w:t>（3）与合格的供应商进行技术和商务谈判；</w:t>
      </w:r>
    </w:p>
    <w:p>
      <w:pPr>
        <w:spacing w:line="360" w:lineRule="auto"/>
        <w:ind w:firstLine="460" w:firstLineChars="192"/>
        <w:rPr>
          <w:rFonts w:ascii="宋体" w:hAnsi="宋体" w:cs="宋体"/>
          <w:kern w:val="0"/>
          <w:sz w:val="24"/>
        </w:rPr>
      </w:pPr>
      <w:r>
        <w:rPr>
          <w:rFonts w:hint="eastAsia" w:ascii="宋体" w:hAnsi="宋体" w:cs="宋体"/>
          <w:kern w:val="0"/>
          <w:sz w:val="24"/>
        </w:rPr>
        <w:t>（4）对谈判响应文件进行比较和评价；</w:t>
      </w:r>
    </w:p>
    <w:p>
      <w:pPr>
        <w:spacing w:line="360" w:lineRule="auto"/>
        <w:ind w:firstLine="460" w:firstLineChars="192"/>
        <w:rPr>
          <w:rFonts w:ascii="宋体" w:hAnsi="宋体" w:cs="宋体"/>
          <w:kern w:val="0"/>
          <w:sz w:val="24"/>
        </w:rPr>
      </w:pPr>
      <w:r>
        <w:rPr>
          <w:rFonts w:hint="eastAsia" w:ascii="宋体" w:hAnsi="宋体" w:cs="宋体"/>
          <w:kern w:val="0"/>
          <w:sz w:val="24"/>
        </w:rPr>
        <w:t>（5）确定成交候选供应商名单，以及根据采购人委托直接确定成交供应商；</w:t>
      </w:r>
    </w:p>
    <w:p>
      <w:pPr>
        <w:spacing w:line="360" w:lineRule="auto"/>
        <w:ind w:firstLine="460" w:firstLineChars="192"/>
        <w:rPr>
          <w:rFonts w:ascii="宋体" w:hAnsi="宋体" w:cs="宋体"/>
          <w:kern w:val="0"/>
          <w:sz w:val="24"/>
        </w:rPr>
      </w:pPr>
      <w:r>
        <w:rPr>
          <w:rFonts w:hint="eastAsia" w:ascii="宋体" w:hAnsi="宋体" w:cs="宋体"/>
          <w:kern w:val="0"/>
          <w:sz w:val="24"/>
        </w:rPr>
        <w:t>（6）向采购人、采购代理机构或者有关部门报告评审过程中发现的违法行为；</w:t>
      </w:r>
    </w:p>
    <w:p>
      <w:pPr>
        <w:spacing w:line="360" w:lineRule="auto"/>
        <w:ind w:firstLine="460" w:firstLineChars="192"/>
        <w:rPr>
          <w:rFonts w:ascii="宋体" w:hAnsi="宋体" w:cs="宋体"/>
          <w:kern w:val="0"/>
          <w:sz w:val="24"/>
        </w:rPr>
      </w:pPr>
      <w:r>
        <w:rPr>
          <w:rFonts w:hint="eastAsia" w:ascii="宋体" w:hAnsi="宋体" w:cs="宋体"/>
          <w:kern w:val="0"/>
          <w:sz w:val="24"/>
        </w:rPr>
        <w:t>（7）配合采购代理机构答复供应商提出的质疑；</w:t>
      </w:r>
    </w:p>
    <w:p>
      <w:pPr>
        <w:spacing w:line="360" w:lineRule="auto"/>
        <w:ind w:firstLine="460" w:firstLineChars="192"/>
        <w:rPr>
          <w:rFonts w:ascii="宋体" w:hAnsi="宋体" w:cs="宋体"/>
          <w:kern w:val="0"/>
          <w:sz w:val="24"/>
        </w:rPr>
      </w:pPr>
      <w:r>
        <w:rPr>
          <w:rFonts w:hint="eastAsia" w:ascii="宋体" w:hAnsi="宋体" w:cs="宋体"/>
          <w:kern w:val="0"/>
          <w:sz w:val="24"/>
        </w:rPr>
        <w:t>（8）配合财政部门的投诉处理工作；</w:t>
      </w:r>
    </w:p>
    <w:p>
      <w:pPr>
        <w:spacing w:line="360" w:lineRule="auto"/>
        <w:ind w:firstLine="460" w:firstLineChars="192"/>
        <w:rPr>
          <w:rFonts w:ascii="宋体" w:hAnsi="宋体" w:cs="宋体"/>
          <w:kern w:val="0"/>
          <w:sz w:val="24"/>
        </w:rPr>
      </w:pPr>
      <w:r>
        <w:rPr>
          <w:rFonts w:hint="eastAsia" w:ascii="宋体" w:hAnsi="宋体" w:cs="宋体"/>
          <w:kern w:val="0"/>
          <w:sz w:val="24"/>
        </w:rPr>
        <w:t>34.3 采购代理机构负责组织评审工作并履行下列职责：</w:t>
      </w:r>
    </w:p>
    <w:p>
      <w:pPr>
        <w:spacing w:line="360" w:lineRule="auto"/>
        <w:ind w:firstLine="460" w:firstLineChars="192"/>
        <w:rPr>
          <w:rFonts w:ascii="宋体" w:hAnsi="宋体" w:cs="宋体"/>
          <w:bCs/>
          <w:kern w:val="0"/>
          <w:sz w:val="24"/>
        </w:rPr>
      </w:pPr>
      <w:r>
        <w:rPr>
          <w:rFonts w:hint="eastAsia" w:ascii="宋体" w:hAnsi="宋体" w:cs="宋体"/>
          <w:bCs/>
          <w:kern w:val="0"/>
          <w:sz w:val="24"/>
        </w:rPr>
        <w:t>（1）</w:t>
      </w:r>
      <w:r>
        <w:rPr>
          <w:rFonts w:hint="eastAsia" w:ascii="宋体" w:hAnsi="宋体" w:cs="宋体"/>
          <w:kern w:val="0"/>
          <w:sz w:val="24"/>
        </w:rPr>
        <w:t>核对评审专家身份和采购人代表授权函，对评审专家在政府采购活动中的职责履行情况予以记录，并及时将有关违法违规行为向财政部门报告；</w:t>
      </w:r>
    </w:p>
    <w:p>
      <w:pPr>
        <w:spacing w:line="360" w:lineRule="auto"/>
        <w:ind w:firstLine="460" w:firstLineChars="192"/>
        <w:rPr>
          <w:rFonts w:ascii="宋体" w:hAnsi="宋体" w:cs="宋体"/>
          <w:bCs/>
          <w:kern w:val="0"/>
          <w:sz w:val="24"/>
        </w:rPr>
      </w:pPr>
      <w:r>
        <w:rPr>
          <w:rFonts w:hint="eastAsia" w:ascii="宋体" w:hAnsi="宋体" w:cs="宋体"/>
          <w:bCs/>
          <w:kern w:val="0"/>
          <w:sz w:val="24"/>
        </w:rPr>
        <w:t>（2）宣布评审纪律；</w:t>
      </w:r>
    </w:p>
    <w:p>
      <w:pPr>
        <w:spacing w:line="360" w:lineRule="auto"/>
        <w:ind w:firstLine="460" w:firstLineChars="192"/>
        <w:rPr>
          <w:rFonts w:ascii="宋体" w:hAnsi="宋体" w:cs="宋体"/>
          <w:bCs/>
          <w:kern w:val="0"/>
          <w:sz w:val="24"/>
        </w:rPr>
      </w:pPr>
      <w:r>
        <w:rPr>
          <w:rFonts w:hint="eastAsia" w:ascii="宋体" w:hAnsi="宋体" w:cs="宋体"/>
          <w:bCs/>
          <w:kern w:val="0"/>
          <w:sz w:val="24"/>
        </w:rPr>
        <w:t>（3）公布供应商名单，告知评审专家应当回避的情形；</w:t>
      </w:r>
    </w:p>
    <w:p>
      <w:pPr>
        <w:spacing w:line="360" w:lineRule="auto"/>
        <w:ind w:firstLine="460" w:firstLineChars="192"/>
        <w:rPr>
          <w:rFonts w:ascii="宋体" w:hAnsi="宋体" w:cs="宋体"/>
          <w:bCs/>
          <w:kern w:val="0"/>
          <w:sz w:val="24"/>
        </w:rPr>
      </w:pPr>
      <w:r>
        <w:rPr>
          <w:rFonts w:hint="eastAsia" w:ascii="宋体" w:hAnsi="宋体" w:cs="宋体"/>
          <w:bCs/>
          <w:kern w:val="0"/>
          <w:sz w:val="24"/>
        </w:rPr>
        <w:t>（4）组织谈判小组推选评审组长，采购人代表不得担任组长；</w:t>
      </w:r>
    </w:p>
    <w:p>
      <w:pPr>
        <w:spacing w:line="360" w:lineRule="auto"/>
        <w:ind w:firstLine="460" w:firstLineChars="192"/>
        <w:rPr>
          <w:rFonts w:ascii="宋体" w:hAnsi="宋体" w:cs="宋体"/>
          <w:kern w:val="0"/>
          <w:sz w:val="24"/>
        </w:rPr>
      </w:pPr>
      <w:r>
        <w:rPr>
          <w:rFonts w:hint="eastAsia" w:ascii="宋体" w:hAnsi="宋体" w:cs="宋体"/>
          <w:bCs/>
          <w:kern w:val="0"/>
          <w:sz w:val="24"/>
        </w:rPr>
        <w:t>（5）</w:t>
      </w:r>
      <w:r>
        <w:rPr>
          <w:rFonts w:hint="eastAsia" w:ascii="宋体" w:hAnsi="宋体" w:cs="宋体"/>
          <w:kern w:val="0"/>
          <w:sz w:val="24"/>
        </w:rPr>
        <w:t>在评审期间采取必要的通讯管理措施，保证评审活动不受外界干扰；</w:t>
      </w:r>
    </w:p>
    <w:p>
      <w:pPr>
        <w:spacing w:line="360" w:lineRule="auto"/>
        <w:ind w:firstLine="460" w:firstLineChars="192"/>
        <w:rPr>
          <w:rFonts w:ascii="宋体" w:hAnsi="宋体" w:cs="宋体"/>
          <w:bCs/>
          <w:kern w:val="0"/>
          <w:sz w:val="24"/>
        </w:rPr>
      </w:pPr>
      <w:r>
        <w:rPr>
          <w:rFonts w:hint="eastAsia" w:ascii="宋体" w:hAnsi="宋体" w:cs="宋体"/>
          <w:bCs/>
          <w:kern w:val="0"/>
          <w:sz w:val="24"/>
        </w:rPr>
        <w:t>（6）根据谈判小组的要求介绍政府采购相关政策法规、谈判文件；</w:t>
      </w:r>
    </w:p>
    <w:p>
      <w:pPr>
        <w:spacing w:line="360" w:lineRule="auto"/>
        <w:ind w:firstLine="460" w:firstLineChars="192"/>
        <w:rPr>
          <w:rFonts w:ascii="宋体" w:hAnsi="宋体" w:cs="宋体"/>
          <w:bCs/>
          <w:kern w:val="0"/>
          <w:sz w:val="24"/>
        </w:rPr>
      </w:pPr>
      <w:r>
        <w:rPr>
          <w:rFonts w:hint="eastAsia" w:ascii="宋体" w:hAnsi="宋体" w:cs="宋体"/>
          <w:bCs/>
          <w:kern w:val="0"/>
          <w:sz w:val="24"/>
        </w:rPr>
        <w:t xml:space="preserve">（7）维护评审秩序，监督谈判小组依照谈判文件规定的评审程序、方法和标准进行独立评审，及时制止和纠正采购人代表、评审专家的倾向性言论或违法违规行为； </w:t>
      </w:r>
    </w:p>
    <w:p>
      <w:pPr>
        <w:spacing w:line="360" w:lineRule="auto"/>
        <w:ind w:firstLine="460" w:firstLineChars="192"/>
        <w:rPr>
          <w:rFonts w:ascii="宋体" w:hAnsi="宋体" w:cs="宋体"/>
          <w:bCs/>
          <w:kern w:val="0"/>
          <w:sz w:val="24"/>
        </w:rPr>
      </w:pPr>
      <w:r>
        <w:rPr>
          <w:rFonts w:hint="eastAsia" w:ascii="宋体" w:hAnsi="宋体" w:cs="宋体"/>
          <w:bCs/>
          <w:kern w:val="0"/>
          <w:sz w:val="24"/>
        </w:rPr>
        <w:t>（8）</w:t>
      </w:r>
      <w:r>
        <w:rPr>
          <w:rFonts w:hint="eastAsia" w:ascii="宋体" w:hAnsi="宋体" w:cs="宋体"/>
          <w:kern w:val="0"/>
          <w:sz w:val="24"/>
        </w:rPr>
        <w:t>评审工作完成后，按照规定向评审专家支付劳务报酬和异地评审差旅费，不得向评审专家以外的其他人员支付评审劳务报酬；</w:t>
      </w:r>
    </w:p>
    <w:p>
      <w:pPr>
        <w:spacing w:line="360" w:lineRule="auto"/>
        <w:ind w:firstLine="460" w:firstLineChars="192"/>
        <w:rPr>
          <w:rFonts w:ascii="宋体" w:hAnsi="宋体" w:cs="宋体"/>
          <w:kern w:val="0"/>
          <w:sz w:val="24"/>
        </w:rPr>
      </w:pPr>
      <w:r>
        <w:rPr>
          <w:rFonts w:hint="eastAsia" w:ascii="宋体" w:hAnsi="宋体" w:cs="宋体"/>
          <w:kern w:val="0"/>
          <w:sz w:val="24"/>
        </w:rPr>
        <w:t>（9）处理与评审有关的其他事项。</w:t>
      </w:r>
    </w:p>
    <w:p>
      <w:pPr>
        <w:spacing w:line="360" w:lineRule="auto"/>
        <w:ind w:firstLine="460" w:firstLineChars="192"/>
        <w:rPr>
          <w:rFonts w:ascii="宋体" w:hAnsi="宋体" w:cs="宋体"/>
          <w:kern w:val="0"/>
          <w:sz w:val="24"/>
        </w:rPr>
      </w:pPr>
      <w:r>
        <w:rPr>
          <w:rFonts w:hint="eastAsia" w:ascii="宋体" w:hAnsi="宋体" w:cs="宋体"/>
          <w:kern w:val="0"/>
          <w:sz w:val="24"/>
        </w:rPr>
        <w:t>34.4 采购人可以在评审前介绍项目背景和采购需求，介绍内容不得含有歧视性、倾向性意见，不得超出谈判文件所述范围。介绍应当提交书面介绍材料，并随谈判文件一并存档。</w:t>
      </w:r>
    </w:p>
    <w:p>
      <w:pPr>
        <w:spacing w:line="360" w:lineRule="auto"/>
        <w:ind w:firstLine="460" w:firstLineChars="192"/>
        <w:rPr>
          <w:rFonts w:ascii="宋体" w:hAnsi="宋体" w:cs="宋体"/>
          <w:kern w:val="0"/>
          <w:sz w:val="24"/>
        </w:rPr>
      </w:pPr>
      <w:r>
        <w:rPr>
          <w:rFonts w:hint="eastAsia" w:ascii="宋体" w:hAnsi="宋体" w:cs="宋体"/>
          <w:kern w:val="0"/>
          <w:sz w:val="24"/>
        </w:rPr>
        <w:t>34.5 评审过程严格保密</w:t>
      </w:r>
    </w:p>
    <w:p>
      <w:pPr>
        <w:spacing w:line="360" w:lineRule="auto"/>
        <w:ind w:firstLine="460" w:firstLineChars="192"/>
        <w:rPr>
          <w:rFonts w:ascii="宋体" w:hAnsi="宋体" w:cs="宋体"/>
          <w:kern w:val="0"/>
          <w:sz w:val="24"/>
        </w:rPr>
      </w:pPr>
      <w:r>
        <w:rPr>
          <w:rFonts w:hint="eastAsia" w:ascii="宋体" w:hAnsi="宋体" w:cs="宋体"/>
          <w:kern w:val="0"/>
          <w:sz w:val="24"/>
        </w:rPr>
        <w:t>34.5.1 谈判后，直至授予成交供应商合同为止，凡属于对谈判响应文件的审查、澄清、评价和比较的有关资料以及成交候选供应商的推荐情况，与评审有关的其他任何情况均严格保密；</w:t>
      </w:r>
    </w:p>
    <w:p>
      <w:pPr>
        <w:spacing w:line="360" w:lineRule="auto"/>
        <w:ind w:firstLine="460" w:firstLineChars="192"/>
        <w:rPr>
          <w:rFonts w:ascii="宋体" w:hAnsi="宋体" w:cs="宋体"/>
          <w:kern w:val="0"/>
          <w:sz w:val="24"/>
        </w:rPr>
      </w:pPr>
      <w:r>
        <w:rPr>
          <w:rFonts w:hint="eastAsia" w:ascii="宋体" w:hAnsi="宋体" w:cs="宋体"/>
          <w:kern w:val="0"/>
          <w:sz w:val="24"/>
        </w:rPr>
        <w:t>34.5.2 供应商对谈判小组的评审过程或合同授予决定施加影响的任何行为都可能导致其谈判被拒绝。</w:t>
      </w:r>
    </w:p>
    <w:p>
      <w:pPr>
        <w:pStyle w:val="4"/>
        <w:spacing w:before="120" w:beforeLines="50" w:after="120" w:afterLines="50" w:line="360" w:lineRule="auto"/>
        <w:rPr>
          <w:rFonts w:ascii="宋体" w:hAnsi="宋体" w:eastAsia="宋体" w:cs="宋体"/>
          <w:bCs/>
        </w:rPr>
      </w:pPr>
      <w:bookmarkStart w:id="104" w:name="_Toc2663"/>
      <w:r>
        <w:rPr>
          <w:rFonts w:hint="eastAsia" w:ascii="宋体" w:hAnsi="宋体" w:eastAsia="宋体" w:cs="宋体"/>
          <w:bCs/>
        </w:rPr>
        <w:t>八、定标</w:t>
      </w:r>
      <w:bookmarkEnd w:id="103"/>
      <w:bookmarkEnd w:id="104"/>
      <w:bookmarkStart w:id="105" w:name="_Toc217446061"/>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35.定标原则</w:t>
      </w:r>
      <w:bookmarkEnd w:id="105"/>
    </w:p>
    <w:p>
      <w:pPr>
        <w:spacing w:line="360" w:lineRule="auto"/>
        <w:ind w:firstLine="470" w:firstLineChars="196"/>
        <w:rPr>
          <w:rFonts w:ascii="宋体" w:hAnsi="宋体" w:cs="宋体"/>
          <w:sz w:val="24"/>
        </w:rPr>
      </w:pPr>
      <w:r>
        <w:rPr>
          <w:rFonts w:hint="eastAsia" w:ascii="宋体" w:hAnsi="宋体" w:cs="宋体"/>
          <w:sz w:val="24"/>
        </w:rPr>
        <w:t>采购人或其授权的谈判小组按照评审报告中推荐的成交候选供应商名单，按顺序确定成交供应商。</w:t>
      </w:r>
      <w:bookmarkStart w:id="106" w:name="_Toc217446062"/>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36.定标程序</w:t>
      </w:r>
      <w:bookmarkEnd w:id="106"/>
    </w:p>
    <w:p>
      <w:pPr>
        <w:spacing w:line="360" w:lineRule="auto"/>
        <w:ind w:firstLine="480" w:firstLineChars="200"/>
        <w:rPr>
          <w:rFonts w:ascii="宋体" w:hAnsi="宋体" w:cs="宋体"/>
          <w:sz w:val="24"/>
          <w:highlight w:val="none"/>
        </w:rPr>
      </w:pPr>
      <w:r>
        <w:rPr>
          <w:rFonts w:hint="eastAsia" w:ascii="宋体" w:hAnsi="宋体" w:cs="宋体"/>
          <w:sz w:val="24"/>
          <w:highlight w:val="none"/>
        </w:rPr>
        <w:t>36.1谈判小组应当从质量和服务均能满足采购文件实质性响应要求的供应商中，按照最后报价由低到高的顺序提出3名以上成交候选人，并编写评审报告。</w:t>
      </w:r>
    </w:p>
    <w:p>
      <w:pPr>
        <w:spacing w:line="360" w:lineRule="auto"/>
        <w:ind w:firstLine="420" w:firstLineChars="175"/>
        <w:rPr>
          <w:rFonts w:ascii="宋体" w:hAnsi="宋体" w:cs="宋体"/>
          <w:sz w:val="24"/>
        </w:rPr>
      </w:pPr>
      <w:r>
        <w:rPr>
          <w:rFonts w:hint="eastAsia" w:ascii="宋体" w:hAnsi="宋体" w:cs="宋体"/>
          <w:sz w:val="24"/>
        </w:rPr>
        <w:t>36.2 采购代理机构在评审结束后1个工作日内将评审报告送采购人确认。</w:t>
      </w:r>
    </w:p>
    <w:p>
      <w:pPr>
        <w:spacing w:line="360" w:lineRule="auto"/>
        <w:ind w:firstLine="420" w:firstLineChars="175"/>
        <w:rPr>
          <w:rFonts w:ascii="宋体" w:hAnsi="宋体" w:cs="宋体"/>
          <w:sz w:val="24"/>
        </w:rPr>
      </w:pPr>
      <w:r>
        <w:rPr>
          <w:rFonts w:hint="eastAsia" w:ascii="宋体" w:hAnsi="宋体" w:cs="宋体"/>
          <w:sz w:val="24"/>
        </w:rPr>
        <w:t>36.3 采购人应当在收到评审报告后4个工作日内，按照评审报告中推荐的成交候选供应商顺序和有关规定确定成交供应商，第一名成交供应商并列的，由采购人根据技术方案得分由高到低顺序确定。同时，复函采购代理机构。</w:t>
      </w:r>
    </w:p>
    <w:p>
      <w:pPr>
        <w:spacing w:line="360" w:lineRule="auto"/>
        <w:ind w:firstLine="422" w:firstLineChars="175"/>
        <w:rPr>
          <w:rFonts w:ascii="宋体" w:hAnsi="宋体" w:cs="宋体"/>
          <w:b/>
          <w:sz w:val="24"/>
        </w:rPr>
      </w:pPr>
      <w:r>
        <w:rPr>
          <w:rFonts w:hint="eastAsia" w:ascii="宋体" w:hAnsi="宋体" w:cs="宋体"/>
          <w:b/>
          <w:sz w:val="24"/>
        </w:rPr>
        <w:t>采购人在收到评审报告4个工作日内未按评审报告推荐的成交候选供应商顺序确定成交供应商，又不能说明合法理由的，视同按评审报告推荐的顺序确定排名第一的成交候选供应商为成交供应商。</w:t>
      </w:r>
    </w:p>
    <w:p>
      <w:pPr>
        <w:spacing w:line="360" w:lineRule="auto"/>
        <w:ind w:firstLine="420" w:firstLineChars="175"/>
        <w:rPr>
          <w:rFonts w:ascii="宋体" w:hAnsi="宋体" w:cs="宋体"/>
          <w:sz w:val="24"/>
        </w:rPr>
      </w:pPr>
      <w:r>
        <w:rPr>
          <w:rFonts w:hint="eastAsia" w:ascii="宋体" w:hAnsi="宋体" w:cs="宋体"/>
          <w:sz w:val="24"/>
        </w:rPr>
        <w:t>36.4采购代理机构应当在接到采购人“成交”复函之日起1个工作日内，根据采购人确定的成交供应商，在省级以上财政部门指定的媒体上发布成交公告，同时向成交供应商发出《成交通知书》。</w:t>
      </w:r>
    </w:p>
    <w:p>
      <w:pPr>
        <w:pStyle w:val="5"/>
        <w:adjustRightInd w:val="0"/>
        <w:snapToGrid w:val="0"/>
        <w:spacing w:before="120" w:beforeLines="50" w:after="120" w:afterLines="50" w:line="360" w:lineRule="auto"/>
        <w:rPr>
          <w:rFonts w:ascii="宋体" w:hAnsi="宋体" w:cs="宋体"/>
        </w:rPr>
      </w:pPr>
      <w:bookmarkStart w:id="107" w:name="_Toc217446063"/>
      <w:bookmarkStart w:id="108" w:name="_Toc183582238"/>
      <w:bookmarkStart w:id="109" w:name="_Toc183682375"/>
      <w:r>
        <w:rPr>
          <w:rFonts w:hint="eastAsia" w:ascii="宋体" w:hAnsi="宋体" w:cs="宋体"/>
        </w:rPr>
        <w:t>3</w:t>
      </w:r>
      <w:bookmarkEnd w:id="107"/>
      <w:bookmarkEnd w:id="108"/>
      <w:bookmarkEnd w:id="109"/>
      <w:r>
        <w:rPr>
          <w:rFonts w:hint="eastAsia" w:ascii="宋体" w:hAnsi="宋体" w:cs="宋体"/>
        </w:rPr>
        <w:t>7.成交通知书</w:t>
      </w:r>
    </w:p>
    <w:p>
      <w:pPr>
        <w:tabs>
          <w:tab w:val="left" w:pos="7665"/>
        </w:tabs>
        <w:spacing w:line="360" w:lineRule="auto"/>
        <w:ind w:firstLine="480" w:firstLineChars="200"/>
        <w:rPr>
          <w:rFonts w:ascii="宋体" w:hAnsi="宋体" w:cs="宋体"/>
          <w:sz w:val="24"/>
        </w:rPr>
      </w:pPr>
      <w:r>
        <w:rPr>
          <w:rFonts w:hint="eastAsia" w:ascii="宋体" w:hAnsi="宋体" w:cs="宋体"/>
          <w:sz w:val="24"/>
        </w:rPr>
        <w:t>37</w:t>
      </w:r>
      <w:r>
        <w:rPr>
          <w:rFonts w:hint="eastAsia" w:ascii="宋体" w:hAnsi="宋体" w:cs="宋体"/>
          <w:b/>
          <w:bCs/>
          <w:sz w:val="24"/>
        </w:rPr>
        <w:t>.</w:t>
      </w:r>
      <w:r>
        <w:rPr>
          <w:rFonts w:hint="eastAsia" w:ascii="宋体" w:hAnsi="宋体" w:cs="宋体"/>
          <w:sz w:val="24"/>
        </w:rPr>
        <w:t>1成交通知书为签订政府采购合同的依据，是合同的有效组成部分。</w:t>
      </w:r>
    </w:p>
    <w:p>
      <w:pPr>
        <w:tabs>
          <w:tab w:val="left" w:pos="7665"/>
        </w:tabs>
        <w:spacing w:line="360" w:lineRule="auto"/>
        <w:ind w:firstLine="480"/>
        <w:rPr>
          <w:rFonts w:ascii="宋体" w:hAnsi="宋体" w:cs="宋体"/>
          <w:sz w:val="24"/>
        </w:rPr>
      </w:pPr>
      <w:r>
        <w:rPr>
          <w:rFonts w:hint="eastAsia" w:ascii="宋体" w:hAnsi="宋体" w:cs="宋体"/>
          <w:sz w:val="24"/>
        </w:rPr>
        <w:t>37.2成交通知书对采购人和成交供应商均具有法律效力。成交通知书发出后，采购人改变成交结果，或者成交供应商无正当理由放弃成交资格的，应当承担相应的法律责任。</w:t>
      </w:r>
    </w:p>
    <w:p>
      <w:pPr>
        <w:tabs>
          <w:tab w:val="left" w:pos="7665"/>
        </w:tabs>
        <w:spacing w:line="360" w:lineRule="auto"/>
        <w:ind w:firstLine="480"/>
        <w:rPr>
          <w:rFonts w:ascii="宋体" w:hAnsi="宋体" w:cs="宋体"/>
          <w:sz w:val="24"/>
        </w:rPr>
      </w:pPr>
      <w:r>
        <w:rPr>
          <w:rFonts w:hint="eastAsia" w:ascii="宋体" w:hAnsi="宋体" w:cs="宋体"/>
          <w:sz w:val="24"/>
        </w:rPr>
        <w:t>37.3成交供应商应当在接到采购代理机构通知之日起7个工作日内领取《成交通知书》。</w:t>
      </w:r>
    </w:p>
    <w:p>
      <w:pPr>
        <w:tabs>
          <w:tab w:val="left" w:pos="7665"/>
        </w:tabs>
        <w:spacing w:line="360" w:lineRule="auto"/>
        <w:ind w:firstLine="480"/>
        <w:rPr>
          <w:rFonts w:ascii="宋体" w:hAnsi="宋体" w:cs="宋体"/>
          <w:sz w:val="24"/>
        </w:rPr>
      </w:pPr>
      <w:r>
        <w:rPr>
          <w:rFonts w:hint="eastAsia" w:ascii="宋体" w:hAnsi="宋体" w:cs="宋体"/>
          <w:sz w:val="24"/>
        </w:rPr>
        <w:t>37.4在《成交通知书》发出后，发现成交供应商有政府采购法律法规规章制度规定的成交无效情形的，采购代理机构在取得监督管理机构的认定以后，应当宣布发出的成交通知书无效，并收回发出的成交通知书（成交供应商也应当交回），依法重新确定成交供应商或者重新开展采购活动。</w:t>
      </w:r>
    </w:p>
    <w:p>
      <w:pPr>
        <w:tabs>
          <w:tab w:val="left" w:pos="7665"/>
        </w:tabs>
        <w:spacing w:line="360" w:lineRule="auto"/>
        <w:ind w:firstLine="480"/>
        <w:rPr>
          <w:rFonts w:ascii="宋体" w:hAnsi="宋体" w:cs="宋体"/>
          <w:sz w:val="24"/>
        </w:rPr>
      </w:pPr>
      <w:r>
        <w:rPr>
          <w:rFonts w:hint="eastAsia" w:ascii="宋体" w:hAnsi="宋体" w:cs="宋体"/>
          <w:sz w:val="24"/>
        </w:rPr>
        <w:t>37.5 成交通知书发出后，采购人不得违法改变成交结果，成交供应商无正当理由不得放弃成交资格。</w:t>
      </w:r>
    </w:p>
    <w:p>
      <w:pPr>
        <w:pStyle w:val="4"/>
        <w:spacing w:before="120" w:beforeLines="50" w:after="120" w:afterLines="50" w:line="360" w:lineRule="auto"/>
        <w:rPr>
          <w:rFonts w:ascii="宋体" w:hAnsi="宋体" w:eastAsia="宋体" w:cs="宋体"/>
          <w:bCs/>
        </w:rPr>
      </w:pPr>
      <w:bookmarkStart w:id="110" w:name="_Toc6054"/>
      <w:bookmarkStart w:id="111" w:name="_Toc217446064"/>
      <w:bookmarkStart w:id="112" w:name="_Toc183682377"/>
      <w:bookmarkStart w:id="113" w:name="_Toc183582240"/>
      <w:r>
        <w:rPr>
          <w:rFonts w:hint="eastAsia" w:ascii="宋体" w:hAnsi="宋体" w:eastAsia="宋体" w:cs="宋体"/>
          <w:bCs/>
        </w:rPr>
        <w:t>九、</w:t>
      </w:r>
      <w:bookmarkStart w:id="114" w:name="_Toc217446072"/>
      <w:r>
        <w:rPr>
          <w:rFonts w:hint="eastAsia" w:ascii="宋体" w:hAnsi="宋体" w:eastAsia="宋体" w:cs="宋体"/>
          <w:bCs/>
        </w:rPr>
        <w:t>废标或变更采购方式</w:t>
      </w:r>
      <w:bookmarkEnd w:id="110"/>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38.废标的情形</w:t>
      </w:r>
      <w:bookmarkEnd w:id="114"/>
    </w:p>
    <w:p>
      <w:pPr>
        <w:pStyle w:val="8"/>
        <w:spacing w:line="360" w:lineRule="auto"/>
        <w:ind w:firstLine="525"/>
        <w:rPr>
          <w:rFonts w:ascii="宋体" w:hAnsi="宋体" w:cs="宋体"/>
          <w:sz w:val="24"/>
          <w:szCs w:val="24"/>
        </w:rPr>
      </w:pPr>
      <w:r>
        <w:rPr>
          <w:rFonts w:hint="eastAsia" w:ascii="宋体" w:hAnsi="宋体" w:cs="宋体"/>
          <w:sz w:val="24"/>
          <w:szCs w:val="24"/>
        </w:rPr>
        <w:t>38.1 竞争性谈判采购中，出现下列情形之一的，应予以废标：</w:t>
      </w:r>
    </w:p>
    <w:p>
      <w:pPr>
        <w:pStyle w:val="8"/>
        <w:spacing w:line="360" w:lineRule="auto"/>
        <w:ind w:firstLine="525"/>
        <w:rPr>
          <w:rFonts w:ascii="宋体" w:hAnsi="宋体" w:cs="宋体"/>
          <w:sz w:val="24"/>
          <w:szCs w:val="24"/>
        </w:rPr>
      </w:pPr>
      <w:r>
        <w:rPr>
          <w:rFonts w:hint="eastAsia" w:ascii="宋体" w:hAnsi="宋体" w:cs="宋体"/>
          <w:sz w:val="24"/>
          <w:szCs w:val="24"/>
        </w:rPr>
        <w:t>（1）符合专业条件的供应商或者对谈判文件作实质响应的供应商不足3家的；</w:t>
      </w:r>
    </w:p>
    <w:p>
      <w:pPr>
        <w:pStyle w:val="8"/>
        <w:spacing w:line="360" w:lineRule="auto"/>
        <w:ind w:firstLine="525"/>
        <w:rPr>
          <w:rFonts w:ascii="宋体" w:hAnsi="宋体" w:cs="宋体"/>
          <w:sz w:val="24"/>
          <w:szCs w:val="24"/>
        </w:rPr>
      </w:pPr>
      <w:r>
        <w:rPr>
          <w:rFonts w:hint="eastAsia" w:ascii="宋体" w:hAnsi="宋体" w:cs="宋体"/>
          <w:sz w:val="24"/>
          <w:szCs w:val="24"/>
        </w:rPr>
        <w:t>（2）出现影响采购公正的违法、违规行为的；</w:t>
      </w:r>
    </w:p>
    <w:p>
      <w:pPr>
        <w:pStyle w:val="8"/>
        <w:spacing w:line="360" w:lineRule="auto"/>
        <w:ind w:firstLine="525"/>
        <w:rPr>
          <w:rFonts w:ascii="宋体" w:hAnsi="宋体" w:cs="宋体"/>
          <w:sz w:val="24"/>
          <w:szCs w:val="24"/>
        </w:rPr>
      </w:pPr>
      <w:r>
        <w:rPr>
          <w:rFonts w:hint="eastAsia" w:ascii="宋体" w:hAnsi="宋体" w:cs="宋体"/>
          <w:sz w:val="24"/>
          <w:szCs w:val="24"/>
        </w:rPr>
        <w:t>（3）供应商的报价均超过了采购预算，采购人不能支付的；</w:t>
      </w:r>
    </w:p>
    <w:p>
      <w:pPr>
        <w:pStyle w:val="8"/>
        <w:spacing w:line="360" w:lineRule="auto"/>
        <w:ind w:firstLine="525"/>
        <w:rPr>
          <w:rFonts w:ascii="宋体" w:hAnsi="宋体" w:cs="宋体"/>
          <w:sz w:val="24"/>
          <w:szCs w:val="24"/>
        </w:rPr>
      </w:pPr>
      <w:r>
        <w:rPr>
          <w:rFonts w:hint="eastAsia" w:ascii="宋体" w:hAnsi="宋体" w:cs="宋体"/>
          <w:sz w:val="24"/>
          <w:szCs w:val="24"/>
        </w:rPr>
        <w:t>（4）因重大变故，采购任务取消的。</w:t>
      </w:r>
    </w:p>
    <w:p>
      <w:pPr>
        <w:pStyle w:val="8"/>
        <w:spacing w:line="360" w:lineRule="auto"/>
        <w:ind w:firstLine="525"/>
        <w:rPr>
          <w:rFonts w:ascii="宋体" w:hAnsi="宋体" w:cs="宋体"/>
          <w:sz w:val="24"/>
          <w:szCs w:val="24"/>
        </w:rPr>
      </w:pPr>
      <w:r>
        <w:rPr>
          <w:rFonts w:hint="eastAsia" w:ascii="宋体" w:hAnsi="宋体" w:cs="宋体"/>
          <w:sz w:val="24"/>
          <w:szCs w:val="24"/>
        </w:rPr>
        <w:t>38.2 废标后，采购代理机构应在财政部门指定采购网上公告，并公告废标的详细理由。</w:t>
      </w:r>
    </w:p>
    <w:p>
      <w:pPr>
        <w:pStyle w:val="4"/>
        <w:spacing w:before="120" w:beforeLines="50" w:after="120" w:afterLines="50" w:line="360" w:lineRule="auto"/>
        <w:rPr>
          <w:rFonts w:ascii="宋体" w:hAnsi="宋体" w:eastAsia="宋体" w:cs="宋体"/>
          <w:bCs/>
        </w:rPr>
      </w:pPr>
      <w:bookmarkStart w:id="115" w:name="_Toc13665"/>
      <w:r>
        <w:rPr>
          <w:rFonts w:hint="eastAsia" w:ascii="宋体" w:hAnsi="宋体" w:eastAsia="宋体" w:cs="宋体"/>
          <w:bCs/>
        </w:rPr>
        <w:t>十、合同</w:t>
      </w:r>
      <w:bookmarkEnd w:id="111"/>
      <w:r>
        <w:rPr>
          <w:rFonts w:hint="eastAsia" w:ascii="宋体" w:hAnsi="宋体" w:eastAsia="宋体" w:cs="宋体"/>
          <w:bCs/>
        </w:rPr>
        <w:t>授予</w:t>
      </w:r>
      <w:bookmarkEnd w:id="115"/>
      <w:bookmarkStart w:id="116" w:name="_Toc217446065"/>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39.履约保证金</w:t>
      </w:r>
    </w:p>
    <w:p>
      <w:pPr>
        <w:tabs>
          <w:tab w:val="left" w:pos="7665"/>
        </w:tabs>
        <w:spacing w:line="360" w:lineRule="auto"/>
        <w:ind w:firstLine="482"/>
        <w:rPr>
          <w:rFonts w:ascii="宋体" w:hAnsi="宋体" w:cs="宋体"/>
          <w:sz w:val="24"/>
          <w:highlight w:val="none"/>
        </w:rPr>
      </w:pPr>
      <w:r>
        <w:rPr>
          <w:rFonts w:hint="eastAsia" w:ascii="宋体" w:hAnsi="宋体" w:cs="宋体"/>
          <w:sz w:val="24"/>
        </w:rPr>
        <w:t>3</w:t>
      </w:r>
      <w:r>
        <w:rPr>
          <w:rFonts w:hint="eastAsia" w:ascii="宋体" w:hAnsi="宋体" w:cs="宋体"/>
          <w:sz w:val="24"/>
          <w:highlight w:val="none"/>
        </w:rPr>
        <w:t>9.1项目需要提交履约保证金的，适用本条。</w:t>
      </w:r>
    </w:p>
    <w:p>
      <w:pPr>
        <w:tabs>
          <w:tab w:val="left" w:pos="7665"/>
        </w:tabs>
        <w:spacing w:line="360" w:lineRule="auto"/>
        <w:ind w:firstLine="482"/>
        <w:rPr>
          <w:rFonts w:ascii="宋体" w:hAnsi="宋体" w:cs="宋体"/>
          <w:sz w:val="24"/>
          <w:highlight w:val="none"/>
        </w:rPr>
      </w:pPr>
      <w:r>
        <w:rPr>
          <w:rFonts w:hint="eastAsia" w:ascii="宋体" w:hAnsi="宋体" w:cs="宋体"/>
          <w:sz w:val="24"/>
          <w:highlight w:val="none"/>
        </w:rPr>
        <w:t>39.2成交供应商在收到采购代理机构的成交通知书后</w:t>
      </w:r>
      <w:r>
        <w:rPr>
          <w:rFonts w:hint="eastAsia" w:ascii="宋体" w:hAnsi="宋体" w:cs="宋体"/>
          <w:sz w:val="24"/>
          <w:highlight w:val="none"/>
          <w:lang w:val="en-US" w:eastAsia="zh-CN"/>
        </w:rPr>
        <w:t>与甲方签订合同前</w:t>
      </w:r>
      <w:r>
        <w:rPr>
          <w:rFonts w:hint="eastAsia" w:ascii="宋体" w:hAnsi="宋体" w:cs="宋体"/>
          <w:sz w:val="24"/>
          <w:highlight w:val="none"/>
        </w:rPr>
        <w:t>，应按照供应商须知前附表的规定，向采购人提交履约保证金或履约担保。联合体成交的，履约保证金或履约担保由联合体中牵头人的名义提交。</w:t>
      </w:r>
    </w:p>
    <w:p>
      <w:pPr>
        <w:tabs>
          <w:tab w:val="left" w:pos="7665"/>
        </w:tabs>
        <w:snapToGrid w:val="0"/>
        <w:spacing w:line="360" w:lineRule="auto"/>
        <w:ind w:firstLine="482"/>
        <w:rPr>
          <w:rFonts w:ascii="宋体" w:hAnsi="宋体" w:cs="宋体"/>
          <w:sz w:val="24"/>
          <w:highlight w:val="none"/>
        </w:rPr>
      </w:pPr>
      <w:r>
        <w:rPr>
          <w:rFonts w:hint="eastAsia" w:ascii="宋体" w:hAnsi="宋体" w:cs="宋体"/>
          <w:sz w:val="24"/>
          <w:highlight w:val="none"/>
        </w:rPr>
        <w:t>39.3采用</w:t>
      </w:r>
      <w:r>
        <w:rPr>
          <w:rFonts w:ascii="宋体" w:hAnsi="宋体" w:cs="宋体"/>
          <w:sz w:val="24"/>
          <w:highlight w:val="none"/>
        </w:rPr>
        <w:t>转账、 网上银行</w:t>
      </w:r>
      <w:r>
        <w:rPr>
          <w:rFonts w:hint="eastAsia" w:ascii="宋体" w:hAnsi="宋体" w:cs="宋体"/>
          <w:sz w:val="24"/>
          <w:highlight w:val="none"/>
        </w:rPr>
        <w:t>支付形式交纳时，应从其基本存款账户转出。</w:t>
      </w:r>
    </w:p>
    <w:p>
      <w:pPr>
        <w:tabs>
          <w:tab w:val="left" w:pos="7665"/>
        </w:tabs>
        <w:snapToGrid w:val="0"/>
        <w:spacing w:line="360" w:lineRule="auto"/>
        <w:ind w:firstLine="482"/>
        <w:rPr>
          <w:rFonts w:ascii="宋体" w:hAnsi="宋体" w:cs="宋体"/>
          <w:sz w:val="24"/>
          <w:highlight w:val="none"/>
        </w:rPr>
      </w:pPr>
      <w:r>
        <w:rPr>
          <w:rFonts w:hint="eastAsia" w:ascii="宋体" w:hAnsi="宋体" w:cs="宋体"/>
          <w:sz w:val="24"/>
          <w:highlight w:val="none"/>
        </w:rPr>
        <w:t>39.4采用纸质履约保函形式交纳时，应注意以下事项：</w:t>
      </w:r>
    </w:p>
    <w:p>
      <w:pPr>
        <w:tabs>
          <w:tab w:val="left" w:pos="7665"/>
        </w:tabs>
        <w:snapToGrid w:val="0"/>
        <w:spacing w:line="360" w:lineRule="auto"/>
        <w:ind w:firstLine="482"/>
        <w:rPr>
          <w:rFonts w:ascii="宋体" w:hAnsi="宋体" w:cs="宋体"/>
          <w:sz w:val="24"/>
          <w:highlight w:val="none"/>
        </w:rPr>
      </w:pPr>
      <w:r>
        <w:rPr>
          <w:rFonts w:hint="eastAsia" w:ascii="宋体" w:hAnsi="宋体" w:cs="宋体"/>
          <w:sz w:val="24"/>
          <w:highlight w:val="none"/>
        </w:rPr>
        <w:t xml:space="preserve">（1）履约保函的受益人为采购人，供应商未能按合同规定履行其义务时，采购人有权从履约保证金中取得补偿。 </w:t>
      </w:r>
    </w:p>
    <w:p>
      <w:pPr>
        <w:tabs>
          <w:tab w:val="left" w:pos="7665"/>
        </w:tabs>
        <w:snapToGrid w:val="0"/>
        <w:spacing w:line="360" w:lineRule="auto"/>
        <w:ind w:firstLine="482"/>
        <w:rPr>
          <w:rFonts w:ascii="宋体" w:hAnsi="宋体" w:cs="宋体"/>
          <w:sz w:val="24"/>
          <w:highlight w:val="none"/>
        </w:rPr>
      </w:pPr>
      <w:r>
        <w:rPr>
          <w:rFonts w:hint="eastAsia" w:ascii="宋体" w:hAnsi="宋体" w:cs="宋体"/>
          <w:sz w:val="24"/>
          <w:highlight w:val="none"/>
        </w:rPr>
        <w:t xml:space="preserve">（2）履约保函的内容包括但不限于保函申请人、项目名称（如分包，还应写明所投包号）、担保金额、保函有效期（履约保函的有效期至少应覆盖至合同验收之日，履约保函有效期不足的，供应商应向履约保函签发机构办理担保续期手续）； </w:t>
      </w:r>
    </w:p>
    <w:p>
      <w:pPr>
        <w:tabs>
          <w:tab w:val="left" w:pos="7665"/>
        </w:tabs>
        <w:snapToGrid w:val="0"/>
        <w:spacing w:line="360" w:lineRule="auto"/>
        <w:ind w:firstLine="482"/>
        <w:rPr>
          <w:rFonts w:ascii="宋体" w:hAnsi="宋体" w:cs="宋体"/>
          <w:sz w:val="24"/>
          <w:highlight w:val="none"/>
        </w:rPr>
      </w:pPr>
      <w:r>
        <w:rPr>
          <w:rFonts w:hint="eastAsia" w:ascii="宋体" w:hAnsi="宋体" w:cs="宋体"/>
          <w:sz w:val="24"/>
          <w:highlight w:val="none"/>
        </w:rPr>
        <w:t xml:space="preserve">（3）担保金额不少于《供应商须知前附表》中规定的履约保证金交纳金额； </w:t>
      </w:r>
    </w:p>
    <w:p>
      <w:pPr>
        <w:tabs>
          <w:tab w:val="left" w:pos="7665"/>
        </w:tabs>
        <w:snapToGrid w:val="0"/>
        <w:spacing w:line="360" w:lineRule="auto"/>
        <w:ind w:firstLine="482"/>
        <w:rPr>
          <w:rFonts w:ascii="宋体" w:hAnsi="宋体" w:cs="宋体"/>
          <w:sz w:val="24"/>
          <w:highlight w:val="none"/>
        </w:rPr>
      </w:pPr>
      <w:r>
        <w:rPr>
          <w:rFonts w:hint="eastAsia" w:ascii="宋体" w:hAnsi="宋体" w:cs="宋体"/>
          <w:sz w:val="24"/>
          <w:highlight w:val="none"/>
        </w:rPr>
        <w:t xml:space="preserve">（4）保函申请人须与供应商名称一致，若为联合体参加投标的，则由联合体牵头人作为保函申请人。 </w:t>
      </w:r>
    </w:p>
    <w:p>
      <w:pPr>
        <w:tabs>
          <w:tab w:val="left" w:pos="7665"/>
        </w:tabs>
        <w:snapToGrid w:val="0"/>
        <w:spacing w:line="360" w:lineRule="auto"/>
        <w:ind w:firstLine="482"/>
        <w:rPr>
          <w:rFonts w:ascii="宋体" w:hAnsi="宋体" w:cs="宋体"/>
          <w:sz w:val="24"/>
          <w:highlight w:val="none"/>
        </w:rPr>
      </w:pPr>
      <w:r>
        <w:rPr>
          <w:rFonts w:hint="eastAsia" w:ascii="宋体" w:hAnsi="宋体" w:cs="宋体"/>
          <w:sz w:val="24"/>
          <w:highlight w:val="none"/>
        </w:rPr>
        <w:t>39.5履约保证金在项目验收合格后，成交供应商</w:t>
      </w:r>
      <w:r>
        <w:rPr>
          <w:rFonts w:hint="eastAsia" w:ascii="宋体" w:hAnsi="宋体" w:cs="宋体"/>
          <w:sz w:val="24"/>
          <w:highlight w:val="none"/>
          <w:lang w:val="zh-CN"/>
        </w:rPr>
        <w:t>无违约行为，</w:t>
      </w:r>
      <w:r>
        <w:rPr>
          <w:rFonts w:hint="eastAsia" w:ascii="宋体" w:hAnsi="宋体" w:cs="宋体"/>
          <w:sz w:val="24"/>
          <w:highlight w:val="none"/>
        </w:rPr>
        <w:t>采购人</w:t>
      </w:r>
      <w:r>
        <w:rPr>
          <w:rFonts w:hint="eastAsia" w:ascii="宋体" w:hAnsi="宋体" w:cs="宋体"/>
          <w:sz w:val="24"/>
          <w:highlight w:val="none"/>
          <w:lang w:val="en-US" w:eastAsia="zh-CN"/>
        </w:rPr>
        <w:t>与20天内</w:t>
      </w:r>
      <w:r>
        <w:rPr>
          <w:rFonts w:hint="eastAsia" w:ascii="宋体" w:hAnsi="宋体" w:cs="宋体"/>
          <w:sz w:val="24"/>
          <w:highlight w:val="none"/>
          <w:lang w:val="zh-CN"/>
        </w:rPr>
        <w:t>无息退还，</w:t>
      </w:r>
      <w:r>
        <w:rPr>
          <w:rFonts w:hint="eastAsia" w:ascii="宋体" w:hAnsi="宋体" w:cs="宋体"/>
          <w:sz w:val="24"/>
          <w:highlight w:val="none"/>
          <w:lang w:val="en-US" w:eastAsia="zh-CN"/>
        </w:rPr>
        <w:t>每延迟一日补偿履约担保金额的百分之一</w:t>
      </w:r>
      <w:r>
        <w:rPr>
          <w:rFonts w:hint="eastAsia" w:ascii="宋体" w:hAnsi="宋体" w:cs="宋体"/>
          <w:sz w:val="24"/>
          <w:highlight w:val="none"/>
          <w:lang w:val="zh-CN"/>
        </w:rPr>
        <w:t>。</w:t>
      </w:r>
    </w:p>
    <w:p>
      <w:pPr>
        <w:tabs>
          <w:tab w:val="left" w:pos="7665"/>
        </w:tabs>
        <w:spacing w:line="360" w:lineRule="auto"/>
        <w:ind w:firstLine="482"/>
        <w:rPr>
          <w:rFonts w:ascii="宋体" w:hAnsi="宋体" w:cs="宋体"/>
          <w:spacing w:val="2"/>
          <w:sz w:val="24"/>
        </w:rPr>
      </w:pPr>
      <w:r>
        <w:rPr>
          <w:rFonts w:hint="eastAsia" w:ascii="宋体" w:hAnsi="宋体" w:cs="宋体"/>
          <w:sz w:val="24"/>
        </w:rPr>
        <w:t>39.6 成交供应商</w:t>
      </w:r>
      <w:r>
        <w:rPr>
          <w:rFonts w:hint="eastAsia" w:ascii="宋体" w:hAnsi="宋体" w:cs="宋体"/>
          <w:spacing w:val="4"/>
          <w:sz w:val="24"/>
        </w:rPr>
        <w:t>没有按照本章第38.2</w:t>
      </w:r>
      <w:r>
        <w:rPr>
          <w:rFonts w:hint="eastAsia" w:ascii="宋体" w:hAnsi="宋体" w:cs="宋体"/>
          <w:kern w:val="0"/>
          <w:sz w:val="24"/>
          <w:lang w:val="zh-CN"/>
        </w:rPr>
        <w:t>条</w:t>
      </w:r>
      <w:r>
        <w:rPr>
          <w:rFonts w:hint="eastAsia" w:ascii="宋体" w:hAnsi="宋体" w:cs="宋体"/>
          <w:spacing w:val="4"/>
          <w:sz w:val="24"/>
        </w:rPr>
        <w:t>规定</w:t>
      </w:r>
      <w:r>
        <w:rPr>
          <w:rFonts w:hint="eastAsia" w:ascii="宋体" w:hAnsi="宋体" w:cs="宋体"/>
          <w:sz w:val="24"/>
        </w:rPr>
        <w:t>提交履约保证金或履约担保的</w:t>
      </w:r>
      <w:r>
        <w:rPr>
          <w:rFonts w:hint="eastAsia" w:ascii="宋体" w:hAnsi="宋体" w:cs="宋体"/>
          <w:spacing w:val="4"/>
          <w:sz w:val="24"/>
        </w:rPr>
        <w:t>，视为放弃</w:t>
      </w:r>
      <w:r>
        <w:rPr>
          <w:rFonts w:hint="eastAsia" w:ascii="宋体" w:hAnsi="宋体" w:cs="宋体"/>
          <w:sz w:val="24"/>
        </w:rPr>
        <w:t>成交资格</w:t>
      </w:r>
      <w:r>
        <w:rPr>
          <w:rFonts w:hint="eastAsia" w:ascii="宋体" w:hAnsi="宋体" w:cs="宋体"/>
          <w:spacing w:val="4"/>
          <w:sz w:val="24"/>
        </w:rPr>
        <w:t>，</w:t>
      </w:r>
      <w:r>
        <w:rPr>
          <w:rFonts w:hint="eastAsia" w:ascii="宋体" w:hAnsi="宋体" w:cs="宋体"/>
          <w:spacing w:val="2"/>
          <w:sz w:val="24"/>
        </w:rPr>
        <w:t>给采购人造成的损失的，成交供应商应当对此予以赔偿。</w:t>
      </w:r>
    </w:p>
    <w:p>
      <w:pPr>
        <w:tabs>
          <w:tab w:val="left" w:pos="7665"/>
        </w:tabs>
        <w:snapToGrid w:val="0"/>
        <w:spacing w:line="360" w:lineRule="auto"/>
        <w:ind w:firstLine="482"/>
        <w:rPr>
          <w:rFonts w:ascii="宋体" w:hAnsi="宋体" w:cs="宋体"/>
          <w:sz w:val="24"/>
        </w:rPr>
      </w:pPr>
      <w:r>
        <w:rPr>
          <w:rFonts w:hint="eastAsia" w:ascii="宋体" w:hAnsi="宋体" w:cs="宋体"/>
          <w:sz w:val="24"/>
        </w:rPr>
        <w:t>39.7如遇以下情况，合同履约保证金不予退还：</w:t>
      </w:r>
    </w:p>
    <w:p>
      <w:pPr>
        <w:tabs>
          <w:tab w:val="left" w:pos="7665"/>
        </w:tabs>
        <w:snapToGrid w:val="0"/>
        <w:spacing w:line="360" w:lineRule="auto"/>
        <w:ind w:firstLine="482"/>
        <w:rPr>
          <w:rFonts w:ascii="宋体" w:hAnsi="宋体" w:cs="宋体"/>
          <w:sz w:val="24"/>
        </w:rPr>
      </w:pPr>
      <w:r>
        <w:rPr>
          <w:rFonts w:hint="eastAsia" w:ascii="宋体" w:hAnsi="宋体" w:cs="宋体"/>
          <w:sz w:val="24"/>
        </w:rPr>
        <w:t>（1）合同签订后不能按合同期限要求完成的；</w:t>
      </w:r>
    </w:p>
    <w:p>
      <w:pPr>
        <w:tabs>
          <w:tab w:val="left" w:pos="7665"/>
        </w:tabs>
        <w:snapToGrid w:val="0"/>
        <w:spacing w:line="360" w:lineRule="auto"/>
        <w:ind w:firstLine="482"/>
        <w:rPr>
          <w:rFonts w:ascii="宋体" w:hAnsi="宋体" w:cs="宋体"/>
          <w:sz w:val="24"/>
        </w:rPr>
      </w:pPr>
      <w:r>
        <w:rPr>
          <w:rFonts w:hint="eastAsia" w:ascii="宋体" w:hAnsi="宋体" w:cs="宋体"/>
          <w:sz w:val="24"/>
        </w:rPr>
        <w:t>（2）交货内容与合同不符或验收不合格的；</w:t>
      </w:r>
    </w:p>
    <w:p>
      <w:pPr>
        <w:tabs>
          <w:tab w:val="left" w:pos="7665"/>
        </w:tabs>
        <w:snapToGrid w:val="0"/>
        <w:spacing w:line="360" w:lineRule="auto"/>
        <w:ind w:firstLine="482"/>
        <w:rPr>
          <w:rFonts w:ascii="宋体" w:hAnsi="宋体" w:cs="宋体"/>
          <w:sz w:val="24"/>
        </w:rPr>
      </w:pPr>
      <w:r>
        <w:rPr>
          <w:rFonts w:hint="eastAsia" w:ascii="宋体" w:hAnsi="宋体" w:cs="宋体"/>
          <w:sz w:val="24"/>
        </w:rPr>
        <w:t>（3）不能按合同履约的。</w:t>
      </w:r>
    </w:p>
    <w:p>
      <w:pPr>
        <w:pStyle w:val="2"/>
      </w:pP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40.合同</w:t>
      </w:r>
      <w:bookmarkEnd w:id="116"/>
      <w:r>
        <w:rPr>
          <w:rFonts w:hint="eastAsia" w:ascii="宋体" w:hAnsi="宋体" w:cs="宋体"/>
        </w:rPr>
        <w:t>订立</w:t>
      </w:r>
    </w:p>
    <w:p>
      <w:pPr>
        <w:tabs>
          <w:tab w:val="left" w:pos="7665"/>
        </w:tabs>
        <w:spacing w:line="360" w:lineRule="auto"/>
        <w:ind w:firstLine="482"/>
      </w:pPr>
      <w:r>
        <w:rPr>
          <w:rFonts w:hint="eastAsia" w:ascii="宋体" w:hAnsi="宋体" w:cs="宋体"/>
          <w:sz w:val="24"/>
        </w:rPr>
        <w:t>40.1 成交供应商应在《成交通知书》发出之日起30日内按照谈判文件和谈判响应文件（包括评审中形成的澄清文件）确定的采购标的、规格型号、采购金额、采购数量、技术和服务要求及商务要求等事项与采购人签订采购合同。由于成交供应商的原因逾期未与采购人签订采购合同的，将视为放弃成交，取消其成交资格，给采购人造成的损失的，</w:t>
      </w:r>
      <w:r>
        <w:rPr>
          <w:rFonts w:hint="eastAsia" w:ascii="宋体" w:hAnsi="宋体" w:cs="宋体"/>
          <w:spacing w:val="2"/>
          <w:sz w:val="24"/>
        </w:rPr>
        <w:t>成交供应商应当对此予以赔偿。</w:t>
      </w:r>
    </w:p>
    <w:p>
      <w:pPr>
        <w:spacing w:line="360" w:lineRule="auto"/>
        <w:ind w:firstLine="480" w:firstLineChars="200"/>
        <w:rPr>
          <w:rFonts w:ascii="宋体" w:hAnsi="宋体" w:cs="宋体"/>
          <w:sz w:val="24"/>
        </w:rPr>
      </w:pPr>
      <w:r>
        <w:rPr>
          <w:rFonts w:hint="eastAsia" w:ascii="宋体" w:hAnsi="宋体" w:cs="宋体"/>
          <w:sz w:val="24"/>
        </w:rPr>
        <w:t>40.2 发出成交通知书后，采购人无正当理由拒签合同或在合同签订时向成交供应商提出附加条件的，给成交供应商造成损失的，还应当赔偿损失。</w:t>
      </w:r>
    </w:p>
    <w:p>
      <w:pPr>
        <w:spacing w:line="360" w:lineRule="auto"/>
        <w:ind w:firstLine="480" w:firstLineChars="200"/>
        <w:rPr>
          <w:rFonts w:ascii="宋体" w:hAnsi="宋体" w:cs="宋体"/>
          <w:sz w:val="24"/>
        </w:rPr>
      </w:pPr>
      <w:r>
        <w:rPr>
          <w:rFonts w:hint="eastAsia" w:ascii="宋体" w:hAnsi="宋体" w:cs="宋体"/>
          <w:sz w:val="24"/>
        </w:rPr>
        <w:t>40.3成交供应商因不可抗力原因不能履行采购合同或放弃成交的，采购人可以与排在成交供应商之后第一位的成交候选供应商签订采购合同，以此类推。</w:t>
      </w:r>
      <w:bookmarkStart w:id="117" w:name="_Toc217446066"/>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sz w:val="24"/>
        </w:rPr>
        <w:t>40</w:t>
      </w:r>
      <w:r>
        <w:rPr>
          <w:rFonts w:hint="eastAsia" w:ascii="宋体" w:hAnsi="宋体" w:cs="宋体"/>
          <w:bCs/>
          <w:sz w:val="24"/>
        </w:rPr>
        <w:t>.4采购人与</w:t>
      </w:r>
      <w:r>
        <w:rPr>
          <w:rFonts w:hint="eastAsia" w:ascii="宋体" w:hAnsi="宋体" w:cs="宋体"/>
          <w:sz w:val="24"/>
        </w:rPr>
        <w:t>成交供应商</w:t>
      </w:r>
      <w:r>
        <w:rPr>
          <w:rFonts w:hint="eastAsia" w:ascii="宋体" w:hAnsi="宋体" w:cs="宋体"/>
          <w:bCs/>
          <w:sz w:val="24"/>
        </w:rPr>
        <w:t>所签订的合同不得对谈判文件确定的事项和成交供应商的响应文件做实质性修改。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40.5采购人与成交供应商不得擅自变更、中止、终止政府采购合同。</w:t>
      </w:r>
      <w:bookmarkStart w:id="118" w:name="_Toc322606648"/>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40</w:t>
      </w:r>
      <w:r>
        <w:rPr>
          <w:rFonts w:hint="eastAsia" w:ascii="宋体" w:hAnsi="宋体" w:eastAsia="宋体" w:cs="宋体"/>
          <w:sz w:val="24"/>
        </w:rPr>
        <w:t>.6对于满足合同约定支付条件的，采购人应当自收到发票后30日内将资金支付到合同约定的供应商账户，不得以机构变动、人员更替、政策调整等为由延迟付款，不得将采购文件和合同中未规定的义务作为供应商付款的条件。</w:t>
      </w: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41.合同履行</w:t>
      </w:r>
      <w:bookmarkEnd w:id="118"/>
    </w:p>
    <w:p>
      <w:pPr>
        <w:tabs>
          <w:tab w:val="left" w:pos="426"/>
        </w:tabs>
        <w:autoSpaceDE w:val="0"/>
        <w:autoSpaceDN w:val="0"/>
        <w:adjustRightInd w:val="0"/>
        <w:snapToGrid w:val="0"/>
        <w:spacing w:line="360" w:lineRule="auto"/>
        <w:ind w:firstLine="480" w:firstLineChars="200"/>
        <w:rPr>
          <w:rFonts w:ascii="宋体" w:hAnsi="宋体" w:cs="宋体"/>
          <w:b/>
          <w:bCs/>
          <w:sz w:val="24"/>
        </w:rPr>
      </w:pPr>
      <w:r>
        <w:rPr>
          <w:rFonts w:hint="eastAsia" w:ascii="宋体" w:hAnsi="宋体" w:cs="宋体"/>
          <w:sz w:val="24"/>
        </w:rPr>
        <w:t xml:space="preserve">41.1 </w:t>
      </w:r>
      <w:r>
        <w:rPr>
          <w:rFonts w:hint="eastAsia" w:ascii="宋体" w:hAnsi="宋体" w:cs="宋体"/>
          <w:sz w:val="24"/>
          <w:lang w:eastAsia="zh-TW"/>
        </w:rPr>
        <w:t>政府采购合同订立后，合同各方不得擅自变更</w:t>
      </w:r>
      <w:r>
        <w:rPr>
          <w:rFonts w:hint="eastAsia" w:ascii="宋体" w:hAnsi="宋体" w:cs="宋体"/>
          <w:sz w:val="24"/>
        </w:rPr>
        <w:t>或者</w:t>
      </w:r>
      <w:r>
        <w:rPr>
          <w:rFonts w:hint="eastAsia" w:ascii="宋体" w:hAnsi="宋体" w:cs="宋体"/>
          <w:sz w:val="24"/>
          <w:lang w:eastAsia="zh-TW"/>
        </w:rPr>
        <w:t>中止或者终止合同。政府采购合同需要变更的，采购人应将有关合同变更内容，以书面形式报政府采购监督管理</w:t>
      </w:r>
      <w:r>
        <w:rPr>
          <w:rFonts w:hint="eastAsia" w:ascii="宋体" w:hAnsi="宋体" w:cs="宋体"/>
          <w:sz w:val="24"/>
        </w:rPr>
        <w:t>部门</w:t>
      </w:r>
      <w:r>
        <w:rPr>
          <w:rFonts w:hint="eastAsia" w:ascii="宋体" w:hAnsi="宋体" w:cs="宋体"/>
          <w:sz w:val="24"/>
          <w:lang w:eastAsia="zh-TW"/>
        </w:rPr>
        <w:t>备案；因特殊情况需要中止或终止合同的，采购人应将中止或终止合同的理由以及相应措施，以书面形式报政府采购监督管理</w:t>
      </w:r>
      <w:r>
        <w:rPr>
          <w:rFonts w:hint="eastAsia" w:ascii="宋体" w:hAnsi="宋体" w:cs="宋体"/>
          <w:sz w:val="24"/>
        </w:rPr>
        <w:t>部门</w:t>
      </w:r>
      <w:r>
        <w:rPr>
          <w:rFonts w:hint="eastAsia" w:ascii="宋体" w:hAnsi="宋体" w:cs="宋体"/>
          <w:sz w:val="24"/>
          <w:lang w:eastAsia="zh-TW"/>
        </w:rPr>
        <w:t>备案。</w:t>
      </w:r>
    </w:p>
    <w:p>
      <w:pPr>
        <w:tabs>
          <w:tab w:val="left" w:pos="426"/>
        </w:tabs>
        <w:autoSpaceDE w:val="0"/>
        <w:autoSpaceDN w:val="0"/>
        <w:adjustRightInd w:val="0"/>
        <w:snapToGrid w:val="0"/>
        <w:spacing w:line="360" w:lineRule="auto"/>
        <w:ind w:firstLine="480" w:firstLineChars="200"/>
        <w:rPr>
          <w:rFonts w:ascii="宋体" w:hAnsi="宋体" w:cs="宋体"/>
          <w:b/>
          <w:bCs/>
          <w:sz w:val="24"/>
        </w:rPr>
      </w:pPr>
      <w:r>
        <w:rPr>
          <w:rFonts w:hint="eastAsia" w:ascii="宋体" w:hAnsi="宋体" w:cs="宋体"/>
          <w:sz w:val="24"/>
        </w:rPr>
        <w:t xml:space="preserve">41.2 </w:t>
      </w:r>
      <w:r>
        <w:rPr>
          <w:rFonts w:hint="eastAsia" w:ascii="宋体" w:hAnsi="宋体" w:cs="宋体"/>
          <w:sz w:val="24"/>
          <w:lang w:eastAsia="zh-TW"/>
        </w:rPr>
        <w:t>政府采购合同履行中，采购人需追加与合同标的相同的货物的，在不改变合同其他条款的前提下，可以与</w:t>
      </w:r>
      <w:r>
        <w:rPr>
          <w:rFonts w:hint="eastAsia" w:ascii="宋体" w:hAnsi="宋体" w:cs="宋体"/>
          <w:sz w:val="24"/>
        </w:rPr>
        <w:t>成交供应商</w:t>
      </w:r>
      <w:r>
        <w:rPr>
          <w:rFonts w:hint="eastAsia" w:ascii="宋体" w:hAnsi="宋体" w:cs="宋体"/>
          <w:sz w:val="24"/>
          <w:lang w:eastAsia="zh-TW"/>
        </w:rPr>
        <w:t>签订补充合同，但须按照当地财政部门的规定要求执行</w:t>
      </w:r>
      <w:r>
        <w:rPr>
          <w:rFonts w:hint="eastAsia" w:ascii="宋体" w:hAnsi="宋体" w:cs="宋体"/>
          <w:sz w:val="24"/>
        </w:rPr>
        <w:t>，</w:t>
      </w:r>
      <w:r>
        <w:rPr>
          <w:rFonts w:hint="eastAsia" w:ascii="宋体" w:hAnsi="宋体" w:cs="宋体"/>
          <w:sz w:val="24"/>
          <w:lang w:eastAsia="zh-TW"/>
        </w:rPr>
        <w:t>所补充合同的采购金额不得超过原</w:t>
      </w:r>
      <w:r>
        <w:rPr>
          <w:rFonts w:hint="eastAsia" w:ascii="宋体" w:hAnsi="宋体" w:cs="宋体"/>
          <w:sz w:val="24"/>
        </w:rPr>
        <w:t>合同</w:t>
      </w:r>
      <w:r>
        <w:rPr>
          <w:rFonts w:hint="eastAsia" w:ascii="宋体" w:hAnsi="宋体" w:cs="宋体"/>
          <w:sz w:val="24"/>
          <w:lang w:eastAsia="zh-TW"/>
        </w:rPr>
        <w:t>采购金额的百分之十。签订补充合同的</w:t>
      </w:r>
      <w:r>
        <w:rPr>
          <w:rFonts w:hint="eastAsia" w:ascii="宋体" w:hAnsi="宋体" w:cs="宋体"/>
          <w:sz w:val="24"/>
        </w:rPr>
        <w:t>应</w:t>
      </w:r>
      <w:r>
        <w:rPr>
          <w:rFonts w:hint="eastAsia" w:ascii="宋体" w:hAnsi="宋体" w:cs="宋体"/>
          <w:sz w:val="24"/>
          <w:lang w:eastAsia="zh-TW"/>
        </w:rPr>
        <w:t>按规定备案。</w:t>
      </w:r>
    </w:p>
    <w:bookmarkEnd w:id="16"/>
    <w:bookmarkEnd w:id="17"/>
    <w:bookmarkEnd w:id="18"/>
    <w:bookmarkEnd w:id="19"/>
    <w:bookmarkEnd w:id="20"/>
    <w:bookmarkEnd w:id="21"/>
    <w:bookmarkEnd w:id="22"/>
    <w:bookmarkEnd w:id="23"/>
    <w:bookmarkEnd w:id="24"/>
    <w:bookmarkEnd w:id="112"/>
    <w:bookmarkEnd w:id="113"/>
    <w:bookmarkEnd w:id="117"/>
    <w:p>
      <w:pPr>
        <w:pStyle w:val="5"/>
        <w:spacing w:before="0" w:after="0" w:line="360" w:lineRule="auto"/>
        <w:rPr>
          <w:rFonts w:ascii="宋体" w:hAnsi="宋体" w:cs="宋体"/>
        </w:rPr>
      </w:pPr>
      <w:bookmarkStart w:id="119" w:name="_Toc217446081"/>
      <w:r>
        <w:rPr>
          <w:rFonts w:hint="eastAsia" w:ascii="宋体" w:hAnsi="宋体" w:cs="宋体"/>
        </w:rPr>
        <w:t>42.合同的履约验收</w:t>
      </w:r>
    </w:p>
    <w:p>
      <w:pPr>
        <w:tabs>
          <w:tab w:val="left" w:pos="426"/>
        </w:tabs>
        <w:autoSpaceDE w:val="0"/>
        <w:autoSpaceDN w:val="0"/>
        <w:adjustRightInd w:val="0"/>
        <w:snapToGrid w:val="0"/>
        <w:spacing w:line="360" w:lineRule="auto"/>
        <w:ind w:firstLine="480" w:firstLineChars="200"/>
        <w:rPr>
          <w:rFonts w:ascii="宋体" w:hAnsi="宋体" w:cs="宋体"/>
          <w:highlight w:val="none"/>
        </w:rPr>
      </w:pPr>
      <w:r>
        <w:rPr>
          <w:rFonts w:hint="eastAsia" w:ascii="宋体" w:hAnsi="宋体" w:cs="宋体"/>
          <w:sz w:val="24"/>
          <w:highlight w:val="none"/>
          <w:lang w:val="zh-CN" w:eastAsia="zh-TW"/>
        </w:rPr>
        <w:t>政府采购合同的履行、违约责任和解决争议的方法等适用《中华人民共和国</w:t>
      </w:r>
      <w:r>
        <w:rPr>
          <w:rFonts w:hint="eastAsia" w:ascii="宋体" w:hAnsi="宋体" w:cs="宋体"/>
          <w:sz w:val="24"/>
          <w:highlight w:val="none"/>
          <w:lang w:val="en-US" w:eastAsia="zh-CN"/>
        </w:rPr>
        <w:t>政府采购法</w:t>
      </w:r>
      <w:r>
        <w:rPr>
          <w:rFonts w:hint="eastAsia" w:ascii="宋体" w:hAnsi="宋体" w:cs="宋体"/>
          <w:sz w:val="24"/>
          <w:highlight w:val="none"/>
          <w:lang w:val="zh-CN" w:eastAsia="zh-TW"/>
        </w:rPr>
        <w:t>》、《中华人民共和国民法典》，采购人按照政府采购合同规定的技术、服务、安全标准组织对</w:t>
      </w:r>
      <w:r>
        <w:rPr>
          <w:rFonts w:hint="eastAsia" w:ascii="宋体" w:hAnsi="宋体" w:cs="宋体"/>
          <w:sz w:val="24"/>
          <w:highlight w:val="none"/>
        </w:rPr>
        <w:t>供应商</w:t>
      </w:r>
      <w:r>
        <w:rPr>
          <w:rFonts w:hint="eastAsia" w:ascii="宋体" w:hAnsi="宋体" w:cs="宋体"/>
          <w:sz w:val="24"/>
          <w:highlight w:val="none"/>
          <w:lang w:val="zh-CN" w:eastAsia="zh-TW"/>
        </w:rPr>
        <w:t>履约情况进行验收，并出具验收书。</w:t>
      </w:r>
    </w:p>
    <w:p>
      <w:pPr>
        <w:pStyle w:val="4"/>
        <w:spacing w:before="120" w:beforeLines="50" w:after="120" w:afterLines="50" w:line="360" w:lineRule="auto"/>
        <w:rPr>
          <w:rFonts w:ascii="宋体" w:hAnsi="宋体" w:eastAsia="宋体" w:cs="宋体"/>
          <w:bCs/>
          <w:highlight w:val="none"/>
        </w:rPr>
      </w:pPr>
      <w:bookmarkStart w:id="120" w:name="_Toc28278"/>
      <w:bookmarkStart w:id="121" w:name="_Toc4220"/>
      <w:r>
        <w:rPr>
          <w:rFonts w:hint="eastAsia" w:ascii="宋体" w:hAnsi="宋体" w:eastAsia="宋体" w:cs="宋体"/>
          <w:bCs/>
          <w:highlight w:val="none"/>
        </w:rPr>
        <w:t>十一、成交服务费</w:t>
      </w:r>
      <w:bookmarkEnd w:id="120"/>
      <w:bookmarkEnd w:id="121"/>
    </w:p>
    <w:p>
      <w:pPr>
        <w:pStyle w:val="5"/>
        <w:spacing w:before="0" w:after="0" w:line="360" w:lineRule="auto"/>
        <w:rPr>
          <w:rFonts w:ascii="宋体" w:hAnsi="宋体" w:cs="宋体"/>
        </w:rPr>
      </w:pPr>
      <w:r>
        <w:rPr>
          <w:rFonts w:hint="eastAsia" w:ascii="宋体" w:hAnsi="宋体" w:cs="宋体"/>
        </w:rPr>
        <w:t>43.成交服务费的数额及缴纳方式</w:t>
      </w:r>
    </w:p>
    <w:p>
      <w:pPr>
        <w:spacing w:line="360" w:lineRule="auto"/>
        <w:ind w:firstLine="573"/>
        <w:rPr>
          <w:rFonts w:ascii="宋体" w:hAnsi="宋体" w:cs="宋体"/>
          <w:sz w:val="24"/>
        </w:rPr>
      </w:pPr>
      <w:r>
        <w:rPr>
          <w:rFonts w:hint="eastAsia" w:ascii="宋体" w:hAnsi="宋体" w:cs="宋体"/>
          <w:sz w:val="24"/>
        </w:rPr>
        <w:t>43.1 成交供应商在领取《成交通知书》之前，应向采购代理机构缴纳成交服务费。</w:t>
      </w:r>
    </w:p>
    <w:p>
      <w:pPr>
        <w:spacing w:line="360" w:lineRule="auto"/>
        <w:ind w:firstLine="573"/>
        <w:jc w:val="left"/>
        <w:rPr>
          <w:rFonts w:ascii="宋体" w:hAnsi="宋体" w:cs="宋体"/>
          <w:sz w:val="24"/>
        </w:rPr>
      </w:pPr>
      <w:r>
        <w:rPr>
          <w:rFonts w:hint="eastAsia" w:ascii="宋体" w:hAnsi="宋体" w:cs="宋体"/>
          <w:sz w:val="24"/>
        </w:rPr>
        <w:t>43.2 成交服务费参考《国家计委关于印发〈招标代理服务收费管理暂行办法〉的通知》（计价格〔2002〕1980号）、《国家发展和改革委员会办公厅关于招标代理服务收费有关问题的通知》（发改办价格〔2003〕857号）规定，，具体金额将在结果公告中公布。</w:t>
      </w:r>
    </w:p>
    <w:p>
      <w:pPr>
        <w:snapToGrid w:val="0"/>
        <w:spacing w:line="360" w:lineRule="auto"/>
        <w:ind w:firstLine="480" w:firstLineChars="200"/>
        <w:rPr>
          <w:rFonts w:ascii="宋体" w:hAnsi="宋体" w:cs="宋体"/>
          <w:sz w:val="24"/>
        </w:rPr>
      </w:pPr>
      <w:r>
        <w:rPr>
          <w:rFonts w:hint="eastAsia" w:ascii="宋体" w:hAnsi="宋体" w:cs="宋体"/>
          <w:sz w:val="24"/>
        </w:rPr>
        <w:t>43.3 成交服务费，可以采取现金、转账、网上银行等方式缴纳。</w:t>
      </w:r>
    </w:p>
    <w:p>
      <w:pPr>
        <w:spacing w:line="360" w:lineRule="auto"/>
        <w:ind w:firstLine="573"/>
        <w:jc w:val="left"/>
        <w:rPr>
          <w:rFonts w:ascii="宋体" w:hAnsi="宋体" w:cs="宋体"/>
          <w:b/>
          <w:sz w:val="24"/>
        </w:rPr>
      </w:pPr>
      <w:r>
        <w:rPr>
          <w:rFonts w:hint="eastAsia" w:ascii="宋体" w:hAnsi="宋体" w:cs="宋体"/>
          <w:b/>
          <w:sz w:val="24"/>
        </w:rPr>
        <w:t>招标代理服务费交纳转账信息：</w:t>
      </w:r>
    </w:p>
    <w:p>
      <w:pPr>
        <w:spacing w:line="360" w:lineRule="auto"/>
        <w:ind w:firstLine="573"/>
        <w:jc w:val="left"/>
        <w:rPr>
          <w:rFonts w:ascii="宋体" w:hAnsi="宋体" w:cs="宋体"/>
          <w:b/>
          <w:sz w:val="24"/>
        </w:rPr>
      </w:pPr>
      <w:r>
        <w:rPr>
          <w:rFonts w:hint="eastAsia" w:ascii="宋体" w:hAnsi="宋体" w:cs="宋体"/>
          <w:b/>
          <w:sz w:val="24"/>
        </w:rPr>
        <w:t>银行户名：陕西明正招标有限公司</w:t>
      </w:r>
    </w:p>
    <w:p>
      <w:pPr>
        <w:spacing w:line="360" w:lineRule="auto"/>
        <w:ind w:firstLine="573"/>
        <w:jc w:val="left"/>
        <w:rPr>
          <w:rFonts w:ascii="宋体" w:hAnsi="宋体" w:cs="宋体"/>
          <w:b/>
          <w:sz w:val="24"/>
        </w:rPr>
      </w:pPr>
      <w:r>
        <w:rPr>
          <w:rFonts w:hint="eastAsia" w:ascii="宋体" w:hAnsi="宋体" w:cs="宋体"/>
          <w:b/>
          <w:sz w:val="24"/>
        </w:rPr>
        <w:t>开户行名称：招商银行股份有限公司西安白沙路支行</w:t>
      </w:r>
    </w:p>
    <w:p>
      <w:pPr>
        <w:spacing w:line="360" w:lineRule="auto"/>
        <w:ind w:firstLine="573"/>
        <w:jc w:val="left"/>
        <w:rPr>
          <w:rFonts w:ascii="宋体" w:hAnsi="宋体" w:cs="宋体"/>
          <w:sz w:val="24"/>
        </w:rPr>
      </w:pPr>
      <w:r>
        <w:rPr>
          <w:rFonts w:hint="eastAsia" w:ascii="宋体" w:hAnsi="宋体" w:cs="宋体"/>
          <w:b/>
          <w:sz w:val="24"/>
        </w:rPr>
        <w:t>账      号：129907967910101</w:t>
      </w:r>
    </w:p>
    <w:p>
      <w:pPr>
        <w:spacing w:line="360" w:lineRule="auto"/>
        <w:ind w:firstLine="573"/>
        <w:rPr>
          <w:rFonts w:ascii="宋体" w:hAnsi="宋体" w:cs="宋体"/>
          <w:sz w:val="24"/>
        </w:rPr>
      </w:pPr>
      <w:r>
        <w:rPr>
          <w:rFonts w:hint="eastAsia" w:ascii="宋体" w:hAnsi="宋体" w:cs="宋体"/>
          <w:sz w:val="24"/>
        </w:rPr>
        <w:t>43.4供应商应将成交服务费计算入谈判总报价，但不在分项报价中单独列出。</w:t>
      </w:r>
    </w:p>
    <w:p>
      <w:pPr>
        <w:pStyle w:val="4"/>
        <w:spacing w:before="0" w:after="120" w:afterLines="50" w:line="360" w:lineRule="auto"/>
        <w:rPr>
          <w:rFonts w:ascii="宋体" w:hAnsi="宋体" w:eastAsia="宋体" w:cs="宋体"/>
          <w:bCs/>
        </w:rPr>
      </w:pPr>
      <w:bookmarkStart w:id="122" w:name="_Toc9305"/>
      <w:bookmarkStart w:id="123" w:name="_Toc22594"/>
      <w:r>
        <w:rPr>
          <w:rFonts w:hint="eastAsia" w:ascii="宋体" w:hAnsi="宋体" w:eastAsia="宋体" w:cs="宋体"/>
          <w:bCs/>
        </w:rPr>
        <w:t>十二、质疑与投诉</w:t>
      </w:r>
      <w:bookmarkEnd w:id="122"/>
      <w:bookmarkEnd w:id="123"/>
    </w:p>
    <w:p>
      <w:pPr>
        <w:pStyle w:val="5"/>
        <w:spacing w:before="0" w:after="0" w:line="360" w:lineRule="auto"/>
        <w:rPr>
          <w:rFonts w:ascii="宋体" w:hAnsi="宋体" w:cs="宋体"/>
        </w:rPr>
      </w:pPr>
      <w:r>
        <w:rPr>
          <w:rFonts w:hint="eastAsia" w:ascii="宋体" w:hAnsi="宋体" w:cs="宋体"/>
        </w:rPr>
        <w:t>44.质疑</w:t>
      </w:r>
    </w:p>
    <w:p>
      <w:pPr>
        <w:widowControl/>
        <w:spacing w:line="360" w:lineRule="auto"/>
        <w:ind w:firstLine="480" w:firstLineChars="200"/>
        <w:rPr>
          <w:rFonts w:ascii="宋体" w:hAnsi="宋体" w:cs="宋体"/>
          <w:sz w:val="24"/>
        </w:rPr>
      </w:pPr>
      <w:r>
        <w:rPr>
          <w:rFonts w:hint="eastAsia" w:ascii="宋体" w:hAnsi="宋体" w:cs="宋体"/>
          <w:sz w:val="24"/>
        </w:rPr>
        <w:t>44.1 供应商对本次招标采购活动有疑问的，按照国家《中华人民共和国政府采购法》、《中华人民共和国政府采购法实施条例》及《政府采购质疑和投诉办法》（财政部94号令）的规定办理。</w:t>
      </w:r>
    </w:p>
    <w:p>
      <w:pPr>
        <w:widowControl/>
        <w:spacing w:line="360" w:lineRule="auto"/>
        <w:ind w:firstLine="480" w:firstLineChars="200"/>
        <w:rPr>
          <w:rFonts w:ascii="宋体" w:hAnsi="宋体" w:cs="宋体"/>
          <w:sz w:val="24"/>
        </w:rPr>
      </w:pPr>
      <w:r>
        <w:rPr>
          <w:rFonts w:hint="eastAsia" w:ascii="宋体" w:hAnsi="宋体" w:cs="宋体"/>
          <w:sz w:val="24"/>
        </w:rPr>
        <w:t>44.2 供应商认为采购文件、采购过程或成交结果使自身的合法权益受到损害时，应当在法定期限内一次性提出针对同一采购程序环节的质疑，按照质疑函范本格式要求以书面形式向采购代理机构或采购人提出质疑。对谈判文件提出质疑为获取采购文件之日起7个工作日内,对谈判过程提出质疑为各采购环节结束之日起7个工作日内,对成交结果提出质疑的为成交公告期限届满之日起7个工作日内。</w:t>
      </w:r>
    </w:p>
    <w:p>
      <w:pPr>
        <w:widowControl/>
        <w:spacing w:line="360" w:lineRule="auto"/>
        <w:ind w:firstLine="480" w:firstLineChars="200"/>
        <w:rPr>
          <w:rFonts w:ascii="宋体" w:hAnsi="宋体" w:cs="宋体"/>
          <w:sz w:val="24"/>
        </w:rPr>
      </w:pPr>
      <w:r>
        <w:rPr>
          <w:rFonts w:hint="eastAsia" w:ascii="宋体" w:hAnsi="宋体" w:cs="宋体"/>
          <w:sz w:val="24"/>
        </w:rPr>
        <w:t>（1）质疑书应当包括以下主要内容：被质疑项目名称、项目编号、包号、采购文件获取日期、质疑事项、证据及来源线索、法律依据（具体条款）、招标采购活动中自己权益受到侵害的实质内容、质疑人有效联系方式等。</w:t>
      </w:r>
    </w:p>
    <w:p>
      <w:pPr>
        <w:widowControl/>
        <w:spacing w:line="360" w:lineRule="auto"/>
        <w:ind w:firstLine="480" w:firstLineChars="200"/>
        <w:rPr>
          <w:rFonts w:ascii="宋体" w:hAnsi="宋体" w:cs="宋体"/>
          <w:sz w:val="24"/>
        </w:rPr>
      </w:pPr>
      <w:r>
        <w:rPr>
          <w:rFonts w:hint="eastAsia" w:ascii="宋体" w:hAnsi="宋体" w:cs="宋体"/>
          <w:sz w:val="24"/>
        </w:rPr>
        <w:t>（2）质疑书应当由法定代表人或授权代表签字或盖章，并加盖单位公章，公章不得以合同章或其他印章代替，并附法人身份证明。</w:t>
      </w:r>
    </w:p>
    <w:p>
      <w:pPr>
        <w:widowControl/>
        <w:spacing w:line="360" w:lineRule="auto"/>
        <w:ind w:firstLine="480" w:firstLineChars="200"/>
        <w:rPr>
          <w:rFonts w:ascii="宋体" w:hAnsi="宋体" w:cs="宋体"/>
          <w:sz w:val="24"/>
        </w:rPr>
      </w:pPr>
      <w:r>
        <w:rPr>
          <w:rFonts w:hint="eastAsia" w:ascii="宋体" w:hAnsi="宋体" w:cs="宋体"/>
          <w:sz w:val="24"/>
        </w:rPr>
        <w:t>（3）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widowControl/>
        <w:spacing w:line="360" w:lineRule="auto"/>
        <w:ind w:firstLine="480" w:firstLineChars="200"/>
        <w:rPr>
          <w:rFonts w:ascii="宋体" w:hAnsi="宋体" w:cs="宋体"/>
          <w:sz w:val="24"/>
        </w:rPr>
      </w:pPr>
      <w:r>
        <w:rPr>
          <w:rFonts w:hint="eastAsia" w:ascii="宋体" w:hAnsi="宋体" w:cs="宋体"/>
          <w:sz w:val="24"/>
        </w:rPr>
        <w:t>（4）质疑函范本格式在中国政府采购网站（http://www.ccgp.gov.cn/）自行下载。</w:t>
      </w:r>
    </w:p>
    <w:p>
      <w:pPr>
        <w:widowControl/>
        <w:spacing w:line="360" w:lineRule="auto"/>
        <w:ind w:firstLine="480" w:firstLineChars="200"/>
        <w:rPr>
          <w:rFonts w:ascii="宋体" w:hAnsi="宋体" w:cs="宋体"/>
          <w:sz w:val="24"/>
        </w:rPr>
      </w:pPr>
      <w:r>
        <w:rPr>
          <w:rFonts w:hint="eastAsia" w:ascii="宋体" w:hAnsi="宋体" w:cs="宋体"/>
          <w:sz w:val="24"/>
        </w:rPr>
        <w:t>（5）接收质疑函的联系部门、联系电话和通讯地址同采购公告。</w:t>
      </w:r>
    </w:p>
    <w:p>
      <w:pPr>
        <w:widowControl/>
        <w:spacing w:line="360" w:lineRule="auto"/>
        <w:ind w:firstLine="480" w:firstLineChars="200"/>
        <w:rPr>
          <w:rFonts w:ascii="宋体" w:hAnsi="宋体" w:cs="宋体"/>
          <w:sz w:val="24"/>
        </w:rPr>
      </w:pPr>
      <w:r>
        <w:rPr>
          <w:rFonts w:hint="eastAsia" w:ascii="宋体" w:hAnsi="宋体" w:cs="宋体"/>
          <w:sz w:val="24"/>
        </w:rPr>
        <w:t>（6）供应商必须在法定质疑期内一次性提出针对同一采购程序环节的质疑。</w:t>
      </w:r>
    </w:p>
    <w:p>
      <w:pPr>
        <w:widowControl/>
        <w:spacing w:line="360" w:lineRule="auto"/>
        <w:ind w:firstLine="480" w:firstLineChars="200"/>
        <w:rPr>
          <w:rFonts w:ascii="宋体" w:hAnsi="宋体" w:cs="宋体"/>
          <w:sz w:val="24"/>
        </w:rPr>
      </w:pPr>
      <w:r>
        <w:rPr>
          <w:rFonts w:hint="eastAsia" w:ascii="宋体" w:hAnsi="宋体" w:cs="宋体"/>
          <w:sz w:val="24"/>
        </w:rPr>
        <w:t>44.3 有下列情形之一的，属于无效质疑，采购代理机构和采购人不予受理：</w:t>
      </w:r>
    </w:p>
    <w:p>
      <w:pPr>
        <w:widowControl/>
        <w:spacing w:line="360" w:lineRule="auto"/>
        <w:ind w:firstLine="480" w:firstLineChars="200"/>
        <w:rPr>
          <w:rFonts w:ascii="宋体" w:hAnsi="宋体" w:cs="宋体"/>
          <w:sz w:val="24"/>
        </w:rPr>
      </w:pPr>
      <w:r>
        <w:rPr>
          <w:rFonts w:hint="eastAsia" w:ascii="宋体" w:hAnsi="宋体" w:cs="宋体"/>
          <w:sz w:val="24"/>
        </w:rPr>
        <w:t>（1）质疑人不是参与本次政府采购项目的供应商；</w:t>
      </w:r>
    </w:p>
    <w:p>
      <w:pPr>
        <w:widowControl/>
        <w:spacing w:line="360" w:lineRule="auto"/>
        <w:ind w:firstLine="480" w:firstLineChars="200"/>
        <w:rPr>
          <w:rFonts w:ascii="宋体" w:hAnsi="宋体" w:cs="宋体"/>
          <w:sz w:val="24"/>
        </w:rPr>
      </w:pPr>
      <w:r>
        <w:rPr>
          <w:rFonts w:hint="eastAsia" w:ascii="宋体" w:hAnsi="宋体" w:cs="宋体"/>
          <w:sz w:val="24"/>
        </w:rPr>
        <w:t>（2）质疑人与质疑事项不存在利害关系的；</w:t>
      </w:r>
    </w:p>
    <w:p>
      <w:pPr>
        <w:widowControl/>
        <w:spacing w:line="360" w:lineRule="auto"/>
        <w:ind w:firstLine="480" w:firstLineChars="200"/>
        <w:rPr>
          <w:rFonts w:ascii="宋体" w:hAnsi="宋体" w:cs="宋体"/>
          <w:sz w:val="24"/>
        </w:rPr>
      </w:pPr>
      <w:r>
        <w:rPr>
          <w:rFonts w:hint="eastAsia" w:ascii="宋体" w:hAnsi="宋体" w:cs="宋体"/>
          <w:sz w:val="24"/>
        </w:rPr>
        <w:t>（3）未在法定期限内提出质疑的；</w:t>
      </w:r>
    </w:p>
    <w:p>
      <w:pPr>
        <w:widowControl/>
        <w:spacing w:line="360" w:lineRule="auto"/>
        <w:ind w:firstLine="480" w:firstLineChars="200"/>
        <w:rPr>
          <w:rFonts w:ascii="宋体" w:hAnsi="宋体" w:cs="宋体"/>
          <w:sz w:val="24"/>
        </w:rPr>
      </w:pPr>
      <w:r>
        <w:rPr>
          <w:rFonts w:hint="eastAsia" w:ascii="宋体" w:hAnsi="宋体" w:cs="宋体"/>
          <w:sz w:val="24"/>
        </w:rPr>
        <w:t>（4）质疑未以书面形式提出，以传真、电子邮件、移动通信等形式即时收悉提交的质疑材料；</w:t>
      </w:r>
    </w:p>
    <w:p>
      <w:pPr>
        <w:widowControl/>
        <w:spacing w:line="360" w:lineRule="auto"/>
        <w:ind w:firstLine="480" w:firstLineChars="200"/>
        <w:rPr>
          <w:rFonts w:ascii="宋体" w:hAnsi="宋体" w:cs="宋体"/>
          <w:sz w:val="24"/>
        </w:rPr>
      </w:pPr>
      <w:r>
        <w:rPr>
          <w:rFonts w:hint="eastAsia" w:ascii="宋体" w:hAnsi="宋体" w:cs="宋体"/>
          <w:sz w:val="24"/>
        </w:rPr>
        <w:t>（5）质疑未按质疑函范本格式提出的；</w:t>
      </w:r>
    </w:p>
    <w:p>
      <w:pPr>
        <w:widowControl/>
        <w:spacing w:line="360" w:lineRule="auto"/>
        <w:ind w:firstLine="480" w:firstLineChars="200"/>
        <w:rPr>
          <w:rFonts w:ascii="宋体" w:hAnsi="宋体" w:cs="宋体"/>
          <w:sz w:val="24"/>
        </w:rPr>
      </w:pPr>
      <w:r>
        <w:rPr>
          <w:rFonts w:hint="eastAsia" w:ascii="宋体" w:hAnsi="宋体" w:cs="宋体"/>
          <w:sz w:val="24"/>
        </w:rPr>
        <w:t>（6）质疑书主要内容构成不完整的；</w:t>
      </w:r>
    </w:p>
    <w:p>
      <w:pPr>
        <w:widowControl/>
        <w:spacing w:line="360" w:lineRule="auto"/>
        <w:ind w:firstLine="480" w:firstLineChars="200"/>
        <w:rPr>
          <w:rFonts w:ascii="宋体" w:hAnsi="宋体" w:cs="宋体"/>
          <w:sz w:val="24"/>
        </w:rPr>
      </w:pPr>
      <w:r>
        <w:rPr>
          <w:rFonts w:hint="eastAsia" w:ascii="宋体" w:hAnsi="宋体" w:cs="宋体"/>
          <w:sz w:val="24"/>
        </w:rPr>
        <w:t>（7）质疑书没有合法有效的签字、盖章或授权的；</w:t>
      </w:r>
    </w:p>
    <w:p>
      <w:pPr>
        <w:widowControl/>
        <w:spacing w:line="360" w:lineRule="auto"/>
        <w:ind w:firstLine="480" w:firstLineChars="200"/>
        <w:rPr>
          <w:rFonts w:ascii="宋体" w:hAnsi="宋体" w:cs="宋体"/>
          <w:sz w:val="24"/>
        </w:rPr>
      </w:pPr>
      <w:r>
        <w:rPr>
          <w:rFonts w:hint="eastAsia" w:ascii="宋体" w:hAnsi="宋体" w:cs="宋体"/>
          <w:sz w:val="24"/>
        </w:rPr>
        <w:t>（8）以非法手段取得证据、材料的；</w:t>
      </w:r>
    </w:p>
    <w:p>
      <w:pPr>
        <w:widowControl/>
        <w:spacing w:line="360" w:lineRule="auto"/>
        <w:ind w:firstLine="480" w:firstLineChars="200"/>
        <w:rPr>
          <w:rFonts w:ascii="宋体" w:hAnsi="宋体" w:cs="宋体"/>
          <w:sz w:val="24"/>
        </w:rPr>
      </w:pPr>
      <w:r>
        <w:rPr>
          <w:rFonts w:hint="eastAsia" w:ascii="宋体" w:hAnsi="宋体" w:cs="宋体"/>
          <w:sz w:val="24"/>
        </w:rPr>
        <w:t>（9）质疑答复后，同一质疑人就同一事项再次提出质疑的；</w:t>
      </w:r>
    </w:p>
    <w:p>
      <w:pPr>
        <w:widowControl/>
        <w:spacing w:line="360" w:lineRule="auto"/>
        <w:ind w:firstLine="480" w:firstLineChars="200"/>
        <w:rPr>
          <w:rFonts w:ascii="宋体" w:hAnsi="宋体" w:cs="宋体"/>
          <w:sz w:val="24"/>
        </w:rPr>
      </w:pPr>
      <w:r>
        <w:rPr>
          <w:rFonts w:hint="eastAsia" w:ascii="宋体" w:hAnsi="宋体" w:cs="宋体"/>
          <w:sz w:val="24"/>
        </w:rPr>
        <w:t>（10）不符合法律、法规、规章和政府采购监管机构规定的其他条件的。</w:t>
      </w:r>
    </w:p>
    <w:p>
      <w:pPr>
        <w:widowControl/>
        <w:spacing w:line="360" w:lineRule="auto"/>
        <w:ind w:firstLine="480" w:firstLineChars="200"/>
        <w:rPr>
          <w:rFonts w:ascii="宋体" w:hAnsi="宋体" w:cs="宋体"/>
          <w:sz w:val="24"/>
        </w:rPr>
      </w:pPr>
      <w:r>
        <w:rPr>
          <w:rFonts w:hint="eastAsia" w:ascii="宋体" w:hAnsi="宋体" w:cs="宋体"/>
          <w:sz w:val="24"/>
        </w:rPr>
        <w:t>44.4 采购代理机构或采购人将在收到书面质疑后7个工作日内做出答复，并以书面形式通知质疑人和其他有关供应商。</w:t>
      </w:r>
    </w:p>
    <w:p>
      <w:pPr>
        <w:widowControl/>
        <w:spacing w:line="360" w:lineRule="auto"/>
        <w:ind w:firstLine="480" w:firstLineChars="200"/>
        <w:rPr>
          <w:rFonts w:ascii="宋体" w:hAnsi="宋体" w:cs="宋体"/>
          <w:sz w:val="24"/>
          <w:highlight w:val="yellow"/>
        </w:rPr>
      </w:pPr>
      <w:r>
        <w:rPr>
          <w:rFonts w:hint="eastAsia" w:ascii="宋体" w:hAnsi="宋体" w:cs="宋体"/>
          <w:sz w:val="24"/>
        </w:rPr>
        <w:t>44.5质疑受理联系电话：</w:t>
      </w:r>
      <w:r>
        <w:rPr>
          <w:rFonts w:hint="eastAsia" w:ascii="宋体" w:hAnsi="宋体" w:cs="宋体"/>
          <w:sz w:val="24"/>
          <w:lang w:eastAsia="zh-CN"/>
        </w:rPr>
        <w:t>029-87551608</w:t>
      </w:r>
      <w:r>
        <w:rPr>
          <w:rFonts w:hint="eastAsia" w:ascii="宋体" w:hAnsi="宋体" w:cs="宋体"/>
          <w:sz w:val="24"/>
          <w:highlight w:val="none"/>
        </w:rPr>
        <w:t>，联系人：</w:t>
      </w:r>
      <w:r>
        <w:rPr>
          <w:rFonts w:hint="eastAsia" w:ascii="宋体" w:hAnsi="宋体" w:cs="宋体"/>
          <w:sz w:val="24"/>
          <w:highlight w:val="none"/>
          <w:lang w:val="en-US" w:eastAsia="zh-CN"/>
        </w:rPr>
        <w:t>冯瑶</w:t>
      </w:r>
      <w:r>
        <w:rPr>
          <w:rFonts w:hint="eastAsia" w:ascii="宋体" w:hAnsi="宋体" w:cs="宋体"/>
          <w:sz w:val="24"/>
          <w:highlight w:val="none"/>
        </w:rPr>
        <w:t>，通讯地址：</w:t>
      </w:r>
      <w:r>
        <w:rPr>
          <w:rFonts w:hint="eastAsia" w:ascii="宋体" w:hAnsi="宋体" w:cs="宋体"/>
          <w:sz w:val="24"/>
          <w:highlight w:val="none"/>
          <w:lang w:eastAsia="zh-CN"/>
        </w:rPr>
        <w:t>西安市雁塔区二环南路西段88号老三届世纪星大厦30层AB座</w:t>
      </w:r>
      <w:r>
        <w:rPr>
          <w:rFonts w:hint="eastAsia" w:ascii="宋体" w:hAnsi="宋体" w:cs="宋体"/>
          <w:sz w:val="24"/>
          <w:highlight w:val="none"/>
        </w:rPr>
        <w:t>。</w:t>
      </w:r>
    </w:p>
    <w:p>
      <w:pPr>
        <w:pStyle w:val="5"/>
        <w:spacing w:before="0" w:after="0" w:line="360" w:lineRule="auto"/>
        <w:rPr>
          <w:rFonts w:ascii="宋体" w:hAnsi="宋体" w:cs="宋体"/>
        </w:rPr>
      </w:pPr>
      <w:r>
        <w:rPr>
          <w:rFonts w:hint="eastAsia" w:ascii="宋体" w:hAnsi="宋体" w:cs="宋体"/>
        </w:rPr>
        <w:t>45.投诉</w:t>
      </w:r>
    </w:p>
    <w:p>
      <w:pPr>
        <w:spacing w:line="360" w:lineRule="auto"/>
        <w:ind w:firstLine="480" w:firstLineChars="200"/>
        <w:jc w:val="left"/>
        <w:rPr>
          <w:rFonts w:ascii="宋体" w:hAnsi="宋体" w:cs="宋体"/>
          <w:sz w:val="24"/>
        </w:rPr>
      </w:pPr>
      <w:r>
        <w:rPr>
          <w:rFonts w:hint="eastAsia" w:ascii="宋体" w:hAnsi="宋体" w:cs="宋体"/>
          <w:sz w:val="24"/>
        </w:rPr>
        <w:t>45.1 供应商和其他厉害关系人认为本次招标采购活动违反法律、法规和规章规定的，有权向有关行政监督机构投诉。</w:t>
      </w:r>
    </w:p>
    <w:p>
      <w:pPr>
        <w:spacing w:line="360" w:lineRule="auto"/>
        <w:ind w:firstLine="480" w:firstLineChars="200"/>
        <w:jc w:val="left"/>
        <w:rPr>
          <w:rFonts w:ascii="宋体" w:hAnsi="宋体" w:cs="宋体"/>
          <w:sz w:val="24"/>
        </w:rPr>
      </w:pPr>
      <w:r>
        <w:rPr>
          <w:rFonts w:hint="eastAsia" w:ascii="宋体" w:hAnsi="宋体" w:cs="宋体"/>
          <w:sz w:val="24"/>
        </w:rPr>
        <w:t>（1）质疑人对采购代理机构或采购人的答复不满意，以及采购代理机构或采购人未在规定时间内做出答复的，可以在答复期满后15个工作日内向政府采购监管机构提出投诉。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jc w:val="left"/>
        <w:rPr>
          <w:rFonts w:ascii="宋体" w:hAnsi="宋体" w:cs="宋体"/>
          <w:sz w:val="24"/>
        </w:rPr>
      </w:pPr>
      <w:r>
        <w:rPr>
          <w:rFonts w:hint="eastAsia" w:ascii="宋体" w:hAnsi="宋体" w:cs="宋体"/>
          <w:sz w:val="24"/>
        </w:rPr>
        <w:t>（2）供应商投诉的事项不得超出已质疑事项的范围。</w:t>
      </w:r>
    </w:p>
    <w:p>
      <w:pPr>
        <w:spacing w:line="360" w:lineRule="auto"/>
        <w:ind w:firstLine="480" w:firstLineChars="200"/>
        <w:jc w:val="left"/>
        <w:rPr>
          <w:rFonts w:ascii="宋体" w:hAnsi="宋体" w:cs="宋体"/>
          <w:sz w:val="24"/>
        </w:rPr>
      </w:pPr>
      <w:r>
        <w:rPr>
          <w:rFonts w:hint="eastAsia" w:ascii="宋体" w:hAnsi="宋体" w:cs="宋体"/>
          <w:sz w:val="24"/>
        </w:rPr>
        <w:t>（3）投诉书范本格式在中国政府采购网站（www.ccgp.gov.cn）自行下载。</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45.2依据《中华人民共和国政府采购法》及其实施条例、《中华人民共和国招标投标法》及其实施条例、《政府采购供应商投诉处理办法》等法律法规的规定，供应商质疑、投诉应当有明确的请求和必要的证明材料。</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投诉人有下列行为之一的，属于虚假、恶意投诉，由财政部门列入不良行为记录名单，禁止其1至3年内参加政府采购活动：</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（一）捏造事实；</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（二）提供虚假材料；</w:t>
      </w:r>
    </w:p>
    <w:p>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pPr>
        <w:pStyle w:val="5"/>
        <w:spacing w:before="0" w:after="0" w:line="360" w:lineRule="auto"/>
        <w:rPr>
          <w:rFonts w:ascii="宋体" w:hAnsi="宋体" w:cs="宋体"/>
        </w:rPr>
      </w:pPr>
      <w:r>
        <w:rPr>
          <w:rFonts w:hint="eastAsia" w:ascii="宋体" w:hAnsi="宋体" w:cs="宋体"/>
        </w:rPr>
        <w:t>46.其他</w:t>
      </w:r>
    </w:p>
    <w:p>
      <w:pPr>
        <w:spacing w:line="360" w:lineRule="auto"/>
        <w:ind w:firstLine="480" w:firstLineChars="200"/>
        <w:jc w:val="left"/>
        <w:rPr>
          <w:rFonts w:ascii="宋体" w:hAnsi="宋体" w:cs="宋体"/>
          <w:sz w:val="24"/>
        </w:rPr>
      </w:pPr>
      <w:r>
        <w:rPr>
          <w:rFonts w:hint="eastAsia" w:ascii="宋体" w:hAnsi="宋体" w:cs="宋体"/>
          <w:sz w:val="24"/>
        </w:rPr>
        <w:t>46.1对捏造事实、提供虚假材料进行质疑、投诉的行为予以严肃处理：</w:t>
      </w:r>
    </w:p>
    <w:p>
      <w:pPr>
        <w:spacing w:line="360" w:lineRule="auto"/>
        <w:ind w:firstLine="480" w:firstLineChars="200"/>
        <w:jc w:val="left"/>
        <w:rPr>
          <w:rFonts w:ascii="宋体" w:hAnsi="宋体" w:cs="宋体"/>
          <w:sz w:val="24"/>
        </w:rPr>
      </w:pPr>
      <w:r>
        <w:rPr>
          <w:rFonts w:hint="eastAsia" w:ascii="宋体" w:hAnsi="宋体" w:cs="宋体"/>
          <w:sz w:val="24"/>
        </w:rPr>
        <w:t>依据《政府采购质疑和投诉办法》（财政部94号令）有关规定，投诉供应商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80" w:firstLineChars="200"/>
        <w:jc w:val="left"/>
        <w:rPr>
          <w:rFonts w:ascii="宋体" w:hAnsi="宋体" w:cs="宋体"/>
          <w:sz w:val="24"/>
        </w:rPr>
      </w:pPr>
      <w:r>
        <w:rPr>
          <w:rFonts w:hint="eastAsia" w:ascii="宋体" w:hAnsi="宋体" w:cs="宋体"/>
          <w:sz w:val="24"/>
        </w:rPr>
        <w:t>46.2对捏造事实诬告陷害他人、诽谤他人的法律适用：</w:t>
      </w:r>
    </w:p>
    <w:p>
      <w:pPr>
        <w:spacing w:line="360" w:lineRule="auto"/>
        <w:ind w:firstLine="480" w:firstLineChars="200"/>
        <w:jc w:val="left"/>
        <w:rPr>
          <w:rFonts w:ascii="宋体" w:hAnsi="宋体" w:cs="宋体"/>
          <w:sz w:val="24"/>
        </w:rPr>
      </w:pPr>
      <w:r>
        <w:rPr>
          <w:rFonts w:hint="eastAsia" w:ascii="宋体" w:hAnsi="宋体" w:cs="宋体"/>
          <w:sz w:val="24"/>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jc w:val="left"/>
        <w:rPr>
          <w:rFonts w:ascii="宋体" w:hAnsi="宋体" w:cs="宋体"/>
          <w:sz w:val="24"/>
        </w:rPr>
      </w:pPr>
      <w:r>
        <w:rPr>
          <w:rFonts w:hint="eastAsia" w:ascii="宋体" w:hAnsi="宋体" w:cs="宋体"/>
          <w:sz w:val="24"/>
        </w:rPr>
        <w:t>《中华人民共和国刑法》第246条【侮辱罪、诽谤罪】以暴力或者其他方法公然侮辱他人或者捏造事实诽谤他人，情节严重的，处三年以下有期徒刑、拘役、管制或者剥夺政治权利。</w:t>
      </w:r>
    </w:p>
    <w:p>
      <w:pPr>
        <w:pStyle w:val="3"/>
        <w:spacing w:line="240" w:lineRule="auto"/>
        <w:jc w:val="center"/>
        <w:rPr>
          <w:rFonts w:ascii="宋体" w:hAnsi="宋体" w:cs="宋体"/>
          <w:b w:val="0"/>
          <w:sz w:val="44"/>
          <w:szCs w:val="44"/>
        </w:rPr>
      </w:pPr>
      <w:r>
        <w:rPr>
          <w:rFonts w:hint="eastAsia" w:ascii="宋体" w:hAnsi="宋体" w:cs="宋体"/>
          <w:sz w:val="44"/>
          <w:szCs w:val="44"/>
        </w:rPr>
        <w:br w:type="page"/>
      </w:r>
      <w:bookmarkStart w:id="124" w:name="_Toc22398"/>
      <w:r>
        <w:rPr>
          <w:rFonts w:hint="eastAsia" w:ascii="宋体" w:hAnsi="宋体" w:cs="宋体"/>
          <w:sz w:val="44"/>
          <w:szCs w:val="44"/>
        </w:rPr>
        <w:t>第四章</w:t>
      </w:r>
      <w:bookmarkStart w:id="125" w:name="_Toc217446093"/>
      <w:r>
        <w:rPr>
          <w:rFonts w:hint="eastAsia" w:ascii="宋体" w:hAnsi="宋体" w:cs="宋体"/>
          <w:sz w:val="44"/>
          <w:szCs w:val="44"/>
        </w:rPr>
        <w:t xml:space="preserve"> 评审程序和评审方法</w:t>
      </w:r>
      <w:bookmarkEnd w:id="124"/>
    </w:p>
    <w:p>
      <w:pPr>
        <w:spacing w:line="360" w:lineRule="auto"/>
        <w:ind w:firstLine="480" w:firstLineChars="200"/>
        <w:rPr>
          <w:rFonts w:ascii="宋体" w:hAnsi="宋体" w:cs="宋体"/>
          <w:sz w:val="24"/>
        </w:rPr>
      </w:pPr>
      <w:r>
        <w:rPr>
          <w:rFonts w:hint="eastAsia" w:ascii="宋体" w:hAnsi="宋体" w:cs="宋体"/>
          <w:sz w:val="24"/>
        </w:rPr>
        <w:t>根据《中华人民共和国政府采购法》及实施条例和</w:t>
      </w:r>
      <w:r>
        <w:rPr>
          <w:rFonts w:hint="eastAsia" w:ascii="宋体" w:hAnsi="宋体" w:cs="宋体"/>
          <w:bCs/>
          <w:sz w:val="24"/>
        </w:rPr>
        <w:t>《</w:t>
      </w:r>
      <w:r>
        <w:rPr>
          <w:rFonts w:hint="eastAsia" w:ascii="宋体" w:hAnsi="宋体" w:cs="宋体"/>
          <w:sz w:val="24"/>
          <w:lang w:val="zh-CN"/>
        </w:rPr>
        <w:t>政府采购非招标采购方式管理办法</w:t>
      </w:r>
      <w:r>
        <w:rPr>
          <w:rFonts w:hint="eastAsia" w:ascii="宋体" w:hAnsi="宋体" w:cs="宋体"/>
          <w:bCs/>
          <w:sz w:val="24"/>
        </w:rPr>
        <w:t>》</w:t>
      </w:r>
      <w:r>
        <w:rPr>
          <w:rFonts w:hint="eastAsia" w:ascii="宋体" w:hAnsi="宋体" w:cs="宋体"/>
          <w:sz w:val="24"/>
        </w:rPr>
        <w:t>等法律法规规定，结合采购项目特点制定本评审办法。</w:t>
      </w:r>
    </w:p>
    <w:p>
      <w:pPr>
        <w:pStyle w:val="4"/>
        <w:spacing w:before="120" w:beforeLines="50" w:after="120" w:afterLines="50" w:line="360" w:lineRule="auto"/>
        <w:rPr>
          <w:rFonts w:ascii="宋体" w:hAnsi="宋体" w:eastAsia="宋体" w:cs="宋体"/>
          <w:bCs/>
        </w:rPr>
      </w:pPr>
      <w:bookmarkStart w:id="126" w:name="_Toc5905"/>
      <w:r>
        <w:rPr>
          <w:rFonts w:hint="eastAsia" w:ascii="宋体" w:hAnsi="宋体" w:eastAsia="宋体" w:cs="宋体"/>
          <w:bCs/>
        </w:rPr>
        <w:t>一、谈判步骤与评审方法</w:t>
      </w:r>
      <w:bookmarkEnd w:id="126"/>
    </w:p>
    <w:p>
      <w:pPr>
        <w:pStyle w:val="5"/>
        <w:spacing w:before="120" w:beforeLines="50" w:after="120" w:afterLines="50" w:line="360" w:lineRule="auto"/>
        <w:rPr>
          <w:rFonts w:ascii="宋体" w:hAnsi="宋体" w:cs="宋体"/>
        </w:rPr>
      </w:pPr>
      <w:r>
        <w:rPr>
          <w:rFonts w:hint="eastAsia" w:ascii="宋体" w:hAnsi="宋体" w:cs="宋体"/>
        </w:rPr>
        <w:t>1.本采购项目评审工作应当按照下列工作程序进行：</w:t>
      </w:r>
    </w:p>
    <w:p>
      <w:pPr>
        <w:spacing w:line="360" w:lineRule="auto"/>
        <w:ind w:firstLine="495"/>
        <w:rPr>
          <w:rFonts w:ascii="宋体" w:hAnsi="宋体" w:cs="宋体"/>
          <w:sz w:val="24"/>
          <w:highlight w:val="none"/>
        </w:rPr>
      </w:pPr>
      <w:r>
        <w:rPr>
          <w:rFonts w:hint="eastAsia" w:ascii="宋体" w:hAnsi="宋体" w:cs="宋体"/>
          <w:sz w:val="24"/>
          <w:highlight w:val="none"/>
        </w:rPr>
        <w:t>（1）谈判小组确认谈判文件。</w:t>
      </w:r>
    </w:p>
    <w:p>
      <w:pPr>
        <w:spacing w:line="360" w:lineRule="auto"/>
        <w:ind w:firstLine="495"/>
        <w:rPr>
          <w:rFonts w:ascii="宋体" w:hAnsi="宋体" w:cs="宋体"/>
          <w:sz w:val="24"/>
          <w:highlight w:val="none"/>
        </w:rPr>
      </w:pPr>
      <w:r>
        <w:rPr>
          <w:rFonts w:hint="eastAsia" w:ascii="宋体" w:hAnsi="宋体" w:cs="宋体"/>
          <w:sz w:val="24"/>
          <w:highlight w:val="none"/>
        </w:rPr>
        <w:t>（2）资格性审查：谈判文件经确认后，采购人对响应文件正本中的供应商资格证明文件进行审查</w:t>
      </w:r>
    </w:p>
    <w:p>
      <w:pPr>
        <w:spacing w:line="360" w:lineRule="auto"/>
        <w:ind w:firstLine="495"/>
        <w:rPr>
          <w:rFonts w:ascii="宋体" w:hAnsi="宋体" w:cs="宋体"/>
          <w:sz w:val="24"/>
        </w:rPr>
      </w:pPr>
      <w:r>
        <w:rPr>
          <w:rFonts w:hint="eastAsia" w:ascii="宋体" w:hAnsi="宋体" w:cs="宋体"/>
          <w:sz w:val="24"/>
        </w:rPr>
        <w:t>（3）谈判响应文件符合性审查；</w:t>
      </w:r>
    </w:p>
    <w:p>
      <w:pPr>
        <w:spacing w:line="360" w:lineRule="auto"/>
        <w:ind w:firstLine="495"/>
        <w:rPr>
          <w:rFonts w:ascii="宋体" w:hAnsi="宋体" w:cs="宋体"/>
          <w:sz w:val="24"/>
        </w:rPr>
      </w:pPr>
      <w:r>
        <w:rPr>
          <w:rFonts w:hint="eastAsia" w:ascii="宋体" w:hAnsi="宋体" w:cs="宋体"/>
          <w:sz w:val="24"/>
        </w:rPr>
        <w:t>（4）谈判；</w:t>
      </w:r>
    </w:p>
    <w:p>
      <w:pPr>
        <w:spacing w:line="360" w:lineRule="auto"/>
        <w:ind w:firstLine="495"/>
        <w:rPr>
          <w:rFonts w:ascii="宋体" w:hAnsi="宋体" w:cs="宋体"/>
          <w:sz w:val="24"/>
        </w:rPr>
      </w:pPr>
      <w:r>
        <w:rPr>
          <w:rFonts w:hint="eastAsia" w:ascii="宋体" w:hAnsi="宋体" w:cs="宋体"/>
          <w:sz w:val="24"/>
        </w:rPr>
        <w:t>（5）最后报价；</w:t>
      </w:r>
    </w:p>
    <w:p>
      <w:pPr>
        <w:spacing w:line="360" w:lineRule="auto"/>
        <w:ind w:firstLine="495"/>
        <w:rPr>
          <w:rFonts w:ascii="宋体" w:hAnsi="宋体" w:cs="宋体"/>
          <w:sz w:val="24"/>
        </w:rPr>
      </w:pPr>
      <w:r>
        <w:rPr>
          <w:rFonts w:hint="eastAsia" w:ascii="宋体" w:hAnsi="宋体" w:cs="宋体"/>
          <w:sz w:val="24"/>
        </w:rPr>
        <w:t>（6）确定成交候选供应商名单；</w:t>
      </w:r>
    </w:p>
    <w:p>
      <w:pPr>
        <w:spacing w:line="360" w:lineRule="auto"/>
        <w:ind w:firstLine="495"/>
        <w:rPr>
          <w:rFonts w:ascii="宋体" w:hAnsi="宋体" w:cs="宋体"/>
          <w:sz w:val="24"/>
        </w:rPr>
      </w:pPr>
      <w:r>
        <w:rPr>
          <w:rFonts w:hint="eastAsia" w:ascii="宋体" w:hAnsi="宋体" w:cs="宋体"/>
          <w:sz w:val="24"/>
        </w:rPr>
        <w:t>（7）编写评审报告。</w:t>
      </w:r>
    </w:p>
    <w:p>
      <w:pPr>
        <w:pStyle w:val="5"/>
        <w:spacing w:before="120" w:beforeLines="50" w:after="120" w:afterLines="50" w:line="360" w:lineRule="auto"/>
        <w:rPr>
          <w:rFonts w:ascii="宋体" w:hAnsi="宋体" w:cs="宋体"/>
        </w:rPr>
      </w:pPr>
      <w:r>
        <w:rPr>
          <w:rFonts w:hint="eastAsia" w:ascii="宋体" w:hAnsi="宋体" w:cs="宋体"/>
        </w:rPr>
        <w:t>2.谈判响应文件符合性审查</w:t>
      </w:r>
    </w:p>
    <w:p>
      <w:pPr>
        <w:spacing w:line="360" w:lineRule="auto"/>
        <w:ind w:firstLine="470" w:firstLineChars="196"/>
      </w:pPr>
      <w:r>
        <w:rPr>
          <w:rFonts w:hint="eastAsia" w:ascii="宋体" w:hAnsi="宋体" w:cs="宋体"/>
          <w:sz w:val="24"/>
        </w:rPr>
        <w:t>供应商资格性审查通过后，谈判小组依据谈判文件的规定，对供应商的谈判响应文件进行符合性审查。谈判小组从响应文件的有效性、完整性和对谈判文件的响应程度进行审查，以确定其是否对谈判文件实质性内容作出响应，具体审查内容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439"/>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sz w:val="24"/>
              </w:rPr>
            </w:pPr>
            <w:r>
              <w:rPr>
                <w:rFonts w:hint="eastAsia" w:ascii="宋体" w:hAnsi="宋体" w:cs="宋体"/>
                <w:b/>
                <w:bCs/>
                <w:sz w:val="24"/>
              </w:rPr>
              <w:t>序号</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sz w:val="24"/>
              </w:rPr>
            </w:pPr>
            <w:r>
              <w:rPr>
                <w:rFonts w:hint="eastAsia" w:ascii="宋体" w:hAnsi="宋体" w:cs="宋体"/>
                <w:b/>
                <w:bCs/>
                <w:sz w:val="24"/>
              </w:rPr>
              <w:t>符合性审查事项</w:t>
            </w:r>
          </w:p>
        </w:tc>
        <w:tc>
          <w:tcPr>
            <w:tcW w:w="5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sz w:val="24"/>
              </w:rPr>
            </w:pPr>
            <w:r>
              <w:rPr>
                <w:rFonts w:hint="eastAsia" w:ascii="宋体" w:hAnsi="宋体" w:cs="宋体"/>
                <w:b/>
                <w:bCs/>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8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1</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谈判响应文件项目名称</w:t>
            </w:r>
          </w:p>
        </w:tc>
        <w:tc>
          <w:tcPr>
            <w:tcW w:w="5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谈判响应文件以下三处的项目名称无遗漏，且与本项目完全一致：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（1）封面；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（2）谈判响应函；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（3）法定代表人授权书；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2</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谈判响应文件组成</w:t>
            </w:r>
          </w:p>
        </w:tc>
        <w:tc>
          <w:tcPr>
            <w:tcW w:w="5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包含谈判响应文件格式中给定的十大项内容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3</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谈判有效期</w:t>
            </w:r>
          </w:p>
        </w:tc>
        <w:tc>
          <w:tcPr>
            <w:tcW w:w="5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4</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谈判报价</w:t>
            </w:r>
          </w:p>
        </w:tc>
        <w:tc>
          <w:tcPr>
            <w:tcW w:w="5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同时满足以下条款：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（1）谈判报价符合唯一性要求；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（2）报价货币符合谈判文件要求；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rPr>
            </w:pPr>
            <w:r>
              <w:rPr>
                <w:rFonts w:hint="eastAsia" w:ascii="宋体" w:hAnsi="宋体" w:cs="宋体"/>
                <w:sz w:val="24"/>
              </w:rPr>
              <w:t>（3）未超出采购预算或谈判文件规定的最高限价；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5</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rPr>
            </w:pPr>
            <w:r>
              <w:rPr>
                <w:rFonts w:hint="eastAsia" w:ascii="宋体" w:hAnsi="宋体" w:eastAsia="宋体" w:cs="宋体"/>
                <w:sz w:val="24"/>
              </w:rPr>
              <w:t>实质性条款</w:t>
            </w:r>
          </w:p>
        </w:tc>
        <w:tc>
          <w:tcPr>
            <w:tcW w:w="5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rPr>
            </w:pPr>
            <w:r>
              <w:rPr>
                <w:rFonts w:hint="eastAsia" w:ascii="宋体" w:hAnsi="宋体" w:eastAsia="宋体" w:cs="宋体"/>
                <w:sz w:val="24"/>
              </w:rPr>
              <w:t>完全响应谈判文件要求的各项技术/服务/商务实质性条款。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6</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谈判响应文件签署、盖章</w:t>
            </w:r>
          </w:p>
        </w:tc>
        <w:tc>
          <w:tcPr>
            <w:tcW w:w="5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lang w:val="en-US" w:eastAsia="zh-CN"/>
              </w:rPr>
            </w:pPr>
            <w:r>
              <w:rPr>
                <w:rFonts w:hint="eastAsia" w:ascii="宋体" w:hAnsi="宋体" w:eastAsia="宋体" w:cs="宋体"/>
                <w:sz w:val="24"/>
                <w:highlight w:val="none"/>
              </w:rPr>
              <w:t>签署、盖章</w:t>
            </w:r>
            <w:r>
              <w:rPr>
                <w:rFonts w:hint="eastAsia" w:ascii="宋体" w:hAnsi="宋体" w:cs="宋体"/>
                <w:sz w:val="24"/>
                <w:highlight w:val="none"/>
                <w:lang w:val="en-US" w:eastAsia="zh-CN"/>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7</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rPr>
            </w:pPr>
            <w:r>
              <w:rPr>
                <w:rFonts w:hint="eastAsia" w:ascii="宋体" w:hAnsi="宋体" w:cs="宋体"/>
                <w:sz w:val="24"/>
              </w:rPr>
              <w:t>其他</w:t>
            </w:r>
          </w:p>
        </w:tc>
        <w:tc>
          <w:tcPr>
            <w:tcW w:w="50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 w:val="24"/>
                <w:lang w:val="zh-CN"/>
              </w:rPr>
            </w:pPr>
            <w:r>
              <w:rPr>
                <w:rFonts w:hint="eastAsia" w:ascii="宋体" w:hAnsi="宋体" w:cs="宋体"/>
                <w:sz w:val="24"/>
                <w:lang w:val="zh-CN"/>
              </w:rPr>
              <w:t>其他未达到</w:t>
            </w:r>
            <w:r>
              <w:rPr>
                <w:rFonts w:hint="eastAsia" w:ascii="宋体" w:hAnsi="宋体" w:cs="宋体"/>
                <w:sz w:val="24"/>
              </w:rPr>
              <w:t>谈判</w:t>
            </w:r>
            <w:r>
              <w:rPr>
                <w:rFonts w:hint="eastAsia" w:ascii="宋体" w:hAnsi="宋体" w:cs="宋体"/>
                <w:sz w:val="24"/>
                <w:lang w:val="zh-CN"/>
              </w:rPr>
              <w:t>文件要求的情况</w:t>
            </w:r>
          </w:p>
        </w:tc>
      </w:tr>
    </w:tbl>
    <w:p>
      <w:pPr>
        <w:spacing w:line="360" w:lineRule="auto"/>
        <w:ind w:firstLine="480" w:firstLineChars="200"/>
        <w:rPr>
          <w:rFonts w:ascii="宋体" w:hAnsi="宋体" w:cs="宋体"/>
          <w:sz w:val="24"/>
          <w:lang w:val="zh-CN"/>
        </w:rPr>
      </w:pPr>
    </w:p>
    <w:p>
      <w:pPr>
        <w:spacing w:line="360" w:lineRule="auto"/>
        <w:ind w:firstLine="480" w:firstLineChars="200"/>
        <w:rPr>
          <w:rFonts w:ascii="宋体" w:hAnsi="宋体" w:cs="宋体"/>
        </w:rPr>
      </w:pPr>
      <w:r>
        <w:rPr>
          <w:rFonts w:hint="eastAsia" w:ascii="宋体" w:hAnsi="宋体" w:cs="宋体"/>
          <w:sz w:val="24"/>
          <w:lang w:val="zh-CN"/>
        </w:rPr>
        <w:t>说明：符合性审查结束后，</w:t>
      </w:r>
      <w:r>
        <w:rPr>
          <w:rFonts w:hint="eastAsia" w:ascii="宋体" w:hAnsi="宋体" w:cs="宋体"/>
          <w:sz w:val="24"/>
        </w:rPr>
        <w:t>谈判小组</w:t>
      </w:r>
      <w:r>
        <w:rPr>
          <w:rFonts w:hint="eastAsia" w:ascii="宋体" w:hAnsi="宋体" w:cs="宋体"/>
          <w:sz w:val="24"/>
          <w:lang w:val="zh-CN"/>
        </w:rPr>
        <w:t>当对审查结果进行签字确认。若</w:t>
      </w:r>
      <w:r>
        <w:rPr>
          <w:rFonts w:hint="eastAsia" w:ascii="宋体" w:hAnsi="宋体" w:cs="宋体"/>
          <w:sz w:val="24"/>
        </w:rPr>
        <w:t>供应商</w:t>
      </w:r>
      <w:r>
        <w:rPr>
          <w:rFonts w:hint="eastAsia" w:ascii="宋体" w:hAnsi="宋体" w:cs="宋体"/>
          <w:sz w:val="24"/>
          <w:lang w:val="zh-CN"/>
        </w:rPr>
        <w:t>符合性审查未通过，注明未通过原因并告知</w:t>
      </w:r>
      <w:r>
        <w:rPr>
          <w:rFonts w:hint="eastAsia" w:ascii="宋体" w:hAnsi="宋体" w:cs="宋体"/>
          <w:sz w:val="24"/>
        </w:rPr>
        <w:t>供应商</w:t>
      </w:r>
      <w:r>
        <w:rPr>
          <w:rFonts w:hint="eastAsia" w:ascii="宋体" w:hAnsi="宋体" w:cs="宋体"/>
          <w:sz w:val="24"/>
          <w:lang w:val="zh-CN"/>
        </w:rPr>
        <w:t>，符合性审查不合格的</w:t>
      </w:r>
      <w:r>
        <w:rPr>
          <w:rFonts w:hint="eastAsia" w:ascii="宋体" w:hAnsi="宋体" w:cs="宋体"/>
          <w:sz w:val="24"/>
        </w:rPr>
        <w:t>供应商</w:t>
      </w:r>
      <w:r>
        <w:rPr>
          <w:rFonts w:hint="eastAsia" w:ascii="宋体" w:hAnsi="宋体" w:cs="宋体"/>
          <w:sz w:val="24"/>
          <w:lang w:val="zh-CN"/>
        </w:rPr>
        <w:t>，不得进入下一评</w:t>
      </w:r>
      <w:r>
        <w:rPr>
          <w:rFonts w:hint="eastAsia" w:ascii="宋体" w:hAnsi="宋体" w:cs="宋体"/>
          <w:sz w:val="24"/>
        </w:rPr>
        <w:t>审</w:t>
      </w:r>
      <w:r>
        <w:rPr>
          <w:rFonts w:hint="eastAsia" w:ascii="宋体" w:hAnsi="宋体" w:cs="宋体"/>
          <w:sz w:val="24"/>
          <w:lang w:val="zh-CN"/>
        </w:rPr>
        <w:t>环节</w:t>
      </w:r>
      <w:r>
        <w:rPr>
          <w:rFonts w:hint="eastAsia" w:ascii="宋体" w:hAnsi="宋体" w:cs="宋体"/>
          <w:sz w:val="24"/>
        </w:rPr>
        <w:t>。</w:t>
      </w:r>
    </w:p>
    <w:p>
      <w:pPr>
        <w:pStyle w:val="5"/>
        <w:spacing w:before="120" w:beforeLines="50" w:after="120" w:afterLines="50" w:line="360" w:lineRule="auto"/>
        <w:rPr>
          <w:rFonts w:ascii="宋体" w:hAnsi="宋体" w:cs="宋体"/>
        </w:rPr>
      </w:pPr>
      <w:r>
        <w:rPr>
          <w:rFonts w:hint="eastAsia" w:ascii="宋体" w:hAnsi="宋体" w:cs="宋体"/>
        </w:rPr>
        <w:t>3.谈判响应文件的澄清</w:t>
      </w:r>
    </w:p>
    <w:p>
      <w:pPr>
        <w:spacing w:line="360" w:lineRule="auto"/>
        <w:ind w:firstLine="480" w:firstLineChars="200"/>
        <w:rPr>
          <w:rFonts w:ascii="宋体" w:hAnsi="宋体" w:cs="宋体"/>
          <w:sz w:val="24"/>
        </w:rPr>
      </w:pPr>
      <w:r>
        <w:rPr>
          <w:rFonts w:hint="eastAsia" w:ascii="宋体" w:hAnsi="宋体" w:cs="宋体"/>
          <w:sz w:val="24"/>
        </w:rPr>
        <w:t>3.1为有助于谈判响应文件的审查、比较和评价，谈判小组可要求供应商对其谈判响应文件中非实质性（谈判响应文件中含义不明确、同类问题表述不一致或者有明显文字和计算错误的内容）的有关问题进行澄清、说明或者补正。有关澄清、说明或者补正的要求和答复应以书面（含电传、传真）形式提交，并由其法定代表人或授权代表签字。供应商的澄清、说明或者补正不得超出谈判响应文件的范围或者改变谈判响应文件的实质性内容。谈判小组不接受供应商主动提出的澄清、说明。</w:t>
      </w:r>
    </w:p>
    <w:p>
      <w:pPr>
        <w:spacing w:line="360" w:lineRule="auto"/>
        <w:ind w:firstLine="480" w:firstLineChars="200"/>
        <w:rPr>
          <w:rFonts w:ascii="宋体" w:hAnsi="宋体" w:cs="宋体"/>
          <w:sz w:val="24"/>
        </w:rPr>
      </w:pPr>
      <w:r>
        <w:rPr>
          <w:rFonts w:hint="eastAsia" w:ascii="宋体" w:hAnsi="宋体" w:cs="宋体"/>
          <w:sz w:val="24"/>
        </w:rPr>
        <w:t>3.2 谈判小组对供应商提交的澄清、说明或者补正有疑问的，可以要求供应商进一步澄清、说明或者补正，直至满足谈判小组的要求。</w:t>
      </w:r>
    </w:p>
    <w:p>
      <w:pPr>
        <w:spacing w:line="360" w:lineRule="auto"/>
        <w:ind w:firstLine="480" w:firstLineChars="200"/>
        <w:rPr>
          <w:rFonts w:ascii="宋体" w:hAnsi="宋体" w:cs="宋体"/>
          <w:sz w:val="24"/>
        </w:rPr>
      </w:pPr>
      <w:r>
        <w:rPr>
          <w:rFonts w:hint="eastAsia" w:ascii="宋体" w:hAnsi="宋体" w:cs="宋体"/>
          <w:sz w:val="24"/>
        </w:rPr>
        <w:t>3.3 有效的书面澄清、说明或补正材料，是谈判响应文件的补充材料，成为谈判响应文件的组成部分。</w:t>
      </w:r>
    </w:p>
    <w:p>
      <w:pPr>
        <w:pStyle w:val="5"/>
        <w:spacing w:before="120" w:beforeLines="50" w:after="120" w:afterLines="50" w:line="360" w:lineRule="auto"/>
        <w:rPr>
          <w:rFonts w:ascii="宋体" w:hAnsi="宋体" w:cs="宋体"/>
        </w:rPr>
      </w:pPr>
      <w:r>
        <w:rPr>
          <w:rFonts w:hint="eastAsia" w:ascii="宋体" w:hAnsi="宋体" w:cs="宋体"/>
        </w:rPr>
        <w:t>4.谈判</w:t>
      </w:r>
    </w:p>
    <w:p>
      <w:pPr>
        <w:spacing w:line="360" w:lineRule="auto"/>
        <w:ind w:firstLine="470" w:firstLineChars="196"/>
        <w:rPr>
          <w:rFonts w:ascii="宋体" w:hAnsi="宋体" w:cs="宋体"/>
          <w:sz w:val="24"/>
        </w:rPr>
      </w:pPr>
      <w:r>
        <w:rPr>
          <w:rFonts w:hint="eastAsia" w:ascii="宋体" w:hAnsi="宋体" w:cs="宋体"/>
          <w:sz w:val="24"/>
        </w:rPr>
        <w:t>4.1谈判小组所有成员按照响应文件递交签到顺序集中与单一供应商分别进行谈判，并给予所有参加谈判的供应商平等的谈判机会。在谈判中，谈判的任何一方不得透露与谈判有关的其他供应商的技术资料、价格和其他信息。</w:t>
      </w:r>
    </w:p>
    <w:p>
      <w:pPr>
        <w:spacing w:line="360" w:lineRule="auto"/>
        <w:ind w:firstLine="470" w:firstLineChars="196"/>
        <w:rPr>
          <w:rFonts w:ascii="宋体" w:hAnsi="宋体" w:cs="宋体"/>
          <w:sz w:val="24"/>
        </w:rPr>
      </w:pPr>
      <w:r>
        <w:rPr>
          <w:rFonts w:hint="eastAsia" w:ascii="宋体" w:hAnsi="宋体" w:cs="宋体"/>
          <w:sz w:val="24"/>
        </w:rPr>
        <w:t>4.2在谈判过程中，谈判小组可以根据谈判文件和谈判情况实质性变动采购需求中的技术、服务要求以及合同草案条款，但不得变动谈判文件中的其他内容。若有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
        <w:numPr>
          <w:ilvl w:val="0"/>
          <w:numId w:val="8"/>
        </w:numPr>
        <w:spacing w:before="120" w:beforeLines="50" w:after="120" w:afterLines="50" w:line="360" w:lineRule="auto"/>
        <w:rPr>
          <w:rFonts w:ascii="宋体" w:hAnsi="宋体" w:cs="宋体"/>
        </w:rPr>
      </w:pPr>
      <w:r>
        <w:rPr>
          <w:rFonts w:hint="eastAsia" w:ascii="宋体" w:hAnsi="宋体" w:cs="宋体"/>
        </w:rPr>
        <w:t>最后报价</w:t>
      </w:r>
    </w:p>
    <w:p>
      <w:pPr>
        <w:spacing w:line="360" w:lineRule="auto"/>
        <w:ind w:firstLine="470" w:firstLineChars="196"/>
        <w:rPr>
          <w:rFonts w:ascii="宋体" w:hAnsi="宋体" w:cs="宋体"/>
          <w:sz w:val="24"/>
        </w:rPr>
      </w:pPr>
      <w:r>
        <w:rPr>
          <w:rFonts w:hint="eastAsia" w:ascii="宋体" w:hAnsi="宋体" w:cs="宋体"/>
          <w:sz w:val="24"/>
        </w:rPr>
        <w:t>资格性审查和符合性审查通过的供应商进入最后报价阶段。</w:t>
      </w:r>
    </w:p>
    <w:p>
      <w:pPr>
        <w:spacing w:line="360" w:lineRule="auto"/>
        <w:ind w:firstLine="470" w:firstLineChars="196"/>
        <w:rPr>
          <w:rFonts w:ascii="宋体" w:hAnsi="宋体" w:cs="宋体"/>
          <w:sz w:val="24"/>
        </w:rPr>
      </w:pPr>
      <w:r>
        <w:rPr>
          <w:rFonts w:hint="eastAsia" w:ascii="宋体" w:hAnsi="宋体" w:cs="宋体"/>
          <w:sz w:val="24"/>
        </w:rPr>
        <w:t xml:space="preserve"> 5.1谈判结束后，谈判小组应当要求所有实质性响应的供应商在规定时间内提交最后报价，提交最后报价的供应商不得少于3家。</w:t>
      </w:r>
    </w:p>
    <w:p>
      <w:pPr>
        <w:spacing w:line="360" w:lineRule="auto"/>
        <w:ind w:firstLine="470" w:firstLineChars="196"/>
        <w:rPr>
          <w:rFonts w:ascii="宋体" w:hAnsi="宋体" w:cs="宋体"/>
          <w:sz w:val="24"/>
        </w:rPr>
      </w:pPr>
      <w:r>
        <w:rPr>
          <w:rFonts w:hint="eastAsia" w:ascii="宋体" w:hAnsi="宋体" w:cs="宋体"/>
          <w:sz w:val="24"/>
        </w:rPr>
        <w:t>5.2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360" w:lineRule="auto"/>
        <w:ind w:firstLine="470" w:firstLineChars="196"/>
        <w:rPr>
          <w:rFonts w:ascii="宋体" w:hAnsi="宋体" w:cs="宋体"/>
          <w:sz w:val="24"/>
        </w:rPr>
      </w:pPr>
      <w:r>
        <w:rPr>
          <w:rFonts w:hint="eastAsia" w:ascii="宋体" w:hAnsi="宋体" w:cs="宋体"/>
          <w:sz w:val="24"/>
        </w:rPr>
        <w:t>5.3最后报价是供应商响应文件的有效组成部分。</w:t>
      </w:r>
    </w:p>
    <w:p>
      <w:pPr>
        <w:spacing w:line="360" w:lineRule="auto"/>
        <w:ind w:firstLine="470" w:firstLineChars="196"/>
        <w:rPr>
          <w:rFonts w:ascii="宋体" w:hAnsi="宋体" w:cs="宋体"/>
          <w:sz w:val="24"/>
        </w:rPr>
      </w:pPr>
      <w:r>
        <w:rPr>
          <w:rFonts w:hint="eastAsia" w:ascii="宋体" w:hAnsi="宋体" w:cs="宋体"/>
          <w:sz w:val="24"/>
        </w:rPr>
        <w:t>5.4已提交响应文件的供应商，在提交最后报价之前，可以根据谈判情况退出谈判。</w:t>
      </w:r>
    </w:p>
    <w:p>
      <w:pPr>
        <w:pStyle w:val="5"/>
        <w:spacing w:before="120" w:beforeLines="50" w:after="120" w:afterLines="50" w:line="360" w:lineRule="auto"/>
        <w:rPr>
          <w:rFonts w:ascii="宋体" w:hAnsi="宋体" w:cs="宋体"/>
        </w:rPr>
      </w:pPr>
      <w:r>
        <w:rPr>
          <w:rFonts w:hint="eastAsia" w:ascii="宋体" w:hAnsi="宋体" w:cs="宋体"/>
        </w:rPr>
        <w:t>6.推荐成交候选供应商</w:t>
      </w:r>
    </w:p>
    <w:p>
      <w:pPr>
        <w:spacing w:line="360" w:lineRule="auto"/>
        <w:ind w:firstLine="470" w:firstLineChars="196"/>
        <w:rPr>
          <w:rFonts w:ascii="宋体" w:hAnsi="宋体" w:cs="宋体"/>
          <w:sz w:val="24"/>
        </w:rPr>
      </w:pPr>
      <w:r>
        <w:rPr>
          <w:rFonts w:hint="eastAsia" w:ascii="宋体" w:hAnsi="宋体" w:cs="宋体"/>
          <w:sz w:val="24"/>
        </w:rPr>
        <w:t>6.1谈判小组应当从质量和服务均能满足采购文件实质性响应要求的供应商中，按照政府采购政策对各供应商最后报价做相应的价格扣除，按扣除后的价格由低到高的顺序提出3名以上成交候选人（合格供应商家数不足时以实际合格数量为准）。</w:t>
      </w:r>
    </w:p>
    <w:p>
      <w:pPr>
        <w:spacing w:line="360" w:lineRule="auto"/>
        <w:ind w:firstLine="470" w:firstLineChars="196"/>
        <w:rPr>
          <w:rFonts w:ascii="宋体" w:hAnsi="宋体" w:cs="宋体"/>
          <w:sz w:val="24"/>
        </w:rPr>
      </w:pPr>
      <w:r>
        <w:rPr>
          <w:rFonts w:hint="eastAsia" w:ascii="宋体" w:hAnsi="宋体" w:cs="宋体"/>
          <w:sz w:val="24"/>
        </w:rPr>
        <w:t>6.2价格扣除比例：根据《政府采购促进中小企业发展管理办法》（财库〔2020〕46号）、《关于进一步加大政府采购支持中小企业力度的通知》财库〔2022〕19号的有关规定，供应商提供小微企业制造的货物或者承接的服务</w:t>
      </w:r>
      <w:r>
        <w:rPr>
          <w:rFonts w:hint="eastAsia" w:ascii="宋体" w:hAnsi="宋体" w:cs="宋体"/>
          <w:sz w:val="24"/>
          <w:highlight w:val="none"/>
        </w:rPr>
        <w:t>（不包括使用大型、中型企业商号或者注册商标的货物）参与政府采购活动时对小型和微型企业产品的报价给予10%的扣除，用扣除后的价格参加评审。供应商提供的产品并非完全由小微企业制造的，不享受中小</w:t>
      </w:r>
      <w:r>
        <w:rPr>
          <w:rFonts w:hint="eastAsia" w:ascii="宋体" w:hAnsi="宋体" w:cs="宋体"/>
          <w:sz w:val="24"/>
        </w:rPr>
        <w:t>企业扶持政策。</w:t>
      </w:r>
    </w:p>
    <w:p>
      <w:pPr>
        <w:spacing w:line="360" w:lineRule="auto"/>
        <w:ind w:firstLine="470" w:firstLineChars="196"/>
        <w:rPr>
          <w:rFonts w:ascii="宋体" w:hAnsi="宋体" w:cs="宋体"/>
          <w:sz w:val="24"/>
        </w:rPr>
      </w:pPr>
      <w:r>
        <w:rPr>
          <w:rFonts w:hint="eastAsia" w:ascii="宋体" w:hAnsi="宋体" w:cs="宋体"/>
          <w:sz w:val="24"/>
        </w:rPr>
        <w:t>6.3评审价格相同时，可能进行多轮报价。</w:t>
      </w:r>
    </w:p>
    <w:p>
      <w:pPr>
        <w:pStyle w:val="5"/>
        <w:spacing w:before="120" w:beforeLines="50" w:after="120" w:afterLines="50" w:line="360" w:lineRule="auto"/>
        <w:rPr>
          <w:rFonts w:ascii="宋体" w:hAnsi="宋体" w:cs="宋体"/>
        </w:rPr>
      </w:pPr>
      <w:r>
        <w:rPr>
          <w:rFonts w:hint="eastAsia" w:ascii="宋体" w:hAnsi="宋体" w:cs="宋体"/>
        </w:rPr>
        <w:t>7.复核与核对评审结果</w:t>
      </w:r>
    </w:p>
    <w:p>
      <w:pPr>
        <w:spacing w:line="360" w:lineRule="auto"/>
        <w:ind w:firstLine="470" w:firstLineChars="196"/>
        <w:rPr>
          <w:rFonts w:ascii="宋体" w:hAnsi="宋体" w:cs="宋体"/>
          <w:sz w:val="24"/>
        </w:rPr>
      </w:pPr>
      <w:r>
        <w:rPr>
          <w:rFonts w:hint="eastAsia" w:ascii="宋体" w:hAnsi="宋体" w:cs="宋体"/>
          <w:sz w:val="24"/>
        </w:rPr>
        <w:t>7.1 谈判小组应当特别要对拟推荐成交候选供应商的、报价最低的、谈判响应文件被认定无效的进行重点复核。</w:t>
      </w:r>
    </w:p>
    <w:p>
      <w:pPr>
        <w:spacing w:line="360" w:lineRule="auto"/>
        <w:ind w:firstLine="470" w:firstLineChars="196"/>
        <w:rPr>
          <w:rFonts w:ascii="宋体" w:hAnsi="宋体" w:cs="宋体"/>
          <w:sz w:val="24"/>
        </w:rPr>
      </w:pPr>
      <w:r>
        <w:rPr>
          <w:rFonts w:hint="eastAsia" w:ascii="宋体" w:hAnsi="宋体" w:cs="宋体"/>
          <w:sz w:val="24"/>
        </w:rPr>
        <w:t>7.2 谈判小组应当从质量和服务均能满足采购文件实质性响应要求的供应商中，按照最后报价由低到高的顺序提出3名以上成交候选人，并编写评审报告。</w:t>
      </w:r>
    </w:p>
    <w:p>
      <w:pPr>
        <w:spacing w:line="360" w:lineRule="auto"/>
        <w:ind w:firstLine="470" w:firstLineChars="196"/>
        <w:rPr>
          <w:rFonts w:ascii="宋体" w:hAnsi="宋体" w:cs="宋体"/>
          <w:sz w:val="24"/>
        </w:rPr>
      </w:pPr>
      <w:r>
        <w:rPr>
          <w:rFonts w:hint="eastAsia" w:ascii="宋体" w:hAnsi="宋体" w:cs="宋体"/>
          <w:sz w:val="24"/>
        </w:rPr>
        <w:t>经复核发现存在以上情形之一的，谈判小组应当当场修改评审结果，并在评审报告中记载。</w:t>
      </w: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8.确定成交候选供应商名单</w:t>
      </w:r>
    </w:p>
    <w:p>
      <w:pPr>
        <w:spacing w:line="360" w:lineRule="auto"/>
        <w:ind w:firstLine="470" w:firstLineChars="196"/>
        <w:rPr>
          <w:rFonts w:ascii="宋体" w:hAnsi="宋体" w:cs="宋体"/>
          <w:sz w:val="24"/>
        </w:rPr>
      </w:pPr>
      <w:r>
        <w:rPr>
          <w:rFonts w:hint="eastAsia" w:ascii="宋体" w:hAnsi="宋体" w:cs="宋体"/>
          <w:sz w:val="24"/>
        </w:rPr>
        <w:t>定标及定标程序详见第三章第35、36条。</w:t>
      </w:r>
    </w:p>
    <w:p>
      <w:pPr>
        <w:pStyle w:val="5"/>
        <w:adjustRightInd w:val="0"/>
        <w:snapToGrid w:val="0"/>
        <w:spacing w:before="120" w:beforeLines="50" w:after="120" w:afterLines="50" w:line="360" w:lineRule="auto"/>
        <w:rPr>
          <w:rFonts w:ascii="宋体" w:hAnsi="宋体" w:cs="宋体"/>
        </w:rPr>
      </w:pPr>
      <w:r>
        <w:rPr>
          <w:rFonts w:hint="eastAsia" w:ascii="宋体" w:hAnsi="宋体" w:cs="宋体"/>
        </w:rPr>
        <w:t>9.编写评审报告</w:t>
      </w:r>
    </w:p>
    <w:p>
      <w:pPr>
        <w:spacing w:line="360" w:lineRule="auto"/>
        <w:ind w:firstLine="470" w:firstLineChars="196"/>
        <w:rPr>
          <w:rFonts w:ascii="宋体" w:hAnsi="宋体" w:cs="宋体"/>
          <w:sz w:val="24"/>
          <w:highlight w:val="none"/>
        </w:rPr>
      </w:pPr>
      <w:r>
        <w:rPr>
          <w:rFonts w:hint="eastAsia" w:ascii="宋体" w:hAnsi="宋体" w:cs="宋体"/>
          <w:sz w:val="24"/>
        </w:rPr>
        <w:t>9.1谈判小组在确定成交候选供应商名单后，应当编写评审报告并向采购人出具。评审报告应当</w:t>
      </w:r>
      <w:r>
        <w:rPr>
          <w:rFonts w:hint="eastAsia" w:ascii="宋体" w:hAnsi="宋体" w:cs="宋体"/>
          <w:sz w:val="24"/>
          <w:highlight w:val="none"/>
        </w:rPr>
        <w:t>包括以下内容：</w:t>
      </w:r>
    </w:p>
    <w:p>
      <w:pPr>
        <w:spacing w:line="360" w:lineRule="auto"/>
        <w:ind w:firstLine="470" w:firstLineChars="196"/>
        <w:rPr>
          <w:rFonts w:ascii="宋体" w:hAnsi="宋体" w:cs="宋体"/>
          <w:sz w:val="24"/>
          <w:highlight w:val="none"/>
        </w:rPr>
      </w:pPr>
      <w:r>
        <w:rPr>
          <w:rFonts w:hint="eastAsia" w:ascii="宋体" w:hAnsi="宋体" w:cs="宋体"/>
          <w:sz w:val="24"/>
          <w:highlight w:val="none"/>
        </w:rPr>
        <w:t>①邀请供应商参加采购活动的具体方式和相关情况，以及参加采购活动的供应商名单；</w:t>
      </w:r>
    </w:p>
    <w:p>
      <w:pPr>
        <w:spacing w:line="360" w:lineRule="auto"/>
        <w:ind w:firstLine="470" w:firstLineChars="196"/>
        <w:rPr>
          <w:rFonts w:ascii="宋体" w:hAnsi="宋体" w:cs="宋体"/>
          <w:sz w:val="24"/>
          <w:highlight w:val="none"/>
        </w:rPr>
      </w:pPr>
      <w:r>
        <w:rPr>
          <w:rFonts w:hint="eastAsia" w:ascii="宋体" w:hAnsi="宋体" w:cs="宋体"/>
          <w:sz w:val="24"/>
          <w:highlight w:val="none"/>
        </w:rPr>
        <w:t>②评审日期和地点，谈判小组、询价小组成员名单；</w:t>
      </w:r>
    </w:p>
    <w:p>
      <w:pPr>
        <w:spacing w:line="360" w:lineRule="auto"/>
        <w:ind w:firstLine="470" w:firstLineChars="196"/>
        <w:rPr>
          <w:rFonts w:ascii="宋体" w:hAnsi="宋体" w:cs="宋体"/>
          <w:sz w:val="24"/>
          <w:highlight w:val="none"/>
        </w:rPr>
      </w:pPr>
      <w:r>
        <w:rPr>
          <w:rFonts w:hint="eastAsia" w:ascii="宋体" w:hAnsi="宋体" w:cs="宋体"/>
          <w:sz w:val="24"/>
          <w:highlight w:val="none"/>
        </w:rPr>
        <w:t>③评审情况记录和说明，包括对供应商的资格审查情况、供应商响应文件评审情况、谈判情况、报价情况等；</w:t>
      </w:r>
    </w:p>
    <w:p>
      <w:pPr>
        <w:spacing w:line="360" w:lineRule="auto"/>
        <w:ind w:firstLine="470" w:firstLineChars="196"/>
        <w:rPr>
          <w:rFonts w:ascii="宋体" w:hAnsi="宋体" w:cs="宋体"/>
          <w:sz w:val="24"/>
          <w:highlight w:val="none"/>
        </w:rPr>
      </w:pPr>
      <w:r>
        <w:rPr>
          <w:rFonts w:hint="eastAsia" w:ascii="宋体" w:hAnsi="宋体" w:cs="宋体"/>
          <w:sz w:val="24"/>
          <w:highlight w:val="none"/>
        </w:rPr>
        <w:t>④提出的成交候选人的名单及理由。</w:t>
      </w:r>
    </w:p>
    <w:p>
      <w:pPr>
        <w:spacing w:line="360" w:lineRule="auto"/>
        <w:ind w:firstLine="470" w:firstLineChars="196"/>
        <w:rPr>
          <w:rFonts w:ascii="宋体" w:hAnsi="宋体" w:cs="宋体"/>
          <w:sz w:val="24"/>
        </w:rPr>
      </w:pPr>
      <w:r>
        <w:rPr>
          <w:rFonts w:hint="eastAsia" w:ascii="宋体" w:hAnsi="宋体" w:cs="宋体"/>
          <w:sz w:val="24"/>
          <w:highlight w:val="none"/>
        </w:rPr>
        <w:t>9.2谈判小组成员应当对评审报告予以签字确认，对评审过程有不同意见的，应当在评审报告中写明并说明理由。签字但未写明不同意见或者未说明理由的，视同无意见。拒不签字又未另行书面说明其不同意见和</w:t>
      </w:r>
      <w:r>
        <w:rPr>
          <w:rFonts w:hint="eastAsia" w:ascii="宋体" w:hAnsi="宋体" w:cs="宋体"/>
          <w:sz w:val="24"/>
        </w:rPr>
        <w:t>理由的，视同同意评审报告。</w:t>
      </w:r>
    </w:p>
    <w:p>
      <w:pPr>
        <w:pStyle w:val="4"/>
        <w:spacing w:before="120" w:beforeLines="50" w:after="120" w:afterLines="50" w:line="360" w:lineRule="auto"/>
        <w:rPr>
          <w:rFonts w:ascii="宋体" w:hAnsi="宋体" w:eastAsia="宋体" w:cs="宋体"/>
          <w:bCs/>
        </w:rPr>
      </w:pPr>
      <w:bookmarkStart w:id="127" w:name="_Toc1792"/>
      <w:r>
        <w:rPr>
          <w:rFonts w:hint="eastAsia" w:ascii="宋体" w:hAnsi="宋体" w:eastAsia="宋体" w:cs="宋体"/>
          <w:bCs/>
        </w:rPr>
        <w:t>二、评审方法</w:t>
      </w:r>
      <w:bookmarkEnd w:id="127"/>
    </w:p>
    <w:p>
      <w:pPr>
        <w:pStyle w:val="5"/>
        <w:spacing w:before="0" w:after="0" w:line="360" w:lineRule="auto"/>
        <w:rPr>
          <w:rFonts w:ascii="宋体" w:hAnsi="宋体" w:cs="宋体"/>
        </w:rPr>
      </w:pPr>
      <w:r>
        <w:rPr>
          <w:rFonts w:hint="eastAsia" w:ascii="宋体" w:hAnsi="宋体" w:cs="宋体"/>
        </w:rPr>
        <w:t>10.最低评标价法</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本采购项目评审方法采用最低评标价法。即谈判响应文件满足谈判文件全部实质性要求且谈判报价最低的供应商为成交候选供应商的评审方法。</w:t>
      </w:r>
    </w:p>
    <w:p>
      <w:pPr>
        <w:pStyle w:val="5"/>
        <w:spacing w:before="0" w:after="0" w:line="360" w:lineRule="auto"/>
        <w:rPr>
          <w:rFonts w:ascii="宋体" w:hAnsi="宋体" w:cs="宋体"/>
        </w:rPr>
      </w:pPr>
      <w:r>
        <w:rPr>
          <w:rFonts w:hint="eastAsia" w:ascii="宋体" w:hAnsi="宋体" w:cs="宋体"/>
        </w:rPr>
        <w:t>11.评审细则及标准</w:t>
      </w:r>
    </w:p>
    <w:p>
      <w:pPr>
        <w:spacing w:line="360" w:lineRule="auto"/>
        <w:ind w:firstLine="480" w:firstLineChars="200"/>
        <w:rPr>
          <w:rFonts w:ascii="宋体" w:hAnsi="宋体" w:cs="宋体"/>
          <w:sz w:val="24"/>
        </w:rPr>
      </w:pPr>
      <w:r>
        <w:rPr>
          <w:rFonts w:hint="eastAsia" w:ascii="宋体" w:hAnsi="宋体" w:cs="宋体"/>
          <w:sz w:val="24"/>
        </w:rPr>
        <w:t>11.1谈判小组应当从质量和服务均能满足采购文件实质性响应要求的供应商中，按照最后报价由低到高的顺序提出3名以上成交候选人，并编写评审报告。</w:t>
      </w:r>
    </w:p>
    <w:p>
      <w:pPr>
        <w:spacing w:line="360" w:lineRule="auto"/>
        <w:ind w:firstLine="480" w:firstLineChars="200"/>
        <w:rPr>
          <w:rFonts w:ascii="宋体" w:hAnsi="宋体" w:cs="宋体"/>
          <w:sz w:val="24"/>
        </w:rPr>
      </w:pPr>
      <w:r>
        <w:rPr>
          <w:rFonts w:hint="eastAsia" w:ascii="宋体" w:hAnsi="宋体" w:cs="宋体"/>
          <w:sz w:val="24"/>
        </w:rPr>
        <w:t>11.2 非实质性偏离是指谈判响应文件在实质上响应谈判文件的要求，但在个别地方存在一些不规则、不一致、不完整的内容，并且澄清、说明或者补正这些内容不会改变谈判响应文件的实质性内容。以下情况属于非实质性偏离：</w:t>
      </w:r>
    </w:p>
    <w:p>
      <w:pPr>
        <w:spacing w:line="360" w:lineRule="auto"/>
        <w:ind w:firstLine="480" w:firstLineChars="200"/>
        <w:rPr>
          <w:rFonts w:ascii="宋体" w:hAnsi="宋体" w:cs="宋体"/>
          <w:sz w:val="24"/>
        </w:rPr>
      </w:pPr>
      <w:r>
        <w:rPr>
          <w:rFonts w:hint="eastAsia" w:ascii="宋体" w:hAnsi="宋体" w:cs="宋体"/>
          <w:sz w:val="24"/>
        </w:rPr>
        <w:t>（1）文字表述的内容含义不明确；</w:t>
      </w:r>
    </w:p>
    <w:p>
      <w:pPr>
        <w:spacing w:line="360" w:lineRule="auto"/>
        <w:ind w:firstLine="480" w:firstLineChars="200"/>
        <w:rPr>
          <w:rFonts w:ascii="宋体" w:hAnsi="宋体" w:cs="宋体"/>
          <w:sz w:val="24"/>
        </w:rPr>
      </w:pPr>
      <w:r>
        <w:rPr>
          <w:rFonts w:hint="eastAsia" w:ascii="宋体" w:hAnsi="宋体" w:cs="宋体"/>
          <w:sz w:val="24"/>
        </w:rPr>
        <w:t>（2）同类问题表述不一致；</w:t>
      </w:r>
    </w:p>
    <w:p>
      <w:pPr>
        <w:spacing w:line="360" w:lineRule="auto"/>
        <w:ind w:firstLine="480" w:firstLineChars="200"/>
        <w:rPr>
          <w:rFonts w:ascii="宋体" w:hAnsi="宋体" w:cs="宋体"/>
          <w:sz w:val="24"/>
        </w:rPr>
      </w:pPr>
      <w:r>
        <w:rPr>
          <w:rFonts w:hint="eastAsia" w:ascii="宋体" w:hAnsi="宋体" w:cs="宋体"/>
          <w:sz w:val="24"/>
        </w:rPr>
        <w:t>（3）有明显文字和计算错误；</w:t>
      </w:r>
    </w:p>
    <w:p>
      <w:pPr>
        <w:spacing w:line="360" w:lineRule="auto"/>
        <w:ind w:firstLine="480" w:firstLineChars="200"/>
        <w:rPr>
          <w:rFonts w:ascii="宋体" w:hAnsi="宋体" w:cs="宋体"/>
          <w:sz w:val="24"/>
        </w:rPr>
      </w:pPr>
      <w:r>
        <w:rPr>
          <w:rFonts w:hint="eastAsia" w:ascii="宋体" w:hAnsi="宋体" w:cs="宋体"/>
          <w:sz w:val="24"/>
        </w:rPr>
        <w:t>（4）提供的技术信息和数据资料不完整；</w:t>
      </w:r>
    </w:p>
    <w:p>
      <w:pPr>
        <w:spacing w:line="360" w:lineRule="auto"/>
        <w:ind w:firstLine="480" w:firstLineChars="200"/>
        <w:rPr>
          <w:rFonts w:ascii="宋体" w:hAnsi="宋体" w:cs="宋体"/>
          <w:sz w:val="24"/>
        </w:rPr>
      </w:pPr>
      <w:r>
        <w:rPr>
          <w:rFonts w:hint="eastAsia" w:ascii="宋体" w:hAnsi="宋体" w:cs="宋体"/>
          <w:sz w:val="24"/>
        </w:rPr>
        <w:t>（5）谈判响应文件未按谈判文件要求进行装订或未编制目录、页码；</w:t>
      </w:r>
    </w:p>
    <w:p>
      <w:pPr>
        <w:spacing w:line="360" w:lineRule="auto"/>
        <w:ind w:firstLine="480" w:firstLineChars="200"/>
        <w:rPr>
          <w:rFonts w:ascii="宋体" w:hAnsi="宋体" w:cs="宋体"/>
          <w:sz w:val="24"/>
        </w:rPr>
      </w:pPr>
      <w:r>
        <w:rPr>
          <w:rFonts w:hint="eastAsia" w:ascii="宋体" w:hAnsi="宋体" w:cs="宋体"/>
          <w:sz w:val="24"/>
        </w:rPr>
        <w:t>（6）谈判小组认定的其他非实质性偏离。</w:t>
      </w:r>
    </w:p>
    <w:p>
      <w:pPr>
        <w:tabs>
          <w:tab w:val="left" w:pos="7665"/>
        </w:tabs>
        <w:spacing w:line="360" w:lineRule="auto"/>
        <w:ind w:firstLine="480" w:firstLineChars="200"/>
        <w:rPr>
          <w:rFonts w:ascii="宋体" w:hAnsi="宋体" w:cs="宋体"/>
          <w:sz w:val="24"/>
        </w:rPr>
      </w:pPr>
      <w:r>
        <w:rPr>
          <w:rFonts w:hint="eastAsia" w:ascii="宋体" w:hAnsi="宋体" w:cs="宋体"/>
          <w:sz w:val="24"/>
        </w:rPr>
        <w:t>谈判响应文件有上述（1）至（4）情形之一的，谈判小组应当书面要求供应商在规定的时间内予以澄清、说明或补正。供应商拒不或在规定的时间内没有进行澄清、说明或补正或澄清、说明、补正的内容也不能说明问题的，视为谈判响应文件制作不规范，按每一项非实质性偏离进行扣分处理，直至该项分值扣完为止。</w:t>
      </w:r>
    </w:p>
    <w:p>
      <w:pPr>
        <w:pStyle w:val="5"/>
        <w:spacing w:before="120" w:beforeLines="50" w:after="120" w:afterLines="50" w:line="360" w:lineRule="auto"/>
        <w:rPr>
          <w:rFonts w:ascii="宋体" w:hAnsi="宋体" w:cs="宋体"/>
        </w:rPr>
      </w:pPr>
      <w:r>
        <w:rPr>
          <w:rFonts w:hint="eastAsia" w:ascii="宋体" w:hAnsi="宋体" w:cs="宋体"/>
        </w:rPr>
        <w:t>12.无效投标的认定</w:t>
      </w:r>
    </w:p>
    <w:p>
      <w:pPr>
        <w:pStyle w:val="8"/>
        <w:spacing w:line="360" w:lineRule="auto"/>
        <w:ind w:firstLine="525"/>
        <w:rPr>
          <w:rFonts w:ascii="宋体" w:hAnsi="宋体" w:cs="宋体"/>
          <w:sz w:val="24"/>
          <w:szCs w:val="24"/>
        </w:rPr>
      </w:pPr>
      <w:r>
        <w:rPr>
          <w:rFonts w:hint="eastAsia" w:ascii="宋体" w:hAnsi="宋体" w:cs="宋体"/>
          <w:sz w:val="24"/>
          <w:szCs w:val="24"/>
        </w:rPr>
        <w:t>在评审过程中，出现下列情形之一的，其谈判无效：</w:t>
      </w:r>
    </w:p>
    <w:p>
      <w:pPr>
        <w:pStyle w:val="8"/>
        <w:spacing w:line="360" w:lineRule="auto"/>
        <w:ind w:firstLine="525"/>
        <w:rPr>
          <w:rFonts w:ascii="宋体" w:hAnsi="宋体" w:cs="宋体"/>
          <w:sz w:val="24"/>
          <w:szCs w:val="24"/>
        </w:rPr>
      </w:pPr>
      <w:r>
        <w:rPr>
          <w:rFonts w:hint="eastAsia" w:ascii="宋体" w:hAnsi="宋体" w:cs="宋体"/>
          <w:sz w:val="24"/>
          <w:szCs w:val="24"/>
        </w:rPr>
        <w:t>（1）供应商没有经过正常渠道领取谈判文件或供应商的名称与登记领取谈判文件单位的名称不符；</w:t>
      </w:r>
    </w:p>
    <w:p>
      <w:pPr>
        <w:pStyle w:val="8"/>
        <w:spacing w:line="360" w:lineRule="auto"/>
        <w:ind w:firstLine="525"/>
        <w:rPr>
          <w:rFonts w:ascii="宋体" w:hAnsi="宋体" w:cs="宋体"/>
          <w:sz w:val="24"/>
          <w:szCs w:val="24"/>
        </w:rPr>
      </w:pPr>
      <w:r>
        <w:rPr>
          <w:rFonts w:hint="eastAsia" w:ascii="宋体" w:hAnsi="宋体" w:cs="宋体"/>
          <w:sz w:val="24"/>
          <w:szCs w:val="24"/>
        </w:rPr>
        <w:t>（2）不具备谈判文件中规定的资格要求，或谈判响应文件中提供的资格要求文件不符合谈判文件要求的；</w:t>
      </w:r>
    </w:p>
    <w:p>
      <w:pPr>
        <w:pStyle w:val="8"/>
        <w:spacing w:line="360" w:lineRule="auto"/>
        <w:ind w:firstLine="525"/>
        <w:rPr>
          <w:rFonts w:ascii="宋体" w:hAnsi="宋体" w:cs="宋体"/>
          <w:sz w:val="24"/>
          <w:szCs w:val="24"/>
        </w:rPr>
      </w:pPr>
      <w:r>
        <w:rPr>
          <w:rFonts w:hint="eastAsia" w:ascii="宋体" w:hAnsi="宋体" w:cs="宋体"/>
          <w:sz w:val="24"/>
          <w:szCs w:val="24"/>
        </w:rPr>
        <w:t>（3）谈判响应文件谈判有效期不符合谈判文件要求的；</w:t>
      </w:r>
    </w:p>
    <w:p>
      <w:pPr>
        <w:pStyle w:val="8"/>
        <w:spacing w:line="360" w:lineRule="auto"/>
        <w:ind w:firstLine="525"/>
        <w:rPr>
          <w:rFonts w:ascii="宋体" w:hAnsi="宋体" w:cs="宋体"/>
          <w:sz w:val="24"/>
          <w:szCs w:val="24"/>
        </w:rPr>
      </w:pPr>
      <w:r>
        <w:rPr>
          <w:rFonts w:hint="eastAsia" w:ascii="宋体" w:hAnsi="宋体" w:cs="宋体"/>
          <w:sz w:val="24"/>
          <w:szCs w:val="24"/>
        </w:rPr>
        <w:t>（4）谈判响应文件递交份数不满足谈判文件要求的；</w:t>
      </w:r>
    </w:p>
    <w:p>
      <w:pPr>
        <w:pStyle w:val="8"/>
        <w:spacing w:line="360" w:lineRule="auto"/>
        <w:ind w:firstLine="525"/>
        <w:rPr>
          <w:rFonts w:ascii="宋体" w:hAnsi="宋体" w:cs="宋体"/>
          <w:sz w:val="24"/>
          <w:szCs w:val="24"/>
        </w:rPr>
      </w:pPr>
      <w:r>
        <w:rPr>
          <w:rFonts w:hint="eastAsia" w:ascii="宋体" w:hAnsi="宋体" w:cs="宋体"/>
          <w:sz w:val="24"/>
          <w:szCs w:val="24"/>
        </w:rPr>
        <w:t>（5）谈判响应文件的商务响应不满足谈判文件商务要求（交货安装期、付款、质量保修范围和保修期或交货地点等项）或响应的内容附有采购人不能接受的附加条件的；</w:t>
      </w:r>
    </w:p>
    <w:p>
      <w:pPr>
        <w:pStyle w:val="8"/>
        <w:spacing w:line="360" w:lineRule="auto"/>
        <w:ind w:firstLine="525"/>
        <w:rPr>
          <w:rFonts w:ascii="宋体" w:hAnsi="宋体" w:cs="宋体"/>
          <w:sz w:val="24"/>
          <w:szCs w:val="24"/>
        </w:rPr>
      </w:pPr>
      <w:r>
        <w:rPr>
          <w:rFonts w:hint="eastAsia" w:ascii="宋体" w:hAnsi="宋体" w:cs="宋体"/>
          <w:sz w:val="24"/>
          <w:szCs w:val="24"/>
        </w:rPr>
        <w:t>（6）出现限制投标要求的，供应商谈判无效；</w:t>
      </w:r>
    </w:p>
    <w:p>
      <w:pPr>
        <w:pStyle w:val="8"/>
        <w:spacing w:line="360" w:lineRule="auto"/>
        <w:ind w:firstLine="525"/>
        <w:rPr>
          <w:rFonts w:ascii="宋体" w:hAnsi="宋体" w:cs="宋体"/>
          <w:sz w:val="24"/>
          <w:szCs w:val="24"/>
        </w:rPr>
      </w:pPr>
      <w:r>
        <w:rPr>
          <w:rFonts w:hint="eastAsia" w:ascii="宋体" w:hAnsi="宋体" w:cs="宋体"/>
          <w:sz w:val="24"/>
          <w:szCs w:val="24"/>
        </w:rPr>
        <w:t>（7）供应商出现多份报价，出现选择性报价的；</w:t>
      </w:r>
    </w:p>
    <w:p>
      <w:pPr>
        <w:pStyle w:val="8"/>
        <w:spacing w:line="360" w:lineRule="auto"/>
        <w:ind w:firstLine="525"/>
        <w:rPr>
          <w:rFonts w:ascii="宋体" w:hAnsi="宋体" w:cs="宋体"/>
          <w:sz w:val="24"/>
          <w:szCs w:val="24"/>
        </w:rPr>
      </w:pPr>
      <w:r>
        <w:rPr>
          <w:rFonts w:hint="eastAsia" w:ascii="宋体" w:hAnsi="宋体" w:cs="宋体"/>
          <w:sz w:val="24"/>
          <w:szCs w:val="24"/>
        </w:rPr>
        <w:t>（8）所投产品出现漏项或产品数量与要求不符，出现重大负偏差；</w:t>
      </w:r>
    </w:p>
    <w:p>
      <w:pPr>
        <w:pStyle w:val="8"/>
        <w:spacing w:line="360" w:lineRule="auto"/>
        <w:ind w:firstLine="525"/>
        <w:rPr>
          <w:rFonts w:ascii="宋体" w:hAnsi="宋体" w:cs="宋体"/>
          <w:sz w:val="24"/>
          <w:szCs w:val="24"/>
        </w:rPr>
      </w:pPr>
      <w:r>
        <w:rPr>
          <w:rFonts w:hint="eastAsia" w:ascii="宋体" w:hAnsi="宋体" w:cs="宋体"/>
          <w:sz w:val="24"/>
          <w:szCs w:val="24"/>
        </w:rPr>
        <w:t>（9）谈判内容特殊注明的技术指标达不到谈判文件要求，降低了服务的质量的（如未特殊注明，忽略此条）；</w:t>
      </w:r>
    </w:p>
    <w:p>
      <w:pPr>
        <w:pStyle w:val="8"/>
        <w:spacing w:line="360" w:lineRule="auto"/>
        <w:ind w:firstLine="525"/>
        <w:rPr>
          <w:rFonts w:ascii="宋体" w:hAnsi="宋体" w:cs="宋体"/>
          <w:sz w:val="24"/>
          <w:szCs w:val="24"/>
        </w:rPr>
      </w:pPr>
      <w:r>
        <w:rPr>
          <w:rFonts w:hint="eastAsia" w:ascii="宋体" w:hAnsi="宋体" w:cs="宋体"/>
          <w:sz w:val="24"/>
          <w:szCs w:val="24"/>
        </w:rPr>
        <w:t>（10）谈判报价与市场价偏离较大，低于成本，形成不正当竞争；</w:t>
      </w:r>
    </w:p>
    <w:p>
      <w:pPr>
        <w:pStyle w:val="8"/>
        <w:spacing w:line="360" w:lineRule="auto"/>
        <w:ind w:firstLine="525"/>
        <w:rPr>
          <w:rFonts w:ascii="宋体" w:hAnsi="宋体" w:cs="宋体"/>
          <w:sz w:val="24"/>
          <w:szCs w:val="24"/>
        </w:rPr>
      </w:pPr>
      <w:r>
        <w:rPr>
          <w:rFonts w:hint="eastAsia" w:ascii="宋体" w:hAnsi="宋体" w:cs="宋体"/>
          <w:sz w:val="24"/>
          <w:szCs w:val="24"/>
        </w:rPr>
        <w:t>（11）提供虚假证明，开具虚假资质，出现虚假应答，除按无效标处理外，还进行相应的处罚；</w:t>
      </w:r>
    </w:p>
    <w:p>
      <w:pPr>
        <w:pStyle w:val="8"/>
        <w:spacing w:line="360" w:lineRule="auto"/>
        <w:ind w:firstLine="525"/>
        <w:rPr>
          <w:rFonts w:ascii="宋体" w:hAnsi="宋体" w:cs="宋体"/>
          <w:sz w:val="24"/>
          <w:szCs w:val="24"/>
        </w:rPr>
      </w:pPr>
      <w:r>
        <w:rPr>
          <w:rFonts w:hint="eastAsia" w:ascii="宋体" w:hAnsi="宋体" w:cs="宋体"/>
          <w:sz w:val="24"/>
          <w:szCs w:val="24"/>
        </w:rPr>
        <w:t>（12）报价超过采购预算或最高限价的；</w:t>
      </w:r>
    </w:p>
    <w:p>
      <w:pPr>
        <w:pStyle w:val="8"/>
        <w:spacing w:line="360" w:lineRule="auto"/>
        <w:ind w:firstLine="540" w:firstLineChars="225"/>
        <w:rPr>
          <w:rFonts w:ascii="宋体" w:hAnsi="宋体" w:cs="宋体"/>
          <w:sz w:val="24"/>
          <w:szCs w:val="24"/>
        </w:rPr>
      </w:pPr>
      <w:r>
        <w:rPr>
          <w:rFonts w:hint="eastAsia" w:ascii="宋体" w:hAnsi="宋体" w:cs="宋体"/>
          <w:sz w:val="24"/>
          <w:szCs w:val="24"/>
        </w:rPr>
        <w:t>（13）</w:t>
      </w:r>
      <w:r>
        <w:rPr>
          <w:rFonts w:hint="eastAsia" w:ascii="宋体" w:hAnsi="宋体" w:cs="宋体"/>
          <w:sz w:val="24"/>
        </w:rPr>
        <w:t>谈判响应文件的关键内容字迹模糊和无法辨认的</w:t>
      </w:r>
      <w:r>
        <w:rPr>
          <w:rFonts w:hint="eastAsia" w:ascii="宋体" w:hAnsi="宋体" w:cs="宋体"/>
          <w:sz w:val="24"/>
          <w:szCs w:val="24"/>
        </w:rPr>
        <w:t>；</w:t>
      </w:r>
    </w:p>
    <w:p>
      <w:pPr>
        <w:pStyle w:val="8"/>
        <w:spacing w:line="360" w:lineRule="auto"/>
        <w:ind w:firstLine="525"/>
        <w:rPr>
          <w:rFonts w:ascii="宋体" w:hAnsi="宋体" w:cs="宋体"/>
          <w:sz w:val="24"/>
          <w:szCs w:val="24"/>
        </w:rPr>
      </w:pPr>
      <w:r>
        <w:rPr>
          <w:rFonts w:hint="eastAsia" w:ascii="宋体" w:hAnsi="宋体" w:cs="宋体"/>
          <w:sz w:val="24"/>
          <w:szCs w:val="24"/>
        </w:rPr>
        <w:t>（14）</w:t>
      </w:r>
      <w:r>
        <w:rPr>
          <w:rFonts w:hint="eastAsia" w:ascii="宋体" w:hAnsi="宋体" w:cs="宋体"/>
          <w:sz w:val="24"/>
        </w:rPr>
        <w:t>法律法规和谈判文件规定的其他情形的</w:t>
      </w:r>
      <w:r>
        <w:rPr>
          <w:rFonts w:hint="eastAsia" w:ascii="宋体" w:hAnsi="宋体" w:cs="宋体"/>
          <w:sz w:val="24"/>
          <w:szCs w:val="24"/>
        </w:rPr>
        <w:t>。</w:t>
      </w:r>
    </w:p>
    <w:p>
      <w:pPr>
        <w:pStyle w:val="5"/>
        <w:spacing w:before="120" w:beforeLines="50" w:after="120" w:afterLines="50" w:line="360" w:lineRule="auto"/>
        <w:rPr>
          <w:rFonts w:ascii="宋体" w:hAnsi="宋体" w:cs="宋体"/>
        </w:rPr>
      </w:pPr>
      <w:r>
        <w:rPr>
          <w:rFonts w:hint="eastAsia" w:ascii="宋体" w:hAnsi="宋体" w:cs="宋体"/>
        </w:rPr>
        <w:t>13.特殊情况的处理</w:t>
      </w:r>
    </w:p>
    <w:p>
      <w:pPr>
        <w:widowControl/>
        <w:autoSpaceDE w:val="0"/>
        <w:autoSpaceDN w:val="0"/>
        <w:spacing w:line="360" w:lineRule="auto"/>
        <w:ind w:right="53" w:firstLine="480" w:firstLineChars="200"/>
        <w:textAlignment w:val="bottom"/>
        <w:rPr>
          <w:rFonts w:ascii="宋体" w:hAnsi="宋体" w:cs="宋体"/>
          <w:sz w:val="24"/>
        </w:rPr>
      </w:pPr>
      <w:r>
        <w:rPr>
          <w:rFonts w:hint="eastAsia" w:ascii="宋体" w:hAnsi="宋体" w:cs="宋体"/>
          <w:sz w:val="24"/>
        </w:rPr>
        <w:t>13.1 谈判响应文件中如果出现计算错误，可按以下原则进行修正：</w:t>
      </w:r>
    </w:p>
    <w:p>
      <w:pPr>
        <w:pStyle w:val="8"/>
        <w:spacing w:line="360" w:lineRule="auto"/>
        <w:ind w:firstLine="360" w:firstLineChars="150"/>
        <w:rPr>
          <w:rFonts w:ascii="宋体" w:hAnsi="宋体" w:cs="宋体"/>
          <w:sz w:val="24"/>
        </w:rPr>
      </w:pPr>
      <w:r>
        <w:rPr>
          <w:rFonts w:hint="eastAsia" w:ascii="宋体" w:hAnsi="宋体" w:cs="宋体"/>
          <w:sz w:val="24"/>
        </w:rPr>
        <w:t>（1）响应文件中有关分项表内容与“第一次谈判报价表”不一致的，以“第一次谈判报价表”为准；</w:t>
      </w:r>
    </w:p>
    <w:p>
      <w:pPr>
        <w:pStyle w:val="8"/>
        <w:spacing w:line="360" w:lineRule="auto"/>
        <w:ind w:firstLine="360" w:firstLineChars="150"/>
        <w:rPr>
          <w:rFonts w:ascii="宋体" w:hAnsi="宋体" w:cs="宋体"/>
          <w:sz w:val="24"/>
        </w:rPr>
      </w:pPr>
      <w:r>
        <w:rPr>
          <w:rFonts w:hint="eastAsia" w:ascii="宋体" w:hAnsi="宋体" w:cs="宋体"/>
          <w:sz w:val="24"/>
        </w:rPr>
        <w:t>（2）响应文件中的大写金额与小写金额不一致的，以大写金额为准；</w:t>
      </w:r>
    </w:p>
    <w:p>
      <w:pPr>
        <w:pStyle w:val="8"/>
        <w:spacing w:line="360" w:lineRule="auto"/>
        <w:ind w:firstLine="360" w:firstLineChars="150"/>
        <w:rPr>
          <w:rFonts w:ascii="宋体" w:hAnsi="宋体" w:cs="宋体"/>
          <w:sz w:val="24"/>
        </w:rPr>
      </w:pPr>
      <w:r>
        <w:rPr>
          <w:rFonts w:hint="eastAsia" w:ascii="宋体" w:hAnsi="宋体" w:cs="宋体"/>
          <w:sz w:val="24"/>
        </w:rPr>
        <w:t>（3）响应文件中的单价金额有明显小数点错误的，以总价为准，并修改单价；</w:t>
      </w:r>
    </w:p>
    <w:p>
      <w:pPr>
        <w:pStyle w:val="8"/>
        <w:spacing w:line="360" w:lineRule="auto"/>
        <w:ind w:firstLine="360" w:firstLineChars="150"/>
        <w:rPr>
          <w:rFonts w:ascii="宋体" w:hAnsi="宋体" w:cs="宋体"/>
          <w:sz w:val="24"/>
        </w:rPr>
      </w:pPr>
      <w:r>
        <w:rPr>
          <w:rFonts w:hint="eastAsia" w:ascii="宋体" w:hAnsi="宋体" w:cs="宋体"/>
          <w:sz w:val="24"/>
        </w:rPr>
        <w:t>（4）响应文件中的总价金额与按单价计算的汇总金额不一致的，以单价计算的汇总金额为准；</w:t>
      </w:r>
    </w:p>
    <w:p>
      <w:pPr>
        <w:pStyle w:val="8"/>
        <w:spacing w:line="360" w:lineRule="auto"/>
        <w:ind w:firstLine="360" w:firstLineChars="150"/>
        <w:rPr>
          <w:rFonts w:ascii="宋体" w:hAnsi="宋体" w:cs="宋体"/>
          <w:sz w:val="24"/>
        </w:rPr>
      </w:pPr>
      <w:r>
        <w:rPr>
          <w:rFonts w:hint="eastAsia" w:ascii="宋体" w:hAnsi="宋体" w:cs="宋体"/>
          <w:sz w:val="24"/>
        </w:rPr>
        <w:t>（5）响应文件中图表与文字表述不一致的，以文字表述为准；</w:t>
      </w:r>
    </w:p>
    <w:p>
      <w:pPr>
        <w:pStyle w:val="8"/>
        <w:spacing w:line="360" w:lineRule="auto"/>
        <w:ind w:firstLine="360" w:firstLineChars="150"/>
        <w:rPr>
          <w:rFonts w:ascii="宋体" w:hAnsi="宋体" w:cs="宋体"/>
          <w:sz w:val="24"/>
        </w:rPr>
      </w:pPr>
      <w:r>
        <w:rPr>
          <w:rFonts w:hint="eastAsia" w:ascii="宋体" w:hAnsi="宋体" w:cs="宋体"/>
          <w:sz w:val="24"/>
        </w:rPr>
        <w:t>（6）响应文件正本与副本不一致的，以正本为准；</w:t>
      </w:r>
    </w:p>
    <w:p>
      <w:pPr>
        <w:pStyle w:val="8"/>
        <w:spacing w:line="360" w:lineRule="auto"/>
        <w:ind w:firstLine="360" w:firstLineChars="150"/>
        <w:rPr>
          <w:rFonts w:ascii="宋体" w:hAnsi="宋体" w:cs="宋体"/>
          <w:sz w:val="24"/>
          <w:szCs w:val="24"/>
        </w:rPr>
      </w:pPr>
      <w:r>
        <w:rPr>
          <w:rFonts w:hint="eastAsia" w:ascii="宋体" w:hAnsi="宋体" w:cs="宋体"/>
          <w:sz w:val="24"/>
        </w:rPr>
        <w:t>（7）对不同文字文本响应文件的解释发生异议的，以中文文本为准。</w:t>
      </w:r>
    </w:p>
    <w:p>
      <w:pPr>
        <w:widowControl/>
        <w:autoSpaceDE w:val="0"/>
        <w:autoSpaceDN w:val="0"/>
        <w:spacing w:line="360" w:lineRule="auto"/>
        <w:ind w:right="53" w:firstLine="482" w:firstLineChars="200"/>
        <w:textAlignment w:val="bottom"/>
        <w:rPr>
          <w:rFonts w:ascii="宋体" w:hAnsi="宋体" w:cs="宋体"/>
          <w:b/>
          <w:bCs/>
          <w:sz w:val="24"/>
        </w:rPr>
      </w:pPr>
      <w:r>
        <w:rPr>
          <w:rFonts w:hint="eastAsia" w:ascii="宋体" w:hAnsi="宋体" w:cs="宋体"/>
          <w:b/>
          <w:bCs/>
          <w:sz w:val="24"/>
        </w:rPr>
        <w:t>同时出现两种以上不一致的，按照前款规定的顺序修正。修正后的报价经供应商确认后产生约束力，供应商不确认的，其响应文件按无效响应文件处理。</w:t>
      </w:r>
    </w:p>
    <w:p>
      <w:pPr>
        <w:widowControl/>
        <w:autoSpaceDE w:val="0"/>
        <w:autoSpaceDN w:val="0"/>
        <w:spacing w:line="360" w:lineRule="auto"/>
        <w:ind w:right="53" w:firstLine="480" w:firstLineChars="200"/>
        <w:textAlignment w:val="bottom"/>
        <w:rPr>
          <w:rFonts w:ascii="宋体" w:hAnsi="宋体" w:cs="宋体"/>
          <w:sz w:val="24"/>
        </w:rPr>
      </w:pPr>
      <w:r>
        <w:rPr>
          <w:rFonts w:hint="eastAsia" w:ascii="宋体" w:hAnsi="宋体" w:cs="宋体"/>
          <w:sz w:val="24"/>
        </w:rPr>
        <w:t>13.2 谈判响应文件中，若某项有不合理报价（或零报价、漏报价）的，经谈判小组评审后，此项得分为零，不参与谈判报价分值的计算。</w:t>
      </w:r>
    </w:p>
    <w:p>
      <w:pPr>
        <w:widowControl/>
        <w:autoSpaceDE w:val="0"/>
        <w:autoSpaceDN w:val="0"/>
        <w:spacing w:line="360" w:lineRule="auto"/>
        <w:ind w:right="53" w:firstLine="480" w:firstLineChars="200"/>
        <w:textAlignment w:val="bottom"/>
        <w:rPr>
          <w:rFonts w:ascii="宋体" w:hAnsi="宋体" w:cs="宋体"/>
          <w:sz w:val="24"/>
        </w:rPr>
      </w:pPr>
      <w:r>
        <w:rPr>
          <w:rFonts w:hint="eastAsia" w:ascii="宋体" w:hAnsi="宋体" w:cs="宋体"/>
          <w:sz w:val="24"/>
        </w:rPr>
        <w:t>13.</w:t>
      </w:r>
      <w:r>
        <w:rPr>
          <w:rFonts w:hint="eastAsia" w:ascii="宋体" w:hAnsi="宋体" w:cs="宋体"/>
          <w:sz w:val="24"/>
          <w:lang w:val="en-US" w:eastAsia="zh-CN"/>
        </w:rPr>
        <w:t>3</w:t>
      </w:r>
      <w:r>
        <w:rPr>
          <w:rFonts w:hint="eastAsia" w:ascii="宋体" w:hAnsi="宋体" w:cs="宋体"/>
          <w:sz w:val="24"/>
        </w:rPr>
        <w:t xml:space="preserve"> 评审过程中，各种数字的计算结果，均保留两位小数，第三位“四舍五入”，但计算百分数时应精确到千分位，万分位“四舍五入”。</w:t>
      </w:r>
    </w:p>
    <w:p>
      <w:pPr>
        <w:pStyle w:val="113"/>
        <w:spacing w:line="360" w:lineRule="auto"/>
        <w:ind w:firstLine="472" w:firstLineChars="197"/>
        <w:rPr>
          <w:rFonts w:hAnsi="宋体" w:cs="宋体"/>
          <w:sz w:val="24"/>
          <w:szCs w:val="24"/>
        </w:rPr>
      </w:pPr>
      <w:r>
        <w:rPr>
          <w:rFonts w:hint="eastAsia" w:hAnsi="宋体" w:cs="宋体"/>
          <w:sz w:val="24"/>
          <w:szCs w:val="24"/>
        </w:rPr>
        <w:t>13.</w:t>
      </w:r>
      <w:r>
        <w:rPr>
          <w:rFonts w:hint="eastAsia" w:hAnsi="宋体" w:cs="宋体"/>
          <w:sz w:val="24"/>
          <w:szCs w:val="24"/>
          <w:lang w:val="en-US" w:eastAsia="zh-CN"/>
        </w:rPr>
        <w:t>4</w:t>
      </w:r>
      <w:r>
        <w:rPr>
          <w:rFonts w:hint="eastAsia" w:hAnsi="宋体" w:cs="宋体"/>
          <w:sz w:val="24"/>
          <w:szCs w:val="24"/>
        </w:rPr>
        <w:t>评审过程中，若出现本评审办法以外的特殊情况时，将暂停评审，待谈判小组商榷后，再进行评定。</w:t>
      </w:r>
    </w:p>
    <w:p>
      <w:pPr>
        <w:pStyle w:val="113"/>
        <w:spacing w:line="360" w:lineRule="auto"/>
        <w:ind w:firstLine="472" w:firstLineChars="197"/>
        <w:rPr>
          <w:rFonts w:hAnsi="宋体" w:cs="宋体"/>
          <w:sz w:val="24"/>
          <w:szCs w:val="24"/>
        </w:rPr>
      </w:pPr>
      <w:r>
        <w:rPr>
          <w:rFonts w:hint="eastAsia" w:hAnsi="宋体" w:cs="宋体"/>
          <w:sz w:val="24"/>
          <w:szCs w:val="24"/>
        </w:rPr>
        <w:t>13.</w:t>
      </w:r>
      <w:r>
        <w:rPr>
          <w:rFonts w:hint="eastAsia" w:hAnsi="宋体" w:cs="宋体"/>
          <w:sz w:val="24"/>
          <w:szCs w:val="24"/>
          <w:lang w:val="en-US" w:eastAsia="zh-CN"/>
        </w:rPr>
        <w:t>5</w:t>
      </w:r>
      <w:r>
        <w:rPr>
          <w:rFonts w:hint="eastAsia" w:hAnsi="宋体" w:cs="宋体"/>
          <w:sz w:val="24"/>
          <w:szCs w:val="24"/>
        </w:rPr>
        <w:t>评审报告签署后，采购人或者采购代理机构发现存在本章6.2条情形之一的，应当组织原谈判小组进行重新评审，重新评审改变成交结果的，书面报本级财政部门认定。</w:t>
      </w:r>
    </w:p>
    <w:p>
      <w:pPr>
        <w:pStyle w:val="113"/>
        <w:spacing w:line="360" w:lineRule="auto"/>
        <w:ind w:firstLine="472" w:firstLineChars="197"/>
        <w:rPr>
          <w:rFonts w:hAnsi="宋体" w:cs="宋体"/>
          <w:sz w:val="24"/>
          <w:szCs w:val="24"/>
        </w:rPr>
      </w:pPr>
      <w:r>
        <w:rPr>
          <w:rFonts w:hint="eastAsia" w:hAnsi="宋体" w:cs="宋体"/>
          <w:sz w:val="24"/>
          <w:szCs w:val="24"/>
        </w:rPr>
        <w:t>供应商对本章6.2条情形提出质疑的，采购代理机构应当组织原谈判小组进行重新评审，重新评审改变成交结果的，应当报本级财政部门备案。</w:t>
      </w:r>
    </w:p>
    <w:p>
      <w:pPr>
        <w:pStyle w:val="8"/>
        <w:spacing w:line="360" w:lineRule="auto"/>
        <w:ind w:firstLine="525"/>
        <w:rPr>
          <w:rFonts w:ascii="宋体" w:hAnsi="宋体" w:cs="宋体"/>
          <w:sz w:val="24"/>
          <w:szCs w:val="24"/>
        </w:rPr>
      </w:pPr>
      <w:r>
        <w:rPr>
          <w:rFonts w:hint="eastAsia" w:ascii="宋体" w:hAnsi="宋体" w:cs="宋体"/>
          <w:sz w:val="24"/>
          <w:szCs w:val="24"/>
        </w:rPr>
        <w:t>13.</w:t>
      </w:r>
      <w:r>
        <w:rPr>
          <w:rFonts w:hint="eastAsia" w:ascii="宋体" w:hAnsi="宋体" w:cs="宋体"/>
          <w:sz w:val="24"/>
          <w:szCs w:val="24"/>
          <w:lang w:val="en-US" w:eastAsia="zh-CN"/>
        </w:rPr>
        <w:t>6</w:t>
      </w:r>
      <w:r>
        <w:rPr>
          <w:rFonts w:hint="eastAsia" w:ascii="宋体" w:hAnsi="宋体" w:cs="宋体"/>
          <w:sz w:val="24"/>
          <w:szCs w:val="24"/>
        </w:rPr>
        <w:t>评审过程中，若出现合格供应商只有2家时，按照符合前款28.4规定的特殊情况进行处理。</w:t>
      </w:r>
    </w:p>
    <w:p>
      <w:pPr>
        <w:pStyle w:val="8"/>
        <w:spacing w:line="360" w:lineRule="auto"/>
        <w:ind w:firstLine="525"/>
        <w:rPr>
          <w:rFonts w:ascii="宋体" w:hAnsi="宋体" w:cs="宋体"/>
          <w:sz w:val="24"/>
          <w:szCs w:val="24"/>
        </w:rPr>
      </w:pPr>
      <w:r>
        <w:rPr>
          <w:rFonts w:hint="eastAsia" w:ascii="宋体" w:hAnsi="宋体" w:cs="宋体"/>
          <w:sz w:val="24"/>
          <w:szCs w:val="24"/>
        </w:rPr>
        <w:t>13.</w:t>
      </w:r>
      <w:r>
        <w:rPr>
          <w:rFonts w:hint="eastAsia" w:ascii="宋体" w:hAnsi="宋体" w:cs="宋体"/>
          <w:sz w:val="24"/>
          <w:szCs w:val="24"/>
          <w:lang w:val="en-US" w:eastAsia="zh-CN"/>
        </w:rPr>
        <w:t>7</w:t>
      </w:r>
      <w:r>
        <w:rPr>
          <w:rFonts w:hint="eastAsia" w:ascii="宋体" w:hAnsi="宋体" w:cs="宋体"/>
          <w:sz w:val="24"/>
          <w:szCs w:val="24"/>
        </w:rPr>
        <w:t>评审争议处理原则</w:t>
      </w:r>
    </w:p>
    <w:p>
      <w:pPr>
        <w:pStyle w:val="8"/>
        <w:spacing w:line="360" w:lineRule="auto"/>
        <w:ind w:firstLine="525"/>
        <w:rPr>
          <w:rFonts w:ascii="宋体" w:hAnsi="宋体" w:cs="宋体"/>
          <w:sz w:val="24"/>
          <w:szCs w:val="24"/>
        </w:rPr>
      </w:pPr>
      <w:r>
        <w:rPr>
          <w:rFonts w:hint="eastAsia" w:ascii="宋体" w:hAnsi="宋体" w:cs="宋体"/>
          <w:sz w:val="24"/>
          <w:szCs w:val="24"/>
        </w:rPr>
        <w:t>谈判小组在评审过程中，对谈判响应文件符合性审查、对供应商谈判响应文件做无效响应文件处理及其他需要共同认定的事项存在争议的，应当以少数服从多数的原则做出结论，但不得违反法律法规和谈判文件的规定。有不同意见的谈判小组成员认为认定过程和结果不符合法律法规或者谈判文件规定的，应当及时向采购人书面反映，采购人收到书面反映后，应当及时向同级财政部门报告依法处理。</w:t>
      </w:r>
    </w:p>
    <w:p>
      <w:pPr>
        <w:pStyle w:val="4"/>
        <w:spacing w:before="0" w:after="120" w:afterLines="50" w:line="360" w:lineRule="auto"/>
        <w:rPr>
          <w:rFonts w:ascii="宋体" w:hAnsi="宋体" w:eastAsia="宋体" w:cs="宋体"/>
          <w:bCs/>
        </w:rPr>
      </w:pPr>
      <w:bookmarkStart w:id="128" w:name="_Toc15917"/>
      <w:r>
        <w:rPr>
          <w:rFonts w:hint="eastAsia" w:ascii="宋体" w:hAnsi="宋体" w:eastAsia="宋体" w:cs="宋体"/>
          <w:bCs/>
        </w:rPr>
        <w:t>三、评审专家义务与纪律</w:t>
      </w:r>
      <w:bookmarkEnd w:id="128"/>
    </w:p>
    <w:p>
      <w:pPr>
        <w:pStyle w:val="5"/>
        <w:spacing w:before="120" w:beforeLines="50" w:after="120" w:afterLines="50" w:line="360" w:lineRule="auto"/>
        <w:rPr>
          <w:rFonts w:ascii="宋体" w:hAnsi="宋体" w:cs="宋体"/>
        </w:rPr>
      </w:pPr>
      <w:r>
        <w:rPr>
          <w:rFonts w:hint="eastAsia" w:ascii="宋体" w:hAnsi="宋体" w:cs="宋体"/>
        </w:rPr>
        <w:t>14.评审专家在政府采购活动中承担以下义务：</w:t>
      </w:r>
    </w:p>
    <w:p>
      <w:pPr>
        <w:widowControl/>
        <w:autoSpaceDE w:val="0"/>
        <w:autoSpaceDN w:val="0"/>
        <w:spacing w:line="360" w:lineRule="auto"/>
        <w:ind w:right="51" w:firstLine="480" w:firstLineChars="200"/>
        <w:textAlignment w:val="bottom"/>
        <w:rPr>
          <w:rFonts w:ascii="宋体" w:hAnsi="宋体" w:cs="宋体"/>
          <w:sz w:val="24"/>
        </w:rPr>
      </w:pPr>
      <w:r>
        <w:rPr>
          <w:rFonts w:hint="eastAsia" w:ascii="宋体" w:hAnsi="宋体" w:cs="宋体"/>
          <w:sz w:val="24"/>
        </w:rPr>
        <w:t>14.1 遵纪守法，客观、公正、廉洁地履行职责。</w:t>
      </w:r>
    </w:p>
    <w:p>
      <w:pPr>
        <w:widowControl/>
        <w:autoSpaceDE w:val="0"/>
        <w:autoSpaceDN w:val="0"/>
        <w:spacing w:line="360" w:lineRule="auto"/>
        <w:ind w:right="51" w:firstLine="480" w:firstLineChars="200"/>
        <w:textAlignment w:val="bottom"/>
        <w:rPr>
          <w:rFonts w:ascii="宋体" w:hAnsi="宋体" w:cs="宋体"/>
          <w:sz w:val="24"/>
        </w:rPr>
      </w:pPr>
      <w:r>
        <w:rPr>
          <w:rFonts w:hint="eastAsia" w:ascii="宋体" w:hAnsi="宋体" w:cs="宋体"/>
          <w:sz w:val="24"/>
        </w:rPr>
        <w:t>14.2 按照政府采购法律法规和采购文件的规定要求对供应商的资格条件和供应商提供的服务价格、技术、商务、服务等方面严格进行评判，提供科学合理、公平公正的评审意见，参与起草评审报告，并予签字确认。</w:t>
      </w:r>
    </w:p>
    <w:p>
      <w:pPr>
        <w:widowControl/>
        <w:autoSpaceDE w:val="0"/>
        <w:autoSpaceDN w:val="0"/>
        <w:spacing w:line="360" w:lineRule="auto"/>
        <w:ind w:right="51" w:firstLine="480" w:firstLineChars="200"/>
        <w:textAlignment w:val="bottom"/>
        <w:rPr>
          <w:rFonts w:ascii="宋体" w:hAnsi="宋体" w:cs="宋体"/>
          <w:sz w:val="24"/>
        </w:rPr>
      </w:pPr>
      <w:r>
        <w:rPr>
          <w:rFonts w:hint="eastAsia" w:ascii="宋体" w:hAnsi="宋体" w:cs="宋体"/>
          <w:sz w:val="24"/>
        </w:rPr>
        <w:t>14.3 保守秘密。不得透露采购文件咨询情况，不得泄漏供应商的谈判响应文件及知悉的商业秘密，不得向供应商透露评审情况。</w:t>
      </w:r>
    </w:p>
    <w:p>
      <w:pPr>
        <w:widowControl/>
        <w:autoSpaceDE w:val="0"/>
        <w:autoSpaceDN w:val="0"/>
        <w:spacing w:line="360" w:lineRule="auto"/>
        <w:ind w:right="53" w:firstLine="480" w:firstLineChars="200"/>
        <w:textAlignment w:val="bottom"/>
        <w:rPr>
          <w:rFonts w:ascii="宋体" w:hAnsi="宋体" w:cs="宋体"/>
          <w:sz w:val="24"/>
        </w:rPr>
      </w:pPr>
      <w:r>
        <w:rPr>
          <w:rFonts w:hint="eastAsia" w:ascii="宋体" w:hAnsi="宋体" w:cs="宋体"/>
          <w:sz w:val="24"/>
        </w:rPr>
        <w:t>14.4 发现供应商在政府采购活动中有不正当竞争或恶意串通等违规行为，及时向</w:t>
      </w:r>
    </w:p>
    <w:p>
      <w:pPr>
        <w:widowControl/>
        <w:autoSpaceDE w:val="0"/>
        <w:autoSpaceDN w:val="0"/>
        <w:spacing w:line="360" w:lineRule="auto"/>
        <w:ind w:right="51"/>
        <w:textAlignment w:val="bottom"/>
        <w:rPr>
          <w:rFonts w:ascii="宋体" w:hAnsi="宋体" w:cs="宋体"/>
          <w:sz w:val="24"/>
        </w:rPr>
      </w:pPr>
      <w:r>
        <w:rPr>
          <w:rFonts w:hint="eastAsia" w:ascii="宋体" w:hAnsi="宋体" w:cs="宋体"/>
          <w:sz w:val="24"/>
        </w:rPr>
        <w:t>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right="53" w:firstLine="480" w:firstLineChars="200"/>
        <w:textAlignment w:val="bottom"/>
        <w:rPr>
          <w:rFonts w:ascii="宋体" w:hAnsi="宋体" w:cs="宋体"/>
          <w:sz w:val="24"/>
        </w:rPr>
      </w:pPr>
      <w:r>
        <w:rPr>
          <w:rFonts w:hint="eastAsia" w:ascii="宋体" w:hAnsi="宋体" w:cs="宋体"/>
          <w:sz w:val="24"/>
        </w:rPr>
        <w:t>14.5 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rPr>
        <w:t>14.6 法</w:t>
      </w:r>
      <w:r>
        <w:rPr>
          <w:rFonts w:hint="eastAsia" w:ascii="宋体" w:hAnsi="宋体" w:cs="宋体"/>
          <w:sz w:val="24"/>
          <w:highlight w:val="none"/>
        </w:rPr>
        <w:t>律、法规和规章规定的其他义务。</w:t>
      </w:r>
    </w:p>
    <w:p>
      <w:pPr>
        <w:pStyle w:val="5"/>
        <w:spacing w:before="120" w:beforeLines="50" w:after="120" w:afterLines="50" w:line="360" w:lineRule="auto"/>
        <w:rPr>
          <w:rFonts w:ascii="宋体" w:hAnsi="宋体" w:cs="宋体"/>
          <w:highlight w:val="none"/>
        </w:rPr>
      </w:pPr>
      <w:r>
        <w:rPr>
          <w:rFonts w:hint="eastAsia" w:ascii="宋体" w:hAnsi="宋体" w:cs="宋体"/>
          <w:highlight w:val="none"/>
        </w:rPr>
        <w:t>15.在评审过程中，谈判小组及其成员不得有下列行为：</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（1）收受采购人、采购代理机构、供应商、其他利害关系人的财物或者其他不正当利益的；</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（2）泄露评审情况以及评审过程中获悉的国家秘密、商业秘密的；</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（3）明知与供应商有利害关系而不依法回避的；</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（4）在评审过程中擅离职守，影响评审程序正常进行的；</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（5）在评审过程中有明显不合理或者不正当倾向性的；</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（6）未按照采购文件规定的评定成交的标准进行评审的。</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（7）记录、复制或带走任何评审资料；</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（8）有关部门（机构）制定的其他评审工作纪律。</w:t>
      </w:r>
    </w:p>
    <w:p>
      <w:pPr>
        <w:widowControl/>
        <w:autoSpaceDE w:val="0"/>
        <w:autoSpaceDN w:val="0"/>
        <w:spacing w:line="360" w:lineRule="auto"/>
        <w:ind w:right="53" w:firstLine="480" w:firstLineChars="200"/>
        <w:textAlignment w:val="bottom"/>
        <w:rPr>
          <w:rFonts w:ascii="宋体" w:hAnsi="宋体" w:cs="宋体"/>
          <w:sz w:val="24"/>
          <w:highlight w:val="none"/>
        </w:rPr>
      </w:pPr>
      <w:r>
        <w:rPr>
          <w:rFonts w:hint="eastAsia" w:ascii="宋体" w:hAnsi="宋体" w:cs="宋体"/>
          <w:sz w:val="24"/>
          <w:highlight w:val="none"/>
        </w:rPr>
        <w:t>评审专家有前款情形之一，情节严重的，采购代理机构将上报财政部门。</w:t>
      </w:r>
    </w:p>
    <w:bookmarkEnd w:id="125"/>
    <w:p>
      <w:pPr>
        <w:pStyle w:val="3"/>
        <w:spacing w:before="0" w:after="120" w:afterLines="50" w:line="360" w:lineRule="auto"/>
        <w:jc w:val="center"/>
        <w:rPr>
          <w:rFonts w:ascii="宋体" w:hAnsi="宋体" w:cs="宋体"/>
          <w:b w:val="0"/>
          <w:bCs/>
          <w:kern w:val="0"/>
          <w:sz w:val="44"/>
          <w:szCs w:val="44"/>
        </w:rPr>
      </w:pPr>
      <w:r>
        <w:rPr>
          <w:rFonts w:hint="eastAsia" w:ascii="宋体" w:hAnsi="宋体" w:cs="宋体"/>
          <w:sz w:val="44"/>
          <w:szCs w:val="44"/>
          <w:highlight w:val="none"/>
        </w:rPr>
        <w:br w:type="page"/>
      </w:r>
      <w:bookmarkStart w:id="129" w:name="_Toc531253636"/>
      <w:bookmarkStart w:id="130" w:name="_Toc2798"/>
      <w:bookmarkStart w:id="131" w:name="_Toc71729637"/>
      <w:bookmarkStart w:id="132" w:name="_Toc71729638"/>
      <w:bookmarkStart w:id="133" w:name="_Toc531253640"/>
      <w:bookmarkStart w:id="134" w:name="_Toc217446094"/>
      <w:bookmarkStart w:id="135" w:name="_Toc6689"/>
      <w:r>
        <w:rPr>
          <w:rFonts w:hint="eastAsia" w:ascii="宋体" w:hAnsi="宋体" w:cs="宋体"/>
          <w:kern w:val="0"/>
          <w:sz w:val="44"/>
          <w:szCs w:val="44"/>
        </w:rPr>
        <w:t>第五章 采购</w:t>
      </w:r>
      <w:bookmarkEnd w:id="129"/>
      <w:r>
        <w:rPr>
          <w:rFonts w:hint="eastAsia" w:ascii="宋体" w:hAnsi="宋体" w:cs="宋体"/>
          <w:kern w:val="0"/>
          <w:sz w:val="44"/>
          <w:szCs w:val="44"/>
        </w:rPr>
        <w:t>需求</w:t>
      </w:r>
      <w:bookmarkEnd w:id="130"/>
      <w:bookmarkEnd w:id="131"/>
    </w:p>
    <w:p>
      <w:pPr>
        <w:pStyle w:val="4"/>
        <w:spacing w:before="0" w:after="120" w:afterLines="50" w:line="360" w:lineRule="auto"/>
        <w:rPr>
          <w:rFonts w:ascii="宋体" w:hAnsi="宋体" w:eastAsia="宋体" w:cs="宋体"/>
          <w:bCs/>
          <w:sz w:val="24"/>
          <w:szCs w:val="24"/>
        </w:rPr>
      </w:pPr>
      <w:bookmarkStart w:id="136" w:name="_Toc30786"/>
      <w:r>
        <w:rPr>
          <w:rFonts w:hint="eastAsia" w:ascii="宋体" w:hAnsi="宋体" w:eastAsia="宋体" w:cs="宋体"/>
          <w:bCs/>
          <w:sz w:val="24"/>
          <w:szCs w:val="24"/>
        </w:rPr>
        <w:t>一、商务要求</w:t>
      </w:r>
      <w:bookmarkEnd w:id="132"/>
      <w:bookmarkEnd w:id="136"/>
    </w:p>
    <w:p>
      <w:pPr>
        <w:pStyle w:val="4"/>
        <w:spacing w:before="0" w:after="120" w:afterLines="50" w:line="360" w:lineRule="auto"/>
        <w:rPr>
          <w:rFonts w:ascii="宋体" w:hAnsi="宋体" w:eastAsia="宋体" w:cs="宋体"/>
          <w:bCs/>
          <w:sz w:val="24"/>
          <w:szCs w:val="24"/>
        </w:rPr>
      </w:pPr>
      <w:bookmarkStart w:id="137" w:name="_Toc30252"/>
      <w:bookmarkStart w:id="138" w:name="_Toc71729639"/>
      <w:r>
        <w:rPr>
          <w:rFonts w:hint="eastAsia" w:ascii="宋体" w:hAnsi="宋体" w:eastAsia="宋体" w:cs="宋体"/>
          <w:bCs/>
          <w:sz w:val="24"/>
          <w:szCs w:val="24"/>
        </w:rPr>
        <w:t>（一）主要商务条款和要求</w:t>
      </w:r>
      <w:bookmarkEnd w:id="133"/>
      <w:bookmarkEnd w:id="137"/>
      <w:bookmarkEnd w:id="138"/>
    </w:p>
    <w:p>
      <w:pPr>
        <w:adjustRightInd w:val="0"/>
        <w:snapToGrid w:val="0"/>
        <w:spacing w:line="360" w:lineRule="auto"/>
        <w:rPr>
          <w:rFonts w:hint="eastAsia" w:ascii="Times New Roman" w:hAnsi="宋体" w:eastAsia="宋体" w:cs="宋体"/>
          <w:sz w:val="24"/>
          <w:lang w:val="en-US" w:eastAsia="zh-CN"/>
        </w:rPr>
      </w:pPr>
      <w:bookmarkStart w:id="139" w:name="_Toc2633"/>
      <w:bookmarkStart w:id="140" w:name="_Toc21081"/>
      <w:bookmarkStart w:id="141" w:name="_Toc26650"/>
      <w:bookmarkStart w:id="142" w:name="_Toc221"/>
      <w:bookmarkStart w:id="143" w:name="_Toc71729640"/>
      <w:bookmarkStart w:id="144" w:name="_Toc10411"/>
      <w:r>
        <w:rPr>
          <w:rFonts w:hint="eastAsia" w:hAnsi="宋体" w:cs="宋体"/>
          <w:b/>
          <w:sz w:val="24"/>
        </w:rPr>
        <w:t>1.1项目名称：</w:t>
      </w:r>
      <w:bookmarkEnd w:id="139"/>
      <w:bookmarkEnd w:id="140"/>
      <w:bookmarkEnd w:id="141"/>
      <w:bookmarkEnd w:id="142"/>
      <w:bookmarkStart w:id="145" w:name="_Toc1464"/>
      <w:bookmarkStart w:id="146" w:name="_Toc30575"/>
      <w:bookmarkStart w:id="147" w:name="_Toc24672"/>
      <w:bookmarkStart w:id="148" w:name="_Toc30641"/>
      <w:r>
        <w:rPr>
          <w:rFonts w:hint="eastAsia" w:hAnsi="宋体" w:cs="宋体"/>
          <w:sz w:val="24"/>
          <w:lang w:val="en-US" w:eastAsia="zh-CN"/>
        </w:rPr>
        <w:t>西安商贸旅游技师学院烹饪系实训室改造项目（二次）</w:t>
      </w:r>
    </w:p>
    <w:p>
      <w:pPr>
        <w:adjustRightInd w:val="0"/>
        <w:snapToGrid w:val="0"/>
        <w:spacing w:line="360" w:lineRule="auto"/>
        <w:rPr>
          <w:rFonts w:hint="default" w:ascii="宋体" w:hAnsi="宋体" w:eastAsia="宋体" w:cs="宋体"/>
          <w:bCs/>
          <w:color w:val="auto"/>
          <w:sz w:val="24"/>
          <w:lang w:val="en-US" w:eastAsia="zh-CN"/>
        </w:rPr>
      </w:pPr>
      <w:r>
        <w:rPr>
          <w:rFonts w:hint="eastAsia" w:hAnsi="宋体" w:cs="宋体"/>
          <w:b/>
          <w:color w:val="auto"/>
          <w:sz w:val="24"/>
        </w:rPr>
        <w:t>1.2</w:t>
      </w:r>
      <w:r>
        <w:rPr>
          <w:rFonts w:hint="eastAsia" w:hAnsi="宋体" w:cs="宋体"/>
          <w:b/>
          <w:color w:val="auto"/>
          <w:sz w:val="24"/>
          <w:lang w:val="en-US" w:eastAsia="zh-CN"/>
        </w:rPr>
        <w:t>交付</w:t>
      </w:r>
      <w:r>
        <w:rPr>
          <w:rFonts w:hint="eastAsia" w:hAnsi="宋体" w:cs="宋体"/>
          <w:b/>
          <w:color w:val="auto"/>
          <w:sz w:val="24"/>
        </w:rPr>
        <w:t>期：</w:t>
      </w:r>
      <w:bookmarkEnd w:id="145"/>
      <w:bookmarkEnd w:id="146"/>
      <w:bookmarkEnd w:id="147"/>
      <w:bookmarkEnd w:id="148"/>
      <w:r>
        <w:rPr>
          <w:rFonts w:hint="eastAsia" w:hAnsi="宋体" w:cs="宋体"/>
          <w:b w:val="0"/>
          <w:bCs/>
          <w:color w:val="auto"/>
          <w:sz w:val="24"/>
          <w:lang w:val="en-US" w:eastAsia="zh-CN"/>
        </w:rPr>
        <w:t>合同签订后</w:t>
      </w:r>
      <w:r>
        <w:rPr>
          <w:rFonts w:hint="eastAsia" w:ascii="宋体" w:hAnsi="宋体" w:eastAsia="宋体" w:cs="宋体"/>
          <w:b w:val="0"/>
          <w:bCs/>
          <w:color w:val="auto"/>
          <w:sz w:val="24"/>
          <w:u w:val="single"/>
          <w:lang w:val="en-US" w:eastAsia="zh-CN"/>
        </w:rPr>
        <w:t xml:space="preserve"> </w:t>
      </w:r>
      <w:r>
        <w:rPr>
          <w:rFonts w:hint="eastAsia" w:ascii="宋体" w:hAnsi="宋体" w:cs="宋体"/>
          <w:b w:val="0"/>
          <w:bCs/>
          <w:color w:val="auto"/>
          <w:sz w:val="24"/>
          <w:u w:val="single"/>
          <w:lang w:val="en-US" w:eastAsia="zh-CN"/>
        </w:rPr>
        <w:t>30</w:t>
      </w:r>
      <w:r>
        <w:rPr>
          <w:rFonts w:hint="eastAsia" w:ascii="宋体" w:hAnsi="宋体" w:eastAsia="宋体" w:cs="宋体"/>
          <w:b w:val="0"/>
          <w:bCs/>
          <w:color w:val="auto"/>
          <w:sz w:val="24"/>
          <w:lang w:val="en-US" w:eastAsia="zh-CN"/>
        </w:rPr>
        <w:t>天内完成</w:t>
      </w:r>
      <w:r>
        <w:rPr>
          <w:rFonts w:hint="eastAsia" w:ascii="宋体" w:hAnsi="宋体" w:eastAsia="宋体" w:cs="宋体"/>
          <w:bCs/>
          <w:color w:val="auto"/>
          <w:sz w:val="24"/>
          <w:lang w:val="en-US" w:eastAsia="zh-CN"/>
        </w:rPr>
        <w:t>。</w:t>
      </w:r>
    </w:p>
    <w:p>
      <w:pPr>
        <w:adjustRightInd w:val="0"/>
        <w:snapToGrid w:val="0"/>
        <w:spacing w:line="360" w:lineRule="auto"/>
        <w:rPr>
          <w:rFonts w:hint="eastAsia" w:hAnsi="宋体" w:cs="宋体"/>
          <w:b/>
          <w:sz w:val="24"/>
        </w:rPr>
      </w:pPr>
      <w:bookmarkStart w:id="149" w:name="_Toc20580"/>
      <w:bookmarkStart w:id="150" w:name="_Toc26771"/>
      <w:bookmarkStart w:id="151" w:name="_Toc9113"/>
      <w:bookmarkStart w:id="152" w:name="_Toc8119"/>
      <w:r>
        <w:rPr>
          <w:rFonts w:hint="eastAsia" w:hAnsi="宋体" w:cs="宋体"/>
          <w:b/>
          <w:sz w:val="24"/>
        </w:rPr>
        <w:t>1.3</w:t>
      </w:r>
      <w:r>
        <w:rPr>
          <w:rFonts w:hint="eastAsia" w:hAnsi="宋体" w:cs="宋体"/>
          <w:b/>
          <w:sz w:val="24"/>
          <w:lang w:val="en-US" w:eastAsia="zh-CN"/>
        </w:rPr>
        <w:t>交货</w:t>
      </w:r>
      <w:r>
        <w:rPr>
          <w:rFonts w:hint="eastAsia" w:hAnsi="宋体" w:cs="宋体"/>
          <w:b/>
          <w:sz w:val="24"/>
        </w:rPr>
        <w:t>地点：</w:t>
      </w:r>
      <w:r>
        <w:rPr>
          <w:rFonts w:hint="eastAsia" w:hAnsi="宋体" w:cs="宋体"/>
          <w:bCs/>
          <w:sz w:val="24"/>
        </w:rPr>
        <w:t>采购人指定地点。</w:t>
      </w:r>
      <w:bookmarkEnd w:id="149"/>
      <w:bookmarkEnd w:id="150"/>
      <w:bookmarkEnd w:id="151"/>
      <w:bookmarkEnd w:id="152"/>
    </w:p>
    <w:p>
      <w:pPr>
        <w:pStyle w:val="2"/>
      </w:pPr>
      <w:bookmarkStart w:id="153" w:name="_Toc20805"/>
      <w:bookmarkStart w:id="154" w:name="_Toc4357"/>
      <w:bookmarkStart w:id="155" w:name="_Toc3110"/>
      <w:bookmarkStart w:id="156" w:name="_Toc10026"/>
      <w:r>
        <w:rPr>
          <w:rFonts w:hint="eastAsia" w:ascii="宋体" w:hAnsi="宋体" w:cs="宋体"/>
          <w:b/>
          <w:sz w:val="24"/>
        </w:rPr>
        <w:t>1.4付款：</w:t>
      </w:r>
    </w:p>
    <w:p>
      <w:pPr>
        <w:widowControl/>
        <w:snapToGrid w:val="0"/>
        <w:spacing w:line="360" w:lineRule="auto"/>
        <w:ind w:firstLine="480" w:firstLineChars="200"/>
        <w:jc w:val="left"/>
        <w:rPr>
          <w:rFonts w:hint="eastAsia" w:hAnsi="宋体" w:cs="宋体"/>
          <w:sz w:val="24"/>
        </w:rPr>
      </w:pPr>
      <w:r>
        <w:rPr>
          <w:rFonts w:hint="eastAsia" w:hAnsi="宋体" w:cs="宋体"/>
          <w:sz w:val="24"/>
        </w:rPr>
        <w:t>1.支付方式：银行转账。</w:t>
      </w:r>
    </w:p>
    <w:p>
      <w:pPr>
        <w:widowControl/>
        <w:snapToGrid w:val="0"/>
        <w:spacing w:line="360" w:lineRule="auto"/>
        <w:ind w:firstLine="480" w:firstLineChars="200"/>
        <w:jc w:val="left"/>
        <w:rPr>
          <w:rFonts w:hint="eastAsia" w:hAnsi="宋体" w:cs="宋体"/>
          <w:sz w:val="24"/>
        </w:rPr>
      </w:pPr>
      <w:r>
        <w:rPr>
          <w:rFonts w:hint="eastAsia" w:hAnsi="宋体" w:cs="宋体"/>
          <w:sz w:val="24"/>
        </w:rPr>
        <w:t>2.结算条件：</w:t>
      </w:r>
      <w:r>
        <w:rPr>
          <w:rFonts w:hint="eastAsia" w:hAnsi="宋体" w:cs="宋体"/>
          <w:sz w:val="24"/>
          <w:lang w:val="en-US" w:eastAsia="zh-CN"/>
        </w:rPr>
        <w:t>成交供应商</w:t>
      </w:r>
      <w:r>
        <w:rPr>
          <w:rFonts w:hint="eastAsia" w:hAnsi="宋体" w:cs="宋体"/>
          <w:sz w:val="24"/>
        </w:rPr>
        <w:t>在接受付款前应向采购人开具发票。</w:t>
      </w:r>
    </w:p>
    <w:p>
      <w:pPr>
        <w:tabs>
          <w:tab w:val="left" w:pos="840"/>
        </w:tabs>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hAnsi="宋体" w:cs="宋体"/>
          <w:sz w:val="24"/>
          <w:highlight w:val="none"/>
        </w:rPr>
        <w:t>3</w:t>
      </w:r>
      <w:r>
        <w:rPr>
          <w:rFonts w:hint="eastAsia" w:hAnsi="宋体" w:cs="宋体"/>
          <w:color w:val="auto"/>
          <w:sz w:val="24"/>
          <w:highlight w:val="none"/>
        </w:rPr>
        <w:t>.付款进度</w:t>
      </w:r>
      <w:r>
        <w:rPr>
          <w:rFonts w:hint="eastAsia" w:ascii="宋体" w:hAnsi="宋体" w:eastAsia="宋体" w:cs="宋体"/>
          <w:color w:val="auto"/>
          <w:sz w:val="24"/>
          <w:highlight w:val="none"/>
        </w:rPr>
        <w:t>：</w:t>
      </w:r>
      <w:r>
        <w:rPr>
          <w:rFonts w:hint="eastAsia"/>
          <w:color w:val="auto"/>
          <w:highlight w:val="none"/>
          <w:lang w:val="en-US" w:eastAsia="zh-CN"/>
        </w:rPr>
        <w:t>成交公司签订合同后工人进场开工预付成交金额的25%，装修工程结束设备进场完毕再付成交金额的25%，装修完工和设备验收合格后再付成交金额的50%（自交付之日起付款期限最长不得超过60日）。</w:t>
      </w:r>
    </w:p>
    <w:p>
      <w:pPr>
        <w:adjustRightInd w:val="0"/>
        <w:snapToGrid w:val="0"/>
        <w:spacing w:line="360" w:lineRule="auto"/>
      </w:pPr>
      <w:r>
        <w:rPr>
          <w:rFonts w:hint="eastAsia" w:hAnsi="宋体" w:cs="宋体"/>
          <w:b/>
          <w:color w:val="000000"/>
          <w:sz w:val="24"/>
        </w:rPr>
        <w:t>1.5</w:t>
      </w:r>
      <w:r>
        <w:rPr>
          <w:rFonts w:hint="eastAsia" w:hAnsi="宋体" w:cs="宋体"/>
          <w:b/>
          <w:sz w:val="24"/>
        </w:rPr>
        <w:t>质保期：</w:t>
      </w:r>
    </w:p>
    <w:p>
      <w:pPr>
        <w:tabs>
          <w:tab w:val="left" w:pos="840"/>
        </w:tabs>
        <w:snapToGrid w:val="0"/>
        <w:spacing w:line="360" w:lineRule="auto"/>
        <w:ind w:firstLine="480" w:firstLineChars="200"/>
        <w:rPr>
          <w:rFonts w:hint="eastAsia" w:hAnsi="宋体" w:cs="宋体"/>
          <w:sz w:val="24"/>
        </w:rPr>
      </w:pPr>
      <w:r>
        <w:rPr>
          <w:rFonts w:hint="eastAsia" w:hAnsi="宋体" w:cs="宋体"/>
          <w:b w:val="0"/>
          <w:bCs w:val="0"/>
          <w:color w:val="auto"/>
          <w:sz w:val="24"/>
        </w:rPr>
        <w:t>1.</w:t>
      </w:r>
      <w:r>
        <w:rPr>
          <w:rFonts w:hint="eastAsia" w:ascii="宋体" w:hAnsi="宋体" w:eastAsia="宋体" w:cs="宋体"/>
          <w:b w:val="0"/>
          <w:bCs w:val="0"/>
          <w:color w:val="auto"/>
          <w:sz w:val="24"/>
        </w:rPr>
        <w:t>质保期</w:t>
      </w:r>
      <w:r>
        <w:rPr>
          <w:rFonts w:hint="eastAsia" w:hAnsi="宋体" w:cs="宋体"/>
          <w:b w:val="0"/>
          <w:bCs w:val="0"/>
          <w:color w:val="auto"/>
          <w:sz w:val="24"/>
        </w:rPr>
        <w:t>为验收合格后不少于</w:t>
      </w:r>
      <w:r>
        <w:rPr>
          <w:rFonts w:hint="eastAsia" w:hAnsi="宋体" w:cs="宋体"/>
          <w:b w:val="0"/>
          <w:bCs w:val="0"/>
          <w:color w:val="auto"/>
          <w:sz w:val="24"/>
          <w:u w:val="single"/>
        </w:rPr>
        <w:t xml:space="preserve">  </w:t>
      </w:r>
      <w:r>
        <w:rPr>
          <w:rFonts w:hint="eastAsia" w:hAnsi="宋体" w:cs="宋体"/>
          <w:b w:val="0"/>
          <w:bCs w:val="0"/>
          <w:color w:val="auto"/>
          <w:sz w:val="24"/>
          <w:u w:val="single"/>
          <w:lang w:val="en-US" w:eastAsia="zh-CN"/>
        </w:rPr>
        <w:t>1</w:t>
      </w:r>
      <w:r>
        <w:rPr>
          <w:rFonts w:hint="eastAsia" w:hAnsi="宋体" w:cs="宋体"/>
          <w:b w:val="0"/>
          <w:bCs w:val="0"/>
          <w:color w:val="auto"/>
          <w:sz w:val="24"/>
          <w:u w:val="single"/>
        </w:rPr>
        <w:t xml:space="preserve">  </w:t>
      </w:r>
      <w:r>
        <w:rPr>
          <w:rFonts w:hint="eastAsia" w:hAnsi="宋体" w:cs="宋体"/>
          <w:b w:val="0"/>
          <w:bCs w:val="0"/>
          <w:color w:val="auto"/>
          <w:sz w:val="24"/>
          <w:u w:val="none"/>
          <w:lang w:val="en-US" w:eastAsia="zh-CN"/>
        </w:rPr>
        <w:t>年，</w:t>
      </w:r>
      <w:r>
        <w:rPr>
          <w:rFonts w:hint="eastAsia" w:hAnsi="宋体" w:cs="宋体"/>
          <w:b w:val="0"/>
          <w:bCs w:val="0"/>
          <w:color w:val="auto"/>
          <w:sz w:val="24"/>
        </w:rPr>
        <w:t>成交供应商承诺的质保时</w:t>
      </w:r>
      <w:r>
        <w:rPr>
          <w:rFonts w:hint="eastAsia" w:hAnsi="宋体" w:cs="宋体"/>
          <w:b w:val="0"/>
          <w:bCs w:val="0"/>
          <w:sz w:val="24"/>
        </w:rPr>
        <w:t>间超过</w:t>
      </w:r>
      <w:r>
        <w:rPr>
          <w:rFonts w:hint="eastAsia" w:cs="宋体"/>
          <w:b w:val="0"/>
          <w:bCs/>
          <w:color w:val="auto"/>
          <w:kern w:val="2"/>
          <w:sz w:val="24"/>
          <w:szCs w:val="24"/>
          <w:highlight w:val="none"/>
          <w:lang w:val="en-US" w:eastAsia="zh-CN" w:bidi="ar-SA"/>
        </w:rPr>
        <w:t>谈判</w:t>
      </w:r>
      <w:r>
        <w:rPr>
          <w:rFonts w:hint="eastAsia" w:hAnsi="宋体" w:cs="宋体"/>
          <w:b w:val="0"/>
          <w:bCs w:val="0"/>
          <w:sz w:val="24"/>
        </w:rPr>
        <w:t>文</w:t>
      </w:r>
      <w:r>
        <w:rPr>
          <w:rFonts w:hint="eastAsia" w:hAnsi="宋体" w:cs="宋体"/>
          <w:sz w:val="24"/>
        </w:rPr>
        <w:t>件要求的，按其承诺时间质保。</w:t>
      </w:r>
    </w:p>
    <w:p>
      <w:pPr>
        <w:tabs>
          <w:tab w:val="left" w:pos="840"/>
        </w:tabs>
        <w:snapToGrid w:val="0"/>
        <w:spacing w:line="360" w:lineRule="auto"/>
        <w:ind w:firstLine="480" w:firstLineChars="200"/>
      </w:pPr>
      <w:r>
        <w:rPr>
          <w:rFonts w:hint="eastAsia" w:hAnsi="宋体" w:cs="宋体"/>
          <w:sz w:val="24"/>
        </w:rPr>
        <w:t>2.成交供应商承诺的质保期起始时间为验收合格之日。</w:t>
      </w:r>
    </w:p>
    <w:bookmarkEnd w:id="153"/>
    <w:bookmarkEnd w:id="154"/>
    <w:bookmarkEnd w:id="155"/>
    <w:bookmarkEnd w:id="156"/>
    <w:p>
      <w:pPr>
        <w:adjustRightInd w:val="0"/>
        <w:snapToGrid w:val="0"/>
        <w:spacing w:line="360" w:lineRule="auto"/>
        <w:rPr>
          <w:rFonts w:hint="eastAsia" w:hAnsi="宋体" w:cs="宋体"/>
          <w:b/>
          <w:sz w:val="24"/>
        </w:rPr>
      </w:pPr>
      <w:bookmarkStart w:id="157" w:name="_Toc21696"/>
      <w:bookmarkStart w:id="158" w:name="_Toc23493"/>
      <w:bookmarkStart w:id="159" w:name="_Toc15532"/>
      <w:bookmarkStart w:id="160" w:name="_Toc14840"/>
      <w:r>
        <w:rPr>
          <w:rFonts w:hint="eastAsia" w:hAnsi="宋体" w:cs="宋体"/>
          <w:b/>
          <w:sz w:val="24"/>
        </w:rPr>
        <w:t>1.6质  量：</w:t>
      </w:r>
      <w:bookmarkEnd w:id="157"/>
      <w:bookmarkEnd w:id="158"/>
      <w:bookmarkEnd w:id="159"/>
      <w:bookmarkEnd w:id="160"/>
    </w:p>
    <w:p>
      <w:pPr>
        <w:tabs>
          <w:tab w:val="left" w:pos="840"/>
        </w:tabs>
        <w:snapToGrid w:val="0"/>
        <w:spacing w:line="360" w:lineRule="auto"/>
        <w:ind w:firstLine="480" w:firstLineChars="200"/>
        <w:rPr>
          <w:rFonts w:hint="eastAsia" w:ascii="宋体" w:hAnsi="宋体" w:cs="宋体"/>
          <w:color w:val="auto"/>
          <w:sz w:val="24"/>
          <w:highlight w:val="none"/>
        </w:rPr>
      </w:pPr>
      <w:bookmarkStart w:id="161" w:name="_Toc167715250"/>
      <w:bookmarkStart w:id="162" w:name="_Toc167714053"/>
      <w:bookmarkStart w:id="163" w:name="_Toc167712855"/>
      <w:bookmarkStart w:id="164" w:name="_Toc167714055"/>
      <w:bookmarkStart w:id="165" w:name="_Toc167712856"/>
      <w:bookmarkStart w:id="166" w:name="_Toc167714054"/>
      <w:bookmarkStart w:id="167" w:name="_Toc167712857"/>
      <w:bookmarkStart w:id="168" w:name="_Toc167715251"/>
      <w:bookmarkStart w:id="169" w:name="_Toc167715252"/>
      <w:r>
        <w:rPr>
          <w:rFonts w:hint="eastAsia" w:ascii="宋体" w:hAnsi="宋体" w:cs="宋体"/>
          <w:color w:val="auto"/>
          <w:sz w:val="24"/>
          <w:highlight w:val="none"/>
        </w:rPr>
        <w:t>1.</w:t>
      </w:r>
      <w:bookmarkEnd w:id="161"/>
      <w:bookmarkEnd w:id="162"/>
      <w:bookmarkEnd w:id="163"/>
      <w:r>
        <w:rPr>
          <w:rFonts w:hint="eastAsia" w:ascii="宋体" w:hAnsi="宋体" w:cs="宋体"/>
          <w:bCs/>
          <w:color w:val="auto"/>
          <w:sz w:val="24"/>
          <w:highlight w:val="none"/>
        </w:rPr>
        <w:t>所有产品质量必须符合行业标准，国标有强制性规定或政策要求的按国标执行。所有货物必须是未使用过的新产品，质量优良、渠道正当。</w:t>
      </w:r>
    </w:p>
    <w:p>
      <w:pPr>
        <w:tabs>
          <w:tab w:val="left" w:pos="840"/>
        </w:tabs>
        <w:snapToGrid w:val="0"/>
        <w:spacing w:line="360" w:lineRule="auto"/>
        <w:ind w:firstLine="480" w:firstLineChars="200"/>
        <w:rPr>
          <w:rFonts w:hint="eastAsia" w:hAnsi="宋体" w:cs="宋体"/>
          <w:color w:val="auto"/>
          <w:sz w:val="24"/>
        </w:rPr>
      </w:pPr>
      <w:r>
        <w:rPr>
          <w:rFonts w:hint="eastAsia" w:hAnsi="宋体" w:cs="宋体"/>
          <w:color w:val="auto"/>
          <w:sz w:val="24"/>
        </w:rPr>
        <w:t>2.质保期出现的质量问题由成交供应商负责解决并承担所有费用。质保期后如需维修，成交供应商应以优惠价提供。</w:t>
      </w:r>
      <w:bookmarkEnd w:id="164"/>
      <w:bookmarkEnd w:id="165"/>
      <w:bookmarkEnd w:id="166"/>
      <w:bookmarkEnd w:id="167"/>
      <w:bookmarkEnd w:id="168"/>
      <w:bookmarkEnd w:id="169"/>
    </w:p>
    <w:p>
      <w:pPr>
        <w:autoSpaceDE w:val="0"/>
        <w:autoSpaceDN w:val="0"/>
        <w:adjustRightInd w:val="0"/>
        <w:snapToGrid w:val="0"/>
        <w:spacing w:line="348" w:lineRule="auto"/>
        <w:rPr>
          <w:rFonts w:hint="eastAsia" w:ascii="宋体" w:hAnsi="宋体" w:cs="宋体"/>
          <w:b/>
          <w:sz w:val="24"/>
          <w:highlight w:val="none"/>
        </w:rPr>
      </w:pPr>
      <w:r>
        <w:rPr>
          <w:rFonts w:hint="eastAsia" w:ascii="宋体" w:hAnsi="宋体" w:eastAsia="宋体" w:cs="宋体"/>
          <w:b/>
          <w:sz w:val="24"/>
        </w:rPr>
        <w:t>1.7</w:t>
      </w:r>
      <w:r>
        <w:rPr>
          <w:rFonts w:hint="eastAsia" w:ascii="宋体" w:hAnsi="宋体" w:cs="宋体"/>
          <w:b/>
          <w:sz w:val="24"/>
          <w:highlight w:val="none"/>
        </w:rPr>
        <w:t>包装、运输、安装及调试要求：</w:t>
      </w:r>
    </w:p>
    <w:p>
      <w:pPr>
        <w:widowControl/>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1.包装：应采取防潮、防晒、防腐蚀、防震动及防止其它损坏的必要措施。</w:t>
      </w:r>
      <w:r>
        <w:rPr>
          <w:rFonts w:hint="eastAsia" w:ascii="宋体" w:hAnsi="宋体" w:cs="宋体"/>
          <w:sz w:val="24"/>
          <w:highlight w:val="none"/>
          <w:lang w:eastAsia="zh-CN"/>
        </w:rPr>
        <w:t>中标人</w:t>
      </w:r>
      <w:r>
        <w:rPr>
          <w:rFonts w:hint="eastAsia" w:ascii="宋体" w:hAnsi="宋体" w:cs="宋体"/>
          <w:sz w:val="24"/>
          <w:highlight w:val="none"/>
        </w:rPr>
        <w:t>应承担由于其包装或防护措施不妥而引起的货物锈蚀、损坏和丢失等任何损失造成的责任或费用。</w:t>
      </w:r>
    </w:p>
    <w:p>
      <w:pPr>
        <w:widowControl/>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2.运输：选择运输风险小、运费低、距离短的运输路线。运杂费一次包死在总价内，包括生产厂到施工现场所需的装卸、运输（含保险费）、现场保管费、二次倒运费、吊装费等费用。</w:t>
      </w:r>
    </w:p>
    <w:p>
      <w:pPr>
        <w:widowControl/>
        <w:snapToGrid w:val="0"/>
        <w:spacing w:line="360" w:lineRule="auto"/>
        <w:ind w:firstLine="480" w:firstLineChars="200"/>
        <w:jc w:val="left"/>
        <w:rPr>
          <w:rFonts w:hint="eastAsia" w:ascii="宋体" w:hAnsi="宋体" w:eastAsia="宋体" w:cs="宋体"/>
          <w:b/>
          <w:sz w:val="24"/>
        </w:rPr>
      </w:pPr>
      <w:r>
        <w:rPr>
          <w:rFonts w:hint="eastAsia" w:ascii="宋体" w:hAnsi="宋体" w:cs="宋体"/>
          <w:sz w:val="24"/>
          <w:highlight w:val="none"/>
        </w:rPr>
        <w:t>3.安装、调试：</w:t>
      </w:r>
      <w:r>
        <w:rPr>
          <w:rFonts w:hint="eastAsia" w:ascii="宋体" w:hAnsi="宋体" w:cs="宋体"/>
          <w:sz w:val="24"/>
          <w:highlight w:val="none"/>
          <w:lang w:eastAsia="zh-CN"/>
        </w:rPr>
        <w:t>中标人</w:t>
      </w:r>
      <w:r>
        <w:rPr>
          <w:rFonts w:hint="eastAsia" w:ascii="宋体" w:hAnsi="宋体" w:cs="宋体"/>
          <w:sz w:val="24"/>
          <w:highlight w:val="none"/>
        </w:rPr>
        <w:t>负责所有设</w:t>
      </w:r>
      <w:r>
        <w:rPr>
          <w:rFonts w:hint="eastAsia" w:ascii="宋体" w:hAnsi="宋体" w:eastAsia="宋体" w:cs="宋体"/>
          <w:sz w:val="24"/>
          <w:highlight w:val="none"/>
        </w:rPr>
        <w:t>备的安装</w:t>
      </w:r>
      <w:r>
        <w:rPr>
          <w:rFonts w:hint="eastAsia" w:ascii="宋体" w:hAnsi="宋体" w:cs="宋体"/>
          <w:sz w:val="24"/>
          <w:highlight w:val="none"/>
        </w:rPr>
        <w:t>、调试、培训工作，所有费用一次包死在总价内。</w:t>
      </w:r>
    </w:p>
    <w:p>
      <w:pPr>
        <w:widowControl/>
        <w:snapToGrid w:val="0"/>
        <w:spacing w:line="360" w:lineRule="auto"/>
        <w:jc w:val="left"/>
        <w:rPr>
          <w:rFonts w:hint="eastAsia" w:hAnsi="宋体" w:cs="宋体"/>
          <w:b/>
          <w:sz w:val="24"/>
        </w:rPr>
      </w:pPr>
      <w:r>
        <w:rPr>
          <w:rFonts w:hint="eastAsia" w:hAnsi="宋体" w:cs="宋体"/>
          <w:b/>
          <w:sz w:val="24"/>
        </w:rPr>
        <w:t>1.</w:t>
      </w:r>
      <w:r>
        <w:rPr>
          <w:rFonts w:hint="eastAsia" w:hAnsi="宋体" w:cs="宋体"/>
          <w:b/>
          <w:sz w:val="24"/>
          <w:lang w:val="en-US" w:eastAsia="zh-CN"/>
        </w:rPr>
        <w:t>8</w:t>
      </w:r>
      <w:r>
        <w:rPr>
          <w:rFonts w:hint="eastAsia" w:hAnsi="宋体" w:cs="宋体"/>
          <w:b/>
          <w:sz w:val="24"/>
        </w:rPr>
        <w:t>验  收：</w:t>
      </w:r>
      <w:r>
        <w:rPr>
          <w:rFonts w:hint="eastAsia" w:hAnsi="宋体" w:cs="宋体"/>
          <w:bCs/>
          <w:sz w:val="24"/>
        </w:rPr>
        <w:t>成交供应商配合采购人验收；若存在验收费用，由乙方自行承担。</w:t>
      </w:r>
    </w:p>
    <w:p>
      <w:pPr>
        <w:widowControl/>
        <w:snapToGrid w:val="0"/>
        <w:spacing w:line="360" w:lineRule="auto"/>
        <w:jc w:val="left"/>
        <w:rPr>
          <w:rFonts w:hint="eastAsia" w:hAnsi="宋体" w:cs="宋体"/>
          <w:b/>
          <w:sz w:val="24"/>
        </w:rPr>
      </w:pPr>
      <w:r>
        <w:rPr>
          <w:rFonts w:hint="eastAsia" w:hAnsi="宋体" w:cs="宋体"/>
          <w:b/>
          <w:sz w:val="24"/>
        </w:rPr>
        <w:t>1.</w:t>
      </w:r>
      <w:r>
        <w:rPr>
          <w:rFonts w:hint="eastAsia" w:hAnsi="宋体" w:cs="宋体"/>
          <w:b/>
          <w:sz w:val="24"/>
          <w:lang w:val="en-US" w:eastAsia="zh-CN"/>
        </w:rPr>
        <w:t>9</w:t>
      </w:r>
      <w:r>
        <w:rPr>
          <w:rFonts w:hint="eastAsia" w:hAnsi="宋体" w:cs="宋体"/>
          <w:b/>
          <w:sz w:val="24"/>
        </w:rPr>
        <w:t>验收要求：</w:t>
      </w:r>
    </w:p>
    <w:p>
      <w:pPr>
        <w:pageBreakBefore w:val="0"/>
        <w:widowControl/>
        <w:kinsoku/>
        <w:wordWrap/>
        <w:overflowPunct/>
        <w:topLinePunct w:val="0"/>
        <w:bidi w:val="0"/>
        <w:snapToGrid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1.货物到达交货地点，安装调试正常后，由采购人根据采购合同约定，对货物的名称、品牌、规格、型号、产地、数量进行检查。</w:t>
      </w:r>
    </w:p>
    <w:p>
      <w:pPr>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2.产品安装、调试</w:t>
      </w:r>
      <w:r>
        <w:rPr>
          <w:rFonts w:hint="eastAsia" w:ascii="宋体" w:hAnsi="宋体" w:cs="宋体"/>
          <w:bCs/>
          <w:color w:val="auto"/>
          <w:sz w:val="24"/>
          <w:highlight w:val="none"/>
          <w:lang w:val="en-US" w:eastAsia="zh-CN"/>
        </w:rPr>
        <w:t>至</w:t>
      </w:r>
      <w:r>
        <w:rPr>
          <w:rFonts w:hint="eastAsia" w:ascii="宋体" w:hAnsi="宋体" w:cs="宋体"/>
          <w:bCs/>
          <w:color w:val="auto"/>
          <w:sz w:val="24"/>
          <w:highlight w:val="none"/>
        </w:rPr>
        <w:t>正常运行，</w:t>
      </w:r>
      <w:r>
        <w:rPr>
          <w:rFonts w:hint="eastAsia" w:ascii="宋体" w:hAnsi="宋体" w:cs="宋体"/>
          <w:bCs/>
          <w:color w:val="auto"/>
          <w:sz w:val="24"/>
          <w:highlight w:val="none"/>
          <w:lang w:val="en-US" w:eastAsia="zh-CN"/>
        </w:rPr>
        <w:t>技术培训完成后，</w:t>
      </w:r>
      <w:r>
        <w:rPr>
          <w:rFonts w:hint="eastAsia" w:ascii="宋体" w:hAnsi="宋体" w:cs="宋体"/>
          <w:bCs/>
          <w:color w:val="auto"/>
          <w:sz w:val="24"/>
          <w:highlight w:val="none"/>
        </w:rPr>
        <w:t>由乙方进行自检，合格后，准备验收文件，并书面通知甲方验收。</w:t>
      </w:r>
    </w:p>
    <w:p>
      <w:pPr>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rPr>
        <w:t>3.乙方向甲方提交产品实施过程中的所有资料</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以便甲方日后管理和维护。</w:t>
      </w:r>
    </w:p>
    <w:p>
      <w:pPr>
        <w:autoSpaceDE w:val="0"/>
        <w:autoSpaceDN w:val="0"/>
        <w:adjustRightInd w:val="0"/>
        <w:spacing w:line="348" w:lineRule="auto"/>
        <w:rPr>
          <w:rFonts w:hint="eastAsia" w:hAnsi="宋体" w:cs="宋体"/>
          <w:bCs/>
          <w:sz w:val="24"/>
        </w:rPr>
      </w:pPr>
      <w:r>
        <w:rPr>
          <w:rFonts w:hint="eastAsia" w:hAnsi="宋体" w:cs="宋体"/>
          <w:b/>
          <w:sz w:val="24"/>
        </w:rPr>
        <w:t>1.</w:t>
      </w:r>
      <w:r>
        <w:rPr>
          <w:rFonts w:hint="eastAsia" w:hAnsi="宋体" w:cs="宋体"/>
          <w:b/>
          <w:sz w:val="24"/>
          <w:lang w:val="en-US" w:eastAsia="zh-CN"/>
        </w:rPr>
        <w:t>10</w:t>
      </w:r>
      <w:r>
        <w:rPr>
          <w:rFonts w:hint="eastAsia" w:hAnsi="宋体" w:cs="宋体"/>
          <w:b/>
          <w:sz w:val="24"/>
        </w:rPr>
        <w:t>验收依据：</w:t>
      </w:r>
    </w:p>
    <w:p>
      <w:pPr>
        <w:autoSpaceDE w:val="0"/>
        <w:autoSpaceDN w:val="0"/>
        <w:adjustRightInd w:val="0"/>
        <w:snapToGrid w:val="0"/>
        <w:spacing w:line="360" w:lineRule="auto"/>
        <w:ind w:firstLine="480" w:firstLineChars="200"/>
        <w:rPr>
          <w:rFonts w:hint="eastAsia" w:hAnsi="宋体" w:cs="宋体"/>
          <w:bCs/>
          <w:color w:val="000000"/>
          <w:sz w:val="24"/>
        </w:rPr>
      </w:pPr>
      <w:bookmarkStart w:id="170" w:name="_Toc3102"/>
      <w:r>
        <w:rPr>
          <w:rFonts w:hint="eastAsia" w:hAnsi="宋体" w:cs="宋体"/>
          <w:bCs/>
          <w:color w:val="000000"/>
          <w:sz w:val="24"/>
        </w:rPr>
        <w:t>1.本合同及附加文本；</w:t>
      </w:r>
    </w:p>
    <w:p>
      <w:pPr>
        <w:autoSpaceDE w:val="0"/>
        <w:autoSpaceDN w:val="0"/>
        <w:adjustRightInd w:val="0"/>
        <w:snapToGrid w:val="0"/>
        <w:spacing w:line="360" w:lineRule="auto"/>
        <w:ind w:firstLine="480" w:firstLineChars="200"/>
        <w:rPr>
          <w:rFonts w:hint="eastAsia" w:hAnsi="宋体" w:cs="宋体"/>
          <w:bCs/>
          <w:color w:val="000000"/>
          <w:sz w:val="24"/>
        </w:rPr>
      </w:pPr>
      <w:r>
        <w:rPr>
          <w:rFonts w:hint="eastAsia" w:hAnsi="宋体" w:cs="宋体"/>
          <w:bCs/>
          <w:color w:val="000000"/>
          <w:sz w:val="24"/>
        </w:rPr>
        <w:t>2.</w:t>
      </w:r>
      <w:r>
        <w:rPr>
          <w:rFonts w:hint="eastAsia" w:hAnsi="宋体" w:cs="宋体"/>
          <w:bCs/>
          <w:color w:val="000000"/>
          <w:sz w:val="24"/>
          <w:lang w:val="en-US" w:eastAsia="zh-CN"/>
        </w:rPr>
        <w:t>谈判</w:t>
      </w:r>
      <w:r>
        <w:rPr>
          <w:rFonts w:hint="eastAsia" w:hAnsi="宋体" w:cs="宋体"/>
          <w:bCs/>
          <w:color w:val="000000"/>
          <w:sz w:val="24"/>
        </w:rPr>
        <w:t>文件、成交供应商的</w:t>
      </w:r>
      <w:r>
        <w:rPr>
          <w:rFonts w:hint="eastAsia" w:hAnsi="宋体" w:cs="宋体"/>
          <w:bCs/>
          <w:color w:val="000000"/>
          <w:sz w:val="24"/>
          <w:lang w:val="en-US" w:eastAsia="zh-CN"/>
        </w:rPr>
        <w:t>谈判</w:t>
      </w:r>
      <w:r>
        <w:rPr>
          <w:rFonts w:hint="eastAsia" w:hAnsi="宋体" w:cs="宋体"/>
          <w:bCs/>
          <w:color w:val="000000"/>
          <w:sz w:val="24"/>
        </w:rPr>
        <w:t>响应文件及澄清函、承诺函；</w:t>
      </w:r>
    </w:p>
    <w:bookmarkEnd w:id="170"/>
    <w:p>
      <w:pPr>
        <w:pStyle w:val="4"/>
        <w:spacing w:before="0" w:after="120" w:afterLines="50" w:line="360" w:lineRule="auto"/>
        <w:rPr>
          <w:rFonts w:ascii="宋体" w:hAnsi="宋体" w:eastAsia="宋体" w:cs="宋体"/>
          <w:bCs/>
          <w:sz w:val="24"/>
          <w:szCs w:val="24"/>
        </w:rPr>
      </w:pPr>
      <w:r>
        <w:rPr>
          <w:rFonts w:hint="eastAsia" w:ascii="宋体" w:hAnsi="宋体" w:eastAsia="宋体" w:cs="宋体"/>
          <w:bCs/>
          <w:sz w:val="24"/>
          <w:szCs w:val="24"/>
        </w:rPr>
        <w:t>（二）商务条件响应说明</w:t>
      </w:r>
      <w:bookmarkEnd w:id="143"/>
      <w:bookmarkEnd w:id="144"/>
    </w:p>
    <w:p>
      <w:pPr>
        <w:widowControl/>
        <w:snapToGrid w:val="0"/>
        <w:spacing w:line="360" w:lineRule="auto"/>
        <w:jc w:val="left"/>
        <w:rPr>
          <w:rFonts w:ascii="宋体" w:hAnsi="宋体" w:cs="宋体"/>
          <w:bCs/>
          <w:sz w:val="24"/>
        </w:rPr>
      </w:pPr>
      <w:r>
        <w:rPr>
          <w:rFonts w:hint="eastAsia" w:ascii="宋体" w:hAnsi="宋体" w:cs="宋体"/>
          <w:bCs/>
          <w:sz w:val="24"/>
        </w:rPr>
        <w:t>1.主要商务条款为合同条款的补充内容，与合同格式中规定不一致的，以本商务条款为准。</w:t>
      </w:r>
    </w:p>
    <w:p>
      <w:pPr>
        <w:widowControl/>
        <w:snapToGrid w:val="0"/>
        <w:spacing w:line="360" w:lineRule="auto"/>
        <w:jc w:val="left"/>
        <w:rPr>
          <w:rFonts w:ascii="宋体" w:hAnsi="宋体" w:cs="宋体"/>
          <w:bCs/>
          <w:sz w:val="24"/>
        </w:rPr>
      </w:pPr>
      <w:r>
        <w:rPr>
          <w:rFonts w:hint="eastAsia" w:ascii="宋体" w:hAnsi="宋体" w:cs="宋体"/>
          <w:bCs/>
          <w:sz w:val="24"/>
        </w:rPr>
        <w:t>2.供应商在谈判响应文件中应对上表所列的商务条款和要求做出逐条响应，供应商对商务条款的响应将作为合同的主要内容。</w:t>
      </w:r>
    </w:p>
    <w:p>
      <w:pPr>
        <w:widowControl/>
        <w:snapToGrid w:val="0"/>
        <w:spacing w:line="360" w:lineRule="auto"/>
        <w:jc w:val="left"/>
      </w:pPr>
      <w:r>
        <w:rPr>
          <w:rFonts w:hint="eastAsia" w:ascii="宋体" w:hAnsi="宋体" w:cs="宋体"/>
          <w:bCs/>
          <w:sz w:val="24"/>
        </w:rPr>
        <w:t>3.主要商务条款为实质性要求，不接受负偏离。</w:t>
      </w:r>
    </w:p>
    <w:bookmarkEnd w:id="134"/>
    <w:p>
      <w:pPr>
        <w:pStyle w:val="4"/>
        <w:spacing w:before="0" w:after="120" w:afterLines="50" w:line="360" w:lineRule="auto"/>
        <w:rPr>
          <w:rFonts w:ascii="宋体" w:hAnsi="宋体" w:eastAsia="宋体" w:cs="宋体"/>
          <w:bCs/>
          <w:sz w:val="24"/>
          <w:szCs w:val="24"/>
        </w:rPr>
      </w:pPr>
      <w:bookmarkStart w:id="171" w:name="_Toc71729641"/>
      <w:bookmarkStart w:id="172" w:name="_Toc21161"/>
      <w:r>
        <w:rPr>
          <w:rFonts w:hint="eastAsia" w:ascii="宋体" w:hAnsi="宋体" w:eastAsia="宋体" w:cs="宋体"/>
          <w:bCs/>
          <w:sz w:val="24"/>
          <w:szCs w:val="24"/>
        </w:rPr>
        <w:t>二、采购内容</w:t>
      </w:r>
      <w:bookmarkEnd w:id="171"/>
      <w:bookmarkEnd w:id="172"/>
    </w:p>
    <w:p>
      <w:pPr>
        <w:numPr>
          <w:ilvl w:val="0"/>
          <w:numId w:val="0"/>
        </w:numPr>
        <w:spacing w:line="360" w:lineRule="auto"/>
        <w:rPr>
          <w:rFonts w:hint="eastAsia"/>
          <w:b/>
          <w:bCs/>
          <w:sz w:val="24"/>
          <w:szCs w:val="24"/>
          <w:lang w:val="en-US" w:eastAsia="zh-CN"/>
        </w:rPr>
      </w:pPr>
      <w:r>
        <w:rPr>
          <w:rFonts w:hint="eastAsia"/>
          <w:b/>
          <w:bCs/>
          <w:sz w:val="24"/>
          <w:szCs w:val="24"/>
          <w:lang w:val="en-US" w:eastAsia="zh-CN"/>
        </w:rPr>
        <w:t>（一）、设备要求（含安装到位，辅料包含在内）</w:t>
      </w:r>
    </w:p>
    <w:tbl>
      <w:tblPr>
        <w:tblStyle w:val="3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1"/>
        <w:gridCol w:w="1128"/>
        <w:gridCol w:w="1883"/>
        <w:gridCol w:w="4479"/>
        <w:gridCol w:w="688"/>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3522" w:type="dxa"/>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中一实训室</w:t>
            </w:r>
          </w:p>
        </w:tc>
        <w:tc>
          <w:tcPr>
            <w:tcW w:w="4479" w:type="dxa"/>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u w:val="none"/>
                <w:lang w:val="en-US" w:eastAsia="zh-CN"/>
                <w14:textFill>
                  <w14:solidFill>
                    <w14:schemeClr w14:val="tx1"/>
                  </w14:solidFill>
                </w14:textFill>
              </w:rPr>
              <w:t>技术参数要求</w:t>
            </w:r>
          </w:p>
        </w:tc>
        <w:tc>
          <w:tcPr>
            <w:tcW w:w="688" w:type="dxa"/>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单位</w:t>
            </w:r>
          </w:p>
        </w:tc>
        <w:tc>
          <w:tcPr>
            <w:tcW w:w="704" w:type="dxa"/>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单炒单温灶（自燃）</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1000*800*1070mm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1、炉面采用SUS304#-2B实厚不小于1.5㎜厚磨砂贴塑不锈钢板,侧板前板采用实厚不小于1.2㎜厚磨砂贴塑不锈钢板，台面一次压制成型；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2、外旁板、门及后立板厚度实厚不小于1.2mm厚磨砂贴塑不锈钢板，底板由实厚不小于50*50*5mm 角铁架及实厚不小于3mm黑铁板焊接组成；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3、苏式高质点膛砖，自燃式礼炮炉头（至少16孔），加装熄火保护、电子打火装置，配加厚支锅架（炉圈有缺口）、摇摆优质不锈钢水龙头；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4、炉通脚为φ50无缝不锈钢管；炉通脚内含支撑炉身的钢管（钢管厚度实厚不小于2.5mm）以及可调炉身高度的子弹脚；</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Style w:val="97"/>
                <w:rFonts w:hint="eastAsia" w:ascii="宋体" w:hAnsi="宋体" w:eastAsia="宋体" w:cs="宋体"/>
                <w:color w:val="000000" w:themeColor="text1"/>
                <w:sz w:val="24"/>
                <w:szCs w:val="24"/>
                <w:lang w:val="en-US" w:eastAsia="zh-CN" w:bidi="ar"/>
                <w14:textFill>
                  <w14:solidFill>
                    <w14:schemeClr w14:val="tx1"/>
                  </w14:solidFill>
                </w14:textFill>
              </w:rPr>
              <w:t>5、不锈钢接缝部分为满焊且打磨光滑。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2" w:hRule="atLeast"/>
        </w:trPr>
        <w:tc>
          <w:tcPr>
            <w:tcW w:w="51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12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工作台连水池带调料车</w:t>
            </w:r>
          </w:p>
        </w:tc>
        <w:tc>
          <w:tcPr>
            <w:tcW w:w="188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1100*1600*800mm</w:t>
            </w:r>
          </w:p>
        </w:tc>
        <w:tc>
          <w:tcPr>
            <w:tcW w:w="4479" w:type="dxa"/>
            <w:shd w:val="clear" w:color="auto" w:fill="auto"/>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面板采用SUS304-2B磨砂纹贴塑实厚不小于1.5mm厚不锈钢板制作；内衬实厚不小于18mm防水机制板并用实厚不小于1.2mm厚不锈钢板折成加强筋加固；</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侧板、层板、门板、底板及其他辅助板实厚不小于1.2㎜厚磨砂贴塑不锈钢板；</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台内两层，隔板采用内衬实厚不小于18mm防水机制板并用实厚不小于1.2mm厚不锈钢板折成加强筋加固；</w:t>
            </w:r>
          </w:p>
          <w:p>
            <w:pPr>
              <w:pStyle w:val="34"/>
              <w:keepNext w:val="0"/>
              <w:keepLines w:val="0"/>
              <w:pageBreakBefore w:val="0"/>
              <w:numPr>
                <w:ilvl w:val="0"/>
                <w:numId w:val="9"/>
              </w:numPr>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工作台脚内含支撑工作台身的钢管（钢管厚度实厚不小于2.5mm）以及可调工作台高度的子弹脚。</w:t>
            </w:r>
          </w:p>
          <w:p>
            <w:pPr>
              <w:pStyle w:val="34"/>
              <w:keepNext w:val="0"/>
              <w:keepLines w:val="0"/>
              <w:pageBreakBefore w:val="0"/>
              <w:numPr>
                <w:ilvl w:val="0"/>
                <w:numId w:val="9"/>
              </w:numPr>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color w:val="auto"/>
                <w:sz w:val="24"/>
                <w:szCs w:val="24"/>
              </w:rPr>
            </w:pPr>
            <w:r>
              <w:rPr>
                <w:rStyle w:val="97"/>
                <w:rFonts w:hint="eastAsia" w:ascii="宋体" w:hAnsi="宋体" w:eastAsia="宋体" w:cs="宋体"/>
                <w:color w:val="auto"/>
                <w:sz w:val="24"/>
                <w:szCs w:val="24"/>
                <w:lang w:val="en-US" w:eastAsia="zh-CN" w:bidi="ar"/>
              </w:rPr>
              <w:t>不锈钢接缝部分为满焊且打磨光滑。</w:t>
            </w:r>
          </w:p>
        </w:tc>
        <w:tc>
          <w:tcPr>
            <w:tcW w:w="68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70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51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12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88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4479"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Style w:val="64"/>
                <w:rFonts w:hint="eastAsia" w:ascii="宋体" w:hAnsi="宋体" w:eastAsia="宋体" w:cs="宋体"/>
                <w:color w:val="auto"/>
                <w:sz w:val="24"/>
                <w:szCs w:val="24"/>
                <w:lang w:val="en-US" w:eastAsia="zh-CN" w:bidi="ar"/>
              </w:rPr>
            </w:pPr>
            <w:r>
              <w:rPr>
                <w:rStyle w:val="64"/>
                <w:rFonts w:hint="eastAsia" w:ascii="宋体" w:hAnsi="宋体" w:eastAsia="宋体" w:cs="宋体"/>
                <w:color w:val="auto"/>
                <w:sz w:val="24"/>
                <w:szCs w:val="24"/>
                <w:lang w:val="en-US" w:eastAsia="zh-CN" w:bidi="ar"/>
              </w:rPr>
              <w:t>1、嵌入式水池，水池尺寸：</w:t>
            </w:r>
            <w:r>
              <w:rPr>
                <w:rStyle w:val="100"/>
                <w:rFonts w:hint="eastAsia" w:ascii="宋体" w:hAnsi="宋体" w:eastAsia="宋体" w:cs="宋体"/>
                <w:color w:val="auto"/>
                <w:sz w:val="24"/>
                <w:szCs w:val="24"/>
                <w:lang w:val="en-US" w:eastAsia="zh-CN" w:bidi="ar"/>
              </w:rPr>
              <w:t>500mm*500mm，深度300mm以上。工作台水池侧双开门设计。</w:t>
            </w:r>
          </w:p>
        </w:tc>
        <w:tc>
          <w:tcPr>
            <w:tcW w:w="68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70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6" w:hRule="atLeast"/>
        </w:trPr>
        <w:tc>
          <w:tcPr>
            <w:tcW w:w="51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12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88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4479"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Style w:val="64"/>
                <w:rFonts w:hint="eastAsia" w:ascii="宋体" w:hAnsi="宋体" w:eastAsia="宋体" w:cs="宋体"/>
                <w:color w:val="auto"/>
                <w:sz w:val="24"/>
                <w:szCs w:val="24"/>
                <w:lang w:val="en-US" w:eastAsia="zh-CN" w:bidi="ar"/>
              </w:rPr>
            </w:pPr>
            <w:r>
              <w:rPr>
                <w:rStyle w:val="64"/>
                <w:rFonts w:hint="eastAsia" w:ascii="宋体" w:hAnsi="宋体" w:eastAsia="宋体" w:cs="宋体"/>
                <w:color w:val="auto"/>
                <w:sz w:val="24"/>
                <w:szCs w:val="24"/>
                <w:lang w:val="en-US" w:eastAsia="zh-CN" w:bidi="ar"/>
              </w:rPr>
              <w:t>1、隐藏式推拉调料车（14台），位于工作台下，带承重式万向聚氨酯轮四个，其中两个定向两个转向带刹车。304不锈钢</w:t>
            </w:r>
            <w:r>
              <w:rPr>
                <w:rStyle w:val="100"/>
                <w:rFonts w:hint="eastAsia" w:ascii="宋体" w:hAnsi="宋体" w:eastAsia="宋体" w:cs="宋体"/>
                <w:color w:val="auto"/>
                <w:sz w:val="24"/>
                <w:szCs w:val="24"/>
                <w:lang w:val="en-US" w:eastAsia="zh-CN" w:bidi="ar"/>
              </w:rPr>
              <w:t>调料盒直径不可过大，过深。</w:t>
            </w:r>
          </w:p>
        </w:tc>
        <w:tc>
          <w:tcPr>
            <w:tcW w:w="688"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70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工作台连双斗水池</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1、面板采用SUS304-2B磨砂纹贴塑实厚不小于1.5mm厚不锈钢板制作；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2、侧板、层板、门板、底板及其他辅助板实厚不小于1.2㎜厚磨砂贴塑不锈钢板；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3、水池尺寸：600mm*600mm，</w:t>
            </w:r>
            <w:r>
              <w:rPr>
                <w:rStyle w:val="100"/>
                <w:rFonts w:hint="eastAsia" w:ascii="宋体" w:hAnsi="宋体" w:eastAsia="宋体" w:cs="宋体"/>
                <w:color w:val="000000" w:themeColor="text1"/>
                <w:sz w:val="24"/>
                <w:szCs w:val="24"/>
                <w:lang w:val="en-US" w:eastAsia="zh-CN" w:bidi="ar"/>
                <w14:textFill>
                  <w14:solidFill>
                    <w14:schemeClr w14:val="tx1"/>
                  </w14:solidFill>
                </w14:textFill>
              </w:rPr>
              <w:t>深度300mm以上</w:t>
            </w:r>
            <w:r>
              <w:rPr>
                <w:rFonts w:hint="eastAsia" w:ascii="宋体" w:hAnsi="宋体" w:eastAsia="宋体" w:cs="宋体"/>
                <w:sz w:val="24"/>
                <w:szCs w:val="24"/>
                <w:lang w:val="en-US" w:eastAsia="zh-CN"/>
              </w:rPr>
              <w:t>.；</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4、工作台脚内含支撑工作台身的钢管（钢管厚度实厚不小于2.5mm）以及可调工作台高度的子弹脚。</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rPr>
            </w:pPr>
            <w:r>
              <w:rPr>
                <w:rStyle w:val="97"/>
                <w:rFonts w:hint="eastAsia" w:ascii="宋体" w:hAnsi="宋体" w:eastAsia="宋体" w:cs="宋体"/>
                <w:color w:val="000000" w:themeColor="text1"/>
                <w:sz w:val="24"/>
                <w:szCs w:val="24"/>
                <w:lang w:val="en-US" w:eastAsia="zh-CN" w:bidi="ar"/>
                <w14:textFill>
                  <w14:solidFill>
                    <w14:schemeClr w14:val="tx1"/>
                  </w14:solidFill>
                </w14:textFill>
              </w:rPr>
              <w:t>5、不锈钢接缝部分为满焊且打磨光滑。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座台式水龙头</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单温</w:t>
            </w:r>
          </w:p>
        </w:tc>
        <w:tc>
          <w:tcPr>
            <w:tcW w:w="4479" w:type="dxa"/>
            <w:shd w:val="clear" w:color="auto" w:fill="auto"/>
            <w:vAlign w:val="center"/>
          </w:tcPr>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270" w:afterAutospacing="0" w:line="400" w:lineRule="exact"/>
              <w:ind w:left="0" w:right="0" w:firstLine="0"/>
              <w:jc w:val="both"/>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kern w:val="2"/>
                <w:sz w:val="24"/>
                <w:szCs w:val="24"/>
                <w:lang w:val="en-US" w:eastAsia="zh-CN" w:bidi="ar-SA"/>
              </w:rPr>
              <w:t>优质304不锈钢，利用</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"https://wenwen.sogou.com/s/?w=%E9%87%8D%E5%8A%9B%E9%93%B8%E9%80%A0%E6%9C%BA&amp;ch=ww.xqy.chain" \t "https://wenwen.sogou.com/z/_blank"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重力铸造机</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，用钢模铸造。全铜陶瓷阀芯，蜂窝起泡器（不摇头，固定式），单柄单控寿命200000次以上，产品有电镀层盐雾试验数据。</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工作台连调料车</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1、面板采用SUS304#-2B磨砂纹贴塑实厚不小于1.5mm厚不锈钢板制作；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2、侧板、层板、门板、底板及其他辅助板实厚不小于1.2㎜厚磨砂贴塑不锈钢板；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3、配不锈钢重力调整脚。</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rPr>
            </w:pPr>
            <w:r>
              <w:rPr>
                <w:rStyle w:val="97"/>
                <w:rFonts w:hint="eastAsia" w:ascii="宋体" w:hAnsi="宋体" w:eastAsia="宋体" w:cs="宋体"/>
                <w:color w:val="000000" w:themeColor="text1"/>
                <w:sz w:val="24"/>
                <w:szCs w:val="24"/>
                <w:lang w:val="en-US" w:eastAsia="zh-CN" w:bidi="ar"/>
                <w14:textFill>
                  <w14:solidFill>
                    <w14:schemeClr w14:val="tx1"/>
                  </w14:solidFill>
                </w14:textFill>
              </w:rPr>
              <w:t>4、不锈钢接缝部分为满焊且打磨光滑。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鲜风油网烟罩</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2750*1350*670mm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1、面板采用201不锈钢实厚不小于1.0mm，前沿带鲜风出风口；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2、隔油网实厚不小于1.0mm厚，配备条型防爆、防雾防水灯，配滴油盒。</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烟罩上装饰板</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288000*1000mm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1、采用201不锈钢板制造；主体</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1.0mm</w:t>
            </w:r>
            <w:r>
              <w:rPr>
                <w:rStyle w:val="100"/>
                <w:rFonts w:hint="eastAsia" w:ascii="宋体" w:hAnsi="宋体" w:eastAsia="宋体" w:cs="宋体"/>
                <w:color w:val="000000" w:themeColor="text1"/>
                <w:sz w:val="24"/>
                <w:szCs w:val="24"/>
                <w:lang w:val="en-US" w:eastAsia="zh-CN" w:bidi="ar"/>
                <w14:textFill>
                  <w14:solidFill>
                    <w14:schemeClr w14:val="tx1"/>
                  </w14:solidFill>
                </w14:textFill>
              </w:rPr>
              <w:t>厚</w:t>
            </w:r>
            <w:r>
              <w:rPr>
                <w:rStyle w:val="97"/>
                <w:rFonts w:hint="eastAsia" w:ascii="宋体" w:hAnsi="宋体" w:eastAsia="宋体" w:cs="宋体"/>
                <w:color w:val="000000" w:themeColor="text1"/>
                <w:sz w:val="24"/>
                <w:szCs w:val="24"/>
                <w:lang w:val="en-US" w:eastAsia="zh-CN" w:bidi="ar"/>
                <w14:textFill>
                  <w14:solidFill>
                    <w14:schemeClr w14:val="tx1"/>
                  </w14:solidFill>
                </w14:textFill>
              </w:rPr>
              <w:t>磨砂贴塑不锈钢板</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2、所有单边必须压死边，不允许有单边，以免伤人。</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单通工作台</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1、面板采用SUS304磨砂纹贴塑实厚不小于1.5mm厚不锈钢板制作；台内两层隔板，隔板采用内衬实厚不小于18mm防水机制板并用实厚不小于1.2mm厚不锈钢板折成加强筋加固；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2、侧板、层板、门板、底板及其他辅助板实厚不小于1.2㎜厚磨砂贴塑不锈钢板；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3、台面内衬实厚不小于18mm防水机制板并用实厚不小于1.2mm厚不锈钢板折成加强筋加固；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4、腿内加钢管，配置加重不锈钢可调子弹脚。</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双星水池（背靠式）</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1600*700*800mm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1、面板采用SUS304-2B磨砂发纹贴塑实厚不小于1.5mm厚不锈钢板制作；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2、侧板、层板、门板、底板及其他辅助板实厚不小于1.2㎜厚磨砂贴塑不锈钢板；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3、嵌入式水池，静音双向推拉门，配不锈钢重力调整脚；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4、水池尺寸：实厚不小于600mm*600mm.，</w:t>
            </w:r>
            <w:r>
              <w:rPr>
                <w:rStyle w:val="100"/>
                <w:rFonts w:hint="eastAsia" w:ascii="宋体" w:hAnsi="宋体" w:eastAsia="宋体" w:cs="宋体"/>
                <w:color w:val="000000" w:themeColor="text1"/>
                <w:sz w:val="24"/>
                <w:szCs w:val="24"/>
                <w:lang w:val="en-US" w:eastAsia="zh-CN" w:bidi="ar"/>
                <w14:textFill>
                  <w14:solidFill>
                    <w14:schemeClr w14:val="tx1"/>
                  </w14:solidFill>
                </w14:textFill>
              </w:rPr>
              <w:t>深度300mm以上；</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5"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洗地龙头</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15米</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4"/>
                <w:rFonts w:hint="eastAsia" w:ascii="宋体" w:hAnsi="宋体" w:eastAsia="宋体" w:cs="宋体"/>
                <w:color w:val="000000" w:themeColor="text1"/>
                <w:sz w:val="24"/>
                <w:szCs w:val="24"/>
                <w:lang w:val="en-US" w:eastAsia="zh-CN" w:bidi="ar"/>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 xml:space="preserve">1、开放式洗地龙头、碳钢主体，表面环氧喷涂处理（黑色）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4"/>
                <w:rFonts w:hint="eastAsia" w:ascii="宋体" w:hAnsi="宋体" w:eastAsia="宋体" w:cs="宋体"/>
                <w:color w:val="000000" w:themeColor="text1"/>
                <w:sz w:val="24"/>
                <w:szCs w:val="24"/>
                <w:lang w:val="en-US" w:eastAsia="zh-CN" w:bidi="ar"/>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2、固定侧支架钢板厚度</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Style w:val="64"/>
                <w:rFonts w:hint="eastAsia" w:ascii="宋体" w:hAnsi="宋体" w:eastAsia="宋体" w:cs="宋体"/>
                <w:color w:val="000000" w:themeColor="text1"/>
                <w:sz w:val="24"/>
                <w:szCs w:val="24"/>
                <w:lang w:val="en-US" w:eastAsia="zh-CN" w:bidi="ar"/>
                <w14:textFill>
                  <w14:solidFill>
                    <w14:schemeClr w14:val="tx1"/>
                  </w14:solidFill>
                </w14:textFill>
              </w:rPr>
              <w:t xml:space="preserve">5mm，黄铜进水主体；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 xml:space="preserve">3、15.7米重工无痕三层液压钢丝管（黑色）、与主体接口为金属连接件、耐温85度；                                  4、黄铜铸造枪式喷头、配有橡胶保护套水压可调。（配置两把喷头）                                                                                 5、进水接口为标准1/2"外螺纹                                                                     </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地沟盖板</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580*300*25mm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4"/>
                <w:rFonts w:hint="eastAsia" w:ascii="宋体" w:hAnsi="宋体" w:eastAsia="宋体" w:cs="宋体"/>
                <w:color w:val="000000" w:themeColor="text1"/>
                <w:sz w:val="24"/>
                <w:szCs w:val="24"/>
                <w:lang w:val="en-US" w:eastAsia="zh-CN" w:bidi="ar"/>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1、全AISI304不锈钢板制造，具高耐腐蚀性，盖板厚度为</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Style w:val="64"/>
                <w:rFonts w:hint="eastAsia" w:ascii="宋体" w:hAnsi="宋体" w:eastAsia="宋体" w:cs="宋体"/>
                <w:color w:val="000000" w:themeColor="text1"/>
                <w:sz w:val="24"/>
                <w:szCs w:val="24"/>
                <w:lang w:val="en-US" w:eastAsia="zh-CN" w:bidi="ar"/>
                <w14:textFill>
                  <w14:solidFill>
                    <w14:schemeClr w14:val="tx1"/>
                  </w14:solidFill>
                </w14:textFill>
              </w:rPr>
              <w:t>3.0mm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4"/>
                <w:rFonts w:hint="eastAsia" w:ascii="宋体" w:hAnsi="宋体" w:eastAsia="宋体" w:cs="宋体"/>
                <w:color w:val="000000" w:themeColor="text1"/>
                <w:sz w:val="24"/>
                <w:szCs w:val="24"/>
                <w:lang w:val="en-US" w:eastAsia="zh-CN" w:bidi="ar"/>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2、表面为电解抛光处理，光洁度高且耐腐蚀能力强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3、可拆式隔栅型防滑盖板，强化凹槽，无锐边安全边框设计，</w:t>
            </w:r>
            <w:r>
              <w:rPr>
                <w:rStyle w:val="100"/>
                <w:rFonts w:hint="eastAsia" w:ascii="宋体" w:hAnsi="宋体" w:eastAsia="宋体" w:cs="宋体"/>
                <w:color w:val="000000" w:themeColor="text1"/>
                <w:sz w:val="24"/>
                <w:szCs w:val="24"/>
                <w:lang w:val="en-US" w:eastAsia="zh-CN" w:bidi="ar"/>
                <w14:textFill>
                  <w14:solidFill>
                    <w14:schemeClr w14:val="tx1"/>
                  </w14:solidFill>
                </w14:textFill>
              </w:rPr>
              <w:t>盖板下需用角铁固定，放置水平，防止时间长后出现摇摆松动</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3522" w:type="dxa"/>
            <w:gridSpan w:val="3"/>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中三教室</w:t>
            </w:r>
          </w:p>
        </w:tc>
        <w:tc>
          <w:tcPr>
            <w:tcW w:w="4479" w:type="dxa"/>
            <w:shd w:val="clear" w:color="auto" w:fill="BFBFBF"/>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688" w:type="dxa"/>
            <w:shd w:val="clear" w:color="auto" w:fill="BFBFBF"/>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704" w:type="dxa"/>
            <w:shd w:val="clear" w:color="auto" w:fill="BFBFBF"/>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双炒单温灶</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（自燃）</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1、炉面采用SUS304#-2B实厚不小于1.5㎜厚磨砂贴塑不锈钢板,侧板前板采用实厚不小于1.2㎜厚磨砂贴塑不锈钢板，台面一次压制成型；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2、外旁板、门及后立板厚度实厚不小于1.2mm，底板由实厚不小于50*50*5mm 角铁架及实厚不小于3mm黑铁板焊接组成；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3、苏式高质点膛砖，自燃式礼炮炉头（至少16孔），加装熄火保护、电子打火装置，配加厚支锅架（炉圈有缺口）、摇摆水龙头；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4、炉通脚为φ50无缝不锈钢管；炉通脚内含支撑炉身的钢管以及可调炉身高度的子弹脚。</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调料车</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1、面板采用SUS304#-2B磨砂纹贴塑实厚不小于1.5mm厚不锈钢板制作；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2、侧板、层板、门板、底板及其他辅助板实厚不小于1.2㎜；</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3、带承重式万向聚氨酯轮四个，其中两个定向两个转向带刹车。下有煤气管道，设计合理能推拉；</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Style w:val="100"/>
                <w:rFonts w:hint="eastAsia" w:ascii="宋体" w:hAnsi="宋体" w:eastAsia="宋体" w:cs="宋体"/>
                <w:color w:val="000000" w:themeColor="text1"/>
                <w:sz w:val="24"/>
                <w:szCs w:val="24"/>
                <w:lang w:val="en-US" w:eastAsia="zh-CN" w:bidi="ar"/>
                <w14:textFill>
                  <w14:solidFill>
                    <w14:schemeClr w14:val="tx1"/>
                  </w14:solidFill>
                </w14:textFill>
              </w:rPr>
              <w:t>4、</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灶间拼台调料车</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1、面板采用SUS304-2B磨砂纹贴塑实厚不小于1.5mm厚不锈钢板制作；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2、侧板、层板、门板、底板及其他辅助板实厚不小于1.2㎜；</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3、隐藏式推拉调料车，带承重式万向聚氨酯轮四个，其中两个定向两个转向带刹车。下有煤气管道，设计合理能推拉；</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Style w:val="100"/>
                <w:rFonts w:hint="eastAsia" w:ascii="宋体" w:hAnsi="宋体" w:eastAsia="宋体" w:cs="宋体"/>
                <w:color w:val="000000" w:themeColor="text1"/>
                <w:sz w:val="24"/>
                <w:szCs w:val="24"/>
                <w:lang w:val="en-US" w:eastAsia="zh-CN" w:bidi="ar"/>
                <w14:textFill>
                  <w14:solidFill>
                    <w14:schemeClr w14:val="tx1"/>
                  </w14:solidFill>
                </w14:textFill>
              </w:rPr>
              <w:t>4、</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双眼煲仔炉</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400*700*800mm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炉面采用SUS304#-2B</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1.5㎜厚磨砂贴塑不锈钢板,上翻边一体拉伸台面，炉盆.铸铁八角炉头、加厚不锈钢方管骨架。</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鲜风油网烟罩</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2200*1000*670mm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1、面板采用201不锈钢实厚不小于1.0mm，前沿带鲜风出风口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2、隔油网实厚不小于1.0mm厚，配备条型防爆、防雾防水灯，配滴油盒。</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rPr>
            </w:pPr>
            <w:r>
              <w:rPr>
                <w:rStyle w:val="97"/>
                <w:rFonts w:hint="eastAsia" w:ascii="宋体" w:hAnsi="宋体" w:eastAsia="宋体" w:cs="宋体"/>
                <w:color w:val="000000" w:themeColor="text1"/>
                <w:sz w:val="24"/>
                <w:szCs w:val="24"/>
                <w:lang w:val="en-US" w:eastAsia="zh-CN" w:bidi="ar"/>
                <w14:textFill>
                  <w14:solidFill>
                    <w14:schemeClr w14:val="tx1"/>
                  </w14:solidFill>
                </w14:textFill>
              </w:rPr>
              <w:t>3、不锈钢接缝部分为满焊且打磨光滑。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烟罩上装饰板</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14500*1000mm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1、采用201不锈钢板制造；主体</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2、所有单边必须压死边，不允许有单边，以免伤人。</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单通工作柜嵌单水池</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1、面板采用SUS304#-2B磨砂纹贴塑实厚不小于1.5mm厚不锈钢板制作；台内两层，隔板采用内衬实厚不小于18mm防水机制板并用实厚不小于1.2mm厚不锈钢板折成加强筋加固；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2、侧板、层板、门板、底板及其他辅助板1.2㎜；</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3、嵌入式水池，静音双向推拉门，腿内加钢管，配不锈钢重力调整脚；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4、水池尺寸：实厚不小于600mm*600mm.，</w:t>
            </w:r>
            <w:r>
              <w:rPr>
                <w:rStyle w:val="100"/>
                <w:rFonts w:hint="eastAsia" w:ascii="宋体" w:hAnsi="宋体" w:eastAsia="宋体" w:cs="宋体"/>
                <w:color w:val="000000" w:themeColor="text1"/>
                <w:sz w:val="24"/>
                <w:szCs w:val="24"/>
                <w:lang w:val="en-US" w:eastAsia="zh-CN" w:bidi="ar"/>
                <w14:textFill>
                  <w14:solidFill>
                    <w14:schemeClr w14:val="tx1"/>
                  </w14:solidFill>
                </w14:textFill>
              </w:rPr>
              <w:t>深度300mm以上；</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水池柜</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1200*800*950mm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1、面板采用SUS304-2B磨砂发纹贴塑实厚不小于1.5mm厚不锈钢板制作；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2、侧板、层板、门板、底板及其他辅助板实厚不小于1.2㎜；</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3、嵌入式水池，静音双向推拉门，腿内加钢管，配不锈钢重力调整脚；</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4、水池尺寸：实厚不小于600mm*600mm.，</w:t>
            </w:r>
            <w:r>
              <w:rPr>
                <w:rStyle w:val="100"/>
                <w:rFonts w:hint="eastAsia" w:ascii="宋体" w:hAnsi="宋体" w:eastAsia="宋体" w:cs="宋体"/>
                <w:color w:val="000000" w:themeColor="text1"/>
                <w:sz w:val="24"/>
                <w:szCs w:val="24"/>
                <w:lang w:val="en-US" w:eastAsia="zh-CN" w:bidi="ar"/>
                <w14:textFill>
                  <w14:solidFill>
                    <w14:schemeClr w14:val="tx1"/>
                  </w14:solidFill>
                </w14:textFill>
              </w:rPr>
              <w:t>深度300mm以上；</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柜式烤箱架</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1、整体采用304不锈钢制作；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2、台面厚度实厚不小于1.5mm，内衬实厚不小于实厚不小于18mm防水机制板并用实厚不小于1.2mm厚不锈钢板折成加强筋加固；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3、层板、底板、侧板及门面采用实厚不小于1.2mm不锈钢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4、腿内加钢管，配置不锈钢可调子弹脚。</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双炒单温灶</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（带风机）</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1500*800*800mm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1、炉面采用SUS304#-2B实厚不小于1.5㎜厚磨砂贴塑不锈钢板,侧板前板采用实厚不小于1.2㎜厚磨砂贴塑不锈钢板，台面一次压制成型；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2、外旁板、门及后立板厚度实厚不小于1.2mm，底板由实厚不小于50*50*5mm 角铁架及实厚不小于3mm黑铁板焊接组成；</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3、苏式苏氏静音，48W风机，加装熄火保护、电子打火装置，配加厚支锅架（至少16孔）、摇摆水龙头；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4、炉通脚为φ50无缝不锈钢管；炉通脚内含支撑炉身的钢管以及可调炉身高度的子弹脚。</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单通工作台内嵌水池</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1500*800*800mm</w:t>
            </w:r>
          </w:p>
        </w:tc>
        <w:tc>
          <w:tcPr>
            <w:tcW w:w="4479" w:type="dxa"/>
            <w:shd w:val="clear" w:color="auto" w:fill="auto"/>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面板采用SUS304-2B磨砂发纹贴塑实厚不小于1.5mm厚不锈钢板制作；台内两层，隔板采用内衬实厚不小于18mm防水机制板并用实厚不小于1.2mm厚不锈钢板折成加强筋加固；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2、侧板、层板、门板、底板及其他辅助板实厚不小于1.2㎜；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3、嵌入式水池，静音双向推拉门，配不锈钢重力调整脚；</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r>
              <w:rPr>
                <w:rFonts w:hint="eastAsia" w:ascii="宋体" w:hAnsi="宋体" w:eastAsia="宋体" w:cs="宋体"/>
                <w:sz w:val="24"/>
                <w:szCs w:val="24"/>
                <w:lang w:val="en-US" w:eastAsia="zh-CN"/>
              </w:rPr>
              <w:t>水池尺寸：实厚不小于600mm*600mm.，</w:t>
            </w:r>
            <w:r>
              <w:rPr>
                <w:rStyle w:val="100"/>
                <w:rFonts w:hint="eastAsia" w:ascii="宋体" w:hAnsi="宋体" w:eastAsia="宋体" w:cs="宋体"/>
                <w:color w:val="000000" w:themeColor="text1"/>
                <w:sz w:val="24"/>
                <w:szCs w:val="24"/>
                <w:lang w:val="en-US" w:eastAsia="zh-CN" w:bidi="ar"/>
                <w14:textFill>
                  <w14:solidFill>
                    <w14:schemeClr w14:val="tx1"/>
                  </w14:solidFill>
                </w14:textFill>
              </w:rPr>
              <w:t>深度300mm以上；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座台式水龙头</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单温</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优质304不锈钢，优质陶瓷阀芯，蜂窝起泡器</w:t>
            </w:r>
            <w:r>
              <w:rPr>
                <w:rStyle w:val="100"/>
                <w:rFonts w:hint="eastAsia" w:ascii="宋体" w:hAnsi="宋体" w:eastAsia="宋体" w:cs="宋体"/>
                <w:color w:val="000000" w:themeColor="text1"/>
                <w:sz w:val="24"/>
                <w:szCs w:val="24"/>
                <w:lang w:val="en-US" w:eastAsia="zh-CN" w:bidi="ar"/>
                <w14:textFill>
                  <w14:solidFill>
                    <w14:schemeClr w14:val="tx1"/>
                  </w14:solidFill>
                </w14:textFill>
              </w:rPr>
              <w:t>（不摇头，固定式）</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5"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洗地龙头</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10米</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4"/>
                <w:rFonts w:hint="eastAsia" w:ascii="宋体" w:hAnsi="宋体" w:eastAsia="宋体" w:cs="宋体"/>
                <w:color w:val="000000" w:themeColor="text1"/>
                <w:sz w:val="24"/>
                <w:szCs w:val="24"/>
                <w:lang w:val="en-US" w:eastAsia="zh-CN" w:bidi="ar"/>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 xml:space="preserve">1、开放式洗地龙头、碳钢主体，表面环氧喷涂处理（黑色）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4"/>
                <w:rFonts w:hint="eastAsia" w:ascii="宋体" w:hAnsi="宋体" w:eastAsia="宋体" w:cs="宋体"/>
                <w:color w:val="000000" w:themeColor="text1"/>
                <w:sz w:val="24"/>
                <w:szCs w:val="24"/>
                <w:lang w:val="en-US" w:eastAsia="zh-CN" w:bidi="ar"/>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2、固定侧支架钢板厚度</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Style w:val="64"/>
                <w:rFonts w:hint="eastAsia" w:ascii="宋体" w:hAnsi="宋体" w:eastAsia="宋体" w:cs="宋体"/>
                <w:color w:val="000000" w:themeColor="text1"/>
                <w:sz w:val="24"/>
                <w:szCs w:val="24"/>
                <w:lang w:val="en-US" w:eastAsia="zh-CN" w:bidi="ar"/>
                <w14:textFill>
                  <w14:solidFill>
                    <w14:schemeClr w14:val="tx1"/>
                  </w14:solidFill>
                </w14:textFill>
              </w:rPr>
              <w:t xml:space="preserve">5mm，黄铜进水主体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64"/>
                <w:rFonts w:hint="eastAsia" w:ascii="宋体" w:hAnsi="宋体" w:eastAsia="宋体" w:cs="宋体"/>
                <w:color w:val="000000" w:themeColor="text1"/>
                <w:sz w:val="24"/>
                <w:szCs w:val="24"/>
                <w:lang w:val="en-US" w:eastAsia="zh-CN" w:bidi="ar"/>
                <w14:textFill>
                  <w14:solidFill>
                    <w14:schemeClr w14:val="tx1"/>
                  </w14:solidFill>
                </w14:textFill>
              </w:rPr>
              <w:t xml:space="preserve">3、10.7米重工无痕三层液压钢丝管（黑色）、与主体接口为金属连接件、耐温85度                                                                 4、黄铜铸造枪式喷头、配有橡胶保护套水压可调。（配置两把喷头）                                                                                 5、进水接口为标准1/2"外螺纹                                                                    </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鲜风油网烟罩</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3400*1200*670mm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1、面板采用201不锈钢实厚不小于1.0mm，前沿带鲜风出风口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2、隔油网实厚不小于1.0mm厚，配备条型防爆、防雾防水灯，配滴油盒。</w:t>
            </w:r>
          </w:p>
          <w:p>
            <w:pPr>
              <w:pStyle w:val="34"/>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r>
              <w:rPr>
                <w:rStyle w:val="97"/>
                <w:rFonts w:hint="eastAsia" w:ascii="宋体" w:hAnsi="宋体" w:eastAsia="宋体" w:cs="宋体"/>
                <w:color w:val="000000" w:themeColor="text1"/>
                <w:sz w:val="24"/>
                <w:szCs w:val="24"/>
                <w:lang w:val="en-US" w:eastAsia="zh-CN" w:bidi="ar"/>
                <w14:textFill>
                  <w14:solidFill>
                    <w14:schemeClr w14:val="tx1"/>
                  </w14:solidFill>
                </w14:textFill>
              </w:rPr>
              <w:t>不锈钢接缝部分为满焊且打磨光滑。</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烟罩上装饰板</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8000*1000mm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1、采用201不锈钢板制造；主体</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2、所有单边必须压死边，不允许有单边，以免伤人。</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3"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智慧黑板</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86寸</w:t>
            </w:r>
          </w:p>
        </w:tc>
        <w:tc>
          <w:tcPr>
            <w:tcW w:w="4479" w:type="dxa"/>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一．智慧黑板</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1.整机需采用一体化拼接设计，外部无任何可见内部功能模块的连接线；</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.左右副板需采用复合材质书写板，支持磁性材料吸附，均支持普通粉笔、液体粉笔、水溶性粉笔等直接书写。</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.屏幕尺寸</w:t>
            </w:r>
            <w:r>
              <w:rPr>
                <w:rFonts w:hint="eastAsia" w:ascii="宋体" w:hAnsi="宋体" w:eastAsia="宋体" w:cs="宋体"/>
                <w:sz w:val="24"/>
                <w:szCs w:val="24"/>
                <w:lang w:eastAsia="zh-CN"/>
              </w:rPr>
              <w:t>实厚不小于</w:t>
            </w:r>
            <w:r>
              <w:rPr>
                <w:rFonts w:hint="eastAsia" w:ascii="宋体" w:hAnsi="宋体" w:eastAsia="宋体" w:cs="宋体"/>
                <w:sz w:val="24"/>
                <w:szCs w:val="24"/>
              </w:rPr>
              <w:t>86英寸，屏幕显示分辨率最高可支持≥3840×2160，向下兼容支持2048×1080、1920×1080等多种分辨率。液晶屏需采用A级或以上屏幕，屏幕对比度</w:t>
            </w:r>
            <w:r>
              <w:rPr>
                <w:rFonts w:hint="eastAsia" w:ascii="宋体" w:hAnsi="宋体" w:eastAsia="宋体" w:cs="宋体"/>
                <w:sz w:val="24"/>
                <w:szCs w:val="24"/>
                <w:lang w:eastAsia="zh-CN"/>
              </w:rPr>
              <w:t>实厚不小于</w:t>
            </w:r>
            <w:r>
              <w:rPr>
                <w:rFonts w:hint="eastAsia" w:ascii="宋体" w:hAnsi="宋体" w:eastAsia="宋体" w:cs="宋体"/>
                <w:sz w:val="24"/>
                <w:szCs w:val="24"/>
              </w:rPr>
              <w:t>4000:1，亮度</w:t>
            </w:r>
            <w:r>
              <w:rPr>
                <w:rFonts w:hint="eastAsia" w:ascii="宋体" w:hAnsi="宋体" w:eastAsia="宋体" w:cs="宋体"/>
                <w:sz w:val="24"/>
                <w:szCs w:val="24"/>
                <w:lang w:eastAsia="zh-CN"/>
              </w:rPr>
              <w:t>实厚不小于</w:t>
            </w:r>
            <w:r>
              <w:rPr>
                <w:rFonts w:hint="eastAsia" w:ascii="宋体" w:hAnsi="宋体" w:eastAsia="宋体" w:cs="宋体"/>
                <w:sz w:val="24"/>
                <w:szCs w:val="24"/>
              </w:rPr>
              <w:t>450cd/㎡，可视角度</w:t>
            </w:r>
            <w:r>
              <w:rPr>
                <w:rFonts w:hint="eastAsia" w:ascii="宋体" w:hAnsi="宋体" w:eastAsia="宋体" w:cs="宋体"/>
                <w:sz w:val="24"/>
                <w:szCs w:val="24"/>
                <w:lang w:eastAsia="zh-CN"/>
              </w:rPr>
              <w:t>实厚不小于</w:t>
            </w:r>
            <w:r>
              <w:rPr>
                <w:rFonts w:hint="eastAsia" w:ascii="宋体" w:hAnsi="宋体" w:eastAsia="宋体" w:cs="宋体"/>
                <w:sz w:val="24"/>
                <w:szCs w:val="24"/>
              </w:rPr>
              <w:t>178°，响应速度不大于8ms。</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.要求采用电容触控技术，在Android、Windows双系统下均支持≥20点触控。</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.整机厚度小于70mm，中间区域为LED液晶显示屏幕。</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.整机需支持外接信号输入时自动唤醒功能，整机处于关机通电状态，外接电脑显示信号通过HDMI传输线连接至整机时，整机可智能识别并自动开机。</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Style w:val="89"/>
                <w:rFonts w:hint="eastAsia" w:ascii="宋体" w:hAnsi="宋体" w:eastAsia="宋体" w:cs="宋体"/>
                <w:color w:val="auto"/>
                <w:sz w:val="24"/>
                <w:szCs w:val="24"/>
              </w:rPr>
              <w:t>产品需内置扬声器,额定总功率</w:t>
            </w:r>
            <w:r>
              <w:rPr>
                <w:rFonts w:hint="eastAsia" w:ascii="宋体" w:hAnsi="宋体" w:eastAsia="宋体" w:cs="宋体"/>
                <w:sz w:val="24"/>
                <w:szCs w:val="24"/>
              </w:rPr>
              <w:t>不低于</w:t>
            </w:r>
            <w:r>
              <w:rPr>
                <w:rStyle w:val="89"/>
                <w:rFonts w:hint="eastAsia" w:ascii="宋体" w:hAnsi="宋体" w:eastAsia="宋体" w:cs="宋体"/>
                <w:color w:val="auto"/>
                <w:sz w:val="24"/>
                <w:szCs w:val="24"/>
              </w:rPr>
              <w:t>60W；</w:t>
            </w:r>
            <w:r>
              <w:rPr>
                <w:rFonts w:hint="eastAsia" w:ascii="宋体" w:hAnsi="宋体" w:eastAsia="宋体" w:cs="宋体"/>
                <w:sz w:val="24"/>
                <w:szCs w:val="24"/>
              </w:rPr>
              <w:t>需支持单独听功能，在关闭显示部分的情况下可播放音频，通过按键可点亮屏幕。</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.为方便老师教学操作及避免误操作，需支持实体按键≥8个，电源键、信号源、音量、录屏等。</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.设备需</w:t>
            </w:r>
            <w:r>
              <w:rPr>
                <w:rFonts w:hint="eastAsia" w:ascii="宋体" w:hAnsi="宋体" w:eastAsia="宋体" w:cs="宋体"/>
                <w:kern w:val="0"/>
                <w:sz w:val="24"/>
                <w:szCs w:val="24"/>
              </w:rPr>
              <w:t>内置NFC模块，刷卡响应时间</w:t>
            </w:r>
            <w:r>
              <w:rPr>
                <w:rFonts w:hint="eastAsia" w:ascii="宋体" w:hAnsi="宋体" w:eastAsia="宋体" w:cs="宋体"/>
                <w:sz w:val="24"/>
                <w:szCs w:val="24"/>
              </w:rPr>
              <w:t>≤</w:t>
            </w:r>
            <w:r>
              <w:rPr>
                <w:rFonts w:hint="eastAsia" w:ascii="宋体" w:hAnsi="宋体" w:eastAsia="宋体" w:cs="宋体"/>
                <w:kern w:val="0"/>
                <w:sz w:val="24"/>
                <w:szCs w:val="24"/>
              </w:rPr>
              <w:t>10ms；</w:t>
            </w:r>
            <w:r>
              <w:rPr>
                <w:rFonts w:hint="eastAsia" w:ascii="宋体" w:hAnsi="宋体" w:eastAsia="宋体" w:cs="宋体"/>
                <w:sz w:val="24"/>
                <w:szCs w:val="24"/>
              </w:rPr>
              <w:t>每台设备标配不少于5张IC卡，需支持IC卡授权管理功能，可将饭卡、一卡通等不同的IC卡进行授权成为开关机卡，防止未经授权人员操作设备，需支持查看、导入、导出、删除授权信息。</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.产品需内置安卓教学辅助系统，采用CPU不少于四核，安卓系统版本不低于8.0，RAM不低于2G,ROM不低于16G。</w:t>
            </w:r>
          </w:p>
          <w:p>
            <w:pPr>
              <w:pStyle w:val="129"/>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.要求具有Type-C接口，通过Type-C接口实现音视频输入，外接电脑设备通过TypeC线连接至整机TypeC口，即可把外接电脑设备画面投到整机上，同时在整机上操作画面，可实现触摸电脑的操作，无需再连接触控USB线。</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.设备关键器件位于黑板下方，要求采用抽拉盒插拔式设计，无需取下黑板即可实现插拔更换。</w:t>
            </w:r>
          </w:p>
          <w:p>
            <w:pPr>
              <w:pStyle w:val="129"/>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.OPS电脑配置：需采用OPS插拔式架构，可维护、拔插式结构设计；要求处理器配置不低于10代Intel Core i5处理器，不低于8G内存，不低于128G-SSD固态硬盘；具有独立非外扩展接口：</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二、教学授课软件</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1.白板软件需支持云课件功能，可云同步、云存储；需支持白板软件最小化；为方便老师操作，需支持账号登录、扫码登录。</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2.白板软件提供手势操作说明及图例，方便老师快速掌握手势操作，需支持不少于4种手势操作。</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rPr>
              <w:t>3.软件菜单功能按钮/图标配备明确中文标识，需支持开启或关闭，满足不同老师的使用习惯。侧边功能显示栏需支持左右互换，老师可根据自己的教学习惯进行操作设置。</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.小黑板功能板书可单独通过二维码进行分享，可不与白板文件同时分享，并且为了方便扫码，二维码可放大显示，并且可单独本地保存也可上传到个人云空间。</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.白板软件需提供计时器与倒计时功能，并支持全屏显示及最小化显示模式。</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.需支持思维导图功能，至少包含思维导图、组织结构图、鱼骨图等知识结构化工具，导图工具具备归纳总结功能，可将相邻知识节点一键快速归纳。</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.在授课模式下，需支持创建思维导图，并且思维导图可单独导出矢量文件和图片。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sz w:val="24"/>
                <w:szCs w:val="24"/>
                <w:lang w:val="en-US" w:eastAsia="zh-CN"/>
              </w:rPr>
              <w:t>8</w:t>
            </w:r>
            <w:r>
              <w:rPr>
                <w:rFonts w:hint="eastAsia" w:ascii="宋体" w:hAnsi="宋体" w:eastAsia="宋体" w:cs="宋体"/>
                <w:sz w:val="24"/>
                <w:szCs w:val="24"/>
              </w:rPr>
              <w:t>.需支持云课件自动保存功能，可以设置每10分钟、15分钟、20分钟、30分钟自动保存。</w:t>
            </w:r>
          </w:p>
        </w:tc>
        <w:tc>
          <w:tcPr>
            <w:tcW w:w="688"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液晶平板电视</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75寸</w:t>
            </w:r>
          </w:p>
        </w:tc>
        <w:tc>
          <w:tcPr>
            <w:tcW w:w="4479"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二级以上能耗，分辨率7680*4320以上，内存64GB，cpu4核，有独立音响。</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5"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12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摄像头</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高清</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支持H.265编码的视频会议摄像机，可实现全高清1080p/60fps超低带宽传输。</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●1080P全高清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highlight w:val="yellow"/>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采用1/2.7英寸、207万有效像素的HD CMOS传感器。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●超高帧率</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●人脸检测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内置人脸检测模块，可实现人脸检测进行云台跟踪（可选）。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●AAC音频编码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highlight w:val="yellow"/>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支持AAC音频编码。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●本地存储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支持本地存储功能，无需NVR即可实现U盘本地直接录制。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●低照度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超高性噪比的全新CMOS图像传感器可有效降低在低照度情况下的图像噪声，同时应用2D和3D降噪算法，大幅降低了图像噪声，即便是超低照度情况下，依然保持画面干净清晰，图像信噪比高达55dB以上。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●丰富完善的接口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支持HDMI高清输出，另配备3G-SDI接口，（1080p30）。HDMI、SDI、网络三路可同时输出。另外还支持CVBS标清输出（仅V60支持）。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●20x光学变焦+32x数字变焦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采用高品质超长焦镜头，光学变焦达到20倍，并支持32倍数字变焦（可选）。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●远程控制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使用RS232和RS485串口，可对摄像机进行控制。</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校园培训桌椅</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900*550*250*750mm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1、饰面采用优质高密度刨花板，扇形台面尺寸为800MM*550MM*250MM，厚度25mm，面粘防火板，PVC胶边，具防火、耐磨、防污、牢固耐用。台面形状是扇形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2、饰面采用优质高密度刨花板，扇形挡板尺寸为325MM*320MM*200MM，厚度15mm，面粘防火板，PVC胶边，具防火、耐磨、防污、牢固耐用。形状是直角扇形挡板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3、采用优质高精度冷轧钢管及塑胶配件而成，前底脚长为558.5mm，后底脚485 宽为550mm，壁厚平均为1.2mm ，牢固耐用，美观大方，抗变型。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4、前脚管采用30MM*60MM蛋形钢管，后脚管采用25MM*50MM蛋形钢管，采用防锈静电喷涂处理。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5、采用优质50圆管表面再经防锈静电喷涂处理，实用牢固，承受力大。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6、采用优质12圆管 (厚度为0.8mm)经注塑塑料件与圆管组合成型表面采用防锈静电喷涂处理。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7、采用人体工程理念及个性化需求，整件产品拼接好，接缝齐整，整体颜色基本相符，过渡自然;台架有拉杆拆叠装置，造型美观大方，有现代特色。</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12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地沟盖板</w:t>
            </w:r>
          </w:p>
        </w:tc>
        <w:tc>
          <w:tcPr>
            <w:tcW w:w="18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580*300*25mm</w:t>
            </w:r>
          </w:p>
        </w:tc>
        <w:tc>
          <w:tcPr>
            <w:tcW w:w="4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1.全AISI304不锈钢板制造，具高耐腐蚀性，盖板不锈钢厚度为实厚不小于3.0mm，不锈钢板为立体交错十字网格状，非平面；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2.表面为电解抛光处理，光洁度高且耐腐蚀能力强；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3.可拆式隔栅型防滑盖板，强化凹槽，无锐边安全边框设计。</w:t>
            </w:r>
          </w:p>
        </w:tc>
        <w:tc>
          <w:tcPr>
            <w:tcW w:w="6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块</w:t>
            </w:r>
          </w:p>
        </w:tc>
        <w:tc>
          <w:tcPr>
            <w:tcW w:w="7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9393" w:type="dxa"/>
            <w:gridSpan w:val="6"/>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中一排烟系统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排烟风柜</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15KW</w:t>
            </w:r>
          </w:p>
        </w:tc>
        <w:tc>
          <w:tcPr>
            <w:tcW w:w="4479" w:type="dxa"/>
            <w:vMerge w:val="restart"/>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1、箱体采用框架板式结构，箱体实际厚度</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color w:val="000000" w:themeColor="text1"/>
                <w:sz w:val="24"/>
                <w:szCs w:val="24"/>
                <w14:textFill>
                  <w14:solidFill>
                    <w14:schemeClr w14:val="tx1"/>
                  </w14:solidFill>
                </w14:textFill>
              </w:rPr>
              <w:t>1.5mm.进风口法兰与箱体一体成型（比框架结构更稳固、密封性更好，柜机面板采用DX51D+Z镀锌板，防腐性比喷涂更好）。</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2、风机蜗背蜗舌一体式（蜗壳采用专利插接式结构，更方便拆装）。</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3、采用双进风机多翼前倾式,加强型叶轮，厚度</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color w:val="000000" w:themeColor="text1"/>
                <w:sz w:val="24"/>
                <w:szCs w:val="24"/>
                <w14:textFill>
                  <w14:solidFill>
                    <w14:schemeClr w14:val="tx1"/>
                  </w14:solidFill>
                </w14:textFill>
              </w:rPr>
              <w:t>3.0mm（风量大、压力高、噪音低）。</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4、主轴采用45#钢精工制作，加粗型（风机运行更平稳、震动更小）。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5、轴承采用高性能UKP、UKF系列风机专用轴承（卡套式锁紧，更方便拆装、维修）。</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6、风机轴和机箱侧板之间密封（不损失压力、降低噪音）。</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7、转动方式：电机外置型、皮带转动（电机与排放物完全隔离，使用寿命更长、维护更方便）。</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8、采用欧标锥套式皮带轮,做平衡测试校准（风机震动更小）。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9、采用高质量、足功率国标4级电机。</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10、组装方式：整机使用高强度螺丝连接，无焊接，所有零部件都可单独拆卸（最大程度减小了维修成本）。</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6"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排烟风柜</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11KW</w:t>
            </w:r>
          </w:p>
        </w:tc>
        <w:tc>
          <w:tcPr>
            <w:tcW w:w="4479" w:type="dxa"/>
            <w:vMerge w:val="continue"/>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风柜支架</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100#槽钢焊接制作，上置两台风柜</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风柜变频启动器</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15KW</w:t>
            </w:r>
          </w:p>
        </w:tc>
        <w:tc>
          <w:tcPr>
            <w:tcW w:w="4479" w:type="dxa"/>
            <w:vMerge w:val="restart"/>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1、净化器工作指示：显示净化器是否工作。</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2、风机工作模式选择：可选择普通模式、静音模式、强排模式。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3、LCD大屏数据显示：风机实时输出频率、实时输出电流、实时功率能耗、节能比例等，使用户能实时查看其运行状态及节能效益。</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4、智能触控启/停按钮开关：智能触控启停，操作方便。</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5、风量调节触控按钮：根据需要可调节出最理想的风量。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6、启动停止过程无极调速，风机轴承、皮带基本没有磨损，减少维护费用。</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7、风机、净化联动控制，抽排净化效果更好。</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8、通过上下按键可调整风量，按需使用，同时节省风机用电量。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9、具有节能、强排、静音三种模式，通过触控按键一键切换，降低风管噪音</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消除电机电磁噪音。</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10、采用不锈钢拉丝箱体，提升厨房整体效果，全部操作按键采用触控按键，防油防水，更加科技</w:t>
            </w:r>
            <w:r>
              <w:rPr>
                <w:rFonts w:hint="eastAsia" w:ascii="宋体" w:hAnsi="宋体" w:eastAsia="宋体" w:cs="宋体"/>
                <w:color w:val="000000" w:themeColor="text1"/>
                <w:sz w:val="24"/>
                <w:szCs w:val="24"/>
                <w:lang w:eastAsia="zh-CN"/>
                <w14:textFill>
                  <w14:solidFill>
                    <w14:schemeClr w14:val="tx1"/>
                  </w14:solidFill>
                </w14:textFill>
              </w:rPr>
              <w:t>。</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风柜变频启动器</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11KW</w:t>
            </w:r>
          </w:p>
        </w:tc>
        <w:tc>
          <w:tcPr>
            <w:tcW w:w="4479" w:type="dxa"/>
            <w:vMerge w:val="continue"/>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减震器</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配风柜</w:t>
            </w: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选用优质的60Si2Mn弹簧钢材，耐疲劳、强度高、承载力大、使用寿命长；具有钢弹簧减振的低频特征，可使高、中、低干扰频率获得隔振效果，同时又具有橡胶减震器阻尼比大特点，能有效消除钢弹簧的特有共振现象。</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软连接</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采用三防布和优质不锈钢角铁铆焊而成，耐酸、耐碱、耐高温性、优异的耐天侯老化性能，柔软且韧，并含有阻燃，可防火。</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排烟管道</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采用镀锌板材质，国标1.0mm厚，风管联合咬口方式，共板法兰连接，密封无缝不漏油。</w:t>
            </w:r>
            <w:r>
              <w:rPr>
                <w:rFonts w:hint="eastAsia" w:ascii="宋体" w:hAnsi="宋体" w:eastAsia="宋体" w:cs="宋体"/>
                <w:color w:val="000000" w:themeColor="text1"/>
                <w:sz w:val="24"/>
                <w:szCs w:val="24"/>
                <w:lang w:val="en-US" w:eastAsia="zh-CN"/>
                <w14:textFill>
                  <w14:solidFill>
                    <w14:schemeClr w14:val="tx1"/>
                  </w14:solidFill>
                </w14:textFill>
              </w:rPr>
              <w:t>设计尺寸能保证保洁维护人员进入管道内清理油污。</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9393" w:type="dxa"/>
            <w:gridSpan w:val="6"/>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中一新风系统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轴流风机</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整机镀锌加厚钢板，铜芯电机，流线型叶片扭曲度大，效率高</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软连接</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采用三防布和优质不锈钢角铁铆焊而成，耐酸、耐碱、耐高温性、优异的耐天侯老化性能，柔软且韧，并含有阻燃，可防火。</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排烟管道</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采用镀锌板材质，</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color w:val="000000" w:themeColor="text1"/>
                <w:sz w:val="24"/>
                <w:szCs w:val="24"/>
                <w14:textFill>
                  <w14:solidFill>
                    <w14:schemeClr w14:val="tx1"/>
                  </w14:solidFill>
                </w14:textFill>
              </w:rPr>
              <w:t>1.0mm厚，风管联合咬口方式，共板法兰连接，密封无缝不漏油。</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新风百叶及软连接</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auto"/>
                <w:kern w:val="2"/>
                <w:sz w:val="24"/>
                <w:szCs w:val="24"/>
                <w:lang w:val="en-US" w:eastAsia="zh-CN" w:bidi="ar-SA"/>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铝合金百叶窗</w:t>
            </w:r>
            <w:r>
              <w:rPr>
                <w:rFonts w:hint="eastAsia" w:ascii="宋体" w:hAnsi="宋体" w:eastAsia="宋体" w:cs="宋体"/>
                <w:color w:val="auto"/>
                <w:sz w:val="24"/>
                <w:szCs w:val="24"/>
                <w:lang w:val="en-US" w:eastAsia="zh-CN"/>
              </w:rPr>
              <w:t>600mm*600mm</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9393" w:type="dxa"/>
            <w:gridSpan w:val="6"/>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中三排烟系统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排烟风柜</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7.5KW</w:t>
            </w: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1、箱体采用框架板式结构，箱体实际厚度</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color w:val="000000" w:themeColor="text1"/>
                <w:sz w:val="24"/>
                <w:szCs w:val="24"/>
                <w14:textFill>
                  <w14:solidFill>
                    <w14:schemeClr w14:val="tx1"/>
                  </w14:solidFill>
                </w14:textFill>
              </w:rPr>
              <w:t>1.5mm.进风口法兰与箱体一体成型（比框架结构更稳固、密封性更好，柜机面板采用DX51D+Z镀锌板，防腐性比喷涂更好）。</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2、风机蜗背蜗舌一体式（蜗壳采用专利插接式结构，更方便拆装）。</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3、采用双进风机多翼前倾式,加强型叶轮，厚度</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color w:val="000000" w:themeColor="text1"/>
                <w:sz w:val="24"/>
                <w:szCs w:val="24"/>
                <w14:textFill>
                  <w14:solidFill>
                    <w14:schemeClr w14:val="tx1"/>
                  </w14:solidFill>
                </w14:textFill>
              </w:rPr>
              <w:t>3.0mm（风量大、压力高、噪音低）。</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4、主轴采用45#钢精工制作，加粗型（风机运行更平稳、震动更小）。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5、轴承采用高性能UKP、UKF系列风机专用轴承（卡套式锁紧，更方便拆装、维修）。</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6、风机轴和机箱侧板之间密封（不损失压力、降低噪音）。</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7、转动方式：电机外置型、皮带转动（电机与排放物完全隔离，使用寿命更长、维护更方便）。</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8、采用欧标锥套式皮带轮,做平衡测试校准（风机震动更小）。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9、采用高质量、足功率国标4级电机。</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10、组装方式：整机使用高强度螺丝连接，无焊接，所有零部件都可单独拆卸（最大程度减小了维修成本）。</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风柜支架</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80#槽钢焊接制作，上置风柜</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减震器</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配风柜</w:t>
            </w: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选用优质的60Si2Mn弹簧钢材，耐疲劳、强度高、承载力大、使用寿命长；具有钢弹簧减振的低频特征，可使高、中、低干扰频率获得隔振效果，同时又具有橡胶减震器阻尼比大特点，能有效消除钢弹簧的特有共振现象。</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风柜变频启动器</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5.5KW</w:t>
            </w: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1、净化器工作指示：显示净化器是否工作。</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2、风机工作模式选择：可选择普通模式、静音模式、强排模式。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3、LCD大屏数据显示：风机实时输出频率、实时输出电流、实时功率能耗、节能比例等，使用户能实时查看其运行状态及节能效益。</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4、智能触控启/停按钮开关：智能触控启停，操作方便。</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5、风量调节触控按钮：根据需要可调节出最理想的风量。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6、启动停止过程无极调速，风机轴承、皮带基本没有磨损，减少维护费用。</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7、风机、净化联动控制，抽排净化效果更好。</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8、通过上下按键可调整风量，按需使用，同时节省风机用电量。</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9、具有节能、强排、静音三种模式，通过触控按键一键切换，降低风管噪音幵消除电机电磁噪音。</w:t>
            </w:r>
          </w:p>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10、采用不锈钢拉丝箱体，提升厨房整体效果，全部操作按键采用触控按键，防油防水，更加科技。</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软连接</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采用三防布和优质不锈钢角铁铆焊而成，耐酸、耐碱、耐高温性、优异的耐天侯老化性能，柔软且韧，并含有阻燃，可防火。</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轴流风机</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整机镀锌加厚钢板，铜芯电机，流线型叶片扭曲度大，效率高</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软连接</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采用三防布和优质不锈钢角铁铆焊而成，耐酸、耐碱、耐高温性、优异的耐天侯老化性能，柔软且韧，并含有阻燃，可防火。</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排烟管道</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采用镀锌板材质，</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color w:val="000000" w:themeColor="text1"/>
                <w:sz w:val="24"/>
                <w:szCs w:val="24"/>
                <w14:textFill>
                  <w14:solidFill>
                    <w14:schemeClr w14:val="tx1"/>
                  </w14:solidFill>
                </w14:textFill>
              </w:rPr>
              <w:t>1.0mm厚，风管联合咬口方式，共板法兰连接，密封无缝不漏油。</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 w:hRule="atLeast"/>
        </w:trPr>
        <w:tc>
          <w:tcPr>
            <w:tcW w:w="9393" w:type="dxa"/>
            <w:gridSpan w:val="6"/>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中三新风系统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轴流风机</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整机镀锌加厚钢板，铜芯电机，流线型叶片扭曲度大，效率高</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软连接</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采用三防布和优质不锈钢角铁铆焊而成，耐酸、耐碱、耐高温性、优异的耐天侯老化性能，柔软且韧，并含有阻燃，可防火。</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排烟管道</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采用镀锌板材质，</w:t>
            </w:r>
            <w:r>
              <w:rPr>
                <w:rStyle w:val="97"/>
                <w:rFonts w:hint="eastAsia" w:ascii="宋体" w:hAnsi="宋体" w:eastAsia="宋体" w:cs="宋体"/>
                <w:color w:val="000000" w:themeColor="text1"/>
                <w:sz w:val="24"/>
                <w:szCs w:val="24"/>
                <w:lang w:val="en-US" w:eastAsia="zh-CN" w:bidi="ar"/>
                <w14:textFill>
                  <w14:solidFill>
                    <w14:schemeClr w14:val="tx1"/>
                  </w14:solidFill>
                </w14:textFill>
              </w:rPr>
              <w:t>实厚不小于</w:t>
            </w:r>
            <w:r>
              <w:rPr>
                <w:rFonts w:hint="eastAsia" w:ascii="宋体" w:hAnsi="宋体" w:eastAsia="宋体" w:cs="宋体"/>
                <w:color w:val="000000" w:themeColor="text1"/>
                <w:sz w:val="24"/>
                <w:szCs w:val="24"/>
                <w14:textFill>
                  <w14:solidFill>
                    <w14:schemeClr w14:val="tx1"/>
                  </w14:solidFill>
                </w14:textFill>
              </w:rPr>
              <w:t>1.0mm厚，风管联合咬口方式，共板法兰连接，密封无缝不漏油。</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511"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12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新风百叶及软连接</w:t>
            </w:r>
          </w:p>
        </w:tc>
        <w:tc>
          <w:tcPr>
            <w:tcW w:w="1883"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4479"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铝合金百叶窗</w:t>
            </w:r>
            <w:r>
              <w:rPr>
                <w:rFonts w:hint="eastAsia" w:ascii="宋体" w:hAnsi="宋体" w:eastAsia="宋体" w:cs="宋体"/>
                <w:sz w:val="24"/>
                <w:szCs w:val="24"/>
                <w:highlight w:val="none"/>
                <w:lang w:val="en-US" w:eastAsia="zh-CN"/>
              </w:rPr>
              <w:t>600mm*600mm</w:t>
            </w:r>
          </w:p>
        </w:tc>
        <w:tc>
          <w:tcPr>
            <w:tcW w:w="688"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套</w:t>
            </w:r>
          </w:p>
        </w:tc>
        <w:tc>
          <w:tcPr>
            <w:tcW w:w="704" w:type="dxa"/>
            <w:shd w:val="clear" w:color="auto" w:fill="auto"/>
            <w:vAlign w:val="top"/>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textAlignment w:val="auto"/>
        <w:rPr>
          <w:rFonts w:hint="default"/>
          <w:sz w:val="24"/>
          <w:szCs w:val="24"/>
          <w:lang w:val="en-US" w:eastAsia="zh-CN"/>
        </w:rPr>
      </w:pPr>
      <w:r>
        <w:rPr>
          <w:rFonts w:hint="eastAsia"/>
          <w:sz w:val="24"/>
          <w:szCs w:val="24"/>
          <w:lang w:val="en-US" w:eastAsia="zh-CN"/>
        </w:rPr>
        <w:t>备注：烟道施工需要穿过过道和其他两间教室，吊顶可以拆除，但施工完后需要恢复到原样，拆除龙骨时整根拆除，不许截断。如因拆除吊顶造成吊顶无法恢复，产生费用施工方承担；损坏学校其他设备，照价赔偿。炉灶熄火保护质保两年。风柜整机要求质保两年。所有设备不锈钢薄厚严格按照要求生产制作或购买，不得偷工减料，采购方对验收不合格，不满足要求的同批次产品有权作出退回处理，产生费用由中标方承担。</w:t>
      </w:r>
    </w:p>
    <w:p>
      <w:pPr>
        <w:numPr>
          <w:ilvl w:val="0"/>
          <w:numId w:val="11"/>
        </w:numPr>
        <w:spacing w:line="360" w:lineRule="auto"/>
        <w:rPr>
          <w:rFonts w:hint="eastAsia"/>
          <w:b/>
          <w:bCs/>
          <w:sz w:val="24"/>
          <w:szCs w:val="24"/>
          <w:lang w:val="en-US" w:eastAsia="zh-CN"/>
        </w:rPr>
      </w:pPr>
      <w:r>
        <w:rPr>
          <w:rFonts w:hint="eastAsia"/>
          <w:b/>
          <w:bCs/>
          <w:sz w:val="24"/>
          <w:szCs w:val="24"/>
          <w:lang w:val="en-US" w:eastAsia="zh-CN"/>
        </w:rPr>
        <w:t>装修内容及要求</w:t>
      </w:r>
    </w:p>
    <w:p>
      <w:pPr>
        <w:numPr>
          <w:ilvl w:val="0"/>
          <w:numId w:val="0"/>
        </w:numPr>
        <w:spacing w:line="360" w:lineRule="auto"/>
        <w:rPr>
          <w:rFonts w:hint="eastAsia"/>
          <w:b/>
          <w:bCs/>
          <w:sz w:val="24"/>
          <w:szCs w:val="24"/>
          <w:lang w:val="en-US" w:eastAsia="zh-CN"/>
        </w:rPr>
      </w:pPr>
      <w:r>
        <w:rPr>
          <w:rFonts w:hint="eastAsia"/>
          <w:b/>
          <w:bCs/>
          <w:sz w:val="24"/>
          <w:szCs w:val="24"/>
          <w:lang w:val="en-US" w:eastAsia="zh-CN"/>
        </w:rPr>
        <w:t>（1）拆除要求</w:t>
      </w:r>
    </w:p>
    <w:p>
      <w:pPr>
        <w:numPr>
          <w:ilvl w:val="0"/>
          <w:numId w:val="12"/>
        </w:numPr>
        <w:spacing w:line="360" w:lineRule="auto"/>
        <w:rPr>
          <w:rFonts w:hint="default"/>
          <w:sz w:val="24"/>
          <w:szCs w:val="24"/>
          <w:lang w:val="en-US" w:eastAsia="zh-CN"/>
        </w:rPr>
      </w:pPr>
      <w:r>
        <w:rPr>
          <w:rFonts w:hint="eastAsia"/>
          <w:sz w:val="24"/>
          <w:szCs w:val="24"/>
          <w:lang w:val="en-US" w:eastAsia="zh-CN"/>
        </w:rPr>
        <w:t>教室摄像头保护好，建设完后恢复原位，不得损坏，损坏赔偿。</w:t>
      </w:r>
    </w:p>
    <w:p>
      <w:pPr>
        <w:numPr>
          <w:ilvl w:val="0"/>
          <w:numId w:val="12"/>
        </w:numPr>
        <w:spacing w:line="360" w:lineRule="auto"/>
        <w:ind w:left="0" w:leftChars="0" w:firstLine="0" w:firstLineChars="0"/>
        <w:rPr>
          <w:rFonts w:hint="eastAsia"/>
          <w:sz w:val="24"/>
          <w:szCs w:val="24"/>
          <w:lang w:val="en-US" w:eastAsia="zh-CN"/>
        </w:rPr>
      </w:pPr>
      <w:r>
        <w:rPr>
          <w:rFonts w:hint="eastAsia"/>
          <w:sz w:val="24"/>
          <w:szCs w:val="24"/>
          <w:lang w:val="en-US" w:eastAsia="zh-CN"/>
        </w:rPr>
        <w:t>煤气报警器保护好，建设完后恢复原位，不得损坏，损坏赔偿。</w:t>
      </w:r>
    </w:p>
    <w:p>
      <w:pPr>
        <w:numPr>
          <w:ilvl w:val="0"/>
          <w:numId w:val="12"/>
        </w:numPr>
        <w:spacing w:line="360" w:lineRule="auto"/>
        <w:ind w:left="0" w:leftChars="0" w:firstLine="0" w:firstLineChars="0"/>
        <w:rPr>
          <w:rFonts w:hint="eastAsia"/>
          <w:sz w:val="24"/>
          <w:szCs w:val="24"/>
          <w:lang w:val="en-US" w:eastAsia="zh-CN"/>
        </w:rPr>
      </w:pPr>
      <w:r>
        <w:rPr>
          <w:rFonts w:hint="eastAsia"/>
          <w:sz w:val="24"/>
          <w:szCs w:val="24"/>
          <w:lang w:val="en-US" w:eastAsia="zh-CN"/>
        </w:rPr>
        <w:t>暖气保护好，建设完后恢复原位，不得损坏，损坏赔偿。</w:t>
      </w:r>
    </w:p>
    <w:p>
      <w:pPr>
        <w:numPr>
          <w:ilvl w:val="0"/>
          <w:numId w:val="12"/>
        </w:numPr>
        <w:spacing w:line="360" w:lineRule="auto"/>
        <w:ind w:left="0" w:leftChars="0" w:firstLine="0" w:firstLineChars="0"/>
        <w:rPr>
          <w:rFonts w:hint="eastAsia"/>
          <w:sz w:val="24"/>
          <w:szCs w:val="24"/>
          <w:lang w:val="en-US" w:eastAsia="zh-CN"/>
        </w:rPr>
      </w:pPr>
      <w:r>
        <w:rPr>
          <w:rFonts w:hint="eastAsia"/>
          <w:sz w:val="24"/>
          <w:szCs w:val="24"/>
          <w:lang w:val="en-US" w:eastAsia="zh-CN"/>
        </w:rPr>
        <w:t>中一实训室的海鲜蒸柜和万能蒸烤箱保护好，建设完后恢复原位，不得损坏，损坏赔偿。</w:t>
      </w:r>
    </w:p>
    <w:p>
      <w:pPr>
        <w:numPr>
          <w:ilvl w:val="0"/>
          <w:numId w:val="12"/>
        </w:numPr>
        <w:spacing w:line="360" w:lineRule="auto"/>
        <w:ind w:left="0" w:leftChars="0" w:firstLine="0" w:firstLineChars="0"/>
        <w:rPr>
          <w:rFonts w:hint="default"/>
          <w:sz w:val="24"/>
          <w:szCs w:val="24"/>
          <w:lang w:val="en-US" w:eastAsia="zh-CN"/>
        </w:rPr>
      </w:pPr>
      <w:r>
        <w:rPr>
          <w:rFonts w:hint="eastAsia"/>
          <w:sz w:val="24"/>
          <w:szCs w:val="24"/>
          <w:lang w:val="en-US" w:eastAsia="zh-CN"/>
        </w:rPr>
        <w:t>中一实训室天然气管道在施工时注意安全，不得损坏，损坏赔偿。</w:t>
      </w:r>
    </w:p>
    <w:p>
      <w:pPr>
        <w:numPr>
          <w:ilvl w:val="0"/>
          <w:numId w:val="12"/>
        </w:numPr>
        <w:spacing w:line="360" w:lineRule="auto"/>
        <w:ind w:left="0" w:leftChars="0" w:firstLine="0" w:firstLineChars="0"/>
        <w:rPr>
          <w:rFonts w:hint="default"/>
          <w:sz w:val="24"/>
          <w:szCs w:val="24"/>
          <w:lang w:val="en-US" w:eastAsia="zh-CN"/>
        </w:rPr>
      </w:pPr>
      <w:r>
        <w:rPr>
          <w:rFonts w:hint="eastAsia"/>
          <w:sz w:val="24"/>
          <w:szCs w:val="24"/>
          <w:lang w:val="en-US" w:eastAsia="zh-CN"/>
        </w:rPr>
        <w:t>中一、中三实训室的进户门不更换，施工时不得损坏，损坏赔偿。</w:t>
      </w:r>
    </w:p>
    <w:p>
      <w:pPr>
        <w:numPr>
          <w:ilvl w:val="0"/>
          <w:numId w:val="12"/>
        </w:numPr>
        <w:spacing w:line="360" w:lineRule="auto"/>
        <w:ind w:left="0" w:leftChars="0" w:firstLine="0" w:firstLineChars="0"/>
        <w:rPr>
          <w:rFonts w:hint="default"/>
          <w:sz w:val="24"/>
          <w:szCs w:val="24"/>
          <w:lang w:val="en-US" w:eastAsia="zh-CN"/>
        </w:rPr>
      </w:pPr>
      <w:r>
        <w:rPr>
          <w:rFonts w:hint="eastAsia"/>
          <w:sz w:val="24"/>
          <w:szCs w:val="24"/>
          <w:lang w:val="en-US" w:eastAsia="zh-CN"/>
        </w:rPr>
        <w:t>拆除设备都为学校固定资产，堆放学校指定地方，不得私自处理。建筑垃圾在工程结束后必须运走，费用由中标方承担。</w:t>
      </w:r>
    </w:p>
    <w:p>
      <w:pPr>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（2）、装修要求</w:t>
      </w:r>
    </w:p>
    <w:p>
      <w:pPr>
        <w:numPr>
          <w:ilvl w:val="0"/>
          <w:numId w:val="13"/>
        </w:numPr>
        <w:spacing w:line="360" w:lineRule="auto"/>
        <w:ind w:leftChars="0"/>
        <w:rPr>
          <w:rFonts w:hint="eastAsia"/>
          <w:sz w:val="24"/>
          <w:szCs w:val="24"/>
          <w:lang w:val="en-US" w:eastAsia="zh-CN"/>
        </w:rPr>
      </w:pPr>
      <w:r>
        <w:rPr>
          <w:rFonts w:hint="eastAsia"/>
          <w:sz w:val="24"/>
          <w:szCs w:val="24"/>
          <w:lang w:val="en-US" w:eastAsia="zh-CN"/>
        </w:rPr>
        <w:t>用料及要求</w:t>
      </w:r>
    </w:p>
    <w:tbl>
      <w:tblPr>
        <w:tblStyle w:val="36"/>
        <w:tblW w:w="9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950"/>
        <w:gridCol w:w="705"/>
        <w:gridCol w:w="993"/>
        <w:gridCol w:w="2314"/>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规格</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50*100mm厚度1.2mm定制转印木纹铝方通吊顶</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178.15 </w:t>
            </w:r>
          </w:p>
        </w:tc>
        <w:tc>
          <w:tcPr>
            <w:tcW w:w="23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50mm*100mm*1.2mm厚</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间隔150mm，通铺，高度3m定制转印木纹。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300*300全抛釉抗油污定制墙面砖（</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215.00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0.09平米/片</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贴砖高度3.3米，贴制时需加胶，防止时间长了脱落，存在安全隐患。门窗洞贴砖，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地面JS防水</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210.33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JS防水涂刷不少于1毫米</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横竖个涂刷2遍，墙面上返300mm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600*600全抛釉防滑定制地面砖（</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178.15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0.36平米/片</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酒店用，防滑耐磨。地面通铺。破坏强度不小于3000N，摩擦系数单个值不小于0.7。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dn40给水管铺设</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品牌1.5寸ppr管</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重新接外管，原始混凝土地面需要开挖7米，工程结束后地面恢复原样。顶面铺设入户。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dn25给水管铺设</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品牌一寸ppr管</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走顶，加固。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dn15给水管铺设</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品牌4分ppr管</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墙面刻槽暗装，地面地砖下铺设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照明线路及线管（</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170.00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品牌2.5平方铜芯电线，kbg线管</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墙面刻槽暗装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插座线路、新风及线管（</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220.00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品牌4平方铜芯国标线，kbg线管</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墙面刻槽暗装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空调线路（</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20.00</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品牌6平方铜芯国标线，kbg线管</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墙面刻槽暗装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10平方线缆（</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40.00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品牌10平方5芯铜芯电缆</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国标无氧纯铜芯线缆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16平方线缆（</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34.00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品牌16平方5芯铜芯电缆</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eastAsia="zh-CN"/>
              </w:rPr>
              <w:t>国标无氧纯铜芯线缆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条形灯</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品牌90*10*4cm，36W，LED高亮白光</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定制铝方通专用条形灯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双联单控开关</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1.开关安装 （</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品牌86型开关、阻燃PC，线芯材质锡磷青铜，额定电流10A，</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86底盒暗装开关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5孔插座（</w:t>
            </w:r>
            <w:r>
              <w:rPr>
                <w:rFonts w:hint="eastAsia" w:ascii="宋体" w:hAnsi="宋体" w:eastAsia="宋体" w:cs="宋体"/>
                <w:sz w:val="24"/>
                <w:szCs w:val="24"/>
                <w:highlight w:val="none"/>
                <w:lang w:val="en-US" w:eastAsia="zh-CN"/>
              </w:rPr>
              <w:t>提供质检报告</w:t>
            </w:r>
            <w:r>
              <w:rPr>
                <w:rFonts w:hint="eastAsia" w:ascii="宋体" w:hAnsi="宋体" w:cs="宋体"/>
                <w:sz w:val="24"/>
                <w:szCs w:val="24"/>
                <w:highlight w:val="none"/>
                <w:lang w:val="en-US" w:eastAsia="zh-CN"/>
              </w:rPr>
              <w:t>）</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品牌86型插座、阻燃PC，线芯材质锡磷青铜，额定电流16A，</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86底盒暗装开关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3相四线空开</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品牌空气开关</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明装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95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地沟</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44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人工挖地沟找坡，瓷砖贴面</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地沟有坡度，不积水。考虑后期其他几间教室的排水问题。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95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角铁架</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44</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3.0mm角铁</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地沟盖板安装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95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50下水管金属管</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65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金属50下水管</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eastAsia="zh-CN"/>
              </w:rPr>
              <w:t>壁厚</w:t>
            </w:r>
            <w:r>
              <w:rPr>
                <w:rFonts w:hint="eastAsia" w:asciiTheme="minorEastAsia" w:hAnsiTheme="minorEastAsia" w:eastAsiaTheme="minorEastAsia" w:cstheme="minorEastAsia"/>
                <w:i w:val="0"/>
                <w:iCs w:val="0"/>
                <w:color w:val="000000"/>
                <w:sz w:val="24"/>
                <w:szCs w:val="24"/>
                <w:u w:val="none"/>
                <w:lang w:val="en-US" w:eastAsia="zh-CN"/>
              </w:rPr>
              <w:t>1mm金属下水管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sz w:val="24"/>
                <w:szCs w:val="24"/>
                <w:u w:val="none"/>
                <w:lang w:val="en-US" w:eastAsia="zh-CN"/>
              </w:rPr>
              <w:t>20</w:t>
            </w:r>
          </w:p>
        </w:tc>
        <w:tc>
          <w:tcPr>
            <w:tcW w:w="195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窗户</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34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60断桥铝，双层5mm钢化玻璃，带金钢网纱窗</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8个窗户，左右各扩15cm，安装。安装完恢复外墙面，与原来保持同样风格。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sz w:val="24"/>
                <w:szCs w:val="24"/>
                <w:u w:val="none"/>
                <w:lang w:val="en-US" w:eastAsia="zh-CN"/>
              </w:rPr>
              <w:t>21</w:t>
            </w:r>
          </w:p>
        </w:tc>
        <w:tc>
          <w:tcPr>
            <w:tcW w:w="195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拆除</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方</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90 </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人工拆除装车</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原地面、墙面、顶人工拆除，人工装车拉走处理。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sz w:val="24"/>
                <w:szCs w:val="24"/>
                <w:u w:val="none"/>
                <w:lang w:val="en-US" w:eastAsia="zh-CN"/>
              </w:rPr>
              <w:t>22</w:t>
            </w:r>
          </w:p>
        </w:tc>
        <w:tc>
          <w:tcPr>
            <w:tcW w:w="195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墙角弧形砖</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150mm*30mm</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墙地砖定制转角砖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23</w:t>
            </w:r>
          </w:p>
        </w:tc>
        <w:tc>
          <w:tcPr>
            <w:tcW w:w="1950"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油漆</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993"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270</w:t>
            </w:r>
          </w:p>
        </w:tc>
        <w:tc>
          <w:tcPr>
            <w:tcW w:w="23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乳胶漆</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原始顶面，管线喷黑</w:t>
            </w:r>
          </w:p>
        </w:tc>
      </w:tr>
    </w:tbl>
    <w:p>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备注：所用材料都必须符合国家标准。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）、施工要求</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窗户加宽，后期恢复外墙面，按以前条形瓷砖恢复。</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室内墙砖铺贴需采用双组分瓷砖胶，防止时间长后脱落。</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地沟施工深浅考虑其他几间教室排水。</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墙、地拐角使用弧形砖连接贴制。</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地面瓷砖施工时注意坡度为3°，用水冲洗地面后没有积水。</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自来水从外面重新接入，开挖土方后水管施工完要恢复原样。</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地沟角铁架铺设时平稳，上面盖地沟盖板，盖板厚度为25mm，盖板保持与地面一个高度。</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新风系统过实训办公室，拆开实训办公室吊顶后需要恢复原样。</w:t>
      </w:r>
    </w:p>
    <w:p>
      <w:pPr>
        <w:numPr>
          <w:ilvl w:val="0"/>
          <w:numId w:val="14"/>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施工期间如遇疫情，工人严格按照学校总体防疫要求进行。</w:t>
      </w:r>
    </w:p>
    <w:p>
      <w:pPr>
        <w:pStyle w:val="24"/>
        <w:numPr>
          <w:ilvl w:val="0"/>
          <w:numId w:val="0"/>
        </w:numPr>
        <w:spacing w:line="360" w:lineRule="auto"/>
        <w:jc w:val="left"/>
        <w:outlineLvl w:val="2"/>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（4）、装修量清单另附电子版</w:t>
      </w:r>
      <w:bookmarkEnd w:id="135"/>
      <w:bookmarkStart w:id="173" w:name="_Toc71729642"/>
      <w:bookmarkStart w:id="174" w:name="_Toc32170"/>
    </w:p>
    <w:p>
      <w:pP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br w:type="page"/>
      </w:r>
    </w:p>
    <w:p>
      <w:pPr>
        <w:pStyle w:val="24"/>
        <w:spacing w:line="360" w:lineRule="auto"/>
        <w:jc w:val="center"/>
        <w:outlineLvl w:val="0"/>
        <w:rPr>
          <w:rFonts w:ascii="宋体" w:hAnsi="宋体" w:cs="宋体"/>
          <w:b/>
          <w:bCs/>
          <w:sz w:val="44"/>
          <w:szCs w:val="44"/>
        </w:rPr>
      </w:pPr>
      <w:r>
        <w:rPr>
          <w:rFonts w:hint="eastAsia" w:ascii="宋体" w:hAnsi="宋体" w:cs="宋体"/>
          <w:b/>
          <w:bCs/>
          <w:sz w:val="44"/>
          <w:szCs w:val="44"/>
        </w:rPr>
        <w:t>第六章 拟签订的合同文本</w:t>
      </w:r>
      <w:bookmarkEnd w:id="173"/>
      <w:bookmarkEnd w:id="174"/>
    </w:p>
    <w:p>
      <w:pPr>
        <w:tabs>
          <w:tab w:val="left" w:pos="735"/>
        </w:tabs>
        <w:autoSpaceDE w:val="0"/>
        <w:autoSpaceDN w:val="0"/>
        <w:adjustRightInd w:val="0"/>
        <w:snapToGrid w:val="0"/>
        <w:spacing w:line="420" w:lineRule="exact"/>
        <w:ind w:firstLine="472" w:firstLineChars="196"/>
        <w:rPr>
          <w:rFonts w:ascii="宋体" w:hAnsi="宋体"/>
          <w:b/>
          <w:sz w:val="24"/>
        </w:rPr>
      </w:pPr>
      <w:r>
        <w:rPr>
          <w:rFonts w:hint="eastAsia" w:ascii="宋体" w:hAnsi="宋体"/>
          <w:b/>
          <w:sz w:val="24"/>
        </w:rPr>
        <w:t>（</w:t>
      </w:r>
      <w:r>
        <w:rPr>
          <w:rFonts w:hint="eastAsia" w:ascii="宋体" w:hAnsi="宋体"/>
          <w:b/>
          <w:sz w:val="24"/>
          <w:lang w:val="zh-CN"/>
        </w:rPr>
        <w:t>此合同草案条款，</w:t>
      </w:r>
      <w:r>
        <w:rPr>
          <w:rFonts w:hint="eastAsia" w:ascii="宋体" w:hAnsi="宋体"/>
          <w:b/>
          <w:sz w:val="24"/>
        </w:rPr>
        <w:t>采购人和成交供应商</w:t>
      </w:r>
      <w:r>
        <w:rPr>
          <w:rFonts w:hint="eastAsia" w:ascii="宋体" w:hAnsi="宋体"/>
          <w:b/>
          <w:sz w:val="24"/>
          <w:lang w:val="zh-CN"/>
        </w:rPr>
        <w:t>所签订的合同</w:t>
      </w:r>
      <w:r>
        <w:rPr>
          <w:rFonts w:hint="eastAsia" w:ascii="宋体" w:hAnsi="宋体"/>
          <w:b/>
          <w:sz w:val="24"/>
        </w:rPr>
        <w:t>不得对谈判</w:t>
      </w:r>
      <w:r>
        <w:rPr>
          <w:rFonts w:hint="eastAsia" w:ascii="宋体" w:hAnsi="宋体"/>
          <w:b/>
          <w:sz w:val="24"/>
          <w:lang w:val="zh-CN"/>
        </w:rPr>
        <w:t>文件确定的事项和</w:t>
      </w:r>
      <w:r>
        <w:rPr>
          <w:rFonts w:hint="eastAsia" w:ascii="宋体" w:hAnsi="宋体"/>
          <w:b/>
          <w:sz w:val="24"/>
        </w:rPr>
        <w:t>成交供应商</w:t>
      </w:r>
      <w:r>
        <w:rPr>
          <w:rFonts w:hint="eastAsia" w:ascii="宋体" w:hAnsi="宋体"/>
          <w:b/>
          <w:sz w:val="24"/>
          <w:lang w:val="zh-CN"/>
        </w:rPr>
        <w:t>的</w:t>
      </w:r>
      <w:r>
        <w:rPr>
          <w:rFonts w:hint="eastAsia" w:ascii="宋体" w:hAnsi="宋体"/>
          <w:b/>
          <w:sz w:val="24"/>
        </w:rPr>
        <w:t>谈判响应</w:t>
      </w:r>
      <w:r>
        <w:rPr>
          <w:rFonts w:hint="eastAsia" w:ascii="宋体" w:hAnsi="宋体"/>
          <w:b/>
          <w:sz w:val="24"/>
          <w:lang w:val="zh-CN"/>
        </w:rPr>
        <w:t>文件做实质性修改，最终签订的合同以采购人确定的合同内容为准。</w:t>
      </w:r>
      <w:r>
        <w:rPr>
          <w:rFonts w:hint="eastAsia" w:ascii="宋体" w:hAnsi="宋体"/>
          <w:b/>
          <w:sz w:val="24"/>
        </w:rPr>
        <w:t>）</w:t>
      </w:r>
    </w:p>
    <w:p>
      <w:pPr>
        <w:autoSpaceDE w:val="0"/>
        <w:autoSpaceDN w:val="0"/>
        <w:adjustRightInd w:val="0"/>
        <w:spacing w:line="360" w:lineRule="auto"/>
        <w:ind w:firstLine="480" w:firstLineChars="200"/>
        <w:rPr>
          <w:rFonts w:ascii="宋体" w:hAnsi="宋体" w:cs="宋体"/>
          <w:bCs/>
          <w:sz w:val="24"/>
        </w:rPr>
      </w:pP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甲方（采购人）：</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 xml:space="preserve">乙方（成交供应商）： </w:t>
      </w:r>
    </w:p>
    <w:p>
      <w:pPr>
        <w:autoSpaceDE w:val="0"/>
        <w:autoSpaceDN w:val="0"/>
        <w:adjustRightInd w:val="0"/>
        <w:spacing w:line="348" w:lineRule="auto"/>
        <w:ind w:firstLine="480" w:firstLineChars="200"/>
        <w:rPr>
          <w:rFonts w:ascii="宋体" w:hAnsi="宋体" w:cs="宋体"/>
          <w:bCs/>
          <w:sz w:val="24"/>
        </w:rPr>
      </w:pPr>
      <w:r>
        <w:rPr>
          <w:rFonts w:hint="eastAsia" w:ascii="宋体" w:hAnsi="宋体" w:cs="宋体"/>
          <w:bCs/>
          <w:sz w:val="24"/>
          <w:u w:val="single"/>
        </w:rPr>
        <w:t xml:space="preserve">  （             项目名称、项目编号        )</w:t>
      </w:r>
      <w:r>
        <w:rPr>
          <w:rFonts w:hint="eastAsia" w:ascii="宋体" w:hAnsi="宋体" w:cs="宋体"/>
          <w:bCs/>
          <w:sz w:val="24"/>
        </w:rPr>
        <w:t>由陕西明正招标有限公司组织竞争性谈判采购，</w:t>
      </w:r>
      <w:r>
        <w:rPr>
          <w:rFonts w:hint="eastAsia" w:ascii="宋体" w:hAnsi="宋体" w:cs="宋体"/>
          <w:bCs/>
          <w:sz w:val="24"/>
          <w:u w:val="single"/>
        </w:rPr>
        <w:t xml:space="preserve">      </w:t>
      </w:r>
      <w:r>
        <w:rPr>
          <w:rFonts w:hint="eastAsia" w:ascii="宋体" w:hAnsi="宋体" w:cs="宋体"/>
          <w:bCs/>
          <w:sz w:val="24"/>
        </w:rPr>
        <w:t>(以下简称“甲方”)确定</w:t>
      </w:r>
      <w:r>
        <w:rPr>
          <w:rFonts w:hint="eastAsia" w:ascii="宋体" w:hAnsi="宋体" w:cs="宋体"/>
          <w:bCs/>
          <w:sz w:val="24"/>
          <w:u w:val="single"/>
        </w:rPr>
        <w:t xml:space="preserve">        </w:t>
      </w:r>
      <w:r>
        <w:rPr>
          <w:rFonts w:hint="eastAsia" w:ascii="宋体" w:hAnsi="宋体" w:cs="宋体"/>
          <w:bCs/>
          <w:sz w:val="24"/>
        </w:rPr>
        <w:t>（以下简称“乙方”）为的成交供应商。</w:t>
      </w:r>
    </w:p>
    <w:p>
      <w:pPr>
        <w:autoSpaceDE w:val="0"/>
        <w:autoSpaceDN w:val="0"/>
        <w:adjustRightInd w:val="0"/>
        <w:spacing w:line="348" w:lineRule="auto"/>
        <w:ind w:firstLine="480" w:firstLineChars="200"/>
        <w:rPr>
          <w:rFonts w:ascii="宋体" w:hAnsi="宋体" w:cs="宋体"/>
          <w:bCs/>
          <w:sz w:val="24"/>
        </w:rPr>
      </w:pPr>
      <w:r>
        <w:rPr>
          <w:rFonts w:hint="eastAsia" w:ascii="宋体" w:hAnsi="宋体" w:cs="宋体"/>
          <w:bCs/>
          <w:sz w:val="24"/>
        </w:rPr>
        <w:t>依据《中华人民共和国民法典》和《</w:t>
      </w:r>
      <w:r>
        <w:rPr>
          <w:rFonts w:hint="eastAsia" w:ascii="宋体" w:hAnsi="宋体" w:cs="宋体"/>
          <w:kern w:val="0"/>
          <w:sz w:val="24"/>
          <w:szCs w:val="20"/>
        </w:rPr>
        <w:t>中华人民共和国政府采购法</w:t>
      </w:r>
      <w:r>
        <w:rPr>
          <w:rFonts w:hint="eastAsia" w:ascii="宋体" w:hAnsi="宋体" w:cs="宋体"/>
          <w:bCs/>
          <w:sz w:val="24"/>
        </w:rPr>
        <w:t>》，经双方协商按下述条款和条件签署本合同。</w:t>
      </w:r>
    </w:p>
    <w:p>
      <w:pPr>
        <w:adjustRightInd w:val="0"/>
        <w:snapToGrid w:val="0"/>
        <w:spacing w:line="360" w:lineRule="auto"/>
        <w:ind w:firstLine="482" w:firstLineChars="200"/>
        <w:rPr>
          <w:rFonts w:ascii="宋体" w:hAnsi="宋体" w:cs="宋体"/>
          <w:b/>
          <w:sz w:val="24"/>
        </w:rPr>
      </w:pPr>
      <w:bookmarkStart w:id="175" w:name="_Toc26598"/>
      <w:bookmarkStart w:id="176" w:name="_Toc17135"/>
      <w:r>
        <w:rPr>
          <w:rFonts w:hint="eastAsia" w:ascii="宋体" w:hAnsi="宋体" w:cs="宋体"/>
          <w:b/>
          <w:sz w:val="24"/>
        </w:rPr>
        <w:t>一、合同价款</w:t>
      </w:r>
      <w:bookmarkEnd w:id="175"/>
      <w:bookmarkEnd w:id="176"/>
    </w:p>
    <w:p>
      <w:pPr>
        <w:adjustRightInd w:val="0"/>
        <w:snapToGrid w:val="0"/>
        <w:spacing w:line="360" w:lineRule="auto"/>
        <w:ind w:firstLine="480" w:firstLineChars="200"/>
        <w:rPr>
          <w:rFonts w:ascii="宋体" w:hAnsi="宋体" w:cs="宋体"/>
          <w:bCs/>
          <w:sz w:val="24"/>
        </w:rPr>
      </w:pPr>
      <w:bookmarkStart w:id="177" w:name="_Toc22277"/>
      <w:bookmarkStart w:id="178" w:name="_Toc1340"/>
      <w:r>
        <w:rPr>
          <w:rFonts w:hint="eastAsia" w:ascii="宋体" w:hAnsi="宋体" w:cs="宋体"/>
          <w:bCs/>
          <w:sz w:val="24"/>
        </w:rPr>
        <w:t>（一）合同总价款为人民币（大写）</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bCs/>
          <w:sz w:val="24"/>
          <w:u w:val="single"/>
        </w:rPr>
        <w:t xml:space="preserve">      </w:t>
      </w:r>
      <w:r>
        <w:rPr>
          <w:rFonts w:hint="eastAsia" w:ascii="宋体" w:hAnsi="宋体" w:cs="宋体"/>
          <w:bCs/>
          <w:sz w:val="24"/>
        </w:rPr>
        <w:t>）。</w:t>
      </w:r>
    </w:p>
    <w:p>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（二）合同总价包括：</w:t>
      </w:r>
      <w:r>
        <w:rPr>
          <w:rFonts w:hint="eastAsia" w:ascii="宋体" w:hAnsi="宋体" w:cs="宋体"/>
          <w:sz w:val="24"/>
        </w:rPr>
        <w:t>供应商响应谈判项目要求的全部工作内容的价格体现，包括供应商所提供的货物、服务、安装调试费、运杂费（含保险）、培训费、人工费、</w:t>
      </w:r>
      <w:r>
        <w:rPr>
          <w:rFonts w:hint="eastAsia" w:ascii="宋体" w:hAnsi="宋体"/>
          <w:sz w:val="24"/>
        </w:rPr>
        <w:t>材料费、机械费、管理费、利润、</w:t>
      </w:r>
      <w:r>
        <w:rPr>
          <w:rFonts w:hint="eastAsia" w:ascii="宋体" w:hAnsi="宋体" w:cs="宋体"/>
          <w:sz w:val="24"/>
        </w:rPr>
        <w:t>税金等直至验收合格的一切费用。</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（三）合同总价为固定总价，不受市场价格变化因素的影响。</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二、款项结算</w:t>
      </w:r>
      <w:bookmarkEnd w:id="177"/>
      <w:bookmarkEnd w:id="178"/>
    </w:p>
    <w:p>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（一）合同款的支付</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（二）支付方式：银行转账。</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（三）结算方式：乙方须向甲方出具合法有效的完税发票，甲方进行支付结算。</w:t>
      </w:r>
    </w:p>
    <w:p>
      <w:pPr>
        <w:autoSpaceDE w:val="0"/>
        <w:autoSpaceDN w:val="0"/>
        <w:adjustRightInd w:val="0"/>
        <w:snapToGrid w:val="0"/>
        <w:spacing w:line="360" w:lineRule="auto"/>
        <w:ind w:firstLine="482" w:firstLineChars="200"/>
        <w:rPr>
          <w:rFonts w:ascii="宋体" w:hAnsi="宋体" w:cs="宋体"/>
          <w:b/>
          <w:bCs/>
          <w:sz w:val="24"/>
        </w:rPr>
      </w:pPr>
      <w:bookmarkStart w:id="179" w:name="_Toc19642"/>
      <w:bookmarkStart w:id="180" w:name="_Toc20456"/>
      <w:r>
        <w:rPr>
          <w:rFonts w:hint="eastAsia" w:ascii="宋体" w:hAnsi="宋体" w:cs="宋体"/>
          <w:b/>
          <w:sz w:val="24"/>
        </w:rPr>
        <w:t>三、</w:t>
      </w:r>
      <w:r>
        <w:rPr>
          <w:rFonts w:hint="eastAsia" w:ascii="宋体" w:hAnsi="宋体" w:cs="宋体"/>
          <w:b/>
          <w:bCs/>
          <w:sz w:val="24"/>
        </w:rPr>
        <w:t>实施地点与完成期：</w:t>
      </w:r>
      <w:bookmarkEnd w:id="179"/>
      <w:bookmarkEnd w:id="180"/>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（一）交货地点：甲方指定地点。</w:t>
      </w:r>
    </w:p>
    <w:p>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（二）交货期：</w:t>
      </w:r>
      <w:r>
        <w:rPr>
          <w:rFonts w:hint="eastAsia" w:ascii="宋体" w:hAnsi="宋体" w:cs="宋体"/>
          <w:sz w:val="24"/>
          <w:u w:val="single"/>
          <w:lang w:val="en-US" w:eastAsia="zh-CN"/>
        </w:rPr>
        <w:t xml:space="preserve">              </w:t>
      </w:r>
      <w:r>
        <w:rPr>
          <w:rFonts w:hint="eastAsia" w:ascii="宋体" w:hAnsi="宋体" w:cs="宋体"/>
          <w:sz w:val="24"/>
          <w:lang w:val="zh-CN"/>
        </w:rPr>
        <w:t>。</w:t>
      </w:r>
    </w:p>
    <w:p>
      <w:pPr>
        <w:autoSpaceDE w:val="0"/>
        <w:autoSpaceDN w:val="0"/>
        <w:adjustRightInd w:val="0"/>
        <w:spacing w:line="360" w:lineRule="auto"/>
        <w:ind w:firstLine="482" w:firstLineChars="200"/>
        <w:rPr>
          <w:rFonts w:ascii="宋体" w:hAnsi="宋体" w:cs="宋体"/>
          <w:b/>
          <w:sz w:val="24"/>
        </w:rPr>
      </w:pPr>
      <w:bookmarkStart w:id="181" w:name="_Toc13422"/>
      <w:bookmarkStart w:id="182" w:name="_Toc5951"/>
      <w:r>
        <w:rPr>
          <w:rFonts w:hint="eastAsia" w:ascii="宋体" w:hAnsi="宋体" w:cs="宋体"/>
          <w:b/>
          <w:bCs/>
          <w:sz w:val="24"/>
        </w:rPr>
        <w:t>四、</w:t>
      </w:r>
      <w:r>
        <w:rPr>
          <w:rFonts w:hint="eastAsia" w:ascii="宋体" w:hAnsi="宋体" w:cs="宋体"/>
          <w:b/>
          <w:sz w:val="24"/>
        </w:rPr>
        <w:t>技术服务</w:t>
      </w:r>
      <w:bookmarkEnd w:id="181"/>
      <w:bookmarkEnd w:id="182"/>
    </w:p>
    <w:p>
      <w:pPr>
        <w:spacing w:line="360" w:lineRule="auto"/>
        <w:ind w:right="-168" w:rightChars="-80" w:firstLine="480" w:firstLineChars="200"/>
        <w:rPr>
          <w:rFonts w:ascii="宋体" w:hAnsi="宋体" w:cs="宋体"/>
          <w:sz w:val="24"/>
        </w:rPr>
      </w:pPr>
      <w:r>
        <w:rPr>
          <w:rFonts w:hint="eastAsia" w:ascii="宋体" w:hAnsi="宋体" w:cs="宋体"/>
          <w:sz w:val="24"/>
        </w:rPr>
        <w:t>（一）技术资料：</w:t>
      </w:r>
    </w:p>
    <w:p>
      <w:pPr>
        <w:spacing w:line="360" w:lineRule="auto"/>
        <w:ind w:right="-168" w:rightChars="-80" w:firstLine="480" w:firstLineChars="200"/>
        <w:rPr>
          <w:rFonts w:ascii="宋体" w:hAnsi="宋体" w:cs="宋体"/>
          <w:sz w:val="24"/>
        </w:rPr>
      </w:pPr>
      <w:r>
        <w:rPr>
          <w:rFonts w:hint="eastAsia" w:ascii="宋体" w:hAnsi="宋体" w:cs="宋体"/>
          <w:sz w:val="24"/>
        </w:rPr>
        <w:t>1.实施方案。</w:t>
      </w:r>
    </w:p>
    <w:p>
      <w:pPr>
        <w:spacing w:line="360" w:lineRule="auto"/>
        <w:ind w:right="-168" w:rightChars="-80" w:firstLine="480" w:firstLineChars="200"/>
        <w:rPr>
          <w:rFonts w:ascii="宋体" w:hAnsi="宋体" w:cs="宋体"/>
          <w:sz w:val="24"/>
        </w:rPr>
      </w:pPr>
      <w:r>
        <w:rPr>
          <w:rFonts w:hint="eastAsia" w:ascii="宋体" w:hAnsi="宋体" w:cs="宋体"/>
          <w:sz w:val="24"/>
        </w:rPr>
        <w:t>2.其它资料。</w:t>
      </w:r>
    </w:p>
    <w:p>
      <w:pPr>
        <w:spacing w:line="360" w:lineRule="auto"/>
        <w:ind w:right="-168" w:rightChars="-80" w:firstLine="480" w:firstLineChars="200"/>
        <w:rPr>
          <w:rFonts w:ascii="宋体" w:hAnsi="宋体" w:cs="宋体"/>
          <w:sz w:val="24"/>
        </w:rPr>
      </w:pPr>
      <w:r>
        <w:rPr>
          <w:rFonts w:hint="eastAsia" w:ascii="宋体" w:hAnsi="宋体" w:cs="宋体"/>
          <w:sz w:val="24"/>
        </w:rPr>
        <w:t>（二）服务承诺：响应文件有明确的服务承诺。</w:t>
      </w:r>
    </w:p>
    <w:p>
      <w:pPr>
        <w:snapToGrid w:val="0"/>
        <w:spacing w:line="360" w:lineRule="auto"/>
        <w:ind w:firstLine="482" w:firstLineChars="200"/>
        <w:rPr>
          <w:rFonts w:ascii="宋体" w:hAnsi="宋体" w:cs="宋体"/>
          <w:b/>
          <w:sz w:val="24"/>
        </w:rPr>
      </w:pPr>
      <w:bookmarkStart w:id="183" w:name="_Toc29562"/>
      <w:bookmarkStart w:id="184" w:name="_Toc12322"/>
      <w:r>
        <w:rPr>
          <w:rFonts w:hint="eastAsia" w:ascii="宋体" w:hAnsi="宋体" w:cs="宋体"/>
          <w:b/>
          <w:sz w:val="24"/>
        </w:rPr>
        <w:t>五、</w:t>
      </w:r>
      <w:bookmarkEnd w:id="183"/>
      <w:bookmarkEnd w:id="184"/>
      <w:r>
        <w:rPr>
          <w:rFonts w:hint="eastAsia" w:ascii="宋体" w:hAnsi="宋体" w:cs="宋体"/>
          <w:b/>
          <w:sz w:val="24"/>
        </w:rPr>
        <w:t>售后服务要求</w:t>
      </w:r>
    </w:p>
    <w:p>
      <w:pPr>
        <w:autoSpaceDE w:val="0"/>
        <w:autoSpaceDN w:val="0"/>
        <w:snapToGrid w:val="0"/>
        <w:spacing w:line="360" w:lineRule="auto"/>
        <w:ind w:firstLine="643"/>
        <w:rPr>
          <w:rFonts w:ascii="宋体" w:hAnsi="宋体" w:cs="宋体"/>
          <w:bCs/>
          <w:sz w:val="24"/>
        </w:rPr>
      </w:pPr>
      <w:bookmarkStart w:id="185" w:name="_Toc32637"/>
      <w:bookmarkStart w:id="186" w:name="_Toc9857"/>
      <w:r>
        <w:rPr>
          <w:rFonts w:hint="eastAsia" w:ascii="宋体" w:hAnsi="宋体" w:cs="宋体"/>
          <w:bCs/>
          <w:sz w:val="24"/>
        </w:rPr>
        <w:t xml:space="preserve">（一）派专人对学校提供售后服务，并每月定期对所提供的材料等进行巡检，做好巡检记录；                  </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（二）货物（产品）的现场安装、调试和启动监督；</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三）就货物的安装、启动、运行及维护等对乙方的人员进行免费培训。主要培训内容为货物的基本结构、性能、主要部件的构造及处理，日常使用操作、保养与管理、常见故障的排除、紧急情况的处理等，如采购人未使用过同类型货物，成交供应商还需就货物的功能对采购人的人员进行相应的技术培训，培训地点主要在货物安装现场或由采购人安排，并制作维护使用手册。</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（四）质保期自甲方在货物质量验收单（终验）上签字之日起计算，质保费用计入总价；</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（五）乙方对其所提供备品配件的供应，长期提供维修服务，并提供技术咨询等服务。质保期内应无偿负责的维修和替换等工作。超出质保期只收取维修所需原设备、材料成本费用。</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（六）服务响应时限：7*24小时服务，提供售后服务电话（应具有：固定电话、移动电话、传真）；</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（七）乙方在接到甲方通知后维修工作时间不大于24小时，更换工作时间不大于72小时。</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（八）若乙方未按照合同规定的售后服务要求执行，甲方有权自行选择第三方进行维护和修理，所产生的费用将</w:t>
      </w:r>
      <w:r>
        <w:rPr>
          <w:rFonts w:hint="eastAsia" w:ascii="宋体" w:hAnsi="宋体" w:cs="宋体"/>
          <w:bCs/>
          <w:sz w:val="24"/>
          <w:lang w:val="en-US" w:eastAsia="zh-CN"/>
        </w:rPr>
        <w:t>由乙方承担</w:t>
      </w:r>
      <w:r>
        <w:rPr>
          <w:rFonts w:hint="eastAsia" w:ascii="宋体" w:hAnsi="宋体" w:cs="宋体"/>
          <w:bCs/>
          <w:sz w:val="24"/>
        </w:rPr>
        <w:t>。</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（九）在质保期内更换系统中部件（包括软件和硬件），其保修期应相应延长。</w:t>
      </w:r>
    </w:p>
    <w:p>
      <w:pPr>
        <w:autoSpaceDE w:val="0"/>
        <w:autoSpaceDN w:val="0"/>
        <w:snapToGrid w:val="0"/>
        <w:spacing w:line="360" w:lineRule="auto"/>
        <w:ind w:firstLine="643"/>
        <w:rPr>
          <w:rFonts w:ascii="宋体" w:hAnsi="宋体" w:cs="宋体"/>
          <w:bCs/>
          <w:sz w:val="24"/>
        </w:rPr>
      </w:pPr>
      <w:r>
        <w:rPr>
          <w:rFonts w:hint="eastAsia" w:ascii="宋体" w:hAnsi="宋体" w:cs="宋体"/>
          <w:bCs/>
          <w:sz w:val="24"/>
        </w:rPr>
        <w:t>（十）所有货物服务方式均为乙方上门服务，即由乙方派员到货物使用现场维修，由此产生的一切费用均由乙方承担；</w:t>
      </w:r>
    </w:p>
    <w:p>
      <w:pPr>
        <w:autoSpaceDE w:val="0"/>
        <w:autoSpaceDN w:val="0"/>
        <w:snapToGrid w:val="0"/>
        <w:spacing w:line="360" w:lineRule="auto"/>
        <w:ind w:firstLine="643"/>
        <w:rPr>
          <w:rFonts w:ascii="宋体" w:hAnsi="宋体" w:cs="宋体"/>
          <w:bCs/>
          <w:sz w:val="24"/>
          <w:highlight w:val="none"/>
        </w:rPr>
      </w:pPr>
      <w:r>
        <w:rPr>
          <w:rFonts w:hint="eastAsia" w:ascii="宋体" w:hAnsi="宋体" w:cs="宋体"/>
          <w:bCs/>
          <w:sz w:val="24"/>
        </w:rPr>
        <w:t>（十一）</w:t>
      </w:r>
      <w:r>
        <w:rPr>
          <w:rFonts w:hint="eastAsia" w:ascii="宋体" w:hAnsi="宋体" w:cs="宋体"/>
          <w:bCs/>
          <w:sz w:val="24"/>
          <w:highlight w:val="none"/>
        </w:rPr>
        <w:t>质保期结束后的货物维修、维护由双方协商再定；</w:t>
      </w:r>
    </w:p>
    <w:p>
      <w:pPr>
        <w:autoSpaceDE w:val="0"/>
        <w:autoSpaceDN w:val="0"/>
        <w:snapToGrid w:val="0"/>
        <w:spacing w:line="360" w:lineRule="auto"/>
        <w:ind w:firstLine="643"/>
        <w:rPr>
          <w:rFonts w:ascii="宋体" w:hAnsi="宋体" w:cs="宋体"/>
          <w:bCs/>
          <w:sz w:val="24"/>
          <w:highlight w:val="none"/>
        </w:rPr>
      </w:pPr>
      <w:r>
        <w:rPr>
          <w:rFonts w:hint="eastAsia" w:ascii="宋体" w:hAnsi="宋体" w:cs="宋体"/>
          <w:bCs/>
          <w:sz w:val="24"/>
          <w:highlight w:val="none"/>
        </w:rPr>
        <w:t>（十二）质保期：</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w:t>
      </w:r>
    </w:p>
    <w:p>
      <w:pPr>
        <w:autoSpaceDE w:val="0"/>
        <w:autoSpaceDN w:val="0"/>
        <w:snapToGrid w:val="0"/>
        <w:spacing w:line="360" w:lineRule="auto"/>
        <w:ind w:firstLine="643"/>
        <w:rPr>
          <w:rFonts w:ascii="宋体" w:hAnsi="宋体" w:cs="宋体"/>
          <w:b/>
          <w:sz w:val="24"/>
          <w:highlight w:val="none"/>
        </w:rPr>
      </w:pPr>
      <w:r>
        <w:rPr>
          <w:rFonts w:hint="eastAsia" w:ascii="宋体" w:hAnsi="宋体" w:cs="宋体"/>
          <w:b/>
          <w:sz w:val="24"/>
          <w:highlight w:val="none"/>
        </w:rPr>
        <w:t>六、违约责任</w:t>
      </w:r>
      <w:bookmarkEnd w:id="185"/>
      <w:bookmarkEnd w:id="186"/>
    </w:p>
    <w:p>
      <w:pPr>
        <w:autoSpaceDE w:val="0"/>
        <w:autoSpaceDN w:val="0"/>
        <w:snapToGrid w:val="0"/>
        <w:spacing w:line="360" w:lineRule="auto"/>
        <w:ind w:firstLine="640"/>
        <w:rPr>
          <w:rFonts w:hint="eastAsia" w:ascii="宋体" w:hAnsi="宋体" w:cs="宋体"/>
          <w:sz w:val="24"/>
        </w:rPr>
      </w:pPr>
      <w:r>
        <w:rPr>
          <w:rFonts w:hint="eastAsia" w:ascii="宋体" w:hAnsi="宋体" w:cs="宋体"/>
          <w:sz w:val="24"/>
        </w:rPr>
        <w:t>（一）按《</w:t>
      </w:r>
      <w:r>
        <w:rPr>
          <w:rFonts w:hint="eastAsia" w:ascii="宋体" w:hAnsi="宋体" w:cs="宋体"/>
          <w:sz w:val="24"/>
          <w:lang w:val="zh-CN"/>
        </w:rPr>
        <w:t>中华人民共和国</w:t>
      </w:r>
      <w:r>
        <w:rPr>
          <w:rFonts w:hint="eastAsia" w:ascii="宋体" w:hAnsi="宋体" w:cs="宋体"/>
          <w:sz w:val="24"/>
        </w:rPr>
        <w:t>民法典》中的相关条款执行。</w:t>
      </w:r>
    </w:p>
    <w:p>
      <w:pPr>
        <w:autoSpaceDE w:val="0"/>
        <w:autoSpaceDN w:val="0"/>
        <w:snapToGrid w:val="0"/>
        <w:spacing w:line="360" w:lineRule="auto"/>
        <w:ind w:firstLine="640"/>
        <w:rPr>
          <w:rFonts w:ascii="宋体" w:hAnsi="宋体" w:cs="宋体"/>
          <w:sz w:val="24"/>
        </w:rPr>
      </w:pPr>
      <w:r>
        <w:rPr>
          <w:rFonts w:hint="eastAsia" w:ascii="宋体" w:hAnsi="宋体" w:cs="宋体"/>
          <w:sz w:val="24"/>
        </w:rPr>
        <w:t>（二）未按合同要求提供服务或服务质量不能满足本次采购要求，采购人会同监督机构、采购代理机构有权终止合同和对中标人违约行为进行追究，同时按政府采购法的有关规定进行相应的处罚。</w:t>
      </w:r>
    </w:p>
    <w:p>
      <w:pPr>
        <w:autoSpaceDE w:val="0"/>
        <w:autoSpaceDN w:val="0"/>
        <w:snapToGrid w:val="0"/>
        <w:spacing w:line="360" w:lineRule="auto"/>
        <w:ind w:firstLine="640"/>
        <w:rPr>
          <w:rFonts w:ascii="宋体" w:hAnsi="宋体" w:cs="宋体"/>
          <w:b/>
          <w:bCs/>
          <w:sz w:val="24"/>
        </w:rPr>
      </w:pPr>
      <w:bookmarkStart w:id="187" w:name="_Toc3666"/>
      <w:bookmarkStart w:id="188" w:name="_Toc26881"/>
      <w:r>
        <w:rPr>
          <w:rFonts w:hint="eastAsia" w:ascii="宋体" w:hAnsi="宋体" w:cs="宋体"/>
          <w:b/>
          <w:bCs/>
          <w:sz w:val="24"/>
        </w:rPr>
        <w:t>七、验收</w:t>
      </w:r>
      <w:bookmarkEnd w:id="187"/>
      <w:bookmarkEnd w:id="188"/>
    </w:p>
    <w:p>
      <w:pPr>
        <w:autoSpaceDE w:val="0"/>
        <w:autoSpaceDN w:val="0"/>
        <w:snapToGrid w:val="0"/>
        <w:spacing w:line="360" w:lineRule="auto"/>
        <w:ind w:firstLine="640"/>
        <w:rPr>
          <w:rFonts w:ascii="宋体" w:hAnsi="宋体" w:cs="宋体"/>
          <w:sz w:val="24"/>
        </w:rPr>
      </w:pPr>
      <w:r>
        <w:rPr>
          <w:rFonts w:hint="eastAsia" w:ascii="宋体" w:hAnsi="宋体" w:cs="宋体"/>
          <w:sz w:val="24"/>
        </w:rPr>
        <w:t>（一）设备到达甲方指定地点后，组织现场开箱请点验货。所到设备的型号和数量必须与合同一致，甲方和乙方共同签署到货验收单。未签收到货验收单的货物不得擅自开箱安装。</w:t>
      </w:r>
    </w:p>
    <w:p>
      <w:pPr>
        <w:autoSpaceDE w:val="0"/>
        <w:autoSpaceDN w:val="0"/>
        <w:snapToGrid w:val="0"/>
        <w:spacing w:line="360" w:lineRule="auto"/>
        <w:ind w:firstLine="640"/>
        <w:rPr>
          <w:rFonts w:ascii="宋体" w:hAnsi="宋体" w:cs="宋体"/>
          <w:sz w:val="24"/>
        </w:rPr>
      </w:pPr>
      <w:r>
        <w:rPr>
          <w:rFonts w:hint="eastAsia" w:ascii="宋体" w:hAnsi="宋体" w:cs="宋体"/>
          <w:sz w:val="24"/>
        </w:rPr>
        <w:t>（二）乙方保证合同所有设备是全新的（包括零部件），其规格参数及配件不低于（符合）本项目谈判文件和响应文件的要求。</w:t>
      </w:r>
    </w:p>
    <w:p>
      <w:pPr>
        <w:autoSpaceDE w:val="0"/>
        <w:autoSpaceDN w:val="0"/>
        <w:snapToGrid w:val="0"/>
        <w:spacing w:line="360" w:lineRule="auto"/>
        <w:ind w:firstLine="640"/>
        <w:rPr>
          <w:rFonts w:ascii="宋体" w:hAnsi="宋体" w:cs="宋体"/>
          <w:sz w:val="24"/>
        </w:rPr>
      </w:pPr>
      <w:r>
        <w:rPr>
          <w:rFonts w:hint="eastAsia" w:ascii="宋体" w:hAnsi="宋体" w:cs="宋体"/>
          <w:sz w:val="24"/>
        </w:rPr>
        <w:t>（三）所验产品的指标、性能参数通过验收达不到谈判文件要求和谈判响应文件承诺，或在使用中发现采购方不能容忍的缺陷等，将视为产品验收不合格，供应商应免费更换或退货。</w:t>
      </w:r>
    </w:p>
    <w:p>
      <w:pPr>
        <w:autoSpaceDE w:val="0"/>
        <w:autoSpaceDN w:val="0"/>
        <w:snapToGrid w:val="0"/>
        <w:spacing w:line="360" w:lineRule="auto"/>
        <w:ind w:firstLine="640"/>
        <w:rPr>
          <w:rFonts w:ascii="宋体" w:hAnsi="宋体" w:cs="宋体"/>
          <w:sz w:val="24"/>
        </w:rPr>
      </w:pPr>
      <w:r>
        <w:rPr>
          <w:rFonts w:hint="eastAsia" w:ascii="宋体" w:hAnsi="宋体" w:cs="宋体"/>
          <w:sz w:val="24"/>
        </w:rPr>
        <w:t>（四）若发现供应商有弄虚作假的，故意或随意夸大产品技术性能，采购方除要求退货外，有权要求成交供应商赔偿采购人相应的损失。</w:t>
      </w:r>
    </w:p>
    <w:p>
      <w:pPr>
        <w:autoSpaceDE w:val="0"/>
        <w:autoSpaceDN w:val="0"/>
        <w:snapToGrid w:val="0"/>
        <w:spacing w:line="360" w:lineRule="auto"/>
        <w:ind w:firstLine="640"/>
        <w:rPr>
          <w:rFonts w:ascii="宋体" w:hAnsi="宋体" w:cs="宋体"/>
          <w:sz w:val="24"/>
        </w:rPr>
      </w:pPr>
      <w:r>
        <w:rPr>
          <w:rFonts w:hint="eastAsia" w:ascii="宋体" w:hAnsi="宋体" w:cs="宋体"/>
          <w:sz w:val="24"/>
        </w:rPr>
        <w:t>（五）安装完成，乙方进行自测并形成自测报告（软硬件），出现的问题限期整改。自检最终通过后，乙方提出验收申请，甲方组织相关人员进行最终验收。</w:t>
      </w:r>
    </w:p>
    <w:p>
      <w:pPr>
        <w:autoSpaceDE w:val="0"/>
        <w:autoSpaceDN w:val="0"/>
        <w:snapToGrid w:val="0"/>
        <w:spacing w:line="360" w:lineRule="auto"/>
        <w:ind w:firstLine="640"/>
        <w:rPr>
          <w:rFonts w:ascii="宋体" w:hAnsi="宋体" w:cs="宋体"/>
          <w:sz w:val="24"/>
        </w:rPr>
      </w:pPr>
      <w:r>
        <w:rPr>
          <w:rFonts w:hint="eastAsia" w:ascii="宋体" w:hAnsi="宋体" w:cs="宋体"/>
          <w:sz w:val="24"/>
        </w:rPr>
        <w:t>（六）设备采购从通过最终验收之日起进入保修期，提供原厂保修升级。</w:t>
      </w:r>
    </w:p>
    <w:p>
      <w:pPr>
        <w:autoSpaceDE w:val="0"/>
        <w:autoSpaceDN w:val="0"/>
        <w:snapToGrid w:val="0"/>
        <w:spacing w:line="360" w:lineRule="auto"/>
        <w:ind w:firstLine="640"/>
        <w:rPr>
          <w:rFonts w:ascii="宋体" w:hAnsi="宋体" w:cs="宋体"/>
          <w:sz w:val="24"/>
        </w:rPr>
      </w:pPr>
      <w:r>
        <w:rPr>
          <w:rFonts w:hint="eastAsia" w:ascii="宋体" w:hAnsi="宋体" w:cs="宋体"/>
          <w:sz w:val="24"/>
        </w:rPr>
        <w:t>（七）验收依据：</w:t>
      </w:r>
    </w:p>
    <w:p>
      <w:pPr>
        <w:autoSpaceDE w:val="0"/>
        <w:autoSpaceDN w:val="0"/>
        <w:snapToGrid w:val="0"/>
        <w:spacing w:line="360" w:lineRule="auto"/>
        <w:ind w:firstLine="640"/>
        <w:rPr>
          <w:rFonts w:ascii="宋体" w:hAnsi="宋体" w:cs="宋体"/>
          <w:sz w:val="24"/>
        </w:rPr>
      </w:pPr>
      <w:r>
        <w:rPr>
          <w:rFonts w:hint="eastAsia" w:ascii="宋体" w:hAnsi="宋体" w:cs="宋体"/>
          <w:sz w:val="24"/>
        </w:rPr>
        <w:t>1.本合同及附加文本；</w:t>
      </w:r>
    </w:p>
    <w:p>
      <w:pPr>
        <w:autoSpaceDE w:val="0"/>
        <w:autoSpaceDN w:val="0"/>
        <w:snapToGrid w:val="0"/>
        <w:spacing w:line="360" w:lineRule="auto"/>
        <w:ind w:firstLine="640"/>
        <w:rPr>
          <w:rFonts w:ascii="宋体" w:hAnsi="宋体" w:cs="宋体"/>
          <w:sz w:val="24"/>
        </w:rPr>
      </w:pPr>
      <w:r>
        <w:rPr>
          <w:rFonts w:hint="eastAsia" w:ascii="宋体" w:hAnsi="宋体" w:cs="宋体"/>
          <w:sz w:val="24"/>
        </w:rPr>
        <w:t>2.谈判文件、成交供应商的谈判响应文件及澄清函；</w:t>
      </w:r>
    </w:p>
    <w:p>
      <w:pPr>
        <w:autoSpaceDE w:val="0"/>
        <w:autoSpaceDN w:val="0"/>
        <w:snapToGrid w:val="0"/>
        <w:spacing w:line="360" w:lineRule="auto"/>
        <w:ind w:firstLine="640"/>
        <w:rPr>
          <w:rFonts w:ascii="宋体" w:hAnsi="宋体" w:cs="宋体"/>
          <w:sz w:val="24"/>
        </w:rPr>
      </w:pPr>
      <w:r>
        <w:rPr>
          <w:rFonts w:hint="eastAsia" w:ascii="宋体" w:hAnsi="宋体" w:cs="宋体"/>
          <w:sz w:val="24"/>
        </w:rPr>
        <w:t>3.国家相应的标准、规范。</w:t>
      </w:r>
    </w:p>
    <w:p>
      <w:pPr>
        <w:autoSpaceDE w:val="0"/>
        <w:autoSpaceDN w:val="0"/>
        <w:snapToGrid w:val="0"/>
        <w:spacing w:line="360" w:lineRule="auto"/>
        <w:ind w:firstLine="643"/>
        <w:rPr>
          <w:rFonts w:ascii="宋体" w:hAnsi="宋体" w:cs="宋体"/>
          <w:b/>
          <w:sz w:val="24"/>
        </w:rPr>
      </w:pPr>
      <w:bookmarkStart w:id="189" w:name="_Toc11251"/>
      <w:bookmarkStart w:id="190" w:name="_Toc12051"/>
      <w:r>
        <w:rPr>
          <w:rFonts w:hint="eastAsia" w:ascii="宋体" w:hAnsi="宋体" w:cs="宋体"/>
          <w:b/>
          <w:sz w:val="24"/>
        </w:rPr>
        <w:t>八、合同争议解决的方式</w:t>
      </w:r>
      <w:bookmarkEnd w:id="189"/>
      <w:bookmarkEnd w:id="190"/>
    </w:p>
    <w:p>
      <w:pPr>
        <w:autoSpaceDE w:val="0"/>
        <w:autoSpaceDN w:val="0"/>
        <w:snapToGrid w:val="0"/>
        <w:spacing w:line="360" w:lineRule="auto"/>
        <w:ind w:firstLine="640"/>
        <w:rPr>
          <w:rFonts w:ascii="宋体" w:hAnsi="宋体" w:cs="宋体"/>
          <w:sz w:val="24"/>
        </w:rPr>
      </w:pPr>
      <w:r>
        <w:rPr>
          <w:rFonts w:hint="eastAsia" w:ascii="宋体" w:hAnsi="宋体" w:cs="宋体"/>
          <w:sz w:val="24"/>
        </w:rPr>
        <w:t>本合同在履行过程中发生的争议，由甲、乙双方当事人协商解决，协商不成的按下列</w:t>
      </w:r>
      <w:r>
        <w:rPr>
          <w:rFonts w:hint="eastAsia" w:ascii="宋体" w:hAnsi="宋体" w:cs="宋体"/>
          <w:sz w:val="24"/>
          <w:u w:val="single"/>
        </w:rPr>
        <w:t>第（二）</w:t>
      </w:r>
      <w:r>
        <w:rPr>
          <w:rFonts w:hint="eastAsia" w:ascii="宋体" w:hAnsi="宋体" w:cs="宋体"/>
          <w:sz w:val="24"/>
        </w:rPr>
        <w:t>种方式解决：</w:t>
      </w:r>
    </w:p>
    <w:p>
      <w:pPr>
        <w:autoSpaceDE w:val="0"/>
        <w:autoSpaceDN w:val="0"/>
        <w:snapToGrid w:val="0"/>
        <w:spacing w:line="360" w:lineRule="auto"/>
        <w:ind w:firstLine="640"/>
        <w:rPr>
          <w:rFonts w:ascii="宋体" w:hAnsi="宋体" w:cs="宋体"/>
          <w:sz w:val="24"/>
        </w:rPr>
      </w:pPr>
      <w:r>
        <w:rPr>
          <w:rFonts w:hint="eastAsia" w:ascii="宋体" w:hAnsi="宋体" w:cs="宋体"/>
          <w:sz w:val="24"/>
        </w:rPr>
        <w:t>（一）提交当地仲裁委员会仲裁；</w:t>
      </w:r>
    </w:p>
    <w:p>
      <w:pPr>
        <w:autoSpaceDE w:val="0"/>
        <w:autoSpaceDN w:val="0"/>
        <w:snapToGrid w:val="0"/>
        <w:spacing w:line="360" w:lineRule="auto"/>
        <w:ind w:firstLine="640"/>
        <w:rPr>
          <w:rFonts w:ascii="宋体" w:hAnsi="宋体" w:cs="宋体"/>
          <w:sz w:val="24"/>
        </w:rPr>
      </w:pPr>
      <w:r>
        <w:rPr>
          <w:rFonts w:hint="eastAsia" w:ascii="宋体" w:hAnsi="宋体" w:cs="宋体"/>
          <w:sz w:val="24"/>
        </w:rPr>
        <w:t>（二）依法向甲方所在地人民法院起诉。</w:t>
      </w:r>
    </w:p>
    <w:p>
      <w:pPr>
        <w:autoSpaceDE w:val="0"/>
        <w:autoSpaceDN w:val="0"/>
        <w:snapToGrid w:val="0"/>
        <w:spacing w:line="360" w:lineRule="auto"/>
        <w:ind w:firstLine="643"/>
        <w:rPr>
          <w:rFonts w:ascii="宋体" w:hAnsi="宋体" w:cs="宋体"/>
          <w:b/>
          <w:sz w:val="24"/>
        </w:rPr>
      </w:pPr>
      <w:bookmarkStart w:id="191" w:name="_Toc18561"/>
      <w:bookmarkStart w:id="192" w:name="_Toc31089"/>
      <w:r>
        <w:rPr>
          <w:rFonts w:hint="eastAsia" w:ascii="宋体" w:hAnsi="宋体" w:cs="宋体"/>
          <w:b/>
          <w:sz w:val="24"/>
        </w:rPr>
        <w:t>九、合同生效</w:t>
      </w:r>
      <w:bookmarkEnd w:id="191"/>
      <w:bookmarkEnd w:id="192"/>
    </w:p>
    <w:p>
      <w:pPr>
        <w:autoSpaceDE w:val="0"/>
        <w:autoSpaceDN w:val="0"/>
        <w:snapToGrid w:val="0"/>
        <w:spacing w:line="360" w:lineRule="auto"/>
        <w:ind w:firstLine="640"/>
        <w:rPr>
          <w:rFonts w:ascii="宋体" w:hAnsi="宋体" w:cs="宋体"/>
          <w:sz w:val="24"/>
        </w:rPr>
      </w:pPr>
      <w:r>
        <w:rPr>
          <w:rFonts w:hint="eastAsia" w:ascii="宋体" w:hAnsi="宋体" w:cs="宋体"/>
          <w:sz w:val="24"/>
        </w:rPr>
        <w:t>（一）本合同须经甲、乙双方的法定代表人（授权代理人）在合同书上签字并加盖本单位公章后正式生效。</w:t>
      </w:r>
    </w:p>
    <w:p>
      <w:pPr>
        <w:autoSpaceDE w:val="0"/>
        <w:autoSpaceDN w:val="0"/>
        <w:snapToGrid w:val="0"/>
        <w:spacing w:line="360" w:lineRule="auto"/>
        <w:ind w:firstLine="640"/>
        <w:rPr>
          <w:rFonts w:ascii="宋体" w:hAnsi="宋体" w:cs="宋体"/>
          <w:sz w:val="24"/>
        </w:rPr>
      </w:pPr>
      <w:r>
        <w:rPr>
          <w:rFonts w:hint="eastAsia" w:ascii="宋体" w:hAnsi="宋体" w:cs="宋体"/>
          <w:sz w:val="24"/>
        </w:rPr>
        <w:t>（二）合同生效后，甲、乙双方须严格执行本合同条款的规定，全面履行合同，违者按《</w:t>
      </w:r>
      <w:r>
        <w:rPr>
          <w:rFonts w:hint="eastAsia" w:ascii="宋体" w:hAnsi="宋体" w:cs="宋体"/>
          <w:sz w:val="24"/>
          <w:lang w:val="zh-CN"/>
        </w:rPr>
        <w:t>中华人民共和国</w:t>
      </w:r>
      <w:r>
        <w:rPr>
          <w:rFonts w:hint="eastAsia" w:ascii="宋体" w:hAnsi="宋体" w:cs="宋体"/>
          <w:sz w:val="24"/>
        </w:rPr>
        <w:t>民法典》的有关规定承担相应责任。</w:t>
      </w:r>
    </w:p>
    <w:p>
      <w:pPr>
        <w:autoSpaceDE w:val="0"/>
        <w:autoSpaceDN w:val="0"/>
        <w:snapToGrid w:val="0"/>
        <w:spacing w:line="360" w:lineRule="auto"/>
        <w:ind w:firstLine="640"/>
        <w:rPr>
          <w:rFonts w:ascii="宋体" w:hAnsi="宋体" w:cs="宋体"/>
          <w:sz w:val="24"/>
        </w:rPr>
      </w:pPr>
      <w:r>
        <w:rPr>
          <w:rFonts w:hint="eastAsia" w:ascii="宋体" w:hAnsi="宋体" w:cs="宋体"/>
          <w:sz w:val="24"/>
        </w:rPr>
        <w:t>（三）本合同一式</w:t>
      </w:r>
      <w:r>
        <w:rPr>
          <w:rFonts w:hint="eastAsia" w:ascii="宋体" w:hAnsi="宋体" w:cs="宋体"/>
          <w:sz w:val="24"/>
          <w:u w:val="single"/>
        </w:rPr>
        <w:t xml:space="preserve">   </w:t>
      </w:r>
      <w:r>
        <w:rPr>
          <w:rFonts w:hint="eastAsia" w:ascii="宋体" w:hAnsi="宋体" w:cs="宋体"/>
          <w:sz w:val="24"/>
        </w:rPr>
        <w:t>份，甲乙双方各执</w:t>
      </w:r>
      <w:r>
        <w:rPr>
          <w:rFonts w:hint="eastAsia" w:ascii="宋体" w:hAnsi="宋体" w:cs="宋体"/>
          <w:sz w:val="24"/>
          <w:u w:val="single"/>
        </w:rPr>
        <w:t xml:space="preserve">    </w:t>
      </w:r>
      <w:r>
        <w:rPr>
          <w:rFonts w:hint="eastAsia" w:ascii="宋体" w:hAnsi="宋体" w:cs="宋体"/>
          <w:sz w:val="24"/>
        </w:rPr>
        <w:t>份。</w:t>
      </w:r>
    </w:p>
    <w:p>
      <w:pPr>
        <w:tabs>
          <w:tab w:val="left" w:pos="480"/>
        </w:tabs>
        <w:snapToGrid w:val="0"/>
        <w:spacing w:line="360" w:lineRule="auto"/>
        <w:ind w:firstLine="640"/>
        <w:rPr>
          <w:rFonts w:ascii="宋体" w:hAnsi="宋体" w:cs="宋体"/>
          <w:sz w:val="24"/>
        </w:rPr>
      </w:pPr>
      <w:r>
        <w:rPr>
          <w:rFonts w:hint="eastAsia" w:ascii="宋体" w:hAnsi="宋体" w:cs="宋体"/>
          <w:sz w:val="24"/>
        </w:rPr>
        <w:t>（四）本合同如有未尽事宜，甲、乙双方协商解决。</w:t>
      </w:r>
    </w:p>
    <w:p>
      <w:pPr>
        <w:rPr>
          <w:rFonts w:ascii="宋体" w:hAnsi="宋体" w:cs="宋体"/>
          <w:bCs/>
          <w:sz w:val="24"/>
        </w:rPr>
      </w:pPr>
    </w:p>
    <w:tbl>
      <w:tblPr>
        <w:tblStyle w:val="36"/>
        <w:tblpPr w:leftFromText="180" w:rightFromText="180" w:vertAnchor="text" w:horzAnchor="page" w:tblpX="1661" w:tblpY="100"/>
        <w:tblOverlap w:val="never"/>
        <w:tblW w:w="0" w:type="auto"/>
        <w:tblInd w:w="0" w:type="dxa"/>
        <w:tblLayout w:type="fixed"/>
        <w:tblCellMar>
          <w:top w:w="0" w:type="dxa"/>
          <w:left w:w="108" w:type="dxa"/>
          <w:bottom w:w="0" w:type="dxa"/>
          <w:right w:w="108" w:type="dxa"/>
        </w:tblCellMar>
      </w:tblPr>
      <w:tblGrid>
        <w:gridCol w:w="4229"/>
        <w:gridCol w:w="4850"/>
      </w:tblGrid>
      <w:tr>
        <w:tblPrEx>
          <w:tblCellMar>
            <w:top w:w="0" w:type="dxa"/>
            <w:left w:w="108" w:type="dxa"/>
            <w:bottom w:w="0" w:type="dxa"/>
            <w:right w:w="108" w:type="dxa"/>
          </w:tblCellMar>
        </w:tblPrEx>
        <w:trPr>
          <w:trHeight w:val="707" w:hRule="exact"/>
        </w:trPr>
        <w:tc>
          <w:tcPr>
            <w:tcW w:w="4229" w:type="dxa"/>
            <w:vAlign w:val="center"/>
          </w:tcPr>
          <w:p>
            <w:pPr>
              <w:rPr>
                <w:rFonts w:ascii="宋体" w:hAnsi="宋体" w:cs="宋体"/>
                <w:bCs/>
                <w:sz w:val="24"/>
              </w:rPr>
            </w:pPr>
            <w:r>
              <w:rPr>
                <w:rFonts w:hint="eastAsia" w:ascii="宋体" w:hAnsi="宋体" w:cs="宋体"/>
                <w:bCs/>
                <w:sz w:val="24"/>
              </w:rPr>
              <w:t>甲  方</w:t>
            </w:r>
          </w:p>
        </w:tc>
        <w:tc>
          <w:tcPr>
            <w:tcW w:w="4850" w:type="dxa"/>
            <w:vAlign w:val="center"/>
          </w:tcPr>
          <w:p>
            <w:pPr>
              <w:rPr>
                <w:rFonts w:ascii="宋体" w:hAnsi="宋体" w:cs="宋体"/>
                <w:bCs/>
                <w:sz w:val="24"/>
              </w:rPr>
            </w:pPr>
            <w:r>
              <w:rPr>
                <w:rFonts w:hint="eastAsia" w:ascii="宋体" w:hAnsi="宋体" w:cs="宋体"/>
                <w:bCs/>
                <w:sz w:val="24"/>
              </w:rPr>
              <w:t>乙  方</w:t>
            </w:r>
          </w:p>
        </w:tc>
      </w:tr>
      <w:tr>
        <w:tblPrEx>
          <w:tblCellMar>
            <w:top w:w="0" w:type="dxa"/>
            <w:left w:w="108" w:type="dxa"/>
            <w:bottom w:w="0" w:type="dxa"/>
            <w:right w:w="108" w:type="dxa"/>
          </w:tblCellMar>
        </w:tblPrEx>
        <w:trPr>
          <w:trHeight w:val="707" w:hRule="exact"/>
        </w:trPr>
        <w:tc>
          <w:tcPr>
            <w:tcW w:w="4229" w:type="dxa"/>
            <w:vAlign w:val="center"/>
          </w:tcPr>
          <w:p>
            <w:pPr>
              <w:rPr>
                <w:rFonts w:ascii="宋体" w:hAnsi="宋体" w:cs="宋体"/>
                <w:bCs/>
                <w:sz w:val="24"/>
              </w:rPr>
            </w:pPr>
            <w:r>
              <w:rPr>
                <w:rFonts w:hint="eastAsia" w:ascii="宋体" w:hAnsi="宋体" w:cs="宋体"/>
                <w:bCs/>
                <w:sz w:val="24"/>
              </w:rPr>
              <w:t>（盖章）</w:t>
            </w:r>
          </w:p>
        </w:tc>
        <w:tc>
          <w:tcPr>
            <w:tcW w:w="4850" w:type="dxa"/>
            <w:vAlign w:val="center"/>
          </w:tcPr>
          <w:p>
            <w:pPr>
              <w:rPr>
                <w:rFonts w:ascii="宋体" w:hAnsi="宋体" w:cs="宋体"/>
                <w:bCs/>
                <w:sz w:val="24"/>
              </w:rPr>
            </w:pPr>
            <w:r>
              <w:rPr>
                <w:rFonts w:hint="eastAsia" w:ascii="宋体" w:hAnsi="宋体" w:cs="宋体"/>
                <w:bCs/>
                <w:sz w:val="24"/>
              </w:rPr>
              <w:t>（盖章）</w:t>
            </w:r>
          </w:p>
        </w:tc>
      </w:tr>
      <w:tr>
        <w:tblPrEx>
          <w:tblCellMar>
            <w:top w:w="0" w:type="dxa"/>
            <w:left w:w="108" w:type="dxa"/>
            <w:bottom w:w="0" w:type="dxa"/>
            <w:right w:w="108" w:type="dxa"/>
          </w:tblCellMar>
        </w:tblPrEx>
        <w:trPr>
          <w:trHeight w:val="707" w:hRule="exact"/>
        </w:trPr>
        <w:tc>
          <w:tcPr>
            <w:tcW w:w="4229" w:type="dxa"/>
            <w:vAlign w:val="center"/>
          </w:tcPr>
          <w:p>
            <w:pPr>
              <w:rPr>
                <w:rFonts w:ascii="宋体" w:hAnsi="宋体" w:cs="宋体"/>
                <w:bCs/>
                <w:sz w:val="24"/>
              </w:rPr>
            </w:pPr>
            <w:r>
              <w:rPr>
                <w:rFonts w:hint="eastAsia" w:ascii="宋体" w:hAnsi="宋体" w:cs="宋体"/>
                <w:bCs/>
                <w:sz w:val="24"/>
              </w:rPr>
              <w:t xml:space="preserve">地址： </w:t>
            </w:r>
          </w:p>
        </w:tc>
        <w:tc>
          <w:tcPr>
            <w:tcW w:w="4850" w:type="dxa"/>
            <w:vAlign w:val="center"/>
          </w:tcPr>
          <w:p>
            <w:pPr>
              <w:rPr>
                <w:rFonts w:ascii="宋体" w:hAnsi="宋体" w:cs="宋体"/>
                <w:bCs/>
                <w:sz w:val="24"/>
              </w:rPr>
            </w:pPr>
            <w:r>
              <w:rPr>
                <w:rFonts w:hint="eastAsia" w:ascii="宋体" w:hAnsi="宋体" w:cs="宋体"/>
                <w:bCs/>
                <w:sz w:val="24"/>
              </w:rPr>
              <w:t>地址：</w:t>
            </w:r>
          </w:p>
        </w:tc>
      </w:tr>
      <w:tr>
        <w:tblPrEx>
          <w:tblCellMar>
            <w:top w:w="0" w:type="dxa"/>
            <w:left w:w="108" w:type="dxa"/>
            <w:bottom w:w="0" w:type="dxa"/>
            <w:right w:w="108" w:type="dxa"/>
          </w:tblCellMar>
        </w:tblPrEx>
        <w:trPr>
          <w:trHeight w:val="707" w:hRule="exact"/>
        </w:trPr>
        <w:tc>
          <w:tcPr>
            <w:tcW w:w="4229" w:type="dxa"/>
            <w:vAlign w:val="center"/>
          </w:tcPr>
          <w:p>
            <w:pPr>
              <w:rPr>
                <w:rFonts w:ascii="宋体" w:hAnsi="宋体" w:cs="宋体"/>
                <w:bCs/>
                <w:sz w:val="24"/>
              </w:rPr>
            </w:pPr>
            <w:r>
              <w:rPr>
                <w:rFonts w:hint="eastAsia" w:ascii="宋体" w:hAnsi="宋体" w:cs="宋体"/>
                <w:bCs/>
                <w:sz w:val="24"/>
              </w:rPr>
              <w:t>邮编：</w:t>
            </w:r>
          </w:p>
        </w:tc>
        <w:tc>
          <w:tcPr>
            <w:tcW w:w="4850" w:type="dxa"/>
            <w:vAlign w:val="center"/>
          </w:tcPr>
          <w:p>
            <w:pPr>
              <w:rPr>
                <w:rFonts w:ascii="宋体" w:hAnsi="宋体" w:cs="宋体"/>
                <w:bCs/>
                <w:sz w:val="24"/>
              </w:rPr>
            </w:pPr>
            <w:r>
              <w:rPr>
                <w:rFonts w:hint="eastAsia" w:ascii="宋体" w:hAnsi="宋体" w:cs="宋体"/>
                <w:bCs/>
                <w:sz w:val="24"/>
              </w:rPr>
              <w:t>邮编：</w:t>
            </w:r>
          </w:p>
        </w:tc>
      </w:tr>
      <w:tr>
        <w:tblPrEx>
          <w:tblCellMar>
            <w:top w:w="0" w:type="dxa"/>
            <w:left w:w="108" w:type="dxa"/>
            <w:bottom w:w="0" w:type="dxa"/>
            <w:right w:w="108" w:type="dxa"/>
          </w:tblCellMar>
        </w:tblPrEx>
        <w:trPr>
          <w:trHeight w:val="707" w:hRule="exact"/>
        </w:trPr>
        <w:tc>
          <w:tcPr>
            <w:tcW w:w="4229" w:type="dxa"/>
            <w:vAlign w:val="center"/>
          </w:tcPr>
          <w:p>
            <w:pPr>
              <w:rPr>
                <w:rFonts w:ascii="宋体" w:hAnsi="宋体" w:cs="宋体"/>
                <w:bCs/>
                <w:sz w:val="24"/>
              </w:rPr>
            </w:pPr>
            <w:r>
              <w:rPr>
                <w:rFonts w:hint="eastAsia" w:ascii="宋体" w:hAnsi="宋体" w:cs="宋体"/>
                <w:bCs/>
                <w:sz w:val="24"/>
              </w:rPr>
              <w:t xml:space="preserve">法人（授权代表）： </w:t>
            </w:r>
          </w:p>
        </w:tc>
        <w:tc>
          <w:tcPr>
            <w:tcW w:w="4850" w:type="dxa"/>
            <w:vAlign w:val="center"/>
          </w:tcPr>
          <w:p>
            <w:pPr>
              <w:rPr>
                <w:rFonts w:ascii="宋体" w:hAnsi="宋体" w:cs="宋体"/>
                <w:bCs/>
                <w:sz w:val="24"/>
              </w:rPr>
            </w:pPr>
            <w:r>
              <w:rPr>
                <w:rFonts w:hint="eastAsia" w:ascii="宋体" w:hAnsi="宋体" w:cs="宋体"/>
                <w:bCs/>
                <w:sz w:val="24"/>
              </w:rPr>
              <w:t>法人（授权代表）：</w:t>
            </w:r>
          </w:p>
        </w:tc>
      </w:tr>
      <w:tr>
        <w:tblPrEx>
          <w:tblCellMar>
            <w:top w:w="0" w:type="dxa"/>
            <w:left w:w="108" w:type="dxa"/>
            <w:bottom w:w="0" w:type="dxa"/>
            <w:right w:w="108" w:type="dxa"/>
          </w:tblCellMar>
        </w:tblPrEx>
        <w:trPr>
          <w:trHeight w:val="707" w:hRule="exact"/>
        </w:trPr>
        <w:tc>
          <w:tcPr>
            <w:tcW w:w="4229" w:type="dxa"/>
            <w:vAlign w:val="center"/>
          </w:tcPr>
          <w:p>
            <w:pPr>
              <w:rPr>
                <w:rFonts w:ascii="宋体" w:hAnsi="宋体" w:cs="宋体"/>
                <w:bCs/>
                <w:sz w:val="24"/>
              </w:rPr>
            </w:pPr>
            <w:r>
              <w:rPr>
                <w:rFonts w:hint="eastAsia" w:ascii="宋体" w:hAnsi="宋体" w:cs="宋体"/>
                <w:bCs/>
                <w:sz w:val="24"/>
              </w:rPr>
              <w:t>日期：</w:t>
            </w:r>
          </w:p>
        </w:tc>
        <w:tc>
          <w:tcPr>
            <w:tcW w:w="4850" w:type="dxa"/>
            <w:vAlign w:val="center"/>
          </w:tcPr>
          <w:p>
            <w:pPr>
              <w:rPr>
                <w:rFonts w:ascii="宋体" w:hAnsi="宋体" w:cs="宋体"/>
                <w:bCs/>
                <w:sz w:val="24"/>
              </w:rPr>
            </w:pPr>
            <w:r>
              <w:rPr>
                <w:rFonts w:hint="eastAsia" w:ascii="宋体" w:hAnsi="宋体" w:cs="宋体"/>
                <w:bCs/>
                <w:sz w:val="24"/>
              </w:rPr>
              <w:t>日期：</w:t>
            </w:r>
          </w:p>
        </w:tc>
      </w:tr>
    </w:tbl>
    <w:p>
      <w:pPr>
        <w:adjustRightInd w:val="0"/>
        <w:snapToGrid w:val="0"/>
        <w:spacing w:line="360" w:lineRule="auto"/>
        <w:ind w:firstLine="480" w:firstLineChars="200"/>
        <w:rPr>
          <w:rFonts w:ascii="宋体" w:hAnsi="宋体" w:cs="宋体"/>
          <w:sz w:val="24"/>
        </w:rPr>
      </w:pPr>
    </w:p>
    <w:p>
      <w:pPr>
        <w:widowControl/>
        <w:snapToGrid w:val="0"/>
        <w:spacing w:line="360" w:lineRule="auto"/>
        <w:jc w:val="left"/>
        <w:rPr>
          <w:rFonts w:ascii="宋体" w:hAnsi="宋体" w:cs="宋体"/>
          <w:bCs/>
          <w:sz w:val="24"/>
        </w:rPr>
      </w:pPr>
    </w:p>
    <w:p>
      <w:pPr>
        <w:rPr>
          <w:rFonts w:ascii="宋体" w:hAnsi="宋体" w:cs="宋体"/>
          <w:bCs/>
          <w:sz w:val="24"/>
        </w:rPr>
      </w:pPr>
    </w:p>
    <w:p>
      <w:pPr>
        <w:pStyle w:val="3"/>
        <w:spacing w:line="240" w:lineRule="auto"/>
        <w:jc w:val="center"/>
        <w:rPr>
          <w:rFonts w:ascii="宋体" w:hAnsi="宋体" w:cs="宋体"/>
          <w:sz w:val="44"/>
          <w:szCs w:val="44"/>
        </w:rPr>
      </w:pPr>
      <w:r>
        <w:rPr>
          <w:rFonts w:hint="eastAsia" w:ascii="宋体" w:hAnsi="宋体" w:cs="宋体"/>
          <w:sz w:val="44"/>
          <w:szCs w:val="44"/>
        </w:rPr>
        <w:br w:type="page"/>
      </w:r>
      <w:bookmarkStart w:id="193" w:name="_Toc71729643"/>
      <w:bookmarkStart w:id="194" w:name="_Toc31081"/>
      <w:r>
        <w:rPr>
          <w:rFonts w:hint="eastAsia" w:ascii="宋体" w:hAnsi="宋体" w:cs="宋体"/>
          <w:sz w:val="44"/>
          <w:szCs w:val="44"/>
        </w:rPr>
        <w:t>第七章 谈判响应文件格式</w:t>
      </w:r>
      <w:bookmarkEnd w:id="193"/>
      <w:bookmarkEnd w:id="194"/>
    </w:p>
    <w:p>
      <w:pPr>
        <w:pStyle w:val="8"/>
        <w:spacing w:before="120" w:beforeLines="50"/>
        <w:ind w:firstLine="0"/>
        <w:rPr>
          <w:rFonts w:ascii="宋体" w:hAnsi="宋体" w:cs="宋体"/>
          <w:b/>
          <w:sz w:val="28"/>
          <w:szCs w:val="28"/>
        </w:rPr>
      </w:pPr>
    </w:p>
    <w:p>
      <w:pPr>
        <w:pStyle w:val="8"/>
        <w:spacing w:before="120" w:beforeLines="50"/>
        <w:ind w:firstLine="0"/>
        <w:rPr>
          <w:rFonts w:ascii="宋体" w:hAnsi="宋体" w:cs="宋体"/>
          <w:b/>
          <w:sz w:val="28"/>
          <w:szCs w:val="28"/>
        </w:rPr>
      </w:pPr>
      <w:r>
        <w:rPr>
          <w:rFonts w:hint="eastAsia" w:ascii="宋体" w:hAnsi="宋体" w:cs="宋体"/>
          <w:b/>
          <w:sz w:val="28"/>
          <w:szCs w:val="28"/>
        </w:rPr>
        <w:t>政府采购项目                                         正本/副本</w:t>
      </w:r>
    </w:p>
    <w:p>
      <w:pPr>
        <w:pStyle w:val="8"/>
        <w:spacing w:before="120" w:beforeLines="50"/>
        <w:ind w:firstLine="0"/>
        <w:rPr>
          <w:rFonts w:hint="eastAsia" w:ascii="宋体" w:hAnsi="宋体" w:eastAsia="宋体" w:cs="宋体"/>
          <w:b/>
          <w:sz w:val="28"/>
          <w:szCs w:val="28"/>
          <w:highlight w:val="none"/>
          <w:lang w:eastAsia="zh-CN"/>
        </w:rPr>
      </w:pPr>
      <w:r>
        <w:rPr>
          <w:rFonts w:hint="eastAsia" w:ascii="宋体" w:hAnsi="宋体" w:cs="宋体"/>
          <w:b/>
          <w:sz w:val="28"/>
          <w:szCs w:val="28"/>
          <w:highlight w:val="none"/>
        </w:rPr>
        <w:t>采购项目编号：</w:t>
      </w:r>
      <w:r>
        <w:rPr>
          <w:rFonts w:hint="eastAsia" w:ascii="宋体" w:hAnsi="宋体" w:cs="宋体"/>
          <w:b/>
          <w:sz w:val="28"/>
          <w:szCs w:val="28"/>
          <w:highlight w:val="none"/>
          <w:lang w:eastAsia="zh-CN"/>
        </w:rPr>
        <w:t>MZ2022-TP1070</w:t>
      </w:r>
    </w:p>
    <w:p>
      <w:pPr>
        <w:pStyle w:val="29"/>
        <w:rPr>
          <w:rFonts w:ascii="宋体" w:hAnsi="宋体" w:eastAsia="宋体" w:cs="宋体"/>
        </w:rPr>
      </w:pPr>
    </w:p>
    <w:p>
      <w:pPr>
        <w:jc w:val="center"/>
        <w:rPr>
          <w:rFonts w:ascii="宋体" w:hAnsi="宋体" w:cs="宋体"/>
          <w:b/>
          <w:sz w:val="44"/>
          <w:szCs w:val="44"/>
        </w:rPr>
      </w:pPr>
    </w:p>
    <w:p>
      <w:pPr>
        <w:pStyle w:val="20"/>
        <w:adjustRightInd w:val="0"/>
        <w:snapToGrid w:val="0"/>
        <w:spacing w:line="360" w:lineRule="auto"/>
        <w:jc w:val="center"/>
        <w:rPr>
          <w:rFonts w:hint="eastAsia" w:hAnsi="宋体" w:eastAsia="宋体" w:cs="宋体"/>
          <w:b/>
          <w:sz w:val="44"/>
          <w:szCs w:val="44"/>
          <w:lang w:eastAsia="zh-CN"/>
        </w:rPr>
      </w:pPr>
      <w:r>
        <w:rPr>
          <w:rFonts w:hint="eastAsia" w:hAnsi="宋体" w:cs="宋体"/>
          <w:b/>
          <w:sz w:val="44"/>
          <w:szCs w:val="44"/>
          <w:lang w:eastAsia="zh-CN"/>
        </w:rPr>
        <w:t>西安商贸旅游技师学院烹饪系实训室改造项目（二次）</w:t>
      </w:r>
    </w:p>
    <w:p>
      <w:pPr>
        <w:pStyle w:val="20"/>
        <w:adjustRightInd w:val="0"/>
        <w:snapToGrid w:val="0"/>
        <w:spacing w:line="360" w:lineRule="auto"/>
        <w:jc w:val="center"/>
        <w:rPr>
          <w:rFonts w:hAnsi="宋体" w:cs="宋体"/>
          <w:b/>
          <w:sz w:val="44"/>
          <w:szCs w:val="44"/>
        </w:rPr>
      </w:pPr>
    </w:p>
    <w:p>
      <w:pPr>
        <w:pStyle w:val="20"/>
        <w:adjustRightInd w:val="0"/>
        <w:snapToGrid w:val="0"/>
        <w:spacing w:line="360" w:lineRule="auto"/>
        <w:jc w:val="center"/>
        <w:rPr>
          <w:rFonts w:hAnsi="宋体" w:cs="宋体"/>
          <w:b/>
          <w:sz w:val="44"/>
          <w:szCs w:val="44"/>
        </w:rPr>
      </w:pPr>
      <w:r>
        <w:rPr>
          <w:rFonts w:hint="eastAsia" w:hAnsi="宋体" w:cs="宋体"/>
          <w:b/>
          <w:sz w:val="44"/>
          <w:szCs w:val="44"/>
        </w:rPr>
        <w:t>谈判响应文件</w:t>
      </w:r>
    </w:p>
    <w:p>
      <w:pPr>
        <w:pStyle w:val="20"/>
        <w:adjustRightInd w:val="0"/>
        <w:snapToGrid w:val="0"/>
        <w:spacing w:line="360" w:lineRule="auto"/>
        <w:jc w:val="center"/>
        <w:rPr>
          <w:rFonts w:hAnsi="宋体" w:cs="宋体"/>
          <w:b/>
          <w:sz w:val="44"/>
          <w:szCs w:val="44"/>
        </w:rPr>
      </w:pPr>
      <w:r>
        <w:rPr>
          <w:rFonts w:hint="eastAsia" w:hAnsi="宋体" w:cs="宋体"/>
          <w:b/>
          <w:sz w:val="44"/>
          <w:szCs w:val="44"/>
        </w:rPr>
        <w:t>（资格部分）</w:t>
      </w:r>
    </w:p>
    <w:p>
      <w:pPr>
        <w:pStyle w:val="8"/>
        <w:rPr>
          <w:rFonts w:ascii="宋体" w:hAnsi="宋体" w:cs="宋体"/>
          <w:sz w:val="28"/>
          <w:szCs w:val="28"/>
        </w:rPr>
      </w:pPr>
    </w:p>
    <w:p>
      <w:pPr>
        <w:pStyle w:val="8"/>
        <w:ind w:firstLine="0"/>
        <w:rPr>
          <w:rFonts w:ascii="宋体" w:hAnsi="宋体" w:cs="宋体"/>
          <w:sz w:val="28"/>
          <w:szCs w:val="28"/>
        </w:rPr>
      </w:pPr>
    </w:p>
    <w:p>
      <w:pPr>
        <w:pStyle w:val="8"/>
        <w:spacing w:before="120" w:beforeLines="50"/>
        <w:ind w:firstLine="0"/>
        <w:rPr>
          <w:rFonts w:ascii="宋体" w:hAnsi="宋体" w:cs="宋体"/>
          <w:b/>
          <w:sz w:val="28"/>
          <w:szCs w:val="28"/>
        </w:rPr>
      </w:pPr>
    </w:p>
    <w:p>
      <w:pPr>
        <w:pStyle w:val="8"/>
        <w:spacing w:before="120" w:beforeLines="50"/>
        <w:ind w:firstLine="1630" w:firstLineChars="580"/>
        <w:rPr>
          <w:rFonts w:ascii="宋体" w:hAnsi="宋体" w:cs="宋体"/>
          <w:b/>
          <w:sz w:val="28"/>
          <w:szCs w:val="28"/>
        </w:rPr>
      </w:pPr>
    </w:p>
    <w:p>
      <w:pPr>
        <w:pStyle w:val="8"/>
        <w:spacing w:before="120" w:beforeLines="50"/>
        <w:ind w:firstLine="1630" w:firstLineChars="580"/>
        <w:rPr>
          <w:rFonts w:ascii="宋体" w:hAnsi="宋体" w:cs="宋体"/>
          <w:b/>
          <w:sz w:val="28"/>
          <w:szCs w:val="28"/>
        </w:rPr>
      </w:pPr>
    </w:p>
    <w:p>
      <w:pPr>
        <w:pStyle w:val="8"/>
        <w:spacing w:line="360" w:lineRule="auto"/>
        <w:ind w:firstLine="1630" w:firstLineChars="580"/>
        <w:rPr>
          <w:rFonts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rPr>
        <w:t>（公章）</w:t>
      </w:r>
    </w:p>
    <w:p>
      <w:pPr>
        <w:pStyle w:val="8"/>
        <w:spacing w:line="360" w:lineRule="auto"/>
        <w:ind w:firstLine="1630" w:firstLineChars="580"/>
        <w:rPr>
          <w:rFonts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w:t>
      </w:r>
      <w:r>
        <w:rPr>
          <w:rFonts w:hint="eastAsia" w:ascii="宋体" w:hAnsi="宋体" w:cs="宋体"/>
          <w:b/>
          <w:bCs/>
          <w:sz w:val="28"/>
          <w:szCs w:val="28"/>
          <w:lang w:eastAsia="zh-CN"/>
        </w:rPr>
        <w:t>签字或盖章</w:t>
      </w:r>
      <w:r>
        <w:rPr>
          <w:rFonts w:hint="eastAsia" w:ascii="宋体" w:hAnsi="宋体" w:cs="宋体"/>
          <w:b/>
          <w:bCs/>
          <w:sz w:val="28"/>
          <w:szCs w:val="28"/>
        </w:rPr>
        <w:t>）</w:t>
      </w:r>
    </w:p>
    <w:p>
      <w:pPr>
        <w:pStyle w:val="8"/>
        <w:spacing w:line="360" w:lineRule="auto"/>
        <w:ind w:firstLine="1630" w:firstLineChars="580"/>
        <w:rPr>
          <w:rFonts w:ascii="宋体" w:hAnsi="宋体" w:cs="宋体"/>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pPr>
        <w:pStyle w:val="8"/>
        <w:spacing w:before="120" w:beforeLines="50" w:line="360" w:lineRule="auto"/>
        <w:ind w:firstLineChars="95"/>
        <w:jc w:val="center"/>
        <w:outlineLvl w:val="1"/>
        <w:rPr>
          <w:rFonts w:hint="eastAsia" w:ascii="宋体" w:hAnsi="宋体" w:cs="宋体"/>
          <w:sz w:val="44"/>
          <w:szCs w:val="44"/>
          <w:highlight w:val="none"/>
        </w:rPr>
      </w:pPr>
      <w:r>
        <w:rPr>
          <w:rFonts w:hint="eastAsia" w:ascii="宋体" w:hAnsi="宋体" w:cs="宋体"/>
          <w:sz w:val="44"/>
          <w:szCs w:val="44"/>
        </w:rPr>
        <w:br w:type="page"/>
      </w:r>
      <w:bookmarkStart w:id="195" w:name="_Toc29137"/>
      <w:r>
        <w:rPr>
          <w:rFonts w:hint="eastAsia" w:ascii="宋体" w:hAnsi="宋体" w:cs="宋体"/>
          <w:b/>
          <w:sz w:val="44"/>
          <w:szCs w:val="44"/>
          <w:highlight w:val="none"/>
        </w:rPr>
        <w:t>说     明</w:t>
      </w:r>
      <w:bookmarkEnd w:id="195"/>
    </w:p>
    <w:p>
      <w:pPr>
        <w:pStyle w:val="16"/>
        <w:kinsoku w:val="0"/>
        <w:autoSpaceDE w:val="0"/>
        <w:autoSpaceDN w:val="0"/>
        <w:adjustRightInd w:val="0"/>
        <w:snapToGrid w:val="0"/>
        <w:spacing w:line="360" w:lineRule="auto"/>
        <w:ind w:firstLine="0"/>
        <w:rPr>
          <w:rFonts w:hint="eastAsia" w:ascii="宋体" w:hAnsi="宋体" w:cs="宋体"/>
          <w:b/>
          <w:sz w:val="24"/>
          <w:szCs w:val="24"/>
          <w:highlight w:val="none"/>
        </w:rPr>
      </w:pPr>
      <w:r>
        <w:rPr>
          <w:rFonts w:hint="eastAsia" w:ascii="宋体" w:hAnsi="宋体" w:cs="宋体"/>
          <w:b/>
          <w:sz w:val="24"/>
          <w:szCs w:val="24"/>
          <w:highlight w:val="none"/>
        </w:rPr>
        <w:t xml:space="preserve">资格部分文件包括以下内容： </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1、供应商应具有独立承担民事责任的能力的企业法人、事业法人、其他组织或自然人，出具合法有效的营业执照等相关证明文件，自然人参与的提供其身份证明；</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2、法定代表人直接参加投标的，须出具法定代表人证明及法人身份证；法定代表人授权代表参加投标的，须出具法定代表人授权书及授权代表身份证。</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3、财务状况报告：提供经审计的2021年度财务报告或开标前六个月内其本公司银行账户出具的资信证明；</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4、税收缴纳证明：供应商提供截止至开标时间前六个月任一月份的缴费凭据；依法免税的应提供相关文件证明；</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5、社会保障资金缴纳证明：供应商提供截止至开标时间前六个月任一月份的缴费凭据或社保机构开具的社会保险参保缴费情况证明；依法不需要缴纳社会保障资金的应提供相关文件证明；</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6、供应商提供具有履行本合同所必需的设备和专业技术能力的承诺函；</w:t>
      </w:r>
    </w:p>
    <w:p>
      <w:pPr>
        <w:pStyle w:val="24"/>
        <w:adjustRightInd w:val="0"/>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7、供应商提供参加政府采购活动前三年内在经营活动中没有重大违法记录的承诺函；</w:t>
      </w:r>
    </w:p>
    <w:p>
      <w:pPr>
        <w:pStyle w:val="24"/>
        <w:adjustRightInd w:val="0"/>
        <w:spacing w:line="360" w:lineRule="auto"/>
        <w:ind w:firstLine="480" w:firstLineChars="200"/>
        <w:rPr>
          <w:rFonts w:hint="eastAsia" w:ascii="宋体" w:hAnsi="宋体" w:cs="宋体"/>
          <w:sz w:val="24"/>
        </w:rPr>
      </w:pPr>
      <w:r>
        <w:rPr>
          <w:rFonts w:hint="eastAsia" w:hAnsi="宋体" w:cs="宋体"/>
          <w:sz w:val="24"/>
          <w:szCs w:val="24"/>
          <w:lang w:val="en-US" w:eastAsia="zh-CN"/>
        </w:rPr>
        <w:t>8、</w:t>
      </w:r>
      <w:r>
        <w:rPr>
          <w:rFonts w:hint="eastAsia" w:ascii="宋体" w:hAnsi="宋体" w:cs="宋体"/>
          <w:sz w:val="24"/>
        </w:rPr>
        <w:t>供应商须具备建设行政主管部门核发的建筑装饰装修工程专业承包二级及以上资质</w:t>
      </w:r>
      <w:r>
        <w:rPr>
          <w:rFonts w:hint="eastAsia" w:ascii="宋体" w:hAnsi="宋体" w:cs="宋体"/>
          <w:kern w:val="0"/>
          <w:sz w:val="24"/>
        </w:rPr>
        <w:t>，安全生产许可证在有效期内</w:t>
      </w:r>
      <w:r>
        <w:rPr>
          <w:rFonts w:hint="eastAsia" w:ascii="宋体" w:hAnsi="宋体" w:cs="宋体"/>
          <w:sz w:val="24"/>
        </w:rPr>
        <w:t>。</w:t>
      </w:r>
    </w:p>
    <w:p>
      <w:pPr>
        <w:pStyle w:val="24"/>
        <w:adjustRightInd w:val="0"/>
        <w:spacing w:line="360" w:lineRule="auto"/>
        <w:ind w:firstLine="480" w:firstLineChars="200"/>
        <w:rPr>
          <w:rFonts w:hint="eastAsia" w:hAnsi="宋体" w:eastAsia="宋体" w:cs="宋体"/>
          <w:sz w:val="24"/>
          <w:szCs w:val="24"/>
          <w:lang w:val="en-US" w:eastAsia="zh-CN"/>
        </w:rPr>
      </w:pPr>
      <w:r>
        <w:rPr>
          <w:rFonts w:hint="eastAsia" w:hAnsi="宋体" w:cs="宋体"/>
          <w:sz w:val="24"/>
          <w:szCs w:val="24"/>
          <w:lang w:val="en-US" w:eastAsia="zh-CN"/>
        </w:rPr>
        <w:t>9、</w:t>
      </w:r>
      <w:r>
        <w:rPr>
          <w:rFonts w:hint="eastAsia" w:ascii="宋体" w:hAnsi="宋体" w:eastAsia="宋体" w:cs="宋体"/>
          <w:bCs/>
          <w:kern w:val="2"/>
          <w:sz w:val="24"/>
          <w:szCs w:val="20"/>
          <w:highlight w:val="none"/>
          <w:lang w:val="en-US" w:eastAsia="zh-CN" w:bidi="ar-SA"/>
        </w:rPr>
        <w:t>供应商提供小型微型企业声明函/中小企业声明函（附件4）或残疾人福利性单位声明函(附件5）或监狱、戒毒企业声明函（附件6）。</w:t>
      </w:r>
    </w:p>
    <w:p>
      <w:pPr>
        <w:widowControl/>
        <w:tabs>
          <w:tab w:val="left" w:pos="1620"/>
        </w:tabs>
        <w:adjustRightInd w:val="0"/>
        <w:snapToGrid w:val="0"/>
        <w:spacing w:line="500" w:lineRule="exact"/>
        <w:jc w:val="left"/>
        <w:rPr>
          <w:rFonts w:hint="eastAsia" w:ascii="宋体" w:hAnsi="宋体" w:cs="宋体"/>
          <w:b/>
          <w:bCs/>
          <w:kern w:val="0"/>
          <w:sz w:val="24"/>
          <w:highlight w:val="none"/>
        </w:rPr>
      </w:pPr>
      <w:r>
        <w:rPr>
          <w:rFonts w:hint="eastAsia" w:ascii="宋体" w:hAnsi="宋体" w:cs="宋体"/>
          <w:b/>
          <w:bCs/>
          <w:kern w:val="0"/>
          <w:sz w:val="24"/>
          <w:highlight w:val="none"/>
        </w:rPr>
        <w:t>注：</w:t>
      </w:r>
    </w:p>
    <w:p>
      <w:pPr>
        <w:widowControl/>
        <w:tabs>
          <w:tab w:val="left" w:pos="1620"/>
        </w:tabs>
        <w:adjustRightInd w:val="0"/>
        <w:snapToGrid w:val="0"/>
        <w:spacing w:line="500" w:lineRule="exact"/>
        <w:ind w:firstLine="482" w:firstLineChars="200"/>
        <w:jc w:val="left"/>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sz w:val="24"/>
          <w:highlight w:val="none"/>
        </w:rPr>
        <w:t>在投标文件资格部分正副本中应附完整的资格证明材料复印件，正本加盖投标人红色鲜章</w:t>
      </w:r>
      <w:r>
        <w:rPr>
          <w:rFonts w:hint="eastAsia" w:ascii="宋体" w:hAnsi="宋体" w:cs="宋体"/>
          <w:b/>
          <w:color w:val="000000"/>
          <w:sz w:val="24"/>
          <w:highlight w:val="none"/>
        </w:rPr>
        <w:t>。</w:t>
      </w:r>
    </w:p>
    <w:p>
      <w:pPr>
        <w:widowControl/>
        <w:tabs>
          <w:tab w:val="left" w:pos="1620"/>
        </w:tabs>
        <w:adjustRightInd w:val="0"/>
        <w:snapToGrid w:val="0"/>
        <w:spacing w:line="500" w:lineRule="exact"/>
        <w:ind w:firstLine="482" w:firstLineChars="200"/>
        <w:jc w:val="left"/>
        <w:rPr>
          <w:rFonts w:hint="eastAsia" w:ascii="宋体" w:hAnsi="宋体" w:cs="宋体"/>
          <w:b/>
          <w:bCs/>
          <w:kern w:val="0"/>
          <w:sz w:val="24"/>
          <w:highlight w:val="none"/>
        </w:rPr>
      </w:pPr>
      <w:r>
        <w:rPr>
          <w:rFonts w:hint="eastAsia" w:ascii="宋体" w:hAnsi="宋体" w:cs="宋体"/>
          <w:b/>
          <w:bCs/>
          <w:kern w:val="0"/>
          <w:sz w:val="24"/>
          <w:highlight w:val="none"/>
        </w:rPr>
        <w:t>2、投标人应按照招标文件的要求自行准备以上证明文件并编目录、封装。</w:t>
      </w:r>
    </w:p>
    <w:p>
      <w:pPr>
        <w:pStyle w:val="127"/>
        <w:spacing w:line="360" w:lineRule="auto"/>
        <w:jc w:val="left"/>
        <w:rPr>
          <w:rFonts w:hint="eastAsia" w:ascii="宋体" w:hAnsi="宋体" w:cs="宋体"/>
          <w:b/>
          <w:sz w:val="24"/>
          <w:szCs w:val="24"/>
        </w:rPr>
      </w:pPr>
      <w:r>
        <w:rPr>
          <w:rFonts w:hint="eastAsia" w:ascii="宋体" w:hAnsi="宋体" w:cs="宋体"/>
          <w:sz w:val="44"/>
          <w:szCs w:val="44"/>
        </w:rPr>
        <w:br w:type="page"/>
      </w:r>
      <w:r>
        <w:rPr>
          <w:rFonts w:hint="eastAsia" w:ascii="宋体" w:hAnsi="宋体" w:cs="宋体"/>
          <w:b/>
          <w:sz w:val="24"/>
          <w:szCs w:val="24"/>
        </w:rPr>
        <w:t>附件1：</w:t>
      </w:r>
    </w:p>
    <w:p>
      <w:pPr>
        <w:pStyle w:val="127"/>
        <w:spacing w:line="360" w:lineRule="auto"/>
        <w:jc w:val="center"/>
        <w:rPr>
          <w:rFonts w:hint="eastAsia" w:ascii="宋体" w:hAnsi="宋体" w:cs="宋体"/>
          <w:b/>
          <w:sz w:val="24"/>
          <w:szCs w:val="24"/>
        </w:rPr>
      </w:pPr>
      <w:r>
        <w:rPr>
          <w:rFonts w:hint="eastAsia" w:ascii="宋体" w:hAnsi="宋体" w:cs="宋体"/>
          <w:b/>
          <w:sz w:val="24"/>
          <w:szCs w:val="24"/>
        </w:rPr>
        <w:t>法定代表人（单位负责人）身份证明及法定代表人授权书</w:t>
      </w:r>
    </w:p>
    <w:p>
      <w:pPr>
        <w:adjustRightInd w:val="0"/>
        <w:snapToGrid w:val="0"/>
        <w:spacing w:line="360" w:lineRule="auto"/>
        <w:jc w:val="center"/>
        <w:rPr>
          <w:rFonts w:hint="eastAsia" w:hAnsi="宋体" w:cs="宋体"/>
          <w:b/>
          <w:sz w:val="24"/>
        </w:rPr>
      </w:pPr>
      <w:r>
        <w:rPr>
          <w:rFonts w:hint="eastAsia" w:hAnsi="宋体" w:cs="宋体"/>
          <w:b/>
          <w:sz w:val="24"/>
        </w:rPr>
        <w:t>（1）法定代表人身份证明</w:t>
      </w:r>
    </w:p>
    <w:p>
      <w:pPr>
        <w:autoSpaceDE w:val="0"/>
        <w:autoSpaceDN w:val="0"/>
        <w:adjustRightInd w:val="0"/>
        <w:snapToGrid w:val="0"/>
        <w:spacing w:before="120" w:beforeLines="50" w:line="360" w:lineRule="auto"/>
        <w:ind w:firstLine="480" w:firstLineChars="200"/>
        <w:jc w:val="left"/>
        <w:rPr>
          <w:rFonts w:hint="eastAsia" w:hAnsi="宋体" w:cs="宋体"/>
          <w:sz w:val="24"/>
        </w:rPr>
      </w:pPr>
      <w:r>
        <w:rPr>
          <w:rFonts w:hint="eastAsia" w:hAnsi="宋体" w:cs="宋体"/>
          <w:sz w:val="24"/>
        </w:rPr>
        <w:t>供应商名称：</w:t>
      </w:r>
      <w:r>
        <w:rPr>
          <w:rFonts w:hint="eastAsia" w:hAnsi="宋体" w:cs="宋体"/>
          <w:sz w:val="24"/>
          <w:u w:val="single"/>
        </w:rPr>
        <w:t xml:space="preserve">                                        </w:t>
      </w:r>
      <w:r>
        <w:rPr>
          <w:rFonts w:hint="eastAsia" w:hAnsi="宋体" w:cs="宋体"/>
          <w:sz w:val="24"/>
        </w:rPr>
        <w:t xml:space="preserve"> </w:t>
      </w:r>
    </w:p>
    <w:p>
      <w:pPr>
        <w:autoSpaceDE w:val="0"/>
        <w:autoSpaceDN w:val="0"/>
        <w:adjustRightInd w:val="0"/>
        <w:snapToGrid w:val="0"/>
        <w:spacing w:before="120" w:beforeLines="50" w:line="360" w:lineRule="auto"/>
        <w:ind w:firstLine="480" w:firstLineChars="200"/>
        <w:jc w:val="left"/>
        <w:rPr>
          <w:rFonts w:hint="eastAsia" w:hAnsi="宋体" w:cs="宋体"/>
          <w:sz w:val="24"/>
        </w:rPr>
      </w:pPr>
      <w:r>
        <w:rPr>
          <w:rFonts w:hint="eastAsia" w:hAnsi="宋体" w:cs="宋体"/>
          <w:sz w:val="24"/>
        </w:rPr>
        <w:t>统一社会信用代码：</w:t>
      </w:r>
      <w:r>
        <w:rPr>
          <w:rFonts w:hint="eastAsia" w:hAnsi="宋体" w:cs="宋体"/>
          <w:sz w:val="24"/>
          <w:u w:val="single"/>
        </w:rPr>
        <w:t xml:space="preserve">                                  </w:t>
      </w:r>
    </w:p>
    <w:p>
      <w:pPr>
        <w:autoSpaceDE w:val="0"/>
        <w:autoSpaceDN w:val="0"/>
        <w:adjustRightInd w:val="0"/>
        <w:snapToGrid w:val="0"/>
        <w:spacing w:before="120" w:beforeLines="50" w:line="360" w:lineRule="auto"/>
        <w:ind w:firstLine="480" w:firstLineChars="200"/>
        <w:jc w:val="left"/>
        <w:rPr>
          <w:rFonts w:hint="eastAsia" w:hAnsi="宋体" w:cs="宋体"/>
          <w:sz w:val="24"/>
          <w:u w:val="single"/>
        </w:rPr>
      </w:pPr>
      <w:r>
        <w:rPr>
          <w:rFonts w:hint="eastAsia" w:hAnsi="宋体" w:cs="宋体"/>
          <w:sz w:val="24"/>
        </w:rPr>
        <w:t>注册地址：</w:t>
      </w:r>
      <w:r>
        <w:rPr>
          <w:rFonts w:hint="eastAsia" w:hAnsi="宋体" w:cs="宋体"/>
          <w:sz w:val="24"/>
          <w:u w:val="single"/>
        </w:rPr>
        <w:t xml:space="preserve">                                          </w:t>
      </w:r>
    </w:p>
    <w:p>
      <w:pPr>
        <w:autoSpaceDE w:val="0"/>
        <w:autoSpaceDN w:val="0"/>
        <w:adjustRightInd w:val="0"/>
        <w:snapToGrid w:val="0"/>
        <w:spacing w:before="120" w:beforeLines="50" w:line="360" w:lineRule="auto"/>
        <w:ind w:firstLine="480" w:firstLineChars="200"/>
        <w:jc w:val="left"/>
        <w:rPr>
          <w:rFonts w:hint="eastAsia" w:hAnsi="宋体" w:cs="宋体"/>
          <w:sz w:val="24"/>
        </w:rPr>
      </w:pPr>
      <w:r>
        <w:rPr>
          <w:rFonts w:hint="eastAsia" w:hAnsi="宋体" w:cs="宋体"/>
          <w:sz w:val="24"/>
        </w:rPr>
        <w:t>成立时间：</w:t>
      </w:r>
      <w:r>
        <w:rPr>
          <w:rFonts w:hint="eastAsia" w:hAnsi="宋体" w:cs="宋体"/>
          <w:sz w:val="24"/>
          <w:u w:val="single"/>
        </w:rPr>
        <w:t xml:space="preserve">  </w:t>
      </w:r>
      <w:r>
        <w:rPr>
          <w:rFonts w:hint="eastAsia" w:hAnsi="宋体" w:cs="宋体"/>
          <w:sz w:val="24"/>
        </w:rPr>
        <w:t xml:space="preserve">年 </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日；经营期限：</w:t>
      </w:r>
      <w:r>
        <w:rPr>
          <w:rFonts w:hint="eastAsia" w:hAnsi="宋体" w:cs="宋体"/>
          <w:sz w:val="24"/>
          <w:u w:val="single"/>
        </w:rPr>
        <w:t xml:space="preserve">                  </w:t>
      </w:r>
    </w:p>
    <w:p>
      <w:pPr>
        <w:autoSpaceDE w:val="0"/>
        <w:autoSpaceDN w:val="0"/>
        <w:adjustRightInd w:val="0"/>
        <w:snapToGrid w:val="0"/>
        <w:spacing w:before="120" w:beforeLines="50" w:line="360" w:lineRule="auto"/>
        <w:ind w:firstLine="480" w:firstLineChars="200"/>
        <w:jc w:val="left"/>
        <w:rPr>
          <w:rFonts w:hint="eastAsia" w:hAnsi="宋体" w:cs="宋体"/>
          <w:sz w:val="24"/>
          <w:u w:val="single"/>
        </w:rPr>
      </w:pPr>
      <w:r>
        <w:rPr>
          <w:rFonts w:hint="eastAsia" w:hAnsi="宋体" w:cs="宋体"/>
          <w:sz w:val="24"/>
        </w:rPr>
        <w:t>经营范围：主营：</w:t>
      </w:r>
      <w:r>
        <w:rPr>
          <w:rFonts w:hint="eastAsia" w:hAnsi="宋体" w:cs="宋体"/>
          <w:sz w:val="24"/>
          <w:u w:val="single"/>
        </w:rPr>
        <w:t xml:space="preserve">              </w:t>
      </w:r>
      <w:r>
        <w:rPr>
          <w:rFonts w:hint="eastAsia" w:hAnsi="宋体" w:cs="宋体"/>
          <w:sz w:val="24"/>
        </w:rPr>
        <w:t xml:space="preserve"> ；兼营：</w:t>
      </w:r>
      <w:r>
        <w:rPr>
          <w:rFonts w:hint="eastAsia" w:hAnsi="宋体" w:cs="宋体"/>
          <w:sz w:val="24"/>
          <w:u w:val="single"/>
        </w:rPr>
        <w:t xml:space="preserve">              </w:t>
      </w:r>
    </w:p>
    <w:p>
      <w:pPr>
        <w:autoSpaceDE w:val="0"/>
        <w:autoSpaceDN w:val="0"/>
        <w:adjustRightInd w:val="0"/>
        <w:snapToGrid w:val="0"/>
        <w:spacing w:before="120" w:beforeLines="50" w:line="360" w:lineRule="auto"/>
        <w:ind w:firstLine="480" w:firstLineChars="200"/>
        <w:jc w:val="left"/>
        <w:rPr>
          <w:rFonts w:hint="eastAsia" w:hAnsi="宋体" w:cs="宋体"/>
          <w:sz w:val="24"/>
        </w:rPr>
      </w:pPr>
      <w:r>
        <w:rPr>
          <w:rFonts w:hint="eastAsia" w:hAnsi="宋体" w:cs="宋体"/>
          <w:sz w:val="24"/>
        </w:rPr>
        <w:t>姓名：</w:t>
      </w:r>
      <w:r>
        <w:rPr>
          <w:rFonts w:hint="eastAsia" w:hAnsi="宋体" w:cs="宋体"/>
          <w:sz w:val="24"/>
          <w:u w:val="single"/>
        </w:rPr>
        <w:t xml:space="preserve">      </w:t>
      </w:r>
      <w:r>
        <w:rPr>
          <w:rFonts w:hint="eastAsia" w:hAnsi="宋体" w:cs="宋体"/>
          <w:sz w:val="24"/>
        </w:rPr>
        <w:t xml:space="preserve"> 性别：</w:t>
      </w:r>
      <w:r>
        <w:rPr>
          <w:rFonts w:hint="eastAsia" w:hAnsi="宋体" w:cs="宋体"/>
          <w:sz w:val="24"/>
          <w:u w:val="single"/>
        </w:rPr>
        <w:t xml:space="preserve">   </w:t>
      </w:r>
      <w:r>
        <w:rPr>
          <w:rFonts w:hint="eastAsia" w:hAnsi="宋体" w:cs="宋体"/>
          <w:sz w:val="24"/>
        </w:rPr>
        <w:t xml:space="preserve"> 年龄：</w:t>
      </w:r>
      <w:r>
        <w:rPr>
          <w:rFonts w:hint="eastAsia" w:hAnsi="宋体" w:cs="宋体"/>
          <w:sz w:val="24"/>
          <w:u w:val="single"/>
        </w:rPr>
        <w:t xml:space="preserve">    </w:t>
      </w:r>
      <w:r>
        <w:rPr>
          <w:rFonts w:hint="eastAsia" w:hAnsi="宋体" w:cs="宋体"/>
          <w:sz w:val="24"/>
        </w:rPr>
        <w:t xml:space="preserve"> 系</w:t>
      </w:r>
      <w:r>
        <w:rPr>
          <w:rFonts w:hint="eastAsia" w:hAnsi="宋体" w:cs="宋体"/>
          <w:sz w:val="24"/>
          <w:u w:val="single"/>
        </w:rPr>
        <w:t xml:space="preserve">            </w:t>
      </w:r>
      <w:r>
        <w:rPr>
          <w:rFonts w:hint="eastAsia" w:hAnsi="宋体" w:cs="宋体"/>
          <w:sz w:val="24"/>
        </w:rPr>
        <w:t>（供应商名称）的法定代表人。</w:t>
      </w:r>
    </w:p>
    <w:p>
      <w:pPr>
        <w:autoSpaceDE w:val="0"/>
        <w:autoSpaceDN w:val="0"/>
        <w:adjustRightInd w:val="0"/>
        <w:snapToGrid w:val="0"/>
        <w:spacing w:before="120" w:beforeLines="50" w:line="360" w:lineRule="auto"/>
        <w:ind w:firstLine="480" w:firstLineChars="200"/>
        <w:jc w:val="left"/>
        <w:rPr>
          <w:rFonts w:hint="eastAsia" w:hAnsi="宋体" w:cs="宋体"/>
          <w:sz w:val="24"/>
        </w:rPr>
      </w:pPr>
      <w:r>
        <w:rPr>
          <w:rFonts w:hint="eastAsia" w:hAnsi="宋体" w:cs="宋体"/>
          <w:sz w:val="24"/>
        </w:rPr>
        <w:t>特此证明。</w:t>
      </w:r>
    </w:p>
    <w:p>
      <w:pPr>
        <w:autoSpaceDE w:val="0"/>
        <w:autoSpaceDN w:val="0"/>
        <w:adjustRightInd w:val="0"/>
        <w:snapToGrid w:val="0"/>
        <w:spacing w:before="120" w:beforeLines="50" w:line="360" w:lineRule="auto"/>
        <w:ind w:firstLine="480" w:firstLineChars="200"/>
        <w:jc w:val="left"/>
        <w:rPr>
          <w:rFonts w:hint="eastAsia" w:hAnsi="宋体" w:cs="宋体"/>
          <w:sz w:val="24"/>
        </w:rPr>
      </w:pPr>
      <w:r>
        <w:rPr>
          <w:rFonts w:hint="eastAsia" w:hAnsi="宋体" w:cs="宋体"/>
          <w:sz w:val="24"/>
        </w:rPr>
        <w:t>附：法定代表人身份证复印件</w:t>
      </w:r>
    </w:p>
    <w:tbl>
      <w:tblPr>
        <w:tblStyle w:val="36"/>
        <w:tblW w:w="0" w:type="auto"/>
        <w:tblInd w:w="540" w:type="dxa"/>
        <w:tblLayout w:type="fixed"/>
        <w:tblCellMar>
          <w:top w:w="0" w:type="dxa"/>
          <w:left w:w="108" w:type="dxa"/>
          <w:bottom w:w="0" w:type="dxa"/>
          <w:right w:w="108" w:type="dxa"/>
        </w:tblCellMar>
      </w:tblPr>
      <w:tblGrid>
        <w:gridCol w:w="7996"/>
      </w:tblGrid>
      <w:tr>
        <w:tblPrEx>
          <w:tblCellMar>
            <w:top w:w="0" w:type="dxa"/>
            <w:left w:w="108" w:type="dxa"/>
            <w:bottom w:w="0" w:type="dxa"/>
            <w:right w:w="108" w:type="dxa"/>
          </w:tblCellMar>
        </w:tblPrEx>
        <w:trPr>
          <w:trHeight w:val="2818" w:hRule="atLeast"/>
        </w:trPr>
        <w:tc>
          <w:tcPr>
            <w:tcW w:w="799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hAnsi="宋体" w:cs="宋体"/>
                <w:sz w:val="24"/>
                <w:lang w:val="zh-CN"/>
              </w:rPr>
            </w:pPr>
            <w:r>
              <w:rPr>
                <w:rFonts w:hint="eastAsia" w:hAnsi="宋体" w:cs="宋体"/>
                <w:sz w:val="24"/>
                <w:lang w:val="zh-CN"/>
              </w:rPr>
              <w:t>法定代表人身份证</w:t>
            </w:r>
          </w:p>
          <w:p>
            <w:pPr>
              <w:spacing w:line="360" w:lineRule="auto"/>
              <w:jc w:val="center"/>
              <w:rPr>
                <w:rFonts w:hint="eastAsia" w:hAnsi="宋体" w:cs="宋体"/>
                <w:sz w:val="24"/>
                <w:u w:val="single"/>
              </w:rPr>
            </w:pPr>
            <w:r>
              <w:rPr>
                <w:rFonts w:hint="eastAsia" w:hAnsi="宋体" w:cs="宋体"/>
                <w:sz w:val="24"/>
                <w:lang w:val="zh-CN"/>
              </w:rPr>
              <w:t>正反面复印件</w:t>
            </w:r>
          </w:p>
        </w:tc>
      </w:tr>
    </w:tbl>
    <w:p>
      <w:pPr>
        <w:autoSpaceDE w:val="0"/>
        <w:autoSpaceDN w:val="0"/>
        <w:adjustRightInd w:val="0"/>
        <w:snapToGrid w:val="0"/>
        <w:spacing w:before="120" w:beforeLines="50" w:line="360" w:lineRule="auto"/>
        <w:ind w:firstLine="480" w:firstLineChars="200"/>
        <w:jc w:val="left"/>
        <w:rPr>
          <w:rFonts w:hint="eastAsia" w:hAnsi="宋体" w:cs="宋体"/>
          <w:sz w:val="24"/>
        </w:rPr>
      </w:pPr>
      <w:r>
        <w:rPr>
          <w:rFonts w:hint="eastAsia" w:hAnsi="宋体" w:cs="宋体"/>
          <w:sz w:val="24"/>
        </w:rPr>
        <w:t>说明：本表仅限法定代表人参加</w:t>
      </w:r>
      <w:r>
        <w:rPr>
          <w:rFonts w:hint="eastAsia" w:cs="宋体"/>
          <w:b w:val="0"/>
          <w:bCs/>
          <w:color w:val="auto"/>
          <w:kern w:val="2"/>
          <w:sz w:val="24"/>
          <w:szCs w:val="24"/>
          <w:highlight w:val="none"/>
          <w:lang w:val="en-US" w:eastAsia="zh-CN" w:bidi="ar-SA"/>
        </w:rPr>
        <w:t>谈判</w:t>
      </w:r>
      <w:r>
        <w:rPr>
          <w:rFonts w:hint="eastAsia" w:hAnsi="宋体" w:cs="宋体"/>
          <w:sz w:val="24"/>
        </w:rPr>
        <w:t>时提供。</w:t>
      </w:r>
    </w:p>
    <w:p>
      <w:pPr>
        <w:spacing w:line="360" w:lineRule="auto"/>
        <w:ind w:firstLine="1920" w:firstLineChars="800"/>
        <w:rPr>
          <w:rFonts w:hint="eastAsia" w:hAnsi="宋体" w:cs="宋体"/>
          <w:sz w:val="24"/>
        </w:rPr>
      </w:pPr>
    </w:p>
    <w:p>
      <w:pPr>
        <w:spacing w:line="360" w:lineRule="auto"/>
        <w:ind w:firstLine="3840" w:firstLineChars="1600"/>
        <w:rPr>
          <w:rFonts w:hint="eastAsia" w:hAnsi="宋体" w:cs="宋体"/>
          <w:sz w:val="24"/>
        </w:rPr>
      </w:pPr>
      <w:r>
        <w:rPr>
          <w:rFonts w:hint="eastAsia" w:hAnsi="宋体" w:cs="宋体"/>
          <w:sz w:val="24"/>
        </w:rPr>
        <w:t>供应商（公章）：</w:t>
      </w:r>
      <w:r>
        <w:rPr>
          <w:rFonts w:hint="eastAsia" w:hAnsi="宋体" w:cs="宋体"/>
          <w:sz w:val="24"/>
          <w:u w:val="single"/>
        </w:rPr>
        <w:t xml:space="preserve">                       </w:t>
      </w:r>
    </w:p>
    <w:p>
      <w:pPr>
        <w:adjustRightInd w:val="0"/>
        <w:snapToGrid w:val="0"/>
        <w:spacing w:line="360" w:lineRule="auto"/>
        <w:ind w:firstLine="3840" w:firstLineChars="1600"/>
        <w:rPr>
          <w:rFonts w:hint="eastAsia" w:hAnsi="宋体" w:cs="宋体"/>
          <w:sz w:val="24"/>
          <w:u w:val="single"/>
        </w:rPr>
      </w:pPr>
      <w:r>
        <w:rPr>
          <w:rFonts w:hint="eastAsia" w:hAnsi="宋体" w:cs="宋体"/>
          <w:sz w:val="24"/>
        </w:rPr>
        <w:t>日   期：</w:t>
      </w:r>
      <w:r>
        <w:rPr>
          <w:rFonts w:hint="eastAsia" w:hAnsi="宋体" w:cs="宋体"/>
          <w:sz w:val="24"/>
          <w:u w:val="single"/>
        </w:rPr>
        <w:t xml:space="preserve">                              </w:t>
      </w:r>
    </w:p>
    <w:p>
      <w:pPr>
        <w:rPr>
          <w:rFonts w:hint="eastAsia" w:hAnsi="宋体" w:cs="宋体"/>
          <w:sz w:val="24"/>
          <w:u w:val="single"/>
        </w:rPr>
      </w:pPr>
    </w:p>
    <w:p>
      <w:pPr>
        <w:adjustRightInd w:val="0"/>
        <w:snapToGrid w:val="0"/>
        <w:spacing w:line="360" w:lineRule="auto"/>
        <w:jc w:val="center"/>
        <w:rPr>
          <w:rFonts w:hint="eastAsia" w:hAnsi="宋体" w:cs="宋体"/>
          <w:b/>
          <w:sz w:val="24"/>
        </w:rPr>
      </w:pPr>
      <w:r>
        <w:rPr>
          <w:rFonts w:hint="eastAsia" w:hAnsi="宋体" w:cs="宋体"/>
          <w:b/>
          <w:sz w:val="24"/>
        </w:rPr>
        <w:br w:type="page"/>
      </w:r>
      <w:r>
        <w:rPr>
          <w:rFonts w:hint="eastAsia" w:hAnsi="宋体" w:cs="宋体"/>
          <w:b/>
          <w:sz w:val="24"/>
        </w:rPr>
        <w:t>（2）法定代表人授权书</w:t>
      </w:r>
    </w:p>
    <w:p>
      <w:pPr>
        <w:pStyle w:val="127"/>
        <w:adjustRightInd w:val="0"/>
        <w:snapToGrid w:val="0"/>
        <w:spacing w:line="360" w:lineRule="auto"/>
        <w:rPr>
          <w:rFonts w:hint="eastAsia" w:ascii="宋体" w:hAnsi="宋体" w:cs="宋体"/>
          <w:sz w:val="24"/>
          <w:szCs w:val="24"/>
          <w:lang w:val="zh-CN"/>
        </w:rPr>
      </w:pPr>
      <w:r>
        <w:rPr>
          <w:rFonts w:hint="eastAsia" w:ascii="宋体" w:hAnsi="宋体" w:cs="宋体"/>
          <w:sz w:val="24"/>
          <w:szCs w:val="24"/>
          <w:lang w:val="zh-CN"/>
        </w:rPr>
        <w:t>陕西明正招标有限公司：</w:t>
      </w:r>
    </w:p>
    <w:p>
      <w:pPr>
        <w:spacing w:line="360" w:lineRule="auto"/>
        <w:ind w:firstLine="480" w:firstLineChars="200"/>
        <w:rPr>
          <w:rFonts w:hint="eastAsia" w:hAnsi="宋体" w:cs="宋体"/>
          <w:sz w:val="24"/>
        </w:rPr>
      </w:pPr>
      <w:r>
        <w:rPr>
          <w:rFonts w:hint="eastAsia" w:hAnsi="宋体" w:cs="宋体"/>
          <w:sz w:val="24"/>
          <w:lang w:val="zh-CN"/>
        </w:rPr>
        <w:t>注册于</w:t>
      </w:r>
      <w:r>
        <w:rPr>
          <w:rFonts w:hint="eastAsia" w:hAnsi="宋体" w:cs="宋体"/>
          <w:sz w:val="24"/>
          <w:u w:val="single"/>
          <w:lang w:val="zh-CN"/>
        </w:rPr>
        <w:t xml:space="preserve">      （工商行政管理局名称）</w:t>
      </w:r>
      <w:r>
        <w:rPr>
          <w:rFonts w:hint="eastAsia" w:hAnsi="宋体" w:cs="宋体"/>
          <w:sz w:val="24"/>
          <w:lang w:val="zh-CN"/>
        </w:rPr>
        <w:t>之</w:t>
      </w:r>
      <w:r>
        <w:rPr>
          <w:rFonts w:hint="eastAsia" w:hAnsi="宋体" w:cs="宋体"/>
          <w:sz w:val="24"/>
          <w:u w:val="single"/>
          <w:lang w:val="zh-CN"/>
        </w:rPr>
        <w:t xml:space="preserve">     （</w:t>
      </w:r>
      <w:r>
        <w:rPr>
          <w:rFonts w:hint="eastAsia" w:hAnsi="宋体" w:cs="宋体"/>
          <w:sz w:val="24"/>
          <w:u w:val="single"/>
        </w:rPr>
        <w:t>供应商</w:t>
      </w:r>
      <w:r>
        <w:rPr>
          <w:rFonts w:hint="eastAsia" w:hAnsi="宋体" w:cs="宋体"/>
          <w:sz w:val="24"/>
          <w:u w:val="single"/>
          <w:lang w:val="zh-CN"/>
        </w:rPr>
        <w:t>全称）</w:t>
      </w:r>
      <w:r>
        <w:rPr>
          <w:rFonts w:hint="eastAsia" w:hAnsi="宋体" w:cs="宋体"/>
          <w:sz w:val="24"/>
          <w:lang w:val="zh-CN"/>
        </w:rPr>
        <w:t>的法定代表人</w:t>
      </w:r>
      <w:r>
        <w:rPr>
          <w:rFonts w:hint="eastAsia" w:hAnsi="宋体" w:cs="宋体"/>
          <w:sz w:val="24"/>
          <w:u w:val="single"/>
          <w:lang w:val="zh-CN"/>
        </w:rPr>
        <w:t xml:space="preserve">      （姓名）</w:t>
      </w:r>
      <w:r>
        <w:rPr>
          <w:rFonts w:hint="eastAsia" w:hAnsi="宋体" w:cs="宋体"/>
          <w:sz w:val="24"/>
          <w:lang w:val="zh-CN"/>
        </w:rPr>
        <w:t>授权</w:t>
      </w:r>
      <w:r>
        <w:rPr>
          <w:rFonts w:hint="eastAsia" w:hAnsi="宋体" w:cs="宋体"/>
          <w:sz w:val="24"/>
          <w:u w:val="single"/>
          <w:lang w:val="zh-CN"/>
        </w:rPr>
        <w:t xml:space="preserve">     （被授权人姓名）</w:t>
      </w:r>
      <w:r>
        <w:rPr>
          <w:rFonts w:hint="eastAsia" w:hAnsi="宋体" w:cs="宋体"/>
          <w:sz w:val="24"/>
        </w:rPr>
        <w:t>为我方合法授权代表。代理人根据授权，以我方名义签署、澄清、说明、递交、撤回、修改</w:t>
      </w:r>
      <w:r>
        <w:rPr>
          <w:rFonts w:hint="eastAsia" w:hAnsi="宋体" w:cs="宋体"/>
          <w:sz w:val="24"/>
          <w:u w:val="single"/>
        </w:rPr>
        <w:t xml:space="preserve">     （项目名称）           </w:t>
      </w:r>
      <w:r>
        <w:rPr>
          <w:rFonts w:hint="eastAsia" w:cs="宋体"/>
          <w:b w:val="0"/>
          <w:bCs/>
          <w:color w:val="auto"/>
          <w:kern w:val="2"/>
          <w:sz w:val="24"/>
          <w:szCs w:val="24"/>
          <w:highlight w:val="none"/>
          <w:lang w:val="en-US" w:eastAsia="zh-CN" w:bidi="ar-SA"/>
        </w:rPr>
        <w:t>谈判</w:t>
      </w:r>
      <w:r>
        <w:rPr>
          <w:rFonts w:hint="eastAsia" w:hAnsi="宋体" w:cs="宋体"/>
          <w:sz w:val="24"/>
        </w:rPr>
        <w:t>响应文件、签订合同和处理有关事宜，其法律后果由我方承担。</w:t>
      </w:r>
    </w:p>
    <w:p>
      <w:pPr>
        <w:spacing w:line="360" w:lineRule="auto"/>
        <w:ind w:firstLine="480" w:firstLineChars="200"/>
        <w:rPr>
          <w:rFonts w:hint="eastAsia" w:hAnsi="宋体" w:cs="宋体"/>
          <w:sz w:val="24"/>
        </w:rPr>
      </w:pPr>
      <w:r>
        <w:rPr>
          <w:rFonts w:hint="eastAsia" w:hAnsi="宋体" w:cs="宋体"/>
          <w:sz w:val="24"/>
        </w:rPr>
        <w:t>代理人无转委托权。</w:t>
      </w:r>
    </w:p>
    <w:p>
      <w:pPr>
        <w:spacing w:line="360" w:lineRule="auto"/>
        <w:ind w:firstLine="480" w:firstLineChars="200"/>
        <w:rPr>
          <w:rFonts w:hint="eastAsia" w:hAnsi="宋体" w:cs="宋体"/>
          <w:sz w:val="24"/>
        </w:rPr>
      </w:pPr>
      <w:r>
        <w:rPr>
          <w:rFonts w:hint="eastAsia" w:hAnsi="宋体" w:cs="宋体"/>
          <w:sz w:val="24"/>
        </w:rPr>
        <w:t>本授权书有效期为</w:t>
      </w:r>
      <w:r>
        <w:rPr>
          <w:rFonts w:hint="eastAsia" w:cs="宋体"/>
          <w:b w:val="0"/>
          <w:bCs/>
          <w:color w:val="auto"/>
          <w:kern w:val="2"/>
          <w:sz w:val="24"/>
          <w:szCs w:val="24"/>
          <w:highlight w:val="none"/>
          <w:lang w:val="en-US" w:eastAsia="zh-CN" w:bidi="ar-SA"/>
        </w:rPr>
        <w:t>谈判</w:t>
      </w:r>
      <w:r>
        <w:rPr>
          <w:rFonts w:hint="eastAsia" w:hAnsi="宋体" w:cs="宋体"/>
          <w:sz w:val="24"/>
        </w:rPr>
        <w:t>标截止之日起不少于</w:t>
      </w:r>
      <w:r>
        <w:rPr>
          <w:rFonts w:hint="eastAsia" w:hAnsi="宋体" w:cs="宋体"/>
          <w:sz w:val="24"/>
          <w:u w:val="single"/>
        </w:rPr>
        <w:t xml:space="preserve">      </w:t>
      </w:r>
      <w:r>
        <w:rPr>
          <w:rFonts w:hint="eastAsia" w:hAnsi="宋体" w:cs="宋体"/>
          <w:sz w:val="24"/>
        </w:rPr>
        <w:t>个日历日。</w:t>
      </w:r>
    </w:p>
    <w:p>
      <w:pPr>
        <w:spacing w:line="360" w:lineRule="auto"/>
        <w:ind w:firstLine="480" w:firstLineChars="200"/>
        <w:rPr>
          <w:rFonts w:hint="eastAsia" w:hAnsi="宋体" w:cs="宋体"/>
          <w:sz w:val="24"/>
        </w:rPr>
      </w:pPr>
      <w:r>
        <w:rPr>
          <w:rFonts w:hint="eastAsia" w:hAnsi="宋体" w:cs="宋体"/>
          <w:sz w:val="24"/>
        </w:rPr>
        <w:t>说明：本授权有效期与</w:t>
      </w:r>
      <w:r>
        <w:rPr>
          <w:rFonts w:hint="eastAsia" w:cs="宋体"/>
          <w:b w:val="0"/>
          <w:bCs/>
          <w:color w:val="auto"/>
          <w:kern w:val="2"/>
          <w:sz w:val="24"/>
          <w:szCs w:val="24"/>
          <w:highlight w:val="none"/>
          <w:lang w:val="en-US" w:eastAsia="zh-CN" w:bidi="ar-SA"/>
        </w:rPr>
        <w:t>谈判</w:t>
      </w:r>
      <w:r>
        <w:rPr>
          <w:rFonts w:hint="eastAsia" w:hAnsi="宋体" w:cs="宋体"/>
          <w:sz w:val="24"/>
        </w:rPr>
        <w:t>响应文件有效期保持一致（自</w:t>
      </w:r>
      <w:r>
        <w:rPr>
          <w:rFonts w:hint="eastAsia" w:hAnsi="宋体" w:cs="宋体"/>
          <w:sz w:val="24"/>
          <w:lang w:val="en-US" w:eastAsia="zh-CN"/>
        </w:rPr>
        <w:t>谈判</w:t>
      </w:r>
      <w:r>
        <w:rPr>
          <w:rFonts w:hint="eastAsia" w:hAnsi="宋体" w:cs="宋体"/>
          <w:sz w:val="24"/>
        </w:rPr>
        <w:t>截止之日起不少于90天）。</w:t>
      </w:r>
    </w:p>
    <w:p>
      <w:pPr>
        <w:spacing w:line="360" w:lineRule="auto"/>
        <w:ind w:firstLine="480" w:firstLineChars="200"/>
        <w:rPr>
          <w:rFonts w:hint="eastAsia" w:hAnsi="宋体" w:cs="宋体"/>
          <w:sz w:val="24"/>
        </w:rPr>
      </w:pPr>
      <w:r>
        <w:rPr>
          <w:rFonts w:hint="eastAsia" w:hAnsi="宋体" w:cs="宋体"/>
          <w:sz w:val="24"/>
        </w:rPr>
        <w:t>供应商名称：</w:t>
      </w:r>
      <w:r>
        <w:rPr>
          <w:rFonts w:hint="eastAsia" w:hAnsi="宋体" w:cs="宋体"/>
          <w:sz w:val="24"/>
          <w:u w:val="single"/>
        </w:rPr>
        <w:t xml:space="preserve">                          </w:t>
      </w:r>
      <w:r>
        <w:rPr>
          <w:rFonts w:hint="eastAsia" w:hAnsi="宋体" w:cs="宋体"/>
          <w:sz w:val="24"/>
        </w:rPr>
        <w:t xml:space="preserve">（盖章） </w:t>
      </w:r>
    </w:p>
    <w:p>
      <w:pPr>
        <w:spacing w:line="360" w:lineRule="auto"/>
        <w:ind w:firstLine="480" w:firstLineChars="200"/>
        <w:rPr>
          <w:rFonts w:hint="eastAsia" w:hAnsi="宋体" w:cs="宋体"/>
          <w:sz w:val="24"/>
        </w:rPr>
      </w:pPr>
      <w:r>
        <w:rPr>
          <w:rFonts w:hint="eastAsia" w:hAnsi="宋体" w:cs="宋体"/>
          <w:sz w:val="24"/>
        </w:rPr>
        <w:t>法定代表人：</w:t>
      </w:r>
      <w:r>
        <w:rPr>
          <w:rFonts w:hint="eastAsia" w:hAnsi="宋体" w:cs="宋体"/>
          <w:sz w:val="24"/>
          <w:u w:val="single"/>
        </w:rPr>
        <w:t xml:space="preserve">                          </w:t>
      </w:r>
      <w:r>
        <w:rPr>
          <w:rFonts w:hint="eastAsia" w:hAnsi="宋体" w:cs="宋体"/>
          <w:sz w:val="24"/>
        </w:rPr>
        <w:t>（签字）</w:t>
      </w:r>
    </w:p>
    <w:p>
      <w:pPr>
        <w:spacing w:line="360" w:lineRule="auto"/>
        <w:ind w:firstLine="480" w:firstLineChars="200"/>
        <w:rPr>
          <w:rFonts w:hint="eastAsia" w:hAnsi="宋体" w:cs="宋体"/>
          <w:sz w:val="24"/>
        </w:rPr>
      </w:pPr>
      <w:r>
        <w:rPr>
          <w:rFonts w:hint="eastAsia" w:hAnsi="宋体" w:cs="宋体"/>
          <w:sz w:val="24"/>
        </w:rPr>
        <w:t>身份证号：</w:t>
      </w:r>
      <w:r>
        <w:rPr>
          <w:rFonts w:hint="eastAsia" w:hAnsi="宋体" w:cs="宋体"/>
          <w:sz w:val="24"/>
          <w:u w:val="single"/>
        </w:rPr>
        <w:t xml:space="preserve">                            </w:t>
      </w:r>
      <w:r>
        <w:rPr>
          <w:rFonts w:hint="eastAsia" w:hAnsi="宋体" w:cs="宋体"/>
          <w:sz w:val="24"/>
        </w:rPr>
        <w:t xml:space="preserve">                                </w:t>
      </w:r>
    </w:p>
    <w:p>
      <w:pPr>
        <w:spacing w:line="360" w:lineRule="auto"/>
        <w:ind w:firstLine="480" w:firstLineChars="200"/>
        <w:rPr>
          <w:rFonts w:hint="eastAsia" w:hAnsi="宋体" w:cs="宋体"/>
          <w:sz w:val="24"/>
        </w:rPr>
      </w:pPr>
      <w:r>
        <w:rPr>
          <w:rFonts w:hint="eastAsia" w:hAnsi="宋体" w:cs="宋体"/>
          <w:sz w:val="24"/>
        </w:rPr>
        <w:t>授权代表：</w:t>
      </w:r>
      <w:r>
        <w:rPr>
          <w:rFonts w:hint="eastAsia" w:hAnsi="宋体" w:cs="宋体"/>
          <w:sz w:val="24"/>
          <w:u w:val="single"/>
        </w:rPr>
        <w:t xml:space="preserve">                            </w:t>
      </w:r>
      <w:r>
        <w:rPr>
          <w:rFonts w:hint="eastAsia" w:hAnsi="宋体" w:cs="宋体"/>
          <w:sz w:val="24"/>
        </w:rPr>
        <w:t>（签字）</w:t>
      </w:r>
    </w:p>
    <w:p>
      <w:pPr>
        <w:spacing w:line="360" w:lineRule="auto"/>
        <w:ind w:firstLine="480" w:firstLineChars="200"/>
        <w:rPr>
          <w:rFonts w:hint="eastAsia" w:hAnsi="宋体" w:cs="宋体"/>
          <w:sz w:val="24"/>
        </w:rPr>
      </w:pPr>
      <w:r>
        <w:rPr>
          <w:rFonts w:hint="eastAsia" w:hAnsi="宋体" w:cs="宋体"/>
          <w:sz w:val="24"/>
        </w:rPr>
        <w:t>身份证号：</w:t>
      </w:r>
      <w:r>
        <w:rPr>
          <w:rFonts w:hint="eastAsia" w:hAnsi="宋体" w:cs="宋体"/>
          <w:sz w:val="24"/>
          <w:u w:val="single"/>
        </w:rPr>
        <w:t xml:space="preserve">                            </w:t>
      </w:r>
      <w:r>
        <w:rPr>
          <w:rFonts w:hint="eastAsia" w:hAnsi="宋体" w:cs="宋体"/>
          <w:sz w:val="24"/>
        </w:rPr>
        <w:t xml:space="preserve">                                </w:t>
      </w:r>
    </w:p>
    <w:p>
      <w:pPr>
        <w:spacing w:line="360" w:lineRule="auto"/>
        <w:ind w:firstLine="600" w:firstLineChars="250"/>
        <w:rPr>
          <w:rFonts w:hint="eastAsia" w:hAnsi="宋体" w:cs="宋体"/>
          <w:sz w:val="24"/>
        </w:rPr>
      </w:pPr>
      <w:r>
        <w:rPr>
          <w:rFonts w:hint="eastAsia" w:hAnsi="宋体" w:cs="宋体"/>
          <w:sz w:val="24"/>
        </w:rPr>
        <w:t xml:space="preserve">                                 </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tbl>
      <w:tblPr>
        <w:tblStyle w:val="36"/>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0"/>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170" w:type="dxa"/>
            <w:noWrap w:val="0"/>
            <w:vAlign w:val="center"/>
          </w:tcPr>
          <w:p>
            <w:pPr>
              <w:jc w:val="center"/>
              <w:rPr>
                <w:rFonts w:hint="eastAsia" w:hAnsi="宋体" w:cs="宋体"/>
                <w:sz w:val="24"/>
                <w:lang w:val="zh-CN"/>
              </w:rPr>
            </w:pPr>
            <w:r>
              <w:rPr>
                <w:rFonts w:hint="eastAsia" w:hAnsi="宋体" w:cs="宋体"/>
                <w:sz w:val="24"/>
                <w:lang w:val="zh-CN"/>
              </w:rPr>
              <w:t>法定代表人身份证复印件</w:t>
            </w:r>
          </w:p>
          <w:p>
            <w:pPr>
              <w:jc w:val="center"/>
              <w:rPr>
                <w:rFonts w:hint="eastAsia" w:hAnsi="宋体" w:cs="宋体"/>
                <w:bCs/>
                <w:sz w:val="24"/>
              </w:rPr>
            </w:pPr>
            <w:r>
              <w:rPr>
                <w:rFonts w:hint="eastAsia" w:hAnsi="宋体" w:cs="宋体"/>
                <w:sz w:val="24"/>
                <w:lang w:val="zh-CN"/>
              </w:rPr>
              <w:t>（正反两面）</w:t>
            </w:r>
          </w:p>
        </w:tc>
        <w:tc>
          <w:tcPr>
            <w:tcW w:w="4170" w:type="dxa"/>
            <w:noWrap w:val="0"/>
            <w:vAlign w:val="center"/>
          </w:tcPr>
          <w:p>
            <w:pPr>
              <w:jc w:val="center"/>
              <w:rPr>
                <w:rFonts w:hint="eastAsia" w:hAnsi="宋体" w:cs="宋体"/>
                <w:sz w:val="24"/>
                <w:lang w:val="zh-CN"/>
              </w:rPr>
            </w:pPr>
            <w:r>
              <w:rPr>
                <w:rFonts w:hint="eastAsia" w:hAnsi="宋体" w:cs="宋体"/>
                <w:sz w:val="24"/>
                <w:lang w:val="zh-CN"/>
              </w:rPr>
              <w:t>授权代表身份证复印件</w:t>
            </w:r>
          </w:p>
          <w:p>
            <w:pPr>
              <w:widowControl/>
              <w:jc w:val="center"/>
              <w:rPr>
                <w:rFonts w:hint="eastAsia" w:hAnsi="宋体" w:cs="宋体"/>
                <w:bCs/>
                <w:sz w:val="24"/>
              </w:rPr>
            </w:pPr>
            <w:r>
              <w:rPr>
                <w:rFonts w:hint="eastAsia" w:hAnsi="宋体" w:cs="宋体"/>
                <w:sz w:val="24"/>
                <w:lang w:val="zh-CN"/>
              </w:rPr>
              <w:t>（正反两面）</w:t>
            </w:r>
          </w:p>
        </w:tc>
      </w:tr>
    </w:tbl>
    <w:p>
      <w:pPr>
        <w:pStyle w:val="127"/>
        <w:spacing w:line="400" w:lineRule="exact"/>
        <w:rPr>
          <w:rFonts w:hint="eastAsia" w:ascii="宋体" w:hAnsi="宋体" w:cs="宋体"/>
          <w:b/>
          <w:sz w:val="24"/>
          <w:szCs w:val="24"/>
        </w:rPr>
      </w:pPr>
      <w:r>
        <w:rPr>
          <w:rFonts w:hint="eastAsia" w:ascii="宋体" w:hAnsi="宋体" w:cs="宋体"/>
          <w:sz w:val="24"/>
          <w:szCs w:val="24"/>
        </w:rPr>
        <w:br w:type="page"/>
      </w:r>
      <w:r>
        <w:rPr>
          <w:rFonts w:hint="eastAsia" w:ascii="宋体" w:hAnsi="宋体" w:cs="宋体"/>
          <w:b/>
          <w:sz w:val="24"/>
          <w:szCs w:val="24"/>
        </w:rPr>
        <w:t>附件2：</w:t>
      </w:r>
    </w:p>
    <w:p>
      <w:pPr>
        <w:pStyle w:val="127"/>
        <w:spacing w:line="400" w:lineRule="exact"/>
        <w:jc w:val="center"/>
        <w:rPr>
          <w:rFonts w:hint="eastAsia" w:ascii="宋体" w:hAnsi="宋体" w:cs="宋体"/>
          <w:b/>
          <w:sz w:val="24"/>
          <w:szCs w:val="24"/>
        </w:rPr>
      </w:pPr>
    </w:p>
    <w:p>
      <w:pPr>
        <w:pStyle w:val="127"/>
        <w:spacing w:line="400" w:lineRule="exact"/>
        <w:jc w:val="center"/>
        <w:rPr>
          <w:rFonts w:hint="eastAsia" w:ascii="宋体" w:hAnsi="宋体" w:cs="宋体"/>
          <w:b/>
          <w:sz w:val="24"/>
          <w:szCs w:val="24"/>
        </w:rPr>
      </w:pPr>
    </w:p>
    <w:p>
      <w:pPr>
        <w:pStyle w:val="127"/>
        <w:spacing w:line="400" w:lineRule="exact"/>
        <w:jc w:val="center"/>
        <w:rPr>
          <w:rFonts w:hint="eastAsia" w:ascii="宋体" w:hAnsi="宋体" w:cs="宋体"/>
          <w:b/>
          <w:sz w:val="24"/>
          <w:szCs w:val="24"/>
        </w:rPr>
      </w:pPr>
      <w:r>
        <w:rPr>
          <w:rFonts w:hint="eastAsia" w:ascii="宋体" w:hAnsi="宋体" w:cs="宋体"/>
          <w:b/>
          <w:sz w:val="24"/>
          <w:szCs w:val="24"/>
        </w:rPr>
        <w:t>具备履行合同所必需的设备和专业技术能力的承诺函</w:t>
      </w:r>
    </w:p>
    <w:p>
      <w:pPr>
        <w:pStyle w:val="127"/>
        <w:spacing w:line="400" w:lineRule="exact"/>
        <w:rPr>
          <w:rFonts w:hint="eastAsia" w:ascii="宋体" w:hAnsi="宋体" w:cs="宋体"/>
          <w:sz w:val="24"/>
          <w:szCs w:val="24"/>
          <w:u w:val="single"/>
        </w:rPr>
      </w:pPr>
    </w:p>
    <w:p>
      <w:pPr>
        <w:pStyle w:val="127"/>
        <w:spacing w:line="400" w:lineRule="exact"/>
        <w:rPr>
          <w:rFonts w:hint="eastAsia" w:ascii="宋体" w:hAnsi="宋体" w:cs="宋体"/>
          <w:sz w:val="24"/>
          <w:szCs w:val="24"/>
          <w:u w:val="single"/>
        </w:rPr>
      </w:pPr>
    </w:p>
    <w:p>
      <w:pPr>
        <w:pStyle w:val="127"/>
        <w:adjustRightInd w:val="0"/>
        <w:snapToGrid w:val="0"/>
        <w:spacing w:line="360" w:lineRule="auto"/>
        <w:rPr>
          <w:rFonts w:hint="eastAsia" w:ascii="宋体" w:hAnsi="宋体" w:cs="宋体"/>
          <w:sz w:val="24"/>
          <w:szCs w:val="24"/>
          <w:u w:val="single"/>
        </w:rPr>
      </w:pPr>
      <w:r>
        <w:rPr>
          <w:rFonts w:hint="eastAsia" w:ascii="宋体" w:hAnsi="宋体" w:cs="宋体"/>
          <w:sz w:val="24"/>
          <w:szCs w:val="24"/>
          <w:u w:val="single"/>
        </w:rPr>
        <w:t xml:space="preserve">    （采购人名称）    ：</w:t>
      </w:r>
    </w:p>
    <w:p>
      <w:pPr>
        <w:pStyle w:val="127"/>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（供应商名称）    </w:t>
      </w:r>
      <w:r>
        <w:rPr>
          <w:rFonts w:hint="eastAsia" w:ascii="宋体" w:hAnsi="宋体" w:cs="宋体"/>
          <w:sz w:val="24"/>
          <w:szCs w:val="24"/>
        </w:rPr>
        <w:t xml:space="preserve"> 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日在中华人民共和国境内</w:t>
      </w:r>
      <w:r>
        <w:rPr>
          <w:rFonts w:hint="eastAsia" w:ascii="宋体" w:hAnsi="宋体" w:cs="宋体"/>
          <w:sz w:val="24"/>
          <w:szCs w:val="24"/>
          <w:u w:val="single"/>
        </w:rPr>
        <w:t xml:space="preserve">               （详细注册地址）     </w:t>
      </w:r>
      <w:r>
        <w:rPr>
          <w:rFonts w:hint="eastAsia" w:ascii="宋体" w:hAnsi="宋体" w:cs="宋体"/>
          <w:sz w:val="24"/>
          <w:szCs w:val="24"/>
        </w:rPr>
        <w:t>合法注册并经营，公司主营业务为</w:t>
      </w:r>
      <w:r>
        <w:rPr>
          <w:rFonts w:hint="eastAsia" w:ascii="宋体" w:hAnsi="宋体" w:cs="宋体"/>
          <w:sz w:val="24"/>
          <w:szCs w:val="24"/>
          <w:u w:val="single"/>
        </w:rPr>
        <w:t xml:space="preserve">         </w:t>
      </w:r>
      <w:r>
        <w:rPr>
          <w:rFonts w:hint="eastAsia" w:ascii="宋体" w:hAnsi="宋体" w:cs="宋体"/>
          <w:sz w:val="24"/>
          <w:szCs w:val="24"/>
        </w:rPr>
        <w:t>，营业（生产经营）面积为</w:t>
      </w:r>
      <w:r>
        <w:rPr>
          <w:rFonts w:hint="eastAsia" w:ascii="宋体" w:hAnsi="宋体" w:cs="宋体"/>
          <w:sz w:val="24"/>
          <w:szCs w:val="24"/>
          <w:u w:val="single"/>
        </w:rPr>
        <w:t xml:space="preserve">       </w:t>
      </w:r>
      <w:r>
        <w:rPr>
          <w:rFonts w:hint="eastAsia" w:ascii="宋体" w:hAnsi="宋体" w:cs="宋体"/>
          <w:sz w:val="24"/>
          <w:szCs w:val="24"/>
        </w:rPr>
        <w:t xml:space="preserve"> ，现有员工数量为</w:t>
      </w:r>
      <w:r>
        <w:rPr>
          <w:rFonts w:hint="eastAsia" w:ascii="宋体" w:hAnsi="宋体" w:cs="宋体"/>
          <w:sz w:val="24"/>
          <w:szCs w:val="24"/>
          <w:u w:val="single"/>
        </w:rPr>
        <w:t xml:space="preserve">       </w:t>
      </w:r>
      <w:r>
        <w:rPr>
          <w:rFonts w:hint="eastAsia" w:ascii="宋体" w:hAnsi="宋体" w:cs="宋体"/>
          <w:sz w:val="24"/>
          <w:szCs w:val="24"/>
        </w:rPr>
        <w:t>，其中与履行本合同相关的专业技术人员有（</w:t>
      </w:r>
      <w:r>
        <w:rPr>
          <w:rFonts w:hint="eastAsia" w:ascii="宋体" w:hAnsi="宋体" w:cs="宋体"/>
          <w:sz w:val="24"/>
          <w:szCs w:val="24"/>
          <w:u w:val="single"/>
        </w:rPr>
        <w:t xml:space="preserve">             专业能力、数量        </w:t>
      </w:r>
      <w:r>
        <w:rPr>
          <w:rFonts w:hint="eastAsia" w:ascii="宋体" w:hAnsi="宋体" w:cs="宋体"/>
          <w:sz w:val="24"/>
          <w:szCs w:val="24"/>
        </w:rPr>
        <w:t>），本公司郑重承诺，具有履行本合同所必需的设备和专业技术能力。</w:t>
      </w:r>
    </w:p>
    <w:p>
      <w:pPr>
        <w:pStyle w:val="127"/>
        <w:adjustRightInd w:val="0"/>
        <w:snapToGrid w:val="0"/>
        <w:spacing w:line="360" w:lineRule="auto"/>
        <w:ind w:firstLine="480" w:firstLineChars="200"/>
        <w:rPr>
          <w:rFonts w:hint="eastAsia" w:ascii="宋体" w:hAnsi="宋体" w:cs="宋体"/>
          <w:sz w:val="24"/>
          <w:szCs w:val="24"/>
        </w:rPr>
      </w:pPr>
    </w:p>
    <w:p>
      <w:pPr>
        <w:pStyle w:val="127"/>
        <w:spacing w:line="400" w:lineRule="exact"/>
        <w:rPr>
          <w:rFonts w:hint="eastAsia" w:ascii="宋体" w:hAnsi="宋体" w:cs="宋体"/>
          <w:sz w:val="24"/>
          <w:szCs w:val="24"/>
        </w:rPr>
      </w:pPr>
    </w:p>
    <w:p>
      <w:pPr>
        <w:pStyle w:val="127"/>
        <w:spacing w:line="400" w:lineRule="exact"/>
        <w:rPr>
          <w:rFonts w:hint="eastAsia" w:ascii="宋体" w:hAnsi="宋体" w:cs="宋体"/>
          <w:sz w:val="24"/>
          <w:szCs w:val="24"/>
        </w:rPr>
      </w:pPr>
    </w:p>
    <w:p>
      <w:pPr>
        <w:pStyle w:val="127"/>
        <w:spacing w:line="360" w:lineRule="auto"/>
        <w:ind w:firstLine="3840" w:firstLineChars="1600"/>
        <w:rPr>
          <w:rFonts w:hint="eastAsia"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127"/>
        <w:spacing w:line="360" w:lineRule="auto"/>
        <w:ind w:firstLine="3840" w:firstLineChars="1600"/>
        <w:rPr>
          <w:rFonts w:hint="eastAsia" w:ascii="宋体" w:hAnsi="宋体" w:cs="宋体"/>
          <w:sz w:val="24"/>
          <w:szCs w:val="24"/>
          <w:u w:val="single"/>
        </w:rPr>
      </w:pPr>
      <w:r>
        <w:rPr>
          <w:rFonts w:hint="eastAsia" w:ascii="宋体" w:hAnsi="宋体" w:cs="宋体"/>
          <w:sz w:val="24"/>
          <w:szCs w:val="24"/>
        </w:rPr>
        <w:t>法定代表人（签字）：</w:t>
      </w:r>
      <w:r>
        <w:rPr>
          <w:rFonts w:hint="eastAsia" w:ascii="宋体" w:hAnsi="宋体" w:cs="宋体"/>
          <w:sz w:val="24"/>
          <w:szCs w:val="24"/>
          <w:u w:val="single"/>
        </w:rPr>
        <w:t xml:space="preserve">                       </w:t>
      </w:r>
    </w:p>
    <w:p>
      <w:pPr>
        <w:pStyle w:val="127"/>
        <w:spacing w:line="360" w:lineRule="auto"/>
        <w:ind w:firstLine="3840" w:firstLineChars="1600"/>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pStyle w:val="127"/>
        <w:spacing w:line="400" w:lineRule="exact"/>
        <w:rPr>
          <w:rFonts w:hint="eastAsia" w:ascii="宋体" w:hAnsi="宋体" w:cs="宋体"/>
          <w:b/>
          <w:sz w:val="24"/>
          <w:szCs w:val="24"/>
        </w:rPr>
      </w:pPr>
    </w:p>
    <w:p>
      <w:pPr>
        <w:rPr>
          <w:rFonts w:hint="eastAsia" w:hAnsi="宋体" w:cs="宋体"/>
          <w:b/>
          <w:sz w:val="24"/>
        </w:rPr>
      </w:pPr>
      <w:r>
        <w:rPr>
          <w:rFonts w:hint="eastAsia" w:hAnsi="宋体" w:cs="宋体"/>
          <w:b/>
          <w:sz w:val="24"/>
        </w:rPr>
        <w:br w:type="page"/>
      </w:r>
      <w:r>
        <w:rPr>
          <w:rFonts w:hint="eastAsia" w:hAnsi="宋体" w:cs="宋体"/>
          <w:b/>
          <w:sz w:val="24"/>
        </w:rPr>
        <w:t>附件3：</w:t>
      </w:r>
    </w:p>
    <w:p>
      <w:pPr>
        <w:rPr>
          <w:rFonts w:hint="eastAsia" w:hAnsi="宋体" w:cs="宋体"/>
          <w:b/>
          <w:sz w:val="24"/>
        </w:rPr>
      </w:pPr>
    </w:p>
    <w:p>
      <w:pPr>
        <w:rPr>
          <w:rFonts w:hint="eastAsia" w:hAnsi="宋体" w:cs="宋体"/>
          <w:b/>
          <w:sz w:val="24"/>
        </w:rPr>
      </w:pPr>
    </w:p>
    <w:p>
      <w:pPr>
        <w:pStyle w:val="24"/>
        <w:rPr>
          <w:rFonts w:hint="eastAsia" w:hAnsi="宋体" w:cs="宋体"/>
          <w:sz w:val="24"/>
          <w:szCs w:val="24"/>
        </w:rPr>
      </w:pPr>
    </w:p>
    <w:p>
      <w:pPr>
        <w:adjustRightInd w:val="0"/>
        <w:snapToGrid w:val="0"/>
        <w:spacing w:line="360" w:lineRule="auto"/>
        <w:ind w:firstLine="482" w:firstLineChars="200"/>
        <w:jc w:val="center"/>
        <w:rPr>
          <w:rFonts w:hint="eastAsia" w:hAnsi="宋体" w:cs="宋体"/>
          <w:b/>
          <w:sz w:val="24"/>
        </w:rPr>
      </w:pPr>
      <w:r>
        <w:rPr>
          <w:rFonts w:hint="eastAsia" w:hAnsi="宋体" w:cs="宋体"/>
          <w:b/>
          <w:sz w:val="24"/>
        </w:rPr>
        <w:t>参加政府采购活动前三年内无重大违法记录的承诺函</w:t>
      </w:r>
    </w:p>
    <w:p>
      <w:pPr>
        <w:pStyle w:val="24"/>
        <w:spacing w:line="360" w:lineRule="auto"/>
        <w:ind w:firstLine="480" w:firstLineChars="200"/>
        <w:rPr>
          <w:rFonts w:hint="eastAsia" w:hAnsi="宋体" w:cs="宋体"/>
          <w:sz w:val="24"/>
          <w:szCs w:val="24"/>
        </w:rPr>
      </w:pPr>
      <w:r>
        <w:rPr>
          <w:rFonts w:hint="eastAsia" w:hAnsi="宋体" w:cs="宋体"/>
          <w:sz w:val="24"/>
          <w:szCs w:val="24"/>
        </w:rPr>
        <w:t xml:space="preserve"> </w:t>
      </w:r>
    </w:p>
    <w:p>
      <w:pPr>
        <w:pStyle w:val="24"/>
        <w:spacing w:line="360" w:lineRule="auto"/>
        <w:ind w:firstLine="480" w:firstLineChars="200"/>
        <w:rPr>
          <w:rFonts w:hint="eastAsia" w:hAnsi="宋体" w:cs="宋体"/>
          <w:sz w:val="24"/>
          <w:szCs w:val="24"/>
        </w:rPr>
      </w:pPr>
    </w:p>
    <w:p>
      <w:pPr>
        <w:pStyle w:val="127"/>
        <w:adjustRightInd w:val="0"/>
        <w:snapToGrid w:val="0"/>
        <w:spacing w:line="360" w:lineRule="auto"/>
        <w:rPr>
          <w:rFonts w:hint="eastAsia" w:ascii="宋体" w:hAnsi="宋体" w:cs="宋体"/>
          <w:sz w:val="24"/>
          <w:szCs w:val="24"/>
          <w:u w:val="single"/>
        </w:rPr>
      </w:pPr>
      <w:r>
        <w:rPr>
          <w:rFonts w:hint="eastAsia" w:ascii="宋体" w:hAnsi="宋体" w:cs="宋体"/>
          <w:sz w:val="24"/>
          <w:szCs w:val="24"/>
          <w:u w:val="single"/>
        </w:rPr>
        <w:t xml:space="preserve">    （采购人名称）    ：</w:t>
      </w:r>
    </w:p>
    <w:p>
      <w:pPr>
        <w:pStyle w:val="24"/>
        <w:spacing w:line="360" w:lineRule="auto"/>
        <w:ind w:firstLine="480" w:firstLineChars="200"/>
        <w:rPr>
          <w:rFonts w:hint="eastAsia" w:hAnsi="宋体" w:cs="宋体"/>
          <w:sz w:val="24"/>
          <w:szCs w:val="24"/>
        </w:rPr>
      </w:pPr>
    </w:p>
    <w:p>
      <w:pPr>
        <w:pStyle w:val="24"/>
        <w:spacing w:line="360" w:lineRule="auto"/>
        <w:ind w:firstLine="480" w:firstLineChars="200"/>
        <w:rPr>
          <w:rFonts w:hint="eastAsia" w:hAnsi="宋体" w:eastAsia="宋体" w:cs="宋体"/>
          <w:sz w:val="24"/>
          <w:szCs w:val="24"/>
          <w:lang w:eastAsia="zh-CN"/>
        </w:rPr>
      </w:pPr>
      <w:r>
        <w:rPr>
          <w:rFonts w:hint="eastAsia" w:hAnsi="宋体" w:cs="宋体"/>
          <w:sz w:val="24"/>
          <w:szCs w:val="24"/>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pPr>
        <w:pStyle w:val="24"/>
        <w:spacing w:line="360" w:lineRule="auto"/>
        <w:ind w:firstLine="480" w:firstLineChars="200"/>
        <w:rPr>
          <w:rFonts w:hint="eastAsia" w:hAnsi="宋体" w:cs="宋体"/>
          <w:sz w:val="24"/>
          <w:szCs w:val="24"/>
        </w:rPr>
      </w:pPr>
      <w:r>
        <w:rPr>
          <w:rFonts w:hint="eastAsia" w:hAnsi="宋体" w:cs="宋体"/>
          <w:sz w:val="24"/>
          <w:szCs w:val="24"/>
        </w:rPr>
        <w:t xml:space="preserve">     特此声明。</w:t>
      </w:r>
    </w:p>
    <w:p>
      <w:pPr>
        <w:pStyle w:val="127"/>
        <w:adjustRightInd w:val="0"/>
        <w:snapToGrid w:val="0"/>
        <w:spacing w:line="360" w:lineRule="auto"/>
        <w:ind w:firstLine="480" w:firstLineChars="200"/>
        <w:rPr>
          <w:rFonts w:hint="eastAsia" w:ascii="宋体" w:hAnsi="宋体" w:cs="宋体"/>
          <w:sz w:val="24"/>
          <w:szCs w:val="24"/>
        </w:rPr>
      </w:pPr>
    </w:p>
    <w:p>
      <w:pPr>
        <w:pStyle w:val="127"/>
        <w:spacing w:line="400" w:lineRule="exact"/>
        <w:rPr>
          <w:rFonts w:hint="eastAsia" w:ascii="宋体" w:hAnsi="宋体" w:cs="宋体"/>
          <w:sz w:val="24"/>
          <w:szCs w:val="24"/>
        </w:rPr>
      </w:pPr>
    </w:p>
    <w:p>
      <w:pPr>
        <w:pStyle w:val="127"/>
        <w:spacing w:line="400" w:lineRule="exact"/>
        <w:rPr>
          <w:rFonts w:hint="eastAsia" w:ascii="宋体" w:hAnsi="宋体" w:cs="宋体"/>
          <w:sz w:val="24"/>
          <w:szCs w:val="24"/>
        </w:rPr>
      </w:pPr>
    </w:p>
    <w:p>
      <w:pPr>
        <w:pStyle w:val="127"/>
        <w:spacing w:line="360" w:lineRule="auto"/>
        <w:ind w:firstLine="3840" w:firstLineChars="1600"/>
        <w:rPr>
          <w:rFonts w:hint="eastAsia"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127"/>
        <w:spacing w:line="360" w:lineRule="auto"/>
        <w:ind w:firstLine="3840" w:firstLineChars="1600"/>
        <w:rPr>
          <w:rFonts w:hint="eastAsia" w:ascii="宋体" w:hAnsi="宋体" w:cs="宋体"/>
          <w:sz w:val="24"/>
          <w:szCs w:val="24"/>
          <w:u w:val="single"/>
        </w:rPr>
      </w:pPr>
      <w:r>
        <w:rPr>
          <w:rFonts w:hint="eastAsia" w:ascii="宋体" w:hAnsi="宋体" w:cs="宋体"/>
          <w:sz w:val="24"/>
          <w:szCs w:val="24"/>
        </w:rPr>
        <w:t>法定代表人（签字）：</w:t>
      </w:r>
      <w:r>
        <w:rPr>
          <w:rFonts w:hint="eastAsia" w:ascii="宋体" w:hAnsi="宋体" w:cs="宋体"/>
          <w:sz w:val="24"/>
          <w:szCs w:val="24"/>
          <w:u w:val="single"/>
        </w:rPr>
        <w:t xml:space="preserve">                   </w:t>
      </w:r>
    </w:p>
    <w:p>
      <w:pPr>
        <w:pStyle w:val="127"/>
        <w:spacing w:line="360" w:lineRule="auto"/>
        <w:ind w:firstLine="3840" w:firstLineChars="1600"/>
        <w:rPr>
          <w:rFonts w:hint="eastAsia" w:ascii="宋体" w:hAnsi="宋体" w:cs="宋体"/>
          <w:sz w:val="24"/>
          <w:szCs w:val="24"/>
        </w:rPr>
      </w:pPr>
      <w:r>
        <w:rPr>
          <w:rFonts w:hint="eastAsia" w:ascii="宋体" w:hAnsi="宋体" w:cs="宋体"/>
          <w:sz w:val="24"/>
          <w:szCs w:val="24"/>
        </w:rPr>
        <w:t xml:space="preserve">日    期： </w:t>
      </w:r>
      <w:r>
        <w:rPr>
          <w:rFonts w:hint="eastAsia" w:ascii="宋体" w:hAnsi="宋体" w:cs="宋体"/>
          <w:sz w:val="24"/>
          <w:szCs w:val="24"/>
          <w:u w:val="single"/>
        </w:rPr>
        <w:t xml:space="preserve">                            </w:t>
      </w:r>
    </w:p>
    <w:p>
      <w:pPr>
        <w:rPr>
          <w:rFonts w:hAnsi="宋体" w:cs="宋体"/>
          <w:sz w:val="24"/>
        </w:rPr>
      </w:pPr>
    </w:p>
    <w:p>
      <w:pPr>
        <w:ind w:firstLine="420"/>
        <w:jc w:val="center"/>
        <w:rPr>
          <w:rFonts w:hAnsi="宋体" w:cs="宋体"/>
          <w:b/>
          <w:sz w:val="36"/>
          <w:szCs w:val="30"/>
        </w:rPr>
      </w:pPr>
    </w:p>
    <w:p>
      <w:pPr>
        <w:pStyle w:val="127"/>
        <w:spacing w:line="360" w:lineRule="auto"/>
        <w:ind w:firstLine="3840" w:firstLineChars="1600"/>
        <w:rPr>
          <w:rFonts w:hint="eastAsia" w:hAnsi="宋体" w:cs="宋体"/>
          <w:sz w:val="24"/>
        </w:rPr>
      </w:pPr>
      <w:r>
        <w:rPr>
          <w:rFonts w:hint="eastAsia" w:hAnsi="宋体" w:cs="宋体"/>
          <w:sz w:val="24"/>
        </w:rPr>
        <w:br w:type="page"/>
      </w:r>
    </w:p>
    <w:p>
      <w:pPr>
        <w:widowControl/>
        <w:jc w:val="center"/>
        <w:rPr>
          <w:rFonts w:hint="eastAsia" w:hAnsi="宋体" w:cs="宋体"/>
          <w:b/>
          <w:bCs/>
          <w:sz w:val="28"/>
          <w:szCs w:val="28"/>
        </w:rPr>
      </w:pPr>
      <w:r>
        <w:rPr>
          <w:rFonts w:hint="eastAsia" w:hAnsi="宋体" w:cs="宋体"/>
          <w:b/>
          <w:bCs/>
          <w:sz w:val="28"/>
          <w:szCs w:val="28"/>
        </w:rPr>
        <w:t>（附件根据实际情况填写，声明函将随结果公告一同公布，接受社会监督。）</w:t>
      </w:r>
    </w:p>
    <w:p>
      <w:pPr>
        <w:jc w:val="center"/>
        <w:rPr>
          <w:rFonts w:hint="eastAsia" w:hAnsi="宋体" w:cs="宋体"/>
        </w:rPr>
      </w:pPr>
    </w:p>
    <w:p>
      <w:pPr>
        <w:rPr>
          <w:rFonts w:hint="eastAsia" w:hAnsi="宋体" w:cs="宋体"/>
          <w:b/>
          <w:sz w:val="28"/>
          <w:szCs w:val="28"/>
        </w:rPr>
      </w:pPr>
      <w:r>
        <w:rPr>
          <w:rFonts w:hint="eastAsia" w:hAnsi="宋体" w:cs="宋体"/>
          <w:b/>
          <w:sz w:val="28"/>
          <w:szCs w:val="28"/>
        </w:rPr>
        <w:t>附件</w:t>
      </w:r>
      <w:r>
        <w:rPr>
          <w:rFonts w:hint="eastAsia" w:hAnsi="宋体" w:cs="宋体"/>
          <w:b/>
          <w:sz w:val="28"/>
          <w:szCs w:val="28"/>
          <w:lang w:val="en-US" w:eastAsia="zh-CN"/>
        </w:rPr>
        <w:t>4</w:t>
      </w:r>
      <w:r>
        <w:rPr>
          <w:rFonts w:hint="eastAsia" w:hAnsi="宋体" w:cs="宋体"/>
          <w:b/>
          <w:sz w:val="28"/>
          <w:szCs w:val="28"/>
        </w:rPr>
        <w:t>：</w:t>
      </w:r>
    </w:p>
    <w:p>
      <w:pPr>
        <w:widowControl/>
        <w:jc w:val="center"/>
        <w:rPr>
          <w:rFonts w:hint="eastAsia" w:ascii="宋体" w:hAnsi="宋体" w:eastAsia="宋体" w:cs="宋体"/>
          <w:b/>
          <w:bCs/>
          <w:sz w:val="28"/>
          <w:szCs w:val="28"/>
        </w:rPr>
      </w:pPr>
      <w:r>
        <w:rPr>
          <w:rFonts w:hint="eastAsia" w:ascii="宋体" w:hAnsi="宋体" w:eastAsia="宋体" w:cs="宋体"/>
          <w:b/>
          <w:bCs/>
          <w:sz w:val="28"/>
          <w:szCs w:val="28"/>
        </w:rPr>
        <w:t>中小企业声明函（</w:t>
      </w:r>
      <w:r>
        <w:rPr>
          <w:rFonts w:hint="eastAsia" w:ascii="宋体" w:hAnsi="宋体" w:eastAsia="宋体" w:cs="宋体"/>
          <w:b/>
          <w:bCs/>
          <w:sz w:val="28"/>
          <w:szCs w:val="28"/>
          <w:lang w:val="en-US" w:eastAsia="zh-CN"/>
        </w:rPr>
        <w:t>货物</w:t>
      </w:r>
      <w:r>
        <w:rPr>
          <w:rFonts w:hint="eastAsia" w:ascii="宋体" w:hAnsi="宋体" w:eastAsia="宋体" w:cs="宋体"/>
          <w:b/>
          <w:bCs/>
          <w:sz w:val="28"/>
          <w:szCs w:val="28"/>
        </w:rPr>
        <w:t>）</w:t>
      </w:r>
    </w:p>
    <w:p>
      <w:pPr>
        <w:pStyle w:val="2"/>
        <w:rPr>
          <w:rFonts w:hint="eastAsia"/>
        </w:rPr>
      </w:pPr>
    </w:p>
    <w:p>
      <w:pPr>
        <w:snapToGrid w:val="0"/>
        <w:spacing w:line="312" w:lineRule="auto"/>
        <w:ind w:firstLine="480" w:firstLineChars="200"/>
        <w:jc w:val="left"/>
        <w:rPr>
          <w:rFonts w:hint="eastAsia" w:ascii="宋体" w:hAnsi="宋体" w:cs="宋体"/>
          <w:w w:val="95"/>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采购活动，提供的货物全部由符合政策要求的中小企业制造。相关企业（含联合体中的中小企业、签订分包意向协议的中小企业）的具体情况如下：</w:t>
      </w:r>
    </w:p>
    <w:p>
      <w:pPr>
        <w:tabs>
          <w:tab w:val="left" w:pos="1183"/>
          <w:tab w:val="left" w:pos="1484"/>
          <w:tab w:val="left" w:pos="4662"/>
          <w:tab w:val="left" w:pos="6903"/>
        </w:tabs>
        <w:snapToGrid w:val="0"/>
        <w:spacing w:line="312" w:lineRule="auto"/>
        <w:ind w:right="169" w:firstLine="480" w:firstLineChars="200"/>
        <w:jc w:val="left"/>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w w:val="96"/>
          <w:sz w:val="24"/>
          <w:highlight w:val="none"/>
          <w:u w:val="singl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 ，属于（</w:t>
      </w:r>
      <w:r>
        <w:rPr>
          <w:rFonts w:hint="eastAsia" w:ascii="宋体" w:hAnsi="宋体" w:cs="宋体"/>
          <w:sz w:val="24"/>
          <w:highlight w:val="none"/>
          <w:u w:val="single"/>
        </w:rPr>
        <w:t>采购文件中明确的所属行业）行业</w:t>
      </w:r>
      <w:r>
        <w:rPr>
          <w:rFonts w:hint="eastAsia" w:ascii="宋体" w:hAnsi="宋体" w:cs="宋体"/>
          <w:w w:val="99"/>
          <w:sz w:val="24"/>
          <w:highlight w:val="none"/>
        </w:rPr>
        <w:t>；</w:t>
      </w:r>
      <w:r>
        <w:rPr>
          <w:rFonts w:hint="eastAsia" w:ascii="宋体" w:hAnsi="宋体" w:cs="宋体"/>
          <w:sz w:val="24"/>
          <w:highlight w:val="none"/>
        </w:rPr>
        <w:t>制造商为</w:t>
      </w:r>
      <w:r>
        <w:rPr>
          <w:rFonts w:hint="eastAsia" w:ascii="宋体" w:hAnsi="宋体" w:cs="宋体"/>
          <w:w w:val="96"/>
          <w:sz w:val="24"/>
          <w:highlight w:val="none"/>
          <w:u w:val="single"/>
        </w:rPr>
        <w:t>（</w:t>
      </w:r>
      <w:r>
        <w:rPr>
          <w:rFonts w:hint="eastAsia" w:ascii="宋体" w:hAnsi="宋体" w:cs="宋体"/>
          <w:sz w:val="24"/>
          <w:highlight w:val="none"/>
          <w:u w:val="single"/>
        </w:rPr>
        <w:t>企业名称）</w:t>
      </w:r>
      <w:r>
        <w:rPr>
          <w:rFonts w:hint="eastAsia" w:ascii="宋体" w:hAnsi="宋体" w:cs="宋体"/>
          <w:w w:val="99"/>
          <w:sz w:val="24"/>
          <w:highlight w:val="none"/>
        </w:rPr>
        <w:t>，</w:t>
      </w:r>
      <w:r>
        <w:rPr>
          <w:rFonts w:hint="eastAsia" w:ascii="宋体" w:hAnsi="宋体" w:cs="宋体"/>
          <w:sz w:val="24"/>
          <w:highlight w:val="none"/>
        </w:rPr>
        <w:t xml:space="preserve">从业人员 </w:t>
      </w:r>
      <w:r>
        <w:rPr>
          <w:rFonts w:hint="eastAsia" w:ascii="宋体" w:hAnsi="宋体" w:cs="宋体"/>
          <w:w w:val="99"/>
          <w:sz w:val="24"/>
          <w:highlight w:val="none"/>
          <w:u w:val="single"/>
        </w:rPr>
        <w:t xml:space="preserve">    </w:t>
      </w:r>
      <w:r>
        <w:rPr>
          <w:rFonts w:hint="eastAsia" w:ascii="宋体" w:hAnsi="宋体" w:cs="宋体"/>
          <w:sz w:val="24"/>
          <w:highlight w:val="none"/>
        </w:rPr>
        <w:t>人</w:t>
      </w:r>
      <w:r>
        <w:rPr>
          <w:rFonts w:hint="eastAsia" w:ascii="宋体" w:hAnsi="宋体" w:cs="宋体"/>
          <w:w w:val="99"/>
          <w:sz w:val="24"/>
          <w:highlight w:val="none"/>
        </w:rPr>
        <w:t>，</w:t>
      </w:r>
      <w:r>
        <w:rPr>
          <w:rFonts w:hint="eastAsia" w:ascii="宋体" w:hAnsi="宋体" w:cs="宋体"/>
          <w:sz w:val="24"/>
          <w:highlight w:val="none"/>
        </w:rPr>
        <w:t>营业收入为</w:t>
      </w:r>
      <w:r>
        <w:rPr>
          <w:rFonts w:hint="eastAsia" w:ascii="宋体" w:hAnsi="宋体" w:cs="宋体"/>
          <w:sz w:val="24"/>
          <w:highlight w:val="none"/>
          <w:u w:val="single"/>
        </w:rPr>
        <w:t xml:space="preserve">      </w:t>
      </w:r>
      <w:r>
        <w:rPr>
          <w:rFonts w:hint="eastAsia" w:ascii="宋体" w:hAnsi="宋体" w:cs="宋体"/>
          <w:sz w:val="24"/>
          <w:highlight w:val="none"/>
        </w:rPr>
        <w:t xml:space="preserve">万元，资产总额为 </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w w:val="95"/>
          <w:sz w:val="24"/>
          <w:highlight w:val="none"/>
          <w:u w:val="single"/>
        </w:rPr>
        <w:t>（</w:t>
      </w:r>
      <w:r>
        <w:rPr>
          <w:rFonts w:hint="eastAsia" w:ascii="宋体" w:hAnsi="宋体" w:cs="宋体"/>
          <w:sz w:val="24"/>
          <w:highlight w:val="none"/>
          <w:u w:val="single"/>
        </w:rPr>
        <w:t>中型企业、小型企业、微型企业）</w:t>
      </w:r>
      <w:r>
        <w:rPr>
          <w:rFonts w:hint="eastAsia" w:ascii="宋体" w:hAnsi="宋体" w:cs="宋体"/>
          <w:w w:val="99"/>
          <w:sz w:val="24"/>
          <w:highlight w:val="none"/>
        </w:rPr>
        <w:t>；</w:t>
      </w:r>
    </w:p>
    <w:p>
      <w:pPr>
        <w:tabs>
          <w:tab w:val="left" w:pos="1165"/>
          <w:tab w:val="left" w:pos="1183"/>
          <w:tab w:val="left" w:pos="4362"/>
          <w:tab w:val="left" w:pos="6577"/>
        </w:tabs>
        <w:snapToGrid w:val="0"/>
        <w:spacing w:line="312" w:lineRule="auto"/>
        <w:ind w:firstLine="499" w:firstLineChars="208"/>
        <w:jc w:val="left"/>
        <w:rPr>
          <w:rFonts w:hint="eastAsia" w:ascii="宋体" w:hAnsi="宋体" w:cs="宋体"/>
          <w:sz w:val="24"/>
          <w:highlight w:val="none"/>
          <w:u w:val="single"/>
        </w:rPr>
      </w:pPr>
      <w:r>
        <w:rPr>
          <w:rFonts w:hint="eastAsia" w:ascii="宋体" w:hAnsi="宋体" w:cs="宋体"/>
          <w:sz w:val="24"/>
          <w:highlight w:val="none"/>
        </w:rPr>
        <w:t>2.</w:t>
      </w:r>
      <w:r>
        <w:rPr>
          <w:rFonts w:hint="eastAsia" w:ascii="宋体" w:hAnsi="宋体" w:cs="宋体"/>
          <w:w w:val="96"/>
          <w:sz w:val="24"/>
          <w:highlight w:val="none"/>
          <w:u w:val="singl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 ，属于（</w:t>
      </w:r>
      <w:r>
        <w:rPr>
          <w:rFonts w:hint="eastAsia" w:ascii="宋体" w:hAnsi="宋体" w:cs="宋体"/>
          <w:sz w:val="24"/>
          <w:highlight w:val="none"/>
          <w:u w:val="single"/>
        </w:rPr>
        <w:t>采购文件中明确的所属行业）行业</w:t>
      </w:r>
      <w:r>
        <w:rPr>
          <w:rFonts w:hint="eastAsia" w:ascii="宋体" w:hAnsi="宋体" w:cs="宋体"/>
          <w:w w:val="99"/>
          <w:sz w:val="24"/>
          <w:highlight w:val="none"/>
        </w:rPr>
        <w:t>；</w:t>
      </w:r>
      <w:r>
        <w:rPr>
          <w:rFonts w:hint="eastAsia" w:ascii="宋体" w:hAnsi="宋体" w:cs="宋体"/>
          <w:sz w:val="24"/>
          <w:highlight w:val="none"/>
        </w:rPr>
        <w:t>制造商为</w:t>
      </w:r>
      <w:r>
        <w:rPr>
          <w:rFonts w:hint="eastAsia" w:ascii="宋体" w:hAnsi="宋体" w:cs="宋体"/>
          <w:w w:val="96"/>
          <w:sz w:val="24"/>
          <w:highlight w:val="none"/>
          <w:u w:val="single"/>
        </w:rPr>
        <w:t>（</w:t>
      </w:r>
      <w:r>
        <w:rPr>
          <w:rFonts w:hint="eastAsia" w:ascii="宋体" w:hAnsi="宋体" w:cs="宋体"/>
          <w:sz w:val="24"/>
          <w:highlight w:val="none"/>
          <w:u w:val="single"/>
        </w:rPr>
        <w:t>企业名称）</w:t>
      </w:r>
      <w:r>
        <w:rPr>
          <w:rFonts w:hint="eastAsia" w:ascii="宋体" w:hAnsi="宋体" w:cs="宋体"/>
          <w:w w:val="99"/>
          <w:sz w:val="24"/>
          <w:highlight w:val="none"/>
        </w:rPr>
        <w:t>，</w:t>
      </w:r>
      <w:r>
        <w:rPr>
          <w:rFonts w:hint="eastAsia" w:ascii="宋体" w:hAnsi="宋体" w:cs="宋体"/>
          <w:sz w:val="24"/>
          <w:highlight w:val="none"/>
        </w:rPr>
        <w:t>从业人员</w:t>
      </w:r>
      <w:r>
        <w:rPr>
          <w:rFonts w:hint="eastAsia" w:ascii="宋体" w:hAnsi="宋体" w:cs="宋体"/>
          <w:w w:val="99"/>
          <w:sz w:val="24"/>
          <w:highlight w:val="none"/>
          <w:u w:val="single"/>
        </w:rPr>
        <w:t xml:space="preserve">    </w:t>
      </w:r>
      <w:r>
        <w:rPr>
          <w:rFonts w:hint="eastAsia" w:ascii="宋体" w:hAnsi="宋体" w:cs="宋体"/>
          <w:w w:val="99"/>
          <w:sz w:val="24"/>
          <w:highlight w:val="none"/>
        </w:rPr>
        <w:t>人，</w:t>
      </w:r>
      <w:r>
        <w:rPr>
          <w:rFonts w:hint="eastAsia" w:ascii="宋体" w:hAnsi="宋体" w:cs="宋体"/>
          <w:sz w:val="24"/>
          <w:highlight w:val="none"/>
        </w:rPr>
        <w:t>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w w:val="95"/>
          <w:sz w:val="24"/>
          <w:highlight w:val="none"/>
        </w:rPr>
        <w:t>，</w:t>
      </w:r>
      <w:r>
        <w:rPr>
          <w:rFonts w:hint="eastAsia" w:ascii="宋体" w:hAnsi="宋体" w:cs="宋体"/>
          <w:sz w:val="24"/>
          <w:highlight w:val="none"/>
        </w:rPr>
        <w:t>属于</w:t>
      </w:r>
      <w:r>
        <w:rPr>
          <w:rFonts w:hint="eastAsia" w:ascii="宋体" w:hAnsi="宋体" w:cs="宋体"/>
          <w:sz w:val="24"/>
          <w:highlight w:val="none"/>
          <w:u w:val="single"/>
        </w:rPr>
        <w:t>（中型企业、小型企业、微型企业）；</w:t>
      </w:r>
    </w:p>
    <w:p>
      <w:pPr>
        <w:snapToGrid w:val="0"/>
        <w:spacing w:line="312" w:lineRule="auto"/>
        <w:ind w:left="860" w:firstLine="480" w:firstLineChars="200"/>
        <w:jc w:val="left"/>
        <w:rPr>
          <w:rFonts w:hint="eastAsia"/>
        </w:rPr>
      </w:pPr>
      <w:r>
        <w:rPr>
          <w:rFonts w:hint="eastAsia" w:ascii="宋体" w:hAnsi="宋体" w:cs="宋体"/>
          <w:sz w:val="24"/>
          <w:highlight w:val="none"/>
        </w:rPr>
        <w:t>……</w:t>
      </w:r>
    </w:p>
    <w:p>
      <w:pPr>
        <w:adjustRightInd w:val="0"/>
        <w:snapToGrid w:val="0"/>
        <w:spacing w:line="360" w:lineRule="auto"/>
        <w:ind w:firstLine="722" w:firstLineChars="301"/>
        <w:jc w:val="left"/>
        <w:rPr>
          <w:rFonts w:hAnsi="宋体"/>
          <w:sz w:val="24"/>
        </w:rPr>
      </w:pPr>
      <w:r>
        <w:rPr>
          <w:rFonts w:hAnsi="宋体"/>
          <w:sz w:val="24"/>
        </w:rPr>
        <w:t>以上企业，不属于大企业的分支机构，不存在控股股东为大企业的情形，也不存在与大企业的负责人为同一人的情形。</w:t>
      </w:r>
    </w:p>
    <w:p>
      <w:pPr>
        <w:adjustRightInd w:val="0"/>
        <w:snapToGrid w:val="0"/>
        <w:spacing w:line="360" w:lineRule="auto"/>
        <w:ind w:firstLine="484" w:firstLineChars="202"/>
        <w:jc w:val="left"/>
        <w:rPr>
          <w:rFonts w:hAnsi="宋体"/>
          <w:sz w:val="24"/>
        </w:rPr>
      </w:pPr>
      <w:r>
        <w:rPr>
          <w:rFonts w:hAnsi="宋体"/>
          <w:sz w:val="24"/>
        </w:rPr>
        <w:t>本企业对上述声明内容的真实性负责。如有虚假，将依法承担相应责任。</w:t>
      </w:r>
    </w:p>
    <w:p>
      <w:pPr>
        <w:adjustRightInd w:val="0"/>
        <w:snapToGrid w:val="0"/>
        <w:spacing w:line="360" w:lineRule="auto"/>
        <w:ind w:firstLine="484" w:firstLineChars="202"/>
        <w:jc w:val="left"/>
        <w:rPr>
          <w:rFonts w:hint="eastAsia" w:hAnsi="宋体"/>
          <w:sz w:val="24"/>
        </w:rPr>
      </w:pPr>
    </w:p>
    <w:p>
      <w:pPr>
        <w:adjustRightInd w:val="0"/>
        <w:snapToGrid w:val="0"/>
        <w:spacing w:line="360" w:lineRule="auto"/>
        <w:ind w:firstLine="5522" w:firstLineChars="2301"/>
        <w:jc w:val="left"/>
        <w:rPr>
          <w:rFonts w:hAnsi="宋体"/>
          <w:sz w:val="24"/>
        </w:rPr>
      </w:pPr>
      <w:r>
        <w:rPr>
          <w:rFonts w:hAnsi="宋体"/>
          <w:sz w:val="24"/>
        </w:rPr>
        <w:t>企业名称（盖章）：</w:t>
      </w:r>
    </w:p>
    <w:p>
      <w:pPr>
        <w:adjustRightInd w:val="0"/>
        <w:snapToGrid w:val="0"/>
        <w:spacing w:line="360" w:lineRule="auto"/>
        <w:ind w:firstLine="5520" w:firstLineChars="2300"/>
        <w:jc w:val="left"/>
        <w:rPr>
          <w:rFonts w:hint="eastAsia" w:hAnsi="宋体" w:eastAsia="宋体"/>
          <w:sz w:val="24"/>
          <w:lang w:eastAsia="zh-CN"/>
        </w:rPr>
      </w:pPr>
      <w:r>
        <w:rPr>
          <w:rFonts w:hAnsi="宋体"/>
          <w:sz w:val="24"/>
        </w:rPr>
        <w:t>日期：</w:t>
      </w:r>
    </w:p>
    <w:p>
      <w:pPr>
        <w:pStyle w:val="2"/>
        <w:rPr>
          <w:rFonts w:hint="eastAsia"/>
          <w:lang w:eastAsia="zh-CN"/>
        </w:rPr>
      </w:pPr>
    </w:p>
    <w:p>
      <w:pPr>
        <w:snapToGrid w:val="0"/>
        <w:spacing w:line="312" w:lineRule="auto"/>
        <w:rPr>
          <w:rFonts w:hint="eastAsia" w:ascii="宋体" w:hAnsi="宋体" w:eastAsia="宋体" w:cs="宋体"/>
          <w:sz w:val="24"/>
          <w:highlight w:val="none"/>
          <w:lang w:eastAsia="zh-CN"/>
        </w:rPr>
      </w:pPr>
      <w:r>
        <w:rPr>
          <w:rFonts w:hint="eastAsia" w:ascii="宋体" w:hAnsi="宋体" w:cs="宋体"/>
          <w:sz w:val="24"/>
          <w:highlight w:val="none"/>
        </w:rPr>
        <w:t>备注：</w:t>
      </w:r>
    </w:p>
    <w:p>
      <w:pPr>
        <w:numPr>
          <w:ilvl w:val="0"/>
          <w:numId w:val="15"/>
        </w:numPr>
        <w:snapToGrid w:val="0"/>
        <w:spacing w:line="312" w:lineRule="auto"/>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提供的货物全部由符合政策要求的中小企业制造的，应填写本表，否则不得享受相关中小企业扶持政策。</w:t>
      </w:r>
    </w:p>
    <w:p>
      <w:pPr>
        <w:numPr>
          <w:ilvl w:val="0"/>
          <w:numId w:val="15"/>
        </w:numPr>
        <w:snapToGrid w:val="0"/>
        <w:spacing w:line="312" w:lineRule="auto"/>
        <w:rPr>
          <w:rFonts w:hint="eastAsia" w:ascii="宋体" w:hAnsi="宋体" w:cs="宋体"/>
          <w:sz w:val="24"/>
          <w:highlight w:val="none"/>
        </w:rPr>
      </w:pPr>
      <w:r>
        <w:rPr>
          <w:rFonts w:hint="eastAsia" w:ascii="宋体" w:hAnsi="宋体" w:cs="宋体"/>
          <w:sz w:val="24"/>
          <w:highlight w:val="none"/>
        </w:rPr>
        <w:t>从业人员、营业收入、资产总额填报上一年度数据，无上一年度数据的新成立企业可不填报。</w:t>
      </w:r>
    </w:p>
    <w:p>
      <w:pPr>
        <w:snapToGrid w:val="0"/>
        <w:spacing w:line="312" w:lineRule="auto"/>
        <w:rPr>
          <w:rFonts w:hint="eastAsia" w:ascii="宋体" w:hAnsi="宋体" w:eastAsia="宋体" w:cs="宋体"/>
          <w:sz w:val="24"/>
          <w:highlight w:val="none"/>
        </w:rPr>
      </w:pPr>
      <w:r>
        <w:rPr>
          <w:rFonts w:hint="eastAsia" w:ascii="宋体" w:hAnsi="宋体" w:cs="宋体"/>
          <w:sz w:val="24"/>
          <w:highlight w:val="none"/>
        </w:rPr>
        <w:t>（3）根据《工业和信息化部、国家统计局、国家发展和改革委员会、财政部关于印发中小企业划型标准规</w:t>
      </w:r>
      <w:r>
        <w:rPr>
          <w:rFonts w:hint="eastAsia" w:ascii="宋体" w:hAnsi="宋体" w:eastAsia="宋体" w:cs="宋体"/>
          <w:sz w:val="24"/>
          <w:highlight w:val="none"/>
        </w:rPr>
        <w:t>定的通知》（工信部联企业〔2011〕300号），本项目采购标的对应的中小企业所属行业为</w:t>
      </w:r>
      <w:r>
        <w:rPr>
          <w:rFonts w:hint="eastAsia" w:ascii="宋体" w:hAnsi="宋体" w:cs="宋体"/>
          <w:b/>
          <w:bCs/>
          <w:sz w:val="24"/>
          <w:highlight w:val="none"/>
          <w:lang w:val="en-US" w:eastAsia="zh-CN"/>
        </w:rPr>
        <w:t>工业（制造业）。</w:t>
      </w:r>
    </w:p>
    <w:p>
      <w:pPr>
        <w:pStyle w:val="2"/>
        <w:jc w:val="left"/>
        <w:rPr>
          <w:rFonts w:hint="eastAsia" w:ascii="宋体" w:hAnsi="宋体" w:cs="宋体"/>
          <w:sz w:val="24"/>
        </w:rPr>
      </w:pPr>
    </w:p>
    <w:p>
      <w:pPr>
        <w:adjustRightInd w:val="0"/>
        <w:snapToGrid w:val="0"/>
        <w:spacing w:line="360" w:lineRule="auto"/>
        <w:jc w:val="center"/>
        <w:rPr>
          <w:rFonts w:hint="eastAsia" w:hAnsi="宋体" w:cs="宋体"/>
          <w:sz w:val="24"/>
        </w:rPr>
      </w:pPr>
      <w:r>
        <w:rPr>
          <w:rFonts w:hint="eastAsia" w:hAnsi="宋体" w:cs="宋体"/>
          <w:sz w:val="24"/>
        </w:rPr>
        <w:br w:type="page"/>
      </w:r>
      <w:r>
        <w:rPr>
          <w:rFonts w:hint="eastAsia" w:ascii="宋体" w:hAnsi="宋体" w:eastAsia="宋体" w:cs="宋体"/>
          <w:b/>
          <w:bCs/>
          <w:sz w:val="28"/>
          <w:szCs w:val="28"/>
        </w:rPr>
        <w:t>（以下附件根据实际情况提供，没有则不提供。声明函将随结果公告一同公布，接受社会监督。）</w:t>
      </w:r>
    </w:p>
    <w:p>
      <w:pPr>
        <w:adjustRightInd w:val="0"/>
        <w:snapToGrid w:val="0"/>
        <w:spacing w:line="360" w:lineRule="auto"/>
        <w:rPr>
          <w:rFonts w:hint="eastAsia" w:hAnsi="宋体" w:cs="宋体"/>
          <w:b/>
          <w:sz w:val="28"/>
          <w:szCs w:val="28"/>
        </w:rPr>
      </w:pPr>
      <w:r>
        <w:rPr>
          <w:rFonts w:hint="eastAsia" w:hAnsi="宋体" w:cs="宋体"/>
          <w:b/>
          <w:sz w:val="28"/>
          <w:szCs w:val="28"/>
        </w:rPr>
        <w:t>附件</w:t>
      </w:r>
      <w:r>
        <w:rPr>
          <w:rFonts w:hint="eastAsia" w:hAnsi="宋体" w:cs="宋体"/>
          <w:b/>
          <w:sz w:val="28"/>
          <w:szCs w:val="28"/>
          <w:lang w:val="en-US" w:eastAsia="zh-CN"/>
        </w:rPr>
        <w:t>5</w:t>
      </w:r>
      <w:r>
        <w:rPr>
          <w:rFonts w:hint="eastAsia" w:hAnsi="宋体" w:cs="宋体"/>
          <w:b/>
          <w:sz w:val="28"/>
          <w:szCs w:val="28"/>
        </w:rPr>
        <w:t>：</w:t>
      </w:r>
    </w:p>
    <w:p>
      <w:pPr>
        <w:spacing w:line="588" w:lineRule="exact"/>
        <w:jc w:val="center"/>
        <w:rPr>
          <w:rFonts w:hint="eastAsia" w:hAnsi="宋体" w:cs="宋体"/>
          <w:b/>
          <w:spacing w:val="6"/>
          <w:sz w:val="36"/>
          <w:szCs w:val="36"/>
        </w:rPr>
      </w:pPr>
    </w:p>
    <w:p>
      <w:pPr>
        <w:spacing w:line="588" w:lineRule="exact"/>
        <w:jc w:val="center"/>
        <w:rPr>
          <w:rFonts w:hint="eastAsia" w:hAnsi="宋体" w:cs="宋体"/>
          <w:b/>
          <w:spacing w:val="6"/>
          <w:sz w:val="36"/>
          <w:szCs w:val="36"/>
        </w:rPr>
      </w:pPr>
      <w:r>
        <w:rPr>
          <w:rFonts w:hint="eastAsia" w:hAnsi="宋体" w:cs="宋体"/>
          <w:b/>
          <w:spacing w:val="6"/>
          <w:sz w:val="36"/>
          <w:szCs w:val="36"/>
        </w:rPr>
        <w:t>残疾人福利性单位声明函</w:t>
      </w:r>
    </w:p>
    <w:p>
      <w:pPr>
        <w:spacing w:line="588" w:lineRule="exact"/>
        <w:rPr>
          <w:rFonts w:hint="eastAsia" w:hAnsi="宋体" w:cs="宋体"/>
          <w:b/>
          <w:spacing w:val="6"/>
          <w:sz w:val="30"/>
          <w:szCs w:val="30"/>
        </w:rPr>
      </w:pPr>
    </w:p>
    <w:p>
      <w:pPr>
        <w:spacing w:line="360" w:lineRule="auto"/>
        <w:ind w:firstLine="504" w:firstLineChars="200"/>
        <w:rPr>
          <w:rFonts w:hint="eastAsia" w:hAnsi="宋体" w:cs="宋体"/>
          <w:spacing w:val="6"/>
          <w:sz w:val="24"/>
        </w:rPr>
      </w:pPr>
      <w:r>
        <w:rPr>
          <w:rFonts w:hint="eastAsia" w:hAnsi="宋体" w:cs="宋体"/>
          <w:spacing w:val="6"/>
          <w:sz w:val="24"/>
        </w:rPr>
        <w:t>本单位郑重声明，根据《财政部 民政部 中国残疾人联合会关于促进残疾人就业政府采购政策的通知》（财库</w:t>
      </w:r>
      <w:r>
        <w:rPr>
          <w:rFonts w:hint="eastAsia" w:hAnsi="宋体" w:cs="宋体"/>
          <w:sz w:val="24"/>
        </w:rPr>
        <w:t>〔2017〕 141</w:t>
      </w:r>
      <w:r>
        <w:rPr>
          <w:rFonts w:hint="eastAsia" w:hAnsi="宋体" w:cs="宋体"/>
          <w:spacing w:val="6"/>
          <w:sz w:val="24"/>
        </w:rPr>
        <w:t>号）的规定，本单位为符合条件的残疾人福利性单位，且本单位参加______单位的______项目采购活动提供本单位制造的货物（由本单位承担货物/提供服务），或者提供其他残疾人福利性单位制造的货物（不包括使用非残疾人福利性单位注册商标的货物）。</w:t>
      </w:r>
    </w:p>
    <w:p>
      <w:pPr>
        <w:spacing w:line="360" w:lineRule="auto"/>
        <w:ind w:firstLine="504" w:firstLineChars="200"/>
        <w:rPr>
          <w:rFonts w:hint="eastAsia" w:hAnsi="宋体" w:cs="宋体"/>
          <w:spacing w:val="6"/>
          <w:sz w:val="24"/>
        </w:rPr>
      </w:pPr>
      <w:r>
        <w:rPr>
          <w:rFonts w:hint="eastAsia" w:hAnsi="宋体" w:cs="宋体"/>
          <w:spacing w:val="6"/>
          <w:sz w:val="24"/>
        </w:rPr>
        <w:t>本单位对上述声明的真实性负责。如有虚假，将依法承担相应责任。</w:t>
      </w:r>
    </w:p>
    <w:p>
      <w:pPr>
        <w:spacing w:line="360" w:lineRule="auto"/>
        <w:ind w:firstLine="504" w:firstLineChars="200"/>
        <w:rPr>
          <w:rFonts w:hint="eastAsia" w:hAnsi="宋体" w:cs="宋体"/>
          <w:spacing w:val="6"/>
          <w:sz w:val="24"/>
        </w:rPr>
      </w:pPr>
    </w:p>
    <w:p>
      <w:pPr>
        <w:spacing w:line="360" w:lineRule="auto"/>
        <w:ind w:firstLine="504" w:firstLineChars="200"/>
        <w:rPr>
          <w:rFonts w:hint="eastAsia" w:hAnsi="宋体" w:cs="宋体"/>
          <w:spacing w:val="6"/>
          <w:sz w:val="24"/>
        </w:rPr>
      </w:pPr>
    </w:p>
    <w:p>
      <w:pPr>
        <w:tabs>
          <w:tab w:val="left" w:pos="4860"/>
        </w:tabs>
        <w:spacing w:line="360" w:lineRule="auto"/>
        <w:ind w:right="1560" w:firstLine="504" w:firstLineChars="200"/>
        <w:jc w:val="center"/>
        <w:rPr>
          <w:rFonts w:hint="eastAsia" w:hAnsi="宋体" w:cs="宋体"/>
          <w:spacing w:val="6"/>
          <w:sz w:val="24"/>
        </w:rPr>
      </w:pPr>
      <w:r>
        <w:rPr>
          <w:rFonts w:hint="eastAsia" w:hAnsi="宋体" w:cs="宋体"/>
          <w:spacing w:val="6"/>
          <w:sz w:val="24"/>
        </w:rPr>
        <w:t xml:space="preserve">                   单位名称：</w:t>
      </w:r>
      <w:r>
        <w:rPr>
          <w:rFonts w:hint="eastAsia" w:hAnsi="宋体" w:cs="宋体"/>
          <w:spacing w:val="6"/>
          <w:sz w:val="24"/>
          <w:u w:val="single"/>
        </w:rPr>
        <w:t xml:space="preserve">              </w:t>
      </w:r>
      <w:r>
        <w:rPr>
          <w:rFonts w:hint="eastAsia" w:hAnsi="宋体" w:cs="宋体"/>
          <w:spacing w:val="6"/>
          <w:sz w:val="24"/>
        </w:rPr>
        <w:t>（盖单位章）：</w:t>
      </w:r>
    </w:p>
    <w:p>
      <w:pPr>
        <w:tabs>
          <w:tab w:val="left" w:pos="4860"/>
        </w:tabs>
        <w:spacing w:line="360" w:lineRule="auto"/>
        <w:ind w:right="1560" w:firstLine="504" w:firstLineChars="200"/>
        <w:jc w:val="center"/>
        <w:rPr>
          <w:rFonts w:hint="eastAsia" w:hAnsi="宋体" w:cs="宋体"/>
          <w:spacing w:val="6"/>
          <w:sz w:val="24"/>
        </w:rPr>
      </w:pPr>
      <w:r>
        <w:rPr>
          <w:rFonts w:hint="eastAsia" w:hAnsi="宋体" w:cs="宋体"/>
          <w:spacing w:val="6"/>
          <w:sz w:val="24"/>
        </w:rPr>
        <w:t xml:space="preserve"> </w:t>
      </w:r>
    </w:p>
    <w:p>
      <w:pPr>
        <w:tabs>
          <w:tab w:val="left" w:pos="4860"/>
        </w:tabs>
        <w:spacing w:line="360" w:lineRule="auto"/>
        <w:ind w:right="1560" w:firstLine="504" w:firstLineChars="200"/>
        <w:jc w:val="center"/>
        <w:rPr>
          <w:rFonts w:hint="eastAsia" w:hAnsi="宋体" w:cs="宋体"/>
          <w:sz w:val="24"/>
        </w:rPr>
      </w:pPr>
      <w:r>
        <w:rPr>
          <w:rFonts w:hint="eastAsia" w:hAnsi="宋体" w:cs="宋体"/>
          <w:spacing w:val="6"/>
          <w:sz w:val="24"/>
        </w:rPr>
        <w:t xml:space="preserve">                  日  期：    年   月  日</w:t>
      </w:r>
    </w:p>
    <w:p>
      <w:pPr>
        <w:adjustRightInd w:val="0"/>
        <w:snapToGrid w:val="0"/>
        <w:spacing w:before="50" w:line="360" w:lineRule="auto"/>
        <w:rPr>
          <w:rFonts w:hint="eastAsia" w:hAnsi="宋体" w:cs="宋体"/>
          <w:b/>
          <w:sz w:val="36"/>
          <w:szCs w:val="36"/>
        </w:rPr>
      </w:pPr>
    </w:p>
    <w:p>
      <w:pPr>
        <w:adjustRightInd w:val="0"/>
        <w:snapToGrid w:val="0"/>
        <w:spacing w:before="50" w:line="360" w:lineRule="auto"/>
        <w:jc w:val="center"/>
        <w:rPr>
          <w:rFonts w:hint="eastAsia" w:hAnsi="宋体" w:cs="宋体"/>
          <w:b/>
          <w:sz w:val="36"/>
          <w:szCs w:val="36"/>
        </w:rPr>
      </w:pPr>
    </w:p>
    <w:p>
      <w:pPr>
        <w:adjustRightInd w:val="0"/>
        <w:snapToGrid w:val="0"/>
        <w:spacing w:before="50" w:line="360" w:lineRule="auto"/>
        <w:jc w:val="center"/>
        <w:rPr>
          <w:rFonts w:hint="eastAsia" w:hAnsi="宋体" w:cs="宋体"/>
          <w:b/>
          <w:sz w:val="36"/>
          <w:szCs w:val="36"/>
        </w:rPr>
      </w:pPr>
    </w:p>
    <w:p>
      <w:pPr>
        <w:adjustRightInd w:val="0"/>
        <w:snapToGrid w:val="0"/>
        <w:spacing w:before="50" w:line="360" w:lineRule="auto"/>
        <w:jc w:val="center"/>
        <w:rPr>
          <w:rFonts w:hint="eastAsia" w:hAnsi="宋体" w:cs="宋体"/>
          <w:b/>
          <w:sz w:val="36"/>
          <w:szCs w:val="36"/>
        </w:rPr>
      </w:pPr>
    </w:p>
    <w:p>
      <w:pPr>
        <w:kinsoku w:val="0"/>
        <w:spacing w:line="360" w:lineRule="auto"/>
        <w:rPr>
          <w:rFonts w:hint="eastAsia" w:hAnsi="宋体" w:cs="宋体"/>
          <w:szCs w:val="21"/>
        </w:rPr>
      </w:pPr>
    </w:p>
    <w:p>
      <w:pPr>
        <w:kinsoku w:val="0"/>
        <w:spacing w:line="360" w:lineRule="auto"/>
        <w:ind w:firstLine="480" w:firstLineChars="200"/>
        <w:rPr>
          <w:rFonts w:hint="eastAsia" w:hAnsi="宋体" w:cs="宋体"/>
          <w:sz w:val="24"/>
        </w:rPr>
      </w:pPr>
      <w:r>
        <w:rPr>
          <w:rFonts w:hint="eastAsia" w:hAnsi="宋体" w:cs="宋体"/>
          <w:sz w:val="24"/>
        </w:rPr>
        <w:t>说明：</w:t>
      </w:r>
      <w:r>
        <w:rPr>
          <w:rFonts w:hint="eastAsia" w:hAnsi="宋体" w:cs="宋体"/>
          <w:bCs/>
          <w:sz w:val="24"/>
        </w:rPr>
        <w:t>未按上述要求提供、</w:t>
      </w:r>
      <w:r>
        <w:rPr>
          <w:rFonts w:hint="eastAsia" w:hAnsi="宋体" w:cs="宋体"/>
          <w:sz w:val="24"/>
        </w:rPr>
        <w:t>填写</w:t>
      </w:r>
      <w:r>
        <w:rPr>
          <w:rFonts w:hint="eastAsia" w:hAnsi="宋体" w:cs="宋体"/>
          <w:bCs/>
          <w:sz w:val="24"/>
        </w:rPr>
        <w:t>的，评审时不予以考虑。供应商提供的《残疾人福利性单位声明函》必须真实有效，如果被举报经查实出具虚假声明函的，将被取消投标资格，并按有关规定予以处理。</w:t>
      </w:r>
    </w:p>
    <w:p>
      <w:pPr>
        <w:spacing w:line="360" w:lineRule="auto"/>
        <w:ind w:firstLine="480"/>
        <w:rPr>
          <w:rFonts w:hint="eastAsia" w:hAnsi="宋体" w:cs="宋体"/>
          <w:sz w:val="24"/>
        </w:rPr>
      </w:pPr>
      <w:r>
        <w:rPr>
          <w:rFonts w:hint="eastAsia" w:hAnsi="宋体" w:cs="宋体"/>
          <w:sz w:val="24"/>
        </w:rPr>
        <w:br w:type="page"/>
      </w:r>
      <w:r>
        <w:rPr>
          <w:rFonts w:hint="eastAsia" w:hAnsi="宋体" w:cs="宋体"/>
          <w:b/>
          <w:sz w:val="28"/>
          <w:szCs w:val="28"/>
        </w:rPr>
        <w:t>附件</w:t>
      </w:r>
      <w:r>
        <w:rPr>
          <w:rFonts w:hint="eastAsia" w:hAnsi="宋体" w:cs="宋体"/>
          <w:b/>
          <w:sz w:val="28"/>
          <w:szCs w:val="28"/>
          <w:lang w:val="en-US" w:eastAsia="zh-CN"/>
        </w:rPr>
        <w:t>6</w:t>
      </w:r>
      <w:r>
        <w:rPr>
          <w:rFonts w:hint="eastAsia" w:hAnsi="宋体" w:cs="宋体"/>
          <w:b/>
          <w:sz w:val="28"/>
          <w:szCs w:val="28"/>
        </w:rPr>
        <w:t>：</w:t>
      </w:r>
    </w:p>
    <w:p>
      <w:pPr>
        <w:spacing w:line="360" w:lineRule="auto"/>
        <w:ind w:firstLine="480"/>
        <w:rPr>
          <w:rFonts w:hint="eastAsia" w:hAnsi="宋体" w:cs="宋体"/>
          <w:b/>
          <w:spacing w:val="6"/>
          <w:sz w:val="36"/>
          <w:szCs w:val="36"/>
        </w:rPr>
      </w:pPr>
    </w:p>
    <w:p>
      <w:pPr>
        <w:spacing w:line="360" w:lineRule="auto"/>
        <w:ind w:firstLine="480"/>
        <w:jc w:val="center"/>
        <w:rPr>
          <w:rFonts w:hint="eastAsia" w:hAnsi="宋体" w:cs="宋体"/>
          <w:sz w:val="24"/>
        </w:rPr>
      </w:pPr>
      <w:r>
        <w:rPr>
          <w:rFonts w:hint="eastAsia" w:hAnsi="宋体" w:cs="宋体"/>
          <w:b/>
          <w:spacing w:val="6"/>
          <w:sz w:val="36"/>
          <w:szCs w:val="36"/>
        </w:rPr>
        <w:t>监狱、戒毒企业声明函</w:t>
      </w:r>
    </w:p>
    <w:p>
      <w:pPr>
        <w:spacing w:line="360" w:lineRule="auto"/>
        <w:ind w:firstLine="480"/>
        <w:rPr>
          <w:rFonts w:hint="eastAsia" w:hAnsi="宋体" w:cs="宋体"/>
          <w:sz w:val="24"/>
        </w:rPr>
      </w:pPr>
    </w:p>
    <w:p>
      <w:pPr>
        <w:spacing w:line="360" w:lineRule="auto"/>
        <w:rPr>
          <w:rFonts w:hint="eastAsia" w:hAnsi="宋体" w:cs="宋体"/>
          <w:sz w:val="24"/>
        </w:rPr>
      </w:pPr>
    </w:p>
    <w:p>
      <w:pPr>
        <w:spacing w:line="360" w:lineRule="auto"/>
        <w:ind w:firstLine="480"/>
        <w:rPr>
          <w:rFonts w:hint="eastAsia" w:hAnsi="宋体" w:cs="宋体"/>
          <w:sz w:val="24"/>
        </w:rPr>
      </w:pPr>
      <w:r>
        <w:rPr>
          <w:rFonts w:hint="eastAsia" w:hAnsi="宋体" w:cs="宋体"/>
          <w:sz w:val="24"/>
        </w:rPr>
        <w:t>本单位郑重声明，根据《</w:t>
      </w:r>
      <w:r>
        <w:rPr>
          <w:rFonts w:hint="eastAsia" w:hAnsi="宋体" w:cs="宋体"/>
          <w:spacing w:val="-4"/>
          <w:sz w:val="24"/>
        </w:rPr>
        <w:t>财政部 司法部 关于政府采购支持监狱企业发展有关问题的通知</w:t>
      </w:r>
      <w:r>
        <w:rPr>
          <w:rFonts w:hint="eastAsia" w:hAnsi="宋体" w:cs="宋体"/>
          <w:sz w:val="24"/>
        </w:rPr>
        <w:t>》（财库〔2014〕68号）的规定，本单位为符合条件的监狱、戒毒企业，且本单位参加的</w:t>
      </w:r>
      <w:r>
        <w:rPr>
          <w:rFonts w:hint="eastAsia" w:hAnsi="宋体" w:cs="宋体"/>
          <w:sz w:val="24"/>
          <w:u w:val="single"/>
        </w:rPr>
        <w:t xml:space="preserve">                  </w:t>
      </w:r>
      <w:r>
        <w:rPr>
          <w:rFonts w:hint="eastAsia" w:hAnsi="宋体" w:cs="宋体"/>
          <w:sz w:val="24"/>
        </w:rPr>
        <w:t>项目采购活动提供本单位制造的货物（由本单位承担工程/提供服务），或者提供其他监狱、戒毒企业制造的货物（不包括使用非监狱、戒毒企业注册商标的货物）。</w:t>
      </w:r>
    </w:p>
    <w:p>
      <w:pPr>
        <w:spacing w:line="360" w:lineRule="auto"/>
        <w:ind w:firstLine="480"/>
        <w:rPr>
          <w:rFonts w:hint="eastAsia" w:hAnsi="宋体" w:cs="宋体"/>
          <w:sz w:val="24"/>
        </w:rPr>
      </w:pPr>
      <w:r>
        <w:rPr>
          <w:rFonts w:hint="eastAsia" w:hAnsi="宋体" w:cs="宋体"/>
          <w:sz w:val="24"/>
        </w:rPr>
        <w:t>本单位对上述声明的真实性负责。如有虚假，将依法承担相应责任。</w:t>
      </w:r>
    </w:p>
    <w:p>
      <w:pPr>
        <w:spacing w:line="360" w:lineRule="auto"/>
        <w:ind w:firstLine="480"/>
        <w:rPr>
          <w:rFonts w:hint="eastAsia" w:hAnsi="宋体" w:cs="宋体"/>
          <w:sz w:val="24"/>
        </w:rPr>
      </w:pPr>
    </w:p>
    <w:p>
      <w:pPr>
        <w:spacing w:line="360" w:lineRule="auto"/>
        <w:ind w:firstLine="480"/>
        <w:rPr>
          <w:rFonts w:hint="eastAsia" w:hAnsi="宋体" w:cs="宋体"/>
          <w:sz w:val="24"/>
        </w:rPr>
      </w:pPr>
    </w:p>
    <w:p>
      <w:pPr>
        <w:tabs>
          <w:tab w:val="left" w:pos="4860"/>
          <w:tab w:val="left" w:pos="8040"/>
          <w:tab w:val="left" w:pos="8160"/>
        </w:tabs>
        <w:spacing w:line="360" w:lineRule="auto"/>
        <w:ind w:right="862" w:firstLine="480"/>
        <w:jc w:val="center"/>
        <w:rPr>
          <w:rFonts w:hint="eastAsia" w:hAnsi="宋体" w:cs="宋体"/>
          <w:sz w:val="24"/>
          <w:u w:val="single"/>
        </w:rPr>
      </w:pPr>
      <w:r>
        <w:rPr>
          <w:rFonts w:hint="eastAsia" w:hAnsi="宋体" w:cs="宋体"/>
          <w:sz w:val="24"/>
        </w:rPr>
        <w:t xml:space="preserve">        单位名称（盖章）：</w:t>
      </w:r>
      <w:r>
        <w:rPr>
          <w:rFonts w:hint="eastAsia" w:hAnsi="宋体" w:cs="宋体"/>
          <w:sz w:val="24"/>
          <w:u w:val="single"/>
        </w:rPr>
        <w:t xml:space="preserve">                   </w:t>
      </w:r>
    </w:p>
    <w:p>
      <w:pPr>
        <w:tabs>
          <w:tab w:val="left" w:pos="4860"/>
        </w:tabs>
        <w:spacing w:line="360" w:lineRule="auto"/>
        <w:ind w:right="1560" w:firstLine="480"/>
        <w:jc w:val="center"/>
        <w:rPr>
          <w:rFonts w:hint="eastAsia" w:hAnsi="宋体" w:cs="宋体"/>
          <w:sz w:val="24"/>
        </w:rPr>
      </w:pPr>
      <w:r>
        <w:rPr>
          <w:rFonts w:hint="eastAsia" w:hAnsi="宋体" w:cs="宋体"/>
          <w:sz w:val="24"/>
        </w:rPr>
        <w:t xml:space="preserve">       </w:t>
      </w:r>
    </w:p>
    <w:p>
      <w:pPr>
        <w:tabs>
          <w:tab w:val="left" w:pos="4860"/>
        </w:tabs>
        <w:spacing w:line="360" w:lineRule="auto"/>
        <w:ind w:right="1560" w:firstLine="480"/>
        <w:jc w:val="center"/>
        <w:rPr>
          <w:rFonts w:hint="eastAsia" w:hAnsi="宋体" w:cs="宋体"/>
          <w:sz w:val="24"/>
        </w:rPr>
      </w:pPr>
      <w:r>
        <w:rPr>
          <w:rFonts w:hint="eastAsia" w:hAnsi="宋体" w:cs="宋体"/>
          <w:sz w:val="24"/>
        </w:rPr>
        <w:t xml:space="preserve">                          日  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pPr>
        <w:spacing w:line="360" w:lineRule="auto"/>
        <w:ind w:firstLine="504"/>
        <w:rPr>
          <w:rFonts w:hint="eastAsia" w:hAnsi="宋体" w:cs="宋体"/>
          <w:b/>
          <w:spacing w:val="6"/>
          <w:sz w:val="24"/>
          <w:shd w:val="pct10" w:color="000000" w:fill="FFFFFF"/>
        </w:rPr>
      </w:pPr>
    </w:p>
    <w:p>
      <w:pPr>
        <w:spacing w:line="360" w:lineRule="auto"/>
        <w:ind w:firstLine="504"/>
        <w:rPr>
          <w:rFonts w:hint="eastAsia" w:hAnsi="宋体" w:cs="宋体"/>
          <w:b/>
          <w:spacing w:val="6"/>
          <w:sz w:val="24"/>
          <w:shd w:val="pct10" w:color="000000" w:fill="FFFFFF"/>
        </w:rPr>
      </w:pPr>
    </w:p>
    <w:p>
      <w:pPr>
        <w:spacing w:line="360" w:lineRule="auto"/>
        <w:ind w:firstLine="480"/>
        <w:rPr>
          <w:rFonts w:hint="eastAsia" w:hAnsi="宋体" w:cs="宋体"/>
          <w:sz w:val="24"/>
        </w:rPr>
      </w:pPr>
      <w:r>
        <w:rPr>
          <w:rFonts w:hint="eastAsia" w:hAnsi="宋体" w:cs="宋体"/>
          <w:sz w:val="24"/>
        </w:rPr>
        <w:t>备注：未按上述要求提供、填写的，评审时不予以考虑。供应商提供的《监狱、戒毒企业声明函》必须真实有效，供应商应当提供由省级以上监狱管理局、戒毒管理局(含新疆生产建设兵团)出具的属于监狱企业的证明文件。</w:t>
      </w:r>
    </w:p>
    <w:p>
      <w:pPr>
        <w:pStyle w:val="127"/>
        <w:spacing w:line="360" w:lineRule="auto"/>
        <w:jc w:val="both"/>
        <w:rPr>
          <w:rFonts w:hint="eastAsia" w:hAnsi="宋体" w:cs="宋体"/>
          <w:sz w:val="24"/>
        </w:rPr>
      </w:pPr>
    </w:p>
    <w:p>
      <w:pPr>
        <w:pStyle w:val="127"/>
        <w:spacing w:line="360" w:lineRule="auto"/>
        <w:ind w:firstLine="4498" w:firstLineChars="1600"/>
        <w:rPr>
          <w:rFonts w:ascii="宋体" w:hAnsi="宋体" w:cs="宋体"/>
          <w:bCs/>
          <w:kern w:val="0"/>
          <w:sz w:val="44"/>
          <w:szCs w:val="44"/>
        </w:rPr>
      </w:pPr>
      <w:r>
        <w:rPr>
          <w:rFonts w:hint="eastAsia" w:ascii="宋体" w:hAnsi="宋体" w:cs="宋体"/>
          <w:b/>
          <w:sz w:val="28"/>
          <w:szCs w:val="28"/>
        </w:rPr>
        <w:br w:type="page"/>
      </w:r>
      <w:bookmarkEnd w:id="119"/>
    </w:p>
    <w:p>
      <w:pPr>
        <w:pStyle w:val="8"/>
        <w:spacing w:before="120" w:beforeLines="50"/>
        <w:ind w:right="280" w:firstLine="0"/>
        <w:jc w:val="right"/>
        <w:rPr>
          <w:rFonts w:ascii="宋体" w:hAnsi="宋体" w:cs="宋体"/>
          <w:b/>
          <w:sz w:val="44"/>
          <w:szCs w:val="44"/>
        </w:rPr>
      </w:pPr>
      <w:bookmarkStart w:id="196" w:name="_Toc531253660"/>
      <w:bookmarkStart w:id="197" w:name="_Toc217446082"/>
    </w:p>
    <w:p>
      <w:pPr>
        <w:pStyle w:val="8"/>
        <w:spacing w:before="120" w:beforeLines="50"/>
        <w:ind w:right="280" w:firstLine="0"/>
        <w:jc w:val="right"/>
        <w:rPr>
          <w:rFonts w:ascii="宋体" w:hAnsi="宋体" w:cs="宋体"/>
          <w:b/>
          <w:sz w:val="28"/>
          <w:szCs w:val="28"/>
        </w:rPr>
      </w:pPr>
      <w:r>
        <w:rPr>
          <w:rFonts w:hint="eastAsia" w:ascii="宋体" w:hAnsi="宋体" w:cs="宋体"/>
          <w:b/>
          <w:sz w:val="28"/>
          <w:szCs w:val="28"/>
        </w:rPr>
        <w:t>正本/副本</w:t>
      </w:r>
    </w:p>
    <w:p>
      <w:pPr>
        <w:pStyle w:val="8"/>
        <w:spacing w:before="120" w:beforeLines="50"/>
        <w:ind w:firstLine="0"/>
        <w:rPr>
          <w:rFonts w:ascii="宋体" w:hAnsi="宋体" w:cs="宋体"/>
          <w:b/>
          <w:sz w:val="28"/>
          <w:szCs w:val="28"/>
        </w:rPr>
      </w:pPr>
      <w:r>
        <w:rPr>
          <w:rFonts w:hint="eastAsia" w:ascii="宋体" w:hAnsi="宋体" w:cs="宋体"/>
          <w:b/>
          <w:sz w:val="28"/>
          <w:szCs w:val="28"/>
        </w:rPr>
        <w:t xml:space="preserve">政府采购项目 </w:t>
      </w:r>
    </w:p>
    <w:p>
      <w:pPr>
        <w:pStyle w:val="8"/>
        <w:spacing w:before="120" w:beforeLines="50"/>
        <w:ind w:firstLine="0"/>
        <w:rPr>
          <w:rFonts w:hint="eastAsia" w:ascii="宋体" w:hAnsi="宋体" w:eastAsia="宋体" w:cs="宋体"/>
          <w:b/>
          <w:sz w:val="28"/>
          <w:szCs w:val="28"/>
          <w:highlight w:val="none"/>
          <w:lang w:eastAsia="zh-CN"/>
        </w:rPr>
      </w:pPr>
      <w:r>
        <w:rPr>
          <w:rFonts w:hint="eastAsia" w:ascii="宋体" w:hAnsi="宋体" w:cs="宋体"/>
          <w:b/>
          <w:sz w:val="28"/>
          <w:szCs w:val="28"/>
          <w:highlight w:val="none"/>
        </w:rPr>
        <w:t>采购项目编号：</w:t>
      </w:r>
      <w:r>
        <w:rPr>
          <w:rFonts w:hint="eastAsia" w:ascii="宋体" w:hAnsi="宋体" w:cs="宋体"/>
          <w:b/>
          <w:sz w:val="28"/>
          <w:szCs w:val="28"/>
          <w:highlight w:val="none"/>
          <w:lang w:eastAsia="zh-CN"/>
        </w:rPr>
        <w:t>MZ2022-TP1070</w:t>
      </w:r>
    </w:p>
    <w:p>
      <w:pPr>
        <w:pStyle w:val="8"/>
        <w:spacing w:before="120" w:beforeLines="50"/>
        <w:ind w:firstLine="0"/>
        <w:rPr>
          <w:rFonts w:ascii="宋体" w:hAnsi="宋体" w:cs="宋体"/>
          <w:b/>
          <w:sz w:val="28"/>
          <w:szCs w:val="28"/>
        </w:rPr>
      </w:pPr>
      <w:r>
        <w:rPr>
          <w:rFonts w:hint="eastAsia" w:ascii="宋体" w:hAnsi="宋体" w:cs="宋体"/>
          <w:b/>
          <w:sz w:val="28"/>
          <w:szCs w:val="28"/>
        </w:rPr>
        <w:t xml:space="preserve">                                             </w:t>
      </w:r>
      <w:bookmarkEnd w:id="196"/>
    </w:p>
    <w:p>
      <w:pPr>
        <w:rPr>
          <w:rFonts w:ascii="宋体" w:hAnsi="宋体" w:cs="宋体"/>
          <w:b/>
          <w:sz w:val="52"/>
          <w:szCs w:val="52"/>
        </w:rPr>
      </w:pPr>
    </w:p>
    <w:p>
      <w:pPr>
        <w:pStyle w:val="20"/>
        <w:adjustRightInd w:val="0"/>
        <w:snapToGrid w:val="0"/>
        <w:spacing w:line="360" w:lineRule="auto"/>
        <w:jc w:val="center"/>
        <w:rPr>
          <w:rFonts w:hint="eastAsia" w:hAnsi="宋体" w:eastAsia="宋体" w:cs="宋体"/>
          <w:b/>
          <w:sz w:val="44"/>
          <w:szCs w:val="44"/>
          <w:lang w:eastAsia="zh-CN"/>
        </w:rPr>
      </w:pPr>
      <w:r>
        <w:rPr>
          <w:rFonts w:hint="eastAsia" w:hAnsi="宋体" w:cs="宋体"/>
          <w:b/>
          <w:sz w:val="44"/>
          <w:szCs w:val="44"/>
          <w:lang w:eastAsia="zh-CN"/>
        </w:rPr>
        <w:t>西安商贸旅游技师学院烹饪系实训室改造项目（二次）</w:t>
      </w:r>
    </w:p>
    <w:p>
      <w:pPr>
        <w:pStyle w:val="20"/>
        <w:adjustRightInd w:val="0"/>
        <w:snapToGrid w:val="0"/>
        <w:spacing w:line="360" w:lineRule="auto"/>
        <w:jc w:val="center"/>
        <w:rPr>
          <w:rFonts w:hAnsi="宋体" w:cs="宋体"/>
          <w:b/>
          <w:sz w:val="44"/>
          <w:szCs w:val="44"/>
        </w:rPr>
      </w:pPr>
    </w:p>
    <w:p>
      <w:pPr>
        <w:pStyle w:val="20"/>
        <w:adjustRightInd w:val="0"/>
        <w:snapToGrid w:val="0"/>
        <w:spacing w:line="360" w:lineRule="auto"/>
        <w:jc w:val="center"/>
        <w:rPr>
          <w:rFonts w:hAnsi="宋体" w:cs="宋体"/>
          <w:b/>
          <w:sz w:val="44"/>
          <w:szCs w:val="44"/>
        </w:rPr>
      </w:pPr>
      <w:r>
        <w:rPr>
          <w:rFonts w:hint="eastAsia" w:hAnsi="宋体" w:cs="宋体"/>
          <w:b/>
          <w:sz w:val="44"/>
          <w:szCs w:val="44"/>
        </w:rPr>
        <w:t>谈判响应文件</w:t>
      </w:r>
    </w:p>
    <w:p>
      <w:pPr>
        <w:pStyle w:val="20"/>
        <w:adjustRightInd w:val="0"/>
        <w:snapToGrid w:val="0"/>
        <w:spacing w:line="360" w:lineRule="auto"/>
        <w:jc w:val="center"/>
        <w:rPr>
          <w:rFonts w:hAnsi="宋体" w:cs="宋体"/>
          <w:b/>
          <w:sz w:val="44"/>
          <w:szCs w:val="44"/>
        </w:rPr>
      </w:pPr>
      <w:r>
        <w:rPr>
          <w:rFonts w:hint="eastAsia" w:hAnsi="宋体" w:cs="宋体"/>
          <w:b/>
          <w:sz w:val="44"/>
          <w:szCs w:val="44"/>
        </w:rPr>
        <w:t>（商务技术部分）</w:t>
      </w:r>
    </w:p>
    <w:p>
      <w:pPr>
        <w:pStyle w:val="8"/>
        <w:spacing w:before="120" w:beforeLines="50"/>
        <w:ind w:firstLine="1630" w:firstLineChars="580"/>
        <w:rPr>
          <w:rFonts w:ascii="宋体" w:hAnsi="宋体" w:cs="宋体"/>
          <w:b/>
          <w:sz w:val="28"/>
          <w:szCs w:val="28"/>
        </w:rPr>
      </w:pPr>
    </w:p>
    <w:p>
      <w:pPr>
        <w:pStyle w:val="8"/>
        <w:spacing w:before="120" w:beforeLines="50"/>
        <w:ind w:firstLine="1630" w:firstLineChars="580"/>
        <w:rPr>
          <w:rFonts w:ascii="宋体" w:hAnsi="宋体" w:cs="宋体"/>
          <w:b/>
          <w:sz w:val="28"/>
          <w:szCs w:val="28"/>
        </w:rPr>
      </w:pPr>
    </w:p>
    <w:p>
      <w:pPr>
        <w:pStyle w:val="8"/>
        <w:spacing w:before="120" w:beforeLines="50"/>
        <w:ind w:firstLine="0"/>
        <w:rPr>
          <w:rFonts w:ascii="宋体" w:hAnsi="宋体" w:cs="宋体"/>
          <w:b/>
          <w:sz w:val="28"/>
          <w:szCs w:val="28"/>
        </w:rPr>
      </w:pPr>
    </w:p>
    <w:p>
      <w:pPr>
        <w:pStyle w:val="8"/>
        <w:spacing w:before="120" w:beforeLines="50"/>
        <w:ind w:firstLine="1630" w:firstLineChars="580"/>
        <w:rPr>
          <w:rFonts w:ascii="宋体" w:hAnsi="宋体" w:cs="宋体"/>
          <w:b/>
          <w:sz w:val="28"/>
          <w:szCs w:val="28"/>
        </w:rPr>
      </w:pPr>
    </w:p>
    <w:p>
      <w:pPr>
        <w:pStyle w:val="8"/>
        <w:spacing w:before="120" w:beforeLines="50"/>
        <w:ind w:firstLine="1630" w:firstLineChars="580"/>
        <w:rPr>
          <w:rFonts w:ascii="宋体" w:hAnsi="宋体" w:cs="宋体"/>
          <w:b/>
          <w:sz w:val="28"/>
          <w:szCs w:val="28"/>
        </w:rPr>
      </w:pPr>
    </w:p>
    <w:p>
      <w:pPr>
        <w:pStyle w:val="8"/>
        <w:spacing w:before="120" w:beforeLines="50"/>
        <w:ind w:firstLine="1630" w:firstLineChars="580"/>
        <w:rPr>
          <w:rFonts w:ascii="宋体" w:hAnsi="宋体" w:cs="宋体"/>
          <w:b/>
          <w:bCs/>
          <w:sz w:val="28"/>
          <w:szCs w:val="28"/>
        </w:rPr>
      </w:pPr>
      <w:r>
        <w:rPr>
          <w:rFonts w:hint="eastAsia" w:ascii="宋体" w:hAnsi="宋体" w:cs="宋体"/>
          <w:b/>
          <w:bCs/>
          <w:sz w:val="28"/>
          <w:szCs w:val="28"/>
        </w:rPr>
        <w:t>供 应 商：</w:t>
      </w:r>
      <w:r>
        <w:rPr>
          <w:rFonts w:hint="eastAsia" w:ascii="宋体" w:hAnsi="宋体" w:cs="宋体"/>
          <w:b/>
          <w:bCs/>
          <w:sz w:val="28"/>
          <w:szCs w:val="28"/>
          <w:u w:val="single"/>
        </w:rPr>
        <w:t xml:space="preserve">                         </w:t>
      </w:r>
      <w:r>
        <w:rPr>
          <w:rFonts w:hint="eastAsia" w:ascii="宋体" w:hAnsi="宋体" w:cs="宋体"/>
          <w:b/>
          <w:bCs/>
          <w:sz w:val="28"/>
          <w:szCs w:val="28"/>
        </w:rPr>
        <w:t>（公章）</w:t>
      </w:r>
    </w:p>
    <w:p>
      <w:pPr>
        <w:pStyle w:val="8"/>
        <w:spacing w:before="120" w:beforeLines="50"/>
        <w:ind w:firstLine="1630" w:firstLineChars="580"/>
        <w:rPr>
          <w:rFonts w:ascii="宋体" w:hAnsi="宋体" w:cs="宋体"/>
          <w:b/>
          <w:bCs/>
          <w:sz w:val="28"/>
          <w:szCs w:val="28"/>
        </w:rPr>
      </w:pPr>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w:t>
      </w:r>
      <w:r>
        <w:rPr>
          <w:rFonts w:hint="eastAsia" w:ascii="宋体" w:hAnsi="宋体" w:cs="宋体"/>
          <w:b/>
          <w:bCs/>
          <w:sz w:val="28"/>
          <w:szCs w:val="28"/>
          <w:lang w:eastAsia="zh-CN"/>
        </w:rPr>
        <w:t>签字或盖章</w:t>
      </w:r>
      <w:r>
        <w:rPr>
          <w:rFonts w:hint="eastAsia" w:ascii="宋体" w:hAnsi="宋体" w:cs="宋体"/>
          <w:b/>
          <w:bCs/>
          <w:sz w:val="28"/>
          <w:szCs w:val="28"/>
        </w:rPr>
        <w:t>）</w:t>
      </w:r>
    </w:p>
    <w:p>
      <w:pPr>
        <w:pStyle w:val="8"/>
        <w:spacing w:before="120" w:beforeLines="50"/>
        <w:ind w:firstLine="1630" w:firstLineChars="580"/>
        <w:rPr>
          <w:rFonts w:ascii="宋体" w:hAnsi="宋体" w:cs="宋体"/>
          <w:b/>
          <w:bCs/>
          <w:sz w:val="28"/>
          <w:szCs w:val="28"/>
        </w:rPr>
      </w:pPr>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bookmarkEnd w:id="197"/>
    <w:p>
      <w:pPr>
        <w:pStyle w:val="8"/>
        <w:spacing w:before="120" w:beforeLines="50"/>
        <w:ind w:firstLine="0"/>
        <w:jc w:val="center"/>
        <w:rPr>
          <w:rFonts w:ascii="宋体" w:hAnsi="宋体" w:cs="宋体"/>
          <w:b/>
          <w:sz w:val="44"/>
          <w:szCs w:val="44"/>
        </w:rPr>
      </w:pPr>
    </w:p>
    <w:p>
      <w:pPr>
        <w:pStyle w:val="8"/>
        <w:spacing w:before="120" w:beforeLines="50"/>
        <w:ind w:firstLine="0"/>
        <w:jc w:val="center"/>
        <w:rPr>
          <w:rFonts w:ascii="宋体" w:hAnsi="宋体" w:cs="宋体"/>
          <w:b/>
          <w:sz w:val="44"/>
          <w:szCs w:val="44"/>
        </w:rPr>
      </w:pPr>
    </w:p>
    <w:p>
      <w:pPr>
        <w:pStyle w:val="8"/>
        <w:spacing w:before="120" w:beforeLines="50"/>
        <w:ind w:firstLine="0"/>
        <w:jc w:val="center"/>
        <w:rPr>
          <w:rFonts w:ascii="宋体" w:hAnsi="宋体" w:cs="宋体"/>
          <w:b/>
          <w:sz w:val="44"/>
          <w:szCs w:val="44"/>
        </w:rPr>
      </w:pPr>
      <w:r>
        <w:rPr>
          <w:rFonts w:hint="eastAsia" w:ascii="宋体" w:hAnsi="宋体" w:cs="宋体"/>
          <w:b/>
          <w:sz w:val="44"/>
          <w:szCs w:val="44"/>
        </w:rPr>
        <w:br w:type="page"/>
      </w:r>
      <w:r>
        <w:rPr>
          <w:rFonts w:hint="eastAsia" w:ascii="宋体" w:hAnsi="宋体" w:cs="宋体"/>
          <w:b/>
          <w:sz w:val="44"/>
          <w:szCs w:val="44"/>
        </w:rPr>
        <w:t>目  录</w:t>
      </w:r>
    </w:p>
    <w:p>
      <w:pPr>
        <w:spacing w:line="360" w:lineRule="auto"/>
        <w:rPr>
          <w:rFonts w:ascii="宋体" w:hAnsi="宋体" w:cs="宋体"/>
          <w:b/>
          <w:sz w:val="24"/>
        </w:rPr>
      </w:pPr>
    </w:p>
    <w:p>
      <w:pPr>
        <w:spacing w:line="360" w:lineRule="auto"/>
        <w:ind w:firstLine="960" w:firstLineChars="400"/>
        <w:rPr>
          <w:rFonts w:ascii="宋体" w:hAnsi="宋体" w:cs="宋体"/>
          <w:b/>
          <w:bCs/>
          <w:sz w:val="24"/>
          <w:lang w:val="zh-CN"/>
        </w:rPr>
      </w:pPr>
      <w:r>
        <w:rPr>
          <w:rFonts w:hint="eastAsia" w:ascii="宋体" w:hAnsi="宋体" w:cs="宋体"/>
          <w:sz w:val="24"/>
        </w:rPr>
        <w:t xml:space="preserve">    </w:t>
      </w:r>
    </w:p>
    <w:p>
      <w:pPr>
        <w:pStyle w:val="20"/>
        <w:snapToGrid w:val="0"/>
        <w:spacing w:line="480" w:lineRule="auto"/>
        <w:ind w:firstLine="562" w:firstLineChars="200"/>
        <w:jc w:val="left"/>
        <w:rPr>
          <w:rFonts w:hAnsi="宋体" w:cs="宋体"/>
          <w:b/>
          <w:sz w:val="28"/>
          <w:szCs w:val="28"/>
        </w:rPr>
      </w:pPr>
      <w:r>
        <w:rPr>
          <w:rFonts w:hint="eastAsia" w:hAnsi="宋体" w:cs="宋体"/>
          <w:b/>
          <w:bCs/>
          <w:sz w:val="28"/>
          <w:szCs w:val="28"/>
        </w:rPr>
        <w:t>一、谈判响应函</w:t>
      </w:r>
      <w:r>
        <w:rPr>
          <w:rFonts w:hint="eastAsia" w:hAnsi="宋体" w:cs="宋体"/>
          <w:b/>
          <w:sz w:val="28"/>
          <w:szCs w:val="28"/>
        </w:rPr>
        <w:t>………………………………………………… 页码</w:t>
      </w:r>
    </w:p>
    <w:p>
      <w:pPr>
        <w:pStyle w:val="20"/>
        <w:snapToGrid w:val="0"/>
        <w:spacing w:line="480" w:lineRule="auto"/>
        <w:ind w:firstLine="562" w:firstLineChars="200"/>
        <w:jc w:val="left"/>
        <w:rPr>
          <w:rFonts w:hAnsi="宋体" w:cs="宋体"/>
          <w:b/>
          <w:sz w:val="28"/>
          <w:szCs w:val="28"/>
        </w:rPr>
      </w:pPr>
      <w:r>
        <w:rPr>
          <w:rFonts w:hint="eastAsia" w:hAnsi="宋体" w:cs="宋体"/>
          <w:b/>
          <w:bCs/>
          <w:sz w:val="28"/>
          <w:szCs w:val="28"/>
        </w:rPr>
        <w:t>二、第一次谈判报价表</w:t>
      </w:r>
      <w:bookmarkStart w:id="198" w:name="_Toc2536"/>
      <w:bookmarkEnd w:id="198"/>
      <w:r>
        <w:rPr>
          <w:rFonts w:hint="eastAsia" w:hAnsi="宋体" w:cs="宋体"/>
          <w:b/>
          <w:sz w:val="28"/>
          <w:szCs w:val="28"/>
        </w:rPr>
        <w:t xml:space="preserve">………………………………………… </w:t>
      </w:r>
    </w:p>
    <w:p>
      <w:pPr>
        <w:pStyle w:val="20"/>
        <w:snapToGrid w:val="0"/>
        <w:spacing w:line="480" w:lineRule="auto"/>
        <w:ind w:firstLine="562" w:firstLineChars="200"/>
        <w:jc w:val="left"/>
        <w:rPr>
          <w:rFonts w:hAnsi="宋体" w:cs="宋体"/>
          <w:b/>
          <w:bCs/>
          <w:sz w:val="28"/>
          <w:szCs w:val="28"/>
        </w:rPr>
      </w:pPr>
      <w:r>
        <w:rPr>
          <w:rFonts w:hint="eastAsia" w:hAnsi="宋体" w:cs="宋体"/>
          <w:b/>
          <w:bCs/>
          <w:sz w:val="28"/>
          <w:szCs w:val="28"/>
        </w:rPr>
        <w:t>三、分项报价表………………………………………………</w:t>
      </w:r>
    </w:p>
    <w:p>
      <w:pPr>
        <w:pStyle w:val="20"/>
        <w:snapToGrid w:val="0"/>
        <w:spacing w:line="480" w:lineRule="auto"/>
        <w:ind w:firstLine="562" w:firstLineChars="200"/>
        <w:jc w:val="left"/>
        <w:rPr>
          <w:rFonts w:hAnsi="宋体" w:cs="宋体"/>
          <w:b/>
          <w:bCs/>
          <w:sz w:val="28"/>
          <w:szCs w:val="28"/>
        </w:rPr>
      </w:pPr>
      <w:r>
        <w:rPr>
          <w:rFonts w:hint="eastAsia" w:hAnsi="宋体" w:cs="宋体"/>
          <w:b/>
          <w:bCs/>
          <w:sz w:val="28"/>
          <w:szCs w:val="28"/>
        </w:rPr>
        <w:t>四、 采购内容偏离表…………………………………………</w:t>
      </w:r>
    </w:p>
    <w:p>
      <w:pPr>
        <w:pStyle w:val="20"/>
        <w:snapToGrid w:val="0"/>
        <w:spacing w:line="480" w:lineRule="auto"/>
        <w:ind w:firstLine="562" w:firstLineChars="200"/>
        <w:jc w:val="left"/>
        <w:rPr>
          <w:rFonts w:hAnsi="宋体" w:cs="宋体"/>
          <w:b/>
          <w:bCs/>
          <w:sz w:val="28"/>
          <w:szCs w:val="28"/>
        </w:rPr>
      </w:pPr>
      <w:r>
        <w:rPr>
          <w:rFonts w:hint="eastAsia" w:hAnsi="宋体" w:cs="宋体"/>
          <w:b/>
          <w:bCs/>
          <w:sz w:val="28"/>
          <w:szCs w:val="28"/>
        </w:rPr>
        <w:t>五、 商务响应偏离表…………………………………………</w:t>
      </w:r>
    </w:p>
    <w:p>
      <w:pPr>
        <w:pStyle w:val="20"/>
        <w:snapToGrid w:val="0"/>
        <w:spacing w:line="480" w:lineRule="auto"/>
        <w:ind w:firstLine="562" w:firstLineChars="200"/>
        <w:jc w:val="left"/>
        <w:rPr>
          <w:rFonts w:hAnsi="宋体" w:cs="宋体"/>
          <w:b/>
          <w:bCs/>
          <w:sz w:val="28"/>
          <w:szCs w:val="28"/>
        </w:rPr>
      </w:pPr>
      <w:r>
        <w:rPr>
          <w:rFonts w:hint="eastAsia" w:hAnsi="宋体" w:cs="宋体"/>
          <w:b/>
          <w:bCs/>
          <w:sz w:val="28"/>
          <w:szCs w:val="28"/>
        </w:rPr>
        <w:t>六、 谈判响应方案说明………………………………………</w:t>
      </w:r>
    </w:p>
    <w:p>
      <w:pPr>
        <w:pStyle w:val="20"/>
        <w:snapToGrid w:val="0"/>
        <w:spacing w:line="480" w:lineRule="auto"/>
        <w:ind w:firstLine="562" w:firstLineChars="200"/>
        <w:jc w:val="left"/>
        <w:rPr>
          <w:rFonts w:hAnsi="宋体" w:cs="宋体"/>
          <w:b/>
          <w:bCs/>
          <w:sz w:val="28"/>
          <w:szCs w:val="28"/>
        </w:rPr>
      </w:pPr>
      <w:r>
        <w:rPr>
          <w:rFonts w:hint="eastAsia" w:hAnsi="宋体" w:cs="宋体"/>
          <w:b/>
          <w:bCs/>
          <w:sz w:val="28"/>
          <w:szCs w:val="28"/>
        </w:rPr>
        <w:t>七、 业绩的有关证明材料……………………………………</w:t>
      </w:r>
    </w:p>
    <w:p>
      <w:pPr>
        <w:pStyle w:val="20"/>
        <w:snapToGrid w:val="0"/>
        <w:spacing w:line="480" w:lineRule="auto"/>
        <w:ind w:firstLine="562" w:firstLineChars="200"/>
        <w:jc w:val="left"/>
        <w:rPr>
          <w:rFonts w:hAnsi="宋体" w:cs="宋体"/>
          <w:b/>
          <w:bCs/>
          <w:sz w:val="28"/>
          <w:szCs w:val="28"/>
        </w:rPr>
      </w:pPr>
      <w:r>
        <w:rPr>
          <w:rFonts w:hint="eastAsia" w:hAnsi="宋体" w:cs="宋体"/>
          <w:b/>
          <w:bCs/>
          <w:sz w:val="28"/>
          <w:szCs w:val="28"/>
        </w:rPr>
        <w:t>八、 供应商承诺书……………………………………………</w:t>
      </w:r>
    </w:p>
    <w:p>
      <w:pPr>
        <w:pStyle w:val="20"/>
        <w:snapToGrid w:val="0"/>
        <w:spacing w:line="480" w:lineRule="auto"/>
        <w:ind w:firstLine="562" w:firstLineChars="200"/>
        <w:jc w:val="left"/>
        <w:rPr>
          <w:rFonts w:hAnsi="宋体" w:cs="宋体"/>
          <w:b/>
          <w:bCs/>
          <w:sz w:val="28"/>
          <w:szCs w:val="28"/>
        </w:rPr>
      </w:pPr>
      <w:r>
        <w:rPr>
          <w:rFonts w:hint="eastAsia" w:hAnsi="宋体" w:cs="宋体"/>
          <w:b/>
          <w:bCs/>
          <w:sz w:val="28"/>
          <w:szCs w:val="28"/>
        </w:rPr>
        <w:t>九、 拒绝政府采购领域商业贿赂承诺书……………………</w:t>
      </w:r>
    </w:p>
    <w:p>
      <w:pPr>
        <w:pStyle w:val="20"/>
        <w:snapToGrid w:val="0"/>
        <w:spacing w:line="480" w:lineRule="auto"/>
        <w:ind w:firstLine="562" w:firstLineChars="200"/>
        <w:jc w:val="left"/>
        <w:rPr>
          <w:rFonts w:hAnsi="宋体" w:cs="宋体"/>
          <w:b/>
          <w:bCs/>
          <w:sz w:val="28"/>
          <w:szCs w:val="28"/>
        </w:rPr>
      </w:pPr>
      <w:r>
        <w:rPr>
          <w:rFonts w:hint="eastAsia" w:hAnsi="宋体" w:cs="宋体"/>
          <w:b/>
          <w:bCs/>
          <w:sz w:val="28"/>
          <w:szCs w:val="28"/>
        </w:rPr>
        <w:t>十、落实政府采购政策需提供的相关材料及供应商认为有必要</w:t>
      </w:r>
    </w:p>
    <w:p>
      <w:pPr>
        <w:pStyle w:val="20"/>
        <w:snapToGrid w:val="0"/>
        <w:spacing w:line="480" w:lineRule="auto"/>
        <w:ind w:firstLine="562" w:firstLineChars="200"/>
        <w:jc w:val="left"/>
        <w:rPr>
          <w:rFonts w:hAnsi="宋体" w:cs="宋体"/>
          <w:b/>
          <w:bCs/>
          <w:sz w:val="28"/>
          <w:szCs w:val="28"/>
        </w:rPr>
        <w:sectPr>
          <w:headerReference r:id="rId9" w:type="first"/>
          <w:footerReference r:id="rId11" w:type="first"/>
          <w:footerReference r:id="rId10" w:type="default"/>
          <w:pgSz w:w="11906" w:h="16838"/>
          <w:pgMar w:top="1418" w:right="1418" w:bottom="1418" w:left="1218" w:header="851" w:footer="737" w:gutter="0"/>
          <w:pgNumType w:fmt="decimal"/>
          <w:cols w:space="720" w:num="1"/>
          <w:titlePg/>
          <w:docGrid w:linePitch="312" w:charSpace="0"/>
        </w:sectPr>
      </w:pPr>
      <w:r>
        <w:rPr>
          <w:rFonts w:hint="eastAsia" w:hAnsi="宋体" w:cs="宋体"/>
          <w:b/>
          <w:bCs/>
          <w:sz w:val="28"/>
          <w:szCs w:val="28"/>
        </w:rPr>
        <w:t>补充说明的事项……………………………………………</w:t>
      </w:r>
    </w:p>
    <w:p>
      <w:pPr>
        <w:pStyle w:val="4"/>
        <w:spacing w:before="0" w:after="0" w:line="440" w:lineRule="exact"/>
        <w:jc w:val="center"/>
        <w:rPr>
          <w:rFonts w:ascii="宋体" w:hAnsi="宋体" w:eastAsia="宋体" w:cs="宋体"/>
          <w:bCs/>
          <w:sz w:val="32"/>
          <w:szCs w:val="32"/>
        </w:rPr>
      </w:pPr>
      <w:bookmarkStart w:id="199" w:name="_Toc26840"/>
      <w:r>
        <w:rPr>
          <w:rFonts w:hint="eastAsia" w:ascii="宋体" w:hAnsi="宋体" w:eastAsia="宋体" w:cs="宋体"/>
          <w:bCs/>
          <w:sz w:val="32"/>
          <w:szCs w:val="32"/>
        </w:rPr>
        <w:t>一、谈判响应函</w:t>
      </w:r>
      <w:bookmarkEnd w:id="199"/>
    </w:p>
    <w:p>
      <w:pPr>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textAlignment w:val="auto"/>
        <w:rPr>
          <w:rFonts w:ascii="宋体" w:hAnsi="宋体" w:cs="宋体"/>
          <w:b/>
          <w:bCs/>
          <w:sz w:val="24"/>
        </w:rPr>
      </w:pPr>
      <w:r>
        <w:rPr>
          <w:rFonts w:hint="eastAsia" w:ascii="宋体" w:hAnsi="宋体" w:cs="宋体"/>
          <w:b/>
          <w:bCs/>
          <w:sz w:val="24"/>
        </w:rPr>
        <w:t>陕西明正招标有限公司：</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我单位收到贵公司关于</w:t>
      </w:r>
      <w:r>
        <w:rPr>
          <w:rFonts w:hint="eastAsia" w:ascii="宋体" w:hAnsi="宋体" w:cs="宋体"/>
          <w:sz w:val="24"/>
          <w:u w:val="single"/>
        </w:rPr>
        <w:t xml:space="preserve">        (项目名称：）   （项目编号：）      </w:t>
      </w:r>
      <w:r>
        <w:rPr>
          <w:rFonts w:hint="eastAsia" w:ascii="宋体" w:hAnsi="宋体" w:cs="宋体"/>
          <w:sz w:val="24"/>
        </w:rPr>
        <w:t>的谈判文件，经详细研究，我们决定参加本次竞争性谈判活动并响应。为此，我方郑重声明以下诸点，并负法律责任。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一、愿意按照谈判文件中的一切要求，向采购人提供所需所有货物和服务。</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sz w:val="24"/>
        </w:rPr>
      </w:pPr>
      <w:r>
        <w:rPr>
          <w:rFonts w:hint="eastAsia" w:ascii="宋体" w:hAnsi="宋体" w:cs="宋体"/>
          <w:sz w:val="24"/>
        </w:rPr>
        <w:t>二、按谈判文件的规定，我公司的第一次谈判总报价为：人民币（大写）：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元），并对其后的谈判报价负法律责任。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三、我方提交的谈判响应文件正本一份、副本三份及电子版一份，并保证谈判响应文件提供的数据和材料真实、准确。否则，愿承担相关的法律责任。</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四、我方已详细阅读了谈判文件，并同意和放弃对谈判文件不明或误解而询问、质疑和投诉的权利。</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五、我方愿意向贵方提供任何与本次谈判有关的数据、情况、样品（如涉及）和技术资料，若贵方需要，我方愿意提供我方做出的一切承诺的证明材料。</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六、我方的谈判响应文件有效期为自谈判截止之日起</w:t>
      </w:r>
      <w:r>
        <w:rPr>
          <w:rFonts w:hint="eastAsia" w:ascii="宋体" w:hAnsi="宋体" w:cs="宋体"/>
          <w:sz w:val="24"/>
          <w:u w:val="single"/>
        </w:rPr>
        <w:t xml:space="preserve">      </w:t>
      </w:r>
      <w:r>
        <w:rPr>
          <w:rFonts w:hint="eastAsia" w:ascii="宋体" w:hAnsi="宋体" w:cs="宋体"/>
          <w:sz w:val="24"/>
        </w:rPr>
        <w:t>个日历日。谈判后在规定的谈判有效期内撤回谈判，我们愿接受政府采购的有关处罚决定。</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七、我方承诺遵守《中华人民共和国政府采购法》及其实施条例的有关规定，保证在获得成交资格后：</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（1）按照谈判文件确定的事项签订合同，履行双方所签订的合同，并承担合同规定的责任和义务；</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（2）我方保证按规定和标准向贵方缴纳成交服务费；</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（3）谈判响应文件有效期延长至合同履行完毕。</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八、我方完全理解最低报价不是成交的唯一条件，并尊重谈判小组的评审结论和成交结果。</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s="宋体"/>
          <w:sz w:val="24"/>
        </w:rPr>
      </w:pPr>
      <w:r>
        <w:rPr>
          <w:rFonts w:hint="eastAsia" w:ascii="宋体" w:hAnsi="宋体" w:cs="宋体"/>
          <w:sz w:val="24"/>
        </w:rPr>
        <w:t>九、有关于本谈判响应文件的函电，请按下列地址联系:</w:t>
      </w:r>
    </w:p>
    <w:p>
      <w:p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供应商全称（公章）：</w:t>
      </w:r>
      <w:r>
        <w:rPr>
          <w:rFonts w:hint="eastAsia" w:ascii="宋体" w:hAnsi="宋体" w:cs="宋体"/>
          <w:sz w:val="24"/>
          <w:u w:val="single"/>
        </w:rPr>
        <w:t xml:space="preserve">                                </w:t>
      </w:r>
      <w:r>
        <w:rPr>
          <w:rFonts w:hint="eastAsia" w:ascii="宋体" w:hAnsi="宋体" w:cs="宋体"/>
          <w:sz w:val="24"/>
        </w:rPr>
        <w:t xml:space="preserve"> </w:t>
      </w:r>
    </w:p>
    <w:p>
      <w:p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法定代表人或授权代表（</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b/>
          <w:bCs/>
          <w:sz w:val="24"/>
          <w:u w:val="single"/>
        </w:rPr>
        <w:t xml:space="preserve">                                          </w:t>
      </w:r>
    </w:p>
    <w:p>
      <w:p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开户银行：</w:t>
      </w:r>
      <w:r>
        <w:rPr>
          <w:rFonts w:hint="eastAsia" w:ascii="宋体" w:hAnsi="宋体" w:cs="宋体"/>
          <w:b/>
          <w:bCs/>
          <w:sz w:val="24"/>
          <w:u w:val="single"/>
        </w:rPr>
        <w:t xml:space="preserve">                                          </w:t>
      </w:r>
    </w:p>
    <w:p>
      <w:p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帐    号：</w:t>
      </w:r>
      <w:r>
        <w:rPr>
          <w:rFonts w:hint="eastAsia" w:ascii="宋体" w:hAnsi="宋体" w:cs="宋体"/>
          <w:b/>
          <w:bCs/>
          <w:sz w:val="24"/>
          <w:u w:val="single"/>
        </w:rPr>
        <w:t xml:space="preserve">                                          </w:t>
      </w:r>
    </w:p>
    <w:p>
      <w:p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电    话：</w:t>
      </w:r>
      <w:r>
        <w:rPr>
          <w:rFonts w:hint="eastAsia" w:ascii="宋体" w:hAnsi="宋体" w:cs="宋体"/>
          <w:b/>
          <w:bCs/>
          <w:sz w:val="24"/>
          <w:u w:val="single"/>
        </w:rPr>
        <w:t xml:space="preserve">                                          </w:t>
      </w:r>
    </w:p>
    <w:p>
      <w:pPr>
        <w:autoSpaceDE w:val="0"/>
        <w:autoSpaceDN w:val="0"/>
        <w:adjustRightInd w:val="0"/>
        <w:spacing w:line="360" w:lineRule="exact"/>
        <w:ind w:firstLine="480" w:firstLineChars="200"/>
        <w:rPr>
          <w:rFonts w:hint="eastAsia" w:ascii="宋体" w:hAnsi="宋体" w:cs="宋体"/>
          <w:b/>
          <w:bCs/>
          <w:sz w:val="24"/>
          <w:u w:val="single"/>
        </w:rPr>
      </w:pPr>
      <w:r>
        <w:rPr>
          <w:rFonts w:hint="eastAsia" w:ascii="宋体" w:hAnsi="宋体" w:cs="宋体"/>
          <w:sz w:val="24"/>
        </w:rPr>
        <w:t>邮    编：</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p>
    <w:p>
      <w:pPr>
        <w:autoSpaceDE w:val="0"/>
        <w:autoSpaceDN w:val="0"/>
        <w:adjustRightInd w:val="0"/>
        <w:spacing w:line="360" w:lineRule="exact"/>
        <w:ind w:firstLine="6480" w:firstLineChars="27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4"/>
        <w:spacing w:line="360" w:lineRule="exact"/>
        <w:rPr>
          <w:rFonts w:ascii="宋体" w:hAnsi="宋体" w:cs="宋体"/>
          <w:sz w:val="24"/>
        </w:rPr>
      </w:pPr>
    </w:p>
    <w:p>
      <w:pPr>
        <w:pStyle w:val="24"/>
        <w:spacing w:line="360" w:lineRule="exact"/>
        <w:rPr>
          <w:rFonts w:ascii="宋体" w:hAnsi="宋体" w:cs="宋体"/>
          <w:sz w:val="24"/>
        </w:rPr>
      </w:pPr>
    </w:p>
    <w:p>
      <w:pPr>
        <w:pStyle w:val="4"/>
        <w:spacing w:before="0" w:after="120" w:afterLines="50" w:line="360" w:lineRule="auto"/>
        <w:ind w:firstLine="2715" w:firstLineChars="845"/>
        <w:rPr>
          <w:rFonts w:ascii="宋体" w:hAnsi="宋体" w:eastAsia="宋体" w:cs="宋体"/>
          <w:bCs/>
          <w:kern w:val="2"/>
          <w:sz w:val="32"/>
          <w:szCs w:val="32"/>
        </w:rPr>
      </w:pPr>
      <w:bookmarkStart w:id="200" w:name="_Toc28494"/>
      <w:bookmarkEnd w:id="200"/>
      <w:bookmarkStart w:id="201" w:name="_Toc10167"/>
      <w:bookmarkStart w:id="202" w:name="_Toc16265264"/>
      <w:bookmarkStart w:id="203" w:name="_Toc29659"/>
      <w:bookmarkStart w:id="204" w:name="_Toc495913697"/>
      <w:r>
        <w:rPr>
          <w:rFonts w:hint="eastAsia" w:ascii="宋体" w:hAnsi="宋体" w:eastAsia="宋体" w:cs="宋体"/>
          <w:bCs/>
          <w:kern w:val="2"/>
          <w:sz w:val="32"/>
          <w:szCs w:val="32"/>
        </w:rPr>
        <w:t>二、第一次谈判报价表</w:t>
      </w:r>
      <w:bookmarkEnd w:id="201"/>
      <w:bookmarkEnd w:id="202"/>
      <w:bookmarkEnd w:id="203"/>
      <w:bookmarkEnd w:id="204"/>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893" w:type="dxa"/>
            <w:vAlign w:val="center"/>
          </w:tcPr>
          <w:p>
            <w:pPr>
              <w:jc w:val="center"/>
              <w:rPr>
                <w:rFonts w:ascii="宋体" w:hAnsi="宋体" w:cs="宋体"/>
                <w:sz w:val="24"/>
              </w:rPr>
            </w:pPr>
            <w:r>
              <w:rPr>
                <w:rFonts w:hint="eastAsia" w:ascii="宋体" w:hAnsi="宋体" w:cs="宋体"/>
                <w:sz w:val="24"/>
              </w:rPr>
              <w:t>项目名称</w:t>
            </w:r>
          </w:p>
        </w:tc>
        <w:tc>
          <w:tcPr>
            <w:tcW w:w="7366" w:type="dxa"/>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西安商贸旅游技师学院烹饪系实训室改造项目（二次）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893" w:type="dxa"/>
            <w:vAlign w:val="center"/>
          </w:tcPr>
          <w:p>
            <w:pPr>
              <w:jc w:val="center"/>
              <w:rPr>
                <w:rFonts w:ascii="宋体" w:hAnsi="宋体" w:cs="宋体"/>
                <w:sz w:val="24"/>
              </w:rPr>
            </w:pPr>
            <w:r>
              <w:rPr>
                <w:rFonts w:hint="eastAsia" w:ascii="宋体" w:hAnsi="宋体" w:cs="宋体"/>
                <w:sz w:val="24"/>
              </w:rPr>
              <w:t>项目编号</w:t>
            </w:r>
          </w:p>
        </w:tc>
        <w:tc>
          <w:tcPr>
            <w:tcW w:w="7366" w:type="dxa"/>
            <w:vAlign w:val="center"/>
          </w:tcPr>
          <w:p>
            <w:pPr>
              <w:jc w:val="center"/>
              <w:rPr>
                <w:rFonts w:hint="eastAsia" w:ascii="宋体" w:hAnsi="宋体" w:eastAsia="宋体" w:cs="宋体"/>
                <w:sz w:val="24"/>
                <w:lang w:eastAsia="zh-CN"/>
              </w:rPr>
            </w:pPr>
            <w:r>
              <w:rPr>
                <w:rFonts w:hint="eastAsia" w:ascii="宋体" w:hAnsi="宋体" w:cs="宋体"/>
                <w:bCs/>
                <w:sz w:val="24"/>
                <w:highlight w:val="none"/>
                <w:lang w:eastAsia="zh-CN"/>
              </w:rPr>
              <w:t>MZ2022-TP1070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893" w:type="dxa"/>
            <w:vAlign w:val="center"/>
          </w:tcPr>
          <w:p>
            <w:pPr>
              <w:jc w:val="center"/>
              <w:rPr>
                <w:rFonts w:ascii="宋体" w:hAnsi="宋体" w:cs="宋体"/>
              </w:rPr>
            </w:pPr>
            <w:r>
              <w:rPr>
                <w:rFonts w:hint="eastAsia" w:ascii="宋体" w:hAnsi="宋体" w:cs="宋体"/>
                <w:sz w:val="24"/>
              </w:rPr>
              <w:t>谈判总报价（元）</w:t>
            </w:r>
          </w:p>
        </w:tc>
        <w:tc>
          <w:tcPr>
            <w:tcW w:w="7366" w:type="dxa"/>
            <w:vAlign w:val="center"/>
          </w:tcPr>
          <w:p>
            <w:pPr>
              <w:widowControl/>
              <w:ind w:firstLine="240" w:firstLineChars="100"/>
              <w:jc w:val="left"/>
              <w:rPr>
                <w:rFonts w:ascii="宋体" w:hAnsi="宋体" w:cs="宋体"/>
                <w:sz w:val="24"/>
              </w:rPr>
            </w:pPr>
            <w:r>
              <w:rPr>
                <w:rFonts w:hint="eastAsia" w:ascii="宋体" w:hAnsi="宋体" w:cs="宋体"/>
                <w:sz w:val="24"/>
              </w:rPr>
              <w:t>大写：</w:t>
            </w:r>
          </w:p>
          <w:p>
            <w:pPr>
              <w:widowControl/>
              <w:jc w:val="left"/>
              <w:rPr>
                <w:rFonts w:ascii="宋体" w:hAnsi="宋体" w:cs="宋体"/>
                <w:sz w:val="24"/>
              </w:rPr>
            </w:pPr>
          </w:p>
          <w:p>
            <w:pPr>
              <w:ind w:firstLine="240" w:firstLineChars="100"/>
              <w:rPr>
                <w:rFonts w:ascii="宋体" w:hAnsi="宋体" w:cs="宋体"/>
                <w:sz w:val="24"/>
              </w:rPr>
            </w:pP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9259" w:type="dxa"/>
            <w:gridSpan w:val="2"/>
            <w:vAlign w:val="center"/>
          </w:tcPr>
          <w:p>
            <w:pPr>
              <w:widowControl/>
              <w:rPr>
                <w:rFonts w:ascii="宋体" w:hAnsi="宋体" w:cs="宋体"/>
                <w:bCs/>
                <w:kern w:val="0"/>
                <w:sz w:val="24"/>
              </w:rPr>
            </w:pPr>
            <w:r>
              <w:rPr>
                <w:rFonts w:hint="eastAsia" w:ascii="宋体" w:hAnsi="宋体" w:cs="宋体"/>
                <w:bCs/>
                <w:kern w:val="0"/>
                <w:sz w:val="24"/>
              </w:rPr>
              <w:t>说明：报价以元为单位，大小写不一致时，以大写为准。</w:t>
            </w:r>
          </w:p>
        </w:tc>
      </w:tr>
    </w:tbl>
    <w:p>
      <w:pPr>
        <w:autoSpaceDE w:val="0"/>
        <w:autoSpaceDN w:val="0"/>
        <w:adjustRightInd w:val="0"/>
        <w:spacing w:line="360" w:lineRule="auto"/>
        <w:jc w:val="left"/>
        <w:rPr>
          <w:rFonts w:ascii="宋体" w:hAnsi="宋体" w:cs="宋体"/>
          <w:sz w:val="24"/>
        </w:rPr>
      </w:pPr>
      <w:r>
        <w:rPr>
          <w:rFonts w:hint="eastAsia" w:ascii="宋体" w:hAnsi="宋体" w:cs="宋体"/>
          <w:b/>
          <w:bCs/>
          <w:sz w:val="24"/>
        </w:rPr>
        <w:t xml:space="preserve">                                                                     </w:t>
      </w:r>
    </w:p>
    <w:p>
      <w:pPr>
        <w:spacing w:line="360" w:lineRule="auto"/>
        <w:ind w:firstLine="4560" w:firstLineChars="1900"/>
        <w:jc w:val="left"/>
        <w:rPr>
          <w:rFonts w:ascii="宋体" w:hAnsi="宋体" w:cs="宋体"/>
          <w:sz w:val="24"/>
        </w:rPr>
      </w:pPr>
    </w:p>
    <w:p>
      <w:pPr>
        <w:pStyle w:val="125"/>
        <w:rPr>
          <w:rFonts w:ascii="宋体" w:hAnsi="宋体" w:cs="宋体"/>
        </w:rPr>
      </w:pPr>
    </w:p>
    <w:p>
      <w:pPr>
        <w:pStyle w:val="125"/>
        <w:rPr>
          <w:rFonts w:ascii="宋体" w:hAnsi="宋体" w:cs="宋体"/>
        </w:rPr>
      </w:pPr>
    </w:p>
    <w:p>
      <w:pPr>
        <w:spacing w:line="360" w:lineRule="auto"/>
        <w:ind w:firstLine="4560" w:firstLineChars="1900"/>
        <w:jc w:val="left"/>
        <w:rPr>
          <w:rFonts w:ascii="宋体" w:hAnsi="宋体" w:cs="宋体"/>
          <w:sz w:val="24"/>
        </w:rPr>
      </w:pPr>
    </w:p>
    <w:p>
      <w:pPr>
        <w:adjustRightInd w:val="0"/>
        <w:snapToGrid w:val="0"/>
        <w:spacing w:line="360" w:lineRule="auto"/>
        <w:ind w:firstLine="3840" w:firstLineChars="16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adjustRightInd w:val="0"/>
        <w:snapToGrid w:val="0"/>
        <w:spacing w:line="360" w:lineRule="auto"/>
        <w:ind w:firstLine="3840" w:firstLineChars="1600"/>
        <w:jc w:val="left"/>
        <w:rPr>
          <w:rFonts w:ascii="宋体" w:hAnsi="宋体" w:cs="宋体"/>
          <w:sz w:val="24"/>
          <w:u w:val="single"/>
        </w:rPr>
      </w:pPr>
      <w:r>
        <w:rPr>
          <w:rFonts w:hint="eastAsia" w:ascii="宋体" w:hAnsi="宋体" w:cs="宋体"/>
          <w:sz w:val="24"/>
        </w:rPr>
        <w:t>法定代表人或授权代表（</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p>
    <w:p>
      <w:pPr>
        <w:adjustRightInd w:val="0"/>
        <w:snapToGrid w:val="0"/>
        <w:spacing w:line="360" w:lineRule="auto"/>
        <w:ind w:firstLine="3840" w:firstLineChars="1600"/>
        <w:jc w:val="left"/>
        <w:rPr>
          <w:rFonts w:ascii="宋体" w:hAnsi="宋体" w:cs="宋体"/>
          <w:b/>
          <w:bCs/>
          <w:sz w:val="32"/>
          <w:szCs w:val="32"/>
        </w:rPr>
      </w:pPr>
      <w:r>
        <w:rPr>
          <w:rFonts w:hint="eastAsia" w:ascii="宋体" w:hAnsi="宋体" w:cs="宋体"/>
          <w:sz w:val="24"/>
        </w:rPr>
        <w:t>日    期：</w:t>
      </w:r>
      <w:r>
        <w:rPr>
          <w:rFonts w:hint="eastAsia" w:ascii="宋体" w:hAnsi="宋体" w:cs="宋体"/>
          <w:sz w:val="24"/>
          <w:u w:val="single"/>
        </w:rPr>
        <w:t xml:space="preserve">                               </w:t>
      </w:r>
      <w:bookmarkStart w:id="205" w:name="_Toc22273"/>
    </w:p>
    <w:p>
      <w:pPr>
        <w:pStyle w:val="4"/>
        <w:spacing w:before="0" w:after="120" w:afterLines="50" w:line="360" w:lineRule="auto"/>
        <w:jc w:val="center"/>
        <w:rPr>
          <w:rFonts w:ascii="宋体" w:hAnsi="宋体" w:eastAsia="宋体" w:cs="宋体"/>
          <w:bCs/>
          <w:sz w:val="32"/>
          <w:szCs w:val="32"/>
        </w:rPr>
      </w:pPr>
      <w:r>
        <w:rPr>
          <w:rFonts w:hint="eastAsia" w:hAnsi="宋体" w:cs="宋体"/>
          <w:b w:val="0"/>
          <w:bCs/>
          <w:sz w:val="32"/>
          <w:szCs w:val="32"/>
        </w:rPr>
        <w:br w:type="page"/>
      </w:r>
      <w:bookmarkEnd w:id="205"/>
      <w:bookmarkStart w:id="206" w:name="_Toc6710"/>
      <w:bookmarkStart w:id="207" w:name="_Toc21487"/>
      <w:bookmarkStart w:id="208" w:name="_Toc10983"/>
      <w:bookmarkStart w:id="209" w:name="_Toc536"/>
      <w:bookmarkStart w:id="210" w:name="_Toc21080"/>
      <w:bookmarkStart w:id="211" w:name="_Toc25601"/>
      <w:bookmarkStart w:id="212" w:name="_Toc23697"/>
      <w:bookmarkStart w:id="213" w:name="_Toc25790"/>
      <w:bookmarkStart w:id="214" w:name="_Toc5624"/>
      <w:r>
        <w:rPr>
          <w:rFonts w:hint="eastAsia" w:ascii="宋体" w:hAnsi="宋体" w:eastAsia="宋体" w:cs="宋体"/>
          <w:bCs/>
          <w:sz w:val="32"/>
          <w:szCs w:val="32"/>
        </w:rPr>
        <w:t>三、分项报价表</w:t>
      </w:r>
      <w:bookmarkEnd w:id="206"/>
      <w:bookmarkEnd w:id="207"/>
      <w:bookmarkEnd w:id="208"/>
      <w:bookmarkEnd w:id="209"/>
      <w:bookmarkEnd w:id="210"/>
      <w:bookmarkEnd w:id="211"/>
      <w:bookmarkEnd w:id="212"/>
      <w:bookmarkEnd w:id="213"/>
      <w:bookmarkEnd w:id="214"/>
    </w:p>
    <w:tbl>
      <w:tblPr>
        <w:tblStyle w:val="36"/>
        <w:tblW w:w="96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2"/>
        <w:gridCol w:w="1579"/>
        <w:gridCol w:w="1177"/>
        <w:gridCol w:w="1363"/>
        <w:gridCol w:w="1874"/>
        <w:gridCol w:w="990"/>
        <w:gridCol w:w="1096"/>
        <w:gridCol w:w="8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8" w:hRule="atLeast"/>
          <w:jc w:val="center"/>
        </w:trPr>
        <w:tc>
          <w:tcPr>
            <w:tcW w:w="752" w:type="dxa"/>
            <w:vAlign w:val="center"/>
          </w:tcPr>
          <w:p>
            <w:pPr>
              <w:adjustRightInd w:val="0"/>
              <w:snapToGrid w:val="0"/>
              <w:jc w:val="center"/>
              <w:rPr>
                <w:rFonts w:ascii="宋体" w:hAnsi="宋体" w:cs="宋体"/>
                <w:b/>
                <w:sz w:val="24"/>
              </w:rPr>
            </w:pPr>
            <w:r>
              <w:rPr>
                <w:rFonts w:hint="eastAsia" w:ascii="宋体" w:hAnsi="宋体" w:cs="宋体"/>
                <w:b/>
                <w:sz w:val="24"/>
              </w:rPr>
              <w:t>一</w:t>
            </w:r>
          </w:p>
        </w:tc>
        <w:tc>
          <w:tcPr>
            <w:tcW w:w="8947" w:type="dxa"/>
            <w:gridSpan w:val="7"/>
            <w:vAlign w:val="center"/>
          </w:tcPr>
          <w:p>
            <w:pPr>
              <w:adjustRightInd w:val="0"/>
              <w:snapToGrid w:val="0"/>
              <w:jc w:val="center"/>
              <w:rPr>
                <w:rFonts w:ascii="宋体" w:hAnsi="宋体" w:cs="宋体"/>
                <w:b/>
                <w:sz w:val="24"/>
              </w:rPr>
            </w:pPr>
            <w:r>
              <w:rPr>
                <w:rFonts w:hint="eastAsia" w:ascii="宋体" w:hAnsi="宋体" w:cs="宋体"/>
                <w:b/>
                <w:sz w:val="24"/>
              </w:rPr>
              <w:t>产品供应费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8" w:hRule="atLeast"/>
          <w:jc w:val="center"/>
        </w:trPr>
        <w:tc>
          <w:tcPr>
            <w:tcW w:w="752" w:type="dxa"/>
            <w:vAlign w:val="center"/>
          </w:tcPr>
          <w:p>
            <w:pPr>
              <w:adjustRightInd w:val="0"/>
              <w:snapToGrid w:val="0"/>
              <w:jc w:val="center"/>
              <w:rPr>
                <w:rFonts w:ascii="宋体" w:hAnsi="宋体" w:cs="宋体"/>
                <w:bCs/>
                <w:sz w:val="24"/>
              </w:rPr>
            </w:pPr>
            <w:r>
              <w:rPr>
                <w:rFonts w:hint="eastAsia" w:ascii="宋体" w:hAnsi="宋体" w:cs="宋体"/>
                <w:bCs/>
                <w:sz w:val="24"/>
              </w:rPr>
              <w:t>序号</w:t>
            </w:r>
          </w:p>
        </w:tc>
        <w:tc>
          <w:tcPr>
            <w:tcW w:w="1579" w:type="dxa"/>
            <w:vAlign w:val="center"/>
          </w:tcPr>
          <w:p>
            <w:pPr>
              <w:adjustRightInd w:val="0"/>
              <w:snapToGrid w:val="0"/>
              <w:jc w:val="center"/>
              <w:rPr>
                <w:rFonts w:ascii="宋体" w:hAnsi="宋体" w:cs="宋体"/>
                <w:bCs/>
                <w:sz w:val="24"/>
              </w:rPr>
            </w:pPr>
            <w:r>
              <w:rPr>
                <w:rFonts w:hint="eastAsia" w:ascii="宋体" w:hAnsi="宋体" w:cs="宋体"/>
                <w:bCs/>
                <w:sz w:val="24"/>
              </w:rPr>
              <w:t>名称</w:t>
            </w:r>
          </w:p>
        </w:tc>
        <w:tc>
          <w:tcPr>
            <w:tcW w:w="1177" w:type="dxa"/>
            <w:vAlign w:val="center"/>
          </w:tcPr>
          <w:p>
            <w:pPr>
              <w:adjustRightInd w:val="0"/>
              <w:snapToGrid w:val="0"/>
              <w:jc w:val="center"/>
              <w:rPr>
                <w:rFonts w:ascii="宋体" w:hAnsi="宋体" w:cs="宋体"/>
                <w:bCs/>
                <w:sz w:val="24"/>
              </w:rPr>
            </w:pPr>
            <w:r>
              <w:rPr>
                <w:rFonts w:hint="eastAsia" w:ascii="宋体" w:hAnsi="宋体" w:cs="宋体"/>
                <w:bCs/>
                <w:sz w:val="24"/>
              </w:rPr>
              <w:t>品牌</w:t>
            </w:r>
          </w:p>
        </w:tc>
        <w:tc>
          <w:tcPr>
            <w:tcW w:w="1363" w:type="dxa"/>
            <w:vAlign w:val="center"/>
          </w:tcPr>
          <w:p>
            <w:pPr>
              <w:adjustRightInd w:val="0"/>
              <w:snapToGrid w:val="0"/>
              <w:jc w:val="center"/>
              <w:rPr>
                <w:rFonts w:ascii="宋体" w:hAnsi="宋体" w:cs="宋体"/>
                <w:bCs/>
                <w:sz w:val="24"/>
              </w:rPr>
            </w:pPr>
            <w:r>
              <w:rPr>
                <w:rFonts w:hint="eastAsia" w:ascii="宋体" w:hAnsi="宋体" w:cs="宋体"/>
                <w:bCs/>
                <w:sz w:val="24"/>
              </w:rPr>
              <w:t>规格型号</w:t>
            </w:r>
          </w:p>
        </w:tc>
        <w:tc>
          <w:tcPr>
            <w:tcW w:w="1874" w:type="dxa"/>
            <w:vAlign w:val="center"/>
          </w:tcPr>
          <w:p>
            <w:pPr>
              <w:adjustRightInd w:val="0"/>
              <w:snapToGrid w:val="0"/>
              <w:jc w:val="center"/>
              <w:rPr>
                <w:rFonts w:ascii="宋体" w:hAnsi="宋体" w:cs="宋体"/>
                <w:bCs/>
                <w:sz w:val="24"/>
              </w:rPr>
            </w:pPr>
            <w:r>
              <w:rPr>
                <w:rFonts w:hint="eastAsia" w:ascii="宋体" w:hAnsi="宋体" w:cs="宋体"/>
                <w:bCs/>
                <w:sz w:val="24"/>
              </w:rPr>
              <w:t>制造商</w:t>
            </w:r>
          </w:p>
        </w:tc>
        <w:tc>
          <w:tcPr>
            <w:tcW w:w="990" w:type="dxa"/>
            <w:vAlign w:val="center"/>
          </w:tcPr>
          <w:p>
            <w:pPr>
              <w:adjustRightInd w:val="0"/>
              <w:snapToGrid w:val="0"/>
              <w:jc w:val="center"/>
              <w:rPr>
                <w:rFonts w:ascii="宋体" w:hAnsi="宋体" w:cs="宋体"/>
                <w:bCs/>
                <w:sz w:val="24"/>
              </w:rPr>
            </w:pPr>
            <w:r>
              <w:rPr>
                <w:rFonts w:hint="eastAsia" w:ascii="宋体" w:hAnsi="宋体" w:cs="宋体"/>
                <w:bCs/>
                <w:sz w:val="24"/>
              </w:rPr>
              <w:t>数量/单位</w:t>
            </w:r>
          </w:p>
        </w:tc>
        <w:tc>
          <w:tcPr>
            <w:tcW w:w="1096" w:type="dxa"/>
            <w:vAlign w:val="center"/>
          </w:tcPr>
          <w:p>
            <w:pPr>
              <w:adjustRightInd w:val="0"/>
              <w:snapToGrid w:val="0"/>
              <w:jc w:val="center"/>
              <w:rPr>
                <w:rFonts w:ascii="宋体" w:hAnsi="宋体" w:cs="宋体"/>
                <w:bCs/>
                <w:sz w:val="24"/>
              </w:rPr>
            </w:pPr>
            <w:r>
              <w:rPr>
                <w:rFonts w:hint="eastAsia" w:ascii="宋体" w:hAnsi="宋体" w:cs="宋体"/>
                <w:bCs/>
                <w:sz w:val="24"/>
              </w:rPr>
              <w:t>单价（元）</w:t>
            </w:r>
          </w:p>
        </w:tc>
        <w:tc>
          <w:tcPr>
            <w:tcW w:w="868" w:type="dxa"/>
            <w:vAlign w:val="center"/>
          </w:tcPr>
          <w:p>
            <w:pPr>
              <w:adjustRightInd w:val="0"/>
              <w:snapToGrid w:val="0"/>
              <w:jc w:val="center"/>
              <w:rPr>
                <w:rFonts w:ascii="宋体" w:hAnsi="宋体" w:cs="宋体"/>
                <w:bCs/>
                <w:sz w:val="24"/>
              </w:rPr>
            </w:pPr>
            <w:r>
              <w:rPr>
                <w:rFonts w:hint="eastAsia" w:ascii="宋体" w:hAnsi="宋体" w:cs="宋体"/>
                <w:bCs/>
                <w:sz w:val="24"/>
              </w:rPr>
              <w:t>总价</w:t>
            </w:r>
          </w:p>
          <w:p>
            <w:pPr>
              <w:adjustRightInd w:val="0"/>
              <w:snapToGrid w:val="0"/>
              <w:jc w:val="center"/>
              <w:rPr>
                <w:rFonts w:ascii="宋体" w:hAnsi="宋体" w:cs="宋体"/>
                <w:bCs/>
                <w:sz w:val="24"/>
              </w:rPr>
            </w:pPr>
            <w:r>
              <w:rPr>
                <w:rFonts w:hint="eastAsia" w:ascii="宋体" w:hAnsi="宋体" w:cs="宋体"/>
                <w:bCs/>
                <w:sz w:val="24"/>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52" w:type="dxa"/>
            <w:vAlign w:val="center"/>
          </w:tcPr>
          <w:p>
            <w:pPr>
              <w:adjustRightInd w:val="0"/>
              <w:snapToGrid w:val="0"/>
              <w:jc w:val="center"/>
              <w:rPr>
                <w:rFonts w:ascii="宋体" w:hAnsi="宋体" w:cs="宋体"/>
                <w:bCs/>
                <w:sz w:val="24"/>
              </w:rPr>
            </w:pPr>
            <w:r>
              <w:rPr>
                <w:rFonts w:hint="eastAsia" w:ascii="宋体" w:hAnsi="宋体" w:cs="宋体"/>
                <w:bCs/>
                <w:sz w:val="24"/>
              </w:rPr>
              <w:t>1</w:t>
            </w:r>
          </w:p>
        </w:tc>
        <w:tc>
          <w:tcPr>
            <w:tcW w:w="1579" w:type="dxa"/>
            <w:vAlign w:val="center"/>
          </w:tcPr>
          <w:p>
            <w:pPr>
              <w:adjustRightInd w:val="0"/>
              <w:snapToGrid w:val="0"/>
              <w:jc w:val="center"/>
              <w:rPr>
                <w:rFonts w:ascii="宋体" w:hAnsi="宋体" w:cs="宋体"/>
                <w:bCs/>
                <w:sz w:val="24"/>
              </w:rPr>
            </w:pPr>
          </w:p>
        </w:tc>
        <w:tc>
          <w:tcPr>
            <w:tcW w:w="1177" w:type="dxa"/>
          </w:tcPr>
          <w:p>
            <w:pPr>
              <w:adjustRightInd w:val="0"/>
              <w:snapToGrid w:val="0"/>
              <w:spacing w:line="360" w:lineRule="auto"/>
              <w:ind w:firstLine="480" w:firstLineChars="200"/>
              <w:jc w:val="center"/>
              <w:rPr>
                <w:rFonts w:ascii="宋体" w:hAnsi="宋体" w:cs="宋体"/>
                <w:bCs/>
                <w:sz w:val="24"/>
              </w:rPr>
            </w:pPr>
          </w:p>
        </w:tc>
        <w:tc>
          <w:tcPr>
            <w:tcW w:w="1363" w:type="dxa"/>
          </w:tcPr>
          <w:p>
            <w:pPr>
              <w:adjustRightInd w:val="0"/>
              <w:snapToGrid w:val="0"/>
              <w:spacing w:line="360" w:lineRule="auto"/>
              <w:ind w:firstLine="480" w:firstLineChars="200"/>
              <w:jc w:val="center"/>
              <w:rPr>
                <w:rFonts w:ascii="宋体" w:hAnsi="宋体" w:cs="宋体"/>
                <w:bCs/>
                <w:sz w:val="24"/>
              </w:rPr>
            </w:pPr>
          </w:p>
        </w:tc>
        <w:tc>
          <w:tcPr>
            <w:tcW w:w="1874" w:type="dxa"/>
          </w:tcPr>
          <w:p>
            <w:pPr>
              <w:adjustRightInd w:val="0"/>
              <w:snapToGrid w:val="0"/>
              <w:spacing w:line="360" w:lineRule="auto"/>
              <w:ind w:firstLine="480" w:firstLineChars="200"/>
              <w:jc w:val="center"/>
              <w:rPr>
                <w:rFonts w:ascii="宋体" w:hAnsi="宋体" w:cs="宋体"/>
                <w:bCs/>
                <w:sz w:val="24"/>
              </w:rPr>
            </w:pPr>
          </w:p>
        </w:tc>
        <w:tc>
          <w:tcPr>
            <w:tcW w:w="990" w:type="dxa"/>
          </w:tcPr>
          <w:p>
            <w:pPr>
              <w:adjustRightInd w:val="0"/>
              <w:snapToGrid w:val="0"/>
              <w:spacing w:line="360" w:lineRule="auto"/>
              <w:ind w:firstLine="480" w:firstLineChars="200"/>
              <w:jc w:val="center"/>
              <w:rPr>
                <w:rFonts w:ascii="宋体" w:hAnsi="宋体" w:cs="宋体"/>
                <w:bCs/>
                <w:sz w:val="24"/>
              </w:rPr>
            </w:pPr>
          </w:p>
        </w:tc>
        <w:tc>
          <w:tcPr>
            <w:tcW w:w="1096" w:type="dxa"/>
            <w:vAlign w:val="center"/>
          </w:tcPr>
          <w:p>
            <w:pPr>
              <w:adjustRightInd w:val="0"/>
              <w:snapToGrid w:val="0"/>
              <w:spacing w:line="360" w:lineRule="auto"/>
              <w:ind w:firstLine="480" w:firstLineChars="200"/>
              <w:jc w:val="center"/>
              <w:rPr>
                <w:rFonts w:ascii="宋体" w:hAnsi="宋体" w:cs="宋体"/>
                <w:bCs/>
                <w:sz w:val="24"/>
              </w:rPr>
            </w:pPr>
          </w:p>
        </w:tc>
        <w:tc>
          <w:tcPr>
            <w:tcW w:w="868" w:type="dxa"/>
          </w:tcPr>
          <w:p>
            <w:pPr>
              <w:adjustRightInd w:val="0"/>
              <w:snapToGrid w:val="0"/>
              <w:spacing w:line="360" w:lineRule="auto"/>
              <w:ind w:firstLine="480" w:firstLineChars="200"/>
              <w:jc w:val="center"/>
              <w:rPr>
                <w:rFonts w:ascii="宋体" w:hAnsi="宋体" w:cs="宋体"/>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52" w:type="dxa"/>
            <w:vAlign w:val="center"/>
          </w:tcPr>
          <w:p>
            <w:pPr>
              <w:adjustRightInd w:val="0"/>
              <w:snapToGrid w:val="0"/>
              <w:jc w:val="center"/>
              <w:rPr>
                <w:rFonts w:ascii="宋体" w:hAnsi="宋体" w:cs="宋体"/>
                <w:bCs/>
                <w:sz w:val="24"/>
              </w:rPr>
            </w:pPr>
            <w:r>
              <w:rPr>
                <w:rFonts w:hint="eastAsia" w:ascii="宋体" w:hAnsi="宋体" w:cs="宋体"/>
                <w:bCs/>
                <w:sz w:val="24"/>
              </w:rPr>
              <w:t>2</w:t>
            </w:r>
          </w:p>
        </w:tc>
        <w:tc>
          <w:tcPr>
            <w:tcW w:w="1579" w:type="dxa"/>
            <w:vAlign w:val="center"/>
          </w:tcPr>
          <w:p>
            <w:pPr>
              <w:adjustRightInd w:val="0"/>
              <w:snapToGrid w:val="0"/>
              <w:jc w:val="center"/>
              <w:rPr>
                <w:rFonts w:ascii="宋体" w:hAnsi="宋体" w:cs="宋体"/>
                <w:bCs/>
                <w:sz w:val="24"/>
              </w:rPr>
            </w:pPr>
          </w:p>
        </w:tc>
        <w:tc>
          <w:tcPr>
            <w:tcW w:w="1177" w:type="dxa"/>
          </w:tcPr>
          <w:p>
            <w:pPr>
              <w:adjustRightInd w:val="0"/>
              <w:snapToGrid w:val="0"/>
              <w:spacing w:line="360" w:lineRule="auto"/>
              <w:ind w:firstLine="480" w:firstLineChars="200"/>
              <w:jc w:val="center"/>
              <w:rPr>
                <w:rFonts w:ascii="宋体" w:hAnsi="宋体" w:cs="宋体"/>
                <w:bCs/>
                <w:sz w:val="24"/>
              </w:rPr>
            </w:pPr>
          </w:p>
        </w:tc>
        <w:tc>
          <w:tcPr>
            <w:tcW w:w="1363" w:type="dxa"/>
          </w:tcPr>
          <w:p>
            <w:pPr>
              <w:adjustRightInd w:val="0"/>
              <w:snapToGrid w:val="0"/>
              <w:spacing w:line="360" w:lineRule="auto"/>
              <w:ind w:firstLine="480" w:firstLineChars="200"/>
              <w:jc w:val="center"/>
              <w:rPr>
                <w:rFonts w:ascii="宋体" w:hAnsi="宋体" w:cs="宋体"/>
                <w:bCs/>
                <w:sz w:val="24"/>
              </w:rPr>
            </w:pPr>
          </w:p>
        </w:tc>
        <w:tc>
          <w:tcPr>
            <w:tcW w:w="1874" w:type="dxa"/>
          </w:tcPr>
          <w:p>
            <w:pPr>
              <w:adjustRightInd w:val="0"/>
              <w:snapToGrid w:val="0"/>
              <w:spacing w:line="360" w:lineRule="auto"/>
              <w:ind w:firstLine="480" w:firstLineChars="200"/>
              <w:jc w:val="center"/>
              <w:rPr>
                <w:rFonts w:ascii="宋体" w:hAnsi="宋体" w:cs="宋体"/>
                <w:bCs/>
                <w:sz w:val="24"/>
              </w:rPr>
            </w:pPr>
          </w:p>
        </w:tc>
        <w:tc>
          <w:tcPr>
            <w:tcW w:w="990" w:type="dxa"/>
          </w:tcPr>
          <w:p>
            <w:pPr>
              <w:adjustRightInd w:val="0"/>
              <w:snapToGrid w:val="0"/>
              <w:spacing w:line="360" w:lineRule="auto"/>
              <w:ind w:firstLine="480" w:firstLineChars="200"/>
              <w:jc w:val="center"/>
              <w:rPr>
                <w:rFonts w:ascii="宋体" w:hAnsi="宋体" w:cs="宋体"/>
                <w:bCs/>
                <w:sz w:val="24"/>
              </w:rPr>
            </w:pPr>
          </w:p>
        </w:tc>
        <w:tc>
          <w:tcPr>
            <w:tcW w:w="1096" w:type="dxa"/>
            <w:vAlign w:val="center"/>
          </w:tcPr>
          <w:p>
            <w:pPr>
              <w:adjustRightInd w:val="0"/>
              <w:snapToGrid w:val="0"/>
              <w:spacing w:line="360" w:lineRule="auto"/>
              <w:ind w:firstLine="480" w:firstLineChars="200"/>
              <w:jc w:val="center"/>
              <w:rPr>
                <w:rFonts w:ascii="宋体" w:hAnsi="宋体" w:cs="宋体"/>
                <w:bCs/>
                <w:sz w:val="24"/>
              </w:rPr>
            </w:pPr>
          </w:p>
        </w:tc>
        <w:tc>
          <w:tcPr>
            <w:tcW w:w="868" w:type="dxa"/>
          </w:tcPr>
          <w:p>
            <w:pPr>
              <w:adjustRightInd w:val="0"/>
              <w:snapToGrid w:val="0"/>
              <w:spacing w:line="360" w:lineRule="auto"/>
              <w:ind w:firstLine="480" w:firstLineChars="200"/>
              <w:jc w:val="center"/>
              <w:rPr>
                <w:rFonts w:ascii="宋体" w:hAnsi="宋体" w:cs="宋体"/>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52" w:type="dxa"/>
            <w:vAlign w:val="center"/>
          </w:tcPr>
          <w:p>
            <w:pPr>
              <w:adjustRightInd w:val="0"/>
              <w:snapToGrid w:val="0"/>
              <w:jc w:val="center"/>
              <w:rPr>
                <w:rFonts w:ascii="宋体" w:hAnsi="宋体" w:cs="宋体"/>
                <w:bCs/>
                <w:sz w:val="24"/>
              </w:rPr>
            </w:pPr>
            <w:r>
              <w:rPr>
                <w:rFonts w:hint="eastAsia" w:ascii="宋体" w:hAnsi="宋体" w:cs="宋体"/>
                <w:bCs/>
                <w:sz w:val="24"/>
              </w:rPr>
              <w:t>3</w:t>
            </w:r>
          </w:p>
        </w:tc>
        <w:tc>
          <w:tcPr>
            <w:tcW w:w="1579" w:type="dxa"/>
            <w:vAlign w:val="center"/>
          </w:tcPr>
          <w:p>
            <w:pPr>
              <w:adjustRightInd w:val="0"/>
              <w:snapToGrid w:val="0"/>
              <w:jc w:val="center"/>
              <w:rPr>
                <w:rFonts w:ascii="宋体" w:hAnsi="宋体" w:cs="宋体"/>
                <w:bCs/>
                <w:sz w:val="24"/>
              </w:rPr>
            </w:pPr>
            <w:r>
              <w:rPr>
                <w:rFonts w:hint="eastAsia" w:ascii="宋体" w:hAnsi="宋体" w:cs="宋体"/>
                <w:bCs/>
                <w:sz w:val="24"/>
              </w:rPr>
              <w:t>……</w:t>
            </w:r>
          </w:p>
        </w:tc>
        <w:tc>
          <w:tcPr>
            <w:tcW w:w="1177" w:type="dxa"/>
          </w:tcPr>
          <w:p>
            <w:pPr>
              <w:adjustRightInd w:val="0"/>
              <w:snapToGrid w:val="0"/>
              <w:spacing w:line="360" w:lineRule="auto"/>
              <w:ind w:firstLine="480" w:firstLineChars="200"/>
              <w:jc w:val="center"/>
              <w:rPr>
                <w:rFonts w:ascii="宋体" w:hAnsi="宋体" w:cs="宋体"/>
                <w:bCs/>
                <w:sz w:val="24"/>
              </w:rPr>
            </w:pPr>
          </w:p>
        </w:tc>
        <w:tc>
          <w:tcPr>
            <w:tcW w:w="1363" w:type="dxa"/>
          </w:tcPr>
          <w:p>
            <w:pPr>
              <w:adjustRightInd w:val="0"/>
              <w:snapToGrid w:val="0"/>
              <w:spacing w:line="360" w:lineRule="auto"/>
              <w:ind w:firstLine="480" w:firstLineChars="200"/>
              <w:jc w:val="center"/>
              <w:rPr>
                <w:rFonts w:ascii="宋体" w:hAnsi="宋体" w:cs="宋体"/>
                <w:bCs/>
                <w:sz w:val="24"/>
              </w:rPr>
            </w:pPr>
          </w:p>
        </w:tc>
        <w:tc>
          <w:tcPr>
            <w:tcW w:w="1874" w:type="dxa"/>
          </w:tcPr>
          <w:p>
            <w:pPr>
              <w:adjustRightInd w:val="0"/>
              <w:snapToGrid w:val="0"/>
              <w:spacing w:line="360" w:lineRule="auto"/>
              <w:ind w:firstLine="480" w:firstLineChars="200"/>
              <w:jc w:val="center"/>
              <w:rPr>
                <w:rFonts w:ascii="宋体" w:hAnsi="宋体" w:cs="宋体"/>
                <w:bCs/>
                <w:sz w:val="24"/>
              </w:rPr>
            </w:pPr>
          </w:p>
        </w:tc>
        <w:tc>
          <w:tcPr>
            <w:tcW w:w="990" w:type="dxa"/>
          </w:tcPr>
          <w:p>
            <w:pPr>
              <w:adjustRightInd w:val="0"/>
              <w:snapToGrid w:val="0"/>
              <w:spacing w:line="360" w:lineRule="auto"/>
              <w:ind w:firstLine="480" w:firstLineChars="200"/>
              <w:jc w:val="center"/>
              <w:rPr>
                <w:rFonts w:ascii="宋体" w:hAnsi="宋体" w:cs="宋体"/>
                <w:bCs/>
                <w:sz w:val="24"/>
              </w:rPr>
            </w:pPr>
          </w:p>
        </w:tc>
        <w:tc>
          <w:tcPr>
            <w:tcW w:w="1096" w:type="dxa"/>
            <w:vAlign w:val="center"/>
          </w:tcPr>
          <w:p>
            <w:pPr>
              <w:adjustRightInd w:val="0"/>
              <w:snapToGrid w:val="0"/>
              <w:spacing w:line="360" w:lineRule="auto"/>
              <w:ind w:firstLine="480" w:firstLineChars="200"/>
              <w:jc w:val="center"/>
              <w:rPr>
                <w:rFonts w:ascii="宋体" w:hAnsi="宋体" w:cs="宋体"/>
                <w:bCs/>
                <w:sz w:val="24"/>
              </w:rPr>
            </w:pPr>
          </w:p>
        </w:tc>
        <w:tc>
          <w:tcPr>
            <w:tcW w:w="868" w:type="dxa"/>
          </w:tcPr>
          <w:p>
            <w:pPr>
              <w:adjustRightInd w:val="0"/>
              <w:snapToGrid w:val="0"/>
              <w:spacing w:line="360" w:lineRule="auto"/>
              <w:ind w:firstLine="480" w:firstLineChars="200"/>
              <w:jc w:val="center"/>
              <w:rPr>
                <w:rFonts w:ascii="宋体" w:hAnsi="宋体" w:cs="宋体"/>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52" w:type="dxa"/>
            <w:vAlign w:val="center"/>
          </w:tcPr>
          <w:p>
            <w:pPr>
              <w:adjustRightInd w:val="0"/>
              <w:snapToGrid w:val="0"/>
              <w:jc w:val="center"/>
              <w:rPr>
                <w:rFonts w:ascii="宋体" w:hAnsi="宋体" w:cs="宋体"/>
                <w:b/>
                <w:sz w:val="24"/>
              </w:rPr>
            </w:pPr>
            <w:r>
              <w:rPr>
                <w:rFonts w:hint="eastAsia" w:ascii="宋体" w:hAnsi="宋体" w:cs="宋体"/>
                <w:b/>
                <w:sz w:val="24"/>
              </w:rPr>
              <w:t>二</w:t>
            </w:r>
          </w:p>
        </w:tc>
        <w:tc>
          <w:tcPr>
            <w:tcW w:w="8947" w:type="dxa"/>
            <w:gridSpan w:val="7"/>
            <w:vAlign w:val="center"/>
          </w:tcPr>
          <w:p>
            <w:pPr>
              <w:adjustRightInd w:val="0"/>
              <w:snapToGrid w:val="0"/>
              <w:jc w:val="center"/>
              <w:rPr>
                <w:rFonts w:ascii="宋体" w:hAnsi="宋体" w:cs="宋体"/>
                <w:b/>
                <w:sz w:val="24"/>
              </w:rPr>
            </w:pPr>
            <w:r>
              <w:rPr>
                <w:rFonts w:hint="eastAsia" w:ascii="宋体" w:hAnsi="宋体" w:cs="宋体"/>
                <w:b/>
                <w:sz w:val="24"/>
              </w:rPr>
              <w:t>其他费用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52" w:type="dxa"/>
            <w:vAlign w:val="center"/>
          </w:tcPr>
          <w:p>
            <w:pPr>
              <w:adjustRightInd w:val="0"/>
              <w:snapToGrid w:val="0"/>
              <w:jc w:val="center"/>
              <w:rPr>
                <w:rFonts w:ascii="宋体" w:hAnsi="宋体" w:cs="宋体"/>
                <w:bCs/>
                <w:sz w:val="24"/>
              </w:rPr>
            </w:pPr>
            <w:r>
              <w:rPr>
                <w:rFonts w:hint="eastAsia" w:ascii="宋体" w:hAnsi="宋体" w:cs="宋体"/>
                <w:bCs/>
                <w:sz w:val="24"/>
              </w:rPr>
              <w:t>1</w:t>
            </w:r>
          </w:p>
        </w:tc>
        <w:tc>
          <w:tcPr>
            <w:tcW w:w="1579" w:type="dxa"/>
            <w:vAlign w:val="center"/>
          </w:tcPr>
          <w:p>
            <w:pPr>
              <w:adjustRightInd w:val="0"/>
              <w:snapToGrid w:val="0"/>
              <w:jc w:val="center"/>
              <w:rPr>
                <w:rFonts w:ascii="宋体" w:hAnsi="宋体" w:cs="宋体"/>
                <w:bCs/>
                <w:sz w:val="24"/>
              </w:rPr>
            </w:pPr>
            <w:r>
              <w:rPr>
                <w:rFonts w:hint="eastAsia" w:ascii="宋体" w:hAnsi="宋体" w:cs="宋体"/>
                <w:bCs/>
                <w:sz w:val="24"/>
              </w:rPr>
              <w:t>（费用名称）</w:t>
            </w:r>
          </w:p>
        </w:tc>
        <w:tc>
          <w:tcPr>
            <w:tcW w:w="6500" w:type="dxa"/>
            <w:gridSpan w:val="5"/>
            <w:vAlign w:val="center"/>
          </w:tcPr>
          <w:p>
            <w:pPr>
              <w:adjustRightInd w:val="0"/>
              <w:snapToGrid w:val="0"/>
              <w:jc w:val="center"/>
              <w:rPr>
                <w:rFonts w:ascii="宋体" w:hAnsi="宋体" w:cs="宋体"/>
                <w:bCs/>
                <w:sz w:val="24"/>
              </w:rPr>
            </w:pPr>
            <w:r>
              <w:rPr>
                <w:rFonts w:hint="eastAsia" w:ascii="宋体" w:hAnsi="宋体" w:cs="宋体"/>
                <w:bCs/>
                <w:sz w:val="24"/>
              </w:rPr>
              <w:t>（费用描述）</w:t>
            </w:r>
          </w:p>
        </w:tc>
        <w:tc>
          <w:tcPr>
            <w:tcW w:w="868" w:type="dxa"/>
          </w:tcPr>
          <w:p>
            <w:pPr>
              <w:adjustRightInd w:val="0"/>
              <w:snapToGrid w:val="0"/>
              <w:jc w:val="center"/>
              <w:rPr>
                <w:rFonts w:ascii="宋体" w:hAnsi="宋体" w:cs="宋体"/>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52" w:type="dxa"/>
            <w:vAlign w:val="center"/>
          </w:tcPr>
          <w:p>
            <w:pPr>
              <w:adjustRightInd w:val="0"/>
              <w:snapToGrid w:val="0"/>
              <w:jc w:val="center"/>
              <w:rPr>
                <w:rFonts w:ascii="宋体" w:hAnsi="宋体" w:cs="宋体"/>
                <w:bCs/>
                <w:sz w:val="24"/>
              </w:rPr>
            </w:pPr>
            <w:r>
              <w:rPr>
                <w:rFonts w:hint="eastAsia" w:ascii="宋体" w:hAnsi="宋体" w:cs="宋体"/>
                <w:bCs/>
                <w:sz w:val="24"/>
              </w:rPr>
              <w:t>2</w:t>
            </w:r>
          </w:p>
        </w:tc>
        <w:tc>
          <w:tcPr>
            <w:tcW w:w="1579" w:type="dxa"/>
            <w:vAlign w:val="center"/>
          </w:tcPr>
          <w:p>
            <w:pPr>
              <w:adjustRightInd w:val="0"/>
              <w:snapToGrid w:val="0"/>
              <w:jc w:val="center"/>
              <w:rPr>
                <w:rFonts w:hint="default" w:ascii="宋体" w:hAnsi="宋体" w:eastAsia="宋体" w:cs="宋体"/>
                <w:bCs/>
                <w:sz w:val="24"/>
                <w:lang w:val="en-US" w:eastAsia="zh-CN"/>
              </w:rPr>
            </w:pPr>
            <w:r>
              <w:rPr>
                <w:rFonts w:hint="eastAsia" w:ascii="宋体" w:hAnsi="宋体" w:cs="宋体"/>
                <w:bCs/>
                <w:sz w:val="24"/>
                <w:lang w:val="en-US" w:eastAsia="zh-CN"/>
              </w:rPr>
              <w:t>装修内容及要求</w:t>
            </w:r>
          </w:p>
        </w:tc>
        <w:tc>
          <w:tcPr>
            <w:tcW w:w="6500" w:type="dxa"/>
            <w:gridSpan w:val="5"/>
            <w:vAlign w:val="center"/>
          </w:tcPr>
          <w:p>
            <w:pPr>
              <w:adjustRightInd w:val="0"/>
              <w:snapToGrid w:val="0"/>
              <w:jc w:val="center"/>
              <w:rPr>
                <w:rFonts w:ascii="宋体" w:hAnsi="宋体" w:cs="宋体"/>
                <w:bCs/>
                <w:sz w:val="24"/>
              </w:rPr>
            </w:pPr>
          </w:p>
        </w:tc>
        <w:tc>
          <w:tcPr>
            <w:tcW w:w="868" w:type="dxa"/>
          </w:tcPr>
          <w:p>
            <w:pPr>
              <w:adjustRightInd w:val="0"/>
              <w:snapToGrid w:val="0"/>
              <w:jc w:val="center"/>
              <w:rPr>
                <w:rFonts w:ascii="宋体" w:hAnsi="宋体" w:cs="宋体"/>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52" w:type="dxa"/>
            <w:vAlign w:val="center"/>
          </w:tcPr>
          <w:p>
            <w:pPr>
              <w:adjustRightInd w:val="0"/>
              <w:snapToGrid w:val="0"/>
              <w:jc w:val="center"/>
              <w:rPr>
                <w:rFonts w:ascii="宋体" w:hAnsi="宋体" w:cs="宋体"/>
                <w:bCs/>
                <w:sz w:val="24"/>
              </w:rPr>
            </w:pPr>
            <w:r>
              <w:rPr>
                <w:rFonts w:hint="eastAsia" w:ascii="宋体" w:hAnsi="宋体" w:cs="宋体"/>
                <w:bCs/>
                <w:sz w:val="24"/>
              </w:rPr>
              <w:t>3</w:t>
            </w:r>
          </w:p>
        </w:tc>
        <w:tc>
          <w:tcPr>
            <w:tcW w:w="1579" w:type="dxa"/>
            <w:vAlign w:val="center"/>
          </w:tcPr>
          <w:p>
            <w:pPr>
              <w:adjustRightInd w:val="0"/>
              <w:snapToGrid w:val="0"/>
              <w:jc w:val="center"/>
              <w:rPr>
                <w:rFonts w:ascii="宋体" w:hAnsi="宋体" w:cs="宋体"/>
                <w:bCs/>
                <w:sz w:val="24"/>
              </w:rPr>
            </w:pPr>
            <w:r>
              <w:rPr>
                <w:rFonts w:hint="eastAsia" w:ascii="宋体" w:hAnsi="宋体" w:cs="宋体"/>
                <w:bCs/>
                <w:sz w:val="24"/>
              </w:rPr>
              <w:t>……</w:t>
            </w:r>
          </w:p>
        </w:tc>
        <w:tc>
          <w:tcPr>
            <w:tcW w:w="6500" w:type="dxa"/>
            <w:gridSpan w:val="5"/>
            <w:vAlign w:val="center"/>
          </w:tcPr>
          <w:p>
            <w:pPr>
              <w:adjustRightInd w:val="0"/>
              <w:snapToGrid w:val="0"/>
              <w:jc w:val="center"/>
              <w:rPr>
                <w:rFonts w:ascii="宋体" w:hAnsi="宋体" w:cs="宋体"/>
                <w:bCs/>
                <w:sz w:val="24"/>
              </w:rPr>
            </w:pPr>
          </w:p>
        </w:tc>
        <w:tc>
          <w:tcPr>
            <w:tcW w:w="868" w:type="dxa"/>
          </w:tcPr>
          <w:p>
            <w:pPr>
              <w:adjustRightInd w:val="0"/>
              <w:snapToGrid w:val="0"/>
              <w:jc w:val="center"/>
              <w:rPr>
                <w:rFonts w:ascii="宋体" w:hAnsi="宋体" w:cs="宋体"/>
                <w:bCs/>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1" w:hRule="atLeast"/>
          <w:jc w:val="center"/>
        </w:trPr>
        <w:tc>
          <w:tcPr>
            <w:tcW w:w="2331" w:type="dxa"/>
            <w:gridSpan w:val="2"/>
            <w:vAlign w:val="center"/>
          </w:tcPr>
          <w:p>
            <w:pPr>
              <w:adjustRightInd w:val="0"/>
              <w:snapToGrid w:val="0"/>
              <w:rPr>
                <w:rFonts w:ascii="宋体" w:hAnsi="宋体" w:cs="宋体"/>
                <w:bCs/>
                <w:sz w:val="24"/>
              </w:rPr>
            </w:pPr>
            <w:r>
              <w:rPr>
                <w:rFonts w:hint="eastAsia" w:ascii="宋体" w:hAnsi="宋体" w:cs="宋体"/>
                <w:bCs/>
                <w:sz w:val="24"/>
              </w:rPr>
              <w:t>合计（大写）</w:t>
            </w:r>
          </w:p>
        </w:tc>
        <w:tc>
          <w:tcPr>
            <w:tcW w:w="7368" w:type="dxa"/>
            <w:gridSpan w:val="6"/>
            <w:vAlign w:val="center"/>
          </w:tcPr>
          <w:p>
            <w:pPr>
              <w:adjustRightInd w:val="0"/>
              <w:snapToGrid w:val="0"/>
              <w:rPr>
                <w:rFonts w:ascii="宋体" w:hAnsi="宋体" w:cs="宋体"/>
                <w:bCs/>
                <w:sz w:val="24"/>
              </w:rPr>
            </w:pPr>
          </w:p>
        </w:tc>
      </w:tr>
    </w:tbl>
    <w:p>
      <w:pPr>
        <w:adjustRightInd w:val="0"/>
        <w:snapToGrid w:val="0"/>
        <w:spacing w:line="360" w:lineRule="auto"/>
        <w:ind w:firstLine="480" w:firstLineChars="200"/>
        <w:rPr>
          <w:rFonts w:ascii="宋体" w:hAnsi="宋体" w:cs="宋体"/>
          <w:sz w:val="24"/>
        </w:rPr>
      </w:pPr>
    </w:p>
    <w:p>
      <w:pPr>
        <w:spacing w:line="400" w:lineRule="exact"/>
        <w:rPr>
          <w:rFonts w:hint="eastAsia" w:ascii="宋体" w:hAnsi="宋体" w:cs="宋体"/>
          <w:sz w:val="24"/>
        </w:rPr>
      </w:pPr>
      <w:r>
        <w:rPr>
          <w:rFonts w:hint="eastAsia" w:ascii="宋体" w:hAnsi="宋体" w:cs="宋体"/>
          <w:sz w:val="24"/>
        </w:rPr>
        <w:t>说明：</w:t>
      </w:r>
    </w:p>
    <w:p>
      <w:pPr>
        <w:numPr>
          <w:ilvl w:val="0"/>
          <w:numId w:val="16"/>
        </w:numPr>
        <w:spacing w:line="360" w:lineRule="auto"/>
        <w:rPr>
          <w:rFonts w:hint="eastAsia" w:ascii="宋体" w:hAnsi="宋体" w:cs="宋体"/>
          <w:sz w:val="24"/>
        </w:rPr>
      </w:pPr>
      <w:r>
        <w:rPr>
          <w:rFonts w:hint="eastAsia" w:ascii="宋体" w:hAnsi="宋体" w:cs="宋体"/>
          <w:sz w:val="24"/>
        </w:rPr>
        <w:t>本表须对“第五章”</w:t>
      </w:r>
      <w:r>
        <w:rPr>
          <w:rFonts w:hint="eastAsia" w:ascii="宋体" w:hAnsi="宋体" w:cs="宋体"/>
          <w:sz w:val="24"/>
          <w:lang w:val="en-US" w:eastAsia="zh-CN"/>
        </w:rPr>
        <w:t>采购需求中</w:t>
      </w:r>
      <w:r>
        <w:rPr>
          <w:rFonts w:hint="eastAsia" w:ascii="宋体" w:hAnsi="宋体" w:cs="宋体"/>
          <w:sz w:val="24"/>
        </w:rPr>
        <w:t>二</w:t>
      </w:r>
      <w:r>
        <w:rPr>
          <w:rFonts w:hint="eastAsia" w:ascii="宋体" w:hAnsi="宋体" w:cs="宋体"/>
          <w:sz w:val="24"/>
          <w:lang w:eastAsia="zh-CN"/>
        </w:rPr>
        <w:t>、</w:t>
      </w:r>
      <w:r>
        <w:rPr>
          <w:rFonts w:hint="eastAsia" w:ascii="宋体" w:hAnsi="宋体" w:cs="宋体"/>
          <w:sz w:val="24"/>
        </w:rPr>
        <w:t>采购内容</w:t>
      </w:r>
      <w:r>
        <w:rPr>
          <w:rFonts w:hint="eastAsia" w:ascii="宋体" w:hAnsi="宋体" w:cs="宋体"/>
          <w:sz w:val="24"/>
          <w:lang w:val="en-US" w:eastAsia="zh-CN"/>
        </w:rPr>
        <w:t>的（一）、设备要求（含安装到位，辅料包含在内）”</w:t>
      </w:r>
      <w:r>
        <w:rPr>
          <w:rFonts w:hint="eastAsia" w:ascii="宋体" w:hAnsi="宋体" w:cs="宋体"/>
          <w:sz w:val="24"/>
        </w:rPr>
        <w:t>相关内容</w:t>
      </w:r>
      <w:r>
        <w:rPr>
          <w:rFonts w:hint="eastAsia" w:ascii="宋体" w:hAnsi="宋体" w:cs="宋体"/>
          <w:sz w:val="24"/>
          <w:lang w:val="en-US" w:eastAsia="zh-CN"/>
        </w:rPr>
        <w:t>逐条</w:t>
      </w:r>
      <w:r>
        <w:rPr>
          <w:rFonts w:hint="eastAsia" w:ascii="宋体" w:hAnsi="宋体" w:cs="宋体"/>
          <w:sz w:val="24"/>
        </w:rPr>
        <w:t>响应，不得空缺；</w:t>
      </w:r>
    </w:p>
    <w:p>
      <w:pPr>
        <w:pStyle w:val="34"/>
        <w:ind w:left="0" w:leftChars="0" w:firstLine="0" w:firstLineChars="0"/>
        <w:rPr>
          <w:rFonts w:hint="default"/>
          <w:lang w:val="en-US"/>
        </w:rPr>
      </w:pPr>
      <w:r>
        <w:rPr>
          <w:rFonts w:hint="eastAsia" w:ascii="宋体" w:hAnsi="宋体" w:cs="宋体"/>
          <w:bCs/>
          <w:sz w:val="24"/>
          <w:lang w:val="en-US" w:eastAsia="zh-CN"/>
        </w:rPr>
        <w:t>2.装修内容及要求项，只填写装修量清单的总价；</w:t>
      </w:r>
    </w:p>
    <w:p>
      <w:pPr>
        <w:numPr>
          <w:ilvl w:val="0"/>
          <w:numId w:val="0"/>
        </w:numPr>
        <w:spacing w:line="360" w:lineRule="auto"/>
        <w:rPr>
          <w:rFonts w:ascii="宋体" w:hAnsi="宋体" w:cs="宋体"/>
          <w:sz w:val="24"/>
        </w:rPr>
      </w:pPr>
      <w:r>
        <w:rPr>
          <w:rFonts w:hint="eastAsia" w:ascii="宋体" w:hAnsi="宋体" w:cs="宋体"/>
          <w:sz w:val="24"/>
          <w:lang w:val="en-US" w:eastAsia="zh-CN"/>
        </w:rPr>
        <w:t>3.</w:t>
      </w:r>
      <w:r>
        <w:rPr>
          <w:rFonts w:hint="eastAsia" w:ascii="宋体" w:hAnsi="宋体" w:cs="宋体"/>
          <w:sz w:val="24"/>
        </w:rPr>
        <w:t>谈判报价以元为单位，各供应商列明各项价格组成。</w:t>
      </w:r>
    </w:p>
    <w:p>
      <w:pPr>
        <w:numPr>
          <w:ilvl w:val="0"/>
          <w:numId w:val="0"/>
        </w:numPr>
        <w:spacing w:line="400" w:lineRule="exact"/>
        <w:rPr>
          <w:rFonts w:ascii="宋体" w:hAnsi="宋体" w:cs="宋体"/>
          <w:sz w:val="24"/>
        </w:rPr>
      </w:pPr>
      <w:r>
        <w:rPr>
          <w:rFonts w:hint="eastAsia" w:ascii="宋体" w:hAnsi="宋体" w:cs="宋体"/>
          <w:sz w:val="24"/>
          <w:lang w:val="en-US" w:eastAsia="zh-CN"/>
        </w:rPr>
        <w:t>4.</w:t>
      </w:r>
      <w:r>
        <w:rPr>
          <w:rFonts w:hint="eastAsia" w:ascii="宋体" w:hAnsi="宋体" w:cs="宋体"/>
          <w:sz w:val="24"/>
        </w:rPr>
        <w:t>本表中的“合计”与“第一次谈判报价表”的谈判总报价一致。</w:t>
      </w:r>
    </w:p>
    <w:p>
      <w:pPr>
        <w:numPr>
          <w:ilvl w:val="0"/>
          <w:numId w:val="0"/>
        </w:numPr>
        <w:spacing w:line="400" w:lineRule="exact"/>
        <w:rPr>
          <w:rFonts w:ascii="宋体" w:hAnsi="宋体" w:cs="宋体"/>
          <w:sz w:val="24"/>
        </w:rPr>
      </w:pPr>
      <w:r>
        <w:rPr>
          <w:rFonts w:hint="eastAsia" w:ascii="宋体" w:hAnsi="宋体" w:cs="宋体"/>
          <w:sz w:val="24"/>
          <w:lang w:val="en-US" w:eastAsia="zh-CN"/>
        </w:rPr>
        <w:t>5.</w:t>
      </w:r>
      <w:r>
        <w:rPr>
          <w:rFonts w:hint="eastAsia" w:ascii="宋体" w:hAnsi="宋体" w:cs="宋体"/>
          <w:sz w:val="24"/>
        </w:rPr>
        <w:t>“其他费用”明细由供应商自行列支。表格空间不足时，可自行扩展。</w:t>
      </w:r>
    </w:p>
    <w:p>
      <w:pPr>
        <w:pStyle w:val="24"/>
      </w:pPr>
    </w:p>
    <w:p>
      <w:pPr>
        <w:spacing w:line="360" w:lineRule="auto"/>
        <w:ind w:firstLine="480" w:firstLineChars="200"/>
        <w:rPr>
          <w:rFonts w:ascii="宋体" w:hAnsi="宋体" w:cs="宋体"/>
          <w:sz w:val="24"/>
        </w:rPr>
      </w:pPr>
      <w:r>
        <w:rPr>
          <w:rFonts w:hint="eastAsia" w:ascii="宋体" w:hAnsi="宋体" w:cs="宋体"/>
          <w:sz w:val="24"/>
        </w:rPr>
        <w:t xml:space="preserve"> </w:t>
      </w:r>
    </w:p>
    <w:p>
      <w:pPr>
        <w:adjustRightInd w:val="0"/>
        <w:snapToGrid w:val="0"/>
        <w:spacing w:line="360" w:lineRule="auto"/>
        <w:ind w:firstLine="3840" w:firstLineChars="1600"/>
        <w:jc w:val="left"/>
        <w:rPr>
          <w:rFonts w:ascii="宋体" w:hAnsi="宋体" w:cs="宋体"/>
          <w:sz w:val="24"/>
        </w:rPr>
      </w:pPr>
    </w:p>
    <w:p>
      <w:pPr>
        <w:adjustRightInd w:val="0"/>
        <w:snapToGrid w:val="0"/>
        <w:spacing w:line="360" w:lineRule="auto"/>
        <w:ind w:firstLine="3840" w:firstLineChars="16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adjustRightInd w:val="0"/>
        <w:snapToGrid w:val="0"/>
        <w:spacing w:line="360" w:lineRule="auto"/>
        <w:ind w:firstLine="3840" w:firstLineChars="1600"/>
        <w:jc w:val="left"/>
        <w:rPr>
          <w:rFonts w:ascii="宋体" w:hAnsi="宋体" w:cs="宋体"/>
          <w:sz w:val="24"/>
          <w:u w:val="single"/>
        </w:rPr>
      </w:pPr>
      <w:r>
        <w:rPr>
          <w:rFonts w:hint="eastAsia" w:ascii="宋体" w:hAnsi="宋体" w:cs="宋体"/>
          <w:sz w:val="24"/>
        </w:rPr>
        <w:t>法定代表人或授权代表（</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p>
    <w:p>
      <w:pPr>
        <w:autoSpaceDE w:val="0"/>
        <w:autoSpaceDN w:val="0"/>
        <w:adjustRightInd w:val="0"/>
        <w:snapToGrid w:val="0"/>
        <w:spacing w:line="360" w:lineRule="auto"/>
        <w:ind w:firstLine="3840" w:firstLineChars="1600"/>
        <w:rPr>
          <w:rFonts w:ascii="宋体" w:hAnsi="宋体" w:cs="宋体"/>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sz w:val="24"/>
          <w:u w:val="single"/>
        </w:rPr>
      </w:pPr>
      <w:r>
        <w:rPr>
          <w:rFonts w:hint="eastAsia" w:ascii="宋体" w:hAnsi="宋体" w:cs="宋体"/>
          <w:sz w:val="24"/>
          <w:u w:val="single"/>
        </w:rPr>
        <w:br w:type="page"/>
      </w:r>
    </w:p>
    <w:p>
      <w:pPr>
        <w:spacing w:line="360" w:lineRule="auto"/>
        <w:jc w:val="center"/>
        <w:outlineLvl w:val="1"/>
        <w:rPr>
          <w:rFonts w:hint="eastAsia" w:ascii="宋体" w:hAnsi="宋体" w:cs="宋体"/>
          <w:b/>
          <w:bCs/>
          <w:sz w:val="24"/>
          <w:u w:val="none"/>
          <w:lang w:val="en-US" w:eastAsia="zh-CN"/>
        </w:rPr>
      </w:pPr>
      <w:r>
        <w:rPr>
          <w:rFonts w:hint="eastAsia" w:hAnsi="宋体" w:cs="宋体"/>
          <w:b/>
          <w:bCs/>
          <w:sz w:val="24"/>
          <w:szCs w:val="24"/>
        </w:rPr>
        <w:t>分项</w:t>
      </w:r>
      <w:r>
        <w:rPr>
          <w:rFonts w:hint="eastAsia" w:hAnsi="宋体" w:cs="宋体"/>
          <w:b/>
          <w:bCs/>
          <w:sz w:val="24"/>
          <w:szCs w:val="24"/>
          <w:lang w:val="en-US" w:eastAsia="zh-CN"/>
        </w:rPr>
        <w:t>装修</w:t>
      </w:r>
      <w:r>
        <w:rPr>
          <w:rFonts w:hint="eastAsia" w:hAnsi="宋体" w:cs="宋体"/>
          <w:b/>
          <w:bCs/>
          <w:sz w:val="24"/>
          <w:szCs w:val="24"/>
        </w:rPr>
        <w:t>量清单报价表</w:t>
      </w:r>
    </w:p>
    <w:p>
      <w:pPr>
        <w:spacing w:line="500" w:lineRule="exact"/>
        <w:ind w:firstLine="480" w:firstLineChars="200"/>
        <w:jc w:val="both"/>
        <w:rPr>
          <w:rFonts w:hint="eastAsia" w:ascii="宋体" w:hAnsi="宋体" w:cs="宋体"/>
          <w:b/>
          <w:bCs/>
          <w:sz w:val="24"/>
        </w:rPr>
      </w:pPr>
      <w:r>
        <w:rPr>
          <w:rFonts w:hint="eastAsia" w:ascii="宋体" w:hAnsi="宋体" w:cs="宋体"/>
          <w:sz w:val="24"/>
        </w:rPr>
        <w:t>1、根据</w:t>
      </w:r>
      <w:r>
        <w:rPr>
          <w:rFonts w:hint="eastAsia" w:ascii="宋体" w:hAnsi="宋体" w:cs="宋体"/>
          <w:sz w:val="24"/>
          <w:lang w:val="en-US" w:eastAsia="zh-CN"/>
        </w:rPr>
        <w:t>装修</w:t>
      </w:r>
      <w:r>
        <w:rPr>
          <w:rFonts w:hint="eastAsia" w:ascii="宋体" w:hAnsi="宋体" w:cs="宋体"/>
          <w:sz w:val="24"/>
        </w:rPr>
        <w:t>清单</w:t>
      </w:r>
      <w:r>
        <w:rPr>
          <w:rFonts w:hint="eastAsia" w:ascii="宋体" w:hAnsi="宋体" w:cs="宋体"/>
          <w:sz w:val="24"/>
          <w:lang w:val="en-US" w:eastAsia="zh-CN"/>
        </w:rPr>
        <w:t>要求</w:t>
      </w:r>
      <w:r>
        <w:rPr>
          <w:rFonts w:hint="eastAsia" w:ascii="宋体" w:hAnsi="宋体" w:cs="宋体"/>
          <w:sz w:val="24"/>
        </w:rPr>
        <w:t>填写，以清单表格为准。清单如某项没有费用可填“0”。</w:t>
      </w:r>
    </w:p>
    <w:p>
      <w:pPr>
        <w:tabs>
          <w:tab w:val="left" w:pos="2580"/>
        </w:tabs>
        <w:spacing w:line="500" w:lineRule="exact"/>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.本工程量清单报价表中的每一单项均应填写单价与合价，对没有填写单价与合价的项目费用，视为已包括在工程量清单的其他单价或合价之中。</w:t>
      </w:r>
    </w:p>
    <w:p>
      <w:pPr>
        <w:spacing w:line="500" w:lineRule="exact"/>
        <w:ind w:firstLine="480" w:firstLineChars="200"/>
        <w:jc w:val="both"/>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.本报价的币种为人民币。</w:t>
      </w:r>
    </w:p>
    <w:p>
      <w:pPr>
        <w:spacing w:line="500" w:lineRule="exact"/>
        <w:ind w:firstLine="480" w:firstLineChars="200"/>
        <w:jc w:val="both"/>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.供应商应将</w:t>
      </w:r>
      <w:r>
        <w:rPr>
          <w:rFonts w:hint="eastAsia" w:cs="宋体"/>
          <w:b w:val="0"/>
          <w:bCs/>
          <w:color w:val="auto"/>
          <w:kern w:val="2"/>
          <w:sz w:val="24"/>
          <w:szCs w:val="24"/>
          <w:highlight w:val="none"/>
          <w:lang w:val="en-US" w:eastAsia="zh-CN" w:bidi="ar-SA"/>
        </w:rPr>
        <w:t>谈判</w:t>
      </w:r>
      <w:r>
        <w:rPr>
          <w:rFonts w:hint="eastAsia" w:ascii="宋体" w:hAnsi="宋体" w:cs="宋体"/>
          <w:sz w:val="24"/>
        </w:rPr>
        <w:t>响应报价需要说明的事项，可用文字书写。</w:t>
      </w:r>
    </w:p>
    <w:p>
      <w:pPr>
        <w:spacing w:line="500" w:lineRule="exact"/>
        <w:ind w:firstLine="480" w:firstLineChars="200"/>
        <w:jc w:val="both"/>
        <w:rPr>
          <w:rFonts w:hint="eastAsia" w:ascii="宋体" w:hAnsi="宋体" w:cs="宋体"/>
          <w:sz w:val="24"/>
        </w:rPr>
      </w:pPr>
    </w:p>
    <w:p>
      <w:pPr>
        <w:spacing w:line="500" w:lineRule="exact"/>
        <w:ind w:firstLine="480" w:firstLineChars="200"/>
        <w:jc w:val="both"/>
        <w:rPr>
          <w:rFonts w:hint="eastAsia" w:ascii="宋体" w:hAnsi="宋体" w:cs="宋体"/>
          <w:sz w:val="24"/>
        </w:rPr>
      </w:pPr>
    </w:p>
    <w:p>
      <w:pPr>
        <w:rPr>
          <w:rFonts w:hint="eastAsia" w:ascii="宋体" w:hAnsi="宋体"/>
          <w:sz w:val="24"/>
        </w:rPr>
      </w:pP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注：1.如果按单价计算的结果与总价不一致，以单价为准修正总价。</w:t>
      </w:r>
    </w:p>
    <w:p>
      <w:pPr>
        <w:adjustRightInd w:val="0"/>
        <w:snapToGrid w:val="0"/>
        <w:spacing w:line="360" w:lineRule="auto"/>
        <w:ind w:firstLine="960" w:firstLineChars="400"/>
        <w:rPr>
          <w:rFonts w:ascii="宋体" w:hAnsi="宋体" w:cs="宋体"/>
          <w:b/>
          <w:sz w:val="24"/>
        </w:rPr>
      </w:pPr>
      <w:r>
        <w:rPr>
          <w:rFonts w:hint="eastAsia" w:ascii="宋体" w:hAnsi="宋体" w:cs="宋体"/>
          <w:sz w:val="24"/>
        </w:rPr>
        <w:t>2.</w:t>
      </w:r>
      <w:r>
        <w:rPr>
          <w:rFonts w:hint="eastAsia" w:ascii="宋体" w:hAnsi="宋体" w:cs="宋体"/>
          <w:color w:val="000000"/>
          <w:sz w:val="24"/>
        </w:rPr>
        <w:t>合计总价与</w:t>
      </w:r>
      <w:r>
        <w:rPr>
          <w:rFonts w:hint="eastAsia" w:ascii="宋体" w:hAnsi="宋体" w:cs="宋体"/>
          <w:color w:val="000000"/>
          <w:sz w:val="24"/>
          <w:lang w:val="en-US" w:eastAsia="zh-CN"/>
        </w:rPr>
        <w:t>分项报价表中装修项报价</w:t>
      </w:r>
      <w:r>
        <w:rPr>
          <w:rFonts w:hint="eastAsia" w:ascii="宋体" w:hAnsi="宋体" w:cs="宋体"/>
          <w:color w:val="000000"/>
          <w:sz w:val="24"/>
        </w:rPr>
        <w:t>一致</w:t>
      </w:r>
      <w:r>
        <w:rPr>
          <w:rFonts w:hint="eastAsia" w:ascii="宋体" w:hAnsi="宋体"/>
          <w:sz w:val="24"/>
        </w:rPr>
        <w:t>。</w:t>
      </w:r>
    </w:p>
    <w:p>
      <w:pPr>
        <w:spacing w:line="360" w:lineRule="auto"/>
        <w:ind w:firstLine="960" w:firstLineChars="4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3.格式按照电子版装修量清单填写。</w:t>
      </w:r>
    </w:p>
    <w:p>
      <w:pPr>
        <w:spacing w:line="360" w:lineRule="auto"/>
        <w:ind w:firstLine="4320" w:firstLineChars="1800"/>
        <w:jc w:val="left"/>
        <w:rPr>
          <w:rFonts w:hint="eastAsia"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adjustRightInd w:val="0"/>
        <w:snapToGrid w:val="0"/>
        <w:spacing w:line="360" w:lineRule="auto"/>
        <w:ind w:firstLine="4320" w:firstLineChars="1800"/>
        <w:jc w:val="left"/>
        <w:rPr>
          <w:rFonts w:hint="eastAsia" w:ascii="宋体" w:hAnsi="宋体" w:cs="宋体"/>
          <w:sz w:val="24"/>
          <w:u w:val="single"/>
        </w:rPr>
      </w:pPr>
      <w:r>
        <w:rPr>
          <w:rFonts w:hint="eastAsia" w:ascii="宋体" w:hAnsi="宋体" w:cs="宋体"/>
          <w:sz w:val="24"/>
        </w:rPr>
        <w:t>法定代表人/授权代表（签字或盖章）：</w:t>
      </w:r>
      <w:r>
        <w:rPr>
          <w:rFonts w:hint="eastAsia" w:ascii="宋体" w:hAnsi="宋体" w:cs="宋体"/>
          <w:sz w:val="24"/>
          <w:u w:val="single"/>
        </w:rPr>
        <w:t xml:space="preserve">       </w:t>
      </w:r>
    </w:p>
    <w:p>
      <w:pPr>
        <w:spacing w:line="360" w:lineRule="auto"/>
        <w:ind w:firstLine="4320" w:firstLineChars="1800"/>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bookmarkStart w:id="215" w:name="OLE_LINK72"/>
      <w:bookmarkEnd w:id="215"/>
      <w:bookmarkStart w:id="216" w:name="OLE_LINK73"/>
      <w:bookmarkEnd w:id="216"/>
      <w:bookmarkStart w:id="217" w:name="_Toc20280"/>
      <w:r>
        <w:rPr>
          <w:rFonts w:hint="eastAsia" w:ascii="宋体" w:hAnsi="宋体" w:cs="宋体"/>
          <w:sz w:val="24"/>
          <w:u w:val="single"/>
        </w:rPr>
        <w:t xml:space="preserve">   </w:t>
      </w:r>
      <w:bookmarkEnd w:id="217"/>
    </w:p>
    <w:p>
      <w:pPr>
        <w:rPr>
          <w:rFonts w:hint="default"/>
          <w:lang w:val="en-US" w:eastAsia="zh-CN"/>
        </w:rPr>
      </w:pPr>
      <w:r>
        <w:rPr>
          <w:rFonts w:hint="default"/>
          <w:lang w:val="en-US" w:eastAsia="zh-CN"/>
        </w:rPr>
        <w:br w:type="page"/>
      </w:r>
    </w:p>
    <w:p>
      <w:pPr>
        <w:spacing w:line="360" w:lineRule="auto"/>
        <w:jc w:val="center"/>
        <w:outlineLvl w:val="1"/>
        <w:rPr>
          <w:rFonts w:hint="default" w:hAnsi="宋体" w:cs="宋体"/>
          <w:b/>
          <w:bCs/>
          <w:sz w:val="24"/>
          <w:szCs w:val="24"/>
          <w:lang w:val="en-US" w:eastAsia="zh-CN"/>
        </w:rPr>
      </w:pPr>
      <w:r>
        <w:rPr>
          <w:rFonts w:hint="eastAsia" w:hAnsi="宋体" w:cs="宋体"/>
          <w:b/>
          <w:bCs/>
          <w:sz w:val="24"/>
          <w:szCs w:val="24"/>
          <w:lang w:val="en-US" w:eastAsia="zh-CN"/>
        </w:rPr>
        <w:t>装修主材一览表</w:t>
      </w:r>
    </w:p>
    <w:tbl>
      <w:tblPr>
        <w:tblStyle w:val="36"/>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981"/>
        <w:gridCol w:w="1770"/>
        <w:gridCol w:w="1740"/>
        <w:gridCol w:w="1545"/>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品牌</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规格/型号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原产地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after="20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80*100木纹铝方通吊顶</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300*300抛釉砖墙面砖</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地面JS防水</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600*600防滑地砖地面</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dn40给水管铺设</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dn25给水管铺设</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dn15给水管铺设</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照明线路及线管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插座线路、新风及线管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空调线路</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10平方线缆</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16平方线缆</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条形灯</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双联单控开关</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1.开关安装 </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5孔插座</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9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3相四线空开</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981"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地沟</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981"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角铁架</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eastAsia="zh-CN"/>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eastAsia="zh-CN"/>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981"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50下水管钢管</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20</w:t>
            </w:r>
          </w:p>
        </w:tc>
        <w:tc>
          <w:tcPr>
            <w:tcW w:w="1981"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窗户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21</w:t>
            </w:r>
          </w:p>
        </w:tc>
        <w:tc>
          <w:tcPr>
            <w:tcW w:w="1981"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拆除</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22</w:t>
            </w:r>
          </w:p>
        </w:tc>
        <w:tc>
          <w:tcPr>
            <w:tcW w:w="1981"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墙角弧形砖</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23</w:t>
            </w:r>
          </w:p>
        </w:tc>
        <w:tc>
          <w:tcPr>
            <w:tcW w:w="1981" w:type="dxa"/>
            <w:tcBorders>
              <w:top w:val="single" w:color="000000" w:sz="4" w:space="0"/>
              <w:left w:val="single" w:color="000000" w:sz="4" w:space="0"/>
              <w:bottom w:val="single" w:color="000000" w:sz="4" w:space="0"/>
              <w:right w:val="nil"/>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油漆</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val="en-US" w:eastAsia="zh-CN"/>
              </w:rPr>
            </w:pPr>
          </w:p>
        </w:tc>
      </w:tr>
    </w:tbl>
    <w:p>
      <w:pPr>
        <w:bidi w:val="0"/>
        <w:rPr>
          <w:rFonts w:hint="eastAsia"/>
          <w:lang w:val="en-US" w:eastAsia="zh-CN"/>
        </w:rPr>
      </w:pPr>
    </w:p>
    <w:p>
      <w:pPr>
        <w:spacing w:line="360" w:lineRule="auto"/>
        <w:jc w:val="left"/>
        <w:outlineLvl w:val="9"/>
        <w:rPr>
          <w:rFonts w:hint="eastAsia" w:ascii="宋体" w:hAnsi="宋体" w:cs="宋体"/>
          <w:b/>
          <w:bCs/>
          <w:sz w:val="24"/>
          <w:u w:val="none"/>
          <w:lang w:val="en-US" w:eastAsia="zh-CN"/>
        </w:rPr>
      </w:pPr>
      <w:r>
        <w:rPr>
          <w:rFonts w:hint="eastAsia" w:ascii="宋体" w:hAnsi="宋体" w:cs="宋体"/>
          <w:b/>
          <w:bCs/>
          <w:sz w:val="24"/>
          <w:u w:val="none"/>
          <w:lang w:val="en-US" w:eastAsia="zh-CN"/>
        </w:rPr>
        <w:t>注;涉及品牌的材料须按此表要求填写，如无品牌、规格/型号等须注明。</w:t>
      </w:r>
    </w:p>
    <w:p>
      <w:pPr>
        <w:spacing w:line="360" w:lineRule="auto"/>
        <w:jc w:val="center"/>
        <w:outlineLvl w:val="1"/>
        <w:rPr>
          <w:rFonts w:ascii="宋体" w:hAnsi="宋体" w:cs="宋体"/>
          <w:bCs/>
          <w:sz w:val="24"/>
          <w:highlight w:val="none"/>
        </w:rPr>
      </w:pPr>
      <w:r>
        <w:rPr>
          <w:rFonts w:hint="eastAsia" w:ascii="宋体" w:hAnsi="宋体" w:cs="宋体"/>
          <w:b/>
          <w:bCs/>
          <w:sz w:val="24"/>
          <w:u w:val="none"/>
        </w:rPr>
        <w:br w:type="page"/>
      </w:r>
      <w:bookmarkStart w:id="218" w:name="_Toc71729648"/>
      <w:bookmarkStart w:id="219" w:name="_Toc27820"/>
      <w:bookmarkStart w:id="220" w:name="_Toc8988"/>
      <w:bookmarkStart w:id="221" w:name="_Toc3788"/>
      <w:bookmarkStart w:id="222" w:name="_Toc495913702"/>
      <w:r>
        <w:rPr>
          <w:rFonts w:hint="eastAsia" w:ascii="宋体" w:hAnsi="宋体" w:cs="宋体"/>
          <w:b/>
          <w:bCs/>
          <w:kern w:val="0"/>
          <w:sz w:val="32"/>
          <w:szCs w:val="32"/>
          <w:highlight w:val="none"/>
        </w:rPr>
        <w:t>四、</w:t>
      </w:r>
      <w:bookmarkEnd w:id="218"/>
      <w:bookmarkEnd w:id="219"/>
      <w:r>
        <w:rPr>
          <w:rFonts w:hint="eastAsia" w:ascii="宋体" w:hAnsi="宋体" w:cs="宋体"/>
          <w:b/>
          <w:bCs/>
          <w:kern w:val="0"/>
          <w:sz w:val="32"/>
          <w:szCs w:val="32"/>
          <w:highlight w:val="none"/>
        </w:rPr>
        <w:t>采购内容偏离表</w:t>
      </w:r>
      <w:bookmarkEnd w:id="220"/>
    </w:p>
    <w:p>
      <w:pPr>
        <w:spacing w:line="400" w:lineRule="exact"/>
        <w:rPr>
          <w:rFonts w:ascii="宋体" w:hAnsi="宋体" w:cs="宋体"/>
          <w:sz w:val="24"/>
        </w:rPr>
      </w:pPr>
    </w:p>
    <w:tbl>
      <w:tblPr>
        <w:tblStyle w:val="36"/>
        <w:tblpPr w:leftFromText="180" w:rightFromText="180" w:vertAnchor="text" w:horzAnchor="page" w:tblpX="1405" w:tblpY="-176"/>
        <w:tblOverlap w:val="never"/>
        <w:tblW w:w="9162" w:type="dxa"/>
        <w:tblInd w:w="0" w:type="dxa"/>
        <w:tblLayout w:type="fixed"/>
        <w:tblCellMar>
          <w:top w:w="0" w:type="dxa"/>
          <w:left w:w="28" w:type="dxa"/>
          <w:bottom w:w="0" w:type="dxa"/>
          <w:right w:w="28" w:type="dxa"/>
        </w:tblCellMar>
      </w:tblPr>
      <w:tblGrid>
        <w:gridCol w:w="840"/>
        <w:gridCol w:w="1360"/>
        <w:gridCol w:w="1890"/>
        <w:gridCol w:w="2070"/>
        <w:gridCol w:w="1382"/>
        <w:gridCol w:w="1620"/>
      </w:tblGrid>
      <w:tr>
        <w:tblPrEx>
          <w:tblCellMar>
            <w:top w:w="0" w:type="dxa"/>
            <w:left w:w="28" w:type="dxa"/>
            <w:bottom w:w="0" w:type="dxa"/>
            <w:right w:w="28" w:type="dxa"/>
          </w:tblCellMar>
        </w:tblPrEx>
        <w:trPr>
          <w:trHeight w:val="58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序号</w:t>
            </w:r>
          </w:p>
        </w:tc>
        <w:tc>
          <w:tcPr>
            <w:tcW w:w="136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产品名称</w:t>
            </w:r>
          </w:p>
        </w:tc>
        <w:tc>
          <w:tcPr>
            <w:tcW w:w="189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谈判文件采购</w:t>
            </w:r>
          </w:p>
          <w:p>
            <w:pPr>
              <w:adjustRightInd w:val="0"/>
              <w:snapToGrid w:val="0"/>
              <w:jc w:val="center"/>
              <w:rPr>
                <w:rFonts w:ascii="宋体" w:hAnsi="宋体" w:cs="宋体"/>
                <w:sz w:val="24"/>
              </w:rPr>
            </w:pPr>
            <w:r>
              <w:rPr>
                <w:rFonts w:hint="eastAsia" w:ascii="宋体" w:hAnsi="宋体" w:cs="宋体"/>
                <w:sz w:val="24"/>
              </w:rPr>
              <w:t>内容要求</w:t>
            </w:r>
          </w:p>
        </w:tc>
        <w:tc>
          <w:tcPr>
            <w:tcW w:w="2070"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谈判响应文件采购内容响应</w:t>
            </w:r>
          </w:p>
        </w:tc>
        <w:tc>
          <w:tcPr>
            <w:tcW w:w="1382" w:type="dxa"/>
            <w:tcBorders>
              <w:top w:val="single" w:color="000000" w:sz="6" w:space="0"/>
              <w:left w:val="nil"/>
              <w:bottom w:val="single" w:color="000000" w:sz="6" w:space="0"/>
              <w:right w:val="single" w:color="000000" w:sz="6" w:space="0"/>
            </w:tcBorders>
            <w:vAlign w:val="center"/>
          </w:tcPr>
          <w:p>
            <w:pPr>
              <w:pStyle w:val="127"/>
              <w:adjustRightInd w:val="0"/>
              <w:snapToGrid w:val="0"/>
              <w:spacing w:line="400" w:lineRule="exact"/>
              <w:jc w:val="center"/>
              <w:rPr>
                <w:rFonts w:ascii="宋体" w:hAnsi="宋体" w:cs="宋体"/>
                <w:sz w:val="24"/>
              </w:rPr>
            </w:pPr>
            <w:r>
              <w:rPr>
                <w:rFonts w:hint="eastAsia" w:ascii="宋体" w:hAnsi="宋体" w:cs="宋体"/>
                <w:sz w:val="24"/>
                <w:szCs w:val="24"/>
              </w:rPr>
              <w:t>偏离</w:t>
            </w:r>
          </w:p>
        </w:tc>
        <w:tc>
          <w:tcPr>
            <w:tcW w:w="1620" w:type="dxa"/>
            <w:tcBorders>
              <w:top w:val="single" w:color="000000" w:sz="6" w:space="0"/>
              <w:left w:val="nil"/>
              <w:bottom w:val="single" w:color="000000" w:sz="6" w:space="0"/>
              <w:right w:val="single" w:color="000000" w:sz="6" w:space="0"/>
            </w:tcBorders>
            <w:vAlign w:val="center"/>
          </w:tcPr>
          <w:p>
            <w:pPr>
              <w:pStyle w:val="127"/>
              <w:adjustRightInd w:val="0"/>
              <w:snapToGrid w:val="0"/>
              <w:spacing w:line="400" w:lineRule="exact"/>
              <w:jc w:val="center"/>
              <w:rPr>
                <w:rFonts w:ascii="宋体" w:hAnsi="宋体" w:cs="宋体"/>
                <w:sz w:val="24"/>
                <w:szCs w:val="24"/>
              </w:rPr>
            </w:pPr>
            <w:r>
              <w:rPr>
                <w:rFonts w:hint="eastAsia" w:ascii="宋体" w:hAnsi="宋体" w:cs="宋体"/>
                <w:sz w:val="24"/>
                <w:szCs w:val="24"/>
              </w:rPr>
              <w:t>偏离说明</w:t>
            </w:r>
          </w:p>
        </w:tc>
      </w:tr>
      <w:tr>
        <w:tblPrEx>
          <w:tblCellMar>
            <w:top w:w="0" w:type="dxa"/>
            <w:left w:w="28" w:type="dxa"/>
            <w:bottom w:w="0" w:type="dxa"/>
            <w:right w:w="28" w:type="dxa"/>
          </w:tblCellMar>
        </w:tblPrEx>
        <w:trPr>
          <w:cantSplit/>
          <w:trHeight w:val="60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1</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2</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3</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4</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5</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6</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7</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w:t>
            </w:r>
          </w:p>
        </w:tc>
        <w:tc>
          <w:tcPr>
            <w:tcW w:w="136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89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07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82"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620"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bl>
    <w:p>
      <w:pPr>
        <w:spacing w:line="400" w:lineRule="exact"/>
        <w:rPr>
          <w:rFonts w:ascii="宋体" w:hAnsi="宋体" w:cs="宋体"/>
          <w:sz w:val="24"/>
        </w:rPr>
      </w:pPr>
      <w:r>
        <w:rPr>
          <w:rFonts w:hint="eastAsia" w:ascii="宋体" w:hAnsi="宋体" w:cs="宋体"/>
          <w:sz w:val="24"/>
        </w:rPr>
        <w:t>说明：</w:t>
      </w:r>
    </w:p>
    <w:p>
      <w:pPr>
        <w:numPr>
          <w:ilvl w:val="0"/>
          <w:numId w:val="0"/>
        </w:numPr>
        <w:spacing w:line="360" w:lineRule="auto"/>
        <w:rPr>
          <w:rFonts w:hint="eastAsia" w:ascii="宋体" w:hAnsi="宋体" w:cs="宋体"/>
          <w:sz w:val="24"/>
        </w:rPr>
      </w:pPr>
      <w:r>
        <w:rPr>
          <w:rFonts w:hint="eastAsia" w:ascii="宋体" w:hAnsi="宋体" w:cs="宋体"/>
          <w:sz w:val="24"/>
        </w:rPr>
        <w:t>1.本表须对“第五章”</w:t>
      </w:r>
      <w:r>
        <w:rPr>
          <w:rFonts w:hint="eastAsia" w:ascii="宋体" w:hAnsi="宋体" w:cs="宋体"/>
          <w:sz w:val="24"/>
          <w:lang w:val="en-US" w:eastAsia="zh-CN"/>
        </w:rPr>
        <w:t>采购需求中</w:t>
      </w:r>
      <w:r>
        <w:rPr>
          <w:rFonts w:hint="eastAsia" w:ascii="宋体" w:hAnsi="宋体" w:cs="宋体"/>
          <w:sz w:val="24"/>
        </w:rPr>
        <w:t>二</w:t>
      </w:r>
      <w:r>
        <w:rPr>
          <w:rFonts w:hint="eastAsia" w:ascii="宋体" w:hAnsi="宋体" w:cs="宋体"/>
          <w:sz w:val="24"/>
          <w:lang w:eastAsia="zh-CN"/>
        </w:rPr>
        <w:t>、</w:t>
      </w:r>
      <w:r>
        <w:rPr>
          <w:rFonts w:hint="eastAsia" w:ascii="宋体" w:hAnsi="宋体" w:cs="宋体"/>
          <w:sz w:val="24"/>
        </w:rPr>
        <w:t>采购内容</w:t>
      </w:r>
      <w:r>
        <w:rPr>
          <w:rFonts w:hint="eastAsia" w:ascii="宋体" w:hAnsi="宋体" w:cs="宋体"/>
          <w:sz w:val="24"/>
          <w:lang w:val="en-US" w:eastAsia="zh-CN"/>
        </w:rPr>
        <w:t>的（一）、设备要求（含安装到位，辅料包含在内）”</w:t>
      </w:r>
      <w:r>
        <w:rPr>
          <w:rFonts w:hint="eastAsia" w:ascii="宋体" w:hAnsi="宋体" w:cs="宋体"/>
          <w:sz w:val="24"/>
        </w:rPr>
        <w:t>相关内容</w:t>
      </w:r>
      <w:r>
        <w:rPr>
          <w:rFonts w:hint="eastAsia" w:ascii="宋体" w:hAnsi="宋体" w:cs="宋体"/>
          <w:sz w:val="24"/>
          <w:lang w:val="en-US" w:eastAsia="zh-CN"/>
        </w:rPr>
        <w:t>逐条</w:t>
      </w:r>
      <w:r>
        <w:rPr>
          <w:rFonts w:hint="eastAsia" w:ascii="宋体" w:hAnsi="宋体" w:cs="宋体"/>
          <w:sz w:val="24"/>
        </w:rPr>
        <w:t>响应，不得空缺；</w:t>
      </w:r>
    </w:p>
    <w:p>
      <w:pPr>
        <w:spacing w:line="400" w:lineRule="exact"/>
        <w:rPr>
          <w:rFonts w:ascii="宋体" w:hAnsi="宋体" w:cs="宋体"/>
          <w:sz w:val="24"/>
        </w:rPr>
      </w:pPr>
      <w:r>
        <w:rPr>
          <w:rFonts w:hint="eastAsia" w:ascii="宋体" w:hAnsi="宋体" w:cs="宋体"/>
          <w:sz w:val="24"/>
        </w:rPr>
        <w:t>2.偏离填写：正偏离、负偏离、无偏离。偏离说明对偏离情况做出详细说明。</w:t>
      </w:r>
    </w:p>
    <w:p>
      <w:pPr>
        <w:spacing w:line="400" w:lineRule="exact"/>
        <w:rPr>
          <w:rFonts w:ascii="宋体" w:hAnsi="宋体" w:cs="宋体"/>
          <w:sz w:val="24"/>
        </w:rPr>
      </w:pPr>
      <w:r>
        <w:rPr>
          <w:rFonts w:hint="eastAsia" w:ascii="宋体" w:hAnsi="宋体" w:cs="宋体"/>
          <w:sz w:val="24"/>
        </w:rPr>
        <w:t>3.供应商必须据实填写，不得虚假响应，否则将取消其谈判或成交资格，并按有关规定进行处罚。</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360" w:lineRule="auto"/>
        <w:ind w:firstLine="3840" w:firstLineChars="1600"/>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spacing w:line="360" w:lineRule="auto"/>
        <w:ind w:firstLine="3840" w:firstLineChars="1600"/>
        <w:rPr>
          <w:rFonts w:ascii="宋体" w:hAnsi="宋体" w:cs="宋体"/>
          <w:sz w:val="24"/>
          <w:u w:val="single"/>
        </w:rPr>
      </w:pPr>
      <w:r>
        <w:rPr>
          <w:rFonts w:hint="eastAsia" w:ascii="宋体" w:hAnsi="宋体" w:cs="宋体"/>
          <w:sz w:val="24"/>
        </w:rPr>
        <w:t>法定代表人或授权代表（</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p>
    <w:p>
      <w:pPr>
        <w:spacing w:line="360" w:lineRule="auto"/>
        <w:ind w:firstLine="3840" w:firstLineChars="16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adjustRightInd w:val="0"/>
        <w:snapToGrid w:val="0"/>
        <w:spacing w:line="480" w:lineRule="auto"/>
        <w:ind w:firstLine="3840" w:firstLineChars="1600"/>
        <w:rPr>
          <w:rFonts w:ascii="宋体" w:hAnsi="宋体" w:cs="宋体"/>
          <w:sz w:val="24"/>
          <w:u w:val="single"/>
        </w:rPr>
      </w:pPr>
    </w:p>
    <w:p>
      <w:pPr>
        <w:adjustRightInd w:val="0"/>
        <w:snapToGrid w:val="0"/>
        <w:spacing w:line="480" w:lineRule="auto"/>
        <w:rPr>
          <w:rFonts w:ascii="宋体" w:hAnsi="宋体" w:cs="宋体"/>
          <w:sz w:val="24"/>
        </w:rPr>
      </w:pPr>
    </w:p>
    <w:p>
      <w:pPr>
        <w:adjustRightInd w:val="0"/>
        <w:snapToGrid w:val="0"/>
        <w:spacing w:line="480" w:lineRule="auto"/>
        <w:rPr>
          <w:rFonts w:ascii="宋体" w:hAnsi="宋体" w:cs="宋体"/>
          <w:sz w:val="24"/>
        </w:rPr>
      </w:pPr>
    </w:p>
    <w:bookmarkEnd w:id="221"/>
    <w:bookmarkEnd w:id="222"/>
    <w:p>
      <w:pPr>
        <w:pStyle w:val="4"/>
        <w:spacing w:before="0" w:after="120" w:afterLines="50" w:line="360" w:lineRule="auto"/>
        <w:jc w:val="center"/>
        <w:rPr>
          <w:rFonts w:ascii="宋体" w:hAnsi="宋体" w:cs="宋体"/>
          <w:sz w:val="24"/>
        </w:rPr>
      </w:pPr>
      <w:bookmarkStart w:id="223" w:name="_Toc11731"/>
      <w:bookmarkStart w:id="224" w:name="_Toc18893"/>
      <w:bookmarkStart w:id="225" w:name="_Toc30826"/>
      <w:bookmarkStart w:id="226" w:name="_Toc7285"/>
      <w:bookmarkStart w:id="227" w:name="_Toc1252"/>
      <w:bookmarkStart w:id="228" w:name="_Toc7820"/>
      <w:bookmarkStart w:id="229" w:name="_Toc28897"/>
      <w:bookmarkStart w:id="230" w:name="_Toc23626"/>
      <w:bookmarkStart w:id="231" w:name="_Toc71729649"/>
      <w:r>
        <w:rPr>
          <w:rFonts w:hint="eastAsia" w:ascii="宋体" w:hAnsi="宋体" w:eastAsia="宋体" w:cs="宋体"/>
          <w:bCs/>
          <w:sz w:val="32"/>
          <w:szCs w:val="32"/>
        </w:rPr>
        <w:t>五、商务响应偏离表</w:t>
      </w:r>
      <w:bookmarkEnd w:id="223"/>
      <w:bookmarkEnd w:id="224"/>
      <w:bookmarkEnd w:id="225"/>
      <w:bookmarkEnd w:id="226"/>
      <w:bookmarkEnd w:id="227"/>
      <w:bookmarkEnd w:id="228"/>
      <w:bookmarkEnd w:id="229"/>
      <w:bookmarkEnd w:id="230"/>
      <w:bookmarkEnd w:id="231"/>
      <w:r>
        <w:rPr>
          <w:rFonts w:hint="eastAsia" w:ascii="宋体" w:hAnsi="宋体" w:cs="宋体"/>
          <w:b w:val="0"/>
          <w:bCs/>
          <w:sz w:val="24"/>
        </w:rPr>
        <w:t xml:space="preserve">         </w:t>
      </w:r>
    </w:p>
    <w:tbl>
      <w:tblPr>
        <w:tblStyle w:val="36"/>
        <w:tblW w:w="0" w:type="auto"/>
        <w:jc w:val="center"/>
        <w:tblLayout w:type="fixed"/>
        <w:tblCellMar>
          <w:top w:w="0" w:type="dxa"/>
          <w:left w:w="28" w:type="dxa"/>
          <w:bottom w:w="0" w:type="dxa"/>
          <w:right w:w="28" w:type="dxa"/>
        </w:tblCellMar>
      </w:tblPr>
      <w:tblGrid>
        <w:gridCol w:w="840"/>
        <w:gridCol w:w="2811"/>
        <w:gridCol w:w="2626"/>
        <w:gridCol w:w="1216"/>
        <w:gridCol w:w="2157"/>
      </w:tblGrid>
      <w:tr>
        <w:tblPrEx>
          <w:tblCellMar>
            <w:top w:w="0" w:type="dxa"/>
            <w:left w:w="28" w:type="dxa"/>
            <w:bottom w:w="0" w:type="dxa"/>
            <w:right w:w="28" w:type="dxa"/>
          </w:tblCellMar>
        </w:tblPrEx>
        <w:trPr>
          <w:trHeight w:val="693"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序号</w:t>
            </w:r>
          </w:p>
        </w:tc>
        <w:tc>
          <w:tcPr>
            <w:tcW w:w="2811"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谈判文件商务要求</w:t>
            </w:r>
          </w:p>
        </w:tc>
        <w:tc>
          <w:tcPr>
            <w:tcW w:w="2626"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谈判响应文件商务响应</w:t>
            </w:r>
          </w:p>
        </w:tc>
        <w:tc>
          <w:tcPr>
            <w:tcW w:w="1216"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偏离</w:t>
            </w:r>
          </w:p>
        </w:tc>
        <w:tc>
          <w:tcPr>
            <w:tcW w:w="2157"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偏离说明</w:t>
            </w: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1</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2</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3</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4</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5</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6</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7</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w:t>
            </w:r>
          </w:p>
        </w:tc>
        <w:tc>
          <w:tcPr>
            <w:tcW w:w="281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62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21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1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说明：</w:t>
      </w:r>
    </w:p>
    <w:p>
      <w:pPr>
        <w:numPr>
          <w:ilvl w:val="0"/>
          <w:numId w:val="17"/>
        </w:numPr>
        <w:spacing w:line="360" w:lineRule="auto"/>
        <w:rPr>
          <w:rFonts w:ascii="宋体" w:hAnsi="宋体" w:cs="宋体"/>
          <w:sz w:val="24"/>
          <w:szCs w:val="21"/>
        </w:rPr>
      </w:pPr>
      <w:r>
        <w:rPr>
          <w:rFonts w:hint="eastAsia" w:ascii="宋体" w:hAnsi="宋体" w:cs="宋体"/>
          <w:sz w:val="24"/>
          <w:szCs w:val="21"/>
        </w:rPr>
        <w:t>本表只填写响应文件中与谈判文件</w:t>
      </w:r>
      <w:r>
        <w:rPr>
          <w:rFonts w:hint="eastAsia" w:ascii="宋体" w:hAnsi="宋体" w:cs="宋体"/>
          <w:sz w:val="24"/>
        </w:rPr>
        <w:t>“第五章”</w:t>
      </w:r>
      <w:r>
        <w:rPr>
          <w:rFonts w:hint="eastAsia" w:ascii="宋体" w:hAnsi="宋体" w:cs="宋体"/>
          <w:sz w:val="24"/>
          <w:szCs w:val="21"/>
        </w:rPr>
        <w:t>中的“</w:t>
      </w:r>
      <w:r>
        <w:rPr>
          <w:rFonts w:hint="eastAsia" w:ascii="宋体" w:hAnsi="宋体" w:cs="宋体"/>
          <w:bCs/>
          <w:sz w:val="24"/>
        </w:rPr>
        <w:t>主要商务条款和要求</w:t>
      </w:r>
      <w:r>
        <w:rPr>
          <w:rFonts w:hint="eastAsia" w:ascii="宋体" w:hAnsi="宋体" w:cs="宋体"/>
          <w:sz w:val="24"/>
          <w:szCs w:val="21"/>
        </w:rPr>
        <w:t>”</w:t>
      </w:r>
      <w:r>
        <w:rPr>
          <w:rFonts w:hint="eastAsia" w:ascii="宋体" w:hAnsi="宋体" w:cs="宋体"/>
          <w:sz w:val="24"/>
        </w:rPr>
        <w:t>相关</w:t>
      </w:r>
      <w:r>
        <w:rPr>
          <w:rFonts w:hint="eastAsia" w:ascii="宋体" w:hAnsi="宋体" w:cs="宋体"/>
          <w:sz w:val="24"/>
          <w:szCs w:val="21"/>
        </w:rPr>
        <w:t>有偏离（包括正偏离和负偏离）的内容，响应文件中商务响应与谈判文件要求完全一致的，不用在此表中列出，但必须提交空白表（需签字盖章）。</w:t>
      </w:r>
    </w:p>
    <w:p>
      <w:pPr>
        <w:numPr>
          <w:ilvl w:val="0"/>
          <w:numId w:val="17"/>
        </w:numPr>
        <w:spacing w:line="360" w:lineRule="auto"/>
        <w:rPr>
          <w:rFonts w:ascii="宋体" w:hAnsi="宋体" w:cs="宋体"/>
          <w:sz w:val="24"/>
        </w:rPr>
      </w:pPr>
      <w:r>
        <w:rPr>
          <w:rFonts w:hint="eastAsia" w:ascii="宋体" w:hAnsi="宋体" w:cs="宋体"/>
          <w:sz w:val="24"/>
        </w:rPr>
        <w:t>偏离填写：正偏离、负偏离。偏离说明对偏离情况做出详细说明。</w:t>
      </w:r>
    </w:p>
    <w:p>
      <w:pPr>
        <w:spacing w:line="360" w:lineRule="auto"/>
        <w:rPr>
          <w:rFonts w:ascii="宋体" w:hAnsi="宋体" w:cs="宋体"/>
          <w:sz w:val="24"/>
        </w:rPr>
      </w:pPr>
      <w:r>
        <w:rPr>
          <w:rFonts w:hint="eastAsia" w:ascii="宋体" w:hAnsi="宋体" w:cs="宋体"/>
          <w:sz w:val="24"/>
        </w:rPr>
        <w:t>3.供应商必须据实填写，不得虚假响应，否则将取消其谈判或成交资格，并按有关规定进处罚。</w:t>
      </w:r>
    </w:p>
    <w:p>
      <w:pPr>
        <w:spacing w:line="360" w:lineRule="auto"/>
        <w:ind w:firstLine="4560" w:firstLineChars="1900"/>
        <w:jc w:val="left"/>
        <w:rPr>
          <w:rFonts w:ascii="宋体" w:hAnsi="宋体" w:cs="宋体"/>
          <w:sz w:val="24"/>
        </w:rPr>
      </w:pPr>
    </w:p>
    <w:p>
      <w:pPr>
        <w:spacing w:line="360" w:lineRule="auto"/>
        <w:ind w:firstLine="4560" w:firstLineChars="1900"/>
        <w:jc w:val="left"/>
        <w:rPr>
          <w:rFonts w:ascii="宋体" w:hAnsi="宋体" w:cs="宋体"/>
          <w:sz w:val="24"/>
        </w:rPr>
      </w:pPr>
    </w:p>
    <w:p>
      <w:pPr>
        <w:spacing w:line="360" w:lineRule="auto"/>
        <w:ind w:firstLine="3840" w:firstLineChars="16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法定代表人或授权代表（</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p>
    <w:p>
      <w:pPr>
        <w:spacing w:line="360" w:lineRule="auto"/>
        <w:ind w:firstLine="3840" w:firstLineChars="16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after="120" w:afterLines="50" w:line="360" w:lineRule="auto"/>
        <w:jc w:val="center"/>
        <w:rPr>
          <w:rFonts w:ascii="宋体" w:hAnsi="宋体" w:cs="宋体"/>
          <w:sz w:val="24"/>
        </w:rPr>
      </w:pPr>
      <w:r>
        <w:rPr>
          <w:rFonts w:hint="eastAsia" w:ascii="宋体" w:hAnsi="宋体" w:cs="宋体"/>
          <w:sz w:val="24"/>
        </w:rPr>
        <w:t xml:space="preserve">          </w:t>
      </w:r>
      <w:bookmarkStart w:id="232" w:name="_Toc13607"/>
      <w:bookmarkStart w:id="233" w:name="_Toc71729650"/>
      <w:bookmarkStart w:id="234" w:name="_Toc18167"/>
      <w:bookmarkStart w:id="235" w:name="_Toc11603"/>
      <w:bookmarkStart w:id="236" w:name="_Toc16907"/>
      <w:bookmarkStart w:id="237" w:name="_Toc29643"/>
      <w:bookmarkStart w:id="238" w:name="_Toc20974"/>
      <w:bookmarkStart w:id="239" w:name="_Toc24788"/>
      <w:bookmarkStart w:id="240" w:name="_Toc27913"/>
    </w:p>
    <w:p>
      <w:pPr>
        <w:spacing w:after="120" w:afterLines="50" w:line="360" w:lineRule="auto"/>
        <w:jc w:val="center"/>
        <w:outlineLvl w:val="1"/>
        <w:rPr>
          <w:rFonts w:ascii="宋体" w:hAnsi="宋体" w:cs="宋体"/>
          <w:b/>
          <w:bCs/>
          <w:kern w:val="0"/>
          <w:sz w:val="32"/>
          <w:szCs w:val="32"/>
        </w:rPr>
      </w:pPr>
      <w:r>
        <w:rPr>
          <w:rFonts w:hint="eastAsia" w:ascii="宋体" w:hAnsi="宋体" w:cs="宋体"/>
          <w:sz w:val="24"/>
        </w:rPr>
        <w:br w:type="page"/>
      </w:r>
      <w:bookmarkStart w:id="241" w:name="_Toc2505"/>
      <w:r>
        <w:rPr>
          <w:rFonts w:hint="eastAsia" w:ascii="宋体" w:hAnsi="宋体" w:cs="宋体"/>
          <w:b/>
          <w:bCs/>
          <w:kern w:val="0"/>
          <w:sz w:val="32"/>
          <w:szCs w:val="32"/>
        </w:rPr>
        <w:t>六、谈判响应方案说明</w:t>
      </w:r>
      <w:bookmarkEnd w:id="232"/>
      <w:bookmarkEnd w:id="233"/>
      <w:bookmarkEnd w:id="234"/>
      <w:bookmarkEnd w:id="235"/>
      <w:bookmarkEnd w:id="236"/>
      <w:bookmarkEnd w:id="237"/>
      <w:bookmarkEnd w:id="238"/>
      <w:bookmarkEnd w:id="239"/>
      <w:bookmarkEnd w:id="241"/>
    </w:p>
    <w:p>
      <w:pPr>
        <w:bidi w:val="0"/>
        <w:spacing w:line="360" w:lineRule="auto"/>
        <w:ind w:firstLine="480" w:firstLineChars="200"/>
        <w:rPr>
          <w:rFonts w:hint="eastAsia" w:eastAsia="宋体"/>
          <w:sz w:val="24"/>
          <w:szCs w:val="32"/>
          <w:lang w:eastAsia="zh-CN"/>
        </w:rPr>
      </w:pPr>
      <w:r>
        <w:rPr>
          <w:rFonts w:hint="eastAsia"/>
          <w:sz w:val="24"/>
          <w:szCs w:val="32"/>
        </w:rPr>
        <w:t>供应商</w:t>
      </w:r>
      <w:r>
        <w:rPr>
          <w:rFonts w:hint="eastAsia"/>
          <w:sz w:val="24"/>
          <w:szCs w:val="32"/>
          <w:lang w:val="en-US" w:eastAsia="zh-CN"/>
        </w:rPr>
        <w:t>根据采购需求可自行编制</w:t>
      </w:r>
      <w:r>
        <w:rPr>
          <w:rFonts w:hint="eastAsia"/>
          <w:sz w:val="24"/>
          <w:szCs w:val="32"/>
        </w:rPr>
        <w:t>认为有必要说明的事项</w:t>
      </w:r>
      <w:r>
        <w:rPr>
          <w:rFonts w:hint="eastAsia"/>
          <w:sz w:val="24"/>
          <w:szCs w:val="32"/>
          <w:lang w:eastAsia="zh-CN"/>
        </w:rPr>
        <w:t>。</w:t>
      </w:r>
    </w:p>
    <w:p>
      <w:pPr>
        <w:spacing w:after="120" w:afterLines="50" w:line="360" w:lineRule="auto"/>
        <w:jc w:val="center"/>
        <w:rPr>
          <w:rFonts w:ascii="宋体" w:hAnsi="宋体" w:cs="宋体"/>
          <w:b/>
          <w:sz w:val="24"/>
        </w:rPr>
      </w:pPr>
    </w:p>
    <w:p>
      <w:pPr>
        <w:spacing w:after="120" w:afterLines="50" w:line="360" w:lineRule="auto"/>
        <w:jc w:val="center"/>
        <w:rPr>
          <w:rFonts w:ascii="宋体" w:hAnsi="宋体" w:cs="宋体"/>
          <w:b/>
          <w:sz w:val="24"/>
        </w:rPr>
      </w:pPr>
    </w:p>
    <w:p>
      <w:pPr>
        <w:spacing w:after="120" w:afterLines="50" w:line="360" w:lineRule="auto"/>
        <w:jc w:val="center"/>
        <w:rPr>
          <w:rFonts w:ascii="宋体" w:hAnsi="宋体" w:cs="宋体"/>
          <w:b/>
          <w:sz w:val="28"/>
          <w:szCs w:val="28"/>
          <w:highlight w:val="red"/>
        </w:rPr>
      </w:pPr>
    </w:p>
    <w:p>
      <w:pPr>
        <w:adjustRightInd w:val="0"/>
        <w:snapToGrid w:val="0"/>
        <w:spacing w:line="360" w:lineRule="auto"/>
        <w:jc w:val="center"/>
        <w:outlineLvl w:val="1"/>
        <w:rPr>
          <w:rFonts w:ascii="宋体" w:hAnsi="宋体" w:cs="宋体"/>
          <w:b/>
          <w:bCs/>
          <w:sz w:val="44"/>
          <w:szCs w:val="44"/>
        </w:rPr>
      </w:pPr>
      <w:r>
        <w:rPr>
          <w:rFonts w:hint="eastAsia" w:ascii="宋体" w:hAnsi="宋体" w:cs="宋体"/>
          <w:b/>
          <w:szCs w:val="28"/>
        </w:rPr>
        <w:br w:type="page"/>
      </w:r>
      <w:bookmarkEnd w:id="240"/>
      <w:bookmarkStart w:id="242" w:name="_Toc27709"/>
      <w:bookmarkStart w:id="243" w:name="_Toc5842"/>
      <w:bookmarkStart w:id="244" w:name="_Toc17672"/>
      <w:bookmarkStart w:id="245" w:name="_Toc15515"/>
      <w:r>
        <w:rPr>
          <w:rFonts w:hint="eastAsia" w:ascii="宋体" w:hAnsi="宋体" w:cs="宋体"/>
          <w:b/>
          <w:bCs/>
          <w:sz w:val="32"/>
          <w:szCs w:val="32"/>
        </w:rPr>
        <w:t>七、业绩的有关证明材料</w:t>
      </w:r>
      <w:bookmarkEnd w:id="242"/>
      <w:bookmarkEnd w:id="243"/>
      <w:bookmarkEnd w:id="244"/>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783"/>
        <w:gridCol w:w="2265"/>
        <w:gridCol w:w="2480"/>
        <w:gridCol w:w="1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48" w:type="dxa"/>
            <w:vAlign w:val="center"/>
          </w:tcPr>
          <w:p>
            <w:pPr>
              <w:jc w:val="center"/>
              <w:rPr>
                <w:rFonts w:ascii="宋体" w:hAnsi="宋体" w:cs="宋体"/>
                <w:bCs/>
                <w:sz w:val="24"/>
              </w:rPr>
            </w:pPr>
            <w:r>
              <w:rPr>
                <w:rFonts w:hint="eastAsia" w:ascii="宋体" w:hAnsi="宋体" w:cs="宋体"/>
                <w:bCs/>
                <w:sz w:val="24"/>
              </w:rPr>
              <w:t>序号</w:t>
            </w:r>
          </w:p>
        </w:tc>
        <w:tc>
          <w:tcPr>
            <w:tcW w:w="1783" w:type="dxa"/>
            <w:vAlign w:val="center"/>
          </w:tcPr>
          <w:p>
            <w:pPr>
              <w:jc w:val="center"/>
              <w:rPr>
                <w:rFonts w:ascii="宋体" w:hAnsi="宋体" w:cs="宋体"/>
                <w:bCs/>
                <w:sz w:val="24"/>
              </w:rPr>
            </w:pPr>
            <w:r>
              <w:rPr>
                <w:rFonts w:hint="eastAsia" w:ascii="宋体" w:hAnsi="宋体" w:cs="宋体"/>
                <w:bCs/>
                <w:sz w:val="24"/>
              </w:rPr>
              <w:t>合同签订时间</w:t>
            </w:r>
          </w:p>
        </w:tc>
        <w:tc>
          <w:tcPr>
            <w:tcW w:w="2265" w:type="dxa"/>
            <w:vAlign w:val="center"/>
          </w:tcPr>
          <w:p>
            <w:pPr>
              <w:jc w:val="center"/>
              <w:rPr>
                <w:rFonts w:ascii="宋体" w:hAnsi="宋体" w:cs="宋体"/>
                <w:bCs/>
                <w:sz w:val="24"/>
              </w:rPr>
            </w:pPr>
            <w:r>
              <w:rPr>
                <w:rFonts w:hint="eastAsia" w:ascii="宋体" w:hAnsi="宋体" w:cs="宋体"/>
                <w:bCs/>
                <w:sz w:val="24"/>
              </w:rPr>
              <w:t>用户名称</w:t>
            </w:r>
          </w:p>
        </w:tc>
        <w:tc>
          <w:tcPr>
            <w:tcW w:w="2480" w:type="dxa"/>
            <w:vAlign w:val="center"/>
          </w:tcPr>
          <w:p>
            <w:pPr>
              <w:jc w:val="center"/>
              <w:rPr>
                <w:rFonts w:ascii="宋体" w:hAnsi="宋体" w:cs="宋体"/>
                <w:bCs/>
                <w:sz w:val="24"/>
              </w:rPr>
            </w:pPr>
            <w:r>
              <w:rPr>
                <w:rFonts w:hint="eastAsia" w:ascii="宋体" w:hAnsi="宋体" w:cs="宋体"/>
                <w:bCs/>
                <w:sz w:val="24"/>
              </w:rPr>
              <w:t>项目名称</w:t>
            </w:r>
          </w:p>
        </w:tc>
        <w:tc>
          <w:tcPr>
            <w:tcW w:w="1710" w:type="dxa"/>
            <w:vAlign w:val="center"/>
          </w:tcPr>
          <w:p>
            <w:pPr>
              <w:jc w:val="center"/>
              <w:rPr>
                <w:rFonts w:ascii="宋体" w:hAnsi="宋体" w:cs="宋体"/>
                <w:bCs/>
                <w:sz w:val="24"/>
              </w:rPr>
            </w:pPr>
            <w:r>
              <w:rPr>
                <w:rFonts w:hint="eastAsia" w:ascii="宋体" w:hAnsi="宋体" w:cs="宋体"/>
                <w:bCs/>
                <w:sz w:val="24"/>
              </w:rPr>
              <w:t>合同金额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48" w:type="dxa"/>
          </w:tcPr>
          <w:p>
            <w:pPr>
              <w:rPr>
                <w:rFonts w:ascii="宋体" w:hAnsi="宋体" w:cs="宋体"/>
                <w:bCs/>
                <w:sz w:val="24"/>
              </w:rPr>
            </w:pPr>
          </w:p>
        </w:tc>
        <w:tc>
          <w:tcPr>
            <w:tcW w:w="1783" w:type="dxa"/>
          </w:tcPr>
          <w:p>
            <w:pPr>
              <w:rPr>
                <w:rFonts w:ascii="宋体" w:hAnsi="宋体" w:cs="宋体"/>
                <w:bCs/>
                <w:sz w:val="24"/>
              </w:rPr>
            </w:pPr>
          </w:p>
        </w:tc>
        <w:tc>
          <w:tcPr>
            <w:tcW w:w="2265" w:type="dxa"/>
          </w:tcPr>
          <w:p>
            <w:pPr>
              <w:rPr>
                <w:rFonts w:ascii="宋体" w:hAnsi="宋体" w:cs="宋体"/>
                <w:bCs/>
                <w:sz w:val="24"/>
              </w:rPr>
            </w:pPr>
          </w:p>
        </w:tc>
        <w:tc>
          <w:tcPr>
            <w:tcW w:w="2480" w:type="dxa"/>
          </w:tcPr>
          <w:p>
            <w:pPr>
              <w:rPr>
                <w:rFonts w:ascii="宋体" w:hAnsi="宋体" w:cs="宋体"/>
                <w:bCs/>
                <w:sz w:val="24"/>
              </w:rPr>
            </w:pPr>
          </w:p>
        </w:tc>
        <w:tc>
          <w:tcPr>
            <w:tcW w:w="1710" w:type="dxa"/>
          </w:tcPr>
          <w:p>
            <w:pPr>
              <w:rPr>
                <w:rFonts w:ascii="宋体" w:hAnsi="宋体" w:cs="宋体"/>
                <w:bCs/>
                <w:sz w:val="24"/>
              </w:rPr>
            </w:pPr>
          </w:p>
        </w:tc>
      </w:tr>
    </w:tbl>
    <w:p>
      <w:pPr>
        <w:rPr>
          <w:rFonts w:ascii="宋体" w:hAnsi="宋体" w:cs="宋体"/>
        </w:rPr>
      </w:pPr>
    </w:p>
    <w:p>
      <w:pPr>
        <w:adjustRightInd w:val="0"/>
        <w:snapToGrid w:val="0"/>
        <w:spacing w:line="360" w:lineRule="auto"/>
        <w:rPr>
          <w:rFonts w:ascii="宋体" w:hAnsi="宋体" w:cs="宋体"/>
          <w:sz w:val="24"/>
          <w:lang w:val="zh-CN"/>
        </w:rPr>
      </w:pPr>
      <w:r>
        <w:rPr>
          <w:rFonts w:hint="eastAsia" w:ascii="宋体" w:hAnsi="宋体" w:cs="宋体"/>
          <w:sz w:val="24"/>
          <w:lang w:val="zh-CN"/>
        </w:rPr>
        <w:t>说明：</w:t>
      </w:r>
    </w:p>
    <w:p>
      <w:pPr>
        <w:adjustRightInd w:val="0"/>
        <w:snapToGrid w:val="0"/>
        <w:spacing w:line="360" w:lineRule="auto"/>
        <w:rPr>
          <w:rFonts w:ascii="宋体" w:hAnsi="宋体" w:cs="宋体"/>
          <w:sz w:val="24"/>
          <w:lang w:val="zh-CN"/>
        </w:rPr>
      </w:pPr>
      <w:r>
        <w:rPr>
          <w:rFonts w:hint="eastAsia" w:ascii="宋体" w:hAnsi="宋体" w:cs="宋体"/>
          <w:sz w:val="24"/>
          <w:lang w:val="zh-CN"/>
        </w:rPr>
        <w:t>1.本表后附合同复印件加盖</w:t>
      </w:r>
      <w:r>
        <w:rPr>
          <w:rFonts w:hint="eastAsia" w:ascii="宋体" w:hAnsi="宋体" w:cs="宋体"/>
          <w:sz w:val="24"/>
        </w:rPr>
        <w:t>供应商</w:t>
      </w:r>
      <w:r>
        <w:rPr>
          <w:rFonts w:hint="eastAsia" w:ascii="宋体" w:hAnsi="宋体" w:cs="宋体"/>
          <w:sz w:val="24"/>
          <w:lang w:val="zh-CN"/>
        </w:rPr>
        <w:t>公章，签订时间及金额以合同中的内容为准。</w:t>
      </w:r>
    </w:p>
    <w:p>
      <w:pPr>
        <w:adjustRightInd w:val="0"/>
        <w:snapToGrid w:val="0"/>
        <w:spacing w:line="360" w:lineRule="auto"/>
        <w:rPr>
          <w:rFonts w:ascii="宋体" w:hAnsi="宋体" w:cs="宋体"/>
          <w:sz w:val="24"/>
          <w:lang w:val="zh-CN"/>
        </w:rPr>
      </w:pPr>
      <w:r>
        <w:rPr>
          <w:rFonts w:hint="eastAsia" w:ascii="宋体" w:hAnsi="宋体" w:cs="宋体"/>
          <w:sz w:val="24"/>
          <w:lang w:val="zh-CN"/>
        </w:rPr>
        <w:t>2.供应商应如实列出以上情况，如有隐瞒，一经查实将导致其谈判响应文件被拒绝。</w:t>
      </w:r>
    </w:p>
    <w:p>
      <w:pPr>
        <w:adjustRightInd w:val="0"/>
        <w:snapToGrid w:val="0"/>
        <w:spacing w:line="360" w:lineRule="auto"/>
        <w:rPr>
          <w:rFonts w:ascii="宋体" w:hAnsi="宋体" w:cs="宋体"/>
          <w:sz w:val="24"/>
          <w:lang w:val="zh-CN"/>
        </w:rPr>
      </w:pPr>
      <w:r>
        <w:rPr>
          <w:rFonts w:hint="eastAsia" w:ascii="宋体" w:hAnsi="宋体" w:cs="宋体"/>
          <w:sz w:val="24"/>
          <w:lang w:val="zh-CN"/>
        </w:rPr>
        <w:t>3.未按上述要求提供、填写的，评审时不予以考虑。</w:t>
      </w:r>
    </w:p>
    <w:p>
      <w:pPr>
        <w:rPr>
          <w:rFonts w:ascii="宋体" w:hAnsi="宋体" w:cs="宋体"/>
        </w:rPr>
      </w:pPr>
    </w:p>
    <w:p>
      <w:pPr>
        <w:spacing w:line="360" w:lineRule="auto"/>
        <w:ind w:firstLine="3360" w:firstLineChars="1400"/>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spacing w:line="360" w:lineRule="auto"/>
        <w:ind w:firstLine="3360" w:firstLineChars="1400"/>
        <w:rPr>
          <w:rFonts w:ascii="宋体" w:hAnsi="宋体" w:cs="宋体"/>
          <w:sz w:val="24"/>
          <w:u w:val="single"/>
        </w:rPr>
      </w:pPr>
      <w:r>
        <w:rPr>
          <w:rFonts w:hint="eastAsia" w:ascii="宋体" w:hAnsi="宋体" w:cs="宋体"/>
          <w:sz w:val="24"/>
        </w:rPr>
        <w:t>法定代表人或授权代表（</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p>
    <w:p>
      <w:pPr>
        <w:spacing w:line="360" w:lineRule="auto"/>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4"/>
        <w:spacing w:before="0" w:after="120" w:afterLines="50" w:line="360" w:lineRule="auto"/>
        <w:jc w:val="center"/>
        <w:rPr>
          <w:rFonts w:ascii="宋体" w:hAnsi="宋体" w:eastAsia="宋体" w:cs="宋体"/>
          <w:bCs/>
        </w:rPr>
      </w:pPr>
      <w:r>
        <w:rPr>
          <w:rFonts w:hint="eastAsia" w:ascii="宋体" w:hAnsi="宋体" w:eastAsia="宋体" w:cs="宋体"/>
          <w:bCs/>
          <w:kern w:val="2"/>
          <w:sz w:val="32"/>
          <w:szCs w:val="32"/>
        </w:rPr>
        <w:br w:type="page"/>
      </w:r>
      <w:bookmarkStart w:id="246" w:name="_Toc7061"/>
      <w:r>
        <w:rPr>
          <w:rFonts w:hint="eastAsia" w:ascii="宋体" w:hAnsi="宋体" w:eastAsia="宋体" w:cs="宋体"/>
          <w:bCs/>
          <w:kern w:val="2"/>
          <w:sz w:val="32"/>
          <w:szCs w:val="32"/>
        </w:rPr>
        <w:t>八、供应商承诺书</w:t>
      </w:r>
      <w:bookmarkEnd w:id="245"/>
      <w:bookmarkEnd w:id="246"/>
    </w:p>
    <w:p>
      <w:pPr>
        <w:pStyle w:val="8"/>
        <w:jc w:val="center"/>
        <w:rPr>
          <w:rFonts w:ascii="宋体" w:hAnsi="宋体" w:cs="宋体"/>
        </w:rPr>
      </w:pPr>
    </w:p>
    <w:p>
      <w:pPr>
        <w:autoSpaceDE w:val="0"/>
        <w:autoSpaceDN w:val="0"/>
        <w:adjustRightInd w:val="0"/>
        <w:spacing w:line="360" w:lineRule="auto"/>
        <w:rPr>
          <w:rFonts w:ascii="宋体" w:hAnsi="宋体" w:cs="宋体"/>
          <w:b/>
          <w:bCs/>
          <w:sz w:val="24"/>
        </w:rPr>
      </w:pPr>
      <w:r>
        <w:rPr>
          <w:rFonts w:hint="eastAsia" w:ascii="宋体" w:hAnsi="宋体" w:cs="宋体"/>
          <w:sz w:val="24"/>
        </w:rPr>
        <w:t>陕西明正招标有限公司：</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作为参加贵单位组织的</w:t>
      </w:r>
      <w:r>
        <w:rPr>
          <w:rFonts w:hint="eastAsia" w:ascii="宋体" w:hAnsi="宋体" w:cs="宋体"/>
          <w:sz w:val="24"/>
          <w:u w:val="single"/>
        </w:rPr>
        <w:t xml:space="preserve">      （项目名称：       ）</w:t>
      </w:r>
      <w:r>
        <w:rPr>
          <w:rFonts w:hint="eastAsia" w:ascii="宋体" w:hAnsi="宋体" w:cs="宋体"/>
          <w:sz w:val="24"/>
        </w:rPr>
        <w:t>的供应商，本公司郑重承诺：</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一、在参加本项目谈判之前不存在被依法禁止经营行为、财产被接管或冻结的情况，如有隐瞒实情，愿承担一切责任及后果。</w:t>
      </w:r>
    </w:p>
    <w:p>
      <w:pPr>
        <w:autoSpaceDE w:val="0"/>
        <w:autoSpaceDN w:val="0"/>
        <w:adjustRightInd w:val="0"/>
        <w:spacing w:line="360" w:lineRule="auto"/>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三、参加本次谈判提交的所有资质证明文件及业绩证明文件是真实的、有效的，如有隐瞒实情，愿承担一切责任及后果。</w:t>
      </w: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 xml:space="preserve"> </w:t>
      </w:r>
    </w:p>
    <w:p>
      <w:pPr>
        <w:spacing w:line="360" w:lineRule="auto"/>
        <w:ind w:firstLine="3360" w:firstLineChars="1400"/>
        <w:rPr>
          <w:rFonts w:ascii="宋体" w:hAnsi="宋体" w:cs="宋体"/>
          <w:sz w:val="24"/>
        </w:rPr>
      </w:pPr>
    </w:p>
    <w:p>
      <w:pPr>
        <w:spacing w:line="360" w:lineRule="auto"/>
        <w:ind w:firstLine="3360" w:firstLineChars="1400"/>
        <w:rPr>
          <w:rFonts w:ascii="宋体" w:hAnsi="宋体" w:cs="宋体"/>
          <w:sz w:val="24"/>
        </w:rPr>
      </w:pPr>
    </w:p>
    <w:p>
      <w:pPr>
        <w:spacing w:line="360" w:lineRule="auto"/>
        <w:ind w:firstLine="3360" w:firstLineChars="1400"/>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spacing w:line="360" w:lineRule="auto"/>
        <w:ind w:firstLine="3360" w:firstLineChars="1400"/>
        <w:rPr>
          <w:rFonts w:ascii="宋体" w:hAnsi="宋体" w:cs="宋体"/>
          <w:sz w:val="24"/>
          <w:u w:val="single"/>
        </w:rPr>
      </w:pPr>
      <w:r>
        <w:rPr>
          <w:rFonts w:hint="eastAsia" w:ascii="宋体" w:hAnsi="宋体" w:cs="宋体"/>
          <w:sz w:val="24"/>
        </w:rPr>
        <w:t>法定代表人（</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p>
    <w:p>
      <w:pPr>
        <w:spacing w:line="360" w:lineRule="auto"/>
        <w:ind w:firstLine="3360" w:firstLineChars="1400"/>
        <w:rPr>
          <w:rFonts w:ascii="宋体" w:hAnsi="宋体" w:cs="宋体"/>
          <w:sz w:val="28"/>
          <w:szCs w:val="28"/>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8"/>
          <w:szCs w:val="28"/>
          <w:u w:val="single"/>
        </w:rPr>
        <w:t xml:space="preserve">       </w:t>
      </w:r>
    </w:p>
    <w:p>
      <w:pPr>
        <w:keepNext/>
        <w:keepLines/>
        <w:spacing w:after="120" w:afterLines="50" w:line="360" w:lineRule="auto"/>
        <w:jc w:val="center"/>
        <w:rPr>
          <w:rFonts w:ascii="宋体" w:hAnsi="宋体" w:cs="宋体"/>
          <w:b/>
          <w:bCs/>
          <w:sz w:val="32"/>
          <w:szCs w:val="32"/>
        </w:rPr>
      </w:pPr>
      <w:r>
        <w:rPr>
          <w:rStyle w:val="51"/>
          <w:rFonts w:hint="eastAsia" w:ascii="宋体" w:hAnsi="宋体" w:eastAsia="宋体" w:cs="宋体"/>
          <w:b w:val="0"/>
          <w:sz w:val="24"/>
          <w:szCs w:val="24"/>
        </w:rPr>
        <w:br w:type="page"/>
      </w:r>
      <w:bookmarkStart w:id="247" w:name="_Toc22766"/>
      <w:bookmarkEnd w:id="247"/>
      <w:bookmarkStart w:id="248" w:name="_Toc704"/>
      <w:bookmarkStart w:id="249" w:name="_Toc495913703"/>
      <w:r>
        <w:rPr>
          <w:rFonts w:hint="eastAsia" w:ascii="宋体" w:hAnsi="宋体" w:cs="宋体"/>
          <w:b/>
          <w:bCs/>
          <w:sz w:val="32"/>
          <w:szCs w:val="32"/>
        </w:rPr>
        <w:t>供应商企业关系关联承诺书</w:t>
      </w:r>
      <w:bookmarkEnd w:id="248"/>
      <w:bookmarkEnd w:id="249"/>
    </w:p>
    <w:p>
      <w:pPr>
        <w:autoSpaceDE w:val="0"/>
        <w:autoSpaceDN w:val="0"/>
        <w:adjustRightInd w:val="0"/>
        <w:spacing w:line="360" w:lineRule="auto"/>
        <w:ind w:firstLine="480" w:firstLineChars="200"/>
        <w:rPr>
          <w:rFonts w:ascii="宋体" w:hAnsi="宋体" w:cs="宋体"/>
          <w:sz w:val="24"/>
        </w:rPr>
      </w:pPr>
      <w:bookmarkStart w:id="250" w:name="_Toc26937"/>
      <w:bookmarkEnd w:id="250"/>
      <w:bookmarkStart w:id="251" w:name="_Toc495913704"/>
      <w:bookmarkStart w:id="252" w:name="_Toc19786"/>
      <w:r>
        <w:rPr>
          <w:rFonts w:hint="eastAsia" w:ascii="宋体" w:hAnsi="宋体" w:cs="宋体"/>
          <w:sz w:val="24"/>
        </w:rPr>
        <w:t>一、供应商在本项目谈判中，不存在与其它供应商负责人为同一人，有控股、管理等关联关系承诺。</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1.管理关系说明：</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我单位管理的具有独立法人的下属单位有：</w:t>
      </w:r>
      <w:r>
        <w:rPr>
          <w:rFonts w:hint="eastAsia" w:ascii="宋体" w:hAnsi="宋体" w:cs="宋体"/>
          <w:sz w:val="24"/>
          <w:u w:val="single"/>
        </w:rPr>
        <w:t xml:space="preserve">                </w:t>
      </w:r>
      <w:r>
        <w:rPr>
          <w:rFonts w:hint="eastAsia" w:ascii="宋体" w:hAnsi="宋体" w:cs="宋体"/>
          <w:sz w:val="24"/>
        </w:rPr>
        <w:t>(没有填无）。</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我单位的上级管理单位有 </w:t>
      </w:r>
      <w:r>
        <w:rPr>
          <w:rFonts w:hint="eastAsia" w:ascii="宋体" w:hAnsi="宋体" w:cs="宋体"/>
          <w:sz w:val="24"/>
          <w:u w:val="single"/>
        </w:rPr>
        <w:t xml:space="preserve">            </w:t>
      </w:r>
      <w:r>
        <w:rPr>
          <w:rFonts w:hint="eastAsia" w:ascii="宋体" w:hAnsi="宋体" w:cs="宋体"/>
          <w:sz w:val="24"/>
        </w:rPr>
        <w:t xml:space="preserve"> (没有填无）。</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2.股权关系说明：</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我单位控股的单位有</w:t>
      </w:r>
      <w:r>
        <w:rPr>
          <w:rFonts w:hint="eastAsia" w:ascii="宋体" w:hAnsi="宋体" w:cs="宋体"/>
          <w:sz w:val="24"/>
          <w:u w:val="single"/>
        </w:rPr>
        <w:t xml:space="preserve">          </w:t>
      </w:r>
      <w:r>
        <w:rPr>
          <w:rFonts w:hint="eastAsia" w:ascii="宋体" w:hAnsi="宋体" w:cs="宋体"/>
          <w:sz w:val="24"/>
        </w:rPr>
        <w:t xml:space="preserve"> (没有填无）。</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我单位被 </w:t>
      </w:r>
      <w:r>
        <w:rPr>
          <w:rFonts w:hint="eastAsia" w:ascii="宋体" w:hAnsi="宋体" w:cs="宋体"/>
          <w:sz w:val="24"/>
          <w:u w:val="single"/>
        </w:rPr>
        <w:t xml:space="preserve">             </w:t>
      </w:r>
      <w:r>
        <w:rPr>
          <w:rFonts w:hint="eastAsia" w:ascii="宋体" w:hAnsi="宋体" w:cs="宋体"/>
          <w:sz w:val="24"/>
        </w:rPr>
        <w:t>单位控股(没有填无）。</w:t>
      </w:r>
    </w:p>
    <w:p>
      <w:pPr>
        <w:autoSpaceDE w:val="0"/>
        <w:autoSpaceDN w:val="0"/>
        <w:adjustRightInd w:val="0"/>
        <w:spacing w:line="360" w:lineRule="auto"/>
        <w:ind w:firstLine="480" w:firstLineChars="200"/>
        <w:rPr>
          <w:rFonts w:ascii="宋体" w:hAnsi="宋体" w:cs="宋体"/>
          <w:sz w:val="24"/>
          <w:u w:val="single"/>
        </w:rPr>
      </w:pPr>
      <w:r>
        <w:rPr>
          <w:rFonts w:hint="eastAsia" w:ascii="宋体" w:hAnsi="宋体" w:cs="宋体"/>
          <w:sz w:val="24"/>
        </w:rPr>
        <w:t>3.单位负责人：</w:t>
      </w:r>
      <w:r>
        <w:rPr>
          <w:rFonts w:hint="eastAsia" w:ascii="宋体" w:hAnsi="宋体" w:cs="宋体"/>
          <w:sz w:val="24"/>
          <w:u w:val="single"/>
        </w:rPr>
        <w:t xml:space="preserve">             </w:t>
      </w:r>
      <w:r>
        <w:rPr>
          <w:rFonts w:hint="eastAsia" w:ascii="宋体" w:hAnsi="宋体" w:cs="宋体"/>
          <w:sz w:val="24"/>
        </w:rPr>
        <w:t xml:space="preserve">        </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二、我单位</w:t>
      </w:r>
      <w:r>
        <w:rPr>
          <w:rFonts w:hint="eastAsia" w:ascii="宋体" w:hAnsi="宋体" w:cs="宋体"/>
          <w:sz w:val="24"/>
          <w:u w:val="single"/>
        </w:rPr>
        <w:t xml:space="preserve">           </w:t>
      </w:r>
      <w:r>
        <w:rPr>
          <w:rFonts w:hint="eastAsia" w:ascii="宋体" w:hAnsi="宋体" w:cs="宋体"/>
          <w:sz w:val="24"/>
        </w:rPr>
        <w:t>（是或否）为本次采购项目提供过整体设计、规范编制或者项目管理、监理、检测等服务的供应商。</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三、其他与本项目有关的利害关系说明：</w:t>
      </w:r>
      <w:r>
        <w:rPr>
          <w:rFonts w:hint="eastAsia" w:ascii="宋体" w:hAnsi="宋体" w:cs="宋体"/>
          <w:sz w:val="24"/>
          <w:u w:val="single"/>
        </w:rPr>
        <w:t xml:space="preserve">      </w:t>
      </w:r>
      <w:r>
        <w:rPr>
          <w:rFonts w:hint="eastAsia" w:ascii="宋体" w:hAnsi="宋体" w:cs="宋体"/>
          <w:sz w:val="24"/>
        </w:rPr>
        <w:t>（没有填无）</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我单位承诺以上说明真实有效，无虚假内容或隐瞒。</w:t>
      </w:r>
    </w:p>
    <w:p>
      <w:pPr>
        <w:autoSpaceDE w:val="0"/>
        <w:autoSpaceDN w:val="0"/>
        <w:adjustRightInd w:val="0"/>
        <w:spacing w:line="288" w:lineRule="auto"/>
        <w:ind w:firstLine="480" w:firstLineChars="200"/>
        <w:rPr>
          <w:rFonts w:ascii="宋体" w:hAnsi="宋体" w:cs="宋体"/>
          <w:sz w:val="24"/>
        </w:rPr>
      </w:pPr>
    </w:p>
    <w:p>
      <w:pPr>
        <w:spacing w:line="360" w:lineRule="auto"/>
        <w:ind w:firstLine="3360" w:firstLineChars="1400"/>
        <w:rPr>
          <w:rFonts w:ascii="宋体" w:hAnsi="宋体" w:cs="宋体"/>
          <w:sz w:val="24"/>
        </w:rPr>
      </w:pPr>
    </w:p>
    <w:p>
      <w:pPr>
        <w:spacing w:line="360" w:lineRule="auto"/>
        <w:ind w:firstLine="3360" w:firstLineChars="1400"/>
        <w:rPr>
          <w:rFonts w:ascii="宋体" w:hAnsi="宋体" w:cs="宋体"/>
          <w:sz w:val="24"/>
        </w:rPr>
      </w:pPr>
    </w:p>
    <w:p>
      <w:pPr>
        <w:spacing w:line="360" w:lineRule="auto"/>
        <w:ind w:firstLine="3360" w:firstLineChars="1400"/>
        <w:rPr>
          <w:rFonts w:ascii="宋体" w:hAnsi="宋体" w:cs="宋体"/>
          <w:sz w:val="24"/>
        </w:rPr>
      </w:pPr>
    </w:p>
    <w:p>
      <w:pPr>
        <w:spacing w:line="360" w:lineRule="auto"/>
        <w:ind w:firstLine="3360" w:firstLineChars="1400"/>
        <w:rPr>
          <w:rFonts w:ascii="宋体" w:hAnsi="宋体" w:cs="宋体"/>
          <w:sz w:val="24"/>
        </w:rPr>
      </w:pPr>
      <w:r>
        <w:rPr>
          <w:rFonts w:hint="eastAsia" w:ascii="宋体" w:hAnsi="宋体" w:cs="宋体"/>
          <w:sz w:val="24"/>
        </w:rPr>
        <w:t>供应商（盖章）：</w:t>
      </w:r>
      <w:r>
        <w:rPr>
          <w:rFonts w:hint="eastAsia" w:ascii="宋体" w:hAnsi="宋体" w:cs="宋体"/>
          <w:sz w:val="24"/>
          <w:u w:val="single"/>
        </w:rPr>
        <w:t xml:space="preserve">                             </w:t>
      </w:r>
    </w:p>
    <w:p>
      <w:pPr>
        <w:spacing w:line="360" w:lineRule="auto"/>
        <w:ind w:firstLine="3360" w:firstLineChars="1400"/>
        <w:rPr>
          <w:rFonts w:ascii="宋体" w:hAnsi="宋体" w:cs="宋体"/>
          <w:sz w:val="24"/>
          <w:u w:val="single"/>
        </w:rPr>
      </w:pPr>
      <w:r>
        <w:rPr>
          <w:rFonts w:hint="eastAsia" w:ascii="宋体" w:hAnsi="宋体" w:cs="宋体"/>
          <w:sz w:val="24"/>
          <w:lang w:eastAsia="zh-CN"/>
        </w:rPr>
        <w:t>法定代表人</w:t>
      </w:r>
      <w:r>
        <w:rPr>
          <w:rFonts w:hint="eastAsia" w:ascii="宋体" w:hAnsi="宋体" w:cs="宋体"/>
          <w:sz w:val="24"/>
        </w:rPr>
        <w:t>（</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p>
    <w:p>
      <w:pPr>
        <w:autoSpaceDE w:val="0"/>
        <w:autoSpaceDN w:val="0"/>
        <w:adjustRightInd w:val="0"/>
        <w:spacing w:line="360" w:lineRule="auto"/>
        <w:ind w:firstLine="3360" w:firstLineChars="14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4"/>
        <w:spacing w:before="0" w:after="120" w:afterLines="50" w:line="360" w:lineRule="auto"/>
        <w:jc w:val="center"/>
        <w:rPr>
          <w:rFonts w:ascii="宋体" w:hAnsi="宋体" w:eastAsia="宋体" w:cs="宋体"/>
          <w:b w:val="0"/>
          <w:bCs/>
        </w:rPr>
      </w:pPr>
      <w:r>
        <w:rPr>
          <w:rFonts w:hint="eastAsia" w:ascii="宋体" w:hAnsi="宋体" w:eastAsia="宋体" w:cs="宋体"/>
          <w:b w:val="0"/>
          <w:bCs/>
        </w:rPr>
        <w:br w:type="page"/>
      </w:r>
      <w:bookmarkEnd w:id="251"/>
      <w:bookmarkEnd w:id="252"/>
      <w:bookmarkStart w:id="253" w:name="_Toc495913706"/>
      <w:bookmarkStart w:id="254" w:name="_Toc14562"/>
      <w:bookmarkStart w:id="255" w:name="_Toc6788"/>
      <w:bookmarkStart w:id="256" w:name="_Toc16265272"/>
      <w:bookmarkStart w:id="257" w:name="_Toc24061"/>
      <w:r>
        <w:rPr>
          <w:rFonts w:hint="eastAsia" w:ascii="宋体" w:hAnsi="宋体" w:eastAsia="宋体" w:cs="宋体"/>
          <w:bCs/>
          <w:kern w:val="2"/>
          <w:sz w:val="32"/>
          <w:szCs w:val="32"/>
        </w:rPr>
        <w:t>九、拒绝政府采购领域商业贿赂承诺书</w:t>
      </w:r>
      <w:bookmarkEnd w:id="253"/>
      <w:bookmarkEnd w:id="254"/>
      <w:bookmarkEnd w:id="255"/>
      <w:bookmarkEnd w:id="256"/>
      <w:bookmarkEnd w:id="257"/>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为响应党中央、国务院关于治理政府采购领域商业贿赂行为的号召，我公司在此庄严承诺：</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一、在参与政府采购活动中遵纪守法、诚信经营、公平竞标。</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二、不向政府采购人、采购代理机构和政府采购评审专家进行任何形式的商业贿赂以谋取交易机会。</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三、不向政府采购代理机构和采购人提供虚假资质证明文件或采用虚假应标方式参与政府采购市场竞争并谋取成交、成交。</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四、不采取“围标、陪标”等商业欺诈手段获得政府采购订单。</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五、不采取不正当手段诋毁、排挤其他供应商。</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六、不在提供货物和服务时“偷梁换柱、以次充好”损害采购人的合法权益。</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七、不与采购人、采购代理机构、政府采购评审专家或其它供应商恶意串通，进行质疑和投诉，维护政府采购市场秩序。</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八、尊重和接受政府采购监督管理部门的监督和政府采购代理机构采购要求，承担因违约行为给采购人造成的损失。</w:t>
      </w:r>
    </w:p>
    <w:p>
      <w:pPr>
        <w:autoSpaceDE w:val="0"/>
        <w:autoSpaceDN w:val="0"/>
        <w:adjustRightInd w:val="0"/>
        <w:spacing w:line="560" w:lineRule="exact"/>
        <w:ind w:firstLine="480" w:firstLineChars="200"/>
        <w:jc w:val="left"/>
        <w:rPr>
          <w:rFonts w:ascii="宋体" w:hAnsi="宋体" w:cs="宋体"/>
          <w:sz w:val="24"/>
        </w:rPr>
      </w:pPr>
      <w:r>
        <w:rPr>
          <w:rFonts w:hint="eastAsia" w:ascii="宋体" w:hAnsi="宋体" w:cs="宋体"/>
          <w:sz w:val="24"/>
        </w:rPr>
        <w:t xml:space="preserve">    九、不发生其他有悖于政府采购公开、公平、公正和诚信原则的行为。                                    </w:t>
      </w:r>
    </w:p>
    <w:p>
      <w:pPr>
        <w:autoSpaceDE w:val="0"/>
        <w:autoSpaceDN w:val="0"/>
        <w:adjustRightInd w:val="0"/>
        <w:spacing w:line="336" w:lineRule="auto"/>
        <w:ind w:firstLine="645"/>
        <w:rPr>
          <w:rFonts w:ascii="宋体" w:hAnsi="宋体" w:cs="宋体"/>
          <w:sz w:val="24"/>
        </w:rPr>
      </w:pPr>
      <w:r>
        <w:rPr>
          <w:rFonts w:hint="eastAsia" w:ascii="宋体" w:hAnsi="宋体" w:cs="宋体"/>
          <w:sz w:val="24"/>
        </w:rPr>
        <w:t xml:space="preserve"> </w:t>
      </w:r>
    </w:p>
    <w:p>
      <w:pPr>
        <w:autoSpaceDE w:val="0"/>
        <w:autoSpaceDN w:val="0"/>
        <w:adjustRightInd w:val="0"/>
        <w:spacing w:line="336" w:lineRule="auto"/>
        <w:ind w:firstLine="645"/>
        <w:rPr>
          <w:rFonts w:ascii="宋体" w:hAnsi="宋体" w:cs="宋体"/>
          <w:sz w:val="24"/>
        </w:rPr>
      </w:pPr>
    </w:p>
    <w:p>
      <w:pPr>
        <w:spacing w:line="360" w:lineRule="auto"/>
        <w:ind w:firstLine="3360" w:firstLineChars="1400"/>
        <w:rPr>
          <w:rFonts w:ascii="宋体" w:hAnsi="宋体" w:cs="宋体"/>
          <w:sz w:val="24"/>
        </w:rPr>
      </w:pPr>
      <w:bookmarkStart w:id="258" w:name="_Toc19027"/>
      <w:r>
        <w:rPr>
          <w:rFonts w:hint="eastAsia" w:ascii="宋体" w:hAnsi="宋体" w:cs="宋体"/>
          <w:sz w:val="24"/>
        </w:rPr>
        <w:t>供应商（盖章）：</w:t>
      </w:r>
      <w:r>
        <w:rPr>
          <w:rFonts w:hint="eastAsia" w:ascii="宋体" w:hAnsi="宋体" w:cs="宋体"/>
          <w:sz w:val="24"/>
          <w:u w:val="single"/>
        </w:rPr>
        <w:t xml:space="preserve">                             </w:t>
      </w:r>
    </w:p>
    <w:p>
      <w:pPr>
        <w:spacing w:line="360" w:lineRule="auto"/>
        <w:ind w:firstLine="3360" w:firstLineChars="1400"/>
        <w:rPr>
          <w:rFonts w:ascii="宋体" w:hAnsi="宋体" w:cs="宋体"/>
          <w:sz w:val="24"/>
          <w:u w:val="single"/>
        </w:rPr>
      </w:pPr>
      <w:r>
        <w:rPr>
          <w:rFonts w:hint="eastAsia" w:ascii="宋体" w:hAnsi="宋体" w:cs="宋体"/>
          <w:sz w:val="24"/>
          <w:lang w:eastAsia="zh-CN"/>
        </w:rPr>
        <w:t>法定代表人</w:t>
      </w:r>
      <w:r>
        <w:rPr>
          <w:rFonts w:hint="eastAsia" w:ascii="宋体" w:hAnsi="宋体" w:cs="宋体"/>
          <w:sz w:val="24"/>
        </w:rPr>
        <w:t>（</w:t>
      </w:r>
      <w:r>
        <w:rPr>
          <w:rFonts w:hint="eastAsia" w:ascii="宋体" w:hAnsi="宋体" w:cs="宋体"/>
          <w:sz w:val="24"/>
          <w:lang w:eastAsia="zh-CN"/>
        </w:rPr>
        <w:t>签字或盖章</w:t>
      </w:r>
      <w:r>
        <w:rPr>
          <w:rFonts w:hint="eastAsia" w:ascii="宋体" w:hAnsi="宋体" w:cs="宋体"/>
          <w:sz w:val="24"/>
        </w:rPr>
        <w:t>）：</w:t>
      </w:r>
      <w:r>
        <w:rPr>
          <w:rFonts w:hint="eastAsia" w:ascii="宋体" w:hAnsi="宋体" w:cs="宋体"/>
          <w:sz w:val="24"/>
          <w:u w:val="single"/>
        </w:rPr>
        <w:t xml:space="preserve">                         </w:t>
      </w:r>
    </w:p>
    <w:p>
      <w:pPr>
        <w:autoSpaceDE w:val="0"/>
        <w:autoSpaceDN w:val="0"/>
        <w:adjustRightInd w:val="0"/>
        <w:spacing w:line="360" w:lineRule="auto"/>
        <w:ind w:firstLine="3360" w:firstLineChars="14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127"/>
        <w:spacing w:line="400" w:lineRule="exact"/>
        <w:rPr>
          <w:rFonts w:ascii="宋体" w:hAnsi="宋体" w:cs="宋体"/>
          <w:b/>
          <w:sz w:val="24"/>
          <w:szCs w:val="24"/>
        </w:rPr>
      </w:pPr>
    </w:p>
    <w:p>
      <w:pPr>
        <w:pStyle w:val="4"/>
        <w:spacing w:before="0" w:after="120" w:afterLines="50" w:line="360" w:lineRule="auto"/>
        <w:jc w:val="center"/>
        <w:rPr>
          <w:rFonts w:ascii="宋体" w:hAnsi="宋体" w:eastAsia="宋体" w:cs="宋体"/>
          <w:b w:val="0"/>
          <w:bCs/>
        </w:rPr>
      </w:pPr>
      <w:r>
        <w:rPr>
          <w:rFonts w:hint="eastAsia" w:ascii="宋体" w:hAnsi="宋体" w:eastAsia="宋体" w:cs="宋体"/>
          <w:b w:val="0"/>
          <w:bCs/>
        </w:rPr>
        <w:br w:type="page"/>
      </w:r>
      <w:bookmarkEnd w:id="258"/>
      <w:bookmarkStart w:id="259" w:name="_Toc16265273"/>
      <w:bookmarkStart w:id="260" w:name="_Toc10477"/>
      <w:bookmarkStart w:id="261" w:name="_Toc26570"/>
      <w:r>
        <w:rPr>
          <w:rFonts w:hint="eastAsia" w:ascii="宋体" w:hAnsi="宋体" w:eastAsia="宋体" w:cs="宋体"/>
          <w:bCs/>
          <w:kern w:val="2"/>
          <w:sz w:val="32"/>
          <w:szCs w:val="32"/>
        </w:rPr>
        <w:t>十、</w:t>
      </w:r>
      <w:bookmarkEnd w:id="259"/>
      <w:r>
        <w:rPr>
          <w:rFonts w:hint="eastAsia" w:ascii="宋体" w:hAnsi="宋体" w:eastAsia="宋体" w:cs="宋体"/>
          <w:bCs/>
          <w:kern w:val="2"/>
          <w:sz w:val="32"/>
          <w:szCs w:val="32"/>
        </w:rPr>
        <w:t>落实政府采购政策需提供的相关材料及供应商认为有必要补充说明的事项</w:t>
      </w:r>
      <w:bookmarkEnd w:id="260"/>
      <w:bookmarkEnd w:id="261"/>
    </w:p>
    <w:p>
      <w:pPr>
        <w:pStyle w:val="127"/>
        <w:spacing w:line="400" w:lineRule="exact"/>
        <w:rPr>
          <w:rFonts w:ascii="宋体" w:hAnsi="宋体" w:cs="宋体"/>
          <w:sz w:val="24"/>
          <w:szCs w:val="24"/>
        </w:rPr>
      </w:pPr>
    </w:p>
    <w:p>
      <w:pPr>
        <w:pStyle w:val="127"/>
        <w:spacing w:line="400" w:lineRule="exact"/>
        <w:rPr>
          <w:rFonts w:ascii="宋体" w:hAnsi="宋体" w:cs="宋体"/>
          <w:sz w:val="24"/>
          <w:szCs w:val="24"/>
        </w:rPr>
      </w:pPr>
    </w:p>
    <w:p>
      <w:pPr>
        <w:pStyle w:val="127"/>
        <w:spacing w:line="400" w:lineRule="exact"/>
        <w:rPr>
          <w:rFonts w:ascii="宋体" w:hAnsi="宋体" w:cs="宋体"/>
          <w:b/>
          <w:sz w:val="24"/>
          <w:szCs w:val="24"/>
        </w:rPr>
      </w:pPr>
    </w:p>
    <w:p>
      <w:pPr>
        <w:pStyle w:val="127"/>
        <w:spacing w:line="400" w:lineRule="exact"/>
        <w:rPr>
          <w:rFonts w:ascii="宋体" w:hAnsi="宋体" w:cs="宋体"/>
          <w:sz w:val="24"/>
          <w:szCs w:val="24"/>
          <w:u w:val="single"/>
        </w:rPr>
      </w:pPr>
      <w:bookmarkStart w:id="262" w:name="_Toc475451557"/>
      <w:bookmarkStart w:id="263" w:name="_Toc473056008"/>
      <w:bookmarkStart w:id="264" w:name="_Toc475451804"/>
    </w:p>
    <w:bookmarkEnd w:id="262"/>
    <w:bookmarkEnd w:id="263"/>
    <w:bookmarkEnd w:id="264"/>
    <w:p>
      <w:pPr>
        <w:adjustRightInd w:val="0"/>
        <w:snapToGrid w:val="0"/>
        <w:spacing w:line="360" w:lineRule="exact"/>
        <w:ind w:firstLine="525" w:firstLineChars="250"/>
        <w:rPr>
          <w:rFonts w:ascii="宋体" w:hAnsi="宋体" w:cs="宋体"/>
        </w:rPr>
      </w:pPr>
      <w:r>
        <w:rPr>
          <w:rFonts w:hint="eastAsia" w:ascii="宋体" w:hAnsi="宋体" w:cs="宋体"/>
        </w:rPr>
        <w:br w:type="page"/>
      </w:r>
    </w:p>
    <w:p>
      <w:pPr>
        <w:pStyle w:val="24"/>
        <w:rPr>
          <w:rFonts w:ascii="宋体" w:hAnsi="宋体" w:cs="宋体"/>
        </w:rPr>
      </w:pPr>
    </w:p>
    <w:p>
      <w:pPr>
        <w:pStyle w:val="24"/>
        <w:rPr>
          <w:rFonts w:ascii="宋体" w:hAnsi="宋体" w:cs="宋体"/>
        </w:rPr>
      </w:pPr>
    </w:p>
    <w:p>
      <w:pPr>
        <w:pStyle w:val="24"/>
        <w:rPr>
          <w:rFonts w:ascii="宋体" w:hAnsi="宋体" w:cs="宋体"/>
        </w:rPr>
      </w:pPr>
    </w:p>
    <w:p>
      <w:pPr>
        <w:pStyle w:val="24"/>
        <w:rPr>
          <w:rFonts w:ascii="宋体" w:hAnsi="宋体" w:cs="宋体"/>
        </w:rPr>
      </w:pPr>
    </w:p>
    <w:p>
      <w:pPr>
        <w:spacing w:line="640" w:lineRule="exact"/>
        <w:ind w:firstLine="3092" w:firstLineChars="700"/>
        <w:rPr>
          <w:rFonts w:ascii="宋体" w:hAnsi="宋体" w:cs="宋体"/>
          <w:b/>
          <w:sz w:val="44"/>
          <w:szCs w:val="44"/>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640" w:lineRule="exact"/>
        <w:ind w:firstLine="3092" w:firstLineChars="700"/>
        <w:rPr>
          <w:rFonts w:ascii="宋体" w:hAnsi="宋体" w:cs="宋体"/>
          <w:b/>
          <w:sz w:val="44"/>
          <w:szCs w:val="44"/>
        </w:rPr>
      </w:pPr>
      <w:r>
        <w:rPr>
          <w:rFonts w:hint="eastAsia" w:ascii="宋体" w:hAnsi="宋体" w:cs="宋体"/>
          <w:b/>
          <w:sz w:val="44"/>
          <w:szCs w:val="44"/>
        </w:rPr>
        <w:t>本页以下无内容</w:t>
      </w:r>
    </w:p>
    <w:p>
      <w:pPr>
        <w:spacing w:line="640" w:lineRule="exact"/>
        <w:rPr>
          <w:rFonts w:ascii="宋体" w:hAnsi="宋体" w:cs="宋体"/>
          <w:b/>
          <w:sz w:val="44"/>
          <w:szCs w:val="44"/>
        </w:rPr>
      </w:pPr>
    </w:p>
    <w:p>
      <w:pPr>
        <w:pBdr>
          <w:bottom w:val="single" w:color="auto" w:sz="6" w:space="12"/>
        </w:pBdr>
        <w:spacing w:line="640" w:lineRule="exact"/>
        <w:rPr>
          <w:rFonts w:ascii="宋体" w:hAnsi="宋体" w:cs="宋体"/>
          <w:b/>
          <w:sz w:val="44"/>
          <w:szCs w:val="44"/>
        </w:rPr>
      </w:pPr>
    </w:p>
    <w:p>
      <w:pPr>
        <w:pBdr>
          <w:bottom w:val="single" w:color="auto" w:sz="6" w:space="12"/>
        </w:pBdr>
        <w:spacing w:line="640" w:lineRule="exact"/>
        <w:rPr>
          <w:rFonts w:ascii="宋体" w:hAnsi="宋体" w:cs="宋体"/>
          <w:b/>
          <w:sz w:val="44"/>
          <w:szCs w:val="44"/>
        </w:rPr>
      </w:pPr>
    </w:p>
    <w:p>
      <w:pPr>
        <w:pBdr>
          <w:bottom w:val="single" w:color="auto" w:sz="6" w:space="12"/>
        </w:pBdr>
        <w:spacing w:line="640" w:lineRule="exact"/>
        <w:rPr>
          <w:rFonts w:ascii="宋体" w:hAnsi="宋体" w:cs="宋体"/>
          <w:b/>
          <w:sz w:val="44"/>
          <w:szCs w:val="44"/>
        </w:rPr>
      </w:pPr>
    </w:p>
    <w:p>
      <w:pPr>
        <w:pBdr>
          <w:bottom w:val="single" w:color="auto" w:sz="6" w:space="12"/>
        </w:pBdr>
        <w:spacing w:line="640" w:lineRule="exact"/>
        <w:rPr>
          <w:rFonts w:ascii="宋体" w:hAnsi="宋体" w:cs="宋体"/>
          <w:b/>
          <w:sz w:val="44"/>
          <w:szCs w:val="44"/>
        </w:rPr>
      </w:pPr>
    </w:p>
    <w:p>
      <w:pPr>
        <w:pBdr>
          <w:bottom w:val="single" w:color="auto" w:sz="6" w:space="12"/>
        </w:pBdr>
        <w:spacing w:line="640" w:lineRule="exact"/>
        <w:rPr>
          <w:rFonts w:ascii="宋体" w:hAnsi="宋体" w:cs="宋体"/>
          <w:b/>
          <w:sz w:val="44"/>
          <w:szCs w:val="44"/>
        </w:rPr>
      </w:pPr>
    </w:p>
    <w:p>
      <w:pPr>
        <w:pStyle w:val="127"/>
        <w:spacing w:line="340" w:lineRule="exact"/>
        <w:rPr>
          <w:rFonts w:ascii="宋体" w:hAnsi="宋体" w:cs="宋体"/>
        </w:rPr>
      </w:pPr>
    </w:p>
    <w:sectPr>
      <w:footerReference r:id="rId12" w:type="default"/>
      <w:pgSz w:w="11906" w:h="16838"/>
      <w:pgMar w:top="1440" w:right="1080" w:bottom="1440" w:left="1080"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rPr>
        <w:kern w:val="0"/>
        <w:szCs w:val="21"/>
      </w:rPr>
    </w:pPr>
  </w:p>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spacing w:line="240" w:lineRule="exact"/>
      <w:ind w:right="357"/>
      <w:jc w:val="center"/>
      <w:rPr>
        <w:rFonts w:hint="eastAsia" w:eastAsia="宋体"/>
        <w:b/>
        <w:lang w:eastAsia="zh-CN"/>
      </w:rPr>
    </w:pPr>
    <w:r>
      <w:rPr>
        <w:rFonts w:hint="eastAsia"/>
        <w:b/>
        <w:kern w:val="0"/>
        <w:szCs w:val="21"/>
      </w:rPr>
      <w:t>地址：西安市雁塔区太白南路191号崇立金世园2308室  电话：</w:t>
    </w:r>
    <w:r>
      <w:rPr>
        <w:rFonts w:hint="eastAsia"/>
        <w:b/>
        <w:kern w:val="0"/>
        <w:szCs w:val="21"/>
        <w:lang w:eastAsia="zh-CN"/>
      </w:rPr>
      <w:t>029-87551608</w:t>
    </w:r>
  </w:p>
  <w:p>
    <w:pPr>
      <w:pStyle w:val="24"/>
      <w:rPr>
        <w:b/>
        <w:kern w:val="0"/>
        <w:szCs w:val="21"/>
      </w:rPr>
    </w:pPr>
  </w:p>
  <w:p>
    <w:pPr>
      <w:rPr>
        <w:b/>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rPr>
        <w:rFonts w:hint="eastAsia" w:eastAsia="宋体"/>
        <w:lang w:eastAsia="zh-CN"/>
      </w:rPr>
    </w:pPr>
    <w:r>
      <w:rPr>
        <w:rFonts w:hint="eastAsia"/>
        <w:b/>
        <w:kern w:val="0"/>
        <w:szCs w:val="21"/>
      </w:rPr>
      <w:t>地址：</w:t>
    </w:r>
    <w:r>
      <w:rPr>
        <w:rFonts w:hint="eastAsia"/>
        <w:b/>
        <w:kern w:val="0"/>
        <w:szCs w:val="21"/>
        <w:lang w:eastAsia="zh-CN"/>
      </w:rPr>
      <w:t>西安市雁塔区二环南路西段88号老三届世纪星大厦30层AB座</w:t>
    </w:r>
    <w:r>
      <w:rPr>
        <w:rFonts w:hint="eastAsia"/>
        <w:b/>
        <w:kern w:val="0"/>
        <w:szCs w:val="21"/>
      </w:rPr>
      <w:t xml:space="preserve">     电话：</w:t>
    </w:r>
    <w:r>
      <w:rPr>
        <w:rFonts w:hint="eastAsia"/>
        <w:b/>
        <w:kern w:val="0"/>
        <w:szCs w:val="21"/>
        <w:lang w:eastAsia="zh-CN"/>
      </w:rPr>
      <w:t>029-87551608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exact"/>
      <w:ind w:right="357"/>
      <w:jc w:val="center"/>
      <w:rPr>
        <w:b/>
        <w:kern w:val="0"/>
        <w:szCs w:val="2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97</w:t>
                    </w:r>
                    <w:r>
                      <w:t xml:space="preserve"> 页</w:t>
                    </w:r>
                  </w:p>
                </w:txbxContent>
              </v:textbox>
            </v:shape>
          </w:pict>
        </mc:Fallback>
      </mc:AlternateContent>
    </w:r>
  </w:p>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spacing w:line="240" w:lineRule="exact"/>
      <w:ind w:right="357"/>
      <w:jc w:val="center"/>
      <w:rPr>
        <w:rFonts w:hint="eastAsia" w:eastAsia="宋体"/>
        <w:b/>
        <w:kern w:val="0"/>
        <w:szCs w:val="21"/>
        <w:lang w:eastAsia="zh-CN"/>
      </w:rPr>
    </w:pPr>
    <w:r>
      <w:rPr>
        <w:rFonts w:hint="eastAsia"/>
        <w:b/>
        <w:kern w:val="0"/>
        <w:szCs w:val="21"/>
      </w:rPr>
      <w:t>地址：</w:t>
    </w:r>
    <w:r>
      <w:rPr>
        <w:rFonts w:hint="eastAsia"/>
        <w:b/>
        <w:kern w:val="0"/>
        <w:szCs w:val="21"/>
        <w:lang w:eastAsia="zh-CN"/>
      </w:rPr>
      <w:t>西安市雁塔区二环南路西段88号老三届世纪星大厦30层AB座</w:t>
    </w:r>
    <w:r>
      <w:rPr>
        <w:rFonts w:hint="eastAsia"/>
        <w:b/>
        <w:kern w:val="0"/>
        <w:szCs w:val="21"/>
      </w:rPr>
      <w:t xml:space="preserve">     电话：</w:t>
    </w:r>
    <w:r>
      <w:rPr>
        <w:rFonts w:hint="eastAsia"/>
        <w:b/>
        <w:kern w:val="0"/>
        <w:szCs w:val="21"/>
        <w:lang w:eastAsia="zh-CN"/>
      </w:rPr>
      <w:t>029-87551608</w:t>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exact"/>
      <w:ind w:right="357"/>
      <w:jc w:val="center"/>
      <w:rPr>
        <w:b/>
        <w:kern w:val="0"/>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97</w:t>
                    </w:r>
                    <w:r>
                      <w:t xml:space="preserve"> 页</w:t>
                    </w:r>
                  </w:p>
                </w:txbxContent>
              </v:textbox>
            </v:shape>
          </w:pict>
        </mc:Fallback>
      </mc:AlternateContent>
    </w:r>
  </w:p>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spacing w:line="240" w:lineRule="exact"/>
      <w:ind w:right="357"/>
      <w:jc w:val="center"/>
      <w:rPr>
        <w:rFonts w:hint="eastAsia" w:eastAsia="宋体"/>
        <w:b/>
        <w:kern w:val="0"/>
        <w:szCs w:val="21"/>
        <w:lang w:eastAsia="zh-CN"/>
      </w:rPr>
    </w:pPr>
    <w:r>
      <w:rPr>
        <w:rFonts w:hint="eastAsia"/>
        <w:b/>
        <w:kern w:val="0"/>
        <w:szCs w:val="21"/>
      </w:rPr>
      <w:t>地址：</w:t>
    </w:r>
    <w:r>
      <w:rPr>
        <w:rFonts w:hint="eastAsia"/>
        <w:b/>
        <w:kern w:val="0"/>
        <w:szCs w:val="21"/>
        <w:lang w:eastAsia="zh-CN"/>
      </w:rPr>
      <w:t>西安市雁塔区二环南路西段88号老三届世纪星大厦30层AB座</w:t>
    </w:r>
    <w:r>
      <w:rPr>
        <w:rFonts w:hint="eastAsia"/>
        <w:b/>
        <w:kern w:val="0"/>
        <w:szCs w:val="21"/>
      </w:rPr>
      <w:t xml:space="preserve">     电话：</w:t>
    </w:r>
    <w:r>
      <w:rPr>
        <w:rFonts w:hint="eastAsia"/>
        <w:b/>
        <w:kern w:val="0"/>
        <w:szCs w:val="21"/>
        <w:lang w:eastAsia="zh-CN"/>
      </w:rPr>
      <w:t>029-87551608</w:t>
    </w: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exact"/>
      <w:ind w:right="357"/>
      <w:jc w:val="center"/>
      <w:rPr>
        <w:b/>
        <w:kern w:val="0"/>
        <w:szCs w:val="21"/>
      </w:rPr>
    </w:pPr>
    <w:r>
      <w:rPr>
        <w:sz w:val="18"/>
      </w:rPr>
      <mc:AlternateContent>
        <mc:Choice Requires="wps">
          <w:drawing>
            <wp:anchor distT="0" distB="0" distL="114300" distR="114300" simplePos="0" relativeHeight="251661312" behindDoc="0" locked="0" layoutInCell="1" allowOverlap="1">
              <wp:simplePos x="0" y="0"/>
              <wp:positionH relativeFrom="margin">
                <wp:posOffset>2463800</wp:posOffset>
              </wp:positionH>
              <wp:positionV relativeFrom="paragraph">
                <wp:posOffset>-133350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4pt;margin-top:-10.5pt;height:144pt;width:144pt;mso-position-horizontal-relative:margin;mso-wrap-style:none;z-index:251661312;mso-width-relative:page;mso-height-relative:page;" filled="f" stroked="f" coordsize="21600,21600" o:gfxdata="UEsDBAoAAAAAAIdO4kAAAAAAAAAAAAAAAAAEAAAAZHJzL1BLAwQUAAAACACHTuJASo5DV9gAAAAL&#10;AQAADwAAAGRycy9kb3ducmV2LnhtbE2PwU7DMBBE70j8g7VI3Fo7KUqjEKcSFeGIRNMDRzfeJimx&#10;HdluGv6e5QS3Ge1o9k25W8zIZvRhcFZCshbA0LZOD7aTcGzqVQ4sRGW1Gp1FCd8YYFfd35Wq0O5m&#10;P3A+xI5RiQ2FktDHOBWch7ZHo8LaTWjpdnbeqEjWd1x7daNyM/JUiIwbNVj60KsJ9z22X4erkbCv&#10;m8bPGPz4iW/15vL+8oSvi5SPD4l4BhZxiX9h+MUndKiI6eSuVgc2StjkOW2JElZpQoIS2TYjcZKQ&#10;ZlsBvCr5/w3VD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o5DV9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97</w:t>
                    </w:r>
                    <w:r>
                      <w:t xml:space="preserve"> 页</w:t>
                    </w:r>
                  </w:p>
                </w:txbxContent>
              </v:textbox>
            </v:shape>
          </w:pict>
        </mc:Fallback>
      </mc:AlternateContent>
    </w:r>
    <w:r>
      <w:rPr>
        <w:rFonts w:hint="eastAsia"/>
        <w:b/>
        <w:kern w:val="0"/>
        <w:szCs w:val="21"/>
      </w:rPr>
      <w:t>陕西明正招标有限公司 SHAANXI  MINGZHENG TENDERING CO,LTD</w:t>
    </w:r>
  </w:p>
  <w:p>
    <w:pPr>
      <w:pStyle w:val="24"/>
      <w:rPr>
        <w:rFonts w:hint="eastAsia" w:eastAsia="宋体"/>
        <w:lang w:eastAsia="zh-CN"/>
      </w:rPr>
    </w:pPr>
    <w:r>
      <w:rPr>
        <w:rFonts w:hint="eastAsia"/>
        <w:b/>
        <w:kern w:val="0"/>
        <w:szCs w:val="21"/>
      </w:rPr>
      <w:t>地址：</w:t>
    </w:r>
    <w:r>
      <w:rPr>
        <w:rFonts w:hint="eastAsia"/>
        <w:b/>
        <w:kern w:val="0"/>
        <w:szCs w:val="21"/>
        <w:lang w:eastAsia="zh-CN"/>
      </w:rPr>
      <w:t>西安市雁塔区二环南路西段88号老三届世纪星大厦30层AB座</w:t>
    </w:r>
    <w:r>
      <w:rPr>
        <w:rFonts w:hint="eastAsia"/>
        <w:b/>
        <w:kern w:val="0"/>
        <w:szCs w:val="21"/>
      </w:rPr>
      <w:t xml:space="preserve">     电话：</w:t>
    </w:r>
    <w:r>
      <w:rPr>
        <w:rFonts w:hint="eastAsia"/>
        <w:b/>
        <w:kern w:val="0"/>
        <w:szCs w:val="21"/>
        <w:lang w:eastAsia="zh-CN"/>
      </w:rPr>
      <w:t>029-87551608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rPr>
        <w:color w:val="FF0000"/>
        <w:kern w:val="0"/>
        <w:szCs w:val="21"/>
        <w:highlight w:val="yellow"/>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83</w:t>
                          </w:r>
                          <w:r>
                            <w:fldChar w:fldCharType="end"/>
                          </w:r>
                          <w:r>
                            <w:t xml:space="preserve"> 页 共 </w:t>
                          </w:r>
                          <w:r>
                            <w:rPr>
                              <w:rFonts w:hint="eastAsia"/>
                              <w:lang w:val="en-US" w:eastAsia="zh-CN"/>
                            </w:rPr>
                            <w:t>97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83</w:t>
                    </w:r>
                    <w:r>
                      <w:fldChar w:fldCharType="end"/>
                    </w:r>
                    <w:r>
                      <w:t xml:space="preserve"> 页 共 </w:t>
                    </w:r>
                    <w:r>
                      <w:rPr>
                        <w:rFonts w:hint="eastAsia"/>
                        <w:lang w:val="en-US" w:eastAsia="zh-CN"/>
                      </w:rPr>
                      <w:t>97</w:t>
                    </w:r>
                    <w:r>
                      <w:t xml:space="preserve"> 页</w:t>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rPr>
                              <w:rFonts w:ascii="宋体" w:hAnsi="宋体" w:cs="宋体"/>
                            </w:rPr>
                          </w:pP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rZ6G9AQAAewMAAA4AAABkcnMvZTJvRG9jLnhtbK1TS27bMBDdF8gd&#10;CO5jykZbOILloICRIEDRBkh7AJoiLQL8gUNb8gXaG3TVTfc9l8/RISU7RbrJoht6hjN+894banU7&#10;WEMOMoL2rqHzWUWJdMK32u0a+vXL3fWSEkjctdx4Jxt6lEBv11dvVn2o5cJ33rQyEgRxUPehoV1K&#10;oWYMRCcth5kP0mFR+Wh5wjTuWBt5j+jWsEVVvWe9j22IXkgAvN2MRTohxtcAeqW0kBsv9la6NKJG&#10;aXhCSdDpAHRd2ColRfqsFMhETENRaSonDsF4m0+2XvF6F3notJgo8NdQeKHJcu1w6AVqwxMn+6j/&#10;gbJaRA9epZnwlo1CiiOoYl698Oap40EWLWg1hIvp8P9gxafDYyS6bejb6uaGEsct7vz04/vp5+/T&#10;r2/kXXaoD1Bj41N4jFMGGGa5g4o2/6IQMhRXjxdX5ZCIwMv5crFcVmi4wNo5QRz2/PcQId1Lb0kO&#10;GhpxbcVNfvgIaWw9t+RpxuXT+TttzFjNNyzTHInlKA3bYWK79e0RVfa45oY6fNWUmA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0Ctnob0BAAB7AwAADgAAAAAAAAABACAAAAAfAQAAZHJzL2Uyb0RvYy54bWxQSwUGAAAA&#10;AAYABgBZAQAATgUAAAAA&#10;">
              <v:fill on="f" focussize="0,0"/>
              <v:stroke on="f"/>
              <v:imagedata o:title=""/>
              <o:lock v:ext="edit" aspectratio="f"/>
              <v:textbox inset="0mm,0mm,0mm,0mm" style="mso-fit-shape-to-text:t;">
                <w:txbxContent>
                  <w:p>
                    <w:pPr>
                      <w:pStyle w:val="24"/>
                      <w:rPr>
                        <w:rFonts w:ascii="宋体" w:hAnsi="宋体" w:cs="宋体"/>
                      </w:rPr>
                    </w:pPr>
                  </w:p>
                </w:txbxContent>
              </v:textbox>
            </v:rect>
          </w:pict>
        </mc:Fallback>
      </mc:AlternateContent>
    </w:r>
  </w:p>
  <w:p>
    <w:pPr>
      <w:pStyle w:val="24"/>
      <w:spacing w:line="240" w:lineRule="exact"/>
      <w:ind w:right="357"/>
      <w:jc w:val="center"/>
      <w:rPr>
        <w:b/>
        <w:kern w:val="0"/>
        <w:szCs w:val="21"/>
      </w:rPr>
    </w:pPr>
    <w:r>
      <w:rPr>
        <w:rFonts w:hint="eastAsia"/>
        <w:b/>
        <w:kern w:val="0"/>
        <w:szCs w:val="21"/>
      </w:rPr>
      <w:t>陕西明正招标有限公司 SHAANXI  MINGZHENG TENDERING CO,LTD</w:t>
    </w:r>
  </w:p>
  <w:p>
    <w:pPr>
      <w:pStyle w:val="24"/>
      <w:spacing w:line="240" w:lineRule="exact"/>
      <w:ind w:right="357"/>
      <w:jc w:val="center"/>
      <w:rPr>
        <w:rFonts w:hint="eastAsia" w:eastAsia="宋体"/>
        <w:b/>
        <w:kern w:val="0"/>
        <w:szCs w:val="21"/>
        <w:lang w:eastAsia="zh-CN"/>
      </w:rPr>
    </w:pPr>
    <w:r>
      <w:rPr>
        <w:rFonts w:hint="eastAsia"/>
        <w:b/>
        <w:kern w:val="0"/>
        <w:szCs w:val="21"/>
      </w:rPr>
      <w:t>地址：</w:t>
    </w:r>
    <w:r>
      <w:rPr>
        <w:rFonts w:hint="eastAsia"/>
        <w:b/>
        <w:kern w:val="0"/>
        <w:szCs w:val="21"/>
        <w:lang w:eastAsia="zh-CN"/>
      </w:rPr>
      <w:t>西安市雁塔区二环南路西段88号老三届世纪星大厦30层AB座</w:t>
    </w:r>
    <w:r>
      <w:rPr>
        <w:rFonts w:hint="eastAsia"/>
        <w:b/>
        <w:kern w:val="0"/>
        <w:szCs w:val="21"/>
      </w:rPr>
      <w:t xml:space="preserve">     电话：</w:t>
    </w:r>
    <w:r>
      <w:rPr>
        <w:rFonts w:hint="eastAsia"/>
        <w:b/>
        <w:kern w:val="0"/>
        <w:szCs w:val="21"/>
        <w:lang w:eastAsia="zh-CN"/>
      </w:rPr>
      <w:t>029-87551608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1620"/>
      </w:tabs>
      <w:spacing w:line="360" w:lineRule="auto"/>
      <w:ind w:right="-197" w:rightChars="-94"/>
      <w:jc w:val="left"/>
      <w:rPr>
        <w:rFonts w:hint="eastAsia" w:eastAsia="宋体"/>
        <w:u w:val="single"/>
        <w:lang w:eastAsia="zh-CN"/>
      </w:rPr>
    </w:pPr>
    <w:r>
      <w:rPr>
        <w:rFonts w:hint="eastAsia" w:ascii="宋体" w:hAnsi="宋体"/>
        <w:b/>
        <w:sz w:val="18"/>
        <w:szCs w:val="20"/>
        <w:u w:val="single"/>
      </w:rPr>
      <w:t>项目名称：西安市长安区水政水资源管理办公室长安区水资源中长期规划采购项目                          项目编号：</w:t>
    </w:r>
    <w:r>
      <w:rPr>
        <w:rFonts w:hint="eastAsia" w:ascii="宋体" w:hAnsi="宋体"/>
        <w:b/>
        <w:sz w:val="18"/>
        <w:szCs w:val="20"/>
        <w:u w:val="single"/>
        <w:lang w:eastAsia="zh-CN"/>
      </w:rPr>
      <w:t>MZ2022-TP1070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1620"/>
      </w:tabs>
      <w:spacing w:line="360" w:lineRule="auto"/>
      <w:ind w:right="-197" w:rightChars="-94"/>
      <w:jc w:val="left"/>
      <w:rPr>
        <w:rFonts w:hint="eastAsia" w:eastAsia="宋体"/>
        <w:sz w:val="18"/>
        <w:szCs w:val="18"/>
        <w:lang w:eastAsia="zh-CN"/>
      </w:rPr>
    </w:pPr>
    <w:r>
      <w:rPr>
        <w:rFonts w:hint="eastAsia" w:ascii="宋体" w:hAnsi="宋体"/>
        <w:b/>
        <w:sz w:val="18"/>
        <w:szCs w:val="18"/>
        <w:u w:val="single"/>
      </w:rPr>
      <w:t>项目名称：</w:t>
    </w:r>
    <w:r>
      <w:rPr>
        <w:rFonts w:hint="eastAsia" w:ascii="宋体" w:hAnsi="宋体"/>
        <w:b/>
        <w:sz w:val="18"/>
        <w:szCs w:val="18"/>
        <w:u w:val="single"/>
        <w:lang w:eastAsia="zh-CN"/>
      </w:rPr>
      <w:t>西安商贸旅游技师学院烹饪系实训室改造项目（二次）</w:t>
    </w:r>
    <w:r>
      <w:rPr>
        <w:rFonts w:hint="eastAsia" w:ascii="宋体" w:hAnsi="宋体"/>
        <w:b/>
        <w:sz w:val="18"/>
        <w:szCs w:val="18"/>
        <w:u w:val="single"/>
      </w:rPr>
      <w:t xml:space="preserve">                         项目编号：</w:t>
    </w:r>
    <w:r>
      <w:rPr>
        <w:rFonts w:hint="eastAsia" w:ascii="宋体" w:hAnsi="宋体"/>
        <w:b/>
        <w:sz w:val="18"/>
        <w:szCs w:val="18"/>
        <w:u w:val="single"/>
        <w:lang w:eastAsia="zh-CN"/>
      </w:rPr>
      <w:t>MZ2022-TP1070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adjustRightInd w:val="0"/>
      <w:jc w:val="left"/>
      <w:rPr>
        <w:rFonts w:ascii="宋体" w:hAnsi="宋体"/>
        <w:b/>
        <w:bCs/>
      </w:rPr>
    </w:pPr>
    <w:r>
      <w:rPr>
        <w:rFonts w:hint="eastAsia" w:ascii="宋体" w:hAnsi="宋体"/>
        <w:b/>
        <w:bCs/>
      </w:rPr>
      <w:t>项目名称：</w:t>
    </w:r>
    <w:r>
      <w:rPr>
        <w:rFonts w:hint="eastAsia" w:ascii="宋体" w:hAnsi="宋体"/>
        <w:b/>
        <w:bCs/>
        <w:lang w:eastAsia="zh-CN"/>
      </w:rPr>
      <w:t>西安商贸旅游技师学院</w:t>
    </w:r>
    <w:r>
      <w:rPr>
        <w:rFonts w:hint="eastAsia" w:ascii="宋体" w:hAnsi="宋体"/>
        <w:b/>
        <w:bCs/>
      </w:rPr>
      <w:t>多功能录播厅设备采购项目                           项目编号：</w:t>
    </w:r>
    <w:r>
      <w:rPr>
        <w:rFonts w:hint="eastAsia" w:ascii="宋体" w:hAnsi="宋体"/>
        <w:b/>
        <w:szCs w:val="18"/>
        <w:lang w:eastAsia="zh-CN"/>
      </w:rPr>
      <w:t>MZ2022-TP1070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C58AE"/>
    <w:multiLevelType w:val="singleLevel"/>
    <w:tmpl w:val="97CC58AE"/>
    <w:lvl w:ilvl="0" w:tentative="0">
      <w:start w:val="1"/>
      <w:numFmt w:val="decimal"/>
      <w:suff w:val="nothing"/>
      <w:lvlText w:val="%1、"/>
      <w:lvlJc w:val="left"/>
    </w:lvl>
  </w:abstractNum>
  <w:abstractNum w:abstractNumId="1">
    <w:nsid w:val="A378A590"/>
    <w:multiLevelType w:val="singleLevel"/>
    <w:tmpl w:val="A378A590"/>
    <w:lvl w:ilvl="0" w:tentative="0">
      <w:start w:val="1"/>
      <w:numFmt w:val="decimal"/>
      <w:suff w:val="nothing"/>
      <w:lvlText w:val="（%1）"/>
      <w:lvlJc w:val="left"/>
    </w:lvl>
  </w:abstractNum>
  <w:abstractNum w:abstractNumId="2">
    <w:nsid w:val="BD5299A8"/>
    <w:multiLevelType w:val="singleLevel"/>
    <w:tmpl w:val="BD5299A8"/>
    <w:lvl w:ilvl="0" w:tentative="0">
      <w:start w:val="1"/>
      <w:numFmt w:val="decimal"/>
      <w:suff w:val="nothing"/>
      <w:lvlText w:val="%1、"/>
      <w:lvlJc w:val="left"/>
    </w:lvl>
  </w:abstractNum>
  <w:abstractNum w:abstractNumId="3">
    <w:nsid w:val="C7128E09"/>
    <w:multiLevelType w:val="singleLevel"/>
    <w:tmpl w:val="C7128E09"/>
    <w:lvl w:ilvl="0" w:tentative="0">
      <w:start w:val="1"/>
      <w:numFmt w:val="decimal"/>
      <w:suff w:val="nothing"/>
      <w:lvlText w:val="%1、"/>
      <w:lvlJc w:val="left"/>
    </w:lvl>
  </w:abstractNum>
  <w:abstractNum w:abstractNumId="4">
    <w:nsid w:val="DC1E9921"/>
    <w:multiLevelType w:val="singleLevel"/>
    <w:tmpl w:val="DC1E9921"/>
    <w:lvl w:ilvl="0" w:tentative="0">
      <w:start w:val="2"/>
      <w:numFmt w:val="chineseCounting"/>
      <w:suff w:val="nothing"/>
      <w:lvlText w:val="（%1）"/>
      <w:lvlJc w:val="left"/>
      <w:rPr>
        <w:rFonts w:hint="eastAsia"/>
      </w:rPr>
    </w:lvl>
  </w:abstractNum>
  <w:abstractNum w:abstractNumId="5">
    <w:nsid w:val="FBE36CD9"/>
    <w:multiLevelType w:val="singleLevel"/>
    <w:tmpl w:val="FBE36CD9"/>
    <w:lvl w:ilvl="0" w:tentative="0">
      <w:start w:val="1"/>
      <w:numFmt w:val="decimal"/>
      <w:suff w:val="nothing"/>
      <w:lvlText w:val="%1、"/>
      <w:lvlJc w:val="left"/>
    </w:lvl>
  </w:abstractNum>
  <w:abstractNum w:abstractNumId="6">
    <w:nsid w:val="00000000"/>
    <w:multiLevelType w:val="singleLevel"/>
    <w:tmpl w:val="00000000"/>
    <w:lvl w:ilvl="0" w:tentative="0">
      <w:start w:val="4"/>
      <w:numFmt w:val="chineseCounting"/>
      <w:suff w:val="nothing"/>
      <w:lvlText w:val="%1、"/>
      <w:lvlJc w:val="left"/>
      <w:rPr>
        <w:rFonts w:hint="eastAsia"/>
      </w:rPr>
    </w:lvl>
  </w:abstractNum>
  <w:abstractNum w:abstractNumId="7">
    <w:nsid w:val="00000003"/>
    <w:multiLevelType w:val="singleLevel"/>
    <w:tmpl w:val="00000003"/>
    <w:lvl w:ilvl="0" w:tentative="0">
      <w:start w:val="1"/>
      <w:numFmt w:val="decimal"/>
      <w:lvlText w:val="%1."/>
      <w:lvlJc w:val="left"/>
      <w:pPr>
        <w:tabs>
          <w:tab w:val="left" w:pos="312"/>
        </w:tabs>
      </w:pPr>
    </w:lvl>
  </w:abstractNum>
  <w:abstractNum w:abstractNumId="8">
    <w:nsid w:val="00000004"/>
    <w:multiLevelType w:val="singleLevel"/>
    <w:tmpl w:val="00000004"/>
    <w:lvl w:ilvl="0" w:tentative="0">
      <w:start w:val="5"/>
      <w:numFmt w:val="decimal"/>
      <w:lvlText w:val="%1."/>
      <w:lvlJc w:val="left"/>
      <w:pPr>
        <w:tabs>
          <w:tab w:val="left" w:pos="312"/>
        </w:tabs>
      </w:pPr>
    </w:lvl>
  </w:abstractNum>
  <w:abstractNum w:abstractNumId="9">
    <w:nsid w:val="00000005"/>
    <w:multiLevelType w:val="multilevel"/>
    <w:tmpl w:val="00000005"/>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9"/>
      <w:lvlText w:val="%6."/>
      <w:lvlJc w:val="right"/>
      <w:pPr>
        <w:ind w:left="2520" w:hanging="420"/>
      </w:pPr>
    </w:lvl>
    <w:lvl w:ilvl="6" w:tentative="0">
      <w:start w:val="1"/>
      <w:numFmt w:val="decimal"/>
      <w:pStyle w:val="10"/>
      <w:lvlText w:val="%7."/>
      <w:lvlJc w:val="left"/>
      <w:pPr>
        <w:ind w:left="2940" w:hanging="420"/>
      </w:pPr>
    </w:lvl>
    <w:lvl w:ilvl="7" w:tentative="0">
      <w:start w:val="1"/>
      <w:numFmt w:val="lowerLetter"/>
      <w:pStyle w:val="11"/>
      <w:lvlText w:val="%8)"/>
      <w:lvlJc w:val="left"/>
      <w:pPr>
        <w:ind w:left="3360" w:hanging="420"/>
      </w:pPr>
    </w:lvl>
    <w:lvl w:ilvl="8" w:tentative="0">
      <w:start w:val="1"/>
      <w:numFmt w:val="lowerRoman"/>
      <w:pStyle w:val="12"/>
      <w:lvlText w:val="%9."/>
      <w:lvlJc w:val="right"/>
      <w:pPr>
        <w:ind w:left="3780" w:hanging="420"/>
      </w:pPr>
    </w:lvl>
  </w:abstractNum>
  <w:abstractNum w:abstractNumId="10">
    <w:nsid w:val="00000006"/>
    <w:multiLevelType w:val="singleLevel"/>
    <w:tmpl w:val="00000006"/>
    <w:lvl w:ilvl="0" w:tentative="0">
      <w:start w:val="3"/>
      <w:numFmt w:val="decimal"/>
      <w:suff w:val="nothing"/>
      <w:lvlText w:val="%1、"/>
      <w:lvlJc w:val="left"/>
    </w:lvl>
  </w:abstractNum>
  <w:abstractNum w:abstractNumId="11">
    <w:nsid w:val="00000008"/>
    <w:multiLevelType w:val="singleLevel"/>
    <w:tmpl w:val="00000008"/>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2">
    <w:nsid w:val="0000000B"/>
    <w:multiLevelType w:val="singleLevel"/>
    <w:tmpl w:val="0000000B"/>
    <w:lvl w:ilvl="0" w:tentative="0">
      <w:start w:val="1"/>
      <w:numFmt w:val="decimal"/>
      <w:suff w:val="nothing"/>
      <w:lvlText w:val="（%1）"/>
      <w:lvlJc w:val="left"/>
    </w:lvl>
  </w:abstractNum>
  <w:abstractNum w:abstractNumId="13">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2280F546"/>
    <w:multiLevelType w:val="singleLevel"/>
    <w:tmpl w:val="2280F546"/>
    <w:lvl w:ilvl="0" w:tentative="0">
      <w:start w:val="1"/>
      <w:numFmt w:val="decimal"/>
      <w:suff w:val="nothing"/>
      <w:lvlText w:val="%1、"/>
      <w:lvlJc w:val="left"/>
    </w:lvl>
  </w:abstractNum>
  <w:abstractNum w:abstractNumId="15">
    <w:nsid w:val="2C5FDB48"/>
    <w:multiLevelType w:val="singleLevel"/>
    <w:tmpl w:val="2C5FDB48"/>
    <w:lvl w:ilvl="0" w:tentative="0">
      <w:start w:val="1"/>
      <w:numFmt w:val="decimal"/>
      <w:suff w:val="nothing"/>
      <w:lvlText w:val="（%1）"/>
      <w:lvlJc w:val="left"/>
      <w:pPr>
        <w:ind w:left="-60"/>
      </w:pPr>
    </w:lvl>
  </w:abstractNum>
  <w:abstractNum w:abstractNumId="16">
    <w:nsid w:val="7EA0C275"/>
    <w:multiLevelType w:val="singleLevel"/>
    <w:tmpl w:val="7EA0C275"/>
    <w:lvl w:ilvl="0" w:tentative="0">
      <w:start w:val="1"/>
      <w:numFmt w:val="decimal"/>
      <w:lvlText w:val="%1."/>
      <w:lvlJc w:val="left"/>
      <w:pPr>
        <w:tabs>
          <w:tab w:val="left" w:pos="312"/>
        </w:tabs>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5"/>
  </w:num>
  <w:num w:numId="5">
    <w:abstractNumId w:val="6"/>
  </w:num>
  <w:num w:numId="6">
    <w:abstractNumId w:val="10"/>
  </w:num>
  <w:num w:numId="7">
    <w:abstractNumId w:val="12"/>
  </w:num>
  <w:num w:numId="8">
    <w:abstractNumId w:val="8"/>
  </w:num>
  <w:num w:numId="9">
    <w:abstractNumId w:val="14"/>
  </w:num>
  <w:num w:numId="10">
    <w:abstractNumId w:val="2"/>
  </w:num>
  <w:num w:numId="11">
    <w:abstractNumId w:val="4"/>
  </w:num>
  <w:num w:numId="12">
    <w:abstractNumId w:val="3"/>
  </w:num>
  <w:num w:numId="13">
    <w:abstractNumId w:val="5"/>
  </w:num>
  <w:num w:numId="14">
    <w:abstractNumId w:val="0"/>
  </w:num>
  <w:num w:numId="15">
    <w:abstractNumId w:val="1"/>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2MjljMThlMzEzYmM3OTVkNjUzNjhjY2Q1NmEwNjUifQ=="/>
  </w:docVars>
  <w:rsids>
    <w:rsidRoot w:val="00000000"/>
    <w:rsid w:val="000B223D"/>
    <w:rsid w:val="00356BF1"/>
    <w:rsid w:val="003D49CE"/>
    <w:rsid w:val="00A35F83"/>
    <w:rsid w:val="00C4021B"/>
    <w:rsid w:val="010B3507"/>
    <w:rsid w:val="012807F8"/>
    <w:rsid w:val="014D0B1B"/>
    <w:rsid w:val="01824C77"/>
    <w:rsid w:val="018362EB"/>
    <w:rsid w:val="01987FE8"/>
    <w:rsid w:val="01FA4F6D"/>
    <w:rsid w:val="02286BAE"/>
    <w:rsid w:val="024A50C8"/>
    <w:rsid w:val="02555ED9"/>
    <w:rsid w:val="0256755B"/>
    <w:rsid w:val="02663C42"/>
    <w:rsid w:val="028903F4"/>
    <w:rsid w:val="02D90516"/>
    <w:rsid w:val="03045209"/>
    <w:rsid w:val="035C032D"/>
    <w:rsid w:val="040C0819"/>
    <w:rsid w:val="041B6CAE"/>
    <w:rsid w:val="04215311"/>
    <w:rsid w:val="04351B1E"/>
    <w:rsid w:val="04955B72"/>
    <w:rsid w:val="04A42800"/>
    <w:rsid w:val="05D22107"/>
    <w:rsid w:val="062F23E9"/>
    <w:rsid w:val="07054490"/>
    <w:rsid w:val="07351E35"/>
    <w:rsid w:val="07801F79"/>
    <w:rsid w:val="07A54517"/>
    <w:rsid w:val="07BC66DB"/>
    <w:rsid w:val="07C82CA9"/>
    <w:rsid w:val="080D690E"/>
    <w:rsid w:val="084E7652"/>
    <w:rsid w:val="08966904"/>
    <w:rsid w:val="089C4739"/>
    <w:rsid w:val="08FA6E92"/>
    <w:rsid w:val="0906715B"/>
    <w:rsid w:val="095D5673"/>
    <w:rsid w:val="095F3199"/>
    <w:rsid w:val="097906FF"/>
    <w:rsid w:val="098842C3"/>
    <w:rsid w:val="09C13E54"/>
    <w:rsid w:val="09DD26C4"/>
    <w:rsid w:val="0A717628"/>
    <w:rsid w:val="0B5F05A3"/>
    <w:rsid w:val="0B6727D9"/>
    <w:rsid w:val="0BD04822"/>
    <w:rsid w:val="0BED3778"/>
    <w:rsid w:val="0C0149DC"/>
    <w:rsid w:val="0C542D5E"/>
    <w:rsid w:val="0C6866EA"/>
    <w:rsid w:val="0C886EAB"/>
    <w:rsid w:val="0CA710DF"/>
    <w:rsid w:val="0CD02BA2"/>
    <w:rsid w:val="0D056F2A"/>
    <w:rsid w:val="0D1B1ACD"/>
    <w:rsid w:val="0D613984"/>
    <w:rsid w:val="0DDA48B9"/>
    <w:rsid w:val="0DEF32CC"/>
    <w:rsid w:val="0E1F1149"/>
    <w:rsid w:val="0E5E4367"/>
    <w:rsid w:val="0E6354DA"/>
    <w:rsid w:val="0E6965C9"/>
    <w:rsid w:val="0EEA79A9"/>
    <w:rsid w:val="0F24110D"/>
    <w:rsid w:val="0F6E2388"/>
    <w:rsid w:val="0FD755C8"/>
    <w:rsid w:val="0FDC361C"/>
    <w:rsid w:val="10196798"/>
    <w:rsid w:val="10694D6D"/>
    <w:rsid w:val="10CF32FA"/>
    <w:rsid w:val="120216F8"/>
    <w:rsid w:val="121A714F"/>
    <w:rsid w:val="12353631"/>
    <w:rsid w:val="125064A8"/>
    <w:rsid w:val="12A85A64"/>
    <w:rsid w:val="12EA61CA"/>
    <w:rsid w:val="134648AC"/>
    <w:rsid w:val="137B1518"/>
    <w:rsid w:val="139D148E"/>
    <w:rsid w:val="13E1796C"/>
    <w:rsid w:val="13F4549D"/>
    <w:rsid w:val="140B0D20"/>
    <w:rsid w:val="143F60A1"/>
    <w:rsid w:val="14667AD2"/>
    <w:rsid w:val="156222A6"/>
    <w:rsid w:val="15AE0555"/>
    <w:rsid w:val="164602CB"/>
    <w:rsid w:val="165247B2"/>
    <w:rsid w:val="16A379B8"/>
    <w:rsid w:val="16C805D0"/>
    <w:rsid w:val="172C724F"/>
    <w:rsid w:val="17401121"/>
    <w:rsid w:val="17650515"/>
    <w:rsid w:val="17E56F60"/>
    <w:rsid w:val="17FC737D"/>
    <w:rsid w:val="18512847"/>
    <w:rsid w:val="187D363C"/>
    <w:rsid w:val="199B6470"/>
    <w:rsid w:val="19A67D2B"/>
    <w:rsid w:val="19B4308D"/>
    <w:rsid w:val="1A240213"/>
    <w:rsid w:val="1A576816"/>
    <w:rsid w:val="1A7E7DAF"/>
    <w:rsid w:val="1B4C69CD"/>
    <w:rsid w:val="1C0C71B1"/>
    <w:rsid w:val="1C2E0B06"/>
    <w:rsid w:val="1D0B09B6"/>
    <w:rsid w:val="1D5C1A72"/>
    <w:rsid w:val="1D6F3E9B"/>
    <w:rsid w:val="1DC00253"/>
    <w:rsid w:val="1DF3687A"/>
    <w:rsid w:val="1E636E30"/>
    <w:rsid w:val="1EFC2612"/>
    <w:rsid w:val="1F043969"/>
    <w:rsid w:val="1FED10A7"/>
    <w:rsid w:val="20515ADA"/>
    <w:rsid w:val="20686980"/>
    <w:rsid w:val="20841CDA"/>
    <w:rsid w:val="20847C5E"/>
    <w:rsid w:val="20DD55C0"/>
    <w:rsid w:val="20F23172"/>
    <w:rsid w:val="20FF1092"/>
    <w:rsid w:val="21120767"/>
    <w:rsid w:val="21B87493"/>
    <w:rsid w:val="21C94850"/>
    <w:rsid w:val="22B10AB2"/>
    <w:rsid w:val="22C5031D"/>
    <w:rsid w:val="22E625B8"/>
    <w:rsid w:val="231F3C6E"/>
    <w:rsid w:val="237C4C89"/>
    <w:rsid w:val="2393640A"/>
    <w:rsid w:val="23AD74CB"/>
    <w:rsid w:val="23C10881"/>
    <w:rsid w:val="23E21113"/>
    <w:rsid w:val="23E97DD8"/>
    <w:rsid w:val="240B0553"/>
    <w:rsid w:val="243A4909"/>
    <w:rsid w:val="24594095"/>
    <w:rsid w:val="24AA57B9"/>
    <w:rsid w:val="250D7AF6"/>
    <w:rsid w:val="2520106F"/>
    <w:rsid w:val="259C15A5"/>
    <w:rsid w:val="25F211C5"/>
    <w:rsid w:val="26396DF4"/>
    <w:rsid w:val="267E0CAB"/>
    <w:rsid w:val="26AB5818"/>
    <w:rsid w:val="27FA3894"/>
    <w:rsid w:val="2890288D"/>
    <w:rsid w:val="297E0FC2"/>
    <w:rsid w:val="29C63095"/>
    <w:rsid w:val="29E90B31"/>
    <w:rsid w:val="2A73664D"/>
    <w:rsid w:val="2A866380"/>
    <w:rsid w:val="2ADC41F2"/>
    <w:rsid w:val="2AFC7E42"/>
    <w:rsid w:val="2B0025D7"/>
    <w:rsid w:val="2B837419"/>
    <w:rsid w:val="2BBC123F"/>
    <w:rsid w:val="2BEA3F12"/>
    <w:rsid w:val="2C1C76CA"/>
    <w:rsid w:val="2C781B33"/>
    <w:rsid w:val="2CED26E7"/>
    <w:rsid w:val="2CF0667B"/>
    <w:rsid w:val="2D745BE9"/>
    <w:rsid w:val="2D834DF9"/>
    <w:rsid w:val="2D8C0151"/>
    <w:rsid w:val="2F4131BE"/>
    <w:rsid w:val="2F846934"/>
    <w:rsid w:val="2F9D4288"/>
    <w:rsid w:val="2FA06136"/>
    <w:rsid w:val="2FD23E16"/>
    <w:rsid w:val="309C4B4F"/>
    <w:rsid w:val="30AB758A"/>
    <w:rsid w:val="30D53BBD"/>
    <w:rsid w:val="313308E4"/>
    <w:rsid w:val="319E2321"/>
    <w:rsid w:val="31F2079F"/>
    <w:rsid w:val="32355A5A"/>
    <w:rsid w:val="32737B32"/>
    <w:rsid w:val="32AB72CC"/>
    <w:rsid w:val="33150BE9"/>
    <w:rsid w:val="334A6CCC"/>
    <w:rsid w:val="339064C2"/>
    <w:rsid w:val="33E13A0E"/>
    <w:rsid w:val="35702107"/>
    <w:rsid w:val="36B92657"/>
    <w:rsid w:val="36CC7811"/>
    <w:rsid w:val="36E712E8"/>
    <w:rsid w:val="374E0226"/>
    <w:rsid w:val="3766401B"/>
    <w:rsid w:val="376C68FE"/>
    <w:rsid w:val="379A346B"/>
    <w:rsid w:val="379F0A81"/>
    <w:rsid w:val="37D22C05"/>
    <w:rsid w:val="38B346B8"/>
    <w:rsid w:val="38B7004D"/>
    <w:rsid w:val="38FA6AC4"/>
    <w:rsid w:val="3905525C"/>
    <w:rsid w:val="390A63CE"/>
    <w:rsid w:val="39496DF2"/>
    <w:rsid w:val="39693A3D"/>
    <w:rsid w:val="398408EC"/>
    <w:rsid w:val="39B50A30"/>
    <w:rsid w:val="39BE5B37"/>
    <w:rsid w:val="39E9692C"/>
    <w:rsid w:val="3A2D0084"/>
    <w:rsid w:val="3A704957"/>
    <w:rsid w:val="3ADB2718"/>
    <w:rsid w:val="3B126028"/>
    <w:rsid w:val="3B6E0E96"/>
    <w:rsid w:val="3B7A5A8D"/>
    <w:rsid w:val="3B9D279F"/>
    <w:rsid w:val="3CBE62EC"/>
    <w:rsid w:val="3CED6733"/>
    <w:rsid w:val="3D073351"/>
    <w:rsid w:val="3D1B32A0"/>
    <w:rsid w:val="3D6911E9"/>
    <w:rsid w:val="3DAF1FE8"/>
    <w:rsid w:val="3DDD2303"/>
    <w:rsid w:val="3E1C3D19"/>
    <w:rsid w:val="3E1D6052"/>
    <w:rsid w:val="3E955EB1"/>
    <w:rsid w:val="3F5D34B9"/>
    <w:rsid w:val="3FAD1920"/>
    <w:rsid w:val="3FC217B1"/>
    <w:rsid w:val="3FEF631E"/>
    <w:rsid w:val="40104C12"/>
    <w:rsid w:val="402315E4"/>
    <w:rsid w:val="402A28C6"/>
    <w:rsid w:val="40B977E5"/>
    <w:rsid w:val="41061B71"/>
    <w:rsid w:val="41C95079"/>
    <w:rsid w:val="41CA0DAE"/>
    <w:rsid w:val="41CE08E1"/>
    <w:rsid w:val="41D103D1"/>
    <w:rsid w:val="422C1AAB"/>
    <w:rsid w:val="42B30E2D"/>
    <w:rsid w:val="42DD6902"/>
    <w:rsid w:val="42DE0FF8"/>
    <w:rsid w:val="42E83E81"/>
    <w:rsid w:val="42EB68A5"/>
    <w:rsid w:val="430A1DED"/>
    <w:rsid w:val="4348021F"/>
    <w:rsid w:val="44597F78"/>
    <w:rsid w:val="44A678F3"/>
    <w:rsid w:val="44EB17AA"/>
    <w:rsid w:val="450629A4"/>
    <w:rsid w:val="45216F7A"/>
    <w:rsid w:val="459260C9"/>
    <w:rsid w:val="4594599D"/>
    <w:rsid w:val="46273A6C"/>
    <w:rsid w:val="463351B6"/>
    <w:rsid w:val="46340F2E"/>
    <w:rsid w:val="469D2F78"/>
    <w:rsid w:val="46BF7458"/>
    <w:rsid w:val="46CE4EDF"/>
    <w:rsid w:val="46D71FE6"/>
    <w:rsid w:val="471329DA"/>
    <w:rsid w:val="480A0199"/>
    <w:rsid w:val="489668B2"/>
    <w:rsid w:val="48D12A65"/>
    <w:rsid w:val="48F14EB5"/>
    <w:rsid w:val="493C4382"/>
    <w:rsid w:val="499E7D97"/>
    <w:rsid w:val="49AA2236"/>
    <w:rsid w:val="49AD5280"/>
    <w:rsid w:val="49FA5FEB"/>
    <w:rsid w:val="4A7B712C"/>
    <w:rsid w:val="4AA06B93"/>
    <w:rsid w:val="4ACE3677"/>
    <w:rsid w:val="4AF11A0D"/>
    <w:rsid w:val="4B6D4F60"/>
    <w:rsid w:val="4B9366F7"/>
    <w:rsid w:val="4B937EF6"/>
    <w:rsid w:val="4B94040C"/>
    <w:rsid w:val="4BA56959"/>
    <w:rsid w:val="4C0970ED"/>
    <w:rsid w:val="4C87000A"/>
    <w:rsid w:val="4C8F5E92"/>
    <w:rsid w:val="4CEE1E37"/>
    <w:rsid w:val="4D227A97"/>
    <w:rsid w:val="4D31441A"/>
    <w:rsid w:val="4E2D2E33"/>
    <w:rsid w:val="4FE6773D"/>
    <w:rsid w:val="4FF63522"/>
    <w:rsid w:val="50120532"/>
    <w:rsid w:val="502344EE"/>
    <w:rsid w:val="50506965"/>
    <w:rsid w:val="50700DB5"/>
    <w:rsid w:val="50E83CCB"/>
    <w:rsid w:val="51473C5A"/>
    <w:rsid w:val="51F85506"/>
    <w:rsid w:val="51FD48CA"/>
    <w:rsid w:val="521F2A93"/>
    <w:rsid w:val="52531188"/>
    <w:rsid w:val="526037D7"/>
    <w:rsid w:val="529572F3"/>
    <w:rsid w:val="52990A97"/>
    <w:rsid w:val="531C4F2A"/>
    <w:rsid w:val="534B4A7D"/>
    <w:rsid w:val="5387004D"/>
    <w:rsid w:val="54813591"/>
    <w:rsid w:val="54D424ED"/>
    <w:rsid w:val="54ED5EEC"/>
    <w:rsid w:val="55795567"/>
    <w:rsid w:val="557D5AAF"/>
    <w:rsid w:val="55D911AB"/>
    <w:rsid w:val="55F91C03"/>
    <w:rsid w:val="55F935FB"/>
    <w:rsid w:val="5601569A"/>
    <w:rsid w:val="5643645D"/>
    <w:rsid w:val="564A3F14"/>
    <w:rsid w:val="56B06FAA"/>
    <w:rsid w:val="56DB7934"/>
    <w:rsid w:val="56E85B49"/>
    <w:rsid w:val="572C06BE"/>
    <w:rsid w:val="5746597E"/>
    <w:rsid w:val="576155CA"/>
    <w:rsid w:val="57A37CC2"/>
    <w:rsid w:val="57C32112"/>
    <w:rsid w:val="57EF2B4E"/>
    <w:rsid w:val="581872E3"/>
    <w:rsid w:val="59034B0E"/>
    <w:rsid w:val="594607BC"/>
    <w:rsid w:val="5955323E"/>
    <w:rsid w:val="59757A12"/>
    <w:rsid w:val="59F842F5"/>
    <w:rsid w:val="5A3572F7"/>
    <w:rsid w:val="5A867B53"/>
    <w:rsid w:val="5B1F66E3"/>
    <w:rsid w:val="5B6E4135"/>
    <w:rsid w:val="5BB47799"/>
    <w:rsid w:val="5BDB7A2A"/>
    <w:rsid w:val="5BEF5A4C"/>
    <w:rsid w:val="5BF60D08"/>
    <w:rsid w:val="5C1E3DBB"/>
    <w:rsid w:val="5C565A08"/>
    <w:rsid w:val="5C5C2FCC"/>
    <w:rsid w:val="5D942587"/>
    <w:rsid w:val="5DFE3EA4"/>
    <w:rsid w:val="5E2C6C63"/>
    <w:rsid w:val="5E385608"/>
    <w:rsid w:val="5E5B12F6"/>
    <w:rsid w:val="5E5D3844"/>
    <w:rsid w:val="5E6D638B"/>
    <w:rsid w:val="5EA92062"/>
    <w:rsid w:val="5EC21376"/>
    <w:rsid w:val="5ECC5D50"/>
    <w:rsid w:val="5EDD7F5D"/>
    <w:rsid w:val="5EE237C6"/>
    <w:rsid w:val="5EF1126B"/>
    <w:rsid w:val="5F6E0BB6"/>
    <w:rsid w:val="5F775CBC"/>
    <w:rsid w:val="5F864151"/>
    <w:rsid w:val="5F942D12"/>
    <w:rsid w:val="5FCD30ED"/>
    <w:rsid w:val="5FD17AC2"/>
    <w:rsid w:val="60030FBC"/>
    <w:rsid w:val="60416DCA"/>
    <w:rsid w:val="6042276E"/>
    <w:rsid w:val="60522285"/>
    <w:rsid w:val="60AD095A"/>
    <w:rsid w:val="60B116A2"/>
    <w:rsid w:val="60FB46CB"/>
    <w:rsid w:val="61047A23"/>
    <w:rsid w:val="617F70AA"/>
    <w:rsid w:val="61891CD7"/>
    <w:rsid w:val="61CE5201"/>
    <w:rsid w:val="620C3034"/>
    <w:rsid w:val="62614A02"/>
    <w:rsid w:val="638B442C"/>
    <w:rsid w:val="638B61DA"/>
    <w:rsid w:val="63A92B04"/>
    <w:rsid w:val="64C57328"/>
    <w:rsid w:val="64E738E4"/>
    <w:rsid w:val="65BE2094"/>
    <w:rsid w:val="66014531"/>
    <w:rsid w:val="669B2BD8"/>
    <w:rsid w:val="66E225B5"/>
    <w:rsid w:val="66F2031E"/>
    <w:rsid w:val="670047E9"/>
    <w:rsid w:val="6703252B"/>
    <w:rsid w:val="67555832"/>
    <w:rsid w:val="681744E0"/>
    <w:rsid w:val="68D67EF7"/>
    <w:rsid w:val="692C3FBB"/>
    <w:rsid w:val="6933534A"/>
    <w:rsid w:val="69653029"/>
    <w:rsid w:val="69757903"/>
    <w:rsid w:val="69C910D0"/>
    <w:rsid w:val="6ABC4ECB"/>
    <w:rsid w:val="6B250CC2"/>
    <w:rsid w:val="6B4B0C7C"/>
    <w:rsid w:val="6BB203D3"/>
    <w:rsid w:val="6BC37211"/>
    <w:rsid w:val="6C0A6286"/>
    <w:rsid w:val="6C4B6506"/>
    <w:rsid w:val="6C612E60"/>
    <w:rsid w:val="6D5238C5"/>
    <w:rsid w:val="6DD32F5E"/>
    <w:rsid w:val="6DE85FD7"/>
    <w:rsid w:val="6E484E8C"/>
    <w:rsid w:val="6E5A0C83"/>
    <w:rsid w:val="6ED515BE"/>
    <w:rsid w:val="6F0B6421"/>
    <w:rsid w:val="6F152DFC"/>
    <w:rsid w:val="6F2D283B"/>
    <w:rsid w:val="6F3911E0"/>
    <w:rsid w:val="6F543924"/>
    <w:rsid w:val="6F5A4CB2"/>
    <w:rsid w:val="6FFD3FBC"/>
    <w:rsid w:val="701178C5"/>
    <w:rsid w:val="706913D3"/>
    <w:rsid w:val="708A461B"/>
    <w:rsid w:val="70A02B99"/>
    <w:rsid w:val="70B03A3A"/>
    <w:rsid w:val="7101188A"/>
    <w:rsid w:val="71804EA4"/>
    <w:rsid w:val="71963E7B"/>
    <w:rsid w:val="71D01A24"/>
    <w:rsid w:val="71E60A7F"/>
    <w:rsid w:val="72113D4E"/>
    <w:rsid w:val="722515A8"/>
    <w:rsid w:val="7294672D"/>
    <w:rsid w:val="72B73CFC"/>
    <w:rsid w:val="72CE46CA"/>
    <w:rsid w:val="73107486"/>
    <w:rsid w:val="732A3742"/>
    <w:rsid w:val="73FB6A64"/>
    <w:rsid w:val="740022CC"/>
    <w:rsid w:val="74082F2F"/>
    <w:rsid w:val="74C27582"/>
    <w:rsid w:val="74D177C5"/>
    <w:rsid w:val="7507768A"/>
    <w:rsid w:val="754D7793"/>
    <w:rsid w:val="76214447"/>
    <w:rsid w:val="766C1E9B"/>
    <w:rsid w:val="766D176F"/>
    <w:rsid w:val="766D79C1"/>
    <w:rsid w:val="76724FD8"/>
    <w:rsid w:val="774A30EC"/>
    <w:rsid w:val="77974CF6"/>
    <w:rsid w:val="78E636FA"/>
    <w:rsid w:val="79D51B05"/>
    <w:rsid w:val="7A08012D"/>
    <w:rsid w:val="7A5F5873"/>
    <w:rsid w:val="7A635363"/>
    <w:rsid w:val="7A6D4434"/>
    <w:rsid w:val="7A8A6D94"/>
    <w:rsid w:val="7A9D1014"/>
    <w:rsid w:val="7AA92C52"/>
    <w:rsid w:val="7AF24B92"/>
    <w:rsid w:val="7B183729"/>
    <w:rsid w:val="7B540F3E"/>
    <w:rsid w:val="7B6A44CF"/>
    <w:rsid w:val="7BE44282"/>
    <w:rsid w:val="7C2122A0"/>
    <w:rsid w:val="7C4100C4"/>
    <w:rsid w:val="7C8F6AF9"/>
    <w:rsid w:val="7CBE0F77"/>
    <w:rsid w:val="7DAF3037"/>
    <w:rsid w:val="7DE20C95"/>
    <w:rsid w:val="7E7A2C7B"/>
    <w:rsid w:val="7E953F59"/>
    <w:rsid w:val="7EF1219D"/>
    <w:rsid w:val="7F0D3AEF"/>
    <w:rsid w:val="7F234F28"/>
    <w:rsid w:val="7F4B00E7"/>
    <w:rsid w:val="7F565496"/>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51"/>
    <w:qFormat/>
    <w:uiPriority w:val="0"/>
    <w:pPr>
      <w:keepNext/>
      <w:keepLines/>
      <w:spacing w:before="260" w:after="260" w:line="500" w:lineRule="exact"/>
      <w:outlineLvl w:val="1"/>
    </w:pPr>
    <w:rPr>
      <w:rFonts w:ascii="Arial" w:hAnsi="Arial" w:eastAsia="黑体"/>
      <w:b/>
      <w:kern w:val="0"/>
      <w:sz w:val="28"/>
      <w:szCs w:val="20"/>
    </w:rPr>
  </w:style>
  <w:style w:type="paragraph" w:styleId="5">
    <w:name w:val="heading 3"/>
    <w:basedOn w:val="1"/>
    <w:next w:val="1"/>
    <w:qFormat/>
    <w:uiPriority w:val="0"/>
    <w:pPr>
      <w:keepNext/>
      <w:keepLines/>
      <w:spacing w:before="260" w:after="260" w:line="412" w:lineRule="auto"/>
      <w:outlineLvl w:val="2"/>
    </w:pPr>
    <w:rPr>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numPr>
        <w:ilvl w:val="4"/>
        <w:numId w:val="1"/>
      </w:numPr>
      <w:spacing w:before="280" w:after="290" w:line="372" w:lineRule="auto"/>
      <w:outlineLvl w:val="4"/>
    </w:pPr>
    <w:rPr>
      <w:b/>
      <w:sz w:val="28"/>
    </w:rPr>
  </w:style>
  <w:style w:type="paragraph" w:styleId="9">
    <w:name w:val="heading 6"/>
    <w:basedOn w:val="1"/>
    <w:next w:val="8"/>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6" w:lineRule="auto"/>
      <w:outlineLvl w:val="6"/>
    </w:pPr>
    <w:rPr>
      <w:b/>
      <w:sz w:val="24"/>
    </w:rPr>
  </w:style>
  <w:style w:type="paragraph" w:styleId="11">
    <w:name w:val="heading 8"/>
    <w:basedOn w:val="1"/>
    <w:next w:val="8"/>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6" w:lineRule="auto"/>
      <w:outlineLvl w:val="8"/>
    </w:pPr>
    <w:rPr>
      <w:rFonts w:ascii="Arial" w:hAnsi="Arial" w:eastAsia="黑体"/>
    </w:rPr>
  </w:style>
  <w:style w:type="character" w:default="1" w:styleId="38">
    <w:name w:val="Default Paragraph Font"/>
    <w:qFormat/>
    <w:uiPriority w:val="1"/>
  </w:style>
  <w:style w:type="table" w:default="1" w:styleId="36">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Normal Indent"/>
    <w:basedOn w:val="1"/>
    <w:link w:val="52"/>
    <w:qFormat/>
    <w:uiPriority w:val="0"/>
    <w:pPr>
      <w:ind w:firstLine="420"/>
    </w:pPr>
    <w:rPr>
      <w:szCs w:val="20"/>
    </w:rPr>
  </w:style>
  <w:style w:type="paragraph" w:styleId="13">
    <w:name w:val="List Bullet"/>
    <w:basedOn w:val="1"/>
    <w:qFormat/>
    <w:uiPriority w:val="0"/>
    <w:pPr>
      <w:numPr>
        <w:ilvl w:val="0"/>
        <w:numId w:val="2"/>
      </w:numPr>
    </w:pPr>
  </w:style>
  <w:style w:type="paragraph" w:styleId="14">
    <w:name w:val="Document Map"/>
    <w:basedOn w:val="1"/>
    <w:link w:val="53"/>
    <w:qFormat/>
    <w:uiPriority w:val="0"/>
    <w:rPr>
      <w:rFonts w:ascii="宋体"/>
      <w:sz w:val="18"/>
      <w:szCs w:val="18"/>
    </w:rPr>
  </w:style>
  <w:style w:type="paragraph" w:styleId="15">
    <w:name w:val="annotation text"/>
    <w:basedOn w:val="1"/>
    <w:link w:val="54"/>
    <w:qFormat/>
    <w:uiPriority w:val="0"/>
    <w:pPr>
      <w:jc w:val="left"/>
    </w:pPr>
  </w:style>
  <w:style w:type="paragraph" w:styleId="16">
    <w:name w:val="Body Text Indent"/>
    <w:basedOn w:val="1"/>
    <w:next w:val="17"/>
    <w:link w:val="55"/>
    <w:qFormat/>
    <w:uiPriority w:val="0"/>
    <w:pPr>
      <w:ind w:firstLine="630"/>
    </w:pPr>
    <w:rPr>
      <w:sz w:val="32"/>
      <w:szCs w:val="20"/>
    </w:rPr>
  </w:style>
  <w:style w:type="paragraph" w:styleId="17">
    <w:name w:val="envelope return"/>
    <w:basedOn w:val="1"/>
    <w:qFormat/>
    <w:uiPriority w:val="0"/>
    <w:pPr>
      <w:snapToGrid w:val="0"/>
    </w:pPr>
    <w:rPr>
      <w:rFonts w:ascii="Arial" w:hAnsi="Arial"/>
    </w:rPr>
  </w:style>
  <w:style w:type="paragraph" w:styleId="18">
    <w:name w:val="index 4"/>
    <w:basedOn w:val="1"/>
    <w:next w:val="1"/>
    <w:qFormat/>
    <w:uiPriority w:val="0"/>
    <w:pPr>
      <w:ind w:left="428" w:firstLine="140"/>
    </w:pPr>
  </w:style>
  <w:style w:type="paragraph" w:styleId="19">
    <w:name w:val="toc 3"/>
    <w:basedOn w:val="1"/>
    <w:next w:val="1"/>
    <w:qFormat/>
    <w:uiPriority w:val="0"/>
    <w:pPr>
      <w:ind w:left="840" w:leftChars="400"/>
    </w:pPr>
  </w:style>
  <w:style w:type="paragraph" w:styleId="20">
    <w:name w:val="Plain Text"/>
    <w:basedOn w:val="1"/>
    <w:link w:val="56"/>
    <w:qFormat/>
    <w:uiPriority w:val="0"/>
    <w:rPr>
      <w:rFonts w:ascii="宋体" w:hAnsi="Courier New" w:cs="Courier New"/>
      <w:szCs w:val="21"/>
    </w:rPr>
  </w:style>
  <w:style w:type="paragraph" w:styleId="21">
    <w:name w:val="Date"/>
    <w:basedOn w:val="1"/>
    <w:next w:val="1"/>
    <w:link w:val="57"/>
    <w:qFormat/>
    <w:uiPriority w:val="0"/>
    <w:pPr>
      <w:ind w:left="100" w:leftChars="2500"/>
    </w:pPr>
  </w:style>
  <w:style w:type="paragraph" w:styleId="22">
    <w:name w:val="Body Text Indent 2"/>
    <w:basedOn w:val="1"/>
    <w:qFormat/>
    <w:uiPriority w:val="0"/>
    <w:pPr>
      <w:ind w:firstLine="630"/>
    </w:pPr>
    <w:rPr>
      <w:sz w:val="32"/>
      <w:szCs w:val="20"/>
    </w:rPr>
  </w:style>
  <w:style w:type="paragraph" w:styleId="23">
    <w:name w:val="Balloon Text"/>
    <w:basedOn w:val="1"/>
    <w:link w:val="58"/>
    <w:qFormat/>
    <w:uiPriority w:val="0"/>
    <w:rPr>
      <w:sz w:val="18"/>
      <w:szCs w:val="18"/>
    </w:rPr>
  </w:style>
  <w:style w:type="paragraph" w:styleId="24">
    <w:name w:val="footer"/>
    <w:basedOn w:val="1"/>
    <w:link w:val="59"/>
    <w:qFormat/>
    <w:uiPriority w:val="0"/>
    <w:pPr>
      <w:tabs>
        <w:tab w:val="center" w:pos="4153"/>
        <w:tab w:val="right" w:pos="8306"/>
      </w:tabs>
      <w:snapToGrid w:val="0"/>
      <w:jc w:val="left"/>
    </w:pPr>
    <w:rPr>
      <w:sz w:val="18"/>
      <w:szCs w:val="20"/>
    </w:rPr>
  </w:style>
  <w:style w:type="paragraph" w:styleId="25">
    <w:name w:val="header"/>
    <w:basedOn w:val="1"/>
    <w:link w:val="60"/>
    <w:qFormat/>
    <w:uiPriority w:val="0"/>
    <w:pPr>
      <w:pBdr>
        <w:bottom w:val="single" w:color="auto" w:sz="6" w:space="1"/>
      </w:pBdr>
      <w:tabs>
        <w:tab w:val="center" w:pos="4153"/>
        <w:tab w:val="right" w:pos="8306"/>
      </w:tabs>
      <w:snapToGrid w:val="0"/>
      <w:jc w:val="center"/>
    </w:pPr>
    <w:rPr>
      <w:sz w:val="18"/>
      <w:szCs w:val="20"/>
    </w:rPr>
  </w:style>
  <w:style w:type="paragraph" w:styleId="26">
    <w:name w:val="toc 1"/>
    <w:basedOn w:val="1"/>
    <w:next w:val="1"/>
    <w:qFormat/>
    <w:uiPriority w:val="0"/>
    <w:pPr>
      <w:tabs>
        <w:tab w:val="right" w:leader="dot" w:pos="9060"/>
      </w:tabs>
      <w:spacing w:line="276" w:lineRule="auto"/>
    </w:pPr>
    <w:rPr>
      <w:rFonts w:ascii="宋体" w:hAnsi="宋体"/>
      <w:b/>
      <w:sz w:val="24"/>
    </w:rPr>
  </w:style>
  <w:style w:type="paragraph" w:styleId="27">
    <w:name w:val="Body Text Indent 3"/>
    <w:basedOn w:val="1"/>
    <w:link w:val="61"/>
    <w:qFormat/>
    <w:uiPriority w:val="0"/>
    <w:pPr>
      <w:adjustRightInd w:val="0"/>
      <w:snapToGrid w:val="0"/>
      <w:spacing w:line="360" w:lineRule="auto"/>
      <w:ind w:firstLine="600" w:firstLineChars="200"/>
    </w:pPr>
    <w:rPr>
      <w:rFonts w:ascii="黑体" w:eastAsia="黑体"/>
      <w:sz w:val="30"/>
      <w:szCs w:val="28"/>
    </w:rPr>
  </w:style>
  <w:style w:type="paragraph" w:styleId="28">
    <w:name w:val="toc 2"/>
    <w:basedOn w:val="1"/>
    <w:next w:val="1"/>
    <w:qFormat/>
    <w:uiPriority w:val="0"/>
    <w:pPr>
      <w:ind w:left="420" w:leftChars="200"/>
    </w:pPr>
  </w:style>
  <w:style w:type="paragraph" w:styleId="29">
    <w:name w:val="Body Text 2"/>
    <w:basedOn w:val="1"/>
    <w:qFormat/>
    <w:uiPriority w:val="0"/>
    <w:rPr>
      <w:rFonts w:ascii="楷体_GB2312" w:hAnsi="Copperplate Gothic Bold" w:eastAsia="楷体_GB2312"/>
      <w:sz w:val="28"/>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2">
    <w:name w:val="Title"/>
    <w:basedOn w:val="1"/>
    <w:next w:val="1"/>
    <w:link w:val="62"/>
    <w:qFormat/>
    <w:uiPriority w:val="0"/>
    <w:pPr>
      <w:spacing w:before="240" w:after="60"/>
      <w:jc w:val="center"/>
      <w:outlineLvl w:val="0"/>
    </w:pPr>
    <w:rPr>
      <w:rFonts w:ascii="Cambria" w:hAnsi="Cambria"/>
      <w:b/>
      <w:bCs/>
      <w:sz w:val="32"/>
      <w:szCs w:val="32"/>
    </w:rPr>
  </w:style>
  <w:style w:type="paragraph" w:styleId="33">
    <w:name w:val="annotation subject"/>
    <w:basedOn w:val="15"/>
    <w:next w:val="15"/>
    <w:link w:val="63"/>
    <w:qFormat/>
    <w:uiPriority w:val="0"/>
    <w:rPr>
      <w:b/>
      <w:bCs/>
    </w:rPr>
  </w:style>
  <w:style w:type="paragraph" w:styleId="34">
    <w:name w:val="Body Text First Indent"/>
    <w:basedOn w:val="2"/>
    <w:next w:val="1"/>
    <w:qFormat/>
    <w:uiPriority w:val="0"/>
    <w:pPr>
      <w:ind w:firstLine="420" w:firstLineChars="100"/>
    </w:pPr>
  </w:style>
  <w:style w:type="paragraph" w:styleId="35">
    <w:name w:val="Body Text First Indent 2"/>
    <w:basedOn w:val="16"/>
    <w:qFormat/>
    <w:uiPriority w:val="0"/>
    <w:pPr>
      <w:spacing w:before="50"/>
      <w:ind w:firstLine="20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rPr>
  </w:style>
  <w:style w:type="character" w:styleId="43">
    <w:name w:val="HTML Definition"/>
    <w:qFormat/>
    <w:uiPriority w:val="0"/>
    <w:rPr>
      <w:rFonts w:ascii="Times New Roman" w:hAnsi="Times New Roman" w:eastAsia="宋体" w:cs="Times New Roman"/>
      <w:i/>
    </w:rPr>
  </w:style>
  <w:style w:type="character" w:styleId="44">
    <w:name w:val="HTML Variable"/>
    <w:qFormat/>
    <w:uiPriority w:val="0"/>
  </w:style>
  <w:style w:type="character" w:styleId="45">
    <w:name w:val="Hyperlink"/>
    <w:qFormat/>
    <w:uiPriority w:val="0"/>
    <w:rPr>
      <w:rFonts w:ascii="Times New Roman" w:hAnsi="Times New Roman" w:eastAsia="宋体" w:cs="Times New Roman"/>
      <w:color w:val="136EC2"/>
      <w:u w:val="single"/>
    </w:rPr>
  </w:style>
  <w:style w:type="character" w:styleId="46">
    <w:name w:val="HTML Code"/>
    <w:qFormat/>
    <w:uiPriority w:val="0"/>
    <w:rPr>
      <w:rFonts w:hint="default" w:ascii="Consolas" w:hAnsi="Consolas" w:eastAsia="Consolas" w:cs="Consolas"/>
      <w:color w:val="C7254E"/>
      <w:sz w:val="21"/>
      <w:szCs w:val="21"/>
      <w:shd w:val="clear" w:color="auto" w:fill="F9F2F4"/>
    </w:rPr>
  </w:style>
  <w:style w:type="character" w:styleId="47">
    <w:name w:val="annotation reference"/>
    <w:qFormat/>
    <w:uiPriority w:val="0"/>
    <w:rPr>
      <w:rFonts w:ascii="Times New Roman" w:hAnsi="Times New Roman" w:eastAsia="宋体" w:cs="Times New Roman"/>
      <w:sz w:val="21"/>
      <w:szCs w:val="21"/>
    </w:rPr>
  </w:style>
  <w:style w:type="character" w:styleId="48">
    <w:name w:val="HTML Cite"/>
    <w:qFormat/>
    <w:uiPriority w:val="0"/>
  </w:style>
  <w:style w:type="character" w:styleId="49">
    <w:name w:val="HTML Keyboard"/>
    <w:qFormat/>
    <w:uiPriority w:val="0"/>
    <w:rPr>
      <w:rFonts w:ascii="Consolas" w:hAnsi="Consolas" w:eastAsia="Consolas" w:cs="Consolas"/>
      <w:color w:val="FFFFFF"/>
      <w:sz w:val="21"/>
      <w:szCs w:val="21"/>
      <w:shd w:val="clear" w:color="auto" w:fill="333333"/>
    </w:rPr>
  </w:style>
  <w:style w:type="character" w:styleId="50">
    <w:name w:val="HTML Sample"/>
    <w:qFormat/>
    <w:uiPriority w:val="0"/>
    <w:rPr>
      <w:rFonts w:hint="default" w:ascii="Consolas" w:hAnsi="Consolas" w:eastAsia="Consolas" w:cs="Consolas"/>
      <w:sz w:val="21"/>
      <w:szCs w:val="21"/>
    </w:rPr>
  </w:style>
  <w:style w:type="character" w:customStyle="1" w:styleId="51">
    <w:name w:val="标题 2 字符"/>
    <w:link w:val="4"/>
    <w:qFormat/>
    <w:uiPriority w:val="0"/>
    <w:rPr>
      <w:rFonts w:ascii="Arial" w:hAnsi="Arial" w:eastAsia="黑体" w:cs="Times New Roman"/>
      <w:b/>
      <w:sz w:val="28"/>
      <w:szCs w:val="20"/>
    </w:rPr>
  </w:style>
  <w:style w:type="character" w:customStyle="1" w:styleId="52">
    <w:name w:val="正文缩进 字符"/>
    <w:link w:val="8"/>
    <w:qFormat/>
    <w:uiPriority w:val="0"/>
    <w:rPr>
      <w:rFonts w:ascii="Times New Roman" w:hAnsi="Times New Roman" w:eastAsia="宋体" w:cs="Times New Roman"/>
      <w:kern w:val="2"/>
      <w:sz w:val="21"/>
      <w:lang w:val="en-US" w:eastAsia="zh-CN" w:bidi="ar-SA"/>
    </w:rPr>
  </w:style>
  <w:style w:type="character" w:customStyle="1" w:styleId="53">
    <w:name w:val="文档结构图 字符"/>
    <w:link w:val="14"/>
    <w:qFormat/>
    <w:uiPriority w:val="0"/>
    <w:rPr>
      <w:rFonts w:ascii="宋体" w:hAnsi="Times New Roman" w:eastAsia="宋体" w:cs="Times New Roman"/>
      <w:kern w:val="2"/>
      <w:sz w:val="18"/>
      <w:szCs w:val="18"/>
    </w:rPr>
  </w:style>
  <w:style w:type="character" w:customStyle="1" w:styleId="54">
    <w:name w:val="批注文字 字符"/>
    <w:link w:val="15"/>
    <w:qFormat/>
    <w:uiPriority w:val="0"/>
    <w:rPr>
      <w:rFonts w:ascii="Times New Roman" w:hAnsi="Times New Roman" w:eastAsia="宋体" w:cs="Times New Roman"/>
      <w:kern w:val="2"/>
      <w:sz w:val="21"/>
      <w:szCs w:val="24"/>
    </w:rPr>
  </w:style>
  <w:style w:type="character" w:customStyle="1" w:styleId="55">
    <w:name w:val="正文文本缩进 字符"/>
    <w:link w:val="16"/>
    <w:qFormat/>
    <w:uiPriority w:val="0"/>
    <w:rPr>
      <w:rFonts w:ascii="Times New Roman" w:hAnsi="Times New Roman" w:eastAsia="宋体" w:cs="Times New Roman"/>
      <w:kern w:val="2"/>
      <w:sz w:val="32"/>
    </w:rPr>
  </w:style>
  <w:style w:type="character" w:customStyle="1" w:styleId="56">
    <w:name w:val="纯文本 字符"/>
    <w:link w:val="20"/>
    <w:qFormat/>
    <w:uiPriority w:val="0"/>
    <w:rPr>
      <w:rFonts w:ascii="宋体" w:hAnsi="Courier New" w:eastAsia="宋体" w:cs="Courier New"/>
      <w:kern w:val="2"/>
      <w:sz w:val="21"/>
      <w:szCs w:val="21"/>
      <w:lang w:val="en-US" w:eastAsia="zh-CN" w:bidi="ar-SA"/>
    </w:rPr>
  </w:style>
  <w:style w:type="character" w:customStyle="1" w:styleId="57">
    <w:name w:val="日期 字符"/>
    <w:link w:val="21"/>
    <w:qFormat/>
    <w:uiPriority w:val="0"/>
    <w:rPr>
      <w:rFonts w:ascii="Times New Roman" w:hAnsi="Times New Roman" w:eastAsia="宋体" w:cs="Times New Roman"/>
      <w:kern w:val="2"/>
      <w:sz w:val="21"/>
      <w:szCs w:val="24"/>
    </w:rPr>
  </w:style>
  <w:style w:type="character" w:customStyle="1" w:styleId="58">
    <w:name w:val="批注框文本 字符"/>
    <w:link w:val="23"/>
    <w:qFormat/>
    <w:uiPriority w:val="0"/>
    <w:rPr>
      <w:rFonts w:ascii="Times New Roman" w:hAnsi="Times New Roman" w:eastAsia="宋体" w:cs="Times New Roman"/>
      <w:kern w:val="2"/>
      <w:sz w:val="18"/>
      <w:szCs w:val="18"/>
    </w:rPr>
  </w:style>
  <w:style w:type="character" w:customStyle="1" w:styleId="59">
    <w:name w:val="页脚 字符"/>
    <w:link w:val="24"/>
    <w:qFormat/>
    <w:uiPriority w:val="0"/>
    <w:rPr>
      <w:rFonts w:ascii="Times New Roman" w:hAnsi="Times New Roman" w:eastAsia="宋体" w:cs="Times New Roman"/>
      <w:kern w:val="2"/>
      <w:sz w:val="18"/>
      <w:lang w:val="en-US" w:eastAsia="zh-CN" w:bidi="ar-SA"/>
    </w:rPr>
  </w:style>
  <w:style w:type="character" w:customStyle="1" w:styleId="60">
    <w:name w:val="页眉 字符"/>
    <w:link w:val="25"/>
    <w:qFormat/>
    <w:uiPriority w:val="0"/>
    <w:rPr>
      <w:rFonts w:ascii="Times New Roman" w:hAnsi="Times New Roman" w:eastAsia="宋体" w:cs="Times New Roman"/>
      <w:kern w:val="2"/>
      <w:sz w:val="18"/>
      <w:lang w:val="en-US" w:eastAsia="zh-CN" w:bidi="ar-SA"/>
    </w:rPr>
  </w:style>
  <w:style w:type="character" w:customStyle="1" w:styleId="61">
    <w:name w:val="正文文本缩进 3 字符"/>
    <w:link w:val="27"/>
    <w:qFormat/>
    <w:uiPriority w:val="0"/>
    <w:rPr>
      <w:rFonts w:ascii="黑体" w:hAnsi="Times New Roman" w:eastAsia="黑体" w:cs="Times New Roman"/>
      <w:kern w:val="2"/>
      <w:sz w:val="30"/>
      <w:szCs w:val="28"/>
    </w:rPr>
  </w:style>
  <w:style w:type="character" w:customStyle="1" w:styleId="62">
    <w:name w:val="标题 字符"/>
    <w:link w:val="32"/>
    <w:qFormat/>
    <w:uiPriority w:val="0"/>
    <w:rPr>
      <w:rFonts w:ascii="Cambria" w:hAnsi="Cambria" w:eastAsia="宋体" w:cs="Times New Roman"/>
      <w:b/>
      <w:bCs/>
      <w:kern w:val="2"/>
      <w:sz w:val="32"/>
      <w:szCs w:val="32"/>
    </w:rPr>
  </w:style>
  <w:style w:type="character" w:customStyle="1" w:styleId="63">
    <w:name w:val="批注主题 字符"/>
    <w:link w:val="33"/>
    <w:qFormat/>
    <w:uiPriority w:val="0"/>
    <w:rPr>
      <w:rFonts w:ascii="Times New Roman" w:hAnsi="Times New Roman" w:eastAsia="宋体" w:cs="Times New Roman"/>
      <w:b/>
      <w:bCs/>
      <w:kern w:val="2"/>
      <w:sz w:val="21"/>
      <w:szCs w:val="24"/>
    </w:rPr>
  </w:style>
  <w:style w:type="character" w:customStyle="1" w:styleId="64">
    <w:name w:val="font51"/>
    <w:basedOn w:val="38"/>
    <w:qFormat/>
    <w:uiPriority w:val="0"/>
    <w:rPr>
      <w:rFonts w:hint="eastAsia" w:ascii="宋体" w:hAnsi="宋体" w:eastAsia="宋体" w:cs="宋体"/>
      <w:color w:val="000000"/>
      <w:sz w:val="22"/>
      <w:szCs w:val="22"/>
      <w:u w:val="none"/>
    </w:rPr>
  </w:style>
  <w:style w:type="character" w:customStyle="1" w:styleId="65">
    <w:name w:val="number"/>
    <w:qFormat/>
    <w:uiPriority w:val="0"/>
    <w:rPr>
      <w:rFonts w:ascii="Times New Roman" w:hAnsi="Times New Roman" w:eastAsia="宋体" w:cs="Times New Roman"/>
      <w:color w:val="FF8833"/>
      <w:sz w:val="18"/>
      <w:szCs w:val="18"/>
    </w:rPr>
  </w:style>
  <w:style w:type="character" w:customStyle="1" w:styleId="66">
    <w:name w:val="active"/>
    <w:qFormat/>
    <w:uiPriority w:val="0"/>
    <w:rPr>
      <w:rFonts w:ascii="Times New Roman" w:hAnsi="Times New Roman" w:eastAsia="宋体" w:cs="Times New Roman"/>
      <w:color w:val="00FF00"/>
      <w:shd w:val="clear" w:color="auto" w:fill="000000"/>
    </w:rPr>
  </w:style>
  <w:style w:type="character" w:customStyle="1" w:styleId="67">
    <w:name w:val="Char Char12"/>
    <w:qFormat/>
    <w:uiPriority w:val="0"/>
    <w:rPr>
      <w:rFonts w:ascii="Arial" w:hAnsi="Arial" w:eastAsia="黑体" w:cs="Times New Roman"/>
      <w:b/>
      <w:sz w:val="28"/>
      <w:szCs w:val="20"/>
    </w:rPr>
  </w:style>
  <w:style w:type="character" w:customStyle="1" w:styleId="68">
    <w:name w:val="font31"/>
    <w:qFormat/>
    <w:uiPriority w:val="0"/>
    <w:rPr>
      <w:rFonts w:ascii="Cambria" w:hAnsi="Cambria" w:eastAsia="Cambria" w:cs="Cambria"/>
      <w:color w:val="000000"/>
      <w:sz w:val="18"/>
      <w:szCs w:val="18"/>
      <w:u w:val="none"/>
    </w:rPr>
  </w:style>
  <w:style w:type="character" w:customStyle="1" w:styleId="69">
    <w:name w:val="glyphicon"/>
    <w:qFormat/>
    <w:uiPriority w:val="0"/>
  </w:style>
  <w:style w:type="character" w:customStyle="1" w:styleId="70">
    <w:name w:val="after"/>
    <w:qFormat/>
    <w:uiPriority w:val="0"/>
    <w:rPr>
      <w:rFonts w:ascii="Times New Roman" w:hAnsi="Times New Roman" w:eastAsia="宋体" w:cs="Times New Roman"/>
      <w:shd w:val="clear" w:color="auto" w:fill="FFFFFF"/>
    </w:rPr>
  </w:style>
  <w:style w:type="character" w:customStyle="1" w:styleId="71">
    <w:name w:val="font61"/>
    <w:qFormat/>
    <w:uiPriority w:val="0"/>
    <w:rPr>
      <w:rFonts w:hint="eastAsia" w:ascii="宋体" w:hAnsi="宋体" w:eastAsia="宋体" w:cs="宋体"/>
      <w:color w:val="000000"/>
      <w:sz w:val="18"/>
      <w:szCs w:val="18"/>
      <w:u w:val="none"/>
    </w:rPr>
  </w:style>
  <w:style w:type="character" w:customStyle="1" w:styleId="72">
    <w:name w:val="列出段落 Char"/>
    <w:link w:val="73"/>
    <w:qFormat/>
    <w:uiPriority w:val="0"/>
    <w:rPr>
      <w:rFonts w:ascii="宋体" w:hAnsi="宋体" w:eastAsia="宋体" w:cs="Times New Roman"/>
      <w:sz w:val="24"/>
      <w:szCs w:val="24"/>
      <w:lang w:val="zh-CN"/>
    </w:rPr>
  </w:style>
  <w:style w:type="paragraph" w:customStyle="1" w:styleId="73">
    <w:name w:val="列出段落1"/>
    <w:basedOn w:val="1"/>
    <w:link w:val="72"/>
    <w:qFormat/>
    <w:uiPriority w:val="0"/>
    <w:pPr>
      <w:widowControl/>
      <w:ind w:firstLine="420" w:firstLineChars="200"/>
      <w:jc w:val="left"/>
    </w:pPr>
    <w:rPr>
      <w:rFonts w:ascii="宋体" w:hAnsi="宋体"/>
      <w:kern w:val="0"/>
      <w:sz w:val="24"/>
      <w:lang w:val="zh-CN"/>
    </w:rPr>
  </w:style>
  <w:style w:type="character" w:customStyle="1" w:styleId="74">
    <w:name w:val="style61"/>
    <w:qFormat/>
    <w:uiPriority w:val="0"/>
    <w:rPr>
      <w:rFonts w:ascii="Times New Roman" w:hAnsi="Times New Roman" w:eastAsia="宋体" w:cs="Times New Roman"/>
      <w:color w:val="FF0000"/>
    </w:rPr>
  </w:style>
  <w:style w:type="character" w:customStyle="1" w:styleId="75">
    <w:name w:val="font71"/>
    <w:qFormat/>
    <w:uiPriority w:val="0"/>
    <w:rPr>
      <w:rFonts w:hint="default" w:ascii="Times New Roman" w:hAnsi="Times New Roman" w:eastAsia="宋体" w:cs="Times New Roman"/>
      <w:color w:val="000000"/>
      <w:sz w:val="22"/>
      <w:szCs w:val="22"/>
      <w:u w:val="none"/>
    </w:rPr>
  </w:style>
  <w:style w:type="character" w:customStyle="1" w:styleId="76">
    <w:name w:val="hour_pm"/>
    <w:qFormat/>
    <w:uiPriority w:val="0"/>
    <w:rPr>
      <w:rFonts w:ascii="Times New Roman" w:hAnsi="Times New Roman" w:eastAsia="宋体" w:cs="Times New Roman"/>
    </w:rPr>
  </w:style>
  <w:style w:type="character" w:customStyle="1" w:styleId="77">
    <w:name w:val="span-long"/>
    <w:qFormat/>
    <w:uiPriority w:val="0"/>
    <w:rPr>
      <w:rFonts w:ascii="Times New Roman" w:hAnsi="Times New Roman" w:eastAsia="宋体" w:cs="Times New Roman"/>
    </w:rPr>
  </w:style>
  <w:style w:type="character" w:customStyle="1" w:styleId="78">
    <w:name w:val="input-direction"/>
    <w:qFormat/>
    <w:uiPriority w:val="0"/>
    <w:rPr>
      <w:rFonts w:ascii="Times New Roman" w:hAnsi="Times New Roman" w:eastAsia="宋体" w:cs="Times New Roman"/>
      <w:color w:val="FF6600"/>
    </w:rPr>
  </w:style>
  <w:style w:type="character" w:customStyle="1" w:styleId="79">
    <w:name w:val="phone"/>
    <w:qFormat/>
    <w:uiPriority w:val="0"/>
    <w:rPr>
      <w:rFonts w:ascii="Times New Roman" w:hAnsi="Times New Roman" w:eastAsia="宋体" w:cs="Times New Roman"/>
      <w:color w:val="FF8833"/>
      <w:sz w:val="18"/>
      <w:szCs w:val="18"/>
    </w:rPr>
  </w:style>
  <w:style w:type="character" w:customStyle="1" w:styleId="80">
    <w:name w:val="bds_nopic2"/>
    <w:qFormat/>
    <w:uiPriority w:val="0"/>
    <w:rPr>
      <w:rFonts w:ascii="Times New Roman" w:hAnsi="Times New Roman" w:eastAsia="宋体" w:cs="Times New Roman"/>
    </w:rPr>
  </w:style>
  <w:style w:type="character" w:customStyle="1" w:styleId="81">
    <w:name w:val="old"/>
    <w:qFormat/>
    <w:uiPriority w:val="0"/>
    <w:rPr>
      <w:rFonts w:ascii="Times New Roman" w:hAnsi="Times New Roman" w:eastAsia="宋体" w:cs="Times New Roman"/>
      <w:color w:val="999999"/>
    </w:rPr>
  </w:style>
  <w:style w:type="character" w:customStyle="1" w:styleId="82">
    <w:name w:val="bsharetext"/>
    <w:qFormat/>
    <w:uiPriority w:val="0"/>
    <w:rPr>
      <w:rFonts w:ascii="Times New Roman" w:hAnsi="Times New Roman" w:eastAsia="宋体" w:cs="Times New Roman"/>
    </w:rPr>
  </w:style>
  <w:style w:type="character" w:customStyle="1" w:styleId="83">
    <w:name w:val="font101"/>
    <w:qFormat/>
    <w:uiPriority w:val="0"/>
    <w:rPr>
      <w:rFonts w:hint="eastAsia" w:ascii="宋体" w:hAnsi="宋体" w:eastAsia="宋体" w:cs="宋体"/>
      <w:color w:val="FF0000"/>
      <w:sz w:val="20"/>
      <w:szCs w:val="20"/>
      <w:u w:val="none"/>
    </w:rPr>
  </w:style>
  <w:style w:type="character" w:customStyle="1" w:styleId="84">
    <w:name w:val="stclosebtn"/>
    <w:qFormat/>
    <w:uiPriority w:val="0"/>
    <w:rPr>
      <w:rFonts w:ascii="Times New Roman" w:hAnsi="Times New Roman" w:eastAsia="宋体" w:cs="Times New Roman"/>
    </w:rPr>
  </w:style>
  <w:style w:type="character" w:customStyle="1" w:styleId="85">
    <w:name w:val="无"/>
    <w:qFormat/>
    <w:uiPriority w:val="0"/>
    <w:rPr>
      <w:rFonts w:ascii="Times New Roman" w:hAnsi="Times New Roman" w:eastAsia="宋体" w:cs="Times New Roman"/>
    </w:rPr>
  </w:style>
  <w:style w:type="character" w:customStyle="1" w:styleId="86">
    <w:name w:val="font111"/>
    <w:qFormat/>
    <w:uiPriority w:val="0"/>
    <w:rPr>
      <w:rFonts w:ascii="Arial" w:hAnsi="Arial" w:eastAsia="宋体" w:cs="Arial"/>
      <w:color w:val="000000"/>
      <w:sz w:val="18"/>
      <w:szCs w:val="18"/>
      <w:u w:val="none"/>
    </w:rPr>
  </w:style>
  <w:style w:type="character" w:customStyle="1" w:styleId="87">
    <w:name w:val="普通文字1 Char"/>
    <w:qFormat/>
    <w:uiPriority w:val="0"/>
    <w:rPr>
      <w:rFonts w:ascii="宋体" w:hAnsi="Courier New" w:eastAsia="宋体" w:cs="Times New Roman"/>
      <w:kern w:val="2"/>
      <w:sz w:val="21"/>
      <w:lang w:val="en-US" w:eastAsia="zh-CN" w:bidi="ar-SA"/>
    </w:rPr>
  </w:style>
  <w:style w:type="character" w:customStyle="1" w:styleId="88">
    <w:name w:val="proollist"/>
    <w:qFormat/>
    <w:uiPriority w:val="0"/>
    <w:rPr>
      <w:rFonts w:ascii="Times New Roman" w:hAnsi="Times New Roman" w:eastAsia="宋体" w:cs="Times New Roman"/>
    </w:rPr>
  </w:style>
  <w:style w:type="character" w:customStyle="1" w:styleId="89">
    <w:name w:val="font21"/>
    <w:qFormat/>
    <w:uiPriority w:val="0"/>
    <w:rPr>
      <w:rFonts w:hint="eastAsia" w:ascii="宋体" w:hAnsi="宋体" w:eastAsia="宋体" w:cs="宋体"/>
      <w:color w:val="000000"/>
      <w:sz w:val="21"/>
      <w:szCs w:val="21"/>
      <w:u w:val="none"/>
    </w:rPr>
  </w:style>
  <w:style w:type="character" w:customStyle="1" w:styleId="90">
    <w:name w:val="font171"/>
    <w:qFormat/>
    <w:uiPriority w:val="0"/>
    <w:rPr>
      <w:rFonts w:hint="eastAsia" w:ascii="宋体" w:hAnsi="宋体" w:eastAsia="宋体" w:cs="宋体"/>
      <w:b/>
      <w:color w:val="000000"/>
      <w:sz w:val="20"/>
      <w:szCs w:val="20"/>
      <w:u w:val="none"/>
    </w:rPr>
  </w:style>
  <w:style w:type="character" w:customStyle="1" w:styleId="91">
    <w:name w:val="标题 2 Char"/>
    <w:qFormat/>
    <w:uiPriority w:val="0"/>
    <w:rPr>
      <w:rFonts w:ascii="Arial" w:hAnsi="Arial" w:eastAsia="黑体" w:cs="Times New Roman"/>
      <w:b/>
      <w:sz w:val="28"/>
      <w:szCs w:val="20"/>
    </w:rPr>
  </w:style>
  <w:style w:type="character" w:customStyle="1" w:styleId="92">
    <w:name w:val="tmpztreemove_arrow"/>
    <w:qFormat/>
    <w:uiPriority w:val="0"/>
    <w:rPr>
      <w:rFonts w:ascii="Times New Roman" w:hAnsi="Times New Roman" w:eastAsia="宋体" w:cs="Times New Roman"/>
      <w:shd w:val="clear" w:color="auto" w:fill="FFFFFF"/>
    </w:rPr>
  </w:style>
  <w:style w:type="character" w:customStyle="1" w:styleId="93">
    <w:name w:val="active6"/>
    <w:qFormat/>
    <w:uiPriority w:val="0"/>
    <w:rPr>
      <w:rFonts w:ascii="Times New Roman" w:hAnsi="Times New Roman" w:eastAsia="宋体" w:cs="Times New Roman"/>
      <w:color w:val="00FF00"/>
      <w:shd w:val="clear" w:color="auto" w:fill="000000"/>
    </w:rPr>
  </w:style>
  <w:style w:type="character" w:customStyle="1" w:styleId="94">
    <w:name w:val="正文缩进 Char1"/>
    <w:qFormat/>
    <w:uiPriority w:val="0"/>
    <w:rPr>
      <w:rFonts w:ascii="Times New Roman" w:hAnsi="Times New Roman" w:eastAsia="宋体" w:cs="Times New Roman"/>
      <w:kern w:val="2"/>
      <w:sz w:val="21"/>
      <w:lang w:val="en-US" w:eastAsia="zh-CN" w:bidi="ar-SA"/>
    </w:rPr>
  </w:style>
  <w:style w:type="character" w:customStyle="1" w:styleId="95">
    <w:name w:val="font11"/>
    <w:qFormat/>
    <w:uiPriority w:val="0"/>
    <w:rPr>
      <w:rFonts w:hint="eastAsia" w:ascii="宋体" w:hAnsi="宋体" w:eastAsia="宋体" w:cs="宋体"/>
      <w:color w:val="000000"/>
      <w:sz w:val="24"/>
      <w:szCs w:val="24"/>
      <w:u w:val="none"/>
    </w:rPr>
  </w:style>
  <w:style w:type="character" w:customStyle="1" w:styleId="96">
    <w:name w:val="button2"/>
    <w:qFormat/>
    <w:uiPriority w:val="0"/>
    <w:rPr>
      <w:rFonts w:ascii="Times New Roman" w:hAnsi="Times New Roman" w:eastAsia="宋体" w:cs="Times New Roman"/>
    </w:rPr>
  </w:style>
  <w:style w:type="character" w:customStyle="1" w:styleId="97">
    <w:name w:val="font01"/>
    <w:basedOn w:val="38"/>
    <w:qFormat/>
    <w:uiPriority w:val="0"/>
    <w:rPr>
      <w:rFonts w:ascii="Calibri" w:hAnsi="Calibri" w:eastAsia="宋体" w:cs="Calibri"/>
      <w:color w:val="000000"/>
      <w:sz w:val="24"/>
      <w:szCs w:val="24"/>
      <w:u w:val="none"/>
    </w:rPr>
  </w:style>
  <w:style w:type="character" w:customStyle="1" w:styleId="98">
    <w:name w:val="fontborder"/>
    <w:qFormat/>
    <w:uiPriority w:val="0"/>
    <w:rPr>
      <w:bdr w:val="single" w:color="000000" w:sz="4" w:space="0"/>
    </w:rPr>
  </w:style>
  <w:style w:type="character" w:customStyle="1" w:styleId="99">
    <w:name w:val="beforeinfotext"/>
    <w:qFormat/>
    <w:uiPriority w:val="0"/>
    <w:rPr>
      <w:rFonts w:ascii="Times New Roman" w:hAnsi="Times New Roman" w:eastAsia="宋体" w:cs="Times New Roman"/>
      <w:color w:val="666666"/>
    </w:rPr>
  </w:style>
  <w:style w:type="character" w:customStyle="1" w:styleId="100">
    <w:name w:val="font41"/>
    <w:basedOn w:val="38"/>
    <w:qFormat/>
    <w:uiPriority w:val="0"/>
    <w:rPr>
      <w:rFonts w:hint="eastAsia" w:ascii="宋体" w:hAnsi="宋体" w:eastAsia="宋体" w:cs="宋体"/>
      <w:color w:val="000000"/>
      <w:sz w:val="24"/>
      <w:szCs w:val="24"/>
      <w:u w:val="none"/>
    </w:rPr>
  </w:style>
  <w:style w:type="character" w:customStyle="1" w:styleId="101">
    <w:name w:val="fontstrikethrough"/>
    <w:qFormat/>
    <w:uiPriority w:val="0"/>
    <w:rPr>
      <w:strike/>
    </w:rPr>
  </w:style>
  <w:style w:type="character" w:customStyle="1" w:styleId="102">
    <w:name w:val="button"/>
    <w:qFormat/>
    <w:uiPriority w:val="0"/>
    <w:rPr>
      <w:rFonts w:ascii="Times New Roman" w:hAnsi="Times New Roman" w:eastAsia="宋体" w:cs="Times New Roman"/>
    </w:rPr>
  </w:style>
  <w:style w:type="character" w:customStyle="1" w:styleId="103">
    <w:name w:val="font81"/>
    <w:qFormat/>
    <w:uiPriority w:val="0"/>
    <w:rPr>
      <w:rFonts w:hint="eastAsia" w:ascii="宋体" w:hAnsi="宋体" w:eastAsia="宋体" w:cs="宋体"/>
      <w:color w:val="333333"/>
      <w:sz w:val="18"/>
      <w:szCs w:val="18"/>
      <w:u w:val="none"/>
    </w:rPr>
  </w:style>
  <w:style w:type="character" w:customStyle="1" w:styleId="104">
    <w:name w:val="hour_am"/>
    <w:qFormat/>
    <w:uiPriority w:val="0"/>
    <w:rPr>
      <w:rFonts w:ascii="Times New Roman" w:hAnsi="Times New Roman" w:eastAsia="宋体" w:cs="Times New Roman"/>
    </w:rPr>
  </w:style>
  <w:style w:type="character" w:customStyle="1" w:styleId="105">
    <w:name w:val="p0 Char"/>
    <w:link w:val="106"/>
    <w:qFormat/>
    <w:uiPriority w:val="0"/>
    <w:rPr>
      <w:rFonts w:ascii="Times New Roman" w:hAnsi="Times New Roman" w:eastAsia="宋体" w:cs="Times New Roman"/>
      <w:sz w:val="21"/>
      <w:szCs w:val="21"/>
      <w:lang w:val="en-US" w:eastAsia="zh-CN" w:bidi="ar-SA"/>
    </w:rPr>
  </w:style>
  <w:style w:type="paragraph" w:customStyle="1" w:styleId="106">
    <w:name w:val="p0"/>
    <w:basedOn w:val="1"/>
    <w:link w:val="105"/>
    <w:qFormat/>
    <w:uiPriority w:val="0"/>
    <w:pPr>
      <w:widowControl/>
    </w:pPr>
    <w:rPr>
      <w:kern w:val="0"/>
      <w:szCs w:val="21"/>
    </w:rPr>
  </w:style>
  <w:style w:type="character" w:customStyle="1" w:styleId="107">
    <w:name w:val="indent"/>
    <w:qFormat/>
    <w:uiPriority w:val="0"/>
    <w:rPr>
      <w:rFonts w:ascii="Times New Roman" w:hAnsi="Times New Roman" w:eastAsia="宋体" w:cs="Times New Roman"/>
    </w:rPr>
  </w:style>
  <w:style w:type="character" w:customStyle="1" w:styleId="108">
    <w:name w:val="glyphicon4"/>
    <w:qFormat/>
    <w:uiPriority w:val="0"/>
    <w:rPr>
      <w:rFonts w:ascii="Times New Roman" w:hAnsi="Times New Roman" w:eastAsia="宋体" w:cs="Times New Roman"/>
    </w:rPr>
  </w:style>
  <w:style w:type="character" w:customStyle="1" w:styleId="109">
    <w:name w:val="hilite6"/>
    <w:qFormat/>
    <w:uiPriority w:val="0"/>
    <w:rPr>
      <w:rFonts w:ascii="Times New Roman" w:hAnsi="Times New Roman" w:eastAsia="宋体" w:cs="Times New Roman"/>
      <w:color w:val="FFFFFF"/>
      <w:shd w:val="clear" w:color="auto" w:fill="666677"/>
    </w:rPr>
  </w:style>
  <w:style w:type="character" w:customStyle="1" w:styleId="110">
    <w:name w:val="hover3"/>
    <w:qFormat/>
    <w:uiPriority w:val="0"/>
    <w:rPr>
      <w:rFonts w:ascii="Times New Roman" w:hAnsi="Times New Roman" w:eastAsia="宋体" w:cs="Times New Roman"/>
      <w:shd w:val="clear" w:color="auto" w:fill="EEEEEE"/>
    </w:rPr>
  </w:style>
  <w:style w:type="character" w:customStyle="1" w:styleId="111">
    <w:name w:val="font91"/>
    <w:qFormat/>
    <w:uiPriority w:val="0"/>
    <w:rPr>
      <w:rFonts w:hint="default" w:ascii="Arial" w:hAnsi="Arial" w:eastAsia="宋体" w:cs="Arial"/>
      <w:color w:val="000000"/>
      <w:sz w:val="24"/>
      <w:szCs w:val="24"/>
      <w:u w:val="none"/>
    </w:rPr>
  </w:style>
  <w:style w:type="character" w:customStyle="1" w:styleId="112">
    <w:name w:val="hilite"/>
    <w:qFormat/>
    <w:uiPriority w:val="0"/>
    <w:rPr>
      <w:rFonts w:ascii="Times New Roman" w:hAnsi="Times New Roman" w:eastAsia="宋体" w:cs="Times New Roman"/>
      <w:color w:val="FFFFFF"/>
      <w:shd w:val="clear" w:color="auto" w:fill="666677"/>
    </w:rPr>
  </w:style>
  <w:style w:type="paragraph" w:customStyle="1" w:styleId="11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14">
    <w:name w:val="正文 A"/>
    <w:qFormat/>
    <w:uiPriority w:val="0"/>
    <w:rPr>
      <w:rFonts w:ascii="Arial Unicode MS" w:hAnsi="Arial Unicode MS" w:eastAsia="Arial Unicode MS" w:cs="Arial Unicode MS"/>
      <w:color w:val="000000"/>
      <w:sz w:val="21"/>
      <w:szCs w:val="21"/>
      <w:lang w:val="en-US" w:eastAsia="zh-CN" w:bidi="ar-SA"/>
    </w:rPr>
  </w:style>
  <w:style w:type="paragraph" w:customStyle="1" w:styleId="115">
    <w:name w:val="title11"/>
    <w:basedOn w:val="1"/>
    <w:qFormat/>
    <w:uiPriority w:val="0"/>
    <w:pPr>
      <w:spacing w:before="150"/>
      <w:jc w:val="left"/>
    </w:pPr>
    <w:rPr>
      <w:b/>
      <w:kern w:val="0"/>
      <w:sz w:val="22"/>
      <w:szCs w:val="22"/>
    </w:rPr>
  </w:style>
  <w:style w:type="paragraph" w:customStyle="1" w:styleId="116">
    <w:name w:val="正文 New"/>
    <w:qFormat/>
    <w:uiPriority w:val="0"/>
    <w:pPr>
      <w:widowControl w:val="0"/>
      <w:jc w:val="both"/>
    </w:pPr>
    <w:rPr>
      <w:rFonts w:ascii="Times New Roman" w:hAnsi="Times New Roman" w:eastAsia="宋体" w:cs="Times New Roman"/>
      <w:lang w:val="en-US" w:eastAsia="zh-CN" w:bidi="ar-SA"/>
    </w:rPr>
  </w:style>
  <w:style w:type="paragraph" w:customStyle="1" w:styleId="117">
    <w:name w:val="_Style 7"/>
    <w:basedOn w:val="1"/>
    <w:next w:val="1"/>
    <w:qFormat/>
    <w:uiPriority w:val="0"/>
    <w:pPr>
      <w:pBdr>
        <w:top w:val="single" w:color="auto" w:sz="6" w:space="1"/>
      </w:pBdr>
      <w:jc w:val="center"/>
    </w:pPr>
    <w:rPr>
      <w:rFonts w:ascii="Arial"/>
      <w:vanish/>
      <w:sz w:val="16"/>
    </w:rPr>
  </w:style>
  <w:style w:type="paragraph" w:customStyle="1" w:styleId="118">
    <w:name w:val="正文（绿盟科技）"/>
    <w:qFormat/>
    <w:uiPriority w:val="0"/>
    <w:pPr>
      <w:spacing w:line="300" w:lineRule="auto"/>
    </w:pPr>
    <w:rPr>
      <w:rFonts w:ascii="Times New Roman" w:hAnsi="Times New Roman" w:eastAsia="宋体" w:cs="黑体"/>
      <w:sz w:val="21"/>
      <w:szCs w:val="21"/>
      <w:lang w:val="en-US" w:eastAsia="zh-CN" w:bidi="ar-SA"/>
    </w:rPr>
  </w:style>
  <w:style w:type="paragraph" w:customStyle="1" w:styleId="119">
    <w:name w:val="标题 5（有编号）（绿盟科技）"/>
    <w:basedOn w:val="1"/>
    <w:next w:val="118"/>
    <w:qFormat/>
    <w:uiPriority w:val="0"/>
    <w:pPr>
      <w:keepNext/>
      <w:keepLines/>
      <w:numPr>
        <w:ilvl w:val="4"/>
        <w:numId w:val="3"/>
      </w:numPr>
      <w:spacing w:before="280" w:after="156" w:line="377" w:lineRule="auto"/>
      <w:outlineLvl w:val="4"/>
    </w:pPr>
    <w:rPr>
      <w:rFonts w:eastAsia="黑体"/>
      <w:b/>
      <w:szCs w:val="28"/>
    </w:rPr>
  </w:style>
  <w:style w:type="paragraph" w:customStyle="1" w:styleId="120">
    <w:name w:val="样式2"/>
    <w:basedOn w:val="1"/>
    <w:qFormat/>
    <w:uiPriority w:val="0"/>
    <w:pPr>
      <w:spacing w:line="360" w:lineRule="auto"/>
      <w:ind w:firstLine="480" w:firstLineChars="200"/>
    </w:pPr>
    <w:rPr>
      <w:rFonts w:ascii="Calibri" w:hAnsi="Calibri" w:cs="黑体"/>
      <w:sz w:val="24"/>
    </w:rPr>
  </w:style>
  <w:style w:type="paragraph" w:customStyle="1" w:styleId="121">
    <w:name w:val="_Style 120"/>
    <w:basedOn w:val="3"/>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122">
    <w:name w:val="Table Paragraph"/>
    <w:basedOn w:val="1"/>
    <w:qFormat/>
    <w:uiPriority w:val="0"/>
    <w:rPr>
      <w:szCs w:val="20"/>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正文 New New New New New New New New New New New New New New New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表格文字"/>
    <w:basedOn w:val="1"/>
    <w:qFormat/>
    <w:uiPriority w:val="0"/>
    <w:pPr>
      <w:spacing w:before="25" w:after="25"/>
      <w:jc w:val="left"/>
    </w:pPr>
    <w:rPr>
      <w:bCs/>
      <w:spacing w:val="10"/>
      <w:kern w:val="0"/>
      <w:sz w:val="24"/>
    </w:rPr>
  </w:style>
  <w:style w:type="paragraph" w:customStyle="1" w:styleId="126">
    <w:name w:val="title13"/>
    <w:basedOn w:val="1"/>
    <w:qFormat/>
    <w:uiPriority w:val="0"/>
    <w:pPr>
      <w:spacing w:before="150"/>
      <w:jc w:val="left"/>
    </w:pPr>
    <w:rPr>
      <w:b/>
      <w:kern w:val="0"/>
      <w:sz w:val="22"/>
      <w:szCs w:val="22"/>
    </w:rPr>
  </w:style>
  <w:style w:type="paragraph" w:customStyle="1" w:styleId="127">
    <w:name w:val="Char1"/>
    <w:basedOn w:val="1"/>
    <w:qFormat/>
    <w:uiPriority w:val="0"/>
    <w:rPr>
      <w:szCs w:val="21"/>
    </w:rPr>
  </w:style>
  <w:style w:type="paragraph" w:customStyle="1" w:styleId="128">
    <w:name w:val="默认段落字体 Para Char Char Char Char Char Char Char"/>
    <w:basedOn w:val="1"/>
    <w:qFormat/>
    <w:uiPriority w:val="0"/>
    <w:rPr>
      <w:rFonts w:ascii="Tahoma" w:hAnsi="Tahoma"/>
      <w:sz w:val="24"/>
      <w:szCs w:val="20"/>
    </w:rPr>
  </w:style>
  <w:style w:type="paragraph" w:styleId="129">
    <w:name w:val="List Paragraph"/>
    <w:basedOn w:val="1"/>
    <w:qFormat/>
    <w:uiPriority w:val="0"/>
    <w:pPr>
      <w:ind w:firstLine="420" w:firstLineChars="200"/>
    </w:pPr>
    <w:rPr>
      <w:rFonts w:ascii="Calibri" w:hAnsi="Calibri"/>
    </w:rPr>
  </w:style>
  <w:style w:type="paragraph" w:customStyle="1" w:styleId="1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1">
    <w:name w:val="_Style 5"/>
    <w:basedOn w:val="1"/>
    <w:qFormat/>
    <w:uiPriority w:val="0"/>
    <w:pPr>
      <w:ind w:firstLine="420" w:firstLineChars="200"/>
    </w:pPr>
    <w:rPr>
      <w:rFonts w:ascii="Calibri" w:hAnsi="Calibri"/>
      <w:szCs w:val="21"/>
    </w:rPr>
  </w:style>
  <w:style w:type="paragraph" w:customStyle="1" w:styleId="132">
    <w:name w:val="_Style 6"/>
    <w:basedOn w:val="1"/>
    <w:next w:val="1"/>
    <w:qFormat/>
    <w:uiPriority w:val="0"/>
    <w:pPr>
      <w:pBdr>
        <w:bottom w:val="single" w:color="auto" w:sz="6" w:space="1"/>
      </w:pBdr>
      <w:jc w:val="center"/>
    </w:pPr>
    <w:rPr>
      <w:rFonts w:ascii="Arial"/>
      <w:vanish/>
      <w:sz w:val="16"/>
    </w:rPr>
  </w:style>
  <w:style w:type="paragraph" w:customStyle="1" w:styleId="1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4">
    <w:name w:val="样式 首行缩进:  2 字符"/>
    <w:basedOn w:val="1"/>
    <w:qFormat/>
    <w:uiPriority w:val="0"/>
    <w:pPr>
      <w:spacing w:line="400" w:lineRule="exact"/>
      <w:ind w:firstLine="200" w:firstLineChars="200"/>
    </w:pPr>
    <w:rPr>
      <w:rFonts w:cs="宋体"/>
      <w:sz w:val="24"/>
    </w:rPr>
  </w:style>
  <w:style w:type="paragraph" w:customStyle="1" w:styleId="135">
    <w:name w:val="Char Char Char Char"/>
    <w:basedOn w:val="1"/>
    <w:qFormat/>
    <w:uiPriority w:val="0"/>
    <w:rPr>
      <w:rFonts w:ascii="Tahoma" w:hAnsi="Tahoma"/>
      <w:sz w:val="24"/>
      <w:szCs w:val="20"/>
    </w:rPr>
  </w:style>
  <w:style w:type="paragraph" w:customStyle="1" w:styleId="136">
    <w:name w:val="正文四号"/>
    <w:basedOn w:val="1"/>
    <w:qFormat/>
    <w:uiPriority w:val="0"/>
    <w:rPr>
      <w:rFonts w:ascii="宋体" w:hAnsi="仿宋_GB2312" w:cs="仿宋_GB2312"/>
      <w:szCs w:val="28"/>
    </w:rPr>
  </w:style>
  <w:style w:type="paragraph" w:customStyle="1" w:styleId="137">
    <w:name w:val="表格"/>
    <w:basedOn w:val="1"/>
    <w:qFormat/>
    <w:uiPriority w:val="0"/>
    <w:pPr>
      <w:spacing w:line="400" w:lineRule="exact"/>
    </w:pPr>
    <w:rPr>
      <w:sz w:val="24"/>
    </w:rPr>
  </w:style>
  <w:style w:type="paragraph" w:customStyle="1" w:styleId="138">
    <w:name w:val="CM15"/>
    <w:basedOn w:val="130"/>
    <w:next w:val="130"/>
    <w:qFormat/>
    <w:uiPriority w:val="0"/>
    <w:pPr>
      <w:spacing w:line="468" w:lineRule="atLeast"/>
    </w:pPr>
    <w:rPr>
      <w:rFonts w:hint="eastAsia"/>
    </w:rPr>
  </w:style>
  <w:style w:type="paragraph" w:customStyle="1" w:styleId="139">
    <w:name w:val="列出段落2"/>
    <w:basedOn w:val="1"/>
    <w:qFormat/>
    <w:uiPriority w:val="0"/>
    <w:pPr>
      <w:ind w:firstLine="420" w:firstLineChars="200"/>
    </w:pPr>
  </w:style>
  <w:style w:type="character" w:customStyle="1" w:styleId="140">
    <w:name w:val="font131"/>
    <w:basedOn w:val="38"/>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98</Pages>
  <Words>47376</Words>
  <Characters>50756</Characters>
  <Paragraphs>2033</Paragraphs>
  <TotalTime>43</TotalTime>
  <ScaleCrop>false</ScaleCrop>
  <LinksUpToDate>false</LinksUpToDate>
  <CharactersWithSpaces>54376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2022-07-13T06:20:00Z</dcterms:created>
  <dc:creator>xb21cn</dc:creator>
  <cp:lastModifiedBy>乔公子</cp:lastModifiedBy>
  <cp:lastPrinted>2022-08-17T07:03:00Z</cp:lastPrinted>
  <dcterms:modified xsi:type="dcterms:W3CDTF">2022-08-18T09:05:31Z</dcterms:modified>
  <dc:title>招标编号：xxx政采招[20xxx] 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4788A49D01B04B34BBA666566C3D4CD0</vt:lpwstr>
  </property>
</Properties>
</file>