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0"/>
        </w:tabs>
        <w:autoSpaceDE w:val="0"/>
        <w:autoSpaceDN w:val="0"/>
        <w:adjustRightInd w:val="0"/>
        <w:spacing w:before="0" w:after="0" w:line="360" w:lineRule="auto"/>
        <w:jc w:val="center"/>
        <w:rPr>
          <w:rFonts w:ascii="华文中宋" w:hAnsi="华文中宋" w:eastAsia="华文中宋"/>
        </w:rPr>
      </w:pPr>
      <w:bookmarkStart w:id="15" w:name="_GoBack"/>
      <w:bookmarkStart w:id="0" w:name="_Toc35393809"/>
      <w:bookmarkStart w:id="1" w:name="_Toc28359022"/>
      <w:bookmarkStart w:id="2" w:name="OLE_LINK1"/>
      <w:r>
        <w:rPr>
          <w:rFonts w:hint="eastAsia" w:ascii="华文中宋" w:hAnsi="华文中宋" w:eastAsia="华文中宋"/>
        </w:rPr>
        <w:t>西安市公共资源交易中心2022年度交易安保服务项目中标结果公告</w:t>
      </w:r>
      <w:bookmarkEnd w:id="0"/>
      <w:bookmarkEnd w:id="1"/>
    </w:p>
    <w:bookmarkEnd w:id="15"/>
    <w:p>
      <w:pPr>
        <w:pStyle w:val="28"/>
        <w:numPr>
          <w:ilvl w:val="0"/>
          <w:numId w:val="1"/>
        </w:numPr>
        <w:ind w:firstLineChars="0"/>
        <w:rPr>
          <w:rFonts w:ascii="黑体" w:hAnsi="黑体" w:eastAsia="黑体"/>
          <w:sz w:val="28"/>
          <w:szCs w:val="28"/>
        </w:rPr>
      </w:pPr>
      <w:r>
        <w:rPr>
          <w:rFonts w:hint="eastAsia" w:ascii="黑体" w:hAnsi="黑体" w:eastAsia="黑体"/>
          <w:sz w:val="28"/>
          <w:szCs w:val="28"/>
        </w:rPr>
        <w:t>项目编号：</w:t>
      </w:r>
      <w:r>
        <w:rPr>
          <w:rFonts w:hint="eastAsia" w:ascii="仿宋" w:hAnsi="仿宋" w:eastAsia="仿宋"/>
          <w:sz w:val="28"/>
          <w:szCs w:val="28"/>
        </w:rPr>
        <w:t>XCZX2022-0118</w:t>
      </w:r>
    </w:p>
    <w:p>
      <w:pPr>
        <w:pStyle w:val="28"/>
        <w:ind w:left="720" w:firstLine="0" w:firstLineChars="0"/>
        <w:rPr>
          <w:rFonts w:ascii="黑体" w:hAnsi="黑体" w:eastAsia="仿宋"/>
          <w:sz w:val="28"/>
          <w:szCs w:val="28"/>
        </w:rPr>
      </w:pPr>
      <w:r>
        <w:rPr>
          <w:rFonts w:hint="eastAsia" w:ascii="黑体" w:hAnsi="黑体" w:eastAsia="黑体"/>
          <w:sz w:val="28"/>
          <w:szCs w:val="28"/>
        </w:rPr>
        <w:t>备案编号：</w:t>
      </w:r>
      <w:r>
        <w:rPr>
          <w:rFonts w:hint="eastAsia" w:ascii="仿宋" w:hAnsi="仿宋" w:eastAsia="仿宋"/>
          <w:sz w:val="28"/>
          <w:szCs w:val="28"/>
        </w:rPr>
        <w:t>ZCBN-西安市-2022-</w:t>
      </w:r>
      <w:r>
        <w:rPr>
          <w:rFonts w:ascii="仿宋" w:hAnsi="仿宋" w:eastAsia="仿宋"/>
          <w:sz w:val="28"/>
          <w:szCs w:val="28"/>
        </w:rPr>
        <w:t>01508</w:t>
      </w:r>
    </w:p>
    <w:p>
      <w:pPr>
        <w:rPr>
          <w:rFonts w:ascii="黑体" w:hAnsi="黑体" w:eastAsia="黑体"/>
          <w:sz w:val="28"/>
          <w:szCs w:val="28"/>
          <w:u w:val="single"/>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项目名称：西安市公共资源交易中心2022年度交易安保服务项目</w:t>
      </w:r>
    </w:p>
    <w:p>
      <w:pPr>
        <w:rPr>
          <w:rFonts w:ascii="黑体" w:hAnsi="黑体" w:eastAsia="黑体"/>
          <w:sz w:val="28"/>
          <w:szCs w:val="28"/>
        </w:rPr>
      </w:pPr>
      <w:r>
        <w:rPr>
          <w:rFonts w:hint="eastAsia" w:ascii="黑体" w:hAnsi="黑体" w:eastAsia="黑体"/>
          <w:sz w:val="28"/>
          <w:szCs w:val="28"/>
        </w:rPr>
        <w:t>三、中标信息</w:t>
      </w:r>
    </w:p>
    <w:p>
      <w:pPr>
        <w:ind w:firstLine="560" w:firstLineChars="200"/>
        <w:rPr>
          <w:rFonts w:ascii="仿宋" w:hAnsi="仿宋" w:eastAsia="仿宋"/>
          <w:sz w:val="28"/>
          <w:szCs w:val="28"/>
        </w:rPr>
      </w:pPr>
      <w:r>
        <w:rPr>
          <w:rFonts w:hint="eastAsia" w:ascii="仿宋" w:hAnsi="仿宋" w:eastAsia="仿宋"/>
          <w:sz w:val="28"/>
          <w:szCs w:val="28"/>
        </w:rPr>
        <w:t>服务商名称：陕西鸿昊保安服务有限公司</w:t>
      </w:r>
    </w:p>
    <w:p>
      <w:pPr>
        <w:ind w:firstLine="560" w:firstLineChars="200"/>
        <w:rPr>
          <w:rFonts w:ascii="仿宋" w:hAnsi="仿宋" w:eastAsia="仿宋"/>
          <w:sz w:val="28"/>
          <w:szCs w:val="28"/>
        </w:rPr>
      </w:pPr>
      <w:r>
        <w:rPr>
          <w:rFonts w:hint="eastAsia" w:ascii="仿宋" w:hAnsi="仿宋" w:eastAsia="仿宋"/>
          <w:sz w:val="28"/>
          <w:szCs w:val="28"/>
        </w:rPr>
        <w:t>服务商地址：陕西省西安市未央区凤城三路颐和郡3号楼2单元1303室</w:t>
      </w:r>
    </w:p>
    <w:p>
      <w:pPr>
        <w:ind w:firstLine="560" w:firstLineChars="200"/>
        <w:rPr>
          <w:rFonts w:ascii="仿宋" w:hAnsi="仿宋" w:eastAsia="仿宋"/>
          <w:sz w:val="28"/>
          <w:szCs w:val="28"/>
        </w:rPr>
      </w:pPr>
      <w:r>
        <w:rPr>
          <w:rFonts w:hint="eastAsia" w:ascii="仿宋" w:hAnsi="仿宋" w:eastAsia="仿宋"/>
          <w:sz w:val="28"/>
          <w:szCs w:val="28"/>
        </w:rPr>
        <w:t>中标金额：1800004元</w:t>
      </w:r>
    </w:p>
    <w:p>
      <w:pPr>
        <w:spacing w:line="360" w:lineRule="auto"/>
        <w:ind w:firstLine="560" w:firstLineChars="200"/>
        <w:rPr>
          <w:rFonts w:ascii="仿宋" w:hAnsi="仿宋" w:eastAsia="仿宋"/>
          <w:sz w:val="28"/>
          <w:szCs w:val="28"/>
        </w:rPr>
      </w:pPr>
      <w:r>
        <w:rPr>
          <w:rFonts w:hint="eastAsia" w:ascii="仿宋" w:hAnsi="仿宋" w:eastAsia="仿宋"/>
          <w:sz w:val="28"/>
          <w:szCs w:val="28"/>
        </w:rPr>
        <w:t>联系人：左晨</w:t>
      </w:r>
    </w:p>
    <w:p>
      <w:pPr>
        <w:spacing w:line="360" w:lineRule="auto"/>
        <w:ind w:firstLine="560" w:firstLineChars="200"/>
        <w:rPr>
          <w:rFonts w:ascii="仿宋" w:hAnsi="仿宋" w:eastAsia="仿宋"/>
          <w:sz w:val="28"/>
          <w:szCs w:val="28"/>
        </w:rPr>
      </w:pPr>
      <w:r>
        <w:rPr>
          <w:rFonts w:hint="eastAsia" w:ascii="仿宋" w:hAnsi="仿宋" w:eastAsia="仿宋"/>
          <w:sz w:val="28"/>
          <w:szCs w:val="28"/>
        </w:rPr>
        <w:t>联系电话：19829751270</w:t>
      </w:r>
    </w:p>
    <w:p>
      <w:pPr>
        <w:rPr>
          <w:rFonts w:ascii="黑体" w:hAnsi="黑体" w:eastAsia="黑体"/>
          <w:sz w:val="28"/>
          <w:szCs w:val="28"/>
        </w:rPr>
      </w:pPr>
      <w:r>
        <w:rPr>
          <w:rFonts w:hint="eastAsia" w:ascii="黑体" w:hAnsi="黑体" w:eastAsia="黑体"/>
          <w:sz w:val="28"/>
          <w:szCs w:val="28"/>
        </w:rPr>
        <w:t>四、主要标的信息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8520" w:type="dxa"/>
          </w:tcPr>
          <w:p>
            <w:pPr>
              <w:jc w:val="center"/>
              <w:rPr>
                <w:rFonts w:ascii="仿宋" w:hAnsi="仿宋" w:eastAsia="仿宋" w:cs="宋体"/>
                <w:kern w:val="0"/>
                <w:sz w:val="24"/>
              </w:rPr>
            </w:pPr>
            <w:r>
              <w:rPr>
                <w:rFonts w:hint="eastAsia" w:ascii="仿宋" w:hAnsi="仿宋" w:eastAsia="仿宋" w:cs="宋体"/>
                <w:kern w:val="0"/>
                <w:sz w:val="24"/>
              </w:rPr>
              <w:t>主要标的信息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520" w:type="dxa"/>
          </w:tcPr>
          <w:p>
            <w:pPr>
              <w:pStyle w:val="2"/>
              <w:spacing w:after="0" w:line="320" w:lineRule="exact"/>
              <w:ind w:left="0" w:leftChars="0"/>
            </w:pPr>
            <w:r>
              <w:rPr>
                <w:rFonts w:hint="eastAsia"/>
                <w:b/>
                <w:bCs/>
              </w:rPr>
              <w:t>名称：</w:t>
            </w:r>
            <w:r>
              <w:rPr>
                <w:rFonts w:hint="eastAsia"/>
              </w:rPr>
              <w:t>西安市公共资源交易中心2022年度交易安保服务项目</w:t>
            </w:r>
          </w:p>
          <w:p>
            <w:pPr>
              <w:pStyle w:val="2"/>
              <w:spacing w:after="0" w:line="320" w:lineRule="exact"/>
              <w:ind w:left="0" w:leftChars="0"/>
              <w:rPr>
                <w:rFonts w:hint="eastAsia"/>
              </w:rPr>
            </w:pPr>
            <w:r>
              <w:rPr>
                <w:rFonts w:hint="eastAsia"/>
                <w:b/>
                <w:bCs/>
              </w:rPr>
              <w:t>服务范围：</w:t>
            </w:r>
            <w:r>
              <w:rPr>
                <w:rFonts w:hint="eastAsia"/>
              </w:rPr>
              <w:t xml:space="preserve">西安市经开区白桦林国际B座办公楼1~11层。总建筑面积：20887.03平方米，建筑层数为地上主楼11层，写字楼外墙总面积为21367平方米，全为玻璃幕墙。办公楼出入口2个，电梯6部（含2个货梯），消防楼梯2个。大楼门禁系统，1个主门禁安检设备系统，安防监控室1个（共用） </w:t>
            </w:r>
          </w:p>
          <w:p>
            <w:pPr>
              <w:pStyle w:val="2"/>
              <w:spacing w:after="0" w:line="320" w:lineRule="exact"/>
              <w:ind w:left="0" w:leftChars="0"/>
              <w:rPr>
                <w:rFonts w:hint="eastAsia"/>
                <w:b/>
                <w:bCs/>
              </w:rPr>
            </w:pPr>
            <w:r>
              <w:rPr>
                <w:rFonts w:hint="eastAsia"/>
                <w:b/>
                <w:bCs/>
              </w:rPr>
              <w:t>服务要求：</w:t>
            </w:r>
          </w:p>
          <w:p>
            <w:pPr>
              <w:pStyle w:val="2"/>
              <w:spacing w:after="0" w:line="320" w:lineRule="exact"/>
              <w:ind w:left="0" w:leftChars="0"/>
              <w:rPr>
                <w:rFonts w:hint="eastAsia"/>
              </w:rPr>
            </w:pPr>
            <w:r>
              <w:rPr>
                <w:rFonts w:hint="eastAsia"/>
              </w:rPr>
              <w:t>（一）人员数量及要求</w:t>
            </w:r>
            <w:r>
              <w:rPr>
                <w:rFonts w:hint="eastAsia"/>
                <w:lang w:eastAsia="zh-CN"/>
              </w:rPr>
              <w:t>：</w:t>
            </w:r>
            <w:r>
              <w:rPr>
                <w:rFonts w:hint="eastAsia"/>
              </w:rPr>
              <w:t>共需交易保安服务人员不少于20人，年龄35岁以下，项目经理1人，安保人员不少于19人</w:t>
            </w:r>
          </w:p>
          <w:p>
            <w:pPr>
              <w:pStyle w:val="2"/>
              <w:spacing w:after="0" w:line="320" w:lineRule="exact"/>
              <w:ind w:left="0" w:leftChars="0"/>
              <w:rPr>
                <w:rFonts w:hint="eastAsia"/>
              </w:rPr>
            </w:pPr>
            <w:r>
              <w:rPr>
                <w:rFonts w:hint="eastAsia"/>
              </w:rPr>
              <w:t>（二）岗位管理要求</w:t>
            </w:r>
            <w:r>
              <w:rPr>
                <w:rFonts w:hint="eastAsia"/>
                <w:lang w:eastAsia="zh-CN"/>
              </w:rPr>
              <w:t>：</w:t>
            </w:r>
            <w:r>
              <w:rPr>
                <w:rFonts w:hint="eastAsia"/>
              </w:rPr>
              <w:t>1.采购人与中标服务商共同确定执勤岗位，按实际工作情况随时调整。采购人对岗位设置和管理工作具有直接指挥权和决定权。</w:t>
            </w:r>
          </w:p>
          <w:p>
            <w:pPr>
              <w:pStyle w:val="2"/>
              <w:spacing w:after="0" w:line="320" w:lineRule="exact"/>
              <w:ind w:left="0" w:leftChars="0"/>
              <w:rPr>
                <w:rFonts w:hint="eastAsia"/>
              </w:rPr>
            </w:pPr>
            <w:r>
              <w:rPr>
                <w:rFonts w:hint="eastAsia"/>
              </w:rPr>
              <w:t>2.中标服务商对所录人员要严格调查审核，保证录用人员没有劳动教养和刑事犯罪纪录，健康状况良好、无精神病史、学历初中以上，保安员身高不得低于172CM，年龄35岁以下，经过保安培训持证上岗，退役军人应优先录用。</w:t>
            </w:r>
          </w:p>
          <w:p>
            <w:pPr>
              <w:pStyle w:val="2"/>
              <w:spacing w:after="0" w:line="320" w:lineRule="exact"/>
              <w:ind w:left="0" w:leftChars="0"/>
              <w:rPr>
                <w:rFonts w:hint="eastAsia"/>
              </w:rPr>
            </w:pPr>
            <w:r>
              <w:rPr>
                <w:rFonts w:hint="eastAsia"/>
              </w:rPr>
              <w:t>3.中标服务商对其人员实行准军事化管理，确保保安人员遵纪守法、文明执勤，着装统一，注意仪表仪容，使用文明礼貌用语。</w:t>
            </w:r>
          </w:p>
          <w:p>
            <w:pPr>
              <w:pStyle w:val="2"/>
              <w:spacing w:after="0" w:line="320" w:lineRule="exact"/>
              <w:ind w:left="0" w:leftChars="0"/>
              <w:rPr>
                <w:rFonts w:hint="eastAsia"/>
              </w:rPr>
            </w:pPr>
            <w:r>
              <w:rPr>
                <w:rFonts w:hint="eastAsia"/>
              </w:rPr>
              <w:t>4.保安实行全年24小时轮班制度。除上岗人员外，其他所有保安员作为临时备勤，如有突发情况发生，随时待命；同时全天保安员均为义务消防员。</w:t>
            </w:r>
          </w:p>
          <w:p>
            <w:pPr>
              <w:pStyle w:val="2"/>
              <w:spacing w:after="0" w:line="320" w:lineRule="exact"/>
              <w:ind w:left="0" w:leftChars="0"/>
              <w:rPr>
                <w:rFonts w:hint="eastAsia"/>
              </w:rPr>
            </w:pPr>
            <w:r>
              <w:rPr>
                <w:rFonts w:hint="eastAsia"/>
                <w:b/>
                <w:bCs/>
              </w:rPr>
              <w:t>服务时间：</w:t>
            </w:r>
            <w:r>
              <w:rPr>
                <w:rFonts w:hint="eastAsia"/>
              </w:rPr>
              <w:t xml:space="preserve">一年，以合同签订时约定的起止时间为准。 </w:t>
            </w:r>
          </w:p>
          <w:p>
            <w:pPr>
              <w:pStyle w:val="2"/>
              <w:spacing w:after="0" w:line="320" w:lineRule="exact"/>
              <w:ind w:left="0" w:leftChars="0"/>
              <w:rPr>
                <w:rFonts w:hint="eastAsia"/>
              </w:rPr>
            </w:pPr>
            <w:r>
              <w:rPr>
                <w:rFonts w:hint="eastAsia"/>
                <w:b/>
                <w:bCs/>
              </w:rPr>
              <w:t>服务标准：</w:t>
            </w:r>
            <w:r>
              <w:rPr>
                <w:rFonts w:hint="eastAsia"/>
              </w:rPr>
              <w:t>1.安全保卫服务：</w:t>
            </w:r>
          </w:p>
          <w:p>
            <w:pPr>
              <w:pStyle w:val="2"/>
              <w:spacing w:after="0" w:line="320" w:lineRule="exact"/>
              <w:ind w:left="0" w:leftChars="0"/>
              <w:rPr>
                <w:rFonts w:hint="eastAsia"/>
              </w:rPr>
            </w:pPr>
            <w:r>
              <w:rPr>
                <w:rFonts w:hint="eastAsia"/>
              </w:rPr>
              <w:t>维护采购人的正常工作秩序，保障工作人员、采购单位代表、专家及市场主体等的人身安全和财产安全，保护采购人的设施和设备，预防各类刑事案件和滞留事件的发生。</w:t>
            </w:r>
          </w:p>
          <w:p>
            <w:pPr>
              <w:pStyle w:val="2"/>
              <w:spacing w:after="0" w:line="320" w:lineRule="exact"/>
              <w:ind w:left="0" w:leftChars="0"/>
              <w:rPr>
                <w:rFonts w:hint="eastAsia"/>
              </w:rPr>
            </w:pPr>
            <w:r>
              <w:rPr>
                <w:rFonts w:hint="eastAsia"/>
              </w:rPr>
              <w:t>（1）保安服务：包括建筑物内安全监控、消防监控室24小时值班；</w:t>
            </w:r>
          </w:p>
          <w:p>
            <w:pPr>
              <w:pStyle w:val="2"/>
              <w:spacing w:after="0" w:line="320" w:lineRule="exact"/>
              <w:ind w:left="0" w:leftChars="0"/>
              <w:rPr>
                <w:rFonts w:hint="eastAsia"/>
              </w:rPr>
            </w:pPr>
            <w:r>
              <w:rPr>
                <w:rFonts w:hint="eastAsia"/>
              </w:rPr>
              <w:t>（2）门卫服务：包括在建筑物出入口进行值守、验证、检查登记；</w:t>
            </w:r>
          </w:p>
          <w:p>
            <w:pPr>
              <w:pStyle w:val="2"/>
              <w:spacing w:after="0" w:line="320" w:lineRule="exact"/>
              <w:ind w:left="0" w:leftChars="0"/>
              <w:rPr>
                <w:rFonts w:hint="eastAsia"/>
              </w:rPr>
            </w:pPr>
            <w:r>
              <w:rPr>
                <w:rFonts w:hint="eastAsia"/>
              </w:rPr>
              <w:t>（3）护卫服务：包括对建筑物及特定的目标进行看护和守卫；</w:t>
            </w:r>
          </w:p>
          <w:p>
            <w:pPr>
              <w:pStyle w:val="2"/>
              <w:spacing w:after="0" w:line="320" w:lineRule="exact"/>
              <w:ind w:left="0" w:leftChars="0"/>
              <w:rPr>
                <w:rFonts w:hint="eastAsia"/>
              </w:rPr>
            </w:pPr>
            <w:r>
              <w:rPr>
                <w:rFonts w:hint="eastAsia"/>
              </w:rPr>
              <w:t>（4）巡逻服务：包括建筑物内外所有管辖区域的巡视检查、警戒；</w:t>
            </w:r>
          </w:p>
          <w:p>
            <w:pPr>
              <w:pStyle w:val="2"/>
              <w:spacing w:after="0" w:line="320" w:lineRule="exact"/>
              <w:ind w:left="0" w:leftChars="0"/>
              <w:rPr>
                <w:rFonts w:hint="eastAsia"/>
              </w:rPr>
            </w:pPr>
            <w:r>
              <w:rPr>
                <w:rFonts w:hint="eastAsia"/>
              </w:rPr>
              <w:t>（5）人群控制：包括维护建筑物及特定地点、场所等人群聚集地治安秩序。</w:t>
            </w:r>
          </w:p>
          <w:p>
            <w:pPr>
              <w:pStyle w:val="2"/>
              <w:spacing w:after="0" w:line="320" w:lineRule="exact"/>
              <w:ind w:left="0" w:leftChars="0"/>
              <w:rPr>
                <w:rFonts w:hint="eastAsia"/>
              </w:rPr>
            </w:pPr>
            <w:r>
              <w:rPr>
                <w:rFonts w:hint="eastAsia"/>
              </w:rPr>
              <w:t>2.消防安全服务：按消防重点单位要求对责任区域实行日巡、月查、季检制度，切实做到有巡查，有登记，有报告；建立以保安员为主体的义务消防队伍，划分责任区，定期组织消防知识培训、灭火训练和消防疏散演习，确保每个队员做到消防安全“四懂四会”。</w:t>
            </w:r>
          </w:p>
          <w:p>
            <w:pPr>
              <w:pStyle w:val="2"/>
              <w:spacing w:after="0" w:line="320" w:lineRule="exact"/>
              <w:ind w:left="0" w:leftChars="0"/>
              <w:rPr>
                <w:rFonts w:hint="eastAsia"/>
              </w:rPr>
            </w:pPr>
            <w:r>
              <w:rPr>
                <w:rFonts w:hint="eastAsia"/>
              </w:rPr>
              <w:t>3.安防设施管理：负责采购人工作区域内视频监控系统和消防控制系统设备设施及各类消防器材的日常管理与维护，确保系统正常运行并保持良好性能；根据巡查及检测情况及时组织对系统及设备设施的维护，保证上述系统及设备设施安全、正常运作；对由于设备老化需维修的设备设施应及时汇报采购人综合管理部门。</w:t>
            </w:r>
          </w:p>
          <w:p>
            <w:pPr>
              <w:pStyle w:val="2"/>
              <w:spacing w:after="0" w:line="320" w:lineRule="exact"/>
              <w:ind w:left="0" w:leftChars="0"/>
              <w:rPr>
                <w:rFonts w:hint="eastAsia"/>
              </w:rPr>
            </w:pPr>
            <w:r>
              <w:rPr>
                <w:rFonts w:hint="eastAsia"/>
              </w:rPr>
              <w:t>4.安全咨询服务：包括组织安全防范专家和专业技术人员，为中心提供有关安全防范问题的调查、评估与策划，并提供相应的建议、方案的服务。</w:t>
            </w:r>
          </w:p>
          <w:p>
            <w:pPr>
              <w:pStyle w:val="2"/>
              <w:spacing w:after="0" w:line="320" w:lineRule="exact"/>
              <w:ind w:left="0" w:leftChars="0"/>
              <w:rPr>
                <w:rFonts w:hint="eastAsia"/>
              </w:rPr>
            </w:pPr>
            <w:r>
              <w:rPr>
                <w:rFonts w:hint="eastAsia"/>
              </w:rPr>
              <w:t>5.停车场管理服务：严格执行道路交通安全管理规定，组织实施车辆出入管理、维护采购人工作区域内交通秩序。</w:t>
            </w:r>
          </w:p>
          <w:p>
            <w:pPr>
              <w:pStyle w:val="2"/>
              <w:spacing w:after="0" w:line="320" w:lineRule="exact"/>
              <w:ind w:left="0" w:leftChars="0"/>
              <w:rPr>
                <w:rFonts w:hint="eastAsia"/>
              </w:rPr>
            </w:pPr>
            <w:r>
              <w:rPr>
                <w:rFonts w:hint="eastAsia"/>
              </w:rPr>
              <w:t>6.疫情防控服务：根据国家、省、市新冠疫情防控要求，结合交易中心实际需求，对进入人员进行身份登记、健康核查。</w:t>
            </w:r>
          </w:p>
          <w:p>
            <w:pPr>
              <w:pStyle w:val="2"/>
              <w:spacing w:after="0" w:line="320" w:lineRule="exact"/>
              <w:ind w:left="0" w:leftChars="0"/>
              <w:rPr>
                <w:rFonts w:hint="eastAsia"/>
              </w:rPr>
            </w:pPr>
            <w:r>
              <w:rPr>
                <w:rFonts w:hint="eastAsia"/>
              </w:rPr>
              <w:t>7.大型活动保障：对在采购人工作区域内举行的各种大型业务交流、会议等活动，根据要求做好安全保障工作；安排管理员到位加强现场协调。</w:t>
            </w:r>
          </w:p>
          <w:p>
            <w:pPr>
              <w:pStyle w:val="2"/>
              <w:spacing w:after="0" w:line="320" w:lineRule="exact"/>
              <w:ind w:left="0" w:leftChars="0"/>
              <w:rPr>
                <w:rFonts w:hint="eastAsia"/>
              </w:rPr>
            </w:pPr>
            <w:r>
              <w:rPr>
                <w:rFonts w:hint="eastAsia"/>
              </w:rPr>
              <w:t>8.突发事件应急处理：对采购人工作区域内突发事件的处置、灾害预防、火灾扑救、疫情防控等，建立预案，随时准备提供紧急救助；积极开展全隐患排查，及时上报；如遇火警，要做到快速反应，处理及时。</w:t>
            </w:r>
          </w:p>
          <w:p>
            <w:pPr>
              <w:pStyle w:val="2"/>
              <w:spacing w:after="0" w:line="320" w:lineRule="exact"/>
              <w:ind w:left="0" w:leftChars="0"/>
            </w:pPr>
            <w:r>
              <w:rPr>
                <w:rFonts w:hint="eastAsia"/>
              </w:rPr>
              <w:t>9.其他安全保卫工作：合同及组成文件虽未明示，但应属于秩序维护履行范畴的其他服务或相关服务工作的准备性工作。</w:t>
            </w:r>
          </w:p>
          <w:p>
            <w:pPr>
              <w:pStyle w:val="2"/>
              <w:spacing w:after="0" w:line="320" w:lineRule="exact"/>
              <w:ind w:left="0" w:leftChars="0"/>
            </w:pPr>
            <w:r>
              <w:rPr>
                <w:rFonts w:hint="eastAsia"/>
              </w:rPr>
              <w:t>其他详细服务内容和要求见招标文件第三章。</w:t>
            </w:r>
          </w:p>
        </w:tc>
      </w:tr>
    </w:tbl>
    <w:p>
      <w:pPr>
        <w:numPr>
          <w:ilvl w:val="0"/>
          <w:numId w:val="2"/>
        </w:numPr>
        <w:rPr>
          <w:rFonts w:ascii="黑体" w:hAnsi="黑体" w:eastAsia="黑体"/>
          <w:sz w:val="28"/>
          <w:szCs w:val="28"/>
        </w:rPr>
      </w:pPr>
      <w:r>
        <w:rPr>
          <w:rFonts w:hint="eastAsia" w:ascii="黑体" w:hAnsi="黑体" w:eastAsia="黑体"/>
          <w:sz w:val="28"/>
          <w:szCs w:val="28"/>
        </w:rPr>
        <w:t>评审专家名单：</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欧阳群、王广乾、丁伟东、冯玉琴、易满林</w:t>
      </w:r>
    </w:p>
    <w:p>
      <w:pPr>
        <w:rPr>
          <w:rFonts w:ascii="仿宋" w:hAnsi="仿宋" w:eastAsia="仿宋" w:cs="宋体"/>
          <w:kern w:val="0"/>
          <w:sz w:val="28"/>
          <w:szCs w:val="28"/>
        </w:rPr>
      </w:pPr>
      <w:r>
        <w:rPr>
          <w:rFonts w:hint="eastAsia" w:ascii="黑体" w:hAnsi="黑体" w:eastAsia="黑体"/>
          <w:sz w:val="28"/>
          <w:szCs w:val="28"/>
        </w:rPr>
        <w:t>六、公告期限：</w:t>
      </w: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pPr>
        <w:rPr>
          <w:rFonts w:ascii="黑体" w:hAnsi="黑体" w:eastAsia="黑体" w:cs="仿宋"/>
          <w:sz w:val="28"/>
          <w:szCs w:val="28"/>
        </w:rPr>
      </w:pPr>
      <w:r>
        <w:rPr>
          <w:rFonts w:hint="eastAsia" w:ascii="黑体" w:hAnsi="黑体" w:eastAsia="黑体" w:cs="仿宋"/>
          <w:sz w:val="28"/>
          <w:szCs w:val="28"/>
        </w:rPr>
        <w:t>七、其他补充事宜</w:t>
      </w:r>
    </w:p>
    <w:p>
      <w:pPr>
        <w:spacing w:line="360" w:lineRule="auto"/>
        <w:ind w:firstLine="528" w:firstLineChars="200"/>
        <w:rPr>
          <w:rFonts w:hint="eastAsia" w:ascii="仿宋" w:hAnsi="仿宋" w:eastAsia="仿宋" w:cs="宋体"/>
          <w:spacing w:val="-8"/>
          <w:kern w:val="0"/>
          <w:sz w:val="28"/>
          <w:szCs w:val="28"/>
          <w:lang w:val="en-US" w:eastAsia="zh-CN"/>
        </w:rPr>
      </w:pPr>
      <w:r>
        <w:rPr>
          <w:rFonts w:hint="eastAsia" w:ascii="仿宋" w:hAnsi="仿宋" w:eastAsia="仿宋" w:cs="宋体"/>
          <w:spacing w:val="-8"/>
          <w:kern w:val="0"/>
          <w:sz w:val="28"/>
          <w:szCs w:val="28"/>
          <w:lang w:val="en-US" w:eastAsia="zh-CN"/>
        </w:rPr>
        <w:t>1、项目性质：专门面向中小企业的采购</w:t>
      </w:r>
    </w:p>
    <w:p>
      <w:pPr>
        <w:spacing w:line="360" w:lineRule="auto"/>
        <w:ind w:firstLine="528" w:firstLineChars="200"/>
        <w:rPr>
          <w:rFonts w:ascii="仿宋" w:hAnsi="仿宋" w:eastAsia="仿宋" w:cs="宋体"/>
          <w:spacing w:val="-8"/>
          <w:kern w:val="0"/>
          <w:sz w:val="28"/>
          <w:szCs w:val="28"/>
        </w:rPr>
      </w:pPr>
      <w:r>
        <w:rPr>
          <w:rFonts w:hint="eastAsia" w:ascii="仿宋" w:hAnsi="仿宋" w:eastAsia="仿宋" w:cs="宋体"/>
          <w:spacing w:val="-8"/>
          <w:kern w:val="0"/>
          <w:sz w:val="28"/>
          <w:szCs w:val="28"/>
          <w:lang w:val="en-US" w:eastAsia="zh-CN"/>
        </w:rPr>
        <w:t>2、</w:t>
      </w:r>
      <w:r>
        <w:rPr>
          <w:rFonts w:hint="eastAsia" w:ascii="仿宋" w:hAnsi="仿宋" w:eastAsia="仿宋" w:cs="宋体"/>
          <w:spacing w:val="-8"/>
          <w:kern w:val="0"/>
          <w:sz w:val="28"/>
          <w:szCs w:val="28"/>
        </w:rPr>
        <w:t>请中标服务商于本项目公告期届满之日起前往西安市公共资源交易中心八楼806领取中标通知书，同时须提交密封好的纸质投标文件一正两副，内容与电子投标文件完全一致。</w:t>
      </w:r>
    </w:p>
    <w:p>
      <w:pPr>
        <w:rPr>
          <w:rFonts w:ascii="黑体" w:hAnsi="黑体" w:eastAsia="黑体" w:cs="宋体"/>
          <w:kern w:val="0"/>
          <w:sz w:val="28"/>
          <w:szCs w:val="28"/>
        </w:rPr>
      </w:pPr>
      <w:r>
        <w:rPr>
          <w:rFonts w:hint="eastAsia" w:ascii="黑体" w:hAnsi="黑体" w:eastAsia="黑体" w:cs="宋体"/>
          <w:kern w:val="0"/>
          <w:sz w:val="28"/>
          <w:szCs w:val="28"/>
        </w:rPr>
        <w:t>八、凡对本次公告内容提出询问，请按以下方式联系。</w:t>
      </w:r>
    </w:p>
    <w:p>
      <w:pPr>
        <w:pStyle w:val="5"/>
        <w:spacing w:line="360" w:lineRule="auto"/>
        <w:ind w:firstLine="700" w:firstLineChars="250"/>
        <w:rPr>
          <w:rFonts w:ascii="仿宋" w:hAnsi="仿宋" w:eastAsia="仿宋" w:cs="宋体"/>
          <w:b w:val="0"/>
          <w:sz w:val="28"/>
          <w:szCs w:val="28"/>
        </w:rPr>
      </w:pPr>
      <w:bookmarkStart w:id="3" w:name="_Toc28359023"/>
      <w:bookmarkStart w:id="4" w:name="_Toc35393810"/>
      <w:bookmarkStart w:id="5" w:name="_Toc35393641"/>
      <w:bookmarkStart w:id="6" w:name="_Toc28359100"/>
      <w:r>
        <w:rPr>
          <w:rFonts w:hint="eastAsia" w:ascii="仿宋" w:hAnsi="仿宋" w:eastAsia="仿宋" w:cs="宋体"/>
          <w:b w:val="0"/>
          <w:sz w:val="28"/>
          <w:szCs w:val="28"/>
        </w:rPr>
        <w:t>1.采购人信息</w:t>
      </w:r>
      <w:bookmarkEnd w:id="3"/>
      <w:bookmarkEnd w:id="4"/>
      <w:bookmarkEnd w:id="5"/>
      <w:bookmarkEnd w:id="6"/>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西安市公共资源交易中心</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pacing w:val="-12"/>
          <w:sz w:val="28"/>
          <w:szCs w:val="28"/>
          <w:u w:val="single"/>
        </w:rPr>
        <w:t>西安经开区文景路（中段）16号白桦林国际B座1-11层</w:t>
      </w:r>
    </w:p>
    <w:p>
      <w:pPr>
        <w:spacing w:line="360" w:lineRule="auto"/>
        <w:ind w:left="1129" w:leftChars="371" w:hanging="350" w:hangingChars="125"/>
        <w:jc w:val="left"/>
        <w:rPr>
          <w:rFonts w:ascii="仿宋" w:hAnsi="仿宋" w:eastAsia="仿宋"/>
          <w:sz w:val="28"/>
          <w:szCs w:val="28"/>
          <w:u w:val="single"/>
        </w:rPr>
      </w:pPr>
      <w:r>
        <w:rPr>
          <w:rFonts w:hint="eastAsia" w:ascii="仿宋" w:hAnsi="仿宋" w:eastAsia="仿宋"/>
          <w:sz w:val="28"/>
          <w:szCs w:val="28"/>
        </w:rPr>
        <w:t>联系方式：</w:t>
      </w:r>
      <w:r>
        <w:rPr>
          <w:rFonts w:ascii="仿宋" w:hAnsi="仿宋" w:eastAsia="仿宋"/>
          <w:sz w:val="28"/>
          <w:szCs w:val="28"/>
          <w:u w:val="single"/>
        </w:rPr>
        <w:t>029-</w:t>
      </w:r>
      <w:r>
        <w:rPr>
          <w:rFonts w:hint="eastAsia" w:ascii="仿宋" w:hAnsi="仿宋" w:eastAsia="仿宋"/>
          <w:sz w:val="28"/>
          <w:szCs w:val="28"/>
          <w:u w:val="single"/>
        </w:rPr>
        <w:t>86510029</w:t>
      </w:r>
    </w:p>
    <w:p>
      <w:pPr>
        <w:pStyle w:val="5"/>
        <w:spacing w:line="360" w:lineRule="auto"/>
        <w:ind w:firstLine="840" w:firstLineChars="300"/>
        <w:rPr>
          <w:rFonts w:ascii="仿宋" w:hAnsi="仿宋" w:eastAsia="仿宋" w:cs="宋体"/>
          <w:b w:val="0"/>
          <w:sz w:val="28"/>
          <w:szCs w:val="28"/>
        </w:rPr>
      </w:pPr>
      <w:bookmarkStart w:id="7" w:name="_Toc28359024"/>
      <w:bookmarkStart w:id="8" w:name="_Toc35393811"/>
      <w:bookmarkStart w:id="9" w:name="_Toc35393642"/>
      <w:bookmarkStart w:id="10" w:name="_Toc28359101"/>
      <w:r>
        <w:rPr>
          <w:rFonts w:hint="eastAsia" w:ascii="仿宋" w:hAnsi="仿宋" w:eastAsia="仿宋" w:cs="宋体"/>
          <w:b w:val="0"/>
          <w:sz w:val="28"/>
          <w:szCs w:val="28"/>
        </w:rPr>
        <w:t>2.采购代理机构信息</w:t>
      </w:r>
      <w:bookmarkEnd w:id="7"/>
      <w:bookmarkEnd w:id="8"/>
      <w:bookmarkEnd w:id="9"/>
      <w:bookmarkEnd w:id="10"/>
    </w:p>
    <w:p>
      <w:pPr>
        <w:spacing w:line="360" w:lineRule="auto"/>
        <w:ind w:firstLine="840" w:firstLineChars="300"/>
        <w:rPr>
          <w:rFonts w:ascii="仿宋" w:hAnsi="仿宋" w:eastAsia="仿宋"/>
          <w:sz w:val="28"/>
          <w:szCs w:val="28"/>
          <w:u w:val="single"/>
        </w:rPr>
      </w:pPr>
      <w:r>
        <w:rPr>
          <w:rFonts w:hint="eastAsia" w:ascii="仿宋" w:hAnsi="仿宋" w:eastAsia="仿宋"/>
          <w:sz w:val="28"/>
          <w:szCs w:val="28"/>
        </w:rPr>
        <w:t>名    称：</w:t>
      </w:r>
      <w:r>
        <w:rPr>
          <w:rFonts w:hint="eastAsia" w:ascii="仿宋" w:hAnsi="仿宋" w:eastAsia="仿宋"/>
          <w:sz w:val="28"/>
          <w:szCs w:val="28"/>
          <w:u w:val="single"/>
        </w:rPr>
        <w:t>西安市市级单位政府采购中心</w:t>
      </w:r>
    </w:p>
    <w:p>
      <w:pPr>
        <w:spacing w:line="360" w:lineRule="auto"/>
        <w:ind w:firstLine="840" w:firstLineChars="300"/>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西安市</w:t>
      </w:r>
      <w:r>
        <w:rPr>
          <w:rFonts w:ascii="仿宋" w:hAnsi="仿宋" w:eastAsia="仿宋"/>
          <w:sz w:val="28"/>
          <w:szCs w:val="28"/>
          <w:u w:val="single"/>
        </w:rPr>
        <w:t>未央区文景北路</w:t>
      </w:r>
      <w:r>
        <w:rPr>
          <w:rFonts w:hint="eastAsia" w:ascii="仿宋" w:hAnsi="仿宋" w:eastAsia="仿宋"/>
          <w:sz w:val="28"/>
          <w:szCs w:val="28"/>
          <w:u w:val="single"/>
        </w:rPr>
        <w:t>16号白桦林</w:t>
      </w:r>
      <w:r>
        <w:rPr>
          <w:rFonts w:ascii="仿宋" w:hAnsi="仿宋" w:eastAsia="仿宋"/>
          <w:sz w:val="28"/>
          <w:szCs w:val="28"/>
          <w:u w:val="single"/>
        </w:rPr>
        <w:t>国际B座</w:t>
      </w:r>
    </w:p>
    <w:p>
      <w:pPr>
        <w:spacing w:line="360" w:lineRule="auto"/>
        <w:ind w:firstLine="840" w:firstLineChars="300"/>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rPr>
        <w:t>029</w:t>
      </w:r>
      <w:r>
        <w:rPr>
          <w:rFonts w:ascii="仿宋" w:hAnsi="仿宋" w:eastAsia="仿宋"/>
          <w:sz w:val="28"/>
          <w:szCs w:val="28"/>
          <w:u w:val="single"/>
        </w:rPr>
        <w:t>-86510029  86510365</w:t>
      </w:r>
      <w:r>
        <w:rPr>
          <w:rFonts w:hint="eastAsia" w:ascii="仿宋" w:hAnsi="仿宋" w:eastAsia="仿宋"/>
          <w:sz w:val="28"/>
          <w:szCs w:val="28"/>
          <w:u w:val="single"/>
        </w:rPr>
        <w:t>转</w:t>
      </w:r>
      <w:r>
        <w:rPr>
          <w:rFonts w:ascii="仿宋" w:hAnsi="仿宋" w:eastAsia="仿宋"/>
          <w:sz w:val="28"/>
          <w:szCs w:val="28"/>
          <w:u w:val="single"/>
        </w:rPr>
        <w:t>分机</w:t>
      </w:r>
      <w:r>
        <w:rPr>
          <w:rFonts w:hint="eastAsia" w:ascii="仿宋" w:hAnsi="仿宋" w:eastAsia="仿宋"/>
          <w:sz w:val="28"/>
          <w:szCs w:val="28"/>
          <w:u w:val="single"/>
        </w:rPr>
        <w:t>80846</w:t>
      </w:r>
    </w:p>
    <w:p>
      <w:pPr>
        <w:pStyle w:val="5"/>
        <w:spacing w:line="360" w:lineRule="auto"/>
        <w:ind w:firstLine="840" w:firstLineChars="300"/>
        <w:rPr>
          <w:rFonts w:ascii="仿宋" w:hAnsi="仿宋" w:eastAsia="仿宋" w:cs="宋体"/>
          <w:b w:val="0"/>
          <w:sz w:val="28"/>
          <w:szCs w:val="28"/>
        </w:rPr>
      </w:pPr>
      <w:bookmarkStart w:id="11" w:name="_Toc28359102"/>
      <w:bookmarkStart w:id="12" w:name="_Toc28359025"/>
      <w:bookmarkStart w:id="13" w:name="_Toc35393643"/>
      <w:bookmarkStart w:id="14" w:name="_Toc35393812"/>
      <w:r>
        <w:rPr>
          <w:rFonts w:hint="eastAsia" w:ascii="仿宋" w:hAnsi="仿宋" w:eastAsia="仿宋" w:cs="宋体"/>
          <w:b w:val="0"/>
          <w:sz w:val="28"/>
          <w:szCs w:val="28"/>
        </w:rPr>
        <w:t>3.项目</w:t>
      </w:r>
      <w:r>
        <w:rPr>
          <w:rFonts w:ascii="仿宋" w:hAnsi="仿宋" w:eastAsia="仿宋" w:cs="宋体"/>
          <w:b w:val="0"/>
          <w:sz w:val="28"/>
          <w:szCs w:val="28"/>
        </w:rPr>
        <w:t>联系方式</w:t>
      </w:r>
      <w:bookmarkEnd w:id="11"/>
      <w:bookmarkEnd w:id="12"/>
      <w:bookmarkEnd w:id="13"/>
      <w:bookmarkEnd w:id="14"/>
    </w:p>
    <w:p>
      <w:pPr>
        <w:pStyle w:val="7"/>
        <w:spacing w:line="360" w:lineRule="auto"/>
        <w:ind w:firstLine="840" w:firstLineChars="300"/>
        <w:rPr>
          <w:rFonts w:ascii="仿宋" w:hAnsi="仿宋" w:eastAsia="仿宋"/>
          <w:sz w:val="28"/>
          <w:szCs w:val="28"/>
        </w:rPr>
      </w:pPr>
      <w:r>
        <w:rPr>
          <w:rFonts w:hint="eastAsia" w:ascii="仿宋" w:hAnsi="仿宋" w:eastAsia="仿宋"/>
          <w:sz w:val="28"/>
          <w:szCs w:val="28"/>
        </w:rPr>
        <w:t>项目联系人：</w:t>
      </w:r>
      <w:r>
        <w:rPr>
          <w:rFonts w:hint="eastAsia" w:ascii="仿宋" w:hAnsi="仿宋" w:eastAsia="仿宋"/>
          <w:sz w:val="28"/>
          <w:szCs w:val="28"/>
          <w:u w:val="single"/>
        </w:rPr>
        <w:t>梁老师</w:t>
      </w:r>
    </w:p>
    <w:p>
      <w:pPr>
        <w:ind w:firstLine="840" w:firstLineChars="300"/>
        <w:rPr>
          <w:rFonts w:ascii="仿宋" w:hAnsi="仿宋" w:eastAsia="仿宋"/>
          <w:sz w:val="28"/>
          <w:szCs w:val="28"/>
          <w:u w:val="single"/>
        </w:rPr>
      </w:pPr>
      <w:r>
        <w:rPr>
          <w:rFonts w:hint="eastAsia" w:ascii="仿宋" w:hAnsi="仿宋" w:eastAsia="仿宋"/>
          <w:sz w:val="28"/>
          <w:szCs w:val="28"/>
        </w:rPr>
        <w:t>电　  话：</w:t>
      </w:r>
      <w:r>
        <w:rPr>
          <w:rFonts w:hint="eastAsia" w:ascii="仿宋" w:hAnsi="仿宋" w:eastAsia="仿宋"/>
          <w:sz w:val="28"/>
          <w:szCs w:val="28"/>
          <w:u w:val="single"/>
        </w:rPr>
        <w:t>029</w:t>
      </w:r>
      <w:r>
        <w:rPr>
          <w:rFonts w:ascii="仿宋" w:hAnsi="仿宋" w:eastAsia="仿宋"/>
          <w:sz w:val="28"/>
          <w:szCs w:val="28"/>
          <w:u w:val="single"/>
        </w:rPr>
        <w:t>-86510029  86510365</w:t>
      </w:r>
      <w:r>
        <w:rPr>
          <w:rFonts w:hint="eastAsia" w:ascii="仿宋" w:hAnsi="仿宋" w:eastAsia="仿宋"/>
          <w:sz w:val="28"/>
          <w:szCs w:val="28"/>
          <w:u w:val="single"/>
        </w:rPr>
        <w:t>转</w:t>
      </w:r>
      <w:r>
        <w:rPr>
          <w:rFonts w:ascii="仿宋" w:hAnsi="仿宋" w:eastAsia="仿宋"/>
          <w:sz w:val="28"/>
          <w:szCs w:val="28"/>
          <w:u w:val="single"/>
        </w:rPr>
        <w:t>分机</w:t>
      </w:r>
      <w:r>
        <w:rPr>
          <w:rFonts w:hint="eastAsia" w:ascii="仿宋" w:hAnsi="仿宋" w:eastAsia="仿宋"/>
          <w:sz w:val="28"/>
          <w:szCs w:val="28"/>
          <w:u w:val="single"/>
        </w:rPr>
        <w:t>80841</w:t>
      </w:r>
    </w:p>
    <w:p>
      <w:pPr>
        <w:numPr>
          <w:ilvl w:val="0"/>
          <w:numId w:val="3"/>
        </w:numPr>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附件</w:t>
      </w:r>
    </w:p>
    <w:p>
      <w:pPr>
        <w:pStyle w:val="2"/>
        <w:numPr>
          <w:ilvl w:val="0"/>
          <w:numId w:val="0"/>
        </w:numPr>
        <w:rPr>
          <w:rFonts w:hint="default"/>
          <w:lang w:val="en-US" w:eastAsia="zh-CN"/>
        </w:rPr>
      </w:pPr>
      <w:r>
        <w:rPr>
          <w:rFonts w:hint="default"/>
          <w:lang w:val="en-US" w:eastAsia="zh-CN"/>
        </w:rPr>
        <w:drawing>
          <wp:inline distT="0" distB="0" distL="114300" distR="114300">
            <wp:extent cx="5414645" cy="6517640"/>
            <wp:effectExtent l="0" t="0" r="14605" b="16510"/>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4"/>
                    <a:stretch>
                      <a:fillRect/>
                    </a:stretch>
                  </pic:blipFill>
                  <pic:spPr>
                    <a:xfrm>
                      <a:off x="0" y="0"/>
                      <a:ext cx="5414645" cy="6517640"/>
                    </a:xfrm>
                    <a:prstGeom prst="rect">
                      <a:avLst/>
                    </a:prstGeom>
                  </pic:spPr>
                </pic:pic>
              </a:graphicData>
            </a:graphic>
          </wp:inline>
        </w:drawing>
      </w:r>
    </w:p>
    <w:p>
      <w:pPr>
        <w:pStyle w:val="2"/>
        <w:ind w:left="218" w:leftChars="-200" w:hanging="638" w:hangingChars="304"/>
        <w:rPr>
          <w:rFonts w:eastAsia="仿宋"/>
        </w:rPr>
      </w:pPr>
    </w:p>
    <w:p>
      <w:pPr>
        <w:pStyle w:val="2"/>
        <w:ind w:left="218" w:leftChars="-200" w:hanging="638" w:hangingChars="304"/>
        <w:rPr>
          <w:rFonts w:eastAsia="仿宋"/>
        </w:rPr>
      </w:pPr>
    </w:p>
    <w:p>
      <w:pPr>
        <w:ind w:firstLine="4200" w:firstLineChars="1500"/>
        <w:rPr>
          <w:rFonts w:ascii="仿宋" w:hAnsi="仿宋" w:eastAsia="仿宋" w:cs="宋体"/>
          <w:bCs/>
          <w:sz w:val="28"/>
          <w:szCs w:val="28"/>
        </w:rPr>
      </w:pPr>
      <w:r>
        <w:rPr>
          <w:rFonts w:ascii="仿宋" w:hAnsi="仿宋" w:eastAsia="仿宋" w:cs="宋体"/>
          <w:bCs/>
          <w:sz w:val="28"/>
          <w:szCs w:val="28"/>
        </w:rPr>
        <w:t>西安市市级单位政府采购中心</w:t>
      </w:r>
    </w:p>
    <w:p>
      <w:pPr>
        <w:jc w:val="center"/>
        <w:rPr>
          <w:rFonts w:ascii="仿宋" w:hAnsi="仿宋" w:eastAsia="仿宋" w:cs="宋体"/>
          <w:bCs/>
          <w:sz w:val="28"/>
          <w:szCs w:val="28"/>
        </w:rPr>
      </w:pPr>
      <w:r>
        <w:rPr>
          <w:rFonts w:hint="eastAsia" w:ascii="仿宋" w:hAnsi="仿宋" w:eastAsia="仿宋" w:cs="宋体"/>
          <w:bCs/>
          <w:sz w:val="28"/>
          <w:szCs w:val="28"/>
          <w:lang w:val="en-US" w:eastAsia="zh-CN"/>
        </w:rPr>
        <w:t xml:space="preserve">                          </w:t>
      </w:r>
      <w:r>
        <w:rPr>
          <w:rFonts w:hint="eastAsia" w:ascii="仿宋" w:hAnsi="仿宋" w:eastAsia="仿宋" w:cs="宋体"/>
          <w:bCs/>
          <w:sz w:val="28"/>
          <w:szCs w:val="28"/>
        </w:rPr>
        <w:t>2022年8月2</w:t>
      </w:r>
      <w:r>
        <w:rPr>
          <w:rFonts w:hint="eastAsia" w:ascii="仿宋" w:hAnsi="仿宋" w:eastAsia="仿宋" w:cs="宋体"/>
          <w:bCs/>
          <w:sz w:val="28"/>
          <w:szCs w:val="28"/>
          <w:lang w:val="en-US" w:eastAsia="zh-CN"/>
        </w:rPr>
        <w:t>4</w:t>
      </w:r>
      <w:r>
        <w:rPr>
          <w:rFonts w:hint="eastAsia" w:ascii="仿宋" w:hAnsi="仿宋" w:eastAsia="仿宋" w:cs="宋体"/>
          <w:bCs/>
          <w:sz w:val="28"/>
          <w:szCs w:val="28"/>
        </w:rPr>
        <w:t>日</w:t>
      </w:r>
      <w:bookmarkEnd w:id="2"/>
    </w:p>
    <w:sectPr>
      <w:pgSz w:w="11906" w:h="16838"/>
      <w:pgMar w:top="1270" w:right="1689" w:bottom="1043" w:left="1689"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C1AD3A"/>
    <w:multiLevelType w:val="singleLevel"/>
    <w:tmpl w:val="D1C1AD3A"/>
    <w:lvl w:ilvl="0" w:tentative="0">
      <w:start w:val="5"/>
      <w:numFmt w:val="chineseCounting"/>
      <w:suff w:val="nothing"/>
      <w:lvlText w:val="%1、"/>
      <w:lvlJc w:val="left"/>
      <w:rPr>
        <w:rFonts w:hint="eastAsia"/>
      </w:rPr>
    </w:lvl>
  </w:abstractNum>
  <w:abstractNum w:abstractNumId="1">
    <w:nsid w:val="01EC0C88"/>
    <w:multiLevelType w:val="singleLevel"/>
    <w:tmpl w:val="01EC0C88"/>
    <w:lvl w:ilvl="0" w:tentative="0">
      <w:start w:val="9"/>
      <w:numFmt w:val="chineseCounting"/>
      <w:suff w:val="nothing"/>
      <w:lvlText w:val="%1、"/>
      <w:lvlJc w:val="left"/>
      <w:rPr>
        <w:rFonts w:hint="eastAsia"/>
      </w:rPr>
    </w:lvl>
  </w:abstractNum>
  <w:abstractNum w:abstractNumId="2">
    <w:nsid w:val="29043DE1"/>
    <w:multiLevelType w:val="multilevel"/>
    <w:tmpl w:val="29043DE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U2YjlkNDliNWRlODYxNGRhYmNmODc2YzYxZDA4MjcifQ=="/>
  </w:docVars>
  <w:rsids>
    <w:rsidRoot w:val="51AD40E1"/>
    <w:rsid w:val="000B623F"/>
    <w:rsid w:val="00116614"/>
    <w:rsid w:val="00155F16"/>
    <w:rsid w:val="001703BB"/>
    <w:rsid w:val="001731FC"/>
    <w:rsid w:val="001934ED"/>
    <w:rsid w:val="001B473E"/>
    <w:rsid w:val="00214438"/>
    <w:rsid w:val="00280950"/>
    <w:rsid w:val="002845ED"/>
    <w:rsid w:val="002B076E"/>
    <w:rsid w:val="002B2993"/>
    <w:rsid w:val="002D5548"/>
    <w:rsid w:val="002F489D"/>
    <w:rsid w:val="00320011"/>
    <w:rsid w:val="00345C19"/>
    <w:rsid w:val="0034769F"/>
    <w:rsid w:val="003518D4"/>
    <w:rsid w:val="003B4308"/>
    <w:rsid w:val="003D5D49"/>
    <w:rsid w:val="003E22DB"/>
    <w:rsid w:val="0040754A"/>
    <w:rsid w:val="00417D8B"/>
    <w:rsid w:val="00437E09"/>
    <w:rsid w:val="00456682"/>
    <w:rsid w:val="00487581"/>
    <w:rsid w:val="00496A64"/>
    <w:rsid w:val="004E342D"/>
    <w:rsid w:val="005277BA"/>
    <w:rsid w:val="005306EF"/>
    <w:rsid w:val="00542404"/>
    <w:rsid w:val="005466EE"/>
    <w:rsid w:val="0056631F"/>
    <w:rsid w:val="0059678E"/>
    <w:rsid w:val="005972C7"/>
    <w:rsid w:val="006107DD"/>
    <w:rsid w:val="00636CE3"/>
    <w:rsid w:val="00654D93"/>
    <w:rsid w:val="00655A2F"/>
    <w:rsid w:val="00684F6A"/>
    <w:rsid w:val="006A188F"/>
    <w:rsid w:val="006D550B"/>
    <w:rsid w:val="007175C9"/>
    <w:rsid w:val="00740290"/>
    <w:rsid w:val="00754481"/>
    <w:rsid w:val="00781F65"/>
    <w:rsid w:val="007863AC"/>
    <w:rsid w:val="007B4A45"/>
    <w:rsid w:val="007C2C56"/>
    <w:rsid w:val="007D5D5B"/>
    <w:rsid w:val="00864ADA"/>
    <w:rsid w:val="008D54EE"/>
    <w:rsid w:val="00900E41"/>
    <w:rsid w:val="009177C6"/>
    <w:rsid w:val="0093016D"/>
    <w:rsid w:val="00951614"/>
    <w:rsid w:val="009E4693"/>
    <w:rsid w:val="00A27C31"/>
    <w:rsid w:val="00A52D31"/>
    <w:rsid w:val="00A6010B"/>
    <w:rsid w:val="00A64EBB"/>
    <w:rsid w:val="00A705B2"/>
    <w:rsid w:val="00AB1E1F"/>
    <w:rsid w:val="00AB2905"/>
    <w:rsid w:val="00AF27D6"/>
    <w:rsid w:val="00B10DE4"/>
    <w:rsid w:val="00B12750"/>
    <w:rsid w:val="00B34B26"/>
    <w:rsid w:val="00B61B62"/>
    <w:rsid w:val="00B815E3"/>
    <w:rsid w:val="00BE5176"/>
    <w:rsid w:val="00BF569B"/>
    <w:rsid w:val="00C153AC"/>
    <w:rsid w:val="00C47260"/>
    <w:rsid w:val="00C50EE7"/>
    <w:rsid w:val="00C6331E"/>
    <w:rsid w:val="00C70231"/>
    <w:rsid w:val="00C85EFF"/>
    <w:rsid w:val="00C863AE"/>
    <w:rsid w:val="00CA203C"/>
    <w:rsid w:val="00CD52E2"/>
    <w:rsid w:val="00CE5FBE"/>
    <w:rsid w:val="00D13E90"/>
    <w:rsid w:val="00D27C81"/>
    <w:rsid w:val="00D75857"/>
    <w:rsid w:val="00D853BF"/>
    <w:rsid w:val="00DA2255"/>
    <w:rsid w:val="00DA3968"/>
    <w:rsid w:val="00DD1716"/>
    <w:rsid w:val="00DE077F"/>
    <w:rsid w:val="00E05AE5"/>
    <w:rsid w:val="00E06575"/>
    <w:rsid w:val="00E102C8"/>
    <w:rsid w:val="00E34F18"/>
    <w:rsid w:val="00E92A06"/>
    <w:rsid w:val="00EB5986"/>
    <w:rsid w:val="00EE7BD8"/>
    <w:rsid w:val="00EF0304"/>
    <w:rsid w:val="00F22DAF"/>
    <w:rsid w:val="00F27295"/>
    <w:rsid w:val="00F4333F"/>
    <w:rsid w:val="00F54EAD"/>
    <w:rsid w:val="00F62C2B"/>
    <w:rsid w:val="00F823FE"/>
    <w:rsid w:val="00FA1A0D"/>
    <w:rsid w:val="00FE0451"/>
    <w:rsid w:val="027F3B5D"/>
    <w:rsid w:val="028D1B7E"/>
    <w:rsid w:val="07CA3791"/>
    <w:rsid w:val="0C205A5A"/>
    <w:rsid w:val="0EAE4C50"/>
    <w:rsid w:val="0F903F23"/>
    <w:rsid w:val="104F64CE"/>
    <w:rsid w:val="136407BD"/>
    <w:rsid w:val="173C255C"/>
    <w:rsid w:val="18C0367D"/>
    <w:rsid w:val="190F251F"/>
    <w:rsid w:val="1B7A58DE"/>
    <w:rsid w:val="1C3F10E6"/>
    <w:rsid w:val="1E2A6E76"/>
    <w:rsid w:val="1F1269F6"/>
    <w:rsid w:val="20E47595"/>
    <w:rsid w:val="26805B6E"/>
    <w:rsid w:val="28C70724"/>
    <w:rsid w:val="28EE636A"/>
    <w:rsid w:val="2BB43B2B"/>
    <w:rsid w:val="2BDD48E5"/>
    <w:rsid w:val="2ED04E17"/>
    <w:rsid w:val="2EEB3CBE"/>
    <w:rsid w:val="2F561543"/>
    <w:rsid w:val="2FC97AC9"/>
    <w:rsid w:val="34304252"/>
    <w:rsid w:val="36D17017"/>
    <w:rsid w:val="387F2E66"/>
    <w:rsid w:val="38EE29EF"/>
    <w:rsid w:val="3A6E705A"/>
    <w:rsid w:val="3B05013A"/>
    <w:rsid w:val="3E0E5616"/>
    <w:rsid w:val="460F4408"/>
    <w:rsid w:val="4B2F29DB"/>
    <w:rsid w:val="4B9D4EDF"/>
    <w:rsid w:val="4E482D62"/>
    <w:rsid w:val="51AD40E1"/>
    <w:rsid w:val="51B32E60"/>
    <w:rsid w:val="535214FF"/>
    <w:rsid w:val="568B0CBD"/>
    <w:rsid w:val="56CA0C54"/>
    <w:rsid w:val="58B5193F"/>
    <w:rsid w:val="5D9B66D4"/>
    <w:rsid w:val="5E0A102C"/>
    <w:rsid w:val="60083AE9"/>
    <w:rsid w:val="60550BEB"/>
    <w:rsid w:val="6BD2503E"/>
    <w:rsid w:val="6FE623F2"/>
    <w:rsid w:val="70DA2AD2"/>
    <w:rsid w:val="718F0D68"/>
    <w:rsid w:val="737F20AD"/>
    <w:rsid w:val="73F82825"/>
    <w:rsid w:val="778F55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25"/>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5">
    <w:name w:val="heading 2"/>
    <w:basedOn w:val="1"/>
    <w:next w:val="1"/>
    <w:link w:val="26"/>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semiHidden/>
    <w:unhideWhenUsed/>
    <w:qFormat/>
    <w:uiPriority w:val="99"/>
    <w:pPr>
      <w:spacing w:after="120"/>
      <w:ind w:left="420" w:leftChars="200"/>
    </w:pPr>
  </w:style>
  <w:style w:type="paragraph" w:styleId="6">
    <w:name w:val="Document Map"/>
    <w:basedOn w:val="1"/>
    <w:link w:val="32"/>
    <w:qFormat/>
    <w:uiPriority w:val="0"/>
    <w:rPr>
      <w:rFonts w:ascii="宋体" w:eastAsia="宋体"/>
      <w:sz w:val="18"/>
      <w:szCs w:val="18"/>
    </w:rPr>
  </w:style>
  <w:style w:type="paragraph" w:styleId="7">
    <w:name w:val="Plain Text"/>
    <w:basedOn w:val="1"/>
    <w:link w:val="27"/>
    <w:qFormat/>
    <w:uiPriority w:val="0"/>
    <w:rPr>
      <w:rFonts w:ascii="宋体" w:hAnsi="Courier New"/>
      <w:szCs w:val="22"/>
    </w:rPr>
  </w:style>
  <w:style w:type="paragraph" w:styleId="8">
    <w:name w:val="footer"/>
    <w:basedOn w:val="1"/>
    <w:link w:val="30"/>
    <w:qFormat/>
    <w:uiPriority w:val="0"/>
    <w:pPr>
      <w:tabs>
        <w:tab w:val="center" w:pos="4153"/>
        <w:tab w:val="right" w:pos="8306"/>
      </w:tabs>
      <w:snapToGrid w:val="0"/>
      <w:jc w:val="left"/>
    </w:pPr>
    <w:rPr>
      <w:sz w:val="18"/>
      <w:szCs w:val="18"/>
    </w:rPr>
  </w:style>
  <w:style w:type="paragraph" w:styleId="9">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FollowedHyperlink"/>
    <w:basedOn w:val="12"/>
    <w:qFormat/>
    <w:uiPriority w:val="0"/>
    <w:rPr>
      <w:color w:val="800080"/>
      <w:u w:val="none"/>
    </w:rPr>
  </w:style>
  <w:style w:type="character" w:styleId="15">
    <w:name w:val="Emphasis"/>
    <w:basedOn w:val="12"/>
    <w:qFormat/>
    <w:uiPriority w:val="0"/>
    <w:rPr>
      <w:b/>
    </w:rPr>
  </w:style>
  <w:style w:type="character" w:styleId="16">
    <w:name w:val="HTML Definition"/>
    <w:basedOn w:val="12"/>
    <w:qFormat/>
    <w:uiPriority w:val="0"/>
  </w:style>
  <w:style w:type="character" w:styleId="17">
    <w:name w:val="HTML Typewriter"/>
    <w:basedOn w:val="12"/>
    <w:qFormat/>
    <w:uiPriority w:val="0"/>
    <w:rPr>
      <w:rFonts w:hint="default" w:ascii="monospace" w:hAnsi="monospace" w:eastAsia="monospace" w:cs="monospace"/>
      <w:sz w:val="20"/>
    </w:rPr>
  </w:style>
  <w:style w:type="character" w:styleId="18">
    <w:name w:val="HTML Acronym"/>
    <w:basedOn w:val="12"/>
    <w:qFormat/>
    <w:uiPriority w:val="0"/>
  </w:style>
  <w:style w:type="character" w:styleId="19">
    <w:name w:val="HTML Variable"/>
    <w:basedOn w:val="12"/>
    <w:qFormat/>
    <w:uiPriority w:val="0"/>
    <w:rPr>
      <w:rFonts w:ascii="微软雅黑" w:hAnsi="微软雅黑" w:eastAsia="微软雅黑" w:cs="微软雅黑"/>
      <w:sz w:val="21"/>
      <w:szCs w:val="21"/>
    </w:rPr>
  </w:style>
  <w:style w:type="character" w:styleId="20">
    <w:name w:val="Hyperlink"/>
    <w:basedOn w:val="12"/>
    <w:qFormat/>
    <w:uiPriority w:val="0"/>
    <w:rPr>
      <w:color w:val="0000FF"/>
      <w:u w:val="none"/>
    </w:rPr>
  </w:style>
  <w:style w:type="character" w:styleId="21">
    <w:name w:val="HTML Code"/>
    <w:basedOn w:val="12"/>
    <w:qFormat/>
    <w:uiPriority w:val="0"/>
    <w:rPr>
      <w:rFonts w:hint="default" w:ascii="monospace" w:hAnsi="monospace" w:eastAsia="monospace" w:cs="monospace"/>
      <w:sz w:val="20"/>
      <w:bdr w:val="single" w:color="999999" w:sz="6" w:space="0"/>
      <w:shd w:val="clear" w:color="auto" w:fill="FFFFFF"/>
    </w:rPr>
  </w:style>
  <w:style w:type="character" w:styleId="22">
    <w:name w:val="HTML Cite"/>
    <w:basedOn w:val="12"/>
    <w:qFormat/>
    <w:uiPriority w:val="0"/>
  </w:style>
  <w:style w:type="character" w:styleId="23">
    <w:name w:val="HTML Keyboard"/>
    <w:basedOn w:val="12"/>
    <w:qFormat/>
    <w:uiPriority w:val="0"/>
    <w:rPr>
      <w:rFonts w:hint="default" w:ascii="monospace" w:hAnsi="monospace" w:eastAsia="monospace" w:cs="monospace"/>
      <w:sz w:val="20"/>
    </w:rPr>
  </w:style>
  <w:style w:type="character" w:styleId="24">
    <w:name w:val="HTML Sample"/>
    <w:basedOn w:val="12"/>
    <w:qFormat/>
    <w:uiPriority w:val="0"/>
    <w:rPr>
      <w:rFonts w:ascii="monospace" w:hAnsi="monospace" w:eastAsia="monospace" w:cs="monospace"/>
    </w:rPr>
  </w:style>
  <w:style w:type="character" w:customStyle="1" w:styleId="25">
    <w:name w:val="标题 1 Char"/>
    <w:basedOn w:val="12"/>
    <w:link w:val="4"/>
    <w:qFormat/>
    <w:uiPriority w:val="9"/>
    <w:rPr>
      <w:rFonts w:ascii="Times New Roman" w:hAnsi="Times New Roman" w:eastAsia="宋体" w:cs="Times New Roman"/>
      <w:b/>
      <w:bCs/>
      <w:kern w:val="44"/>
      <w:sz w:val="44"/>
      <w:szCs w:val="44"/>
    </w:rPr>
  </w:style>
  <w:style w:type="character" w:customStyle="1" w:styleId="26">
    <w:name w:val="标题 2 Char"/>
    <w:basedOn w:val="12"/>
    <w:link w:val="5"/>
    <w:qFormat/>
    <w:uiPriority w:val="0"/>
    <w:rPr>
      <w:rFonts w:ascii="Arial" w:hAnsi="Arial" w:eastAsia="黑体" w:cs="Arial"/>
      <w:b/>
      <w:bCs/>
      <w:kern w:val="2"/>
      <w:sz w:val="32"/>
      <w:szCs w:val="32"/>
    </w:rPr>
  </w:style>
  <w:style w:type="character" w:customStyle="1" w:styleId="27">
    <w:name w:val="纯文本 Char"/>
    <w:basedOn w:val="12"/>
    <w:link w:val="7"/>
    <w:qFormat/>
    <w:uiPriority w:val="99"/>
    <w:rPr>
      <w:rFonts w:ascii="宋体" w:hAnsi="Courier New"/>
      <w:kern w:val="2"/>
      <w:sz w:val="21"/>
      <w:szCs w:val="22"/>
    </w:rPr>
  </w:style>
  <w:style w:type="paragraph" w:styleId="28">
    <w:name w:val="List Paragraph"/>
    <w:basedOn w:val="1"/>
    <w:link w:val="31"/>
    <w:qFormat/>
    <w:uiPriority w:val="34"/>
    <w:pPr>
      <w:ind w:firstLine="420" w:firstLineChars="200"/>
    </w:pPr>
  </w:style>
  <w:style w:type="character" w:customStyle="1" w:styleId="29">
    <w:name w:val="页眉 Char"/>
    <w:basedOn w:val="12"/>
    <w:link w:val="9"/>
    <w:qFormat/>
    <w:uiPriority w:val="0"/>
    <w:rPr>
      <w:kern w:val="2"/>
      <w:sz w:val="18"/>
      <w:szCs w:val="18"/>
    </w:rPr>
  </w:style>
  <w:style w:type="character" w:customStyle="1" w:styleId="30">
    <w:name w:val="页脚 Char"/>
    <w:basedOn w:val="12"/>
    <w:link w:val="8"/>
    <w:qFormat/>
    <w:uiPriority w:val="0"/>
    <w:rPr>
      <w:kern w:val="2"/>
      <w:sz w:val="18"/>
      <w:szCs w:val="18"/>
    </w:rPr>
  </w:style>
  <w:style w:type="character" w:customStyle="1" w:styleId="31">
    <w:name w:val="列出段落 Char"/>
    <w:link w:val="28"/>
    <w:qFormat/>
    <w:uiPriority w:val="34"/>
    <w:rPr>
      <w:kern w:val="2"/>
      <w:sz w:val="21"/>
      <w:szCs w:val="24"/>
    </w:rPr>
  </w:style>
  <w:style w:type="character" w:customStyle="1" w:styleId="32">
    <w:name w:val="文档结构图 Char"/>
    <w:basedOn w:val="12"/>
    <w:link w:val="6"/>
    <w:qFormat/>
    <w:uiPriority w:val="0"/>
    <w:rPr>
      <w:rFonts w:ascii="宋体" w:hAnsiTheme="minorHAnsi"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4</Pages>
  <Words>1899</Words>
  <Characters>2060</Characters>
  <Lines>5</Lines>
  <Paragraphs>1</Paragraphs>
  <TotalTime>7</TotalTime>
  <ScaleCrop>false</ScaleCrop>
  <LinksUpToDate>false</LinksUpToDate>
  <CharactersWithSpaces>2084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2020-03-26T02:26:00Z</dcterms:created>
  <dc:creator>趋之若鹜</dc:creator>
  <cp:lastModifiedBy>~no^no^no~</cp:lastModifiedBy>
  <cp:lastPrinted>2022-08-24T02:05:43Z</cp:lastPrinted>
  <dcterms:modified xsi:type="dcterms:W3CDTF">2022-08-24T02:11:54Z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D639B3B79D2A4A8AA368CBCB0D30F02F</vt:lpwstr>
  </property>
</Properties>
</file>