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eastAsia="宋体" w:cs="宋体"/>
          <w:b/>
          <w:bCs/>
          <w:sz w:val="32"/>
          <w:szCs w:val="32"/>
        </w:rPr>
      </w:pPr>
      <w:r>
        <w:rPr>
          <w:rFonts w:hint="eastAsia" w:ascii="宋体" w:hAnsi="宋体" w:eastAsia="宋体" w:cs="宋体"/>
          <w:b/>
          <w:bCs/>
          <w:sz w:val="32"/>
          <w:szCs w:val="32"/>
        </w:rPr>
        <w:t>项目编号：ZMZB2022ZYYY-200</w:t>
      </w:r>
    </w:p>
    <w:p>
      <w:pPr>
        <w:jc w:val="center"/>
        <w:rPr>
          <w:rFonts w:ascii="宋体" w:hAnsi="宋体" w:eastAsia="宋体" w:cs="宋体"/>
          <w:sz w:val="44"/>
          <w:szCs w:val="44"/>
        </w:rPr>
      </w:pPr>
    </w:p>
    <w:p>
      <w:pPr>
        <w:jc w:val="both"/>
        <w:rPr>
          <w:rFonts w:ascii="宋体" w:hAnsi="宋体" w:eastAsia="宋体" w:cs="宋体"/>
          <w:sz w:val="52"/>
          <w:szCs w:val="52"/>
        </w:rPr>
      </w:pPr>
    </w:p>
    <w:p>
      <w:pPr>
        <w:jc w:val="center"/>
        <w:rPr>
          <w:rFonts w:ascii="宋体" w:hAnsi="宋体" w:eastAsia="宋体" w:cs="宋体"/>
          <w:b/>
          <w:bCs/>
          <w:sz w:val="56"/>
          <w:szCs w:val="56"/>
        </w:rPr>
      </w:pPr>
      <w:r>
        <w:rPr>
          <w:rFonts w:hint="eastAsia" w:ascii="宋体" w:hAnsi="宋体" w:eastAsia="宋体" w:cs="宋体"/>
          <w:b/>
          <w:bCs/>
          <w:sz w:val="56"/>
          <w:szCs w:val="56"/>
        </w:rPr>
        <w:t>西安市中医医院</w:t>
      </w:r>
    </w:p>
    <w:p>
      <w:pPr>
        <w:jc w:val="center"/>
        <w:rPr>
          <w:rFonts w:ascii="宋体" w:hAnsi="宋体" w:eastAsia="宋体" w:cs="宋体"/>
          <w:b/>
          <w:bCs/>
          <w:sz w:val="56"/>
          <w:szCs w:val="56"/>
        </w:rPr>
      </w:pPr>
      <w:r>
        <w:rPr>
          <w:rFonts w:hint="eastAsia" w:ascii="宋体" w:hAnsi="宋体" w:eastAsia="宋体" w:cs="宋体"/>
          <w:b/>
          <w:bCs/>
          <w:sz w:val="56"/>
          <w:szCs w:val="56"/>
        </w:rPr>
        <w:t>南院区DR、胃肠DR及X线</w:t>
      </w:r>
    </w:p>
    <w:p>
      <w:pPr>
        <w:jc w:val="center"/>
        <w:rPr>
          <w:rFonts w:ascii="宋体" w:hAnsi="宋体" w:eastAsia="宋体" w:cs="宋体"/>
          <w:b/>
          <w:bCs/>
          <w:sz w:val="56"/>
          <w:szCs w:val="56"/>
        </w:rPr>
      </w:pPr>
      <w:r>
        <w:rPr>
          <w:rFonts w:hint="eastAsia" w:ascii="宋体" w:hAnsi="宋体" w:eastAsia="宋体" w:cs="宋体"/>
          <w:b/>
          <w:bCs/>
          <w:sz w:val="56"/>
          <w:szCs w:val="56"/>
        </w:rPr>
        <w:t>骨密度仪项目</w:t>
      </w:r>
    </w:p>
    <w:p>
      <w:pPr>
        <w:jc w:val="both"/>
        <w:rPr>
          <w:rFonts w:ascii="宋体" w:hAnsi="宋体" w:eastAsia="宋体" w:cs="宋体"/>
          <w:b/>
          <w:bCs/>
          <w:sz w:val="56"/>
          <w:szCs w:val="56"/>
        </w:rPr>
      </w:pPr>
    </w:p>
    <w:p>
      <w:pPr>
        <w:jc w:val="center"/>
        <w:rPr>
          <w:rFonts w:ascii="宋体" w:hAnsi="宋体" w:eastAsia="宋体" w:cs="宋体"/>
          <w:b/>
          <w:bCs/>
          <w:sz w:val="56"/>
          <w:szCs w:val="56"/>
        </w:rPr>
      </w:pPr>
    </w:p>
    <w:p>
      <w:pPr>
        <w:jc w:val="center"/>
        <w:rPr>
          <w:rFonts w:ascii="宋体" w:hAnsi="宋体" w:eastAsia="宋体" w:cs="宋体"/>
          <w:b/>
          <w:bCs/>
          <w:sz w:val="72"/>
          <w:szCs w:val="72"/>
        </w:rPr>
      </w:pPr>
      <w:r>
        <w:rPr>
          <w:rFonts w:hint="eastAsia" w:ascii="宋体" w:hAnsi="宋体" w:eastAsia="宋体" w:cs="宋体"/>
          <w:b/>
          <w:bCs/>
          <w:sz w:val="56"/>
          <w:szCs w:val="56"/>
        </w:rPr>
        <w:t>招标文件</w:t>
      </w:r>
    </w:p>
    <w:p>
      <w:pPr>
        <w:spacing w:line="560" w:lineRule="exact"/>
        <w:ind w:firstLine="803" w:firstLineChars="200"/>
        <w:jc w:val="both"/>
        <w:rPr>
          <w:rFonts w:ascii="宋体" w:hAnsi="宋体" w:eastAsia="宋体" w:cs="宋体"/>
          <w:b/>
          <w:bCs/>
          <w:sz w:val="40"/>
          <w:szCs w:val="40"/>
        </w:rPr>
      </w:pPr>
    </w:p>
    <w:p>
      <w:pPr>
        <w:spacing w:line="560" w:lineRule="exact"/>
        <w:jc w:val="both"/>
        <w:rPr>
          <w:rFonts w:ascii="宋体" w:hAnsi="宋体" w:eastAsia="宋体" w:cs="宋体"/>
          <w:b/>
          <w:bCs/>
          <w:sz w:val="40"/>
          <w:szCs w:val="40"/>
        </w:rPr>
      </w:pPr>
    </w:p>
    <w:p>
      <w:pPr>
        <w:spacing w:line="560" w:lineRule="exact"/>
        <w:ind w:firstLine="803" w:firstLineChars="200"/>
        <w:jc w:val="both"/>
        <w:rPr>
          <w:rFonts w:ascii="宋体" w:hAnsi="宋体" w:eastAsia="宋体" w:cs="宋体"/>
          <w:b/>
          <w:bCs/>
          <w:sz w:val="40"/>
          <w:szCs w:val="40"/>
        </w:rPr>
      </w:pPr>
    </w:p>
    <w:p>
      <w:pPr>
        <w:spacing w:line="560" w:lineRule="exact"/>
        <w:ind w:firstLine="803" w:firstLineChars="200"/>
        <w:jc w:val="both"/>
        <w:rPr>
          <w:rFonts w:ascii="宋体" w:hAnsi="宋体" w:eastAsia="宋体" w:cs="宋体"/>
          <w:b/>
          <w:bCs/>
          <w:sz w:val="40"/>
          <w:szCs w:val="40"/>
        </w:rPr>
      </w:pPr>
    </w:p>
    <w:p>
      <w:pPr>
        <w:spacing w:line="560" w:lineRule="exact"/>
        <w:ind w:firstLine="640" w:firstLineChars="200"/>
        <w:jc w:val="center"/>
        <w:rPr>
          <w:rFonts w:ascii="宋体" w:hAnsi="宋体" w:eastAsia="宋体" w:cs="宋体"/>
          <w:sz w:val="32"/>
          <w:szCs w:val="32"/>
        </w:rPr>
      </w:pPr>
    </w:p>
    <w:p>
      <w:pPr>
        <w:spacing w:line="560" w:lineRule="exact"/>
        <w:ind w:firstLine="640" w:firstLineChars="200"/>
        <w:jc w:val="center"/>
        <w:rPr>
          <w:rFonts w:ascii="宋体" w:hAnsi="宋体" w:eastAsia="宋体" w:cs="宋体"/>
          <w:sz w:val="32"/>
          <w:szCs w:val="32"/>
        </w:rPr>
      </w:pPr>
    </w:p>
    <w:p>
      <w:pPr>
        <w:spacing w:line="560" w:lineRule="exact"/>
        <w:jc w:val="center"/>
        <w:rPr>
          <w:rFonts w:ascii="宋体" w:hAnsi="宋体" w:eastAsia="宋体" w:cs="宋体"/>
          <w:sz w:val="32"/>
          <w:szCs w:val="32"/>
        </w:rPr>
      </w:pPr>
      <w:r>
        <w:rPr>
          <w:rFonts w:hint="eastAsia" w:ascii="宋体" w:hAnsi="宋体" w:eastAsia="宋体" w:cs="宋体"/>
          <w:sz w:val="32"/>
          <w:szCs w:val="32"/>
        </w:rPr>
        <w:t>陕西卓佲项目管理有限公司</w:t>
      </w:r>
    </w:p>
    <w:p>
      <w:pPr>
        <w:spacing w:line="560" w:lineRule="exact"/>
        <w:jc w:val="center"/>
        <w:rPr>
          <w:rFonts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TIME \@ "yyyy年M月" </w:instrText>
      </w:r>
      <w:r>
        <w:rPr>
          <w:rFonts w:hint="eastAsia" w:ascii="宋体" w:hAnsi="宋体" w:eastAsia="宋体" w:cs="宋体"/>
          <w:sz w:val="32"/>
          <w:szCs w:val="32"/>
        </w:rPr>
        <w:fldChar w:fldCharType="separate"/>
      </w:r>
      <w:r>
        <w:rPr>
          <w:rFonts w:hint="eastAsia" w:ascii="宋体" w:hAnsi="宋体" w:eastAsia="宋体" w:cs="宋体"/>
          <w:sz w:val="32"/>
          <w:szCs w:val="32"/>
        </w:rPr>
        <w:t>2022年7月</w:t>
      </w:r>
      <w:r>
        <w:rPr>
          <w:rFonts w:hint="eastAsia" w:ascii="宋体" w:hAnsi="宋体" w:eastAsia="宋体" w:cs="宋体"/>
          <w:sz w:val="32"/>
          <w:szCs w:val="32"/>
        </w:rPr>
        <w:fldChar w:fldCharType="end"/>
      </w:r>
      <w:r>
        <w:rPr>
          <w:rFonts w:hint="eastAsia" w:ascii="宋体" w:hAnsi="宋体" w:eastAsia="宋体" w:cs="宋体"/>
          <w:sz w:val="32"/>
          <w:szCs w:val="32"/>
        </w:rPr>
        <w:br w:type="page"/>
      </w:r>
    </w:p>
    <w:sdt>
      <w:sdtPr>
        <w:rPr>
          <w:rFonts w:ascii="宋体" w:hAnsi="宋体" w:eastAsia="宋体"/>
          <w:sz w:val="21"/>
        </w:rPr>
        <w:id w:val="147473170"/>
        <w:docPartObj>
          <w:docPartGallery w:val="Table of Contents"/>
          <w:docPartUnique/>
        </w:docPartObj>
      </w:sdtPr>
      <w:sdtEndPr>
        <w:rPr>
          <w:rFonts w:ascii="宋体" w:hAnsi="宋体" w:eastAsia="宋体"/>
          <w:sz w:val="21"/>
        </w:rPr>
      </w:sdtEndPr>
      <w:sdtContent>
        <w:p>
          <w:pPr>
            <w:jc w:val="center"/>
            <w:rPr>
              <w:sz w:val="44"/>
              <w:szCs w:val="44"/>
            </w:rPr>
          </w:pPr>
          <w:bookmarkStart w:id="0" w:name="_Toc100219612"/>
          <w:r>
            <w:rPr>
              <w:rFonts w:ascii="宋体" w:hAnsi="宋体" w:eastAsia="宋体"/>
              <w:sz w:val="36"/>
              <w:szCs w:val="44"/>
            </w:rPr>
            <w:t>目录</w:t>
          </w:r>
        </w:p>
        <w:p>
          <w:pPr>
            <w:pStyle w:val="25"/>
            <w:keepNext w:val="0"/>
            <w:keepLines w:val="0"/>
            <w:pageBreakBefore w:val="0"/>
            <w:widowControl/>
            <w:tabs>
              <w:tab w:val="right" w:leader="dot" w:pos="8300"/>
            </w:tabs>
            <w:kinsoku/>
            <w:wordWrap/>
            <w:overflowPunct/>
            <w:topLinePunct w:val="0"/>
            <w:autoSpaceDE/>
            <w:autoSpaceDN/>
            <w:bidi w:val="0"/>
            <w:adjustRightInd/>
            <w:snapToGrid/>
            <w:spacing w:before="181" w:beforeLines="50" w:after="181" w:afterLines="50" w:line="240" w:lineRule="auto"/>
            <w:textAlignment w:val="auto"/>
            <w:rPr>
              <w:rFonts w:hint="eastAsia" w:ascii="宋体" w:hAnsi="宋体" w:eastAsia="宋体" w:cs="宋体"/>
              <w:sz w:val="24"/>
              <w:szCs w:val="24"/>
            </w:rPr>
          </w:pPr>
          <w:r>
            <w:rPr>
              <w:rFonts w:hint="eastAsia" w:ascii="宋体" w:hAnsi="宋体" w:cs="宋体"/>
              <w:sz w:val="24"/>
            </w:rPr>
            <w:fldChar w:fldCharType="begin"/>
          </w:r>
          <w:r>
            <w:rPr>
              <w:rFonts w:hint="eastAsia" w:ascii="宋体" w:hAnsi="宋体" w:cs="宋体"/>
              <w:sz w:val="24"/>
            </w:rPr>
            <w:instrText xml:space="preserve">TOC \o "1-3" \h \u </w:instrText>
          </w:r>
          <w:r>
            <w:rPr>
              <w:rFonts w:hint="eastAsia" w:ascii="宋体" w:hAnsi="宋体" w:cs="宋体"/>
              <w:sz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_Toc30156 </w:instrText>
          </w:r>
          <w:r>
            <w:rPr>
              <w:rFonts w:hint="eastAsia" w:ascii="宋体" w:hAnsi="宋体" w:eastAsia="宋体" w:cs="宋体"/>
              <w:sz w:val="24"/>
              <w:szCs w:val="24"/>
            </w:rPr>
            <w:fldChar w:fldCharType="separate"/>
          </w:r>
          <w:r>
            <w:rPr>
              <w:rFonts w:hint="eastAsia" w:ascii="宋体" w:hAnsi="宋体" w:eastAsia="宋体" w:cs="宋体"/>
              <w:sz w:val="24"/>
              <w:szCs w:val="24"/>
            </w:rPr>
            <w:t>第一章  投标邀请函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_Toc30156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5"/>
            <w:keepNext w:val="0"/>
            <w:keepLines w:val="0"/>
            <w:pageBreakBefore w:val="0"/>
            <w:widowControl/>
            <w:tabs>
              <w:tab w:val="right" w:leader="dot" w:pos="8300"/>
            </w:tabs>
            <w:kinsoku/>
            <w:wordWrap/>
            <w:overflowPunct/>
            <w:topLinePunct w:val="0"/>
            <w:autoSpaceDE/>
            <w:autoSpaceDN/>
            <w:bidi w:val="0"/>
            <w:adjustRightInd/>
            <w:snapToGrid/>
            <w:spacing w:before="181" w:beforeLines="50" w:after="181" w:afterLines="50" w:line="24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_Toc2040 </w:instrText>
          </w:r>
          <w:r>
            <w:rPr>
              <w:rFonts w:hint="eastAsia" w:ascii="宋体" w:hAnsi="宋体" w:eastAsia="宋体" w:cs="宋体"/>
              <w:sz w:val="24"/>
              <w:szCs w:val="24"/>
            </w:rPr>
            <w:fldChar w:fldCharType="separate"/>
          </w:r>
          <w:r>
            <w:rPr>
              <w:rFonts w:hint="eastAsia" w:ascii="宋体" w:hAnsi="宋体" w:eastAsia="宋体" w:cs="宋体"/>
              <w:sz w:val="24"/>
              <w:szCs w:val="24"/>
            </w:rPr>
            <w:t>第二章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_Toc2040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0"/>
            <w:keepNext w:val="0"/>
            <w:keepLines w:val="0"/>
            <w:pageBreakBefore w:val="0"/>
            <w:widowControl/>
            <w:tabs>
              <w:tab w:val="right" w:leader="dot" w:pos="8300"/>
            </w:tabs>
            <w:kinsoku/>
            <w:wordWrap/>
            <w:overflowPunct/>
            <w:topLinePunct w:val="0"/>
            <w:autoSpaceDE/>
            <w:autoSpaceDN/>
            <w:bidi w:val="0"/>
            <w:adjustRightInd/>
            <w:snapToGrid/>
            <w:spacing w:before="181" w:beforeLines="50" w:after="181" w:afterLines="50" w:line="24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_Toc29753 </w:instrText>
          </w:r>
          <w:r>
            <w:rPr>
              <w:rFonts w:hint="eastAsia" w:ascii="宋体" w:hAnsi="宋体" w:eastAsia="宋体" w:cs="宋体"/>
              <w:sz w:val="24"/>
              <w:szCs w:val="24"/>
            </w:rPr>
            <w:fldChar w:fldCharType="separate"/>
          </w:r>
          <w:r>
            <w:rPr>
              <w:rFonts w:hint="eastAsia" w:ascii="宋体" w:hAnsi="宋体" w:eastAsia="宋体" w:cs="宋体"/>
              <w:sz w:val="24"/>
              <w:szCs w:val="24"/>
            </w:rPr>
            <w:t>〖前附表〗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_Toc29753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before="181" w:beforeLines="50" w:after="181" w:afterLines="50" w:line="24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_Toc19614 </w:instrText>
          </w:r>
          <w:r>
            <w:rPr>
              <w:rFonts w:hint="eastAsia" w:ascii="宋体" w:hAnsi="宋体" w:eastAsia="宋体" w:cs="宋体"/>
              <w:sz w:val="24"/>
              <w:szCs w:val="24"/>
            </w:rPr>
            <w:fldChar w:fldCharType="separate"/>
          </w:r>
          <w:r>
            <w:rPr>
              <w:rFonts w:hint="eastAsia" w:ascii="宋体" w:hAnsi="宋体" w:eastAsia="宋体" w:cs="宋体"/>
              <w:bCs/>
              <w:sz w:val="24"/>
              <w:szCs w:val="24"/>
            </w:rPr>
            <w:t>一、有关定义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_Toc19614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before="181" w:beforeLines="50" w:after="181" w:afterLines="50" w:line="24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_Toc7078 </w:instrText>
          </w:r>
          <w:r>
            <w:rPr>
              <w:rFonts w:hint="eastAsia" w:ascii="宋体" w:hAnsi="宋体" w:eastAsia="宋体" w:cs="宋体"/>
              <w:sz w:val="24"/>
              <w:szCs w:val="24"/>
            </w:rPr>
            <w:fldChar w:fldCharType="separate"/>
          </w:r>
          <w:r>
            <w:rPr>
              <w:rFonts w:hint="eastAsia" w:ascii="宋体" w:hAnsi="宋体" w:eastAsia="宋体" w:cs="宋体"/>
              <w:bCs/>
              <w:sz w:val="24"/>
              <w:szCs w:val="24"/>
            </w:rPr>
            <w:t>二、供应商注意事项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_Toc7078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before="181" w:beforeLines="50" w:after="181" w:afterLines="50" w:line="24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_Toc22232 </w:instrText>
          </w:r>
          <w:r>
            <w:rPr>
              <w:rFonts w:hint="eastAsia" w:ascii="宋体" w:hAnsi="宋体" w:eastAsia="宋体" w:cs="宋体"/>
              <w:sz w:val="24"/>
              <w:szCs w:val="24"/>
            </w:rPr>
            <w:fldChar w:fldCharType="separate"/>
          </w:r>
          <w:r>
            <w:rPr>
              <w:rFonts w:hint="eastAsia" w:ascii="宋体" w:hAnsi="宋体" w:eastAsia="宋体" w:cs="宋体"/>
              <w:sz w:val="24"/>
              <w:szCs w:val="24"/>
            </w:rPr>
            <w:t>三、招标文件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_Toc22232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before="181" w:beforeLines="50" w:after="181" w:afterLines="50" w:line="24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_Toc22931 </w:instrText>
          </w:r>
          <w:r>
            <w:rPr>
              <w:rFonts w:hint="eastAsia" w:ascii="宋体" w:hAnsi="宋体" w:eastAsia="宋体" w:cs="宋体"/>
              <w:sz w:val="24"/>
              <w:szCs w:val="24"/>
            </w:rPr>
            <w:fldChar w:fldCharType="separate"/>
          </w:r>
          <w:r>
            <w:rPr>
              <w:rFonts w:hint="eastAsia" w:ascii="宋体" w:hAnsi="宋体" w:eastAsia="宋体" w:cs="宋体"/>
              <w:sz w:val="24"/>
              <w:szCs w:val="24"/>
            </w:rPr>
            <w:t>四、投标文件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_Toc22931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before="181" w:beforeLines="50" w:after="181" w:afterLines="50" w:line="24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_Toc27865 </w:instrText>
          </w:r>
          <w:r>
            <w:rPr>
              <w:rFonts w:hint="eastAsia" w:ascii="宋体" w:hAnsi="宋体" w:eastAsia="宋体" w:cs="宋体"/>
              <w:sz w:val="24"/>
              <w:szCs w:val="24"/>
            </w:rPr>
            <w:fldChar w:fldCharType="separate"/>
          </w:r>
          <w:r>
            <w:rPr>
              <w:rFonts w:hint="eastAsia" w:ascii="宋体" w:hAnsi="宋体" w:eastAsia="宋体" w:cs="宋体"/>
              <w:sz w:val="24"/>
              <w:szCs w:val="24"/>
            </w:rPr>
            <w:t>五、开标程序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_Toc27865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before="181" w:beforeLines="50" w:after="181" w:afterLines="50" w:line="24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_Toc30550 </w:instrText>
          </w:r>
          <w:r>
            <w:rPr>
              <w:rFonts w:hint="eastAsia" w:ascii="宋体" w:hAnsi="宋体" w:eastAsia="宋体" w:cs="宋体"/>
              <w:sz w:val="24"/>
              <w:szCs w:val="24"/>
            </w:rPr>
            <w:fldChar w:fldCharType="separate"/>
          </w:r>
          <w:r>
            <w:rPr>
              <w:rFonts w:hint="eastAsia" w:ascii="宋体" w:hAnsi="宋体" w:eastAsia="宋体" w:cs="宋体"/>
              <w:sz w:val="24"/>
              <w:szCs w:val="24"/>
            </w:rPr>
            <w:t>六、资格审查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_Toc30550 \h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before="181" w:beforeLines="50" w:after="181" w:afterLines="50" w:line="24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_Toc1765 </w:instrText>
          </w:r>
          <w:r>
            <w:rPr>
              <w:rFonts w:hint="eastAsia" w:ascii="宋体" w:hAnsi="宋体" w:eastAsia="宋体" w:cs="宋体"/>
              <w:sz w:val="24"/>
              <w:szCs w:val="24"/>
            </w:rPr>
            <w:fldChar w:fldCharType="separate"/>
          </w:r>
          <w:r>
            <w:rPr>
              <w:rFonts w:hint="eastAsia" w:ascii="宋体" w:hAnsi="宋体" w:eastAsia="宋体" w:cs="宋体"/>
              <w:sz w:val="24"/>
              <w:szCs w:val="24"/>
            </w:rPr>
            <w:t>七、评审方法和程序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_Toc1765 \h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before="181" w:beforeLines="50" w:after="181" w:afterLines="50" w:line="24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_Toc5974 </w:instrText>
          </w:r>
          <w:r>
            <w:rPr>
              <w:rFonts w:hint="eastAsia" w:ascii="宋体" w:hAnsi="宋体" w:eastAsia="宋体" w:cs="宋体"/>
              <w:sz w:val="24"/>
              <w:szCs w:val="24"/>
            </w:rPr>
            <w:fldChar w:fldCharType="separate"/>
          </w:r>
          <w:r>
            <w:rPr>
              <w:rFonts w:hint="eastAsia" w:ascii="宋体" w:hAnsi="宋体" w:eastAsia="宋体" w:cs="宋体"/>
              <w:sz w:val="24"/>
              <w:szCs w:val="24"/>
            </w:rPr>
            <w:t>八、中标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_Toc5974 \h </w:instrText>
          </w:r>
          <w:r>
            <w:rPr>
              <w:rFonts w:hint="eastAsia" w:ascii="宋体" w:hAnsi="宋体" w:eastAsia="宋体" w:cs="宋体"/>
              <w:sz w:val="24"/>
              <w:szCs w:val="24"/>
            </w:rPr>
            <w:fldChar w:fldCharType="separate"/>
          </w:r>
          <w:r>
            <w:rPr>
              <w:rFonts w:hint="eastAsia" w:ascii="宋体" w:hAnsi="宋体" w:eastAsia="宋体" w:cs="宋体"/>
              <w:sz w:val="24"/>
              <w:szCs w:val="24"/>
            </w:rPr>
            <w:t>37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before="181" w:beforeLines="50" w:after="181" w:afterLines="50" w:line="24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_Toc1043 </w:instrText>
          </w:r>
          <w:r>
            <w:rPr>
              <w:rFonts w:hint="eastAsia" w:ascii="宋体" w:hAnsi="宋体" w:eastAsia="宋体" w:cs="宋体"/>
              <w:sz w:val="24"/>
              <w:szCs w:val="24"/>
            </w:rPr>
            <w:fldChar w:fldCharType="separate"/>
          </w:r>
          <w:r>
            <w:rPr>
              <w:rFonts w:hint="eastAsia" w:ascii="宋体" w:hAnsi="宋体" w:eastAsia="宋体" w:cs="宋体"/>
              <w:sz w:val="24"/>
              <w:szCs w:val="24"/>
            </w:rPr>
            <w:t>九、合同签订、履行及验收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_Toc1043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5"/>
            <w:keepNext w:val="0"/>
            <w:keepLines w:val="0"/>
            <w:pageBreakBefore w:val="0"/>
            <w:widowControl/>
            <w:tabs>
              <w:tab w:val="right" w:leader="dot" w:pos="8300"/>
            </w:tabs>
            <w:kinsoku/>
            <w:wordWrap/>
            <w:overflowPunct/>
            <w:topLinePunct w:val="0"/>
            <w:autoSpaceDE/>
            <w:autoSpaceDN/>
            <w:bidi w:val="0"/>
            <w:adjustRightInd/>
            <w:snapToGrid/>
            <w:spacing w:before="181" w:beforeLines="50" w:after="181" w:afterLines="50" w:line="24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_Toc4446 </w:instrText>
          </w:r>
          <w:r>
            <w:rPr>
              <w:rFonts w:hint="eastAsia" w:ascii="宋体" w:hAnsi="宋体" w:eastAsia="宋体" w:cs="宋体"/>
              <w:sz w:val="24"/>
              <w:szCs w:val="24"/>
            </w:rPr>
            <w:fldChar w:fldCharType="separate"/>
          </w:r>
          <w:r>
            <w:rPr>
              <w:rFonts w:hint="eastAsia" w:ascii="宋体" w:hAnsi="宋体" w:eastAsia="宋体" w:cs="宋体"/>
              <w:sz w:val="24"/>
              <w:szCs w:val="24"/>
            </w:rPr>
            <w:t>第三章 招标内容及要求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_Toc4446 \h </w:instrText>
          </w:r>
          <w:r>
            <w:rPr>
              <w:rFonts w:hint="eastAsia" w:ascii="宋体" w:hAnsi="宋体" w:eastAsia="宋体" w:cs="宋体"/>
              <w:sz w:val="24"/>
              <w:szCs w:val="24"/>
            </w:rPr>
            <w:fldChar w:fldCharType="separate"/>
          </w:r>
          <w:r>
            <w:rPr>
              <w:rFonts w:hint="eastAsia" w:ascii="宋体" w:hAnsi="宋体" w:eastAsia="宋体" w:cs="宋体"/>
              <w:sz w:val="24"/>
              <w:szCs w:val="24"/>
            </w:rPr>
            <w:t>41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5"/>
            <w:keepNext w:val="0"/>
            <w:keepLines w:val="0"/>
            <w:pageBreakBefore w:val="0"/>
            <w:widowControl/>
            <w:tabs>
              <w:tab w:val="right" w:leader="dot" w:pos="8300"/>
            </w:tabs>
            <w:kinsoku/>
            <w:wordWrap/>
            <w:overflowPunct/>
            <w:topLinePunct w:val="0"/>
            <w:autoSpaceDE/>
            <w:autoSpaceDN/>
            <w:bidi w:val="0"/>
            <w:adjustRightInd/>
            <w:snapToGrid/>
            <w:spacing w:before="181" w:beforeLines="50" w:after="181" w:afterLines="50" w:line="24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_Toc9705 </w:instrText>
          </w:r>
          <w:r>
            <w:rPr>
              <w:rFonts w:hint="eastAsia" w:ascii="宋体" w:hAnsi="宋体" w:eastAsia="宋体" w:cs="宋体"/>
              <w:sz w:val="24"/>
              <w:szCs w:val="24"/>
            </w:rPr>
            <w:fldChar w:fldCharType="separate"/>
          </w:r>
          <w:r>
            <w:rPr>
              <w:rFonts w:hint="eastAsia" w:ascii="宋体" w:hAnsi="宋体" w:eastAsia="宋体" w:cs="宋体"/>
              <w:sz w:val="24"/>
              <w:szCs w:val="24"/>
            </w:rPr>
            <w:t>第四章 合同文本</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_Toc9705 \h </w:instrText>
          </w:r>
          <w:r>
            <w:rPr>
              <w:rFonts w:hint="eastAsia" w:ascii="宋体" w:hAnsi="宋体" w:eastAsia="宋体" w:cs="宋体"/>
              <w:sz w:val="24"/>
              <w:szCs w:val="24"/>
            </w:rPr>
            <w:fldChar w:fldCharType="separate"/>
          </w:r>
          <w:r>
            <w:rPr>
              <w:rFonts w:hint="eastAsia" w:ascii="宋体" w:hAnsi="宋体" w:eastAsia="宋体" w:cs="宋体"/>
              <w:sz w:val="24"/>
              <w:szCs w:val="24"/>
            </w:rPr>
            <w:t>64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5"/>
            <w:keepNext w:val="0"/>
            <w:keepLines w:val="0"/>
            <w:pageBreakBefore w:val="0"/>
            <w:widowControl/>
            <w:tabs>
              <w:tab w:val="right" w:leader="dot" w:pos="8300"/>
            </w:tabs>
            <w:kinsoku/>
            <w:wordWrap/>
            <w:overflowPunct/>
            <w:topLinePunct w:val="0"/>
            <w:autoSpaceDE/>
            <w:autoSpaceDN/>
            <w:bidi w:val="0"/>
            <w:adjustRightInd/>
            <w:snapToGrid/>
            <w:spacing w:before="181" w:beforeLines="50" w:after="181" w:afterLines="50" w:line="24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_Toc20016 </w:instrText>
          </w:r>
          <w:r>
            <w:rPr>
              <w:rFonts w:hint="eastAsia" w:ascii="宋体" w:hAnsi="宋体" w:eastAsia="宋体" w:cs="宋体"/>
              <w:sz w:val="24"/>
              <w:szCs w:val="24"/>
            </w:rPr>
            <w:fldChar w:fldCharType="separate"/>
          </w:r>
          <w:r>
            <w:rPr>
              <w:rFonts w:hint="eastAsia" w:ascii="宋体" w:hAnsi="宋体" w:eastAsia="宋体" w:cs="宋体"/>
              <w:sz w:val="24"/>
              <w:szCs w:val="24"/>
            </w:rPr>
            <w:t>第五章  投标文件构成及格式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_Toc20016 \h </w:instrText>
          </w:r>
          <w:r>
            <w:rPr>
              <w:rFonts w:hint="eastAsia" w:ascii="宋体" w:hAnsi="宋体" w:eastAsia="宋体" w:cs="宋体"/>
              <w:sz w:val="24"/>
              <w:szCs w:val="24"/>
            </w:rPr>
            <w:fldChar w:fldCharType="separate"/>
          </w:r>
          <w:r>
            <w:rPr>
              <w:rFonts w:hint="eastAsia" w:ascii="宋体" w:hAnsi="宋体" w:eastAsia="宋体" w:cs="宋体"/>
              <w:sz w:val="24"/>
              <w:szCs w:val="24"/>
            </w:rPr>
            <w:t>75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0"/>
            <w:keepNext w:val="0"/>
            <w:keepLines w:val="0"/>
            <w:pageBreakBefore w:val="0"/>
            <w:widowControl/>
            <w:tabs>
              <w:tab w:val="right" w:leader="dot" w:pos="8300"/>
            </w:tabs>
            <w:kinsoku/>
            <w:wordWrap/>
            <w:overflowPunct/>
            <w:topLinePunct w:val="0"/>
            <w:autoSpaceDE/>
            <w:autoSpaceDN/>
            <w:bidi w:val="0"/>
            <w:adjustRightInd/>
            <w:snapToGrid/>
            <w:spacing w:before="181" w:beforeLines="50" w:after="181" w:afterLines="50" w:line="24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_Toc4625 </w:instrText>
          </w:r>
          <w:r>
            <w:rPr>
              <w:rFonts w:hint="eastAsia" w:ascii="宋体" w:hAnsi="宋体" w:eastAsia="宋体" w:cs="宋体"/>
              <w:sz w:val="24"/>
              <w:szCs w:val="24"/>
            </w:rPr>
            <w:fldChar w:fldCharType="separate"/>
          </w:r>
          <w:r>
            <w:rPr>
              <w:rFonts w:hint="eastAsia" w:ascii="宋体" w:hAnsi="宋体" w:eastAsia="宋体" w:cs="宋体"/>
              <w:sz w:val="24"/>
              <w:szCs w:val="24"/>
            </w:rPr>
            <w:t>第一部分  投标函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_Toc4625 \h </w:instrText>
          </w:r>
          <w:r>
            <w:rPr>
              <w:rFonts w:hint="eastAsia" w:ascii="宋体" w:hAnsi="宋体" w:eastAsia="宋体" w:cs="宋体"/>
              <w:sz w:val="24"/>
              <w:szCs w:val="24"/>
            </w:rPr>
            <w:fldChar w:fldCharType="separate"/>
          </w:r>
          <w:r>
            <w:rPr>
              <w:rFonts w:hint="eastAsia" w:ascii="宋体" w:hAnsi="宋体" w:eastAsia="宋体" w:cs="宋体"/>
              <w:sz w:val="24"/>
              <w:szCs w:val="24"/>
            </w:rPr>
            <w:t>77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0"/>
            <w:keepNext w:val="0"/>
            <w:keepLines w:val="0"/>
            <w:pageBreakBefore w:val="0"/>
            <w:widowControl/>
            <w:tabs>
              <w:tab w:val="right" w:leader="dot" w:pos="8300"/>
            </w:tabs>
            <w:kinsoku/>
            <w:wordWrap/>
            <w:overflowPunct/>
            <w:topLinePunct w:val="0"/>
            <w:autoSpaceDE/>
            <w:autoSpaceDN/>
            <w:bidi w:val="0"/>
            <w:adjustRightInd/>
            <w:snapToGrid/>
            <w:spacing w:before="181" w:beforeLines="50" w:after="181" w:afterLines="50" w:line="24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_Toc1279 </w:instrText>
          </w:r>
          <w:r>
            <w:rPr>
              <w:rFonts w:hint="eastAsia" w:ascii="宋体" w:hAnsi="宋体" w:eastAsia="宋体" w:cs="宋体"/>
              <w:sz w:val="24"/>
              <w:szCs w:val="24"/>
            </w:rPr>
            <w:fldChar w:fldCharType="separate"/>
          </w:r>
          <w:r>
            <w:rPr>
              <w:rFonts w:hint="eastAsia" w:ascii="宋体" w:hAnsi="宋体" w:eastAsia="宋体" w:cs="宋体"/>
              <w:sz w:val="24"/>
              <w:szCs w:val="24"/>
            </w:rPr>
            <w:t>第二部分 开标一览表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_Toc1279 \h </w:instrText>
          </w:r>
          <w:r>
            <w:rPr>
              <w:rFonts w:hint="eastAsia" w:ascii="宋体" w:hAnsi="宋体" w:eastAsia="宋体" w:cs="宋体"/>
              <w:sz w:val="24"/>
              <w:szCs w:val="24"/>
            </w:rPr>
            <w:fldChar w:fldCharType="separate"/>
          </w:r>
          <w:r>
            <w:rPr>
              <w:rFonts w:hint="eastAsia" w:ascii="宋体" w:hAnsi="宋体" w:eastAsia="宋体" w:cs="宋体"/>
              <w:sz w:val="24"/>
              <w:szCs w:val="24"/>
            </w:rPr>
            <w:t>79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0"/>
            <w:keepNext w:val="0"/>
            <w:keepLines w:val="0"/>
            <w:pageBreakBefore w:val="0"/>
            <w:widowControl/>
            <w:tabs>
              <w:tab w:val="right" w:leader="dot" w:pos="8300"/>
            </w:tabs>
            <w:kinsoku/>
            <w:wordWrap/>
            <w:overflowPunct/>
            <w:topLinePunct w:val="0"/>
            <w:autoSpaceDE/>
            <w:autoSpaceDN/>
            <w:bidi w:val="0"/>
            <w:adjustRightInd/>
            <w:snapToGrid/>
            <w:spacing w:before="181" w:beforeLines="50" w:after="181" w:afterLines="50" w:line="24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_Toc21109 </w:instrText>
          </w:r>
          <w:r>
            <w:rPr>
              <w:rFonts w:hint="eastAsia" w:ascii="宋体" w:hAnsi="宋体" w:eastAsia="宋体" w:cs="宋体"/>
              <w:sz w:val="24"/>
              <w:szCs w:val="24"/>
            </w:rPr>
            <w:fldChar w:fldCharType="separate"/>
          </w:r>
          <w:r>
            <w:rPr>
              <w:rFonts w:hint="eastAsia" w:ascii="宋体" w:hAnsi="宋体" w:eastAsia="宋体" w:cs="宋体"/>
              <w:sz w:val="24"/>
              <w:szCs w:val="24"/>
            </w:rPr>
            <w:t>第三部分  资格证明文件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_Toc21109 \h </w:instrText>
          </w:r>
          <w:r>
            <w:rPr>
              <w:rFonts w:hint="eastAsia" w:ascii="宋体" w:hAnsi="宋体" w:eastAsia="宋体" w:cs="宋体"/>
              <w:sz w:val="24"/>
              <w:szCs w:val="24"/>
            </w:rPr>
            <w:fldChar w:fldCharType="separate"/>
          </w:r>
          <w:r>
            <w:rPr>
              <w:rFonts w:hint="eastAsia" w:ascii="宋体" w:hAnsi="宋体" w:eastAsia="宋体" w:cs="宋体"/>
              <w:sz w:val="24"/>
              <w:szCs w:val="24"/>
            </w:rPr>
            <w:t>81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0"/>
            <w:keepNext w:val="0"/>
            <w:keepLines w:val="0"/>
            <w:pageBreakBefore w:val="0"/>
            <w:widowControl/>
            <w:tabs>
              <w:tab w:val="right" w:leader="dot" w:pos="8300"/>
            </w:tabs>
            <w:kinsoku/>
            <w:wordWrap/>
            <w:overflowPunct/>
            <w:topLinePunct w:val="0"/>
            <w:autoSpaceDE/>
            <w:autoSpaceDN/>
            <w:bidi w:val="0"/>
            <w:adjustRightInd/>
            <w:snapToGrid/>
            <w:spacing w:before="181" w:beforeLines="50" w:after="181" w:afterLines="50" w:line="24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_Toc4480 </w:instrText>
          </w:r>
          <w:r>
            <w:rPr>
              <w:rFonts w:hint="eastAsia" w:ascii="宋体" w:hAnsi="宋体" w:eastAsia="宋体" w:cs="宋体"/>
              <w:sz w:val="24"/>
              <w:szCs w:val="24"/>
            </w:rPr>
            <w:fldChar w:fldCharType="separate"/>
          </w:r>
          <w:r>
            <w:rPr>
              <w:rFonts w:hint="eastAsia" w:ascii="宋体" w:hAnsi="宋体" w:eastAsia="宋体" w:cs="宋体"/>
              <w:sz w:val="24"/>
              <w:szCs w:val="24"/>
            </w:rPr>
            <w:t>第四部分  供应商概况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_Toc4480 \h </w:instrText>
          </w:r>
          <w:r>
            <w:rPr>
              <w:rFonts w:hint="eastAsia" w:ascii="宋体" w:hAnsi="宋体" w:eastAsia="宋体" w:cs="宋体"/>
              <w:sz w:val="24"/>
              <w:szCs w:val="24"/>
            </w:rPr>
            <w:fldChar w:fldCharType="separate"/>
          </w:r>
          <w:r>
            <w:rPr>
              <w:rFonts w:hint="eastAsia" w:ascii="宋体" w:hAnsi="宋体" w:eastAsia="宋体" w:cs="宋体"/>
              <w:sz w:val="24"/>
              <w:szCs w:val="24"/>
            </w:rPr>
            <w:t>90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0"/>
            <w:keepNext w:val="0"/>
            <w:keepLines w:val="0"/>
            <w:pageBreakBefore w:val="0"/>
            <w:widowControl/>
            <w:tabs>
              <w:tab w:val="right" w:leader="dot" w:pos="8300"/>
            </w:tabs>
            <w:kinsoku/>
            <w:wordWrap/>
            <w:overflowPunct/>
            <w:topLinePunct w:val="0"/>
            <w:autoSpaceDE/>
            <w:autoSpaceDN/>
            <w:bidi w:val="0"/>
            <w:adjustRightInd/>
            <w:snapToGrid/>
            <w:spacing w:before="181" w:beforeLines="50" w:after="181" w:afterLines="50" w:line="24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_Toc20360 </w:instrText>
          </w:r>
          <w:r>
            <w:rPr>
              <w:rFonts w:hint="eastAsia" w:ascii="宋体" w:hAnsi="宋体" w:eastAsia="宋体" w:cs="宋体"/>
              <w:sz w:val="24"/>
              <w:szCs w:val="24"/>
            </w:rPr>
            <w:fldChar w:fldCharType="separate"/>
          </w:r>
          <w:r>
            <w:rPr>
              <w:rFonts w:hint="eastAsia" w:ascii="宋体" w:hAnsi="宋体" w:eastAsia="宋体" w:cs="宋体"/>
              <w:sz w:val="24"/>
              <w:szCs w:val="24"/>
            </w:rPr>
            <w:t>第五部分  供应商参加政府采购活动承诺书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_Toc20360 \h </w:instrText>
          </w:r>
          <w:r>
            <w:rPr>
              <w:rFonts w:hint="eastAsia" w:ascii="宋体" w:hAnsi="宋体" w:eastAsia="宋体" w:cs="宋体"/>
              <w:sz w:val="24"/>
              <w:szCs w:val="24"/>
            </w:rPr>
            <w:fldChar w:fldCharType="separate"/>
          </w:r>
          <w:r>
            <w:rPr>
              <w:rFonts w:hint="eastAsia" w:ascii="宋体" w:hAnsi="宋体" w:eastAsia="宋体" w:cs="宋体"/>
              <w:sz w:val="24"/>
              <w:szCs w:val="24"/>
            </w:rPr>
            <w:t>91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0"/>
            <w:keepNext w:val="0"/>
            <w:keepLines w:val="0"/>
            <w:pageBreakBefore w:val="0"/>
            <w:widowControl/>
            <w:tabs>
              <w:tab w:val="right" w:leader="dot" w:pos="8300"/>
            </w:tabs>
            <w:kinsoku/>
            <w:wordWrap/>
            <w:overflowPunct/>
            <w:topLinePunct w:val="0"/>
            <w:autoSpaceDE/>
            <w:autoSpaceDN/>
            <w:bidi w:val="0"/>
            <w:adjustRightInd/>
            <w:snapToGrid/>
            <w:spacing w:before="181" w:beforeLines="50" w:after="181" w:afterLines="50" w:line="24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_Toc4010 </w:instrText>
          </w:r>
          <w:r>
            <w:rPr>
              <w:rFonts w:hint="eastAsia" w:ascii="宋体" w:hAnsi="宋体" w:eastAsia="宋体" w:cs="宋体"/>
              <w:sz w:val="24"/>
              <w:szCs w:val="24"/>
            </w:rPr>
            <w:fldChar w:fldCharType="separate"/>
          </w:r>
          <w:r>
            <w:rPr>
              <w:rFonts w:hint="eastAsia" w:ascii="宋体" w:hAnsi="宋体" w:eastAsia="宋体" w:cs="宋体"/>
              <w:sz w:val="24"/>
              <w:szCs w:val="24"/>
            </w:rPr>
            <w:t>第六部分  商务和技术响应偏离表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_Toc4010 \h </w:instrText>
          </w:r>
          <w:r>
            <w:rPr>
              <w:rFonts w:hint="eastAsia" w:ascii="宋体" w:hAnsi="宋体" w:eastAsia="宋体" w:cs="宋体"/>
              <w:sz w:val="24"/>
              <w:szCs w:val="24"/>
            </w:rPr>
            <w:fldChar w:fldCharType="separate"/>
          </w:r>
          <w:r>
            <w:rPr>
              <w:rFonts w:hint="eastAsia" w:ascii="宋体" w:hAnsi="宋体" w:eastAsia="宋体" w:cs="宋体"/>
              <w:sz w:val="24"/>
              <w:szCs w:val="24"/>
            </w:rPr>
            <w:t>94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0"/>
            <w:keepNext w:val="0"/>
            <w:keepLines w:val="0"/>
            <w:pageBreakBefore w:val="0"/>
            <w:widowControl/>
            <w:tabs>
              <w:tab w:val="right" w:leader="dot" w:pos="8300"/>
            </w:tabs>
            <w:kinsoku/>
            <w:wordWrap/>
            <w:overflowPunct/>
            <w:topLinePunct w:val="0"/>
            <w:autoSpaceDE/>
            <w:autoSpaceDN/>
            <w:bidi w:val="0"/>
            <w:adjustRightInd/>
            <w:snapToGrid/>
            <w:spacing w:before="181" w:beforeLines="50" w:after="181" w:afterLines="50" w:line="24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_Toc23939 </w:instrText>
          </w:r>
          <w:r>
            <w:rPr>
              <w:rFonts w:hint="eastAsia" w:ascii="宋体" w:hAnsi="宋体" w:eastAsia="宋体" w:cs="宋体"/>
              <w:sz w:val="24"/>
              <w:szCs w:val="24"/>
            </w:rPr>
            <w:fldChar w:fldCharType="separate"/>
          </w:r>
          <w:r>
            <w:rPr>
              <w:rFonts w:hint="eastAsia" w:ascii="宋体" w:hAnsi="宋体" w:eastAsia="宋体" w:cs="宋体"/>
              <w:sz w:val="24"/>
              <w:szCs w:val="24"/>
            </w:rPr>
            <w:t>第七部分  技术与服务方案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_Toc23939 \h </w:instrText>
          </w:r>
          <w:r>
            <w:rPr>
              <w:rFonts w:hint="eastAsia" w:ascii="宋体" w:hAnsi="宋体" w:eastAsia="宋体" w:cs="宋体"/>
              <w:sz w:val="24"/>
              <w:szCs w:val="24"/>
            </w:rPr>
            <w:fldChar w:fldCharType="separate"/>
          </w:r>
          <w:r>
            <w:rPr>
              <w:rFonts w:hint="eastAsia" w:ascii="宋体" w:hAnsi="宋体" w:eastAsia="宋体" w:cs="宋体"/>
              <w:sz w:val="24"/>
              <w:szCs w:val="24"/>
            </w:rPr>
            <w:t>96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0"/>
            <w:keepNext w:val="0"/>
            <w:keepLines w:val="0"/>
            <w:pageBreakBefore w:val="0"/>
            <w:widowControl/>
            <w:tabs>
              <w:tab w:val="right" w:leader="dot" w:pos="8300"/>
            </w:tabs>
            <w:kinsoku/>
            <w:wordWrap/>
            <w:overflowPunct/>
            <w:topLinePunct w:val="0"/>
            <w:autoSpaceDE/>
            <w:autoSpaceDN/>
            <w:bidi w:val="0"/>
            <w:adjustRightInd/>
            <w:snapToGrid/>
            <w:spacing w:before="181" w:beforeLines="50" w:after="181" w:afterLines="50" w:line="24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_Toc4711 </w:instrText>
          </w:r>
          <w:r>
            <w:rPr>
              <w:rFonts w:hint="eastAsia" w:ascii="宋体" w:hAnsi="宋体" w:eastAsia="宋体" w:cs="宋体"/>
              <w:sz w:val="24"/>
              <w:szCs w:val="24"/>
            </w:rPr>
            <w:fldChar w:fldCharType="separate"/>
          </w:r>
          <w:r>
            <w:rPr>
              <w:rFonts w:hint="eastAsia" w:ascii="宋体" w:hAnsi="宋体" w:eastAsia="宋体" w:cs="宋体"/>
              <w:sz w:val="24"/>
              <w:szCs w:val="24"/>
            </w:rPr>
            <w:t>第八部分  服务承诺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_Toc4711 \h </w:instrText>
          </w:r>
          <w:r>
            <w:rPr>
              <w:rFonts w:hint="eastAsia" w:ascii="宋体" w:hAnsi="宋体" w:eastAsia="宋体" w:cs="宋体"/>
              <w:sz w:val="24"/>
              <w:szCs w:val="24"/>
            </w:rPr>
            <w:fldChar w:fldCharType="separate"/>
          </w:r>
          <w:r>
            <w:rPr>
              <w:rFonts w:hint="eastAsia" w:ascii="宋体" w:hAnsi="宋体" w:eastAsia="宋体" w:cs="宋体"/>
              <w:sz w:val="24"/>
              <w:szCs w:val="24"/>
            </w:rPr>
            <w:t>97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0"/>
            <w:keepNext w:val="0"/>
            <w:keepLines w:val="0"/>
            <w:pageBreakBefore w:val="0"/>
            <w:widowControl/>
            <w:tabs>
              <w:tab w:val="right" w:leader="dot" w:pos="8300"/>
            </w:tabs>
            <w:kinsoku/>
            <w:wordWrap/>
            <w:overflowPunct/>
            <w:topLinePunct w:val="0"/>
            <w:autoSpaceDE/>
            <w:autoSpaceDN/>
            <w:bidi w:val="0"/>
            <w:adjustRightInd/>
            <w:snapToGrid/>
            <w:spacing w:before="181" w:beforeLines="50" w:after="181" w:afterLines="50" w:line="24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_Toc31967 </w:instrText>
          </w:r>
          <w:r>
            <w:rPr>
              <w:rFonts w:hint="eastAsia" w:ascii="宋体" w:hAnsi="宋体" w:eastAsia="宋体" w:cs="宋体"/>
              <w:sz w:val="24"/>
              <w:szCs w:val="24"/>
            </w:rPr>
            <w:fldChar w:fldCharType="separate"/>
          </w:r>
          <w:r>
            <w:rPr>
              <w:rFonts w:hint="eastAsia" w:ascii="宋体" w:hAnsi="宋体" w:eastAsia="宋体" w:cs="宋体"/>
              <w:sz w:val="24"/>
              <w:szCs w:val="24"/>
            </w:rPr>
            <w:t>第九部分  供应商业绩一览表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_Toc31967 \h </w:instrText>
          </w:r>
          <w:r>
            <w:rPr>
              <w:rFonts w:hint="eastAsia" w:ascii="宋体" w:hAnsi="宋体" w:eastAsia="宋体" w:cs="宋体"/>
              <w:sz w:val="24"/>
              <w:szCs w:val="24"/>
            </w:rPr>
            <w:fldChar w:fldCharType="separate"/>
          </w:r>
          <w:r>
            <w:rPr>
              <w:rFonts w:hint="eastAsia" w:ascii="宋体" w:hAnsi="宋体" w:eastAsia="宋体" w:cs="宋体"/>
              <w:sz w:val="24"/>
              <w:szCs w:val="24"/>
            </w:rPr>
            <w:t>98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0"/>
            <w:keepNext w:val="0"/>
            <w:keepLines w:val="0"/>
            <w:pageBreakBefore w:val="0"/>
            <w:widowControl/>
            <w:tabs>
              <w:tab w:val="right" w:leader="dot" w:pos="8300"/>
            </w:tabs>
            <w:kinsoku/>
            <w:wordWrap/>
            <w:overflowPunct/>
            <w:topLinePunct w:val="0"/>
            <w:autoSpaceDE/>
            <w:autoSpaceDN/>
            <w:bidi w:val="0"/>
            <w:adjustRightInd/>
            <w:snapToGrid/>
            <w:spacing w:before="181" w:beforeLines="50" w:after="181" w:afterLines="50" w:line="24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_Toc13497 </w:instrText>
          </w:r>
          <w:r>
            <w:rPr>
              <w:rFonts w:hint="eastAsia" w:ascii="宋体" w:hAnsi="宋体" w:eastAsia="宋体" w:cs="宋体"/>
              <w:sz w:val="24"/>
              <w:szCs w:val="24"/>
            </w:rPr>
            <w:fldChar w:fldCharType="separate"/>
          </w:r>
          <w:r>
            <w:rPr>
              <w:rFonts w:hint="eastAsia" w:ascii="宋体" w:hAnsi="宋体" w:eastAsia="宋体" w:cs="宋体"/>
              <w:sz w:val="24"/>
              <w:szCs w:val="24"/>
            </w:rPr>
            <w:t>第十部分  供应商认为有必要说明的其他问题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_Toc13497 \h </w:instrText>
          </w:r>
          <w:r>
            <w:rPr>
              <w:rFonts w:hint="eastAsia" w:ascii="宋体" w:hAnsi="宋体" w:eastAsia="宋体" w:cs="宋体"/>
              <w:sz w:val="24"/>
              <w:szCs w:val="24"/>
            </w:rPr>
            <w:fldChar w:fldCharType="separate"/>
          </w:r>
          <w:r>
            <w:rPr>
              <w:rFonts w:hint="eastAsia" w:ascii="宋体" w:hAnsi="宋体" w:eastAsia="宋体" w:cs="宋体"/>
              <w:sz w:val="24"/>
              <w:szCs w:val="24"/>
            </w:rPr>
            <w:t>99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0"/>
            <w:keepNext w:val="0"/>
            <w:keepLines w:val="0"/>
            <w:pageBreakBefore w:val="0"/>
            <w:widowControl/>
            <w:tabs>
              <w:tab w:val="right" w:leader="dot" w:pos="8300"/>
            </w:tabs>
            <w:kinsoku/>
            <w:wordWrap/>
            <w:overflowPunct/>
            <w:topLinePunct w:val="0"/>
            <w:autoSpaceDE/>
            <w:autoSpaceDN/>
            <w:bidi w:val="0"/>
            <w:adjustRightInd/>
            <w:snapToGrid/>
            <w:spacing w:before="181" w:beforeLines="50" w:after="181" w:afterLines="50" w:line="24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_Toc12121 </w:instrText>
          </w:r>
          <w:r>
            <w:rPr>
              <w:rFonts w:hint="eastAsia" w:ascii="宋体" w:hAnsi="宋体" w:eastAsia="宋体" w:cs="宋体"/>
              <w:sz w:val="24"/>
              <w:szCs w:val="24"/>
            </w:rPr>
            <w:fldChar w:fldCharType="separate"/>
          </w:r>
          <w:r>
            <w:rPr>
              <w:rFonts w:hint="eastAsia" w:ascii="宋体" w:hAnsi="宋体" w:eastAsia="宋体" w:cs="宋体"/>
              <w:sz w:val="24"/>
              <w:szCs w:val="24"/>
            </w:rPr>
            <w:t>附件一、中小企业声明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_Toc12121 \h </w:instrText>
          </w:r>
          <w:r>
            <w:rPr>
              <w:rFonts w:hint="eastAsia" w:ascii="宋体" w:hAnsi="宋体" w:eastAsia="宋体" w:cs="宋体"/>
              <w:sz w:val="24"/>
              <w:szCs w:val="24"/>
            </w:rPr>
            <w:fldChar w:fldCharType="separate"/>
          </w:r>
          <w:r>
            <w:rPr>
              <w:rFonts w:hint="eastAsia" w:ascii="宋体" w:hAnsi="宋体" w:eastAsia="宋体" w:cs="宋体"/>
              <w:sz w:val="24"/>
              <w:szCs w:val="24"/>
            </w:rPr>
            <w:t>100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0"/>
            <w:keepNext w:val="0"/>
            <w:keepLines w:val="0"/>
            <w:pageBreakBefore w:val="0"/>
            <w:widowControl/>
            <w:tabs>
              <w:tab w:val="right" w:leader="dot" w:pos="8300"/>
            </w:tabs>
            <w:kinsoku/>
            <w:wordWrap/>
            <w:overflowPunct/>
            <w:topLinePunct w:val="0"/>
            <w:autoSpaceDE/>
            <w:autoSpaceDN/>
            <w:bidi w:val="0"/>
            <w:adjustRightInd/>
            <w:snapToGrid/>
            <w:spacing w:before="181" w:beforeLines="50" w:after="181" w:afterLines="50" w:line="24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_Toc290 </w:instrText>
          </w:r>
          <w:r>
            <w:rPr>
              <w:rFonts w:hint="eastAsia" w:ascii="宋体" w:hAnsi="宋体" w:eastAsia="宋体" w:cs="宋体"/>
              <w:sz w:val="24"/>
              <w:szCs w:val="24"/>
            </w:rPr>
            <w:fldChar w:fldCharType="separate"/>
          </w:r>
          <w:r>
            <w:rPr>
              <w:rFonts w:hint="eastAsia" w:ascii="宋体" w:hAnsi="宋体" w:eastAsia="宋体" w:cs="宋体"/>
              <w:sz w:val="24"/>
              <w:szCs w:val="24"/>
            </w:rPr>
            <w:t>附件二、残疾人福利性单位声明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_Toc290 \h </w:instrText>
          </w:r>
          <w:r>
            <w:rPr>
              <w:rFonts w:hint="eastAsia" w:ascii="宋体" w:hAnsi="宋体" w:eastAsia="宋体" w:cs="宋体"/>
              <w:sz w:val="24"/>
              <w:szCs w:val="24"/>
            </w:rPr>
            <w:fldChar w:fldCharType="separate"/>
          </w:r>
          <w:r>
            <w:rPr>
              <w:rFonts w:hint="eastAsia" w:ascii="宋体" w:hAnsi="宋体" w:eastAsia="宋体" w:cs="宋体"/>
              <w:sz w:val="24"/>
              <w:szCs w:val="24"/>
            </w:rPr>
            <w:t>105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0"/>
            <w:keepNext w:val="0"/>
            <w:keepLines w:val="0"/>
            <w:pageBreakBefore w:val="0"/>
            <w:widowControl/>
            <w:tabs>
              <w:tab w:val="right" w:leader="dot" w:pos="8300"/>
            </w:tabs>
            <w:kinsoku/>
            <w:wordWrap/>
            <w:overflowPunct/>
            <w:topLinePunct w:val="0"/>
            <w:autoSpaceDE/>
            <w:autoSpaceDN/>
            <w:bidi w:val="0"/>
            <w:adjustRightInd/>
            <w:snapToGrid/>
            <w:spacing w:before="181" w:beforeLines="50" w:after="181" w:afterLines="50" w:line="240" w:lineRule="auto"/>
            <w:textAlignment w:val="auto"/>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_Toc3639 </w:instrText>
          </w:r>
          <w:r>
            <w:rPr>
              <w:rFonts w:hint="eastAsia" w:ascii="宋体" w:hAnsi="宋体" w:eastAsia="宋体" w:cs="宋体"/>
              <w:sz w:val="24"/>
              <w:szCs w:val="24"/>
            </w:rPr>
            <w:fldChar w:fldCharType="separate"/>
          </w:r>
          <w:r>
            <w:rPr>
              <w:rFonts w:hint="eastAsia" w:ascii="宋体" w:hAnsi="宋体" w:eastAsia="宋体" w:cs="宋体"/>
              <w:sz w:val="24"/>
              <w:szCs w:val="24"/>
            </w:rPr>
            <w:t>附件三、监狱企业证明文件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_Toc3639 \h </w:instrText>
          </w:r>
          <w:r>
            <w:rPr>
              <w:rFonts w:hint="eastAsia" w:ascii="宋体" w:hAnsi="宋体" w:eastAsia="宋体" w:cs="宋体"/>
              <w:sz w:val="24"/>
              <w:szCs w:val="24"/>
            </w:rPr>
            <w:fldChar w:fldCharType="separate"/>
          </w:r>
          <w:r>
            <w:rPr>
              <w:rFonts w:hint="eastAsia" w:ascii="宋体" w:hAnsi="宋体" w:eastAsia="宋体" w:cs="宋体"/>
              <w:sz w:val="24"/>
              <w:szCs w:val="24"/>
            </w:rPr>
            <w:t>105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0"/>
            <w:tabs>
              <w:tab w:val="right" w:leader="dot" w:pos="8300"/>
            </w:tabs>
          </w:pPr>
        </w:p>
        <w:p>
          <w:pPr>
            <w:rPr>
              <w:rFonts w:ascii="宋体" w:hAnsi="宋体" w:eastAsia="宋体" w:cs="宋体"/>
            </w:rPr>
          </w:pPr>
          <w:r>
            <w:rPr>
              <w:rFonts w:hint="eastAsia" w:ascii="宋体" w:hAnsi="宋体" w:eastAsia="宋体" w:cs="宋体"/>
            </w:rPr>
            <w:fldChar w:fldCharType="end"/>
          </w:r>
        </w:p>
      </w:sdtContent>
    </w:sdt>
    <w:p>
      <w:pPr>
        <w:pStyle w:val="3"/>
        <w:tabs>
          <w:tab w:val="center" w:pos="4158"/>
          <w:tab w:val="left" w:pos="6761"/>
        </w:tabs>
        <w:jc w:val="left"/>
        <w:rPr>
          <w:rFonts w:hint="eastAsia" w:ascii="宋体" w:hAnsi="宋体" w:eastAsia="宋体" w:cs="宋体"/>
        </w:rPr>
      </w:pPr>
      <w:r>
        <w:rPr>
          <w:rFonts w:hint="eastAsia" w:ascii="宋体" w:hAnsi="宋体" w:eastAsia="宋体" w:cs="宋体"/>
        </w:rPr>
        <w:tab/>
      </w:r>
      <w:bookmarkStart w:id="1" w:name="_Toc30156"/>
    </w:p>
    <w:p>
      <w:pPr>
        <w:pStyle w:val="3"/>
        <w:tabs>
          <w:tab w:val="center" w:pos="4158"/>
          <w:tab w:val="left" w:pos="6761"/>
        </w:tabs>
        <w:jc w:val="center"/>
        <w:rPr>
          <w:rFonts w:hint="eastAsia" w:ascii="宋体" w:hAnsi="宋体" w:eastAsia="宋体" w:cs="宋体"/>
        </w:rPr>
        <w:sectPr>
          <w:headerReference r:id="rId5" w:type="first"/>
          <w:headerReference r:id="rId3" w:type="default"/>
          <w:footerReference r:id="rId6" w:type="default"/>
          <w:headerReference r:id="rId4" w:type="even"/>
          <w:pgSz w:w="11906" w:h="16838"/>
          <w:pgMar w:top="1440" w:right="1800" w:bottom="1440" w:left="1800" w:header="708" w:footer="708" w:gutter="0"/>
          <w:cols w:space="708" w:num="1"/>
          <w:docGrid w:linePitch="360" w:charSpace="0"/>
        </w:sectPr>
      </w:pPr>
    </w:p>
    <w:p>
      <w:pPr>
        <w:pStyle w:val="3"/>
        <w:tabs>
          <w:tab w:val="center" w:pos="4158"/>
          <w:tab w:val="left" w:pos="6761"/>
        </w:tabs>
        <w:jc w:val="center"/>
        <w:rPr>
          <w:rFonts w:ascii="宋体" w:hAnsi="宋体" w:eastAsia="宋体" w:cs="宋体"/>
        </w:rPr>
      </w:pPr>
      <w:r>
        <w:rPr>
          <w:rFonts w:hint="eastAsia" w:ascii="宋体" w:hAnsi="宋体" w:eastAsia="宋体" w:cs="宋体"/>
        </w:rPr>
        <w:t>第一章  投标邀请函</w:t>
      </w:r>
      <w:bookmarkEnd w:id="0"/>
      <w:bookmarkEnd w:id="1"/>
    </w:p>
    <w:p>
      <w:pPr>
        <w:pStyle w:val="8"/>
        <w:numPr>
          <w:ilvl w:val="5"/>
          <w:numId w:val="0"/>
        </w:numPr>
        <w:spacing w:before="150" w:after="150" w:line="360" w:lineRule="auto"/>
        <w:ind w:left="-835" w:leftChars="-348" w:firstLine="843" w:firstLineChars="300"/>
        <w:textAlignment w:val="baseline"/>
        <w:rPr>
          <w:rFonts w:ascii="宋体" w:hAnsi="宋体" w:eastAsia="宋体" w:cs="宋体"/>
          <w:sz w:val="28"/>
          <w:szCs w:val="28"/>
        </w:rPr>
      </w:pPr>
      <w:r>
        <w:rPr>
          <w:rFonts w:hint="eastAsia" w:ascii="宋体" w:hAnsi="宋体" w:eastAsia="宋体" w:cs="宋体"/>
          <w:sz w:val="28"/>
          <w:szCs w:val="28"/>
        </w:rPr>
        <w:t>项目概况</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9000" w:type="dxa"/>
          </w:tcPr>
          <w:p>
            <w:pPr>
              <w:pStyle w:val="31"/>
              <w:spacing w:before="150" w:beforeAutospacing="0" w:after="150" w:afterAutospacing="0" w:line="360" w:lineRule="auto"/>
              <w:ind w:firstLine="480"/>
              <w:jc w:val="both"/>
              <w:textAlignment w:val="baseline"/>
              <w:rPr>
                <w:rFonts w:eastAsia="宋体"/>
                <w:sz w:val="28"/>
                <w:szCs w:val="28"/>
              </w:rPr>
            </w:pPr>
            <w:r>
              <w:rPr>
                <w:rFonts w:hint="eastAsia" w:eastAsia="宋体"/>
                <w:sz w:val="28"/>
                <w:szCs w:val="28"/>
              </w:rPr>
              <w:t>南院区DR、胃肠DR及X线骨密度</w:t>
            </w:r>
            <w:r>
              <w:rPr>
                <w:rFonts w:hint="eastAsia" w:eastAsia="宋体"/>
                <w:color w:val="auto"/>
                <w:sz w:val="28"/>
                <w:szCs w:val="28"/>
              </w:rPr>
              <w:t>仪采购项目的</w:t>
            </w:r>
            <w:r>
              <w:rPr>
                <w:rFonts w:hint="eastAsia" w:eastAsia="宋体"/>
                <w:sz w:val="28"/>
                <w:szCs w:val="28"/>
              </w:rPr>
              <w:t>潜在投标人应在全国公共资源交易平台（陕西省·西安市）网站〖首页〉电子交易平台〉陕西政府采购交易系统〉企业端〗获取招标文件，并于2022年</w:t>
            </w:r>
            <w:r>
              <w:rPr>
                <w:rFonts w:hint="eastAsia" w:eastAsia="宋体"/>
                <w:sz w:val="28"/>
                <w:szCs w:val="28"/>
                <w:u w:val="single"/>
                <w:lang w:val="en-US" w:eastAsia="zh-CN"/>
              </w:rPr>
              <w:t>08</w:t>
            </w:r>
            <w:r>
              <w:rPr>
                <w:rFonts w:hint="eastAsia" w:eastAsia="宋体"/>
                <w:sz w:val="28"/>
                <w:szCs w:val="28"/>
              </w:rPr>
              <w:t>月</w:t>
            </w:r>
            <w:r>
              <w:rPr>
                <w:rFonts w:hint="eastAsia" w:eastAsia="宋体"/>
                <w:sz w:val="28"/>
                <w:szCs w:val="28"/>
                <w:u w:val="single"/>
                <w:lang w:val="en-US" w:eastAsia="zh-CN"/>
              </w:rPr>
              <w:t>23</w:t>
            </w:r>
            <w:r>
              <w:rPr>
                <w:rFonts w:hint="eastAsia" w:eastAsia="宋体"/>
                <w:sz w:val="28"/>
                <w:szCs w:val="28"/>
              </w:rPr>
              <w:t>日</w:t>
            </w:r>
            <w:r>
              <w:rPr>
                <w:rFonts w:hint="eastAsia" w:eastAsia="宋体"/>
                <w:sz w:val="28"/>
                <w:szCs w:val="28"/>
                <w:u w:val="single"/>
              </w:rPr>
              <w:t xml:space="preserve">  </w:t>
            </w:r>
            <w:r>
              <w:rPr>
                <w:rFonts w:hint="eastAsia" w:eastAsia="宋体"/>
                <w:sz w:val="28"/>
                <w:szCs w:val="28"/>
                <w:u w:val="single"/>
                <w:lang w:val="en-US" w:eastAsia="zh-CN"/>
              </w:rPr>
              <w:t>09</w:t>
            </w:r>
            <w:r>
              <w:rPr>
                <w:rFonts w:hint="eastAsia" w:eastAsia="宋体"/>
                <w:sz w:val="28"/>
                <w:szCs w:val="28"/>
              </w:rPr>
              <w:t>时</w:t>
            </w:r>
            <w:r>
              <w:rPr>
                <w:rFonts w:hint="eastAsia" w:eastAsia="宋体"/>
                <w:sz w:val="28"/>
                <w:szCs w:val="28"/>
                <w:u w:val="single"/>
                <w:lang w:val="en-US" w:eastAsia="zh-CN"/>
              </w:rPr>
              <w:t>30</w:t>
            </w:r>
            <w:r>
              <w:rPr>
                <w:rFonts w:hint="eastAsia" w:eastAsia="宋体"/>
                <w:sz w:val="28"/>
                <w:szCs w:val="28"/>
              </w:rPr>
              <w:t>分（北京时间）前递交投标文件。</w:t>
            </w:r>
          </w:p>
        </w:tc>
      </w:tr>
    </w:tbl>
    <w:p>
      <w:pPr>
        <w:pStyle w:val="6"/>
        <w:keepNext w:val="0"/>
        <w:numPr>
          <w:ilvl w:val="3"/>
          <w:numId w:val="0"/>
        </w:numPr>
        <w:spacing w:before="150" w:after="0" w:line="360" w:lineRule="auto"/>
        <w:textAlignment w:val="baseline"/>
        <w:rPr>
          <w:rFonts w:ascii="宋体" w:hAnsi="宋体" w:eastAsia="宋体" w:cs="宋体"/>
        </w:rPr>
      </w:pPr>
      <w:r>
        <w:rPr>
          <w:rFonts w:hint="eastAsia" w:ascii="宋体" w:hAnsi="宋体" w:eastAsia="宋体" w:cs="宋体"/>
        </w:rPr>
        <w:t>一、项目基本情况</w:t>
      </w:r>
    </w:p>
    <w:p>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项目编号：ZMZB2022ZYYY-200</w:t>
      </w:r>
    </w:p>
    <w:p>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项目名称：南院区DR、胃肠DR及X线骨密度仪项目</w:t>
      </w:r>
    </w:p>
    <w:p>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采购方式：公开招标</w:t>
      </w:r>
    </w:p>
    <w:p>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预算金额：5400000.00元</w:t>
      </w:r>
    </w:p>
    <w:p>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采购需求：</w:t>
      </w:r>
    </w:p>
    <w:p>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合同包1(南院区DR、胃肠DR及X线骨密度仪项目):</w:t>
      </w:r>
    </w:p>
    <w:p>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合同包预算金额：5400000.00元</w:t>
      </w:r>
    </w:p>
    <w:p>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合同包最高限价：5400000.00元</w:t>
      </w:r>
    </w:p>
    <w:tbl>
      <w:tblPr>
        <w:tblStyle w:val="36"/>
        <w:tblW w:w="9985" w:type="dxa"/>
        <w:jc w:val="center"/>
        <w:tblLayout w:type="fixed"/>
        <w:tblCellMar>
          <w:top w:w="0" w:type="dxa"/>
          <w:left w:w="0" w:type="dxa"/>
          <w:bottom w:w="0" w:type="dxa"/>
          <w:right w:w="0" w:type="dxa"/>
        </w:tblCellMar>
      </w:tblPr>
      <w:tblGrid>
        <w:gridCol w:w="1037"/>
        <w:gridCol w:w="1384"/>
        <w:gridCol w:w="1559"/>
        <w:gridCol w:w="1095"/>
        <w:gridCol w:w="1350"/>
        <w:gridCol w:w="1768"/>
        <w:gridCol w:w="1792"/>
      </w:tblGrid>
      <w:tr>
        <w:tblPrEx>
          <w:tblCellMar>
            <w:top w:w="0" w:type="dxa"/>
            <w:left w:w="0" w:type="dxa"/>
            <w:bottom w:w="0" w:type="dxa"/>
            <w:right w:w="0" w:type="dxa"/>
          </w:tblCellMar>
        </w:tblPrEx>
        <w:trPr>
          <w:trHeight w:val="1498" w:hRule="atLeast"/>
          <w:tblHeader/>
          <w:jc w:val="center"/>
        </w:trPr>
        <w:tc>
          <w:tcPr>
            <w:tcW w:w="10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1"/>
              <w:shd w:val="clear" w:color="auto" w:fill="FFFFFF"/>
              <w:spacing w:before="0" w:beforeAutospacing="0" w:after="0" w:afterAutospacing="0" w:line="360" w:lineRule="auto"/>
              <w:jc w:val="center"/>
              <w:textAlignment w:val="baseline"/>
              <w:rPr>
                <w:rFonts w:eastAsia="宋体"/>
                <w:sz w:val="28"/>
                <w:szCs w:val="28"/>
              </w:rPr>
            </w:pPr>
            <w:r>
              <w:rPr>
                <w:rFonts w:hint="eastAsia" w:eastAsia="宋体"/>
                <w:sz w:val="28"/>
                <w:szCs w:val="28"/>
              </w:rPr>
              <w:t>品目号</w:t>
            </w:r>
          </w:p>
        </w:tc>
        <w:tc>
          <w:tcPr>
            <w:tcW w:w="13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1"/>
              <w:shd w:val="clear" w:color="auto" w:fill="FFFFFF"/>
              <w:spacing w:before="0" w:beforeAutospacing="0" w:after="0" w:afterAutospacing="0" w:line="360" w:lineRule="auto"/>
              <w:textAlignment w:val="baseline"/>
              <w:rPr>
                <w:rFonts w:eastAsia="宋体"/>
                <w:sz w:val="28"/>
                <w:szCs w:val="28"/>
              </w:rPr>
            </w:pPr>
            <w:r>
              <w:rPr>
                <w:rFonts w:hint="eastAsia" w:eastAsia="宋体"/>
                <w:sz w:val="28"/>
                <w:szCs w:val="28"/>
              </w:rPr>
              <w:t>品目</w:t>
            </w:r>
          </w:p>
          <w:p>
            <w:pPr>
              <w:pStyle w:val="31"/>
              <w:shd w:val="clear" w:color="auto" w:fill="FFFFFF"/>
              <w:spacing w:before="0" w:beforeAutospacing="0" w:after="0" w:afterAutospacing="0" w:line="360" w:lineRule="auto"/>
              <w:textAlignment w:val="baseline"/>
              <w:rPr>
                <w:rFonts w:eastAsia="宋体"/>
                <w:sz w:val="28"/>
                <w:szCs w:val="28"/>
              </w:rPr>
            </w:pPr>
            <w:r>
              <w:rPr>
                <w:rFonts w:hint="eastAsia" w:eastAsia="宋体"/>
                <w:sz w:val="28"/>
                <w:szCs w:val="28"/>
              </w:rPr>
              <w:t>名称</w:t>
            </w:r>
          </w:p>
        </w:tc>
        <w:tc>
          <w:tcPr>
            <w:tcW w:w="15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1"/>
              <w:shd w:val="clear" w:color="auto" w:fill="FFFFFF"/>
              <w:spacing w:before="0" w:beforeAutospacing="0" w:after="0" w:afterAutospacing="0" w:line="360" w:lineRule="auto"/>
              <w:jc w:val="center"/>
              <w:textAlignment w:val="baseline"/>
              <w:rPr>
                <w:rFonts w:eastAsia="宋体"/>
                <w:sz w:val="28"/>
                <w:szCs w:val="28"/>
              </w:rPr>
            </w:pPr>
            <w:r>
              <w:rPr>
                <w:rFonts w:hint="eastAsia" w:eastAsia="宋体"/>
                <w:sz w:val="28"/>
                <w:szCs w:val="28"/>
              </w:rPr>
              <w:t>采购标的</w:t>
            </w:r>
          </w:p>
        </w:tc>
        <w:tc>
          <w:tcPr>
            <w:tcW w:w="10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1"/>
              <w:shd w:val="clear" w:color="auto" w:fill="FFFFFF"/>
              <w:spacing w:before="0" w:beforeAutospacing="0" w:after="0" w:afterAutospacing="0" w:line="360" w:lineRule="auto"/>
              <w:jc w:val="center"/>
              <w:textAlignment w:val="baseline"/>
              <w:rPr>
                <w:rFonts w:eastAsia="宋体"/>
                <w:sz w:val="28"/>
                <w:szCs w:val="28"/>
              </w:rPr>
            </w:pPr>
            <w:r>
              <w:rPr>
                <w:rFonts w:hint="eastAsia" w:eastAsia="宋体"/>
                <w:sz w:val="28"/>
                <w:szCs w:val="28"/>
              </w:rPr>
              <w:t>数量</w:t>
            </w:r>
          </w:p>
          <w:p>
            <w:pPr>
              <w:pStyle w:val="31"/>
              <w:shd w:val="clear" w:color="auto" w:fill="FFFFFF"/>
              <w:spacing w:before="0" w:beforeAutospacing="0" w:after="0" w:afterAutospacing="0" w:line="360" w:lineRule="auto"/>
              <w:jc w:val="center"/>
              <w:textAlignment w:val="baseline"/>
              <w:rPr>
                <w:rFonts w:eastAsia="宋体"/>
                <w:sz w:val="28"/>
                <w:szCs w:val="28"/>
              </w:rPr>
            </w:pPr>
            <w:r>
              <w:rPr>
                <w:rFonts w:hint="eastAsia" w:eastAsia="宋体"/>
                <w:sz w:val="28"/>
                <w:szCs w:val="28"/>
              </w:rPr>
              <w:t>（单位）</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1"/>
              <w:shd w:val="clear" w:color="auto" w:fill="FFFFFF"/>
              <w:spacing w:before="0" w:beforeAutospacing="0" w:after="0" w:afterAutospacing="0" w:line="360" w:lineRule="auto"/>
              <w:jc w:val="center"/>
              <w:textAlignment w:val="baseline"/>
              <w:rPr>
                <w:rFonts w:eastAsia="宋体"/>
                <w:sz w:val="28"/>
                <w:szCs w:val="28"/>
              </w:rPr>
            </w:pPr>
            <w:r>
              <w:rPr>
                <w:rFonts w:hint="eastAsia" w:eastAsia="宋体"/>
                <w:sz w:val="28"/>
                <w:szCs w:val="28"/>
              </w:rPr>
              <w:t>技术规格、参数及要求</w:t>
            </w:r>
          </w:p>
        </w:tc>
        <w:tc>
          <w:tcPr>
            <w:tcW w:w="17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1"/>
              <w:shd w:val="clear" w:color="auto" w:fill="FFFFFF"/>
              <w:spacing w:before="0" w:beforeAutospacing="0" w:after="0" w:afterAutospacing="0" w:line="360" w:lineRule="auto"/>
              <w:jc w:val="center"/>
              <w:textAlignment w:val="baseline"/>
              <w:rPr>
                <w:rFonts w:eastAsia="宋体"/>
                <w:sz w:val="28"/>
                <w:szCs w:val="28"/>
              </w:rPr>
            </w:pPr>
            <w:r>
              <w:rPr>
                <w:rFonts w:hint="eastAsia" w:eastAsia="宋体"/>
                <w:sz w:val="28"/>
                <w:szCs w:val="28"/>
              </w:rPr>
              <w:t>品目预算(元)</w:t>
            </w:r>
          </w:p>
        </w:tc>
        <w:tc>
          <w:tcPr>
            <w:tcW w:w="17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1"/>
              <w:shd w:val="clear" w:color="auto" w:fill="FFFFFF"/>
              <w:spacing w:before="0" w:beforeAutospacing="0" w:after="0" w:afterAutospacing="0" w:line="360" w:lineRule="auto"/>
              <w:jc w:val="center"/>
              <w:textAlignment w:val="baseline"/>
              <w:rPr>
                <w:rFonts w:eastAsia="宋体"/>
                <w:sz w:val="28"/>
                <w:szCs w:val="28"/>
              </w:rPr>
            </w:pPr>
            <w:r>
              <w:rPr>
                <w:rFonts w:hint="eastAsia" w:eastAsia="宋体"/>
                <w:sz w:val="28"/>
                <w:szCs w:val="28"/>
              </w:rPr>
              <w:t>最高限价(元)</w:t>
            </w:r>
          </w:p>
        </w:tc>
      </w:tr>
      <w:tr>
        <w:tblPrEx>
          <w:tblCellMar>
            <w:top w:w="0" w:type="dxa"/>
            <w:left w:w="0" w:type="dxa"/>
            <w:bottom w:w="0" w:type="dxa"/>
            <w:right w:w="0" w:type="dxa"/>
          </w:tblCellMar>
        </w:tblPrEx>
        <w:trPr>
          <w:trHeight w:val="1170" w:hRule="atLeast"/>
          <w:jc w:val="center"/>
        </w:trPr>
        <w:tc>
          <w:tcPr>
            <w:tcW w:w="10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1"/>
              <w:shd w:val="clear" w:color="auto" w:fill="FFFFFF"/>
              <w:spacing w:before="0" w:beforeAutospacing="0" w:after="0" w:afterAutospacing="0" w:line="360" w:lineRule="auto"/>
              <w:jc w:val="center"/>
              <w:textAlignment w:val="baseline"/>
              <w:rPr>
                <w:rFonts w:eastAsia="宋体"/>
                <w:sz w:val="28"/>
                <w:szCs w:val="28"/>
              </w:rPr>
            </w:pPr>
            <w:r>
              <w:rPr>
                <w:rFonts w:hint="eastAsia" w:eastAsia="宋体"/>
                <w:sz w:val="28"/>
                <w:szCs w:val="28"/>
              </w:rPr>
              <w:t>1-1</w:t>
            </w:r>
          </w:p>
        </w:tc>
        <w:tc>
          <w:tcPr>
            <w:tcW w:w="13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leftChars="0" w:right="0" w:rightChars="0" w:firstLine="0" w:firstLineChars="0"/>
              <w:jc w:val="left"/>
              <w:textAlignment w:val="center"/>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医用X线设备</w:t>
            </w:r>
          </w:p>
        </w:tc>
        <w:tc>
          <w:tcPr>
            <w:tcW w:w="15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leftChars="0" w:right="0" w:rightChars="0" w:firstLine="0" w:firstLineChars="0"/>
              <w:jc w:val="left"/>
              <w:textAlignment w:val="center"/>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DR、胃肠DR、X线骨密度仪</w:t>
            </w:r>
          </w:p>
        </w:tc>
        <w:tc>
          <w:tcPr>
            <w:tcW w:w="10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1"/>
              <w:shd w:val="clear" w:color="auto" w:fill="FFFFFF"/>
              <w:spacing w:before="0" w:beforeAutospacing="0" w:after="0" w:afterAutospacing="0" w:line="360" w:lineRule="auto"/>
              <w:jc w:val="center"/>
              <w:textAlignment w:val="baseline"/>
              <w:rPr>
                <w:rFonts w:eastAsia="宋体"/>
                <w:sz w:val="28"/>
                <w:szCs w:val="28"/>
              </w:rPr>
            </w:pPr>
            <w:r>
              <w:rPr>
                <w:rFonts w:hint="eastAsia" w:eastAsia="宋体"/>
                <w:sz w:val="28"/>
                <w:szCs w:val="28"/>
              </w:rPr>
              <w:t>1（</w:t>
            </w:r>
            <w:r>
              <w:rPr>
                <w:rFonts w:hint="eastAsia" w:eastAsia="宋体"/>
                <w:sz w:val="28"/>
                <w:szCs w:val="28"/>
                <w:lang w:eastAsia="zh-CN"/>
              </w:rPr>
              <w:t>批</w:t>
            </w:r>
            <w:r>
              <w:rPr>
                <w:rFonts w:hint="eastAsia" w:eastAsia="宋体"/>
                <w:sz w:val="28"/>
                <w:szCs w:val="28"/>
              </w:rPr>
              <w:t>）</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1"/>
              <w:shd w:val="clear" w:color="auto" w:fill="FFFFFF"/>
              <w:spacing w:before="0" w:beforeAutospacing="0" w:after="0" w:afterAutospacing="0" w:line="360" w:lineRule="auto"/>
              <w:jc w:val="center"/>
              <w:textAlignment w:val="baseline"/>
              <w:rPr>
                <w:rFonts w:eastAsia="宋体"/>
                <w:sz w:val="28"/>
                <w:szCs w:val="28"/>
              </w:rPr>
            </w:pPr>
            <w:r>
              <w:rPr>
                <w:rFonts w:hint="eastAsia" w:eastAsia="宋体"/>
                <w:sz w:val="28"/>
                <w:szCs w:val="28"/>
              </w:rPr>
              <w:t>详见采购文件</w:t>
            </w:r>
          </w:p>
        </w:tc>
        <w:tc>
          <w:tcPr>
            <w:tcW w:w="17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1"/>
              <w:shd w:val="clear" w:color="auto" w:fill="FFFFFF"/>
              <w:spacing w:before="0" w:beforeAutospacing="0" w:after="0" w:afterAutospacing="0" w:line="360" w:lineRule="auto"/>
              <w:jc w:val="center"/>
              <w:textAlignment w:val="baseline"/>
              <w:rPr>
                <w:rFonts w:eastAsia="宋体"/>
                <w:sz w:val="28"/>
                <w:szCs w:val="28"/>
              </w:rPr>
            </w:pPr>
            <w:r>
              <w:rPr>
                <w:rFonts w:hint="eastAsia" w:eastAsia="宋体"/>
                <w:sz w:val="28"/>
                <w:szCs w:val="28"/>
              </w:rPr>
              <w:t>5400000.00</w:t>
            </w:r>
          </w:p>
        </w:tc>
        <w:tc>
          <w:tcPr>
            <w:tcW w:w="17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1"/>
              <w:shd w:val="clear" w:color="auto" w:fill="FFFFFF"/>
              <w:spacing w:before="0" w:beforeAutospacing="0" w:after="0" w:afterAutospacing="0" w:line="360" w:lineRule="auto"/>
              <w:jc w:val="center"/>
              <w:textAlignment w:val="baseline"/>
              <w:rPr>
                <w:rFonts w:eastAsia="宋体"/>
                <w:sz w:val="28"/>
                <w:szCs w:val="28"/>
              </w:rPr>
            </w:pPr>
            <w:r>
              <w:rPr>
                <w:rFonts w:hint="eastAsia" w:eastAsia="宋体"/>
                <w:sz w:val="28"/>
                <w:szCs w:val="28"/>
              </w:rPr>
              <w:t>5400000.00</w:t>
            </w:r>
          </w:p>
        </w:tc>
      </w:tr>
    </w:tbl>
    <w:p>
      <w:pPr>
        <w:widowControl w:val="0"/>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本合同包不接受联合体投标</w:t>
      </w:r>
    </w:p>
    <w:p>
      <w:pPr>
        <w:widowControl w:val="0"/>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合同履行期限：自合同签订后到该项目</w:t>
      </w:r>
      <w:r>
        <w:rPr>
          <w:rFonts w:hint="eastAsia" w:ascii="宋体" w:hAnsi="宋体" w:eastAsia="宋体" w:cs="宋体"/>
          <w:sz w:val="28"/>
          <w:szCs w:val="28"/>
          <w:lang w:eastAsia="zh-CN"/>
        </w:rPr>
        <w:t>服务</w:t>
      </w:r>
      <w:r>
        <w:rPr>
          <w:rFonts w:hint="eastAsia" w:ascii="宋体" w:hAnsi="宋体" w:eastAsia="宋体" w:cs="宋体"/>
          <w:sz w:val="28"/>
          <w:szCs w:val="28"/>
        </w:rPr>
        <w:t xml:space="preserve">期结束（具体服务起止日期可随合同签订时间相应顺延） </w:t>
      </w:r>
    </w:p>
    <w:p>
      <w:pPr>
        <w:pStyle w:val="6"/>
        <w:keepNext w:val="0"/>
        <w:numPr>
          <w:ilvl w:val="3"/>
          <w:numId w:val="0"/>
        </w:numPr>
        <w:spacing w:before="150" w:after="0" w:line="360" w:lineRule="auto"/>
        <w:textAlignment w:val="baseline"/>
        <w:rPr>
          <w:rFonts w:ascii="宋体" w:hAnsi="宋体" w:eastAsia="宋体" w:cs="宋体"/>
          <w:b w:val="0"/>
          <w:bCs w:val="0"/>
        </w:rPr>
      </w:pPr>
      <w:r>
        <w:rPr>
          <w:rFonts w:hint="eastAsia" w:ascii="宋体" w:hAnsi="宋体" w:eastAsia="宋体" w:cs="宋体"/>
          <w:b w:val="0"/>
          <w:bCs w:val="0"/>
        </w:rPr>
        <w:t>二、申请人的资格要求：</w:t>
      </w:r>
    </w:p>
    <w:p>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1.满足《中华人民共和国政府釆购法》第二十二条规定;</w:t>
      </w:r>
    </w:p>
    <w:p>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2.落实政府采购政策需满足的资格要求：</w:t>
      </w:r>
    </w:p>
    <w:p>
      <w:pPr>
        <w:pStyle w:val="31"/>
        <w:spacing w:before="0" w:beforeAutospacing="0" w:after="0" w:afterAutospacing="0" w:line="360" w:lineRule="auto"/>
        <w:ind w:firstLine="560" w:firstLineChars="200"/>
        <w:jc w:val="both"/>
        <w:textAlignment w:val="baseline"/>
        <w:rPr>
          <w:rFonts w:eastAsia="宋体"/>
          <w:sz w:val="28"/>
          <w:szCs w:val="28"/>
        </w:rPr>
      </w:pPr>
      <w:r>
        <w:rPr>
          <w:rFonts w:hint="eastAsia" w:eastAsia="宋体"/>
          <w:sz w:val="28"/>
          <w:szCs w:val="28"/>
        </w:rPr>
        <w:t>合同包1(南院区DR、胃肠DR及X线骨密度仪项目)落实政府采购政策需满足的资格要求如下:</w:t>
      </w:r>
    </w:p>
    <w:p>
      <w:pPr>
        <w:pStyle w:val="31"/>
        <w:spacing w:before="0" w:beforeAutospacing="0" w:after="0" w:afterAutospacing="0" w:line="360" w:lineRule="auto"/>
        <w:ind w:firstLine="560" w:firstLineChars="200"/>
        <w:jc w:val="both"/>
        <w:textAlignment w:val="baseline"/>
        <w:rPr>
          <w:rFonts w:eastAsia="宋体"/>
          <w:sz w:val="28"/>
          <w:szCs w:val="28"/>
        </w:rPr>
      </w:pPr>
      <w:r>
        <w:rPr>
          <w:rFonts w:hint="eastAsia" w:eastAsia="宋体"/>
          <w:sz w:val="28"/>
          <w:szCs w:val="28"/>
        </w:rPr>
        <w:t>（1）《政府采购促进中小企业发展管理办法》（财库〔2020〕46号）； </w:t>
      </w:r>
      <w:r>
        <w:rPr>
          <w:rFonts w:hint="eastAsia" w:eastAsia="宋体"/>
          <w:sz w:val="28"/>
          <w:szCs w:val="28"/>
        </w:rPr>
        <w:br w:type="textWrapping"/>
      </w:r>
      <w:r>
        <w:rPr>
          <w:rFonts w:hint="eastAsia" w:eastAsia="宋体"/>
          <w:sz w:val="28"/>
          <w:szCs w:val="28"/>
        </w:rPr>
        <w:t xml:space="preserve">   （2）《财政部 司法部关于政府采购支持监狱企业发展有关问题的通知》（财库〔2014〕68号）；</w:t>
      </w:r>
      <w:r>
        <w:rPr>
          <w:rFonts w:hint="eastAsia" w:eastAsia="宋体"/>
          <w:sz w:val="28"/>
          <w:szCs w:val="28"/>
        </w:rPr>
        <w:br w:type="textWrapping"/>
      </w:r>
      <w:r>
        <w:rPr>
          <w:rFonts w:hint="eastAsia" w:eastAsia="宋体"/>
          <w:sz w:val="28"/>
          <w:szCs w:val="28"/>
        </w:rPr>
        <w:t xml:space="preserve">   （3）《国务院办公厅关于建立政府强制采购节能产品制度的通知》（国办发〔2007〕51号）；</w:t>
      </w:r>
      <w:r>
        <w:rPr>
          <w:rFonts w:hint="eastAsia" w:eastAsia="宋体"/>
          <w:sz w:val="28"/>
          <w:szCs w:val="28"/>
        </w:rPr>
        <w:br w:type="textWrapping"/>
      </w:r>
      <w:r>
        <w:rPr>
          <w:rFonts w:hint="eastAsia" w:eastAsia="宋体"/>
          <w:sz w:val="28"/>
          <w:szCs w:val="28"/>
        </w:rPr>
        <w:t xml:space="preserve">   （4）《财政部 国家发展改革委关于印发〈节能产品政府采购实施意见〉的通知》（财库〔2004〕185号）；</w:t>
      </w:r>
      <w:r>
        <w:rPr>
          <w:rFonts w:hint="eastAsia" w:eastAsia="宋体"/>
          <w:sz w:val="28"/>
          <w:szCs w:val="28"/>
        </w:rPr>
        <w:br w:type="textWrapping"/>
      </w:r>
      <w:r>
        <w:rPr>
          <w:rFonts w:hint="eastAsia" w:eastAsia="宋体"/>
          <w:sz w:val="28"/>
          <w:szCs w:val="28"/>
        </w:rPr>
        <w:t xml:space="preserve">   （5）《财政部环保总局关于环境标志产品政府采购实施的意见》（财库〔2006〕90号；</w:t>
      </w:r>
      <w:r>
        <w:rPr>
          <w:rFonts w:hint="eastAsia" w:eastAsia="宋体"/>
          <w:sz w:val="28"/>
          <w:szCs w:val="28"/>
        </w:rPr>
        <w:br w:type="textWrapping"/>
      </w:r>
      <w:r>
        <w:rPr>
          <w:rFonts w:hint="eastAsia" w:eastAsia="宋体"/>
          <w:sz w:val="28"/>
          <w:szCs w:val="28"/>
        </w:rPr>
        <w:t xml:space="preserve">   （6）《三部门联合发布关于促进残疾人就业政府采购政策的通知》（财库〔2017〕141号）。</w:t>
      </w:r>
      <w:r>
        <w:rPr>
          <w:rFonts w:hint="eastAsia" w:eastAsia="宋体"/>
          <w:sz w:val="28"/>
          <w:szCs w:val="28"/>
        </w:rPr>
        <w:br w:type="textWrapping"/>
      </w:r>
      <w:r>
        <w:rPr>
          <w:rFonts w:hint="eastAsia" w:eastAsia="宋体"/>
          <w:sz w:val="28"/>
          <w:szCs w:val="28"/>
        </w:rPr>
        <w:t xml:space="preserve">   （7）《财政部 发展改革委 生态环境部 市场监管总局关于调整优化节能产品、环境标志产品政府采购执行机制的通知》（财库〔2019〕9号）；</w:t>
      </w:r>
      <w:r>
        <w:rPr>
          <w:rFonts w:hint="eastAsia" w:eastAsia="宋体"/>
          <w:sz w:val="28"/>
          <w:szCs w:val="28"/>
        </w:rPr>
        <w:br w:type="textWrapping"/>
      </w:r>
      <w:r>
        <w:rPr>
          <w:rFonts w:hint="eastAsia" w:eastAsia="宋体"/>
          <w:sz w:val="28"/>
          <w:szCs w:val="28"/>
        </w:rPr>
        <w:t xml:space="preserve">   （8）陕西省财政厅关于印发《陕西省中小企业政府采购信用融资办法》（陕财办采〔2018〕23号）。</w:t>
      </w:r>
    </w:p>
    <w:p>
      <w:pPr>
        <w:pStyle w:val="31"/>
        <w:spacing w:before="0" w:beforeAutospacing="0" w:after="0" w:afterAutospacing="0" w:line="360" w:lineRule="auto"/>
        <w:ind w:firstLine="560" w:firstLineChars="200"/>
        <w:jc w:val="both"/>
        <w:textAlignment w:val="baseline"/>
        <w:rPr>
          <w:rFonts w:eastAsia="宋体"/>
          <w:sz w:val="28"/>
          <w:szCs w:val="28"/>
        </w:rPr>
      </w:pPr>
      <w:r>
        <w:rPr>
          <w:rFonts w:hint="eastAsia" w:eastAsia="宋体"/>
          <w:sz w:val="28"/>
          <w:szCs w:val="28"/>
        </w:rPr>
        <w:t>3.本项目的特定资格要求：</w:t>
      </w:r>
    </w:p>
    <w:p>
      <w:pPr>
        <w:pStyle w:val="31"/>
        <w:spacing w:before="0" w:beforeAutospacing="0" w:after="0" w:afterAutospacing="0" w:line="360" w:lineRule="auto"/>
        <w:ind w:firstLine="560" w:firstLineChars="200"/>
        <w:jc w:val="both"/>
        <w:textAlignment w:val="baseline"/>
        <w:rPr>
          <w:rFonts w:eastAsia="宋体"/>
          <w:sz w:val="28"/>
          <w:szCs w:val="28"/>
        </w:rPr>
      </w:pPr>
      <w:r>
        <w:rPr>
          <w:rFonts w:hint="eastAsia" w:eastAsia="宋体"/>
          <w:sz w:val="28"/>
          <w:szCs w:val="28"/>
        </w:rPr>
        <w:t>合同包1(南院区DR、胃肠DR及X线骨密度仪项目)特定资格要求如下:</w:t>
      </w:r>
    </w:p>
    <w:p>
      <w:pPr>
        <w:widowControl w:val="0"/>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（1）具有独立承担民事责任能力的法人、其他组织或自然人，提供合法有效的统一社会信用代码营业执照（事业单位提供事业单位法人证书，自然人应提供身份证）；</w:t>
      </w:r>
      <w:r>
        <w:rPr>
          <w:rFonts w:hint="eastAsia" w:ascii="宋体" w:hAnsi="宋体" w:eastAsia="宋体" w:cs="宋体"/>
          <w:sz w:val="28"/>
          <w:szCs w:val="28"/>
        </w:rPr>
        <w:br w:type="textWrapping"/>
      </w:r>
      <w:r>
        <w:rPr>
          <w:rFonts w:hint="eastAsia" w:ascii="宋体" w:hAnsi="宋体" w:eastAsia="宋体" w:cs="宋体"/>
          <w:sz w:val="28"/>
          <w:szCs w:val="28"/>
        </w:rPr>
        <w:t xml:space="preserve">   （2）财务状况证明：供应商提供2020年度或2021年度经审计完整的财务审计报告（成立时间至提交投标文件截止时间不足一年的可提供成立后任意时段的资产负债表），或其开标前三个月内银行出具的资信证明，或财政部门认可的政府采购专业担保机构出具的投标担保函；</w:t>
      </w:r>
      <w:r>
        <w:rPr>
          <w:rFonts w:hint="eastAsia" w:ascii="宋体" w:hAnsi="宋体" w:eastAsia="宋体" w:cs="宋体"/>
          <w:sz w:val="28"/>
          <w:szCs w:val="28"/>
        </w:rPr>
        <w:br w:type="textWrapping"/>
      </w:r>
      <w:r>
        <w:rPr>
          <w:rFonts w:hint="eastAsia" w:ascii="宋体" w:hAnsi="宋体" w:eastAsia="宋体" w:cs="宋体"/>
          <w:sz w:val="28"/>
          <w:szCs w:val="28"/>
        </w:rPr>
        <w:t xml:space="preserve">  （3）具有履行合同所必需的设备和专业技术能力的书面声明；</w:t>
      </w:r>
      <w:r>
        <w:rPr>
          <w:rFonts w:hint="eastAsia" w:ascii="宋体" w:hAnsi="宋体" w:eastAsia="宋体" w:cs="宋体"/>
          <w:sz w:val="28"/>
          <w:szCs w:val="28"/>
        </w:rPr>
        <w:br w:type="textWrapping"/>
      </w:r>
      <w:r>
        <w:rPr>
          <w:rFonts w:hint="eastAsia" w:ascii="宋体" w:hAnsi="宋体" w:eastAsia="宋体" w:cs="宋体"/>
          <w:sz w:val="28"/>
          <w:szCs w:val="28"/>
        </w:rPr>
        <w:t xml:space="preserve">  （4）税收缴纳证明：提供2022年1月以来至少一个月的纳税证明或完税证明，依法免税的单位应提供相关证明材料； </w:t>
      </w:r>
      <w:r>
        <w:rPr>
          <w:rFonts w:hint="eastAsia" w:ascii="宋体" w:hAnsi="宋体" w:eastAsia="宋体" w:cs="宋体"/>
          <w:sz w:val="28"/>
          <w:szCs w:val="28"/>
        </w:rPr>
        <w:br w:type="textWrapping"/>
      </w:r>
      <w:r>
        <w:rPr>
          <w:rFonts w:hint="eastAsia" w:ascii="宋体" w:hAnsi="宋体" w:eastAsia="宋体" w:cs="宋体"/>
          <w:sz w:val="28"/>
          <w:szCs w:val="28"/>
        </w:rPr>
        <w:t xml:space="preserve">  （5）社会保障资金缴纳证明：提供2022年1月以来至少一个月的社会保障资金缴存单据或社保机构开具的社会保险参保缴费情况证明。依法不需要缴纳社会保障资金的供应商应提供相关文件证明；</w:t>
      </w:r>
      <w:r>
        <w:rPr>
          <w:rFonts w:hint="eastAsia" w:ascii="宋体" w:hAnsi="宋体" w:eastAsia="宋体" w:cs="宋体"/>
          <w:sz w:val="28"/>
          <w:szCs w:val="28"/>
        </w:rPr>
        <w:br w:type="textWrapping"/>
      </w:r>
      <w:r>
        <w:rPr>
          <w:rFonts w:hint="eastAsia" w:ascii="宋体" w:hAnsi="宋体" w:eastAsia="宋体" w:cs="宋体"/>
          <w:sz w:val="28"/>
          <w:szCs w:val="28"/>
        </w:rPr>
        <w:t xml:space="preserve">  （6）参加政府采购活动前3年内在经营活动中没有重大违法记录的书面声明；</w:t>
      </w:r>
      <w:r>
        <w:rPr>
          <w:rFonts w:hint="eastAsia" w:ascii="宋体" w:hAnsi="宋体" w:eastAsia="宋体" w:cs="宋体"/>
          <w:sz w:val="28"/>
          <w:szCs w:val="28"/>
        </w:rPr>
        <w:br w:type="textWrapping"/>
      </w:r>
      <w:r>
        <w:rPr>
          <w:rFonts w:hint="eastAsia" w:ascii="宋体" w:hAnsi="宋体" w:eastAsia="宋体" w:cs="宋体"/>
          <w:sz w:val="28"/>
          <w:szCs w:val="28"/>
        </w:rPr>
        <w:t xml:space="preserve">  （7）非法定代表人参加投标的，须提供法定代表人委托授权书及被授权人身份证，法定代表人参加投标时,只需提供法定代表人身份证； </w:t>
      </w:r>
      <w:r>
        <w:rPr>
          <w:rFonts w:hint="eastAsia" w:ascii="宋体" w:hAnsi="宋体" w:eastAsia="宋体" w:cs="宋体"/>
          <w:sz w:val="28"/>
          <w:szCs w:val="28"/>
        </w:rPr>
        <w:br w:type="textWrapping"/>
      </w:r>
      <w:r>
        <w:rPr>
          <w:rFonts w:hint="eastAsia" w:ascii="宋体" w:hAnsi="宋体" w:eastAsia="宋体" w:cs="宋体"/>
          <w:sz w:val="28"/>
          <w:szCs w:val="28"/>
        </w:rPr>
        <w:t xml:space="preserve">   （8）供应商须提供医疗器械经营许可证或备案凭证（所投产品须在其经营范围内）和所投产品的医疗器械产品注册证及其附件或备案凭证（供应商若为生产商提供医疗器械生产许可证）；</w:t>
      </w:r>
      <w:r>
        <w:rPr>
          <w:rFonts w:hint="eastAsia" w:ascii="宋体" w:hAnsi="宋体" w:eastAsia="宋体" w:cs="宋体"/>
          <w:sz w:val="28"/>
          <w:szCs w:val="28"/>
        </w:rPr>
        <w:br w:type="textWrapping"/>
      </w:r>
      <w:r>
        <w:rPr>
          <w:rFonts w:hint="eastAsia" w:ascii="宋体" w:hAnsi="宋体" w:eastAsia="宋体" w:cs="宋体"/>
          <w:sz w:val="28"/>
          <w:szCs w:val="28"/>
        </w:rPr>
        <w:t xml:space="preserve">    （9）本项目不接受联合体投标。</w:t>
      </w:r>
    </w:p>
    <w:p>
      <w:pPr>
        <w:pStyle w:val="6"/>
        <w:keepNext w:val="0"/>
        <w:numPr>
          <w:ilvl w:val="3"/>
          <w:numId w:val="0"/>
        </w:numPr>
        <w:spacing w:before="150" w:after="0" w:line="360" w:lineRule="auto"/>
        <w:textAlignment w:val="baseline"/>
        <w:rPr>
          <w:rFonts w:ascii="宋体" w:hAnsi="宋体" w:eastAsia="宋体" w:cs="宋体"/>
          <w:b w:val="0"/>
          <w:bCs w:val="0"/>
        </w:rPr>
      </w:pPr>
      <w:r>
        <w:rPr>
          <w:rFonts w:hint="eastAsia" w:ascii="宋体" w:hAnsi="宋体" w:eastAsia="宋体" w:cs="宋体"/>
          <w:b w:val="0"/>
          <w:bCs w:val="0"/>
        </w:rPr>
        <w:t>三、获取招标文件</w:t>
      </w:r>
    </w:p>
    <w:p>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时间：2022年</w:t>
      </w:r>
      <w:r>
        <w:rPr>
          <w:rFonts w:hint="eastAsia" w:eastAsia="宋体"/>
          <w:sz w:val="28"/>
          <w:szCs w:val="28"/>
          <w:u w:val="single"/>
          <w:lang w:val="en-US" w:eastAsia="zh-CN"/>
        </w:rPr>
        <w:t>08</w:t>
      </w:r>
      <w:r>
        <w:rPr>
          <w:rFonts w:hint="eastAsia" w:eastAsia="宋体"/>
          <w:sz w:val="28"/>
          <w:szCs w:val="28"/>
        </w:rPr>
        <w:t>月</w:t>
      </w:r>
      <w:r>
        <w:rPr>
          <w:rFonts w:hint="eastAsia" w:eastAsia="宋体"/>
          <w:sz w:val="28"/>
          <w:szCs w:val="28"/>
          <w:u w:val="single"/>
          <w:lang w:val="en-US" w:eastAsia="zh-CN"/>
        </w:rPr>
        <w:t>01</w:t>
      </w:r>
      <w:r>
        <w:rPr>
          <w:rFonts w:hint="eastAsia" w:eastAsia="宋体"/>
          <w:sz w:val="28"/>
          <w:szCs w:val="28"/>
        </w:rPr>
        <w:t>日至2022年</w:t>
      </w:r>
      <w:r>
        <w:rPr>
          <w:rFonts w:hint="eastAsia" w:eastAsia="宋体"/>
          <w:sz w:val="28"/>
          <w:szCs w:val="28"/>
          <w:u w:val="single"/>
          <w:lang w:val="en-US" w:eastAsia="zh-CN"/>
        </w:rPr>
        <w:t>08</w:t>
      </w:r>
      <w:r>
        <w:rPr>
          <w:rFonts w:hint="eastAsia" w:eastAsia="宋体"/>
          <w:sz w:val="28"/>
          <w:szCs w:val="28"/>
        </w:rPr>
        <w:t>月</w:t>
      </w:r>
      <w:r>
        <w:rPr>
          <w:rFonts w:hint="eastAsia" w:eastAsia="宋体"/>
          <w:sz w:val="28"/>
          <w:szCs w:val="28"/>
          <w:u w:val="single"/>
          <w:lang w:val="en-US" w:eastAsia="zh-CN"/>
        </w:rPr>
        <w:t>05</w:t>
      </w:r>
      <w:r>
        <w:rPr>
          <w:rFonts w:hint="eastAsia" w:eastAsia="宋体"/>
          <w:sz w:val="28"/>
          <w:szCs w:val="28"/>
        </w:rPr>
        <w:t>日，每天上午00:00:00至11:59:59，下午12:00:00至23:59:59（北京时间,法定节假日除外）</w:t>
      </w:r>
    </w:p>
    <w:p>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地点：全国公共资源交易平台（陕西省·西安市）网站〖首页〉电子交易平台〉陕西政府采购交易系统〉企业端〗。</w:t>
      </w:r>
    </w:p>
    <w:p>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方式：在线获取</w:t>
      </w:r>
    </w:p>
    <w:p>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售价：免费获取</w:t>
      </w:r>
    </w:p>
    <w:p>
      <w:pPr>
        <w:pStyle w:val="6"/>
        <w:keepNext w:val="0"/>
        <w:numPr>
          <w:ilvl w:val="3"/>
          <w:numId w:val="0"/>
        </w:numPr>
        <w:spacing w:before="150" w:after="0" w:line="360" w:lineRule="auto"/>
        <w:textAlignment w:val="baseline"/>
        <w:rPr>
          <w:rFonts w:ascii="宋体" w:hAnsi="宋体" w:eastAsia="宋体" w:cs="宋体"/>
          <w:b w:val="0"/>
          <w:bCs w:val="0"/>
        </w:rPr>
      </w:pPr>
      <w:r>
        <w:rPr>
          <w:rFonts w:hint="eastAsia" w:ascii="宋体" w:hAnsi="宋体" w:eastAsia="宋体" w:cs="宋体"/>
          <w:b w:val="0"/>
          <w:bCs w:val="0"/>
        </w:rPr>
        <w:t>四、提交投标文件截止时间、开标时间和地点</w:t>
      </w:r>
    </w:p>
    <w:p>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2022年</w:t>
      </w:r>
      <w:r>
        <w:rPr>
          <w:rFonts w:hint="eastAsia" w:eastAsia="宋体"/>
          <w:sz w:val="28"/>
          <w:szCs w:val="28"/>
          <w:u w:val="single"/>
          <w:lang w:val="en-US" w:eastAsia="zh-CN"/>
        </w:rPr>
        <w:t>08</w:t>
      </w:r>
      <w:r>
        <w:rPr>
          <w:rFonts w:hint="eastAsia" w:eastAsia="宋体"/>
          <w:sz w:val="28"/>
          <w:szCs w:val="28"/>
        </w:rPr>
        <w:t>月</w:t>
      </w:r>
      <w:r>
        <w:rPr>
          <w:rFonts w:hint="eastAsia" w:eastAsia="宋体"/>
          <w:sz w:val="28"/>
          <w:szCs w:val="28"/>
          <w:u w:val="single"/>
          <w:lang w:val="en-US" w:eastAsia="zh-CN"/>
        </w:rPr>
        <w:t>23</w:t>
      </w:r>
      <w:r>
        <w:rPr>
          <w:rFonts w:hint="eastAsia" w:eastAsia="宋体"/>
          <w:sz w:val="28"/>
          <w:szCs w:val="28"/>
        </w:rPr>
        <w:t>日</w:t>
      </w:r>
      <w:r>
        <w:rPr>
          <w:rFonts w:hint="eastAsia" w:eastAsia="宋体"/>
          <w:sz w:val="28"/>
          <w:szCs w:val="28"/>
          <w:u w:val="single"/>
          <w:lang w:val="en-US" w:eastAsia="zh-CN"/>
        </w:rPr>
        <w:t>09</w:t>
      </w:r>
      <w:r>
        <w:rPr>
          <w:rFonts w:hint="eastAsia" w:eastAsia="宋体"/>
          <w:sz w:val="28"/>
          <w:szCs w:val="28"/>
        </w:rPr>
        <w:t>时</w:t>
      </w:r>
      <w:r>
        <w:rPr>
          <w:rFonts w:hint="eastAsia" w:eastAsia="宋体"/>
          <w:sz w:val="28"/>
          <w:szCs w:val="28"/>
          <w:u w:val="single"/>
          <w:lang w:val="en-US" w:eastAsia="zh-CN"/>
        </w:rPr>
        <w:t>30</w:t>
      </w:r>
      <w:r>
        <w:rPr>
          <w:rFonts w:hint="eastAsia" w:eastAsia="宋体"/>
          <w:sz w:val="28"/>
          <w:szCs w:val="28"/>
        </w:rPr>
        <w:t>分00秒 （北京时间）</w:t>
      </w:r>
    </w:p>
    <w:p>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地点：全国公共资源交易平台（陕西省·西安市）网站〖首页〉电子交易平台〉陕西政府采购交易系统〉企业端〗，在线提交。</w:t>
      </w:r>
    </w:p>
    <w:p>
      <w:pPr>
        <w:pStyle w:val="6"/>
        <w:keepNext w:val="0"/>
        <w:numPr>
          <w:ilvl w:val="3"/>
          <w:numId w:val="0"/>
        </w:numPr>
        <w:spacing w:before="150" w:after="0" w:line="360" w:lineRule="auto"/>
        <w:textAlignment w:val="baseline"/>
        <w:rPr>
          <w:rFonts w:ascii="宋体" w:hAnsi="宋体" w:eastAsia="宋体" w:cs="宋体"/>
          <w:b w:val="0"/>
          <w:bCs w:val="0"/>
        </w:rPr>
      </w:pPr>
      <w:r>
        <w:rPr>
          <w:rFonts w:hint="eastAsia" w:ascii="宋体" w:hAnsi="宋体" w:eastAsia="宋体" w:cs="宋体"/>
          <w:b w:val="0"/>
          <w:bCs w:val="0"/>
        </w:rPr>
        <w:t>五、公告期限</w:t>
      </w:r>
    </w:p>
    <w:p>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自本公告发布之日起5个工作日。</w:t>
      </w:r>
    </w:p>
    <w:p>
      <w:pPr>
        <w:pStyle w:val="6"/>
        <w:keepNext w:val="0"/>
        <w:numPr>
          <w:ilvl w:val="3"/>
          <w:numId w:val="0"/>
        </w:numPr>
        <w:spacing w:before="150" w:after="0" w:line="360" w:lineRule="auto"/>
        <w:textAlignment w:val="baseline"/>
        <w:rPr>
          <w:rFonts w:ascii="宋体" w:hAnsi="宋体" w:eastAsia="宋体" w:cs="宋体"/>
          <w:b w:val="0"/>
          <w:bCs w:val="0"/>
        </w:rPr>
      </w:pPr>
      <w:r>
        <w:rPr>
          <w:rFonts w:hint="eastAsia" w:ascii="宋体" w:hAnsi="宋体" w:eastAsia="宋体" w:cs="宋体"/>
          <w:b w:val="0"/>
          <w:bCs w:val="0"/>
        </w:rPr>
        <w:t>六、其他补充事宜</w:t>
      </w:r>
    </w:p>
    <w:p>
      <w:pPr>
        <w:pStyle w:val="31"/>
        <w:spacing w:before="150" w:beforeAutospacing="0" w:after="0" w:afterAutospacing="0" w:line="360" w:lineRule="auto"/>
        <w:ind w:firstLine="480"/>
        <w:textAlignment w:val="baseline"/>
        <w:rPr>
          <w:rFonts w:eastAsia="宋体"/>
          <w:sz w:val="28"/>
          <w:szCs w:val="28"/>
        </w:rPr>
      </w:pPr>
      <w:r>
        <w:rPr>
          <w:rFonts w:hint="eastAsia" w:eastAsia="宋体"/>
          <w:sz w:val="28"/>
          <w:szCs w:val="28"/>
        </w:rPr>
        <w:t>本项目开标地点：西安市未央区文景北路16号白桦林国际B座</w:t>
      </w:r>
      <w:r>
        <w:rPr>
          <w:rFonts w:hint="eastAsia" w:eastAsia="宋体"/>
          <w:sz w:val="28"/>
          <w:szCs w:val="28"/>
          <w:highlight w:val="none"/>
        </w:rPr>
        <w:t>五层</w:t>
      </w:r>
      <w:r>
        <w:rPr>
          <w:rFonts w:hint="eastAsia" w:eastAsia="宋体"/>
          <w:sz w:val="28"/>
          <w:szCs w:val="28"/>
          <w:highlight w:val="none"/>
          <w:lang w:val="en-US" w:eastAsia="zh-CN"/>
        </w:rPr>
        <w:t>505</w:t>
      </w:r>
      <w:r>
        <w:rPr>
          <w:rFonts w:hint="eastAsia" w:eastAsia="宋体"/>
          <w:sz w:val="28"/>
          <w:szCs w:val="28"/>
          <w:highlight w:val="none"/>
        </w:rPr>
        <w:t>室</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注：（1）本项目为电子化政府采购项目，供应商初次使用电子交易平台时,请先阅读 【全国公共资源交易平台(陕西省·西安市)】 (http://sxggzyjy.xa.gov.cn/)网站〖首页〉服务指南〉下载专区〗中的《西安市市级单位电子化政府采购项目投标指南》,并按要求完成诚信入库登记、CA认证及企业信息绑定。</w:t>
      </w:r>
    </w:p>
    <w:p>
      <w:pPr>
        <w:numPr>
          <w:ilvl w:val="0"/>
          <w:numId w:val="2"/>
        </w:num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o2-f996-4928-951e-545dab02e53c.htm1</w:t>
      </w:r>
    </w:p>
    <w:p>
      <w:pPr>
        <w:spacing w:line="560" w:lineRule="exact"/>
        <w:ind w:firstLine="560" w:firstLineChars="200"/>
        <w:jc w:val="both"/>
        <w:rPr>
          <w:rFonts w:ascii="宋体" w:hAnsi="宋体" w:eastAsia="宋体" w:cs="宋体"/>
          <w:color w:val="FF0000"/>
          <w:sz w:val="28"/>
          <w:szCs w:val="28"/>
        </w:rPr>
      </w:pPr>
      <w:r>
        <w:rPr>
          <w:rFonts w:hint="eastAsia" w:ascii="宋体" w:hAnsi="宋体" w:eastAsia="宋体" w:cs="宋体"/>
          <w:sz w:val="28"/>
          <w:szCs w:val="28"/>
        </w:rPr>
        <w:t>（3）请供应商务必及时下载项目招标文件并做好备份,否则会影响投标文件编制及后续投标活动。</w:t>
      </w:r>
    </w:p>
    <w:p>
      <w:pPr>
        <w:pStyle w:val="6"/>
        <w:numPr>
          <w:ilvl w:val="3"/>
          <w:numId w:val="0"/>
        </w:numPr>
        <w:spacing w:line="560" w:lineRule="exact"/>
        <w:ind w:firstLine="560" w:firstLineChars="200"/>
        <w:rPr>
          <w:rFonts w:ascii="宋体" w:hAnsi="宋体" w:eastAsia="宋体" w:cs="宋体"/>
          <w:b w:val="0"/>
          <w:bCs w:val="0"/>
        </w:rPr>
      </w:pPr>
      <w:r>
        <w:rPr>
          <w:rFonts w:hint="eastAsia" w:ascii="宋体" w:hAnsi="宋体" w:eastAsia="宋体" w:cs="宋体"/>
          <w:b w:val="0"/>
          <w:bCs w:val="0"/>
        </w:rPr>
        <w:t xml:space="preserve">（4）本项目采用“不见面开标”形式,供应商可登录全国公共资源交易平台(陕西省·西安市)网 站 </w:t>
      </w:r>
    </w:p>
    <w:p>
      <w:pPr>
        <w:pStyle w:val="6"/>
        <w:numPr>
          <w:ilvl w:val="3"/>
          <w:numId w:val="0"/>
        </w:numPr>
        <w:spacing w:line="560" w:lineRule="exact"/>
        <w:rPr>
          <w:rFonts w:ascii="宋体" w:hAnsi="宋体" w:eastAsia="宋体" w:cs="宋体"/>
          <w:b w:val="0"/>
          <w:bCs w:val="0"/>
        </w:rPr>
      </w:pPr>
      <w:r>
        <w:rPr>
          <w:rFonts w:hint="eastAsia" w:ascii="宋体" w:hAnsi="宋体" w:eastAsia="宋体" w:cs="宋体"/>
          <w:b w:val="0"/>
          <w:bCs w:val="0"/>
        </w:rPr>
        <w:t>〖首页〉不见面开标〗系统,在线参加开标过程。操作手册详见 〖首页〉服务指南〉下载专区〗中的《西安公共资源交易不见面开标大厅供应商操作手册》。</w:t>
      </w:r>
    </w:p>
    <w:p>
      <w:pPr>
        <w:spacing w:line="560" w:lineRule="exact"/>
        <w:ind w:firstLine="560" w:firstLineChars="200"/>
        <w:jc w:val="both"/>
        <w:rPr>
          <w:sz w:val="28"/>
          <w:szCs w:val="28"/>
        </w:rPr>
      </w:pPr>
      <w:r>
        <w:rPr>
          <w:rFonts w:hint="eastAsia" w:ascii="宋体" w:hAnsi="宋体" w:eastAsia="宋体" w:cs="宋体"/>
          <w:sz w:val="28"/>
          <w:szCs w:val="28"/>
        </w:rPr>
        <w:t>（5）按照陕西省财政厅《关于政府采购供应商注册登记有关事项的通知》中的要求,供应商应通过陕西省政府采购网(http:〃www.ccgp shaanxi.gov.cn/)注册登记,加入陕西省政府采购供应商库 。</w:t>
      </w:r>
      <w:r>
        <w:rPr>
          <w:rFonts w:hint="eastAsia" w:ascii="黑体" w:hAnsi="宋体" w:eastAsia="黑体" w:cs="黑体"/>
          <w:color w:val="000000"/>
          <w:sz w:val="28"/>
          <w:szCs w:val="28"/>
          <w:lang w:bidi="ar"/>
        </w:rPr>
        <w:t xml:space="preserve"> </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（6）打开【全国公共资源交易平台（陕西省·西安市）】网站（简称西安市公共资源交易平台，官网地址：</w:t>
      </w:r>
      <w:r>
        <w:fldChar w:fldCharType="begin"/>
      </w:r>
      <w:r>
        <w:instrText xml:space="preserve"> HYPERLINK "http://sxggzyjy.xa.gov.cn/" </w:instrText>
      </w:r>
      <w:r>
        <w:fldChar w:fldCharType="separate"/>
      </w:r>
      <w:r>
        <w:rPr>
          <w:rFonts w:hint="eastAsia" w:ascii="宋体" w:hAnsi="宋体" w:eastAsia="宋体" w:cs="宋体"/>
          <w:sz w:val="28"/>
          <w:szCs w:val="28"/>
        </w:rPr>
        <w:t>http://sxggzyjy.xa.gov.cn/</w:t>
      </w:r>
      <w:r>
        <w:rPr>
          <w:rFonts w:hint="eastAsia" w:ascii="宋体" w:hAnsi="宋体" w:eastAsia="宋体" w:cs="宋体"/>
          <w:sz w:val="28"/>
          <w:szCs w:val="28"/>
        </w:rPr>
        <w:fldChar w:fldCharType="end"/>
      </w:r>
      <w:r>
        <w:rPr>
          <w:rFonts w:hint="eastAsia" w:ascii="宋体" w:hAnsi="宋体" w:eastAsia="宋体" w:cs="宋体"/>
          <w:sz w:val="28"/>
          <w:szCs w:val="28"/>
        </w:rPr>
        <w:t>），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（7）制作电子投标文件（*.SXSTF）需要使用专用制作工具。软件下载及操作说明详见西安市公共资源交易平台〖首页·〉服务指南·〉下载专区〗中的《政府采购项目投标文件制作软件及操作手册》。</w:t>
      </w:r>
    </w:p>
    <w:p>
      <w:pPr>
        <w:spacing w:before="150" w:line="360" w:lineRule="auto"/>
        <w:ind w:firstLine="560" w:firstLineChars="200"/>
        <w:textAlignment w:val="baseline"/>
        <w:rPr>
          <w:rFonts w:ascii="宋体" w:hAnsi="宋体" w:eastAsia="宋体" w:cs="宋体"/>
          <w:sz w:val="28"/>
          <w:szCs w:val="28"/>
        </w:rPr>
      </w:pPr>
      <w:r>
        <w:rPr>
          <w:rFonts w:hint="eastAsia" w:ascii="宋体" w:hAnsi="宋体" w:eastAsia="宋体" w:cs="宋体"/>
          <w:sz w:val="28"/>
          <w:szCs w:val="28"/>
        </w:rPr>
        <w:t>（8）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pPr>
        <w:pStyle w:val="6"/>
        <w:keepNext w:val="0"/>
        <w:numPr>
          <w:ilvl w:val="3"/>
          <w:numId w:val="0"/>
        </w:numPr>
        <w:spacing w:before="150" w:after="0" w:line="360" w:lineRule="auto"/>
        <w:textAlignment w:val="baseline"/>
        <w:rPr>
          <w:rFonts w:ascii="宋体" w:hAnsi="宋体" w:eastAsia="宋体" w:cs="宋体"/>
          <w:b w:val="0"/>
          <w:bCs w:val="0"/>
        </w:rPr>
      </w:pPr>
      <w:r>
        <w:rPr>
          <w:rFonts w:hint="eastAsia" w:ascii="宋体" w:hAnsi="宋体" w:eastAsia="宋体" w:cs="宋体"/>
          <w:b w:val="0"/>
          <w:bCs w:val="0"/>
        </w:rPr>
        <w:t>七、对本次招标提出询问，请按以下方式联系。</w:t>
      </w:r>
    </w:p>
    <w:p>
      <w:pPr>
        <w:pStyle w:val="8"/>
        <w:numPr>
          <w:ilvl w:val="5"/>
          <w:numId w:val="0"/>
        </w:numPr>
        <w:spacing w:before="0" w:after="0" w:line="360" w:lineRule="auto"/>
        <w:ind w:firstLine="280" w:firstLineChars="100"/>
        <w:textAlignment w:val="baseline"/>
        <w:rPr>
          <w:rFonts w:ascii="宋体" w:hAnsi="宋体" w:eastAsia="宋体" w:cs="宋体"/>
          <w:b w:val="0"/>
          <w:bCs w:val="0"/>
          <w:sz w:val="28"/>
          <w:szCs w:val="28"/>
        </w:rPr>
      </w:pPr>
      <w:r>
        <w:rPr>
          <w:rFonts w:hint="eastAsia" w:ascii="宋体" w:hAnsi="宋体" w:eastAsia="宋体" w:cs="宋体"/>
          <w:b w:val="0"/>
          <w:bCs w:val="0"/>
          <w:sz w:val="28"/>
          <w:szCs w:val="28"/>
        </w:rPr>
        <w:t>1.釆购人信息</w:t>
      </w:r>
    </w:p>
    <w:p>
      <w:pPr>
        <w:pStyle w:val="8"/>
        <w:numPr>
          <w:ilvl w:val="5"/>
          <w:numId w:val="0"/>
        </w:numPr>
        <w:spacing w:before="0" w:after="0" w:line="360" w:lineRule="auto"/>
        <w:ind w:firstLine="280" w:firstLineChars="100"/>
        <w:textAlignment w:val="baseline"/>
        <w:rPr>
          <w:rFonts w:ascii="宋体" w:hAnsi="宋体" w:eastAsia="宋体" w:cs="宋体"/>
          <w:b w:val="0"/>
          <w:bCs w:val="0"/>
          <w:sz w:val="28"/>
          <w:szCs w:val="28"/>
        </w:rPr>
      </w:pPr>
      <w:r>
        <w:rPr>
          <w:rFonts w:hint="eastAsia" w:ascii="宋体" w:hAnsi="宋体" w:eastAsia="宋体" w:cs="宋体"/>
          <w:b w:val="0"/>
          <w:bCs w:val="0"/>
          <w:sz w:val="28"/>
          <w:szCs w:val="28"/>
        </w:rPr>
        <w:t>名称：西安市中医医院</w:t>
      </w:r>
    </w:p>
    <w:p>
      <w:pPr>
        <w:pStyle w:val="8"/>
        <w:numPr>
          <w:ilvl w:val="5"/>
          <w:numId w:val="0"/>
        </w:numPr>
        <w:spacing w:before="0" w:after="0" w:line="360" w:lineRule="auto"/>
        <w:ind w:firstLine="280" w:firstLineChars="100"/>
        <w:textAlignment w:val="baseline"/>
        <w:rPr>
          <w:rFonts w:ascii="宋体" w:hAnsi="宋体" w:eastAsia="宋体" w:cs="宋体"/>
          <w:b w:val="0"/>
          <w:bCs w:val="0"/>
          <w:sz w:val="28"/>
          <w:szCs w:val="28"/>
        </w:rPr>
      </w:pPr>
      <w:r>
        <w:rPr>
          <w:rFonts w:hint="eastAsia" w:ascii="宋体" w:hAnsi="宋体" w:eastAsia="宋体" w:cs="宋体"/>
          <w:b w:val="0"/>
          <w:bCs w:val="0"/>
          <w:sz w:val="28"/>
          <w:szCs w:val="28"/>
        </w:rPr>
        <w:t>地址：西安市凤城八路69号</w:t>
      </w:r>
    </w:p>
    <w:p>
      <w:pPr>
        <w:pStyle w:val="8"/>
        <w:numPr>
          <w:ilvl w:val="5"/>
          <w:numId w:val="0"/>
        </w:numPr>
        <w:spacing w:before="0" w:after="0" w:line="360" w:lineRule="auto"/>
        <w:ind w:firstLine="280" w:firstLineChars="100"/>
        <w:textAlignment w:val="baseline"/>
        <w:rPr>
          <w:rFonts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 xml:space="preserve">联系方式： 029-89626819     </w:t>
      </w:r>
    </w:p>
    <w:p>
      <w:pPr>
        <w:pStyle w:val="8"/>
        <w:numPr>
          <w:ilvl w:val="5"/>
          <w:numId w:val="0"/>
        </w:numPr>
        <w:spacing w:before="0" w:after="0" w:line="360" w:lineRule="auto"/>
        <w:ind w:firstLine="280" w:firstLineChars="100"/>
        <w:textAlignment w:val="baseline"/>
        <w:rPr>
          <w:rFonts w:ascii="宋体" w:hAnsi="宋体" w:eastAsia="宋体" w:cs="宋体"/>
          <w:b w:val="0"/>
          <w:bCs w:val="0"/>
          <w:sz w:val="28"/>
          <w:szCs w:val="28"/>
        </w:rPr>
      </w:pPr>
      <w:r>
        <w:rPr>
          <w:rFonts w:hint="eastAsia" w:ascii="宋体" w:hAnsi="宋体" w:eastAsia="宋体" w:cs="宋体"/>
          <w:b w:val="0"/>
          <w:bCs w:val="0"/>
          <w:sz w:val="28"/>
          <w:szCs w:val="28"/>
        </w:rPr>
        <w:t>2.釆购代理机构信息</w:t>
      </w:r>
    </w:p>
    <w:p>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名称：陕西卓佲项目管理有限公司</w:t>
      </w:r>
    </w:p>
    <w:p>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地址：</w:t>
      </w:r>
      <w:bookmarkStart w:id="165" w:name="_GoBack"/>
      <w:r>
        <w:rPr>
          <w:rFonts w:hint="eastAsia" w:eastAsia="宋体"/>
          <w:sz w:val="28"/>
          <w:szCs w:val="28"/>
        </w:rPr>
        <w:t>西安市雁塔区科技路10号华奥大厦A座20层2002室</w:t>
      </w:r>
      <w:bookmarkEnd w:id="165"/>
    </w:p>
    <w:p>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联系方式：029-88440695</w:t>
      </w:r>
    </w:p>
    <w:p>
      <w:pPr>
        <w:pStyle w:val="8"/>
        <w:numPr>
          <w:ilvl w:val="5"/>
          <w:numId w:val="0"/>
        </w:numPr>
        <w:spacing w:before="0" w:after="0" w:line="360" w:lineRule="auto"/>
        <w:ind w:left="-835" w:leftChars="-348" w:firstLine="1120" w:firstLineChars="400"/>
        <w:textAlignment w:val="baseline"/>
        <w:rPr>
          <w:rFonts w:ascii="宋体" w:hAnsi="宋体" w:eastAsia="宋体" w:cs="宋体"/>
          <w:b w:val="0"/>
          <w:bCs w:val="0"/>
          <w:sz w:val="28"/>
          <w:szCs w:val="28"/>
        </w:rPr>
      </w:pPr>
      <w:r>
        <w:rPr>
          <w:rFonts w:hint="eastAsia" w:ascii="宋体" w:hAnsi="宋体" w:eastAsia="宋体" w:cs="宋体"/>
          <w:b w:val="0"/>
          <w:bCs w:val="0"/>
          <w:sz w:val="28"/>
          <w:szCs w:val="28"/>
        </w:rPr>
        <w:t>3.项目联系方式</w:t>
      </w:r>
    </w:p>
    <w:p>
      <w:pPr>
        <w:pStyle w:val="31"/>
        <w:spacing w:before="0" w:beforeAutospacing="0" w:after="0" w:afterAutospacing="0" w:line="360" w:lineRule="auto"/>
        <w:ind w:firstLine="480"/>
        <w:jc w:val="both"/>
        <w:textAlignment w:val="baseline"/>
        <w:rPr>
          <w:rFonts w:hint="eastAsia" w:eastAsia="宋体"/>
          <w:sz w:val="28"/>
          <w:szCs w:val="28"/>
          <w:lang w:eastAsia="zh-CN"/>
        </w:rPr>
      </w:pPr>
      <w:r>
        <w:rPr>
          <w:rFonts w:hint="eastAsia" w:eastAsia="宋体"/>
          <w:sz w:val="28"/>
          <w:szCs w:val="28"/>
        </w:rPr>
        <w:t xml:space="preserve">项目联系人： 米文佳 董菊莉 </w:t>
      </w:r>
      <w:r>
        <w:rPr>
          <w:rFonts w:hint="eastAsia" w:eastAsia="宋体"/>
          <w:sz w:val="28"/>
          <w:szCs w:val="28"/>
          <w:lang w:eastAsia="zh-CN"/>
        </w:rPr>
        <w:t>张倩</w:t>
      </w:r>
    </w:p>
    <w:p>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电话：029-88440695</w:t>
      </w:r>
    </w:p>
    <w:p>
      <w:pPr>
        <w:pStyle w:val="31"/>
        <w:spacing w:before="0" w:beforeAutospacing="0" w:after="0" w:afterAutospacing="0" w:line="360" w:lineRule="auto"/>
        <w:ind w:firstLine="480"/>
        <w:jc w:val="right"/>
        <w:textAlignment w:val="baseline"/>
        <w:rPr>
          <w:rFonts w:eastAsia="宋体"/>
          <w:sz w:val="28"/>
          <w:szCs w:val="28"/>
        </w:rPr>
      </w:pPr>
      <w:r>
        <w:rPr>
          <w:rFonts w:hint="eastAsia" w:eastAsia="宋体"/>
          <w:sz w:val="28"/>
          <w:szCs w:val="28"/>
        </w:rPr>
        <w:t>陕西卓佲项目管理有限公司</w:t>
      </w:r>
    </w:p>
    <w:p>
      <w:pPr>
        <w:pStyle w:val="31"/>
        <w:spacing w:before="0" w:beforeAutospacing="0" w:after="0" w:afterAutospacing="0" w:line="360" w:lineRule="auto"/>
        <w:ind w:firstLine="480"/>
        <w:jc w:val="center"/>
        <w:textAlignment w:val="baseline"/>
        <w:rPr>
          <w:rFonts w:eastAsia="宋体"/>
          <w:sz w:val="28"/>
          <w:szCs w:val="28"/>
        </w:rPr>
      </w:pPr>
      <w:r>
        <w:rPr>
          <w:rFonts w:hint="eastAsia" w:eastAsia="宋体"/>
          <w:sz w:val="28"/>
          <w:szCs w:val="28"/>
        </w:rPr>
        <w:t xml:space="preserve">                                 2022年</w:t>
      </w:r>
      <w:r>
        <w:rPr>
          <w:rFonts w:hint="eastAsia" w:eastAsia="宋体"/>
          <w:sz w:val="28"/>
          <w:szCs w:val="28"/>
          <w:u w:val="single"/>
          <w:lang w:val="en-US" w:eastAsia="zh-CN"/>
        </w:rPr>
        <w:t>07</w:t>
      </w:r>
      <w:r>
        <w:rPr>
          <w:rFonts w:hint="eastAsia" w:eastAsia="宋体"/>
          <w:sz w:val="28"/>
          <w:szCs w:val="28"/>
        </w:rPr>
        <w:t>月</w:t>
      </w:r>
      <w:r>
        <w:rPr>
          <w:rFonts w:hint="eastAsia" w:eastAsia="宋体"/>
          <w:sz w:val="28"/>
          <w:szCs w:val="28"/>
          <w:u w:val="single"/>
          <w:lang w:val="en-US" w:eastAsia="zh-CN"/>
        </w:rPr>
        <w:t>29</w:t>
      </w:r>
      <w:r>
        <w:rPr>
          <w:rFonts w:hint="eastAsia" w:eastAsia="宋体"/>
          <w:sz w:val="28"/>
          <w:szCs w:val="28"/>
        </w:rPr>
        <w:t>日</w:t>
      </w:r>
    </w:p>
    <w:p>
      <w:pPr>
        <w:spacing w:line="560" w:lineRule="exact"/>
        <w:ind w:firstLine="560" w:firstLineChars="200"/>
        <w:jc w:val="both"/>
        <w:rPr>
          <w:rFonts w:ascii="宋体" w:hAnsi="宋体" w:eastAsia="宋体" w:cs="宋体"/>
          <w:sz w:val="28"/>
          <w:szCs w:val="28"/>
        </w:rPr>
      </w:pPr>
      <w:bookmarkStart w:id="2" w:name="_Toc97563329"/>
      <w:bookmarkStart w:id="3" w:name="_Toc498349068"/>
      <w:bookmarkStart w:id="4" w:name="_Toc533363235"/>
      <w:bookmarkStart w:id="5" w:name="_Toc534656414"/>
      <w:bookmarkStart w:id="6" w:name="_Toc533363262"/>
      <w:bookmarkStart w:id="7" w:name="_Toc445407251"/>
      <w:bookmarkStart w:id="8" w:name="_Toc100219613"/>
      <w:bookmarkStart w:id="9" w:name="_Toc534656409"/>
      <w:r>
        <w:rPr>
          <w:rFonts w:hint="eastAsia" w:ascii="宋体" w:hAnsi="宋体" w:eastAsia="宋体" w:cs="宋体"/>
          <w:sz w:val="28"/>
          <w:szCs w:val="28"/>
        </w:rPr>
        <w:br w:type="page"/>
      </w:r>
    </w:p>
    <w:p>
      <w:pPr>
        <w:pStyle w:val="3"/>
        <w:spacing w:line="240" w:lineRule="auto"/>
        <w:rPr>
          <w:rFonts w:ascii="宋体" w:hAnsi="宋体" w:eastAsia="宋体" w:cs="宋体"/>
          <w:sz w:val="28"/>
          <w:szCs w:val="28"/>
        </w:rPr>
      </w:pPr>
      <w:bookmarkStart w:id="10" w:name="_Toc2040"/>
      <w:r>
        <w:rPr>
          <w:rFonts w:hint="eastAsia" w:ascii="宋体" w:hAnsi="宋体" w:eastAsia="宋体" w:cs="宋体"/>
          <w:sz w:val="28"/>
          <w:szCs w:val="28"/>
        </w:rPr>
        <w:t>第二章  供应商须知</w:t>
      </w:r>
      <w:bookmarkEnd w:id="2"/>
      <w:bookmarkEnd w:id="3"/>
      <w:bookmarkEnd w:id="4"/>
      <w:bookmarkEnd w:id="5"/>
      <w:bookmarkEnd w:id="6"/>
      <w:bookmarkEnd w:id="7"/>
      <w:bookmarkEnd w:id="8"/>
      <w:bookmarkEnd w:id="9"/>
      <w:bookmarkEnd w:id="10"/>
    </w:p>
    <w:p>
      <w:pPr>
        <w:pStyle w:val="4"/>
        <w:spacing w:line="240" w:lineRule="auto"/>
        <w:ind w:firstLine="577"/>
        <w:jc w:val="left"/>
        <w:rPr>
          <w:rFonts w:ascii="宋体" w:hAnsi="宋体" w:eastAsia="宋体" w:cs="宋体"/>
          <w:sz w:val="28"/>
          <w:szCs w:val="28"/>
        </w:rPr>
      </w:pPr>
      <w:bookmarkStart w:id="11" w:name="_Toc29753"/>
      <w:r>
        <w:rPr>
          <w:rFonts w:hint="eastAsia" w:ascii="宋体" w:hAnsi="宋体" w:eastAsia="宋体" w:cs="宋体"/>
          <w:sz w:val="28"/>
          <w:szCs w:val="28"/>
        </w:rPr>
        <w:t>〖前附表〗</w:t>
      </w:r>
      <w:bookmarkEnd w:id="11"/>
    </w:p>
    <w:tbl>
      <w:tblPr>
        <w:tblStyle w:val="37"/>
        <w:tblW w:w="887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3402"/>
        <w:gridCol w:w="449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cs="宋体"/>
                <w:b/>
                <w:bCs/>
                <w:sz w:val="28"/>
                <w:szCs w:val="28"/>
              </w:rPr>
            </w:pPr>
            <w:r>
              <w:rPr>
                <w:rFonts w:hint="eastAsia" w:ascii="宋体" w:hAnsi="宋体" w:eastAsia="宋体" w:cs="宋体"/>
                <w:b/>
                <w:bCs/>
                <w:sz w:val="28"/>
                <w:szCs w:val="28"/>
              </w:rPr>
              <w:t>序号</w:t>
            </w:r>
          </w:p>
        </w:tc>
        <w:tc>
          <w:tcPr>
            <w:tcW w:w="3402"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cs="宋体"/>
                <w:b/>
                <w:bCs/>
                <w:sz w:val="28"/>
                <w:szCs w:val="28"/>
              </w:rPr>
            </w:pPr>
            <w:r>
              <w:rPr>
                <w:rFonts w:hint="eastAsia" w:ascii="宋体" w:hAnsi="宋体" w:eastAsia="宋体" w:cs="宋体"/>
                <w:b/>
                <w:bCs/>
                <w:sz w:val="28"/>
                <w:szCs w:val="28"/>
              </w:rPr>
              <w:t>内容</w:t>
            </w:r>
          </w:p>
        </w:tc>
        <w:tc>
          <w:tcPr>
            <w:tcW w:w="4490"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cs="宋体"/>
                <w:b/>
                <w:bCs/>
                <w:sz w:val="28"/>
                <w:szCs w:val="28"/>
              </w:rPr>
            </w:pPr>
            <w:r>
              <w:rPr>
                <w:rFonts w:hint="eastAsia" w:ascii="宋体" w:hAnsi="宋体" w:eastAsia="宋体" w:cs="宋体"/>
                <w:b/>
                <w:bCs/>
                <w:sz w:val="28"/>
                <w:szCs w:val="28"/>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2" w:space="0"/>
            </w:tcBorders>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1</w:t>
            </w:r>
          </w:p>
        </w:tc>
        <w:tc>
          <w:tcPr>
            <w:tcW w:w="3402" w:type="dxa"/>
            <w:tcBorders>
              <w:top w:val="single" w:color="auto" w:sz="2" w:space="0"/>
            </w:tcBorders>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项目名称</w:t>
            </w:r>
          </w:p>
        </w:tc>
        <w:tc>
          <w:tcPr>
            <w:tcW w:w="4490" w:type="dxa"/>
            <w:tcBorders>
              <w:top w:val="single" w:color="auto" w:sz="2" w:space="0"/>
            </w:tcBorders>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西安市中医医院南院区DR、胃肠DR及X线骨密度仪项目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2</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项目编号</w:t>
            </w:r>
          </w:p>
        </w:tc>
        <w:tc>
          <w:tcPr>
            <w:tcW w:w="4490"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ZMZB2022ZYYY-200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3</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预算执行书编号</w:t>
            </w:r>
          </w:p>
        </w:tc>
        <w:tc>
          <w:tcPr>
            <w:tcW w:w="4490" w:type="dxa"/>
            <w:shd w:val="clear" w:color="auto" w:fill="auto"/>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highlight w:val="none"/>
                <w:lang w:val="en-US" w:eastAsia="zh-CN"/>
              </w:rPr>
              <w:t>YS</w:t>
            </w:r>
            <w:r>
              <w:rPr>
                <w:rFonts w:hint="eastAsia" w:ascii="宋体" w:hAnsi="宋体" w:eastAsia="宋体" w:cs="宋体"/>
                <w:sz w:val="28"/>
                <w:szCs w:val="28"/>
                <w:highlight w:val="none"/>
              </w:rPr>
              <w:t>-西安市-2022-0</w:t>
            </w:r>
            <w:r>
              <w:rPr>
                <w:rFonts w:hint="eastAsia" w:ascii="宋体" w:hAnsi="宋体" w:eastAsia="宋体" w:cs="宋体"/>
                <w:sz w:val="28"/>
                <w:szCs w:val="28"/>
                <w:highlight w:val="none"/>
                <w:lang w:val="en-US" w:eastAsia="zh-CN"/>
              </w:rPr>
              <w:t>5715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4</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是否预留份额</w:t>
            </w:r>
          </w:p>
          <w:p>
            <w:pPr>
              <w:jc w:val="center"/>
              <w:rPr>
                <w:rFonts w:ascii="宋体" w:hAnsi="宋体" w:eastAsia="宋体" w:cs="宋体"/>
                <w:sz w:val="28"/>
                <w:szCs w:val="28"/>
              </w:rPr>
            </w:pPr>
            <w:r>
              <w:rPr>
                <w:rFonts w:hint="eastAsia" w:ascii="宋体" w:hAnsi="宋体" w:eastAsia="宋体" w:cs="宋体"/>
                <w:sz w:val="28"/>
                <w:szCs w:val="28"/>
              </w:rPr>
              <w:t>专门面向中小企业采购</w:t>
            </w:r>
          </w:p>
        </w:tc>
        <w:tc>
          <w:tcPr>
            <w:tcW w:w="4490" w:type="dxa"/>
            <w:shd w:val="clear" w:color="auto" w:fill="auto"/>
            <w:vAlign w:val="center"/>
          </w:tcPr>
          <w:p>
            <w:pPr>
              <w:jc w:val="center"/>
              <w:rPr>
                <w:rFonts w:ascii="宋体" w:hAnsi="宋体" w:eastAsia="宋体" w:cs="宋体"/>
                <w:sz w:val="28"/>
                <w:szCs w:val="28"/>
              </w:rPr>
            </w:pPr>
            <w:sdt>
              <w:sdtPr>
                <w:rPr>
                  <w:rFonts w:hint="eastAsia" w:ascii="宋体" w:hAnsi="宋体" w:eastAsia="宋体" w:cs="宋体"/>
                  <w:sz w:val="28"/>
                  <w:szCs w:val="28"/>
                </w:rPr>
                <w:id w:val="2139916130"/>
                <w14:checkbox>
                  <w14:checked w14:val="0"/>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宋体" w:hAnsi="宋体" w:eastAsia="宋体" w:cs="宋体"/>
                    <w:sz w:val="28"/>
                    <w:szCs w:val="28"/>
                  </w:rPr>
                  <w:t>☐</w:t>
                </w:r>
              </w:sdtContent>
            </w:sdt>
            <w:r>
              <w:rPr>
                <w:rFonts w:hint="eastAsia" w:ascii="宋体" w:hAnsi="宋体" w:eastAsia="宋体" w:cs="宋体"/>
                <w:sz w:val="28"/>
                <w:szCs w:val="28"/>
              </w:rPr>
              <w:t xml:space="preserve">是  </w:t>
            </w:r>
            <w:sdt>
              <w:sdtPr>
                <w:rPr>
                  <w:rFonts w:hint="eastAsia" w:ascii="宋体" w:hAnsi="宋体" w:eastAsia="宋体" w:cs="宋体"/>
                  <w:sz w:val="28"/>
                  <w:szCs w:val="28"/>
                </w:rPr>
                <w:id w:val="-2072024220"/>
                <w14:checkbox>
                  <w14:checked w14:val="1"/>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宋体" w:hAnsi="宋体" w:eastAsia="宋体" w:cs="宋体"/>
                    <w:sz w:val="28"/>
                    <w:szCs w:val="28"/>
                  </w:rPr>
                  <w:t>☑</w:t>
                </w:r>
              </w:sdtContent>
            </w:sdt>
            <w:r>
              <w:rPr>
                <w:rFonts w:hint="eastAsia" w:ascii="宋体" w:hAnsi="宋体" w:eastAsia="宋体" w:cs="宋体"/>
                <w:sz w:val="28"/>
                <w:szCs w:val="28"/>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restart"/>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5</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预算金额</w:t>
            </w:r>
          </w:p>
        </w:tc>
        <w:tc>
          <w:tcPr>
            <w:tcW w:w="4490"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5400000.00元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continue"/>
            <w:shd w:val="clear" w:color="auto" w:fill="auto"/>
            <w:vAlign w:val="center"/>
          </w:tcPr>
          <w:p>
            <w:pPr>
              <w:jc w:val="center"/>
              <w:rPr>
                <w:rFonts w:ascii="宋体" w:hAnsi="宋体" w:eastAsia="宋体" w:cs="宋体"/>
                <w:sz w:val="28"/>
                <w:szCs w:val="28"/>
              </w:rPr>
            </w:pP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最高限价</w:t>
            </w:r>
          </w:p>
        </w:tc>
        <w:tc>
          <w:tcPr>
            <w:tcW w:w="4490" w:type="dxa"/>
            <w:shd w:val="clear" w:color="auto" w:fill="auto"/>
            <w:vAlign w:val="center"/>
          </w:tcPr>
          <w:p>
            <w:pPr>
              <w:jc w:val="center"/>
              <w:rPr>
                <w:rFonts w:ascii="宋体" w:hAnsi="宋体" w:eastAsia="宋体" w:cs="宋体"/>
                <w:sz w:val="28"/>
                <w:szCs w:val="28"/>
                <w:highlight w:val="yellow"/>
              </w:rPr>
            </w:pPr>
            <w:r>
              <w:rPr>
                <w:rFonts w:hint="eastAsia" w:ascii="宋体" w:hAnsi="宋体" w:eastAsia="宋体" w:cs="宋体"/>
                <w:sz w:val="28"/>
                <w:szCs w:val="28"/>
                <w:highlight w:val="none"/>
              </w:rPr>
              <w:t>5400000.00元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6</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是否接受联合体</w:t>
            </w:r>
          </w:p>
        </w:tc>
        <w:tc>
          <w:tcPr>
            <w:tcW w:w="4490" w:type="dxa"/>
            <w:shd w:val="clear" w:color="auto" w:fill="auto"/>
            <w:vAlign w:val="center"/>
          </w:tcPr>
          <w:p>
            <w:pPr>
              <w:jc w:val="center"/>
              <w:rPr>
                <w:rFonts w:ascii="宋体" w:hAnsi="宋体" w:eastAsia="宋体" w:cs="宋体"/>
                <w:sz w:val="28"/>
                <w:szCs w:val="28"/>
              </w:rPr>
            </w:pPr>
            <w:sdt>
              <w:sdtPr>
                <w:rPr>
                  <w:rFonts w:hint="eastAsia" w:ascii="宋体" w:hAnsi="宋体" w:eastAsia="宋体" w:cs="宋体"/>
                  <w:sz w:val="28"/>
                  <w:szCs w:val="28"/>
                </w:rPr>
                <w:id w:val="608160193"/>
                <w14:checkbox>
                  <w14:checked w14:val="0"/>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MS Gothic" w:hAnsi="MS Gothic" w:eastAsia="宋体" w:cs="宋体"/>
                    <w:sz w:val="28"/>
                    <w:szCs w:val="28"/>
                  </w:rPr>
                  <w:t>☐</w:t>
                </w:r>
              </w:sdtContent>
            </w:sdt>
            <w:r>
              <w:rPr>
                <w:rFonts w:hint="eastAsia" w:ascii="宋体" w:hAnsi="宋体" w:eastAsia="宋体" w:cs="宋体"/>
                <w:sz w:val="28"/>
                <w:szCs w:val="28"/>
              </w:rPr>
              <w:t xml:space="preserve">是  </w:t>
            </w:r>
            <w:sdt>
              <w:sdtPr>
                <w:rPr>
                  <w:rFonts w:hint="eastAsia" w:ascii="宋体" w:hAnsi="宋体" w:eastAsia="宋体" w:cs="宋体"/>
                  <w:sz w:val="28"/>
                  <w:szCs w:val="28"/>
                </w:rPr>
                <w:id w:val="1317929335"/>
                <w14:checkbox>
                  <w14:checked w14:val="1"/>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MS Gothic" w:hAnsi="MS Gothic" w:eastAsia="宋体" w:cs="宋体"/>
                    <w:sz w:val="28"/>
                    <w:szCs w:val="28"/>
                  </w:rPr>
                  <w:t>☑</w:t>
                </w:r>
              </w:sdtContent>
            </w:sdt>
            <w:r>
              <w:rPr>
                <w:rFonts w:hint="eastAsia" w:ascii="宋体" w:hAnsi="宋体" w:eastAsia="宋体" w:cs="宋体"/>
                <w:sz w:val="28"/>
                <w:szCs w:val="28"/>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7</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是否允许进口产品</w:t>
            </w:r>
          </w:p>
        </w:tc>
        <w:tc>
          <w:tcPr>
            <w:tcW w:w="4490" w:type="dxa"/>
            <w:shd w:val="clear" w:color="auto" w:fill="auto"/>
            <w:vAlign w:val="center"/>
          </w:tcPr>
          <w:p>
            <w:pPr>
              <w:jc w:val="center"/>
              <w:rPr>
                <w:rFonts w:eastAsia="宋体"/>
                <w:sz w:val="28"/>
                <w:szCs w:val="28"/>
              </w:rPr>
            </w:pPr>
            <w:sdt>
              <w:sdtPr>
                <w:rPr>
                  <w:rFonts w:hint="eastAsia" w:ascii="宋体" w:hAnsi="宋体" w:eastAsia="宋体" w:cs="宋体"/>
                  <w:sz w:val="28"/>
                  <w:szCs w:val="28"/>
                </w:rPr>
                <w:id w:val="148570254"/>
                <w14:checkbox>
                  <w14:checked w14:val="0"/>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宋体" w:hAnsi="宋体" w:eastAsia="宋体" w:cs="宋体"/>
                    <w:sz w:val="28"/>
                    <w:szCs w:val="28"/>
                  </w:rPr>
                  <w:t>☐</w:t>
                </w:r>
              </w:sdtContent>
            </w:sdt>
            <w:r>
              <w:rPr>
                <w:rFonts w:hint="eastAsia" w:ascii="宋体" w:hAnsi="宋体" w:eastAsia="宋体" w:cs="宋体"/>
                <w:sz w:val="28"/>
                <w:szCs w:val="28"/>
              </w:rPr>
              <w:t xml:space="preserve">是  </w:t>
            </w:r>
            <w:sdt>
              <w:sdtPr>
                <w:rPr>
                  <w:rFonts w:hint="eastAsia" w:ascii="宋体" w:hAnsi="宋体" w:eastAsia="宋体" w:cs="宋体"/>
                  <w:sz w:val="28"/>
                  <w:szCs w:val="28"/>
                </w:rPr>
                <w:id w:val="-1689594843"/>
                <w14:checkbox>
                  <w14:checked w14:val="1"/>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宋体" w:hAnsi="宋体" w:eastAsia="宋体" w:cs="宋体"/>
                    <w:sz w:val="28"/>
                    <w:szCs w:val="28"/>
                  </w:rPr>
                  <w:t>☑</w:t>
                </w:r>
              </w:sdtContent>
            </w:sdt>
            <w:r>
              <w:rPr>
                <w:rFonts w:hint="eastAsia" w:ascii="宋体" w:hAnsi="宋体" w:eastAsia="宋体" w:cs="宋体"/>
                <w:sz w:val="28"/>
                <w:szCs w:val="28"/>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8</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投标保证金</w:t>
            </w:r>
          </w:p>
        </w:tc>
        <w:tc>
          <w:tcPr>
            <w:tcW w:w="4490"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9</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履约保证金</w:t>
            </w:r>
          </w:p>
        </w:tc>
        <w:tc>
          <w:tcPr>
            <w:tcW w:w="4490"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10</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投标文件份数</w:t>
            </w:r>
          </w:p>
        </w:tc>
        <w:tc>
          <w:tcPr>
            <w:tcW w:w="4490"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投标供应商无需提供；中标供应商下载中标（成交）通知书后，向采购代理机构提供一正两副（和上传文件保持一致的）纸质投标（响应）文件用于备案及档案保存。</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11</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现场踏勘和集中答疑</w:t>
            </w:r>
          </w:p>
        </w:tc>
        <w:tc>
          <w:tcPr>
            <w:tcW w:w="4490"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12</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商务条款</w:t>
            </w:r>
          </w:p>
        </w:tc>
        <w:tc>
          <w:tcPr>
            <w:tcW w:w="4490" w:type="dxa"/>
            <w:shd w:val="clear" w:color="auto" w:fill="auto"/>
          </w:tcPr>
          <w:p>
            <w:pPr>
              <w:rPr>
                <w:sz w:val="28"/>
                <w:szCs w:val="28"/>
              </w:rPr>
            </w:pPr>
            <w:r>
              <w:rPr>
                <w:rFonts w:hint="eastAsia"/>
                <w:sz w:val="28"/>
                <w:szCs w:val="28"/>
              </w:rPr>
              <w:t>1、交货期：合同签订后90 历日内。</w:t>
            </w:r>
          </w:p>
          <w:p>
            <w:pPr>
              <w:rPr>
                <w:sz w:val="28"/>
                <w:szCs w:val="28"/>
              </w:rPr>
            </w:pPr>
            <w:r>
              <w:rPr>
                <w:rFonts w:hint="eastAsia"/>
                <w:sz w:val="28"/>
                <w:szCs w:val="28"/>
              </w:rPr>
              <w:t>2、质保期：原厂整机质保三年（含第三方产品）。</w:t>
            </w:r>
          </w:p>
          <w:p>
            <w:pPr>
              <w:jc w:val="both"/>
              <w:rPr>
                <w:sz w:val="28"/>
                <w:szCs w:val="28"/>
              </w:rPr>
            </w:pPr>
            <w:r>
              <w:rPr>
                <w:rFonts w:hint="eastAsia"/>
                <w:sz w:val="28"/>
                <w:szCs w:val="28"/>
              </w:rPr>
              <w:t>3、交货地点：采购人指定地点。</w:t>
            </w:r>
          </w:p>
          <w:p>
            <w:pPr>
              <w:rPr>
                <w:sz w:val="28"/>
                <w:szCs w:val="28"/>
              </w:rPr>
            </w:pPr>
            <w:r>
              <w:rPr>
                <w:rFonts w:hint="eastAsia"/>
                <w:sz w:val="28"/>
                <w:szCs w:val="28"/>
              </w:rPr>
              <w:t>4、付款方式：合同签订后30日内向乙方支付合同总价的30%，货物交付验收合格后，乙方连同货款发票，采购合同，货物验收单等相关材料送交甲方，甲方向乙方支付合同总金额的60％，验收合格一年后支付合同总金额的5％，剩余5％于验收合格三年后向乙方支付完成，不计算利息。</w:t>
            </w:r>
          </w:p>
          <w:p>
            <w:pPr>
              <w:pStyle w:val="17"/>
              <w:rPr>
                <w:sz w:val="28"/>
                <w:szCs w:val="28"/>
              </w:rPr>
            </w:pPr>
            <w:r>
              <w:rPr>
                <w:rFonts w:hint="eastAsia" w:ascii="宋体" w:hAnsi="宋体" w:eastAsia="宋体" w:cs="宋体"/>
                <w:b/>
                <w:bCs/>
                <w:sz w:val="28"/>
                <w:szCs w:val="28"/>
              </w:rPr>
              <w:t>注：商务条款为实质性条款，不允许负偏离。</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13</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政府采购信息发布媒体</w:t>
            </w:r>
          </w:p>
          <w:p>
            <w:pPr>
              <w:jc w:val="center"/>
              <w:rPr>
                <w:rFonts w:ascii="宋体" w:hAnsi="宋体" w:eastAsia="宋体" w:cs="宋体"/>
                <w:sz w:val="28"/>
                <w:szCs w:val="28"/>
              </w:rPr>
            </w:pPr>
            <w:r>
              <w:rPr>
                <w:rFonts w:hint="eastAsia" w:ascii="宋体" w:hAnsi="宋体" w:eastAsia="宋体" w:cs="宋体"/>
                <w:sz w:val="28"/>
                <w:szCs w:val="28"/>
              </w:rPr>
              <w:t>（采购公告、采购结果公告、变更公告）</w:t>
            </w:r>
          </w:p>
        </w:tc>
        <w:tc>
          <w:tcPr>
            <w:tcW w:w="4490" w:type="dxa"/>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1．陕西省政府采购网：仅提供项目公告，官网地址：http://ccgp-shaanxi.gov.cn/。</w:t>
            </w:r>
          </w:p>
          <w:p>
            <w:pPr>
              <w:rPr>
                <w:rFonts w:ascii="宋体" w:hAnsi="宋体" w:eastAsia="宋体" w:cs="宋体"/>
                <w:sz w:val="28"/>
                <w:szCs w:val="28"/>
              </w:rPr>
            </w:pPr>
            <w:r>
              <w:rPr>
                <w:rFonts w:hint="eastAsia" w:ascii="宋体" w:hAnsi="宋体" w:eastAsia="宋体" w:cs="宋体"/>
                <w:sz w:val="28"/>
                <w:szCs w:val="28"/>
              </w:rPr>
              <w:t>2．全国公共资源交易平台（陕西省·西安市）：即西安市公共资源交易平台，提供项目公告和采购文件下载。官网地址：http://sxggzyjy.xa.gov.cn/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14</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询问和质疑</w:t>
            </w:r>
          </w:p>
        </w:tc>
        <w:tc>
          <w:tcPr>
            <w:tcW w:w="4490"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见投标邀请函中的“联系方式”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15</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投诉受理</w:t>
            </w:r>
          </w:p>
        </w:tc>
        <w:tc>
          <w:tcPr>
            <w:tcW w:w="4490"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1．受理单位：西安市财政局政府采购管理处</w:t>
            </w:r>
          </w:p>
          <w:p>
            <w:pPr>
              <w:jc w:val="both"/>
              <w:rPr>
                <w:rFonts w:ascii="宋体" w:hAnsi="宋体" w:eastAsia="宋体" w:cs="宋体"/>
                <w:sz w:val="28"/>
                <w:szCs w:val="28"/>
              </w:rPr>
            </w:pPr>
            <w:r>
              <w:rPr>
                <w:rFonts w:hint="eastAsia" w:ascii="宋体" w:hAnsi="宋体" w:eastAsia="宋体" w:cs="宋体"/>
                <w:sz w:val="28"/>
                <w:szCs w:val="28"/>
              </w:rPr>
              <w:t>2．联系电话：029-89821846</w:t>
            </w:r>
          </w:p>
          <w:p>
            <w:pPr>
              <w:jc w:val="both"/>
              <w:rPr>
                <w:rFonts w:ascii="宋体" w:hAnsi="宋体" w:eastAsia="宋体" w:cs="宋体"/>
                <w:sz w:val="28"/>
                <w:szCs w:val="28"/>
              </w:rPr>
            </w:pPr>
            <w:r>
              <w:rPr>
                <w:rFonts w:hint="eastAsia" w:ascii="宋体" w:hAnsi="宋体" w:eastAsia="宋体" w:cs="宋体"/>
                <w:sz w:val="28"/>
                <w:szCs w:val="28"/>
              </w:rPr>
              <w:t>3．地址：西安市未央区西北国金中心A座18层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16</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信用信息查询截至时点</w:t>
            </w:r>
          </w:p>
        </w:tc>
        <w:tc>
          <w:tcPr>
            <w:tcW w:w="4490"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同提交投标文件截止时间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17</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开标形式</w:t>
            </w:r>
          </w:p>
        </w:tc>
        <w:tc>
          <w:tcPr>
            <w:tcW w:w="4490" w:type="dxa"/>
            <w:shd w:val="clear" w:color="auto" w:fill="auto"/>
            <w:vAlign w:val="center"/>
          </w:tcPr>
          <w:p>
            <w:pPr>
              <w:jc w:val="both"/>
              <w:rPr>
                <w:rFonts w:ascii="宋体" w:hAnsi="宋体" w:eastAsia="宋体" w:cs="宋体"/>
                <w:sz w:val="28"/>
                <w:szCs w:val="28"/>
              </w:rPr>
            </w:pPr>
            <w:sdt>
              <w:sdtPr>
                <w:rPr>
                  <w:rFonts w:hint="eastAsia" w:ascii="宋体" w:hAnsi="宋体" w:eastAsia="宋体" w:cs="宋体"/>
                  <w:sz w:val="28"/>
                  <w:szCs w:val="28"/>
                </w:rPr>
                <w:id w:val="1077786224"/>
                <w14:checkbox>
                  <w14:checked w14:val="1"/>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宋体" w:hAnsi="宋体" w:eastAsia="宋体" w:cs="宋体"/>
                    <w:sz w:val="28"/>
                    <w:szCs w:val="28"/>
                  </w:rPr>
                  <w:t>☑</w:t>
                </w:r>
              </w:sdtContent>
            </w:sdt>
            <w:r>
              <w:rPr>
                <w:rFonts w:hint="eastAsia" w:ascii="宋体" w:hAnsi="宋体" w:eastAsia="宋体" w:cs="宋体"/>
                <w:sz w:val="28"/>
                <w:szCs w:val="28"/>
              </w:rPr>
              <w:t xml:space="preserve">不见面开标  </w:t>
            </w:r>
            <w:sdt>
              <w:sdtPr>
                <w:rPr>
                  <w:rFonts w:hint="eastAsia" w:ascii="宋体" w:hAnsi="宋体" w:eastAsia="宋体" w:cs="宋体"/>
                  <w:sz w:val="28"/>
                  <w:szCs w:val="28"/>
                </w:rPr>
                <w:id w:val="1553575034"/>
                <w14:checkbox>
                  <w14:checked w14:val="0"/>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宋体" w:hAnsi="宋体" w:eastAsia="宋体" w:cs="宋体"/>
                    <w:sz w:val="28"/>
                    <w:szCs w:val="28"/>
                  </w:rPr>
                  <w:t>☐</w:t>
                </w:r>
              </w:sdtContent>
            </w:sdt>
            <w:r>
              <w:rPr>
                <w:rFonts w:hint="eastAsia" w:ascii="宋体" w:hAnsi="宋体" w:eastAsia="宋体" w:cs="宋体"/>
                <w:sz w:val="28"/>
                <w:szCs w:val="28"/>
              </w:rPr>
              <w:t>见面开标</w:t>
            </w:r>
          </w:p>
          <w:p>
            <w:pPr>
              <w:jc w:val="both"/>
              <w:rPr>
                <w:rFonts w:ascii="宋体" w:hAnsi="宋体" w:eastAsia="宋体" w:cs="宋体"/>
                <w:sz w:val="28"/>
                <w:szCs w:val="28"/>
              </w:rPr>
            </w:pPr>
            <w:r>
              <w:rPr>
                <w:rFonts w:hint="eastAsia" w:ascii="宋体" w:hAnsi="宋体" w:eastAsia="宋体" w:cs="宋体"/>
                <w:sz w:val="28"/>
                <w:szCs w:val="28"/>
              </w:rPr>
              <w:t>详见本章“开标程序”有关内容。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18</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是否允许递交多个备选投标方案</w:t>
            </w:r>
          </w:p>
        </w:tc>
        <w:tc>
          <w:tcPr>
            <w:tcW w:w="4490" w:type="dxa"/>
            <w:shd w:val="clear" w:color="auto" w:fill="auto"/>
            <w:vAlign w:val="center"/>
          </w:tcPr>
          <w:p>
            <w:pPr>
              <w:jc w:val="both"/>
              <w:rPr>
                <w:rFonts w:ascii="宋体" w:hAnsi="宋体" w:eastAsia="宋体" w:cs="宋体"/>
                <w:sz w:val="28"/>
                <w:szCs w:val="28"/>
              </w:rPr>
            </w:pPr>
            <w:sdt>
              <w:sdtPr>
                <w:rPr>
                  <w:rFonts w:hint="eastAsia" w:ascii="宋体" w:hAnsi="宋体" w:eastAsia="宋体" w:cs="宋体"/>
                  <w:sz w:val="28"/>
                  <w:szCs w:val="28"/>
                </w:rPr>
                <w:id w:val="1608857843"/>
                <w14:checkbox>
                  <w14:checked w14:val="0"/>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宋体" w:hAnsi="宋体" w:eastAsia="宋体" w:cs="宋体"/>
                    <w:sz w:val="28"/>
                    <w:szCs w:val="28"/>
                  </w:rPr>
                  <w:t>☐</w:t>
                </w:r>
              </w:sdtContent>
            </w:sdt>
            <w:r>
              <w:rPr>
                <w:rFonts w:hint="eastAsia" w:ascii="宋体" w:hAnsi="宋体" w:eastAsia="宋体" w:cs="宋体"/>
                <w:sz w:val="28"/>
                <w:szCs w:val="28"/>
              </w:rPr>
              <w:t xml:space="preserve">是  </w:t>
            </w:r>
            <w:sdt>
              <w:sdtPr>
                <w:rPr>
                  <w:rFonts w:hint="eastAsia" w:ascii="宋体" w:hAnsi="宋体" w:eastAsia="宋体" w:cs="宋体"/>
                  <w:sz w:val="28"/>
                  <w:szCs w:val="28"/>
                </w:rPr>
                <w:id w:val="618331253"/>
                <w14:checkbox>
                  <w14:checked w14:val="1"/>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宋体" w:hAnsi="宋体" w:eastAsia="宋体" w:cs="宋体"/>
                    <w:sz w:val="28"/>
                    <w:szCs w:val="28"/>
                  </w:rPr>
                  <w:t>☑</w:t>
                </w:r>
              </w:sdtContent>
            </w:sdt>
            <w:r>
              <w:rPr>
                <w:rFonts w:hint="eastAsia" w:ascii="宋体" w:hAnsi="宋体" w:eastAsia="宋体" w:cs="宋体"/>
                <w:sz w:val="28"/>
                <w:szCs w:val="28"/>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19</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中标通知书</w:t>
            </w:r>
          </w:p>
        </w:tc>
        <w:tc>
          <w:tcPr>
            <w:tcW w:w="4490"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 xml:space="preserve">中标供应商可登录【全国公共资源交易平台（陕西省•西安市）】网站〖首页〉电子交易平台〉企业端〗后，在〖我的项目/项目流程〗模块中点击下载“中标（成交）通知书”。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20</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西安市公共资源交易中心电子化政府采购系统技术支持（软件开发商）</w:t>
            </w:r>
          </w:p>
        </w:tc>
        <w:tc>
          <w:tcPr>
            <w:tcW w:w="4490"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国泰新点软件股份有限公司</w:t>
            </w:r>
          </w:p>
          <w:p>
            <w:pPr>
              <w:rPr>
                <w:rFonts w:ascii="宋体" w:hAnsi="宋体" w:eastAsia="宋体" w:cs="宋体"/>
                <w:sz w:val="28"/>
                <w:szCs w:val="28"/>
              </w:rPr>
            </w:pPr>
            <w:r>
              <w:rPr>
                <w:rFonts w:hint="eastAsia" w:ascii="宋体" w:hAnsi="宋体" w:eastAsia="宋体" w:cs="宋体"/>
                <w:sz w:val="28"/>
                <w:szCs w:val="28"/>
              </w:rPr>
              <w:t>1．技术支持热线：400-998-0000/400-928-0095</w:t>
            </w:r>
          </w:p>
          <w:p>
            <w:pPr>
              <w:rPr>
                <w:rFonts w:ascii="宋体" w:hAnsi="宋体" w:eastAsia="宋体" w:cs="宋体"/>
                <w:sz w:val="28"/>
                <w:szCs w:val="28"/>
              </w:rPr>
            </w:pPr>
            <w:r>
              <w:rPr>
                <w:rFonts w:hint="eastAsia" w:ascii="宋体" w:hAnsi="宋体" w:eastAsia="宋体" w:cs="宋体"/>
                <w:sz w:val="28"/>
                <w:szCs w:val="28"/>
              </w:rPr>
              <w:t>2．驻场技术人员：029-86510166/86510167转80310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21</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CA业务网点</w:t>
            </w:r>
          </w:p>
        </w:tc>
        <w:tc>
          <w:tcPr>
            <w:tcW w:w="4490"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陕西省数字证书认证中心股份有限公司</w:t>
            </w:r>
          </w:p>
          <w:p>
            <w:pPr>
              <w:jc w:val="both"/>
              <w:rPr>
                <w:rFonts w:ascii="宋体" w:hAnsi="宋体" w:eastAsia="宋体" w:cs="宋体"/>
                <w:sz w:val="28"/>
                <w:szCs w:val="28"/>
              </w:rPr>
            </w:pPr>
            <w:r>
              <w:rPr>
                <w:rFonts w:hint="eastAsia" w:ascii="宋体" w:hAnsi="宋体" w:eastAsia="宋体" w:cs="宋体"/>
                <w:sz w:val="28"/>
                <w:szCs w:val="28"/>
              </w:rPr>
              <w:t>网点1：西安市高新三路信息港大厦1楼客服中心</w:t>
            </w:r>
          </w:p>
          <w:p>
            <w:pPr>
              <w:jc w:val="both"/>
              <w:rPr>
                <w:rFonts w:ascii="宋体" w:hAnsi="宋体" w:eastAsia="宋体" w:cs="宋体"/>
                <w:sz w:val="28"/>
                <w:szCs w:val="28"/>
              </w:rPr>
            </w:pPr>
            <w:r>
              <w:rPr>
                <w:rFonts w:hint="eastAsia" w:ascii="宋体" w:hAnsi="宋体" w:eastAsia="宋体" w:cs="宋体"/>
                <w:sz w:val="28"/>
                <w:szCs w:val="28"/>
              </w:rPr>
              <w:t>客服电话：4006-369-888</w:t>
            </w:r>
          </w:p>
          <w:p>
            <w:pPr>
              <w:jc w:val="both"/>
              <w:rPr>
                <w:rFonts w:ascii="宋体" w:hAnsi="宋体" w:eastAsia="宋体" w:cs="宋体"/>
                <w:sz w:val="28"/>
                <w:szCs w:val="28"/>
              </w:rPr>
            </w:pPr>
            <w:r>
              <w:rPr>
                <w:rFonts w:hint="eastAsia" w:ascii="宋体" w:hAnsi="宋体" w:eastAsia="宋体" w:cs="宋体"/>
                <w:sz w:val="28"/>
                <w:szCs w:val="28"/>
              </w:rPr>
              <w:t>网点2：西安市长安北路14号省体育公寓B座一楼</w:t>
            </w:r>
          </w:p>
          <w:p>
            <w:pPr>
              <w:jc w:val="both"/>
              <w:rPr>
                <w:rFonts w:ascii="宋体" w:hAnsi="宋体" w:eastAsia="宋体" w:cs="宋体"/>
                <w:sz w:val="28"/>
                <w:szCs w:val="28"/>
              </w:rPr>
            </w:pPr>
            <w:r>
              <w:rPr>
                <w:rFonts w:hint="eastAsia" w:ascii="宋体" w:hAnsi="宋体" w:eastAsia="宋体" w:cs="宋体"/>
                <w:sz w:val="28"/>
                <w:szCs w:val="28"/>
              </w:rPr>
              <w:t>咨询电话：029-88661241</w:t>
            </w:r>
          </w:p>
          <w:p>
            <w:pPr>
              <w:jc w:val="both"/>
              <w:rPr>
                <w:rFonts w:ascii="宋体" w:hAnsi="宋体" w:eastAsia="宋体" w:cs="宋体"/>
                <w:sz w:val="28"/>
                <w:szCs w:val="28"/>
              </w:rPr>
            </w:pPr>
            <w:r>
              <w:rPr>
                <w:rFonts w:hint="eastAsia" w:ascii="宋体" w:hAnsi="宋体" w:eastAsia="宋体" w:cs="宋体"/>
                <w:sz w:val="28"/>
                <w:szCs w:val="28"/>
              </w:rPr>
              <w:t>网点3：西安市文景北路16号白桦林国际B座2楼11#窗口</w:t>
            </w:r>
          </w:p>
          <w:p>
            <w:pPr>
              <w:jc w:val="both"/>
              <w:rPr>
                <w:rFonts w:ascii="宋体" w:hAnsi="宋体" w:eastAsia="宋体" w:cs="宋体"/>
                <w:sz w:val="28"/>
                <w:szCs w:val="28"/>
              </w:rPr>
            </w:pPr>
            <w:r>
              <w:rPr>
                <w:rFonts w:hint="eastAsia" w:ascii="宋体" w:hAnsi="宋体" w:eastAsia="宋体" w:cs="宋体"/>
                <w:sz w:val="28"/>
                <w:szCs w:val="28"/>
              </w:rPr>
              <w:t>咨询电话：029-86510073转80211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22</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代理服务费</w:t>
            </w:r>
          </w:p>
        </w:tc>
        <w:tc>
          <w:tcPr>
            <w:tcW w:w="4490"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1、参照国家计委颁发的《招标代理服务收费管理暂行办法》（计价格[2002]1980号）和国家发展改革委员会办公厅颁发的《关于招标代理服务收费有关问题的通知》（发改办价格[2003]857号）的标准下浮20%收取。</w:t>
            </w:r>
          </w:p>
          <w:p>
            <w:pPr>
              <w:jc w:val="both"/>
              <w:rPr>
                <w:rFonts w:ascii="宋体" w:hAnsi="宋体" w:eastAsia="宋体" w:cs="宋体"/>
                <w:sz w:val="28"/>
                <w:szCs w:val="28"/>
              </w:rPr>
            </w:pPr>
            <w:r>
              <w:rPr>
                <w:rFonts w:hint="eastAsia" w:ascii="宋体" w:hAnsi="宋体" w:eastAsia="宋体" w:cs="宋体"/>
                <w:sz w:val="28"/>
                <w:szCs w:val="28"/>
              </w:rPr>
              <w:t>2、供应商将招标代理服务费计入投标报价但不单独列明，中标单位在领取中标通知书前，须向采购代理机构一次性支付招标代理服务费；代理服务费以转账、电汇或现金等形式交纳。</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23</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所属行业</w:t>
            </w:r>
          </w:p>
        </w:tc>
        <w:tc>
          <w:tcPr>
            <w:tcW w:w="4490"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工业</w:t>
            </w:r>
          </w:p>
        </w:tc>
      </w:tr>
    </w:tbl>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br w:type="page"/>
      </w:r>
    </w:p>
    <w:p>
      <w:pPr>
        <w:pStyle w:val="5"/>
        <w:rPr>
          <w:rFonts w:ascii="宋体" w:hAnsi="宋体" w:eastAsia="宋体" w:cs="宋体"/>
          <w:b/>
          <w:bCs/>
          <w:sz w:val="28"/>
          <w:szCs w:val="28"/>
        </w:rPr>
      </w:pPr>
      <w:bookmarkStart w:id="12" w:name="_Toc19614"/>
      <w:r>
        <w:rPr>
          <w:rFonts w:hint="eastAsia" w:ascii="宋体" w:hAnsi="宋体" w:eastAsia="宋体" w:cs="宋体"/>
          <w:b/>
          <w:bCs/>
          <w:sz w:val="28"/>
          <w:szCs w:val="28"/>
        </w:rPr>
        <w:t>一、有关定义</w:t>
      </w:r>
      <w:bookmarkEnd w:id="12"/>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1．采购人：依法进行政府采购的西安市市级机关、事业单位或团体组织。</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2．供应商：指向采购人提供货物、工程或者服务的法人、其他组织或者自然人。</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3．同级政府采购监管部门：西安市财政局政府采购管理处。</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4．西安市公共资源交易平台：即【全国公共资源交易平台（陕西省·西安市）】的简称，官网地址</w:t>
      </w:r>
      <w:r>
        <w:rPr>
          <w:rFonts w:hint="eastAsia"/>
        </w:rPr>
        <w:fldChar w:fldCharType="begin"/>
      </w:r>
      <w:r>
        <w:rPr>
          <w:rFonts w:hint="eastAsia" w:ascii="宋体" w:hAnsi="宋体" w:eastAsia="宋体" w:cs="宋体"/>
          <w:sz w:val="28"/>
          <w:szCs w:val="28"/>
        </w:rPr>
        <w:instrText xml:space="preserve"> HYPERLINK "http://sxggzyjy.xa.gov.cn/" </w:instrText>
      </w:r>
      <w:r>
        <w:rPr>
          <w:rFonts w:hint="eastAsia"/>
        </w:rPr>
        <w:fldChar w:fldCharType="separate"/>
      </w:r>
      <w:r>
        <w:rPr>
          <w:rStyle w:val="47"/>
          <w:rFonts w:hint="eastAsia" w:ascii="宋体" w:hAnsi="宋体" w:eastAsia="宋体" w:cs="宋体"/>
          <w:color w:val="auto"/>
          <w:sz w:val="28"/>
          <w:szCs w:val="28"/>
          <w:u w:val="none"/>
        </w:rPr>
        <w:t>http://sxggzyjy.xa.gov.cn/</w:t>
      </w:r>
      <w:r>
        <w:rPr>
          <w:rStyle w:val="47"/>
          <w:rFonts w:hint="eastAsia" w:ascii="宋体" w:hAnsi="宋体" w:eastAsia="宋体" w:cs="宋体"/>
          <w:color w:val="auto"/>
          <w:sz w:val="28"/>
          <w:szCs w:val="28"/>
          <w:u w:val="none"/>
        </w:rPr>
        <w:fldChar w:fldCharType="end"/>
      </w:r>
      <w:r>
        <w:rPr>
          <w:rFonts w:hint="eastAsia" w:ascii="宋体" w:hAnsi="宋体" w:eastAsia="宋体" w:cs="宋体"/>
          <w:sz w:val="28"/>
          <w:szCs w:val="28"/>
        </w:rPr>
        <w:t>。</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5．企业端：指西安市公共资源交易平台〖首页·〉电子交易平台·〉陕西政府采购交易系统·〉企业端〗，快捷登录网址</w:t>
      </w:r>
      <w:r>
        <w:fldChar w:fldCharType="begin"/>
      </w:r>
      <w:r>
        <w:instrText xml:space="preserve"> HYPERLINK "http://www.sxggzyjy.cn:9002/TPBidder/memberLogin" </w:instrText>
      </w:r>
      <w:r>
        <w:fldChar w:fldCharType="separate"/>
      </w:r>
      <w:r>
        <w:rPr>
          <w:rStyle w:val="47"/>
          <w:rFonts w:hint="eastAsia" w:ascii="宋体" w:hAnsi="宋体" w:eastAsia="宋体" w:cs="宋体"/>
          <w:color w:val="auto"/>
          <w:sz w:val="28"/>
          <w:szCs w:val="28"/>
          <w:u w:val="none"/>
        </w:rPr>
        <w:t>http://www.sxggzyjy.cn:9002/TPBidder/memberLogin</w:t>
      </w:r>
      <w:r>
        <w:rPr>
          <w:rStyle w:val="47"/>
          <w:rFonts w:hint="eastAsia" w:ascii="宋体" w:hAnsi="宋体" w:eastAsia="宋体" w:cs="宋体"/>
          <w:color w:val="auto"/>
          <w:sz w:val="28"/>
          <w:szCs w:val="28"/>
          <w:u w:val="none"/>
        </w:rPr>
        <w:fldChar w:fldCharType="end"/>
      </w:r>
      <w:r>
        <w:rPr>
          <w:rFonts w:hint="eastAsia" w:ascii="宋体" w:hAnsi="宋体" w:eastAsia="宋体" w:cs="宋体"/>
          <w:sz w:val="28"/>
          <w:szCs w:val="28"/>
        </w:rPr>
        <w:t>。</w:t>
      </w:r>
    </w:p>
    <w:p>
      <w:pPr>
        <w:pStyle w:val="5"/>
        <w:rPr>
          <w:rFonts w:ascii="宋体" w:hAnsi="宋体" w:eastAsia="宋体" w:cs="宋体"/>
          <w:b/>
          <w:bCs/>
          <w:sz w:val="28"/>
          <w:szCs w:val="28"/>
        </w:rPr>
      </w:pPr>
      <w:bookmarkStart w:id="13" w:name="_Toc7078"/>
      <w:r>
        <w:rPr>
          <w:rFonts w:hint="eastAsia" w:ascii="宋体" w:hAnsi="宋体" w:eastAsia="宋体" w:cs="宋体"/>
          <w:b/>
          <w:bCs/>
          <w:sz w:val="28"/>
          <w:szCs w:val="28"/>
        </w:rPr>
        <w:t>二、供应商注意事项</w:t>
      </w:r>
      <w:bookmarkEnd w:id="13"/>
    </w:p>
    <w:p>
      <w:pPr>
        <w:pStyle w:val="101"/>
        <w:ind w:firstLine="579"/>
        <w:rPr>
          <w:b/>
          <w:bCs/>
          <w:sz w:val="28"/>
          <w:szCs w:val="28"/>
        </w:rPr>
      </w:pPr>
      <w:bookmarkStart w:id="14" w:name="_Toc21146"/>
      <w:r>
        <w:rPr>
          <w:rFonts w:hint="eastAsia"/>
          <w:b/>
          <w:bCs/>
          <w:sz w:val="28"/>
          <w:szCs w:val="28"/>
        </w:rPr>
        <w:t>（一）供应商投标流程</w:t>
      </w:r>
      <w:bookmarkEnd w:id="14"/>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使用电子交易系统的采购项目（即线上项目），将同时提供WORD\PDF格式（仅用于预览）和SXSZF格式（用于制作电子投标文件）两个版本，文件内容一致。</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1．预览采购文件：打开西安市公共资源交易平台〖首页·〉交易大厅·〉政府采购〗栏目，下载和阅读本项目采购文件的预览版本（WORD\PDF格式）；</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2．办理注册登记（针对初次使用电子交易系统的用户）：</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（1）办理诚信入库注册：在决定参加本项目采购活动后，供应商应先在西安市公共资源交易平台上完成“诚信入库登记”；</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办理数字认证（CA锁）：一般分为法人锁（必选）、企业锁主锁（必选）及副锁（可选）。CA锁将用于对电子投标文件进行签章、加密、递交及开标时解密等相关操作。CA办理及售后服务统一由第三方机构（陕西CA、深圳CA、西部CA、北京CA四家数字证书公司）负责。</w:t>
      </w:r>
    </w:p>
    <w:p>
      <w:pPr>
        <w:widowControl w:val="0"/>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办理须知：</w:t>
      </w:r>
    </w:p>
    <w:p>
      <w:pPr>
        <w:widowControl w:val="0"/>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http://</w:t>
      </w:r>
      <w:r>
        <w:fldChar w:fldCharType="begin"/>
      </w:r>
      <w:r>
        <w:instrText xml:space="preserve"> HYPERLINK "http://www.snca.com.cn/channel/show/27.html" </w:instrText>
      </w:r>
      <w:r>
        <w:fldChar w:fldCharType="separate"/>
      </w:r>
      <w:r>
        <w:rPr>
          <w:rStyle w:val="47"/>
          <w:rFonts w:hint="eastAsia" w:ascii="宋体" w:hAnsi="宋体" w:eastAsia="宋体" w:cs="宋体"/>
          <w:color w:val="auto"/>
          <w:sz w:val="28"/>
          <w:szCs w:val="28"/>
          <w:u w:val="none"/>
        </w:rPr>
        <w:t>www.snca.com.cn/channel/show/27.html</w:t>
      </w:r>
      <w:r>
        <w:rPr>
          <w:rStyle w:val="47"/>
          <w:rFonts w:hint="eastAsia" w:ascii="宋体" w:hAnsi="宋体" w:eastAsia="宋体" w:cs="宋体"/>
          <w:color w:val="auto"/>
          <w:sz w:val="28"/>
          <w:szCs w:val="28"/>
          <w:u w:val="none"/>
        </w:rPr>
        <w:fldChar w:fldCharType="end"/>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（3）绑定和激活CA：将数字证书与诚信库中的供应商账户进行绑定。</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3．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pPr>
        <w:spacing w:line="560" w:lineRule="exact"/>
        <w:ind w:firstLine="560" w:firstLineChars="200"/>
        <w:jc w:val="both"/>
        <w:rPr>
          <w:rFonts w:ascii="宋体" w:hAnsi="宋体" w:eastAsia="宋体" w:cs="宋体"/>
          <w:sz w:val="32"/>
          <w:szCs w:val="32"/>
        </w:rPr>
      </w:pPr>
      <w:r>
        <w:rPr>
          <w:rFonts w:hint="eastAsia" w:ascii="宋体" w:hAnsi="宋体" w:eastAsia="宋体" w:cs="宋体"/>
          <w:sz w:val="28"/>
          <w:szCs w:val="28"/>
        </w:rPr>
        <w:t>4．制作电子投标文件：需要使用专用制作软件“新点投标文件制作软件（陕西公共资源）”进行编制，编制完成后使用CA锁对电子投标文件进行签章、加密。详见本章中的“投标文件”相关内容。</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5．提交电子投标文件：在提交投标文件截止时间前及时提交加密后电子投标文件，逾期提交的，系统将会拒收；</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6．在线参加开标大会：开标当日，供应商法定代表人或其授权代表需提前登录“不见面开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7．等待专家评审：评审期间，可能需要对评审专家提出的问题进行澄清或答复。在主持人宣布评审结束前，供应商请勿擅自离席，否则由此造成的不利后果，由供应商自行承担。</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8．中标供应商注册：按照陕西省政府采购监管部门的要求，采购代理机构在发布中标公告前，应由中标供应商在陕西省政府采购网上完成注册。</w:t>
      </w:r>
    </w:p>
    <w:p>
      <w:pPr>
        <w:pStyle w:val="101"/>
        <w:ind w:firstLine="579"/>
        <w:rPr>
          <w:b/>
          <w:bCs/>
          <w:sz w:val="28"/>
          <w:szCs w:val="28"/>
        </w:rPr>
      </w:pPr>
      <w:bookmarkStart w:id="15" w:name="_Toc18855"/>
      <w:r>
        <w:rPr>
          <w:rFonts w:hint="eastAsia"/>
          <w:b/>
          <w:bCs/>
          <w:sz w:val="28"/>
          <w:szCs w:val="28"/>
        </w:rPr>
        <w:t>（二）关于询问、质疑和投诉</w:t>
      </w:r>
      <w:bookmarkEnd w:id="15"/>
    </w:p>
    <w:p>
      <w:pPr>
        <w:pStyle w:val="101"/>
        <w:ind w:firstLine="577"/>
        <w:rPr>
          <w:rFonts w:ascii="宋体" w:hAnsi="宋体" w:cs="宋体"/>
          <w:sz w:val="28"/>
          <w:szCs w:val="28"/>
        </w:rPr>
      </w:pPr>
      <w:bookmarkStart w:id="16" w:name="_Toc25855"/>
      <w:r>
        <w:rPr>
          <w:rFonts w:hint="eastAsia" w:ascii="宋体" w:hAnsi="宋体" w:cs="宋体"/>
          <w:sz w:val="28"/>
          <w:szCs w:val="28"/>
        </w:rPr>
        <w:t>1．询问</w:t>
      </w:r>
      <w:bookmarkEnd w:id="16"/>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供应商对政府采购活动事项有疑问的，可以向采购人或采购代理机构提出询问。采购人或采购代理机构将在3个工作日内对供应商依法提出的询问作出答复。</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根据采购人和采购代理机构签订的《政府采购委托代理协议》，针对采购需求（包括采购内容、技术或服务要求、商务要求、合同条款、供应商资格条件、评审要素及分值一览表）的询问请向采购人提出。</w:t>
      </w:r>
    </w:p>
    <w:p>
      <w:pPr>
        <w:pStyle w:val="101"/>
        <w:ind w:firstLine="577"/>
        <w:rPr>
          <w:sz w:val="28"/>
          <w:szCs w:val="28"/>
        </w:rPr>
      </w:pPr>
      <w:bookmarkStart w:id="17" w:name="_Toc7787"/>
      <w:r>
        <w:rPr>
          <w:rFonts w:hint="eastAsia"/>
          <w:sz w:val="28"/>
          <w:szCs w:val="28"/>
        </w:rPr>
        <w:t>2．质疑</w:t>
      </w:r>
      <w:bookmarkEnd w:id="17"/>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（1）供应商认为采购文件、采购过程、成交结果使自己的权益受到损害的，可以在知道或应知其权益受到损害之日起7个工作日内以书面形式向采购人、采购代理机构提出。</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（2）质疑方式：</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① 在线质疑：</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登录西安市公共资源交易平台〖首页·〉电子交易平台·〉企业端〗，在〖我的项目〗中点击“项目流程·〉提出质疑”，填写表单并提交质疑。</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② 书面质疑：</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书面质疑函应按照财政部国库司制定的《政府采购供应商质疑函范本》（见下方链接）进行填写，签字、盖章后提交至采购人、采购代理机构。</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质疑函范本地址：</w:t>
      </w:r>
      <w:r>
        <w:fldChar w:fldCharType="begin"/>
      </w:r>
      <w:r>
        <w:instrText xml:space="preserve"> HYPERLINK "http://download.ccgp.gov.cn/2018/zhiyihanfanben.zip" </w:instrText>
      </w:r>
      <w:r>
        <w:fldChar w:fldCharType="separate"/>
      </w:r>
      <w:r>
        <w:rPr>
          <w:rStyle w:val="47"/>
          <w:rFonts w:hint="eastAsia" w:ascii="宋体" w:hAnsi="宋体" w:eastAsia="宋体" w:cs="宋体"/>
          <w:color w:val="auto"/>
          <w:sz w:val="28"/>
          <w:szCs w:val="28"/>
          <w:u w:val="none"/>
        </w:rPr>
        <w:t>http://download.ccgp.gov.cn/2018/zhiyihanfanben.zip</w:t>
      </w:r>
      <w:r>
        <w:rPr>
          <w:rStyle w:val="47"/>
          <w:rFonts w:hint="eastAsia" w:ascii="宋体" w:hAnsi="宋体" w:eastAsia="宋体" w:cs="宋体"/>
          <w:color w:val="auto"/>
          <w:sz w:val="28"/>
          <w:szCs w:val="28"/>
          <w:u w:val="none"/>
        </w:rPr>
        <w:fldChar w:fldCharType="end"/>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（4）在法定质疑期内，针对同一采购程序环节的质疑应当一次性提出。采购人、采购代理机构将在收到书面质疑后7个工作日内做出答复，并以书面形式通知质疑人和其他有关供应商。</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（5）有下列情形之一的，属于无效质疑：</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① 对采购文件提出质疑的质疑人不是依法获取采购文件的潜在供应商；对采购过程、中标结果提出质疑的质疑人不是参与本次政府采购项目的供应商；</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② 超过法定期限或未以书面形式提出的；</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③ 缺乏必要的证明材料，或捏造事实、提供虚假材料，或以非法手段取得证明材料的；</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④ 质疑函没有合法有效的签字、盖章或委托授权书的（代理人提出质疑和投诉，应当提交供应商签署的授权委托书）；</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⑤ 针对同一采购程序环节又提出其他质疑事项的，或质疑答复后就同一事项再次提出质疑的；</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⑥ 不符合法律、法规、规章和政府采购监管机构规定的其他条件的。</w:t>
      </w:r>
    </w:p>
    <w:p>
      <w:pPr>
        <w:pStyle w:val="101"/>
        <w:ind w:firstLine="577"/>
        <w:rPr>
          <w:rFonts w:ascii="宋体" w:hAnsi="宋体" w:cs="宋体"/>
          <w:sz w:val="28"/>
          <w:szCs w:val="28"/>
        </w:rPr>
      </w:pPr>
      <w:bookmarkStart w:id="18" w:name="_Toc26875"/>
      <w:r>
        <w:rPr>
          <w:rFonts w:hint="eastAsia" w:ascii="宋体" w:hAnsi="宋体" w:cs="宋体"/>
          <w:sz w:val="28"/>
          <w:szCs w:val="28"/>
        </w:rPr>
        <w:t>3．投诉</w:t>
      </w:r>
      <w:bookmarkEnd w:id="18"/>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质疑供应商对采购人、采购代理机构的答复不满意，或者采购人、采购代理机构未在规定的时间内做出答复的，可以在答复期满后15个工作日内按照《政府采购质疑和投诉办法》（财政部94号令）相关规定向西安市财政局政府采购管理处提出投诉。</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（2）供应商投诉的事项不得超出已质疑事项的范围。供应商提出投诉时，应当提交投诉书和必要的证明材料，并按财政部《投诉书范本》给定的格式进行填写。</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投诉书范本地址：</w:t>
      </w:r>
    </w:p>
    <w:p>
      <w:pPr>
        <w:spacing w:line="560" w:lineRule="exact"/>
        <w:ind w:firstLine="480" w:firstLineChars="200"/>
        <w:jc w:val="both"/>
        <w:rPr>
          <w:rFonts w:ascii="宋体" w:hAnsi="宋体" w:eastAsia="宋体" w:cs="宋体"/>
          <w:sz w:val="28"/>
          <w:szCs w:val="28"/>
        </w:rPr>
      </w:pPr>
      <w:r>
        <w:fldChar w:fldCharType="begin"/>
      </w:r>
      <w:r>
        <w:instrText xml:space="preserve"> HYPERLINK "http://download.ccgp.gov.cn/2018/tousushufanben.zip" </w:instrText>
      </w:r>
      <w:r>
        <w:fldChar w:fldCharType="separate"/>
      </w:r>
      <w:r>
        <w:rPr>
          <w:rStyle w:val="47"/>
          <w:rFonts w:hint="eastAsia" w:ascii="宋体" w:hAnsi="宋体" w:eastAsia="宋体" w:cs="宋体"/>
          <w:sz w:val="28"/>
          <w:szCs w:val="28"/>
        </w:rPr>
        <w:t>http://download.ccgp.gov.cn/2018/tousushufanben.zip</w:t>
      </w:r>
      <w:r>
        <w:rPr>
          <w:rStyle w:val="47"/>
          <w:rFonts w:hint="eastAsia" w:ascii="宋体" w:hAnsi="宋体" w:eastAsia="宋体" w:cs="宋体"/>
          <w:sz w:val="28"/>
          <w:szCs w:val="28"/>
        </w:rPr>
        <w:fldChar w:fldCharType="end"/>
      </w:r>
    </w:p>
    <w:p>
      <w:pPr>
        <w:pStyle w:val="101"/>
        <w:ind w:firstLine="577"/>
        <w:rPr>
          <w:rFonts w:ascii="宋体" w:hAnsi="宋体" w:cs="宋体"/>
          <w:sz w:val="28"/>
          <w:szCs w:val="28"/>
        </w:rPr>
      </w:pPr>
      <w:bookmarkStart w:id="19" w:name="_Toc6468"/>
      <w:r>
        <w:rPr>
          <w:rFonts w:hint="eastAsia" w:ascii="宋体" w:hAnsi="宋体" w:cs="宋体"/>
          <w:sz w:val="28"/>
          <w:szCs w:val="28"/>
        </w:rPr>
        <w:t>4．恶意质疑、投诉的法律后果</w:t>
      </w:r>
      <w:bookmarkEnd w:id="19"/>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（1）对捏造事实、提供虚假材料进行质疑、投诉的行为予以严肃处理：</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（2）对捏造事实诬告陷害他人、诽谤他人的法律适用：</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《中华人民共和国刑法》第243条【诬告陷害罪】捏造事实诬告陷害他人，意图使他人受刑事追究，情节严重的，处三年以下有期徒刑、拘役或者管制；造成严重后果的，处三年以上十年以下有期徒刑。</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《中华人民共和国刑法》第246条【侮辱罪、诽谤罪】以暴力或者其他方法公然侮辱他人或者捏造事实诽谤他人，情节严重的，处三年以下有期徒刑、拘役、管制或者剥夺政治权利。</w:t>
      </w:r>
    </w:p>
    <w:p>
      <w:pPr>
        <w:pStyle w:val="101"/>
        <w:ind w:firstLine="579"/>
        <w:rPr>
          <w:b/>
          <w:bCs/>
          <w:sz w:val="28"/>
          <w:szCs w:val="28"/>
        </w:rPr>
      </w:pPr>
      <w:bookmarkStart w:id="20" w:name="_Toc15150"/>
      <w:r>
        <w:rPr>
          <w:rFonts w:hint="eastAsia"/>
          <w:b/>
          <w:bCs/>
          <w:sz w:val="28"/>
          <w:szCs w:val="28"/>
        </w:rPr>
        <w:t>（三）关于保证金</w:t>
      </w:r>
      <w:bookmarkEnd w:id="20"/>
    </w:p>
    <w:p>
      <w:pPr>
        <w:pStyle w:val="101"/>
        <w:ind w:firstLine="577"/>
        <w:rPr>
          <w:sz w:val="28"/>
          <w:szCs w:val="28"/>
        </w:rPr>
      </w:pPr>
      <w:bookmarkStart w:id="21" w:name="_Toc21776"/>
      <w:r>
        <w:rPr>
          <w:rFonts w:hint="eastAsia"/>
          <w:sz w:val="28"/>
          <w:szCs w:val="28"/>
        </w:rPr>
        <w:t>1．西安市政府采购信用担保及信用融资政策</w:t>
      </w:r>
      <w:bookmarkEnd w:id="21"/>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投标保证金、履约保证金时可自愿选择通过担保函的形式交纳，供应商违约，开具担保函单位承担连带责任。</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关于进一步做好政府采购信用担保及信用融资工作有关事宜的通知》。2017年西安市财政局对合作机构名单进行了调整，详见《2017年西安市政府采购信用担保及信用融资合作机构联系名单》（以下简称合作机构名单）。</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《实施方案》链接地址：</w:t>
      </w:r>
    </w:p>
    <w:p>
      <w:pPr>
        <w:spacing w:line="560" w:lineRule="exact"/>
        <w:ind w:firstLine="480" w:firstLineChars="200"/>
        <w:jc w:val="both"/>
        <w:rPr>
          <w:rFonts w:ascii="宋体" w:hAnsi="宋体" w:eastAsia="宋体" w:cs="宋体"/>
          <w:sz w:val="28"/>
          <w:szCs w:val="28"/>
        </w:rPr>
      </w:pPr>
      <w:r>
        <w:fldChar w:fldCharType="begin"/>
      </w:r>
      <w:r>
        <w:instrText xml:space="preserve"> HYPERLINK "http://xaczj.xa.gov.cn/zfcg/cgfg/5db90552fd850863a9e4594d.html" </w:instrText>
      </w:r>
      <w:r>
        <w:fldChar w:fldCharType="separate"/>
      </w:r>
      <w:r>
        <w:rPr>
          <w:rStyle w:val="47"/>
          <w:rFonts w:hint="eastAsia" w:ascii="宋体" w:hAnsi="宋体" w:eastAsia="宋体" w:cs="宋体"/>
          <w:color w:val="auto"/>
          <w:sz w:val="28"/>
          <w:szCs w:val="28"/>
          <w:u w:val="none"/>
        </w:rPr>
        <w:t>http://xaczj.xa.gov.cn/zfcg/cgfg/5db90552fd850863a9e4594d.html</w:t>
      </w:r>
      <w:r>
        <w:rPr>
          <w:rStyle w:val="47"/>
          <w:rFonts w:hint="eastAsia" w:ascii="宋体" w:hAnsi="宋体" w:eastAsia="宋体" w:cs="宋体"/>
          <w:color w:val="auto"/>
          <w:sz w:val="28"/>
          <w:szCs w:val="28"/>
          <w:u w:val="none"/>
        </w:rPr>
        <w:fldChar w:fldCharType="end"/>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《合作机构名单》链接地址：</w:t>
      </w:r>
    </w:p>
    <w:p>
      <w:pPr>
        <w:spacing w:line="560" w:lineRule="exact"/>
        <w:ind w:firstLine="480" w:firstLineChars="200"/>
        <w:jc w:val="both"/>
        <w:rPr>
          <w:rFonts w:ascii="宋体" w:hAnsi="宋体" w:eastAsia="宋体" w:cs="宋体"/>
          <w:sz w:val="28"/>
          <w:szCs w:val="28"/>
        </w:rPr>
      </w:pPr>
      <w:r>
        <w:fldChar w:fldCharType="begin"/>
      </w:r>
      <w:r>
        <w:instrText xml:space="preserve"> HYPERLINK "http://xaczj.xa.gov.cn/zfcg/cgfg/5db9054565cbd804f69e97e0.html" </w:instrText>
      </w:r>
      <w:r>
        <w:fldChar w:fldCharType="separate"/>
      </w:r>
      <w:r>
        <w:rPr>
          <w:rStyle w:val="47"/>
          <w:rFonts w:hint="eastAsia" w:ascii="宋体" w:hAnsi="宋体" w:eastAsia="宋体" w:cs="宋体"/>
          <w:color w:val="auto"/>
          <w:sz w:val="28"/>
          <w:szCs w:val="28"/>
          <w:u w:val="none"/>
        </w:rPr>
        <w:t>http://xaczj.xa.gov.cn/zfcg/cgfg/5db9054565cbd804f69e97e0.html</w:t>
      </w:r>
      <w:r>
        <w:rPr>
          <w:rStyle w:val="47"/>
          <w:rFonts w:hint="eastAsia" w:ascii="宋体" w:hAnsi="宋体" w:eastAsia="宋体" w:cs="宋体"/>
          <w:color w:val="auto"/>
          <w:sz w:val="28"/>
          <w:szCs w:val="28"/>
          <w:u w:val="none"/>
        </w:rPr>
        <w:fldChar w:fldCharType="end"/>
      </w:r>
    </w:p>
    <w:p>
      <w:pPr>
        <w:pStyle w:val="101"/>
        <w:ind w:firstLine="577"/>
        <w:rPr>
          <w:sz w:val="28"/>
          <w:szCs w:val="28"/>
        </w:rPr>
      </w:pPr>
      <w:bookmarkStart w:id="22" w:name="_Toc184"/>
      <w:r>
        <w:rPr>
          <w:rFonts w:hint="eastAsia"/>
          <w:sz w:val="28"/>
          <w:szCs w:val="28"/>
        </w:rPr>
        <w:t>2．投标保证金</w:t>
      </w:r>
      <w:bookmarkEnd w:id="22"/>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按照西安市财政局《关于促进政府采购公平竞争优化营商环境的通知》第三条规定，供应商参与西安市政府采购活动时，免交投标保证金。</w:t>
      </w:r>
    </w:p>
    <w:p>
      <w:pPr>
        <w:pStyle w:val="101"/>
        <w:ind w:firstLine="577"/>
        <w:rPr>
          <w:sz w:val="28"/>
          <w:szCs w:val="28"/>
        </w:rPr>
      </w:pPr>
      <w:bookmarkStart w:id="23" w:name="_Toc26947"/>
      <w:r>
        <w:rPr>
          <w:rFonts w:hint="eastAsia"/>
          <w:sz w:val="28"/>
          <w:szCs w:val="28"/>
        </w:rPr>
        <w:t>3．履约保证金</w:t>
      </w:r>
      <w:bookmarkEnd w:id="23"/>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无</w:t>
      </w:r>
    </w:p>
    <w:p>
      <w:pPr>
        <w:pStyle w:val="101"/>
        <w:ind w:firstLine="579"/>
        <w:rPr>
          <w:b/>
          <w:bCs/>
          <w:sz w:val="28"/>
          <w:szCs w:val="28"/>
        </w:rPr>
      </w:pPr>
      <w:bookmarkStart w:id="24" w:name="_Toc9929"/>
      <w:r>
        <w:rPr>
          <w:rFonts w:hint="eastAsia"/>
          <w:b/>
          <w:bCs/>
          <w:sz w:val="28"/>
          <w:szCs w:val="28"/>
        </w:rPr>
        <w:t>（四）关于联合体</w:t>
      </w:r>
      <w:bookmarkEnd w:id="24"/>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政府采购促进中小企业发展管理办法》（财库〔2020〕46号）鼓励大中型企业和其他自然人、法人或者其他组织与小型、微型企业组成联合体共同参加非专门面向中小企业的政府采购活动。联合体各方均为小型、微型企业的，联合体视同为小型、微型企业；联合协议中约定，小型、微型企业的协议合同金额占到联合体协议合同总金额30%以上的，对联合体或者大中型企业的报价给予2%-3%（工程项目为1%~2%）的扣除，用扣除后的价格参加评审。</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投标邀请函中载明“接受联合体”时，两个以上供应商可以组成一个联合体，以一个供应商的身份参与投标；投标邀请函未明确载明“不接受联合体”时，视同接受联合体。采购项目接受联合体时，组成联合体的大中型企业和其他自然人、法人或者其他组织，与小型、微型企业之间不得存在投资关系的。</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3．联合体各方之间应当签订《联合体协议书》，明确约定联合体各方承担的工作和相应的责任。联合体协议签订后，联合体各方不得再单独参加或者与其他供应商另外组成联合体参加同一合同项下的政府采购活动。</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4．供应商以联合体形式参加政府采购活动时，遵循以下规则：</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① 联合体各方均应当具备投标邀请函中前五项基本资格要求；第六项《法定代表人委托授权书》由联合体牵头人的法定代表人（法人单位）或负责人（非法人单位）代表联合体各方进行签字、盖章，并对联合体各方负责。</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② 采购人根据采购项目的特殊要求规定供应商特定条件的，联合体各方中至少应当有一方符合采购人规定的特定条件。联合体中有同类资质的供应商按照联合体分工承担相同工作的，应当按照资质等级较低的供应商确定资质等级。</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③ 采用资格前审的项目，联合体应当在提交资格前审申请文件前组成。资格前审后联合体不得增减、更换成员。</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④ 资格审查阶段，采购人将对所有联合体成员进行信用记录查询，联合体成员存在不良信用记录的，视同联合体存在不良信用记录。</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⑤ 招标文件要求供应商交纳保证金的，可以由联合体中的一方或者多方共同交纳保证金，其交纳的保证金对联合体各方均具有约束力。</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⑥ 招标文件要求供应商提供履约人员和设备情况的，联合体各方均应提供，以说明其作为独立供应商所具有的能有效执行合同的能力和资源。</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⑦ 招标文件要求供应商提供同类或类似项目业绩的，联合体各方符合招标文件要求的同类或类似业绩可以累计，但联合体一方或多方共同参与的同一业绩不重复计算。</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⑧ 投标文件中需要供应商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⑨ 对采购项目提出投诉时，应当由组成联合体的所有供应商共同提出。</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（5）联合体投标无效，本项目不 接受联合体投标</w:t>
      </w:r>
    </w:p>
    <w:p>
      <w:pPr>
        <w:pStyle w:val="101"/>
        <w:ind w:firstLine="579"/>
        <w:rPr>
          <w:b/>
          <w:bCs/>
          <w:sz w:val="28"/>
          <w:szCs w:val="28"/>
        </w:rPr>
      </w:pPr>
      <w:bookmarkStart w:id="25" w:name="_Toc7087"/>
      <w:r>
        <w:rPr>
          <w:rFonts w:hint="eastAsia"/>
          <w:b/>
          <w:bCs/>
          <w:sz w:val="28"/>
          <w:szCs w:val="28"/>
        </w:rPr>
        <w:t>（五）关于进口产品</w:t>
      </w:r>
      <w:bookmarkEnd w:id="25"/>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根据《政府采购进口产品管理办法》（财库〔2007〕119号）规定，政府采购应当采购本国产品，确需采购进口产品的，应当在采购活动开始前向财政部门提出申请并获得财政部门审核同意后，依法开展政府采购活动。采购人采购进口产品时，优先采购向我国企业转让技术、与我国企业签订消化吸收再创新方案的供应商的进口产品。</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根据《关于政府采购进口产品管理有关问题的通知》（财办库〔2008〕248号）有关规定，财政部门审核同意购买进口产品的，投标邀请函将明确载明“允许进口产品参与”，此时满足招标文件要求的国产产品仍然可以参与竞争；否则，视为拒绝进口产品参与，供应商以进口产品参与投标时，将作无效投标处理。</w:t>
      </w:r>
    </w:p>
    <w:p>
      <w:pPr>
        <w:pStyle w:val="101"/>
        <w:ind w:firstLine="579"/>
        <w:rPr>
          <w:b/>
          <w:bCs/>
          <w:sz w:val="28"/>
          <w:szCs w:val="28"/>
        </w:rPr>
      </w:pPr>
      <w:bookmarkStart w:id="26" w:name="_Toc15301"/>
      <w:r>
        <w:rPr>
          <w:rFonts w:hint="eastAsia"/>
          <w:b/>
          <w:bCs/>
          <w:sz w:val="28"/>
          <w:szCs w:val="28"/>
        </w:rPr>
        <w:t>（六）关于政府采购政策</w:t>
      </w:r>
      <w:bookmarkEnd w:id="26"/>
    </w:p>
    <w:p>
      <w:pPr>
        <w:pStyle w:val="101"/>
        <w:ind w:firstLine="0" w:firstLineChars="0"/>
        <w:rPr>
          <w:sz w:val="28"/>
          <w:szCs w:val="28"/>
        </w:rPr>
      </w:pPr>
      <w:bookmarkStart w:id="27" w:name="_Toc2460"/>
      <w:r>
        <w:rPr>
          <w:rFonts w:hint="eastAsia"/>
          <w:sz w:val="28"/>
          <w:szCs w:val="28"/>
        </w:rPr>
        <w:t>1．对中小企业、监狱企业、残疾人福利性单位的优惠政策</w:t>
      </w:r>
      <w:bookmarkEnd w:id="27"/>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根据《政府采购促进中小企业发展管理办法》（财库〔2020〕46号）的有关规定，提供小微企业制造的货物、承建的工程或者承接的服务（不包括使用大型、中型企业商号或者注册商标的货物）参与政府采购活动时对小型和微型企业产品的报价给予10%~20%（工程项目3%~5%）的扣除（实际价格扣除比例以本章《评审要素及分值一览表》中的具体规定为准），用扣除后的价格参加评审。同时，依据该办法第四条第二款规定在货物采购项目中，供应商提供的货物既有中小企业制造货物，也有大型企业制造货物的，不享受中小企业扶持政策。</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（2）根据财政部、司法部联合下发的《关于政府采购支持监狱企业发展有关问题的通知》（财库〔2014〕68号）的规定，监狱企业视同小型、微型企业。</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pPr>
        <w:pStyle w:val="101"/>
        <w:ind w:firstLine="0" w:firstLineChars="0"/>
        <w:rPr>
          <w:sz w:val="28"/>
          <w:szCs w:val="28"/>
        </w:rPr>
      </w:pPr>
      <w:bookmarkStart w:id="28" w:name="_Toc22143"/>
      <w:r>
        <w:rPr>
          <w:rFonts w:hint="eastAsia"/>
          <w:sz w:val="28"/>
          <w:szCs w:val="28"/>
        </w:rPr>
        <w:t>2．节能、环保产品采购政策</w:t>
      </w:r>
      <w:bookmarkEnd w:id="28"/>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（3）《节能产品政府采购品目清单》见财政部、发展改革委《关于印发节能产品政府采购品目清单的通知》（财库〔2019〕19号）附件。</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（4）《环境标志产品政府采购品目清单》见财政部、生态环境部《关于印发环境标志产品政府采购品目清单的通知》（财库〔2019〕18号）附件。</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（5）“国家确定的认证机构”名单见市场监管总局《关于发布参与实施政府采购节能产品、环境标志产品认证机构名录的公告》（2019年第16号）。</w:t>
      </w:r>
    </w:p>
    <w:p>
      <w:pPr>
        <w:pStyle w:val="101"/>
        <w:ind w:firstLine="577"/>
        <w:rPr>
          <w:sz w:val="28"/>
          <w:szCs w:val="28"/>
        </w:rPr>
      </w:pPr>
      <w:bookmarkStart w:id="29" w:name="_Toc19090"/>
      <w:r>
        <w:rPr>
          <w:rFonts w:hint="eastAsia"/>
          <w:sz w:val="28"/>
          <w:szCs w:val="28"/>
        </w:rPr>
        <w:t>3．陕西省中小企业政府采购信用融资办法</w:t>
      </w:r>
      <w:bookmarkEnd w:id="29"/>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链接地址：</w:t>
      </w:r>
      <w:r>
        <w:fldChar w:fldCharType="begin"/>
      </w:r>
      <w:r>
        <w:instrText xml:space="preserve"> HYPERLINK "http://www.ccgp-shaanxi.gov.cn/zcdservice/zcd/shanxi/article/zcdt/1390497710741917696" </w:instrText>
      </w:r>
      <w:r>
        <w:fldChar w:fldCharType="separate"/>
      </w:r>
      <w:r>
        <w:rPr>
          <w:rStyle w:val="47"/>
          <w:rFonts w:hint="eastAsia" w:ascii="宋体" w:hAnsi="宋体" w:eastAsia="宋体" w:cs="宋体"/>
          <w:color w:val="auto"/>
          <w:sz w:val="28"/>
          <w:szCs w:val="28"/>
          <w:u w:val="none"/>
        </w:rPr>
        <w:t>http://www.ccgp-shaanxi.gov.cn/zcdservice/zcd/shanxi/article/zcdt/1390497710741917696</w:t>
      </w:r>
      <w:r>
        <w:rPr>
          <w:rStyle w:val="47"/>
          <w:rFonts w:hint="eastAsia" w:ascii="宋体" w:hAnsi="宋体" w:eastAsia="宋体" w:cs="宋体"/>
          <w:color w:val="auto"/>
          <w:sz w:val="28"/>
          <w:szCs w:val="28"/>
          <w:u w:val="none"/>
        </w:rPr>
        <w:fldChar w:fldCharType="end"/>
      </w:r>
    </w:p>
    <w:p>
      <w:pPr>
        <w:pStyle w:val="101"/>
        <w:ind w:firstLine="579"/>
        <w:rPr>
          <w:b/>
          <w:bCs/>
          <w:sz w:val="28"/>
          <w:szCs w:val="28"/>
        </w:rPr>
      </w:pPr>
      <w:bookmarkStart w:id="30" w:name="_Toc9302"/>
      <w:r>
        <w:rPr>
          <w:rFonts w:hint="eastAsia"/>
          <w:b/>
          <w:bCs/>
          <w:sz w:val="28"/>
          <w:szCs w:val="28"/>
        </w:rPr>
        <w:t>（七）关于现场踏勘和集中答疑</w:t>
      </w:r>
      <w:bookmarkEnd w:id="30"/>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采购人可以根据项目实际情况决定是否组织现场踏勘\标前集中答疑。投标邀请函中明确载明安排上述活动的，各供应商应派出技术、预算等相关人员，在招标文件约定的时间、地点参加现场踏勘\标前集中答疑。</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供应商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招标文件的组成部分，与招标文件中表述不一致的内容，以答疑纪要为准。</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凡未参加现场踏勘和集中答疑的供应商，由此带来的不利后果由该供应商自行承担。</w:t>
      </w:r>
    </w:p>
    <w:p>
      <w:pPr>
        <w:pStyle w:val="101"/>
        <w:ind w:firstLine="579"/>
        <w:rPr>
          <w:b/>
          <w:bCs/>
          <w:sz w:val="28"/>
          <w:szCs w:val="28"/>
        </w:rPr>
      </w:pPr>
      <w:bookmarkStart w:id="31" w:name="_Toc25219"/>
      <w:r>
        <w:rPr>
          <w:rFonts w:hint="eastAsia"/>
          <w:b/>
          <w:bCs/>
          <w:sz w:val="28"/>
          <w:szCs w:val="28"/>
        </w:rPr>
        <w:t>（八）关于同一品牌产品的处理</w:t>
      </w:r>
      <w:bookmarkEnd w:id="31"/>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评审委员会按照采购文件规定的方式确定一个供应商获得中标供应商推荐资格，采购文件未规定的采取随机抽取方式确定，其他同品牌供应商不作为中标候选人。</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非单一产品采购项目，采购人将根据采购项目技术构成、产品价格比重等因素确定核心产品（可能不止一种），并在采购文件中载明。多家供应商提供的核心产品有部分采用或全部采用相同品牌的，按一家供应商计算。</w:t>
      </w:r>
    </w:p>
    <w:p>
      <w:pPr>
        <w:pStyle w:val="101"/>
        <w:ind w:firstLine="579"/>
        <w:rPr>
          <w:b/>
          <w:bCs/>
          <w:sz w:val="28"/>
          <w:szCs w:val="28"/>
        </w:rPr>
      </w:pPr>
      <w:bookmarkStart w:id="32" w:name="_Toc15678"/>
      <w:r>
        <w:rPr>
          <w:rFonts w:hint="eastAsia"/>
          <w:b/>
          <w:bCs/>
          <w:sz w:val="28"/>
          <w:szCs w:val="28"/>
        </w:rPr>
        <w:t>（九）关于知识产权和保密事项</w:t>
      </w:r>
      <w:bookmarkEnd w:id="32"/>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1．所有涉及知识产权的产品及设计，供应商必须确保委托人、采购人拥有其合法的、不受限制的无偿使用权，并免受任何侵权诉讼或索偿；否则，由此产生的一切经济损失和法律责任由供应商承担。</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由采购人向供应商提供的用户需求书、图纸、样品、模型、模件和所有资料，供应商获得后，应对其保密。除非采购人同意，供应商不得向第三方透露或将其用于本次投标以外的任何用途。开标后，若采购人有要求，供应商人须归还采购人认为需保密的文件和资料，并销毁所有相应的备份文件及资料。</w:t>
      </w:r>
    </w:p>
    <w:p>
      <w:pPr>
        <w:pStyle w:val="101"/>
        <w:ind w:firstLine="579"/>
        <w:rPr>
          <w:b/>
          <w:bCs/>
          <w:sz w:val="28"/>
          <w:szCs w:val="28"/>
        </w:rPr>
      </w:pPr>
      <w:bookmarkStart w:id="33" w:name="_Toc17978"/>
      <w:r>
        <w:rPr>
          <w:rFonts w:hint="eastAsia"/>
          <w:b/>
          <w:bCs/>
          <w:sz w:val="28"/>
          <w:szCs w:val="28"/>
        </w:rPr>
        <w:t>（十）关于信用记录的查询和使用</w:t>
      </w:r>
      <w:bookmarkEnd w:id="33"/>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1．根据财政部《关于在政府采购活动中查询及使用信用记录有关问题的通知》（财库〔2016〕125号）第二条有关要求，采购人将在资格审查阶段通过【信用中国】（</w:t>
      </w:r>
      <w:r>
        <w:fldChar w:fldCharType="begin"/>
      </w:r>
      <w:r>
        <w:instrText xml:space="preserve"> HYPERLINK "https://www.creditchina.gov.cn" </w:instrText>
      </w:r>
      <w:r>
        <w:fldChar w:fldCharType="separate"/>
      </w:r>
      <w:r>
        <w:rPr>
          <w:rStyle w:val="47"/>
          <w:rFonts w:hint="eastAsia" w:ascii="宋体" w:hAnsi="宋体" w:eastAsia="宋体" w:cs="宋体"/>
          <w:color w:val="auto"/>
          <w:sz w:val="28"/>
          <w:szCs w:val="28"/>
          <w:u w:val="none"/>
        </w:rPr>
        <w:t>https://www.creditchina.gov.cn</w:t>
      </w:r>
      <w:r>
        <w:rPr>
          <w:rStyle w:val="47"/>
          <w:rFonts w:hint="eastAsia" w:ascii="宋体" w:hAnsi="宋体" w:eastAsia="宋体" w:cs="宋体"/>
          <w:color w:val="auto"/>
          <w:sz w:val="28"/>
          <w:szCs w:val="28"/>
          <w:u w:val="none"/>
        </w:rPr>
        <w:fldChar w:fldCharType="end"/>
      </w:r>
      <w:r>
        <w:rPr>
          <w:rFonts w:hint="eastAsia" w:ascii="宋体" w:hAnsi="宋体" w:eastAsia="宋体" w:cs="宋体"/>
          <w:sz w:val="28"/>
          <w:szCs w:val="28"/>
        </w:rPr>
        <w:t>/）和【中国政府采购网】（</w:t>
      </w:r>
      <w:r>
        <w:fldChar w:fldCharType="begin"/>
      </w:r>
      <w:r>
        <w:instrText xml:space="preserve"> HYPERLINK "http://www.ccgp.gov.cn/" </w:instrText>
      </w:r>
      <w:r>
        <w:fldChar w:fldCharType="separate"/>
      </w:r>
      <w:r>
        <w:rPr>
          <w:rStyle w:val="47"/>
          <w:rFonts w:hint="eastAsia" w:ascii="宋体" w:hAnsi="宋体" w:eastAsia="宋体" w:cs="宋体"/>
          <w:color w:val="auto"/>
          <w:sz w:val="28"/>
          <w:szCs w:val="28"/>
          <w:u w:val="none"/>
        </w:rPr>
        <w:t>http://www.ccgp.gov.cn/）</w:t>
      </w:r>
      <w:r>
        <w:rPr>
          <w:rStyle w:val="47"/>
          <w:rFonts w:hint="eastAsia" w:ascii="宋体" w:hAnsi="宋体" w:eastAsia="宋体" w:cs="宋体"/>
          <w:color w:val="auto"/>
          <w:sz w:val="28"/>
          <w:szCs w:val="28"/>
          <w:u w:val="none"/>
        </w:rPr>
        <w:fldChar w:fldCharType="end"/>
      </w:r>
      <w:r>
        <w:rPr>
          <w:rFonts w:hint="eastAsia" w:ascii="宋体" w:hAnsi="宋体" w:eastAsia="宋体" w:cs="宋体"/>
          <w:sz w:val="28"/>
          <w:szCs w:val="28"/>
        </w:rPr>
        <w:t>对供应商的信用情况进行甄别。</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2．对列入失信被执行人、重大税收违法案件当事人名单、政府采购严重违法失信行为记录名单及其他不符合《中华人民共和国政府采购法》第二十二条规定条件的供应商，将拒绝其参与政府采购活动。</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3．供应商在参加政府采购活动前3年内因违法经营被禁止在一定期限内参加政府采购活动，期限届满的，可以参加政府采购活动的，但供应商应提供相关证明材料。</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4．信用记录查询结果打印后，将与其他采购文件一并保存。</w:t>
      </w:r>
    </w:p>
    <w:p>
      <w:pPr>
        <w:pStyle w:val="101"/>
        <w:ind w:firstLine="579"/>
        <w:rPr>
          <w:b/>
          <w:bCs/>
          <w:sz w:val="28"/>
          <w:szCs w:val="28"/>
        </w:rPr>
      </w:pPr>
      <w:bookmarkStart w:id="34" w:name="_Toc5362"/>
      <w:r>
        <w:rPr>
          <w:rFonts w:hint="eastAsia"/>
          <w:b/>
          <w:bCs/>
          <w:sz w:val="28"/>
          <w:szCs w:val="28"/>
        </w:rPr>
        <w:t>（十一）其他重要事项</w:t>
      </w:r>
      <w:bookmarkEnd w:id="34"/>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1．招标文件内所附网络链接仅供参考，不保证其长期有效性。</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2．供应商的投标费用自理。</w:t>
      </w:r>
    </w:p>
    <w:p>
      <w:pPr>
        <w:pStyle w:val="5"/>
        <w:rPr>
          <w:rFonts w:ascii="宋体" w:hAnsi="宋体" w:eastAsia="宋体" w:cs="宋体"/>
          <w:sz w:val="28"/>
          <w:szCs w:val="28"/>
        </w:rPr>
      </w:pPr>
      <w:bookmarkStart w:id="35" w:name="_Toc22232"/>
      <w:r>
        <w:rPr>
          <w:rFonts w:hint="eastAsia" w:ascii="宋体" w:hAnsi="宋体" w:eastAsia="宋体" w:cs="宋体"/>
          <w:sz w:val="28"/>
          <w:szCs w:val="28"/>
        </w:rPr>
        <w:t>三、招标文件</w:t>
      </w:r>
      <w:bookmarkEnd w:id="35"/>
    </w:p>
    <w:p>
      <w:pPr>
        <w:pStyle w:val="101"/>
        <w:ind w:firstLine="579"/>
        <w:rPr>
          <w:b/>
          <w:bCs/>
          <w:sz w:val="28"/>
          <w:szCs w:val="28"/>
        </w:rPr>
      </w:pPr>
      <w:bookmarkStart w:id="36" w:name="_Toc23274"/>
      <w:r>
        <w:rPr>
          <w:rFonts w:hint="eastAsia"/>
          <w:b/>
          <w:bCs/>
          <w:sz w:val="28"/>
          <w:szCs w:val="28"/>
        </w:rPr>
        <w:t>（一）招标文件的解释权</w:t>
      </w:r>
      <w:bookmarkEnd w:id="36"/>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本项目招标文件的解释权归采购代理机构，评标委员会成员应根据政府采购法律法规和招标文件所载明的评审方法、标准进行评审。</w:t>
      </w:r>
    </w:p>
    <w:p>
      <w:pPr>
        <w:pStyle w:val="101"/>
        <w:ind w:firstLine="579"/>
        <w:rPr>
          <w:b/>
          <w:bCs/>
          <w:sz w:val="28"/>
          <w:szCs w:val="28"/>
        </w:rPr>
      </w:pPr>
      <w:bookmarkStart w:id="37" w:name="_Toc30024"/>
      <w:r>
        <w:rPr>
          <w:rFonts w:hint="eastAsia"/>
          <w:b/>
          <w:bCs/>
          <w:sz w:val="28"/>
          <w:szCs w:val="28"/>
        </w:rPr>
        <w:t>（二）招标文件主要内容</w:t>
      </w:r>
      <w:bookmarkEnd w:id="37"/>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第1章  投标邀请函</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第2章  供应商须知</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第3章  招标内容及要求</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第4章  合同文本</w:t>
      </w:r>
    </w:p>
    <w:p>
      <w:pPr>
        <w:spacing w:line="560" w:lineRule="exact"/>
        <w:ind w:firstLine="560" w:firstLineChars="200"/>
        <w:jc w:val="both"/>
        <w:rPr>
          <w:rFonts w:ascii="宋体" w:hAnsi="宋体" w:eastAsia="宋体" w:cs="宋体"/>
          <w:sz w:val="32"/>
          <w:szCs w:val="32"/>
        </w:rPr>
      </w:pPr>
      <w:r>
        <w:rPr>
          <w:rFonts w:hint="eastAsia" w:ascii="宋体" w:hAnsi="宋体" w:eastAsia="宋体" w:cs="宋体"/>
          <w:sz w:val="28"/>
          <w:szCs w:val="28"/>
        </w:rPr>
        <w:t>第5章  投标文件构成及格式</w:t>
      </w:r>
    </w:p>
    <w:p>
      <w:pPr>
        <w:pStyle w:val="101"/>
        <w:ind w:firstLine="579"/>
        <w:rPr>
          <w:b/>
          <w:bCs/>
          <w:sz w:val="28"/>
          <w:szCs w:val="28"/>
        </w:rPr>
      </w:pPr>
      <w:bookmarkStart w:id="38" w:name="_Toc26313"/>
      <w:r>
        <w:rPr>
          <w:rFonts w:hint="eastAsia"/>
          <w:b/>
          <w:bCs/>
          <w:sz w:val="28"/>
          <w:szCs w:val="28"/>
        </w:rPr>
        <w:t>（三）招标文件的检查及阅读</w:t>
      </w:r>
      <w:bookmarkEnd w:id="38"/>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供应商应认真阅读和充分理解招标文件中所有的事项、格式条款和规范要求，在投标文件中对招标文件做出全面响 应，并按招标文件的要求提交全部资料。</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项目废标后重新组织招标的，采购代理机构将重新编制、发布新版招标文件，供应商应按新版招标文件重新编制投标文件。原招标文件及投标文件失效。</w:t>
      </w:r>
    </w:p>
    <w:p>
      <w:pPr>
        <w:pStyle w:val="101"/>
        <w:ind w:firstLine="579"/>
        <w:rPr>
          <w:b/>
          <w:bCs/>
          <w:sz w:val="28"/>
          <w:szCs w:val="28"/>
        </w:rPr>
      </w:pPr>
      <w:bookmarkStart w:id="39" w:name="_Toc5096"/>
      <w:r>
        <w:rPr>
          <w:rFonts w:hint="eastAsia"/>
          <w:b/>
          <w:bCs/>
          <w:sz w:val="28"/>
          <w:szCs w:val="28"/>
        </w:rPr>
        <w:t>（四）招标文件的修改、澄清</w:t>
      </w:r>
      <w:bookmarkEnd w:id="39"/>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1．提交投标文件截止之日前，采购人或采购代理机构可能对已发出的招标文件进行澄清或者修改，澄清或者修改的内容为招标文件的组成部分。</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2．当需要澄清或修改时，采购代理机构将在提交投标文件截止之日15日前，在财政部门指定的“政府采购信息发布媒体”上发布变更公告；不足15日的，将顺延提交投标文件截止时间。</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4．请各供应商在提交投标文件截止时间之前，务必随时关注“政府采购信息发布媒体”上发布的变更公告，采购代理机构不再另行通知，因供应商未及时关注所造成的一切后果由供应商自行承担：</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（1）【</w:t>
      </w:r>
      <w:r>
        <w:fldChar w:fldCharType="begin"/>
      </w:r>
      <w:r>
        <w:instrText xml:space="preserve"> HYPERLINK "http://www.ccgp-shaanxi.gov.cn" </w:instrText>
      </w:r>
      <w:r>
        <w:fldChar w:fldCharType="separate"/>
      </w:r>
      <w:r>
        <w:rPr>
          <w:rStyle w:val="47"/>
          <w:rFonts w:hint="eastAsia" w:ascii="宋体" w:hAnsi="宋体" w:eastAsia="宋体" w:cs="宋体"/>
          <w:color w:val="auto"/>
          <w:sz w:val="28"/>
          <w:szCs w:val="28"/>
          <w:u w:val="none"/>
        </w:rPr>
        <w:t>陕西省政府采购网</w:t>
      </w:r>
      <w:r>
        <w:rPr>
          <w:rStyle w:val="47"/>
          <w:rFonts w:hint="eastAsia" w:ascii="宋体" w:hAnsi="宋体" w:eastAsia="宋体" w:cs="宋体"/>
          <w:color w:val="auto"/>
          <w:sz w:val="28"/>
          <w:szCs w:val="28"/>
          <w:u w:val="none"/>
        </w:rPr>
        <w:fldChar w:fldCharType="end"/>
      </w:r>
      <w:r>
        <w:rPr>
          <w:rFonts w:hint="eastAsia" w:ascii="宋体" w:hAnsi="宋体" w:eastAsia="宋体" w:cs="宋体"/>
          <w:sz w:val="28"/>
          <w:szCs w:val="28"/>
        </w:rPr>
        <w:t>】（</w:t>
      </w:r>
      <w:r>
        <w:fldChar w:fldCharType="begin"/>
      </w:r>
      <w:r>
        <w:instrText xml:space="preserve"> HYPERLINK "http://www.ccgp-shaanxi.gov.cn/" </w:instrText>
      </w:r>
      <w:r>
        <w:fldChar w:fldCharType="separate"/>
      </w:r>
      <w:r>
        <w:rPr>
          <w:rStyle w:val="47"/>
          <w:rFonts w:hint="eastAsia" w:ascii="宋体" w:hAnsi="宋体" w:eastAsia="宋体" w:cs="宋体"/>
          <w:color w:val="auto"/>
          <w:sz w:val="28"/>
          <w:szCs w:val="28"/>
          <w:u w:val="none"/>
        </w:rPr>
        <w:t>http://www.ccgp-shaanxi.gov.cn/</w:t>
      </w:r>
      <w:r>
        <w:rPr>
          <w:rStyle w:val="47"/>
          <w:rFonts w:hint="eastAsia" w:ascii="宋体" w:hAnsi="宋体" w:eastAsia="宋体" w:cs="宋体"/>
          <w:color w:val="auto"/>
          <w:sz w:val="28"/>
          <w:szCs w:val="28"/>
          <w:u w:val="none"/>
        </w:rPr>
        <w:fldChar w:fldCharType="end"/>
      </w:r>
      <w:r>
        <w:rPr>
          <w:rFonts w:hint="eastAsia" w:ascii="宋体" w:hAnsi="宋体" w:eastAsia="宋体" w:cs="宋体"/>
          <w:sz w:val="28"/>
          <w:szCs w:val="28"/>
        </w:rPr>
        <w:t>）中的〖首页·〉信息公告·〉市级·〉西安市〗；</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w:t>
      </w:r>
      <w:r>
        <w:fldChar w:fldCharType="begin"/>
      </w:r>
      <w:r>
        <w:instrText xml:space="preserve"> HYPERLINK "http://xa.sxggzyjy.cn/" </w:instrText>
      </w:r>
      <w:r>
        <w:fldChar w:fldCharType="separate"/>
      </w:r>
      <w:r>
        <w:rPr>
          <w:rStyle w:val="47"/>
          <w:rFonts w:hint="eastAsia" w:ascii="宋体" w:hAnsi="宋体" w:eastAsia="宋体" w:cs="宋体"/>
          <w:color w:val="auto"/>
          <w:sz w:val="28"/>
          <w:szCs w:val="28"/>
          <w:u w:val="none"/>
        </w:rPr>
        <w:t>全国公共资源交易网（陕西省·西安市）</w:t>
      </w:r>
      <w:r>
        <w:rPr>
          <w:rStyle w:val="47"/>
          <w:rFonts w:hint="eastAsia" w:ascii="宋体" w:hAnsi="宋体" w:eastAsia="宋体" w:cs="宋体"/>
          <w:color w:val="auto"/>
          <w:sz w:val="28"/>
          <w:szCs w:val="28"/>
          <w:u w:val="none"/>
        </w:rPr>
        <w:fldChar w:fldCharType="end"/>
      </w:r>
      <w:r>
        <w:rPr>
          <w:rFonts w:hint="eastAsia" w:ascii="宋体" w:hAnsi="宋体" w:eastAsia="宋体" w:cs="宋体"/>
          <w:sz w:val="28"/>
          <w:szCs w:val="28"/>
        </w:rPr>
        <w:t>】（</w:t>
      </w:r>
      <w:r>
        <w:fldChar w:fldCharType="begin"/>
      </w:r>
      <w:r>
        <w:instrText xml:space="preserve"> HYPERLINK "http://sxggzyjy.xa.gov.cn/" </w:instrText>
      </w:r>
      <w:r>
        <w:fldChar w:fldCharType="separate"/>
      </w:r>
      <w:r>
        <w:rPr>
          <w:rStyle w:val="47"/>
          <w:rFonts w:hint="eastAsia" w:ascii="宋体" w:hAnsi="宋体" w:eastAsia="宋体" w:cs="宋体"/>
          <w:color w:val="auto"/>
          <w:sz w:val="28"/>
          <w:szCs w:val="28"/>
          <w:u w:val="none"/>
        </w:rPr>
        <w:t>http://sxggzyjy.xa.gov.cn/</w:t>
      </w:r>
      <w:r>
        <w:rPr>
          <w:rStyle w:val="47"/>
          <w:rFonts w:hint="eastAsia" w:ascii="宋体" w:hAnsi="宋体" w:eastAsia="宋体" w:cs="宋体"/>
          <w:color w:val="auto"/>
          <w:sz w:val="28"/>
          <w:szCs w:val="28"/>
          <w:u w:val="none"/>
        </w:rPr>
        <w:fldChar w:fldCharType="end"/>
      </w:r>
      <w:r>
        <w:rPr>
          <w:rFonts w:hint="eastAsia" w:ascii="宋体" w:hAnsi="宋体" w:eastAsia="宋体" w:cs="宋体"/>
          <w:sz w:val="28"/>
          <w:szCs w:val="28"/>
        </w:rPr>
        <w:t>）中的〖首页·〉交易大厅·〉政府采购〗。</w:t>
      </w:r>
    </w:p>
    <w:p>
      <w:pPr>
        <w:pStyle w:val="5"/>
        <w:rPr>
          <w:rFonts w:ascii="宋体" w:hAnsi="宋体" w:eastAsia="宋体" w:cs="宋体"/>
          <w:sz w:val="28"/>
          <w:szCs w:val="28"/>
        </w:rPr>
      </w:pPr>
      <w:bookmarkStart w:id="40" w:name="_Toc22931"/>
      <w:r>
        <w:rPr>
          <w:rFonts w:hint="eastAsia" w:ascii="宋体" w:hAnsi="宋体" w:eastAsia="宋体" w:cs="宋体"/>
          <w:sz w:val="28"/>
          <w:szCs w:val="28"/>
        </w:rPr>
        <w:t>四、投标文件</w:t>
      </w:r>
      <w:bookmarkEnd w:id="40"/>
    </w:p>
    <w:p>
      <w:pPr>
        <w:pStyle w:val="101"/>
        <w:ind w:firstLine="579"/>
        <w:rPr>
          <w:b/>
          <w:bCs/>
          <w:sz w:val="28"/>
          <w:szCs w:val="28"/>
        </w:rPr>
      </w:pPr>
      <w:bookmarkStart w:id="41" w:name="_Toc19870"/>
      <w:r>
        <w:rPr>
          <w:rFonts w:hint="eastAsia"/>
          <w:b/>
          <w:bCs/>
          <w:sz w:val="28"/>
          <w:szCs w:val="28"/>
        </w:rPr>
        <w:t>（一）投标文件的式样</w:t>
      </w:r>
      <w:bookmarkEnd w:id="41"/>
    </w:p>
    <w:p>
      <w:pPr>
        <w:pStyle w:val="101"/>
        <w:ind w:firstLine="0" w:firstLineChars="0"/>
        <w:rPr>
          <w:sz w:val="28"/>
          <w:szCs w:val="28"/>
        </w:rPr>
      </w:pPr>
      <w:bookmarkStart w:id="42" w:name="_Toc23111"/>
      <w:r>
        <w:rPr>
          <w:rFonts w:hint="eastAsia"/>
          <w:sz w:val="28"/>
          <w:szCs w:val="28"/>
        </w:rPr>
        <w:t>1．组成及格式</w:t>
      </w:r>
      <w:bookmarkEnd w:id="42"/>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供应商依照招标文件第五章《投标文件构成及格式》给定形式进行编制投标文件。</w:t>
      </w:r>
    </w:p>
    <w:p>
      <w:pPr>
        <w:pStyle w:val="101"/>
        <w:ind w:firstLine="0" w:firstLineChars="0"/>
        <w:rPr>
          <w:sz w:val="28"/>
          <w:szCs w:val="28"/>
        </w:rPr>
      </w:pPr>
      <w:bookmarkStart w:id="43" w:name="_Toc4658"/>
      <w:r>
        <w:rPr>
          <w:rFonts w:hint="eastAsia"/>
          <w:sz w:val="28"/>
          <w:szCs w:val="28"/>
        </w:rPr>
        <w:t>2．语言</w:t>
      </w:r>
      <w:bookmarkEnd w:id="43"/>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招标活动的所有文件、资料、函电文字均使用简体中文，确需提交用其他语言形成的资料，必须翻译成简体中文，如有差异，以简体中文为准。</w:t>
      </w:r>
    </w:p>
    <w:p>
      <w:pPr>
        <w:pStyle w:val="101"/>
        <w:ind w:firstLine="0" w:firstLineChars="0"/>
        <w:rPr>
          <w:sz w:val="28"/>
          <w:szCs w:val="28"/>
        </w:rPr>
      </w:pPr>
      <w:bookmarkStart w:id="44" w:name="_Toc3436"/>
      <w:r>
        <w:rPr>
          <w:rFonts w:hint="eastAsia"/>
          <w:sz w:val="28"/>
          <w:szCs w:val="28"/>
        </w:rPr>
        <w:t>3．计量单位</w:t>
      </w:r>
      <w:bookmarkEnd w:id="44"/>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投标文件的计量单位应使用中华人民共和国法定计量单位，但招标文件另有规定的除外。</w:t>
      </w:r>
    </w:p>
    <w:p>
      <w:pPr>
        <w:pStyle w:val="101"/>
        <w:ind w:firstLine="579"/>
        <w:rPr>
          <w:b/>
          <w:bCs/>
          <w:sz w:val="28"/>
          <w:szCs w:val="28"/>
        </w:rPr>
      </w:pPr>
      <w:bookmarkStart w:id="45" w:name="_Toc15553"/>
      <w:r>
        <w:rPr>
          <w:rFonts w:hint="eastAsia"/>
          <w:b/>
          <w:bCs/>
          <w:sz w:val="28"/>
          <w:szCs w:val="28"/>
        </w:rPr>
        <w:t>（二）投标文件的有效期</w:t>
      </w:r>
      <w:bookmarkEnd w:id="45"/>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投标文件有效期为自开标之日起不少于90个日历日。如中标，延长至合同执行完毕时止。</w:t>
      </w:r>
    </w:p>
    <w:p>
      <w:pPr>
        <w:pStyle w:val="101"/>
        <w:ind w:firstLine="579"/>
        <w:rPr>
          <w:b/>
          <w:bCs/>
          <w:sz w:val="28"/>
          <w:szCs w:val="28"/>
        </w:rPr>
      </w:pPr>
      <w:bookmarkStart w:id="46" w:name="_Toc28137"/>
      <w:r>
        <w:rPr>
          <w:rFonts w:hint="eastAsia"/>
          <w:b/>
          <w:bCs/>
          <w:sz w:val="28"/>
          <w:szCs w:val="28"/>
        </w:rPr>
        <w:t>（三）投标报价</w:t>
      </w:r>
      <w:bookmarkEnd w:id="46"/>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投标报价是供应商响应采购项目要求的全部工作内容的价格体现，包括完成采购内容所需的利润、税金及其它相关的一切费用。</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1．供应商在报价时应充分考虑所有可能发生的费用，招标文件未列明，而供应商认为应当计取的费用均应列入报价中。报价时不论是否计取，采购人均按已计取对待。</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2．供应商应严格按照《投标文件构成及格式》第二部分《开标一览表》中的相关要求填写分类报价及其他需要响应的内容。投标报价只能提交唯一报价，任何有选择的报价将不予接受，按无效投标处理。</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3．投标报价货币：人民币；单位：元。</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4．投标文件报价出现前后不一致的，除招标文件另有规定外，按照下列规则修正：</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（1）投标文件中开标一览表内容与投标文件中其他位置相应内容表述不一致的，以开标一览表为准；</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（2）大写金额和小写金额不一致的，以大写金额为准；</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（3）单价金额小数点或者百分比有明显错位的，以开标一览表的总价为准，并修改单价；</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（4）总价金额与按单价汇总金额不一致的，以单价金额计算结果为准。</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同时出现两种以上不一致的，按照前款规定的顺序修正。修正后的报价经供应商确认后产生约束力，供应商不确认的，其投标无效。</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5．因供应商对招标文件理解不透、误解、疏漏或对市场行情了解不清造成的后果和风险，均由供应商自己负责。</w:t>
      </w:r>
    </w:p>
    <w:p>
      <w:pPr>
        <w:pStyle w:val="101"/>
        <w:ind w:firstLine="579"/>
        <w:rPr>
          <w:b/>
          <w:bCs/>
          <w:sz w:val="28"/>
          <w:szCs w:val="28"/>
        </w:rPr>
      </w:pPr>
      <w:bookmarkStart w:id="47" w:name="_Toc30313"/>
      <w:r>
        <w:rPr>
          <w:rFonts w:hint="eastAsia"/>
          <w:b/>
          <w:bCs/>
          <w:sz w:val="28"/>
          <w:szCs w:val="28"/>
        </w:rPr>
        <w:t>（四）投标文件的制作和签章</w:t>
      </w:r>
      <w:bookmarkEnd w:id="47"/>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链接地址：</w:t>
      </w:r>
    </w:p>
    <w:p>
      <w:pPr>
        <w:spacing w:line="560" w:lineRule="exact"/>
        <w:ind w:firstLine="480" w:firstLineChars="200"/>
        <w:jc w:val="both"/>
        <w:rPr>
          <w:rFonts w:ascii="宋体" w:hAnsi="宋体" w:eastAsia="宋体" w:cs="宋体"/>
          <w:sz w:val="28"/>
          <w:szCs w:val="28"/>
        </w:rPr>
      </w:pPr>
      <w:r>
        <w:fldChar w:fldCharType="begin"/>
      </w:r>
      <w:r>
        <w:instrText xml:space="preserve"> HYPERLINK "http://sxggzyjy.xa.gov.cn/fwzn/004003/20181115/4d59c184-e8f6-4d5a-a416-c2f6b0601e66.html" </w:instrText>
      </w:r>
      <w:r>
        <w:fldChar w:fldCharType="separate"/>
      </w:r>
      <w:r>
        <w:rPr>
          <w:rStyle w:val="47"/>
          <w:rFonts w:hint="eastAsia" w:ascii="宋体" w:hAnsi="宋体" w:eastAsia="宋体" w:cs="宋体"/>
          <w:sz w:val="28"/>
          <w:szCs w:val="28"/>
        </w:rPr>
        <w:t>http://sxggzyjy.xa.gov.cn/fwzn/004003/20181115/4d59c184-e8f6-4d5a-a416-c2f6b0601e66.html</w:t>
      </w:r>
      <w:r>
        <w:rPr>
          <w:rStyle w:val="47"/>
          <w:rFonts w:hint="eastAsia" w:ascii="宋体" w:hAnsi="宋体" w:eastAsia="宋体" w:cs="宋体"/>
          <w:sz w:val="28"/>
          <w:szCs w:val="28"/>
        </w:rPr>
        <w:fldChar w:fldCharType="end"/>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编制电子投标文件前，务必先做好电子招标文件的备份工作。然后按操作手册中给出的方法将电子招标文件（*.SXSZF）或答疑文件（*.SXSCF，即更新后的电子招标文件）导入制作软件，最后按照章节分别编制投标文件各个部分。</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3．电子投标文件制作过程中，需要法定代表人签字或盖章的地方，请使用“法人CA锁”进行签章；需要加盖供应商公章的地方，请使用“企业CA锁”进行签章。</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若导出的PDF文件里看不到签章，请尝试使用专用制作软件中的“查看投标文件工具”打开未加密的电子投标文件重新导出。在制作过程中，如有其他技术性问题，请先翻阅操作手册，或致电软件开发商。</w:t>
      </w:r>
    </w:p>
    <w:p>
      <w:pPr>
        <w:pStyle w:val="101"/>
        <w:ind w:firstLine="579"/>
        <w:rPr>
          <w:b/>
          <w:bCs/>
          <w:sz w:val="28"/>
          <w:szCs w:val="28"/>
        </w:rPr>
      </w:pPr>
      <w:bookmarkStart w:id="48" w:name="_Toc15534"/>
      <w:r>
        <w:rPr>
          <w:rFonts w:hint="eastAsia"/>
          <w:b/>
          <w:bCs/>
          <w:sz w:val="28"/>
          <w:szCs w:val="28"/>
        </w:rPr>
        <w:t>（五）投标文件的加密和提交</w:t>
      </w:r>
      <w:bookmarkEnd w:id="48"/>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1．在生成电子投标文件时，需要使用CA锁对投标文件进行加密。</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注意：加密投标文件和开标时解密投标文件应当使用同一CA，否则将会导致解密失败。</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3．上传文件有误或需要重新提交的，可先撤销已经上传的文件，然后重新上传新文件。</w:t>
      </w:r>
    </w:p>
    <w:p>
      <w:pPr>
        <w:pStyle w:val="101"/>
        <w:ind w:firstLine="579"/>
        <w:rPr>
          <w:b/>
          <w:bCs/>
          <w:sz w:val="28"/>
          <w:szCs w:val="28"/>
        </w:rPr>
      </w:pPr>
      <w:bookmarkStart w:id="49" w:name="_Toc28545"/>
      <w:r>
        <w:rPr>
          <w:rFonts w:hint="eastAsia"/>
          <w:b/>
          <w:bCs/>
          <w:sz w:val="28"/>
          <w:szCs w:val="28"/>
        </w:rPr>
        <w:t>（六）投标文件的补充、修改和撤回</w:t>
      </w:r>
      <w:bookmarkEnd w:id="49"/>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2．供应商在提交投标文件截止时间后，撤回投标文件的，投标保证金不予退还。</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pPr>
        <w:pStyle w:val="101"/>
        <w:ind w:firstLine="579"/>
        <w:rPr>
          <w:b/>
          <w:bCs/>
          <w:sz w:val="28"/>
          <w:szCs w:val="28"/>
        </w:rPr>
      </w:pPr>
      <w:bookmarkStart w:id="50" w:name="_Toc5968"/>
      <w:r>
        <w:rPr>
          <w:rFonts w:hint="eastAsia"/>
          <w:b/>
          <w:bCs/>
          <w:sz w:val="28"/>
          <w:szCs w:val="28"/>
        </w:rPr>
        <w:t>（七）关于投标文件的雷同性分析</w:t>
      </w:r>
      <w:bookmarkEnd w:id="50"/>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若“文件制作机器码”一致，则表明不同投标供应商的电子投标文件出自同一台制作设备，根据《陕西省财政厅关于政府采购有关政策的复函》（陕财办采函〔2019〕18号），该情形可以视为投标供应商串通投标，其投标无效。</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若“文件创建标识码”一致，则表示不同投标供应商使用投标文件制作软件时，使用同一源工程文件，该情形建议由评标委员会结合项目情况综合判定。</w:t>
      </w:r>
    </w:p>
    <w:p>
      <w:pPr>
        <w:pStyle w:val="101"/>
        <w:ind w:firstLine="579"/>
        <w:rPr>
          <w:b/>
          <w:bCs/>
          <w:sz w:val="28"/>
          <w:szCs w:val="28"/>
        </w:rPr>
      </w:pPr>
      <w:bookmarkStart w:id="51" w:name="_Toc11132"/>
      <w:r>
        <w:rPr>
          <w:rFonts w:hint="eastAsia"/>
          <w:b/>
          <w:bCs/>
          <w:sz w:val="28"/>
          <w:szCs w:val="28"/>
        </w:rPr>
        <w:t>（八）投标文件被拒绝接收的情形</w:t>
      </w:r>
      <w:bookmarkEnd w:id="51"/>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1．误投的或采用旧版电子招标文件制作的；</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2．逾期提交电子投标文件的。</w:t>
      </w:r>
    </w:p>
    <w:p>
      <w:pPr>
        <w:pStyle w:val="5"/>
        <w:rPr>
          <w:rFonts w:ascii="宋体" w:hAnsi="宋体" w:eastAsia="宋体" w:cs="宋体"/>
          <w:sz w:val="28"/>
          <w:szCs w:val="28"/>
        </w:rPr>
      </w:pPr>
      <w:bookmarkStart w:id="52" w:name="_Toc27865"/>
      <w:r>
        <w:rPr>
          <w:rFonts w:hint="eastAsia" w:ascii="宋体" w:hAnsi="宋体" w:eastAsia="宋体" w:cs="宋体"/>
          <w:sz w:val="28"/>
          <w:szCs w:val="28"/>
        </w:rPr>
        <w:t>五、开标程序</w:t>
      </w:r>
      <w:bookmarkEnd w:id="52"/>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开标工作由采购代理机构组织实施，整个过程受同级政府采购监管机构的监督、管理。</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“不见面开标”是依托政府采购云平台实现的供应商在线参与开标的一种组织形式。供应商无需抵达开标现场，即可在线实现开标、解密、澄清等操作。</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1．供应商登录：开标前，请各供应商至少提前半小时登录西安市公共资源交易平台〖首页·〉不见面开标〗系统。</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2．主持人宣布开标：提交投标文件截止时间过后，系统将不再接收任何投标文件。</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4．唱标：对于公开招标项目，“不见面开标”系统将自动展示供应商名单及其投标报价。</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5．开标结束：进入评审环节。供应商请保持在线，评审期间评标委员会可能会要求供应商做相应的澄清。因供应商擅自离席造成的不利后果，由供应商自行承担。</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“不见面开标”系统操作说明：详见西安市公共资源交易平台〖首页·〉服务指南·〉下载专区〗中的《西安公共资源交易不见面开标大厅供应商操作手册》。</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链接地址：</w:t>
      </w:r>
      <w:r>
        <w:fldChar w:fldCharType="begin"/>
      </w:r>
      <w:r>
        <w:instrText xml:space="preserve"> HYPERLINK "http://sxggzyjy.xa.gov.cn/fwzn/004003/20200426/bc8b2c1e-abe2-4168-913c-68ff93345faf.html" </w:instrText>
      </w:r>
      <w:r>
        <w:fldChar w:fldCharType="separate"/>
      </w:r>
      <w:r>
        <w:rPr>
          <w:rStyle w:val="47"/>
          <w:rFonts w:hint="eastAsia" w:ascii="宋体" w:hAnsi="宋体" w:eastAsia="宋体" w:cs="宋体"/>
          <w:color w:val="auto"/>
          <w:sz w:val="28"/>
          <w:szCs w:val="28"/>
          <w:u w:val="none"/>
        </w:rPr>
        <w:t>http://sxggzyjy.xa.gov.cn/fwzn/004003/20200426/bc8b2c1e-abe2-4168-913c-68ff93345faf.html</w:t>
      </w:r>
      <w:r>
        <w:rPr>
          <w:rStyle w:val="47"/>
          <w:rFonts w:hint="eastAsia" w:ascii="宋体" w:hAnsi="宋体" w:eastAsia="宋体" w:cs="宋体"/>
          <w:color w:val="auto"/>
          <w:sz w:val="28"/>
          <w:szCs w:val="28"/>
          <w:u w:val="none"/>
        </w:rPr>
        <w:fldChar w:fldCharType="end"/>
      </w:r>
    </w:p>
    <w:p>
      <w:pPr>
        <w:pStyle w:val="101"/>
        <w:ind w:firstLine="579"/>
        <w:rPr>
          <w:b/>
          <w:bCs/>
          <w:sz w:val="28"/>
          <w:szCs w:val="28"/>
        </w:rPr>
      </w:pPr>
      <w:bookmarkStart w:id="53" w:name="_Toc15581"/>
      <w:r>
        <w:rPr>
          <w:rFonts w:hint="eastAsia"/>
          <w:b/>
          <w:bCs/>
          <w:sz w:val="28"/>
          <w:szCs w:val="28"/>
        </w:rPr>
        <w:t>（一）开标环节投标文件视为无效的情形</w:t>
      </w:r>
      <w:bookmarkEnd w:id="53"/>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1．供应商放弃或拒绝对电子投标文件进行解密的；</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2．因供应商自身原因，导致未在规定的解密时限内完整解密的，如忘带CA锁、或携带的CA锁与加密文件的CA锁不同、或使用旧版招标文件编制投标文件等情形；</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3．上传的电子投标文件无法正常打开的；</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4．政府采购法律法规规定的其他无效情形。</w:t>
      </w:r>
    </w:p>
    <w:p>
      <w:pPr>
        <w:pStyle w:val="101"/>
        <w:ind w:firstLine="579"/>
        <w:rPr>
          <w:b/>
          <w:bCs/>
          <w:sz w:val="28"/>
          <w:szCs w:val="28"/>
        </w:rPr>
      </w:pPr>
      <w:bookmarkStart w:id="54" w:name="_Toc4756"/>
      <w:r>
        <w:rPr>
          <w:rFonts w:hint="eastAsia"/>
          <w:b/>
          <w:bCs/>
          <w:sz w:val="28"/>
          <w:szCs w:val="28"/>
        </w:rPr>
        <w:t>（二）突发状况的应急处置</w:t>
      </w:r>
      <w:bookmarkEnd w:id="54"/>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在开评标过程中，如因停电、断网、电子化系统故障等特殊原因导致电子化开、评标工作无法正常进行时，采购代理机构将及时汇报政府采购监管部门，并等待或中止后续活动。</w:t>
      </w:r>
    </w:p>
    <w:p>
      <w:pPr>
        <w:pStyle w:val="5"/>
        <w:rPr>
          <w:rFonts w:ascii="宋体" w:hAnsi="宋体" w:eastAsia="宋体" w:cs="宋体"/>
          <w:sz w:val="28"/>
          <w:szCs w:val="28"/>
        </w:rPr>
      </w:pPr>
      <w:bookmarkStart w:id="55" w:name="_Toc30550"/>
      <w:r>
        <w:rPr>
          <w:rFonts w:hint="eastAsia" w:ascii="宋体" w:hAnsi="宋体" w:eastAsia="宋体" w:cs="宋体"/>
          <w:sz w:val="28"/>
          <w:szCs w:val="28"/>
        </w:rPr>
        <w:t>六、资格审查</w:t>
      </w:r>
      <w:bookmarkEnd w:id="55"/>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开标结束后，依据法律法规和招标文件的规定，对投标文件中的资格证明文件等进行审查，以确保供应商是否具备相应资格。</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供应商提供的资格证明文件缺少任何一项或有任何一项不满足，都将被视为无效投标。供应商所提供的资格证明文件应图文清晰、易于辨识，否则由此带来的不利后果由供应商自行承担。</w:t>
      </w:r>
    </w:p>
    <w:p>
      <w:pPr>
        <w:spacing w:line="560" w:lineRule="exact"/>
        <w:ind w:firstLine="560" w:firstLineChars="200"/>
        <w:jc w:val="both"/>
        <w:rPr>
          <w:rFonts w:ascii="宋体" w:hAnsi="宋体" w:eastAsia="宋体" w:cs="宋体"/>
          <w:sz w:val="32"/>
          <w:szCs w:val="32"/>
        </w:rPr>
      </w:pPr>
      <w:r>
        <w:rPr>
          <w:rFonts w:hint="eastAsia" w:ascii="宋体" w:hAnsi="宋体" w:eastAsia="宋体" w:cs="宋体"/>
          <w:sz w:val="28"/>
          <w:szCs w:val="28"/>
        </w:rPr>
        <w:t>合格供应商不足3家的，不得评标。</w:t>
      </w:r>
    </w:p>
    <w:p>
      <w:pPr>
        <w:rPr>
          <w:rFonts w:ascii="宋体" w:hAnsi="宋体" w:eastAsia="宋体" w:cs="宋体"/>
          <w:sz w:val="32"/>
          <w:szCs w:val="32"/>
        </w:rPr>
      </w:pPr>
      <w:r>
        <w:rPr>
          <w:rFonts w:hint="eastAsia" w:ascii="宋体" w:hAnsi="宋体" w:eastAsia="宋体" w:cs="宋体"/>
          <w:sz w:val="32"/>
          <w:szCs w:val="32"/>
        </w:rPr>
        <w:br w:type="page"/>
      </w:r>
    </w:p>
    <w:p>
      <w:pPr>
        <w:spacing w:line="560" w:lineRule="exact"/>
        <w:rPr>
          <w:rFonts w:ascii="宋体" w:hAnsi="宋体" w:eastAsia="宋体" w:cs="宋体"/>
          <w:sz w:val="28"/>
          <w:szCs w:val="28"/>
        </w:rPr>
      </w:pPr>
      <w:r>
        <w:rPr>
          <w:rFonts w:hint="eastAsia" w:ascii="宋体" w:hAnsi="宋体" w:eastAsia="宋体" w:cs="宋体"/>
          <w:sz w:val="28"/>
          <w:szCs w:val="28"/>
        </w:rPr>
        <w:t>〖资格性审查表〗</w:t>
      </w:r>
    </w:p>
    <w:tbl>
      <w:tblPr>
        <w:tblStyle w:val="36"/>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36"/>
        <w:gridCol w:w="2336"/>
        <w:gridCol w:w="569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tcBorders>
              <w:top w:val="single" w:color="auto" w:sz="12" w:space="0"/>
              <w:bottom w:val="single" w:color="auto" w:sz="2" w:space="0"/>
            </w:tcBorders>
            <w:shd w:val="clear" w:color="auto" w:fill="auto"/>
            <w:vAlign w:val="center"/>
          </w:tcPr>
          <w:p>
            <w:pPr>
              <w:jc w:val="center"/>
              <w:rPr>
                <w:rFonts w:ascii="宋体" w:hAnsi="宋体" w:eastAsia="宋体" w:cs="宋体"/>
                <w:b/>
                <w:bCs/>
                <w:sz w:val="28"/>
                <w:szCs w:val="28"/>
              </w:rPr>
            </w:pPr>
            <w:r>
              <w:rPr>
                <w:rFonts w:hint="eastAsia" w:ascii="宋体" w:hAnsi="宋体" w:eastAsia="宋体" w:cs="宋体"/>
                <w:b/>
                <w:bCs/>
                <w:sz w:val="28"/>
                <w:szCs w:val="28"/>
              </w:rPr>
              <w:t>序号</w:t>
            </w:r>
          </w:p>
        </w:tc>
        <w:tc>
          <w:tcPr>
            <w:tcW w:w="2336" w:type="dxa"/>
            <w:tcBorders>
              <w:top w:val="single" w:color="auto" w:sz="12" w:space="0"/>
              <w:bottom w:val="single" w:color="auto" w:sz="2" w:space="0"/>
            </w:tcBorders>
            <w:shd w:val="clear" w:color="auto" w:fill="auto"/>
            <w:vAlign w:val="center"/>
          </w:tcPr>
          <w:p>
            <w:pPr>
              <w:jc w:val="center"/>
              <w:rPr>
                <w:rFonts w:ascii="宋体" w:hAnsi="宋体" w:eastAsia="宋体" w:cs="宋体"/>
                <w:b/>
                <w:bCs/>
                <w:sz w:val="28"/>
                <w:szCs w:val="28"/>
              </w:rPr>
            </w:pPr>
            <w:r>
              <w:rPr>
                <w:rFonts w:hint="eastAsia" w:ascii="宋体" w:hAnsi="宋体" w:eastAsia="宋体" w:cs="宋体"/>
                <w:b/>
                <w:bCs/>
                <w:sz w:val="28"/>
                <w:szCs w:val="28"/>
              </w:rPr>
              <w:t>资格项</w:t>
            </w:r>
          </w:p>
        </w:tc>
        <w:tc>
          <w:tcPr>
            <w:tcW w:w="5696" w:type="dxa"/>
            <w:tcBorders>
              <w:top w:val="single" w:color="auto" w:sz="12" w:space="0"/>
              <w:bottom w:val="single" w:color="auto" w:sz="2" w:space="0"/>
            </w:tcBorders>
            <w:shd w:val="clear" w:color="auto" w:fill="auto"/>
            <w:vAlign w:val="center"/>
          </w:tcPr>
          <w:p>
            <w:pPr>
              <w:jc w:val="center"/>
              <w:rPr>
                <w:rFonts w:ascii="宋体" w:hAnsi="宋体" w:eastAsia="宋体" w:cs="宋体"/>
                <w:b/>
                <w:bCs/>
                <w:sz w:val="28"/>
                <w:szCs w:val="28"/>
              </w:rPr>
            </w:pPr>
            <w:r>
              <w:rPr>
                <w:rFonts w:hint="eastAsia" w:ascii="宋体" w:hAnsi="宋体" w:eastAsia="宋体" w:cs="宋体"/>
                <w:b/>
                <w:bCs/>
                <w:sz w:val="28"/>
                <w:szCs w:val="28"/>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tcBorders>
              <w:top w:val="single" w:color="auto" w:sz="2" w:space="0"/>
            </w:tcBorders>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一</w:t>
            </w:r>
          </w:p>
        </w:tc>
        <w:tc>
          <w:tcPr>
            <w:tcW w:w="8032" w:type="dxa"/>
            <w:gridSpan w:val="2"/>
            <w:tcBorders>
              <w:top w:val="single" w:color="auto" w:sz="2" w:space="0"/>
            </w:tcBorders>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1</w:t>
            </w:r>
          </w:p>
        </w:tc>
        <w:tc>
          <w:tcPr>
            <w:tcW w:w="2336"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有效的主体资格证明</w:t>
            </w:r>
          </w:p>
        </w:tc>
        <w:tc>
          <w:tcPr>
            <w:tcW w:w="5696"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具有独立承担民事责任能力的法人、其他组织或自然人，提供合法有效的统一社会信用代码营业执照（事业单位提供事业单位法人证书，自然人应提供身份证）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2</w:t>
            </w:r>
          </w:p>
        </w:tc>
        <w:tc>
          <w:tcPr>
            <w:tcW w:w="2336"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财务状况证明</w:t>
            </w:r>
          </w:p>
        </w:tc>
        <w:tc>
          <w:tcPr>
            <w:tcW w:w="5696"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供应商提供2020年度或2021年度经审计完整的财务审计报告（成立时间至提交投标文件截止时间不足一年的可提供成立后任意时段的资产负债表），或其开标前三个月内银行出具的资信证明，或财政部门认可的政府采购专业担保机构出具的投标担保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3</w:t>
            </w:r>
          </w:p>
        </w:tc>
        <w:tc>
          <w:tcPr>
            <w:tcW w:w="2336"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履行合同书面声明</w:t>
            </w:r>
          </w:p>
        </w:tc>
        <w:tc>
          <w:tcPr>
            <w:tcW w:w="5696"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具有履行合同所必需的设备和专业技术能力的书面声明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4</w:t>
            </w:r>
          </w:p>
        </w:tc>
        <w:tc>
          <w:tcPr>
            <w:tcW w:w="2336"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税收缴纳证明</w:t>
            </w:r>
          </w:p>
          <w:p>
            <w:pPr>
              <w:jc w:val="center"/>
              <w:rPr>
                <w:rFonts w:ascii="宋体" w:hAnsi="宋体" w:eastAsia="宋体" w:cs="宋体"/>
                <w:sz w:val="28"/>
                <w:szCs w:val="28"/>
              </w:rPr>
            </w:pPr>
          </w:p>
        </w:tc>
        <w:tc>
          <w:tcPr>
            <w:tcW w:w="5696"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提供2022年1月以来至少一个月的纳税证明或完税证明，依法免税的单位应提供相关证明材料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5</w:t>
            </w:r>
          </w:p>
        </w:tc>
        <w:tc>
          <w:tcPr>
            <w:tcW w:w="2336"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社会保障资金缴纳证明</w:t>
            </w:r>
          </w:p>
        </w:tc>
        <w:tc>
          <w:tcPr>
            <w:tcW w:w="5696"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提供2022年1月以来至少一个月的社会保障资金缴存单据或社保机构开具的社会保险参保缴费情况证明。依法不需要缴纳社会保障资金的供应商应提供相关文件证明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6</w:t>
            </w:r>
          </w:p>
        </w:tc>
        <w:tc>
          <w:tcPr>
            <w:tcW w:w="2336"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无重大违法记录声明</w:t>
            </w:r>
          </w:p>
        </w:tc>
        <w:tc>
          <w:tcPr>
            <w:tcW w:w="5696" w:type="dxa"/>
            <w:shd w:val="clear" w:color="auto" w:fill="auto"/>
            <w:vAlign w:val="center"/>
          </w:tcPr>
          <w:p>
            <w:pPr>
              <w:jc w:val="both"/>
              <w:rPr>
                <w:rFonts w:ascii="宋体" w:hAnsi="宋体" w:eastAsia="宋体" w:cs="宋体"/>
                <w:sz w:val="28"/>
                <w:szCs w:val="28"/>
              </w:rPr>
            </w:pPr>
            <w:r>
              <w:rPr>
                <w:rFonts w:ascii="宋体" w:hAnsi="宋体" w:eastAsia="宋体" w:cs="宋体"/>
                <w:sz w:val="28"/>
                <w:szCs w:val="28"/>
              </w:rPr>
              <w:t>参加政府采购活动前3年内在经营活动中没有重大违法记录的书面声明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7</w:t>
            </w:r>
          </w:p>
        </w:tc>
        <w:tc>
          <w:tcPr>
            <w:tcW w:w="2336"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法定代表人委托授权书</w:t>
            </w:r>
          </w:p>
        </w:tc>
        <w:tc>
          <w:tcPr>
            <w:tcW w:w="5696"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非法定代表人参加投标的，须提供法定代表人委托授权书及被授权人身份证，法定代表人参加投标时,只需提供法定代表人身份证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6" w:hRule="atLeast"/>
          <w:jc w:val="center"/>
        </w:trPr>
        <w:tc>
          <w:tcPr>
            <w:tcW w:w="836"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8</w:t>
            </w:r>
          </w:p>
        </w:tc>
        <w:tc>
          <w:tcPr>
            <w:tcW w:w="2336"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提供医疗器械经营许可证或备案凭证（所投产品须在其经营范围内）和所投产品的医疗器械产品注册证及其附件或备案凭证（供应商若为生产商提供医疗器械生产许可证）</w:t>
            </w:r>
          </w:p>
        </w:tc>
        <w:tc>
          <w:tcPr>
            <w:tcW w:w="5696" w:type="dxa"/>
            <w:shd w:val="clear" w:color="auto" w:fill="auto"/>
            <w:vAlign w:val="center"/>
          </w:tcPr>
          <w:p>
            <w:pPr>
              <w:jc w:val="both"/>
              <w:rPr>
                <w:rFonts w:ascii="宋体" w:hAnsi="宋体" w:eastAsia="宋体" w:cs="宋体"/>
                <w:sz w:val="28"/>
                <w:szCs w:val="28"/>
              </w:rPr>
            </w:pPr>
            <w:r>
              <w:rPr>
                <w:rFonts w:ascii="宋体" w:hAnsi="宋体" w:eastAsia="宋体" w:cs="宋体"/>
                <w:sz w:val="28"/>
                <w:szCs w:val="28"/>
              </w:rPr>
              <w:t>供应商须提供医疗器械经营许可证或备案凭证（所投产品须在其经营范围内）和所投产品的医疗器械产品注册证及其附件或备案凭证</w:t>
            </w:r>
            <w:r>
              <w:rPr>
                <w:rFonts w:hint="eastAsia" w:ascii="宋体" w:hAnsi="宋体" w:eastAsia="宋体" w:cs="宋体"/>
                <w:sz w:val="28"/>
                <w:szCs w:val="28"/>
              </w:rPr>
              <w:t>（供应商若为生产商提供医疗器械生产许可证）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81" w:hRule="atLeast"/>
          <w:jc w:val="center"/>
        </w:trPr>
        <w:tc>
          <w:tcPr>
            <w:tcW w:w="836"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9</w:t>
            </w:r>
          </w:p>
        </w:tc>
        <w:tc>
          <w:tcPr>
            <w:tcW w:w="2336"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联合体</w:t>
            </w:r>
          </w:p>
        </w:tc>
        <w:tc>
          <w:tcPr>
            <w:tcW w:w="5696"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本项目不接受联合体投标</w:t>
            </w:r>
          </w:p>
        </w:tc>
      </w:tr>
    </w:tbl>
    <w:p>
      <w:pPr>
        <w:pStyle w:val="5"/>
        <w:rPr>
          <w:rFonts w:ascii="宋体" w:hAnsi="宋体" w:eastAsia="宋体" w:cs="宋体"/>
          <w:sz w:val="28"/>
          <w:szCs w:val="28"/>
        </w:rPr>
      </w:pPr>
      <w:bookmarkStart w:id="56" w:name="_Toc1765"/>
      <w:r>
        <w:rPr>
          <w:rFonts w:hint="eastAsia" w:ascii="宋体" w:hAnsi="宋体" w:eastAsia="宋体" w:cs="宋体"/>
          <w:sz w:val="28"/>
          <w:szCs w:val="28"/>
        </w:rPr>
        <w:t>七、评审方法和程序</w:t>
      </w:r>
      <w:bookmarkEnd w:id="56"/>
    </w:p>
    <w:p>
      <w:pPr>
        <w:pStyle w:val="101"/>
        <w:ind w:firstLine="579"/>
        <w:rPr>
          <w:b/>
          <w:bCs/>
          <w:sz w:val="28"/>
          <w:szCs w:val="28"/>
        </w:rPr>
      </w:pPr>
      <w:bookmarkStart w:id="57" w:name="_Toc14369"/>
      <w:r>
        <w:rPr>
          <w:rFonts w:hint="eastAsia"/>
          <w:b/>
          <w:bCs/>
          <w:sz w:val="28"/>
          <w:szCs w:val="28"/>
        </w:rPr>
        <w:t>（一）评标方法</w:t>
      </w:r>
      <w:bookmarkEnd w:id="57"/>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本项目采用综合评分法，即投标文件满足招标文件全部实质性要求，且按照评审因素的量化指标评审得分最高的供应商为中标候选人。</w:t>
      </w:r>
    </w:p>
    <w:p>
      <w:pPr>
        <w:pStyle w:val="101"/>
        <w:ind w:firstLine="579"/>
        <w:rPr>
          <w:b/>
          <w:bCs/>
          <w:sz w:val="28"/>
          <w:szCs w:val="28"/>
        </w:rPr>
      </w:pPr>
      <w:bookmarkStart w:id="58" w:name="_Toc15322"/>
      <w:r>
        <w:rPr>
          <w:rFonts w:hint="eastAsia"/>
          <w:b/>
          <w:bCs/>
          <w:sz w:val="28"/>
          <w:szCs w:val="28"/>
        </w:rPr>
        <w:t>（二）评标程序</w:t>
      </w:r>
      <w:bookmarkEnd w:id="58"/>
    </w:p>
    <w:p>
      <w:pPr>
        <w:pStyle w:val="101"/>
        <w:ind w:firstLine="577"/>
        <w:rPr>
          <w:sz w:val="28"/>
          <w:szCs w:val="28"/>
        </w:rPr>
      </w:pPr>
      <w:bookmarkStart w:id="59" w:name="_Toc19236"/>
      <w:r>
        <w:rPr>
          <w:rFonts w:hint="eastAsia"/>
          <w:sz w:val="28"/>
          <w:szCs w:val="28"/>
        </w:rPr>
        <w:t>1．组建评标委员会</w:t>
      </w:r>
      <w:bookmarkEnd w:id="59"/>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由采购代理机构组织评标委员会推选评标组长，采购人代表不得担任组长。</w:t>
      </w:r>
    </w:p>
    <w:p>
      <w:pPr>
        <w:pStyle w:val="101"/>
        <w:ind w:firstLine="577"/>
        <w:rPr>
          <w:sz w:val="28"/>
          <w:szCs w:val="28"/>
        </w:rPr>
      </w:pPr>
      <w:bookmarkStart w:id="60" w:name="_Toc1683"/>
      <w:r>
        <w:rPr>
          <w:rFonts w:hint="eastAsia"/>
          <w:sz w:val="28"/>
          <w:szCs w:val="28"/>
        </w:rPr>
        <w:t>2．投标文件的符合性审查</w:t>
      </w:r>
      <w:bookmarkEnd w:id="60"/>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供应商资格性审查通过后，评标委员会对符合资格的投标人的投标文件进行符合性审查，以确定其是否满足招标文件的实质性要求。</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对于投标文件中含义不明确、同类问题表述不一致或者有明显文字和计算错误的内容，评标委员会应当以书面形式要求投标人作出必要的澄清、说明或者补正。</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投标人的澄清、说明或者补正应当采用书面形式，并加盖公章，或者由法定代表人或其授权的代表签字。投标人的澄清、说明或者补正不得超出投标文件的范围或者改变投标文件的实质性内容。</w:t>
      </w:r>
    </w:p>
    <w:p>
      <w:pPr>
        <w:spacing w:line="560" w:lineRule="exact"/>
        <w:jc w:val="both"/>
        <w:rPr>
          <w:rFonts w:ascii="宋体" w:hAnsi="宋体" w:eastAsia="宋体" w:cs="宋体"/>
          <w:sz w:val="28"/>
          <w:szCs w:val="28"/>
        </w:rPr>
      </w:pPr>
      <w:r>
        <w:rPr>
          <w:rFonts w:hint="eastAsia" w:ascii="宋体" w:hAnsi="宋体" w:eastAsia="宋体" w:cs="宋体"/>
          <w:sz w:val="28"/>
          <w:szCs w:val="28"/>
        </w:rPr>
        <w:t>〖符合性审查表〗</w:t>
      </w:r>
    </w:p>
    <w:tbl>
      <w:tblPr>
        <w:tblStyle w:val="36"/>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2392"/>
        <w:gridCol w:w="549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宋体" w:hAnsi="宋体" w:eastAsia="宋体" w:cs="宋体"/>
                <w:b/>
                <w:bCs/>
                <w:sz w:val="28"/>
                <w:szCs w:val="28"/>
              </w:rPr>
            </w:pPr>
            <w:r>
              <w:rPr>
                <w:rFonts w:hint="eastAsia" w:ascii="宋体" w:hAnsi="宋体" w:eastAsia="宋体" w:cs="宋体"/>
                <w:b/>
                <w:bCs/>
                <w:sz w:val="28"/>
                <w:szCs w:val="28"/>
              </w:rPr>
              <w:t>序号</w:t>
            </w:r>
          </w:p>
        </w:tc>
        <w:tc>
          <w:tcPr>
            <w:tcW w:w="2392"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宋体" w:hAnsi="宋体" w:eastAsia="宋体" w:cs="宋体"/>
                <w:b/>
                <w:bCs/>
                <w:sz w:val="28"/>
                <w:szCs w:val="28"/>
              </w:rPr>
            </w:pPr>
            <w:r>
              <w:rPr>
                <w:rFonts w:hint="eastAsia" w:ascii="宋体" w:hAnsi="宋体" w:eastAsia="宋体" w:cs="宋体"/>
                <w:b/>
                <w:bCs/>
                <w:sz w:val="28"/>
                <w:szCs w:val="28"/>
              </w:rPr>
              <w:t>符合性审查项</w:t>
            </w:r>
          </w:p>
        </w:tc>
        <w:tc>
          <w:tcPr>
            <w:tcW w:w="5498"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宋体" w:hAnsi="宋体" w:eastAsia="宋体" w:cs="宋体"/>
                <w:b/>
                <w:bCs/>
                <w:sz w:val="28"/>
                <w:szCs w:val="28"/>
              </w:rPr>
            </w:pPr>
            <w:r>
              <w:rPr>
                <w:rFonts w:hint="eastAsia" w:ascii="宋体" w:hAnsi="宋体" w:eastAsia="宋体" w:cs="宋体"/>
                <w:b/>
                <w:bCs/>
                <w:sz w:val="28"/>
                <w:szCs w:val="28"/>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2" w:space="0"/>
            </w:tcBorders>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rPr>
              <w:t>1</w:t>
            </w:r>
          </w:p>
        </w:tc>
        <w:tc>
          <w:tcPr>
            <w:tcW w:w="2392" w:type="dxa"/>
            <w:tcBorders>
              <w:top w:val="single" w:color="auto" w:sz="2" w:space="0"/>
            </w:tcBorders>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rPr>
              <w:t>投标报价是否超过预算或最高限价</w:t>
            </w:r>
          </w:p>
        </w:tc>
        <w:tc>
          <w:tcPr>
            <w:tcW w:w="5498" w:type="dxa"/>
            <w:tcBorders>
              <w:top w:val="single" w:color="auto" w:sz="2" w:space="0"/>
            </w:tcBorders>
            <w:vAlign w:val="center"/>
          </w:tcPr>
          <w:p>
            <w:pPr>
              <w:jc w:val="both"/>
              <w:rPr>
                <w:rFonts w:ascii="宋体" w:hAnsi="宋体" w:eastAsia="宋体" w:cs="宋体"/>
                <w:sz w:val="28"/>
                <w:szCs w:val="28"/>
              </w:rPr>
            </w:pPr>
            <w:r>
              <w:rPr>
                <w:rFonts w:hint="eastAsia" w:ascii="宋体" w:hAnsi="宋体" w:eastAsia="宋体" w:cs="宋体"/>
                <w:sz w:val="28"/>
                <w:szCs w:val="28"/>
              </w:rPr>
              <w:t>投标报价未超过预算或最高限价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rPr>
              <w:t>2</w:t>
            </w:r>
          </w:p>
        </w:tc>
        <w:tc>
          <w:tcPr>
            <w:tcW w:w="2392" w:type="dxa"/>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rPr>
              <w:t>交货期是否满足招标文件要求</w:t>
            </w:r>
          </w:p>
        </w:tc>
        <w:tc>
          <w:tcPr>
            <w:tcW w:w="5498" w:type="dxa"/>
            <w:vAlign w:val="center"/>
          </w:tcPr>
          <w:p>
            <w:pPr>
              <w:jc w:val="both"/>
              <w:rPr>
                <w:rFonts w:ascii="宋体" w:hAnsi="宋体" w:eastAsia="宋体" w:cs="宋体"/>
                <w:sz w:val="28"/>
                <w:szCs w:val="28"/>
              </w:rPr>
            </w:pPr>
            <w:r>
              <w:rPr>
                <w:rFonts w:hint="eastAsia" w:ascii="宋体" w:hAnsi="宋体" w:eastAsia="宋体" w:cs="宋体"/>
                <w:sz w:val="28"/>
                <w:szCs w:val="28"/>
              </w:rPr>
              <w:t>交货期满足招标文件要求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rPr>
              <w:t>3</w:t>
            </w:r>
          </w:p>
        </w:tc>
        <w:tc>
          <w:tcPr>
            <w:tcW w:w="2392" w:type="dxa"/>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rPr>
              <w:t>质保期是否满足招标文件要求</w:t>
            </w:r>
          </w:p>
        </w:tc>
        <w:tc>
          <w:tcPr>
            <w:tcW w:w="5498" w:type="dxa"/>
            <w:vAlign w:val="center"/>
          </w:tcPr>
          <w:p>
            <w:pPr>
              <w:jc w:val="both"/>
              <w:rPr>
                <w:rFonts w:ascii="宋体" w:hAnsi="宋体" w:eastAsia="宋体" w:cs="宋体"/>
                <w:sz w:val="28"/>
                <w:szCs w:val="28"/>
              </w:rPr>
            </w:pPr>
            <w:r>
              <w:rPr>
                <w:rFonts w:hint="eastAsia" w:ascii="宋体" w:hAnsi="宋体" w:eastAsia="宋体" w:cs="宋体"/>
                <w:sz w:val="28"/>
                <w:szCs w:val="28"/>
              </w:rPr>
              <w:t>质保期满足招标文件要求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rPr>
              <w:t>4</w:t>
            </w:r>
          </w:p>
        </w:tc>
        <w:tc>
          <w:tcPr>
            <w:tcW w:w="2392" w:type="dxa"/>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rPr>
              <w:t>数量、签署、盖章是否满足招标文件要求</w:t>
            </w:r>
          </w:p>
        </w:tc>
        <w:tc>
          <w:tcPr>
            <w:tcW w:w="5498" w:type="dxa"/>
            <w:vAlign w:val="center"/>
          </w:tcPr>
          <w:p>
            <w:pPr>
              <w:jc w:val="both"/>
              <w:rPr>
                <w:rFonts w:ascii="宋体" w:hAnsi="宋体" w:eastAsia="宋体" w:cs="宋体"/>
                <w:sz w:val="28"/>
                <w:szCs w:val="28"/>
              </w:rPr>
            </w:pPr>
            <w:r>
              <w:rPr>
                <w:rFonts w:hint="eastAsia" w:ascii="宋体" w:hAnsi="宋体" w:eastAsia="宋体" w:cs="宋体"/>
                <w:sz w:val="28"/>
                <w:szCs w:val="28"/>
              </w:rPr>
              <w:t>数量、签署、盖章符合招标文件要求，且无遗漏。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rPr>
              <w:t>5</w:t>
            </w:r>
          </w:p>
        </w:tc>
        <w:tc>
          <w:tcPr>
            <w:tcW w:w="2392" w:type="dxa"/>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rPr>
              <w:t>投标文件有效期</w:t>
            </w:r>
          </w:p>
        </w:tc>
        <w:tc>
          <w:tcPr>
            <w:tcW w:w="5498" w:type="dxa"/>
            <w:vAlign w:val="center"/>
          </w:tcPr>
          <w:p>
            <w:pPr>
              <w:jc w:val="both"/>
              <w:rPr>
                <w:rFonts w:ascii="宋体" w:hAnsi="宋体" w:eastAsia="宋体" w:cs="宋体"/>
                <w:sz w:val="28"/>
                <w:szCs w:val="28"/>
              </w:rPr>
            </w:pPr>
            <w:r>
              <w:rPr>
                <w:rFonts w:hint="eastAsia" w:ascii="宋体" w:hAnsi="宋体" w:eastAsia="宋体" w:cs="宋体"/>
                <w:sz w:val="28"/>
                <w:szCs w:val="28"/>
              </w:rPr>
              <w:t>符合招标文件的要求</w:t>
            </w:r>
          </w:p>
        </w:tc>
      </w:tr>
    </w:tbl>
    <w:p>
      <w:pPr>
        <w:pStyle w:val="101"/>
        <w:ind w:firstLine="577"/>
        <w:rPr>
          <w:sz w:val="28"/>
          <w:szCs w:val="28"/>
        </w:rPr>
      </w:pPr>
      <w:bookmarkStart w:id="61" w:name="_Toc11857"/>
      <w:r>
        <w:rPr>
          <w:rFonts w:hint="eastAsia"/>
          <w:sz w:val="28"/>
          <w:szCs w:val="28"/>
        </w:rPr>
        <w:t>3．综合比较与评价</w:t>
      </w:r>
      <w:bookmarkEnd w:id="61"/>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评标委员会按《评审要素及分值一览表》中规定的评标方法和标准，对通过符合性审查的投标文件进行商务和技术评估，综合比较与评价。</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出现下列情形的，供应商投标无效：</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（1）投标文件报价出现本章第五小节“投标报价”所列需要修正情形，但供应商对修正后的报价不予确认的；</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pPr>
        <w:rPr>
          <w:rFonts w:ascii="宋体" w:hAnsi="宋体" w:eastAsia="宋体" w:cs="宋体"/>
          <w:sz w:val="28"/>
          <w:szCs w:val="28"/>
        </w:rPr>
      </w:pPr>
      <w:r>
        <w:rPr>
          <w:rFonts w:hint="eastAsia" w:ascii="宋体" w:hAnsi="宋体" w:eastAsia="宋体" w:cs="宋体"/>
          <w:sz w:val="28"/>
          <w:szCs w:val="28"/>
        </w:rPr>
        <w:br w:type="page"/>
      </w:r>
    </w:p>
    <w:p>
      <w:pPr>
        <w:spacing w:line="560" w:lineRule="exact"/>
        <w:jc w:val="both"/>
        <w:rPr>
          <w:rFonts w:ascii="宋体" w:hAnsi="宋体" w:eastAsia="宋体" w:cs="宋体"/>
          <w:sz w:val="28"/>
          <w:szCs w:val="28"/>
        </w:rPr>
      </w:pPr>
      <w:r>
        <w:rPr>
          <w:rFonts w:hint="eastAsia" w:ascii="宋体" w:hAnsi="宋体" w:eastAsia="宋体" w:cs="宋体"/>
          <w:sz w:val="28"/>
          <w:szCs w:val="28"/>
        </w:rPr>
        <w:t>〖评审要素及分值一览表〗</w:t>
      </w:r>
    </w:p>
    <w:p>
      <w:pPr>
        <w:pStyle w:val="6"/>
        <w:numPr>
          <w:ilvl w:val="3"/>
          <w:numId w:val="0"/>
        </w:numPr>
        <w:rPr>
          <w:rFonts w:eastAsia="宋体"/>
        </w:rPr>
      </w:pPr>
      <w:r>
        <w:rPr>
          <w:rFonts w:hint="eastAsia" w:eastAsia="宋体"/>
        </w:rPr>
        <w:t>评分标准：</w:t>
      </w:r>
    </w:p>
    <w:tbl>
      <w:tblPr>
        <w:tblStyle w:val="36"/>
        <w:tblpPr w:leftFromText="180" w:rightFromText="180" w:vertAnchor="text" w:horzAnchor="page" w:tblpX="1597" w:tblpY="801"/>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232"/>
        <w:gridCol w:w="758"/>
        <w:gridCol w:w="4769"/>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18" w:type="dxa"/>
            <w:vAlign w:val="center"/>
          </w:tcPr>
          <w:p>
            <w:pPr>
              <w:jc w:val="center"/>
              <w:rPr>
                <w:rFonts w:ascii="宋体" w:hAnsi="宋体" w:eastAsia="宋体" w:cs="宋体"/>
                <w:b/>
                <w:sz w:val="28"/>
                <w:szCs w:val="28"/>
              </w:rPr>
            </w:pPr>
            <w:bookmarkStart w:id="62" w:name="_Toc10025"/>
            <w:r>
              <w:rPr>
                <w:rFonts w:hint="eastAsia" w:ascii="宋体" w:hAnsi="宋体" w:eastAsia="宋体" w:cs="宋体"/>
                <w:b/>
                <w:sz w:val="28"/>
                <w:szCs w:val="28"/>
              </w:rPr>
              <w:t>序号</w:t>
            </w:r>
          </w:p>
        </w:tc>
        <w:tc>
          <w:tcPr>
            <w:tcW w:w="1232" w:type="dxa"/>
            <w:vAlign w:val="center"/>
          </w:tcPr>
          <w:p>
            <w:pPr>
              <w:jc w:val="center"/>
              <w:rPr>
                <w:rFonts w:ascii="宋体" w:hAnsi="宋体" w:eastAsia="宋体" w:cs="宋体"/>
                <w:b/>
                <w:sz w:val="28"/>
                <w:szCs w:val="28"/>
              </w:rPr>
            </w:pPr>
            <w:r>
              <w:rPr>
                <w:rFonts w:hint="eastAsia" w:ascii="宋体" w:hAnsi="宋体" w:eastAsia="宋体" w:cs="宋体"/>
                <w:b/>
                <w:sz w:val="28"/>
                <w:szCs w:val="28"/>
              </w:rPr>
              <w:t>评分因素</w:t>
            </w:r>
          </w:p>
        </w:tc>
        <w:tc>
          <w:tcPr>
            <w:tcW w:w="758" w:type="dxa"/>
            <w:vAlign w:val="center"/>
          </w:tcPr>
          <w:p>
            <w:pPr>
              <w:jc w:val="center"/>
              <w:rPr>
                <w:rFonts w:ascii="宋体" w:hAnsi="宋体" w:eastAsia="宋体" w:cs="宋体"/>
                <w:b/>
                <w:sz w:val="28"/>
                <w:szCs w:val="28"/>
              </w:rPr>
            </w:pPr>
            <w:r>
              <w:rPr>
                <w:rFonts w:hint="eastAsia" w:ascii="宋体" w:hAnsi="宋体" w:eastAsia="宋体" w:cs="宋体"/>
                <w:b/>
                <w:sz w:val="28"/>
                <w:szCs w:val="28"/>
              </w:rPr>
              <w:t>分值</w:t>
            </w:r>
          </w:p>
        </w:tc>
        <w:tc>
          <w:tcPr>
            <w:tcW w:w="4769" w:type="dxa"/>
            <w:vAlign w:val="center"/>
          </w:tcPr>
          <w:p>
            <w:pPr>
              <w:jc w:val="center"/>
              <w:rPr>
                <w:rFonts w:ascii="宋体" w:hAnsi="宋体" w:eastAsia="宋体" w:cs="宋体"/>
                <w:b/>
                <w:sz w:val="28"/>
                <w:szCs w:val="28"/>
              </w:rPr>
            </w:pPr>
            <w:r>
              <w:rPr>
                <w:rFonts w:hint="eastAsia" w:ascii="宋体" w:hAnsi="宋体" w:eastAsia="宋体" w:cs="宋体"/>
                <w:b/>
                <w:sz w:val="28"/>
                <w:szCs w:val="28"/>
              </w:rPr>
              <w:t>评分标准</w:t>
            </w:r>
          </w:p>
        </w:tc>
        <w:tc>
          <w:tcPr>
            <w:tcW w:w="1643" w:type="dxa"/>
            <w:vAlign w:val="center"/>
          </w:tcPr>
          <w:p>
            <w:pPr>
              <w:jc w:val="center"/>
              <w:rPr>
                <w:rFonts w:ascii="宋体" w:hAnsi="宋体" w:eastAsia="宋体" w:cs="宋体"/>
                <w:b/>
                <w:sz w:val="28"/>
                <w:szCs w:val="28"/>
              </w:rPr>
            </w:pPr>
            <w:r>
              <w:rPr>
                <w:rFonts w:hint="eastAsia" w:ascii="宋体" w:hAnsi="宋体" w:eastAsia="宋体" w:cs="宋体"/>
                <w:b/>
                <w:sz w:val="28"/>
                <w:szCs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9" w:hRule="atLeast"/>
        </w:trPr>
        <w:tc>
          <w:tcPr>
            <w:tcW w:w="518" w:type="dxa"/>
            <w:vAlign w:val="center"/>
          </w:tcPr>
          <w:p>
            <w:pPr>
              <w:rPr>
                <w:rFonts w:ascii="宋体" w:hAnsi="宋体" w:eastAsia="宋体" w:cs="宋体"/>
                <w:sz w:val="28"/>
                <w:szCs w:val="28"/>
              </w:rPr>
            </w:pPr>
            <w:r>
              <w:rPr>
                <w:rFonts w:hint="eastAsia" w:ascii="宋体" w:hAnsi="宋体" w:eastAsia="宋体" w:cs="宋体"/>
                <w:sz w:val="28"/>
                <w:szCs w:val="28"/>
              </w:rPr>
              <w:t>1</w:t>
            </w:r>
          </w:p>
        </w:tc>
        <w:tc>
          <w:tcPr>
            <w:tcW w:w="1232" w:type="dxa"/>
            <w:vAlign w:val="center"/>
          </w:tcPr>
          <w:p>
            <w:pPr>
              <w:jc w:val="center"/>
              <w:rPr>
                <w:rFonts w:ascii="宋体" w:hAnsi="宋体" w:eastAsia="宋体" w:cs="宋体"/>
                <w:sz w:val="28"/>
                <w:szCs w:val="28"/>
              </w:rPr>
            </w:pPr>
            <w:r>
              <w:rPr>
                <w:rFonts w:hint="eastAsia" w:ascii="宋体" w:hAnsi="宋体" w:eastAsia="宋体" w:cs="宋体"/>
                <w:sz w:val="28"/>
                <w:szCs w:val="28"/>
              </w:rPr>
              <w:t>报价</w:t>
            </w:r>
          </w:p>
        </w:tc>
        <w:tc>
          <w:tcPr>
            <w:tcW w:w="758" w:type="dxa"/>
            <w:vAlign w:val="center"/>
          </w:tcPr>
          <w:p>
            <w:pPr>
              <w:jc w:val="center"/>
              <w:rPr>
                <w:rFonts w:ascii="宋体" w:hAnsi="宋体" w:eastAsia="宋体" w:cs="宋体"/>
                <w:sz w:val="28"/>
                <w:szCs w:val="28"/>
              </w:rPr>
            </w:pPr>
            <w:r>
              <w:rPr>
                <w:rFonts w:hint="eastAsia" w:ascii="宋体" w:hAnsi="宋体" w:cs="宋体"/>
                <w:sz w:val="28"/>
                <w:szCs w:val="28"/>
              </w:rPr>
              <w:t>30</w:t>
            </w:r>
          </w:p>
        </w:tc>
        <w:tc>
          <w:tcPr>
            <w:tcW w:w="476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eastAsia="宋体" w:cs="宋体"/>
                <w:sz w:val="28"/>
                <w:szCs w:val="28"/>
              </w:rPr>
              <w:t>经初审合格的投标文件，其投标报价为有效投标价。</w:t>
            </w:r>
          </w:p>
          <w:p>
            <w:pPr>
              <w:rPr>
                <w:rFonts w:ascii="宋体" w:hAnsi="宋体" w:eastAsia="宋体" w:cs="宋体"/>
                <w:sz w:val="28"/>
                <w:szCs w:val="28"/>
              </w:rPr>
            </w:pPr>
            <w:r>
              <w:rPr>
                <w:rFonts w:hint="eastAsia" w:ascii="宋体" w:hAnsi="宋体" w:eastAsia="宋体" w:cs="宋体"/>
                <w:sz w:val="28"/>
                <w:szCs w:val="28"/>
              </w:rPr>
              <w:t>评标基准价：即满足招标文件要求且投标价格最低的投标报价为评标基准价。</w:t>
            </w:r>
            <w:r>
              <w:rPr>
                <w:rFonts w:hint="eastAsia" w:ascii="宋体" w:hAnsi="宋体" w:cs="宋体"/>
                <w:sz w:val="28"/>
                <w:szCs w:val="28"/>
              </w:rPr>
              <w:t>其他</w:t>
            </w:r>
            <w:r>
              <w:rPr>
                <w:rFonts w:hint="eastAsia" w:ascii="宋体" w:hAnsi="宋体" w:eastAsia="宋体" w:cs="宋体"/>
                <w:sz w:val="28"/>
                <w:szCs w:val="28"/>
              </w:rPr>
              <w:t>供应商的价格分值统一按下列公式计算：投标报价得分＝（评标基准价/投标报价）×</w:t>
            </w:r>
            <w:r>
              <w:rPr>
                <w:rFonts w:hint="eastAsia" w:ascii="宋体" w:hAnsi="宋体" w:cs="宋体"/>
                <w:sz w:val="28"/>
                <w:szCs w:val="28"/>
              </w:rPr>
              <w:t>30</w:t>
            </w:r>
            <w:r>
              <w:rPr>
                <w:rFonts w:hint="eastAsia" w:ascii="宋体" w:hAnsi="宋体" w:eastAsia="宋体" w:cs="宋体"/>
                <w:sz w:val="28"/>
                <w:szCs w:val="28"/>
              </w:rPr>
              <w:t>。评标基准价是指满足招标文件要求且投标价格最低的投标报价。</w:t>
            </w:r>
          </w:p>
        </w:tc>
        <w:tc>
          <w:tcPr>
            <w:tcW w:w="1643" w:type="dxa"/>
            <w:vAlign w:val="center"/>
          </w:tcPr>
          <w:p>
            <w:pPr>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518" w:type="dxa"/>
            <w:vAlign w:val="center"/>
          </w:tcPr>
          <w:p>
            <w:pPr>
              <w:rPr>
                <w:rFonts w:ascii="宋体" w:hAnsi="宋体" w:eastAsia="宋体" w:cs="宋体"/>
                <w:sz w:val="28"/>
                <w:szCs w:val="28"/>
              </w:rPr>
            </w:pPr>
            <w:r>
              <w:rPr>
                <w:rFonts w:hint="eastAsia" w:ascii="宋体" w:hAnsi="宋体" w:eastAsia="宋体" w:cs="宋体"/>
                <w:sz w:val="28"/>
                <w:szCs w:val="28"/>
              </w:rPr>
              <w:t>2</w:t>
            </w:r>
          </w:p>
        </w:tc>
        <w:tc>
          <w:tcPr>
            <w:tcW w:w="1232" w:type="dxa"/>
            <w:vAlign w:val="center"/>
          </w:tcPr>
          <w:p>
            <w:pPr>
              <w:jc w:val="center"/>
              <w:rPr>
                <w:rFonts w:ascii="宋体" w:hAnsi="宋体" w:eastAsia="宋体" w:cs="宋体"/>
                <w:sz w:val="28"/>
                <w:szCs w:val="28"/>
              </w:rPr>
            </w:pPr>
            <w:r>
              <w:rPr>
                <w:rFonts w:hint="eastAsia" w:ascii="宋体" w:hAnsi="宋体" w:eastAsia="宋体" w:cs="宋体"/>
                <w:sz w:val="28"/>
                <w:szCs w:val="28"/>
              </w:rPr>
              <w:t>技术指标和配置</w:t>
            </w:r>
          </w:p>
        </w:tc>
        <w:tc>
          <w:tcPr>
            <w:tcW w:w="758" w:type="dxa"/>
            <w:vAlign w:val="center"/>
          </w:tcPr>
          <w:p>
            <w:pPr>
              <w:jc w:val="center"/>
              <w:rPr>
                <w:rFonts w:ascii="宋体" w:hAnsi="宋体" w:eastAsia="宋体" w:cs="宋体"/>
                <w:sz w:val="28"/>
                <w:szCs w:val="28"/>
              </w:rPr>
            </w:pPr>
            <w:r>
              <w:rPr>
                <w:rFonts w:hint="eastAsia" w:ascii="宋体" w:hAnsi="宋体" w:cs="宋体"/>
                <w:sz w:val="28"/>
                <w:szCs w:val="28"/>
              </w:rPr>
              <w:t>45</w:t>
            </w:r>
          </w:p>
        </w:tc>
        <w:tc>
          <w:tcPr>
            <w:tcW w:w="4769" w:type="dxa"/>
            <w:vAlign w:val="center"/>
          </w:tcPr>
          <w:p>
            <w:pPr>
              <w:rPr>
                <w:rFonts w:ascii="宋体" w:hAnsi="宋体" w:eastAsia="宋体" w:cs="宋体"/>
                <w:b/>
                <w:bCs/>
                <w:sz w:val="28"/>
                <w:szCs w:val="28"/>
              </w:rPr>
            </w:pPr>
            <w:r>
              <w:rPr>
                <w:rFonts w:hint="eastAsia" w:ascii="宋体" w:hAnsi="宋体" w:eastAsia="宋体" w:cs="宋体"/>
                <w:b/>
                <w:bCs/>
                <w:sz w:val="28"/>
                <w:szCs w:val="28"/>
              </w:rPr>
              <w:t>根据投标人提供所投设备的主要技术指标（参数）的相应的证明材料（包括但不限于产品彩页、测试报告、官网和功能截图等技术支持性文件（资料），经评审专家审定得分。</w:t>
            </w:r>
          </w:p>
          <w:p>
            <w:pPr>
              <w:rPr>
                <w:rFonts w:ascii="宋体" w:hAnsi="宋体" w:eastAsia="宋体" w:cs="宋体"/>
                <w:sz w:val="28"/>
                <w:szCs w:val="28"/>
              </w:rPr>
            </w:pPr>
            <w:r>
              <w:rPr>
                <w:rFonts w:hint="eastAsia" w:ascii="宋体" w:hAnsi="宋体" w:eastAsia="宋体" w:cs="宋体"/>
                <w:sz w:val="28"/>
                <w:szCs w:val="28"/>
              </w:rPr>
              <w:t>1、基本分（45分）：完全符合、响应招标文件</w:t>
            </w:r>
            <w:r>
              <w:rPr>
                <w:rFonts w:hint="eastAsia" w:ascii="宋体" w:hAnsi="宋体" w:cs="宋体"/>
                <w:sz w:val="28"/>
                <w:szCs w:val="28"/>
              </w:rPr>
              <w:t>一般参数</w:t>
            </w:r>
            <w:r>
              <w:rPr>
                <w:rFonts w:hint="eastAsia" w:ascii="宋体" w:hAnsi="宋体" w:eastAsia="宋体" w:cs="宋体"/>
                <w:sz w:val="28"/>
                <w:szCs w:val="28"/>
              </w:rPr>
              <w:t>要求，</w:t>
            </w:r>
            <w:r>
              <w:rPr>
                <w:rFonts w:hint="eastAsia" w:ascii="宋体" w:hAnsi="宋体" w:cs="宋体"/>
                <w:sz w:val="28"/>
                <w:szCs w:val="28"/>
              </w:rPr>
              <w:t>一般参数</w:t>
            </w:r>
            <w:r>
              <w:rPr>
                <w:rFonts w:hint="eastAsia" w:ascii="宋体" w:hAnsi="宋体" w:eastAsia="宋体" w:cs="宋体"/>
                <w:sz w:val="28"/>
                <w:szCs w:val="28"/>
              </w:rPr>
              <w:t>没有负偏离</w:t>
            </w:r>
            <w:r>
              <w:rPr>
                <w:rFonts w:hint="eastAsia" w:ascii="宋体" w:hAnsi="宋体" w:cs="宋体"/>
                <w:sz w:val="28"/>
                <w:szCs w:val="28"/>
              </w:rPr>
              <w:t>计</w:t>
            </w:r>
            <w:r>
              <w:rPr>
                <w:rFonts w:hint="eastAsia" w:ascii="宋体" w:hAnsi="宋体" w:eastAsia="宋体" w:cs="宋体"/>
                <w:sz w:val="28"/>
                <w:szCs w:val="28"/>
              </w:rPr>
              <w:t xml:space="preserve">45分； </w:t>
            </w:r>
            <w:r>
              <w:rPr>
                <w:rFonts w:ascii="宋体" w:hAnsi="宋体" w:cs="宋体"/>
                <w:sz w:val="28"/>
                <w:szCs w:val="28"/>
              </w:rPr>
              <w:t>“★”</w:t>
            </w:r>
            <w:r>
              <w:rPr>
                <w:rFonts w:hint="eastAsia" w:ascii="宋体" w:hAnsi="宋体" w:eastAsia="宋体" w:cs="宋体"/>
                <w:sz w:val="28"/>
                <w:szCs w:val="28"/>
              </w:rPr>
              <w:t>参数负偏离一项扣2分</w:t>
            </w:r>
            <w:r>
              <w:rPr>
                <w:rFonts w:hint="eastAsia" w:ascii="宋体" w:hAnsi="宋体" w:cs="宋体"/>
                <w:sz w:val="28"/>
                <w:szCs w:val="28"/>
              </w:rPr>
              <w:t>，一般</w:t>
            </w:r>
            <w:r>
              <w:rPr>
                <w:rFonts w:hint="eastAsia" w:ascii="宋体" w:hAnsi="宋体" w:eastAsia="宋体" w:cs="宋体"/>
                <w:sz w:val="28"/>
                <w:szCs w:val="28"/>
              </w:rPr>
              <w:t>参数负偏离一项扣1分，扣完为止。</w:t>
            </w:r>
          </w:p>
        </w:tc>
        <w:tc>
          <w:tcPr>
            <w:tcW w:w="1643" w:type="dxa"/>
            <w:vAlign w:val="center"/>
          </w:tcPr>
          <w:p>
            <w:pPr>
              <w:jc w:val="center"/>
              <w:rPr>
                <w:rFonts w:ascii="宋体" w:hAnsi="宋体" w:eastAsia="宋体" w:cs="宋体"/>
                <w:sz w:val="28"/>
                <w:szCs w:val="28"/>
              </w:rPr>
            </w:pPr>
            <w:r>
              <w:rPr>
                <w:rFonts w:hint="eastAsia" w:ascii="宋体" w:hAnsi="宋体" w:eastAsia="宋体" w:cs="宋体"/>
                <w:sz w:val="28"/>
                <w:szCs w:val="28"/>
              </w:rPr>
              <w:t>采购文件要求提供证明材料而未提供或提供的证明材料不符合要求视为负偏离。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518" w:type="dxa"/>
            <w:vAlign w:val="center"/>
          </w:tcPr>
          <w:p>
            <w:pPr>
              <w:jc w:val="center"/>
              <w:rPr>
                <w:rFonts w:ascii="宋体" w:hAnsi="宋体" w:eastAsia="宋体" w:cs="宋体"/>
                <w:sz w:val="28"/>
                <w:szCs w:val="28"/>
              </w:rPr>
            </w:pPr>
            <w:r>
              <w:rPr>
                <w:rFonts w:hint="eastAsia" w:ascii="宋体" w:hAnsi="宋体" w:cs="宋体"/>
                <w:sz w:val="28"/>
                <w:szCs w:val="28"/>
              </w:rPr>
              <w:t>3</w:t>
            </w:r>
          </w:p>
        </w:tc>
        <w:tc>
          <w:tcPr>
            <w:tcW w:w="1232" w:type="dxa"/>
            <w:vAlign w:val="center"/>
          </w:tcPr>
          <w:p>
            <w:pPr>
              <w:jc w:val="center"/>
              <w:rPr>
                <w:rFonts w:ascii="宋体" w:hAnsi="宋体" w:eastAsia="宋体" w:cs="宋体"/>
                <w:sz w:val="28"/>
                <w:szCs w:val="28"/>
              </w:rPr>
            </w:pPr>
            <w:r>
              <w:rPr>
                <w:rFonts w:hint="eastAsia" w:ascii="宋体" w:hAnsi="宋体" w:eastAsia="宋体" w:cs="宋体"/>
                <w:sz w:val="28"/>
                <w:szCs w:val="28"/>
              </w:rPr>
              <w:t>实施方案</w:t>
            </w:r>
          </w:p>
        </w:tc>
        <w:tc>
          <w:tcPr>
            <w:tcW w:w="758" w:type="dxa"/>
            <w:vAlign w:val="center"/>
          </w:tcPr>
          <w:p>
            <w:pPr>
              <w:jc w:val="center"/>
              <w:rPr>
                <w:rFonts w:ascii="宋体" w:hAnsi="宋体" w:eastAsia="宋体" w:cs="宋体"/>
                <w:sz w:val="28"/>
                <w:szCs w:val="28"/>
              </w:rPr>
            </w:pPr>
            <w:r>
              <w:rPr>
                <w:rFonts w:hint="eastAsia" w:ascii="宋体" w:hAnsi="宋体" w:cs="宋体"/>
                <w:sz w:val="28"/>
                <w:szCs w:val="28"/>
              </w:rPr>
              <w:t>6</w:t>
            </w:r>
          </w:p>
        </w:tc>
        <w:tc>
          <w:tcPr>
            <w:tcW w:w="4769" w:type="dxa"/>
          </w:tcPr>
          <w:p>
            <w:pPr>
              <w:rPr>
                <w:rFonts w:ascii="宋体" w:hAnsi="宋体" w:eastAsia="宋体" w:cs="宋体"/>
                <w:sz w:val="28"/>
                <w:szCs w:val="28"/>
              </w:rPr>
            </w:pPr>
            <w:r>
              <w:rPr>
                <w:rFonts w:hint="eastAsia" w:ascii="宋体" w:hAnsi="宋体" w:eastAsia="宋体" w:cs="宋体"/>
                <w:sz w:val="28"/>
                <w:szCs w:val="28"/>
              </w:rPr>
              <w:t>具有完整的项目实施方案，包括项目总体实施方案、项目团队方案、系统安装调试方案、项目验收方案等内容。</w:t>
            </w:r>
          </w:p>
          <w:p>
            <w:pPr>
              <w:rPr>
                <w:rFonts w:ascii="宋体" w:hAnsi="宋体" w:eastAsia="宋体" w:cs="宋体"/>
                <w:sz w:val="28"/>
                <w:szCs w:val="28"/>
              </w:rPr>
            </w:pPr>
            <w:r>
              <w:rPr>
                <w:rFonts w:hint="eastAsia" w:ascii="宋体" w:hAnsi="宋体" w:eastAsia="宋体" w:cs="宋体"/>
                <w:sz w:val="28"/>
                <w:szCs w:val="28"/>
              </w:rPr>
              <w:t>方案制定内容齐全，</w:t>
            </w:r>
            <w:r>
              <w:rPr>
                <w:rFonts w:hint="eastAsia" w:ascii="宋体" w:hAnsi="宋体" w:eastAsia="宋体" w:cs="宋体"/>
                <w:color w:val="auto"/>
                <w:sz w:val="28"/>
                <w:szCs w:val="28"/>
              </w:rPr>
              <w:t>各项措施健全，完全满足采购需求并符合本</w:t>
            </w:r>
            <w:r>
              <w:rPr>
                <w:rFonts w:hint="eastAsia" w:ascii="宋体" w:hAnsi="宋体" w:eastAsia="宋体" w:cs="宋体"/>
                <w:sz w:val="28"/>
                <w:szCs w:val="28"/>
              </w:rPr>
              <w:t>项目实施特点得</w:t>
            </w:r>
            <w:r>
              <w:rPr>
                <w:rFonts w:hint="eastAsia" w:ascii="宋体" w:hAnsi="宋体" w:cs="宋体"/>
                <w:sz w:val="28"/>
                <w:szCs w:val="28"/>
              </w:rPr>
              <w:t>6</w:t>
            </w:r>
            <w:r>
              <w:rPr>
                <w:rFonts w:hint="eastAsia" w:ascii="宋体" w:hAnsi="宋体" w:eastAsia="宋体" w:cs="宋体"/>
                <w:sz w:val="28"/>
                <w:szCs w:val="28"/>
              </w:rPr>
              <w:t>分；以上方面中每缺少一方面内容扣</w:t>
            </w:r>
            <w:r>
              <w:rPr>
                <w:rFonts w:hint="eastAsia" w:ascii="宋体" w:hAnsi="宋体" w:cs="宋体"/>
                <w:sz w:val="28"/>
                <w:szCs w:val="28"/>
              </w:rPr>
              <w:t>1.5</w:t>
            </w:r>
            <w:r>
              <w:rPr>
                <w:rFonts w:hint="eastAsia" w:ascii="宋体" w:hAnsi="宋体" w:eastAsia="宋体" w:cs="宋体"/>
                <w:sz w:val="28"/>
                <w:szCs w:val="28"/>
              </w:rPr>
              <w:t>分；每有一处内容与实际需求不符或不满足要求扣</w:t>
            </w:r>
            <w:r>
              <w:rPr>
                <w:rFonts w:hint="eastAsia" w:ascii="宋体" w:hAnsi="宋体" w:cs="宋体"/>
                <w:sz w:val="28"/>
                <w:szCs w:val="28"/>
              </w:rPr>
              <w:t>0.5</w:t>
            </w:r>
            <w:r>
              <w:rPr>
                <w:rFonts w:hint="eastAsia" w:ascii="宋体" w:hAnsi="宋体" w:eastAsia="宋体" w:cs="宋体"/>
                <w:sz w:val="28"/>
                <w:szCs w:val="28"/>
              </w:rPr>
              <w:t>-</w:t>
            </w:r>
            <w:r>
              <w:rPr>
                <w:rFonts w:hint="eastAsia" w:ascii="宋体" w:hAnsi="宋体" w:cs="宋体"/>
                <w:sz w:val="28"/>
                <w:szCs w:val="28"/>
              </w:rPr>
              <w:t>1.0</w:t>
            </w:r>
            <w:r>
              <w:rPr>
                <w:rFonts w:hint="eastAsia" w:ascii="宋体" w:hAnsi="宋体" w:eastAsia="宋体" w:cs="宋体"/>
                <w:sz w:val="28"/>
                <w:szCs w:val="28"/>
              </w:rPr>
              <w:t>分，扣完为止。</w:t>
            </w:r>
          </w:p>
        </w:tc>
        <w:tc>
          <w:tcPr>
            <w:tcW w:w="1643" w:type="dxa"/>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8" w:type="dxa"/>
            <w:vAlign w:val="center"/>
          </w:tcPr>
          <w:p>
            <w:pPr>
              <w:jc w:val="center"/>
              <w:rPr>
                <w:rFonts w:ascii="宋体" w:hAnsi="宋体" w:eastAsia="宋体" w:cs="宋体"/>
                <w:sz w:val="28"/>
                <w:szCs w:val="28"/>
              </w:rPr>
            </w:pPr>
            <w:r>
              <w:rPr>
                <w:rFonts w:hint="eastAsia" w:ascii="宋体" w:hAnsi="宋体" w:cs="宋体"/>
                <w:sz w:val="28"/>
                <w:szCs w:val="28"/>
              </w:rPr>
              <w:t>4</w:t>
            </w:r>
          </w:p>
        </w:tc>
        <w:tc>
          <w:tcPr>
            <w:tcW w:w="1232" w:type="dxa"/>
            <w:vAlign w:val="center"/>
          </w:tcPr>
          <w:p>
            <w:pPr>
              <w:jc w:val="center"/>
              <w:rPr>
                <w:rFonts w:ascii="宋体" w:hAnsi="宋体" w:eastAsia="宋体" w:cs="宋体"/>
                <w:sz w:val="28"/>
                <w:szCs w:val="28"/>
              </w:rPr>
            </w:pPr>
            <w:r>
              <w:rPr>
                <w:rFonts w:hint="eastAsia" w:ascii="宋体" w:hAnsi="宋体" w:eastAsia="宋体" w:cs="宋体"/>
                <w:sz w:val="28"/>
                <w:szCs w:val="28"/>
              </w:rPr>
              <w:t>培训方案</w:t>
            </w:r>
          </w:p>
        </w:tc>
        <w:tc>
          <w:tcPr>
            <w:tcW w:w="758" w:type="dxa"/>
            <w:vAlign w:val="center"/>
          </w:tcPr>
          <w:p>
            <w:pPr>
              <w:jc w:val="center"/>
              <w:rPr>
                <w:rFonts w:ascii="宋体" w:hAnsi="宋体" w:cs="宋体"/>
                <w:sz w:val="28"/>
                <w:szCs w:val="28"/>
              </w:rPr>
            </w:pPr>
            <w:r>
              <w:rPr>
                <w:rFonts w:hint="eastAsia" w:ascii="宋体" w:hAnsi="宋体" w:cs="宋体"/>
                <w:sz w:val="28"/>
                <w:szCs w:val="28"/>
              </w:rPr>
              <w:t>6</w:t>
            </w:r>
          </w:p>
        </w:tc>
        <w:tc>
          <w:tcPr>
            <w:tcW w:w="4769" w:type="dxa"/>
          </w:tcPr>
          <w:p>
            <w:pPr>
              <w:rPr>
                <w:rFonts w:ascii="宋体" w:hAnsi="宋体" w:eastAsia="宋体" w:cs="宋体"/>
                <w:sz w:val="28"/>
                <w:szCs w:val="28"/>
              </w:rPr>
            </w:pPr>
            <w:r>
              <w:rPr>
                <w:rFonts w:hint="eastAsia" w:ascii="宋体" w:hAnsi="宋体" w:eastAsia="宋体" w:cs="宋体"/>
                <w:sz w:val="28"/>
                <w:szCs w:val="28"/>
              </w:rPr>
              <w:t>投标人应提供完善的培训方案，方案应包培训内容、培训计划、培训方式、培训人员配置。</w:t>
            </w:r>
            <w:r>
              <w:rPr>
                <w:rFonts w:hint="eastAsia" w:ascii="宋体" w:hAnsi="宋体" w:eastAsia="宋体" w:cs="宋体"/>
                <w:bCs/>
                <w:sz w:val="28"/>
                <w:szCs w:val="28"/>
              </w:rPr>
              <w:t>培训方案完善、针对性强且符合项目实际需求的得</w:t>
            </w:r>
            <w:r>
              <w:rPr>
                <w:rFonts w:hint="eastAsia" w:ascii="宋体" w:hAnsi="宋体" w:cs="宋体"/>
                <w:bCs/>
                <w:sz w:val="28"/>
                <w:szCs w:val="28"/>
              </w:rPr>
              <w:t>6</w:t>
            </w:r>
            <w:r>
              <w:rPr>
                <w:rFonts w:hint="eastAsia" w:ascii="宋体" w:hAnsi="宋体" w:eastAsia="宋体" w:cs="宋体"/>
                <w:bCs/>
                <w:sz w:val="28"/>
                <w:szCs w:val="28"/>
              </w:rPr>
              <w:t>分，每缺少一项扣</w:t>
            </w:r>
            <w:r>
              <w:rPr>
                <w:rFonts w:hint="eastAsia" w:ascii="宋体" w:hAnsi="宋体" w:cs="宋体"/>
                <w:bCs/>
                <w:sz w:val="28"/>
                <w:szCs w:val="28"/>
              </w:rPr>
              <w:t>1.5</w:t>
            </w:r>
            <w:r>
              <w:rPr>
                <w:rFonts w:hint="eastAsia" w:ascii="宋体" w:hAnsi="宋体" w:eastAsia="宋体" w:cs="宋体"/>
                <w:bCs/>
                <w:sz w:val="28"/>
                <w:szCs w:val="28"/>
              </w:rPr>
              <w:t>分，某一项不完整或不符合实际需求的扣</w:t>
            </w:r>
            <w:r>
              <w:rPr>
                <w:rFonts w:hint="eastAsia" w:ascii="宋体" w:hAnsi="宋体" w:cs="宋体"/>
                <w:bCs/>
                <w:sz w:val="28"/>
                <w:szCs w:val="28"/>
              </w:rPr>
              <w:t>0.5</w:t>
            </w:r>
            <w:r>
              <w:rPr>
                <w:rFonts w:hint="eastAsia" w:ascii="宋体" w:hAnsi="宋体" w:eastAsia="宋体" w:cs="宋体"/>
                <w:bCs/>
                <w:sz w:val="28"/>
                <w:szCs w:val="28"/>
              </w:rPr>
              <w:t>-</w:t>
            </w:r>
            <w:r>
              <w:rPr>
                <w:rFonts w:hint="eastAsia" w:ascii="宋体" w:hAnsi="宋体" w:cs="宋体"/>
                <w:bCs/>
                <w:sz w:val="28"/>
                <w:szCs w:val="28"/>
              </w:rPr>
              <w:t>1</w:t>
            </w:r>
            <w:r>
              <w:rPr>
                <w:rFonts w:hint="eastAsia" w:ascii="宋体" w:hAnsi="宋体" w:eastAsia="宋体" w:cs="宋体"/>
                <w:bCs/>
                <w:sz w:val="28"/>
                <w:szCs w:val="28"/>
              </w:rPr>
              <w:t>.</w:t>
            </w:r>
            <w:r>
              <w:rPr>
                <w:rFonts w:hint="eastAsia" w:ascii="宋体" w:hAnsi="宋体" w:cs="宋体"/>
                <w:bCs/>
                <w:sz w:val="28"/>
                <w:szCs w:val="28"/>
              </w:rPr>
              <w:t>0</w:t>
            </w:r>
            <w:r>
              <w:rPr>
                <w:rFonts w:hint="eastAsia" w:ascii="宋体" w:hAnsi="宋体" w:eastAsia="宋体" w:cs="宋体"/>
                <w:bCs/>
                <w:sz w:val="28"/>
                <w:szCs w:val="28"/>
              </w:rPr>
              <w:t>分，扣完为止。</w:t>
            </w:r>
          </w:p>
        </w:tc>
        <w:tc>
          <w:tcPr>
            <w:tcW w:w="1643" w:type="dxa"/>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8" w:type="dxa"/>
            <w:vAlign w:val="center"/>
          </w:tcPr>
          <w:p>
            <w:pPr>
              <w:jc w:val="center"/>
              <w:rPr>
                <w:rFonts w:ascii="宋体" w:hAnsi="宋体" w:eastAsia="宋体" w:cs="宋体"/>
                <w:sz w:val="28"/>
                <w:szCs w:val="28"/>
              </w:rPr>
            </w:pPr>
            <w:r>
              <w:rPr>
                <w:rFonts w:hint="eastAsia" w:ascii="宋体" w:hAnsi="宋体" w:cs="宋体"/>
                <w:sz w:val="28"/>
                <w:szCs w:val="28"/>
              </w:rPr>
              <w:t>5</w:t>
            </w:r>
          </w:p>
        </w:tc>
        <w:tc>
          <w:tcPr>
            <w:tcW w:w="1232" w:type="dxa"/>
            <w:vAlign w:val="center"/>
          </w:tcPr>
          <w:p>
            <w:pPr>
              <w:jc w:val="center"/>
              <w:rPr>
                <w:rFonts w:ascii="宋体" w:hAnsi="宋体" w:eastAsia="宋体" w:cs="宋体"/>
                <w:sz w:val="28"/>
                <w:szCs w:val="28"/>
              </w:rPr>
            </w:pPr>
            <w:r>
              <w:rPr>
                <w:rFonts w:hint="eastAsia" w:ascii="宋体" w:hAnsi="宋体" w:eastAsia="宋体" w:cs="宋体"/>
                <w:sz w:val="28"/>
                <w:szCs w:val="28"/>
              </w:rPr>
              <w:t>售后服务</w:t>
            </w:r>
          </w:p>
        </w:tc>
        <w:tc>
          <w:tcPr>
            <w:tcW w:w="758" w:type="dxa"/>
            <w:vAlign w:val="center"/>
          </w:tcPr>
          <w:p>
            <w:pPr>
              <w:jc w:val="center"/>
              <w:rPr>
                <w:rFonts w:ascii="宋体" w:hAnsi="宋体" w:eastAsia="宋体" w:cs="宋体"/>
                <w:sz w:val="28"/>
                <w:szCs w:val="28"/>
              </w:rPr>
            </w:pPr>
            <w:r>
              <w:rPr>
                <w:rFonts w:hint="eastAsia" w:ascii="宋体" w:hAnsi="宋体" w:cs="宋体"/>
                <w:sz w:val="28"/>
                <w:szCs w:val="28"/>
              </w:rPr>
              <w:t>6</w:t>
            </w:r>
          </w:p>
        </w:tc>
        <w:tc>
          <w:tcPr>
            <w:tcW w:w="4769" w:type="dxa"/>
          </w:tcPr>
          <w:p>
            <w:pPr>
              <w:rPr>
                <w:rFonts w:ascii="宋体" w:hAnsi="宋体" w:eastAsia="宋体" w:cs="宋体"/>
                <w:sz w:val="28"/>
                <w:szCs w:val="28"/>
              </w:rPr>
            </w:pPr>
            <w:r>
              <w:rPr>
                <w:rFonts w:hint="eastAsia" w:ascii="宋体" w:hAnsi="宋体" w:eastAsia="宋体" w:cs="宋体"/>
                <w:bCs/>
                <w:sz w:val="28"/>
                <w:szCs w:val="28"/>
              </w:rPr>
              <w:t>投标人提供售后服务方案（包含但不限于售后服务人员配置及计划、故障处理等的响应时间安排计划、质量保证期限</w:t>
            </w:r>
            <w:r>
              <w:rPr>
                <w:rFonts w:hint="eastAsia" w:ascii="宋体" w:hAnsi="宋体" w:cs="宋体"/>
                <w:bCs/>
                <w:sz w:val="28"/>
                <w:szCs w:val="28"/>
              </w:rPr>
              <w:t>、</w:t>
            </w:r>
            <w:r>
              <w:rPr>
                <w:rFonts w:hint="eastAsia" w:ascii="宋体" w:hAnsi="宋体" w:eastAsia="宋体" w:cs="宋体"/>
                <w:bCs/>
                <w:sz w:val="28"/>
                <w:szCs w:val="28"/>
              </w:rPr>
              <w:t>应急处理方案），售后服务方案完整且具有符合实际需求的得</w:t>
            </w:r>
            <w:r>
              <w:rPr>
                <w:rFonts w:hint="eastAsia" w:ascii="宋体" w:hAnsi="宋体" w:cs="宋体"/>
                <w:bCs/>
                <w:sz w:val="28"/>
                <w:szCs w:val="28"/>
              </w:rPr>
              <w:t>6</w:t>
            </w:r>
            <w:r>
              <w:rPr>
                <w:rFonts w:hint="eastAsia" w:ascii="宋体" w:hAnsi="宋体" w:eastAsia="宋体" w:cs="宋体"/>
                <w:bCs/>
                <w:sz w:val="28"/>
                <w:szCs w:val="28"/>
              </w:rPr>
              <w:t>分，每缺少一项扣</w:t>
            </w:r>
            <w:r>
              <w:rPr>
                <w:rFonts w:hint="eastAsia" w:ascii="宋体" w:hAnsi="宋体" w:cs="宋体"/>
                <w:bCs/>
                <w:sz w:val="28"/>
                <w:szCs w:val="28"/>
              </w:rPr>
              <w:t>1.5</w:t>
            </w:r>
            <w:r>
              <w:rPr>
                <w:rFonts w:hint="eastAsia" w:ascii="宋体" w:hAnsi="宋体" w:eastAsia="宋体" w:cs="宋体"/>
                <w:bCs/>
                <w:sz w:val="28"/>
                <w:szCs w:val="28"/>
              </w:rPr>
              <w:t>分，某一项不完整或不符合实际需求的扣</w:t>
            </w:r>
            <w:r>
              <w:rPr>
                <w:rFonts w:hint="eastAsia" w:ascii="宋体" w:hAnsi="宋体" w:cs="宋体"/>
                <w:bCs/>
                <w:sz w:val="28"/>
                <w:szCs w:val="28"/>
              </w:rPr>
              <w:t>0.5</w:t>
            </w:r>
            <w:r>
              <w:rPr>
                <w:rFonts w:hint="eastAsia" w:ascii="宋体" w:hAnsi="宋体" w:eastAsia="宋体" w:cs="宋体"/>
                <w:bCs/>
                <w:sz w:val="28"/>
                <w:szCs w:val="28"/>
              </w:rPr>
              <w:t>-</w:t>
            </w:r>
            <w:r>
              <w:rPr>
                <w:rFonts w:hint="eastAsia" w:ascii="宋体" w:hAnsi="宋体" w:cs="宋体"/>
                <w:bCs/>
                <w:sz w:val="28"/>
                <w:szCs w:val="28"/>
              </w:rPr>
              <w:t>1.0</w:t>
            </w:r>
            <w:r>
              <w:rPr>
                <w:rFonts w:hint="eastAsia" w:ascii="宋体" w:hAnsi="宋体" w:eastAsia="宋体" w:cs="宋体"/>
                <w:bCs/>
                <w:sz w:val="28"/>
                <w:szCs w:val="28"/>
              </w:rPr>
              <w:t>分，扣完为止。</w:t>
            </w:r>
          </w:p>
        </w:tc>
        <w:tc>
          <w:tcPr>
            <w:tcW w:w="1643" w:type="dxa"/>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5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8"/>
                <w:szCs w:val="28"/>
              </w:rPr>
            </w:pPr>
            <w:r>
              <w:rPr>
                <w:rFonts w:hint="eastAsia" w:ascii="宋体" w:hAnsi="宋体" w:cs="宋体"/>
                <w:sz w:val="28"/>
                <w:szCs w:val="28"/>
              </w:rPr>
              <w:t>6</w:t>
            </w:r>
          </w:p>
        </w:tc>
        <w:tc>
          <w:tcPr>
            <w:tcW w:w="12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8"/>
                <w:szCs w:val="28"/>
              </w:rPr>
            </w:pPr>
            <w:r>
              <w:rPr>
                <w:rFonts w:hint="eastAsia" w:ascii="宋体" w:hAnsi="宋体" w:eastAsia="宋体" w:cs="宋体"/>
                <w:sz w:val="28"/>
                <w:szCs w:val="28"/>
              </w:rPr>
              <w:t>业绩</w:t>
            </w: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8"/>
                <w:szCs w:val="28"/>
              </w:rPr>
            </w:pPr>
            <w:r>
              <w:rPr>
                <w:rFonts w:hint="eastAsia" w:ascii="宋体" w:hAnsi="宋体" w:cs="宋体"/>
                <w:sz w:val="28"/>
                <w:szCs w:val="28"/>
              </w:rPr>
              <w:t>6</w:t>
            </w:r>
          </w:p>
        </w:tc>
        <w:tc>
          <w:tcPr>
            <w:tcW w:w="476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eastAsia="宋体" w:cs="宋体"/>
                <w:sz w:val="28"/>
                <w:szCs w:val="28"/>
              </w:rPr>
              <w:t>供应商提供201</w:t>
            </w:r>
            <w:r>
              <w:rPr>
                <w:rFonts w:hint="eastAsia" w:ascii="宋体" w:hAnsi="宋体" w:cs="宋体"/>
                <w:sz w:val="28"/>
                <w:szCs w:val="28"/>
              </w:rPr>
              <w:t>9</w:t>
            </w:r>
            <w:r>
              <w:rPr>
                <w:rFonts w:hint="eastAsia" w:ascii="宋体" w:hAnsi="宋体" w:eastAsia="宋体" w:cs="宋体"/>
                <w:sz w:val="28"/>
                <w:szCs w:val="28"/>
              </w:rPr>
              <w:t>年1月1日（以合同签订日期为准）至今所投产品（包含其中之一）业绩</w:t>
            </w:r>
            <w:r>
              <w:rPr>
                <w:rFonts w:hint="eastAsia" w:ascii="宋体" w:hAnsi="宋体" w:cs="宋体"/>
                <w:sz w:val="28"/>
                <w:szCs w:val="28"/>
              </w:rPr>
              <w:t>合同</w:t>
            </w:r>
            <w:r>
              <w:rPr>
                <w:rFonts w:hint="eastAsia" w:ascii="宋体" w:hAnsi="宋体" w:eastAsia="宋体" w:cs="宋体"/>
                <w:sz w:val="28"/>
                <w:szCs w:val="28"/>
              </w:rPr>
              <w:t>，每份计1分，最高计</w:t>
            </w:r>
            <w:r>
              <w:rPr>
                <w:rFonts w:hint="eastAsia" w:ascii="宋体" w:hAnsi="宋体" w:cs="宋体"/>
                <w:sz w:val="28"/>
                <w:szCs w:val="28"/>
              </w:rPr>
              <w:t>6</w:t>
            </w:r>
            <w:r>
              <w:rPr>
                <w:rFonts w:hint="eastAsia" w:ascii="宋体" w:hAnsi="宋体" w:eastAsia="宋体" w:cs="宋体"/>
                <w:sz w:val="28"/>
                <w:szCs w:val="28"/>
              </w:rPr>
              <w:t>分（投标文件中需要提供完整合同复印件）。</w:t>
            </w:r>
          </w:p>
        </w:tc>
        <w:tc>
          <w:tcPr>
            <w:tcW w:w="16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2" w:hRule="atLeast"/>
        </w:trPr>
        <w:tc>
          <w:tcPr>
            <w:tcW w:w="5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cs="宋体"/>
                <w:sz w:val="28"/>
                <w:szCs w:val="28"/>
              </w:rPr>
              <w:t>7</w:t>
            </w:r>
          </w:p>
        </w:tc>
        <w:tc>
          <w:tcPr>
            <w:tcW w:w="123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eastAsia="宋体" w:cs="宋体"/>
                <w:sz w:val="28"/>
                <w:szCs w:val="28"/>
              </w:rPr>
              <w:t>节能环保产品</w:t>
            </w: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8"/>
                <w:szCs w:val="28"/>
              </w:rPr>
            </w:pPr>
            <w:r>
              <w:rPr>
                <w:rFonts w:hint="eastAsia" w:ascii="宋体" w:hAnsi="宋体" w:cs="宋体"/>
                <w:sz w:val="28"/>
                <w:szCs w:val="28"/>
              </w:rPr>
              <w:t>1</w:t>
            </w:r>
          </w:p>
        </w:tc>
        <w:tc>
          <w:tcPr>
            <w:tcW w:w="476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eastAsia="宋体" w:cs="宋体"/>
                <w:sz w:val="28"/>
                <w:szCs w:val="28"/>
              </w:rPr>
              <w:t>供应商所投产品中每有一项经国家认证机构认定为节能产品的得0.5分，每有一项为环境标志产品的得0.5分，供应商所投产品中每有一项产品即为节能产品又是环境标志产品得1分（产品不重复计分，如某一产品得到1分，不能再计节能或环境标志产品的0.5分），最多得</w:t>
            </w:r>
            <w:r>
              <w:rPr>
                <w:rFonts w:hint="eastAsia" w:ascii="宋体" w:hAnsi="宋体" w:cs="宋体"/>
                <w:sz w:val="28"/>
                <w:szCs w:val="28"/>
              </w:rPr>
              <w:t>1</w:t>
            </w:r>
            <w:r>
              <w:rPr>
                <w:rFonts w:hint="eastAsia" w:ascii="宋体" w:hAnsi="宋体" w:eastAsia="宋体" w:cs="宋体"/>
                <w:sz w:val="28"/>
                <w:szCs w:val="28"/>
              </w:rPr>
              <w:t>分。</w:t>
            </w:r>
          </w:p>
        </w:tc>
        <w:tc>
          <w:tcPr>
            <w:tcW w:w="16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8"/>
                <w:szCs w:val="28"/>
              </w:rPr>
            </w:pPr>
            <w:r>
              <w:rPr>
                <w:rFonts w:hint="eastAsia" w:ascii="宋体" w:hAnsi="宋体" w:eastAsia="宋体" w:cs="宋体"/>
                <w:sz w:val="28"/>
                <w:szCs w:val="28"/>
              </w:rPr>
              <w:t>以国家确定的认证机构出具的、处于有效期内的节能产品、环境标志产品认证证书为准。</w:t>
            </w:r>
          </w:p>
        </w:tc>
      </w:tr>
    </w:tbl>
    <w:p>
      <w:pPr>
        <w:spacing w:line="560" w:lineRule="exact"/>
        <w:ind w:firstLine="562" w:firstLineChars="200"/>
        <w:jc w:val="both"/>
        <w:rPr>
          <w:rFonts w:ascii="宋体" w:hAnsi="宋体" w:eastAsia="宋体" w:cs="宋体"/>
          <w:b/>
          <w:bCs/>
          <w:sz w:val="28"/>
          <w:szCs w:val="28"/>
        </w:rPr>
      </w:pPr>
      <w:r>
        <w:rPr>
          <w:rFonts w:hint="eastAsia" w:ascii="宋体" w:hAnsi="宋体" w:eastAsia="宋体" w:cs="宋体"/>
          <w:b/>
          <w:bCs/>
          <w:sz w:val="28"/>
          <w:szCs w:val="28"/>
        </w:rPr>
        <w:t xml:space="preserve">评审标准备注： </w:t>
      </w:r>
    </w:p>
    <w:p>
      <w:pPr>
        <w:spacing w:line="560" w:lineRule="exact"/>
        <w:ind w:firstLine="560" w:firstLineChars="200"/>
        <w:jc w:val="both"/>
        <w:rPr>
          <w:rFonts w:ascii="宋体" w:hAnsi="宋体" w:eastAsia="宋体" w:cs="宋体"/>
          <w:sz w:val="28"/>
          <w:szCs w:val="28"/>
          <w:highlight w:val="yellow"/>
        </w:rPr>
      </w:pPr>
      <w:r>
        <w:rPr>
          <w:rFonts w:hint="eastAsia" w:ascii="宋体" w:hAnsi="宋体" w:eastAsia="宋体" w:cs="宋体"/>
          <w:sz w:val="28"/>
          <w:szCs w:val="28"/>
        </w:rPr>
        <w:t>1.对于非专门面向中小企业的项目、残疾人福利性单位的项目，对小型和微型企业、残疾人福利性单位产品的价格给予10%的扣除，用扣除后的价格参与评审，残疾人福利性单位属于小型、微型企业的，不重复享受政策；</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关于政府采购支持监狱企业发展有关问题的通知》（财库[2014]68号）的规定，对监狱企业给予10%的价格扣除，用扣除后的价格参与评审（提供由省级以上监狱管理局、戒毒管理局（含新疆生产建设兵团）出具的属于监狱企业的证明文件）；</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3.节能环保产品以节能产品、环境标志产品认证证书为准；</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4.技术参数正偏离须在技术响应表中注明正偏离的理由和佐证材料的页码；</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5.评审指标出现漏项的最低得分为零分；</w:t>
      </w:r>
    </w:p>
    <w:p>
      <w:pPr>
        <w:pStyle w:val="101"/>
        <w:ind w:firstLine="577"/>
        <w:rPr>
          <w:sz w:val="28"/>
          <w:szCs w:val="28"/>
        </w:rPr>
      </w:pPr>
      <w:r>
        <w:rPr>
          <w:rFonts w:hint="eastAsia"/>
          <w:sz w:val="28"/>
          <w:szCs w:val="28"/>
        </w:rPr>
        <w:t>4．推荐中标候选人</w:t>
      </w:r>
      <w:bookmarkEnd w:id="62"/>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101"/>
        <w:ind w:firstLine="577"/>
        <w:rPr>
          <w:sz w:val="28"/>
          <w:szCs w:val="28"/>
        </w:rPr>
      </w:pPr>
      <w:bookmarkStart w:id="63" w:name="_Toc12762"/>
      <w:r>
        <w:rPr>
          <w:rFonts w:hint="eastAsia"/>
          <w:sz w:val="28"/>
          <w:szCs w:val="28"/>
        </w:rPr>
        <w:t>5．编写评审报告</w:t>
      </w:r>
      <w:bookmarkEnd w:id="63"/>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评审报告是评标委员会根据全体评标成员签字的原始评标记录和评标结果编写的报告，其主要内容包括：</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（1）招标公告刊登的媒体名称、开标日期和地点；</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（2）投标供应商名单和评标委员会成员名单；</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（3）评标方法；</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（4）开标记录和评标情况及说明，包括投标无效供应商名单及原因；</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（5）评标结果，确定的中标候选人名单或者经采购人委托直接确定的中标供应商；</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（6）其他需要说明的情况，包括评标过程中投标供应商根据评标委员会要求进行的澄清、说明或者补正，评标委员会成员的更换等。</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101"/>
        <w:ind w:firstLine="579"/>
        <w:rPr>
          <w:b/>
          <w:bCs/>
          <w:sz w:val="28"/>
          <w:szCs w:val="28"/>
        </w:rPr>
      </w:pPr>
      <w:bookmarkStart w:id="64" w:name="_Toc8654"/>
      <w:r>
        <w:rPr>
          <w:rFonts w:hint="eastAsia"/>
          <w:b/>
          <w:bCs/>
          <w:sz w:val="28"/>
          <w:szCs w:val="28"/>
        </w:rPr>
        <w:t>（三）评标争议处理规则</w:t>
      </w:r>
      <w:bookmarkEnd w:id="64"/>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pPr>
        <w:pStyle w:val="101"/>
        <w:ind w:firstLine="579"/>
        <w:rPr>
          <w:b/>
          <w:bCs/>
          <w:sz w:val="28"/>
          <w:szCs w:val="28"/>
        </w:rPr>
      </w:pPr>
      <w:bookmarkStart w:id="65" w:name="_Toc4810"/>
      <w:r>
        <w:rPr>
          <w:rFonts w:hint="eastAsia"/>
          <w:b/>
          <w:bCs/>
          <w:sz w:val="28"/>
          <w:szCs w:val="28"/>
        </w:rPr>
        <w:t>（四）评审现场人员的保密责任</w:t>
      </w:r>
      <w:bookmarkEnd w:id="65"/>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pPr>
        <w:pStyle w:val="101"/>
        <w:ind w:firstLine="579"/>
        <w:rPr>
          <w:b/>
          <w:bCs/>
          <w:sz w:val="28"/>
          <w:szCs w:val="28"/>
        </w:rPr>
      </w:pPr>
      <w:bookmarkStart w:id="66" w:name="_Toc27257"/>
      <w:r>
        <w:rPr>
          <w:rFonts w:hint="eastAsia"/>
          <w:b/>
          <w:bCs/>
          <w:sz w:val="28"/>
          <w:szCs w:val="28"/>
        </w:rPr>
        <w:t>（五）视同供应商串通投标的情形，其投标无效：</w:t>
      </w:r>
      <w:bookmarkEnd w:id="66"/>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1．不同供应商的投标文件由同一单位或者个人编制；</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2．不同供应商委托同一单位或者个人办理投标事宜；</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3．不同供应商的投标文件载明的项目管理成员或者联系人员为同一人；</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4．不同供应商的投标文件异常一致或者投标报价呈规律性差异。</w:t>
      </w:r>
    </w:p>
    <w:p>
      <w:pPr>
        <w:pStyle w:val="5"/>
        <w:rPr>
          <w:rFonts w:ascii="宋体" w:hAnsi="宋体" w:eastAsia="宋体" w:cs="宋体"/>
          <w:sz w:val="28"/>
          <w:szCs w:val="28"/>
        </w:rPr>
      </w:pPr>
      <w:bookmarkStart w:id="67" w:name="_Toc5974"/>
      <w:r>
        <w:rPr>
          <w:rFonts w:hint="eastAsia" w:ascii="宋体" w:hAnsi="宋体" w:eastAsia="宋体" w:cs="宋体"/>
          <w:sz w:val="28"/>
          <w:szCs w:val="28"/>
        </w:rPr>
        <w:t>八、中标</w:t>
      </w:r>
      <w:bookmarkEnd w:id="67"/>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1．代理机构在评标结束后1个工作日内将评标报告送达采购单位，采购单位在收到评标报告后4个工作日内，按照评标报告中推荐的中标候选人顺序确认第一中标候选人为中标单位，同时书面复函代理机构。</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2．采购代理机构将在中标供应商确定之日起1个工作日内，在【</w:t>
      </w:r>
      <w:r>
        <w:fldChar w:fldCharType="begin"/>
      </w:r>
      <w:r>
        <w:instrText xml:space="preserve"> HYPERLINK "http://www.ccgp-shaanxi.gov.cn" </w:instrText>
      </w:r>
      <w:r>
        <w:fldChar w:fldCharType="separate"/>
      </w:r>
      <w:r>
        <w:rPr>
          <w:rStyle w:val="47"/>
          <w:rFonts w:hint="eastAsia" w:ascii="宋体" w:hAnsi="宋体" w:eastAsia="宋体" w:cs="宋体"/>
          <w:color w:val="auto"/>
          <w:sz w:val="28"/>
          <w:szCs w:val="28"/>
          <w:u w:val="none"/>
        </w:rPr>
        <w:t>陕西省政府采购网</w:t>
      </w:r>
      <w:r>
        <w:rPr>
          <w:rStyle w:val="47"/>
          <w:rFonts w:hint="eastAsia" w:ascii="宋体" w:hAnsi="宋体" w:eastAsia="宋体" w:cs="宋体"/>
          <w:color w:val="auto"/>
          <w:sz w:val="28"/>
          <w:szCs w:val="28"/>
          <w:u w:val="none"/>
        </w:rPr>
        <w:fldChar w:fldCharType="end"/>
      </w:r>
      <w:r>
        <w:rPr>
          <w:rFonts w:hint="eastAsia" w:ascii="宋体" w:hAnsi="宋体" w:eastAsia="宋体" w:cs="宋体"/>
          <w:sz w:val="28"/>
          <w:szCs w:val="28"/>
        </w:rPr>
        <w:t>】（</w:t>
      </w:r>
      <w:r>
        <w:fldChar w:fldCharType="begin"/>
      </w:r>
      <w:r>
        <w:instrText xml:space="preserve"> HYPERLINK "http://www.ccgp-shaanxi.gov.cn/" </w:instrText>
      </w:r>
      <w:r>
        <w:fldChar w:fldCharType="separate"/>
      </w:r>
      <w:r>
        <w:rPr>
          <w:rStyle w:val="47"/>
          <w:rFonts w:hint="eastAsia" w:ascii="宋体" w:hAnsi="宋体" w:eastAsia="宋体" w:cs="宋体"/>
          <w:color w:val="auto"/>
          <w:sz w:val="28"/>
          <w:szCs w:val="28"/>
          <w:u w:val="none"/>
        </w:rPr>
        <w:t>http://www.ccgp-shaanxi.gov.cn/</w:t>
      </w:r>
      <w:r>
        <w:rPr>
          <w:rStyle w:val="47"/>
          <w:rFonts w:hint="eastAsia" w:ascii="宋体" w:hAnsi="宋体" w:eastAsia="宋体" w:cs="宋体"/>
          <w:color w:val="auto"/>
          <w:sz w:val="28"/>
          <w:szCs w:val="28"/>
          <w:u w:val="none"/>
        </w:rPr>
        <w:fldChar w:fldCharType="end"/>
      </w:r>
      <w:r>
        <w:rPr>
          <w:rFonts w:hint="eastAsia" w:ascii="宋体" w:hAnsi="宋体" w:eastAsia="宋体" w:cs="宋体"/>
          <w:sz w:val="28"/>
          <w:szCs w:val="28"/>
        </w:rPr>
        <w:t>）上公布中标结果。中标公告期限为1个工作日。</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3．采用综合评分法评审的，供应商可登录【全国公共资源交易中心（陕西省·西安市）】网站〖首页·〉电子交易平台·〉企业端〗，登录后切换到〖我的项目〗模块，依次点选〖项目流程·〉项目管理·〉评标结果查看〗，查看本单位的最终得分与排序。</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4．采购代理机构按照相关规定将评审报告送监管机构备案。</w:t>
      </w:r>
    </w:p>
    <w:p>
      <w:pPr>
        <w:pStyle w:val="5"/>
        <w:rPr>
          <w:rFonts w:ascii="宋体" w:hAnsi="宋体" w:eastAsia="宋体" w:cs="宋体"/>
          <w:sz w:val="28"/>
          <w:szCs w:val="28"/>
        </w:rPr>
      </w:pPr>
      <w:bookmarkStart w:id="68" w:name="_Toc1043"/>
      <w:r>
        <w:rPr>
          <w:rFonts w:hint="eastAsia" w:ascii="宋体" w:hAnsi="宋体" w:eastAsia="宋体" w:cs="宋体"/>
          <w:sz w:val="28"/>
          <w:szCs w:val="28"/>
        </w:rPr>
        <w:t>九、合同签订、履行及验收</w:t>
      </w:r>
      <w:bookmarkEnd w:id="68"/>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招标文件、投标文件、澄清、补充合同等为政府采购合同的组成部分，具有同等法律效力。</w:t>
      </w:r>
    </w:p>
    <w:p>
      <w:pPr>
        <w:pStyle w:val="101"/>
        <w:ind w:firstLine="579"/>
        <w:rPr>
          <w:b/>
          <w:bCs/>
          <w:sz w:val="28"/>
          <w:szCs w:val="28"/>
        </w:rPr>
      </w:pPr>
      <w:bookmarkStart w:id="69" w:name="_Toc7975"/>
      <w:r>
        <w:rPr>
          <w:rFonts w:hint="eastAsia"/>
          <w:b/>
          <w:bCs/>
          <w:sz w:val="28"/>
          <w:szCs w:val="28"/>
        </w:rPr>
        <w:t>（一）签订政府采购合同</w:t>
      </w:r>
      <w:bookmarkEnd w:id="69"/>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1．自中标通知书发出之日起30日内，采购人与中标供应商应按招标文件和中标供应商投标文件的约定，签订书面合同。</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2．中标供应商拒绝与采购人签订合同的，采购人可以按照《政府采购法实施条例》第四十九条规定，确定下一候选人为中标供应商，也可以重新开展政府采购活动。</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3．采购人不得向中标供应商提出任何不合理的要求，作为签订合同的条件，不得与中标供应商私下订立背离合同实质性内容的任何协议，所签订的合同不得对招标文件和中标供应商投标文件作实质性修改。</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4．质疑或者投诉事项可能影响中标、成交结果的，采购人应当暂停签订合同，已经签订合同的，应当中止履行合同。</w:t>
      </w:r>
    </w:p>
    <w:p>
      <w:pPr>
        <w:pStyle w:val="101"/>
        <w:ind w:firstLine="579"/>
        <w:rPr>
          <w:b/>
          <w:bCs/>
          <w:sz w:val="28"/>
          <w:szCs w:val="28"/>
        </w:rPr>
      </w:pPr>
      <w:bookmarkStart w:id="70" w:name="_Toc19981"/>
      <w:r>
        <w:rPr>
          <w:rFonts w:hint="eastAsia"/>
          <w:b/>
          <w:bCs/>
          <w:sz w:val="28"/>
          <w:szCs w:val="28"/>
        </w:rPr>
        <w:t>（二）合同公告及备案</w:t>
      </w:r>
      <w:bookmarkEnd w:id="70"/>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1．采购人应当自政府采购合同签订之日起2个工作日内，在陕西省政府采购网对合同进行公示，但政府采购合同中涉及国家秘密、商业秘密的内容除外。</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2．采购人应自合同签订之日起7个工作日内将政府采购合同报送监管机构备案。</w:t>
      </w:r>
    </w:p>
    <w:p>
      <w:pPr>
        <w:pStyle w:val="101"/>
        <w:ind w:firstLine="579"/>
        <w:rPr>
          <w:b/>
          <w:bCs/>
          <w:sz w:val="28"/>
          <w:szCs w:val="28"/>
        </w:rPr>
      </w:pPr>
      <w:bookmarkStart w:id="71" w:name="_Toc20858"/>
      <w:r>
        <w:rPr>
          <w:rFonts w:hint="eastAsia"/>
          <w:b/>
          <w:bCs/>
          <w:sz w:val="28"/>
          <w:szCs w:val="28"/>
        </w:rPr>
        <w:t>（三）履行合同</w:t>
      </w:r>
      <w:bookmarkEnd w:id="71"/>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1．合同一经签订，双方应严格履行合同规定的义务。</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2．在合同履行过程中，如发生合同纠纷，合同双方应按照《中华人民共和国民法典》及合同条款的有关规定进行处理。</w:t>
      </w:r>
    </w:p>
    <w:p>
      <w:pPr>
        <w:pStyle w:val="101"/>
        <w:ind w:firstLine="579"/>
        <w:rPr>
          <w:b/>
          <w:bCs/>
          <w:sz w:val="28"/>
          <w:szCs w:val="28"/>
        </w:rPr>
      </w:pPr>
      <w:bookmarkStart w:id="72" w:name="_Toc1157"/>
      <w:r>
        <w:rPr>
          <w:rFonts w:hint="eastAsia"/>
          <w:b/>
          <w:bCs/>
          <w:sz w:val="28"/>
          <w:szCs w:val="28"/>
        </w:rPr>
        <w:t>（四）验收或考核</w:t>
      </w:r>
      <w:bookmarkEnd w:id="72"/>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1．采购人严格按照国家相关法律法规的要求及招标文件的要求组织验收或考核。</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2．采购人按《关于促进政府采购公平竞争优化营商环境的通知》（财库〔2019〕38号）、《保障中小企业款项支付条例》（国务院令第728号）等规定及采购合同的约定进行支付合同款项。</w:t>
      </w:r>
    </w:p>
    <w:p>
      <w:pPr>
        <w:jc w:val="center"/>
        <w:rPr>
          <w:rFonts w:ascii="宋体" w:hAnsi="宋体" w:eastAsia="宋体" w:cs="宋体"/>
          <w:sz w:val="28"/>
          <w:szCs w:val="28"/>
        </w:rPr>
      </w:pPr>
      <w:bookmarkStart w:id="73" w:name="_Toc100219614"/>
      <w:r>
        <w:rPr>
          <w:rFonts w:hint="eastAsia" w:ascii="宋体" w:hAnsi="宋体" w:eastAsia="宋体" w:cs="宋体"/>
          <w:sz w:val="28"/>
          <w:szCs w:val="28"/>
        </w:rPr>
        <w:t>十、废标及重新招标</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2．根据《政府采购法》第三十六条规定，在招标采购中，出现下列情形之一的，本项目按废标处理：</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（1）出现影响采购公正的违法、违规行为的；</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（2）供应商的报价均超过了采购预算，采购人不能支付的；</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（3）因重大变故，采购任务取消的。</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废标后，除采购任务取消外，本项目将重新组织招标。</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3．在递交投标文件阶段、密封性等形式检查阶段、资格审查阶段或评标委员会评标阶段，当出现有效投标供应商不足3家时，本项目将依据西安市财政局《关于进一步规范市级预算单位变更政府采购方式审批管理的通知》（市财发〔2017〕186号）的有关规定，按政府采购监管部门事前批准的采购方式继续进行。</w:t>
      </w:r>
    </w:p>
    <w:p>
      <w:pPr>
        <w:spacing w:line="560" w:lineRule="exact"/>
        <w:ind w:firstLine="560" w:firstLineChars="200"/>
        <w:jc w:val="both"/>
        <w:rPr>
          <w:rFonts w:ascii="宋体" w:hAnsi="宋体" w:eastAsia="宋体" w:cs="宋体"/>
          <w:sz w:val="32"/>
          <w:szCs w:val="32"/>
        </w:rPr>
      </w:pPr>
      <w:r>
        <w:rPr>
          <w:rFonts w:hint="eastAsia" w:ascii="宋体" w:hAnsi="宋体" w:eastAsia="宋体" w:cs="宋体"/>
          <w:sz w:val="28"/>
          <w:szCs w:val="28"/>
        </w:rPr>
        <w:t>4．招标文件未明确的其他事项，按《政府采购法》及其相关法律法规执行。</w:t>
      </w:r>
    </w:p>
    <w:p>
      <w:pPr>
        <w:rPr>
          <w:rFonts w:ascii="宋体" w:hAnsi="宋体" w:eastAsia="宋体" w:cs="宋体"/>
          <w:sz w:val="32"/>
          <w:szCs w:val="32"/>
        </w:rPr>
      </w:pPr>
      <w:r>
        <w:rPr>
          <w:rFonts w:hint="eastAsia" w:ascii="宋体" w:hAnsi="宋体" w:eastAsia="宋体" w:cs="宋体"/>
          <w:sz w:val="32"/>
          <w:szCs w:val="32"/>
        </w:rPr>
        <w:br w:type="page"/>
      </w:r>
    </w:p>
    <w:p>
      <w:pPr>
        <w:pStyle w:val="3"/>
        <w:pageBreakBefore/>
        <w:numPr>
          <w:ilvl w:val="0"/>
          <w:numId w:val="3"/>
        </w:numPr>
        <w:spacing w:before="395" w:beforeLines="100" w:after="395" w:afterLines="100" w:line="500" w:lineRule="exact"/>
        <w:rPr>
          <w:rFonts w:ascii="宋体" w:hAnsi="宋体" w:eastAsia="宋体" w:cs="宋体"/>
        </w:rPr>
      </w:pPr>
      <w:r>
        <w:rPr>
          <w:rFonts w:hint="eastAsia" w:ascii="宋体" w:hAnsi="宋体" w:eastAsia="宋体" w:cs="宋体"/>
        </w:rPr>
        <w:t xml:space="preserve"> </w:t>
      </w:r>
      <w:bookmarkStart w:id="74" w:name="_Toc4446"/>
      <w:r>
        <w:rPr>
          <w:rFonts w:hint="eastAsia" w:ascii="宋体" w:hAnsi="宋体" w:eastAsia="宋体" w:cs="宋体"/>
        </w:rPr>
        <w:t>招标内容及要求</w:t>
      </w:r>
      <w:bookmarkEnd w:id="73"/>
      <w:bookmarkEnd w:id="74"/>
      <w:bookmarkStart w:id="75" w:name="_Toc100219615"/>
    </w:p>
    <w:tbl>
      <w:tblPr>
        <w:tblStyle w:val="37"/>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6150"/>
        <w:gridCol w:w="904"/>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3"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序号</w:t>
            </w:r>
          </w:p>
        </w:tc>
        <w:tc>
          <w:tcPr>
            <w:tcW w:w="6150"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设备名称</w:t>
            </w:r>
          </w:p>
        </w:tc>
        <w:tc>
          <w:tcPr>
            <w:tcW w:w="904"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单位</w:t>
            </w:r>
          </w:p>
        </w:tc>
        <w:tc>
          <w:tcPr>
            <w:tcW w:w="871"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853"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1</w:t>
            </w:r>
          </w:p>
        </w:tc>
        <w:tc>
          <w:tcPr>
            <w:tcW w:w="6150" w:type="dxa"/>
            <w:vAlign w:val="center"/>
          </w:tcPr>
          <w:p>
            <w:pPr>
              <w:rPr>
                <w:rFonts w:asciiTheme="minorEastAsia" w:hAnsiTheme="minorEastAsia" w:cstheme="minorEastAsia"/>
                <w:sz w:val="24"/>
                <w:szCs w:val="24"/>
              </w:rPr>
            </w:pPr>
            <w:r>
              <w:rPr>
                <w:rFonts w:hint="eastAsia" w:asciiTheme="minorEastAsia" w:hAnsiTheme="minorEastAsia" w:cstheme="minorEastAsia"/>
                <w:sz w:val="24"/>
                <w:szCs w:val="24"/>
              </w:rPr>
              <w:t>数字化医用X 射线摄影系统（悬吊双平板DR）</w:t>
            </w:r>
          </w:p>
        </w:tc>
        <w:tc>
          <w:tcPr>
            <w:tcW w:w="904"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套</w:t>
            </w:r>
          </w:p>
        </w:tc>
        <w:tc>
          <w:tcPr>
            <w:tcW w:w="871"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853"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2</w:t>
            </w:r>
          </w:p>
        </w:tc>
        <w:tc>
          <w:tcPr>
            <w:tcW w:w="6150" w:type="dxa"/>
            <w:vAlign w:val="center"/>
          </w:tcPr>
          <w:p>
            <w:pPr>
              <w:rPr>
                <w:rFonts w:asciiTheme="minorEastAsia" w:hAnsiTheme="minorEastAsia" w:cstheme="minorEastAsia"/>
                <w:sz w:val="24"/>
                <w:szCs w:val="24"/>
              </w:rPr>
            </w:pPr>
            <w:r>
              <w:rPr>
                <w:rFonts w:hint="eastAsia" w:asciiTheme="minorEastAsia" w:hAnsiTheme="minorEastAsia" w:cstheme="minorEastAsia"/>
                <w:sz w:val="24"/>
                <w:szCs w:val="24"/>
              </w:rPr>
              <w:t>数字化医用动态X 射线摄影系统（悬吊双平板DR）</w:t>
            </w:r>
          </w:p>
        </w:tc>
        <w:tc>
          <w:tcPr>
            <w:tcW w:w="904"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套</w:t>
            </w:r>
          </w:p>
        </w:tc>
        <w:tc>
          <w:tcPr>
            <w:tcW w:w="871"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53"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3</w:t>
            </w:r>
          </w:p>
        </w:tc>
        <w:tc>
          <w:tcPr>
            <w:tcW w:w="6150" w:type="dxa"/>
            <w:vAlign w:val="center"/>
          </w:tcPr>
          <w:p>
            <w:pPr>
              <w:rPr>
                <w:rFonts w:asciiTheme="minorEastAsia" w:hAnsiTheme="minorEastAsia" w:cstheme="minorEastAsia"/>
                <w:sz w:val="24"/>
                <w:szCs w:val="24"/>
              </w:rPr>
            </w:pPr>
            <w:r>
              <w:rPr>
                <w:rFonts w:hint="eastAsia" w:asciiTheme="minorEastAsia" w:hAnsiTheme="minorEastAsia" w:cstheme="minorEastAsia"/>
                <w:sz w:val="24"/>
                <w:szCs w:val="24"/>
              </w:rPr>
              <w:t>胃肠DR（数字化透视摄影X射线机）</w:t>
            </w:r>
            <w:r>
              <w:rPr>
                <w:rFonts w:hint="eastAsia" w:asciiTheme="minorEastAsia" w:hAnsiTheme="minorEastAsia" w:cstheme="minorEastAsia"/>
                <w:b/>
                <w:bCs/>
                <w:sz w:val="24"/>
                <w:szCs w:val="24"/>
              </w:rPr>
              <w:t>核心产品</w:t>
            </w:r>
          </w:p>
        </w:tc>
        <w:tc>
          <w:tcPr>
            <w:tcW w:w="904"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套</w:t>
            </w:r>
          </w:p>
        </w:tc>
        <w:tc>
          <w:tcPr>
            <w:tcW w:w="871"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53"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4</w:t>
            </w:r>
          </w:p>
        </w:tc>
        <w:tc>
          <w:tcPr>
            <w:tcW w:w="6150" w:type="dxa"/>
            <w:vAlign w:val="center"/>
          </w:tcPr>
          <w:p>
            <w:pPr>
              <w:rPr>
                <w:rFonts w:asciiTheme="minorEastAsia" w:hAnsiTheme="minorEastAsia" w:cstheme="minorEastAsia"/>
                <w:sz w:val="24"/>
                <w:szCs w:val="24"/>
              </w:rPr>
            </w:pPr>
            <w:r>
              <w:rPr>
                <w:rFonts w:hint="eastAsia" w:asciiTheme="minorEastAsia" w:hAnsiTheme="minorEastAsia" w:cstheme="minorEastAsia"/>
                <w:sz w:val="24"/>
                <w:szCs w:val="24"/>
              </w:rPr>
              <w:t>双能X射线骨密度仪</w:t>
            </w:r>
          </w:p>
        </w:tc>
        <w:tc>
          <w:tcPr>
            <w:tcW w:w="904"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套</w:t>
            </w:r>
          </w:p>
        </w:tc>
        <w:tc>
          <w:tcPr>
            <w:tcW w:w="871"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1</w:t>
            </w:r>
          </w:p>
        </w:tc>
      </w:tr>
    </w:tbl>
    <w:p/>
    <w:p>
      <w:pPr>
        <w:rPr>
          <w:rFonts w:ascii="宋体" w:hAnsi="宋体" w:eastAsia="宋体" w:cs="宋体"/>
          <w:b/>
          <w:bCs/>
          <w:sz w:val="28"/>
          <w:szCs w:val="28"/>
        </w:rPr>
      </w:pPr>
      <w:r>
        <w:rPr>
          <w:rFonts w:hint="eastAsia" w:ascii="宋体" w:hAnsi="宋体" w:eastAsia="宋体" w:cs="宋体"/>
          <w:b/>
          <w:bCs/>
          <w:sz w:val="28"/>
          <w:szCs w:val="28"/>
        </w:rPr>
        <w:t>一、数字化医用X 射线摄影系统（悬吊双平板DR）</w:t>
      </w:r>
    </w:p>
    <w:tbl>
      <w:tblPr>
        <w:tblStyle w:val="36"/>
        <w:tblW w:w="8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409"/>
        <w:gridCol w:w="4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tcPr>
          <w:p>
            <w:pPr>
              <w:snapToGrid w:val="0"/>
              <w:spacing w:line="360" w:lineRule="auto"/>
              <w:jc w:val="center"/>
              <w:rPr>
                <w:rFonts w:asciiTheme="minorEastAsia" w:hAnsiTheme="minorEastAsia" w:cstheme="minorEastAsia"/>
                <w:b/>
                <w:bCs/>
                <w:color w:val="FF0000"/>
              </w:rPr>
            </w:pPr>
            <w:r>
              <w:rPr>
                <w:rFonts w:hint="eastAsia" w:asciiTheme="minorEastAsia" w:hAnsiTheme="minorEastAsia" w:cstheme="minorEastAsia"/>
                <w:b/>
                <w:color w:val="000000"/>
              </w:rPr>
              <w:t>一</w:t>
            </w:r>
          </w:p>
        </w:tc>
        <w:tc>
          <w:tcPr>
            <w:tcW w:w="2409" w:type="dxa"/>
            <w:shd w:val="clear" w:color="auto" w:fill="auto"/>
          </w:tcPr>
          <w:p>
            <w:pPr>
              <w:snapToGrid w:val="0"/>
              <w:spacing w:line="360" w:lineRule="auto"/>
              <w:jc w:val="center"/>
              <w:rPr>
                <w:rFonts w:asciiTheme="minorEastAsia" w:hAnsiTheme="minorEastAsia" w:cstheme="minorEastAsia"/>
                <w:b/>
                <w:bCs/>
              </w:rPr>
            </w:pPr>
            <w:r>
              <w:rPr>
                <w:rFonts w:hint="eastAsia" w:asciiTheme="minorEastAsia" w:hAnsiTheme="minorEastAsia" w:cstheme="minorEastAsia"/>
                <w:b/>
                <w:bCs/>
              </w:rPr>
              <w:t>招标参数</w:t>
            </w:r>
          </w:p>
        </w:tc>
        <w:tc>
          <w:tcPr>
            <w:tcW w:w="4604" w:type="dxa"/>
            <w:shd w:val="clear" w:color="auto" w:fill="auto"/>
          </w:tcPr>
          <w:p>
            <w:pPr>
              <w:snapToGrid w:val="0"/>
              <w:spacing w:line="360" w:lineRule="auto"/>
              <w:jc w:val="center"/>
              <w:rPr>
                <w:rFonts w:asciiTheme="minorEastAsia" w:hAnsiTheme="minorEastAsia" w:cstheme="minorEastAsia"/>
                <w:b/>
                <w:bCs/>
              </w:rPr>
            </w:pPr>
            <w:r>
              <w:rPr>
                <w:rFonts w:hint="eastAsia" w:asciiTheme="minorEastAsia" w:hAnsiTheme="minorEastAsia" w:cstheme="minorEastAsia"/>
                <w:b/>
                <w:bCs/>
              </w:rPr>
              <w:t>性能要求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3510" w:type="dxa"/>
            <w:gridSpan w:val="2"/>
            <w:shd w:val="clear" w:color="auto" w:fill="auto"/>
            <w:vAlign w:val="center"/>
          </w:tcPr>
          <w:p>
            <w:pPr>
              <w:snapToGrid w:val="0"/>
              <w:spacing w:line="360" w:lineRule="auto"/>
              <w:jc w:val="center"/>
              <w:rPr>
                <w:rFonts w:asciiTheme="minorEastAsia" w:hAnsiTheme="minorEastAsia" w:cstheme="minorEastAsia"/>
                <w:b/>
                <w:color w:val="auto"/>
              </w:rPr>
            </w:pPr>
            <w:r>
              <w:rPr>
                <w:rFonts w:hint="eastAsia" w:asciiTheme="minorEastAsia" w:hAnsiTheme="minorEastAsia" w:cstheme="minorEastAsia"/>
                <w:b/>
                <w:color w:val="auto"/>
              </w:rPr>
              <w:t>总体要求</w:t>
            </w:r>
          </w:p>
        </w:tc>
        <w:tc>
          <w:tcPr>
            <w:tcW w:w="4604" w:type="dxa"/>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用于头颅、脊柱、四肢、胸部、腹部等全身站立位和卧位拍摄的天轨悬吊臂结构（三维运动x轴、y轴、z轴），悬吊机架可实现自动运动，可电动切换机架的立位拍摄及卧位拍摄，并可实现一键自动摆位功能。所投产品必须为2022年1月后生产的最新产品、最高版本，配置需满足医院所有诊疗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101" w:type="dxa"/>
            <w:shd w:val="clear" w:color="auto" w:fill="auto"/>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二</w:t>
            </w:r>
          </w:p>
        </w:tc>
        <w:tc>
          <w:tcPr>
            <w:tcW w:w="7013" w:type="dxa"/>
            <w:gridSpan w:val="2"/>
            <w:shd w:val="clear" w:color="auto" w:fill="auto"/>
          </w:tcPr>
          <w:p>
            <w:pPr>
              <w:snapToGrid w:val="0"/>
              <w:spacing w:line="360" w:lineRule="auto"/>
              <w:rPr>
                <w:rFonts w:asciiTheme="minorEastAsia" w:hAnsiTheme="minorEastAsia" w:cstheme="minorEastAsia"/>
                <w:color w:val="auto"/>
              </w:rPr>
            </w:pPr>
            <w:r>
              <w:rPr>
                <w:rFonts w:hint="eastAsia" w:asciiTheme="minorEastAsia" w:hAnsiTheme="minorEastAsia" w:cstheme="minorEastAsia"/>
                <w:b/>
                <w:bCs/>
                <w:color w:val="auto"/>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000000" w:fill="E6E6E6"/>
            <w:vAlign w:val="center"/>
          </w:tcPr>
          <w:p>
            <w:pPr>
              <w:snapToGrid w:val="0"/>
              <w:spacing w:line="360" w:lineRule="auto"/>
              <w:jc w:val="center"/>
              <w:rPr>
                <w:rFonts w:asciiTheme="minorEastAsia" w:hAnsiTheme="minorEastAsia" w:cstheme="minorEastAsia"/>
                <w:b/>
                <w:color w:val="auto"/>
              </w:rPr>
            </w:pPr>
            <w:r>
              <w:rPr>
                <w:rFonts w:hint="eastAsia" w:asciiTheme="minorEastAsia" w:hAnsiTheme="minorEastAsia" w:cstheme="minorEastAsia"/>
                <w:b/>
                <w:color w:val="auto"/>
              </w:rPr>
              <w:t>1</w:t>
            </w:r>
          </w:p>
        </w:tc>
        <w:tc>
          <w:tcPr>
            <w:tcW w:w="7013" w:type="dxa"/>
            <w:gridSpan w:val="2"/>
            <w:shd w:val="clear" w:color="000000" w:fill="E6E6E6"/>
          </w:tcPr>
          <w:p>
            <w:pPr>
              <w:snapToGrid w:val="0"/>
              <w:spacing w:line="360" w:lineRule="auto"/>
              <w:rPr>
                <w:rFonts w:asciiTheme="minorEastAsia" w:hAnsiTheme="minorEastAsia" w:cstheme="minorEastAsia"/>
                <w:color w:val="auto"/>
              </w:rPr>
            </w:pPr>
            <w:r>
              <w:rPr>
                <w:rFonts w:hint="eastAsia" w:asciiTheme="minorEastAsia" w:hAnsiTheme="minorEastAsia" w:cstheme="minorEastAsia"/>
                <w:b/>
                <w:color w:val="auto"/>
              </w:rPr>
              <w:t>高压发生器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1.1</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最大输出逆变频率：≥400kHz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1.2</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高压发生器功率：≥65kW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1.3</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管电压可调范围：40～150kV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★1.4</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加载时间范围：最小加载时间≤1ms，最大加载时间≥10s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1.5</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最大输出电流：≥800mA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★1.6</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最大电流时间积：≥1000mAs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1.7</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具备AEC自动曝光控制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1.8</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发生器的操作与控制系统完全与主机集成，在主机工作站上控制曝光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101" w:type="dxa"/>
            <w:shd w:val="clear" w:color="000000" w:fill="E6E6E6"/>
            <w:vAlign w:val="center"/>
          </w:tcPr>
          <w:p>
            <w:pPr>
              <w:snapToGrid w:val="0"/>
              <w:spacing w:line="360" w:lineRule="auto"/>
              <w:jc w:val="center"/>
              <w:rPr>
                <w:rFonts w:asciiTheme="minorEastAsia" w:hAnsiTheme="minorEastAsia" w:cstheme="minorEastAsia"/>
                <w:b/>
                <w:color w:val="auto"/>
              </w:rPr>
            </w:pPr>
            <w:r>
              <w:rPr>
                <w:rFonts w:hint="eastAsia" w:asciiTheme="minorEastAsia" w:hAnsiTheme="minorEastAsia" w:cstheme="minorEastAsia"/>
                <w:b/>
                <w:color w:val="auto"/>
              </w:rPr>
              <w:t>2</w:t>
            </w:r>
          </w:p>
        </w:tc>
        <w:tc>
          <w:tcPr>
            <w:tcW w:w="7013" w:type="dxa"/>
            <w:gridSpan w:val="2"/>
            <w:shd w:val="clear" w:color="000000" w:fill="E6E6E6"/>
          </w:tcPr>
          <w:p>
            <w:pPr>
              <w:snapToGrid w:val="0"/>
              <w:spacing w:line="360" w:lineRule="auto"/>
              <w:rPr>
                <w:rFonts w:asciiTheme="minorEastAsia" w:hAnsiTheme="minorEastAsia" w:cstheme="minorEastAsia"/>
                <w:color w:val="auto"/>
              </w:rPr>
            </w:pPr>
            <w:r>
              <w:rPr>
                <w:rFonts w:hint="eastAsia" w:asciiTheme="minorEastAsia" w:hAnsiTheme="minorEastAsia" w:cstheme="minorEastAsia"/>
                <w:b/>
                <w:color w:val="auto"/>
              </w:rPr>
              <w:t>X线部分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2.1</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球管最大功率：≥65kW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2.2</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球管焦点：≤0.6/1.2mm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2.3</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阳极热容量：≥300kHU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2.4</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X线球管为进口品牌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2.5</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可通过LCD 显示缩光野的尺寸和源像距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2.6</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可通过卷尺测量床旁拍照的距离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2.7</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激光定位线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2.8</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射线野控制模式：电动+手动（双模式）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2.9</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束光器旋转角度：≥±45°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2.10</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射线野指示灯类型：LED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2.11</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1米SID时光野强度：≥180LUX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000000" w:fill="E6E6E6"/>
            <w:vAlign w:val="center"/>
          </w:tcPr>
          <w:p>
            <w:pPr>
              <w:snapToGrid w:val="0"/>
              <w:spacing w:line="360" w:lineRule="auto"/>
              <w:jc w:val="center"/>
              <w:rPr>
                <w:rFonts w:asciiTheme="minorEastAsia" w:hAnsiTheme="minorEastAsia" w:cstheme="minorEastAsia"/>
                <w:b/>
                <w:color w:val="auto"/>
              </w:rPr>
            </w:pPr>
            <w:r>
              <w:rPr>
                <w:rFonts w:hint="eastAsia" w:asciiTheme="minorEastAsia" w:hAnsiTheme="minorEastAsia" w:cstheme="minorEastAsia"/>
                <w:b/>
                <w:color w:val="auto"/>
              </w:rPr>
              <w:t>3</w:t>
            </w:r>
          </w:p>
        </w:tc>
        <w:tc>
          <w:tcPr>
            <w:tcW w:w="7013" w:type="dxa"/>
            <w:gridSpan w:val="2"/>
            <w:shd w:val="clear" w:color="000000" w:fill="E6E6E6"/>
          </w:tcPr>
          <w:p>
            <w:pPr>
              <w:snapToGrid w:val="0"/>
              <w:spacing w:line="360" w:lineRule="auto"/>
              <w:rPr>
                <w:rFonts w:asciiTheme="minorEastAsia" w:hAnsiTheme="minorEastAsia" w:cstheme="minorEastAsia"/>
                <w:color w:val="auto"/>
              </w:rPr>
            </w:pPr>
            <w:r>
              <w:rPr>
                <w:rFonts w:hint="eastAsia" w:asciiTheme="minorEastAsia" w:hAnsiTheme="minorEastAsia" w:cstheme="minorEastAsia"/>
                <w:b/>
                <w:color w:val="auto"/>
              </w:rPr>
              <w:t>球管悬吊机架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3.1</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吊架运动模式：电动+手动（双模式）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3.2</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球管架垂直运动距离：≥140cm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3.3</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球管架垂直电动最大运动速度：200mm/s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3.4</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球管架沿纵轴运动距离：≥180cm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3.5</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球管架沿横轴运动距离：≥180cm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3.6</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球管套可沿垂直轴旋转：≥-150°/+180°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3.7</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球管套可沿水平轴旋转：≥±120°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3.8</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球管套绕水平轴电动旋转速度：≥25°/s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3.9</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立位及卧位拍摄时，球管与平板之间均可实现平行及斜位有角度的自动对中和跟随运动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3.10</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悬吊支架可根据预设位置实现自动摆位功能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b/>
                <w:color w:val="auto"/>
              </w:rPr>
            </w:pPr>
            <w:r>
              <w:rPr>
                <w:rFonts w:hint="eastAsia" w:asciiTheme="minorEastAsia" w:hAnsiTheme="minorEastAsia" w:cstheme="minorEastAsia"/>
                <w:b/>
                <w:color w:val="auto"/>
              </w:rPr>
              <w:t>4</w:t>
            </w:r>
          </w:p>
        </w:tc>
        <w:tc>
          <w:tcPr>
            <w:tcW w:w="7013" w:type="dxa"/>
            <w:gridSpan w:val="2"/>
            <w:shd w:val="clear" w:color="auto" w:fill="auto"/>
            <w:vAlign w:val="center"/>
          </w:tcPr>
          <w:p>
            <w:pPr>
              <w:snapToGrid w:val="0"/>
              <w:spacing w:line="360" w:lineRule="auto"/>
              <w:rPr>
                <w:rFonts w:asciiTheme="minorEastAsia" w:hAnsiTheme="minorEastAsia" w:cstheme="minorEastAsia"/>
                <w:b/>
                <w:color w:val="auto"/>
              </w:rPr>
            </w:pPr>
            <w:r>
              <w:rPr>
                <w:rFonts w:hint="eastAsia" w:asciiTheme="minorEastAsia" w:hAnsiTheme="minorEastAsia" w:cstheme="minorEastAsia"/>
                <w:b/>
                <w:color w:val="auto"/>
              </w:rPr>
              <w:t>平板探测器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★4.1</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配备两块17×17英寸无线移动式平板探测器，可交替置于胸片架和摄影床的平板托盘内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4.2</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闪烁体类型：碘化铯（CsI）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4.3</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半导体材料：非晶体硅（a-Si）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★4.4</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像素尺寸：≤100</w:t>
            </w:r>
            <w:r>
              <w:rPr>
                <w:rFonts w:hint="eastAsia" w:ascii="宋体" w:hAnsi="宋体" w:eastAsia="宋体" w:cs="宋体"/>
                <w:color w:val="auto"/>
              </w:rPr>
              <w:t>µ</w:t>
            </w:r>
            <w:r>
              <w:rPr>
                <w:rFonts w:hint="eastAsia" w:asciiTheme="minorEastAsia" w:hAnsiTheme="minorEastAsia" w:cstheme="minorEastAsia"/>
                <w:color w:val="auto"/>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4.5</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采集灰阶度：≥16bits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4.6</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空间分辨率：≥4.5Lp/mm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4.7</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采集距阵：≥3072×3072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4.8</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平板探测器通讯模式：无线传输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4.9</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探测器供电方式为锂离子电容技术（提供平板生产厂商盖章的材料）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4.10</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探测器可放置于床面或床外做无滤线栅拍摄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4.11</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具备平板探测器在线充电技术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4.12</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图像预览时间：≤3秒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4.13</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完成成像时间：≤5秒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000000" w:fill="E6E6E6"/>
            <w:vAlign w:val="center"/>
          </w:tcPr>
          <w:p>
            <w:pPr>
              <w:snapToGrid w:val="0"/>
              <w:spacing w:line="360" w:lineRule="auto"/>
              <w:jc w:val="center"/>
              <w:rPr>
                <w:rFonts w:asciiTheme="minorEastAsia" w:hAnsiTheme="minorEastAsia" w:cstheme="minorEastAsia"/>
                <w:b/>
                <w:color w:val="auto"/>
              </w:rPr>
            </w:pPr>
            <w:r>
              <w:rPr>
                <w:rFonts w:hint="eastAsia" w:asciiTheme="minorEastAsia" w:hAnsiTheme="minorEastAsia" w:cstheme="minorEastAsia"/>
                <w:b/>
                <w:color w:val="auto"/>
              </w:rPr>
              <w:t>5</w:t>
            </w:r>
          </w:p>
        </w:tc>
        <w:tc>
          <w:tcPr>
            <w:tcW w:w="7013" w:type="dxa"/>
            <w:gridSpan w:val="2"/>
            <w:shd w:val="clear" w:color="000000" w:fill="E6E6E6"/>
          </w:tcPr>
          <w:p>
            <w:pPr>
              <w:snapToGrid w:val="0"/>
              <w:spacing w:line="360" w:lineRule="auto"/>
              <w:rPr>
                <w:rFonts w:asciiTheme="minorEastAsia" w:hAnsiTheme="minorEastAsia" w:cstheme="minorEastAsia"/>
                <w:b/>
                <w:color w:val="auto"/>
              </w:rPr>
            </w:pPr>
            <w:r>
              <w:rPr>
                <w:rFonts w:hint="eastAsia" w:asciiTheme="minorEastAsia" w:hAnsiTheme="minorEastAsia" w:cstheme="minorEastAsia"/>
                <w:b/>
                <w:color w:val="auto"/>
              </w:rPr>
              <w:t>胸片架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5.1</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胸片架垂直运动行程：≥150cm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5.2</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胸片架上探测器中心最低到地面高度：≤35cm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5.3</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源像距：SID  100～300cm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5.4</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胸片架运动模式：电动+手动（双模式）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5.5</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平板探测器可在-20度/+90度翻转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5.6</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平板支持在胸片架上的片盒内在线充电，直接接触式，无需插拔电缆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5.7</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可隔室遥控胸片架垂直升降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5.8</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自动曝光控制电离室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5.9</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平板在线充电指示灯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5.10</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可拆卸滤线栅，无需工具即可轻松取出，提供证明照片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5.11</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具备三视野物理电离室，非软件AEC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b/>
                <w:color w:val="auto"/>
              </w:rPr>
            </w:pPr>
            <w:r>
              <w:rPr>
                <w:rFonts w:hint="eastAsia" w:asciiTheme="minorEastAsia" w:hAnsiTheme="minorEastAsia" w:cstheme="minorEastAsia"/>
                <w:b/>
                <w:color w:val="auto"/>
              </w:rPr>
              <w:t>6</w:t>
            </w:r>
          </w:p>
        </w:tc>
        <w:tc>
          <w:tcPr>
            <w:tcW w:w="7013" w:type="dxa"/>
            <w:gridSpan w:val="2"/>
            <w:shd w:val="clear" w:color="auto" w:fill="auto"/>
          </w:tcPr>
          <w:p>
            <w:pPr>
              <w:snapToGrid w:val="0"/>
              <w:spacing w:line="360" w:lineRule="auto"/>
              <w:rPr>
                <w:rFonts w:asciiTheme="minorEastAsia" w:hAnsiTheme="minorEastAsia" w:cstheme="minorEastAsia"/>
                <w:b/>
                <w:color w:val="auto"/>
              </w:rPr>
            </w:pPr>
            <w:r>
              <w:rPr>
                <w:rFonts w:hint="eastAsia" w:asciiTheme="minorEastAsia" w:hAnsiTheme="minorEastAsia" w:cstheme="minorEastAsia"/>
                <w:b/>
                <w:color w:val="auto"/>
              </w:rPr>
              <w:t>摄影床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6.1</w:t>
            </w:r>
          </w:p>
        </w:tc>
        <w:tc>
          <w:tcPr>
            <w:tcW w:w="7013" w:type="dxa"/>
            <w:gridSpan w:val="2"/>
            <w:shd w:val="clear" w:color="auto" w:fill="auto"/>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床面板外形尺寸：≥800mm*2300mm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6.2</w:t>
            </w:r>
          </w:p>
        </w:tc>
        <w:tc>
          <w:tcPr>
            <w:tcW w:w="7013" w:type="dxa"/>
            <w:gridSpan w:val="2"/>
            <w:shd w:val="clear" w:color="auto" w:fill="auto"/>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床面纵向移动范围：≥± 12cm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6.3</w:t>
            </w:r>
          </w:p>
        </w:tc>
        <w:tc>
          <w:tcPr>
            <w:tcW w:w="7013" w:type="dxa"/>
            <w:gridSpan w:val="2"/>
            <w:shd w:val="clear" w:color="auto" w:fill="auto"/>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床面横向移动距离：≥±45cm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6.4</w:t>
            </w:r>
          </w:p>
        </w:tc>
        <w:tc>
          <w:tcPr>
            <w:tcW w:w="7013" w:type="dxa"/>
            <w:gridSpan w:val="2"/>
            <w:shd w:val="clear" w:color="auto" w:fill="auto"/>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床面最大承重：≥250kg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6.5</w:t>
            </w:r>
          </w:p>
        </w:tc>
        <w:tc>
          <w:tcPr>
            <w:tcW w:w="7013" w:type="dxa"/>
            <w:gridSpan w:val="2"/>
            <w:shd w:val="clear" w:color="auto" w:fill="auto"/>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平板托盘运动模式：电动+手动（双模式）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6.6</w:t>
            </w:r>
          </w:p>
        </w:tc>
        <w:tc>
          <w:tcPr>
            <w:tcW w:w="7013" w:type="dxa"/>
            <w:gridSpan w:val="2"/>
            <w:shd w:val="clear" w:color="auto" w:fill="auto"/>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平板托盘移动范围：≥500mm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b/>
                <w:color w:val="auto"/>
              </w:rPr>
            </w:pPr>
            <w:r>
              <w:rPr>
                <w:rFonts w:hint="eastAsia" w:asciiTheme="minorEastAsia" w:hAnsiTheme="minorEastAsia" w:cstheme="minorEastAsia"/>
                <w:b/>
                <w:color w:val="auto"/>
              </w:rPr>
              <w:t>7</w:t>
            </w:r>
          </w:p>
        </w:tc>
        <w:tc>
          <w:tcPr>
            <w:tcW w:w="7013" w:type="dxa"/>
            <w:gridSpan w:val="2"/>
            <w:shd w:val="clear" w:color="auto" w:fill="auto"/>
          </w:tcPr>
          <w:p>
            <w:pPr>
              <w:snapToGrid w:val="0"/>
              <w:spacing w:line="360" w:lineRule="auto"/>
              <w:rPr>
                <w:rFonts w:asciiTheme="minorEastAsia" w:hAnsiTheme="minorEastAsia" w:cstheme="minorEastAsia"/>
                <w:b/>
                <w:color w:val="auto"/>
              </w:rPr>
            </w:pPr>
            <w:r>
              <w:rPr>
                <w:rFonts w:hint="eastAsia" w:asciiTheme="minorEastAsia" w:hAnsiTheme="minorEastAsia" w:cstheme="minorEastAsia"/>
                <w:b/>
                <w:color w:val="auto"/>
              </w:rPr>
              <w:t>全自动一键摆位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101" w:type="dxa"/>
            <w:shd w:val="clear" w:color="auto" w:fill="auto"/>
            <w:vAlign w:val="center"/>
          </w:tcPr>
          <w:p>
            <w:pPr>
              <w:snapToGrid w:val="0"/>
              <w:spacing w:line="360" w:lineRule="auto"/>
              <w:jc w:val="center"/>
              <w:rPr>
                <w:rFonts w:asciiTheme="minorEastAsia" w:hAnsiTheme="minorEastAsia" w:cstheme="minorEastAsia"/>
                <w:b/>
                <w:bCs/>
                <w:color w:val="auto"/>
              </w:rPr>
            </w:pPr>
            <w:r>
              <w:rPr>
                <w:rFonts w:hint="eastAsia" w:asciiTheme="minorEastAsia" w:hAnsiTheme="minorEastAsia" w:cstheme="minorEastAsia"/>
                <w:b/>
                <w:bCs/>
                <w:color w:val="auto"/>
              </w:rPr>
              <w:t>8</w:t>
            </w:r>
          </w:p>
        </w:tc>
        <w:tc>
          <w:tcPr>
            <w:tcW w:w="7013" w:type="dxa"/>
            <w:gridSpan w:val="2"/>
            <w:shd w:val="clear" w:color="auto" w:fill="auto"/>
          </w:tcPr>
          <w:p>
            <w:pPr>
              <w:snapToGrid w:val="0"/>
              <w:spacing w:line="360" w:lineRule="auto"/>
              <w:rPr>
                <w:rFonts w:asciiTheme="minorEastAsia" w:hAnsiTheme="minorEastAsia" w:cstheme="minorEastAsia"/>
                <w:color w:val="auto"/>
              </w:rPr>
            </w:pPr>
            <w:r>
              <w:rPr>
                <w:rFonts w:hint="eastAsia" w:asciiTheme="minorEastAsia" w:hAnsiTheme="minorEastAsia" w:cstheme="minorEastAsia"/>
                <w:b/>
                <w:bCs/>
                <w:color w:val="auto"/>
              </w:rPr>
              <w:t>可视化操作功能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8.1</w:t>
            </w:r>
          </w:p>
        </w:tc>
        <w:tc>
          <w:tcPr>
            <w:tcW w:w="7013" w:type="dxa"/>
            <w:gridSpan w:val="2"/>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支持图像采集工作站实时显示患者摆位的视频画面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8.2</w:t>
            </w:r>
          </w:p>
        </w:tc>
        <w:tc>
          <w:tcPr>
            <w:tcW w:w="7013" w:type="dxa"/>
            <w:gridSpan w:val="2"/>
            <w:shd w:val="clear" w:color="auto" w:fill="auto"/>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支持在患者实时摆位视频中隔室光野范围调整，并显示覆盖人体区域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8.3</w:t>
            </w:r>
          </w:p>
        </w:tc>
        <w:tc>
          <w:tcPr>
            <w:tcW w:w="7013" w:type="dxa"/>
            <w:gridSpan w:val="2"/>
            <w:shd w:val="clear" w:color="auto" w:fill="auto"/>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支持隔室长骨拼接范围设置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8.4</w:t>
            </w:r>
          </w:p>
        </w:tc>
        <w:tc>
          <w:tcPr>
            <w:tcW w:w="7013" w:type="dxa"/>
            <w:gridSpan w:val="2"/>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支持实时显示AEC电离室覆盖人体区域及激活状态显示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101" w:type="dxa"/>
            <w:shd w:val="clear" w:color="auto" w:fill="auto"/>
            <w:vAlign w:val="center"/>
          </w:tcPr>
          <w:p>
            <w:pPr>
              <w:snapToGrid w:val="0"/>
              <w:spacing w:line="360" w:lineRule="auto"/>
              <w:jc w:val="center"/>
              <w:rPr>
                <w:rFonts w:asciiTheme="minorEastAsia" w:hAnsiTheme="minorEastAsia" w:cstheme="minorEastAsia"/>
                <w:b/>
                <w:bCs/>
                <w:color w:val="auto"/>
              </w:rPr>
            </w:pPr>
            <w:r>
              <w:rPr>
                <w:rFonts w:hint="eastAsia" w:asciiTheme="minorEastAsia" w:hAnsiTheme="minorEastAsia" w:cstheme="minorEastAsia"/>
                <w:b/>
                <w:bCs/>
                <w:color w:val="auto"/>
              </w:rPr>
              <w:t>9</w:t>
            </w:r>
          </w:p>
        </w:tc>
        <w:tc>
          <w:tcPr>
            <w:tcW w:w="7013" w:type="dxa"/>
            <w:gridSpan w:val="2"/>
            <w:shd w:val="clear" w:color="auto" w:fill="auto"/>
          </w:tcPr>
          <w:p>
            <w:pPr>
              <w:snapToGrid w:val="0"/>
              <w:spacing w:line="360" w:lineRule="auto"/>
              <w:rPr>
                <w:rFonts w:asciiTheme="minorEastAsia" w:hAnsiTheme="minorEastAsia" w:cstheme="minorEastAsia"/>
                <w:b/>
                <w:bCs/>
                <w:color w:val="auto"/>
              </w:rPr>
            </w:pPr>
            <w:r>
              <w:rPr>
                <w:rFonts w:hint="eastAsia" w:asciiTheme="minorEastAsia" w:hAnsiTheme="minorEastAsia" w:cstheme="minorEastAsia"/>
                <w:b/>
                <w:bCs/>
                <w:color w:val="auto"/>
              </w:rPr>
              <w:t>长骨拼接功能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★9.1</w:t>
            </w:r>
          </w:p>
        </w:tc>
        <w:tc>
          <w:tcPr>
            <w:tcW w:w="7013" w:type="dxa"/>
            <w:gridSpan w:val="2"/>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具备设备整机原厂立位和卧位长骨拼接功能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9.2</w:t>
            </w:r>
          </w:p>
        </w:tc>
        <w:tc>
          <w:tcPr>
            <w:tcW w:w="7013" w:type="dxa"/>
            <w:gridSpan w:val="2"/>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采用球管旋转式采集模式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9.3</w:t>
            </w:r>
          </w:p>
        </w:tc>
        <w:tc>
          <w:tcPr>
            <w:tcW w:w="7013" w:type="dxa"/>
            <w:gridSpan w:val="2"/>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立位拼接最大拍摄范围：≥140cm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9.4</w:t>
            </w:r>
          </w:p>
        </w:tc>
        <w:tc>
          <w:tcPr>
            <w:tcW w:w="7013" w:type="dxa"/>
            <w:gridSpan w:val="2"/>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卧位拼接最大拍摄范围：≥90cm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9.5</w:t>
            </w:r>
          </w:p>
        </w:tc>
        <w:tc>
          <w:tcPr>
            <w:tcW w:w="7013" w:type="dxa"/>
            <w:gridSpan w:val="2"/>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具备立位专用拼接支架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9.6</w:t>
            </w:r>
          </w:p>
        </w:tc>
        <w:tc>
          <w:tcPr>
            <w:tcW w:w="7013" w:type="dxa"/>
            <w:gridSpan w:val="2"/>
            <w:shd w:val="clear" w:color="auto" w:fill="auto"/>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具备立位拼接支架上用于辅助患者站立的扶手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9.7</w:t>
            </w:r>
          </w:p>
        </w:tc>
        <w:tc>
          <w:tcPr>
            <w:tcW w:w="7013" w:type="dxa"/>
            <w:gridSpan w:val="2"/>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扶手运动范围：≥55cm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9.8</w:t>
            </w:r>
          </w:p>
        </w:tc>
        <w:tc>
          <w:tcPr>
            <w:tcW w:w="7013" w:type="dxa"/>
            <w:gridSpan w:val="2"/>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立位拼接支架底座承重≥135kg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D8D8D8" w:themeFill="background1" w:themeFillShade="D9"/>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10</w:t>
            </w:r>
          </w:p>
        </w:tc>
        <w:tc>
          <w:tcPr>
            <w:tcW w:w="7013" w:type="dxa"/>
            <w:gridSpan w:val="2"/>
            <w:shd w:val="clear" w:color="auto" w:fill="D8D8D8" w:themeFill="background1" w:themeFillShade="D9"/>
            <w:vAlign w:val="center"/>
          </w:tcPr>
          <w:p>
            <w:pPr>
              <w:snapToGrid w:val="0"/>
              <w:spacing w:line="360" w:lineRule="auto"/>
              <w:rPr>
                <w:rFonts w:asciiTheme="minorEastAsia" w:hAnsiTheme="minorEastAsia" w:cstheme="minorEastAsia"/>
                <w:b/>
                <w:color w:val="auto"/>
              </w:rPr>
            </w:pPr>
            <w:r>
              <w:rPr>
                <w:rFonts w:hint="eastAsia" w:asciiTheme="minorEastAsia" w:hAnsiTheme="minorEastAsia" w:cstheme="minorEastAsia"/>
                <w:b/>
                <w:color w:val="auto"/>
              </w:rPr>
              <w:t>近台操作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10.1</w:t>
            </w:r>
          </w:p>
        </w:tc>
        <w:tc>
          <w:tcPr>
            <w:tcW w:w="7013" w:type="dxa"/>
            <w:gridSpan w:val="2"/>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近台操控彩色触摸屏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10.2</w:t>
            </w:r>
          </w:p>
        </w:tc>
        <w:tc>
          <w:tcPr>
            <w:tcW w:w="7013" w:type="dxa"/>
            <w:gridSpan w:val="2"/>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操控方式：电容式触摸屏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10.3</w:t>
            </w:r>
          </w:p>
        </w:tc>
        <w:tc>
          <w:tcPr>
            <w:tcW w:w="7013" w:type="dxa"/>
            <w:gridSpan w:val="2"/>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屏幕尺寸：≥9.5英寸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10.4</w:t>
            </w:r>
          </w:p>
        </w:tc>
        <w:tc>
          <w:tcPr>
            <w:tcW w:w="7013" w:type="dxa"/>
            <w:gridSpan w:val="2"/>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屏幕显示可依据重力方向自动调整显示的方向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10.5</w:t>
            </w:r>
          </w:p>
        </w:tc>
        <w:tc>
          <w:tcPr>
            <w:tcW w:w="7013" w:type="dxa"/>
            <w:gridSpan w:val="2"/>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可显示患者的详细登记信息、摆位引导图、SID数值、球管组件绕水平轴旋转角度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10.6</w:t>
            </w:r>
          </w:p>
        </w:tc>
        <w:tc>
          <w:tcPr>
            <w:tcW w:w="7013" w:type="dxa"/>
            <w:gridSpan w:val="2"/>
            <w:shd w:val="clear" w:color="auto" w:fill="auto"/>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可调整曝光参数（kV，mA，mAs等）、部位选择、体型选择、大小焦点快速切换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10.7</w:t>
            </w:r>
          </w:p>
        </w:tc>
        <w:tc>
          <w:tcPr>
            <w:tcW w:w="7013" w:type="dxa"/>
            <w:gridSpan w:val="2"/>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智能故障预判平台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b/>
                <w:bCs/>
                <w:color w:val="auto"/>
              </w:rPr>
            </w:pPr>
            <w:r>
              <w:rPr>
                <w:rFonts w:hint="eastAsia" w:asciiTheme="minorEastAsia" w:hAnsiTheme="minorEastAsia" w:cstheme="minorEastAsia"/>
                <w:b/>
                <w:bCs/>
                <w:color w:val="auto"/>
              </w:rPr>
              <w:t>11</w:t>
            </w:r>
          </w:p>
        </w:tc>
        <w:tc>
          <w:tcPr>
            <w:tcW w:w="7013" w:type="dxa"/>
            <w:gridSpan w:val="2"/>
            <w:shd w:val="clear" w:color="auto" w:fill="auto"/>
          </w:tcPr>
          <w:p>
            <w:pPr>
              <w:snapToGrid w:val="0"/>
              <w:spacing w:line="360" w:lineRule="auto"/>
              <w:rPr>
                <w:rFonts w:asciiTheme="minorEastAsia" w:hAnsiTheme="minorEastAsia" w:cstheme="minorEastAsia"/>
                <w:b/>
                <w:bCs/>
                <w:color w:val="auto"/>
              </w:rPr>
            </w:pPr>
            <w:r>
              <w:rPr>
                <w:rFonts w:hint="eastAsia" w:asciiTheme="minorEastAsia" w:hAnsiTheme="minorEastAsia" w:cstheme="minorEastAsia"/>
                <w:b/>
                <w:bCs/>
                <w:color w:val="auto"/>
              </w:rPr>
              <w:t>远程遥控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11.1</w:t>
            </w:r>
          </w:p>
        </w:tc>
        <w:tc>
          <w:tcPr>
            <w:tcW w:w="7013"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可遥控胸片架电动升降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11.2</w:t>
            </w:r>
          </w:p>
        </w:tc>
        <w:tc>
          <w:tcPr>
            <w:tcW w:w="7013"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可遥控限束器光野控制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11.3</w:t>
            </w:r>
          </w:p>
        </w:tc>
        <w:tc>
          <w:tcPr>
            <w:tcW w:w="7013"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供电电池类型：锂电池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11.4</w:t>
            </w:r>
          </w:p>
        </w:tc>
        <w:tc>
          <w:tcPr>
            <w:tcW w:w="7013"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待机时间≥8小时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11.5</w:t>
            </w:r>
          </w:p>
        </w:tc>
        <w:tc>
          <w:tcPr>
            <w:tcW w:w="7013"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充电形式：无线电磁感应式或更换电池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11.6</w:t>
            </w:r>
          </w:p>
        </w:tc>
        <w:tc>
          <w:tcPr>
            <w:tcW w:w="7013"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控制类型：无线射频遥控，非红外式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b/>
                <w:bCs/>
                <w:color w:val="auto"/>
              </w:rPr>
            </w:pPr>
            <w:r>
              <w:rPr>
                <w:rFonts w:hint="eastAsia" w:asciiTheme="minorEastAsia" w:hAnsiTheme="minorEastAsia" w:cstheme="minorEastAsia"/>
                <w:b/>
                <w:bCs/>
                <w:color w:val="auto"/>
              </w:rPr>
              <w:t>12</w:t>
            </w:r>
          </w:p>
        </w:tc>
        <w:tc>
          <w:tcPr>
            <w:tcW w:w="7013" w:type="dxa"/>
            <w:gridSpan w:val="2"/>
            <w:shd w:val="clear" w:color="auto" w:fill="auto"/>
          </w:tcPr>
          <w:p>
            <w:pPr>
              <w:snapToGrid w:val="0"/>
              <w:spacing w:line="360" w:lineRule="auto"/>
              <w:rPr>
                <w:rFonts w:asciiTheme="minorEastAsia" w:hAnsiTheme="minorEastAsia" w:cstheme="minorEastAsia"/>
                <w:b/>
                <w:bCs/>
                <w:color w:val="auto"/>
              </w:rPr>
            </w:pPr>
            <w:r>
              <w:rPr>
                <w:rFonts w:hint="eastAsia" w:asciiTheme="minorEastAsia" w:hAnsiTheme="minorEastAsia" w:cstheme="minorEastAsia"/>
                <w:b/>
                <w:bCs/>
                <w:color w:val="auto"/>
              </w:rPr>
              <w:t>操控台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12.1</w:t>
            </w:r>
          </w:p>
        </w:tc>
        <w:tc>
          <w:tcPr>
            <w:tcW w:w="7013"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主机工作站操作台内存≥8GB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12.2</w:t>
            </w:r>
          </w:p>
        </w:tc>
        <w:tc>
          <w:tcPr>
            <w:tcW w:w="7013"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主机工作站操作台硬盘≥1TB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12.3</w:t>
            </w:r>
          </w:p>
        </w:tc>
        <w:tc>
          <w:tcPr>
            <w:tcW w:w="7013"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图像文件存储容量≥20000幅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12.4</w:t>
            </w:r>
          </w:p>
        </w:tc>
        <w:tc>
          <w:tcPr>
            <w:tcW w:w="7013"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采集工作站显示器尺寸≥24英寸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12.5</w:t>
            </w:r>
          </w:p>
        </w:tc>
        <w:tc>
          <w:tcPr>
            <w:tcW w:w="7013"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采集工作站显示器分辨率≥1920×1200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12.6</w:t>
            </w:r>
          </w:p>
        </w:tc>
        <w:tc>
          <w:tcPr>
            <w:tcW w:w="7013"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对比度≥1000：1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12.7</w:t>
            </w:r>
          </w:p>
        </w:tc>
        <w:tc>
          <w:tcPr>
            <w:tcW w:w="7013" w:type="dxa"/>
            <w:gridSpan w:val="2"/>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支持与RIS和HIS系统的集成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12.8</w:t>
            </w:r>
          </w:p>
        </w:tc>
        <w:tc>
          <w:tcPr>
            <w:tcW w:w="7013"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支持实时显示与检索患者信息；支持患者拍摄摆位指示图；支持自定义患者列表显示；支持检查不同状态显示与排序；支持显示球管热容量状态百分比、平板探测器电量百分比。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12.9</w:t>
            </w:r>
          </w:p>
        </w:tc>
        <w:tc>
          <w:tcPr>
            <w:tcW w:w="7013" w:type="dxa"/>
            <w:gridSpan w:val="2"/>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支持患者、检查、序列、图像四级数据库信息管理；支持按照器官进行摄影检查；支持预定义拍摄参数与后期调整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12.10</w:t>
            </w:r>
          </w:p>
        </w:tc>
        <w:tc>
          <w:tcPr>
            <w:tcW w:w="7013"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根据年龄自动匹配成人或儿童拍摄协议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12.11</w:t>
            </w:r>
          </w:p>
        </w:tc>
        <w:tc>
          <w:tcPr>
            <w:tcW w:w="7013"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支持灰度处理与LUT调整；支持显示并调整灰阶直方图和输入输出曲线的相应关系；支持显示并调整组织均衡和噪声抑制等频率；支持按照限束器边界自动裁剪图像感兴趣区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12.12</w:t>
            </w:r>
          </w:p>
        </w:tc>
        <w:tc>
          <w:tcPr>
            <w:tcW w:w="7013" w:type="dxa"/>
            <w:gridSpan w:val="2"/>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图像基本后处理功能，如图像预览、缩放、窗宽/窗位调整、标注、反色、翻转、旋转、输入文本、长度测量及校正、裁剪功能、感兴趣区域及角度测量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Theme="minorEastAsia" w:hAnsiTheme="minorEastAsia" w:cstheme="minorEastAsia"/>
                <w:color w:val="auto"/>
              </w:rPr>
            </w:pPr>
            <w:r>
              <w:rPr>
                <w:rFonts w:hint="eastAsia" w:asciiTheme="minorEastAsia" w:hAnsiTheme="minorEastAsia" w:cstheme="minorEastAsia"/>
                <w:color w:val="auto"/>
              </w:rPr>
              <w:t>12.13</w:t>
            </w:r>
          </w:p>
        </w:tc>
        <w:tc>
          <w:tcPr>
            <w:tcW w:w="7013" w:type="dxa"/>
            <w:gridSpan w:val="2"/>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支持DICOM3.0，包括：DICOM Send, DICOM Print, DICOM Storage commitment, DICOM Query/Retrieve   DICOM Worklist/MPPS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114" w:type="dxa"/>
            <w:gridSpan w:val="3"/>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b/>
                <w:color w:val="auto"/>
              </w:rPr>
              <w:t>三 售后服务及其他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trPr>
        <w:tc>
          <w:tcPr>
            <w:tcW w:w="8114" w:type="dxa"/>
            <w:gridSpan w:val="3"/>
            <w:shd w:val="clear" w:color="auto" w:fill="auto"/>
            <w:vAlign w:val="center"/>
          </w:tcPr>
          <w:p>
            <w:pPr>
              <w:numPr>
                <w:ilvl w:val="0"/>
                <w:numId w:val="4"/>
              </w:numPr>
              <w:snapToGrid w:val="0"/>
              <w:spacing w:line="360" w:lineRule="auto"/>
              <w:rPr>
                <w:color w:val="auto"/>
              </w:rPr>
            </w:pPr>
            <w:r>
              <w:rPr>
                <w:rFonts w:hint="eastAsia"/>
                <w:color w:val="auto"/>
              </w:rPr>
              <w:t>具备远程维修诊断系统，免费开放故障代码</w:t>
            </w:r>
          </w:p>
          <w:p>
            <w:pPr>
              <w:numPr>
                <w:ilvl w:val="0"/>
                <w:numId w:val="4"/>
              </w:numPr>
              <w:snapToGrid w:val="0"/>
              <w:spacing w:line="360" w:lineRule="auto"/>
              <w:rPr>
                <w:color w:val="auto"/>
              </w:rPr>
            </w:pPr>
            <w:r>
              <w:rPr>
                <w:rFonts w:hint="eastAsia"/>
                <w:color w:val="auto"/>
              </w:rPr>
              <w:t>备件供应：国内有备件仓库，具备仓库地址，电话</w:t>
            </w:r>
          </w:p>
          <w:p>
            <w:pPr>
              <w:numPr>
                <w:ilvl w:val="0"/>
                <w:numId w:val="4"/>
              </w:numPr>
              <w:snapToGrid w:val="0"/>
              <w:spacing w:line="360" w:lineRule="auto"/>
              <w:rPr>
                <w:color w:val="auto"/>
              </w:rPr>
            </w:pPr>
            <w:r>
              <w:rPr>
                <w:rFonts w:hint="eastAsia"/>
                <w:color w:val="auto"/>
              </w:rPr>
              <w:t>维修工程师：省内有固定的维修工程师，具备姓名及联系方式</w:t>
            </w:r>
          </w:p>
          <w:p>
            <w:pPr>
              <w:numPr>
                <w:ilvl w:val="0"/>
                <w:numId w:val="4"/>
              </w:numPr>
              <w:snapToGrid w:val="0"/>
              <w:spacing w:line="360" w:lineRule="auto"/>
              <w:rPr>
                <w:color w:val="auto"/>
              </w:rPr>
            </w:pPr>
            <w:r>
              <w:rPr>
                <w:rFonts w:hint="eastAsia"/>
                <w:color w:val="auto"/>
              </w:rPr>
              <w:t>具备免费保修电话,具备800或400免费维修电话号码</w:t>
            </w:r>
          </w:p>
          <w:p>
            <w:pPr>
              <w:numPr>
                <w:ilvl w:val="0"/>
                <w:numId w:val="4"/>
              </w:numPr>
              <w:snapToGrid w:val="0"/>
              <w:spacing w:line="360" w:lineRule="auto"/>
              <w:rPr>
                <w:color w:val="auto"/>
              </w:rPr>
            </w:pPr>
            <w:r>
              <w:rPr>
                <w:rFonts w:hint="eastAsia"/>
                <w:color w:val="auto"/>
              </w:rPr>
              <w:t>卖方应具备现场技术培训，保证使用人员能够正确操作，使用设备各种功能</w:t>
            </w:r>
          </w:p>
          <w:p>
            <w:pPr>
              <w:numPr>
                <w:ilvl w:val="0"/>
                <w:numId w:val="4"/>
              </w:numPr>
              <w:snapToGrid w:val="0"/>
              <w:spacing w:line="360" w:lineRule="auto"/>
              <w:rPr>
                <w:color w:val="auto"/>
              </w:rPr>
            </w:pPr>
            <w:r>
              <w:rPr>
                <w:rFonts w:hint="eastAsia"/>
                <w:color w:val="auto"/>
              </w:rPr>
              <w:t>卖方须向买方具备设备的运行、安装、使用环境要求</w:t>
            </w:r>
          </w:p>
          <w:p>
            <w:pPr>
              <w:numPr>
                <w:ilvl w:val="0"/>
                <w:numId w:val="4"/>
              </w:numPr>
              <w:snapToGrid w:val="0"/>
              <w:spacing w:line="360" w:lineRule="auto"/>
              <w:rPr>
                <w:color w:val="auto"/>
              </w:rPr>
            </w:pPr>
            <w:r>
              <w:rPr>
                <w:rFonts w:hint="eastAsia"/>
                <w:color w:val="auto"/>
              </w:rPr>
              <w:t>原厂整机质保三年（含第三方产品）（提供生产厂商三年质保承诺函），保修期内的开机率≥95%（按365天计），每停机一天，质保时间顺延五天。</w:t>
            </w:r>
          </w:p>
          <w:p>
            <w:pPr>
              <w:snapToGrid w:val="0"/>
              <w:spacing w:line="360" w:lineRule="auto"/>
              <w:rPr>
                <w:color w:val="auto"/>
              </w:rPr>
            </w:pPr>
            <w:r>
              <w:rPr>
                <w:rFonts w:hint="eastAsia" w:asciiTheme="minorEastAsia" w:hAnsiTheme="minorEastAsia" w:cstheme="minorEastAsia"/>
                <w:color w:val="auto"/>
              </w:rPr>
              <w:t>★8.</w:t>
            </w:r>
            <w:r>
              <w:rPr>
                <w:rFonts w:hint="eastAsia"/>
                <w:color w:val="auto"/>
              </w:rPr>
              <w:t>整机全保（含球管、探测器、高压发生器及第三方产品附属设备）费用不得高于10万人民币/年，且在设备生命周期内不得涨价。需具备所投产品生产企业加盖公章的承诺文件</w:t>
            </w:r>
          </w:p>
          <w:p>
            <w:pPr>
              <w:snapToGrid w:val="0"/>
              <w:spacing w:line="360" w:lineRule="auto"/>
              <w:rPr>
                <w:color w:val="auto"/>
              </w:rPr>
            </w:pPr>
            <w:r>
              <w:rPr>
                <w:rFonts w:hint="eastAsia"/>
                <w:color w:val="auto"/>
              </w:rPr>
              <w:t>9.具备远程维修诊断系统</w:t>
            </w:r>
          </w:p>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10.维修响应速度：接到通知后供应商应做到2小时内响应,24小时内到达现场,48小时内将故障排除完毕(包括所有节假日)</w:t>
            </w:r>
          </w:p>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11.设备保修各厂家分别列出并承诺该机出保后的各种类型保修优惠方案（含所有第三方产品），作为评标的主要依据之一</w:t>
            </w:r>
          </w:p>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12.设备停产后的备件供应：保证10年</w:t>
            </w:r>
          </w:p>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13.具备维修专用工具一套</w:t>
            </w:r>
          </w:p>
          <w:p>
            <w:pPr>
              <w:numPr>
                <w:ilvl w:val="0"/>
                <w:numId w:val="5"/>
              </w:num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技术资料要求：卖方应向买方具备以下技术资料中文两套，其费用应包括在投标价格内。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8114" w:type="dxa"/>
            <w:gridSpan w:val="3"/>
            <w:shd w:val="clear" w:color="auto" w:fill="auto"/>
            <w:vAlign w:val="center"/>
          </w:tcPr>
          <w:p>
            <w:pPr>
              <w:snapToGrid w:val="0"/>
              <w:spacing w:line="360" w:lineRule="auto"/>
              <w:jc w:val="both"/>
              <w:rPr>
                <w:rFonts w:asciiTheme="minorEastAsia" w:hAnsiTheme="minorEastAsia" w:cstheme="minorEastAsia"/>
                <w:color w:val="auto"/>
              </w:rPr>
            </w:pPr>
            <w:r>
              <w:rPr>
                <w:rFonts w:hint="eastAsia" w:asciiTheme="minorEastAsia" w:hAnsiTheme="minorEastAsia" w:cstheme="minorEastAsia"/>
                <w:b/>
                <w:color w:val="auto"/>
              </w:rPr>
              <w:t>四 技术文件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114" w:type="dxa"/>
            <w:gridSpan w:val="3"/>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具备必要的技术图纸资料，系统操作维护说明手册、编程手册、软硬件说明等，具备完整的操作使用手册（中英文）,系统电路图，接线图以及有关资料2份，具备产品检验合格证书、质量保证书等文件，具备设备整机和有关主要附件质量检验证书，维修工程师：省内有固定的维修点及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114" w:type="dxa"/>
            <w:gridSpan w:val="3"/>
            <w:shd w:val="clear" w:color="auto" w:fill="auto"/>
            <w:vAlign w:val="center"/>
          </w:tcPr>
          <w:p>
            <w:pPr>
              <w:snapToGrid w:val="0"/>
              <w:spacing w:line="360" w:lineRule="auto"/>
              <w:jc w:val="both"/>
              <w:rPr>
                <w:rFonts w:asciiTheme="minorEastAsia" w:hAnsiTheme="minorEastAsia" w:cstheme="minorEastAsia"/>
              </w:rPr>
            </w:pPr>
            <w:r>
              <w:rPr>
                <w:rFonts w:hint="eastAsia" w:asciiTheme="minorEastAsia" w:hAnsiTheme="minorEastAsia" w:cstheme="minorEastAsia"/>
                <w:b/>
              </w:rPr>
              <w:t>五 安装及调试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114" w:type="dxa"/>
            <w:gridSpan w:val="3"/>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1.在货物到达买方后，卖方应在7天内派工程技术人员到达现场，在买方技术人员在场的情况下开箱清点货物，组织安装、调试，由卖方承担因此发生的一切费用。安装调试时间不得超过10个工作日。超时卖方须赔偿由此造成的损失。在此期间卖方应派遣服务工程师参加全过程的服务,派遣服务工程师的有关旅费由其自行承担。</w:t>
            </w:r>
          </w:p>
          <w:p>
            <w:pPr>
              <w:snapToGrid w:val="0"/>
              <w:spacing w:line="360" w:lineRule="auto"/>
              <w:rPr>
                <w:rFonts w:asciiTheme="minorEastAsia" w:hAnsiTheme="minorEastAsia" w:cstheme="minorEastAsia"/>
              </w:rPr>
            </w:pPr>
            <w:r>
              <w:rPr>
                <w:rFonts w:hint="eastAsia" w:asciiTheme="minorEastAsia" w:hAnsiTheme="minorEastAsia" w:cstheme="minorEastAsia"/>
              </w:rPr>
              <w:t>2.设备应先进行调试再进行试运转，设备试运转由卖方负责，买方协助。</w:t>
            </w:r>
          </w:p>
          <w:p>
            <w:pPr>
              <w:snapToGrid w:val="0"/>
              <w:spacing w:line="360" w:lineRule="auto"/>
              <w:rPr>
                <w:rFonts w:asciiTheme="minorEastAsia" w:hAnsiTheme="minorEastAsia" w:cstheme="minorEastAsia"/>
              </w:rPr>
            </w:pPr>
            <w:r>
              <w:rPr>
                <w:rFonts w:hint="eastAsia" w:asciiTheme="minorEastAsia" w:hAnsiTheme="minorEastAsia" w:cstheme="minorEastAsia"/>
              </w:rPr>
              <w:t>3.设备安装完成后的试运行是验证合同中所有设备、系统是否能安全、有效地按标书的要求运行，卖方及各项设备制造商有责任到现场对调试进行指导与配合。</w:t>
            </w:r>
          </w:p>
          <w:p>
            <w:pPr>
              <w:snapToGrid w:val="0"/>
              <w:spacing w:line="360" w:lineRule="auto"/>
              <w:rPr>
                <w:rFonts w:asciiTheme="minorEastAsia" w:hAnsiTheme="minorEastAsia" w:cstheme="minorEastAsia"/>
              </w:rPr>
            </w:pPr>
            <w:r>
              <w:rPr>
                <w:rFonts w:hint="eastAsia" w:asciiTheme="minorEastAsia" w:hAnsiTheme="minorEastAsia" w:cstheme="minorEastAsia"/>
              </w:rPr>
              <w:t>4.安装调试后设备的各种性能和参数应满足招标文件相关规定的技术要求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8114" w:type="dxa"/>
            <w:gridSpan w:val="3"/>
            <w:shd w:val="clear" w:color="auto" w:fill="auto"/>
            <w:vAlign w:val="center"/>
          </w:tcPr>
          <w:p>
            <w:pPr>
              <w:snapToGrid w:val="0"/>
              <w:spacing w:line="360" w:lineRule="auto"/>
              <w:jc w:val="both"/>
              <w:rPr>
                <w:rFonts w:asciiTheme="minorEastAsia" w:hAnsiTheme="minorEastAsia" w:cstheme="minorEastAsia"/>
              </w:rPr>
            </w:pPr>
            <w:r>
              <w:rPr>
                <w:rFonts w:hint="eastAsia" w:asciiTheme="minorEastAsia" w:hAnsiTheme="minorEastAsia" w:cstheme="minorEastAsia"/>
                <w:b/>
              </w:rPr>
              <w:t>六 附属设备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114" w:type="dxa"/>
            <w:gridSpan w:val="3"/>
            <w:shd w:val="clear" w:color="auto" w:fill="auto"/>
            <w:vAlign w:val="center"/>
          </w:tcPr>
          <w:p>
            <w:pPr>
              <w:numPr>
                <w:ilvl w:val="0"/>
                <w:numId w:val="6"/>
              </w:numPr>
              <w:snapToGrid w:val="0"/>
              <w:spacing w:line="360" w:lineRule="auto"/>
              <w:rPr>
                <w:rFonts w:asciiTheme="minorEastAsia" w:hAnsiTheme="minorEastAsia" w:cstheme="minorEastAsia"/>
              </w:rPr>
            </w:pPr>
            <w:r>
              <w:rPr>
                <w:rFonts w:hint="eastAsia" w:asciiTheme="minorEastAsia" w:hAnsiTheme="minorEastAsia" w:cstheme="minorEastAsia"/>
              </w:rPr>
              <w:t>操作台计算机和独立工作站用UPS 2台, 延时时间≥30min。</w:t>
            </w:r>
          </w:p>
          <w:p>
            <w:pPr>
              <w:numPr>
                <w:ilvl w:val="0"/>
                <w:numId w:val="6"/>
              </w:numPr>
              <w:snapToGrid w:val="0"/>
              <w:spacing w:line="360" w:lineRule="auto"/>
              <w:rPr>
                <w:rFonts w:asciiTheme="minorEastAsia" w:hAnsiTheme="minorEastAsia" w:cstheme="minorEastAsia"/>
              </w:rPr>
            </w:pPr>
            <w:r>
              <w:rPr>
                <w:rFonts w:hint="eastAsia" w:asciiTheme="minorEastAsia" w:hAnsiTheme="minorEastAsia" w:cstheme="minorEastAsia"/>
              </w:rPr>
              <w:t>与设备功率相匹配的配电柜及元器件（含设备到配件柜之间所需的专用电缆线）一套、语音对讲系统一套,专用操作台1张，转椅两把。</w:t>
            </w:r>
          </w:p>
          <w:p>
            <w:pPr>
              <w:snapToGrid w:val="0"/>
              <w:spacing w:line="360" w:lineRule="auto"/>
              <w:rPr>
                <w:rFonts w:asciiTheme="minorEastAsia" w:hAnsiTheme="minorEastAsia" w:cstheme="minorEastAsia"/>
              </w:rPr>
            </w:pPr>
            <w:r>
              <w:rPr>
                <w:rFonts w:hint="eastAsia" w:asciiTheme="minorEastAsia" w:hAnsiTheme="minorEastAsia" w:cstheme="minorEastAsia"/>
              </w:rPr>
              <w:t>3.承担与医院PACS连接的所有软硬件需求。</w:t>
            </w:r>
          </w:p>
        </w:tc>
      </w:tr>
    </w:tbl>
    <w:p>
      <w:pPr>
        <w:rPr>
          <w:rFonts w:hint="eastAsia" w:ascii="宋体" w:hAnsi="宋体" w:cs="宋体"/>
          <w:b/>
          <w:bCs/>
          <w:sz w:val="36"/>
          <w:szCs w:val="36"/>
        </w:rPr>
        <w:sectPr>
          <w:footerReference r:id="rId7" w:type="default"/>
          <w:pgSz w:w="11906" w:h="16838"/>
          <w:pgMar w:top="1440" w:right="1800" w:bottom="1440" w:left="1800" w:header="708" w:footer="708" w:gutter="0"/>
          <w:pgNumType w:fmt="decimal" w:start="1"/>
          <w:cols w:space="708" w:num="1"/>
          <w:docGrid w:linePitch="360" w:charSpace="0"/>
        </w:sectPr>
      </w:pPr>
    </w:p>
    <w:p>
      <w:pPr>
        <w:rPr>
          <w:rFonts w:ascii="宋体" w:hAnsi="宋体" w:eastAsia="宋体" w:cs="宋体"/>
          <w:b/>
          <w:bCs/>
          <w:sz w:val="28"/>
          <w:szCs w:val="28"/>
        </w:rPr>
      </w:pPr>
      <w:r>
        <w:rPr>
          <w:rFonts w:hint="eastAsia" w:ascii="宋体" w:hAnsi="宋体" w:cs="宋体"/>
          <w:b/>
          <w:bCs/>
          <w:sz w:val="36"/>
          <w:szCs w:val="36"/>
        </w:rPr>
        <w:t>二、</w:t>
      </w:r>
      <w:r>
        <w:rPr>
          <w:rFonts w:hint="eastAsia" w:ascii="宋体" w:hAnsi="宋体" w:eastAsia="宋体" w:cs="宋体"/>
          <w:b/>
          <w:bCs/>
          <w:sz w:val="28"/>
          <w:szCs w:val="28"/>
        </w:rPr>
        <w:t>数字化医用动态X 射线摄影系统（悬吊双平板DR）</w:t>
      </w:r>
    </w:p>
    <w:tbl>
      <w:tblPr>
        <w:tblStyle w:val="36"/>
        <w:tblW w:w="8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409"/>
        <w:gridCol w:w="4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tcPr>
          <w:p>
            <w:pPr>
              <w:snapToGrid w:val="0"/>
              <w:spacing w:line="360" w:lineRule="auto"/>
              <w:jc w:val="center"/>
              <w:rPr>
                <w:rFonts w:asciiTheme="minorEastAsia" w:hAnsiTheme="minorEastAsia" w:cstheme="minorEastAsia"/>
                <w:b/>
                <w:bCs/>
                <w:color w:val="FF0000"/>
              </w:rPr>
            </w:pPr>
            <w:r>
              <w:rPr>
                <w:rFonts w:hint="eastAsia" w:asciiTheme="minorEastAsia" w:hAnsiTheme="minorEastAsia" w:cstheme="minorEastAsia"/>
                <w:b/>
                <w:color w:val="000000"/>
              </w:rPr>
              <w:t>一</w:t>
            </w:r>
          </w:p>
        </w:tc>
        <w:tc>
          <w:tcPr>
            <w:tcW w:w="2409" w:type="dxa"/>
            <w:shd w:val="clear" w:color="auto" w:fill="auto"/>
          </w:tcPr>
          <w:p>
            <w:pPr>
              <w:snapToGrid w:val="0"/>
              <w:spacing w:line="360" w:lineRule="auto"/>
              <w:jc w:val="center"/>
              <w:rPr>
                <w:rFonts w:asciiTheme="minorEastAsia" w:hAnsiTheme="minorEastAsia" w:cstheme="minorEastAsia"/>
                <w:b/>
                <w:bCs/>
              </w:rPr>
            </w:pPr>
            <w:r>
              <w:rPr>
                <w:rFonts w:hint="eastAsia" w:asciiTheme="minorEastAsia" w:hAnsiTheme="minorEastAsia" w:cstheme="minorEastAsia"/>
                <w:b/>
                <w:bCs/>
              </w:rPr>
              <w:t>招标参数</w:t>
            </w:r>
          </w:p>
        </w:tc>
        <w:tc>
          <w:tcPr>
            <w:tcW w:w="4604" w:type="dxa"/>
            <w:shd w:val="clear" w:color="auto" w:fill="auto"/>
          </w:tcPr>
          <w:p>
            <w:pPr>
              <w:snapToGrid w:val="0"/>
              <w:spacing w:line="360" w:lineRule="auto"/>
              <w:jc w:val="center"/>
              <w:rPr>
                <w:rFonts w:asciiTheme="minorEastAsia" w:hAnsiTheme="minorEastAsia" w:cstheme="minorEastAsia"/>
                <w:b/>
                <w:bCs/>
              </w:rPr>
            </w:pPr>
            <w:r>
              <w:rPr>
                <w:rFonts w:hint="eastAsia" w:asciiTheme="minorEastAsia" w:hAnsiTheme="minorEastAsia" w:cstheme="minorEastAsia"/>
                <w:b/>
                <w:bCs/>
              </w:rPr>
              <w:t>性能要求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3510" w:type="dxa"/>
            <w:gridSpan w:val="2"/>
            <w:shd w:val="clear" w:color="auto" w:fill="auto"/>
            <w:vAlign w:val="center"/>
          </w:tcPr>
          <w:p>
            <w:pPr>
              <w:snapToGrid w:val="0"/>
              <w:spacing w:line="360" w:lineRule="auto"/>
              <w:jc w:val="center"/>
              <w:rPr>
                <w:rFonts w:asciiTheme="minorEastAsia" w:hAnsiTheme="minorEastAsia" w:cstheme="minorEastAsia"/>
                <w:b/>
              </w:rPr>
            </w:pPr>
            <w:r>
              <w:rPr>
                <w:rFonts w:hint="eastAsia" w:asciiTheme="minorEastAsia" w:hAnsiTheme="minorEastAsia" w:cstheme="minorEastAsia"/>
                <w:b/>
              </w:rPr>
              <w:t>总体要求</w:t>
            </w:r>
          </w:p>
        </w:tc>
        <w:tc>
          <w:tcPr>
            <w:tcW w:w="4604" w:type="dxa"/>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用于头颅、脊柱、四肢、胸部、腹部等全身站立位和卧位拍摄的天轨悬吊臂结构（三维运动x轴、y轴、z轴），悬吊机架可实现自动运动，可电动切换机架的立位拍摄及卧位拍摄，并可实现一键自动摆位功能。所投产品必须为2022年1月后生产的最新产品、最高版本，配置需满足医院所有诊疗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101" w:type="dxa"/>
            <w:shd w:val="clear" w:color="auto" w:fill="auto"/>
          </w:tcPr>
          <w:p>
            <w:pPr>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二</w:t>
            </w:r>
          </w:p>
        </w:tc>
        <w:tc>
          <w:tcPr>
            <w:tcW w:w="7013" w:type="dxa"/>
            <w:gridSpan w:val="2"/>
            <w:shd w:val="clear" w:color="auto" w:fill="auto"/>
          </w:tcPr>
          <w:p>
            <w:pPr>
              <w:snapToGrid w:val="0"/>
              <w:spacing w:line="360" w:lineRule="auto"/>
              <w:rPr>
                <w:rFonts w:asciiTheme="minorEastAsia" w:hAnsiTheme="minorEastAsia" w:cstheme="minorEastAsia"/>
              </w:rPr>
            </w:pPr>
            <w:r>
              <w:rPr>
                <w:rFonts w:hint="eastAsia" w:asciiTheme="minorEastAsia" w:hAnsiTheme="minorEastAsia" w:cstheme="minorEastAsia"/>
                <w:b/>
                <w:bCs/>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000000" w:fill="E6E6E6"/>
            <w:vAlign w:val="center"/>
          </w:tcPr>
          <w:p>
            <w:pPr>
              <w:snapToGrid w:val="0"/>
              <w:spacing w:line="360" w:lineRule="auto"/>
              <w:jc w:val="center"/>
              <w:rPr>
                <w:rFonts w:asciiTheme="minorEastAsia" w:hAnsiTheme="minorEastAsia" w:cstheme="minorEastAsia"/>
                <w:b/>
                <w:color w:val="000000"/>
              </w:rPr>
            </w:pPr>
            <w:r>
              <w:rPr>
                <w:rFonts w:hint="eastAsia" w:asciiTheme="minorEastAsia" w:hAnsiTheme="minorEastAsia" w:cstheme="minorEastAsia"/>
                <w:b/>
                <w:color w:val="000000"/>
              </w:rPr>
              <w:t>1</w:t>
            </w:r>
          </w:p>
        </w:tc>
        <w:tc>
          <w:tcPr>
            <w:tcW w:w="7013" w:type="dxa"/>
            <w:gridSpan w:val="2"/>
            <w:shd w:val="clear" w:color="000000" w:fill="E6E6E6"/>
          </w:tcPr>
          <w:p>
            <w:pPr>
              <w:snapToGrid w:val="0"/>
              <w:spacing w:line="360" w:lineRule="auto"/>
              <w:rPr>
                <w:rFonts w:asciiTheme="minorEastAsia" w:hAnsiTheme="minorEastAsia" w:cstheme="minorEastAsia"/>
              </w:rPr>
            </w:pPr>
            <w:r>
              <w:rPr>
                <w:rFonts w:hint="eastAsia" w:asciiTheme="minorEastAsia" w:hAnsiTheme="minorEastAsia" w:cstheme="minorEastAsia"/>
                <w:b/>
              </w:rPr>
              <w:t>高压发生器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1.1</w:t>
            </w:r>
          </w:p>
        </w:tc>
        <w:tc>
          <w:tcPr>
            <w:tcW w:w="701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最大输出逆变频率：≥400kHz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1.2</w:t>
            </w:r>
          </w:p>
        </w:tc>
        <w:tc>
          <w:tcPr>
            <w:tcW w:w="701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高压发生器功率：≥65kW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1.3</w:t>
            </w:r>
          </w:p>
        </w:tc>
        <w:tc>
          <w:tcPr>
            <w:tcW w:w="701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管电压可调范围：40～150kV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★1.4</w:t>
            </w:r>
          </w:p>
        </w:tc>
        <w:tc>
          <w:tcPr>
            <w:tcW w:w="701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加载时间范围：最小加载时间≤1ms，最大加载时间≥10s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1.5</w:t>
            </w:r>
          </w:p>
        </w:tc>
        <w:tc>
          <w:tcPr>
            <w:tcW w:w="701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最大输出电流：≥800mA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★1.6</w:t>
            </w:r>
          </w:p>
        </w:tc>
        <w:tc>
          <w:tcPr>
            <w:tcW w:w="701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最大电流时间积：≥1000mAs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1.7</w:t>
            </w:r>
          </w:p>
        </w:tc>
        <w:tc>
          <w:tcPr>
            <w:tcW w:w="701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具备AEC自动曝光控制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1.8</w:t>
            </w:r>
          </w:p>
        </w:tc>
        <w:tc>
          <w:tcPr>
            <w:tcW w:w="701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发生器的操作与控制系统完全与主机集成，在主机工作站上控制曝光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101" w:type="dxa"/>
            <w:shd w:val="clear" w:color="000000" w:fill="E6E6E6"/>
            <w:vAlign w:val="center"/>
          </w:tcPr>
          <w:p>
            <w:pPr>
              <w:snapToGrid w:val="0"/>
              <w:spacing w:line="360" w:lineRule="auto"/>
              <w:jc w:val="center"/>
              <w:rPr>
                <w:rFonts w:asciiTheme="minorEastAsia" w:hAnsiTheme="minorEastAsia" w:cstheme="minorEastAsia"/>
                <w:b/>
                <w:color w:val="000000"/>
              </w:rPr>
            </w:pPr>
            <w:r>
              <w:rPr>
                <w:rFonts w:hint="eastAsia" w:asciiTheme="minorEastAsia" w:hAnsiTheme="minorEastAsia" w:cstheme="minorEastAsia"/>
                <w:b/>
                <w:color w:val="000000"/>
              </w:rPr>
              <w:t>2</w:t>
            </w:r>
          </w:p>
        </w:tc>
        <w:tc>
          <w:tcPr>
            <w:tcW w:w="7013" w:type="dxa"/>
            <w:gridSpan w:val="2"/>
            <w:shd w:val="clear" w:color="000000" w:fill="E6E6E6"/>
          </w:tcPr>
          <w:p>
            <w:pPr>
              <w:snapToGrid w:val="0"/>
              <w:spacing w:line="360" w:lineRule="auto"/>
              <w:rPr>
                <w:rFonts w:asciiTheme="minorEastAsia" w:hAnsiTheme="minorEastAsia" w:cstheme="minorEastAsia"/>
              </w:rPr>
            </w:pPr>
            <w:r>
              <w:rPr>
                <w:rFonts w:hint="eastAsia" w:asciiTheme="minorEastAsia" w:hAnsiTheme="minorEastAsia" w:cstheme="minorEastAsia"/>
                <w:b/>
              </w:rPr>
              <w:t>X线部分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2.1</w:t>
            </w:r>
          </w:p>
        </w:tc>
        <w:tc>
          <w:tcPr>
            <w:tcW w:w="701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球管最大功率：≥65kW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2.2</w:t>
            </w:r>
          </w:p>
        </w:tc>
        <w:tc>
          <w:tcPr>
            <w:tcW w:w="701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球管焦点：≤0.6/1.2mm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2.3</w:t>
            </w:r>
          </w:p>
        </w:tc>
        <w:tc>
          <w:tcPr>
            <w:tcW w:w="701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阳极热容量：≥300kHU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2.4</w:t>
            </w:r>
          </w:p>
        </w:tc>
        <w:tc>
          <w:tcPr>
            <w:tcW w:w="701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X线球管为进口品牌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2.5</w:t>
            </w:r>
          </w:p>
        </w:tc>
        <w:tc>
          <w:tcPr>
            <w:tcW w:w="701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可通过LCD 显示缩光野的尺寸和源像距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2.6</w:t>
            </w:r>
          </w:p>
        </w:tc>
        <w:tc>
          <w:tcPr>
            <w:tcW w:w="701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可通过卷尺测量床旁拍照的距离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2.7</w:t>
            </w:r>
          </w:p>
        </w:tc>
        <w:tc>
          <w:tcPr>
            <w:tcW w:w="701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激光定位线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2.8</w:t>
            </w:r>
          </w:p>
        </w:tc>
        <w:tc>
          <w:tcPr>
            <w:tcW w:w="701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射线野控制模式：电动+手动（双模式）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2.9</w:t>
            </w:r>
          </w:p>
        </w:tc>
        <w:tc>
          <w:tcPr>
            <w:tcW w:w="701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束光器旋转角度：≥±45°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2.10</w:t>
            </w:r>
          </w:p>
        </w:tc>
        <w:tc>
          <w:tcPr>
            <w:tcW w:w="701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射线野指示灯类型：LED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2.11</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1米SID时光野强度：≥180LUX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000000" w:fill="E6E6E6"/>
            <w:vAlign w:val="center"/>
          </w:tcPr>
          <w:p>
            <w:pPr>
              <w:snapToGrid w:val="0"/>
              <w:spacing w:line="360" w:lineRule="auto"/>
              <w:jc w:val="center"/>
              <w:rPr>
                <w:rFonts w:asciiTheme="minorEastAsia" w:hAnsiTheme="minorEastAsia" w:cstheme="minorEastAsia"/>
                <w:b/>
                <w:color w:val="000000"/>
              </w:rPr>
            </w:pPr>
            <w:r>
              <w:rPr>
                <w:rFonts w:hint="eastAsia" w:asciiTheme="minorEastAsia" w:hAnsiTheme="minorEastAsia" w:cstheme="minorEastAsia"/>
                <w:b/>
                <w:color w:val="000000"/>
              </w:rPr>
              <w:t>3</w:t>
            </w:r>
          </w:p>
        </w:tc>
        <w:tc>
          <w:tcPr>
            <w:tcW w:w="7013" w:type="dxa"/>
            <w:gridSpan w:val="2"/>
            <w:shd w:val="clear" w:color="000000" w:fill="E6E6E6"/>
          </w:tcPr>
          <w:p>
            <w:pPr>
              <w:snapToGrid w:val="0"/>
              <w:spacing w:line="360" w:lineRule="auto"/>
              <w:rPr>
                <w:rFonts w:asciiTheme="minorEastAsia" w:hAnsiTheme="minorEastAsia" w:cstheme="minorEastAsia"/>
                <w:color w:val="auto"/>
              </w:rPr>
            </w:pPr>
            <w:r>
              <w:rPr>
                <w:rFonts w:hint="eastAsia" w:asciiTheme="minorEastAsia" w:hAnsiTheme="minorEastAsia" w:cstheme="minorEastAsia"/>
                <w:b/>
                <w:color w:val="auto"/>
              </w:rPr>
              <w:t>球管悬吊机架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3.1</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吊架运动模式：电动+手动（双模式）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3.2</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球管架垂直运动距离：≥140cm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3.3</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球管架垂直电动最大运动速度：200mm/s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3.4</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球管架沿纵轴运动距离：≥180cm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3.5</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球管架沿横轴运动距离：≥180cm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3.6</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球管套可沿垂直轴旋转：≥-150°/+180°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3.7</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球管套可沿水平轴旋转：≥±120°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3.8</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球管套绕水平轴电动旋转速度：≥25°/s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3.9</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立位及卧位拍摄时，球管与平板之间均可实现平行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3.10</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悬吊支架可根据预设位置实现自动摆位功能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b/>
                <w:color w:val="000000"/>
              </w:rPr>
            </w:pPr>
            <w:r>
              <w:rPr>
                <w:rFonts w:hint="eastAsia" w:asciiTheme="minorEastAsia" w:hAnsiTheme="minorEastAsia" w:cstheme="minorEastAsia"/>
                <w:b/>
                <w:color w:val="000000"/>
              </w:rPr>
              <w:t>4</w:t>
            </w:r>
          </w:p>
        </w:tc>
        <w:tc>
          <w:tcPr>
            <w:tcW w:w="7013" w:type="dxa"/>
            <w:gridSpan w:val="2"/>
            <w:shd w:val="clear" w:color="auto" w:fill="auto"/>
            <w:vAlign w:val="center"/>
          </w:tcPr>
          <w:p>
            <w:pPr>
              <w:snapToGrid w:val="0"/>
              <w:spacing w:line="360" w:lineRule="auto"/>
              <w:rPr>
                <w:rFonts w:asciiTheme="minorEastAsia" w:hAnsiTheme="minorEastAsia" w:cstheme="minorEastAsia"/>
                <w:b/>
                <w:color w:val="auto"/>
              </w:rPr>
            </w:pPr>
            <w:r>
              <w:rPr>
                <w:rFonts w:hint="eastAsia" w:asciiTheme="minorEastAsia" w:hAnsiTheme="minorEastAsia" w:cstheme="minorEastAsia"/>
                <w:b/>
                <w:color w:val="auto"/>
              </w:rPr>
              <w:t>平板探测器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★4.1</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配备两块</w:t>
            </w:r>
            <w:r>
              <w:rPr>
                <w:rFonts w:hint="eastAsia" w:ascii="宋体" w:hAnsi="宋体" w:cs="宋体"/>
                <w:color w:val="auto"/>
              </w:rPr>
              <w:t>≥</w:t>
            </w:r>
            <w:r>
              <w:rPr>
                <w:rFonts w:hint="eastAsia" w:asciiTheme="minorEastAsia" w:hAnsiTheme="minorEastAsia" w:cstheme="minorEastAsia"/>
                <w:color w:val="auto"/>
              </w:rPr>
              <w:t>17×17英寸无线移动式平板探测器，其中一块为动态平板探测器，可进行动态数字化透视及静态拍片，动静态可相互转换。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4.2</w:t>
            </w:r>
          </w:p>
        </w:tc>
        <w:tc>
          <w:tcPr>
            <w:tcW w:w="7013" w:type="dxa"/>
            <w:gridSpan w:val="2"/>
            <w:shd w:val="clear" w:color="auto" w:fill="auto"/>
            <w:vAlign w:val="center"/>
          </w:tcPr>
          <w:p>
            <w:pPr>
              <w:spacing w:line="100" w:lineRule="atLeast"/>
              <w:rPr>
                <w:rFonts w:ascii="宋体" w:hAnsi="宋体"/>
                <w:color w:val="auto"/>
              </w:rPr>
            </w:pPr>
            <w:r>
              <w:rPr>
                <w:rFonts w:hint="eastAsia" w:ascii="宋体" w:hAnsi="宋体"/>
                <w:color w:val="auto"/>
              </w:rPr>
              <w:t>动态平板探测器要求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4.2.1</w:t>
            </w:r>
          </w:p>
        </w:tc>
        <w:tc>
          <w:tcPr>
            <w:tcW w:w="7013" w:type="dxa"/>
            <w:gridSpan w:val="2"/>
            <w:shd w:val="clear" w:color="auto" w:fill="auto"/>
            <w:vAlign w:val="center"/>
          </w:tcPr>
          <w:p>
            <w:pPr>
              <w:spacing w:line="100" w:lineRule="atLeast"/>
              <w:rPr>
                <w:rFonts w:asciiTheme="minorEastAsia" w:hAnsiTheme="minorEastAsia" w:cstheme="minorEastAsia"/>
                <w:color w:val="auto"/>
              </w:rPr>
            </w:pPr>
            <w:r>
              <w:rPr>
                <w:rFonts w:hint="eastAsia" w:ascii="宋体" w:hAnsi="宋体"/>
                <w:color w:val="auto"/>
              </w:rPr>
              <w:t>探测器结构：</w:t>
            </w:r>
            <w:r>
              <w:rPr>
                <w:rFonts w:hint="eastAsia" w:ascii="宋体" w:hAnsi="宋体" w:cs="宋体"/>
                <w:b/>
                <w:bCs/>
                <w:color w:val="auto"/>
              </w:rPr>
              <w:t>非晶硅CsI动态平板探测器；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4.2.2</w:t>
            </w:r>
          </w:p>
        </w:tc>
        <w:tc>
          <w:tcPr>
            <w:tcW w:w="7013" w:type="dxa"/>
            <w:gridSpan w:val="2"/>
            <w:shd w:val="clear" w:color="auto" w:fill="auto"/>
            <w:vAlign w:val="center"/>
          </w:tcPr>
          <w:p>
            <w:pPr>
              <w:spacing w:line="100" w:lineRule="atLeast"/>
              <w:rPr>
                <w:rFonts w:asciiTheme="minorEastAsia" w:hAnsiTheme="minorEastAsia" w:cstheme="minorEastAsia"/>
                <w:color w:val="auto"/>
              </w:rPr>
            </w:pPr>
            <w:r>
              <w:rPr>
                <w:rFonts w:hint="eastAsia" w:ascii="宋体" w:hAnsi="宋体"/>
                <w:color w:val="auto"/>
              </w:rPr>
              <w:t>采集像素矩阵：≥3000×3000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4.2.3</w:t>
            </w:r>
          </w:p>
        </w:tc>
        <w:tc>
          <w:tcPr>
            <w:tcW w:w="7013" w:type="dxa"/>
            <w:gridSpan w:val="2"/>
            <w:shd w:val="clear" w:color="auto" w:fill="auto"/>
            <w:vAlign w:val="center"/>
          </w:tcPr>
          <w:p>
            <w:pPr>
              <w:autoSpaceDN w:val="0"/>
              <w:spacing w:line="360" w:lineRule="auto"/>
              <w:textAlignment w:val="center"/>
              <w:rPr>
                <w:rFonts w:asciiTheme="minorEastAsia" w:hAnsiTheme="minorEastAsia" w:cstheme="minorEastAsia"/>
                <w:color w:val="auto"/>
              </w:rPr>
            </w:pPr>
            <w:r>
              <w:rPr>
                <w:rFonts w:hint="eastAsia" w:ascii="宋体" w:hAnsi="宋体"/>
                <w:color w:val="auto"/>
              </w:rPr>
              <w:t>探测器有效成像尺寸：</w:t>
            </w:r>
            <w:r>
              <w:rPr>
                <w:rFonts w:hint="eastAsia" w:ascii="宋体" w:hAnsi="宋体" w:cs="宋体"/>
                <w:color w:val="auto"/>
              </w:rPr>
              <w:t>≥</w:t>
            </w:r>
            <w:r>
              <w:rPr>
                <w:rFonts w:hint="eastAsia" w:ascii="宋体" w:hAnsi="宋体"/>
                <w:color w:val="auto"/>
              </w:rPr>
              <w:t>17×17英寸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4.2.4</w:t>
            </w:r>
          </w:p>
        </w:tc>
        <w:tc>
          <w:tcPr>
            <w:tcW w:w="7013" w:type="dxa"/>
            <w:gridSpan w:val="2"/>
            <w:shd w:val="clear" w:color="auto" w:fill="auto"/>
            <w:vAlign w:val="center"/>
          </w:tcPr>
          <w:p>
            <w:pPr>
              <w:ind w:left="745" w:hanging="720" w:hangingChars="300"/>
              <w:rPr>
                <w:rFonts w:ascii="宋体" w:hAnsi="宋体"/>
                <w:color w:val="auto"/>
              </w:rPr>
            </w:pPr>
            <w:r>
              <w:rPr>
                <w:rFonts w:hint="eastAsia" w:ascii="宋体" w:hAnsi="宋体"/>
                <w:color w:val="auto"/>
              </w:rPr>
              <w:t>动态透视采集像素矩阵：≥</w:t>
            </w:r>
            <w:r>
              <w:rPr>
                <w:rFonts w:ascii="宋体" w:hAnsi="宋体"/>
                <w:color w:val="auto"/>
              </w:rPr>
              <w:t>1500</w:t>
            </w:r>
            <w:r>
              <w:rPr>
                <w:rFonts w:hint="eastAsia" w:ascii="宋体" w:hAnsi="宋体"/>
                <w:color w:val="auto"/>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4.2.5</w:t>
            </w:r>
          </w:p>
        </w:tc>
        <w:tc>
          <w:tcPr>
            <w:tcW w:w="7013" w:type="dxa"/>
            <w:gridSpan w:val="2"/>
            <w:shd w:val="clear" w:color="auto" w:fill="auto"/>
            <w:vAlign w:val="center"/>
          </w:tcPr>
          <w:p>
            <w:pPr>
              <w:ind w:left="745" w:hanging="720" w:hangingChars="300"/>
              <w:rPr>
                <w:rFonts w:ascii="宋体" w:hAnsi="宋体"/>
                <w:color w:val="auto"/>
              </w:rPr>
            </w:pPr>
            <w:r>
              <w:rPr>
                <w:rFonts w:hint="eastAsia" w:ascii="宋体" w:hAnsi="宋体"/>
                <w:color w:val="auto"/>
              </w:rPr>
              <w:t>图像输出灰阶：≥16bit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4.2.6</w:t>
            </w:r>
          </w:p>
        </w:tc>
        <w:tc>
          <w:tcPr>
            <w:tcW w:w="7013" w:type="dxa"/>
            <w:gridSpan w:val="2"/>
            <w:shd w:val="clear" w:color="auto" w:fill="auto"/>
            <w:vAlign w:val="center"/>
          </w:tcPr>
          <w:p>
            <w:pPr>
              <w:ind w:left="745" w:hanging="720" w:hangingChars="300"/>
              <w:rPr>
                <w:rFonts w:ascii="宋体" w:hAnsi="宋体"/>
                <w:color w:val="auto"/>
              </w:rPr>
            </w:pPr>
            <w:r>
              <w:rPr>
                <w:rFonts w:hint="eastAsia" w:ascii="宋体" w:hAnsi="宋体"/>
                <w:color w:val="auto"/>
              </w:rPr>
              <w:t>可进行动态数字化透视及静态拍片、且动静态可相互转换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4.2.7</w:t>
            </w:r>
          </w:p>
        </w:tc>
        <w:tc>
          <w:tcPr>
            <w:tcW w:w="7013" w:type="dxa"/>
            <w:gridSpan w:val="2"/>
            <w:shd w:val="clear" w:color="auto" w:fill="auto"/>
            <w:vAlign w:val="center"/>
          </w:tcPr>
          <w:p>
            <w:pPr>
              <w:rPr>
                <w:rFonts w:asciiTheme="minorEastAsia" w:hAnsiTheme="minorEastAsia" w:cstheme="minorEastAsia"/>
                <w:color w:val="auto"/>
              </w:rPr>
            </w:pPr>
            <w:r>
              <w:rPr>
                <w:rFonts w:hint="eastAsia" w:ascii="宋体" w:hAnsi="宋体" w:cs="宋体"/>
                <w:color w:val="auto"/>
              </w:rPr>
              <w:t>平板探测器是无线可移动的，而且可在机/在线充电，不需要拿出平板或拆下电池充电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4.3</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宋体" w:hAnsi="宋体"/>
                <w:b/>
                <w:color w:val="auto"/>
              </w:rPr>
              <w:t>静态</w:t>
            </w:r>
            <w:r>
              <w:rPr>
                <w:rFonts w:ascii="宋体" w:hAnsi="宋体"/>
                <w:b/>
                <w:color w:val="auto"/>
              </w:rPr>
              <w:t>平板探测器</w:t>
            </w:r>
            <w:r>
              <w:rPr>
                <w:rFonts w:hint="eastAsia" w:ascii="宋体" w:hAnsi="宋体" w:cs="宋体"/>
                <w:b/>
                <w:bCs/>
                <w:color w:val="auto"/>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4.3.1</w:t>
            </w:r>
          </w:p>
        </w:tc>
        <w:tc>
          <w:tcPr>
            <w:tcW w:w="7013" w:type="dxa"/>
            <w:gridSpan w:val="2"/>
            <w:shd w:val="clear" w:color="auto" w:fill="auto"/>
            <w:vAlign w:val="center"/>
          </w:tcPr>
          <w:p>
            <w:pPr>
              <w:ind w:left="745" w:hanging="720" w:hangingChars="300"/>
              <w:rPr>
                <w:rFonts w:ascii="宋体" w:hAnsi="宋体"/>
                <w:color w:val="auto"/>
                <w:szCs w:val="21"/>
              </w:rPr>
            </w:pPr>
            <w:r>
              <w:rPr>
                <w:rFonts w:hint="eastAsia" w:ascii="宋体" w:hAnsi="宋体" w:cs="宋体"/>
                <w:color w:val="auto"/>
              </w:rPr>
              <w:t>非晶硅</w:t>
            </w:r>
            <w:r>
              <w:rPr>
                <w:rFonts w:ascii="宋体" w:hAnsi="宋体" w:cs="宋体"/>
                <w:color w:val="auto"/>
              </w:rPr>
              <w:t>CsI</w:t>
            </w:r>
            <w:r>
              <w:rPr>
                <w:rFonts w:hint="eastAsia" w:ascii="宋体" w:hAnsi="宋体" w:cs="宋体"/>
                <w:color w:val="auto"/>
              </w:rPr>
              <w:t>整板数字探测器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4.3.2</w:t>
            </w:r>
          </w:p>
        </w:tc>
        <w:tc>
          <w:tcPr>
            <w:tcW w:w="7013" w:type="dxa"/>
            <w:gridSpan w:val="2"/>
            <w:shd w:val="clear" w:color="auto" w:fill="auto"/>
            <w:vAlign w:val="center"/>
          </w:tcPr>
          <w:p>
            <w:pPr>
              <w:ind w:left="748" w:hanging="723" w:hangingChars="300"/>
              <w:rPr>
                <w:rFonts w:ascii="宋体" w:hAnsi="宋体"/>
                <w:color w:val="auto"/>
                <w:szCs w:val="21"/>
              </w:rPr>
            </w:pPr>
            <w:r>
              <w:rPr>
                <w:rFonts w:hint="eastAsia" w:ascii="宋体" w:hAnsi="宋体" w:cs="宋体"/>
                <w:b/>
                <w:bCs/>
                <w:color w:val="auto"/>
              </w:rPr>
              <w:t>采集像素矩阵：≥4000×4000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4.3.3</w:t>
            </w:r>
          </w:p>
        </w:tc>
        <w:tc>
          <w:tcPr>
            <w:tcW w:w="7013" w:type="dxa"/>
            <w:gridSpan w:val="2"/>
            <w:shd w:val="clear" w:color="auto" w:fill="auto"/>
            <w:vAlign w:val="center"/>
          </w:tcPr>
          <w:p>
            <w:pPr>
              <w:ind w:left="745" w:hanging="720" w:hangingChars="300"/>
              <w:rPr>
                <w:rFonts w:ascii="宋体" w:hAnsi="宋体"/>
                <w:color w:val="auto"/>
                <w:szCs w:val="21"/>
              </w:rPr>
            </w:pPr>
            <w:r>
              <w:rPr>
                <w:rFonts w:hint="eastAsia" w:ascii="宋体" w:hAnsi="宋体"/>
                <w:color w:val="auto"/>
              </w:rPr>
              <w:t>探测器有效成像尺寸：</w:t>
            </w:r>
            <w:r>
              <w:rPr>
                <w:rFonts w:hint="eastAsia" w:ascii="宋体" w:hAnsi="宋体" w:cs="宋体"/>
                <w:color w:val="auto"/>
              </w:rPr>
              <w:t>≥</w:t>
            </w:r>
            <w:r>
              <w:rPr>
                <w:rFonts w:hint="eastAsia" w:ascii="宋体" w:hAnsi="宋体"/>
                <w:color w:val="auto"/>
              </w:rPr>
              <w:t>17×17英寸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4.3.4</w:t>
            </w:r>
          </w:p>
        </w:tc>
        <w:tc>
          <w:tcPr>
            <w:tcW w:w="7013" w:type="dxa"/>
            <w:gridSpan w:val="2"/>
            <w:shd w:val="clear" w:color="auto" w:fill="auto"/>
            <w:vAlign w:val="center"/>
          </w:tcPr>
          <w:p>
            <w:pPr>
              <w:ind w:left="745" w:hanging="720" w:hangingChars="300"/>
              <w:rPr>
                <w:rFonts w:ascii="宋体" w:hAnsi="宋体"/>
                <w:color w:val="auto"/>
                <w:szCs w:val="21"/>
              </w:rPr>
            </w:pPr>
            <w:r>
              <w:rPr>
                <w:rFonts w:hint="eastAsia" w:ascii="宋体" w:hAnsi="宋体"/>
                <w:color w:val="auto"/>
              </w:rPr>
              <w:t>摄影空间分辨率：≥4.5 Lp/mm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4.3.5</w:t>
            </w:r>
          </w:p>
        </w:tc>
        <w:tc>
          <w:tcPr>
            <w:tcW w:w="7013" w:type="dxa"/>
            <w:gridSpan w:val="2"/>
            <w:shd w:val="clear" w:color="auto" w:fill="auto"/>
            <w:vAlign w:val="center"/>
          </w:tcPr>
          <w:p>
            <w:pPr>
              <w:ind w:left="745" w:hanging="720" w:hangingChars="300"/>
              <w:rPr>
                <w:rFonts w:ascii="宋体" w:hAnsi="宋体"/>
                <w:color w:val="auto"/>
                <w:szCs w:val="21"/>
              </w:rPr>
            </w:pPr>
            <w:r>
              <w:rPr>
                <w:rFonts w:hint="eastAsia" w:ascii="宋体" w:hAnsi="宋体" w:cs="宋体"/>
                <w:color w:val="auto"/>
              </w:rPr>
              <w:t>图像输出灰阶：≥16b</w:t>
            </w:r>
            <w:r>
              <w:rPr>
                <w:rFonts w:ascii="宋体" w:hAnsi="宋体" w:cs="宋体"/>
                <w:color w:val="auto"/>
              </w:rPr>
              <w:t>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★4.3.6</w:t>
            </w:r>
          </w:p>
        </w:tc>
        <w:tc>
          <w:tcPr>
            <w:tcW w:w="7013" w:type="dxa"/>
            <w:gridSpan w:val="2"/>
            <w:shd w:val="clear" w:color="auto" w:fill="auto"/>
            <w:vAlign w:val="center"/>
          </w:tcPr>
          <w:p>
            <w:pPr>
              <w:rPr>
                <w:rFonts w:ascii="宋体" w:hAnsi="宋体"/>
                <w:color w:val="auto"/>
                <w:szCs w:val="21"/>
              </w:rPr>
            </w:pPr>
            <w:r>
              <w:rPr>
                <w:rFonts w:hint="eastAsia" w:ascii="宋体" w:hAnsi="宋体" w:cs="宋体"/>
                <w:b/>
                <w:bCs/>
                <w:color w:val="auto"/>
              </w:rPr>
              <w:t>像素尺寸：≤100μm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4.3.7</w:t>
            </w:r>
          </w:p>
        </w:tc>
        <w:tc>
          <w:tcPr>
            <w:tcW w:w="7013" w:type="dxa"/>
            <w:gridSpan w:val="2"/>
            <w:shd w:val="clear" w:color="auto" w:fill="auto"/>
            <w:vAlign w:val="center"/>
          </w:tcPr>
          <w:p>
            <w:pPr>
              <w:rPr>
                <w:rFonts w:ascii="宋体" w:hAnsi="宋体"/>
                <w:color w:val="auto"/>
                <w:szCs w:val="21"/>
              </w:rPr>
            </w:pPr>
            <w:r>
              <w:rPr>
                <w:rFonts w:hint="eastAsia" w:ascii="宋体" w:hAnsi="宋体" w:cs="宋体"/>
                <w:color w:val="auto"/>
              </w:rPr>
              <w:t>成像时间≤7S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4.3.8</w:t>
            </w:r>
          </w:p>
        </w:tc>
        <w:tc>
          <w:tcPr>
            <w:tcW w:w="7013" w:type="dxa"/>
            <w:gridSpan w:val="2"/>
            <w:shd w:val="clear" w:color="auto" w:fill="auto"/>
            <w:vAlign w:val="center"/>
          </w:tcPr>
          <w:p>
            <w:pPr>
              <w:spacing w:line="360" w:lineRule="auto"/>
              <w:rPr>
                <w:rFonts w:ascii="宋体" w:hAnsi="宋体"/>
                <w:color w:val="auto"/>
                <w:szCs w:val="21"/>
              </w:rPr>
            </w:pPr>
            <w:r>
              <w:rPr>
                <w:rFonts w:hint="eastAsia" w:ascii="宋体" w:hAnsi="宋体" w:cs="宋体"/>
                <w:color w:val="auto"/>
              </w:rPr>
              <w:t>图像传输</w:t>
            </w:r>
            <w:r>
              <w:rPr>
                <w:rFonts w:ascii="宋体" w:hAnsi="宋体" w:cs="宋体"/>
                <w:color w:val="auto"/>
              </w:rPr>
              <w:t>方式：无线</w:t>
            </w:r>
            <w:r>
              <w:rPr>
                <w:rFonts w:hint="eastAsia" w:ascii="宋体" w:hAnsi="宋体" w:cs="宋体"/>
                <w:color w:val="auto"/>
              </w:rPr>
              <w:t>或有线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4.3.9</w:t>
            </w:r>
          </w:p>
        </w:tc>
        <w:tc>
          <w:tcPr>
            <w:tcW w:w="7013" w:type="dxa"/>
            <w:gridSpan w:val="2"/>
            <w:shd w:val="clear" w:color="auto" w:fill="auto"/>
            <w:vAlign w:val="center"/>
          </w:tcPr>
          <w:p>
            <w:pPr>
              <w:rPr>
                <w:rFonts w:ascii="宋体" w:hAnsi="宋体"/>
                <w:color w:val="auto"/>
                <w:szCs w:val="21"/>
              </w:rPr>
            </w:pPr>
            <w:r>
              <w:rPr>
                <w:rFonts w:hint="eastAsia" w:ascii="宋体" w:hAnsi="宋体" w:cs="宋体"/>
                <w:color w:val="auto"/>
              </w:rPr>
              <w:t>平板探测器是无线可移动的，而且可在机/在线充电，</w:t>
            </w:r>
            <w:r>
              <w:rPr>
                <w:rFonts w:ascii="宋体" w:hAnsi="宋体" w:cs="宋体"/>
                <w:color w:val="auto"/>
              </w:rPr>
              <w:t>不需要</w:t>
            </w:r>
            <w:r>
              <w:rPr>
                <w:rFonts w:hint="eastAsia" w:ascii="宋体" w:hAnsi="宋体" w:cs="宋体"/>
                <w:color w:val="auto"/>
              </w:rPr>
              <w:t>拿出平板或拆下电池充电；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4.4</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探测器供电方式为锂离子电容技术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4.5</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探测器可放置于床面或床外做无滤线栅拍摄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4.6</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具备平板探测器在线充电技术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4.7</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图像预览时间：≤3秒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000000" w:fill="E6E6E6"/>
            <w:vAlign w:val="center"/>
          </w:tcPr>
          <w:p>
            <w:pPr>
              <w:snapToGrid w:val="0"/>
              <w:spacing w:line="360" w:lineRule="auto"/>
              <w:jc w:val="center"/>
              <w:rPr>
                <w:rFonts w:asciiTheme="minorEastAsia" w:hAnsiTheme="minorEastAsia" w:cstheme="minorEastAsia"/>
                <w:b/>
                <w:color w:val="000000"/>
              </w:rPr>
            </w:pPr>
            <w:r>
              <w:rPr>
                <w:rFonts w:hint="eastAsia" w:asciiTheme="minorEastAsia" w:hAnsiTheme="minorEastAsia" w:cstheme="minorEastAsia"/>
                <w:b/>
                <w:color w:val="000000"/>
              </w:rPr>
              <w:t>5</w:t>
            </w:r>
          </w:p>
        </w:tc>
        <w:tc>
          <w:tcPr>
            <w:tcW w:w="7013" w:type="dxa"/>
            <w:gridSpan w:val="2"/>
            <w:shd w:val="clear" w:color="000000" w:fill="E6E6E6"/>
          </w:tcPr>
          <w:p>
            <w:pPr>
              <w:snapToGrid w:val="0"/>
              <w:spacing w:line="360" w:lineRule="auto"/>
              <w:rPr>
                <w:rFonts w:asciiTheme="minorEastAsia" w:hAnsiTheme="minorEastAsia" w:cstheme="minorEastAsia"/>
                <w:b/>
                <w:color w:val="auto"/>
              </w:rPr>
            </w:pPr>
            <w:r>
              <w:rPr>
                <w:rFonts w:hint="eastAsia" w:asciiTheme="minorEastAsia" w:hAnsiTheme="minorEastAsia" w:cstheme="minorEastAsia"/>
                <w:b/>
                <w:color w:val="auto"/>
              </w:rPr>
              <w:t>胸片架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000000"/>
              </w:rPr>
            </w:pPr>
            <w:r>
              <w:rPr>
                <w:rFonts w:hint="eastAsia" w:asciiTheme="minorEastAsia" w:hAnsiTheme="minorEastAsia" w:cstheme="minorEastAsia"/>
                <w:color w:val="000000"/>
              </w:rPr>
              <w:t>5.1</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胸片架垂直运动行程：≥140cm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000000"/>
              </w:rPr>
            </w:pPr>
            <w:r>
              <w:rPr>
                <w:rFonts w:hint="eastAsia" w:asciiTheme="minorEastAsia" w:hAnsiTheme="minorEastAsia" w:cstheme="minorEastAsia"/>
                <w:color w:val="000000"/>
              </w:rPr>
              <w:t>5.2</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胸片架上探测器中心最低到地面高度：≤35cm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000000"/>
              </w:rPr>
            </w:pPr>
            <w:r>
              <w:rPr>
                <w:rFonts w:hint="eastAsia" w:asciiTheme="minorEastAsia" w:hAnsiTheme="minorEastAsia" w:cstheme="minorEastAsia"/>
                <w:color w:val="000000"/>
              </w:rPr>
              <w:t>5.3</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源像距：SID100～300cm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000000"/>
              </w:rPr>
            </w:pPr>
            <w:r>
              <w:rPr>
                <w:rFonts w:hint="eastAsia" w:asciiTheme="minorEastAsia" w:hAnsiTheme="minorEastAsia" w:cstheme="minorEastAsia"/>
                <w:color w:val="000000"/>
              </w:rPr>
              <w:t>5.4</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胸片架运动模式：电动+手动（双模式）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000000"/>
              </w:rPr>
            </w:pPr>
            <w:r>
              <w:rPr>
                <w:rFonts w:hint="eastAsia" w:asciiTheme="minorEastAsia" w:hAnsiTheme="minorEastAsia" w:cstheme="minorEastAsia"/>
                <w:color w:val="000000"/>
              </w:rPr>
              <w:t>5.5</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平板探测器可在-20度/+90度翻转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000000"/>
              </w:rPr>
            </w:pPr>
            <w:r>
              <w:rPr>
                <w:rFonts w:hint="eastAsia" w:asciiTheme="minorEastAsia" w:hAnsiTheme="minorEastAsia" w:cstheme="minorEastAsia"/>
                <w:color w:val="000000"/>
              </w:rPr>
              <w:t>5.6</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平板支持在胸片架上的片盒内在线充电，直接接触式，无需插拔电缆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000000"/>
              </w:rPr>
            </w:pPr>
            <w:r>
              <w:rPr>
                <w:rFonts w:hint="eastAsia" w:asciiTheme="minorEastAsia" w:hAnsiTheme="minorEastAsia" w:cstheme="minorEastAsia"/>
                <w:color w:val="000000"/>
              </w:rPr>
              <w:t>5.7</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可隔室遥控胸片架垂直升降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000000"/>
              </w:rPr>
            </w:pPr>
            <w:r>
              <w:rPr>
                <w:rFonts w:hint="eastAsia" w:asciiTheme="minorEastAsia" w:hAnsiTheme="minorEastAsia" w:cstheme="minorEastAsia"/>
                <w:color w:val="000000"/>
              </w:rPr>
              <w:t>5.8</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自动曝光控制电离室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000000"/>
              </w:rPr>
            </w:pPr>
            <w:r>
              <w:rPr>
                <w:rFonts w:hint="eastAsia" w:asciiTheme="minorEastAsia" w:hAnsiTheme="minorEastAsia" w:cstheme="minorEastAsia"/>
                <w:color w:val="000000"/>
              </w:rPr>
              <w:t>5.9</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平板在线充电指示灯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000000"/>
              </w:rPr>
            </w:pPr>
            <w:r>
              <w:rPr>
                <w:rFonts w:hint="eastAsia" w:asciiTheme="minorEastAsia" w:hAnsiTheme="minorEastAsia" w:cstheme="minorEastAsia"/>
                <w:color w:val="000000"/>
              </w:rPr>
              <w:t>5.10</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可拆卸滤线栅，无需工具即可轻松取出，提供证明照片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000000"/>
              </w:rPr>
            </w:pPr>
            <w:r>
              <w:rPr>
                <w:rFonts w:hint="eastAsia" w:asciiTheme="minorEastAsia" w:hAnsiTheme="minorEastAsia" w:cstheme="minorEastAsia"/>
                <w:color w:val="000000"/>
              </w:rPr>
              <w:t>5.11</w:t>
            </w:r>
          </w:p>
        </w:tc>
        <w:tc>
          <w:tcPr>
            <w:tcW w:w="7013" w:type="dxa"/>
            <w:gridSpan w:val="2"/>
            <w:shd w:val="clear" w:color="auto" w:fill="auto"/>
            <w:vAlign w:val="center"/>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具备三视野物理电离室，非软件AEC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b/>
                <w:color w:val="000000"/>
              </w:rPr>
            </w:pPr>
            <w:r>
              <w:rPr>
                <w:rFonts w:hint="eastAsia" w:asciiTheme="minorEastAsia" w:hAnsiTheme="minorEastAsia" w:cstheme="minorEastAsia"/>
                <w:b/>
                <w:color w:val="000000"/>
              </w:rPr>
              <w:t>6</w:t>
            </w:r>
          </w:p>
        </w:tc>
        <w:tc>
          <w:tcPr>
            <w:tcW w:w="7013" w:type="dxa"/>
            <w:gridSpan w:val="2"/>
            <w:shd w:val="clear" w:color="auto" w:fill="auto"/>
          </w:tcPr>
          <w:p>
            <w:pPr>
              <w:snapToGrid w:val="0"/>
              <w:spacing w:line="360" w:lineRule="auto"/>
              <w:rPr>
                <w:rFonts w:asciiTheme="minorEastAsia" w:hAnsiTheme="minorEastAsia" w:cstheme="minorEastAsia"/>
                <w:b/>
                <w:color w:val="auto"/>
              </w:rPr>
            </w:pPr>
            <w:r>
              <w:rPr>
                <w:rFonts w:hint="eastAsia" w:asciiTheme="minorEastAsia" w:hAnsiTheme="minorEastAsia" w:cstheme="minorEastAsia"/>
                <w:b/>
                <w:color w:val="auto"/>
              </w:rPr>
              <w:t>摄影床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000000"/>
              </w:rPr>
            </w:pPr>
            <w:r>
              <w:rPr>
                <w:rFonts w:hint="eastAsia" w:asciiTheme="minorEastAsia" w:hAnsiTheme="minorEastAsia" w:cstheme="minorEastAsia"/>
                <w:color w:val="000000"/>
              </w:rPr>
              <w:t>6.1</w:t>
            </w:r>
          </w:p>
        </w:tc>
        <w:tc>
          <w:tcPr>
            <w:tcW w:w="7013" w:type="dxa"/>
            <w:gridSpan w:val="2"/>
            <w:shd w:val="clear" w:color="auto" w:fill="auto"/>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床面板外形尺寸：≥800mm*2300mm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000000"/>
              </w:rPr>
            </w:pPr>
            <w:r>
              <w:rPr>
                <w:rFonts w:hint="eastAsia" w:asciiTheme="minorEastAsia" w:hAnsiTheme="minorEastAsia" w:cstheme="minorEastAsia"/>
                <w:color w:val="000000"/>
              </w:rPr>
              <w:t>6.2</w:t>
            </w:r>
          </w:p>
        </w:tc>
        <w:tc>
          <w:tcPr>
            <w:tcW w:w="7013" w:type="dxa"/>
            <w:gridSpan w:val="2"/>
            <w:shd w:val="clear" w:color="auto" w:fill="auto"/>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床面纵向移动范围：≥± 12cm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000000"/>
              </w:rPr>
            </w:pPr>
            <w:r>
              <w:rPr>
                <w:rFonts w:hint="eastAsia" w:asciiTheme="minorEastAsia" w:hAnsiTheme="minorEastAsia" w:cstheme="minorEastAsia"/>
                <w:color w:val="000000"/>
              </w:rPr>
              <w:t>6.3</w:t>
            </w:r>
          </w:p>
        </w:tc>
        <w:tc>
          <w:tcPr>
            <w:tcW w:w="7013" w:type="dxa"/>
            <w:gridSpan w:val="2"/>
            <w:shd w:val="clear" w:color="auto" w:fill="auto"/>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床面横向移动距离：≥±45cm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000000"/>
              </w:rPr>
            </w:pPr>
            <w:r>
              <w:rPr>
                <w:rFonts w:hint="eastAsia" w:asciiTheme="minorEastAsia" w:hAnsiTheme="minorEastAsia" w:cstheme="minorEastAsia"/>
                <w:color w:val="000000"/>
              </w:rPr>
              <w:t>6.4</w:t>
            </w:r>
          </w:p>
        </w:tc>
        <w:tc>
          <w:tcPr>
            <w:tcW w:w="7013" w:type="dxa"/>
            <w:gridSpan w:val="2"/>
            <w:shd w:val="clear" w:color="auto" w:fill="auto"/>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床面最大承重：≥250kg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000000"/>
              </w:rPr>
            </w:pPr>
            <w:r>
              <w:rPr>
                <w:rFonts w:hint="eastAsia" w:asciiTheme="minorEastAsia" w:hAnsiTheme="minorEastAsia" w:cstheme="minorEastAsia"/>
                <w:color w:val="000000"/>
              </w:rPr>
              <w:t>6.5</w:t>
            </w:r>
          </w:p>
        </w:tc>
        <w:tc>
          <w:tcPr>
            <w:tcW w:w="7013" w:type="dxa"/>
            <w:gridSpan w:val="2"/>
            <w:shd w:val="clear" w:color="auto" w:fill="auto"/>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平板托盘运动模式：手电一体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color w:val="000000"/>
              </w:rPr>
            </w:pPr>
            <w:r>
              <w:rPr>
                <w:rFonts w:hint="eastAsia" w:asciiTheme="minorEastAsia" w:hAnsiTheme="minorEastAsia" w:cstheme="minorEastAsia"/>
                <w:color w:val="000000"/>
              </w:rPr>
              <w:t>6.6</w:t>
            </w:r>
          </w:p>
        </w:tc>
        <w:tc>
          <w:tcPr>
            <w:tcW w:w="7013" w:type="dxa"/>
            <w:gridSpan w:val="2"/>
            <w:shd w:val="clear" w:color="auto" w:fill="auto"/>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平板托盘移动范围：≥340mm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b/>
                <w:color w:val="FF0000"/>
              </w:rPr>
            </w:pPr>
            <w:r>
              <w:rPr>
                <w:rFonts w:hint="eastAsia" w:asciiTheme="minorEastAsia" w:hAnsiTheme="minorEastAsia" w:cstheme="minorEastAsia"/>
                <w:b/>
                <w:color w:val="auto"/>
              </w:rPr>
              <w:t>7</w:t>
            </w:r>
          </w:p>
        </w:tc>
        <w:tc>
          <w:tcPr>
            <w:tcW w:w="7013" w:type="dxa"/>
            <w:gridSpan w:val="2"/>
            <w:shd w:val="clear" w:color="auto" w:fill="auto"/>
          </w:tcPr>
          <w:p>
            <w:pPr>
              <w:snapToGrid w:val="0"/>
              <w:spacing w:line="360" w:lineRule="auto"/>
              <w:rPr>
                <w:rFonts w:asciiTheme="minorEastAsia" w:hAnsiTheme="minorEastAsia" w:cstheme="minorEastAsia"/>
                <w:b/>
                <w:color w:val="auto"/>
              </w:rPr>
            </w:pPr>
            <w:r>
              <w:rPr>
                <w:rFonts w:hint="eastAsia" w:asciiTheme="minorEastAsia" w:hAnsiTheme="minorEastAsia" w:cstheme="minorEastAsia"/>
                <w:b/>
                <w:color w:val="auto"/>
              </w:rPr>
              <w:t>全自动一键摆位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101" w:type="dxa"/>
            <w:shd w:val="clear" w:color="auto" w:fill="auto"/>
            <w:vAlign w:val="center"/>
          </w:tcPr>
          <w:p>
            <w:pPr>
              <w:snapToGrid w:val="0"/>
              <w:spacing w:line="360" w:lineRule="auto"/>
              <w:jc w:val="center"/>
              <w:rPr>
                <w:rFonts w:asciiTheme="minorEastAsia" w:hAnsiTheme="minorEastAsia" w:cstheme="minorEastAsia"/>
                <w:b/>
                <w:bCs/>
              </w:rPr>
            </w:pPr>
            <w:r>
              <w:rPr>
                <w:rFonts w:hint="eastAsia" w:asciiTheme="minorEastAsia" w:hAnsiTheme="minorEastAsia" w:cstheme="minorEastAsia"/>
                <w:b/>
                <w:bCs/>
              </w:rPr>
              <w:t>8</w:t>
            </w:r>
          </w:p>
        </w:tc>
        <w:tc>
          <w:tcPr>
            <w:tcW w:w="7013" w:type="dxa"/>
            <w:gridSpan w:val="2"/>
            <w:shd w:val="clear" w:color="auto" w:fill="auto"/>
          </w:tcPr>
          <w:p>
            <w:pPr>
              <w:snapToGrid w:val="0"/>
              <w:spacing w:line="360" w:lineRule="auto"/>
              <w:rPr>
                <w:rFonts w:asciiTheme="minorEastAsia" w:hAnsiTheme="minorEastAsia" w:cstheme="minorEastAsia"/>
                <w:color w:val="auto"/>
              </w:rPr>
            </w:pPr>
            <w:r>
              <w:rPr>
                <w:rFonts w:hint="eastAsia" w:asciiTheme="minorEastAsia" w:hAnsiTheme="minorEastAsia" w:cstheme="minorEastAsia"/>
                <w:b/>
                <w:bCs/>
                <w:color w:val="auto"/>
              </w:rPr>
              <w:t>可视化操作功能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8.1</w:t>
            </w:r>
          </w:p>
        </w:tc>
        <w:tc>
          <w:tcPr>
            <w:tcW w:w="7013" w:type="dxa"/>
            <w:gridSpan w:val="2"/>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支持图像采集工作站实时显示患者摆位的视频画面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8.2</w:t>
            </w:r>
          </w:p>
        </w:tc>
        <w:tc>
          <w:tcPr>
            <w:tcW w:w="7013" w:type="dxa"/>
            <w:gridSpan w:val="2"/>
            <w:shd w:val="clear" w:color="auto" w:fill="auto"/>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支持在患者实时摆位视频中隔室光野范围调整，并显示覆盖人体区域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8.3</w:t>
            </w:r>
          </w:p>
        </w:tc>
        <w:tc>
          <w:tcPr>
            <w:tcW w:w="7013" w:type="dxa"/>
            <w:gridSpan w:val="2"/>
            <w:shd w:val="clear" w:color="auto" w:fill="auto"/>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支持隔室长骨拼接范围设置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8.4</w:t>
            </w:r>
          </w:p>
        </w:tc>
        <w:tc>
          <w:tcPr>
            <w:tcW w:w="7013" w:type="dxa"/>
            <w:gridSpan w:val="2"/>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支持实时显示AEC电离室覆盖人体区域及激活状态显示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101" w:type="dxa"/>
            <w:shd w:val="clear" w:color="auto" w:fill="auto"/>
            <w:vAlign w:val="center"/>
          </w:tcPr>
          <w:p>
            <w:pPr>
              <w:snapToGrid w:val="0"/>
              <w:spacing w:line="360" w:lineRule="auto"/>
              <w:jc w:val="center"/>
              <w:rPr>
                <w:rFonts w:asciiTheme="minorEastAsia" w:hAnsiTheme="minorEastAsia" w:cstheme="minorEastAsia"/>
                <w:b/>
                <w:bCs/>
              </w:rPr>
            </w:pPr>
            <w:r>
              <w:rPr>
                <w:rFonts w:hint="eastAsia" w:asciiTheme="minorEastAsia" w:hAnsiTheme="minorEastAsia" w:cstheme="minorEastAsia"/>
                <w:b/>
                <w:bCs/>
              </w:rPr>
              <w:t>9</w:t>
            </w:r>
          </w:p>
        </w:tc>
        <w:tc>
          <w:tcPr>
            <w:tcW w:w="7013" w:type="dxa"/>
            <w:gridSpan w:val="2"/>
            <w:shd w:val="clear" w:color="auto" w:fill="auto"/>
          </w:tcPr>
          <w:p>
            <w:pPr>
              <w:snapToGrid w:val="0"/>
              <w:spacing w:line="360" w:lineRule="auto"/>
              <w:rPr>
                <w:rFonts w:asciiTheme="minorEastAsia" w:hAnsiTheme="minorEastAsia" w:cstheme="minorEastAsia"/>
                <w:b/>
                <w:bCs/>
                <w:color w:val="auto"/>
              </w:rPr>
            </w:pPr>
            <w:r>
              <w:rPr>
                <w:rFonts w:hint="eastAsia" w:asciiTheme="minorEastAsia" w:hAnsiTheme="minorEastAsia" w:cstheme="minorEastAsia"/>
                <w:b/>
                <w:bCs/>
                <w:color w:val="auto"/>
              </w:rPr>
              <w:t>长骨拼接功能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★9.1</w:t>
            </w:r>
          </w:p>
        </w:tc>
        <w:tc>
          <w:tcPr>
            <w:tcW w:w="7013" w:type="dxa"/>
            <w:gridSpan w:val="2"/>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具备设备整机原厂立位和卧位长骨拼接功能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9.2</w:t>
            </w:r>
          </w:p>
        </w:tc>
        <w:tc>
          <w:tcPr>
            <w:tcW w:w="7013" w:type="dxa"/>
            <w:gridSpan w:val="2"/>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采用球管旋转式采集模式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9.3</w:t>
            </w:r>
          </w:p>
        </w:tc>
        <w:tc>
          <w:tcPr>
            <w:tcW w:w="7013" w:type="dxa"/>
            <w:gridSpan w:val="2"/>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立位拼接最大拍摄范围：≥140cm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9.4</w:t>
            </w:r>
          </w:p>
        </w:tc>
        <w:tc>
          <w:tcPr>
            <w:tcW w:w="7013" w:type="dxa"/>
            <w:gridSpan w:val="2"/>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卧位拼接最大拍摄范围：≥90cm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9.5</w:t>
            </w:r>
          </w:p>
        </w:tc>
        <w:tc>
          <w:tcPr>
            <w:tcW w:w="7013" w:type="dxa"/>
            <w:gridSpan w:val="2"/>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具备立位专用拼接支架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9.6</w:t>
            </w:r>
          </w:p>
        </w:tc>
        <w:tc>
          <w:tcPr>
            <w:tcW w:w="7013" w:type="dxa"/>
            <w:gridSpan w:val="2"/>
            <w:shd w:val="clear" w:color="auto" w:fill="auto"/>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具备立位拼接支架上用于辅助患者站立的扶手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9.7</w:t>
            </w:r>
          </w:p>
        </w:tc>
        <w:tc>
          <w:tcPr>
            <w:tcW w:w="7013" w:type="dxa"/>
            <w:gridSpan w:val="2"/>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扶手运动范围：≥55cm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9.8</w:t>
            </w:r>
          </w:p>
        </w:tc>
        <w:tc>
          <w:tcPr>
            <w:tcW w:w="7013" w:type="dxa"/>
            <w:gridSpan w:val="2"/>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立位拼接支架底座承重≥135kg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D8D8D8" w:themeFill="background1" w:themeFillShade="D9"/>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10</w:t>
            </w:r>
          </w:p>
        </w:tc>
        <w:tc>
          <w:tcPr>
            <w:tcW w:w="7013" w:type="dxa"/>
            <w:gridSpan w:val="2"/>
            <w:shd w:val="clear" w:color="auto" w:fill="D8D8D8" w:themeFill="background1" w:themeFillShade="D9"/>
            <w:vAlign w:val="center"/>
          </w:tcPr>
          <w:p>
            <w:pPr>
              <w:snapToGrid w:val="0"/>
              <w:spacing w:line="360" w:lineRule="auto"/>
              <w:rPr>
                <w:rFonts w:asciiTheme="minorEastAsia" w:hAnsiTheme="minorEastAsia" w:cstheme="minorEastAsia"/>
                <w:b/>
                <w:color w:val="auto"/>
              </w:rPr>
            </w:pPr>
            <w:r>
              <w:rPr>
                <w:rFonts w:hint="eastAsia" w:asciiTheme="minorEastAsia" w:hAnsiTheme="minorEastAsia" w:cstheme="minorEastAsia"/>
                <w:b/>
                <w:color w:val="auto"/>
              </w:rPr>
              <w:t>近台操作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10.1</w:t>
            </w:r>
          </w:p>
        </w:tc>
        <w:tc>
          <w:tcPr>
            <w:tcW w:w="7013" w:type="dxa"/>
            <w:gridSpan w:val="2"/>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近台操控彩色触摸屏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10.2</w:t>
            </w:r>
          </w:p>
        </w:tc>
        <w:tc>
          <w:tcPr>
            <w:tcW w:w="7013" w:type="dxa"/>
            <w:gridSpan w:val="2"/>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操控方式：电容式触摸屏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10.3</w:t>
            </w:r>
          </w:p>
        </w:tc>
        <w:tc>
          <w:tcPr>
            <w:tcW w:w="7013" w:type="dxa"/>
            <w:gridSpan w:val="2"/>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屏幕尺寸：≥9.5英寸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10.4</w:t>
            </w:r>
          </w:p>
        </w:tc>
        <w:tc>
          <w:tcPr>
            <w:tcW w:w="7013" w:type="dxa"/>
            <w:gridSpan w:val="2"/>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屏幕显示可依据重力方向自动调整显示的方向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10.5</w:t>
            </w:r>
          </w:p>
        </w:tc>
        <w:tc>
          <w:tcPr>
            <w:tcW w:w="7013" w:type="dxa"/>
            <w:gridSpan w:val="2"/>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可显示患者的详细登记信息、摆位引导图、SID数值、球管组件绕水平轴旋转角度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10.6</w:t>
            </w:r>
          </w:p>
        </w:tc>
        <w:tc>
          <w:tcPr>
            <w:tcW w:w="7013" w:type="dxa"/>
            <w:gridSpan w:val="2"/>
            <w:shd w:val="clear" w:color="auto" w:fill="auto"/>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可调整曝光参数（kV，mA，mAs等）、部位选择、体型选择、大小焦点快速切换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10.7</w:t>
            </w:r>
          </w:p>
        </w:tc>
        <w:tc>
          <w:tcPr>
            <w:tcW w:w="7013" w:type="dxa"/>
            <w:gridSpan w:val="2"/>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智能故障预判平台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b/>
                <w:bCs/>
              </w:rPr>
            </w:pPr>
            <w:r>
              <w:rPr>
                <w:rFonts w:hint="eastAsia" w:asciiTheme="minorEastAsia" w:hAnsiTheme="minorEastAsia" w:cstheme="minorEastAsia"/>
                <w:b/>
                <w:bCs/>
              </w:rPr>
              <w:t>11</w:t>
            </w:r>
          </w:p>
        </w:tc>
        <w:tc>
          <w:tcPr>
            <w:tcW w:w="7013" w:type="dxa"/>
            <w:gridSpan w:val="2"/>
            <w:shd w:val="clear" w:color="auto" w:fill="auto"/>
          </w:tcPr>
          <w:p>
            <w:pPr>
              <w:snapToGrid w:val="0"/>
              <w:spacing w:line="360" w:lineRule="auto"/>
              <w:rPr>
                <w:rFonts w:asciiTheme="minorEastAsia" w:hAnsiTheme="minorEastAsia" w:cstheme="minorEastAsia"/>
                <w:b/>
                <w:bCs/>
                <w:color w:val="auto"/>
              </w:rPr>
            </w:pPr>
            <w:r>
              <w:rPr>
                <w:rFonts w:hint="eastAsia" w:asciiTheme="minorEastAsia" w:hAnsiTheme="minorEastAsia" w:cstheme="minorEastAsia"/>
                <w:b/>
                <w:bCs/>
                <w:color w:val="auto"/>
              </w:rPr>
              <w:t>远程遥控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11.1</w:t>
            </w:r>
          </w:p>
        </w:tc>
        <w:tc>
          <w:tcPr>
            <w:tcW w:w="7013"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可遥控胸片架电动升降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11.2</w:t>
            </w:r>
          </w:p>
        </w:tc>
        <w:tc>
          <w:tcPr>
            <w:tcW w:w="7013"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可遥控限束器光野控制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11.3</w:t>
            </w:r>
          </w:p>
        </w:tc>
        <w:tc>
          <w:tcPr>
            <w:tcW w:w="7013"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供电电池类型：锂电池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11.4</w:t>
            </w:r>
          </w:p>
        </w:tc>
        <w:tc>
          <w:tcPr>
            <w:tcW w:w="7013"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待机时间≥8小时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11.5</w:t>
            </w:r>
          </w:p>
        </w:tc>
        <w:tc>
          <w:tcPr>
            <w:tcW w:w="7013"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充电形式：无线电磁感应式或更换电池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11.6</w:t>
            </w:r>
          </w:p>
        </w:tc>
        <w:tc>
          <w:tcPr>
            <w:tcW w:w="7013"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控制类型：无线射频遥控，非红外式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b/>
                <w:bCs/>
              </w:rPr>
            </w:pPr>
            <w:r>
              <w:rPr>
                <w:rFonts w:hint="eastAsia" w:asciiTheme="minorEastAsia" w:hAnsiTheme="minorEastAsia" w:cstheme="minorEastAsia"/>
                <w:b/>
                <w:bCs/>
              </w:rPr>
              <w:t>12</w:t>
            </w:r>
          </w:p>
        </w:tc>
        <w:tc>
          <w:tcPr>
            <w:tcW w:w="7013" w:type="dxa"/>
            <w:gridSpan w:val="2"/>
            <w:shd w:val="clear" w:color="auto" w:fill="auto"/>
          </w:tcPr>
          <w:p>
            <w:pPr>
              <w:snapToGrid w:val="0"/>
              <w:spacing w:line="360" w:lineRule="auto"/>
              <w:rPr>
                <w:rFonts w:asciiTheme="minorEastAsia" w:hAnsiTheme="minorEastAsia" w:cstheme="minorEastAsia"/>
                <w:b/>
                <w:bCs/>
                <w:color w:val="auto"/>
              </w:rPr>
            </w:pPr>
            <w:r>
              <w:rPr>
                <w:rFonts w:hint="eastAsia" w:asciiTheme="minorEastAsia" w:hAnsiTheme="minorEastAsia" w:cstheme="minorEastAsia"/>
                <w:b/>
                <w:bCs/>
                <w:color w:val="auto"/>
              </w:rPr>
              <w:t>操控台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12.1</w:t>
            </w:r>
          </w:p>
        </w:tc>
        <w:tc>
          <w:tcPr>
            <w:tcW w:w="7013"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主机工作站操作台内存≥8GB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12.2</w:t>
            </w:r>
          </w:p>
        </w:tc>
        <w:tc>
          <w:tcPr>
            <w:tcW w:w="7013"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主机工作站操作台硬盘≥1TB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12.3</w:t>
            </w:r>
          </w:p>
        </w:tc>
        <w:tc>
          <w:tcPr>
            <w:tcW w:w="7013"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图像文件存储容量≥20000幅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12.4</w:t>
            </w:r>
          </w:p>
        </w:tc>
        <w:tc>
          <w:tcPr>
            <w:tcW w:w="7013"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采集工作站显示器尺寸≥24英寸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12.5</w:t>
            </w:r>
          </w:p>
        </w:tc>
        <w:tc>
          <w:tcPr>
            <w:tcW w:w="7013"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采集工作站显示器分辨率≥1920×1200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12.6</w:t>
            </w:r>
          </w:p>
        </w:tc>
        <w:tc>
          <w:tcPr>
            <w:tcW w:w="7013"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对比度≥1000：1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12.7</w:t>
            </w:r>
          </w:p>
        </w:tc>
        <w:tc>
          <w:tcPr>
            <w:tcW w:w="7013" w:type="dxa"/>
            <w:gridSpan w:val="2"/>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rPr>
                <w:rFonts w:asciiTheme="minorEastAsia" w:hAnsiTheme="minorEastAsia" w:cstheme="minorEastAsia"/>
                <w:color w:val="auto"/>
              </w:rPr>
            </w:pPr>
            <w:r>
              <w:rPr>
                <w:rFonts w:hint="eastAsia" w:asciiTheme="minorEastAsia" w:hAnsiTheme="minorEastAsia" w:cstheme="minorEastAsia"/>
                <w:color w:val="auto"/>
              </w:rPr>
              <w:t>支持与RIS和HIS系统的集成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12.8</w:t>
            </w:r>
          </w:p>
        </w:tc>
        <w:tc>
          <w:tcPr>
            <w:tcW w:w="7013"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heme="minorEastAsia" w:hAnsiTheme="minorEastAsia" w:cstheme="minorEastAsia"/>
                <w:color w:val="auto"/>
              </w:rPr>
            </w:pPr>
            <w:r>
              <w:rPr>
                <w:rFonts w:hint="eastAsia" w:asciiTheme="minorEastAsia" w:hAnsiTheme="minorEastAsia" w:cstheme="minorEastAsia"/>
                <w:color w:val="auto"/>
              </w:rPr>
              <w:t>支持实时显示与检索患者信息；支持患者拍摄摆位指示图；支持自定义患者列表显示；支持检查不同状态显示与排序；支持显示球管热容量状态百分比、平板探测器电量百分比。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12.9</w:t>
            </w:r>
          </w:p>
        </w:tc>
        <w:tc>
          <w:tcPr>
            <w:tcW w:w="7013" w:type="dxa"/>
            <w:gridSpan w:val="2"/>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rPr>
                <w:rFonts w:asciiTheme="minorEastAsia" w:hAnsiTheme="minorEastAsia" w:cstheme="minorEastAsia"/>
              </w:rPr>
            </w:pPr>
            <w:r>
              <w:rPr>
                <w:rFonts w:hint="eastAsia" w:asciiTheme="minorEastAsia" w:hAnsiTheme="minorEastAsia" w:cstheme="minorEastAsia"/>
              </w:rPr>
              <w:t>支持患者、检查、序列、图像四级数据库信息管理；支持按照器官进行摄影检查；支持预定义拍摄参数与后期调整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12.10</w:t>
            </w:r>
          </w:p>
        </w:tc>
        <w:tc>
          <w:tcPr>
            <w:tcW w:w="7013"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heme="minorEastAsia" w:hAnsiTheme="minorEastAsia" w:cstheme="minorEastAsia"/>
              </w:rPr>
            </w:pPr>
            <w:r>
              <w:rPr>
                <w:rFonts w:hint="eastAsia" w:asciiTheme="minorEastAsia" w:hAnsiTheme="minorEastAsia" w:cstheme="minorEastAsia"/>
              </w:rPr>
              <w:t>根据年龄自动匹配成人或儿童拍摄协议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12.11</w:t>
            </w:r>
          </w:p>
        </w:tc>
        <w:tc>
          <w:tcPr>
            <w:tcW w:w="7013"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heme="minorEastAsia" w:hAnsiTheme="minorEastAsia" w:cstheme="minorEastAsia"/>
              </w:rPr>
            </w:pPr>
            <w:r>
              <w:rPr>
                <w:rFonts w:hint="eastAsia" w:asciiTheme="minorEastAsia" w:hAnsiTheme="minorEastAsia" w:cstheme="minorEastAsia"/>
              </w:rPr>
              <w:t>支持灰度处理与LUT调整；支持显示并调整灰阶直方图和输入输出曲线的相应关系；支持显示并调整组织均衡和噪声抑制等频率；支持按照限束器边界自动裁剪图像感兴趣区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12.12</w:t>
            </w:r>
          </w:p>
        </w:tc>
        <w:tc>
          <w:tcPr>
            <w:tcW w:w="7013" w:type="dxa"/>
            <w:gridSpan w:val="2"/>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rPr>
                <w:rFonts w:asciiTheme="minorEastAsia" w:hAnsiTheme="minorEastAsia" w:cstheme="minorEastAsia"/>
              </w:rPr>
            </w:pPr>
            <w:r>
              <w:rPr>
                <w:rFonts w:hint="eastAsia" w:asciiTheme="minorEastAsia" w:hAnsiTheme="minorEastAsia" w:cstheme="minorEastAsia"/>
              </w:rPr>
              <w:t>图像基本后处理功能，如图像预览、缩放、窗宽/窗位调整、标注、反色、翻转、旋转、输入文本、长度测量及校正、裁剪功能、感兴趣区域及角度测量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12.13</w:t>
            </w:r>
          </w:p>
        </w:tc>
        <w:tc>
          <w:tcPr>
            <w:tcW w:w="7013" w:type="dxa"/>
            <w:gridSpan w:val="2"/>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rPr>
                <w:rFonts w:asciiTheme="minorEastAsia" w:hAnsiTheme="minorEastAsia" w:cstheme="minorEastAsia"/>
              </w:rPr>
            </w:pPr>
            <w:r>
              <w:rPr>
                <w:rFonts w:hint="eastAsia" w:asciiTheme="minorEastAsia" w:hAnsiTheme="minorEastAsia" w:cstheme="minorEastAsia"/>
              </w:rPr>
              <w:t>支持DICOM3.0，包括：DICOM Send, DICOM Print, DICOM Storage commitment, DICOM Query/Retrieve   DICOM Worklist/MPPS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114" w:type="dxa"/>
            <w:gridSpan w:val="3"/>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b/>
                <w:color w:val="000000"/>
              </w:rPr>
              <w:t xml:space="preserve">三 </w:t>
            </w:r>
            <w:r>
              <w:rPr>
                <w:rFonts w:hint="eastAsia" w:asciiTheme="minorEastAsia" w:hAnsiTheme="minorEastAsia" w:cstheme="minorEastAsia"/>
                <w:b/>
              </w:rPr>
              <w:t>售后服务及其他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trPr>
        <w:tc>
          <w:tcPr>
            <w:tcW w:w="8114" w:type="dxa"/>
            <w:gridSpan w:val="3"/>
            <w:shd w:val="clear" w:color="auto" w:fill="auto"/>
            <w:vAlign w:val="center"/>
          </w:tcPr>
          <w:p>
            <w:pPr>
              <w:numPr>
                <w:ilvl w:val="0"/>
                <w:numId w:val="7"/>
              </w:numPr>
              <w:snapToGrid w:val="0"/>
              <w:spacing w:line="360" w:lineRule="auto"/>
            </w:pPr>
            <w:r>
              <w:rPr>
                <w:rFonts w:hint="eastAsia"/>
              </w:rPr>
              <w:t>具备远程维修诊断系统，免费开放故障代码</w:t>
            </w:r>
          </w:p>
          <w:p>
            <w:pPr>
              <w:snapToGrid w:val="0"/>
              <w:spacing w:line="360" w:lineRule="auto"/>
            </w:pPr>
            <w:r>
              <w:rPr>
                <w:rFonts w:hint="eastAsia"/>
              </w:rPr>
              <w:t>2.备件供应：国内有备件仓库，具备仓库地址，电话</w:t>
            </w:r>
          </w:p>
          <w:p>
            <w:pPr>
              <w:snapToGrid w:val="0"/>
              <w:spacing w:line="360" w:lineRule="auto"/>
            </w:pPr>
            <w:r>
              <w:rPr>
                <w:rFonts w:hint="eastAsia"/>
              </w:rPr>
              <w:t>3.维修工程师：省内有固定的维修工程师，具备姓名及联系方式</w:t>
            </w:r>
          </w:p>
          <w:p>
            <w:pPr>
              <w:snapToGrid w:val="0"/>
              <w:spacing w:line="360" w:lineRule="auto"/>
            </w:pPr>
            <w:r>
              <w:rPr>
                <w:rFonts w:hint="eastAsia"/>
              </w:rPr>
              <w:t>4.具备免费保修电话,具备800或400免费维修电话号码</w:t>
            </w:r>
          </w:p>
          <w:p>
            <w:pPr>
              <w:snapToGrid w:val="0"/>
              <w:spacing w:line="360" w:lineRule="auto"/>
            </w:pPr>
            <w:r>
              <w:rPr>
                <w:rFonts w:hint="eastAsia"/>
              </w:rPr>
              <w:t>5.卖方应具备现场技术培训，保证使用人员能够正确操作，使用设备各种功能</w:t>
            </w:r>
          </w:p>
          <w:p>
            <w:pPr>
              <w:snapToGrid w:val="0"/>
              <w:spacing w:line="360" w:lineRule="auto"/>
            </w:pPr>
            <w:r>
              <w:rPr>
                <w:rFonts w:hint="eastAsia"/>
              </w:rPr>
              <w:t>6.卖方须向买方具备设备的运行、安装、使用环境要求</w:t>
            </w:r>
          </w:p>
          <w:p>
            <w:pPr>
              <w:snapToGrid w:val="0"/>
              <w:spacing w:line="360" w:lineRule="auto"/>
            </w:pPr>
            <w:r>
              <w:rPr>
                <w:rFonts w:hint="eastAsia"/>
              </w:rPr>
              <w:t>7.原厂整机质保三年（含第三方产品）（提供生产厂商三年质保承诺函），保修期内的开机率≥95%（按365天计），每停机一天，质保时间顺延五天。</w:t>
            </w:r>
          </w:p>
          <w:p>
            <w:pPr>
              <w:snapToGrid w:val="0"/>
              <w:spacing w:line="360" w:lineRule="auto"/>
            </w:pPr>
            <w:r>
              <w:rPr>
                <w:rFonts w:hint="eastAsia" w:asciiTheme="minorEastAsia" w:hAnsiTheme="minorEastAsia" w:cstheme="minorEastAsia"/>
              </w:rPr>
              <w:t>★</w:t>
            </w:r>
            <w:r>
              <w:rPr>
                <w:rFonts w:hint="eastAsia" w:asciiTheme="minorEastAsia" w:hAnsiTheme="minorEastAsia" w:cstheme="minorEastAsia"/>
                <w:color w:val="000000"/>
              </w:rPr>
              <w:t>8.</w:t>
            </w:r>
            <w:r>
              <w:rPr>
                <w:rFonts w:hint="eastAsia"/>
              </w:rPr>
              <w:t>整机全保（含球管、探测器、高压发生器及第三方产品附属设备）费用不得高于10万人民币/年，且在设备生命周期内不得涨价。需具备所投产品生产企业加盖公章的承诺文件</w:t>
            </w:r>
          </w:p>
          <w:p>
            <w:pPr>
              <w:snapToGrid w:val="0"/>
              <w:spacing w:line="360" w:lineRule="auto"/>
            </w:pPr>
            <w:r>
              <w:rPr>
                <w:rFonts w:hint="eastAsia"/>
              </w:rPr>
              <w:t>9.具备远程维修诊断系统</w:t>
            </w:r>
          </w:p>
          <w:p>
            <w:pPr>
              <w:snapToGrid w:val="0"/>
              <w:spacing w:line="360" w:lineRule="auto"/>
              <w:rPr>
                <w:rFonts w:asciiTheme="minorEastAsia" w:hAnsiTheme="minorEastAsia" w:cstheme="minorEastAsia"/>
              </w:rPr>
            </w:pPr>
            <w:r>
              <w:rPr>
                <w:rFonts w:hint="eastAsia" w:asciiTheme="minorEastAsia" w:hAnsiTheme="minorEastAsia" w:cstheme="minorEastAsia"/>
              </w:rPr>
              <w:t>10.维修响应速度：接到通知后供应商应做到2小时内响应,24小时内到达现场,48小时内将故障排除完毕(包括所有节假日)</w:t>
            </w:r>
          </w:p>
          <w:p>
            <w:pPr>
              <w:snapToGrid w:val="0"/>
              <w:spacing w:line="360" w:lineRule="auto"/>
              <w:rPr>
                <w:rFonts w:asciiTheme="minorEastAsia" w:hAnsiTheme="minorEastAsia" w:cstheme="minorEastAsia"/>
              </w:rPr>
            </w:pPr>
            <w:r>
              <w:rPr>
                <w:rFonts w:hint="eastAsia" w:asciiTheme="minorEastAsia" w:hAnsiTheme="minorEastAsia" w:cstheme="minorEastAsia"/>
              </w:rPr>
              <w:t>11.设备保修各厂家分别列出并承诺该机出保后的各种类型保修优惠方案（含所有第三方产品），作为评标的主要依据之一</w:t>
            </w:r>
          </w:p>
          <w:p>
            <w:pPr>
              <w:snapToGrid w:val="0"/>
              <w:spacing w:line="360" w:lineRule="auto"/>
              <w:rPr>
                <w:rFonts w:asciiTheme="minorEastAsia" w:hAnsiTheme="minorEastAsia" w:cstheme="minorEastAsia"/>
              </w:rPr>
            </w:pPr>
            <w:r>
              <w:rPr>
                <w:rFonts w:hint="eastAsia" w:asciiTheme="minorEastAsia" w:hAnsiTheme="minorEastAsia" w:cstheme="minorEastAsia"/>
              </w:rPr>
              <w:t>12.设备停产后的备件供应：保证10年</w:t>
            </w:r>
          </w:p>
          <w:p>
            <w:pPr>
              <w:snapToGrid w:val="0"/>
              <w:spacing w:line="360" w:lineRule="auto"/>
              <w:rPr>
                <w:rFonts w:asciiTheme="minorEastAsia" w:hAnsiTheme="minorEastAsia" w:cstheme="minorEastAsia"/>
              </w:rPr>
            </w:pPr>
            <w:r>
              <w:rPr>
                <w:rFonts w:hint="eastAsia" w:asciiTheme="minorEastAsia" w:hAnsiTheme="minorEastAsia" w:cstheme="minorEastAsia"/>
              </w:rPr>
              <w:t>13.具备维修专用工具一套</w:t>
            </w:r>
          </w:p>
          <w:p>
            <w:pPr>
              <w:snapToGrid w:val="0"/>
              <w:spacing w:line="360" w:lineRule="auto"/>
              <w:rPr>
                <w:rFonts w:asciiTheme="minorEastAsia" w:hAnsiTheme="minorEastAsia" w:cstheme="minorEastAsia"/>
              </w:rPr>
            </w:pPr>
            <w:r>
              <w:rPr>
                <w:rFonts w:hint="eastAsia" w:asciiTheme="minorEastAsia" w:hAnsiTheme="minorEastAsia" w:cstheme="minorEastAsia"/>
              </w:rPr>
              <w:t>14.技术资料要求：卖方应向买方具备以下技术资料中文两套，其费用应包括在投标价格内。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8114" w:type="dxa"/>
            <w:gridSpan w:val="3"/>
            <w:shd w:val="clear" w:color="auto" w:fill="auto"/>
            <w:vAlign w:val="center"/>
          </w:tcPr>
          <w:p>
            <w:pPr>
              <w:snapToGrid w:val="0"/>
              <w:spacing w:line="360" w:lineRule="auto"/>
              <w:jc w:val="both"/>
              <w:rPr>
                <w:rFonts w:asciiTheme="minorEastAsia" w:hAnsiTheme="minorEastAsia" w:cstheme="minorEastAsia"/>
              </w:rPr>
            </w:pPr>
            <w:r>
              <w:rPr>
                <w:rFonts w:hint="eastAsia" w:asciiTheme="minorEastAsia" w:hAnsiTheme="minorEastAsia" w:cstheme="minorEastAsia"/>
                <w:b/>
              </w:rPr>
              <w:t>四 技术文件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114" w:type="dxa"/>
            <w:gridSpan w:val="3"/>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具备必要的技术图纸资料，系统操作维护说明手册、编程手册、软硬件说明等，具备完整的操作使用手册（中英文）,系统电路图，接线图以及有关资料2份，具备产品检验合格证书、质量保证书等文件，具备设备整机和有关主要附件质量检验证书，维修工程师：省内有固定的维修点及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114" w:type="dxa"/>
            <w:gridSpan w:val="3"/>
            <w:shd w:val="clear" w:color="auto" w:fill="auto"/>
            <w:vAlign w:val="center"/>
          </w:tcPr>
          <w:p>
            <w:pPr>
              <w:snapToGrid w:val="0"/>
              <w:spacing w:line="360" w:lineRule="auto"/>
              <w:jc w:val="both"/>
              <w:rPr>
                <w:rFonts w:asciiTheme="minorEastAsia" w:hAnsiTheme="minorEastAsia" w:cstheme="minorEastAsia"/>
              </w:rPr>
            </w:pPr>
            <w:r>
              <w:rPr>
                <w:rFonts w:hint="eastAsia" w:asciiTheme="minorEastAsia" w:hAnsiTheme="minorEastAsia" w:cstheme="minorEastAsia"/>
                <w:b/>
              </w:rPr>
              <w:t>五 安装及调试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114" w:type="dxa"/>
            <w:gridSpan w:val="3"/>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1.在货物到达买方后，卖方应在7天内派工程技术人员到达现场，在买方技术人员在场的情况下开箱清点货物，组织安装、调试，由卖方承担因此发生的一切费用。安装调试时间不得超过10个工作日。超时卖方须赔偿由此造成的损失。在此期间卖方应派遣服务工程师参加全过程的服务,派遣服务工程师的有关旅费由其自行承担。</w:t>
            </w:r>
          </w:p>
          <w:p>
            <w:pPr>
              <w:snapToGrid w:val="0"/>
              <w:spacing w:line="360" w:lineRule="auto"/>
              <w:rPr>
                <w:rFonts w:asciiTheme="minorEastAsia" w:hAnsiTheme="minorEastAsia" w:cstheme="minorEastAsia"/>
              </w:rPr>
            </w:pPr>
            <w:r>
              <w:rPr>
                <w:rFonts w:hint="eastAsia" w:asciiTheme="minorEastAsia" w:hAnsiTheme="minorEastAsia" w:cstheme="minorEastAsia"/>
              </w:rPr>
              <w:t>2.设备应先进行调试再进行试运转，设备试运转由卖方负责，买方协助。</w:t>
            </w:r>
          </w:p>
          <w:p>
            <w:pPr>
              <w:snapToGrid w:val="0"/>
              <w:spacing w:line="360" w:lineRule="auto"/>
              <w:rPr>
                <w:rFonts w:asciiTheme="minorEastAsia" w:hAnsiTheme="minorEastAsia" w:cstheme="minorEastAsia"/>
              </w:rPr>
            </w:pPr>
            <w:r>
              <w:rPr>
                <w:rFonts w:hint="eastAsia" w:asciiTheme="minorEastAsia" w:hAnsiTheme="minorEastAsia" w:cstheme="minorEastAsia"/>
              </w:rPr>
              <w:t>3.设备安装完成后的试运行是验证合同中所有设备、系统是否能安全、有效地按标书的要求运行，卖方及各项设备制造商有责任到现场对调试进行指导与配合。</w:t>
            </w:r>
          </w:p>
          <w:p>
            <w:pPr>
              <w:snapToGrid w:val="0"/>
              <w:spacing w:line="360" w:lineRule="auto"/>
              <w:rPr>
                <w:rFonts w:asciiTheme="minorEastAsia" w:hAnsiTheme="minorEastAsia" w:cstheme="minorEastAsia"/>
              </w:rPr>
            </w:pPr>
            <w:r>
              <w:rPr>
                <w:rFonts w:hint="eastAsia" w:asciiTheme="minorEastAsia" w:hAnsiTheme="minorEastAsia" w:cstheme="minorEastAsia"/>
              </w:rPr>
              <w:t>4.安装调试后设备的各种性能和参数应满足招标文件相关规定的技术要求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8114" w:type="dxa"/>
            <w:gridSpan w:val="3"/>
            <w:shd w:val="clear" w:color="auto" w:fill="auto"/>
            <w:vAlign w:val="center"/>
          </w:tcPr>
          <w:p>
            <w:pPr>
              <w:snapToGrid w:val="0"/>
              <w:spacing w:line="360" w:lineRule="auto"/>
              <w:jc w:val="both"/>
              <w:rPr>
                <w:rFonts w:asciiTheme="minorEastAsia" w:hAnsiTheme="minorEastAsia" w:cstheme="minorEastAsia"/>
              </w:rPr>
            </w:pPr>
            <w:r>
              <w:rPr>
                <w:rFonts w:hint="eastAsia" w:asciiTheme="minorEastAsia" w:hAnsiTheme="minorEastAsia" w:cstheme="minorEastAsia"/>
                <w:b/>
              </w:rPr>
              <w:t>六 附属设备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114" w:type="dxa"/>
            <w:gridSpan w:val="3"/>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 xml:space="preserve">1.操作台计算机和独立工作站用UPS </w:t>
            </w:r>
            <w:r>
              <w:rPr>
                <w:rFonts w:hint="eastAsia" w:asciiTheme="minorEastAsia" w:hAnsiTheme="minorEastAsia" w:cstheme="minorEastAsia"/>
                <w:lang w:val="en-US" w:eastAsia="zh-CN"/>
              </w:rPr>
              <w:t>1</w:t>
            </w:r>
            <w:r>
              <w:rPr>
                <w:rFonts w:hint="eastAsia" w:asciiTheme="minorEastAsia" w:hAnsiTheme="minorEastAsia" w:cstheme="minorEastAsia"/>
              </w:rPr>
              <w:t>台, 延时时间≥30min。</w:t>
            </w:r>
          </w:p>
          <w:p>
            <w:pPr>
              <w:snapToGrid w:val="0"/>
              <w:spacing w:line="360" w:lineRule="auto"/>
              <w:rPr>
                <w:rFonts w:asciiTheme="minorEastAsia" w:hAnsiTheme="minorEastAsia" w:cstheme="minorEastAsia"/>
              </w:rPr>
            </w:pPr>
            <w:r>
              <w:rPr>
                <w:rFonts w:hint="eastAsia" w:asciiTheme="minorEastAsia" w:hAnsiTheme="minorEastAsia" w:cstheme="minorEastAsia"/>
              </w:rPr>
              <w:t>2.与设备功率相匹配的配电柜及元器件（含设备到配件柜之间所需的专用电缆线）一套、语音对讲系统一套,专用操作台1张，转椅两把。</w:t>
            </w:r>
          </w:p>
          <w:p>
            <w:pPr>
              <w:snapToGrid w:val="0"/>
              <w:spacing w:line="360" w:lineRule="auto"/>
              <w:rPr>
                <w:rFonts w:asciiTheme="minorEastAsia" w:hAnsiTheme="minorEastAsia" w:cstheme="minorEastAsia"/>
              </w:rPr>
            </w:pPr>
            <w:r>
              <w:rPr>
                <w:rFonts w:hint="eastAsia" w:asciiTheme="minorEastAsia" w:hAnsiTheme="minorEastAsia" w:cstheme="minorEastAsia"/>
              </w:rPr>
              <w:t>3.承担与医院PACS连接的所有软硬件需求。</w:t>
            </w:r>
          </w:p>
        </w:tc>
      </w:tr>
    </w:tbl>
    <w:p>
      <w:pPr>
        <w:rPr>
          <w:rFonts w:ascii="宋体" w:hAnsi="宋体" w:cs="宋体"/>
          <w:b/>
          <w:bCs/>
          <w:sz w:val="36"/>
          <w:szCs w:val="36"/>
        </w:rPr>
      </w:pPr>
      <w:r>
        <w:rPr>
          <w:rFonts w:hint="eastAsia" w:ascii="宋体" w:hAnsi="宋体" w:cs="宋体"/>
          <w:b/>
          <w:bCs/>
          <w:sz w:val="36"/>
          <w:szCs w:val="36"/>
        </w:rPr>
        <w:br w:type="page"/>
      </w:r>
    </w:p>
    <w:p>
      <w:pPr>
        <w:pStyle w:val="17"/>
        <w:numPr>
          <w:ilvl w:val="0"/>
          <w:numId w:val="0"/>
        </w:numPr>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三、</w:t>
      </w:r>
      <w:r>
        <w:rPr>
          <w:rFonts w:hint="eastAsia" w:asciiTheme="minorEastAsia" w:hAnsiTheme="minorEastAsia" w:cstheme="minorEastAsia"/>
          <w:b/>
          <w:bCs/>
          <w:sz w:val="28"/>
          <w:szCs w:val="28"/>
        </w:rPr>
        <w:t>胃肠DR（数字化透视摄影X射线机）</w:t>
      </w:r>
    </w:p>
    <w:tbl>
      <w:tblPr>
        <w:tblStyle w:val="36"/>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409"/>
        <w:gridCol w:w="5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tcPr>
          <w:p>
            <w:pPr>
              <w:snapToGrid w:val="0"/>
              <w:spacing w:line="360" w:lineRule="auto"/>
              <w:jc w:val="center"/>
              <w:rPr>
                <w:rFonts w:asciiTheme="minorEastAsia" w:hAnsiTheme="minorEastAsia" w:cstheme="minorEastAsia"/>
                <w:b/>
                <w:bCs/>
                <w:color w:val="FF0000"/>
              </w:rPr>
            </w:pPr>
          </w:p>
        </w:tc>
        <w:tc>
          <w:tcPr>
            <w:tcW w:w="2409" w:type="dxa"/>
            <w:shd w:val="clear" w:color="auto" w:fill="auto"/>
          </w:tcPr>
          <w:p>
            <w:pPr>
              <w:snapToGrid w:val="0"/>
              <w:spacing w:line="360" w:lineRule="auto"/>
              <w:jc w:val="center"/>
              <w:rPr>
                <w:rFonts w:asciiTheme="minorEastAsia" w:hAnsiTheme="minorEastAsia" w:cstheme="minorEastAsia"/>
                <w:b/>
                <w:bCs/>
              </w:rPr>
            </w:pPr>
            <w:r>
              <w:rPr>
                <w:rFonts w:hint="eastAsia" w:asciiTheme="minorEastAsia" w:hAnsiTheme="minorEastAsia" w:cstheme="minorEastAsia"/>
                <w:b/>
                <w:bCs/>
              </w:rPr>
              <w:t>招标参数</w:t>
            </w:r>
          </w:p>
        </w:tc>
        <w:tc>
          <w:tcPr>
            <w:tcW w:w="5154" w:type="dxa"/>
            <w:shd w:val="clear" w:color="auto" w:fill="auto"/>
          </w:tcPr>
          <w:p>
            <w:pPr>
              <w:snapToGrid w:val="0"/>
              <w:spacing w:line="360" w:lineRule="auto"/>
              <w:jc w:val="center"/>
              <w:rPr>
                <w:rFonts w:asciiTheme="minorEastAsia" w:hAnsiTheme="minorEastAsia" w:cstheme="minorEastAsia"/>
                <w:b/>
                <w:bCs/>
              </w:rPr>
            </w:pPr>
            <w:r>
              <w:rPr>
                <w:rFonts w:hint="eastAsia" w:asciiTheme="minorEastAsia" w:hAnsiTheme="minorEastAsia" w:cstheme="minorEastAsia"/>
                <w:b/>
                <w:bCs/>
              </w:rPr>
              <w:t>性能要求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b/>
                <w:color w:val="000000"/>
              </w:rPr>
            </w:pPr>
            <w:r>
              <w:rPr>
                <w:rFonts w:hint="eastAsia" w:asciiTheme="minorEastAsia" w:hAnsiTheme="minorEastAsia" w:cstheme="minorEastAsia"/>
                <w:b/>
                <w:color w:val="000000"/>
              </w:rPr>
              <w:t>一</w:t>
            </w:r>
          </w:p>
        </w:tc>
        <w:tc>
          <w:tcPr>
            <w:tcW w:w="2409" w:type="dxa"/>
            <w:shd w:val="clear" w:color="auto" w:fill="auto"/>
            <w:vAlign w:val="center"/>
          </w:tcPr>
          <w:p>
            <w:pPr>
              <w:snapToGrid w:val="0"/>
              <w:spacing w:line="360" w:lineRule="auto"/>
              <w:jc w:val="center"/>
              <w:rPr>
                <w:rFonts w:asciiTheme="minorEastAsia" w:hAnsiTheme="minorEastAsia" w:cstheme="minorEastAsia"/>
                <w:b/>
              </w:rPr>
            </w:pPr>
            <w:r>
              <w:rPr>
                <w:rFonts w:hint="eastAsia" w:asciiTheme="minorEastAsia" w:hAnsiTheme="minorEastAsia" w:cstheme="minorEastAsia"/>
                <w:b/>
              </w:rPr>
              <w:t>总体要求</w:t>
            </w:r>
          </w:p>
        </w:tc>
        <w:tc>
          <w:tcPr>
            <w:tcW w:w="5154" w:type="dxa"/>
            <w:shd w:val="clear" w:color="auto" w:fill="auto"/>
          </w:tcPr>
          <w:p>
            <w:pPr>
              <w:snapToGrid w:val="0"/>
              <w:spacing w:line="360" w:lineRule="auto"/>
              <w:rPr>
                <w:rFonts w:asciiTheme="minorEastAsia" w:hAnsiTheme="minorEastAsia" w:cstheme="minorEastAsia"/>
              </w:rPr>
            </w:pPr>
            <w:r>
              <w:rPr>
                <w:rFonts w:hint="eastAsia" w:asciiTheme="minorEastAsia" w:hAnsiTheme="minorEastAsia" w:cstheme="minorEastAsia"/>
              </w:rPr>
              <w:t>可以进行数字化透视、数字化摄影，倾斜摄影，包括全身各部分透视， 透视下定位、摄影、点片、各类摄影（胃肠道、胆道、泌尿生殖系等）检查及诊断。</w:t>
            </w:r>
          </w:p>
          <w:p>
            <w:pPr>
              <w:snapToGrid w:val="0"/>
              <w:spacing w:line="360" w:lineRule="auto"/>
              <w:rPr>
                <w:rFonts w:asciiTheme="minorEastAsia" w:hAnsiTheme="minorEastAsia" w:cstheme="minorEastAsia"/>
              </w:rPr>
            </w:pPr>
            <w:r>
              <w:rPr>
                <w:rFonts w:hint="eastAsia" w:asciiTheme="minorEastAsia" w:hAnsiTheme="minorEastAsia" w:cstheme="minorEastAsia"/>
              </w:rPr>
              <w:t>所投产品必须为2022年1月后生产的最新产品、最高版本，配置需满足医院所有诊疗需要。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101" w:type="dxa"/>
            <w:shd w:val="clear" w:color="auto" w:fill="auto"/>
          </w:tcPr>
          <w:p>
            <w:pPr>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二</w:t>
            </w:r>
          </w:p>
        </w:tc>
        <w:tc>
          <w:tcPr>
            <w:tcW w:w="7563" w:type="dxa"/>
            <w:gridSpan w:val="2"/>
            <w:shd w:val="clear" w:color="auto" w:fill="auto"/>
          </w:tcPr>
          <w:p>
            <w:pPr>
              <w:snapToGrid w:val="0"/>
              <w:spacing w:line="360" w:lineRule="auto"/>
              <w:rPr>
                <w:rFonts w:asciiTheme="minorEastAsia" w:hAnsiTheme="minorEastAsia" w:cstheme="minorEastAsia"/>
              </w:rPr>
            </w:pPr>
            <w:r>
              <w:rPr>
                <w:rFonts w:hint="eastAsia" w:asciiTheme="minorEastAsia" w:hAnsiTheme="minorEastAsia" w:cstheme="minorEastAsia"/>
                <w:b/>
                <w:bCs/>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000000" w:fill="E6E6E6"/>
          </w:tcPr>
          <w:p>
            <w:pPr>
              <w:snapToGrid w:val="0"/>
              <w:spacing w:line="360" w:lineRule="auto"/>
              <w:rPr>
                <w:rFonts w:asciiTheme="minorEastAsia" w:hAnsiTheme="minorEastAsia" w:cstheme="minorEastAsia"/>
                <w:b/>
                <w:color w:val="000000"/>
              </w:rPr>
            </w:pPr>
            <w:r>
              <w:rPr>
                <w:rFonts w:hint="eastAsia" w:asciiTheme="minorEastAsia" w:hAnsiTheme="minorEastAsia" w:cstheme="minorEastAsia"/>
                <w:b/>
                <w:color w:val="000000"/>
              </w:rPr>
              <w:t>1</w:t>
            </w:r>
          </w:p>
        </w:tc>
        <w:tc>
          <w:tcPr>
            <w:tcW w:w="7563" w:type="dxa"/>
            <w:gridSpan w:val="2"/>
            <w:shd w:val="clear" w:color="000000" w:fill="E6E6E6"/>
          </w:tcPr>
          <w:p>
            <w:pPr>
              <w:snapToGrid w:val="0"/>
              <w:spacing w:line="360" w:lineRule="auto"/>
              <w:rPr>
                <w:rFonts w:asciiTheme="minorEastAsia" w:hAnsiTheme="minorEastAsia" w:cstheme="minorEastAsia"/>
              </w:rPr>
            </w:pPr>
            <w:r>
              <w:rPr>
                <w:rFonts w:hint="eastAsia" w:asciiTheme="minorEastAsia" w:hAnsiTheme="minorEastAsia" w:cstheme="minorEastAsia"/>
                <w:b/>
              </w:rPr>
              <w:t>动态数字探测器</w:t>
            </w:r>
            <w:r>
              <w:rPr>
                <w:rFonts w:hint="eastAsia" w:asciiTheme="minorEastAsia" w:hAnsiTheme="minorEastAsia" w:cstheme="minor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1.1</w:t>
            </w:r>
          </w:p>
        </w:tc>
        <w:tc>
          <w:tcPr>
            <w:tcW w:w="756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探测器类型：碘化铯非晶硅平板探测器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1.2</w:t>
            </w:r>
          </w:p>
        </w:tc>
        <w:tc>
          <w:tcPr>
            <w:tcW w:w="756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视野范围≥17x17英寸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1.3</w:t>
            </w:r>
          </w:p>
        </w:tc>
        <w:tc>
          <w:tcPr>
            <w:tcW w:w="756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摄影像素 ≥900万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★1.4</w:t>
            </w:r>
          </w:p>
        </w:tc>
        <w:tc>
          <w:tcPr>
            <w:tcW w:w="756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透视最大像素≥200万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1.5</w:t>
            </w:r>
          </w:p>
        </w:tc>
        <w:tc>
          <w:tcPr>
            <w:tcW w:w="756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在动态过程中点片矩阵≥3000*3000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1.6</w:t>
            </w:r>
          </w:p>
        </w:tc>
        <w:tc>
          <w:tcPr>
            <w:tcW w:w="756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最高帧率≥25f/s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★1.7</w:t>
            </w:r>
          </w:p>
        </w:tc>
        <w:tc>
          <w:tcPr>
            <w:tcW w:w="756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点片摄影准备时间≤0.8s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1.8</w:t>
            </w:r>
          </w:p>
        </w:tc>
        <w:tc>
          <w:tcPr>
            <w:tcW w:w="756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动态范围≥16bits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1.9</w:t>
            </w:r>
          </w:p>
        </w:tc>
        <w:tc>
          <w:tcPr>
            <w:tcW w:w="756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成像时间≤6秒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2.0</w:t>
            </w:r>
          </w:p>
        </w:tc>
        <w:tc>
          <w:tcPr>
            <w:tcW w:w="756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 xml:space="preserve">静态片空间分辨率≥3.5LP/mm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000000" w:fill="E6E6E6"/>
          </w:tcPr>
          <w:p>
            <w:pPr>
              <w:snapToGrid w:val="0"/>
              <w:spacing w:line="360" w:lineRule="auto"/>
              <w:rPr>
                <w:rFonts w:asciiTheme="minorEastAsia" w:hAnsiTheme="minorEastAsia" w:cstheme="minorEastAsia"/>
                <w:b/>
                <w:color w:val="000000"/>
              </w:rPr>
            </w:pPr>
            <w:r>
              <w:rPr>
                <w:rFonts w:hint="eastAsia" w:asciiTheme="minorEastAsia" w:hAnsiTheme="minorEastAsia" w:cstheme="minorEastAsia"/>
                <w:b/>
                <w:color w:val="000000"/>
              </w:rPr>
              <w:t>2</w:t>
            </w:r>
          </w:p>
        </w:tc>
        <w:tc>
          <w:tcPr>
            <w:tcW w:w="7563" w:type="dxa"/>
            <w:gridSpan w:val="2"/>
            <w:shd w:val="clear" w:color="000000" w:fill="E6E6E6"/>
          </w:tcPr>
          <w:p>
            <w:pPr>
              <w:snapToGrid w:val="0"/>
              <w:spacing w:line="360" w:lineRule="auto"/>
              <w:rPr>
                <w:rFonts w:asciiTheme="minorEastAsia" w:hAnsiTheme="minorEastAsia" w:cstheme="minorEastAsia"/>
              </w:rPr>
            </w:pPr>
            <w:r>
              <w:rPr>
                <w:rFonts w:hint="eastAsia" w:asciiTheme="minorEastAsia" w:hAnsiTheme="minorEastAsia" w:cstheme="minorEastAsia"/>
                <w:b/>
              </w:rPr>
              <w:t>X线部分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2.1</w:t>
            </w:r>
          </w:p>
        </w:tc>
        <w:tc>
          <w:tcPr>
            <w:tcW w:w="756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球管最大功率≥70kW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★2.2</w:t>
            </w:r>
          </w:p>
        </w:tc>
        <w:tc>
          <w:tcPr>
            <w:tcW w:w="756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球管焦点≤0.6/1.2mm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2.3</w:t>
            </w:r>
          </w:p>
        </w:tc>
        <w:tc>
          <w:tcPr>
            <w:tcW w:w="756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阳极热容量≥400kHU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2.4</w:t>
            </w:r>
          </w:p>
        </w:tc>
        <w:tc>
          <w:tcPr>
            <w:tcW w:w="756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最高输出电压≥150KV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000000" w:fill="E6E6E6"/>
          </w:tcPr>
          <w:p>
            <w:pPr>
              <w:snapToGrid w:val="0"/>
              <w:spacing w:line="360" w:lineRule="auto"/>
              <w:rPr>
                <w:rFonts w:asciiTheme="minorEastAsia" w:hAnsiTheme="minorEastAsia" w:cstheme="minorEastAsia"/>
                <w:b/>
                <w:color w:val="000000"/>
              </w:rPr>
            </w:pPr>
            <w:r>
              <w:rPr>
                <w:rFonts w:hint="eastAsia" w:asciiTheme="minorEastAsia" w:hAnsiTheme="minorEastAsia" w:cstheme="minorEastAsia"/>
                <w:b/>
                <w:color w:val="000000"/>
              </w:rPr>
              <w:t>3</w:t>
            </w:r>
          </w:p>
        </w:tc>
        <w:tc>
          <w:tcPr>
            <w:tcW w:w="7563" w:type="dxa"/>
            <w:gridSpan w:val="2"/>
            <w:shd w:val="clear" w:color="000000" w:fill="E6E6E6"/>
          </w:tcPr>
          <w:p>
            <w:pPr>
              <w:snapToGrid w:val="0"/>
              <w:spacing w:line="360" w:lineRule="auto"/>
              <w:rPr>
                <w:rFonts w:asciiTheme="minorEastAsia" w:hAnsiTheme="minorEastAsia" w:cstheme="minorEastAsia"/>
              </w:rPr>
            </w:pPr>
            <w:r>
              <w:rPr>
                <w:rFonts w:hint="eastAsia" w:asciiTheme="minorEastAsia" w:hAnsiTheme="minorEastAsia" w:cstheme="minorEastAsia"/>
                <w:b/>
              </w:rPr>
              <w:t>高频高压发生器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★3.1</w:t>
            </w:r>
          </w:p>
        </w:tc>
        <w:tc>
          <w:tcPr>
            <w:tcW w:w="756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最大输出功率≥65kW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3.2</w:t>
            </w:r>
          </w:p>
        </w:tc>
        <w:tc>
          <w:tcPr>
            <w:tcW w:w="756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管电压40kv-150kv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3.3</w:t>
            </w:r>
          </w:p>
        </w:tc>
        <w:tc>
          <w:tcPr>
            <w:tcW w:w="756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管电流1mA -1000 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3.4</w:t>
            </w:r>
          </w:p>
        </w:tc>
        <w:tc>
          <w:tcPr>
            <w:tcW w:w="756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最大逆变频率≥400kHz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3.5</w:t>
            </w:r>
          </w:p>
        </w:tc>
        <w:tc>
          <w:tcPr>
            <w:tcW w:w="756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具有自动亮度控制功能（ABS）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3.6</w:t>
            </w:r>
          </w:p>
        </w:tc>
        <w:tc>
          <w:tcPr>
            <w:tcW w:w="756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具有自动曝光控制功能（AEC）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rPr>
                <w:rFonts w:asciiTheme="minorEastAsia" w:hAnsiTheme="minorEastAsia" w:cstheme="minorEastAsia"/>
                <w:b/>
                <w:color w:val="000000"/>
              </w:rPr>
            </w:pPr>
            <w:r>
              <w:rPr>
                <w:rFonts w:hint="eastAsia" w:asciiTheme="minorEastAsia" w:hAnsiTheme="minorEastAsia" w:cstheme="minorEastAsia"/>
                <w:b/>
                <w:color w:val="000000"/>
              </w:rPr>
              <w:t>4</w:t>
            </w:r>
          </w:p>
        </w:tc>
        <w:tc>
          <w:tcPr>
            <w:tcW w:w="7563" w:type="dxa"/>
            <w:gridSpan w:val="2"/>
            <w:shd w:val="clear" w:color="auto" w:fill="auto"/>
            <w:vAlign w:val="center"/>
          </w:tcPr>
          <w:p>
            <w:pPr>
              <w:snapToGrid w:val="0"/>
              <w:spacing w:line="360" w:lineRule="auto"/>
              <w:rPr>
                <w:rFonts w:asciiTheme="minorEastAsia" w:hAnsiTheme="minorEastAsia" w:cstheme="minorEastAsia"/>
                <w:b/>
                <w:color w:val="000000"/>
              </w:rPr>
            </w:pPr>
            <w:r>
              <w:rPr>
                <w:rFonts w:hint="eastAsia" w:asciiTheme="minorEastAsia" w:hAnsiTheme="minorEastAsia" w:cstheme="minorEastAsia"/>
                <w:b/>
                <w:color w:val="000000"/>
              </w:rPr>
              <w:t>动态摇控床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★4.1</w:t>
            </w:r>
          </w:p>
        </w:tc>
        <w:tc>
          <w:tcPr>
            <w:tcW w:w="756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 xml:space="preserve">一体化可倾斜床面遥控检查床，带有消化系统造影专用压迫装置，可进行遥控操作，可实现动态成像及全数字化成像功能；采用低吸收剂量的高强度床板。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4.2</w:t>
            </w:r>
          </w:p>
        </w:tc>
        <w:tc>
          <w:tcPr>
            <w:tcW w:w="756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床面横向移动距离≥250mm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4.3</w:t>
            </w:r>
          </w:p>
        </w:tc>
        <w:tc>
          <w:tcPr>
            <w:tcW w:w="756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探测器移动行程≥1000mm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4.4</w:t>
            </w:r>
          </w:p>
        </w:tc>
        <w:tc>
          <w:tcPr>
            <w:tcW w:w="756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床体90°时，照射野中心距离地面的最低高度≤450mm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4.5</w:t>
            </w:r>
          </w:p>
        </w:tc>
        <w:tc>
          <w:tcPr>
            <w:tcW w:w="756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 xml:space="preserve">床高≥700mm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4.6</w:t>
            </w:r>
          </w:p>
        </w:tc>
        <w:tc>
          <w:tcPr>
            <w:tcW w:w="756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床身转动范围：-45°～90°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4.7</w:t>
            </w:r>
          </w:p>
        </w:tc>
        <w:tc>
          <w:tcPr>
            <w:tcW w:w="756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承重≥200kg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4.8</w:t>
            </w:r>
          </w:p>
        </w:tc>
        <w:tc>
          <w:tcPr>
            <w:tcW w:w="756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 xml:space="preserve">具备一键摆位功能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4.9</w:t>
            </w:r>
          </w:p>
        </w:tc>
        <w:tc>
          <w:tcPr>
            <w:tcW w:w="756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球管可随立柱旋转角度：-35°～35°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4.10</w:t>
            </w:r>
          </w:p>
        </w:tc>
        <w:tc>
          <w:tcPr>
            <w:tcW w:w="756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球管可独立旋转：0°、90°、180°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4.11</w:t>
            </w:r>
          </w:p>
        </w:tc>
        <w:tc>
          <w:tcPr>
            <w:tcW w:w="756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具备触摸屏控制功能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4.12</w:t>
            </w:r>
          </w:p>
        </w:tc>
        <w:tc>
          <w:tcPr>
            <w:tcW w:w="756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具备限束器近病人端具备防撞结构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4.13</w:t>
            </w:r>
          </w:p>
        </w:tc>
        <w:tc>
          <w:tcPr>
            <w:tcW w:w="756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最大SID：≥1800mm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4.14</w:t>
            </w:r>
          </w:p>
        </w:tc>
        <w:tc>
          <w:tcPr>
            <w:tcW w:w="756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 xml:space="preserve">可手动移除式滤线栅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4.15</w:t>
            </w:r>
          </w:p>
        </w:tc>
        <w:tc>
          <w:tcPr>
            <w:tcW w:w="756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床身近控按键具有防病人误触功能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4.16</w:t>
            </w:r>
          </w:p>
        </w:tc>
        <w:tc>
          <w:tcPr>
            <w:tcW w:w="756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系统一键开关机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jc w:val="center"/>
              <w:rPr>
                <w:rFonts w:asciiTheme="minorEastAsia" w:hAnsiTheme="minorEastAsia" w:cstheme="minorEastAsia"/>
              </w:rPr>
            </w:pPr>
            <w:r>
              <w:rPr>
                <w:rFonts w:hint="eastAsia" w:asciiTheme="minorEastAsia" w:hAnsiTheme="minorEastAsia" w:cstheme="minorEastAsia"/>
              </w:rPr>
              <w:t>4.17</w:t>
            </w:r>
          </w:p>
        </w:tc>
        <w:tc>
          <w:tcPr>
            <w:tcW w:w="756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曝光透视开关：可禁止曝光和透视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000000" w:fill="E6E6E6"/>
          </w:tcPr>
          <w:p>
            <w:pPr>
              <w:snapToGrid w:val="0"/>
              <w:spacing w:line="360" w:lineRule="auto"/>
              <w:rPr>
                <w:rFonts w:asciiTheme="minorEastAsia" w:hAnsiTheme="minorEastAsia" w:cstheme="minorEastAsia"/>
                <w:b/>
                <w:color w:val="000000"/>
              </w:rPr>
            </w:pPr>
            <w:r>
              <w:rPr>
                <w:rFonts w:hint="eastAsia" w:asciiTheme="minorEastAsia" w:hAnsiTheme="minorEastAsia" w:cstheme="minorEastAsia"/>
                <w:b/>
                <w:color w:val="000000"/>
              </w:rPr>
              <w:t>5</w:t>
            </w:r>
          </w:p>
        </w:tc>
        <w:tc>
          <w:tcPr>
            <w:tcW w:w="7563" w:type="dxa"/>
            <w:gridSpan w:val="2"/>
            <w:shd w:val="clear" w:color="000000" w:fill="E6E6E6"/>
          </w:tcPr>
          <w:p>
            <w:pPr>
              <w:snapToGrid w:val="0"/>
              <w:spacing w:line="360" w:lineRule="auto"/>
              <w:rPr>
                <w:rFonts w:asciiTheme="minorEastAsia" w:hAnsiTheme="minorEastAsia" w:cstheme="minorEastAsia"/>
                <w:b/>
              </w:rPr>
            </w:pPr>
            <w:r>
              <w:rPr>
                <w:rFonts w:hint="eastAsia" w:asciiTheme="minorEastAsia" w:hAnsiTheme="minorEastAsia" w:cstheme="minorEastAsia"/>
                <w:b/>
              </w:rPr>
              <w:t>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5.1</w:t>
            </w:r>
          </w:p>
        </w:tc>
        <w:tc>
          <w:tcPr>
            <w:tcW w:w="756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CPU：≥四核；内存≥8G，硬盘≥1T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101" w:type="dxa"/>
            <w:shd w:val="clear" w:color="auto" w:fill="auto"/>
            <w:vAlign w:val="center"/>
          </w:tcPr>
          <w:p>
            <w:pPr>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5.2</w:t>
            </w:r>
          </w:p>
        </w:tc>
        <w:tc>
          <w:tcPr>
            <w:tcW w:w="7563" w:type="dxa"/>
            <w:gridSpan w:val="2"/>
            <w:shd w:val="clear" w:color="auto" w:fill="auto"/>
            <w:vAlign w:val="center"/>
          </w:tcPr>
          <w:p>
            <w:pPr>
              <w:pStyle w:val="1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显示器像素 </w:t>
            </w:r>
            <w:r>
              <w:rPr>
                <w:rFonts w:hint="eastAsia" w:asciiTheme="minorEastAsia" w:hAnsiTheme="minorEastAsia" w:cstheme="minorEastAsia"/>
                <w:sz w:val="24"/>
                <w:szCs w:val="24"/>
              </w:rPr>
              <w:t>：</w:t>
            </w:r>
            <w:r>
              <w:rPr>
                <w:rFonts w:hint="eastAsia" w:ascii="宋体" w:hAnsi="宋体" w:eastAsia="宋体" w:cs="宋体"/>
              </w:rPr>
              <w:t>≥</w:t>
            </w:r>
            <w:r>
              <w:rPr>
                <w:rFonts w:hint="eastAsia" w:asciiTheme="minorEastAsia" w:hAnsiTheme="minorEastAsia" w:eastAsiaTheme="minorEastAsia" w:cstheme="minorEastAsia"/>
                <w:sz w:val="24"/>
                <w:szCs w:val="24"/>
              </w:rPr>
              <w:t>1280*1024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01" w:type="dxa"/>
            <w:shd w:val="clear" w:color="auto" w:fill="auto"/>
            <w:vAlign w:val="center"/>
          </w:tcPr>
          <w:p>
            <w:pPr>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5.3</w:t>
            </w:r>
          </w:p>
        </w:tc>
        <w:tc>
          <w:tcPr>
            <w:tcW w:w="756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具有透视视频的录制、保存、回放功能，同时透视视频支持任意段截取保存及影像抽帧，且视频支持发送PACS及时有效的保存数据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01" w:type="dxa"/>
            <w:shd w:val="clear" w:color="auto" w:fill="auto"/>
            <w:vAlign w:val="center"/>
          </w:tcPr>
          <w:p>
            <w:pPr>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5.4</w:t>
            </w:r>
          </w:p>
        </w:tc>
        <w:tc>
          <w:tcPr>
            <w:tcW w:w="756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高压发生器、软件系统、整机为同一厂家生产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101" w:type="dxa"/>
            <w:shd w:val="clear" w:color="auto" w:fill="auto"/>
            <w:vAlign w:val="center"/>
          </w:tcPr>
          <w:p>
            <w:pPr>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5.5</w:t>
            </w:r>
          </w:p>
        </w:tc>
        <w:tc>
          <w:tcPr>
            <w:tcW w:w="756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病人管理：手工登记，WORKLIST自动查询等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5.6</w:t>
            </w:r>
          </w:p>
        </w:tc>
        <w:tc>
          <w:tcPr>
            <w:tcW w:w="756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图像采集：摄影影像采集、透视影像采集、负重位多角度摄影、视频保存、视频回放、视频截取、图像自动调窗、图像自动裁剪、图像自动发送、图像左右标记。图像处理：图像校正，图像翻转。图像观察：查看摄影图像，查看透视影像，窗宽窗位调整，图像翻转，图像旋转，图像缩放，图像还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5.7</w:t>
            </w:r>
          </w:p>
        </w:tc>
        <w:tc>
          <w:tcPr>
            <w:tcW w:w="756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病历报告：具备病人信息自动加载、专家模板等。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5.8</w:t>
            </w:r>
          </w:p>
        </w:tc>
        <w:tc>
          <w:tcPr>
            <w:tcW w:w="756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支持DICOM3.0标准激光相机打印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5.9</w:t>
            </w:r>
          </w:p>
        </w:tc>
        <w:tc>
          <w:tcPr>
            <w:tcW w:w="756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可发送图像和透视视频到任何遵循DICOM3.0标准的PACS服务器。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101" w:type="dxa"/>
            <w:shd w:val="clear" w:color="auto" w:fill="auto"/>
            <w:vAlign w:val="center"/>
          </w:tcPr>
          <w:p>
            <w:pPr>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5.10</w:t>
            </w:r>
          </w:p>
        </w:tc>
        <w:tc>
          <w:tcPr>
            <w:tcW w:w="756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具备全自动全身拼接功能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5.11</w:t>
            </w:r>
          </w:p>
        </w:tc>
        <w:tc>
          <w:tcPr>
            <w:tcW w:w="756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透视图像局部放大显示功能：≥3档放大功能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5.12</w:t>
            </w:r>
          </w:p>
        </w:tc>
        <w:tc>
          <w:tcPr>
            <w:tcW w:w="756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具有自动控制限束器缩窗或开窗功能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5.13</w:t>
            </w:r>
          </w:p>
        </w:tc>
        <w:tc>
          <w:tcPr>
            <w:tcW w:w="756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具备iEAE智能高效率自动增强功能,采用多频域图像处理技术，5核心图像处理技术（iGCR、iTE、iCED 、iMR、iDG）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5.14</w:t>
            </w:r>
          </w:p>
        </w:tc>
        <w:tc>
          <w:tcPr>
            <w:tcW w:w="756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配备尘肺专用软件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5.15</w:t>
            </w:r>
          </w:p>
        </w:tc>
        <w:tc>
          <w:tcPr>
            <w:tcW w:w="7563" w:type="dxa"/>
            <w:gridSpan w:val="2"/>
            <w:shd w:val="clear" w:color="auto" w:fill="auto"/>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具备虚拟限束器功能，配合透视末帧保持功能使用。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01" w:type="dxa"/>
            <w:shd w:val="clear" w:color="auto" w:fill="auto"/>
          </w:tcPr>
          <w:p>
            <w:pPr>
              <w:snapToGrid w:val="0"/>
              <w:spacing w:line="360" w:lineRule="auto"/>
              <w:rPr>
                <w:rFonts w:asciiTheme="minorEastAsia" w:hAnsiTheme="minorEastAsia" w:cstheme="minorEastAsia"/>
                <w:b/>
                <w:color w:val="000000"/>
              </w:rPr>
            </w:pPr>
            <w:r>
              <w:rPr>
                <w:rFonts w:hint="eastAsia" w:asciiTheme="minorEastAsia" w:hAnsiTheme="minorEastAsia" w:cstheme="minorEastAsia"/>
                <w:b/>
                <w:color w:val="000000"/>
              </w:rPr>
              <w:t>三</w:t>
            </w:r>
          </w:p>
        </w:tc>
        <w:tc>
          <w:tcPr>
            <w:tcW w:w="7563" w:type="dxa"/>
            <w:gridSpan w:val="2"/>
            <w:shd w:val="clear" w:color="auto" w:fill="auto"/>
          </w:tcPr>
          <w:p>
            <w:pPr>
              <w:snapToGrid w:val="0"/>
              <w:spacing w:line="360" w:lineRule="auto"/>
              <w:rPr>
                <w:rFonts w:asciiTheme="minorEastAsia" w:hAnsiTheme="minorEastAsia" w:cstheme="minorEastAsia"/>
              </w:rPr>
            </w:pPr>
            <w:r>
              <w:rPr>
                <w:rFonts w:hint="eastAsia" w:asciiTheme="minorEastAsia" w:hAnsiTheme="minorEastAsia" w:cstheme="minorEastAsia"/>
                <w:b/>
              </w:rPr>
              <w:t>售后服务及其他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0" w:hRule="atLeast"/>
        </w:trPr>
        <w:tc>
          <w:tcPr>
            <w:tcW w:w="8664" w:type="dxa"/>
            <w:gridSpan w:val="3"/>
            <w:shd w:val="clear" w:color="auto" w:fill="auto"/>
          </w:tcPr>
          <w:p>
            <w:pPr>
              <w:snapToGrid w:val="0"/>
              <w:spacing w:line="360" w:lineRule="auto"/>
            </w:pPr>
            <w:r>
              <w:rPr>
                <w:rFonts w:hint="eastAsia"/>
              </w:rPr>
              <w:t>1.具备远程维修诊断系统，免费开放故障代码</w:t>
            </w:r>
          </w:p>
          <w:p>
            <w:pPr>
              <w:snapToGrid w:val="0"/>
              <w:spacing w:line="360" w:lineRule="auto"/>
            </w:pPr>
            <w:r>
              <w:rPr>
                <w:rFonts w:hint="eastAsia"/>
              </w:rPr>
              <w:t>2.备件供应：国内有备件仓库，具备仓库地址，电话</w:t>
            </w:r>
          </w:p>
          <w:p>
            <w:pPr>
              <w:snapToGrid w:val="0"/>
              <w:spacing w:line="360" w:lineRule="auto"/>
            </w:pPr>
            <w:r>
              <w:rPr>
                <w:rFonts w:hint="eastAsia"/>
              </w:rPr>
              <w:t>3.维修工程师：省内有固定的维修工程师，具备姓名及联系方式</w:t>
            </w:r>
          </w:p>
          <w:p>
            <w:pPr>
              <w:snapToGrid w:val="0"/>
              <w:spacing w:line="360" w:lineRule="auto"/>
            </w:pPr>
            <w:r>
              <w:rPr>
                <w:rFonts w:hint="eastAsia"/>
              </w:rPr>
              <w:t>4.具备免费保修电话,具备800或400免费维修电话号码</w:t>
            </w:r>
          </w:p>
          <w:p>
            <w:pPr>
              <w:snapToGrid w:val="0"/>
              <w:spacing w:line="360" w:lineRule="auto"/>
            </w:pPr>
            <w:r>
              <w:rPr>
                <w:rFonts w:hint="eastAsia"/>
              </w:rPr>
              <w:t>5.卖方应具备现场技术培训，保证使用人员能够正确操作，使用设备各种功能</w:t>
            </w:r>
          </w:p>
          <w:p>
            <w:pPr>
              <w:snapToGrid w:val="0"/>
              <w:spacing w:line="360" w:lineRule="auto"/>
            </w:pPr>
            <w:r>
              <w:rPr>
                <w:rFonts w:hint="eastAsia"/>
              </w:rPr>
              <w:t>6.卖方须向买方具备设备的运行、安装、使用环境要求</w:t>
            </w:r>
          </w:p>
          <w:p>
            <w:pPr>
              <w:snapToGrid w:val="0"/>
              <w:spacing w:line="360" w:lineRule="auto"/>
            </w:pPr>
            <w:r>
              <w:rPr>
                <w:rFonts w:hint="eastAsia"/>
              </w:rPr>
              <w:t>7.原厂整机质保三年（含第三方产品）（提供生产厂商三年质保承诺函），保修期内的开机率≥95%（按365天计），每停机一天，质保时间顺延五天。</w:t>
            </w:r>
          </w:p>
          <w:p>
            <w:pPr>
              <w:snapToGrid w:val="0"/>
              <w:spacing w:line="360" w:lineRule="auto"/>
            </w:pPr>
            <w:r>
              <w:rPr>
                <w:rFonts w:hint="eastAsia" w:asciiTheme="minorEastAsia" w:hAnsiTheme="minorEastAsia" w:cstheme="minorEastAsia"/>
              </w:rPr>
              <w:t>★</w:t>
            </w:r>
            <w:r>
              <w:rPr>
                <w:rFonts w:hint="eastAsia" w:asciiTheme="minorEastAsia" w:hAnsiTheme="minorEastAsia" w:cstheme="minorEastAsia"/>
                <w:color w:val="000000"/>
              </w:rPr>
              <w:t>8.</w:t>
            </w:r>
            <w:r>
              <w:rPr>
                <w:rFonts w:hint="eastAsia"/>
              </w:rPr>
              <w:t>整机全保（含球管、探测器、高压发生器及第三方产品附属设备）费用不得高于10万人民币/年，且在设备生命周期内不得涨价。需具备所投产品生产企业加盖公章的承诺文件</w:t>
            </w:r>
          </w:p>
          <w:p>
            <w:pPr>
              <w:snapToGrid w:val="0"/>
              <w:spacing w:line="360" w:lineRule="auto"/>
            </w:pPr>
            <w:r>
              <w:rPr>
                <w:rFonts w:hint="eastAsia"/>
              </w:rPr>
              <w:t>9.具备远程维修诊断系统</w:t>
            </w:r>
          </w:p>
          <w:p>
            <w:pPr>
              <w:snapToGrid w:val="0"/>
              <w:spacing w:line="360" w:lineRule="auto"/>
              <w:rPr>
                <w:rFonts w:asciiTheme="minorEastAsia" w:hAnsiTheme="minorEastAsia" w:cstheme="minorEastAsia"/>
              </w:rPr>
            </w:pPr>
            <w:r>
              <w:rPr>
                <w:rFonts w:hint="eastAsia" w:asciiTheme="minorEastAsia" w:hAnsiTheme="minorEastAsia" w:cstheme="minorEastAsia"/>
              </w:rPr>
              <w:t>10.维修响应速度：接到通知后供应商应做到2小时内响应,24小时内到达现场,48小时内将故障排除完毕(包括所有节假日)</w:t>
            </w:r>
          </w:p>
          <w:p>
            <w:pPr>
              <w:snapToGrid w:val="0"/>
              <w:spacing w:line="360" w:lineRule="auto"/>
              <w:rPr>
                <w:rFonts w:asciiTheme="minorEastAsia" w:hAnsiTheme="minorEastAsia" w:cstheme="minorEastAsia"/>
              </w:rPr>
            </w:pPr>
            <w:r>
              <w:rPr>
                <w:rFonts w:hint="eastAsia" w:asciiTheme="minorEastAsia" w:hAnsiTheme="minorEastAsia" w:cstheme="minorEastAsia"/>
              </w:rPr>
              <w:t>11.设备保修各厂家分别列出并承诺该机出保后的各种类型保修优惠方案（含所有第三方产品），作为评标的主要依据之一</w:t>
            </w:r>
          </w:p>
          <w:p>
            <w:pPr>
              <w:snapToGrid w:val="0"/>
              <w:spacing w:line="360" w:lineRule="auto"/>
              <w:rPr>
                <w:rFonts w:asciiTheme="minorEastAsia" w:hAnsiTheme="minorEastAsia" w:cstheme="minorEastAsia"/>
              </w:rPr>
            </w:pPr>
            <w:r>
              <w:rPr>
                <w:rFonts w:hint="eastAsia" w:asciiTheme="minorEastAsia" w:hAnsiTheme="minorEastAsia" w:cstheme="minorEastAsia"/>
              </w:rPr>
              <w:t>12.设备停产后的备件供应：保证10年</w:t>
            </w:r>
          </w:p>
          <w:p>
            <w:pPr>
              <w:snapToGrid w:val="0"/>
              <w:spacing w:line="360" w:lineRule="auto"/>
              <w:rPr>
                <w:rFonts w:asciiTheme="minorEastAsia" w:hAnsiTheme="minorEastAsia" w:cstheme="minorEastAsia"/>
              </w:rPr>
            </w:pPr>
            <w:r>
              <w:rPr>
                <w:rFonts w:hint="eastAsia" w:asciiTheme="minorEastAsia" w:hAnsiTheme="minorEastAsia" w:cstheme="minorEastAsia"/>
              </w:rPr>
              <w:t>13.具备维修专用工具一套</w:t>
            </w:r>
          </w:p>
          <w:p>
            <w:pPr>
              <w:snapToGrid w:val="0"/>
              <w:spacing w:line="360" w:lineRule="auto"/>
              <w:rPr>
                <w:rFonts w:asciiTheme="minorEastAsia" w:hAnsiTheme="minorEastAsia" w:cstheme="minorEastAsia"/>
              </w:rPr>
            </w:pPr>
            <w:r>
              <w:rPr>
                <w:rFonts w:hint="eastAsia" w:asciiTheme="minorEastAsia" w:hAnsiTheme="minorEastAsia" w:cstheme="minorEastAsia"/>
              </w:rPr>
              <w:t>14技术资料要求：卖方应向买方具备以下技术资料中文两套，其费用应包括在投标价格内。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8664" w:type="dxa"/>
            <w:gridSpan w:val="3"/>
            <w:shd w:val="clear" w:color="auto" w:fill="auto"/>
          </w:tcPr>
          <w:p>
            <w:pPr>
              <w:snapToGrid w:val="0"/>
              <w:spacing w:line="360" w:lineRule="auto"/>
              <w:rPr>
                <w:rFonts w:asciiTheme="minorEastAsia" w:hAnsiTheme="minorEastAsia" w:cstheme="minorEastAsia"/>
              </w:rPr>
            </w:pPr>
            <w:r>
              <w:rPr>
                <w:rFonts w:hint="eastAsia" w:asciiTheme="minorEastAsia" w:hAnsiTheme="minorEastAsia" w:cstheme="minorEastAsia"/>
                <w:b/>
              </w:rPr>
              <w:t>四 技术文件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664" w:type="dxa"/>
            <w:gridSpan w:val="3"/>
            <w:shd w:val="clear" w:color="auto" w:fill="auto"/>
          </w:tcPr>
          <w:p>
            <w:pPr>
              <w:snapToGrid w:val="0"/>
              <w:spacing w:line="360" w:lineRule="auto"/>
              <w:rPr>
                <w:rFonts w:asciiTheme="minorEastAsia" w:hAnsiTheme="minorEastAsia" w:cstheme="minorEastAsia"/>
              </w:rPr>
            </w:pPr>
            <w:r>
              <w:rPr>
                <w:rFonts w:hint="eastAsia" w:asciiTheme="minorEastAsia" w:hAnsiTheme="minorEastAsia" w:cstheme="minorEastAsia"/>
              </w:rPr>
              <w:t>具备必要的技术图纸资料，系统操作维护说明手册、编程手册、软硬件说明等，具备完整的操作使用手册（中英文）,系统电路图，接线图以及有关资料2份，具备产品检验合格证书、质量保证书等文件，具备设备整机和有关主要附件质量检验证书，维修工程师：省内有固定的维修点及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664" w:type="dxa"/>
            <w:gridSpan w:val="3"/>
            <w:shd w:val="clear" w:color="auto" w:fill="auto"/>
          </w:tcPr>
          <w:p>
            <w:pPr>
              <w:snapToGrid w:val="0"/>
              <w:spacing w:line="360" w:lineRule="auto"/>
              <w:rPr>
                <w:rFonts w:asciiTheme="minorEastAsia" w:hAnsiTheme="minorEastAsia" w:cstheme="minorEastAsia"/>
              </w:rPr>
            </w:pPr>
            <w:r>
              <w:rPr>
                <w:rFonts w:hint="eastAsia" w:asciiTheme="minorEastAsia" w:hAnsiTheme="minorEastAsia" w:cstheme="minorEastAsia"/>
                <w:b/>
              </w:rPr>
              <w:t>五 安装及调试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1" w:hRule="atLeast"/>
        </w:trPr>
        <w:tc>
          <w:tcPr>
            <w:tcW w:w="8664" w:type="dxa"/>
            <w:gridSpan w:val="3"/>
            <w:shd w:val="clear" w:color="auto" w:fill="auto"/>
          </w:tcPr>
          <w:p>
            <w:pPr>
              <w:snapToGrid w:val="0"/>
              <w:spacing w:line="360" w:lineRule="auto"/>
              <w:rPr>
                <w:rFonts w:asciiTheme="minorEastAsia" w:hAnsiTheme="minorEastAsia" w:cstheme="minorEastAsia"/>
              </w:rPr>
            </w:pPr>
            <w:r>
              <w:rPr>
                <w:rFonts w:hint="eastAsia" w:asciiTheme="minorEastAsia" w:hAnsiTheme="minorEastAsia" w:cstheme="minorEastAsia"/>
              </w:rPr>
              <w:t>1.在货物到达买方后，卖方应在7天内派工程技术人员到达现场，在买方技术人员在场的情况下开箱清点货物，组织安装、调试，由卖方承担因此发生的一切费用。安装调试时间不得超过10个工作日。超时卖方须赔偿由此造成的损失。在此期间卖方应派遣服务工程师参加全过程的服务,派遣服务工程师的有关旅费由其自行承担</w:t>
            </w:r>
          </w:p>
          <w:p>
            <w:pPr>
              <w:snapToGrid w:val="0"/>
              <w:spacing w:line="360" w:lineRule="auto"/>
              <w:rPr>
                <w:rFonts w:asciiTheme="minorEastAsia" w:hAnsiTheme="minorEastAsia" w:cstheme="minorEastAsia"/>
              </w:rPr>
            </w:pPr>
            <w:r>
              <w:rPr>
                <w:rFonts w:hint="eastAsia" w:asciiTheme="minorEastAsia" w:hAnsiTheme="minorEastAsia" w:cstheme="minorEastAsia"/>
              </w:rPr>
              <w:t>2.设备应先进行调试再进行试运转，设备试运转由卖方负责，买方协助</w:t>
            </w:r>
          </w:p>
          <w:p>
            <w:pPr>
              <w:snapToGrid w:val="0"/>
              <w:spacing w:line="360" w:lineRule="auto"/>
              <w:rPr>
                <w:rFonts w:asciiTheme="minorEastAsia" w:hAnsiTheme="minorEastAsia" w:cstheme="minorEastAsia"/>
              </w:rPr>
            </w:pPr>
            <w:r>
              <w:rPr>
                <w:rFonts w:hint="eastAsia" w:asciiTheme="minorEastAsia" w:hAnsiTheme="minorEastAsia" w:cstheme="minorEastAsia"/>
              </w:rPr>
              <w:t>3.设备安装完成后的试运行是验证合同中所有设备、系统是否能安全、有效地按标书的要求运行，卖方及各项设备制造商有责任到现场对调试进行指导与配合</w:t>
            </w:r>
          </w:p>
          <w:p>
            <w:pPr>
              <w:snapToGrid w:val="0"/>
              <w:spacing w:line="360" w:lineRule="auto"/>
              <w:rPr>
                <w:rFonts w:asciiTheme="minorEastAsia" w:hAnsiTheme="minorEastAsia" w:cstheme="minorEastAsia"/>
              </w:rPr>
            </w:pPr>
            <w:r>
              <w:rPr>
                <w:rFonts w:hint="eastAsia" w:asciiTheme="minorEastAsia" w:hAnsiTheme="minorEastAsia" w:cstheme="minorEastAsia"/>
              </w:rPr>
              <w:t>4.安装调试后设备的各种性能和参数应满足招标文件相关规定的技术要求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664" w:type="dxa"/>
            <w:gridSpan w:val="3"/>
            <w:shd w:val="clear" w:color="auto" w:fill="auto"/>
          </w:tcPr>
          <w:p>
            <w:pPr>
              <w:snapToGrid w:val="0"/>
              <w:spacing w:line="360" w:lineRule="auto"/>
              <w:rPr>
                <w:rFonts w:asciiTheme="minorEastAsia" w:hAnsiTheme="minorEastAsia" w:cstheme="minorEastAsia"/>
              </w:rPr>
            </w:pPr>
            <w:r>
              <w:rPr>
                <w:rFonts w:hint="eastAsia" w:asciiTheme="minorEastAsia" w:hAnsiTheme="minorEastAsia" w:cstheme="minorEastAsia"/>
                <w:b/>
              </w:rPr>
              <w:t>六 附属设备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trPr>
        <w:tc>
          <w:tcPr>
            <w:tcW w:w="8664" w:type="dxa"/>
            <w:gridSpan w:val="3"/>
            <w:shd w:val="clear" w:color="auto" w:fill="auto"/>
          </w:tcPr>
          <w:p>
            <w:pPr>
              <w:snapToGrid w:val="0"/>
              <w:spacing w:line="360" w:lineRule="auto"/>
              <w:rPr>
                <w:rFonts w:asciiTheme="minorEastAsia" w:hAnsiTheme="minorEastAsia" w:cstheme="minorEastAsia"/>
              </w:rPr>
            </w:pPr>
            <w:r>
              <w:rPr>
                <w:rFonts w:hint="eastAsia" w:asciiTheme="minorEastAsia" w:hAnsiTheme="minorEastAsia" w:cstheme="minorEastAsia"/>
              </w:rPr>
              <w:t xml:space="preserve">1.操作台计算机和独立工作站用UPS 1台, 延时时间≥30min, </w:t>
            </w:r>
          </w:p>
          <w:p>
            <w:pPr>
              <w:snapToGrid w:val="0"/>
              <w:spacing w:line="360" w:lineRule="auto"/>
              <w:rPr>
                <w:rFonts w:asciiTheme="minorEastAsia" w:hAnsiTheme="minorEastAsia" w:cstheme="minorEastAsia"/>
              </w:rPr>
            </w:pPr>
            <w:r>
              <w:rPr>
                <w:rFonts w:hint="eastAsia" w:asciiTheme="minorEastAsia" w:hAnsiTheme="minorEastAsia" w:cstheme="minorEastAsia"/>
              </w:rPr>
              <w:t>2.与设备功率相匹配的配电柜及元器件（含设备到配件柜之间所需的专用电缆线）一套、语音对讲系统一套,专用操作台1张，转椅两把</w:t>
            </w:r>
          </w:p>
          <w:p>
            <w:pPr>
              <w:snapToGrid w:val="0"/>
              <w:spacing w:line="360" w:lineRule="auto"/>
              <w:rPr>
                <w:rFonts w:asciiTheme="minorEastAsia" w:hAnsiTheme="minorEastAsia" w:cstheme="minorEastAsia"/>
              </w:rPr>
            </w:pPr>
            <w:r>
              <w:rPr>
                <w:rFonts w:hint="eastAsia" w:asciiTheme="minorEastAsia" w:hAnsiTheme="minorEastAsia" w:cstheme="minorEastAsia"/>
              </w:rPr>
              <w:t>3.承担与医院PACS连接的所有软硬件需求</w:t>
            </w:r>
          </w:p>
        </w:tc>
      </w:tr>
    </w:tbl>
    <w:p>
      <w:pPr>
        <w:rPr>
          <w:rFonts w:ascii="宋体" w:hAnsi="宋体" w:cs="宋体"/>
          <w:b/>
          <w:bCs/>
          <w:sz w:val="36"/>
          <w:szCs w:val="36"/>
        </w:rPr>
      </w:pPr>
      <w:r>
        <w:rPr>
          <w:rFonts w:hint="eastAsia" w:ascii="宋体" w:hAnsi="宋体" w:cs="宋体"/>
          <w:b/>
          <w:bCs/>
          <w:sz w:val="36"/>
          <w:szCs w:val="36"/>
        </w:rPr>
        <w:br w:type="page"/>
      </w:r>
    </w:p>
    <w:p>
      <w:pPr>
        <w:pStyle w:val="17"/>
        <w:numPr>
          <w:ilvl w:val="0"/>
          <w:numId w:val="0"/>
        </w:numPr>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四、</w:t>
      </w:r>
      <w:r>
        <w:rPr>
          <w:rFonts w:hint="eastAsia" w:asciiTheme="minorEastAsia" w:hAnsiTheme="minorEastAsia" w:cstheme="minorEastAsia"/>
          <w:b/>
          <w:bCs/>
          <w:sz w:val="28"/>
          <w:szCs w:val="28"/>
        </w:rPr>
        <w:t>双能X射线骨密度仪</w:t>
      </w:r>
    </w:p>
    <w:tbl>
      <w:tblPr>
        <w:tblStyle w:val="3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3230"/>
        <w:gridCol w:w="5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tcPr>
          <w:p>
            <w:pPr>
              <w:adjustRightInd w:val="0"/>
              <w:snapToGrid w:val="0"/>
              <w:spacing w:line="360" w:lineRule="auto"/>
              <w:jc w:val="center"/>
              <w:rPr>
                <w:rFonts w:asciiTheme="minorEastAsia" w:hAnsiTheme="minorEastAsia" w:cstheme="minorEastAsia"/>
                <w:b/>
                <w:bCs/>
                <w:color w:val="FF0000"/>
              </w:rPr>
            </w:pPr>
          </w:p>
        </w:tc>
        <w:tc>
          <w:tcPr>
            <w:tcW w:w="3230" w:type="dxa"/>
            <w:shd w:val="clear" w:color="auto" w:fill="auto"/>
          </w:tcPr>
          <w:p>
            <w:pPr>
              <w:adjustRightInd w:val="0"/>
              <w:snapToGrid w:val="0"/>
              <w:spacing w:line="360" w:lineRule="auto"/>
              <w:jc w:val="center"/>
              <w:rPr>
                <w:rFonts w:asciiTheme="minorEastAsia" w:hAnsiTheme="minorEastAsia" w:cstheme="minorEastAsia"/>
                <w:b/>
                <w:bCs/>
              </w:rPr>
            </w:pPr>
            <w:r>
              <w:rPr>
                <w:rFonts w:hint="eastAsia" w:asciiTheme="minorEastAsia" w:hAnsiTheme="minorEastAsia" w:cstheme="minorEastAsia"/>
                <w:b/>
                <w:bCs/>
              </w:rPr>
              <w:t>招标参数</w:t>
            </w:r>
          </w:p>
        </w:tc>
        <w:tc>
          <w:tcPr>
            <w:tcW w:w="5133" w:type="dxa"/>
            <w:shd w:val="clear" w:color="auto" w:fill="auto"/>
          </w:tcPr>
          <w:p>
            <w:pPr>
              <w:adjustRightInd w:val="0"/>
              <w:snapToGrid w:val="0"/>
              <w:spacing w:line="360" w:lineRule="auto"/>
              <w:jc w:val="center"/>
              <w:rPr>
                <w:rFonts w:asciiTheme="minorEastAsia" w:hAnsiTheme="minorEastAsia" w:cstheme="minorEastAsia"/>
                <w:b/>
                <w:bCs/>
              </w:rPr>
            </w:pPr>
            <w:r>
              <w:rPr>
                <w:rFonts w:hint="eastAsia" w:asciiTheme="minorEastAsia" w:hAnsiTheme="minorEastAsia" w:cstheme="minorEastAsia"/>
                <w:b/>
                <w:bCs/>
              </w:rPr>
              <w:t>性能要求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adjustRightInd w:val="0"/>
              <w:snapToGrid w:val="0"/>
              <w:spacing w:line="360" w:lineRule="auto"/>
              <w:jc w:val="center"/>
              <w:rPr>
                <w:rFonts w:asciiTheme="minorEastAsia" w:hAnsiTheme="minorEastAsia" w:cstheme="minorEastAsia"/>
                <w:b/>
                <w:color w:val="000000"/>
              </w:rPr>
            </w:pPr>
            <w:r>
              <w:rPr>
                <w:rFonts w:hint="eastAsia" w:asciiTheme="minorEastAsia" w:hAnsiTheme="minorEastAsia" w:cstheme="minorEastAsia"/>
                <w:b/>
                <w:color w:val="000000"/>
              </w:rPr>
              <w:t>一</w:t>
            </w:r>
          </w:p>
        </w:tc>
        <w:tc>
          <w:tcPr>
            <w:tcW w:w="3230" w:type="dxa"/>
            <w:shd w:val="clear" w:color="auto" w:fill="auto"/>
            <w:vAlign w:val="center"/>
          </w:tcPr>
          <w:p>
            <w:pPr>
              <w:adjustRightInd w:val="0"/>
              <w:snapToGrid w:val="0"/>
              <w:spacing w:line="360" w:lineRule="auto"/>
              <w:jc w:val="center"/>
              <w:rPr>
                <w:rFonts w:asciiTheme="minorEastAsia" w:hAnsiTheme="minorEastAsia" w:cstheme="minorEastAsia"/>
                <w:b/>
              </w:rPr>
            </w:pPr>
            <w:r>
              <w:rPr>
                <w:rFonts w:hint="eastAsia" w:asciiTheme="minorEastAsia" w:hAnsiTheme="minorEastAsia" w:cstheme="minorEastAsia"/>
                <w:b/>
              </w:rPr>
              <w:t>总体要求</w:t>
            </w:r>
          </w:p>
        </w:tc>
        <w:tc>
          <w:tcPr>
            <w:tcW w:w="5133" w:type="dxa"/>
            <w:shd w:val="clear" w:color="auto" w:fill="auto"/>
          </w:tcPr>
          <w:p>
            <w:pPr>
              <w:adjustRightInd w:val="0"/>
              <w:snapToGrid w:val="0"/>
              <w:spacing w:line="360" w:lineRule="auto"/>
              <w:rPr>
                <w:rFonts w:asciiTheme="minorEastAsia" w:hAnsiTheme="minorEastAsia" w:cstheme="minorEastAsia"/>
              </w:rPr>
            </w:pPr>
            <w:r>
              <w:rPr>
                <w:rFonts w:hint="eastAsia" w:asciiTheme="minorEastAsia" w:hAnsiTheme="minorEastAsia" w:cstheme="minorEastAsia"/>
              </w:rPr>
              <w:t>所投产品必须为2022年1月后生产的最新产品、最高版本，配置需满足医院所有诊疗需要。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101" w:type="dxa"/>
            <w:shd w:val="clear" w:color="auto" w:fill="auto"/>
          </w:tcPr>
          <w:p>
            <w:pPr>
              <w:adjustRightInd w:val="0"/>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二</w:t>
            </w:r>
          </w:p>
        </w:tc>
        <w:tc>
          <w:tcPr>
            <w:tcW w:w="8363" w:type="dxa"/>
            <w:gridSpan w:val="2"/>
            <w:shd w:val="clear" w:color="auto" w:fill="auto"/>
          </w:tcPr>
          <w:p>
            <w:pPr>
              <w:adjustRightInd w:val="0"/>
              <w:snapToGrid w:val="0"/>
              <w:spacing w:line="360" w:lineRule="auto"/>
              <w:rPr>
                <w:rFonts w:asciiTheme="minorEastAsia" w:hAnsiTheme="minorEastAsia" w:cstheme="minorEastAsia"/>
              </w:rPr>
            </w:pPr>
            <w:r>
              <w:rPr>
                <w:rFonts w:hint="eastAsia" w:asciiTheme="minorEastAsia" w:hAnsiTheme="minorEastAsia" w:cstheme="minorEastAsia"/>
                <w:b/>
                <w:bCs/>
              </w:rPr>
              <w:t>技术要求</w:t>
            </w:r>
            <w:r>
              <w:rPr>
                <w:rFonts w:hint="eastAsia" w:asciiTheme="minorEastAsia" w:hAnsiTheme="minorEastAsia" w:cstheme="minor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000000" w:fill="E6E6E6"/>
          </w:tcPr>
          <w:p>
            <w:pPr>
              <w:adjustRightInd w:val="0"/>
              <w:snapToGrid w:val="0"/>
              <w:spacing w:line="360" w:lineRule="auto"/>
              <w:rPr>
                <w:rFonts w:asciiTheme="minorEastAsia" w:hAnsiTheme="minorEastAsia" w:cstheme="minorEastAsia"/>
                <w:b/>
                <w:color w:val="000000"/>
              </w:rPr>
            </w:pPr>
            <w:r>
              <w:rPr>
                <w:rFonts w:hint="eastAsia" w:asciiTheme="minorEastAsia" w:hAnsiTheme="minorEastAsia" w:cstheme="minorEastAsia"/>
                <w:b/>
                <w:color w:val="000000"/>
              </w:rPr>
              <w:t>1</w:t>
            </w:r>
          </w:p>
        </w:tc>
        <w:tc>
          <w:tcPr>
            <w:tcW w:w="8363" w:type="dxa"/>
            <w:gridSpan w:val="2"/>
            <w:shd w:val="clear" w:color="000000" w:fill="E6E6E6"/>
          </w:tcPr>
          <w:p>
            <w:pPr>
              <w:adjustRightInd w:val="0"/>
              <w:snapToGrid w:val="0"/>
              <w:spacing w:line="360" w:lineRule="auto"/>
              <w:rPr>
                <w:rFonts w:asciiTheme="minorEastAsia" w:hAnsiTheme="minorEastAsia" w:cstheme="minorEastAsia"/>
              </w:rPr>
            </w:pPr>
            <w:r>
              <w:rPr>
                <w:rFonts w:hint="eastAsia" w:asciiTheme="minorEastAsia" w:hAnsiTheme="minorEastAsia" w:cstheme="minorEastAsia"/>
                <w:b/>
              </w:rPr>
              <w:t>探测器及扫描架</w:t>
            </w:r>
            <w:r>
              <w:rPr>
                <w:rFonts w:hint="eastAsia" w:asciiTheme="minorEastAsia" w:hAnsiTheme="minorEastAsia" w:cstheme="minor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adjustRightInd w:val="0"/>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1.1</w:t>
            </w:r>
          </w:p>
        </w:tc>
        <w:tc>
          <w:tcPr>
            <w:tcW w:w="8363" w:type="dxa"/>
            <w:gridSpan w:val="2"/>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探测器类型：CZT探测器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adjustRightInd w:val="0"/>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★1.2</w:t>
            </w:r>
          </w:p>
        </w:tc>
        <w:tc>
          <w:tcPr>
            <w:tcW w:w="8363" w:type="dxa"/>
            <w:gridSpan w:val="2"/>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探测器数：≥32个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adjustRightInd w:val="0"/>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1.3</w:t>
            </w:r>
          </w:p>
        </w:tc>
        <w:tc>
          <w:tcPr>
            <w:tcW w:w="8363" w:type="dxa"/>
            <w:gridSpan w:val="2"/>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焦点与图像感受器之间的距离：≥65cm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000000" w:fill="E6E6E6"/>
          </w:tcPr>
          <w:p>
            <w:pPr>
              <w:adjustRightInd w:val="0"/>
              <w:snapToGrid w:val="0"/>
              <w:spacing w:line="360" w:lineRule="auto"/>
              <w:rPr>
                <w:rFonts w:asciiTheme="minorEastAsia" w:hAnsiTheme="minorEastAsia" w:cstheme="minorEastAsia"/>
                <w:b/>
                <w:color w:val="000000"/>
              </w:rPr>
            </w:pPr>
            <w:r>
              <w:rPr>
                <w:rFonts w:hint="eastAsia" w:asciiTheme="minorEastAsia" w:hAnsiTheme="minorEastAsia" w:cstheme="minorEastAsia"/>
                <w:b/>
                <w:color w:val="000000"/>
              </w:rPr>
              <w:t>2</w:t>
            </w:r>
          </w:p>
        </w:tc>
        <w:tc>
          <w:tcPr>
            <w:tcW w:w="8363" w:type="dxa"/>
            <w:gridSpan w:val="2"/>
            <w:shd w:val="clear" w:color="000000" w:fill="E6E6E6"/>
          </w:tcPr>
          <w:p>
            <w:pPr>
              <w:adjustRightInd w:val="0"/>
              <w:snapToGrid w:val="0"/>
              <w:spacing w:line="360" w:lineRule="auto"/>
              <w:rPr>
                <w:rFonts w:asciiTheme="minorEastAsia" w:hAnsiTheme="minorEastAsia" w:cstheme="minorEastAsia"/>
              </w:rPr>
            </w:pPr>
            <w:r>
              <w:rPr>
                <w:rFonts w:hint="eastAsia" w:asciiTheme="minorEastAsia" w:hAnsiTheme="minorEastAsia" w:cstheme="minorEastAsia"/>
                <w:b/>
              </w:rPr>
              <w:t>X线部分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adjustRightInd w:val="0"/>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2.1</w:t>
            </w:r>
          </w:p>
        </w:tc>
        <w:tc>
          <w:tcPr>
            <w:tcW w:w="8363" w:type="dxa"/>
            <w:gridSpan w:val="2"/>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扫描方式：窄角扇束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adjustRightInd w:val="0"/>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2.2</w:t>
            </w:r>
          </w:p>
        </w:tc>
        <w:tc>
          <w:tcPr>
            <w:tcW w:w="8363" w:type="dxa"/>
            <w:gridSpan w:val="2"/>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测量部位：腰椎、股骨、前臂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adjustRightInd w:val="0"/>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2.3</w:t>
            </w:r>
          </w:p>
        </w:tc>
        <w:tc>
          <w:tcPr>
            <w:tcW w:w="8363" w:type="dxa"/>
            <w:gridSpan w:val="2"/>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高低能切换方式：K缘过滤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adjustRightInd w:val="0"/>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2.4</w:t>
            </w:r>
          </w:p>
        </w:tc>
        <w:tc>
          <w:tcPr>
            <w:tcW w:w="8363" w:type="dxa"/>
            <w:gridSpan w:val="2"/>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双能的峰值：双能的峰值：高≥80Kev；低能≥40Kev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adjustRightInd w:val="0"/>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2.5</w:t>
            </w:r>
          </w:p>
        </w:tc>
        <w:tc>
          <w:tcPr>
            <w:tcW w:w="8363" w:type="dxa"/>
            <w:gridSpan w:val="2"/>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球管最大管电流：≤2mA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adjustRightInd w:val="0"/>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2.6</w:t>
            </w:r>
          </w:p>
        </w:tc>
        <w:tc>
          <w:tcPr>
            <w:tcW w:w="8363" w:type="dxa"/>
            <w:gridSpan w:val="2"/>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 xml:space="preserve">球管组件热容量：≥35KJ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adjustRightInd w:val="0"/>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2.7</w:t>
            </w:r>
          </w:p>
        </w:tc>
        <w:tc>
          <w:tcPr>
            <w:tcW w:w="8363" w:type="dxa"/>
            <w:gridSpan w:val="2"/>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球管冷却方式：油冷+风冷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adjustRightInd w:val="0"/>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2.8</w:t>
            </w:r>
          </w:p>
        </w:tc>
        <w:tc>
          <w:tcPr>
            <w:tcW w:w="8363" w:type="dxa"/>
            <w:gridSpan w:val="2"/>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焦点大小：≤0.5mm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adjustRightInd w:val="0"/>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2.9</w:t>
            </w:r>
          </w:p>
        </w:tc>
        <w:tc>
          <w:tcPr>
            <w:tcW w:w="8363" w:type="dxa"/>
            <w:gridSpan w:val="2"/>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X射线束：开角≥25°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adjustRightInd w:val="0"/>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2.10</w:t>
            </w:r>
          </w:p>
        </w:tc>
        <w:tc>
          <w:tcPr>
            <w:tcW w:w="8363" w:type="dxa"/>
            <w:gridSpan w:val="2"/>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采集成像方式：连续扫描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adjustRightInd w:val="0"/>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2.11</w:t>
            </w:r>
          </w:p>
        </w:tc>
        <w:tc>
          <w:tcPr>
            <w:tcW w:w="8363" w:type="dxa"/>
            <w:gridSpan w:val="2"/>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扫描方式：窄角扇束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000000" w:fill="E6E6E6"/>
          </w:tcPr>
          <w:p>
            <w:pPr>
              <w:adjustRightInd w:val="0"/>
              <w:snapToGrid w:val="0"/>
              <w:spacing w:line="360" w:lineRule="auto"/>
              <w:rPr>
                <w:rFonts w:asciiTheme="minorEastAsia" w:hAnsiTheme="minorEastAsia" w:cstheme="minorEastAsia"/>
                <w:b/>
                <w:color w:val="000000"/>
              </w:rPr>
            </w:pPr>
            <w:r>
              <w:rPr>
                <w:rFonts w:hint="eastAsia" w:asciiTheme="minorEastAsia" w:hAnsiTheme="minorEastAsia" w:cstheme="minorEastAsia"/>
                <w:b/>
                <w:color w:val="000000"/>
              </w:rPr>
              <w:t>3</w:t>
            </w:r>
          </w:p>
        </w:tc>
        <w:tc>
          <w:tcPr>
            <w:tcW w:w="8363" w:type="dxa"/>
            <w:gridSpan w:val="2"/>
            <w:shd w:val="clear" w:color="000000" w:fill="E6E6E6"/>
          </w:tcPr>
          <w:p>
            <w:pPr>
              <w:adjustRightInd w:val="0"/>
              <w:snapToGrid w:val="0"/>
              <w:spacing w:line="360" w:lineRule="auto"/>
              <w:rPr>
                <w:rFonts w:asciiTheme="minorEastAsia" w:hAnsiTheme="minorEastAsia" w:cstheme="minorEastAsia"/>
              </w:rPr>
            </w:pPr>
            <w:r>
              <w:rPr>
                <w:rFonts w:hint="eastAsia" w:asciiTheme="minorEastAsia" w:hAnsiTheme="minorEastAsia" w:cstheme="minorEastAsia"/>
                <w:b/>
              </w:rPr>
              <w:t>扫描床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adjustRightInd w:val="0"/>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3.1</w:t>
            </w:r>
          </w:p>
        </w:tc>
        <w:tc>
          <w:tcPr>
            <w:tcW w:w="8363" w:type="dxa"/>
            <w:gridSpan w:val="2"/>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扫描床：长度≥2700mm，宽度≥1100mm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adjustRightInd w:val="0"/>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3.2</w:t>
            </w:r>
          </w:p>
        </w:tc>
        <w:tc>
          <w:tcPr>
            <w:tcW w:w="8363" w:type="dxa"/>
            <w:gridSpan w:val="2"/>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扫描台病人承重：≥135kg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adjustRightInd w:val="0"/>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3.3</w:t>
            </w:r>
          </w:p>
        </w:tc>
        <w:tc>
          <w:tcPr>
            <w:tcW w:w="8363" w:type="dxa"/>
            <w:gridSpan w:val="2"/>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机械运动范围：横向x纵向≥1900mmX580mm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adjustRightInd w:val="0"/>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★3.4</w:t>
            </w:r>
          </w:p>
        </w:tc>
        <w:tc>
          <w:tcPr>
            <w:tcW w:w="8363" w:type="dxa"/>
            <w:gridSpan w:val="2"/>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有效测量区域：L≥1000mm *450mm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adjustRightInd w:val="0"/>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★3.5</w:t>
            </w:r>
          </w:p>
        </w:tc>
        <w:tc>
          <w:tcPr>
            <w:tcW w:w="8363" w:type="dxa"/>
            <w:gridSpan w:val="2"/>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部位扫描时间：腰椎≤45秒，股骨≤35秒，前臂≤30秒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adjustRightInd w:val="0"/>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3.6</w:t>
            </w:r>
          </w:p>
        </w:tc>
        <w:tc>
          <w:tcPr>
            <w:tcW w:w="8363" w:type="dxa"/>
            <w:gridSpan w:val="2"/>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全身扫描时间：≤380秒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adjustRightInd w:val="0"/>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3.7</w:t>
            </w:r>
          </w:p>
        </w:tc>
        <w:tc>
          <w:tcPr>
            <w:tcW w:w="8363" w:type="dxa"/>
            <w:gridSpan w:val="2"/>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定位：激光定位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adjustRightInd w:val="0"/>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3.8</w:t>
            </w:r>
          </w:p>
        </w:tc>
        <w:tc>
          <w:tcPr>
            <w:tcW w:w="8363" w:type="dxa"/>
            <w:gridSpan w:val="2"/>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空载状态运行时产生的噪声：≤55dB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adjustRightInd w:val="0"/>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3.9</w:t>
            </w:r>
          </w:p>
        </w:tc>
        <w:tc>
          <w:tcPr>
            <w:tcW w:w="8363" w:type="dxa"/>
            <w:gridSpan w:val="2"/>
            <w:shd w:val="clear" w:color="auto" w:fill="auto"/>
            <w:vAlign w:val="center"/>
          </w:tcPr>
          <w:p>
            <w:pPr>
              <w:spacing w:line="360" w:lineRule="auto"/>
              <w:rPr>
                <w:rFonts w:asciiTheme="minorEastAsia" w:hAnsiTheme="minorEastAsia" w:cstheme="minorEastAsia"/>
                <w:color w:val="FF0000"/>
                <w:highlight w:val="lightGray"/>
              </w:rPr>
            </w:pPr>
            <w:r>
              <w:rPr>
                <w:rFonts w:hint="eastAsia" w:asciiTheme="minorEastAsia" w:hAnsiTheme="minorEastAsia" w:cstheme="minorEastAsia"/>
                <w:color w:val="000000"/>
              </w:rPr>
              <w:t>床面高度：≤70cm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adjustRightInd w:val="0"/>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3.10</w:t>
            </w:r>
          </w:p>
        </w:tc>
        <w:tc>
          <w:tcPr>
            <w:tcW w:w="8363" w:type="dxa"/>
            <w:gridSpan w:val="2"/>
            <w:shd w:val="clear" w:color="auto" w:fill="auto"/>
            <w:vAlign w:val="center"/>
          </w:tcPr>
          <w:p>
            <w:pPr>
              <w:spacing w:line="360" w:lineRule="auto"/>
              <w:rPr>
                <w:rFonts w:asciiTheme="minorEastAsia" w:hAnsiTheme="minorEastAsia" w:cstheme="minorEastAsia"/>
                <w:color w:val="000000"/>
              </w:rPr>
            </w:pPr>
            <w:r>
              <w:rPr>
                <w:rFonts w:hint="eastAsia" w:asciiTheme="minorEastAsia" w:hAnsiTheme="minorEastAsia" w:cstheme="minorEastAsia"/>
                <w:color w:val="000000"/>
              </w:rPr>
              <w:t>扫描臂距离扫描床距离：≥65cm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adjustRightInd w:val="0"/>
              <w:snapToGrid w:val="0"/>
              <w:spacing w:line="360" w:lineRule="auto"/>
              <w:rPr>
                <w:rFonts w:asciiTheme="minorEastAsia" w:hAnsiTheme="minorEastAsia" w:cstheme="minorEastAsia"/>
                <w:b/>
                <w:color w:val="000000"/>
              </w:rPr>
            </w:pPr>
            <w:r>
              <w:rPr>
                <w:rFonts w:hint="eastAsia" w:asciiTheme="minorEastAsia" w:hAnsiTheme="minorEastAsia" w:cstheme="minorEastAsia"/>
                <w:b/>
                <w:color w:val="000000"/>
              </w:rPr>
              <w:t>4</w:t>
            </w:r>
          </w:p>
        </w:tc>
        <w:tc>
          <w:tcPr>
            <w:tcW w:w="8363" w:type="dxa"/>
            <w:gridSpan w:val="2"/>
            <w:shd w:val="clear" w:color="auto" w:fill="auto"/>
            <w:vAlign w:val="center"/>
          </w:tcPr>
          <w:p>
            <w:pPr>
              <w:adjustRightInd w:val="0"/>
              <w:snapToGrid w:val="0"/>
              <w:spacing w:line="360" w:lineRule="auto"/>
              <w:rPr>
                <w:rFonts w:asciiTheme="minorEastAsia" w:hAnsiTheme="minorEastAsia" w:cstheme="minorEastAsia"/>
                <w:b/>
                <w:color w:val="000000"/>
              </w:rPr>
            </w:pPr>
            <w:r>
              <w:rPr>
                <w:rFonts w:hint="eastAsia" w:asciiTheme="minorEastAsia" w:hAnsiTheme="minorEastAsia" w:cstheme="minorEastAsia"/>
                <w:b/>
                <w:color w:val="000000"/>
              </w:rPr>
              <w:t>辐射剂量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4.1</w:t>
            </w:r>
          </w:p>
        </w:tc>
        <w:tc>
          <w:tcPr>
            <w:tcW w:w="8363" w:type="dxa"/>
            <w:gridSpan w:val="2"/>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扫描放射剂量：腰椎≤12μGy/s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4.2</w:t>
            </w:r>
          </w:p>
        </w:tc>
        <w:tc>
          <w:tcPr>
            <w:tcW w:w="8363" w:type="dxa"/>
            <w:gridSpan w:val="2"/>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全身扫描放射剂量：≤0.2 μGy/s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01" w:type="dxa"/>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4.3</w:t>
            </w:r>
          </w:p>
        </w:tc>
        <w:tc>
          <w:tcPr>
            <w:tcW w:w="8363" w:type="dxa"/>
            <w:gridSpan w:val="2"/>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散射剂量：距扫描床1米处外溢剂量≤0.5 µSv/hr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000000" w:fill="E6E6E6"/>
          </w:tcPr>
          <w:p>
            <w:pPr>
              <w:spacing w:line="360" w:lineRule="auto"/>
              <w:rPr>
                <w:rFonts w:asciiTheme="minorEastAsia" w:hAnsiTheme="minorEastAsia" w:cstheme="minorEastAsia"/>
                <w:b/>
                <w:bCs/>
                <w:color w:val="000000" w:themeColor="text1"/>
                <w14:textFill>
                  <w14:solidFill>
                    <w14:schemeClr w14:val="tx1"/>
                  </w14:solidFill>
                </w14:textFill>
              </w:rPr>
            </w:pPr>
            <w:r>
              <w:rPr>
                <w:rFonts w:hint="eastAsia" w:asciiTheme="minorEastAsia" w:hAnsiTheme="minorEastAsia" w:cstheme="minorEastAsia"/>
                <w:b/>
                <w:bCs/>
                <w:color w:val="000000" w:themeColor="text1"/>
                <w14:textFill>
                  <w14:solidFill>
                    <w14:schemeClr w14:val="tx1"/>
                  </w14:solidFill>
                </w14:textFill>
              </w:rPr>
              <w:t>5</w:t>
            </w:r>
          </w:p>
        </w:tc>
        <w:tc>
          <w:tcPr>
            <w:tcW w:w="8363" w:type="dxa"/>
            <w:gridSpan w:val="2"/>
            <w:shd w:val="clear" w:color="000000" w:fill="E6E6E6"/>
          </w:tcPr>
          <w:p>
            <w:pPr>
              <w:spacing w:line="360" w:lineRule="auto"/>
              <w:rPr>
                <w:rFonts w:asciiTheme="minorEastAsia" w:hAnsiTheme="minorEastAsia" w:cstheme="minorEastAsia"/>
                <w:b/>
                <w:bCs/>
                <w:color w:val="000000" w:themeColor="text1"/>
                <w14:textFill>
                  <w14:solidFill>
                    <w14:schemeClr w14:val="tx1"/>
                  </w14:solidFill>
                </w14:textFill>
              </w:rPr>
            </w:pPr>
            <w:r>
              <w:rPr>
                <w:rFonts w:hint="eastAsia" w:asciiTheme="minorEastAsia" w:hAnsiTheme="minorEastAsia" w:cstheme="minorEastAsia"/>
                <w:b/>
                <w:bCs/>
                <w:color w:val="000000" w:themeColor="text1"/>
                <w14:textFill>
                  <w14:solidFill>
                    <w14:schemeClr w14:val="tx1"/>
                  </w14:solidFill>
                </w14:textFill>
              </w:rPr>
              <w:t>扫描参数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5.1</w:t>
            </w:r>
          </w:p>
        </w:tc>
        <w:tc>
          <w:tcPr>
            <w:tcW w:w="8363" w:type="dxa"/>
            <w:gridSpan w:val="2"/>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人体成分分析：测量人体成分（脂肪含量，组织，肌肉，脂肪百分比等）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01" w:type="dxa"/>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5.2</w:t>
            </w:r>
          </w:p>
        </w:tc>
        <w:tc>
          <w:tcPr>
            <w:tcW w:w="8363" w:type="dxa"/>
            <w:gridSpan w:val="2"/>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全身扫描：手,手腕,肘部,膝盖,脚踝等全身多部位测定，可通过颜色深浅区分骨强度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01" w:type="dxa"/>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5.3</w:t>
            </w:r>
          </w:p>
        </w:tc>
        <w:tc>
          <w:tcPr>
            <w:tcW w:w="8363" w:type="dxa"/>
            <w:gridSpan w:val="2"/>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脊柱评估分析：正位/侧位腰椎扫描、评估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01" w:type="dxa"/>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5.4</w:t>
            </w:r>
          </w:p>
        </w:tc>
        <w:tc>
          <w:tcPr>
            <w:tcW w:w="8363" w:type="dxa"/>
            <w:gridSpan w:val="2"/>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股骨评估分析：双侧股骨自动扫描、评估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01" w:type="dxa"/>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5.5</w:t>
            </w:r>
          </w:p>
        </w:tc>
        <w:tc>
          <w:tcPr>
            <w:tcW w:w="8363" w:type="dxa"/>
            <w:gridSpan w:val="2"/>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前臂评估分析：前臂测量和分析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5.6</w:t>
            </w:r>
          </w:p>
        </w:tc>
        <w:tc>
          <w:tcPr>
            <w:tcW w:w="8363" w:type="dxa"/>
            <w:gridSpan w:val="2"/>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人工髋关节周围划分的评估区个数：≥18个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5.7</w:t>
            </w:r>
          </w:p>
        </w:tc>
        <w:tc>
          <w:tcPr>
            <w:tcW w:w="8363" w:type="dxa"/>
            <w:gridSpan w:val="2"/>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人工关节置换后扫描评估：扫描时自动排除人工关节部位,精确评估骨密度含量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5.8</w:t>
            </w:r>
          </w:p>
        </w:tc>
        <w:tc>
          <w:tcPr>
            <w:tcW w:w="8363" w:type="dxa"/>
            <w:gridSpan w:val="2"/>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多部位自动化连扫：一次定位即可测定腰椎，双侧股骨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5.9</w:t>
            </w:r>
          </w:p>
        </w:tc>
        <w:tc>
          <w:tcPr>
            <w:tcW w:w="8363" w:type="dxa"/>
            <w:gridSpan w:val="2"/>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骨折风险评估分析：骨折风险评估软件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tcPr>
          <w:p>
            <w:pPr>
              <w:adjustRightInd w:val="0"/>
              <w:snapToGrid w:val="0"/>
              <w:spacing w:line="360" w:lineRule="auto"/>
              <w:rPr>
                <w:rFonts w:asciiTheme="minorEastAsia" w:hAnsiTheme="minorEastAsia" w:cstheme="minorEastAsia"/>
                <w:b/>
                <w:color w:val="000000"/>
              </w:rPr>
            </w:pPr>
            <w:r>
              <w:rPr>
                <w:rFonts w:hint="eastAsia" w:asciiTheme="minorEastAsia" w:hAnsiTheme="minorEastAsia" w:cstheme="minorEastAsia"/>
                <w:b/>
                <w:color w:val="000000"/>
              </w:rPr>
              <w:t>6</w:t>
            </w:r>
          </w:p>
        </w:tc>
        <w:tc>
          <w:tcPr>
            <w:tcW w:w="8363" w:type="dxa"/>
            <w:gridSpan w:val="2"/>
            <w:shd w:val="clear" w:color="auto" w:fill="auto"/>
          </w:tcPr>
          <w:p>
            <w:pPr>
              <w:adjustRightInd w:val="0"/>
              <w:snapToGrid w:val="0"/>
              <w:spacing w:line="360" w:lineRule="auto"/>
              <w:rPr>
                <w:rFonts w:asciiTheme="minorEastAsia" w:hAnsiTheme="minorEastAsia" w:cstheme="minorEastAsia"/>
                <w:b/>
              </w:rPr>
            </w:pPr>
            <w:r>
              <w:rPr>
                <w:rFonts w:hint="eastAsia" w:asciiTheme="minorEastAsia" w:hAnsiTheme="minorEastAsia" w:cstheme="minorEastAsia"/>
                <w:b/>
              </w:rPr>
              <w:t>临床应用软件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adjustRightInd w:val="0"/>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6.1</w:t>
            </w:r>
          </w:p>
        </w:tc>
        <w:tc>
          <w:tcPr>
            <w:tcW w:w="8363" w:type="dxa"/>
            <w:gridSpan w:val="2"/>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全中文操作软件：全中文操作界面及中文检测报告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adjustRightInd w:val="0"/>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6.2</w:t>
            </w:r>
          </w:p>
        </w:tc>
        <w:tc>
          <w:tcPr>
            <w:tcW w:w="8363" w:type="dxa"/>
            <w:gridSpan w:val="2"/>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多部位集成报告软件：将多部位的检测结果打印在一张报告上进行联合评估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adjustRightInd w:val="0"/>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6.3</w:t>
            </w:r>
          </w:p>
        </w:tc>
        <w:tc>
          <w:tcPr>
            <w:tcW w:w="8363" w:type="dxa"/>
            <w:gridSpan w:val="2"/>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自动化报告软件：自动生成图像及数据报告，支持报告编辑书写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adjustRightInd w:val="0"/>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6.4</w:t>
            </w:r>
          </w:p>
        </w:tc>
        <w:tc>
          <w:tcPr>
            <w:tcW w:w="8363" w:type="dxa"/>
            <w:gridSpan w:val="2"/>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中国大陆人数据库：数据库由国内权威机构建立，国内外核心期刊发表文章证明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adjustRightInd w:val="0"/>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6.5</w:t>
            </w:r>
          </w:p>
        </w:tc>
        <w:tc>
          <w:tcPr>
            <w:tcW w:w="8363" w:type="dxa"/>
            <w:gridSpan w:val="2"/>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自动确定骨边缘软件：自动区分 ROI(感兴趣区域)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adjustRightInd w:val="0"/>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6.6</w:t>
            </w:r>
          </w:p>
        </w:tc>
        <w:tc>
          <w:tcPr>
            <w:tcW w:w="8363" w:type="dxa"/>
            <w:gridSpan w:val="2"/>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扫描部位实时调整功能：通过软件，在屏幕上对扫描部位做精细调整，保证测量的精确性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adjustRightInd w:val="0"/>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6.7</w:t>
            </w:r>
          </w:p>
        </w:tc>
        <w:tc>
          <w:tcPr>
            <w:tcW w:w="8363" w:type="dxa"/>
            <w:gridSpan w:val="2"/>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检测结果趋势分析功能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adjustRightInd w:val="0"/>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themeColor="text1"/>
                <w14:textFill>
                  <w14:solidFill>
                    <w14:schemeClr w14:val="tx1"/>
                  </w14:solidFill>
                </w14:textFill>
              </w:rPr>
              <w:t>6.8</w:t>
            </w:r>
          </w:p>
        </w:tc>
        <w:tc>
          <w:tcPr>
            <w:tcW w:w="8363" w:type="dxa"/>
            <w:gridSpan w:val="2"/>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与前一次扫描结果对比分析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adjustRightInd w:val="0"/>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themeColor="text1"/>
                <w14:textFill>
                  <w14:solidFill>
                    <w14:schemeClr w14:val="tx1"/>
                  </w14:solidFill>
                </w14:textFill>
              </w:rPr>
              <w:t>6.9</w:t>
            </w:r>
          </w:p>
        </w:tc>
        <w:tc>
          <w:tcPr>
            <w:tcW w:w="8363" w:type="dxa"/>
            <w:gridSpan w:val="2"/>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系统传输：DICOM 协议接口，数据传输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tcPr>
          <w:p>
            <w:pPr>
              <w:adjustRightInd w:val="0"/>
              <w:snapToGrid w:val="0"/>
              <w:spacing w:line="360" w:lineRule="auto"/>
              <w:rPr>
                <w:rFonts w:asciiTheme="minorEastAsia" w:hAnsiTheme="minorEastAsia" w:cstheme="minorEastAsia"/>
                <w:b/>
                <w:color w:val="000000"/>
              </w:rPr>
            </w:pPr>
            <w:r>
              <w:rPr>
                <w:rFonts w:hint="eastAsia" w:asciiTheme="minorEastAsia" w:hAnsiTheme="minorEastAsia" w:cstheme="minorEastAsia"/>
                <w:b/>
                <w:color w:val="000000"/>
              </w:rPr>
              <w:t>7</w:t>
            </w:r>
          </w:p>
        </w:tc>
        <w:tc>
          <w:tcPr>
            <w:tcW w:w="8363" w:type="dxa"/>
            <w:gridSpan w:val="2"/>
            <w:shd w:val="clear" w:color="auto" w:fill="auto"/>
          </w:tcPr>
          <w:p>
            <w:pPr>
              <w:adjustRightInd w:val="0"/>
              <w:snapToGrid w:val="0"/>
              <w:spacing w:line="360" w:lineRule="auto"/>
              <w:rPr>
                <w:rFonts w:asciiTheme="minorEastAsia" w:hAnsiTheme="minorEastAsia" w:cstheme="minorEastAsia"/>
                <w:b/>
              </w:rPr>
            </w:pPr>
            <w:r>
              <w:rPr>
                <w:rFonts w:hint="eastAsia" w:asciiTheme="minorEastAsia" w:hAnsiTheme="minorEastAsia" w:cstheme="minorEastAsia"/>
                <w:b/>
              </w:rPr>
              <w:t>质控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adjustRightInd w:val="0"/>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7.1</w:t>
            </w:r>
          </w:p>
        </w:tc>
        <w:tc>
          <w:tcPr>
            <w:tcW w:w="8363" w:type="dxa"/>
            <w:gridSpan w:val="2"/>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全自动质控软件：自动质控测试程序，自动质控趋势分析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adjustRightInd w:val="0"/>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7.2</w:t>
            </w:r>
          </w:p>
        </w:tc>
        <w:tc>
          <w:tcPr>
            <w:tcW w:w="8363" w:type="dxa"/>
            <w:gridSpan w:val="2"/>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质控模块：QA模块校准骨密度含量，配备四种不同密度的质控模块适合不同测定人群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1" w:type="dxa"/>
            <w:shd w:val="clear" w:color="auto" w:fill="auto"/>
            <w:vAlign w:val="center"/>
          </w:tcPr>
          <w:p>
            <w:pPr>
              <w:adjustRightInd w:val="0"/>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7.3</w:t>
            </w:r>
          </w:p>
        </w:tc>
        <w:tc>
          <w:tcPr>
            <w:tcW w:w="8363" w:type="dxa"/>
            <w:gridSpan w:val="2"/>
            <w:shd w:val="clear" w:color="auto" w:fill="auto"/>
            <w:vAlign w:val="center"/>
          </w:tcPr>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重复性：误差变异系数≤1%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101" w:type="dxa"/>
            <w:shd w:val="clear" w:color="auto" w:fill="auto"/>
          </w:tcPr>
          <w:p>
            <w:pPr>
              <w:adjustRightInd w:val="0"/>
              <w:snapToGrid w:val="0"/>
              <w:spacing w:line="360" w:lineRule="auto"/>
              <w:rPr>
                <w:rFonts w:asciiTheme="minorEastAsia" w:hAnsiTheme="minorEastAsia" w:cstheme="minorEastAsia"/>
                <w:b/>
              </w:rPr>
            </w:pPr>
            <w:r>
              <w:rPr>
                <w:rFonts w:hint="eastAsia" w:asciiTheme="minorEastAsia" w:hAnsiTheme="minorEastAsia" w:cstheme="minorEastAsia"/>
                <w:b/>
              </w:rPr>
              <w:t>8</w:t>
            </w:r>
          </w:p>
        </w:tc>
        <w:tc>
          <w:tcPr>
            <w:tcW w:w="8363" w:type="dxa"/>
            <w:gridSpan w:val="2"/>
            <w:shd w:val="clear" w:color="auto" w:fill="auto"/>
          </w:tcPr>
          <w:p>
            <w:pPr>
              <w:adjustRightInd w:val="0"/>
              <w:snapToGrid w:val="0"/>
              <w:spacing w:line="360" w:lineRule="auto"/>
              <w:rPr>
                <w:rFonts w:asciiTheme="minorEastAsia" w:hAnsiTheme="minorEastAsia" w:cstheme="minorEastAsia"/>
              </w:rPr>
            </w:pPr>
            <w:r>
              <w:rPr>
                <w:rFonts w:hint="eastAsia" w:asciiTheme="minorEastAsia" w:hAnsiTheme="minorEastAsia" w:cstheme="minorEastAsia"/>
                <w:b/>
                <w:bCs/>
              </w:rPr>
              <w:t>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101" w:type="dxa"/>
            <w:shd w:val="clear" w:color="auto" w:fill="auto"/>
            <w:vAlign w:val="center"/>
          </w:tcPr>
          <w:p>
            <w:pPr>
              <w:adjustRightInd w:val="0"/>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8.1</w:t>
            </w:r>
          </w:p>
        </w:tc>
        <w:tc>
          <w:tcPr>
            <w:tcW w:w="8363" w:type="dxa"/>
            <w:gridSpan w:val="2"/>
            <w:shd w:val="clear" w:color="auto" w:fill="auto"/>
            <w:vAlign w:val="center"/>
          </w:tcPr>
          <w:p>
            <w:pPr>
              <w:adjustRightInd w:val="0"/>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CPU：≥4核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101" w:type="dxa"/>
            <w:shd w:val="clear" w:color="auto" w:fill="auto"/>
            <w:vAlign w:val="center"/>
          </w:tcPr>
          <w:p>
            <w:pPr>
              <w:adjustRightInd w:val="0"/>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8.2</w:t>
            </w:r>
          </w:p>
        </w:tc>
        <w:tc>
          <w:tcPr>
            <w:tcW w:w="8363" w:type="dxa"/>
            <w:gridSpan w:val="2"/>
            <w:shd w:val="clear" w:color="auto" w:fill="auto"/>
            <w:vAlign w:val="center"/>
          </w:tcPr>
          <w:p>
            <w:pPr>
              <w:adjustRightInd w:val="0"/>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内存：≥24GB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101" w:type="dxa"/>
            <w:shd w:val="clear" w:color="auto" w:fill="auto"/>
            <w:vAlign w:val="center"/>
          </w:tcPr>
          <w:p>
            <w:pPr>
              <w:adjustRightInd w:val="0"/>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8.3</w:t>
            </w:r>
          </w:p>
        </w:tc>
        <w:tc>
          <w:tcPr>
            <w:tcW w:w="8363" w:type="dxa"/>
            <w:gridSpan w:val="2"/>
            <w:shd w:val="clear" w:color="auto" w:fill="auto"/>
            <w:vAlign w:val="center"/>
          </w:tcPr>
          <w:p>
            <w:pPr>
              <w:adjustRightInd w:val="0"/>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硬盘容量：≥1TB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101" w:type="dxa"/>
            <w:shd w:val="clear" w:color="auto" w:fill="auto"/>
            <w:vAlign w:val="center"/>
          </w:tcPr>
          <w:p>
            <w:pPr>
              <w:adjustRightInd w:val="0"/>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8.4</w:t>
            </w:r>
          </w:p>
        </w:tc>
        <w:tc>
          <w:tcPr>
            <w:tcW w:w="8363" w:type="dxa"/>
            <w:gridSpan w:val="2"/>
            <w:shd w:val="clear" w:color="auto" w:fill="auto"/>
            <w:vAlign w:val="center"/>
          </w:tcPr>
          <w:p>
            <w:pPr>
              <w:adjustRightInd w:val="0"/>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永久贮存刻录方式：DVD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101" w:type="dxa"/>
            <w:shd w:val="clear" w:color="auto" w:fill="auto"/>
            <w:vAlign w:val="center"/>
          </w:tcPr>
          <w:p>
            <w:pPr>
              <w:adjustRightInd w:val="0"/>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8.5</w:t>
            </w:r>
          </w:p>
        </w:tc>
        <w:tc>
          <w:tcPr>
            <w:tcW w:w="8363" w:type="dxa"/>
            <w:gridSpan w:val="2"/>
            <w:shd w:val="clear" w:color="auto" w:fill="auto"/>
            <w:vAlign w:val="center"/>
          </w:tcPr>
          <w:p>
            <w:pPr>
              <w:adjustRightInd w:val="0"/>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液晶显示器尺寸：≥24英寸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101" w:type="dxa"/>
            <w:shd w:val="clear" w:color="auto" w:fill="auto"/>
            <w:vAlign w:val="center"/>
          </w:tcPr>
          <w:p>
            <w:pPr>
              <w:adjustRightInd w:val="0"/>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8.7</w:t>
            </w:r>
          </w:p>
        </w:tc>
        <w:tc>
          <w:tcPr>
            <w:tcW w:w="8363" w:type="dxa"/>
            <w:gridSpan w:val="2"/>
            <w:shd w:val="clear" w:color="auto" w:fill="auto"/>
            <w:vAlign w:val="center"/>
          </w:tcPr>
          <w:p>
            <w:pPr>
              <w:adjustRightInd w:val="0"/>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液晶显示器分辨率：≥1920×1200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101" w:type="dxa"/>
            <w:shd w:val="clear" w:color="auto" w:fill="auto"/>
            <w:vAlign w:val="center"/>
          </w:tcPr>
          <w:p>
            <w:pPr>
              <w:adjustRightInd w:val="0"/>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8.8</w:t>
            </w:r>
          </w:p>
        </w:tc>
        <w:tc>
          <w:tcPr>
            <w:tcW w:w="8363" w:type="dxa"/>
            <w:gridSpan w:val="2"/>
            <w:shd w:val="clear" w:color="auto" w:fill="auto"/>
            <w:vAlign w:val="center"/>
          </w:tcPr>
          <w:p>
            <w:pPr>
              <w:adjustRightInd w:val="0"/>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图像格式、传输存储：DICOM 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101" w:type="dxa"/>
            <w:shd w:val="clear" w:color="auto" w:fill="auto"/>
            <w:vAlign w:val="center"/>
          </w:tcPr>
          <w:p>
            <w:pPr>
              <w:adjustRightInd w:val="0"/>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8.9</w:t>
            </w:r>
          </w:p>
        </w:tc>
        <w:tc>
          <w:tcPr>
            <w:tcW w:w="8363" w:type="dxa"/>
            <w:gridSpan w:val="2"/>
            <w:shd w:val="clear" w:color="auto" w:fill="auto"/>
            <w:vAlign w:val="center"/>
          </w:tcPr>
          <w:p>
            <w:pPr>
              <w:adjustRightInd w:val="0"/>
              <w:snapToGrid w:val="0"/>
              <w:spacing w:line="360" w:lineRule="auto"/>
              <w:rPr>
                <w:rFonts w:asciiTheme="minorEastAsia" w:hAnsiTheme="minorEastAsia" w:cstheme="minorEastAsia"/>
                <w:color w:val="000000"/>
              </w:rPr>
            </w:pPr>
            <w:r>
              <w:rPr>
                <w:rFonts w:hint="eastAsia" w:asciiTheme="minorEastAsia" w:hAnsiTheme="minorEastAsia" w:cstheme="minorEastAsia"/>
                <w:color w:val="000000"/>
              </w:rPr>
              <w:t>彩色激光打印机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01" w:type="dxa"/>
            <w:shd w:val="clear" w:color="auto" w:fill="auto"/>
          </w:tcPr>
          <w:p>
            <w:pPr>
              <w:adjustRightInd w:val="0"/>
              <w:snapToGrid w:val="0"/>
              <w:spacing w:line="360" w:lineRule="auto"/>
              <w:rPr>
                <w:rFonts w:asciiTheme="minorEastAsia" w:hAnsiTheme="minorEastAsia" w:cstheme="minorEastAsia"/>
                <w:b/>
                <w:color w:val="000000"/>
              </w:rPr>
            </w:pPr>
            <w:r>
              <w:rPr>
                <w:rFonts w:hint="eastAsia" w:asciiTheme="minorEastAsia" w:hAnsiTheme="minorEastAsia" w:cstheme="minorEastAsia"/>
                <w:b/>
                <w:color w:val="000000"/>
              </w:rPr>
              <w:t>三</w:t>
            </w:r>
          </w:p>
        </w:tc>
        <w:tc>
          <w:tcPr>
            <w:tcW w:w="3230" w:type="dxa"/>
            <w:shd w:val="clear" w:color="auto" w:fill="auto"/>
          </w:tcPr>
          <w:p>
            <w:pPr>
              <w:adjustRightInd w:val="0"/>
              <w:snapToGrid w:val="0"/>
              <w:spacing w:line="360" w:lineRule="auto"/>
              <w:rPr>
                <w:rFonts w:asciiTheme="minorEastAsia" w:hAnsiTheme="minorEastAsia" w:cstheme="minorEastAsia"/>
                <w:b/>
              </w:rPr>
            </w:pPr>
            <w:r>
              <w:rPr>
                <w:rFonts w:hint="eastAsia" w:asciiTheme="minorEastAsia" w:hAnsiTheme="minorEastAsia" w:cstheme="minorEastAsia"/>
                <w:b/>
              </w:rPr>
              <w:t>售后服务及其他</w:t>
            </w:r>
          </w:p>
        </w:tc>
        <w:tc>
          <w:tcPr>
            <w:tcW w:w="5133" w:type="dxa"/>
            <w:shd w:val="clear" w:color="auto" w:fill="auto"/>
          </w:tcPr>
          <w:p>
            <w:pPr>
              <w:adjustRightInd w:val="0"/>
              <w:snapToGrid w:val="0"/>
              <w:spacing w:line="360" w:lineRule="auto"/>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464" w:type="dxa"/>
            <w:gridSpan w:val="3"/>
            <w:shd w:val="clear" w:color="auto" w:fill="auto"/>
          </w:tcPr>
          <w:p>
            <w:pPr>
              <w:snapToGrid w:val="0"/>
              <w:spacing w:line="360" w:lineRule="auto"/>
            </w:pPr>
            <w:r>
              <w:rPr>
                <w:rFonts w:hint="eastAsia"/>
              </w:rPr>
              <w:t>1.具备远程维修诊断系统，免费开放故障代码</w:t>
            </w:r>
          </w:p>
          <w:p>
            <w:pPr>
              <w:snapToGrid w:val="0"/>
              <w:spacing w:line="360" w:lineRule="auto"/>
            </w:pPr>
            <w:r>
              <w:rPr>
                <w:rFonts w:hint="eastAsia"/>
              </w:rPr>
              <w:t>2.备件供应：国内有备件仓库，具备仓库地址，电话</w:t>
            </w:r>
          </w:p>
          <w:p>
            <w:pPr>
              <w:snapToGrid w:val="0"/>
              <w:spacing w:line="360" w:lineRule="auto"/>
            </w:pPr>
            <w:r>
              <w:rPr>
                <w:rFonts w:hint="eastAsia"/>
              </w:rPr>
              <w:t>3.维修工程师：省内有固定的维修工程师，具备姓名及联系方式</w:t>
            </w:r>
          </w:p>
          <w:p>
            <w:pPr>
              <w:snapToGrid w:val="0"/>
              <w:spacing w:line="360" w:lineRule="auto"/>
            </w:pPr>
            <w:r>
              <w:rPr>
                <w:rFonts w:hint="eastAsia"/>
              </w:rPr>
              <w:t>4.具备免费保修电话,具备800或400免费维修电话号码</w:t>
            </w:r>
          </w:p>
          <w:p>
            <w:pPr>
              <w:snapToGrid w:val="0"/>
              <w:spacing w:line="360" w:lineRule="auto"/>
            </w:pPr>
            <w:r>
              <w:rPr>
                <w:rFonts w:hint="eastAsia"/>
              </w:rPr>
              <w:t>5.卖方应具备现场技术培训，保证使用人员能够正确操作，使用设备各种功能</w:t>
            </w:r>
          </w:p>
          <w:p>
            <w:pPr>
              <w:snapToGrid w:val="0"/>
              <w:spacing w:line="360" w:lineRule="auto"/>
            </w:pPr>
            <w:r>
              <w:rPr>
                <w:rFonts w:hint="eastAsia"/>
              </w:rPr>
              <w:t>6.卖方须向买方具备设备的运行、安装、使用环境要求</w:t>
            </w:r>
          </w:p>
          <w:p>
            <w:pPr>
              <w:snapToGrid w:val="0"/>
              <w:spacing w:line="360" w:lineRule="auto"/>
            </w:pPr>
            <w:r>
              <w:rPr>
                <w:rFonts w:hint="eastAsia"/>
              </w:rPr>
              <w:t>7.原厂整机质保三年（含第三方产品）（提供生产厂商三年质保承诺函），保修期内的开机率≥95%（按365天计），每停机一天，质保时间顺延五天。</w:t>
            </w:r>
          </w:p>
          <w:p>
            <w:pPr>
              <w:snapToGrid w:val="0"/>
              <w:spacing w:line="360" w:lineRule="auto"/>
            </w:pPr>
            <w:r>
              <w:rPr>
                <w:rFonts w:hint="eastAsia" w:asciiTheme="minorEastAsia" w:hAnsiTheme="minorEastAsia" w:cstheme="minorEastAsia"/>
              </w:rPr>
              <w:t>★</w:t>
            </w:r>
            <w:r>
              <w:rPr>
                <w:rFonts w:hint="eastAsia" w:asciiTheme="minorEastAsia" w:hAnsiTheme="minorEastAsia" w:cstheme="minorEastAsia"/>
                <w:color w:val="000000"/>
              </w:rPr>
              <w:t>8.</w:t>
            </w:r>
            <w:r>
              <w:rPr>
                <w:rFonts w:hint="eastAsia"/>
              </w:rPr>
              <w:t>整机全保（含球管、探测器、高压发生器及第三方产品附属设备）费用不得高于10万人民币/年，且在设备生命周期内不得涨价。需具备所投产品生产企业加盖公章的承诺文件</w:t>
            </w:r>
          </w:p>
          <w:p>
            <w:pPr>
              <w:snapToGrid w:val="0"/>
              <w:spacing w:line="360" w:lineRule="auto"/>
            </w:pPr>
            <w:r>
              <w:rPr>
                <w:rFonts w:hint="eastAsia"/>
              </w:rPr>
              <w:t>9.具备远程维修诊断系统</w:t>
            </w:r>
          </w:p>
          <w:p>
            <w:pPr>
              <w:snapToGrid w:val="0"/>
              <w:spacing w:line="360" w:lineRule="auto"/>
              <w:rPr>
                <w:rFonts w:asciiTheme="minorEastAsia" w:hAnsiTheme="minorEastAsia" w:cstheme="minorEastAsia"/>
              </w:rPr>
            </w:pPr>
            <w:r>
              <w:rPr>
                <w:rFonts w:hint="eastAsia" w:asciiTheme="minorEastAsia" w:hAnsiTheme="minorEastAsia" w:cstheme="minorEastAsia"/>
              </w:rPr>
              <w:t>10.维修响应速度：接到通知后供应商应做到2小时内响应,24小时内到达现场,48小时内将故障排除完毕(包括所有节假日)</w:t>
            </w:r>
          </w:p>
          <w:p>
            <w:pPr>
              <w:snapToGrid w:val="0"/>
              <w:spacing w:line="360" w:lineRule="auto"/>
              <w:rPr>
                <w:rFonts w:asciiTheme="minorEastAsia" w:hAnsiTheme="minorEastAsia" w:cstheme="minorEastAsia"/>
              </w:rPr>
            </w:pPr>
            <w:r>
              <w:rPr>
                <w:rFonts w:hint="eastAsia" w:asciiTheme="minorEastAsia" w:hAnsiTheme="minorEastAsia" w:cstheme="minorEastAsia"/>
              </w:rPr>
              <w:t>11.设备保修各厂家分别列出并承诺该机出保后的各种类型保修优惠方案（含所有第三方产品），作为评标的主要依据之一</w:t>
            </w:r>
          </w:p>
          <w:p>
            <w:pPr>
              <w:snapToGrid w:val="0"/>
              <w:spacing w:line="360" w:lineRule="auto"/>
              <w:rPr>
                <w:rFonts w:asciiTheme="minorEastAsia" w:hAnsiTheme="minorEastAsia" w:cstheme="minorEastAsia"/>
              </w:rPr>
            </w:pPr>
            <w:r>
              <w:rPr>
                <w:rFonts w:hint="eastAsia" w:asciiTheme="minorEastAsia" w:hAnsiTheme="minorEastAsia" w:cstheme="minorEastAsia"/>
              </w:rPr>
              <w:t>12.设备停产后的备件供应：保证10年</w:t>
            </w:r>
          </w:p>
          <w:p>
            <w:pPr>
              <w:snapToGrid w:val="0"/>
              <w:spacing w:line="360" w:lineRule="auto"/>
              <w:rPr>
                <w:rFonts w:asciiTheme="minorEastAsia" w:hAnsiTheme="minorEastAsia" w:cstheme="minorEastAsia"/>
              </w:rPr>
            </w:pPr>
            <w:r>
              <w:rPr>
                <w:rFonts w:hint="eastAsia" w:asciiTheme="minorEastAsia" w:hAnsiTheme="minorEastAsia" w:cstheme="minorEastAsia"/>
              </w:rPr>
              <w:t>13.具备维修专用工具一套</w:t>
            </w:r>
          </w:p>
          <w:p>
            <w:pPr>
              <w:snapToGrid w:val="0"/>
              <w:spacing w:line="360" w:lineRule="auto"/>
              <w:rPr>
                <w:rFonts w:asciiTheme="minorEastAsia" w:hAnsiTheme="minorEastAsia" w:cstheme="minorEastAsia"/>
              </w:rPr>
            </w:pPr>
            <w:r>
              <w:rPr>
                <w:rFonts w:hint="eastAsia" w:asciiTheme="minorEastAsia" w:hAnsiTheme="minorEastAsia" w:cstheme="minorEastAsia"/>
              </w:rPr>
              <w:t>14.技术资料要求：卖方应向买方具备以下技术资料中文两套，其费用应包括在投标价格内。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464" w:type="dxa"/>
            <w:gridSpan w:val="3"/>
            <w:shd w:val="clear" w:color="auto" w:fill="auto"/>
          </w:tcPr>
          <w:p>
            <w:pPr>
              <w:adjustRightInd w:val="0"/>
              <w:snapToGrid w:val="0"/>
              <w:spacing w:line="360" w:lineRule="auto"/>
              <w:rPr>
                <w:rFonts w:asciiTheme="minorEastAsia" w:hAnsiTheme="minorEastAsia" w:cstheme="minorEastAsia"/>
              </w:rPr>
            </w:pPr>
            <w:r>
              <w:rPr>
                <w:rFonts w:hint="eastAsia" w:asciiTheme="minorEastAsia" w:hAnsiTheme="minorEastAsia" w:cstheme="minorEastAsia"/>
                <w:b/>
              </w:rPr>
              <w:t>四 技术文件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9464" w:type="dxa"/>
            <w:gridSpan w:val="3"/>
            <w:shd w:val="clear" w:color="auto" w:fill="auto"/>
          </w:tcPr>
          <w:p>
            <w:pPr>
              <w:adjustRightInd w:val="0"/>
              <w:snapToGrid w:val="0"/>
              <w:spacing w:line="360" w:lineRule="auto"/>
              <w:rPr>
                <w:rFonts w:asciiTheme="minorEastAsia" w:hAnsiTheme="minorEastAsia" w:cstheme="minorEastAsia"/>
              </w:rPr>
            </w:pPr>
            <w:r>
              <w:rPr>
                <w:rFonts w:hint="eastAsia" w:asciiTheme="minorEastAsia" w:hAnsiTheme="minorEastAsia" w:cstheme="minorEastAsia"/>
              </w:rPr>
              <w:t>具备必要的技术图纸资料，系统操作维护说明手册、编程手册、软硬件说明等，具备完整的操作使用手册（中英文）,系统电路图，接线图以及有关资料2份，具备产品检验合格证书、质量保证书等文件，具备设备整机和有关主要附件质量检验证书，维修工程师：省内有固定的维修点及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464" w:type="dxa"/>
            <w:gridSpan w:val="3"/>
            <w:shd w:val="clear" w:color="auto" w:fill="auto"/>
            <w:vAlign w:val="center"/>
          </w:tcPr>
          <w:p>
            <w:pPr>
              <w:adjustRightInd w:val="0"/>
              <w:snapToGrid w:val="0"/>
              <w:spacing w:line="360" w:lineRule="auto"/>
              <w:jc w:val="both"/>
              <w:rPr>
                <w:rFonts w:asciiTheme="minorEastAsia" w:hAnsiTheme="minorEastAsia" w:cstheme="minorEastAsia"/>
              </w:rPr>
            </w:pPr>
            <w:r>
              <w:rPr>
                <w:rFonts w:hint="eastAsia" w:asciiTheme="minorEastAsia" w:hAnsiTheme="minorEastAsia" w:cstheme="minorEastAsia"/>
                <w:b/>
              </w:rPr>
              <w:t>五 安装及调试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464" w:type="dxa"/>
            <w:gridSpan w:val="3"/>
            <w:shd w:val="clear" w:color="auto" w:fill="auto"/>
          </w:tcPr>
          <w:p>
            <w:pPr>
              <w:adjustRightInd w:val="0"/>
              <w:snapToGrid w:val="0"/>
              <w:spacing w:line="360" w:lineRule="auto"/>
              <w:rPr>
                <w:rFonts w:asciiTheme="minorEastAsia" w:hAnsiTheme="minorEastAsia" w:cstheme="minorEastAsia"/>
              </w:rPr>
            </w:pPr>
            <w:r>
              <w:rPr>
                <w:rFonts w:hint="eastAsia" w:asciiTheme="minorEastAsia" w:hAnsiTheme="minorEastAsia" w:cstheme="minorEastAsia"/>
              </w:rPr>
              <w:t>1.在货物到达买方后，卖方应在7天内派工程技术人员到达现场，在买方技术人员在场的情况下开箱清点货物，组织安装、调试，由卖方承担因此发生的一切费用。安装调试时间不得超过10个工作日。超时卖方须赔偿由此造成的损失。在此期间卖方应派遣服务工程师参加全过程的服务,派遣服务工程师的有关旅费由其自行承担。</w:t>
            </w:r>
          </w:p>
          <w:p>
            <w:pPr>
              <w:adjustRightInd w:val="0"/>
              <w:snapToGrid w:val="0"/>
              <w:spacing w:line="360" w:lineRule="auto"/>
              <w:rPr>
                <w:rFonts w:asciiTheme="minorEastAsia" w:hAnsiTheme="minorEastAsia" w:cstheme="minorEastAsia"/>
              </w:rPr>
            </w:pPr>
            <w:r>
              <w:rPr>
                <w:rFonts w:hint="eastAsia" w:asciiTheme="minorEastAsia" w:hAnsiTheme="minorEastAsia" w:cstheme="minorEastAsia"/>
              </w:rPr>
              <w:t>2.设备应先进行调试再进行试运转，设备试运转由卖方负责，买方协助。</w:t>
            </w:r>
          </w:p>
          <w:p>
            <w:pPr>
              <w:adjustRightInd w:val="0"/>
              <w:snapToGrid w:val="0"/>
              <w:spacing w:line="360" w:lineRule="auto"/>
              <w:rPr>
                <w:rFonts w:asciiTheme="minorEastAsia" w:hAnsiTheme="minorEastAsia" w:cstheme="minorEastAsia"/>
              </w:rPr>
            </w:pPr>
            <w:r>
              <w:rPr>
                <w:rFonts w:hint="eastAsia" w:asciiTheme="minorEastAsia" w:hAnsiTheme="minorEastAsia" w:cstheme="minorEastAsia"/>
              </w:rPr>
              <w:t>3.设备安装完成后的试运行是验证合同中所有设备、系统是否能安全、有效地按标书的要求运行，卖方及各项设备制造商有责任到现场对调试进行指导与配合。</w:t>
            </w:r>
          </w:p>
          <w:p>
            <w:pPr>
              <w:adjustRightInd w:val="0"/>
              <w:snapToGrid w:val="0"/>
              <w:spacing w:line="360" w:lineRule="auto"/>
              <w:rPr>
                <w:rFonts w:asciiTheme="minorEastAsia" w:hAnsiTheme="minorEastAsia" w:cstheme="minorEastAsia"/>
              </w:rPr>
            </w:pPr>
            <w:r>
              <w:rPr>
                <w:rFonts w:hint="eastAsia" w:asciiTheme="minorEastAsia" w:hAnsiTheme="minorEastAsia" w:cstheme="minorEastAsia"/>
              </w:rPr>
              <w:t>4.安装调试后设备的各种性能和参数应满足招标文件相关规定的技术要求。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464" w:type="dxa"/>
            <w:gridSpan w:val="3"/>
            <w:shd w:val="clear" w:color="auto" w:fill="auto"/>
          </w:tcPr>
          <w:p>
            <w:pPr>
              <w:adjustRightInd w:val="0"/>
              <w:snapToGrid w:val="0"/>
              <w:spacing w:line="360" w:lineRule="auto"/>
              <w:rPr>
                <w:rFonts w:asciiTheme="minorEastAsia" w:hAnsiTheme="minorEastAsia" w:cstheme="minorEastAsia"/>
              </w:rPr>
            </w:pPr>
            <w:r>
              <w:rPr>
                <w:rFonts w:hint="eastAsia" w:asciiTheme="minorEastAsia" w:hAnsiTheme="minorEastAsia" w:cstheme="minorEastAsia"/>
                <w:b/>
              </w:rPr>
              <w:t>六 附属设备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6" w:hRule="atLeast"/>
        </w:trPr>
        <w:tc>
          <w:tcPr>
            <w:tcW w:w="9464" w:type="dxa"/>
            <w:gridSpan w:val="3"/>
            <w:shd w:val="clear" w:color="auto" w:fill="auto"/>
          </w:tcPr>
          <w:p>
            <w:pPr>
              <w:adjustRightInd w:val="0"/>
              <w:snapToGrid w:val="0"/>
              <w:spacing w:line="360" w:lineRule="auto"/>
              <w:rPr>
                <w:rFonts w:asciiTheme="minorEastAsia" w:hAnsiTheme="minorEastAsia" w:cstheme="minorEastAsia"/>
              </w:rPr>
            </w:pPr>
            <w:r>
              <w:rPr>
                <w:rFonts w:hint="eastAsia" w:asciiTheme="minorEastAsia" w:hAnsiTheme="minorEastAsia" w:cstheme="minorEastAsia"/>
              </w:rPr>
              <w:t xml:space="preserve">1.操作台计算机和独立工作站用UPS </w:t>
            </w:r>
            <w:r>
              <w:rPr>
                <w:rFonts w:hint="eastAsia" w:asciiTheme="minorEastAsia" w:hAnsiTheme="minorEastAsia" w:cstheme="minorEastAsia"/>
                <w:lang w:val="en-US" w:eastAsia="zh-CN"/>
              </w:rPr>
              <w:t>1</w:t>
            </w:r>
            <w:r>
              <w:rPr>
                <w:rFonts w:hint="eastAsia" w:asciiTheme="minorEastAsia" w:hAnsiTheme="minorEastAsia" w:cstheme="minorEastAsia"/>
              </w:rPr>
              <w:t xml:space="preserve">台, 延时时间≥30min, </w:t>
            </w:r>
          </w:p>
          <w:p>
            <w:pPr>
              <w:adjustRightInd w:val="0"/>
              <w:snapToGrid w:val="0"/>
              <w:spacing w:line="360" w:lineRule="auto"/>
              <w:rPr>
                <w:rFonts w:asciiTheme="minorEastAsia" w:hAnsiTheme="minorEastAsia" w:cstheme="minorEastAsia"/>
              </w:rPr>
            </w:pPr>
            <w:r>
              <w:rPr>
                <w:rFonts w:hint="eastAsia" w:asciiTheme="minorEastAsia" w:hAnsiTheme="minorEastAsia" w:cstheme="minorEastAsia"/>
              </w:rPr>
              <w:t>2.与设备功率相匹配的配电柜及元器件（含设备到配件柜之间所需的专用电缆线）一套、语音对讲系统一套,原厂配专用操作台1张，转椅两把</w:t>
            </w:r>
          </w:p>
          <w:p>
            <w:pPr>
              <w:adjustRightInd w:val="0"/>
              <w:snapToGrid w:val="0"/>
              <w:spacing w:line="360" w:lineRule="auto"/>
              <w:rPr>
                <w:rFonts w:asciiTheme="minorEastAsia" w:hAnsiTheme="minorEastAsia" w:cstheme="minorEastAsia"/>
              </w:rPr>
            </w:pPr>
            <w:r>
              <w:rPr>
                <w:rFonts w:hint="eastAsia" w:asciiTheme="minorEastAsia" w:hAnsiTheme="minorEastAsia" w:cstheme="minorEastAsia"/>
              </w:rPr>
              <w:t>3.CT和MR 专用竖屏2套（含计算机 CPU 4G）保修5年(4兆彩色双屏)</w:t>
            </w:r>
          </w:p>
          <w:p>
            <w:pPr>
              <w:adjustRightInd w:val="0"/>
              <w:snapToGrid w:val="0"/>
              <w:spacing w:line="360" w:lineRule="auto"/>
              <w:rPr>
                <w:rFonts w:asciiTheme="minorEastAsia" w:hAnsiTheme="minorEastAsia" w:cstheme="minorEastAsia"/>
              </w:rPr>
            </w:pPr>
            <w:r>
              <w:rPr>
                <w:rFonts w:hint="eastAsia" w:asciiTheme="minorEastAsia" w:hAnsiTheme="minorEastAsia" w:cstheme="minorEastAsia"/>
              </w:rPr>
              <w:t>4.承担与医院PACS连接的所有软硬件需求</w:t>
            </w:r>
          </w:p>
          <w:p>
            <w:pPr>
              <w:adjustRightInd w:val="0"/>
              <w:snapToGrid w:val="0"/>
              <w:spacing w:line="360" w:lineRule="auto"/>
              <w:rPr>
                <w:rFonts w:asciiTheme="minorEastAsia" w:hAnsiTheme="minorEastAsia" w:cstheme="minorEastAsia"/>
              </w:rPr>
            </w:pPr>
            <w:r>
              <w:rPr>
                <w:rFonts w:hint="eastAsia" w:asciiTheme="minorEastAsia" w:hAnsiTheme="minorEastAsia" w:cstheme="minorEastAsia"/>
              </w:rPr>
              <w:t>5.病人监视系统1套</w:t>
            </w:r>
          </w:p>
          <w:p>
            <w:pPr>
              <w:adjustRightInd w:val="0"/>
              <w:snapToGrid w:val="0"/>
              <w:spacing w:line="360" w:lineRule="auto"/>
              <w:rPr>
                <w:rFonts w:asciiTheme="minorEastAsia" w:hAnsiTheme="minorEastAsia" w:cstheme="minorEastAsia"/>
              </w:rPr>
            </w:pPr>
            <w:r>
              <w:rPr>
                <w:rFonts w:hint="eastAsia" w:asciiTheme="minorEastAsia" w:hAnsiTheme="minorEastAsia" w:cstheme="minorEastAsia"/>
              </w:rPr>
              <w:t>6.综合架托（点滴架+托盘架+纸床单架，1 套）</w:t>
            </w:r>
          </w:p>
        </w:tc>
      </w:tr>
    </w:tbl>
    <w:p>
      <w:pPr>
        <w:pStyle w:val="17"/>
        <w:rPr>
          <w:rFonts w:ascii="宋体" w:hAnsi="宋体" w:eastAsia="宋体" w:cs="宋体"/>
        </w:rPr>
      </w:pPr>
      <w:r>
        <w:rPr>
          <w:rFonts w:hint="eastAsia" w:ascii="宋体" w:hAnsi="宋体" w:eastAsia="宋体" w:cs="宋体"/>
        </w:rPr>
        <w:br w:type="page"/>
      </w:r>
    </w:p>
    <w:p>
      <w:pPr>
        <w:pStyle w:val="3"/>
        <w:numPr>
          <w:ilvl w:val="0"/>
          <w:numId w:val="3"/>
        </w:numPr>
        <w:ind w:left="0" w:leftChars="0" w:firstLine="0" w:firstLineChars="0"/>
        <w:rPr>
          <w:rFonts w:hint="eastAsia" w:ascii="宋体" w:hAnsi="宋体" w:eastAsia="宋体" w:cs="宋体"/>
        </w:rPr>
      </w:pPr>
      <w:r>
        <w:rPr>
          <w:rFonts w:hint="eastAsia" w:ascii="宋体" w:hAnsi="宋体" w:eastAsia="宋体" w:cs="宋体"/>
        </w:rPr>
        <w:t xml:space="preserve"> </w:t>
      </w:r>
      <w:bookmarkStart w:id="76" w:name="_Toc9705"/>
      <w:r>
        <w:rPr>
          <w:rFonts w:hint="eastAsia" w:ascii="宋体" w:hAnsi="宋体" w:eastAsia="宋体" w:cs="宋体"/>
        </w:rPr>
        <w:t>合同文本</w:t>
      </w:r>
      <w:bookmarkEnd w:id="75"/>
      <w:bookmarkEnd w:id="76"/>
    </w:p>
    <w:p>
      <w:pPr>
        <w:numPr>
          <w:ilvl w:val="0"/>
          <w:numId w:val="0"/>
        </w:numPr>
        <w:rPr>
          <w:rFonts w:hint="eastAsia"/>
        </w:rPr>
      </w:pPr>
    </w:p>
    <w:p>
      <w:pPr>
        <w:tabs>
          <w:tab w:val="left" w:pos="7577"/>
        </w:tabs>
        <w:textAlignment w:val="baseline"/>
        <w:rPr>
          <w:rStyle w:val="124"/>
          <w:rFonts w:ascii="宋体" w:hAnsi="宋体"/>
          <w:b/>
          <w:sz w:val="32"/>
          <w:szCs w:val="32"/>
        </w:rPr>
      </w:pPr>
      <w:r>
        <w:rPr>
          <w:rStyle w:val="124"/>
          <w:rFonts w:ascii="宋体" w:hAnsi="宋体"/>
          <w:b/>
          <w:sz w:val="32"/>
          <w:szCs w:val="32"/>
        </w:rPr>
        <w:t>政府采购项目</w:t>
      </w:r>
      <w:r>
        <w:rPr>
          <w:rStyle w:val="124"/>
          <w:rFonts w:ascii="宋体" w:hAnsi="宋体"/>
          <w:b/>
          <w:sz w:val="32"/>
          <w:szCs w:val="32"/>
        </w:rPr>
        <w:tab/>
      </w:r>
    </w:p>
    <w:tbl>
      <w:tblPr>
        <w:tblStyle w:val="36"/>
        <w:tblpPr w:leftFromText="180" w:rightFromText="180" w:vertAnchor="text" w:horzAnchor="page" w:tblpX="8210" w:tblpY="1"/>
        <w:tblW w:w="15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1552" w:type="dxa"/>
            <w:tcBorders>
              <w:top w:val="single" w:color="000000" w:sz="4" w:space="0"/>
              <w:left w:val="single" w:color="000000" w:sz="4" w:space="0"/>
              <w:bottom w:val="single" w:color="000000" w:sz="4" w:space="0"/>
              <w:right w:val="single" w:color="000000" w:sz="4" w:space="0"/>
            </w:tcBorders>
          </w:tcPr>
          <w:p>
            <w:pPr>
              <w:jc w:val="center"/>
              <w:textAlignment w:val="baseline"/>
              <w:rPr>
                <w:rStyle w:val="124"/>
                <w:rFonts w:ascii="宋体" w:hAnsi="宋体"/>
                <w:b/>
                <w:sz w:val="30"/>
                <w:szCs w:val="30"/>
              </w:rPr>
            </w:pPr>
            <w:r>
              <w:rPr>
                <w:rStyle w:val="124"/>
                <w:rFonts w:ascii="宋体" w:hAnsi="宋体"/>
                <w:b/>
                <w:sz w:val="30"/>
                <w:szCs w:val="30"/>
              </w:rPr>
              <w:t>公开招标</w:t>
            </w:r>
          </w:p>
        </w:tc>
      </w:tr>
    </w:tbl>
    <w:p>
      <w:pPr>
        <w:spacing w:line="360" w:lineRule="auto"/>
        <w:rPr>
          <w:rFonts w:ascii="宋体" w:hAnsi="宋体" w:cs="宋体"/>
          <w:b/>
          <w:sz w:val="24"/>
          <w:szCs w:val="24"/>
        </w:rPr>
      </w:pPr>
      <w:r>
        <w:rPr>
          <w:rFonts w:hint="eastAsia" w:ascii="宋体" w:hAnsi="宋体"/>
          <w:b/>
          <w:sz w:val="28"/>
          <w:szCs w:val="28"/>
        </w:rPr>
        <w:t>政采-西安市-202</w:t>
      </w:r>
      <w:r>
        <w:rPr>
          <w:rFonts w:ascii="宋体" w:hAnsi="宋体"/>
          <w:b/>
          <w:sz w:val="28"/>
          <w:szCs w:val="28"/>
        </w:rPr>
        <w:t>2</w:t>
      </w:r>
      <w:r>
        <w:rPr>
          <w:rFonts w:hint="eastAsia" w:ascii="宋体" w:hAnsi="宋体"/>
          <w:b/>
          <w:sz w:val="28"/>
          <w:szCs w:val="28"/>
        </w:rPr>
        <w:t>-</w:t>
      </w:r>
    </w:p>
    <w:p>
      <w:pPr>
        <w:tabs>
          <w:tab w:val="left" w:pos="7153"/>
        </w:tabs>
        <w:rPr>
          <w:rFonts w:ascii="黑体" w:eastAsia="黑体"/>
          <w:sz w:val="52"/>
          <w:szCs w:val="52"/>
        </w:rPr>
      </w:pPr>
      <w:r>
        <w:rPr>
          <w:rFonts w:hint="eastAsia" w:ascii="黑体" w:eastAsia="黑体"/>
          <w:sz w:val="52"/>
          <w:szCs w:val="52"/>
        </w:rPr>
        <w:tab/>
      </w:r>
    </w:p>
    <w:p>
      <w:pPr>
        <w:pStyle w:val="2"/>
        <w:ind w:left="1470" w:right="1470"/>
      </w:pPr>
    </w:p>
    <w:p>
      <w:pPr>
        <w:tabs>
          <w:tab w:val="left" w:pos="7153"/>
        </w:tabs>
        <w:rPr>
          <w:rFonts w:ascii="黑体" w:eastAsia="黑体"/>
          <w:sz w:val="30"/>
          <w:szCs w:val="30"/>
        </w:rPr>
      </w:pPr>
    </w:p>
    <w:p>
      <w:pPr>
        <w:spacing w:line="720" w:lineRule="exact"/>
        <w:ind w:firstLine="522" w:firstLineChars="100"/>
        <w:rPr>
          <w:rFonts w:ascii="黑体" w:eastAsia="黑体"/>
          <w:b/>
          <w:sz w:val="72"/>
          <w:szCs w:val="72"/>
        </w:rPr>
      </w:pPr>
      <w:r>
        <w:rPr>
          <w:rFonts w:hint="eastAsia" w:ascii="黑体" w:eastAsia="黑体"/>
          <w:b/>
          <w:sz w:val="52"/>
          <w:szCs w:val="72"/>
        </w:rPr>
        <w:t>西安市中医医院---合 同</w:t>
      </w:r>
    </w:p>
    <w:p>
      <w:pPr>
        <w:tabs>
          <w:tab w:val="left" w:pos="7153"/>
        </w:tabs>
        <w:ind w:firstLine="2520" w:firstLineChars="900"/>
        <w:rPr>
          <w:rFonts w:ascii="黑体" w:eastAsia="黑体"/>
          <w:sz w:val="30"/>
          <w:szCs w:val="30"/>
        </w:rPr>
      </w:pPr>
      <w:r>
        <w:rPr>
          <w:rFonts w:hint="eastAsia" w:ascii="黑体" w:eastAsia="黑体"/>
          <w:sz w:val="28"/>
          <w:szCs w:val="28"/>
        </w:rPr>
        <w:t>（</w:t>
      </w:r>
      <w:r>
        <w:rPr>
          <w:rFonts w:hint="eastAsia" w:ascii="黑体" w:eastAsia="黑体"/>
          <w:sz w:val="30"/>
          <w:szCs w:val="30"/>
        </w:rPr>
        <w:t>项目编号：----）</w:t>
      </w:r>
    </w:p>
    <w:p>
      <w:pP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pStyle w:val="2"/>
        <w:ind w:left="1470" w:right="1470"/>
        <w:rPr>
          <w:rFonts w:ascii="黑体" w:eastAsia="黑体"/>
          <w:sz w:val="30"/>
          <w:szCs w:val="30"/>
        </w:rPr>
      </w:pPr>
    </w:p>
    <w:p>
      <w:pPr>
        <w:pStyle w:val="2"/>
        <w:ind w:left="1470" w:right="1470"/>
        <w:rPr>
          <w:rFonts w:ascii="黑体" w:eastAsia="黑体"/>
          <w:sz w:val="30"/>
          <w:szCs w:val="30"/>
        </w:rPr>
      </w:pPr>
    </w:p>
    <w:p>
      <w:pPr>
        <w:jc w:val="center"/>
        <w:rPr>
          <w:rFonts w:ascii="黑体" w:eastAsia="黑体"/>
          <w:sz w:val="30"/>
          <w:szCs w:val="30"/>
        </w:rPr>
      </w:pPr>
    </w:p>
    <w:p>
      <w:pPr>
        <w:ind w:firstLine="2080" w:firstLineChars="650"/>
        <w:rPr>
          <w:rFonts w:ascii="黑体" w:eastAsia="黑体"/>
          <w:sz w:val="32"/>
          <w:szCs w:val="32"/>
        </w:rPr>
      </w:pPr>
      <w:r>
        <w:rPr>
          <w:rFonts w:hint="eastAsia" w:ascii="黑体" w:eastAsia="黑体"/>
          <w:sz w:val="32"/>
          <w:szCs w:val="32"/>
        </w:rPr>
        <w:t>甲  方：</w:t>
      </w:r>
      <w:r>
        <w:rPr>
          <w:rFonts w:hint="eastAsia" w:ascii="黑体" w:hAnsi="宋体" w:eastAsia="黑体"/>
          <w:sz w:val="32"/>
          <w:szCs w:val="32"/>
        </w:rPr>
        <w:t>西 安 市 中 医医 院</w:t>
      </w:r>
    </w:p>
    <w:p>
      <w:pPr>
        <w:tabs>
          <w:tab w:val="left" w:pos="480"/>
        </w:tabs>
        <w:spacing w:line="440" w:lineRule="exact"/>
        <w:ind w:firstLine="640" w:firstLineChars="200"/>
        <w:rPr>
          <w:rFonts w:ascii="黑体" w:hAnsi="宋体" w:eastAsia="黑体"/>
          <w:sz w:val="32"/>
          <w:szCs w:val="32"/>
        </w:rPr>
      </w:pPr>
      <w:r>
        <w:rPr>
          <w:rFonts w:hint="eastAsia" w:ascii="黑体" w:eastAsia="黑体"/>
          <w:sz w:val="32"/>
          <w:szCs w:val="32"/>
        </w:rPr>
        <w:t xml:space="preserve">         乙  方：</w:t>
      </w:r>
      <w:r>
        <w:rPr>
          <w:rFonts w:hint="eastAsia" w:ascii="黑体" w:hAnsi="宋体" w:eastAsia="黑体"/>
          <w:sz w:val="32"/>
          <w:szCs w:val="32"/>
        </w:rPr>
        <w:t>----有限公司</w:t>
      </w:r>
    </w:p>
    <w:p>
      <w:pPr>
        <w:tabs>
          <w:tab w:val="left" w:pos="480"/>
        </w:tabs>
        <w:ind w:firstLine="640" w:firstLineChars="200"/>
        <w:rPr>
          <w:rFonts w:ascii="黑体" w:hAnsi="宋体" w:eastAsia="黑体"/>
          <w:sz w:val="32"/>
          <w:szCs w:val="32"/>
        </w:rPr>
      </w:pPr>
      <w:r>
        <w:rPr>
          <w:rFonts w:hint="eastAsia" w:ascii="黑体" w:hAnsi="宋体" w:eastAsia="黑体"/>
          <w:sz w:val="32"/>
          <w:szCs w:val="32"/>
        </w:rPr>
        <w:t xml:space="preserve">         鉴证方：------公司</w:t>
      </w:r>
    </w:p>
    <w:p>
      <w:pPr>
        <w:jc w:val="center"/>
        <w:rPr>
          <w:rFonts w:ascii="黑体" w:hAnsi="宋体" w:eastAsia="黑体"/>
          <w:sz w:val="32"/>
          <w:szCs w:val="32"/>
        </w:rPr>
      </w:pPr>
    </w:p>
    <w:p>
      <w:pPr>
        <w:jc w:val="center"/>
        <w:rPr>
          <w:rFonts w:ascii="黑体" w:eastAsia="黑体"/>
          <w:sz w:val="32"/>
          <w:szCs w:val="32"/>
        </w:rPr>
      </w:pPr>
      <w:r>
        <w:rPr>
          <w:rFonts w:hint="eastAsia" w:ascii="黑体" w:eastAsia="黑体"/>
          <w:sz w:val="32"/>
          <w:szCs w:val="32"/>
        </w:rPr>
        <w:t xml:space="preserve">2022年--月       </w:t>
      </w:r>
    </w:p>
    <w:p>
      <w:pPr>
        <w:jc w:val="center"/>
        <w:rPr>
          <w:rFonts w:ascii="黑体" w:eastAsia="黑体"/>
          <w:sz w:val="32"/>
          <w:szCs w:val="32"/>
        </w:rPr>
      </w:pPr>
      <w:r>
        <w:rPr>
          <w:rFonts w:hint="eastAsia" w:ascii="黑体" w:eastAsia="黑体"/>
          <w:sz w:val="32"/>
          <w:szCs w:val="32"/>
        </w:rPr>
        <w:t>中国  西安</w:t>
      </w:r>
    </w:p>
    <w:p>
      <w:pPr>
        <w:tabs>
          <w:tab w:val="center" w:pos="4592"/>
          <w:tab w:val="left" w:pos="8025"/>
        </w:tabs>
        <w:spacing w:line="320" w:lineRule="exact"/>
        <w:rPr>
          <w:rFonts w:eastAsia="黑体"/>
          <w:b/>
          <w:spacing w:val="-20"/>
          <w:sz w:val="36"/>
          <w:szCs w:val="58"/>
        </w:rPr>
      </w:pPr>
    </w:p>
    <w:p>
      <w:pPr>
        <w:pStyle w:val="2"/>
        <w:ind w:left="1470" w:right="1470"/>
        <w:rPr>
          <w:rFonts w:eastAsia="黑体"/>
          <w:b/>
          <w:spacing w:val="-20"/>
          <w:sz w:val="36"/>
          <w:szCs w:val="58"/>
        </w:rPr>
      </w:pPr>
    </w:p>
    <w:tbl>
      <w:tblPr>
        <w:tblStyle w:val="36"/>
        <w:tblpPr w:leftFromText="180" w:rightFromText="180" w:bottomFromText="200" w:vertAnchor="text" w:horzAnchor="margin" w:tblpXSpec="right" w:tblpY="-14"/>
        <w:tblW w:w="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78" w:type="dxa"/>
            <w:tcBorders>
              <w:top w:val="single" w:color="auto" w:sz="4" w:space="0"/>
              <w:left w:val="single" w:color="auto" w:sz="4" w:space="0"/>
              <w:bottom w:val="single" w:color="auto" w:sz="4" w:space="0"/>
              <w:right w:val="single" w:color="auto" w:sz="4" w:space="0"/>
            </w:tcBorders>
          </w:tcPr>
          <w:p>
            <w:pPr>
              <w:spacing w:line="320" w:lineRule="exact"/>
              <w:rPr>
                <w:rFonts w:ascii="黑体" w:eastAsia="黑体"/>
                <w:b/>
                <w:color w:val="FF0000"/>
                <w:sz w:val="28"/>
                <w:szCs w:val="28"/>
              </w:rPr>
            </w:pPr>
            <w:r>
              <w:rPr>
                <w:rFonts w:hint="eastAsia" w:ascii="黑体" w:eastAsia="黑体"/>
                <w:bCs/>
                <w:sz w:val="28"/>
                <w:szCs w:val="28"/>
              </w:rPr>
              <w:t>制式</w:t>
            </w:r>
          </w:p>
        </w:tc>
      </w:tr>
    </w:tbl>
    <w:p>
      <w:pPr>
        <w:tabs>
          <w:tab w:val="center" w:pos="4592"/>
          <w:tab w:val="left" w:pos="8025"/>
        </w:tabs>
        <w:spacing w:line="480" w:lineRule="exact"/>
        <w:ind w:firstLine="3857" w:firstLineChars="1200"/>
        <w:rPr>
          <w:rFonts w:eastAsia="黑体"/>
          <w:b/>
          <w:spacing w:val="-20"/>
          <w:sz w:val="36"/>
          <w:szCs w:val="58"/>
        </w:rPr>
      </w:pPr>
      <w:r>
        <w:rPr>
          <w:rFonts w:hint="eastAsia" w:eastAsia="黑体"/>
          <w:b/>
          <w:spacing w:val="-20"/>
          <w:sz w:val="36"/>
          <w:szCs w:val="58"/>
        </w:rPr>
        <w:t>供货合同</w:t>
      </w:r>
    </w:p>
    <w:p>
      <w:pPr>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甲  方：西安市中医医院</w:t>
      </w:r>
    </w:p>
    <w:p>
      <w:pPr>
        <w:tabs>
          <w:tab w:val="left" w:pos="480"/>
        </w:tabs>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乙  方：----有限公司</w:t>
      </w:r>
    </w:p>
    <w:p>
      <w:pPr>
        <w:pStyle w:val="2"/>
        <w:tabs>
          <w:tab w:val="left" w:pos="576"/>
        </w:tabs>
        <w:ind w:left="0" w:leftChars="0" w:right="1470"/>
      </w:pPr>
      <w:r>
        <w:rPr>
          <w:rFonts w:hint="eastAsia"/>
        </w:rPr>
        <w:t xml:space="preserve">     鉴证方：--------公司</w:t>
      </w:r>
    </w:p>
    <w:p>
      <w:pPr>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就甲方所需设备，按照政府采购程序，确定乙方为-----项目中标供应商。依据《中华人民共和国采购法》、《中华人民共和国</w:t>
      </w:r>
      <w:r>
        <w:rPr>
          <w:rFonts w:hint="eastAsia" w:ascii="宋体" w:hAnsi="宋体" w:eastAsia="宋体" w:cstheme="majorEastAsia"/>
          <w:sz w:val="24"/>
          <w:szCs w:val="24"/>
          <w:lang w:eastAsia="zh-CN"/>
        </w:rPr>
        <w:t>民法典</w:t>
      </w:r>
      <w:r>
        <w:rPr>
          <w:rFonts w:hint="eastAsia" w:ascii="宋体" w:hAnsi="宋体" w:eastAsia="宋体" w:cstheme="majorEastAsia"/>
          <w:sz w:val="24"/>
          <w:szCs w:val="24"/>
        </w:rPr>
        <w:t>》、《中华人民共和国招投标法》,</w:t>
      </w:r>
      <w:r>
        <w:rPr>
          <w:rFonts w:hint="eastAsia" w:ascii="宋体" w:hAnsi="宋体"/>
          <w:sz w:val="24"/>
          <w:szCs w:val="21"/>
        </w:rPr>
        <w:t>经甲、乙双方协商，鉴证方确认，达成如下条款。</w:t>
      </w:r>
    </w:p>
    <w:p>
      <w:pPr>
        <w:spacing w:line="440" w:lineRule="exact"/>
        <w:ind w:firstLine="482" w:firstLineChars="200"/>
        <w:rPr>
          <w:rFonts w:ascii="宋体" w:hAnsi="宋体" w:eastAsia="宋体" w:cstheme="majorEastAsia"/>
          <w:sz w:val="24"/>
          <w:szCs w:val="24"/>
        </w:rPr>
      </w:pPr>
      <w:r>
        <w:rPr>
          <w:rFonts w:hint="eastAsia" w:ascii="宋体" w:hAnsi="宋体" w:eastAsia="宋体" w:cstheme="majorEastAsia"/>
          <w:b/>
          <w:sz w:val="24"/>
          <w:szCs w:val="24"/>
        </w:rPr>
        <w:t>一、合同标的物内容及数量</w:t>
      </w:r>
    </w:p>
    <w:tbl>
      <w:tblPr>
        <w:tblStyle w:val="36"/>
        <w:tblpPr w:leftFromText="180" w:rightFromText="180" w:vertAnchor="text" w:horzAnchor="page" w:tblpXSpec="center" w:tblpY="200"/>
        <w:tblOverlap w:val="never"/>
        <w:tblW w:w="10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710"/>
        <w:gridCol w:w="1155"/>
        <w:gridCol w:w="1719"/>
        <w:gridCol w:w="798"/>
        <w:gridCol w:w="620"/>
        <w:gridCol w:w="1095"/>
        <w:gridCol w:w="112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tabs>
                <w:tab w:val="left" w:pos="480"/>
              </w:tabs>
              <w:spacing w:line="440" w:lineRule="exact"/>
              <w:jc w:val="center"/>
              <w:rPr>
                <w:rFonts w:ascii="宋体" w:hAnsi="宋体" w:eastAsia="宋体" w:cstheme="majorEastAsia"/>
                <w:szCs w:val="21"/>
              </w:rPr>
            </w:pPr>
            <w:r>
              <w:rPr>
                <w:rFonts w:hint="eastAsia" w:ascii="宋体" w:hAnsi="宋体" w:eastAsia="宋体" w:cstheme="majorEastAsia"/>
                <w:szCs w:val="21"/>
              </w:rPr>
              <w:t>序号</w:t>
            </w:r>
          </w:p>
        </w:tc>
        <w:tc>
          <w:tcPr>
            <w:tcW w:w="1710" w:type="dxa"/>
            <w:tcBorders>
              <w:top w:val="single" w:color="auto" w:sz="4" w:space="0"/>
              <w:left w:val="single" w:color="auto" w:sz="4" w:space="0"/>
              <w:bottom w:val="single" w:color="auto" w:sz="4" w:space="0"/>
              <w:right w:val="single" w:color="auto" w:sz="4" w:space="0"/>
            </w:tcBorders>
            <w:vAlign w:val="center"/>
          </w:tcPr>
          <w:p>
            <w:pPr>
              <w:tabs>
                <w:tab w:val="left" w:pos="480"/>
              </w:tabs>
              <w:spacing w:line="440" w:lineRule="exact"/>
              <w:jc w:val="center"/>
              <w:rPr>
                <w:rFonts w:ascii="宋体" w:hAnsi="宋体" w:eastAsia="宋体" w:cstheme="majorEastAsia"/>
                <w:szCs w:val="21"/>
              </w:rPr>
            </w:pPr>
            <w:r>
              <w:rPr>
                <w:rFonts w:hint="eastAsia" w:ascii="宋体" w:hAnsi="宋体" w:eastAsia="宋体" w:cstheme="majorEastAsia"/>
                <w:szCs w:val="21"/>
              </w:rPr>
              <w:t>设备名称</w:t>
            </w:r>
          </w:p>
        </w:tc>
        <w:tc>
          <w:tcPr>
            <w:tcW w:w="1155" w:type="dxa"/>
            <w:tcBorders>
              <w:top w:val="single" w:color="auto" w:sz="4" w:space="0"/>
              <w:left w:val="single" w:color="auto" w:sz="4" w:space="0"/>
              <w:bottom w:val="single" w:color="auto" w:sz="4" w:space="0"/>
              <w:right w:val="single" w:color="auto" w:sz="4" w:space="0"/>
            </w:tcBorders>
            <w:vAlign w:val="center"/>
          </w:tcPr>
          <w:p>
            <w:pPr>
              <w:tabs>
                <w:tab w:val="left" w:pos="480"/>
              </w:tabs>
              <w:spacing w:line="440" w:lineRule="exact"/>
              <w:jc w:val="center"/>
              <w:rPr>
                <w:rFonts w:ascii="宋体" w:hAnsi="宋体" w:eastAsia="宋体" w:cstheme="majorEastAsia"/>
                <w:szCs w:val="21"/>
              </w:rPr>
            </w:pPr>
            <w:r>
              <w:rPr>
                <w:rFonts w:hint="eastAsia" w:ascii="宋体" w:hAnsi="宋体" w:eastAsia="宋体" w:cstheme="majorEastAsia"/>
                <w:szCs w:val="21"/>
              </w:rPr>
              <w:t>规格型号</w:t>
            </w:r>
          </w:p>
        </w:tc>
        <w:tc>
          <w:tcPr>
            <w:tcW w:w="1719" w:type="dxa"/>
            <w:tcBorders>
              <w:top w:val="single" w:color="auto" w:sz="4" w:space="0"/>
              <w:left w:val="single" w:color="auto" w:sz="4" w:space="0"/>
              <w:bottom w:val="single" w:color="auto" w:sz="4" w:space="0"/>
              <w:right w:val="single" w:color="auto" w:sz="4" w:space="0"/>
            </w:tcBorders>
            <w:vAlign w:val="center"/>
          </w:tcPr>
          <w:p>
            <w:pPr>
              <w:tabs>
                <w:tab w:val="left" w:pos="480"/>
              </w:tabs>
              <w:spacing w:line="440" w:lineRule="exact"/>
              <w:jc w:val="center"/>
              <w:rPr>
                <w:rFonts w:ascii="宋体" w:hAnsi="宋体" w:eastAsia="宋体" w:cstheme="majorEastAsia"/>
                <w:szCs w:val="21"/>
              </w:rPr>
            </w:pPr>
            <w:r>
              <w:rPr>
                <w:rFonts w:hint="eastAsia" w:ascii="宋体" w:hAnsi="宋体" w:eastAsia="宋体" w:cstheme="majorEastAsia"/>
                <w:szCs w:val="21"/>
              </w:rPr>
              <w:t>生产厂家</w:t>
            </w:r>
          </w:p>
        </w:tc>
        <w:tc>
          <w:tcPr>
            <w:tcW w:w="798" w:type="dxa"/>
            <w:tcBorders>
              <w:top w:val="single" w:color="auto" w:sz="4" w:space="0"/>
              <w:left w:val="single" w:color="auto" w:sz="4" w:space="0"/>
              <w:bottom w:val="single" w:color="auto" w:sz="4" w:space="0"/>
              <w:right w:val="single" w:color="auto" w:sz="4" w:space="0"/>
            </w:tcBorders>
            <w:vAlign w:val="center"/>
          </w:tcPr>
          <w:p>
            <w:pPr>
              <w:tabs>
                <w:tab w:val="left" w:pos="480"/>
              </w:tabs>
              <w:spacing w:line="440" w:lineRule="exact"/>
              <w:jc w:val="center"/>
              <w:rPr>
                <w:rFonts w:ascii="宋体" w:hAnsi="宋体" w:eastAsia="宋体" w:cstheme="majorEastAsia"/>
                <w:szCs w:val="21"/>
              </w:rPr>
            </w:pPr>
            <w:r>
              <w:rPr>
                <w:rFonts w:hint="eastAsia" w:ascii="宋体" w:hAnsi="宋体" w:eastAsia="宋体" w:cstheme="majorEastAsia"/>
                <w:szCs w:val="21"/>
              </w:rPr>
              <w:t>计量单位</w:t>
            </w:r>
          </w:p>
        </w:tc>
        <w:tc>
          <w:tcPr>
            <w:tcW w:w="620" w:type="dxa"/>
            <w:tcBorders>
              <w:top w:val="single" w:color="auto" w:sz="4" w:space="0"/>
              <w:left w:val="single" w:color="auto" w:sz="4" w:space="0"/>
              <w:bottom w:val="single" w:color="auto" w:sz="4" w:space="0"/>
              <w:right w:val="single" w:color="auto" w:sz="4" w:space="0"/>
            </w:tcBorders>
            <w:vAlign w:val="center"/>
          </w:tcPr>
          <w:p>
            <w:pPr>
              <w:tabs>
                <w:tab w:val="left" w:pos="480"/>
              </w:tabs>
              <w:spacing w:line="440" w:lineRule="exact"/>
              <w:jc w:val="center"/>
              <w:rPr>
                <w:rFonts w:ascii="宋体" w:hAnsi="宋体" w:eastAsia="宋体" w:cstheme="majorEastAsia"/>
                <w:szCs w:val="21"/>
              </w:rPr>
            </w:pPr>
            <w:r>
              <w:rPr>
                <w:rFonts w:hint="eastAsia" w:ascii="宋体" w:hAnsi="宋体" w:eastAsia="宋体" w:cstheme="majorEastAsia"/>
                <w:szCs w:val="21"/>
              </w:rPr>
              <w:t>数量</w:t>
            </w:r>
          </w:p>
        </w:tc>
        <w:tc>
          <w:tcPr>
            <w:tcW w:w="1095" w:type="dxa"/>
            <w:tcBorders>
              <w:top w:val="single" w:color="auto" w:sz="4" w:space="0"/>
              <w:left w:val="single" w:color="auto" w:sz="4" w:space="0"/>
              <w:bottom w:val="single" w:color="auto" w:sz="4" w:space="0"/>
              <w:right w:val="single" w:color="auto" w:sz="4" w:space="0"/>
            </w:tcBorders>
            <w:vAlign w:val="center"/>
          </w:tcPr>
          <w:p>
            <w:pPr>
              <w:tabs>
                <w:tab w:val="left" w:pos="480"/>
              </w:tabs>
              <w:spacing w:line="440" w:lineRule="exact"/>
              <w:jc w:val="center"/>
              <w:rPr>
                <w:rFonts w:ascii="宋体" w:hAnsi="宋体" w:eastAsia="宋体" w:cstheme="majorEastAsia"/>
                <w:szCs w:val="21"/>
              </w:rPr>
            </w:pPr>
            <w:r>
              <w:rPr>
                <w:rFonts w:hint="eastAsia" w:ascii="宋体" w:hAnsi="宋体" w:eastAsia="宋体" w:cstheme="majorEastAsia"/>
                <w:szCs w:val="21"/>
              </w:rPr>
              <w:t>单价</w:t>
            </w:r>
          </w:p>
          <w:p>
            <w:pPr>
              <w:tabs>
                <w:tab w:val="left" w:pos="480"/>
              </w:tabs>
              <w:spacing w:line="440" w:lineRule="exact"/>
              <w:rPr>
                <w:rFonts w:ascii="宋体" w:hAnsi="宋体" w:eastAsia="宋体" w:cstheme="majorEastAsia"/>
                <w:szCs w:val="21"/>
              </w:rPr>
            </w:pPr>
            <w:r>
              <w:rPr>
                <w:rFonts w:hint="eastAsia" w:ascii="宋体" w:hAnsi="宋体" w:eastAsia="宋体" w:cstheme="majorEastAsia"/>
                <w:szCs w:val="21"/>
              </w:rPr>
              <w:t>（万元）</w:t>
            </w:r>
          </w:p>
        </w:tc>
        <w:tc>
          <w:tcPr>
            <w:tcW w:w="1125" w:type="dxa"/>
            <w:tcBorders>
              <w:top w:val="single" w:color="auto" w:sz="4" w:space="0"/>
              <w:left w:val="single" w:color="auto" w:sz="4" w:space="0"/>
              <w:bottom w:val="single" w:color="auto" w:sz="4" w:space="0"/>
              <w:right w:val="single" w:color="auto" w:sz="4" w:space="0"/>
            </w:tcBorders>
            <w:vAlign w:val="center"/>
          </w:tcPr>
          <w:p>
            <w:pPr>
              <w:tabs>
                <w:tab w:val="left" w:pos="480"/>
              </w:tabs>
              <w:spacing w:line="440" w:lineRule="exact"/>
              <w:jc w:val="center"/>
              <w:rPr>
                <w:rFonts w:ascii="宋体" w:hAnsi="宋体" w:eastAsia="宋体" w:cstheme="majorEastAsia"/>
                <w:szCs w:val="21"/>
              </w:rPr>
            </w:pPr>
            <w:r>
              <w:rPr>
                <w:rFonts w:hint="eastAsia" w:ascii="宋体" w:hAnsi="宋体" w:eastAsia="宋体" w:cstheme="majorEastAsia"/>
                <w:szCs w:val="21"/>
              </w:rPr>
              <w:t>金额</w:t>
            </w:r>
          </w:p>
          <w:p>
            <w:pPr>
              <w:tabs>
                <w:tab w:val="left" w:pos="480"/>
              </w:tabs>
              <w:spacing w:line="440" w:lineRule="exact"/>
              <w:jc w:val="center"/>
              <w:rPr>
                <w:rFonts w:ascii="宋体" w:hAnsi="宋体" w:eastAsia="宋体" w:cstheme="majorEastAsia"/>
                <w:szCs w:val="21"/>
              </w:rPr>
            </w:pPr>
            <w:r>
              <w:rPr>
                <w:rFonts w:hint="eastAsia" w:ascii="宋体" w:hAnsi="宋体" w:eastAsia="宋体" w:cstheme="majorEastAsia"/>
                <w:szCs w:val="21"/>
              </w:rPr>
              <w:t>（万元）</w:t>
            </w:r>
          </w:p>
        </w:tc>
        <w:tc>
          <w:tcPr>
            <w:tcW w:w="1275" w:type="dxa"/>
            <w:tcBorders>
              <w:top w:val="single" w:color="auto" w:sz="4" w:space="0"/>
              <w:left w:val="single" w:color="auto" w:sz="4" w:space="0"/>
              <w:bottom w:val="single" w:color="auto" w:sz="4" w:space="0"/>
              <w:right w:val="single" w:color="auto" w:sz="4" w:space="0"/>
            </w:tcBorders>
            <w:vAlign w:val="center"/>
          </w:tcPr>
          <w:p>
            <w:pPr>
              <w:tabs>
                <w:tab w:val="left" w:pos="1072"/>
              </w:tabs>
              <w:spacing w:line="440" w:lineRule="exact"/>
              <w:jc w:val="center"/>
              <w:rPr>
                <w:rFonts w:ascii="宋体" w:hAnsi="宋体" w:eastAsia="宋体" w:cstheme="majorEastAsia"/>
                <w:szCs w:val="21"/>
              </w:rPr>
            </w:pPr>
            <w:r>
              <w:rPr>
                <w:rFonts w:hint="eastAsia" w:ascii="宋体" w:hAnsi="宋体" w:eastAsia="宋体" w:cstheme="maj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690" w:type="dxa"/>
            <w:tcBorders>
              <w:top w:val="single" w:color="auto" w:sz="4" w:space="0"/>
              <w:left w:val="single" w:color="auto" w:sz="4" w:space="0"/>
              <w:right w:val="single" w:color="auto" w:sz="4" w:space="0"/>
            </w:tcBorders>
            <w:vAlign w:val="center"/>
          </w:tcPr>
          <w:p>
            <w:pPr>
              <w:tabs>
                <w:tab w:val="left" w:pos="480"/>
              </w:tabs>
              <w:spacing w:line="440" w:lineRule="exact"/>
              <w:ind w:firstLine="480" w:firstLineChars="200"/>
              <w:rPr>
                <w:rFonts w:ascii="宋体" w:hAnsi="宋体" w:eastAsia="宋体" w:cstheme="majorEastAsia"/>
                <w:szCs w:val="21"/>
              </w:rPr>
            </w:pPr>
          </w:p>
        </w:tc>
        <w:tc>
          <w:tcPr>
            <w:tcW w:w="1710" w:type="dxa"/>
            <w:tcBorders>
              <w:top w:val="single" w:color="auto" w:sz="4" w:space="0"/>
              <w:left w:val="single" w:color="auto" w:sz="4" w:space="0"/>
              <w:right w:val="single" w:color="auto" w:sz="4" w:space="0"/>
            </w:tcBorders>
            <w:vAlign w:val="center"/>
          </w:tcPr>
          <w:p>
            <w:pPr>
              <w:tabs>
                <w:tab w:val="left" w:pos="480"/>
              </w:tabs>
              <w:spacing w:line="440" w:lineRule="exact"/>
              <w:rPr>
                <w:rFonts w:ascii="宋体" w:hAnsi="宋体" w:eastAsia="宋体" w:cstheme="majorEastAsia"/>
                <w:szCs w:val="21"/>
              </w:rPr>
            </w:pPr>
            <w:r>
              <w:rPr>
                <w:rFonts w:hint="eastAsia" w:ascii="宋体" w:hAnsi="宋体" w:eastAsia="宋体" w:cstheme="majorEastAsia"/>
                <w:szCs w:val="21"/>
              </w:rPr>
              <w:t>-----</w:t>
            </w:r>
          </w:p>
        </w:tc>
        <w:tc>
          <w:tcPr>
            <w:tcW w:w="1155" w:type="dxa"/>
            <w:tcBorders>
              <w:top w:val="single" w:color="auto" w:sz="4" w:space="0"/>
              <w:left w:val="single" w:color="auto" w:sz="4" w:space="0"/>
              <w:bottom w:val="single" w:color="auto" w:sz="4" w:space="0"/>
              <w:right w:val="single" w:color="auto" w:sz="4" w:space="0"/>
            </w:tcBorders>
            <w:vAlign w:val="center"/>
          </w:tcPr>
          <w:p>
            <w:pPr>
              <w:tabs>
                <w:tab w:val="left" w:pos="480"/>
              </w:tabs>
              <w:spacing w:line="440" w:lineRule="exact"/>
              <w:jc w:val="left"/>
              <w:rPr>
                <w:rFonts w:ascii="宋体" w:hAnsi="宋体" w:eastAsia="宋体" w:cstheme="majorEastAsia"/>
                <w:szCs w:val="21"/>
              </w:rPr>
            </w:pPr>
            <w:r>
              <w:rPr>
                <w:rFonts w:hint="eastAsia" w:ascii="宋体" w:hAnsi="宋体" w:eastAsia="宋体"/>
                <w:szCs w:val="21"/>
              </w:rPr>
              <w:t>-----</w:t>
            </w:r>
          </w:p>
        </w:tc>
        <w:tc>
          <w:tcPr>
            <w:tcW w:w="1719" w:type="dxa"/>
            <w:tcBorders>
              <w:top w:val="single" w:color="auto" w:sz="4" w:space="0"/>
              <w:left w:val="single" w:color="auto" w:sz="4" w:space="0"/>
              <w:right w:val="single" w:color="auto" w:sz="4" w:space="0"/>
            </w:tcBorders>
            <w:vAlign w:val="center"/>
          </w:tcPr>
          <w:p>
            <w:pPr>
              <w:tabs>
                <w:tab w:val="left" w:pos="480"/>
              </w:tabs>
              <w:spacing w:line="440" w:lineRule="exact"/>
              <w:jc w:val="left"/>
              <w:rPr>
                <w:rFonts w:ascii="宋体" w:hAnsi="宋体" w:eastAsia="宋体" w:cstheme="majorEastAsia"/>
                <w:szCs w:val="21"/>
              </w:rPr>
            </w:pPr>
            <w:r>
              <w:rPr>
                <w:rFonts w:hint="eastAsia" w:ascii="宋体" w:hAnsi="宋体" w:eastAsia="宋体" w:cstheme="majorEastAsia"/>
                <w:szCs w:val="21"/>
              </w:rPr>
              <w:t>----</w:t>
            </w:r>
          </w:p>
        </w:tc>
        <w:tc>
          <w:tcPr>
            <w:tcW w:w="798" w:type="dxa"/>
            <w:tcBorders>
              <w:top w:val="single" w:color="auto" w:sz="4" w:space="0"/>
              <w:left w:val="single" w:color="auto" w:sz="4" w:space="0"/>
              <w:right w:val="single" w:color="auto" w:sz="4" w:space="0"/>
            </w:tcBorders>
            <w:vAlign w:val="center"/>
          </w:tcPr>
          <w:p>
            <w:pPr>
              <w:tabs>
                <w:tab w:val="left" w:pos="480"/>
              </w:tabs>
              <w:spacing w:line="440" w:lineRule="exact"/>
              <w:ind w:firstLine="120" w:firstLineChars="50"/>
              <w:jc w:val="center"/>
              <w:rPr>
                <w:rFonts w:ascii="宋体" w:hAnsi="宋体" w:eastAsia="宋体" w:cstheme="majorEastAsia"/>
                <w:szCs w:val="21"/>
              </w:rPr>
            </w:pPr>
            <w:r>
              <w:rPr>
                <w:rFonts w:hint="eastAsia" w:ascii="宋体" w:hAnsi="宋体" w:eastAsia="宋体" w:cstheme="majorEastAsia"/>
                <w:szCs w:val="21"/>
              </w:rPr>
              <w:t>套</w:t>
            </w:r>
          </w:p>
        </w:tc>
        <w:tc>
          <w:tcPr>
            <w:tcW w:w="620" w:type="dxa"/>
            <w:tcBorders>
              <w:top w:val="single" w:color="auto" w:sz="4" w:space="0"/>
              <w:left w:val="single" w:color="auto" w:sz="4" w:space="0"/>
              <w:right w:val="single" w:color="auto" w:sz="4" w:space="0"/>
            </w:tcBorders>
            <w:vAlign w:val="center"/>
          </w:tcPr>
          <w:p>
            <w:pPr>
              <w:tabs>
                <w:tab w:val="left" w:pos="480"/>
              </w:tabs>
              <w:spacing w:line="440" w:lineRule="exact"/>
              <w:ind w:firstLine="240" w:firstLineChars="100"/>
              <w:rPr>
                <w:rFonts w:ascii="宋体" w:hAnsi="宋体" w:eastAsia="宋体" w:cstheme="majorEastAsia"/>
                <w:szCs w:val="21"/>
              </w:rPr>
            </w:pPr>
            <w:r>
              <w:rPr>
                <w:rFonts w:hint="eastAsia" w:ascii="宋体" w:hAnsi="宋体" w:eastAsia="宋体" w:cstheme="majorEastAsia"/>
                <w:szCs w:val="21"/>
              </w:rPr>
              <w:t>---</w:t>
            </w:r>
          </w:p>
        </w:tc>
        <w:tc>
          <w:tcPr>
            <w:tcW w:w="1095" w:type="dxa"/>
            <w:tcBorders>
              <w:top w:val="single" w:color="auto" w:sz="4" w:space="0"/>
              <w:left w:val="single" w:color="auto" w:sz="4" w:space="0"/>
              <w:right w:val="single" w:color="auto" w:sz="4" w:space="0"/>
            </w:tcBorders>
            <w:vAlign w:val="center"/>
          </w:tcPr>
          <w:p>
            <w:pPr>
              <w:tabs>
                <w:tab w:val="left" w:pos="480"/>
              </w:tabs>
              <w:spacing w:line="440" w:lineRule="exact"/>
              <w:jc w:val="center"/>
              <w:rPr>
                <w:rFonts w:ascii="宋体" w:hAnsi="宋体" w:eastAsia="宋体" w:cstheme="majorEastAsia"/>
                <w:szCs w:val="21"/>
              </w:rPr>
            </w:pPr>
            <w:r>
              <w:rPr>
                <w:rFonts w:hint="eastAsia" w:ascii="宋体" w:hAnsi="宋体" w:eastAsia="宋体" w:cstheme="majorEastAsia"/>
                <w:szCs w:val="21"/>
              </w:rPr>
              <w:t>--</w:t>
            </w:r>
          </w:p>
        </w:tc>
        <w:tc>
          <w:tcPr>
            <w:tcW w:w="1125" w:type="dxa"/>
            <w:tcBorders>
              <w:top w:val="single" w:color="auto" w:sz="4" w:space="0"/>
              <w:left w:val="single" w:color="auto" w:sz="4" w:space="0"/>
              <w:right w:val="single" w:color="auto" w:sz="4" w:space="0"/>
            </w:tcBorders>
            <w:vAlign w:val="center"/>
          </w:tcPr>
          <w:p>
            <w:pPr>
              <w:tabs>
                <w:tab w:val="left" w:pos="480"/>
              </w:tabs>
              <w:spacing w:line="440" w:lineRule="exact"/>
              <w:jc w:val="center"/>
              <w:rPr>
                <w:rFonts w:ascii="宋体" w:hAnsi="宋体" w:eastAsia="宋体" w:cstheme="majorEastAsia"/>
                <w:szCs w:val="21"/>
              </w:rPr>
            </w:pPr>
            <w:r>
              <w:rPr>
                <w:rFonts w:hint="eastAsia" w:ascii="宋体" w:hAnsi="宋体" w:eastAsia="宋体" w:cstheme="majorEastAsia"/>
                <w:szCs w:val="21"/>
              </w:rPr>
              <w:t>--</w:t>
            </w:r>
          </w:p>
        </w:tc>
        <w:tc>
          <w:tcPr>
            <w:tcW w:w="1275" w:type="dxa"/>
            <w:tcBorders>
              <w:top w:val="single" w:color="auto" w:sz="4" w:space="0"/>
              <w:left w:val="single" w:color="auto" w:sz="4" w:space="0"/>
              <w:right w:val="single" w:color="auto" w:sz="4" w:space="0"/>
            </w:tcBorders>
            <w:vAlign w:val="center"/>
          </w:tcPr>
          <w:p>
            <w:pPr>
              <w:tabs>
                <w:tab w:val="left" w:pos="1072"/>
              </w:tabs>
              <w:spacing w:line="440" w:lineRule="exact"/>
              <w:rPr>
                <w:rFonts w:ascii="宋体" w:hAnsi="宋体" w:eastAsia="宋体" w:cstheme="majorEastAsia"/>
                <w:szCs w:val="21"/>
              </w:rPr>
            </w:pPr>
            <w:r>
              <w:rPr>
                <w:rFonts w:hint="eastAsia" w:ascii="宋体" w:hAnsi="宋体" w:eastAsia="宋体" w:cstheme="majorEastAsia"/>
                <w:szCs w:val="21"/>
              </w:rPr>
              <w:t>=----科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0187" w:type="dxa"/>
            <w:gridSpan w:val="9"/>
            <w:tcBorders>
              <w:top w:val="single" w:color="auto" w:sz="4" w:space="0"/>
              <w:left w:val="single" w:color="auto" w:sz="4" w:space="0"/>
              <w:bottom w:val="single" w:color="auto" w:sz="4" w:space="0"/>
              <w:right w:val="single" w:color="auto" w:sz="4" w:space="0"/>
            </w:tcBorders>
            <w:vAlign w:val="center"/>
          </w:tcPr>
          <w:p>
            <w:pPr>
              <w:tabs>
                <w:tab w:val="left" w:pos="480"/>
                <w:tab w:val="left" w:pos="6132"/>
              </w:tabs>
              <w:spacing w:line="440" w:lineRule="exact"/>
              <w:rPr>
                <w:rFonts w:ascii="宋体" w:hAnsi="宋体" w:eastAsia="宋体" w:cstheme="majorEastAsia"/>
                <w:szCs w:val="21"/>
              </w:rPr>
            </w:pPr>
            <w:r>
              <w:rPr>
                <w:rFonts w:hint="eastAsia" w:ascii="宋体" w:hAnsi="宋体" w:eastAsia="宋体" w:cstheme="majorEastAsia"/>
                <w:szCs w:val="21"/>
              </w:rPr>
              <w:t xml:space="preserve">合计（人民币）大写：----整 </w:t>
            </w:r>
            <w:r>
              <w:rPr>
                <w:rFonts w:hint="eastAsia" w:ascii="宋体" w:hAnsi="宋体" w:eastAsia="宋体" w:cstheme="majorEastAsia"/>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tabs>
                <w:tab w:val="left" w:pos="480"/>
              </w:tabs>
              <w:spacing w:line="440" w:lineRule="exact"/>
              <w:rPr>
                <w:rFonts w:ascii="宋体" w:hAnsi="宋体" w:eastAsia="宋体" w:cstheme="majorEastAsia"/>
                <w:szCs w:val="21"/>
              </w:rPr>
            </w:pPr>
            <w:r>
              <w:rPr>
                <w:rFonts w:hint="eastAsia" w:ascii="宋体" w:hAnsi="宋体" w:eastAsia="宋体" w:cstheme="majorEastAsia"/>
                <w:szCs w:val="21"/>
              </w:rPr>
              <w:t>说明</w:t>
            </w:r>
          </w:p>
        </w:tc>
        <w:tc>
          <w:tcPr>
            <w:tcW w:w="9497" w:type="dxa"/>
            <w:gridSpan w:val="8"/>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szCs w:val="21"/>
              </w:rPr>
            </w:pPr>
            <w:r>
              <w:rPr>
                <w:rFonts w:hint="eastAsia" w:ascii="宋体" w:hAnsi="宋体" w:eastAsia="宋体"/>
                <w:szCs w:val="21"/>
              </w:rPr>
              <w:t>生产厂家：</w:t>
            </w:r>
            <w:r>
              <w:rPr>
                <w:rFonts w:hint="eastAsia" w:ascii="宋体" w:hAnsi="宋体" w:eastAsia="宋体" w:cstheme="majorEastAsia"/>
                <w:szCs w:val="21"/>
              </w:rPr>
              <w:t>-----有限公司</w:t>
            </w:r>
          </w:p>
          <w:p>
            <w:pPr>
              <w:spacing w:line="440" w:lineRule="exact"/>
              <w:rPr>
                <w:rFonts w:ascii="宋体" w:hAnsi="宋体" w:eastAsia="宋体" w:cstheme="majorEastAsia"/>
                <w:szCs w:val="21"/>
              </w:rPr>
            </w:pPr>
          </w:p>
        </w:tc>
      </w:tr>
    </w:tbl>
    <w:p>
      <w:pPr>
        <w:spacing w:line="400" w:lineRule="exact"/>
        <w:ind w:firstLine="480" w:firstLineChars="200"/>
        <w:rPr>
          <w:rFonts w:ascii="宋体" w:hAnsi="宋体" w:cs="宋体"/>
          <w:sz w:val="24"/>
          <w:szCs w:val="24"/>
        </w:rPr>
      </w:pPr>
      <w:r>
        <w:rPr>
          <w:rFonts w:hint="eastAsia" w:ascii="宋体" w:hAnsi="宋体" w:eastAsia="宋体" w:cstheme="majorEastAsia"/>
          <w:sz w:val="24"/>
          <w:szCs w:val="24"/>
        </w:rPr>
        <w:t>乙方保证甲方在使用中标设备（服务）时，不承担任何涉及知识产权法律诉讼的责任。如第三方就设备（服务）的知识产权提出异议，由乙方负责解决，并承担全部费用和赔偿责任；如因此影响到甲方的正常使用，甲方有权单方解除本合同，乙方应无条件退还已收取的全部合同货款，并赔偿由此给甲方造成的全部直接和间接损失</w:t>
      </w:r>
      <w:r>
        <w:rPr>
          <w:rFonts w:hint="eastAsia" w:ascii="宋体" w:hAnsi="宋体" w:cs="宋体"/>
          <w:sz w:val="24"/>
          <w:szCs w:val="24"/>
        </w:rPr>
        <w:t>（包括但不限于诉讼费、律师费、保全费、鉴定费、执行费等）。</w:t>
      </w:r>
    </w:p>
    <w:p>
      <w:pPr>
        <w:tabs>
          <w:tab w:val="left" w:pos="480"/>
        </w:tabs>
        <w:spacing w:line="440" w:lineRule="exact"/>
        <w:ind w:firstLine="482" w:firstLineChars="200"/>
        <w:rPr>
          <w:rFonts w:ascii="宋体" w:hAnsi="宋体" w:eastAsia="宋体" w:cstheme="majorEastAsia"/>
          <w:b/>
          <w:sz w:val="24"/>
          <w:szCs w:val="24"/>
        </w:rPr>
      </w:pPr>
      <w:r>
        <w:rPr>
          <w:rFonts w:hint="eastAsia" w:ascii="宋体" w:hAnsi="宋体" w:eastAsia="宋体" w:cstheme="majorEastAsia"/>
          <w:b/>
          <w:sz w:val="24"/>
          <w:szCs w:val="24"/>
        </w:rPr>
        <w:t>二、合同价款</w:t>
      </w:r>
    </w:p>
    <w:p>
      <w:pPr>
        <w:tabs>
          <w:tab w:val="left" w:pos="480"/>
        </w:tabs>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1、合同总价款为人民币（大写）-----元整 （￥---00.00元）。</w:t>
      </w:r>
    </w:p>
    <w:p>
      <w:pPr>
        <w:tabs>
          <w:tab w:val="left" w:pos="480"/>
        </w:tabs>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2、合同总价包括：设备费、运输费（含保险费）、搬运费、安装调试费、检测验收费、培训及其它费用。</w:t>
      </w:r>
    </w:p>
    <w:p>
      <w:pPr>
        <w:tabs>
          <w:tab w:val="left" w:pos="480"/>
        </w:tabs>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3、合同总价一次性包死，不受市场价格变化因素的影响。</w:t>
      </w:r>
    </w:p>
    <w:p>
      <w:pPr>
        <w:tabs>
          <w:tab w:val="left" w:pos="480"/>
        </w:tabs>
        <w:spacing w:line="440" w:lineRule="exact"/>
        <w:ind w:firstLine="482" w:firstLineChars="200"/>
        <w:rPr>
          <w:rFonts w:ascii="宋体" w:hAnsi="宋体" w:eastAsia="宋体" w:cstheme="majorEastAsia"/>
          <w:b/>
          <w:sz w:val="24"/>
          <w:szCs w:val="24"/>
        </w:rPr>
      </w:pPr>
      <w:r>
        <w:rPr>
          <w:rFonts w:hint="eastAsia" w:ascii="宋体" w:hAnsi="宋体" w:eastAsia="宋体" w:cstheme="majorEastAsia"/>
          <w:b/>
          <w:sz w:val="24"/>
          <w:szCs w:val="24"/>
        </w:rPr>
        <w:t>三、款项结算</w:t>
      </w:r>
    </w:p>
    <w:p>
      <w:pPr>
        <w:tabs>
          <w:tab w:val="left" w:pos="480"/>
        </w:tabs>
        <w:spacing w:line="460" w:lineRule="exact"/>
        <w:ind w:firstLine="480" w:firstLineChars="200"/>
        <w:textAlignment w:val="baseline"/>
        <w:rPr>
          <w:rStyle w:val="124"/>
          <w:rFonts w:ascii="宋体" w:hAnsi="宋体"/>
          <w:sz w:val="24"/>
          <w:szCs w:val="24"/>
        </w:rPr>
      </w:pPr>
      <w:r>
        <w:rPr>
          <w:rStyle w:val="124"/>
          <w:rFonts w:ascii="宋体" w:hAnsi="宋体"/>
          <w:sz w:val="24"/>
          <w:szCs w:val="24"/>
        </w:rPr>
        <w:t>1、付款</w:t>
      </w:r>
      <w:r>
        <w:rPr>
          <w:rStyle w:val="124"/>
          <w:rFonts w:hint="eastAsia" w:ascii="宋体" w:hAnsi="宋体"/>
          <w:sz w:val="24"/>
          <w:szCs w:val="24"/>
        </w:rPr>
        <w:t>：合同签订后30日内向乙方支付合同总价的30%，货物交付验收合格后，乙方连同货款发票，采购合同，货物验收单等相关材料送交甲方，甲方向乙方支付合同总金额的60％，验收合格一年后支付合同总金额的5％，剩余5％于验收合格三年后向乙方支付完成，不计算利息。</w:t>
      </w:r>
    </w:p>
    <w:p>
      <w:pPr>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2、结算方式：验收合格后填写验收单，开具增值税发票（按合同总价值开给甲方），持供货合同、增值税发票、采购项目验收单等，到甲方办理资金结算。乙方应先提供等额税票，否则甲方有权暂不付款且不承担逾期付款的违约责任。</w:t>
      </w:r>
    </w:p>
    <w:p>
      <w:pPr>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3、支付方式：银行转帐。</w:t>
      </w:r>
    </w:p>
    <w:p>
      <w:pPr>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4、乙方如提供虚假发票，乙方需承担由此引起的一切经济责任及法律责任。因此给甲方造成损失的，由乙方负责赔偿。</w:t>
      </w:r>
    </w:p>
    <w:p>
      <w:pPr>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5、乙方账户信息：</w:t>
      </w:r>
    </w:p>
    <w:p>
      <w:pPr>
        <w:tabs>
          <w:tab w:val="left" w:pos="480"/>
        </w:tabs>
        <w:spacing w:line="380" w:lineRule="exact"/>
        <w:ind w:firstLine="960" w:firstLineChars="400"/>
        <w:rPr>
          <w:rFonts w:ascii="宋体" w:hAnsi="宋体" w:eastAsia="宋体"/>
          <w:sz w:val="24"/>
          <w:szCs w:val="24"/>
        </w:rPr>
      </w:pPr>
      <w:r>
        <w:rPr>
          <w:rFonts w:hint="eastAsia" w:ascii="宋体" w:hAnsi="宋体" w:eastAsia="宋体"/>
          <w:sz w:val="24"/>
          <w:szCs w:val="24"/>
        </w:rPr>
        <w:t>开户银行：----支行</w:t>
      </w:r>
    </w:p>
    <w:p>
      <w:pPr>
        <w:tabs>
          <w:tab w:val="left" w:pos="480"/>
        </w:tabs>
        <w:spacing w:line="380" w:lineRule="exact"/>
        <w:ind w:firstLine="960" w:firstLineChars="400"/>
        <w:rPr>
          <w:rFonts w:ascii="宋体" w:hAnsi="宋体" w:eastAsia="宋体"/>
          <w:sz w:val="24"/>
          <w:szCs w:val="24"/>
        </w:rPr>
      </w:pPr>
      <w:r>
        <w:rPr>
          <w:rFonts w:hint="eastAsia" w:ascii="宋体" w:hAnsi="宋体" w:eastAsia="宋体"/>
          <w:sz w:val="24"/>
          <w:szCs w:val="24"/>
        </w:rPr>
        <w:t>帐  号：------</w:t>
      </w:r>
    </w:p>
    <w:p>
      <w:pPr>
        <w:spacing w:line="440" w:lineRule="exact"/>
        <w:ind w:firstLine="482" w:firstLineChars="200"/>
        <w:rPr>
          <w:rFonts w:ascii="宋体" w:hAnsi="宋体" w:eastAsia="宋体" w:cstheme="majorEastAsia"/>
          <w:sz w:val="24"/>
          <w:szCs w:val="24"/>
        </w:rPr>
      </w:pPr>
      <w:r>
        <w:rPr>
          <w:rFonts w:hint="eastAsia" w:ascii="宋体" w:hAnsi="宋体" w:eastAsia="宋体" w:cstheme="majorEastAsia"/>
          <w:b/>
          <w:bCs/>
          <w:sz w:val="24"/>
          <w:szCs w:val="24"/>
        </w:rPr>
        <w:t>四、双方权利和义务</w:t>
      </w:r>
    </w:p>
    <w:p>
      <w:pPr>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1、甲方的权利和义务</w:t>
      </w:r>
    </w:p>
    <w:p>
      <w:pPr>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1.1 按需提供。</w:t>
      </w:r>
    </w:p>
    <w:p>
      <w:pPr>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1.2 提供乙方所需。</w:t>
      </w:r>
    </w:p>
    <w:p>
      <w:pPr>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2、乙方的权利和义务</w:t>
      </w:r>
    </w:p>
    <w:p>
      <w:pPr>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2.1 按照国家、行业标准和规定，安全文明施工。</w:t>
      </w:r>
    </w:p>
    <w:p>
      <w:pPr>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2.2 负责成品的加工、制作和售后服务。</w:t>
      </w:r>
    </w:p>
    <w:p>
      <w:pPr>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2.3 负责拆除及所有无关附件等进行清运，做到工完清场，拆除及清运费用包含在本次项目中，不再增加任何费用。在此过程中造成的一切损失由乙方承担，由此给甲方造成任何损失的，乙方负责赔偿。</w:t>
      </w:r>
    </w:p>
    <w:p>
      <w:pPr>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2.4 设备更换过程中，与屋面现有的管道、阀门对接时，对原有的管道、阀门及配件以及控制线路，负责更换，确保对接后设备正常运行，更换费用全部包含在本次项目中，不再增加任何费用。在此过程中造成的一切损失由乙方承担，由此给甲方造成任何损失的，乙方负责赔偿。</w:t>
      </w:r>
    </w:p>
    <w:p>
      <w:pPr>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2.5 在施工过程中，做好安全防护措施，在施工区范围内做好围挡和醒目的标识标牌，防止高空坠物对人身造成伤害，确保医院内工作人员和就医患者的安全。施工过程中，造成的所有人员伤亡及经济损失，乙方承担全部赔偿责任。若给甲方造成损失的，乙方负责赔偿。</w:t>
      </w:r>
    </w:p>
    <w:p>
      <w:pPr>
        <w:tabs>
          <w:tab w:val="left" w:pos="480"/>
        </w:tabs>
        <w:spacing w:line="440" w:lineRule="exact"/>
        <w:ind w:firstLine="482" w:firstLineChars="200"/>
        <w:rPr>
          <w:rFonts w:ascii="宋体" w:hAnsi="宋体" w:eastAsia="宋体" w:cstheme="majorEastAsia"/>
          <w:sz w:val="24"/>
          <w:szCs w:val="24"/>
        </w:rPr>
      </w:pPr>
      <w:r>
        <w:rPr>
          <w:rFonts w:hint="eastAsia" w:ascii="宋体" w:hAnsi="宋体" w:eastAsia="宋体" w:cstheme="majorEastAsia"/>
          <w:b/>
          <w:sz w:val="24"/>
          <w:szCs w:val="24"/>
        </w:rPr>
        <w:t>五、交货条件：</w:t>
      </w:r>
    </w:p>
    <w:p>
      <w:pPr>
        <w:tabs>
          <w:tab w:val="left" w:pos="480"/>
        </w:tabs>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1、交货地点：甲方指定地点。</w:t>
      </w:r>
    </w:p>
    <w:p>
      <w:pPr>
        <w:tabs>
          <w:tab w:val="left" w:pos="480"/>
        </w:tabs>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2、交货期：自合同签订之日起，--个工作日内完成安装、调试并正常运行。</w:t>
      </w:r>
    </w:p>
    <w:p>
      <w:pPr>
        <w:tabs>
          <w:tab w:val="left" w:pos="480"/>
        </w:tabs>
        <w:spacing w:line="440" w:lineRule="exact"/>
        <w:ind w:firstLine="482" w:firstLineChars="200"/>
        <w:rPr>
          <w:rFonts w:ascii="宋体" w:hAnsi="宋体" w:eastAsia="宋体" w:cstheme="majorEastAsia"/>
          <w:b/>
          <w:sz w:val="24"/>
          <w:szCs w:val="24"/>
        </w:rPr>
      </w:pPr>
      <w:r>
        <w:rPr>
          <w:rFonts w:hint="eastAsia" w:ascii="宋体" w:hAnsi="宋体" w:eastAsia="宋体" w:cstheme="majorEastAsia"/>
          <w:b/>
          <w:sz w:val="24"/>
          <w:szCs w:val="24"/>
        </w:rPr>
        <w:t>六、运输</w:t>
      </w:r>
    </w:p>
    <w:p>
      <w:pPr>
        <w:tabs>
          <w:tab w:val="left" w:pos="480"/>
        </w:tabs>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1、运输及安装由乙方负责，运杂费已包含在合同总价内，包括从设备供应地点到安装地点所含的运输费、装卸费、仓储费、保险费、安装费等。乙方负责清运设备外包装等材料。</w:t>
      </w:r>
    </w:p>
    <w:p>
      <w:pPr>
        <w:tabs>
          <w:tab w:val="left" w:pos="480"/>
        </w:tabs>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2、运输方式由乙方自行选择，但必须保证按期交货。</w:t>
      </w:r>
    </w:p>
    <w:p>
      <w:pPr>
        <w:tabs>
          <w:tab w:val="left" w:pos="480"/>
        </w:tabs>
        <w:spacing w:line="440" w:lineRule="exact"/>
        <w:ind w:firstLine="482" w:firstLineChars="200"/>
        <w:rPr>
          <w:rFonts w:ascii="宋体" w:hAnsi="宋体" w:eastAsia="宋体" w:cstheme="majorEastAsia"/>
          <w:b/>
          <w:sz w:val="24"/>
          <w:szCs w:val="24"/>
        </w:rPr>
      </w:pPr>
      <w:r>
        <w:rPr>
          <w:rFonts w:hint="eastAsia" w:ascii="宋体" w:hAnsi="宋体" w:eastAsia="宋体" w:cstheme="majorEastAsia"/>
          <w:b/>
          <w:sz w:val="24"/>
          <w:szCs w:val="24"/>
        </w:rPr>
        <w:t>七、质量保证</w:t>
      </w:r>
    </w:p>
    <w:p>
      <w:pPr>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乙方所供设备必须执行下列条款：</w:t>
      </w:r>
    </w:p>
    <w:p>
      <w:pPr>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1、乙方提供的医疗设备及其包装必须符合《医疗器械监督管理条例》等医疗器械法规的要求，并按要求向甲方提供全部有关资质文件。乙方如提供资质文件有虚假或伪造行为，甲方有权单方面解除合同，合同自书面解除通知到达乙方之日起解除，并停止支付乙方为甲方供货的所有货款，乙方要承担由此引起的一切经济及法律责任,并应赔偿由此给甲方造成的经济损失，并按合同总价的30%支付违约金。</w:t>
      </w:r>
    </w:p>
    <w:p>
      <w:pPr>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2、保证技术指标先进、质量性能可靠、进货渠道正规，配置合理，设备全新且未经使用，全面满足甲方要求，并附设备（产品）合格证和相关部门认证。</w:t>
      </w:r>
    </w:p>
    <w:p>
      <w:pPr>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3、符合国家有关规范要求，确保达到最佳运行状态。甲、乙双方应共同对本合同产品的质量实行跟踪记录。甲方在使用乙方提供的设备中，若出现因设备问题导致的人员损伤、财产损失，乙方及生产厂商应承担全部责任。</w:t>
      </w:r>
    </w:p>
    <w:p>
      <w:pPr>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4、自安装、调试正常运行并验收合格之日起整机免费质保三年。免费保修期内，同一主要部件出现质量问题经过两次维修后仍无法正常使用，应当更换同型号、同规格的产品，服务响应时间不超过2小时到场，到场解决问题不超过48小时，对问题较大48小时内暂不能解决的，为不影响甲方正常工作，乙方在10个日历日内免费提供替代产品，确保正常运行。若10个日历日后仍未彻底解决问题，乙方应支付赔偿费，赔偿费按日计算，每日赔偿费按该设备日平均收入的70%计算。</w:t>
      </w:r>
    </w:p>
    <w:p>
      <w:pPr>
        <w:spacing w:line="440" w:lineRule="exact"/>
        <w:ind w:firstLine="482" w:firstLineChars="200"/>
        <w:rPr>
          <w:rFonts w:ascii="宋体" w:hAnsi="宋体" w:eastAsia="宋体" w:cstheme="majorEastAsia"/>
          <w:b/>
          <w:sz w:val="24"/>
          <w:szCs w:val="24"/>
        </w:rPr>
      </w:pPr>
      <w:r>
        <w:rPr>
          <w:rFonts w:hint="eastAsia" w:ascii="宋体" w:hAnsi="宋体" w:eastAsia="宋体" w:cstheme="majorEastAsia"/>
          <w:b/>
          <w:sz w:val="24"/>
          <w:szCs w:val="24"/>
        </w:rPr>
        <w:t>八、售后服务</w:t>
      </w:r>
    </w:p>
    <w:p>
      <w:pPr>
        <w:spacing w:line="440" w:lineRule="exact"/>
        <w:ind w:firstLine="480" w:firstLineChars="200"/>
        <w:rPr>
          <w:rFonts w:ascii="宋体" w:hAnsi="宋体" w:eastAsia="宋体" w:cstheme="majorEastAsia"/>
          <w:b/>
          <w:sz w:val="24"/>
          <w:szCs w:val="24"/>
        </w:rPr>
      </w:pPr>
      <w:r>
        <w:rPr>
          <w:rFonts w:hint="eastAsia" w:ascii="宋体" w:hAnsi="宋体" w:eastAsia="宋体" w:cstheme="majorEastAsia"/>
          <w:sz w:val="24"/>
          <w:szCs w:val="24"/>
        </w:rPr>
        <w:t>乙方所供设备提供以下售后服务：</w:t>
      </w:r>
    </w:p>
    <w:p>
      <w:pPr>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1、质保期内：</w:t>
      </w:r>
    </w:p>
    <w:p>
      <w:pPr>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1.1发生质量问题，接到甲方通知后，应按合同第七（四）条执行，派出专业的维修人员到现场进行检测维修，发生的全部费用由乙方承担，若需送回生产厂，乙方承担往返费用；</w:t>
      </w:r>
    </w:p>
    <w:p>
      <w:pPr>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1.2新设备自开箱使用三个月内，如非甲方人为原因出现任何质量或运转不正常等问题，乙方应在2日内无条件提供设备退换服务，并承担由此产生的一切费用；在新换设备到来并验收合格之前，若甲方由此产生损失，乙方应支付赔偿费，赔偿费按日计算，每日赔偿费按该设备日平均收入的70%计算；</w:t>
      </w:r>
    </w:p>
    <w:p>
      <w:pPr>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1.3定期派技术人员到现场走访，给予检查维护；</w:t>
      </w:r>
    </w:p>
    <w:p>
      <w:pPr>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1.4排除故障的期限不得超过48小时。否则甲方有权指定第三方维修，维修费用由乙方承担，乙方 15 日内付清甲方垫资，逾期按银行同期贷款利率支付滞纳金。</w:t>
      </w:r>
    </w:p>
    <w:p>
      <w:pPr>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2、质保期结束前，乙方应对所供设备进行系统测试，全面保养维护，维护内容包括：检查所有设备的各类连接件等，确保设备正常运行。</w:t>
      </w:r>
    </w:p>
    <w:p>
      <w:pPr>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3、质保期满后，乙方应保证以质保期间配套零件和专用耗材价格提供维护和保养服务，当发生故障时，乙方应按质保期内响应的服务标准进行维护处理。</w:t>
      </w:r>
    </w:p>
    <w:p>
      <w:pPr>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4、乙方不得以转让、部分转让、分包或与第三方合作等方式履行本合同义务。如有违反，甲方有权解除合同，乙方除承担返还合同全部已付款项外，还应按合同总额30%承担违约金。</w:t>
      </w:r>
    </w:p>
    <w:p>
      <w:pPr>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5、乙方免费提供设备使用中必要的培训及指导，直至使用人员能正确熟练操作使用本设备。</w:t>
      </w:r>
    </w:p>
    <w:p>
      <w:pPr>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6、乙方保证设备每年95%以上的正常开机率（按365天计算），如未达到95%的开机率，按实际未达天数进行赔偿，每日赔偿费按设备日平均收入的70%支付。</w:t>
      </w:r>
    </w:p>
    <w:p>
      <w:pPr>
        <w:tabs>
          <w:tab w:val="left" w:pos="480"/>
        </w:tabs>
        <w:spacing w:line="440" w:lineRule="exact"/>
        <w:ind w:firstLine="482" w:firstLineChars="200"/>
        <w:rPr>
          <w:rFonts w:ascii="宋体" w:hAnsi="宋体" w:eastAsia="宋体" w:cstheme="majorEastAsia"/>
          <w:b/>
          <w:sz w:val="24"/>
          <w:szCs w:val="24"/>
        </w:rPr>
      </w:pPr>
      <w:r>
        <w:rPr>
          <w:rFonts w:hint="eastAsia" w:ascii="宋体" w:hAnsi="宋体" w:eastAsia="宋体" w:cstheme="majorEastAsia"/>
          <w:b/>
          <w:sz w:val="24"/>
          <w:szCs w:val="24"/>
        </w:rPr>
        <w:t>九、技术与服务</w:t>
      </w:r>
    </w:p>
    <w:p>
      <w:pPr>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1、需提供的技术资料：</w:t>
      </w:r>
    </w:p>
    <w:p>
      <w:pPr>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1.1 设备合格证；</w:t>
      </w:r>
    </w:p>
    <w:p>
      <w:pPr>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1.2 设备使用说明书（中文）；</w:t>
      </w:r>
    </w:p>
    <w:p>
      <w:pPr>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1.3 检验测试报告；</w:t>
      </w:r>
    </w:p>
    <w:p>
      <w:pPr>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1.4 检验检疫证明和进口报关单或免检证明（进口设备）</w:t>
      </w:r>
    </w:p>
    <w:p>
      <w:pPr>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1.5 其它资料。</w:t>
      </w:r>
    </w:p>
    <w:p>
      <w:pPr>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2、服务承诺：以招标文件、投标文件、澄清表&lt;函&gt;、合同和随设备的相关文件为准。</w:t>
      </w:r>
    </w:p>
    <w:p>
      <w:pPr>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3、优惠承诺：本项目整机保修-----年。维修响应时间不超过2小时，上门维修时间不超过24小时。出保后由厂家提供终身维修、维护。</w:t>
      </w:r>
    </w:p>
    <w:p>
      <w:pPr>
        <w:tabs>
          <w:tab w:val="left" w:pos="480"/>
        </w:tabs>
        <w:spacing w:line="440" w:lineRule="exact"/>
        <w:ind w:firstLine="482" w:firstLineChars="200"/>
        <w:rPr>
          <w:rFonts w:ascii="宋体" w:hAnsi="宋体" w:eastAsia="宋体" w:cstheme="majorEastAsia"/>
          <w:b/>
          <w:sz w:val="24"/>
          <w:szCs w:val="24"/>
        </w:rPr>
      </w:pPr>
      <w:r>
        <w:rPr>
          <w:rFonts w:hint="eastAsia" w:ascii="宋体" w:hAnsi="宋体" w:eastAsia="宋体" w:cstheme="majorEastAsia"/>
          <w:b/>
          <w:sz w:val="24"/>
          <w:szCs w:val="24"/>
        </w:rPr>
        <w:t>十、验收</w:t>
      </w:r>
    </w:p>
    <w:p>
      <w:pPr>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1、设备及设备附件到达甲方指定地点后，甲方根据合同要求，在乙方和甲方相关负责人双方同时在场的情况下，进行外观验收，确认产地、规格、型号和数量。</w:t>
      </w:r>
    </w:p>
    <w:p>
      <w:pPr>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2、设备安装、调试并正常运行后，由乙方进行自检，合格后能够正常使用时通知甲方。</w:t>
      </w:r>
    </w:p>
    <w:p>
      <w:pPr>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3、甲方确认乙方的自检内容后，组织乙方进行系统验收（必要时甲方可委托具有相关资质的第三方检测机构/技术专家对设备进行系统验收，需要国家法定检验部门进行检验或验收的由乙方负责联系），验收合格后，填写政府采购项目履约验收单（验收单）作为对设备的最终认可。</w:t>
      </w:r>
    </w:p>
    <w:p>
      <w:pPr>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4、乙方向甲方提交设备实施过程中的所有资料，以便甲方日后管理和维护。</w:t>
      </w:r>
    </w:p>
    <w:p>
      <w:pPr>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5、验收依据：</w:t>
      </w:r>
    </w:p>
    <w:p>
      <w:pPr>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5.1 招标文件、投标文件、澄清表&lt;函&gt;；</w:t>
      </w:r>
    </w:p>
    <w:p>
      <w:pPr>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5.2 本合同及附件文本；</w:t>
      </w:r>
    </w:p>
    <w:p>
      <w:pPr>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5.3 合同签订时国家及行业现行的标准和技术规范。</w:t>
      </w:r>
    </w:p>
    <w:p>
      <w:pPr>
        <w:tabs>
          <w:tab w:val="left" w:pos="480"/>
        </w:tabs>
        <w:spacing w:line="440" w:lineRule="exact"/>
        <w:ind w:firstLine="482" w:firstLineChars="200"/>
        <w:rPr>
          <w:rFonts w:ascii="宋体" w:hAnsi="宋体" w:eastAsia="宋体" w:cstheme="majorEastAsia"/>
          <w:b/>
          <w:sz w:val="24"/>
          <w:szCs w:val="24"/>
        </w:rPr>
      </w:pPr>
      <w:r>
        <w:rPr>
          <w:rFonts w:hint="eastAsia" w:ascii="宋体" w:hAnsi="宋体" w:eastAsia="宋体" w:cstheme="majorEastAsia"/>
          <w:b/>
          <w:sz w:val="24"/>
          <w:szCs w:val="24"/>
        </w:rPr>
        <w:t>十一、违约责任</w:t>
      </w:r>
    </w:p>
    <w:p>
      <w:pPr>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1、按《民法典》中的相关条款执行。</w:t>
      </w:r>
    </w:p>
    <w:p>
      <w:pPr>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2、乙方逾期不提供设备（及服务）的，每逾期一日应向甲方支付合同总价1%的违约金，逾期3日的，甲方有权解除合同，合同自乙方收到甲方的解除通知时自动解除。合同解除后，乙方除应退还已收取的甲方全部货款外，还应赔偿甲方因此所造成的一切直接和间接损失</w:t>
      </w:r>
      <w:r>
        <w:rPr>
          <w:rFonts w:hint="eastAsia" w:ascii="宋体" w:hAnsi="宋体" w:cs="宋体"/>
          <w:sz w:val="24"/>
          <w:szCs w:val="24"/>
        </w:rPr>
        <w:t>（包括但不限于诉讼费、律师费、保全费、鉴定费、执行费等）</w:t>
      </w:r>
      <w:r>
        <w:rPr>
          <w:rFonts w:hint="eastAsia" w:ascii="宋体" w:hAnsi="宋体" w:eastAsia="宋体" w:cstheme="majorEastAsia"/>
          <w:sz w:val="24"/>
          <w:szCs w:val="24"/>
        </w:rPr>
        <w:t>。</w:t>
      </w:r>
    </w:p>
    <w:p>
      <w:pPr>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3、未按合同要求提供设备或设备质量不能满足招标文件技术要求，除了按照延迟时间计算违约金外，乙方必须在10天内无条件更换设备，提高技术，完善质量并承担由此产生的一切费用，否则，甲方有权解除合同，合同自书面解除通知到达乙方之日起解除。乙方应赔偿解除合同给甲方造成的全部损失（包括但不限于重新采购产生的费用、合同未履行导致设备不能按规定交付使用可能产生的租赁费以及其他由此造成对于第三方的违约损失及</w:t>
      </w:r>
      <w:r>
        <w:rPr>
          <w:rFonts w:hint="eastAsia" w:ascii="宋体" w:hAnsi="宋体" w:cs="宋体"/>
          <w:sz w:val="24"/>
          <w:szCs w:val="24"/>
        </w:rPr>
        <w:t>诉讼费、律师费、保全费、鉴定费、执行费等</w:t>
      </w:r>
      <w:r>
        <w:rPr>
          <w:rFonts w:hint="eastAsia" w:ascii="宋体" w:hAnsi="宋体" w:eastAsia="宋体" w:cstheme="majorEastAsia"/>
          <w:sz w:val="24"/>
          <w:szCs w:val="24"/>
        </w:rPr>
        <w:t>），并按照合同总价的30%支付违约金。同时，按《政府采购法》和《陕西省政府采购供应商管理办法》对乙方的违约行为报监管机构进行相应的处罚。</w:t>
      </w:r>
    </w:p>
    <w:p>
      <w:pPr>
        <w:spacing w:line="440" w:lineRule="exact"/>
        <w:ind w:left="319" w:leftChars="133" w:firstLine="480" w:firstLineChars="200"/>
        <w:rPr>
          <w:rFonts w:ascii="宋体" w:hAnsi="宋体" w:eastAsia="宋体" w:cstheme="majorEastAsia"/>
          <w:sz w:val="24"/>
          <w:szCs w:val="24"/>
        </w:rPr>
      </w:pPr>
      <w:r>
        <w:rPr>
          <w:rFonts w:hint="eastAsia" w:ascii="宋体" w:hAnsi="宋体" w:eastAsia="宋体" w:cstheme="majorEastAsia"/>
          <w:sz w:val="24"/>
          <w:szCs w:val="24"/>
        </w:rPr>
        <w:t>4、交货期每超过一天，扣除乙方合同总价款的0.5%。累计超过30天视为乙方根本违约，甲方有权单方解除合同。</w:t>
      </w:r>
    </w:p>
    <w:p>
      <w:pPr>
        <w:tabs>
          <w:tab w:val="left" w:pos="480"/>
        </w:tabs>
        <w:spacing w:line="440" w:lineRule="exact"/>
        <w:ind w:firstLine="482" w:firstLineChars="200"/>
        <w:rPr>
          <w:rFonts w:ascii="宋体" w:hAnsi="宋体" w:eastAsia="宋体" w:cstheme="majorEastAsia"/>
          <w:b/>
          <w:sz w:val="24"/>
          <w:szCs w:val="24"/>
        </w:rPr>
      </w:pPr>
      <w:r>
        <w:rPr>
          <w:rFonts w:hint="eastAsia" w:ascii="宋体" w:hAnsi="宋体" w:eastAsia="宋体" w:cstheme="majorEastAsia"/>
          <w:b/>
          <w:sz w:val="24"/>
          <w:szCs w:val="24"/>
        </w:rPr>
        <w:t>十二、合同争议解决的方式</w:t>
      </w:r>
    </w:p>
    <w:p>
      <w:pPr>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本合同在履行过程中发生的争议，由甲、乙双方当事人协商解决，协商不成的依法向甲方所在地人民法院起诉。</w:t>
      </w:r>
    </w:p>
    <w:p>
      <w:pPr>
        <w:tabs>
          <w:tab w:val="left" w:pos="480"/>
        </w:tabs>
        <w:spacing w:line="440" w:lineRule="exact"/>
        <w:ind w:firstLine="482" w:firstLineChars="200"/>
        <w:rPr>
          <w:rFonts w:ascii="宋体" w:hAnsi="宋体" w:eastAsia="宋体" w:cstheme="majorEastAsia"/>
          <w:b/>
          <w:sz w:val="24"/>
          <w:szCs w:val="24"/>
        </w:rPr>
      </w:pPr>
      <w:r>
        <w:rPr>
          <w:rFonts w:hint="eastAsia" w:ascii="宋体" w:hAnsi="宋体" w:eastAsia="宋体" w:cstheme="majorEastAsia"/>
          <w:b/>
          <w:sz w:val="24"/>
          <w:szCs w:val="24"/>
        </w:rPr>
        <w:t>十三、合同生效</w:t>
      </w:r>
    </w:p>
    <w:p>
      <w:pPr>
        <w:spacing w:line="400" w:lineRule="exact"/>
        <w:ind w:firstLine="480" w:firstLineChars="200"/>
        <w:rPr>
          <w:rFonts w:ascii="宋体" w:hAnsi="宋体" w:cs="宋体"/>
          <w:sz w:val="24"/>
          <w:szCs w:val="24"/>
        </w:rPr>
      </w:pPr>
      <w:r>
        <w:rPr>
          <w:rFonts w:hint="eastAsia" w:ascii="宋体" w:hAnsi="宋体" w:cs="宋体"/>
          <w:sz w:val="24"/>
          <w:szCs w:val="24"/>
        </w:rPr>
        <w:t>本合同一式八份，甲方执六份，乙方执一份，鉴证方一份。本合同甲、乙双方签字并盖章后生效，合同执行完毕后，自动失效（合同的服务承诺则长期有效）。</w:t>
      </w:r>
    </w:p>
    <w:p>
      <w:pPr>
        <w:spacing w:line="440" w:lineRule="exact"/>
        <w:ind w:firstLine="480" w:firstLineChars="200"/>
        <w:rPr>
          <w:rFonts w:ascii="黑体" w:hAnsi="黑体" w:eastAsia="黑体" w:cstheme="majorEastAsia"/>
          <w:sz w:val="24"/>
          <w:szCs w:val="24"/>
        </w:rPr>
      </w:pPr>
      <w:r>
        <w:rPr>
          <w:rFonts w:hint="eastAsia" w:ascii="黑体" w:hAnsi="黑体" w:eastAsia="黑体" w:cstheme="majorEastAsia"/>
          <w:sz w:val="24"/>
          <w:szCs w:val="24"/>
        </w:rPr>
        <w:t>十四、项目联系人及方式</w:t>
      </w:r>
    </w:p>
    <w:p>
      <w:pPr>
        <w:spacing w:line="440" w:lineRule="exact"/>
        <w:ind w:firstLine="720" w:firstLineChars="300"/>
        <w:rPr>
          <w:rFonts w:ascii="宋体" w:hAnsi="宋体" w:eastAsia="宋体" w:cstheme="majorEastAsia"/>
          <w:sz w:val="24"/>
          <w:szCs w:val="24"/>
        </w:rPr>
      </w:pPr>
      <w:r>
        <w:rPr>
          <w:rFonts w:hint="eastAsia" w:ascii="宋体" w:hAnsi="宋体" w:eastAsia="宋体" w:cstheme="majorEastAsia"/>
          <w:sz w:val="24"/>
          <w:szCs w:val="24"/>
        </w:rPr>
        <w:t>甲方项目联系人：----           乙方项目联系人：</w:t>
      </w:r>
    </w:p>
    <w:p>
      <w:pPr>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 xml:space="preserve">  联系电话：029-----             联系电话：</w:t>
      </w:r>
    </w:p>
    <w:p>
      <w:pPr>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 xml:space="preserve">  邮箱：------                    邮箱：</w:t>
      </w:r>
    </w:p>
    <w:p>
      <w:pPr>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 xml:space="preserve">双方确定，在本合同有效期内，甲方指定 </w:t>
      </w:r>
      <w:r>
        <w:rPr>
          <w:rFonts w:hint="eastAsia" w:ascii="宋体" w:hAnsi="宋体" w:eastAsia="宋体" w:cstheme="majorEastAsia"/>
          <w:sz w:val="24"/>
          <w:szCs w:val="24"/>
          <w:u w:val="single"/>
        </w:rPr>
        <w:t xml:space="preserve">------ </w:t>
      </w:r>
      <w:r>
        <w:rPr>
          <w:rFonts w:hint="eastAsia" w:ascii="宋体" w:hAnsi="宋体" w:eastAsia="宋体" w:cstheme="majorEastAsia"/>
          <w:sz w:val="24"/>
          <w:szCs w:val="24"/>
        </w:rPr>
        <w:t xml:space="preserve">为甲方项目联系人，乙方指定 </w:t>
      </w:r>
      <w:r>
        <w:rPr>
          <w:rFonts w:hint="eastAsia" w:ascii="宋体" w:hAnsi="宋体" w:eastAsia="宋体" w:cstheme="majorEastAsia"/>
          <w:sz w:val="24"/>
          <w:szCs w:val="24"/>
          <w:u w:val="single"/>
        </w:rPr>
        <w:t xml:space="preserve">      </w:t>
      </w:r>
      <w:r>
        <w:rPr>
          <w:rFonts w:hint="eastAsia" w:ascii="宋体" w:hAnsi="宋体" w:eastAsia="宋体" w:cstheme="majorEastAsia"/>
          <w:sz w:val="24"/>
          <w:szCs w:val="24"/>
        </w:rPr>
        <w:t xml:space="preserve"> 为乙方项目联系人。一方变更项目联系人的，应当及时以书面形式通知另一方。未及时通知并影响本合同履行或造成损失的，应承担相应的责任。</w:t>
      </w:r>
    </w:p>
    <w:p>
      <w:pPr>
        <w:tabs>
          <w:tab w:val="left" w:pos="480"/>
        </w:tabs>
        <w:spacing w:line="440" w:lineRule="exact"/>
        <w:ind w:firstLine="482" w:firstLineChars="200"/>
        <w:rPr>
          <w:rFonts w:ascii="宋体" w:hAnsi="宋体" w:eastAsia="宋体" w:cstheme="majorEastAsia"/>
          <w:b/>
          <w:sz w:val="24"/>
          <w:szCs w:val="24"/>
        </w:rPr>
      </w:pPr>
      <w:r>
        <w:rPr>
          <w:rFonts w:hint="eastAsia" w:ascii="宋体" w:hAnsi="宋体" w:eastAsia="宋体" w:cstheme="majorEastAsia"/>
          <w:b/>
          <w:sz w:val="24"/>
          <w:szCs w:val="24"/>
        </w:rPr>
        <w:t>十五、其他事项</w:t>
      </w:r>
    </w:p>
    <w:p>
      <w:pPr>
        <w:spacing w:line="400" w:lineRule="exact"/>
        <w:ind w:firstLine="480" w:firstLineChars="200"/>
        <w:rPr>
          <w:rFonts w:ascii="宋体" w:hAnsi="宋体" w:cs="宋体"/>
          <w:sz w:val="24"/>
          <w:szCs w:val="24"/>
        </w:rPr>
      </w:pPr>
      <w:r>
        <w:rPr>
          <w:rFonts w:hint="eastAsia" w:ascii="宋体" w:hAnsi="宋体" w:cs="宋体"/>
          <w:sz w:val="24"/>
          <w:szCs w:val="24"/>
        </w:rPr>
        <w:t>1、鉴证方作为集中采购代理机构对合同进行确认。</w:t>
      </w:r>
    </w:p>
    <w:p>
      <w:pPr>
        <w:spacing w:line="400" w:lineRule="exact"/>
        <w:ind w:firstLine="480" w:firstLineChars="200"/>
        <w:rPr>
          <w:rFonts w:ascii="宋体" w:hAnsi="宋体" w:cs="宋体"/>
          <w:sz w:val="24"/>
          <w:szCs w:val="24"/>
        </w:rPr>
      </w:pPr>
      <w:r>
        <w:rPr>
          <w:rFonts w:hint="eastAsia" w:ascii="宋体" w:hAnsi="宋体" w:cs="宋体"/>
          <w:sz w:val="24"/>
          <w:szCs w:val="24"/>
        </w:rPr>
        <w:t>2、招标文件、投保文件、澄清表（函）、中标通知书、合同附件均为合同不可分割的部分。</w:t>
      </w:r>
    </w:p>
    <w:p>
      <w:pPr>
        <w:spacing w:line="400" w:lineRule="exact"/>
        <w:ind w:firstLine="480" w:firstLineChars="200"/>
        <w:rPr>
          <w:rFonts w:ascii="宋体" w:hAnsi="宋体" w:cs="宋体"/>
          <w:sz w:val="24"/>
          <w:szCs w:val="24"/>
        </w:rPr>
      </w:pPr>
      <w:r>
        <w:rPr>
          <w:rFonts w:hint="eastAsia" w:ascii="宋体" w:hAnsi="宋体" w:cs="宋体"/>
          <w:sz w:val="24"/>
          <w:szCs w:val="24"/>
        </w:rPr>
        <w:t>3、合同未尽事宜，由甲、乙双方协商、经鉴证方确认后，签订补充协议作为合同补充，与本合同具有同等法律效力。补充合同与原合同约定不一致的，以补充协议为准。</w:t>
      </w:r>
    </w:p>
    <w:p>
      <w:pPr>
        <w:spacing w:line="440" w:lineRule="exact"/>
        <w:ind w:firstLine="480" w:firstLineChars="200"/>
        <w:rPr>
          <w:rFonts w:ascii="宋体" w:hAnsi="宋体" w:eastAsia="宋体" w:cstheme="majorEastAsia"/>
          <w:sz w:val="24"/>
          <w:szCs w:val="24"/>
        </w:rPr>
      </w:pPr>
      <w:r>
        <w:rPr>
          <w:rFonts w:ascii="宋体" w:hAnsi="宋体" w:eastAsia="宋体" w:cstheme="majorEastAsia"/>
          <w:sz w:val="24"/>
          <w:szCs w:val="24"/>
        </w:rPr>
        <w:t>4</w:t>
      </w:r>
      <w:r>
        <w:rPr>
          <w:rFonts w:hint="eastAsia" w:ascii="宋体" w:hAnsi="宋体" w:eastAsia="宋体" w:cstheme="majorEastAsia"/>
          <w:sz w:val="24"/>
          <w:szCs w:val="24"/>
        </w:rPr>
        <w:t>、合同一经签订，不得擅自变更、中止或终止合同。对确需变更、调整或中止、终止合同的，应按规定履行相应的手续。</w:t>
      </w:r>
    </w:p>
    <w:p>
      <w:pPr>
        <w:spacing w:line="44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本合同按照中华人民共和国的现行法律进行解释。</w:t>
      </w:r>
    </w:p>
    <w:p>
      <w:pPr>
        <w:tabs>
          <w:tab w:val="left" w:pos="480"/>
        </w:tabs>
        <w:spacing w:line="380" w:lineRule="exact"/>
        <w:ind w:firstLine="482" w:firstLineChars="200"/>
        <w:rPr>
          <w:rFonts w:ascii="宋体" w:hAnsi="宋体" w:eastAsia="宋体" w:cstheme="majorEastAsia"/>
          <w:b/>
          <w:sz w:val="24"/>
          <w:szCs w:val="24"/>
        </w:rPr>
      </w:pPr>
      <w:r>
        <w:rPr>
          <w:rFonts w:hint="eastAsia" w:ascii="宋体" w:hAnsi="宋体" w:eastAsia="宋体" w:cstheme="majorEastAsia"/>
          <w:b/>
          <w:sz w:val="24"/>
          <w:szCs w:val="24"/>
        </w:rPr>
        <w:t>（以下无正文）</w:t>
      </w:r>
    </w:p>
    <w:p>
      <w:pPr>
        <w:spacing w:line="380" w:lineRule="exact"/>
        <w:rPr>
          <w:rFonts w:ascii="宋体" w:hAnsi="宋体" w:eastAsia="宋体" w:cstheme="majorEastAsia"/>
          <w:sz w:val="24"/>
          <w:szCs w:val="24"/>
        </w:rPr>
      </w:pPr>
      <w:r>
        <w:rPr>
          <w:rFonts w:hint="eastAsia" w:ascii="宋体" w:hAnsi="宋体" w:eastAsia="宋体" w:cstheme="majorEastAsia"/>
          <w:bCs/>
          <w:sz w:val="24"/>
          <w:szCs w:val="24"/>
        </w:rPr>
        <w:t>附件1：</w:t>
      </w:r>
      <w:r>
        <w:rPr>
          <w:rFonts w:hint="eastAsia" w:ascii="宋体" w:hAnsi="宋体" w:eastAsia="宋体" w:cstheme="majorEastAsia"/>
          <w:sz w:val="24"/>
          <w:szCs w:val="24"/>
        </w:rPr>
        <w:t>西安市中医医院医疗器械廉洁购销合同</w:t>
      </w:r>
    </w:p>
    <w:p>
      <w:pPr>
        <w:pStyle w:val="2"/>
        <w:spacing w:line="380" w:lineRule="exact"/>
        <w:ind w:left="0" w:leftChars="0" w:right="1470"/>
        <w:rPr>
          <w:rFonts w:ascii="宋体" w:hAnsi="宋体" w:cstheme="majorEastAsia"/>
          <w:sz w:val="24"/>
          <w:szCs w:val="24"/>
        </w:rPr>
      </w:pPr>
      <w:r>
        <w:rPr>
          <w:rFonts w:hint="eastAsia" w:ascii="宋体" w:hAnsi="宋体" w:cstheme="majorEastAsia"/>
          <w:sz w:val="24"/>
          <w:szCs w:val="24"/>
        </w:rPr>
        <w:t>附件2：装箱单</w:t>
      </w:r>
    </w:p>
    <w:p>
      <w:pPr>
        <w:textAlignment w:val="baseline"/>
        <w:rPr>
          <w:rFonts w:ascii="宋体" w:hAnsi="宋体" w:eastAsia="宋体" w:cstheme="majorEastAsia"/>
          <w:sz w:val="24"/>
          <w:szCs w:val="24"/>
        </w:rPr>
      </w:pPr>
      <w:r>
        <w:rPr>
          <w:rFonts w:hint="eastAsia" w:ascii="宋体" w:hAnsi="宋体" w:cstheme="majorEastAsia"/>
          <w:sz w:val="24"/>
          <w:szCs w:val="24"/>
        </w:rPr>
        <w:t>附件3：</w:t>
      </w:r>
      <w:r>
        <w:rPr>
          <w:rFonts w:hint="eastAsia" w:ascii="宋体" w:hAnsi="宋体" w:eastAsia="宋体" w:cstheme="majorEastAsia"/>
          <w:sz w:val="24"/>
          <w:szCs w:val="24"/>
        </w:rPr>
        <w:t>备品备件报价表</w:t>
      </w:r>
    </w:p>
    <w:p>
      <w:pPr>
        <w:tabs>
          <w:tab w:val="left" w:pos="480"/>
        </w:tabs>
        <w:spacing w:line="380" w:lineRule="exact"/>
        <w:rPr>
          <w:rFonts w:ascii="宋体" w:hAnsi="宋体" w:eastAsia="宋体"/>
          <w:sz w:val="24"/>
          <w:szCs w:val="24"/>
        </w:rPr>
      </w:pPr>
      <w:r>
        <w:rPr>
          <w:rFonts w:hint="eastAsia" w:ascii="宋体" w:hAnsi="宋体" w:eastAsia="宋体"/>
          <w:sz w:val="24"/>
          <w:szCs w:val="24"/>
        </w:rPr>
        <w:t>甲  方（单位公章）              乙  方（单位公章）</w:t>
      </w:r>
    </w:p>
    <w:p>
      <w:pPr>
        <w:tabs>
          <w:tab w:val="left" w:pos="480"/>
        </w:tabs>
        <w:spacing w:line="380" w:lineRule="exact"/>
        <w:ind w:left="38" w:leftChars="16"/>
        <w:rPr>
          <w:rFonts w:ascii="宋体" w:hAnsi="宋体" w:eastAsia="宋体"/>
          <w:sz w:val="24"/>
          <w:szCs w:val="24"/>
        </w:rPr>
      </w:pPr>
      <w:r>
        <w:rPr>
          <w:rFonts w:hint="eastAsia" w:ascii="宋体" w:hAnsi="宋体" w:eastAsia="宋体"/>
          <w:sz w:val="24"/>
          <w:szCs w:val="24"/>
        </w:rPr>
        <w:t>单位名称：</w:t>
      </w:r>
      <w:r>
        <w:rPr>
          <w:rFonts w:ascii="宋体" w:hAnsi="宋体" w:eastAsia="宋体"/>
          <w:sz w:val="24"/>
          <w:szCs w:val="24"/>
        </w:rPr>
        <w:t xml:space="preserve">                      </w:t>
      </w:r>
      <w:r>
        <w:rPr>
          <w:rFonts w:hint="eastAsia" w:ascii="宋体" w:hAnsi="宋体" w:eastAsia="宋体"/>
          <w:sz w:val="24"/>
          <w:szCs w:val="24"/>
        </w:rPr>
        <w:t>单位名称：</w:t>
      </w:r>
      <w:r>
        <w:rPr>
          <w:rFonts w:ascii="宋体" w:hAnsi="宋体" w:eastAsia="宋体"/>
          <w:sz w:val="24"/>
          <w:szCs w:val="24"/>
        </w:rPr>
        <w:t xml:space="preserve"> </w:t>
      </w:r>
    </w:p>
    <w:p>
      <w:pPr>
        <w:tabs>
          <w:tab w:val="left" w:pos="480"/>
        </w:tabs>
        <w:spacing w:line="380" w:lineRule="exact"/>
        <w:ind w:left="4080" w:hanging="4080" w:hangingChars="1700"/>
        <w:jc w:val="left"/>
        <w:rPr>
          <w:rFonts w:ascii="宋体" w:hAnsi="宋体" w:eastAsia="宋体"/>
          <w:sz w:val="24"/>
          <w:szCs w:val="24"/>
        </w:rPr>
      </w:pPr>
      <w:r>
        <w:rPr>
          <w:rFonts w:hint="eastAsia" w:ascii="宋体" w:hAnsi="宋体" w:eastAsia="宋体"/>
          <w:sz w:val="24"/>
          <w:szCs w:val="24"/>
        </w:rPr>
        <w:t>地  址：西安市凤城八路69号     地  址：西安市------</w:t>
      </w:r>
    </w:p>
    <w:p>
      <w:pPr>
        <w:tabs>
          <w:tab w:val="left" w:pos="480"/>
        </w:tabs>
        <w:spacing w:line="380" w:lineRule="exact"/>
        <w:ind w:left="4920" w:hanging="4920" w:hangingChars="2050"/>
        <w:rPr>
          <w:rFonts w:ascii="宋体" w:hAnsi="宋体" w:eastAsia="宋体"/>
          <w:sz w:val="24"/>
          <w:szCs w:val="24"/>
        </w:rPr>
      </w:pPr>
      <w:r>
        <w:rPr>
          <w:rFonts w:hint="eastAsia" w:ascii="宋体" w:hAnsi="宋体" w:eastAsia="宋体"/>
          <w:sz w:val="24"/>
          <w:szCs w:val="24"/>
        </w:rPr>
        <w:t xml:space="preserve">法定代表人：（签章） </w:t>
      </w:r>
      <w:r>
        <w:rPr>
          <w:rFonts w:ascii="宋体" w:hAnsi="宋体" w:eastAsia="宋体"/>
          <w:sz w:val="24"/>
          <w:szCs w:val="24"/>
        </w:rPr>
        <w:t xml:space="preserve">            </w:t>
      </w:r>
      <w:r>
        <w:rPr>
          <w:rFonts w:hint="eastAsia" w:ascii="宋体" w:hAnsi="宋体" w:eastAsia="宋体"/>
          <w:sz w:val="24"/>
          <w:szCs w:val="24"/>
        </w:rPr>
        <w:t>法定代表人：（签章）</w:t>
      </w:r>
    </w:p>
    <w:p>
      <w:pPr>
        <w:tabs>
          <w:tab w:val="left" w:pos="480"/>
        </w:tabs>
        <w:spacing w:line="380" w:lineRule="exact"/>
        <w:ind w:firstLine="480" w:firstLineChars="200"/>
        <w:rPr>
          <w:rFonts w:ascii="宋体" w:hAnsi="宋体" w:eastAsia="宋体"/>
          <w:sz w:val="24"/>
          <w:szCs w:val="24"/>
        </w:rPr>
      </w:pPr>
      <w:r>
        <w:rPr>
          <w:rFonts w:hint="eastAsia" w:ascii="宋体" w:hAnsi="宋体" w:eastAsia="宋体"/>
          <w:sz w:val="24"/>
          <w:szCs w:val="24"/>
        </w:rPr>
        <w:t xml:space="preserve">                             </w:t>
      </w:r>
    </w:p>
    <w:p>
      <w:pPr>
        <w:tabs>
          <w:tab w:val="left" w:pos="480"/>
        </w:tabs>
        <w:spacing w:line="380" w:lineRule="exact"/>
        <w:rPr>
          <w:rFonts w:ascii="宋体" w:hAnsi="宋体" w:eastAsia="宋体"/>
          <w:sz w:val="24"/>
          <w:szCs w:val="24"/>
        </w:rPr>
      </w:pPr>
      <w:r>
        <w:rPr>
          <w:rFonts w:hint="eastAsia" w:ascii="宋体" w:hAnsi="宋体" w:eastAsia="宋体"/>
          <w:sz w:val="24"/>
          <w:szCs w:val="24"/>
        </w:rPr>
        <w:t>主管院长：（签字）</w:t>
      </w:r>
    </w:p>
    <w:p>
      <w:pPr>
        <w:tabs>
          <w:tab w:val="left" w:pos="480"/>
        </w:tabs>
        <w:spacing w:line="380" w:lineRule="exact"/>
        <w:rPr>
          <w:rFonts w:ascii="宋体" w:hAnsi="宋体" w:eastAsia="宋体"/>
          <w:sz w:val="24"/>
          <w:szCs w:val="24"/>
        </w:rPr>
      </w:pPr>
    </w:p>
    <w:p>
      <w:pPr>
        <w:tabs>
          <w:tab w:val="left" w:pos="480"/>
        </w:tabs>
        <w:spacing w:line="380" w:lineRule="exact"/>
        <w:rPr>
          <w:rFonts w:ascii="宋体" w:hAnsi="宋体" w:eastAsia="宋体"/>
          <w:sz w:val="24"/>
          <w:szCs w:val="24"/>
        </w:rPr>
      </w:pPr>
      <w:r>
        <w:rPr>
          <w:rFonts w:hint="eastAsia" w:ascii="宋体" w:hAnsi="宋体" w:eastAsia="宋体"/>
          <w:sz w:val="24"/>
          <w:szCs w:val="24"/>
        </w:rPr>
        <w:t xml:space="preserve">代理人： </w:t>
      </w:r>
      <w:r>
        <w:rPr>
          <w:rFonts w:ascii="宋体" w:hAnsi="宋体" w:eastAsia="宋体"/>
          <w:sz w:val="24"/>
          <w:szCs w:val="24"/>
        </w:rPr>
        <w:t xml:space="preserve">     </w:t>
      </w:r>
      <w:r>
        <w:rPr>
          <w:rFonts w:hint="eastAsia" w:ascii="宋体" w:hAnsi="宋体" w:eastAsia="宋体"/>
          <w:sz w:val="24"/>
          <w:szCs w:val="24"/>
        </w:rPr>
        <w:t xml:space="preserve">                  代理人：</w:t>
      </w:r>
      <w:r>
        <w:rPr>
          <w:rFonts w:ascii="宋体" w:hAnsi="宋体" w:eastAsia="宋体"/>
          <w:sz w:val="24"/>
          <w:szCs w:val="24"/>
        </w:rPr>
        <w:t xml:space="preserve"> </w:t>
      </w:r>
    </w:p>
    <w:p>
      <w:pPr>
        <w:tabs>
          <w:tab w:val="left" w:pos="480"/>
        </w:tabs>
        <w:spacing w:line="380" w:lineRule="exact"/>
        <w:ind w:firstLine="480" w:firstLineChars="200"/>
        <w:rPr>
          <w:rFonts w:ascii="宋体" w:hAnsi="宋体" w:eastAsia="宋体"/>
          <w:sz w:val="24"/>
          <w:szCs w:val="24"/>
        </w:rPr>
      </w:pPr>
    </w:p>
    <w:p>
      <w:pPr>
        <w:tabs>
          <w:tab w:val="left" w:pos="480"/>
        </w:tabs>
        <w:spacing w:line="380" w:lineRule="exact"/>
        <w:rPr>
          <w:rFonts w:ascii="宋体" w:hAnsi="宋体" w:eastAsia="宋体"/>
          <w:sz w:val="24"/>
          <w:szCs w:val="24"/>
        </w:rPr>
      </w:pPr>
      <w:r>
        <w:rPr>
          <w:rFonts w:hint="eastAsia" w:ascii="宋体" w:hAnsi="宋体" w:eastAsia="宋体"/>
          <w:sz w:val="24"/>
          <w:szCs w:val="24"/>
        </w:rPr>
        <w:t>经办人：</w:t>
      </w:r>
      <w:r>
        <w:rPr>
          <w:rFonts w:ascii="宋体" w:hAnsi="宋体" w:eastAsia="宋体"/>
          <w:sz w:val="24"/>
          <w:szCs w:val="24"/>
        </w:rPr>
        <w:t xml:space="preserve"> </w:t>
      </w:r>
    </w:p>
    <w:p>
      <w:pPr>
        <w:tabs>
          <w:tab w:val="left" w:pos="480"/>
        </w:tabs>
        <w:spacing w:line="380" w:lineRule="exact"/>
        <w:rPr>
          <w:rFonts w:ascii="宋体" w:hAnsi="宋体" w:eastAsia="宋体"/>
          <w:sz w:val="24"/>
          <w:szCs w:val="24"/>
        </w:rPr>
      </w:pPr>
      <w:r>
        <w:rPr>
          <w:rFonts w:hint="eastAsia" w:ascii="宋体" w:hAnsi="宋体" w:eastAsia="宋体"/>
          <w:sz w:val="24"/>
          <w:szCs w:val="24"/>
        </w:rPr>
        <w:t xml:space="preserve">联系电话：029-        </w:t>
      </w:r>
      <w:r>
        <w:rPr>
          <w:rFonts w:ascii="宋体" w:hAnsi="宋体" w:eastAsia="宋体"/>
          <w:sz w:val="24"/>
          <w:szCs w:val="24"/>
        </w:rPr>
        <w:t xml:space="preserve">        </w:t>
      </w: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联系电话：------</w:t>
      </w:r>
    </w:p>
    <w:p>
      <w:pPr>
        <w:tabs>
          <w:tab w:val="left" w:pos="480"/>
        </w:tabs>
        <w:spacing w:line="380" w:lineRule="exact"/>
        <w:rPr>
          <w:rFonts w:ascii="宋体" w:hAnsi="宋体" w:eastAsia="宋体"/>
          <w:sz w:val="24"/>
          <w:szCs w:val="24"/>
        </w:rPr>
      </w:pPr>
      <w:r>
        <w:rPr>
          <w:rFonts w:hint="eastAsia" w:ascii="宋体" w:hAnsi="宋体" w:eastAsia="宋体"/>
          <w:sz w:val="24"/>
          <w:szCs w:val="24"/>
        </w:rPr>
        <w:t>签订日期：202---年  月  日        签订日期：202---年  月  日</w:t>
      </w:r>
    </w:p>
    <w:p/>
    <w:p>
      <w:pPr>
        <w:jc w:val="left"/>
      </w:pPr>
    </w:p>
    <w:p>
      <w:pPr>
        <w:jc w:val="left"/>
      </w:pPr>
    </w:p>
    <w:p>
      <w:pPr>
        <w:jc w:val="left"/>
      </w:pPr>
      <w:r>
        <w:rPr>
          <w:rFonts w:hint="eastAsia"/>
        </w:rPr>
        <w:t>鉴证方</w:t>
      </w:r>
      <w:r>
        <w:rPr>
          <w:rFonts w:hint="eastAsia" w:ascii="宋体" w:hAnsi="宋体" w:eastAsia="宋体"/>
          <w:sz w:val="24"/>
          <w:szCs w:val="24"/>
        </w:rPr>
        <w:t>（法人公章）</w:t>
      </w:r>
      <w:r>
        <w:rPr>
          <w:rFonts w:hint="eastAsia"/>
        </w:rPr>
        <w:t>：</w:t>
      </w:r>
    </w:p>
    <w:p>
      <w:pPr>
        <w:pStyle w:val="2"/>
        <w:ind w:left="1470" w:right="1470"/>
      </w:pPr>
    </w:p>
    <w:p>
      <w:pPr>
        <w:jc w:val="left"/>
      </w:pPr>
      <w:r>
        <w:rPr>
          <w:rFonts w:hint="eastAsia"/>
        </w:rPr>
        <w:t>单位名称：</w:t>
      </w:r>
    </w:p>
    <w:p/>
    <w:p>
      <w:pPr>
        <w:jc w:val="left"/>
      </w:pPr>
      <w:r>
        <w:rPr>
          <w:rFonts w:hint="eastAsia" w:ascii="宋体" w:hAnsi="宋体" w:eastAsia="宋体"/>
          <w:sz w:val="24"/>
          <w:szCs w:val="24"/>
        </w:rPr>
        <w:t>地  址：</w:t>
      </w:r>
    </w:p>
    <w:p>
      <w:pPr>
        <w:tabs>
          <w:tab w:val="left" w:pos="480"/>
        </w:tabs>
        <w:spacing w:line="380" w:lineRule="exact"/>
        <w:ind w:left="4920" w:hanging="4920" w:hangingChars="2050"/>
        <w:rPr>
          <w:rFonts w:ascii="宋体" w:hAnsi="宋体" w:eastAsia="宋体"/>
          <w:sz w:val="24"/>
          <w:szCs w:val="24"/>
        </w:rPr>
      </w:pPr>
      <w:r>
        <w:rPr>
          <w:rFonts w:hint="eastAsia" w:ascii="宋体" w:hAnsi="宋体" w:eastAsia="宋体"/>
          <w:sz w:val="24"/>
          <w:szCs w:val="24"/>
        </w:rPr>
        <w:t>法定代表人（签字）：</w:t>
      </w:r>
    </w:p>
    <w:p>
      <w:pPr>
        <w:jc w:val="left"/>
      </w:pPr>
    </w:p>
    <w:p>
      <w:pPr>
        <w:tabs>
          <w:tab w:val="left" w:pos="480"/>
        </w:tabs>
        <w:spacing w:line="380" w:lineRule="exact"/>
      </w:pPr>
      <w:r>
        <w:rPr>
          <w:rFonts w:hint="eastAsia" w:ascii="宋体" w:hAnsi="宋体" w:eastAsia="宋体"/>
          <w:sz w:val="24"/>
          <w:szCs w:val="24"/>
        </w:rPr>
        <w:t>经办人（签字）：</w:t>
      </w:r>
    </w:p>
    <w:p/>
    <w:p>
      <w:pPr>
        <w:jc w:val="left"/>
        <w:sectPr>
          <w:footerReference r:id="rId8" w:type="default"/>
          <w:pgSz w:w="11906" w:h="16838"/>
          <w:pgMar w:top="1440" w:right="1800" w:bottom="1440" w:left="1800" w:header="708" w:footer="708" w:gutter="0"/>
          <w:pgNumType w:fmt="decimal"/>
          <w:cols w:space="708" w:num="1"/>
          <w:docGrid w:linePitch="360" w:charSpace="0"/>
        </w:sectPr>
      </w:pPr>
      <w:r>
        <w:rPr>
          <w:rFonts w:hint="eastAsia" w:ascii="宋体" w:hAnsi="宋体" w:eastAsia="宋体"/>
          <w:sz w:val="24"/>
          <w:szCs w:val="24"/>
        </w:rPr>
        <w:t>联系电话：029-</w:t>
      </w:r>
    </w:p>
    <w:p/>
    <w:p>
      <w:pPr>
        <w:spacing w:line="420" w:lineRule="exact"/>
        <w:rPr>
          <w:rFonts w:ascii="宋体" w:hAnsi="宋体" w:eastAsia="宋体" w:cstheme="majorEastAsia"/>
          <w:sz w:val="24"/>
          <w:szCs w:val="24"/>
        </w:rPr>
      </w:pPr>
      <w:r>
        <w:rPr>
          <w:rFonts w:hint="eastAsia" w:ascii="宋体" w:hAnsi="宋体" w:eastAsia="宋体" w:cstheme="majorEastAsia"/>
          <w:sz w:val="24"/>
          <w:szCs w:val="24"/>
        </w:rPr>
        <w:t>附件1：</w:t>
      </w:r>
    </w:p>
    <w:p>
      <w:pPr>
        <w:spacing w:line="420" w:lineRule="exact"/>
        <w:ind w:firstLine="482" w:firstLineChars="200"/>
        <w:jc w:val="center"/>
        <w:rPr>
          <w:rFonts w:ascii="宋体" w:hAnsi="宋体" w:eastAsia="宋体" w:cstheme="majorEastAsia"/>
          <w:b/>
          <w:sz w:val="24"/>
          <w:szCs w:val="24"/>
        </w:rPr>
      </w:pPr>
      <w:r>
        <w:rPr>
          <w:rFonts w:hint="eastAsia" w:ascii="宋体" w:hAnsi="宋体" w:eastAsia="宋体" w:cstheme="majorEastAsia"/>
          <w:b/>
          <w:sz w:val="24"/>
          <w:szCs w:val="24"/>
        </w:rPr>
        <w:t>西安市中医医院医疗器械廉洁购销合同</w:t>
      </w:r>
    </w:p>
    <w:p>
      <w:pPr>
        <w:spacing w:line="380" w:lineRule="exact"/>
        <w:ind w:firstLine="482" w:firstLineChars="200"/>
        <w:rPr>
          <w:rFonts w:ascii="宋体" w:hAnsi="宋体" w:eastAsia="宋体" w:cstheme="majorEastAsia"/>
          <w:sz w:val="24"/>
          <w:szCs w:val="24"/>
        </w:rPr>
      </w:pPr>
      <w:r>
        <w:rPr>
          <w:rFonts w:hint="eastAsia" w:ascii="宋体" w:hAnsi="宋体" w:eastAsia="宋体" w:cstheme="majorEastAsia"/>
          <w:b/>
          <w:sz w:val="24"/>
          <w:szCs w:val="24"/>
        </w:rPr>
        <w:t>甲方</w:t>
      </w:r>
      <w:r>
        <w:rPr>
          <w:rFonts w:hint="eastAsia" w:ascii="宋体" w:hAnsi="宋体" w:eastAsia="宋体" w:cstheme="majorEastAsia"/>
          <w:sz w:val="24"/>
          <w:szCs w:val="24"/>
        </w:rPr>
        <w:t>：西安市中医医院</w:t>
      </w:r>
    </w:p>
    <w:p>
      <w:pPr>
        <w:tabs>
          <w:tab w:val="left" w:pos="480"/>
        </w:tabs>
        <w:spacing w:line="380" w:lineRule="exact"/>
        <w:ind w:left="6065" w:leftChars="218" w:hanging="5542" w:hangingChars="2300"/>
        <w:rPr>
          <w:rFonts w:ascii="宋体" w:hAnsi="宋体" w:eastAsia="宋体" w:cstheme="majorEastAsia"/>
          <w:sz w:val="24"/>
          <w:szCs w:val="24"/>
        </w:rPr>
      </w:pPr>
      <w:r>
        <w:rPr>
          <w:rFonts w:hint="eastAsia" w:ascii="宋体" w:hAnsi="宋体" w:eastAsia="宋体" w:cstheme="majorEastAsia"/>
          <w:b/>
          <w:sz w:val="24"/>
          <w:szCs w:val="24"/>
        </w:rPr>
        <w:t>乙方</w:t>
      </w:r>
      <w:r>
        <w:rPr>
          <w:rFonts w:hint="eastAsia" w:ascii="宋体" w:hAnsi="宋体" w:eastAsia="宋体" w:cstheme="majorEastAsia"/>
          <w:sz w:val="24"/>
          <w:szCs w:val="24"/>
        </w:rPr>
        <w:t>：</w:t>
      </w:r>
      <w:r>
        <w:rPr>
          <w:rFonts w:hint="eastAsia" w:ascii="宋体" w:hAnsi="宋体" w:eastAsia="宋体"/>
          <w:sz w:val="24"/>
          <w:szCs w:val="24"/>
        </w:rPr>
        <w:t>----有限公司</w:t>
      </w:r>
    </w:p>
    <w:p>
      <w:pPr>
        <w:spacing w:line="38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为进一步加强医疗卫生行风建设，规范医疗卫生机构医疗器械购销行为，有效防范商业贿赂行为，营造公平交易、诚实守信的购销环境，经甲、乙双方协商，同意签订本合同，并共同遵守：</w:t>
      </w:r>
    </w:p>
    <w:p>
      <w:pPr>
        <w:spacing w:line="38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一、甲乙双方按照《民法典》及医疗器械产品购销合同约定购销医疗设备、相关配件及耗材等医疗器械产品。</w:t>
      </w:r>
    </w:p>
    <w:p>
      <w:pPr>
        <w:spacing w:line="38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二、甲方应当严格执行医疗器械产品购销合同验收、入库制度，对采购医疗器械产品及发票进行查验，不得违反有关规定合同外采购、违价采购或从非规定渠道采购。</w:t>
      </w:r>
    </w:p>
    <w:p>
      <w:pPr>
        <w:spacing w:line="38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38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四、严禁甲方工作人员利用任何途径和方式，为乙方统计医师个人及临床科室有关医疗器械产品用量信息，或为乙方统计提供便利。</w:t>
      </w:r>
    </w:p>
    <w:p>
      <w:pPr>
        <w:spacing w:line="38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五、乙方不得以回扣、宴请等方式影响甲方工作人员采购或使用医疗器械产品的选择权，不得在学术活动中提供旅游、超标准支付食宿费用。</w:t>
      </w:r>
    </w:p>
    <w:p>
      <w:pPr>
        <w:spacing w:line="38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六、乙方指定崔程作为销售代表洽谈业务。销售代表必须在工作时间到甲方指定地点联系商谈，不得到住院部、门诊部、医技科室等推销医疗器械产品，不得借故到甲方相关领导、部门负责人及相关工作人员家中访谈并提供任何好处费。</w:t>
      </w:r>
    </w:p>
    <w:p>
      <w:pPr>
        <w:spacing w:line="38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七、乙方如违反本承诺，一经发现，甲方有权终止购销合同，并向有关卫生计生行政部门报告。如乙方被列入商业贿赂不良记录，则严格按照《国家卫生计生委关于建立医疗器械购销领域商业贿赂不良记录的规定》</w:t>
      </w:r>
      <w:r>
        <w:rPr>
          <w:rFonts w:hint="eastAsia" w:ascii="宋体" w:hAnsi="宋体" w:eastAsia="宋体" w:cstheme="majorEastAsia"/>
          <w:color w:val="000000"/>
          <w:sz w:val="24"/>
          <w:szCs w:val="24"/>
          <w:shd w:val="clear" w:color="auto" w:fill="FFFFFF"/>
        </w:rPr>
        <w:t>（国卫法制发〔2013〕50号）</w:t>
      </w:r>
      <w:r>
        <w:rPr>
          <w:rFonts w:hint="eastAsia" w:ascii="宋体" w:hAnsi="宋体" w:eastAsia="宋体" w:cstheme="majorEastAsia"/>
          <w:sz w:val="24"/>
          <w:szCs w:val="24"/>
        </w:rPr>
        <w:t>相关规定处理。</w:t>
      </w:r>
    </w:p>
    <w:p>
      <w:pPr>
        <w:spacing w:line="380" w:lineRule="exact"/>
        <w:ind w:firstLine="480" w:firstLineChars="200"/>
        <w:rPr>
          <w:rFonts w:ascii="宋体" w:hAnsi="宋体" w:eastAsia="宋体" w:cstheme="majorEastAsia"/>
          <w:sz w:val="24"/>
          <w:szCs w:val="24"/>
        </w:rPr>
      </w:pPr>
      <w:r>
        <w:rPr>
          <w:rFonts w:hint="eastAsia" w:ascii="宋体" w:hAnsi="宋体" w:eastAsia="宋体" w:cstheme="majorEastAsia"/>
          <w:sz w:val="24"/>
          <w:szCs w:val="24"/>
        </w:rPr>
        <w:t>八、本合同作为医疗器械产品购销合同的重要组成部分，与购销合同一并执行，具有同等的法律效力。</w:t>
      </w:r>
    </w:p>
    <w:p>
      <w:pPr>
        <w:spacing w:line="380" w:lineRule="exact"/>
        <w:rPr>
          <w:rFonts w:ascii="宋体" w:hAnsi="宋体" w:eastAsia="宋体" w:cstheme="majorEastAsia"/>
          <w:sz w:val="24"/>
          <w:szCs w:val="24"/>
        </w:rPr>
      </w:pPr>
      <w:r>
        <w:rPr>
          <w:rFonts w:hint="eastAsia" w:ascii="宋体" w:hAnsi="宋体" w:eastAsia="宋体" w:cstheme="majorEastAsia"/>
          <w:sz w:val="24"/>
          <w:szCs w:val="24"/>
        </w:rPr>
        <w:t>甲方（盖章）：                              乙方（盖章）：</w:t>
      </w:r>
    </w:p>
    <w:p>
      <w:pPr>
        <w:spacing w:line="380" w:lineRule="exact"/>
        <w:ind w:firstLine="480" w:firstLineChars="200"/>
        <w:rPr>
          <w:rFonts w:ascii="宋体" w:hAnsi="宋体" w:eastAsia="宋体" w:cstheme="majorEastAsia"/>
          <w:sz w:val="24"/>
          <w:szCs w:val="24"/>
        </w:rPr>
      </w:pPr>
    </w:p>
    <w:p>
      <w:pPr>
        <w:rPr>
          <w:rFonts w:ascii="宋体" w:hAnsi="宋体" w:eastAsia="宋体" w:cstheme="majorEastAsia"/>
          <w:sz w:val="24"/>
          <w:szCs w:val="24"/>
        </w:rPr>
      </w:pPr>
      <w:r>
        <w:rPr>
          <w:rFonts w:hint="eastAsia" w:ascii="宋体" w:hAnsi="宋体" w:eastAsia="宋体" w:cstheme="majorEastAsia"/>
          <w:sz w:val="24"/>
          <w:szCs w:val="24"/>
        </w:rPr>
        <w:t>代理人（签章）：                            法定代表人（签章）：</w:t>
      </w:r>
    </w:p>
    <w:p>
      <w:pPr>
        <w:pStyle w:val="2"/>
        <w:ind w:left="1470" w:right="1470"/>
        <w:rPr>
          <w:rFonts w:ascii="宋体" w:hAnsi="宋体" w:cstheme="majorEastAsia"/>
          <w:sz w:val="24"/>
          <w:szCs w:val="24"/>
        </w:rPr>
      </w:pPr>
    </w:p>
    <w:p>
      <w:pPr>
        <w:rPr>
          <w:rFonts w:ascii="宋体" w:hAnsi="宋体" w:eastAsia="宋体"/>
          <w:sz w:val="24"/>
          <w:szCs w:val="24"/>
        </w:rPr>
      </w:pPr>
      <w:r>
        <w:rPr>
          <w:rFonts w:hint="eastAsia" w:ascii="宋体" w:hAnsi="宋体" w:eastAsia="宋体" w:cstheme="majorEastAsia"/>
          <w:sz w:val="24"/>
          <w:szCs w:val="24"/>
        </w:rPr>
        <w:t>202-年   月   日                           202-年   月   日</w:t>
      </w:r>
    </w:p>
    <w:p>
      <w:pPr>
        <w:pStyle w:val="2"/>
        <w:ind w:left="1470" w:right="1470"/>
        <w:rPr>
          <w:rFonts w:ascii="宋体" w:hAnsi="宋体" w:cstheme="majorEastAsia"/>
          <w:sz w:val="24"/>
          <w:szCs w:val="24"/>
        </w:rPr>
      </w:pPr>
    </w:p>
    <w:p>
      <w:pPr>
        <w:jc w:val="left"/>
        <w:sectPr>
          <w:footerReference r:id="rId9" w:type="default"/>
          <w:pgSz w:w="11906" w:h="16838"/>
          <w:pgMar w:top="1440" w:right="1800" w:bottom="1440" w:left="1800" w:header="708" w:footer="708" w:gutter="0"/>
          <w:pgNumType w:fmt="decimal"/>
          <w:cols w:space="708" w:num="1"/>
          <w:docGrid w:linePitch="360" w:charSpace="0"/>
        </w:sectPr>
      </w:pPr>
    </w:p>
    <w:p/>
    <w:p/>
    <w:p>
      <w:pPr>
        <w:spacing w:line="420" w:lineRule="exact"/>
        <w:textAlignment w:val="baseline"/>
        <w:rPr>
          <w:rStyle w:val="39"/>
          <w:rFonts w:ascii="宋体" w:hAnsi="宋体" w:cs="Times New Roman"/>
          <w:b w:val="0"/>
          <w:bCs/>
          <w:szCs w:val="21"/>
        </w:rPr>
      </w:pPr>
      <w:r>
        <w:rPr>
          <w:rStyle w:val="124"/>
          <w:rFonts w:ascii="宋体" w:hAnsi="宋体"/>
          <w:bCs/>
          <w:sz w:val="24"/>
          <w:szCs w:val="24"/>
        </w:rPr>
        <w:t>附件</w:t>
      </w:r>
      <w:r>
        <w:rPr>
          <w:rStyle w:val="124"/>
          <w:rFonts w:hint="eastAsia" w:ascii="宋体" w:hAnsi="宋体"/>
          <w:bCs/>
          <w:sz w:val="24"/>
          <w:szCs w:val="24"/>
        </w:rPr>
        <w:t>2</w:t>
      </w:r>
      <w:r>
        <w:rPr>
          <w:rStyle w:val="124"/>
          <w:rFonts w:ascii="宋体" w:hAnsi="宋体"/>
          <w:b/>
          <w:sz w:val="24"/>
          <w:szCs w:val="24"/>
        </w:rPr>
        <w:t>：</w:t>
      </w:r>
      <w:r>
        <w:rPr>
          <w:rStyle w:val="124"/>
          <w:rFonts w:hint="eastAsia" w:ascii="宋体" w:hAnsi="宋体"/>
          <w:b/>
          <w:sz w:val="24"/>
          <w:szCs w:val="24"/>
        </w:rPr>
        <w:t xml:space="preserve">                     装 箱 单（格式自拟）</w:t>
      </w:r>
    </w:p>
    <w:p>
      <w:pPr>
        <w:spacing w:line="420" w:lineRule="exact"/>
        <w:textAlignment w:val="baseline"/>
        <w:rPr>
          <w:rStyle w:val="39"/>
          <w:rFonts w:ascii="宋体" w:hAnsi="宋体" w:cs="Times New Roman"/>
          <w:b w:val="0"/>
          <w:bCs/>
          <w:szCs w:val="21"/>
        </w:rPr>
      </w:pPr>
    </w:p>
    <w:p/>
    <w:p>
      <w:pPr>
        <w:pStyle w:val="2"/>
        <w:ind w:left="1470" w:right="1470"/>
      </w:pPr>
    </w:p>
    <w:p>
      <w:pPr>
        <w:pStyle w:val="2"/>
        <w:ind w:left="1470" w:right="1470"/>
      </w:pPr>
    </w:p>
    <w:p>
      <w:pPr>
        <w:pStyle w:val="2"/>
        <w:ind w:left="1470" w:right="1470"/>
      </w:pPr>
    </w:p>
    <w:p>
      <w:pPr>
        <w:pStyle w:val="2"/>
        <w:ind w:left="1470" w:right="1470"/>
      </w:pPr>
    </w:p>
    <w:p>
      <w:pPr>
        <w:pStyle w:val="2"/>
        <w:ind w:left="1470" w:right="1470"/>
      </w:pPr>
    </w:p>
    <w:p>
      <w:pPr>
        <w:pStyle w:val="2"/>
        <w:ind w:left="1470" w:right="1470"/>
      </w:pPr>
    </w:p>
    <w:p>
      <w:pPr>
        <w:pStyle w:val="2"/>
        <w:ind w:left="1470" w:right="1470"/>
      </w:pPr>
    </w:p>
    <w:p>
      <w:pPr>
        <w:pStyle w:val="2"/>
        <w:ind w:left="1470" w:right="1470"/>
      </w:pPr>
    </w:p>
    <w:p>
      <w:pPr>
        <w:pStyle w:val="2"/>
        <w:ind w:left="1470" w:right="1470"/>
      </w:pPr>
    </w:p>
    <w:p>
      <w:pPr>
        <w:pStyle w:val="2"/>
        <w:ind w:left="1470" w:right="1470"/>
      </w:pPr>
    </w:p>
    <w:p>
      <w:pPr>
        <w:pStyle w:val="2"/>
        <w:ind w:left="1470" w:right="1470"/>
      </w:pPr>
    </w:p>
    <w:p>
      <w:pPr>
        <w:pStyle w:val="2"/>
        <w:ind w:left="1470" w:right="1470"/>
      </w:pPr>
    </w:p>
    <w:p>
      <w:pPr>
        <w:pStyle w:val="2"/>
        <w:ind w:left="1470" w:right="1470"/>
      </w:pPr>
    </w:p>
    <w:p>
      <w:pPr>
        <w:pStyle w:val="2"/>
        <w:ind w:left="1470" w:right="1470"/>
      </w:pPr>
    </w:p>
    <w:p>
      <w:pPr>
        <w:pStyle w:val="2"/>
        <w:ind w:left="1470" w:right="1470"/>
      </w:pPr>
    </w:p>
    <w:p>
      <w:pPr>
        <w:pStyle w:val="2"/>
        <w:ind w:left="1470" w:right="1470"/>
        <w:sectPr>
          <w:footerReference r:id="rId10" w:type="default"/>
          <w:pgSz w:w="11906" w:h="16838"/>
          <w:pgMar w:top="1440" w:right="1800" w:bottom="1440" w:left="1800" w:header="708" w:footer="708" w:gutter="0"/>
          <w:pgNumType w:fmt="decimal"/>
          <w:cols w:space="708" w:num="1"/>
          <w:docGrid w:linePitch="360" w:charSpace="0"/>
        </w:sectPr>
      </w:pPr>
    </w:p>
    <w:p>
      <w:pPr>
        <w:pStyle w:val="2"/>
        <w:ind w:left="1470" w:right="1470"/>
      </w:pPr>
    </w:p>
    <w:p>
      <w:pPr>
        <w:pStyle w:val="2"/>
        <w:ind w:left="1470" w:right="1470"/>
      </w:pPr>
    </w:p>
    <w:p>
      <w:pPr>
        <w:spacing w:line="420" w:lineRule="exact"/>
        <w:textAlignment w:val="baseline"/>
        <w:rPr>
          <w:rStyle w:val="124"/>
          <w:rFonts w:ascii="宋体" w:hAnsi="宋体" w:eastAsia="宋体"/>
          <w:b/>
          <w:bCs/>
          <w:sz w:val="30"/>
          <w:szCs w:val="30"/>
        </w:rPr>
      </w:pPr>
      <w:r>
        <w:rPr>
          <w:rStyle w:val="124"/>
          <w:rFonts w:hint="eastAsia" w:ascii="宋体" w:hAnsi="宋体" w:eastAsia="宋体"/>
          <w:sz w:val="24"/>
          <w:szCs w:val="24"/>
        </w:rPr>
        <w:t xml:space="preserve">附件3： </w:t>
      </w:r>
      <w:r>
        <w:rPr>
          <w:rStyle w:val="124"/>
          <w:rFonts w:hint="eastAsia" w:ascii="宋体" w:hAnsi="宋体" w:eastAsia="宋体"/>
          <w:b/>
          <w:bCs/>
          <w:sz w:val="30"/>
          <w:szCs w:val="30"/>
        </w:rPr>
        <w:t xml:space="preserve">              备品备件报价表</w:t>
      </w:r>
    </w:p>
    <w:p>
      <w:pPr>
        <w:spacing w:line="420" w:lineRule="exact"/>
        <w:jc w:val="center"/>
        <w:textAlignment w:val="baseline"/>
        <w:rPr>
          <w:rStyle w:val="124"/>
          <w:rFonts w:ascii="宋体" w:hAnsi="宋体" w:eastAsia="宋体"/>
          <w:sz w:val="24"/>
          <w:szCs w:val="24"/>
        </w:rPr>
      </w:pPr>
    </w:p>
    <w:p>
      <w:pPr>
        <w:spacing w:line="420" w:lineRule="exact"/>
        <w:jc w:val="center"/>
        <w:textAlignment w:val="baseline"/>
        <w:rPr>
          <w:rStyle w:val="124"/>
          <w:rFonts w:ascii="宋体" w:hAnsi="宋体" w:eastAsia="宋体"/>
          <w:sz w:val="24"/>
          <w:szCs w:val="24"/>
        </w:rPr>
      </w:pPr>
    </w:p>
    <w:tbl>
      <w:tblPr>
        <w:tblStyle w:val="36"/>
        <w:tblW w:w="8511"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9"/>
        <w:gridCol w:w="2122"/>
        <w:gridCol w:w="1080"/>
        <w:gridCol w:w="810"/>
        <w:gridCol w:w="1270"/>
        <w:gridCol w:w="1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969" w:type="dxa"/>
          </w:tcPr>
          <w:p>
            <w:pPr>
              <w:spacing w:line="420" w:lineRule="exact"/>
              <w:jc w:val="center"/>
              <w:textAlignment w:val="baseline"/>
              <w:rPr>
                <w:rStyle w:val="124"/>
                <w:rFonts w:ascii="宋体" w:hAnsi="宋体" w:eastAsia="宋体"/>
                <w:sz w:val="24"/>
                <w:szCs w:val="24"/>
              </w:rPr>
            </w:pPr>
            <w:r>
              <w:rPr>
                <w:rStyle w:val="124"/>
                <w:rFonts w:hint="eastAsia" w:ascii="宋体" w:hAnsi="宋体" w:eastAsia="宋体"/>
                <w:sz w:val="24"/>
                <w:szCs w:val="24"/>
              </w:rPr>
              <w:t>配件名称</w:t>
            </w:r>
          </w:p>
        </w:tc>
        <w:tc>
          <w:tcPr>
            <w:tcW w:w="2122" w:type="dxa"/>
          </w:tcPr>
          <w:p>
            <w:pPr>
              <w:spacing w:line="420" w:lineRule="exact"/>
              <w:jc w:val="center"/>
              <w:textAlignment w:val="baseline"/>
              <w:rPr>
                <w:rStyle w:val="124"/>
                <w:rFonts w:ascii="宋体" w:hAnsi="宋体" w:eastAsia="宋体"/>
                <w:sz w:val="24"/>
                <w:szCs w:val="24"/>
              </w:rPr>
            </w:pPr>
            <w:r>
              <w:rPr>
                <w:rStyle w:val="124"/>
                <w:rFonts w:hint="eastAsia" w:ascii="宋体" w:hAnsi="宋体" w:eastAsia="宋体"/>
                <w:sz w:val="24"/>
                <w:szCs w:val="24"/>
              </w:rPr>
              <w:t>型号</w:t>
            </w:r>
          </w:p>
        </w:tc>
        <w:tc>
          <w:tcPr>
            <w:tcW w:w="1080" w:type="dxa"/>
          </w:tcPr>
          <w:p>
            <w:pPr>
              <w:spacing w:line="420" w:lineRule="exact"/>
              <w:jc w:val="center"/>
              <w:textAlignment w:val="baseline"/>
              <w:rPr>
                <w:rStyle w:val="124"/>
                <w:rFonts w:ascii="宋体" w:hAnsi="宋体" w:eastAsia="宋体"/>
                <w:sz w:val="24"/>
                <w:szCs w:val="24"/>
              </w:rPr>
            </w:pPr>
            <w:r>
              <w:rPr>
                <w:rStyle w:val="124"/>
                <w:rFonts w:hint="eastAsia" w:ascii="宋体" w:hAnsi="宋体" w:eastAsia="宋体"/>
                <w:sz w:val="24"/>
                <w:szCs w:val="24"/>
              </w:rPr>
              <w:t>数量</w:t>
            </w:r>
          </w:p>
        </w:tc>
        <w:tc>
          <w:tcPr>
            <w:tcW w:w="810" w:type="dxa"/>
          </w:tcPr>
          <w:p>
            <w:pPr>
              <w:spacing w:line="420" w:lineRule="exact"/>
              <w:jc w:val="center"/>
              <w:textAlignment w:val="baseline"/>
              <w:rPr>
                <w:rStyle w:val="124"/>
                <w:rFonts w:ascii="宋体" w:hAnsi="宋体" w:eastAsia="宋体"/>
                <w:sz w:val="24"/>
                <w:szCs w:val="24"/>
              </w:rPr>
            </w:pPr>
            <w:r>
              <w:rPr>
                <w:rStyle w:val="124"/>
                <w:rFonts w:hint="eastAsia" w:ascii="宋体" w:hAnsi="宋体" w:eastAsia="宋体"/>
                <w:sz w:val="24"/>
                <w:szCs w:val="24"/>
              </w:rPr>
              <w:t>单位</w:t>
            </w:r>
          </w:p>
        </w:tc>
        <w:tc>
          <w:tcPr>
            <w:tcW w:w="1270" w:type="dxa"/>
          </w:tcPr>
          <w:p>
            <w:pPr>
              <w:spacing w:line="420" w:lineRule="exact"/>
              <w:jc w:val="center"/>
              <w:textAlignment w:val="baseline"/>
              <w:rPr>
                <w:rStyle w:val="124"/>
                <w:rFonts w:ascii="宋体" w:hAnsi="宋体" w:eastAsia="宋体"/>
                <w:sz w:val="24"/>
                <w:szCs w:val="24"/>
              </w:rPr>
            </w:pPr>
            <w:r>
              <w:rPr>
                <w:rStyle w:val="124"/>
                <w:rFonts w:hint="eastAsia" w:ascii="宋体" w:hAnsi="宋体" w:eastAsia="宋体"/>
                <w:sz w:val="24"/>
                <w:szCs w:val="24"/>
              </w:rPr>
              <w:t>单价（元）</w:t>
            </w:r>
          </w:p>
        </w:tc>
        <w:tc>
          <w:tcPr>
            <w:tcW w:w="1260" w:type="dxa"/>
          </w:tcPr>
          <w:p>
            <w:pPr>
              <w:spacing w:line="420" w:lineRule="exact"/>
              <w:jc w:val="center"/>
              <w:textAlignment w:val="baseline"/>
              <w:rPr>
                <w:rStyle w:val="124"/>
                <w:rFonts w:ascii="宋体" w:hAnsi="宋体" w:eastAsia="宋体"/>
                <w:sz w:val="24"/>
                <w:szCs w:val="24"/>
              </w:rPr>
            </w:pPr>
            <w:r>
              <w:rPr>
                <w:rStyle w:val="124"/>
                <w:rFonts w:hint="eastAsia" w:ascii="宋体" w:hAnsi="宋体" w:eastAsia="宋体"/>
                <w:sz w:val="24"/>
                <w:szCs w:val="24"/>
              </w:rPr>
              <w:t>备注</w:t>
            </w:r>
          </w:p>
        </w:tc>
      </w:tr>
    </w:tbl>
    <w:p>
      <w:pPr>
        <w:spacing w:line="420" w:lineRule="exact"/>
        <w:jc w:val="center"/>
        <w:textAlignment w:val="baseline"/>
        <w:rPr>
          <w:rStyle w:val="124"/>
          <w:rFonts w:ascii="宋体" w:hAnsi="宋体" w:eastAsia="宋体"/>
          <w:sz w:val="24"/>
          <w:szCs w:val="24"/>
        </w:rPr>
      </w:pPr>
    </w:p>
    <w:p>
      <w:pPr>
        <w:pStyle w:val="17"/>
        <w:rPr>
          <w:rFonts w:hint="eastAsia"/>
        </w:rPr>
        <w:sectPr>
          <w:footerReference r:id="rId12" w:type="first"/>
          <w:footerReference r:id="rId11" w:type="default"/>
          <w:pgSz w:w="11906" w:h="16838"/>
          <w:pgMar w:top="1440" w:right="1803" w:bottom="1440" w:left="1803" w:header="850" w:footer="992" w:gutter="0"/>
          <w:pgNumType w:fmt="decimal"/>
          <w:cols w:space="0" w:num="1"/>
          <w:titlePg/>
          <w:docGrid w:type="linesAndChars" w:linePitch="395" w:charSpace="1724"/>
        </w:sectPr>
      </w:pPr>
    </w:p>
    <w:p/>
    <w:p>
      <w:pPr>
        <w:pStyle w:val="3"/>
        <w:rPr>
          <w:rFonts w:ascii="宋体" w:hAnsi="宋体" w:eastAsia="宋体" w:cs="宋体"/>
        </w:rPr>
      </w:pPr>
      <w:bookmarkStart w:id="77" w:name="_Toc100219616"/>
      <w:bookmarkStart w:id="78" w:name="_Toc20016"/>
      <w:r>
        <w:rPr>
          <w:rFonts w:hint="eastAsia" w:ascii="宋体" w:hAnsi="宋体" w:eastAsia="宋体" w:cs="宋体"/>
        </w:rPr>
        <w:t>第五章  投标文件构成及格式</w:t>
      </w:r>
      <w:bookmarkEnd w:id="77"/>
      <w:bookmarkEnd w:id="78"/>
    </w:p>
    <w:p>
      <w:pPr>
        <w:spacing w:line="560" w:lineRule="exact"/>
        <w:ind w:firstLine="656" w:firstLineChars="200"/>
        <w:jc w:val="both"/>
        <w:rPr>
          <w:rFonts w:ascii="宋体" w:hAnsi="宋体" w:eastAsia="宋体" w:cs="宋体"/>
          <w:sz w:val="32"/>
          <w:szCs w:val="32"/>
        </w:rPr>
      </w:pPr>
    </w:p>
    <w:p>
      <w:pPr>
        <w:spacing w:line="560" w:lineRule="exact"/>
        <w:ind w:firstLine="656" w:firstLineChars="200"/>
        <w:jc w:val="both"/>
        <w:rPr>
          <w:rFonts w:ascii="宋体" w:hAnsi="宋体" w:eastAsia="宋体" w:cs="宋体"/>
          <w:sz w:val="32"/>
          <w:szCs w:val="32"/>
        </w:rPr>
      </w:pPr>
    </w:p>
    <w:p>
      <w:pPr>
        <w:spacing w:line="560" w:lineRule="exact"/>
        <w:jc w:val="both"/>
        <w:rPr>
          <w:rFonts w:ascii="宋体" w:hAnsi="宋体" w:eastAsia="宋体" w:cs="宋体"/>
          <w:sz w:val="32"/>
          <w:szCs w:val="32"/>
        </w:rPr>
      </w:pPr>
    </w:p>
    <w:p>
      <w:pPr>
        <w:jc w:val="center"/>
        <w:rPr>
          <w:rFonts w:ascii="宋体" w:hAnsi="宋体" w:eastAsia="宋体" w:cs="宋体"/>
          <w:b/>
          <w:bCs/>
          <w:sz w:val="56"/>
          <w:szCs w:val="56"/>
        </w:rPr>
      </w:pPr>
      <w:r>
        <w:rPr>
          <w:rFonts w:hint="eastAsia" w:ascii="宋体" w:hAnsi="宋体" w:eastAsia="宋体" w:cs="宋体"/>
          <w:b/>
          <w:bCs/>
          <w:sz w:val="56"/>
          <w:szCs w:val="56"/>
        </w:rPr>
        <w:t>西安市中医医院</w:t>
      </w:r>
    </w:p>
    <w:p>
      <w:pPr>
        <w:jc w:val="center"/>
        <w:rPr>
          <w:rFonts w:ascii="宋体" w:hAnsi="宋体" w:eastAsia="宋体" w:cs="宋体"/>
          <w:b/>
          <w:bCs/>
          <w:sz w:val="56"/>
          <w:szCs w:val="56"/>
        </w:rPr>
      </w:pPr>
      <w:r>
        <w:rPr>
          <w:rFonts w:hint="eastAsia" w:ascii="宋体" w:hAnsi="宋体" w:eastAsia="宋体" w:cs="宋体"/>
          <w:b/>
          <w:bCs/>
          <w:sz w:val="56"/>
          <w:szCs w:val="56"/>
        </w:rPr>
        <w:t>南院区DR、胃肠DR及X线</w:t>
      </w:r>
    </w:p>
    <w:p>
      <w:pPr>
        <w:jc w:val="center"/>
        <w:rPr>
          <w:rFonts w:ascii="宋体" w:hAnsi="宋体" w:eastAsia="宋体" w:cs="宋体"/>
          <w:b/>
          <w:bCs/>
          <w:sz w:val="56"/>
          <w:szCs w:val="56"/>
        </w:rPr>
      </w:pPr>
      <w:r>
        <w:rPr>
          <w:rFonts w:hint="eastAsia" w:ascii="宋体" w:hAnsi="宋体" w:eastAsia="宋体" w:cs="宋体"/>
          <w:b/>
          <w:bCs/>
          <w:sz w:val="56"/>
          <w:szCs w:val="56"/>
        </w:rPr>
        <w:t>骨密度仪项目</w:t>
      </w:r>
    </w:p>
    <w:p>
      <w:pPr>
        <w:snapToGrid w:val="0"/>
        <w:jc w:val="center"/>
        <w:rPr>
          <w:rFonts w:asciiTheme="minorEastAsia" w:hAnsiTheme="minorEastAsia" w:cstheme="minorEastAsia"/>
          <w:b/>
          <w:bCs/>
          <w:sz w:val="44"/>
          <w:szCs w:val="44"/>
        </w:rPr>
      </w:pPr>
    </w:p>
    <w:p>
      <w:pPr>
        <w:snapToGrid w:val="0"/>
        <w:jc w:val="center"/>
        <w:rPr>
          <w:rFonts w:asciiTheme="minorEastAsia" w:hAnsiTheme="minorEastAsia" w:cstheme="minorEastAsia"/>
          <w:b/>
          <w:bCs/>
          <w:sz w:val="48"/>
          <w:szCs w:val="48"/>
        </w:rPr>
      </w:pPr>
      <w:r>
        <w:rPr>
          <w:rFonts w:hint="eastAsia" w:asciiTheme="minorEastAsia" w:hAnsiTheme="minorEastAsia" w:cstheme="minorEastAsia"/>
          <w:b/>
          <w:bCs/>
          <w:sz w:val="48"/>
          <w:szCs w:val="48"/>
        </w:rPr>
        <w:t>投标文件</w:t>
      </w:r>
    </w:p>
    <w:p>
      <w:pPr>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p>
    <w:p>
      <w:pPr>
        <w:spacing w:line="560" w:lineRule="exact"/>
        <w:ind w:firstLine="736" w:firstLineChars="200"/>
        <w:jc w:val="center"/>
        <w:rPr>
          <w:rFonts w:ascii="宋体" w:hAnsi="宋体" w:eastAsia="宋体" w:cs="宋体"/>
          <w:sz w:val="36"/>
          <w:szCs w:val="36"/>
        </w:rPr>
      </w:pPr>
      <w:r>
        <w:rPr>
          <w:rFonts w:hint="eastAsia" w:ascii="宋体" w:hAnsi="宋体" w:eastAsia="宋体" w:cs="宋体"/>
          <w:b/>
          <w:bCs/>
          <w:sz w:val="36"/>
          <w:szCs w:val="36"/>
        </w:rPr>
        <w:t>项目编号：ZMZB2022ZYYY-200</w:t>
      </w:r>
    </w:p>
    <w:p>
      <w:pPr>
        <w:spacing w:line="560" w:lineRule="exact"/>
        <w:ind w:firstLine="736" w:firstLineChars="200"/>
        <w:jc w:val="both"/>
        <w:rPr>
          <w:rFonts w:ascii="宋体" w:hAnsi="宋体" w:eastAsia="宋体" w:cs="宋体"/>
          <w:sz w:val="36"/>
          <w:szCs w:val="36"/>
        </w:rPr>
      </w:pPr>
    </w:p>
    <w:p>
      <w:pPr>
        <w:spacing w:line="560" w:lineRule="exact"/>
        <w:ind w:firstLine="736" w:firstLineChars="200"/>
        <w:jc w:val="both"/>
        <w:rPr>
          <w:rFonts w:ascii="宋体" w:hAnsi="宋体" w:eastAsia="宋体" w:cs="宋体"/>
          <w:sz w:val="36"/>
          <w:szCs w:val="36"/>
        </w:rPr>
      </w:pPr>
    </w:p>
    <w:p>
      <w:pPr>
        <w:spacing w:line="560" w:lineRule="exact"/>
        <w:ind w:firstLine="656" w:firstLineChars="200"/>
        <w:jc w:val="both"/>
        <w:rPr>
          <w:rFonts w:ascii="宋体" w:hAnsi="宋体" w:eastAsia="宋体" w:cs="宋体"/>
          <w:sz w:val="32"/>
          <w:szCs w:val="32"/>
        </w:rPr>
      </w:pPr>
    </w:p>
    <w:p>
      <w:pPr>
        <w:spacing w:line="560" w:lineRule="exact"/>
        <w:ind w:firstLine="656" w:firstLineChars="200"/>
        <w:jc w:val="both"/>
        <w:rPr>
          <w:rFonts w:ascii="宋体" w:hAnsi="宋体" w:eastAsia="宋体" w:cs="宋体"/>
          <w:sz w:val="32"/>
          <w:szCs w:val="32"/>
        </w:rPr>
      </w:pPr>
    </w:p>
    <w:p>
      <w:pPr>
        <w:spacing w:line="560" w:lineRule="exact"/>
        <w:ind w:firstLine="656" w:firstLineChars="200"/>
        <w:jc w:val="both"/>
        <w:rPr>
          <w:rFonts w:ascii="宋体" w:hAnsi="宋体" w:eastAsia="宋体" w:cs="宋体"/>
          <w:sz w:val="32"/>
          <w:szCs w:val="32"/>
        </w:rPr>
      </w:pPr>
    </w:p>
    <w:p>
      <w:pPr>
        <w:spacing w:line="560" w:lineRule="exact"/>
        <w:jc w:val="both"/>
        <w:rPr>
          <w:rFonts w:ascii="宋体" w:hAnsi="宋体" w:eastAsia="宋体" w:cs="宋体"/>
          <w:sz w:val="32"/>
          <w:szCs w:val="32"/>
        </w:rPr>
      </w:pPr>
    </w:p>
    <w:p>
      <w:pPr>
        <w:snapToGrid w:val="0"/>
        <w:spacing w:line="360" w:lineRule="auto"/>
        <w:ind w:firstLine="656" w:firstLineChars="200"/>
        <w:rPr>
          <w:rFonts w:ascii="宋体" w:hAnsi="宋体" w:cs="宋体"/>
          <w:sz w:val="32"/>
          <w:szCs w:val="32"/>
          <w:lang w:val="zh-CN"/>
        </w:rPr>
      </w:pPr>
    </w:p>
    <w:p>
      <w:pPr>
        <w:snapToGrid w:val="0"/>
        <w:spacing w:line="360" w:lineRule="auto"/>
        <w:ind w:firstLine="656" w:firstLineChars="200"/>
        <w:rPr>
          <w:rFonts w:ascii="宋体" w:cs="宋体"/>
          <w:sz w:val="32"/>
          <w:szCs w:val="32"/>
          <w:u w:val="single"/>
        </w:rPr>
      </w:pPr>
      <w:r>
        <w:rPr>
          <w:rFonts w:hint="eastAsia" w:ascii="宋体" w:hAnsi="宋体" w:cs="宋体"/>
          <w:sz w:val="32"/>
          <w:szCs w:val="32"/>
          <w:lang w:val="zh-CN"/>
        </w:rPr>
        <w:t>供应商（单位名称）：</w:t>
      </w:r>
      <w:r>
        <w:rPr>
          <w:rFonts w:hint="eastAsia" w:ascii="宋体" w:hAnsi="宋体" w:cs="宋体"/>
          <w:sz w:val="32"/>
          <w:szCs w:val="32"/>
        </w:rPr>
        <w:t>______________</w:t>
      </w:r>
    </w:p>
    <w:p>
      <w:pPr>
        <w:snapToGrid w:val="0"/>
        <w:spacing w:line="360" w:lineRule="auto"/>
        <w:ind w:firstLine="656" w:firstLineChars="200"/>
        <w:rPr>
          <w:rFonts w:ascii="宋体" w:cs="宋体"/>
          <w:sz w:val="36"/>
          <w:szCs w:val="36"/>
          <w:u w:val="single"/>
        </w:rPr>
      </w:pPr>
      <w:r>
        <w:rPr>
          <w:rFonts w:hint="eastAsia" w:ascii="宋体" w:hAnsi="宋体" w:cs="宋体"/>
          <w:sz w:val="32"/>
          <w:szCs w:val="32"/>
        </w:rPr>
        <w:t>日期</w:t>
      </w:r>
      <w:r>
        <w:rPr>
          <w:rFonts w:hint="eastAsia" w:ascii="宋体" w:hAnsi="宋体" w:cs="宋体"/>
          <w:sz w:val="32"/>
          <w:szCs w:val="32"/>
          <w:lang w:val="zh-CN"/>
        </w:rPr>
        <w:t>：</w:t>
      </w:r>
      <w:r>
        <w:rPr>
          <w:rFonts w:hint="eastAsia" w:ascii="宋体" w:hAnsi="宋体" w:cs="宋体"/>
          <w:sz w:val="32"/>
          <w:szCs w:val="32"/>
        </w:rPr>
        <w:t>______</w:t>
      </w:r>
    </w:p>
    <w:p>
      <w:pPr>
        <w:spacing w:line="560" w:lineRule="exact"/>
        <w:ind w:firstLine="656" w:firstLineChars="200"/>
        <w:jc w:val="both"/>
        <w:rPr>
          <w:rFonts w:ascii="宋体" w:hAnsi="宋体" w:eastAsia="宋体" w:cs="宋体"/>
          <w:sz w:val="32"/>
          <w:szCs w:val="32"/>
        </w:rPr>
      </w:pPr>
      <w:r>
        <w:rPr>
          <w:rFonts w:hint="eastAsia" w:ascii="宋体" w:hAnsi="宋体" w:eastAsia="宋体" w:cs="宋体"/>
          <w:sz w:val="32"/>
          <w:szCs w:val="32"/>
        </w:rPr>
        <w:br w:type="page"/>
      </w:r>
    </w:p>
    <w:p>
      <w:pPr>
        <w:spacing w:line="560" w:lineRule="exact"/>
        <w:ind w:firstLine="896" w:firstLineChars="200"/>
        <w:jc w:val="center"/>
        <w:rPr>
          <w:rFonts w:ascii="宋体" w:hAnsi="宋体" w:eastAsia="宋体" w:cs="宋体"/>
          <w:sz w:val="44"/>
          <w:szCs w:val="44"/>
        </w:rPr>
      </w:pPr>
    </w:p>
    <w:p>
      <w:pPr>
        <w:spacing w:line="560" w:lineRule="exact"/>
        <w:ind w:firstLine="896" w:firstLineChars="200"/>
        <w:jc w:val="center"/>
        <w:rPr>
          <w:rFonts w:ascii="宋体" w:hAnsi="宋体" w:eastAsia="宋体" w:cs="宋体"/>
          <w:sz w:val="44"/>
          <w:szCs w:val="44"/>
        </w:rPr>
      </w:pPr>
      <w:r>
        <w:rPr>
          <w:rFonts w:hint="eastAsia" w:ascii="宋体" w:hAnsi="宋体" w:eastAsia="宋体" w:cs="宋体"/>
          <w:sz w:val="44"/>
          <w:szCs w:val="44"/>
        </w:rPr>
        <w:t>目    录</w:t>
      </w:r>
    </w:p>
    <w:p>
      <w:pPr>
        <w:spacing w:line="560" w:lineRule="exact"/>
        <w:ind w:firstLine="656" w:firstLineChars="200"/>
        <w:jc w:val="both"/>
        <w:rPr>
          <w:rFonts w:ascii="宋体" w:hAnsi="宋体" w:eastAsia="宋体" w:cs="宋体"/>
          <w:sz w:val="32"/>
          <w:szCs w:val="32"/>
        </w:rPr>
      </w:pPr>
    </w:p>
    <w:p>
      <w:pPr>
        <w:pStyle w:val="13"/>
        <w:snapToGrid w:val="0"/>
        <w:spacing w:line="480" w:lineRule="auto"/>
        <w:ind w:firstLine="576" w:firstLineChars="200"/>
        <w:rPr>
          <w:rFonts w:hAnsi="宋体" w:cs="宋体"/>
          <w:b/>
          <w:bCs/>
          <w:color w:val="000000" w:themeColor="text1"/>
          <w:sz w:val="28"/>
          <w:szCs w:val="28"/>
          <w14:textFill>
            <w14:solidFill>
              <w14:schemeClr w14:val="tx1"/>
            </w14:solidFill>
          </w14:textFill>
        </w:rPr>
      </w:pPr>
      <w:bookmarkStart w:id="79" w:name="_Toc3727_WPSOffice_Level1"/>
      <w:r>
        <w:rPr>
          <w:rFonts w:hint="eastAsia" w:hAnsi="宋体" w:cs="宋体"/>
          <w:b/>
          <w:bCs/>
          <w:color w:val="000000" w:themeColor="text1"/>
          <w:sz w:val="28"/>
          <w:szCs w:val="28"/>
          <w14:textFill>
            <w14:solidFill>
              <w14:schemeClr w14:val="tx1"/>
            </w14:solidFill>
          </w14:textFill>
        </w:rPr>
        <w:t>第一章  投标函</w:t>
      </w:r>
      <w:bookmarkEnd w:id="79"/>
    </w:p>
    <w:p>
      <w:pPr>
        <w:snapToGrid w:val="0"/>
        <w:spacing w:line="480" w:lineRule="auto"/>
        <w:ind w:firstLine="576" w:firstLineChars="200"/>
        <w:rPr>
          <w:rFonts w:hAnsi="宋体" w:cs="宋体"/>
          <w:b/>
          <w:color w:val="000000" w:themeColor="text1"/>
          <w:sz w:val="28"/>
          <w:szCs w:val="28"/>
          <w14:textFill>
            <w14:solidFill>
              <w14:schemeClr w14:val="tx1"/>
            </w14:solidFill>
          </w14:textFill>
        </w:rPr>
      </w:pPr>
      <w:bookmarkStart w:id="80" w:name="_Toc23436_WPSOffice_Level1"/>
      <w:r>
        <w:rPr>
          <w:rFonts w:hint="eastAsia" w:ascii="宋体" w:hAnsi="宋体" w:cs="宋体"/>
          <w:b/>
          <w:color w:val="000000" w:themeColor="text1"/>
          <w:sz w:val="28"/>
          <w:szCs w:val="28"/>
          <w14:textFill>
            <w14:solidFill>
              <w14:schemeClr w14:val="tx1"/>
            </w14:solidFill>
          </w14:textFill>
        </w:rPr>
        <w:t>第二</w:t>
      </w:r>
      <w:r>
        <w:rPr>
          <w:rFonts w:hint="eastAsia" w:hAnsi="宋体" w:cs="宋体"/>
          <w:b/>
          <w:bCs/>
          <w:color w:val="000000" w:themeColor="text1"/>
          <w:sz w:val="28"/>
          <w:szCs w:val="28"/>
          <w14:textFill>
            <w14:solidFill>
              <w14:schemeClr w14:val="tx1"/>
            </w14:solidFill>
          </w14:textFill>
        </w:rPr>
        <w:t xml:space="preserve">章  </w:t>
      </w:r>
      <w:r>
        <w:rPr>
          <w:rFonts w:hint="eastAsia" w:ascii="宋体" w:hAnsi="宋体" w:cs="宋体"/>
          <w:b/>
          <w:color w:val="000000" w:themeColor="text1"/>
          <w:sz w:val="28"/>
          <w:szCs w:val="28"/>
          <w14:textFill>
            <w14:solidFill>
              <w14:schemeClr w14:val="tx1"/>
            </w14:solidFill>
          </w14:textFill>
        </w:rPr>
        <w:t>开标一览表</w:t>
      </w:r>
      <w:bookmarkEnd w:id="80"/>
    </w:p>
    <w:p>
      <w:pPr>
        <w:pStyle w:val="13"/>
        <w:snapToGrid w:val="0"/>
        <w:spacing w:line="480" w:lineRule="auto"/>
        <w:ind w:firstLine="576" w:firstLineChars="200"/>
        <w:rPr>
          <w:rFonts w:hAnsi="宋体" w:cs="宋体"/>
          <w:b/>
          <w:color w:val="000000" w:themeColor="text1"/>
          <w:sz w:val="28"/>
          <w:szCs w:val="28"/>
          <w14:textFill>
            <w14:solidFill>
              <w14:schemeClr w14:val="tx1"/>
            </w14:solidFill>
          </w14:textFill>
        </w:rPr>
      </w:pPr>
      <w:bookmarkStart w:id="81" w:name="_Toc11444_WPSOffice_Level1"/>
      <w:r>
        <w:rPr>
          <w:rFonts w:hint="eastAsia" w:hAnsi="宋体" w:cs="宋体"/>
          <w:b/>
          <w:color w:val="000000" w:themeColor="text1"/>
          <w:sz w:val="28"/>
          <w:szCs w:val="28"/>
          <w14:textFill>
            <w14:solidFill>
              <w14:schemeClr w14:val="tx1"/>
            </w14:solidFill>
          </w14:textFill>
        </w:rPr>
        <w:t>第三</w:t>
      </w:r>
      <w:r>
        <w:rPr>
          <w:rFonts w:hint="eastAsia" w:hAnsi="宋体" w:cs="宋体"/>
          <w:b/>
          <w:bCs/>
          <w:color w:val="000000" w:themeColor="text1"/>
          <w:sz w:val="28"/>
          <w:szCs w:val="28"/>
          <w14:textFill>
            <w14:solidFill>
              <w14:schemeClr w14:val="tx1"/>
            </w14:solidFill>
          </w14:textFill>
        </w:rPr>
        <w:t xml:space="preserve">章  </w:t>
      </w:r>
      <w:bookmarkEnd w:id="81"/>
      <w:r>
        <w:rPr>
          <w:rFonts w:hint="eastAsia" w:hAnsi="宋体" w:cs="宋体"/>
          <w:b/>
          <w:color w:val="000000" w:themeColor="text1"/>
          <w:sz w:val="28"/>
          <w:szCs w:val="28"/>
          <w14:textFill>
            <w14:solidFill>
              <w14:schemeClr w14:val="tx1"/>
            </w14:solidFill>
          </w14:textFill>
        </w:rPr>
        <w:t>资格证明文件</w:t>
      </w:r>
    </w:p>
    <w:p>
      <w:pPr>
        <w:pStyle w:val="13"/>
        <w:snapToGrid w:val="0"/>
        <w:spacing w:line="480" w:lineRule="auto"/>
        <w:ind w:firstLine="576" w:firstLineChars="200"/>
        <w:rPr>
          <w:rFonts w:hAnsi="宋体" w:cs="宋体"/>
          <w:b/>
          <w:color w:val="000000" w:themeColor="text1"/>
          <w:sz w:val="28"/>
          <w:szCs w:val="28"/>
          <w14:textFill>
            <w14:solidFill>
              <w14:schemeClr w14:val="tx1"/>
            </w14:solidFill>
          </w14:textFill>
        </w:rPr>
      </w:pPr>
      <w:r>
        <w:rPr>
          <w:rFonts w:hint="eastAsia" w:hAnsi="宋体" w:cs="宋体"/>
          <w:b/>
          <w:color w:val="000000" w:themeColor="text1"/>
          <w:sz w:val="28"/>
          <w:szCs w:val="28"/>
          <w14:textFill>
            <w14:solidFill>
              <w14:schemeClr w14:val="tx1"/>
            </w14:solidFill>
          </w14:textFill>
        </w:rPr>
        <w:t>第四</w:t>
      </w:r>
      <w:r>
        <w:rPr>
          <w:rFonts w:hint="eastAsia" w:hAnsi="宋体" w:cs="宋体"/>
          <w:b/>
          <w:bCs/>
          <w:color w:val="000000" w:themeColor="text1"/>
          <w:sz w:val="28"/>
          <w:szCs w:val="28"/>
          <w14:textFill>
            <w14:solidFill>
              <w14:schemeClr w14:val="tx1"/>
            </w14:solidFill>
          </w14:textFill>
        </w:rPr>
        <w:t>章  供应商概况</w:t>
      </w:r>
    </w:p>
    <w:p>
      <w:pPr>
        <w:pStyle w:val="13"/>
        <w:snapToGrid w:val="0"/>
        <w:spacing w:line="480" w:lineRule="auto"/>
        <w:ind w:firstLine="576" w:firstLineChars="200"/>
        <w:rPr>
          <w:rFonts w:hAnsi="宋体" w:cs="宋体"/>
          <w:b/>
          <w:bCs/>
          <w:color w:val="000000" w:themeColor="text1"/>
          <w:sz w:val="28"/>
          <w:szCs w:val="28"/>
          <w14:textFill>
            <w14:solidFill>
              <w14:schemeClr w14:val="tx1"/>
            </w14:solidFill>
          </w14:textFill>
        </w:rPr>
      </w:pPr>
      <w:bookmarkStart w:id="82" w:name="_Toc5905_WPSOffice_Level1"/>
      <w:r>
        <w:rPr>
          <w:rFonts w:hint="eastAsia" w:hAnsi="宋体" w:cs="宋体"/>
          <w:b/>
          <w:color w:val="000000" w:themeColor="text1"/>
          <w:sz w:val="28"/>
          <w:szCs w:val="28"/>
          <w14:textFill>
            <w14:solidFill>
              <w14:schemeClr w14:val="tx1"/>
            </w14:solidFill>
          </w14:textFill>
        </w:rPr>
        <w:t>第五</w:t>
      </w:r>
      <w:r>
        <w:rPr>
          <w:rFonts w:hint="eastAsia" w:hAnsi="宋体" w:cs="宋体"/>
          <w:b/>
          <w:bCs/>
          <w:color w:val="000000" w:themeColor="text1"/>
          <w:sz w:val="28"/>
          <w:szCs w:val="28"/>
          <w14:textFill>
            <w14:solidFill>
              <w14:schemeClr w14:val="tx1"/>
            </w14:solidFill>
          </w14:textFill>
        </w:rPr>
        <w:t>章  供应商参加政府采购活动承诺书</w:t>
      </w:r>
    </w:p>
    <w:p>
      <w:pPr>
        <w:pStyle w:val="13"/>
        <w:snapToGrid w:val="0"/>
        <w:spacing w:line="480" w:lineRule="auto"/>
        <w:ind w:firstLine="576" w:firstLineChars="200"/>
        <w:rPr>
          <w:rFonts w:hAnsi="宋体" w:cs="宋体"/>
          <w:b/>
          <w:bCs/>
          <w:color w:val="000000" w:themeColor="text1"/>
          <w:sz w:val="28"/>
          <w:szCs w:val="28"/>
          <w14:textFill>
            <w14:solidFill>
              <w14:schemeClr w14:val="tx1"/>
            </w14:solidFill>
          </w14:textFill>
        </w:rPr>
      </w:pPr>
      <w:r>
        <w:rPr>
          <w:rFonts w:hint="eastAsia" w:hAnsi="宋体" w:cs="宋体"/>
          <w:b/>
          <w:bCs/>
          <w:color w:val="000000" w:themeColor="text1"/>
          <w:sz w:val="28"/>
          <w:szCs w:val="28"/>
          <w14:textFill>
            <w14:solidFill>
              <w14:schemeClr w14:val="tx1"/>
            </w14:solidFill>
          </w14:textFill>
        </w:rPr>
        <w:t>第六章  商务和</w:t>
      </w:r>
      <w:r>
        <w:rPr>
          <w:rFonts w:hint="eastAsia" w:hAnsi="宋体" w:cs="宋体"/>
          <w:b/>
          <w:bCs/>
          <w:color w:val="000000" w:themeColor="text1"/>
          <w:sz w:val="28"/>
          <w:szCs w:val="28"/>
          <w:lang w:eastAsia="zh-CN"/>
          <w14:textFill>
            <w14:solidFill>
              <w14:schemeClr w14:val="tx1"/>
            </w14:solidFill>
          </w14:textFill>
        </w:rPr>
        <w:t>技术</w:t>
      </w:r>
      <w:r>
        <w:rPr>
          <w:rFonts w:hint="eastAsia" w:hAnsi="宋体" w:cs="宋体"/>
          <w:b/>
          <w:bCs/>
          <w:color w:val="000000" w:themeColor="text1"/>
          <w:sz w:val="28"/>
          <w:szCs w:val="28"/>
          <w14:textFill>
            <w14:solidFill>
              <w14:schemeClr w14:val="tx1"/>
            </w14:solidFill>
          </w14:textFill>
        </w:rPr>
        <w:t>响应偏离表</w:t>
      </w:r>
    </w:p>
    <w:p>
      <w:pPr>
        <w:pStyle w:val="13"/>
        <w:snapToGrid w:val="0"/>
        <w:spacing w:line="480" w:lineRule="auto"/>
        <w:ind w:firstLine="576" w:firstLineChars="200"/>
        <w:rPr>
          <w:rFonts w:hAnsi="宋体" w:cs="宋体"/>
          <w:b/>
          <w:bCs/>
          <w:color w:val="000000" w:themeColor="text1"/>
          <w:sz w:val="28"/>
          <w:szCs w:val="28"/>
          <w14:textFill>
            <w14:solidFill>
              <w14:schemeClr w14:val="tx1"/>
            </w14:solidFill>
          </w14:textFill>
        </w:rPr>
      </w:pPr>
      <w:r>
        <w:rPr>
          <w:rFonts w:hint="eastAsia" w:hAnsi="宋体" w:cs="宋体"/>
          <w:b/>
          <w:bCs/>
          <w:color w:val="000000" w:themeColor="text1"/>
          <w:sz w:val="28"/>
          <w:szCs w:val="28"/>
          <w14:textFill>
            <w14:solidFill>
              <w14:schemeClr w14:val="tx1"/>
            </w14:solidFill>
          </w14:textFill>
        </w:rPr>
        <w:t xml:space="preserve">第七章  </w:t>
      </w:r>
      <w:r>
        <w:rPr>
          <w:rFonts w:hint="eastAsia" w:hAnsi="宋体" w:cs="宋体"/>
          <w:b/>
          <w:bCs/>
          <w:color w:val="000000" w:themeColor="text1"/>
          <w:sz w:val="28"/>
          <w:szCs w:val="28"/>
          <w:lang w:eastAsia="zh-CN"/>
          <w14:textFill>
            <w14:solidFill>
              <w14:schemeClr w14:val="tx1"/>
            </w14:solidFill>
          </w14:textFill>
        </w:rPr>
        <w:t>技术与</w:t>
      </w:r>
      <w:r>
        <w:rPr>
          <w:rFonts w:hint="eastAsia" w:hAnsi="宋体" w:cs="宋体"/>
          <w:b/>
          <w:bCs/>
          <w:color w:val="000000" w:themeColor="text1"/>
          <w:sz w:val="28"/>
          <w:szCs w:val="28"/>
          <w14:textFill>
            <w14:solidFill>
              <w14:schemeClr w14:val="tx1"/>
            </w14:solidFill>
          </w14:textFill>
        </w:rPr>
        <w:t>服务方案</w:t>
      </w:r>
    </w:p>
    <w:p>
      <w:pPr>
        <w:pStyle w:val="13"/>
        <w:snapToGrid w:val="0"/>
        <w:spacing w:line="480" w:lineRule="auto"/>
        <w:ind w:firstLine="576" w:firstLineChars="200"/>
        <w:rPr>
          <w:rFonts w:hint="eastAsia" w:hAnsi="宋体" w:cs="宋体" w:eastAsiaTheme="minorEastAsia"/>
          <w:b/>
          <w:bCs/>
          <w:color w:val="000000" w:themeColor="text1"/>
          <w:sz w:val="28"/>
          <w:szCs w:val="28"/>
          <w:lang w:eastAsia="zh-CN"/>
          <w14:textFill>
            <w14:solidFill>
              <w14:schemeClr w14:val="tx1"/>
            </w14:solidFill>
          </w14:textFill>
        </w:rPr>
      </w:pPr>
      <w:r>
        <w:rPr>
          <w:rFonts w:hint="eastAsia" w:hAnsi="宋体" w:cs="宋体"/>
          <w:b/>
          <w:color w:val="000000" w:themeColor="text1"/>
          <w:sz w:val="28"/>
          <w:szCs w:val="28"/>
          <w14:textFill>
            <w14:solidFill>
              <w14:schemeClr w14:val="tx1"/>
            </w14:solidFill>
          </w14:textFill>
        </w:rPr>
        <w:t>第</w:t>
      </w:r>
      <w:bookmarkEnd w:id="82"/>
      <w:r>
        <w:rPr>
          <w:rFonts w:hint="eastAsia" w:hAnsi="宋体" w:cs="宋体"/>
          <w:b/>
          <w:color w:val="000000" w:themeColor="text1"/>
          <w:sz w:val="28"/>
          <w:szCs w:val="28"/>
          <w14:textFill>
            <w14:solidFill>
              <w14:schemeClr w14:val="tx1"/>
            </w14:solidFill>
          </w14:textFill>
        </w:rPr>
        <w:t>八</w:t>
      </w:r>
      <w:r>
        <w:rPr>
          <w:rFonts w:hint="eastAsia" w:hAnsi="宋体" w:cs="宋体"/>
          <w:b/>
          <w:bCs/>
          <w:color w:val="000000" w:themeColor="text1"/>
          <w:sz w:val="28"/>
          <w:szCs w:val="28"/>
          <w14:textFill>
            <w14:solidFill>
              <w14:schemeClr w14:val="tx1"/>
            </w14:solidFill>
          </w14:textFill>
        </w:rPr>
        <w:t>章  服务</w:t>
      </w:r>
      <w:r>
        <w:rPr>
          <w:rFonts w:hint="eastAsia" w:hAnsi="宋体" w:cs="宋体"/>
          <w:b/>
          <w:bCs/>
          <w:color w:val="000000" w:themeColor="text1"/>
          <w:sz w:val="28"/>
          <w:szCs w:val="28"/>
          <w:lang w:eastAsia="zh-CN"/>
          <w14:textFill>
            <w14:solidFill>
              <w14:schemeClr w14:val="tx1"/>
            </w14:solidFill>
          </w14:textFill>
        </w:rPr>
        <w:t>承诺</w:t>
      </w:r>
    </w:p>
    <w:p>
      <w:pPr>
        <w:pStyle w:val="13"/>
        <w:snapToGrid w:val="0"/>
        <w:spacing w:line="480" w:lineRule="auto"/>
        <w:ind w:firstLine="576" w:firstLineChars="200"/>
        <w:rPr>
          <w:rFonts w:hAnsi="宋体" w:cs="宋体"/>
          <w:b/>
          <w:bCs/>
          <w:color w:val="000000" w:themeColor="text1"/>
          <w:sz w:val="28"/>
          <w:szCs w:val="28"/>
          <w14:textFill>
            <w14:solidFill>
              <w14:schemeClr w14:val="tx1"/>
            </w14:solidFill>
          </w14:textFill>
        </w:rPr>
      </w:pPr>
      <w:r>
        <w:rPr>
          <w:rFonts w:hint="eastAsia" w:hAnsi="宋体" w:cs="宋体"/>
          <w:b/>
          <w:bCs/>
          <w:color w:val="000000" w:themeColor="text1"/>
          <w:sz w:val="28"/>
          <w:szCs w:val="28"/>
          <w14:textFill>
            <w14:solidFill>
              <w14:schemeClr w14:val="tx1"/>
            </w14:solidFill>
          </w14:textFill>
        </w:rPr>
        <w:t>第九章  供应商业绩一览表</w:t>
      </w:r>
    </w:p>
    <w:p>
      <w:pPr>
        <w:pStyle w:val="13"/>
        <w:snapToGrid w:val="0"/>
        <w:spacing w:line="480" w:lineRule="auto"/>
        <w:ind w:firstLine="576" w:firstLineChars="200"/>
        <w:rPr>
          <w:rFonts w:hAnsi="宋体" w:cs="宋体"/>
          <w:b/>
          <w:bCs/>
          <w:color w:val="000000" w:themeColor="text1"/>
          <w:sz w:val="28"/>
          <w:szCs w:val="28"/>
          <w14:textFill>
            <w14:solidFill>
              <w14:schemeClr w14:val="tx1"/>
            </w14:solidFill>
          </w14:textFill>
        </w:rPr>
      </w:pPr>
      <w:bookmarkStart w:id="83" w:name="_Toc1523_WPSOffice_Level1"/>
      <w:r>
        <w:rPr>
          <w:rFonts w:hint="eastAsia" w:hAnsi="宋体" w:cs="宋体"/>
          <w:b/>
          <w:bCs/>
          <w:color w:val="000000" w:themeColor="text1"/>
          <w:sz w:val="28"/>
          <w:szCs w:val="28"/>
          <w14:textFill>
            <w14:solidFill>
              <w14:schemeClr w14:val="tx1"/>
            </w14:solidFill>
          </w14:textFill>
        </w:rPr>
        <w:t xml:space="preserve">第十章  </w:t>
      </w:r>
      <w:bookmarkEnd w:id="83"/>
      <w:r>
        <w:rPr>
          <w:rFonts w:hint="eastAsia" w:hAnsi="宋体" w:cs="宋体"/>
          <w:b/>
          <w:bCs/>
          <w:color w:val="000000" w:themeColor="text1"/>
          <w:sz w:val="28"/>
          <w:szCs w:val="28"/>
          <w14:textFill>
            <w14:solidFill>
              <w14:schemeClr w14:val="tx1"/>
            </w14:solidFill>
          </w14:textFill>
        </w:rPr>
        <w:t>供应商认为有必要说明的其他问题</w:t>
      </w:r>
    </w:p>
    <w:p>
      <w:pPr>
        <w:rPr>
          <w:rFonts w:ascii="宋体" w:hAnsi="宋体" w:eastAsia="宋体" w:cs="宋体"/>
          <w:sz w:val="32"/>
          <w:szCs w:val="32"/>
        </w:rPr>
      </w:pPr>
      <w:r>
        <w:rPr>
          <w:rFonts w:hint="eastAsia" w:ascii="宋体" w:hAnsi="宋体" w:eastAsia="宋体" w:cs="宋体"/>
        </w:rPr>
        <w:br w:type="page"/>
      </w:r>
    </w:p>
    <w:p>
      <w:pPr>
        <w:pStyle w:val="4"/>
        <w:ind w:firstLine="657"/>
        <w:jc w:val="center"/>
        <w:rPr>
          <w:rFonts w:ascii="宋体" w:hAnsi="宋体" w:eastAsia="宋体" w:cs="宋体"/>
        </w:rPr>
      </w:pPr>
      <w:bookmarkStart w:id="84" w:name="_Toc4625"/>
      <w:r>
        <w:rPr>
          <w:rFonts w:hint="eastAsia" w:ascii="宋体" w:hAnsi="宋体" w:eastAsia="宋体" w:cs="宋体"/>
        </w:rPr>
        <w:t>第一部分  投标函</w:t>
      </w:r>
      <w:bookmarkEnd w:id="84"/>
    </w:p>
    <w:p>
      <w:pPr>
        <w:spacing w:line="560" w:lineRule="exact"/>
        <w:jc w:val="both"/>
        <w:rPr>
          <w:rFonts w:ascii="宋体" w:hAnsi="宋体" w:eastAsia="宋体" w:cs="宋体"/>
          <w:sz w:val="28"/>
          <w:szCs w:val="28"/>
        </w:rPr>
      </w:pPr>
      <w:r>
        <w:rPr>
          <w:rFonts w:hint="eastAsia" w:ascii="宋体" w:hAnsi="宋体" w:eastAsia="宋体" w:cs="宋体"/>
          <w:sz w:val="28"/>
          <w:szCs w:val="28"/>
        </w:rPr>
        <w:t>陕西卓佲项目管理有限公司：</w:t>
      </w:r>
    </w:p>
    <w:p>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我单位收到项目名称为：</w:t>
      </w:r>
      <w:r>
        <w:rPr>
          <w:rFonts w:hint="eastAsia" w:ascii="宋体" w:hAnsi="宋体" w:eastAsia="宋体" w:cs="宋体"/>
          <w:sz w:val="28"/>
          <w:szCs w:val="28"/>
          <w:u w:val="single"/>
        </w:rPr>
        <w:t xml:space="preserve">                  </w:t>
      </w:r>
      <w:r>
        <w:rPr>
          <w:rFonts w:hint="eastAsia" w:ascii="宋体" w:hAnsi="宋体" w:eastAsia="宋体" w:cs="宋体"/>
          <w:sz w:val="28"/>
          <w:szCs w:val="28"/>
        </w:rPr>
        <w:t>（项目编号为</w:t>
      </w:r>
      <w:r>
        <w:rPr>
          <w:rFonts w:hint="eastAsia" w:ascii="宋体" w:hAnsi="宋体" w:eastAsia="宋体" w:cs="宋体"/>
          <w:sz w:val="28"/>
          <w:szCs w:val="28"/>
          <w:u w:val="single"/>
        </w:rPr>
        <w:t xml:space="preserve">：       </w:t>
      </w:r>
      <w:r>
        <w:rPr>
          <w:rFonts w:hint="eastAsia" w:ascii="宋体" w:hAnsi="宋体" w:eastAsia="宋体" w:cs="宋体"/>
          <w:sz w:val="28"/>
          <w:szCs w:val="28"/>
        </w:rPr>
        <w:t>）的招标文件，经详细研究，我公司决定参加本次招标活动。为此，我方郑重承诺以下诸点，并负法律责任。</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1．我方已详细阅读了招标文件，完全理解并同意招标文件的所有事项及内容。</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我方已悉知并及时关注了贵单位在陕西省政府采购网、全国公共资源交易平台（陕西省·西安市）上发布的关于本项目的有关变更公告（包括但不限于对招标文件做出的修改或澄清、答疑纪要，以及项目暂停、重启、延期、终止等）。</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3．我方同意向贵单位提供与本次招标有关的全部证明材料，并保证所提交的证明材料真实、合法、有效。</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4．我方理解最低价不是成交的唯一条件，并尊重评标委员会的评审结果。</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5．我方投标文件在开启之日起___个日历日（应不少于90个日历日）内有效。</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6．若我方成交，我方承诺：（1）将投标文件有效期延长至合同执行完毕；（2）遵照招标文件中的要求，完成本项目的合同责任和义务。</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7．所有关于此次招标活动的函电，请按下列方式联系：</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供应商：（供应商全称并加盖公章）</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法定代表人或委托代理人：（签字或盖章）</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联系电话：</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通讯地址：</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邮    编：</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电子邮箱：</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日    期：    年  月  日</w:t>
      </w:r>
    </w:p>
    <w:p>
      <w:pPr>
        <w:rPr>
          <w:rFonts w:ascii="宋体" w:hAnsi="宋体" w:eastAsia="宋体" w:cs="宋体"/>
          <w:sz w:val="32"/>
          <w:szCs w:val="32"/>
        </w:rPr>
      </w:pPr>
      <w:r>
        <w:rPr>
          <w:rFonts w:hint="eastAsia" w:ascii="宋体" w:hAnsi="宋体" w:eastAsia="宋体" w:cs="宋体"/>
        </w:rPr>
        <w:br w:type="page"/>
      </w:r>
    </w:p>
    <w:p>
      <w:pPr>
        <w:pStyle w:val="4"/>
        <w:numPr>
          <w:ilvl w:val="0"/>
          <w:numId w:val="8"/>
        </w:numPr>
        <w:ind w:firstLine="657"/>
        <w:jc w:val="center"/>
        <w:rPr>
          <w:rFonts w:ascii="宋体" w:hAnsi="宋体" w:eastAsia="宋体" w:cs="宋体"/>
        </w:rPr>
      </w:pPr>
      <w:r>
        <w:rPr>
          <w:rFonts w:hint="eastAsia" w:ascii="宋体" w:hAnsi="宋体" w:eastAsia="宋体" w:cs="宋体"/>
        </w:rPr>
        <w:t xml:space="preserve">  </w:t>
      </w:r>
      <w:bookmarkStart w:id="85" w:name="_Toc1279"/>
      <w:r>
        <w:rPr>
          <w:rFonts w:hint="eastAsia" w:ascii="宋体" w:hAnsi="宋体" w:eastAsia="宋体" w:cs="宋体"/>
        </w:rPr>
        <w:t>开标一览表</w:t>
      </w:r>
      <w:bookmarkEnd w:id="85"/>
    </w:p>
    <w:p>
      <w:pPr>
        <w:wordWrap w:val="0"/>
        <w:spacing w:line="360" w:lineRule="auto"/>
        <w:rPr>
          <w:rFonts w:asciiTheme="minorEastAsia" w:hAnsiTheme="minorEastAsia" w:cstheme="minorEastAsia"/>
          <w:u w:val="single"/>
        </w:rPr>
      </w:pPr>
      <w:r>
        <w:rPr>
          <w:rFonts w:hint="eastAsia" w:asciiTheme="minorEastAsia" w:hAnsiTheme="minorEastAsia" w:cstheme="minorEastAsia"/>
        </w:rPr>
        <w:t>项目名称：</w:t>
      </w:r>
      <w:r>
        <w:rPr>
          <w:rFonts w:hint="eastAsia" w:asciiTheme="minorEastAsia" w:hAnsiTheme="minorEastAsia" w:cstheme="minorEastAsia"/>
          <w:u w:val="single"/>
        </w:rPr>
        <w:t>西安市中医医院南院区DR、胃肠DR及X线骨密度仪项目</w:t>
      </w:r>
    </w:p>
    <w:p>
      <w:pPr>
        <w:pStyle w:val="12"/>
        <w:ind w:firstLine="0"/>
        <w:rPr>
          <w:rFonts w:asciiTheme="minorEastAsia" w:hAnsiTheme="minorEastAsia" w:cstheme="minorEastAsia"/>
          <w:kern w:val="2"/>
        </w:rPr>
      </w:pPr>
      <w:r>
        <w:rPr>
          <w:rFonts w:hint="eastAsia" w:asciiTheme="minorEastAsia" w:hAnsiTheme="minorEastAsia" w:cstheme="minorEastAsia"/>
          <w:kern w:val="2"/>
        </w:rPr>
        <w:t>项目编号：ZMZB2022ZYYY-200</w:t>
      </w:r>
    </w:p>
    <w:p>
      <w:pPr>
        <w:rPr>
          <w:rFonts w:asciiTheme="minorEastAsia" w:hAnsiTheme="minorEastAsia" w:cstheme="minorEastAsia"/>
        </w:rPr>
      </w:pPr>
      <w:r>
        <w:rPr>
          <w:rFonts w:hint="eastAsia" w:asciiTheme="minorEastAsia" w:hAnsiTheme="minorEastAsia" w:cstheme="minorEastAsia"/>
        </w:rPr>
        <w:t xml:space="preserve">单位：元  </w:t>
      </w:r>
    </w:p>
    <w:tbl>
      <w:tblPr>
        <w:tblStyle w:val="3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2436"/>
        <w:gridCol w:w="2281"/>
        <w:gridCol w:w="2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jc w:val="center"/>
        </w:trPr>
        <w:tc>
          <w:tcPr>
            <w:tcW w:w="2481" w:type="dxa"/>
            <w:tcBorders>
              <w:tl2br w:val="single" w:color="auto" w:sz="4" w:space="0"/>
            </w:tcBorders>
          </w:tcPr>
          <w:p>
            <w:pPr>
              <w:kinsoku w:val="0"/>
              <w:spacing w:line="480" w:lineRule="auto"/>
              <w:ind w:right="-235" w:rightChars="-95" w:firstLine="992" w:firstLineChars="400"/>
              <w:rPr>
                <w:rFonts w:asciiTheme="minorEastAsia" w:hAnsiTheme="minorEastAsia" w:cstheme="minorEastAsia"/>
              </w:rPr>
            </w:pPr>
            <w:r>
              <w:rPr>
                <w:rFonts w:hint="eastAsia" w:asciiTheme="minorEastAsia" w:hAnsiTheme="minorEastAsia" w:cstheme="minorEastAsia"/>
              </w:rPr>
              <w:t>报价内容</w:t>
            </w:r>
          </w:p>
          <w:p>
            <w:pPr>
              <w:kinsoku w:val="0"/>
              <w:spacing w:line="480" w:lineRule="auto"/>
              <w:ind w:left="10" w:right="-235" w:rightChars="-95" w:firstLine="517" w:firstLineChars="209"/>
              <w:rPr>
                <w:rFonts w:asciiTheme="minorEastAsia" w:hAnsiTheme="minorEastAsia" w:cstheme="minorEastAsia"/>
              </w:rPr>
            </w:pPr>
          </w:p>
          <w:p>
            <w:pPr>
              <w:kinsoku w:val="0"/>
              <w:spacing w:line="480" w:lineRule="auto"/>
              <w:ind w:right="-235" w:rightChars="-95"/>
              <w:rPr>
                <w:rFonts w:asciiTheme="minorEastAsia" w:hAnsiTheme="minorEastAsia" w:cstheme="minorEastAsia"/>
              </w:rPr>
            </w:pPr>
            <w:r>
              <w:rPr>
                <w:rFonts w:hint="eastAsia" w:asciiTheme="minorEastAsia" w:hAnsiTheme="minorEastAsia" w:cstheme="minorEastAsia"/>
              </w:rPr>
              <w:t>投标内容</w:t>
            </w:r>
          </w:p>
        </w:tc>
        <w:tc>
          <w:tcPr>
            <w:tcW w:w="2436" w:type="dxa"/>
            <w:vAlign w:val="center"/>
          </w:tcPr>
          <w:p>
            <w:pPr>
              <w:kinsoku w:val="0"/>
              <w:spacing w:line="480" w:lineRule="auto"/>
              <w:ind w:right="-235" w:rightChars="-95"/>
              <w:jc w:val="center"/>
              <w:rPr>
                <w:rFonts w:asciiTheme="minorEastAsia" w:hAnsiTheme="minorEastAsia" w:cstheme="minorEastAsia"/>
              </w:rPr>
            </w:pPr>
            <w:r>
              <w:rPr>
                <w:rFonts w:hint="eastAsia" w:asciiTheme="minorEastAsia" w:hAnsiTheme="minorEastAsia" w:cstheme="minorEastAsia"/>
              </w:rPr>
              <w:t>总报价</w:t>
            </w:r>
          </w:p>
        </w:tc>
        <w:tc>
          <w:tcPr>
            <w:tcW w:w="2281" w:type="dxa"/>
            <w:vAlign w:val="center"/>
          </w:tcPr>
          <w:p>
            <w:pPr>
              <w:kinsoku w:val="0"/>
              <w:ind w:right="-235" w:rightChars="-95"/>
              <w:jc w:val="center"/>
              <w:rPr>
                <w:rFonts w:asciiTheme="minorEastAsia" w:hAnsiTheme="minorEastAsia" w:cstheme="minorEastAsia"/>
              </w:rPr>
            </w:pPr>
            <w:r>
              <w:rPr>
                <w:rFonts w:hint="eastAsia" w:asciiTheme="minorEastAsia" w:hAnsiTheme="minorEastAsia" w:cstheme="minorEastAsia"/>
              </w:rPr>
              <w:t>交货期</w:t>
            </w:r>
          </w:p>
        </w:tc>
        <w:tc>
          <w:tcPr>
            <w:tcW w:w="2281" w:type="dxa"/>
            <w:vAlign w:val="center"/>
          </w:tcPr>
          <w:p>
            <w:pPr>
              <w:kinsoku w:val="0"/>
              <w:ind w:right="-235" w:rightChars="-95"/>
              <w:jc w:val="center"/>
              <w:rPr>
                <w:rFonts w:asciiTheme="minorEastAsia" w:hAnsiTheme="minorEastAsia" w:cstheme="minorEastAsia"/>
              </w:rPr>
            </w:pPr>
            <w:r>
              <w:rPr>
                <w:rFonts w:hint="eastAsia" w:asciiTheme="minorEastAsia" w:hAnsiTheme="minorEastAsia" w:cstheme="minorEastAsia"/>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2481" w:type="dxa"/>
            <w:vAlign w:val="center"/>
          </w:tcPr>
          <w:p>
            <w:pPr>
              <w:kinsoku w:val="0"/>
              <w:ind w:right="69" w:rightChars="28"/>
              <w:jc w:val="center"/>
              <w:rPr>
                <w:rFonts w:asciiTheme="minorEastAsia" w:hAnsiTheme="minorEastAsia" w:cstheme="minorEastAsia"/>
              </w:rPr>
            </w:pPr>
            <w:r>
              <w:rPr>
                <w:rFonts w:hint="eastAsia" w:asciiTheme="minorEastAsia" w:hAnsiTheme="minorEastAsia" w:cstheme="minorEastAsia"/>
              </w:rPr>
              <w:t>西安市中医医院南院区DR、胃肠DR及X线骨密度仪项目</w:t>
            </w:r>
          </w:p>
        </w:tc>
        <w:tc>
          <w:tcPr>
            <w:tcW w:w="2436" w:type="dxa"/>
            <w:vAlign w:val="center"/>
          </w:tcPr>
          <w:p>
            <w:pPr>
              <w:kinsoku w:val="0"/>
              <w:spacing w:line="480" w:lineRule="auto"/>
              <w:ind w:left="10" w:right="-235" w:rightChars="-95" w:firstLine="517" w:firstLineChars="209"/>
              <w:jc w:val="center"/>
              <w:rPr>
                <w:rFonts w:asciiTheme="minorEastAsia" w:hAnsiTheme="minorEastAsia" w:cstheme="minorEastAsia"/>
              </w:rPr>
            </w:pPr>
          </w:p>
        </w:tc>
        <w:tc>
          <w:tcPr>
            <w:tcW w:w="2281" w:type="dxa"/>
            <w:vAlign w:val="center"/>
          </w:tcPr>
          <w:p>
            <w:pPr>
              <w:kinsoku w:val="0"/>
              <w:spacing w:line="480" w:lineRule="auto"/>
              <w:ind w:left="10" w:right="-235" w:rightChars="-95" w:firstLine="517" w:firstLineChars="209"/>
              <w:jc w:val="center"/>
              <w:rPr>
                <w:rFonts w:asciiTheme="minorEastAsia" w:hAnsiTheme="minorEastAsia" w:cstheme="minorEastAsia"/>
              </w:rPr>
            </w:pPr>
          </w:p>
        </w:tc>
        <w:tc>
          <w:tcPr>
            <w:tcW w:w="2281" w:type="dxa"/>
            <w:vAlign w:val="center"/>
          </w:tcPr>
          <w:p>
            <w:pPr>
              <w:kinsoku w:val="0"/>
              <w:spacing w:line="480" w:lineRule="auto"/>
              <w:ind w:left="10" w:right="-235" w:rightChars="-95" w:firstLine="517" w:firstLineChars="209"/>
              <w:jc w:val="center"/>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9479" w:type="dxa"/>
            <w:gridSpan w:val="4"/>
          </w:tcPr>
          <w:p>
            <w:pPr>
              <w:kinsoku w:val="0"/>
              <w:ind w:right="-235" w:rightChars="-95"/>
              <w:rPr>
                <w:rFonts w:asciiTheme="minorEastAsia" w:hAnsiTheme="minorEastAsia" w:cstheme="minorEastAsia"/>
                <w:b/>
                <w:bCs/>
              </w:rPr>
            </w:pPr>
          </w:p>
          <w:p>
            <w:pPr>
              <w:kinsoku w:val="0"/>
              <w:ind w:right="-235" w:rightChars="-95"/>
              <w:rPr>
                <w:rFonts w:asciiTheme="minorEastAsia" w:hAnsiTheme="minorEastAsia" w:cstheme="minorEastAsia"/>
              </w:rPr>
            </w:pPr>
            <w:r>
              <w:rPr>
                <w:rFonts w:hint="eastAsia" w:asciiTheme="minorEastAsia" w:hAnsiTheme="minorEastAsia" w:cstheme="minorEastAsia"/>
              </w:rPr>
              <w:t>总报价：（大写）________________（小写）_________________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9479" w:type="dxa"/>
            <w:gridSpan w:val="4"/>
            <w:vAlign w:val="center"/>
          </w:tcPr>
          <w:p>
            <w:pPr>
              <w:kinsoku w:val="0"/>
              <w:spacing w:line="48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备注：表内报价内容以元为单位，精确到小数点后两位；</w:t>
            </w:r>
          </w:p>
        </w:tc>
      </w:tr>
    </w:tbl>
    <w:p>
      <w:pPr>
        <w:adjustRightInd w:val="0"/>
        <w:snapToGrid w:val="0"/>
        <w:spacing w:line="480" w:lineRule="auto"/>
        <w:rPr>
          <w:rFonts w:asciiTheme="minorEastAsia" w:hAnsiTheme="minorEastAsia" w:cstheme="minorEastAsia"/>
        </w:rPr>
      </w:pPr>
    </w:p>
    <w:p>
      <w:pPr>
        <w:adjustRightInd w:val="0"/>
        <w:snapToGrid w:val="0"/>
        <w:spacing w:line="480" w:lineRule="auto"/>
        <w:rPr>
          <w:rFonts w:asciiTheme="minorEastAsia" w:hAnsiTheme="minorEastAsia" w:cstheme="minorEastAsia"/>
        </w:rPr>
      </w:pPr>
      <w:r>
        <w:rPr>
          <w:rFonts w:hint="eastAsia" w:asciiTheme="minorEastAsia" w:hAnsiTheme="minorEastAsia" w:cstheme="minorEastAsia"/>
        </w:rPr>
        <w:t>供应商（单位名称及公章）：___________________________</w:t>
      </w:r>
    </w:p>
    <w:p>
      <w:pPr>
        <w:adjustRightInd w:val="0"/>
        <w:snapToGrid w:val="0"/>
        <w:spacing w:line="480" w:lineRule="auto"/>
        <w:rPr>
          <w:rFonts w:asciiTheme="minorEastAsia" w:hAnsiTheme="minorEastAsia" w:cstheme="minorEastAsia"/>
        </w:rPr>
      </w:pPr>
      <w:r>
        <w:rPr>
          <w:rFonts w:hint="eastAsia" w:asciiTheme="minorEastAsia" w:hAnsiTheme="minorEastAsia" w:cstheme="minorEastAsia"/>
        </w:rPr>
        <w:t>法定代表人或被授权人（签字或盖章）：__________________</w:t>
      </w:r>
    </w:p>
    <w:p>
      <w:pPr>
        <w:adjustRightInd w:val="0"/>
        <w:snapToGrid w:val="0"/>
        <w:spacing w:line="480" w:lineRule="auto"/>
        <w:rPr>
          <w:rFonts w:asciiTheme="minorEastAsia" w:hAnsiTheme="minorEastAsia" w:cstheme="minorEastAsia"/>
        </w:rPr>
      </w:pPr>
      <w:r>
        <w:rPr>
          <w:rFonts w:hint="eastAsia" w:asciiTheme="minorEastAsia" w:hAnsiTheme="minorEastAsia" w:cstheme="minorEastAsia"/>
        </w:rPr>
        <w:t>时间：_______年________月_______日</w:t>
      </w:r>
    </w:p>
    <w:p>
      <w:pPr>
        <w:spacing w:line="560" w:lineRule="exact"/>
        <w:ind w:firstLine="656" w:firstLineChars="200"/>
        <w:jc w:val="both"/>
        <w:rPr>
          <w:rFonts w:ascii="宋体" w:hAnsi="宋体" w:eastAsia="宋体" w:cs="宋体"/>
          <w:sz w:val="32"/>
          <w:szCs w:val="32"/>
        </w:rPr>
      </w:pPr>
    </w:p>
    <w:p>
      <w:pPr>
        <w:spacing w:line="560" w:lineRule="exact"/>
        <w:ind w:firstLine="656" w:firstLineChars="200"/>
        <w:jc w:val="both"/>
        <w:rPr>
          <w:rFonts w:ascii="宋体" w:hAnsi="宋体" w:eastAsia="宋体" w:cs="宋体"/>
          <w:sz w:val="32"/>
          <w:szCs w:val="32"/>
        </w:rPr>
      </w:pPr>
    </w:p>
    <w:p>
      <w:pPr>
        <w:spacing w:line="560" w:lineRule="exact"/>
        <w:ind w:firstLine="656" w:firstLineChars="200"/>
        <w:jc w:val="both"/>
        <w:rPr>
          <w:rFonts w:ascii="宋体" w:hAnsi="宋体" w:eastAsia="宋体" w:cs="宋体"/>
          <w:sz w:val="32"/>
          <w:szCs w:val="32"/>
        </w:rPr>
      </w:pPr>
      <w:r>
        <w:rPr>
          <w:rFonts w:hint="eastAsia" w:ascii="宋体" w:hAnsi="宋体" w:eastAsia="宋体" w:cs="宋体"/>
          <w:sz w:val="32"/>
          <w:szCs w:val="32"/>
        </w:rPr>
        <w:br w:type="page"/>
      </w:r>
    </w:p>
    <w:p>
      <w:pPr>
        <w:jc w:val="center"/>
        <w:rPr>
          <w:rFonts w:ascii="宋体" w:hAnsi="宋体" w:eastAsia="宋体" w:cs="宋体"/>
          <w:sz w:val="32"/>
          <w:szCs w:val="32"/>
        </w:rPr>
      </w:pPr>
      <w:r>
        <w:rPr>
          <w:rFonts w:hint="eastAsia" w:ascii="宋体" w:hAnsi="宋体" w:eastAsia="宋体" w:cs="宋体"/>
          <w:sz w:val="32"/>
          <w:szCs w:val="32"/>
        </w:rPr>
        <w:t>分项报价表（货物类适用）</w:t>
      </w:r>
    </w:p>
    <w:p>
      <w:pPr>
        <w:wordWrap w:val="0"/>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项目名称：西安市中医医院南院区DR、胃肠DR及X线骨密度仪项目   </w:t>
      </w:r>
    </w:p>
    <w:p>
      <w:pPr>
        <w:wordWrap w:val="0"/>
        <w:spacing w:line="360" w:lineRule="auto"/>
        <w:rPr>
          <w:rFonts w:ascii="宋体" w:eastAsia="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项目编号：</w:t>
      </w:r>
      <w:r>
        <w:rPr>
          <w:rFonts w:hint="eastAsia" w:ascii="宋体" w:hAnsi="宋体" w:cs="宋体"/>
          <w:color w:val="000000" w:themeColor="text1"/>
          <w:u w:val="single"/>
          <w14:textFill>
            <w14:solidFill>
              <w14:schemeClr w14:val="tx1"/>
            </w14:solidFill>
          </w14:textFill>
        </w:rPr>
        <w:t xml:space="preserve"> ZMZB2022ZYYY-200</w:t>
      </w:r>
    </w:p>
    <w:p>
      <w:pPr>
        <w:wordWrap w:val="0"/>
        <w:spacing w:line="360" w:lineRule="auto"/>
        <w:rPr>
          <w:rFonts w:ascii="宋体" w:cs="宋体"/>
          <w:b/>
          <w:color w:val="000000" w:themeColor="text1"/>
          <w:sz w:val="36"/>
          <w:szCs w:val="36"/>
          <w14:textFill>
            <w14:solidFill>
              <w14:schemeClr w14:val="tx1"/>
            </w14:solidFill>
          </w14:textFill>
        </w:rPr>
      </w:pPr>
      <w:r>
        <w:rPr>
          <w:rFonts w:hint="eastAsia" w:ascii="宋体" w:hAnsi="宋体" w:cs="宋体"/>
          <w:color w:val="000000" w:themeColor="text1"/>
          <w14:textFill>
            <w14:solidFill>
              <w14:schemeClr w14:val="tx1"/>
            </w14:solidFill>
          </w14:textFill>
        </w:rPr>
        <w:t>共  页，第  页</w:t>
      </w:r>
    </w:p>
    <w:tbl>
      <w:tblPr>
        <w:tblStyle w:val="36"/>
        <w:tblpPr w:leftFromText="180" w:rightFromText="180" w:vertAnchor="text" w:horzAnchor="page" w:tblpX="1534" w:tblpY="373"/>
        <w:tblOverlap w:val="never"/>
        <w:tblW w:w="0" w:type="auto"/>
        <w:tblInd w:w="0" w:type="dxa"/>
        <w:tblLayout w:type="fixed"/>
        <w:tblCellMar>
          <w:top w:w="0" w:type="dxa"/>
          <w:left w:w="28" w:type="dxa"/>
          <w:bottom w:w="0" w:type="dxa"/>
          <w:right w:w="28" w:type="dxa"/>
        </w:tblCellMar>
      </w:tblPr>
      <w:tblGrid>
        <w:gridCol w:w="1148"/>
        <w:gridCol w:w="530"/>
        <w:gridCol w:w="789"/>
        <w:gridCol w:w="588"/>
        <w:gridCol w:w="963"/>
        <w:gridCol w:w="1570"/>
        <w:gridCol w:w="966"/>
        <w:gridCol w:w="1353"/>
        <w:gridCol w:w="1153"/>
      </w:tblGrid>
      <w:tr>
        <w:tblPrEx>
          <w:tblCellMar>
            <w:top w:w="0" w:type="dxa"/>
            <w:left w:w="28" w:type="dxa"/>
            <w:bottom w:w="0" w:type="dxa"/>
            <w:right w:w="28" w:type="dxa"/>
          </w:tblCellMar>
        </w:tblPrEx>
        <w:trPr>
          <w:trHeight w:val="875" w:hRule="atLeast"/>
        </w:trPr>
        <w:tc>
          <w:tcPr>
            <w:tcW w:w="1148" w:type="dxa"/>
            <w:vMerge w:val="restart"/>
            <w:tcBorders>
              <w:top w:val="single" w:color="auto" w:sz="6" w:space="0"/>
              <w:left w:val="single" w:color="auto" w:sz="6" w:space="0"/>
              <w:right w:val="single" w:color="auto" w:sz="4" w:space="0"/>
            </w:tcBorders>
            <w:vAlign w:val="center"/>
          </w:tcPr>
          <w:p>
            <w:pPr>
              <w:rPr>
                <w:rFonts w:ascii="宋体" w:hAnsi="宋体"/>
                <w:sz w:val="22"/>
              </w:rPr>
            </w:pPr>
            <w:r>
              <w:rPr>
                <w:rFonts w:hint="eastAsia" w:ascii="宋体" w:hAnsi="宋体"/>
                <w:sz w:val="22"/>
              </w:rPr>
              <w:t>产品费用</w:t>
            </w:r>
          </w:p>
        </w:tc>
        <w:tc>
          <w:tcPr>
            <w:tcW w:w="530" w:type="dxa"/>
            <w:tcBorders>
              <w:top w:val="single" w:color="auto" w:sz="6" w:space="0"/>
              <w:left w:val="single" w:color="auto" w:sz="4" w:space="0"/>
              <w:bottom w:val="single" w:color="auto" w:sz="6" w:space="0"/>
            </w:tcBorders>
            <w:vAlign w:val="center"/>
          </w:tcPr>
          <w:p>
            <w:pPr>
              <w:spacing w:after="120"/>
              <w:jc w:val="center"/>
              <w:rPr>
                <w:rFonts w:ascii="宋体" w:hAnsi="宋体"/>
                <w:sz w:val="22"/>
              </w:rPr>
            </w:pPr>
            <w:r>
              <w:rPr>
                <w:rFonts w:hint="eastAsia" w:ascii="宋体" w:hAnsi="宋体"/>
                <w:sz w:val="22"/>
              </w:rPr>
              <w:t>序号</w:t>
            </w:r>
          </w:p>
        </w:tc>
        <w:tc>
          <w:tcPr>
            <w:tcW w:w="789"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sz w:val="22"/>
              </w:rPr>
            </w:pPr>
            <w:r>
              <w:rPr>
                <w:rFonts w:hint="eastAsia" w:ascii="宋体" w:hAnsi="宋体"/>
                <w:sz w:val="22"/>
              </w:rPr>
              <w:t>名称</w:t>
            </w:r>
          </w:p>
        </w:tc>
        <w:tc>
          <w:tcPr>
            <w:tcW w:w="588" w:type="dxa"/>
            <w:tcBorders>
              <w:top w:val="single" w:color="auto" w:sz="6" w:space="0"/>
              <w:left w:val="single" w:color="auto" w:sz="6" w:space="0"/>
              <w:bottom w:val="single" w:color="auto" w:sz="6" w:space="0"/>
              <w:right w:val="single" w:color="auto" w:sz="4" w:space="0"/>
            </w:tcBorders>
            <w:vAlign w:val="center"/>
          </w:tcPr>
          <w:p>
            <w:pPr>
              <w:spacing w:after="120"/>
              <w:jc w:val="center"/>
              <w:rPr>
                <w:rFonts w:ascii="宋体" w:hAnsi="宋体"/>
                <w:sz w:val="22"/>
              </w:rPr>
            </w:pPr>
            <w:r>
              <w:rPr>
                <w:rFonts w:hint="eastAsia" w:ascii="宋体" w:hAnsi="宋体"/>
                <w:sz w:val="22"/>
              </w:rPr>
              <w:t>品牌</w:t>
            </w:r>
          </w:p>
        </w:tc>
        <w:tc>
          <w:tcPr>
            <w:tcW w:w="963" w:type="dxa"/>
            <w:tcBorders>
              <w:top w:val="single" w:color="auto" w:sz="6" w:space="0"/>
              <w:left w:val="single" w:color="auto" w:sz="4" w:space="0"/>
              <w:bottom w:val="single" w:color="auto" w:sz="6" w:space="0"/>
              <w:right w:val="single" w:color="auto" w:sz="6" w:space="0"/>
            </w:tcBorders>
            <w:vAlign w:val="center"/>
          </w:tcPr>
          <w:p>
            <w:pPr>
              <w:spacing w:after="120"/>
              <w:jc w:val="center"/>
              <w:rPr>
                <w:rFonts w:ascii="宋体" w:hAnsi="宋体"/>
                <w:sz w:val="22"/>
              </w:rPr>
            </w:pPr>
            <w:r>
              <w:rPr>
                <w:rFonts w:hint="eastAsia" w:ascii="宋体" w:hAnsi="宋体"/>
                <w:sz w:val="22"/>
              </w:rPr>
              <w:t>型号或规格</w:t>
            </w:r>
          </w:p>
        </w:tc>
        <w:tc>
          <w:tcPr>
            <w:tcW w:w="1570" w:type="dxa"/>
            <w:tcBorders>
              <w:top w:val="single" w:color="auto" w:sz="6" w:space="0"/>
              <w:left w:val="single" w:color="auto" w:sz="6" w:space="0"/>
              <w:bottom w:val="single" w:color="auto" w:sz="6" w:space="0"/>
              <w:right w:val="single" w:color="auto" w:sz="6" w:space="0"/>
            </w:tcBorders>
            <w:vAlign w:val="center"/>
          </w:tcPr>
          <w:p>
            <w:pPr>
              <w:spacing w:before="197" w:beforeLines="50" w:after="120"/>
              <w:jc w:val="center"/>
              <w:rPr>
                <w:rFonts w:ascii="宋体" w:hAnsi="宋体"/>
                <w:sz w:val="22"/>
              </w:rPr>
            </w:pPr>
            <w:r>
              <w:rPr>
                <w:rFonts w:hint="eastAsia" w:ascii="宋体" w:hAnsi="宋体"/>
                <w:sz w:val="22"/>
              </w:rPr>
              <w:t>原产地及制造厂名</w:t>
            </w:r>
          </w:p>
        </w:tc>
        <w:tc>
          <w:tcPr>
            <w:tcW w:w="966"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sz w:val="22"/>
              </w:rPr>
            </w:pPr>
            <w:r>
              <w:rPr>
                <w:rFonts w:hint="eastAsia" w:ascii="宋体" w:hAnsi="宋体"/>
                <w:sz w:val="22"/>
              </w:rPr>
              <w:t>数量</w:t>
            </w:r>
          </w:p>
        </w:tc>
        <w:tc>
          <w:tcPr>
            <w:tcW w:w="135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sz w:val="22"/>
              </w:rPr>
            </w:pPr>
            <w:r>
              <w:rPr>
                <w:rFonts w:hint="eastAsia" w:ascii="宋体" w:hAnsi="宋体"/>
                <w:sz w:val="22"/>
              </w:rPr>
              <w:t>单价</w:t>
            </w:r>
          </w:p>
          <w:p>
            <w:pPr>
              <w:spacing w:after="120"/>
              <w:jc w:val="center"/>
              <w:rPr>
                <w:rFonts w:ascii="宋体" w:hAnsi="宋体"/>
                <w:bCs/>
                <w:sz w:val="22"/>
              </w:rPr>
            </w:pPr>
            <w:r>
              <w:rPr>
                <w:rFonts w:hint="eastAsia" w:ascii="宋体" w:hAnsi="宋体"/>
                <w:sz w:val="22"/>
              </w:rPr>
              <w:t>（元）</w:t>
            </w:r>
          </w:p>
        </w:tc>
        <w:tc>
          <w:tcPr>
            <w:tcW w:w="115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bCs/>
                <w:sz w:val="22"/>
              </w:rPr>
            </w:pPr>
            <w:r>
              <w:rPr>
                <w:rFonts w:hint="eastAsia" w:ascii="宋体" w:hAnsi="宋体"/>
                <w:bCs/>
                <w:sz w:val="22"/>
              </w:rPr>
              <w:t>总价</w:t>
            </w:r>
          </w:p>
          <w:p>
            <w:pPr>
              <w:spacing w:after="120"/>
              <w:jc w:val="center"/>
              <w:rPr>
                <w:rFonts w:ascii="宋体" w:hAnsi="宋体"/>
                <w:bCs/>
                <w:sz w:val="22"/>
              </w:rPr>
            </w:pPr>
            <w:r>
              <w:rPr>
                <w:rFonts w:hint="eastAsia" w:ascii="宋体" w:hAnsi="宋体"/>
                <w:bCs/>
                <w:sz w:val="22"/>
              </w:rPr>
              <w:t>（元）</w:t>
            </w:r>
          </w:p>
        </w:tc>
      </w:tr>
      <w:tr>
        <w:tblPrEx>
          <w:tblCellMar>
            <w:top w:w="0" w:type="dxa"/>
            <w:left w:w="28" w:type="dxa"/>
            <w:bottom w:w="0" w:type="dxa"/>
            <w:right w:w="28" w:type="dxa"/>
          </w:tblCellMar>
        </w:tblPrEx>
        <w:trPr>
          <w:trHeight w:val="612" w:hRule="atLeast"/>
        </w:trPr>
        <w:tc>
          <w:tcPr>
            <w:tcW w:w="1148" w:type="dxa"/>
            <w:vMerge w:val="continue"/>
            <w:tcBorders>
              <w:left w:val="single" w:color="auto" w:sz="6" w:space="0"/>
              <w:right w:val="single" w:color="auto" w:sz="4" w:space="0"/>
            </w:tcBorders>
            <w:vAlign w:val="center"/>
          </w:tcPr>
          <w:p>
            <w:pPr>
              <w:spacing w:before="395" w:beforeLines="100"/>
              <w:jc w:val="center"/>
              <w:rPr>
                <w:rFonts w:ascii="宋体" w:hAnsi="宋体"/>
                <w:sz w:val="22"/>
              </w:rPr>
            </w:pPr>
          </w:p>
        </w:tc>
        <w:tc>
          <w:tcPr>
            <w:tcW w:w="530" w:type="dxa"/>
            <w:tcBorders>
              <w:top w:val="single" w:color="auto" w:sz="6" w:space="0"/>
              <w:left w:val="single" w:color="auto" w:sz="4" w:space="0"/>
              <w:bottom w:val="single" w:color="auto" w:sz="4" w:space="0"/>
            </w:tcBorders>
            <w:vAlign w:val="center"/>
          </w:tcPr>
          <w:p>
            <w:pPr>
              <w:spacing w:before="395" w:beforeLines="100"/>
              <w:jc w:val="center"/>
              <w:rPr>
                <w:rFonts w:ascii="宋体" w:hAnsi="宋体"/>
                <w:sz w:val="22"/>
              </w:rPr>
            </w:pPr>
            <w:r>
              <w:rPr>
                <w:rFonts w:hint="eastAsia" w:ascii="宋体" w:hAnsi="宋体"/>
                <w:sz w:val="22"/>
              </w:rPr>
              <w:t>1</w:t>
            </w:r>
          </w:p>
        </w:tc>
        <w:tc>
          <w:tcPr>
            <w:tcW w:w="789" w:type="dxa"/>
            <w:tcBorders>
              <w:top w:val="single" w:color="auto" w:sz="6" w:space="0"/>
              <w:left w:val="single" w:color="auto" w:sz="6" w:space="0"/>
              <w:bottom w:val="single" w:color="auto" w:sz="4" w:space="0"/>
              <w:right w:val="single" w:color="auto" w:sz="6" w:space="0"/>
            </w:tcBorders>
            <w:vAlign w:val="center"/>
          </w:tcPr>
          <w:p>
            <w:pPr>
              <w:spacing w:before="197" w:beforeLines="50"/>
              <w:jc w:val="center"/>
              <w:rPr>
                <w:rFonts w:ascii="宋体" w:hAnsi="宋体"/>
                <w:sz w:val="22"/>
              </w:rPr>
            </w:pPr>
          </w:p>
        </w:tc>
        <w:tc>
          <w:tcPr>
            <w:tcW w:w="588" w:type="dxa"/>
            <w:tcBorders>
              <w:top w:val="single" w:color="auto" w:sz="6" w:space="0"/>
              <w:left w:val="single" w:color="auto" w:sz="6" w:space="0"/>
              <w:bottom w:val="single" w:color="auto" w:sz="4" w:space="0"/>
              <w:right w:val="single" w:color="auto" w:sz="4" w:space="0"/>
            </w:tcBorders>
            <w:vAlign w:val="center"/>
          </w:tcPr>
          <w:p>
            <w:pPr>
              <w:spacing w:before="197" w:beforeLines="50"/>
              <w:jc w:val="center"/>
              <w:rPr>
                <w:rFonts w:ascii="宋体" w:hAnsi="宋体"/>
                <w:sz w:val="22"/>
              </w:rPr>
            </w:pPr>
          </w:p>
        </w:tc>
        <w:tc>
          <w:tcPr>
            <w:tcW w:w="963" w:type="dxa"/>
            <w:tcBorders>
              <w:top w:val="single" w:color="auto" w:sz="6" w:space="0"/>
              <w:left w:val="single" w:color="auto" w:sz="4" w:space="0"/>
              <w:bottom w:val="single" w:color="auto" w:sz="4" w:space="0"/>
              <w:right w:val="single" w:color="auto" w:sz="6" w:space="0"/>
            </w:tcBorders>
            <w:vAlign w:val="center"/>
          </w:tcPr>
          <w:p>
            <w:pPr>
              <w:spacing w:before="197" w:beforeLines="50"/>
              <w:jc w:val="center"/>
              <w:rPr>
                <w:rFonts w:ascii="宋体" w:hAnsi="宋体"/>
                <w:sz w:val="22"/>
              </w:rPr>
            </w:pPr>
          </w:p>
        </w:tc>
        <w:tc>
          <w:tcPr>
            <w:tcW w:w="1570" w:type="dxa"/>
            <w:tcBorders>
              <w:top w:val="single" w:color="auto" w:sz="6" w:space="0"/>
              <w:left w:val="single" w:color="auto" w:sz="6" w:space="0"/>
              <w:bottom w:val="single" w:color="auto" w:sz="4" w:space="0"/>
              <w:right w:val="single" w:color="auto" w:sz="6" w:space="0"/>
            </w:tcBorders>
            <w:vAlign w:val="center"/>
          </w:tcPr>
          <w:p>
            <w:pPr>
              <w:spacing w:before="197" w:beforeLines="50"/>
              <w:jc w:val="center"/>
              <w:rPr>
                <w:rFonts w:ascii="宋体" w:hAnsi="宋体"/>
                <w:sz w:val="22"/>
              </w:rPr>
            </w:pPr>
          </w:p>
        </w:tc>
        <w:tc>
          <w:tcPr>
            <w:tcW w:w="966" w:type="dxa"/>
            <w:tcBorders>
              <w:top w:val="single" w:color="auto" w:sz="6" w:space="0"/>
              <w:left w:val="single" w:color="auto" w:sz="6" w:space="0"/>
              <w:bottom w:val="single" w:color="auto" w:sz="4" w:space="0"/>
              <w:right w:val="single" w:color="auto" w:sz="6" w:space="0"/>
            </w:tcBorders>
            <w:vAlign w:val="center"/>
          </w:tcPr>
          <w:p>
            <w:pPr>
              <w:spacing w:before="197" w:beforeLines="50"/>
              <w:jc w:val="center"/>
              <w:rPr>
                <w:rFonts w:ascii="宋体" w:hAnsi="宋体"/>
                <w:sz w:val="22"/>
              </w:rPr>
            </w:pPr>
          </w:p>
        </w:tc>
        <w:tc>
          <w:tcPr>
            <w:tcW w:w="1353" w:type="dxa"/>
            <w:tcBorders>
              <w:top w:val="single" w:color="auto" w:sz="6" w:space="0"/>
              <w:left w:val="single" w:color="auto" w:sz="6" w:space="0"/>
              <w:bottom w:val="single" w:color="auto" w:sz="4" w:space="0"/>
              <w:right w:val="single" w:color="auto" w:sz="6" w:space="0"/>
            </w:tcBorders>
            <w:vAlign w:val="center"/>
          </w:tcPr>
          <w:p>
            <w:pPr>
              <w:spacing w:before="197" w:beforeLines="50"/>
              <w:jc w:val="center"/>
              <w:rPr>
                <w:rFonts w:ascii="宋体" w:hAnsi="宋体"/>
                <w:sz w:val="22"/>
              </w:rPr>
            </w:pPr>
          </w:p>
        </w:tc>
        <w:tc>
          <w:tcPr>
            <w:tcW w:w="1153" w:type="dxa"/>
            <w:tcBorders>
              <w:top w:val="single" w:color="auto" w:sz="6" w:space="0"/>
              <w:left w:val="single" w:color="auto" w:sz="6" w:space="0"/>
              <w:bottom w:val="single" w:color="auto" w:sz="4" w:space="0"/>
              <w:right w:val="single" w:color="auto" w:sz="6" w:space="0"/>
            </w:tcBorders>
            <w:vAlign w:val="center"/>
          </w:tcPr>
          <w:p>
            <w:pPr>
              <w:spacing w:before="197" w:beforeLines="50"/>
              <w:jc w:val="center"/>
              <w:rPr>
                <w:rFonts w:ascii="宋体" w:hAnsi="宋体"/>
                <w:sz w:val="22"/>
              </w:rPr>
            </w:pPr>
          </w:p>
        </w:tc>
      </w:tr>
      <w:tr>
        <w:tblPrEx>
          <w:tblCellMar>
            <w:top w:w="0" w:type="dxa"/>
            <w:left w:w="28" w:type="dxa"/>
            <w:bottom w:w="0" w:type="dxa"/>
            <w:right w:w="28" w:type="dxa"/>
          </w:tblCellMar>
        </w:tblPrEx>
        <w:trPr>
          <w:trHeight w:val="608" w:hRule="atLeast"/>
        </w:trPr>
        <w:tc>
          <w:tcPr>
            <w:tcW w:w="1148" w:type="dxa"/>
            <w:vMerge w:val="continue"/>
            <w:tcBorders>
              <w:left w:val="single" w:color="auto" w:sz="6" w:space="0"/>
              <w:right w:val="single" w:color="auto" w:sz="4" w:space="0"/>
            </w:tcBorders>
            <w:vAlign w:val="center"/>
          </w:tcPr>
          <w:p>
            <w:pPr>
              <w:spacing w:before="395" w:beforeLines="100"/>
              <w:jc w:val="center"/>
              <w:rPr>
                <w:rFonts w:ascii="宋体" w:hAnsi="宋体"/>
                <w:sz w:val="22"/>
              </w:rPr>
            </w:pPr>
          </w:p>
        </w:tc>
        <w:tc>
          <w:tcPr>
            <w:tcW w:w="530" w:type="dxa"/>
            <w:tcBorders>
              <w:top w:val="single" w:color="auto" w:sz="4" w:space="0"/>
              <w:left w:val="single" w:color="auto" w:sz="4" w:space="0"/>
              <w:bottom w:val="single" w:color="auto" w:sz="6" w:space="0"/>
            </w:tcBorders>
            <w:vAlign w:val="center"/>
          </w:tcPr>
          <w:p>
            <w:pPr>
              <w:spacing w:before="395" w:beforeLines="100"/>
              <w:jc w:val="center"/>
              <w:rPr>
                <w:rFonts w:ascii="宋体" w:hAnsi="宋体"/>
                <w:sz w:val="22"/>
              </w:rPr>
            </w:pPr>
            <w:r>
              <w:rPr>
                <w:rFonts w:hint="eastAsia" w:ascii="宋体" w:hAnsi="宋体"/>
                <w:sz w:val="22"/>
              </w:rPr>
              <w:t>2</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395" w:beforeLines="100"/>
              <w:jc w:val="center"/>
              <w:rPr>
                <w:rFonts w:ascii="宋体" w:hAnsi="宋体"/>
                <w:sz w:val="22"/>
              </w:rPr>
            </w:pPr>
          </w:p>
        </w:tc>
        <w:tc>
          <w:tcPr>
            <w:tcW w:w="588" w:type="dxa"/>
            <w:tcBorders>
              <w:top w:val="single" w:color="auto" w:sz="4" w:space="0"/>
              <w:left w:val="single" w:color="auto" w:sz="6" w:space="0"/>
              <w:bottom w:val="single" w:color="auto" w:sz="6" w:space="0"/>
              <w:right w:val="single" w:color="auto" w:sz="4" w:space="0"/>
            </w:tcBorders>
            <w:vAlign w:val="center"/>
          </w:tcPr>
          <w:p>
            <w:pPr>
              <w:spacing w:before="197" w:beforeLines="50"/>
              <w:jc w:val="center"/>
              <w:rPr>
                <w:rFonts w:ascii="宋体" w:hAnsi="宋体"/>
                <w:sz w:val="22"/>
              </w:rPr>
            </w:pPr>
          </w:p>
        </w:tc>
        <w:tc>
          <w:tcPr>
            <w:tcW w:w="963" w:type="dxa"/>
            <w:tcBorders>
              <w:top w:val="single" w:color="auto" w:sz="4" w:space="0"/>
              <w:left w:val="single" w:color="auto" w:sz="4" w:space="0"/>
              <w:bottom w:val="single" w:color="auto" w:sz="6" w:space="0"/>
              <w:right w:val="single" w:color="auto" w:sz="6" w:space="0"/>
            </w:tcBorders>
            <w:vAlign w:val="center"/>
          </w:tcPr>
          <w:p>
            <w:pPr>
              <w:spacing w:before="197" w:beforeLines="50"/>
              <w:jc w:val="center"/>
              <w:rPr>
                <w:rFonts w:ascii="宋体" w:hAnsi="宋体"/>
                <w:sz w:val="22"/>
              </w:rPr>
            </w:pPr>
          </w:p>
        </w:tc>
        <w:tc>
          <w:tcPr>
            <w:tcW w:w="1570" w:type="dxa"/>
            <w:tcBorders>
              <w:top w:val="single" w:color="auto" w:sz="4" w:space="0"/>
              <w:left w:val="single" w:color="auto" w:sz="6" w:space="0"/>
              <w:bottom w:val="single" w:color="auto" w:sz="6" w:space="0"/>
              <w:right w:val="single" w:color="auto" w:sz="6" w:space="0"/>
            </w:tcBorders>
            <w:vAlign w:val="center"/>
          </w:tcPr>
          <w:p>
            <w:pPr>
              <w:spacing w:before="197" w:beforeLines="50"/>
              <w:jc w:val="center"/>
              <w:rPr>
                <w:rFonts w:ascii="宋体" w:hAnsi="宋体"/>
                <w:sz w:val="22"/>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97" w:beforeLines="50"/>
              <w:jc w:val="center"/>
              <w:rPr>
                <w:rFonts w:ascii="宋体" w:hAnsi="宋体"/>
                <w:sz w:val="22"/>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97" w:beforeLines="50"/>
              <w:jc w:val="center"/>
              <w:rPr>
                <w:rFonts w:ascii="宋体" w:hAnsi="宋体"/>
                <w:sz w:val="22"/>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97" w:beforeLines="50"/>
              <w:jc w:val="center"/>
              <w:rPr>
                <w:rFonts w:ascii="宋体" w:hAnsi="宋体"/>
                <w:sz w:val="22"/>
              </w:rPr>
            </w:pPr>
          </w:p>
        </w:tc>
      </w:tr>
      <w:tr>
        <w:tblPrEx>
          <w:tblCellMar>
            <w:top w:w="0" w:type="dxa"/>
            <w:left w:w="28" w:type="dxa"/>
            <w:bottom w:w="0" w:type="dxa"/>
            <w:right w:w="28" w:type="dxa"/>
          </w:tblCellMar>
        </w:tblPrEx>
        <w:trPr>
          <w:trHeight w:val="612" w:hRule="atLeast"/>
        </w:trPr>
        <w:tc>
          <w:tcPr>
            <w:tcW w:w="1148" w:type="dxa"/>
            <w:vMerge w:val="continue"/>
            <w:tcBorders>
              <w:left w:val="single" w:color="auto" w:sz="6" w:space="0"/>
              <w:right w:val="single" w:color="auto" w:sz="4" w:space="0"/>
            </w:tcBorders>
            <w:vAlign w:val="center"/>
          </w:tcPr>
          <w:p>
            <w:pPr>
              <w:spacing w:before="395" w:beforeLines="100"/>
              <w:jc w:val="center"/>
              <w:rPr>
                <w:rFonts w:ascii="宋体" w:hAnsi="宋体"/>
                <w:sz w:val="22"/>
              </w:rPr>
            </w:pPr>
          </w:p>
        </w:tc>
        <w:tc>
          <w:tcPr>
            <w:tcW w:w="530" w:type="dxa"/>
            <w:tcBorders>
              <w:top w:val="single" w:color="auto" w:sz="4" w:space="0"/>
              <w:left w:val="single" w:color="auto" w:sz="4" w:space="0"/>
              <w:bottom w:val="single" w:color="auto" w:sz="6" w:space="0"/>
            </w:tcBorders>
            <w:vAlign w:val="center"/>
          </w:tcPr>
          <w:p>
            <w:pPr>
              <w:spacing w:before="395" w:beforeLines="100"/>
              <w:jc w:val="center"/>
              <w:rPr>
                <w:rFonts w:ascii="宋体" w:hAnsi="宋体"/>
                <w:sz w:val="22"/>
              </w:rPr>
            </w:pPr>
            <w:r>
              <w:rPr>
                <w:rFonts w:hint="eastAsia" w:ascii="宋体" w:hAnsi="宋体"/>
                <w:sz w:val="22"/>
              </w:rPr>
              <w:t>3</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395" w:beforeLines="100"/>
              <w:jc w:val="center"/>
              <w:rPr>
                <w:rFonts w:ascii="宋体" w:hAnsi="宋体"/>
                <w:sz w:val="22"/>
              </w:rPr>
            </w:pPr>
          </w:p>
        </w:tc>
        <w:tc>
          <w:tcPr>
            <w:tcW w:w="588" w:type="dxa"/>
            <w:tcBorders>
              <w:top w:val="single" w:color="auto" w:sz="4" w:space="0"/>
              <w:left w:val="single" w:color="auto" w:sz="6" w:space="0"/>
              <w:bottom w:val="single" w:color="auto" w:sz="6" w:space="0"/>
              <w:right w:val="single" w:color="auto" w:sz="4" w:space="0"/>
            </w:tcBorders>
            <w:vAlign w:val="center"/>
          </w:tcPr>
          <w:p>
            <w:pPr>
              <w:spacing w:before="197" w:beforeLines="50"/>
              <w:jc w:val="center"/>
              <w:rPr>
                <w:rFonts w:ascii="宋体" w:hAnsi="宋体"/>
                <w:sz w:val="22"/>
              </w:rPr>
            </w:pPr>
          </w:p>
        </w:tc>
        <w:tc>
          <w:tcPr>
            <w:tcW w:w="963" w:type="dxa"/>
            <w:tcBorders>
              <w:top w:val="single" w:color="auto" w:sz="4" w:space="0"/>
              <w:left w:val="single" w:color="auto" w:sz="4" w:space="0"/>
              <w:bottom w:val="single" w:color="auto" w:sz="6" w:space="0"/>
              <w:right w:val="single" w:color="auto" w:sz="6" w:space="0"/>
            </w:tcBorders>
            <w:vAlign w:val="center"/>
          </w:tcPr>
          <w:p>
            <w:pPr>
              <w:spacing w:before="197" w:beforeLines="50"/>
              <w:jc w:val="center"/>
              <w:rPr>
                <w:rFonts w:ascii="宋体" w:hAnsi="宋体"/>
                <w:sz w:val="22"/>
              </w:rPr>
            </w:pPr>
          </w:p>
        </w:tc>
        <w:tc>
          <w:tcPr>
            <w:tcW w:w="1570" w:type="dxa"/>
            <w:tcBorders>
              <w:top w:val="single" w:color="auto" w:sz="4" w:space="0"/>
              <w:left w:val="single" w:color="auto" w:sz="6" w:space="0"/>
              <w:bottom w:val="single" w:color="auto" w:sz="6" w:space="0"/>
              <w:right w:val="single" w:color="auto" w:sz="6" w:space="0"/>
            </w:tcBorders>
            <w:vAlign w:val="center"/>
          </w:tcPr>
          <w:p>
            <w:pPr>
              <w:spacing w:before="197" w:beforeLines="50"/>
              <w:jc w:val="center"/>
              <w:rPr>
                <w:rFonts w:ascii="宋体" w:hAnsi="宋体"/>
                <w:sz w:val="22"/>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97" w:beforeLines="50"/>
              <w:jc w:val="center"/>
              <w:rPr>
                <w:rFonts w:ascii="宋体" w:hAnsi="宋体"/>
                <w:sz w:val="22"/>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97" w:beforeLines="50"/>
              <w:jc w:val="center"/>
              <w:rPr>
                <w:rFonts w:ascii="宋体" w:hAnsi="宋体"/>
                <w:sz w:val="22"/>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97" w:beforeLines="50"/>
              <w:jc w:val="center"/>
              <w:rPr>
                <w:rFonts w:ascii="宋体" w:hAnsi="宋体"/>
                <w:sz w:val="22"/>
              </w:rPr>
            </w:pPr>
          </w:p>
        </w:tc>
      </w:tr>
      <w:tr>
        <w:tblPrEx>
          <w:tblCellMar>
            <w:top w:w="0" w:type="dxa"/>
            <w:left w:w="28" w:type="dxa"/>
            <w:bottom w:w="0" w:type="dxa"/>
            <w:right w:w="28" w:type="dxa"/>
          </w:tblCellMar>
        </w:tblPrEx>
        <w:trPr>
          <w:trHeight w:val="823" w:hRule="atLeast"/>
        </w:trPr>
        <w:tc>
          <w:tcPr>
            <w:tcW w:w="1148" w:type="dxa"/>
            <w:vMerge w:val="continue"/>
            <w:tcBorders>
              <w:left w:val="single" w:color="auto" w:sz="6" w:space="0"/>
              <w:right w:val="single" w:color="auto" w:sz="4" w:space="0"/>
            </w:tcBorders>
            <w:vAlign w:val="center"/>
          </w:tcPr>
          <w:p>
            <w:pPr>
              <w:spacing w:before="395" w:beforeLines="100"/>
              <w:jc w:val="center"/>
              <w:rPr>
                <w:rFonts w:ascii="宋体" w:hAnsi="宋体"/>
                <w:sz w:val="22"/>
              </w:rPr>
            </w:pPr>
          </w:p>
        </w:tc>
        <w:tc>
          <w:tcPr>
            <w:tcW w:w="530" w:type="dxa"/>
            <w:tcBorders>
              <w:top w:val="single" w:color="auto" w:sz="4" w:space="0"/>
              <w:left w:val="single" w:color="auto" w:sz="4" w:space="0"/>
              <w:bottom w:val="single" w:color="auto" w:sz="6" w:space="0"/>
            </w:tcBorders>
            <w:vAlign w:val="center"/>
          </w:tcPr>
          <w:p>
            <w:pPr>
              <w:spacing w:before="395" w:beforeLines="100"/>
              <w:jc w:val="center"/>
              <w:rPr>
                <w:rFonts w:ascii="宋体" w:hAnsi="宋体"/>
                <w:sz w:val="22"/>
              </w:rPr>
            </w:pPr>
            <w:r>
              <w:rPr>
                <w:rFonts w:hint="eastAsia" w:ascii="宋体" w:hAnsi="宋体"/>
                <w:sz w:val="22"/>
              </w:rPr>
              <w:t>……</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197" w:beforeLines="50"/>
              <w:jc w:val="center"/>
              <w:rPr>
                <w:rFonts w:ascii="宋体" w:hAnsi="宋体"/>
                <w:sz w:val="22"/>
              </w:rPr>
            </w:pPr>
          </w:p>
        </w:tc>
        <w:tc>
          <w:tcPr>
            <w:tcW w:w="588" w:type="dxa"/>
            <w:tcBorders>
              <w:top w:val="single" w:color="auto" w:sz="4" w:space="0"/>
              <w:left w:val="single" w:color="auto" w:sz="6" w:space="0"/>
              <w:bottom w:val="single" w:color="auto" w:sz="6" w:space="0"/>
              <w:right w:val="single" w:color="auto" w:sz="4" w:space="0"/>
            </w:tcBorders>
            <w:vAlign w:val="center"/>
          </w:tcPr>
          <w:p>
            <w:pPr>
              <w:spacing w:before="197" w:beforeLines="50"/>
              <w:jc w:val="center"/>
              <w:rPr>
                <w:rFonts w:ascii="宋体" w:hAnsi="宋体"/>
                <w:sz w:val="22"/>
              </w:rPr>
            </w:pPr>
          </w:p>
        </w:tc>
        <w:tc>
          <w:tcPr>
            <w:tcW w:w="963" w:type="dxa"/>
            <w:tcBorders>
              <w:top w:val="single" w:color="auto" w:sz="4" w:space="0"/>
              <w:left w:val="single" w:color="auto" w:sz="4" w:space="0"/>
              <w:bottom w:val="single" w:color="auto" w:sz="6" w:space="0"/>
              <w:right w:val="single" w:color="auto" w:sz="6" w:space="0"/>
            </w:tcBorders>
            <w:vAlign w:val="center"/>
          </w:tcPr>
          <w:p>
            <w:pPr>
              <w:spacing w:before="197" w:beforeLines="50"/>
              <w:jc w:val="center"/>
              <w:rPr>
                <w:rFonts w:ascii="宋体" w:hAnsi="宋体"/>
                <w:sz w:val="22"/>
              </w:rPr>
            </w:pPr>
          </w:p>
        </w:tc>
        <w:tc>
          <w:tcPr>
            <w:tcW w:w="1570" w:type="dxa"/>
            <w:tcBorders>
              <w:top w:val="single" w:color="auto" w:sz="4" w:space="0"/>
              <w:left w:val="single" w:color="auto" w:sz="6" w:space="0"/>
              <w:bottom w:val="single" w:color="auto" w:sz="6" w:space="0"/>
              <w:right w:val="single" w:color="auto" w:sz="6" w:space="0"/>
            </w:tcBorders>
            <w:vAlign w:val="center"/>
          </w:tcPr>
          <w:p>
            <w:pPr>
              <w:spacing w:before="197" w:beforeLines="50"/>
              <w:jc w:val="center"/>
              <w:rPr>
                <w:rFonts w:ascii="宋体" w:hAnsi="宋体"/>
                <w:sz w:val="22"/>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97" w:beforeLines="50"/>
              <w:jc w:val="center"/>
              <w:rPr>
                <w:rFonts w:ascii="宋体" w:hAnsi="宋体"/>
                <w:sz w:val="22"/>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97" w:beforeLines="50"/>
              <w:jc w:val="center"/>
              <w:rPr>
                <w:rFonts w:ascii="宋体" w:hAnsi="宋体"/>
                <w:sz w:val="22"/>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97" w:beforeLines="50"/>
              <w:jc w:val="center"/>
              <w:rPr>
                <w:rFonts w:ascii="宋体" w:hAnsi="宋体"/>
                <w:sz w:val="22"/>
              </w:rPr>
            </w:pPr>
          </w:p>
        </w:tc>
      </w:tr>
      <w:tr>
        <w:tblPrEx>
          <w:tblCellMar>
            <w:top w:w="0" w:type="dxa"/>
            <w:left w:w="28" w:type="dxa"/>
            <w:bottom w:w="0" w:type="dxa"/>
            <w:right w:w="28" w:type="dxa"/>
          </w:tblCellMar>
        </w:tblPrEx>
        <w:trPr>
          <w:trHeight w:val="823" w:hRule="atLeast"/>
        </w:trPr>
        <w:tc>
          <w:tcPr>
            <w:tcW w:w="1148" w:type="dxa"/>
            <w:vMerge w:val="continue"/>
            <w:tcBorders>
              <w:left w:val="single" w:color="auto" w:sz="6" w:space="0"/>
              <w:bottom w:val="single" w:color="auto" w:sz="6" w:space="0"/>
              <w:right w:val="single" w:color="auto" w:sz="4" w:space="0"/>
            </w:tcBorders>
            <w:vAlign w:val="center"/>
          </w:tcPr>
          <w:p>
            <w:pPr>
              <w:spacing w:before="395" w:beforeLines="100"/>
              <w:jc w:val="center"/>
              <w:rPr>
                <w:rFonts w:ascii="宋体" w:hAnsi="宋体"/>
                <w:sz w:val="22"/>
              </w:rPr>
            </w:pPr>
          </w:p>
        </w:tc>
        <w:tc>
          <w:tcPr>
            <w:tcW w:w="530" w:type="dxa"/>
            <w:tcBorders>
              <w:top w:val="single" w:color="auto" w:sz="4" w:space="0"/>
              <w:left w:val="single" w:color="auto" w:sz="4" w:space="0"/>
              <w:bottom w:val="single" w:color="auto" w:sz="6" w:space="0"/>
            </w:tcBorders>
            <w:vAlign w:val="center"/>
          </w:tcPr>
          <w:p>
            <w:pPr>
              <w:spacing w:before="395" w:beforeLines="100"/>
              <w:jc w:val="center"/>
              <w:rPr>
                <w:rFonts w:ascii="宋体" w:hAnsi="宋体"/>
                <w:b/>
                <w:sz w:val="22"/>
              </w:rPr>
            </w:pPr>
            <w:r>
              <w:rPr>
                <w:rFonts w:hint="eastAsia" w:ascii="宋体" w:hAnsi="宋体"/>
                <w:sz w:val="22"/>
              </w:rPr>
              <w:t>……</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197" w:beforeLines="50"/>
              <w:jc w:val="center"/>
              <w:rPr>
                <w:rFonts w:ascii="宋体" w:hAnsi="宋体"/>
                <w:sz w:val="22"/>
              </w:rPr>
            </w:pPr>
          </w:p>
        </w:tc>
        <w:tc>
          <w:tcPr>
            <w:tcW w:w="588" w:type="dxa"/>
            <w:tcBorders>
              <w:top w:val="single" w:color="auto" w:sz="4" w:space="0"/>
              <w:left w:val="single" w:color="auto" w:sz="6" w:space="0"/>
              <w:bottom w:val="single" w:color="auto" w:sz="6" w:space="0"/>
              <w:right w:val="single" w:color="auto" w:sz="4" w:space="0"/>
            </w:tcBorders>
            <w:vAlign w:val="center"/>
          </w:tcPr>
          <w:p>
            <w:pPr>
              <w:spacing w:before="197" w:beforeLines="50"/>
              <w:jc w:val="center"/>
              <w:rPr>
                <w:rFonts w:ascii="宋体" w:hAnsi="宋体"/>
                <w:sz w:val="22"/>
              </w:rPr>
            </w:pPr>
          </w:p>
        </w:tc>
        <w:tc>
          <w:tcPr>
            <w:tcW w:w="963" w:type="dxa"/>
            <w:tcBorders>
              <w:top w:val="single" w:color="auto" w:sz="4" w:space="0"/>
              <w:left w:val="single" w:color="auto" w:sz="4" w:space="0"/>
              <w:bottom w:val="single" w:color="auto" w:sz="6" w:space="0"/>
              <w:right w:val="single" w:color="auto" w:sz="6" w:space="0"/>
            </w:tcBorders>
            <w:vAlign w:val="center"/>
          </w:tcPr>
          <w:p>
            <w:pPr>
              <w:spacing w:before="197" w:beforeLines="50"/>
              <w:jc w:val="center"/>
              <w:rPr>
                <w:rFonts w:ascii="宋体" w:hAnsi="宋体"/>
                <w:sz w:val="22"/>
              </w:rPr>
            </w:pPr>
          </w:p>
        </w:tc>
        <w:tc>
          <w:tcPr>
            <w:tcW w:w="1570" w:type="dxa"/>
            <w:tcBorders>
              <w:top w:val="single" w:color="auto" w:sz="4" w:space="0"/>
              <w:left w:val="single" w:color="auto" w:sz="6" w:space="0"/>
              <w:bottom w:val="single" w:color="auto" w:sz="6" w:space="0"/>
              <w:right w:val="single" w:color="auto" w:sz="6" w:space="0"/>
            </w:tcBorders>
            <w:vAlign w:val="center"/>
          </w:tcPr>
          <w:p>
            <w:pPr>
              <w:spacing w:before="197" w:beforeLines="50"/>
              <w:jc w:val="center"/>
              <w:rPr>
                <w:rFonts w:ascii="宋体" w:hAnsi="宋体"/>
                <w:sz w:val="22"/>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97" w:beforeLines="50"/>
              <w:jc w:val="center"/>
              <w:rPr>
                <w:rFonts w:ascii="宋体" w:hAnsi="宋体"/>
                <w:sz w:val="22"/>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97" w:beforeLines="50"/>
              <w:jc w:val="center"/>
              <w:rPr>
                <w:rFonts w:ascii="宋体" w:hAnsi="宋体"/>
                <w:sz w:val="22"/>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97" w:beforeLines="50"/>
              <w:jc w:val="center"/>
              <w:rPr>
                <w:rFonts w:ascii="宋体" w:hAnsi="宋体"/>
                <w:sz w:val="22"/>
              </w:rPr>
            </w:pPr>
          </w:p>
        </w:tc>
      </w:tr>
      <w:tr>
        <w:tblPrEx>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hAnsi="宋体"/>
                <w:sz w:val="22"/>
              </w:rPr>
            </w:pPr>
            <w:r>
              <w:rPr>
                <w:rFonts w:hint="eastAsia" w:ascii="宋体" w:hAnsi="宋体"/>
                <w:sz w:val="22"/>
              </w:rPr>
              <w:t>其他费用</w:t>
            </w:r>
          </w:p>
        </w:tc>
        <w:tc>
          <w:tcPr>
            <w:tcW w:w="6593"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hAnsi="宋体"/>
                <w:sz w:val="22"/>
              </w:rPr>
            </w:pPr>
          </w:p>
        </w:tc>
      </w:tr>
      <w:tr>
        <w:tblPrEx>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hAnsi="宋体"/>
                <w:sz w:val="22"/>
              </w:rPr>
            </w:pPr>
            <w:r>
              <w:rPr>
                <w:rFonts w:hint="eastAsia" w:ascii="宋体" w:hAnsi="宋体"/>
                <w:sz w:val="22"/>
              </w:rPr>
              <w:t>……</w:t>
            </w:r>
          </w:p>
        </w:tc>
        <w:tc>
          <w:tcPr>
            <w:tcW w:w="6593"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hAnsi="宋体"/>
                <w:sz w:val="22"/>
              </w:rPr>
            </w:pPr>
          </w:p>
        </w:tc>
      </w:tr>
      <w:tr>
        <w:tblPrEx>
          <w:tblCellMar>
            <w:top w:w="0" w:type="dxa"/>
            <w:left w:w="28" w:type="dxa"/>
            <w:bottom w:w="0" w:type="dxa"/>
            <w:right w:w="28" w:type="dxa"/>
          </w:tblCellMar>
        </w:tblPrEx>
        <w:trPr>
          <w:trHeight w:val="515" w:hRule="atLeast"/>
        </w:trPr>
        <w:tc>
          <w:tcPr>
            <w:tcW w:w="1678" w:type="dxa"/>
            <w:gridSpan w:val="2"/>
            <w:tcBorders>
              <w:top w:val="single" w:color="auto" w:sz="4" w:space="0"/>
              <w:left w:val="single" w:color="auto" w:sz="6" w:space="0"/>
              <w:bottom w:val="single" w:color="auto" w:sz="6" w:space="0"/>
            </w:tcBorders>
            <w:vAlign w:val="center"/>
          </w:tcPr>
          <w:p>
            <w:pPr>
              <w:jc w:val="center"/>
              <w:rPr>
                <w:rFonts w:ascii="宋体" w:hAnsi="宋体"/>
                <w:sz w:val="22"/>
              </w:rPr>
            </w:pPr>
            <w:r>
              <w:rPr>
                <w:rFonts w:hint="eastAsia" w:ascii="宋体" w:hAnsi="宋体"/>
                <w:sz w:val="22"/>
              </w:rPr>
              <w:t>投标总报价</w:t>
            </w:r>
          </w:p>
        </w:tc>
        <w:tc>
          <w:tcPr>
            <w:tcW w:w="7382" w:type="dxa"/>
            <w:gridSpan w:val="7"/>
            <w:tcBorders>
              <w:top w:val="single" w:color="auto" w:sz="4" w:space="0"/>
              <w:left w:val="single" w:color="auto" w:sz="6" w:space="0"/>
              <w:bottom w:val="single" w:color="auto" w:sz="6" w:space="0"/>
              <w:right w:val="single" w:color="auto" w:sz="6" w:space="0"/>
            </w:tcBorders>
            <w:vAlign w:val="center"/>
          </w:tcPr>
          <w:p>
            <w:pPr>
              <w:spacing w:before="197" w:beforeLines="50"/>
              <w:rPr>
                <w:rFonts w:ascii="宋体" w:hAnsi="宋体"/>
                <w:sz w:val="22"/>
              </w:rPr>
            </w:pPr>
            <w:r>
              <w:rPr>
                <w:rFonts w:hint="eastAsia" w:ascii="宋体" w:hAnsi="宋体"/>
                <w:sz w:val="22"/>
              </w:rPr>
              <w:t>大写：                       小写：元</w:t>
            </w:r>
          </w:p>
        </w:tc>
      </w:tr>
      <w:tr>
        <w:tblPrEx>
          <w:tblCellMar>
            <w:top w:w="0" w:type="dxa"/>
            <w:left w:w="28" w:type="dxa"/>
            <w:bottom w:w="0" w:type="dxa"/>
            <w:right w:w="28" w:type="dxa"/>
          </w:tblCellMar>
        </w:tblPrEx>
        <w:trPr>
          <w:trHeight w:val="577" w:hRule="atLeast"/>
        </w:trPr>
        <w:tc>
          <w:tcPr>
            <w:tcW w:w="1678" w:type="dxa"/>
            <w:gridSpan w:val="2"/>
            <w:tcBorders>
              <w:top w:val="single" w:color="auto" w:sz="4" w:space="0"/>
              <w:left w:val="single" w:color="auto" w:sz="6" w:space="0"/>
              <w:bottom w:val="single" w:color="auto" w:sz="6" w:space="0"/>
            </w:tcBorders>
            <w:vAlign w:val="center"/>
          </w:tcPr>
          <w:p>
            <w:pPr>
              <w:jc w:val="center"/>
              <w:rPr>
                <w:rFonts w:ascii="宋体" w:hAnsi="宋体"/>
                <w:sz w:val="22"/>
              </w:rPr>
            </w:pPr>
            <w:r>
              <w:rPr>
                <w:rFonts w:hint="eastAsia" w:ascii="宋体" w:hAnsi="宋体"/>
                <w:sz w:val="22"/>
              </w:rPr>
              <w:t>备注</w:t>
            </w:r>
          </w:p>
        </w:tc>
        <w:tc>
          <w:tcPr>
            <w:tcW w:w="7382" w:type="dxa"/>
            <w:gridSpan w:val="7"/>
            <w:tcBorders>
              <w:top w:val="single" w:color="auto" w:sz="4" w:space="0"/>
              <w:left w:val="single" w:color="auto" w:sz="6" w:space="0"/>
              <w:bottom w:val="single" w:color="auto" w:sz="6" w:space="0"/>
              <w:right w:val="single" w:color="auto" w:sz="6" w:space="0"/>
            </w:tcBorders>
            <w:vAlign w:val="center"/>
          </w:tcPr>
          <w:p>
            <w:pPr>
              <w:spacing w:before="197" w:beforeLines="50"/>
              <w:jc w:val="center"/>
              <w:rPr>
                <w:rFonts w:ascii="宋体" w:hAnsi="宋体"/>
                <w:sz w:val="22"/>
              </w:rPr>
            </w:pPr>
            <w:r>
              <w:rPr>
                <w:rFonts w:hint="eastAsia" w:ascii="宋体" w:hAnsi="宋体"/>
                <w:spacing w:val="-6"/>
                <w:sz w:val="22"/>
              </w:rPr>
              <w:t>保留小数点后两位。</w:t>
            </w:r>
          </w:p>
        </w:tc>
      </w:tr>
    </w:tbl>
    <w:p>
      <w:pPr>
        <w:adjustRightInd w:val="0"/>
        <w:snapToGrid w:val="0"/>
        <w:spacing w:line="480" w:lineRule="auto"/>
        <w:rPr>
          <w:rFonts w:ascii="宋体" w:hAnsi="宋体"/>
          <w:color w:val="000000" w:themeColor="text1"/>
          <w14:textFill>
            <w14:solidFill>
              <w14:schemeClr w14:val="tx1"/>
            </w14:solidFill>
          </w14:textFill>
        </w:rPr>
      </w:pPr>
    </w:p>
    <w:p>
      <w:pPr>
        <w:adjustRightInd w:val="0"/>
        <w:snapToGrid w:val="0"/>
        <w:spacing w:line="48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供应商（单位名称及公章）：</w:t>
      </w:r>
    </w:p>
    <w:p>
      <w:pPr>
        <w:adjustRightInd w:val="0"/>
        <w:snapToGrid w:val="0"/>
        <w:spacing w:line="48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法定代表人或被授权人（签字或盖章）：</w:t>
      </w:r>
    </w:p>
    <w:p>
      <w:pPr>
        <w:adjustRightInd w:val="0"/>
        <w:snapToGrid w:val="0"/>
        <w:spacing w:line="480" w:lineRule="auto"/>
        <w:rPr>
          <w:rFonts w:asciiTheme="minorEastAsia" w:hAnsiTheme="minorEastAsia" w:cstheme="minorEastAsia"/>
        </w:rPr>
      </w:pPr>
      <w:r>
        <w:rPr>
          <w:rFonts w:hint="eastAsia" w:asciiTheme="minorEastAsia" w:hAnsiTheme="minorEastAsia" w:cstheme="minorEastAsia"/>
          <w:color w:val="000000" w:themeColor="text1"/>
          <w14:textFill>
            <w14:solidFill>
              <w14:schemeClr w14:val="tx1"/>
            </w14:solidFill>
          </w14:textFill>
        </w:rPr>
        <w:t>日期：</w:t>
      </w:r>
      <w:r>
        <w:rPr>
          <w:rFonts w:hint="eastAsia" w:asciiTheme="minorEastAsia" w:hAnsiTheme="minorEastAsia" w:cstheme="minorEastAsia"/>
        </w:rPr>
        <w:t>_______年________月_______日</w:t>
      </w:r>
    </w:p>
    <w:p>
      <w:pPr>
        <w:adjustRightInd w:val="0"/>
        <w:snapToGrid w:val="0"/>
        <w:spacing w:line="480" w:lineRule="auto"/>
        <w:rPr>
          <w:color w:val="000000" w:themeColor="text1"/>
          <w:sz w:val="36"/>
          <w:szCs w:val="36"/>
          <w14:textFill>
            <w14:solidFill>
              <w14:schemeClr w14:val="tx1"/>
            </w14:solidFill>
          </w14:textFill>
        </w:rPr>
        <w:sectPr>
          <w:pgSz w:w="11906" w:h="16838"/>
          <w:pgMar w:top="1440" w:right="1803" w:bottom="1440" w:left="1803" w:header="850" w:footer="992" w:gutter="0"/>
          <w:pgNumType w:fmt="decimal"/>
          <w:cols w:space="0" w:num="1"/>
          <w:titlePg/>
          <w:docGrid w:type="linesAndChars" w:linePitch="395" w:charSpace="1724"/>
        </w:sectPr>
      </w:pPr>
    </w:p>
    <w:p>
      <w:pPr>
        <w:pStyle w:val="4"/>
        <w:jc w:val="center"/>
        <w:rPr>
          <w:rFonts w:ascii="宋体" w:hAnsi="宋体" w:eastAsia="宋体" w:cs="宋体"/>
        </w:rPr>
      </w:pPr>
      <w:bookmarkStart w:id="86" w:name="_Toc21109"/>
      <w:r>
        <w:rPr>
          <w:rFonts w:hint="eastAsia" w:ascii="宋体" w:hAnsi="宋体" w:eastAsia="宋体" w:cs="宋体"/>
        </w:rPr>
        <w:t>第三部分  资格证明文件</w:t>
      </w:r>
      <w:bookmarkEnd w:id="86"/>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按照招标文件第一章《投标邀请函》所列“供应商资格要求”提供各项资格证明文件，未按要求提供的，其投标文件将被视为无效文件。</w:t>
      </w:r>
    </w:p>
    <w:p>
      <w:pPr>
        <w:rPr>
          <w:rFonts w:ascii="宋体" w:hAnsi="宋体" w:cs="宋体"/>
        </w:rPr>
      </w:pPr>
      <w:r>
        <w:rPr>
          <w:rFonts w:hint="eastAsia" w:ascii="宋体" w:hAnsi="宋体" w:cs="宋体"/>
          <w:sz w:val="32"/>
          <w:szCs w:val="32"/>
        </w:rPr>
        <w:t>（一）基本资格条件</w:t>
      </w:r>
    </w:p>
    <w:p>
      <w:pPr>
        <w:pStyle w:val="17"/>
        <w:rPr>
          <w:rFonts w:ascii="宋体" w:hAnsi="宋体" w:cs="宋体"/>
          <w:sz w:val="32"/>
          <w:szCs w:val="32"/>
        </w:rPr>
      </w:pPr>
      <w:r>
        <w:rPr>
          <w:rFonts w:hint="eastAsia" w:ascii="宋体" w:hAnsi="宋体" w:cs="宋体"/>
          <w:sz w:val="32"/>
          <w:szCs w:val="32"/>
        </w:rPr>
        <w:t>满足《中华人民共和国政府采购法》第二十二条规定的</w:t>
      </w:r>
    </w:p>
    <w:p>
      <w:pPr>
        <w:pStyle w:val="17"/>
        <w:jc w:val="center"/>
        <w:rPr>
          <w:rFonts w:ascii="宋体" w:hAnsi="宋体" w:cs="宋体"/>
          <w:sz w:val="32"/>
          <w:szCs w:val="32"/>
        </w:rPr>
      </w:pPr>
      <w:r>
        <w:rPr>
          <w:rFonts w:hint="eastAsia" w:ascii="宋体" w:hAnsi="宋体" w:cs="宋体"/>
          <w:sz w:val="32"/>
          <w:szCs w:val="32"/>
        </w:rPr>
        <w:t>资格承诺（格式）</w:t>
      </w:r>
    </w:p>
    <w:p>
      <w:pPr>
        <w:snapToGrid w:val="0"/>
        <w:spacing w:line="480" w:lineRule="auto"/>
        <w:rPr>
          <w:rFonts w:ascii="宋体" w:hAnsi="宋体" w:cs="宋体"/>
        </w:rPr>
      </w:pPr>
      <w:r>
        <w:rPr>
          <w:rFonts w:hint="eastAsia" w:ascii="宋体" w:hAnsi="宋体" w:cs="宋体"/>
        </w:rPr>
        <w:t>(采购人名称）_______________________：</w:t>
      </w:r>
    </w:p>
    <w:p>
      <w:pPr>
        <w:snapToGrid w:val="0"/>
        <w:spacing w:line="480" w:lineRule="auto"/>
        <w:ind w:firstLine="480" w:firstLineChars="200"/>
        <w:rPr>
          <w:rFonts w:ascii="宋体" w:hAnsi="宋体" w:cs="宋体"/>
        </w:rPr>
      </w:pPr>
      <w:r>
        <w:rPr>
          <w:rFonts w:hint="eastAsia" w:ascii="宋体" w:hAnsi="宋体" w:cs="宋体"/>
        </w:rPr>
        <w:t>我单位参与陕西卓佲项目管理有限公司组织________________________(项目名称)公开招标，我公司符合《中华人民共和国政府采购法》规定的供应商资格条件：</w:t>
      </w:r>
    </w:p>
    <w:p>
      <w:pPr>
        <w:numPr>
          <w:ilvl w:val="0"/>
          <w:numId w:val="9"/>
        </w:numPr>
        <w:spacing w:line="500" w:lineRule="exact"/>
        <w:rPr>
          <w:rFonts w:ascii="宋体" w:hAnsi="宋体" w:cs="宋体"/>
        </w:rPr>
      </w:pPr>
      <w:r>
        <w:rPr>
          <w:rFonts w:hint="eastAsia" w:ascii="宋体" w:hAnsi="宋体" w:cs="宋体"/>
        </w:rPr>
        <w:t>具有独立承担民事责任的能力；</w:t>
      </w:r>
    </w:p>
    <w:p>
      <w:pPr>
        <w:numPr>
          <w:ilvl w:val="0"/>
          <w:numId w:val="9"/>
        </w:numPr>
        <w:spacing w:line="500" w:lineRule="exact"/>
        <w:rPr>
          <w:rFonts w:ascii="宋体" w:hAnsi="宋体" w:cs="宋体"/>
        </w:rPr>
      </w:pPr>
      <w:r>
        <w:rPr>
          <w:rFonts w:hint="eastAsia" w:ascii="宋体" w:hAnsi="宋体" w:cs="宋体"/>
        </w:rPr>
        <w:t>具有良好的商业信誉和健全的财务会计制度；</w:t>
      </w:r>
    </w:p>
    <w:p>
      <w:pPr>
        <w:numPr>
          <w:ilvl w:val="0"/>
          <w:numId w:val="9"/>
        </w:numPr>
        <w:spacing w:line="500" w:lineRule="exact"/>
        <w:rPr>
          <w:rFonts w:ascii="宋体" w:hAnsi="宋体" w:cs="宋体"/>
        </w:rPr>
      </w:pPr>
      <w:r>
        <w:rPr>
          <w:rFonts w:hint="eastAsia" w:ascii="宋体" w:hAnsi="宋体" w:cs="宋体"/>
        </w:rPr>
        <w:t>具有履行合同所必需的设备和专业技术能力；</w:t>
      </w:r>
    </w:p>
    <w:p>
      <w:pPr>
        <w:numPr>
          <w:ilvl w:val="0"/>
          <w:numId w:val="9"/>
        </w:numPr>
        <w:spacing w:line="500" w:lineRule="exact"/>
        <w:rPr>
          <w:rFonts w:ascii="宋体" w:hAnsi="宋体" w:cs="宋体"/>
        </w:rPr>
      </w:pPr>
      <w:r>
        <w:rPr>
          <w:rFonts w:hint="eastAsia" w:ascii="宋体" w:hAnsi="宋体" w:cs="宋体"/>
        </w:rPr>
        <w:t>具有依法缴纳税收和社会保障资金的良好记录；</w:t>
      </w:r>
    </w:p>
    <w:p>
      <w:pPr>
        <w:numPr>
          <w:ilvl w:val="0"/>
          <w:numId w:val="9"/>
        </w:numPr>
        <w:spacing w:line="500" w:lineRule="exact"/>
        <w:rPr>
          <w:rFonts w:ascii="宋体" w:hAnsi="宋体" w:cs="宋体"/>
        </w:rPr>
      </w:pPr>
      <w:r>
        <w:rPr>
          <w:rFonts w:hint="eastAsia" w:ascii="宋体" w:hAnsi="宋体" w:cs="宋体"/>
        </w:rPr>
        <w:t>参加此项采购活动前三年内，在经营活动中没有重大违法记录；</w:t>
      </w:r>
    </w:p>
    <w:p>
      <w:pPr>
        <w:numPr>
          <w:ilvl w:val="0"/>
          <w:numId w:val="9"/>
        </w:numPr>
        <w:spacing w:line="500" w:lineRule="exact"/>
        <w:rPr>
          <w:rFonts w:ascii="宋体" w:hAnsi="宋体" w:cs="宋体"/>
        </w:rPr>
      </w:pPr>
      <w:r>
        <w:rPr>
          <w:rFonts w:hint="eastAsia" w:ascii="宋体" w:hAnsi="宋体" w:cs="宋体"/>
        </w:rPr>
        <w:t>法律、行政法规规定的其他条件。</w:t>
      </w:r>
    </w:p>
    <w:p>
      <w:pPr>
        <w:pStyle w:val="17"/>
        <w:rPr>
          <w:rFonts w:ascii="宋体" w:hAnsi="宋体" w:cs="宋体"/>
        </w:rPr>
      </w:pPr>
    </w:p>
    <w:p>
      <w:pPr>
        <w:snapToGrid w:val="0"/>
        <w:spacing w:line="480" w:lineRule="auto"/>
        <w:ind w:firstLine="480" w:firstLineChars="200"/>
        <w:rPr>
          <w:rFonts w:hAnsi="宋体" w:cs="宋体"/>
        </w:rPr>
      </w:pPr>
      <w:r>
        <w:rPr>
          <w:rFonts w:hint="eastAsia" w:ascii="宋体" w:hAnsi="宋体" w:cs="宋体"/>
        </w:rPr>
        <w:t>我方对此声明负全部法律责任。</w:t>
      </w:r>
    </w:p>
    <w:p>
      <w:pPr>
        <w:pStyle w:val="13"/>
        <w:spacing w:line="480" w:lineRule="auto"/>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3"/>
        <w:spacing w:line="480" w:lineRule="auto"/>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rPr>
      </w:pPr>
      <w:r>
        <w:rPr>
          <w:rFonts w:hint="eastAsia" w:ascii="宋体" w:hAnsi="宋体" w:cs="宋体"/>
        </w:rPr>
        <w:t>日    期：</w:t>
      </w:r>
      <w:r>
        <w:rPr>
          <w:rFonts w:hint="eastAsia" w:ascii="宋体" w:hAnsi="宋体" w:cs="宋体"/>
          <w:sz w:val="28"/>
          <w:szCs w:val="28"/>
        </w:rPr>
        <w:t>_</w:t>
      </w:r>
      <w:r>
        <w:rPr>
          <w:rFonts w:hint="eastAsia" w:asciiTheme="minorEastAsia" w:hAnsiTheme="minorEastAsia" w:cstheme="minorEastAsia"/>
        </w:rPr>
        <w:t>______年________月_______日</w:t>
      </w:r>
    </w:p>
    <w:p>
      <w:pPr>
        <w:spacing w:line="360" w:lineRule="auto"/>
        <w:rPr>
          <w:rFonts w:ascii="宋体" w:hAnsi="宋体" w:cs="宋体"/>
          <w:sz w:val="28"/>
          <w:szCs w:val="32"/>
        </w:rPr>
      </w:pPr>
      <w:bookmarkStart w:id="87" w:name="_Toc30568"/>
      <w:bookmarkStart w:id="88" w:name="_Toc28294"/>
      <w:bookmarkStart w:id="89" w:name="_Toc9106"/>
      <w:bookmarkStart w:id="90" w:name="_Toc32575"/>
      <w:bookmarkStart w:id="91" w:name="_Toc29109"/>
      <w:bookmarkStart w:id="92" w:name="_Toc26570"/>
      <w:bookmarkStart w:id="93" w:name="_Toc18738"/>
      <w:bookmarkStart w:id="94" w:name="_Toc14575"/>
    </w:p>
    <w:p>
      <w:pPr>
        <w:spacing w:line="360" w:lineRule="auto"/>
        <w:rPr>
          <w:rFonts w:ascii="宋体" w:hAnsi="宋体" w:cs="宋体"/>
          <w:sz w:val="28"/>
          <w:szCs w:val="32"/>
        </w:rPr>
      </w:pPr>
    </w:p>
    <w:p>
      <w:pPr>
        <w:spacing w:line="360" w:lineRule="auto"/>
        <w:rPr>
          <w:rFonts w:ascii="宋体" w:hAnsi="宋体" w:cs="宋体"/>
          <w:sz w:val="28"/>
          <w:szCs w:val="32"/>
        </w:rPr>
      </w:pPr>
      <w:r>
        <w:rPr>
          <w:rFonts w:hint="eastAsia" w:ascii="宋体" w:hAnsi="宋体" w:cs="宋体"/>
          <w:sz w:val="28"/>
          <w:szCs w:val="32"/>
        </w:rPr>
        <w:t>（二）特定资格条件</w:t>
      </w:r>
    </w:p>
    <w:p>
      <w:pPr>
        <w:spacing w:line="360" w:lineRule="auto"/>
        <w:ind w:firstLine="480" w:firstLineChars="200"/>
        <w:rPr>
          <w:rFonts w:ascii="宋体" w:hAnsi="宋体" w:cs="宋体"/>
        </w:rPr>
      </w:pPr>
      <w:r>
        <w:rPr>
          <w:rFonts w:hint="eastAsia" w:ascii="宋体" w:hAnsi="宋体" w:cs="宋体"/>
        </w:rPr>
        <w:t>1、具有独立承担民事责任能力的法人、其他组织或自然人，提供合法有效的统一社会信用代码营业执照（事业单位提供事业单位法人证书，自然人应提供身份证）；</w:t>
      </w:r>
    </w:p>
    <w:p>
      <w:pPr>
        <w:spacing w:line="360" w:lineRule="auto"/>
        <w:ind w:firstLine="480" w:firstLineChars="200"/>
        <w:rPr>
          <w:rFonts w:ascii="宋体" w:hAnsi="宋体" w:cs="宋体"/>
        </w:rPr>
      </w:pPr>
      <w:r>
        <w:rPr>
          <w:rFonts w:hint="eastAsia" w:ascii="宋体" w:hAnsi="宋体" w:cs="宋体"/>
        </w:rPr>
        <w:t>2、财务状况证明：供应商提供2020年度或2021年度经审计完整的财务审计报告（成立时间至提交投标文件截止时间不足一年的可提供成立后任意时段的资产负债表），或其开标前三个月内银行出具的资信证明，或财政部门认可的政府采购专业担保机构出具的投标担保函；</w:t>
      </w:r>
    </w:p>
    <w:p>
      <w:pPr>
        <w:keepNext/>
        <w:keepLines/>
        <w:spacing w:line="413" w:lineRule="auto"/>
        <w:jc w:val="center"/>
        <w:rPr>
          <w:rFonts w:ascii="宋体" w:hAnsi="宋体" w:cs="宋体"/>
          <w:sz w:val="32"/>
        </w:rPr>
        <w:sectPr>
          <w:headerReference r:id="rId13" w:type="default"/>
          <w:pgSz w:w="11906" w:h="16838"/>
          <w:pgMar w:top="1440" w:right="1803" w:bottom="1440" w:left="1803" w:header="851" w:footer="992" w:gutter="0"/>
          <w:pgNumType w:fmt="decimal"/>
          <w:cols w:space="720" w:num="1"/>
          <w:docGrid w:type="lines" w:linePitch="319" w:charSpace="0"/>
        </w:sectPr>
      </w:pPr>
    </w:p>
    <w:p>
      <w:pPr>
        <w:keepNext/>
        <w:keepLines/>
        <w:spacing w:line="413" w:lineRule="auto"/>
        <w:jc w:val="center"/>
        <w:rPr>
          <w:rFonts w:ascii="宋体" w:hAnsi="宋体" w:cs="宋体"/>
          <w:sz w:val="32"/>
        </w:rPr>
      </w:pPr>
      <w:r>
        <w:rPr>
          <w:rFonts w:hint="eastAsia" w:ascii="宋体" w:hAnsi="宋体" w:cs="宋体"/>
          <w:sz w:val="32"/>
        </w:rPr>
        <w:t>3、履行合同所必需的设备和专业技术能力声明（格式）</w:t>
      </w:r>
    </w:p>
    <w:p>
      <w:pPr>
        <w:rPr>
          <w:rFonts w:ascii="宋体" w:hAnsi="宋体" w:cs="宋体"/>
        </w:rPr>
      </w:pPr>
    </w:p>
    <w:p>
      <w:pPr>
        <w:snapToGrid w:val="0"/>
        <w:spacing w:line="480" w:lineRule="auto"/>
        <w:rPr>
          <w:rFonts w:ascii="宋体" w:hAnsi="宋体" w:cs="宋体"/>
        </w:rPr>
      </w:pPr>
      <w:r>
        <w:rPr>
          <w:rFonts w:hint="eastAsia" w:ascii="宋体" w:hAnsi="宋体" w:cs="宋体"/>
        </w:rPr>
        <w:t>(采购人名称）_______________________：</w:t>
      </w:r>
    </w:p>
    <w:p>
      <w:pPr>
        <w:snapToGrid w:val="0"/>
        <w:spacing w:line="480" w:lineRule="auto"/>
        <w:ind w:firstLine="720" w:firstLineChars="300"/>
        <w:rPr>
          <w:rFonts w:ascii="宋体" w:hAnsi="宋体" w:cs="宋体"/>
        </w:rPr>
      </w:pPr>
      <w:r>
        <w:rPr>
          <w:rFonts w:hint="eastAsia" w:ascii="宋体" w:hAnsi="宋体" w:cs="宋体"/>
        </w:rPr>
        <w:t>我单位参与陕西卓佲项目管理有限公司组织的____________________(项目名称)，我单位郑重声明：我方</w:t>
      </w:r>
      <w:r>
        <w:rPr>
          <w:rFonts w:hint="eastAsia" w:ascii="宋体" w:hAnsi="宋体" w:cs="宋体"/>
          <w:b/>
          <w:bCs/>
        </w:rPr>
        <w:t>具有履行合同所必需的设备和专业技术能力</w:t>
      </w:r>
      <w:r>
        <w:rPr>
          <w:rFonts w:hint="eastAsia" w:ascii="宋体" w:hAnsi="宋体" w:cs="宋体"/>
        </w:rPr>
        <w:t>，符合《中华人民共和国政府采购法》规定的供应商资格条件，我方对此声明负全部法律责任。</w:t>
      </w:r>
    </w:p>
    <w:p>
      <w:pPr>
        <w:snapToGrid w:val="0"/>
        <w:spacing w:line="480" w:lineRule="auto"/>
        <w:ind w:firstLine="480" w:firstLineChars="200"/>
        <w:rPr>
          <w:rFonts w:ascii="宋体" w:hAnsi="宋体" w:cs="宋体"/>
        </w:rPr>
      </w:pPr>
      <w:r>
        <w:rPr>
          <w:rFonts w:hint="eastAsia" w:ascii="宋体" w:hAnsi="宋体" w:cs="宋体"/>
        </w:rPr>
        <w:t>特此声明。</w:t>
      </w:r>
    </w:p>
    <w:p>
      <w:pPr>
        <w:pStyle w:val="13"/>
        <w:spacing w:line="500" w:lineRule="exact"/>
        <w:rPr>
          <w:rFonts w:hAnsi="宋体" w:cs="宋体"/>
          <w:sz w:val="24"/>
        </w:rPr>
      </w:pPr>
    </w:p>
    <w:p>
      <w:pPr>
        <w:pStyle w:val="13"/>
        <w:spacing w:line="480" w:lineRule="auto"/>
        <w:rPr>
          <w:rFonts w:hAnsi="宋体" w:cs="宋体"/>
          <w:sz w:val="24"/>
        </w:rPr>
      </w:pPr>
    </w:p>
    <w:p>
      <w:pPr>
        <w:pStyle w:val="13"/>
        <w:spacing w:line="480" w:lineRule="auto"/>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3"/>
        <w:spacing w:line="480" w:lineRule="auto"/>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rPr>
      </w:pPr>
      <w:r>
        <w:rPr>
          <w:rFonts w:hint="eastAsia" w:ascii="宋体" w:hAnsi="宋体" w:cs="宋体"/>
        </w:rPr>
        <w:t>日    期：</w:t>
      </w:r>
      <w:r>
        <w:rPr>
          <w:rFonts w:hint="eastAsia" w:ascii="宋体" w:hAnsi="宋体" w:cs="宋体"/>
          <w:sz w:val="28"/>
          <w:szCs w:val="28"/>
        </w:rPr>
        <w:t>_</w:t>
      </w:r>
      <w:r>
        <w:rPr>
          <w:rFonts w:hint="eastAsia" w:asciiTheme="minorEastAsia" w:hAnsiTheme="minorEastAsia" w:cstheme="minorEastAsia"/>
        </w:rPr>
        <w:t>______年________月_______日</w:t>
      </w:r>
    </w:p>
    <w:p>
      <w:pPr>
        <w:spacing w:line="360" w:lineRule="auto"/>
        <w:rPr>
          <w:rFonts w:ascii="宋体" w:hAnsi="宋体" w:cs="宋体"/>
        </w:rPr>
        <w:sectPr>
          <w:pgSz w:w="11906" w:h="16838"/>
          <w:pgMar w:top="1440" w:right="1803" w:bottom="1440" w:left="1803" w:header="851" w:footer="992" w:gutter="0"/>
          <w:pgNumType w:fmt="decimal"/>
          <w:cols w:space="720" w:num="1"/>
          <w:docGrid w:type="lines" w:linePitch="319" w:charSpace="0"/>
        </w:sectPr>
      </w:pPr>
    </w:p>
    <w:p>
      <w:pPr>
        <w:spacing w:line="360" w:lineRule="auto"/>
        <w:ind w:firstLine="480" w:firstLineChars="200"/>
        <w:rPr>
          <w:rFonts w:ascii="宋体" w:hAnsi="宋体" w:cs="宋体"/>
        </w:rPr>
      </w:pPr>
      <w:r>
        <w:rPr>
          <w:rFonts w:hint="eastAsia" w:ascii="宋体" w:hAnsi="宋体" w:cs="宋体"/>
        </w:rPr>
        <w:t>4、社会保障资金缴纳证明：提供2022年1月以来至少一个月的社会保障资金缴存单据或社保机构开具的社会保险参保缴费情况证明。依法不需要缴纳社会保障资金的供应商应提供相关文件证明；</w:t>
      </w:r>
    </w:p>
    <w:p>
      <w:pPr>
        <w:spacing w:line="360" w:lineRule="auto"/>
        <w:ind w:firstLine="480" w:firstLineChars="200"/>
        <w:rPr>
          <w:rFonts w:ascii="宋体" w:hAnsi="宋体" w:cs="宋体"/>
        </w:rPr>
      </w:pPr>
      <w:r>
        <w:rPr>
          <w:rFonts w:hint="eastAsia" w:ascii="宋体" w:hAnsi="宋体" w:cs="宋体"/>
        </w:rPr>
        <w:t>5、税收缴纳证明：提供2022年1月以来至少一个月的纳税证明或完税证明，依法免税的单位应提供相关证明材料；</w:t>
      </w: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tabs>
          <w:tab w:val="left" w:pos="2850"/>
        </w:tabs>
        <w:rPr>
          <w:rFonts w:ascii="宋体" w:hAnsi="宋体" w:cs="宋体"/>
          <w:sz w:val="28"/>
          <w:szCs w:val="32"/>
        </w:rPr>
      </w:pPr>
      <w:r>
        <w:rPr>
          <w:rFonts w:hint="eastAsia" w:ascii="宋体" w:hAnsi="宋体" w:cs="宋体"/>
          <w:sz w:val="28"/>
          <w:szCs w:val="32"/>
        </w:rPr>
        <w:tab/>
      </w:r>
    </w:p>
    <w:p>
      <w:pPr>
        <w:pStyle w:val="12"/>
      </w:pPr>
    </w:p>
    <w:p>
      <w:pPr>
        <w:tabs>
          <w:tab w:val="left" w:pos="2235"/>
        </w:tabs>
        <w:rPr>
          <w:rFonts w:ascii="宋体" w:hAnsi="宋体" w:cs="宋体"/>
          <w:sz w:val="28"/>
          <w:szCs w:val="32"/>
        </w:rPr>
      </w:pPr>
      <w:r>
        <w:rPr>
          <w:rFonts w:hint="eastAsia" w:ascii="宋体" w:hAnsi="宋体" w:cs="宋体"/>
          <w:sz w:val="28"/>
          <w:szCs w:val="32"/>
        </w:rPr>
        <w:tab/>
      </w:r>
    </w:p>
    <w:p>
      <w:pPr>
        <w:pStyle w:val="12"/>
        <w:rPr>
          <w:rFonts w:ascii="宋体" w:hAnsi="宋体" w:cs="宋体"/>
          <w:sz w:val="28"/>
          <w:szCs w:val="32"/>
        </w:rPr>
      </w:pPr>
    </w:p>
    <w:p>
      <w:pPr>
        <w:pStyle w:val="13"/>
        <w:rPr>
          <w:rFonts w:hAnsi="宋体" w:cs="宋体"/>
          <w:sz w:val="28"/>
          <w:szCs w:val="32"/>
        </w:rPr>
      </w:pPr>
    </w:p>
    <w:p>
      <w:pPr>
        <w:pStyle w:val="13"/>
        <w:rPr>
          <w:rFonts w:hAnsi="宋体" w:cs="宋体"/>
          <w:sz w:val="28"/>
          <w:szCs w:val="32"/>
        </w:rPr>
      </w:pPr>
    </w:p>
    <w:p>
      <w:pPr>
        <w:pStyle w:val="13"/>
        <w:rPr>
          <w:rFonts w:hAnsi="宋体" w:cs="宋体"/>
          <w:sz w:val="28"/>
          <w:szCs w:val="32"/>
        </w:rPr>
      </w:pPr>
    </w:p>
    <w:p>
      <w:pPr>
        <w:pStyle w:val="13"/>
        <w:rPr>
          <w:rFonts w:hAnsi="宋体" w:cs="宋体"/>
          <w:sz w:val="28"/>
          <w:szCs w:val="32"/>
        </w:rPr>
      </w:pPr>
    </w:p>
    <w:p>
      <w:pPr>
        <w:pStyle w:val="13"/>
        <w:rPr>
          <w:rFonts w:hAnsi="宋体" w:cs="宋体"/>
          <w:sz w:val="28"/>
          <w:szCs w:val="32"/>
        </w:rPr>
      </w:pPr>
    </w:p>
    <w:p>
      <w:pPr>
        <w:jc w:val="center"/>
        <w:rPr>
          <w:rFonts w:ascii="宋体" w:hAnsi="宋体" w:cs="宋体"/>
          <w:sz w:val="28"/>
          <w:szCs w:val="32"/>
        </w:rPr>
      </w:pPr>
    </w:p>
    <w:p>
      <w:pPr>
        <w:keepNext/>
        <w:keepLines/>
        <w:spacing w:line="413" w:lineRule="auto"/>
        <w:jc w:val="center"/>
        <w:rPr>
          <w:rFonts w:ascii="宋体" w:hAnsi="宋体" w:cs="宋体"/>
          <w:sz w:val="32"/>
        </w:rPr>
      </w:pPr>
      <w:r>
        <w:rPr>
          <w:rFonts w:hint="eastAsia" w:ascii="宋体" w:hAnsi="宋体" w:cs="宋体"/>
          <w:sz w:val="32"/>
        </w:rPr>
        <w:t>6、无重大违法记录声明（格式）</w:t>
      </w:r>
    </w:p>
    <w:p>
      <w:pPr>
        <w:rPr>
          <w:rFonts w:ascii="宋体" w:hAnsi="宋体" w:cs="宋体"/>
        </w:rPr>
      </w:pPr>
    </w:p>
    <w:p>
      <w:pPr>
        <w:snapToGrid w:val="0"/>
        <w:spacing w:line="480" w:lineRule="auto"/>
        <w:rPr>
          <w:rFonts w:ascii="宋体" w:hAnsi="宋体" w:cs="宋体"/>
        </w:rPr>
      </w:pPr>
      <w:r>
        <w:rPr>
          <w:rFonts w:hint="eastAsia" w:ascii="宋体" w:hAnsi="宋体" w:cs="宋体"/>
        </w:rPr>
        <w:t>(采购人名称）_______________________：</w:t>
      </w:r>
    </w:p>
    <w:p>
      <w:pPr>
        <w:snapToGrid w:val="0"/>
        <w:spacing w:line="480" w:lineRule="auto"/>
        <w:ind w:firstLine="480" w:firstLineChars="200"/>
        <w:rPr>
          <w:rFonts w:ascii="宋体" w:hAnsi="宋体" w:cs="宋体"/>
        </w:rPr>
      </w:pPr>
      <w:r>
        <w:rPr>
          <w:rFonts w:hint="eastAsia" w:ascii="宋体" w:hAnsi="宋体" w:cs="宋体"/>
        </w:rPr>
        <w:t>我单位参与陕西卓佲项目管理有限公司组织的______________________(项目名称)公开招标，我单位郑重声明：我方参加本项目公开招标工作前三年内无重大违法活动记录，符合《中华人民共和国政府采购法》规定的供应商资格条件，我方对此声明负全部法律责任。</w:t>
      </w:r>
    </w:p>
    <w:p>
      <w:pPr>
        <w:snapToGrid w:val="0"/>
        <w:spacing w:line="480" w:lineRule="auto"/>
        <w:ind w:firstLine="480" w:firstLineChars="200"/>
        <w:rPr>
          <w:rFonts w:ascii="宋体" w:hAnsi="宋体" w:cs="宋体"/>
        </w:rPr>
      </w:pPr>
      <w:r>
        <w:rPr>
          <w:rFonts w:hint="eastAsia" w:ascii="宋体" w:hAnsi="宋体" w:cs="宋体"/>
        </w:rPr>
        <w:t>特此声明。</w:t>
      </w:r>
    </w:p>
    <w:p>
      <w:pPr>
        <w:pStyle w:val="13"/>
        <w:spacing w:line="500" w:lineRule="exact"/>
        <w:rPr>
          <w:rFonts w:hAnsi="宋体" w:cs="宋体"/>
          <w:sz w:val="24"/>
        </w:rPr>
      </w:pPr>
    </w:p>
    <w:p>
      <w:pPr>
        <w:pStyle w:val="13"/>
        <w:spacing w:line="480" w:lineRule="auto"/>
        <w:rPr>
          <w:rFonts w:hAnsi="宋体" w:cs="宋体"/>
          <w:sz w:val="24"/>
        </w:rPr>
      </w:pPr>
    </w:p>
    <w:p>
      <w:pPr>
        <w:pStyle w:val="13"/>
        <w:spacing w:line="480" w:lineRule="auto"/>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3"/>
        <w:spacing w:line="480" w:lineRule="auto"/>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rPr>
      </w:pPr>
      <w:r>
        <w:rPr>
          <w:rFonts w:hint="eastAsia" w:ascii="宋体" w:hAnsi="宋体" w:cs="宋体"/>
        </w:rPr>
        <w:t>日    期：</w:t>
      </w:r>
      <w:r>
        <w:rPr>
          <w:rFonts w:hint="eastAsia" w:asciiTheme="minorEastAsia" w:hAnsiTheme="minorEastAsia" w:cstheme="minorEastAsia"/>
        </w:rPr>
        <w:t>______年________月_______日</w:t>
      </w:r>
    </w:p>
    <w:p>
      <w:pPr>
        <w:adjustRightInd w:val="0"/>
        <w:snapToGrid w:val="0"/>
        <w:spacing w:line="480" w:lineRule="auto"/>
        <w:rPr>
          <w:rFonts w:ascii="宋体" w:hAnsi="宋体" w:cs="宋体"/>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r>
        <w:rPr>
          <w:rFonts w:hint="eastAsia" w:ascii="宋体" w:hAnsi="宋体" w:cs="宋体"/>
          <w:sz w:val="28"/>
          <w:szCs w:val="32"/>
        </w:rPr>
        <w:t>7-1法定代表人证明书（格式）</w:t>
      </w:r>
    </w:p>
    <w:tbl>
      <w:tblPr>
        <w:tblStyle w:val="36"/>
        <w:tblW w:w="9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410" w:type="dxa"/>
            <w:gridSpan w:val="6"/>
            <w:vAlign w:val="center"/>
          </w:tcPr>
          <w:p>
            <w:pPr>
              <w:tabs>
                <w:tab w:val="left" w:pos="210"/>
              </w:tabs>
              <w:spacing w:line="360" w:lineRule="auto"/>
              <w:rPr>
                <w:rFonts w:ascii="宋体" w:hAnsi="宋体" w:cs="宋体"/>
              </w:rPr>
            </w:pPr>
            <w:r>
              <w:rPr>
                <w:rFonts w:hint="eastAsia" w:ascii="宋体" w:hAnsi="宋体" w:cs="宋体"/>
              </w:rPr>
              <w:t>致：陕西卓佲项目管理有限公司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rPr>
            </w:pPr>
            <w:r>
              <w:rPr>
                <w:rFonts w:hint="eastAsia" w:ascii="宋体" w:hAnsi="宋体" w:cs="宋体"/>
              </w:rPr>
              <w:t>企</w:t>
            </w:r>
          </w:p>
          <w:p>
            <w:pPr>
              <w:tabs>
                <w:tab w:val="left" w:pos="210"/>
              </w:tabs>
              <w:spacing w:line="360" w:lineRule="auto"/>
              <w:jc w:val="center"/>
              <w:rPr>
                <w:rFonts w:ascii="宋体" w:hAnsi="宋体" w:cs="宋体"/>
              </w:rPr>
            </w:pPr>
            <w:r>
              <w:rPr>
                <w:rFonts w:hint="eastAsia" w:ascii="宋体" w:hAnsi="宋体" w:cs="宋体"/>
              </w:rPr>
              <w:t>业</w:t>
            </w:r>
          </w:p>
          <w:p>
            <w:pPr>
              <w:tabs>
                <w:tab w:val="left" w:pos="210"/>
              </w:tabs>
              <w:spacing w:line="360" w:lineRule="auto"/>
              <w:jc w:val="center"/>
              <w:rPr>
                <w:rFonts w:ascii="宋体" w:hAnsi="宋体" w:cs="宋体"/>
              </w:rPr>
            </w:pPr>
            <w:r>
              <w:rPr>
                <w:rFonts w:hint="eastAsia" w:ascii="宋体" w:hAnsi="宋体" w:cs="宋体"/>
              </w:rPr>
              <w:t>法</w:t>
            </w:r>
          </w:p>
          <w:p>
            <w:pPr>
              <w:tabs>
                <w:tab w:val="left" w:pos="210"/>
              </w:tabs>
              <w:spacing w:line="360" w:lineRule="auto"/>
              <w:jc w:val="center"/>
              <w:rPr>
                <w:rFonts w:ascii="宋体" w:hAnsi="宋体" w:cs="宋体"/>
              </w:rPr>
            </w:pPr>
            <w:r>
              <w:rPr>
                <w:rFonts w:hint="eastAsia" w:ascii="宋体" w:hAnsi="宋体" w:cs="宋体"/>
              </w:rPr>
              <w:t>人</w:t>
            </w:r>
          </w:p>
        </w:tc>
        <w:tc>
          <w:tcPr>
            <w:tcW w:w="2160" w:type="dxa"/>
            <w:vAlign w:val="center"/>
          </w:tcPr>
          <w:p>
            <w:pPr>
              <w:tabs>
                <w:tab w:val="left" w:pos="210"/>
              </w:tabs>
              <w:spacing w:line="360" w:lineRule="auto"/>
              <w:rPr>
                <w:rFonts w:ascii="宋体" w:hAnsi="宋体" w:cs="宋体"/>
              </w:rPr>
            </w:pPr>
            <w:r>
              <w:rPr>
                <w:rFonts w:hint="eastAsia" w:ascii="宋体" w:hAnsi="宋体" w:cs="宋体"/>
              </w:rPr>
              <w:t>企业名称</w:t>
            </w:r>
          </w:p>
        </w:tc>
        <w:tc>
          <w:tcPr>
            <w:tcW w:w="6656" w:type="dxa"/>
            <w:gridSpan w:val="4"/>
            <w:vAlign w:val="center"/>
          </w:tcPr>
          <w:p>
            <w:pPr>
              <w:tabs>
                <w:tab w:val="left" w:pos="210"/>
              </w:tabs>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80" w:firstLineChars="200"/>
              <w:jc w:val="center"/>
              <w:rPr>
                <w:rFonts w:ascii="宋体" w:hAnsi="宋体" w:cs="宋体"/>
              </w:rPr>
            </w:pPr>
          </w:p>
        </w:tc>
        <w:tc>
          <w:tcPr>
            <w:tcW w:w="2160" w:type="dxa"/>
            <w:vAlign w:val="center"/>
          </w:tcPr>
          <w:p>
            <w:pPr>
              <w:tabs>
                <w:tab w:val="left" w:pos="210"/>
              </w:tabs>
              <w:spacing w:line="360" w:lineRule="auto"/>
              <w:rPr>
                <w:rFonts w:ascii="宋体" w:hAnsi="宋体" w:cs="宋体"/>
              </w:rPr>
            </w:pPr>
            <w:r>
              <w:rPr>
                <w:rFonts w:hint="eastAsia" w:ascii="宋体" w:hAnsi="宋体" w:cs="宋体"/>
              </w:rPr>
              <w:t>法定地址</w:t>
            </w:r>
          </w:p>
        </w:tc>
        <w:tc>
          <w:tcPr>
            <w:tcW w:w="6656" w:type="dxa"/>
            <w:gridSpan w:val="4"/>
            <w:vAlign w:val="center"/>
          </w:tcPr>
          <w:p>
            <w:pPr>
              <w:tabs>
                <w:tab w:val="left" w:pos="210"/>
              </w:tabs>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80" w:firstLineChars="200"/>
              <w:jc w:val="center"/>
              <w:rPr>
                <w:rFonts w:ascii="宋体" w:hAnsi="宋体" w:cs="宋体"/>
              </w:rPr>
            </w:pPr>
          </w:p>
        </w:tc>
        <w:tc>
          <w:tcPr>
            <w:tcW w:w="2160" w:type="dxa"/>
            <w:vAlign w:val="center"/>
          </w:tcPr>
          <w:p>
            <w:pPr>
              <w:tabs>
                <w:tab w:val="left" w:pos="210"/>
              </w:tabs>
              <w:spacing w:line="360" w:lineRule="auto"/>
              <w:rPr>
                <w:rFonts w:ascii="宋体" w:hAnsi="宋体" w:cs="宋体"/>
              </w:rPr>
            </w:pPr>
            <w:r>
              <w:rPr>
                <w:rFonts w:hint="eastAsia" w:ascii="宋体" w:hAnsi="宋体" w:cs="宋体"/>
              </w:rPr>
              <w:t>邮政编码</w:t>
            </w:r>
          </w:p>
        </w:tc>
        <w:tc>
          <w:tcPr>
            <w:tcW w:w="6656" w:type="dxa"/>
            <w:gridSpan w:val="4"/>
            <w:vAlign w:val="center"/>
          </w:tcPr>
          <w:p>
            <w:pPr>
              <w:tabs>
                <w:tab w:val="left" w:pos="210"/>
              </w:tabs>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80" w:firstLineChars="200"/>
              <w:jc w:val="center"/>
              <w:rPr>
                <w:rFonts w:ascii="宋体" w:hAnsi="宋体" w:cs="宋体"/>
              </w:rPr>
            </w:pPr>
          </w:p>
        </w:tc>
        <w:tc>
          <w:tcPr>
            <w:tcW w:w="2160" w:type="dxa"/>
            <w:vAlign w:val="center"/>
          </w:tcPr>
          <w:p>
            <w:pPr>
              <w:tabs>
                <w:tab w:val="left" w:pos="210"/>
              </w:tabs>
              <w:spacing w:line="360" w:lineRule="auto"/>
              <w:rPr>
                <w:rFonts w:ascii="宋体" w:hAnsi="宋体" w:cs="宋体"/>
              </w:rPr>
            </w:pPr>
            <w:r>
              <w:rPr>
                <w:rFonts w:hint="eastAsia" w:ascii="宋体" w:hAnsi="宋体" w:cs="宋体"/>
              </w:rPr>
              <w:t>工商登记机关</w:t>
            </w:r>
          </w:p>
        </w:tc>
        <w:tc>
          <w:tcPr>
            <w:tcW w:w="6656" w:type="dxa"/>
            <w:gridSpan w:val="4"/>
            <w:vAlign w:val="center"/>
          </w:tcPr>
          <w:p>
            <w:pPr>
              <w:tabs>
                <w:tab w:val="left" w:pos="210"/>
              </w:tabs>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80" w:firstLineChars="200"/>
              <w:jc w:val="center"/>
              <w:rPr>
                <w:rFonts w:ascii="宋体" w:hAnsi="宋体" w:cs="宋体"/>
              </w:rPr>
            </w:pPr>
          </w:p>
        </w:tc>
        <w:tc>
          <w:tcPr>
            <w:tcW w:w="2160" w:type="dxa"/>
            <w:vAlign w:val="center"/>
          </w:tcPr>
          <w:p>
            <w:pPr>
              <w:tabs>
                <w:tab w:val="left" w:pos="210"/>
              </w:tabs>
              <w:spacing w:line="360" w:lineRule="auto"/>
              <w:rPr>
                <w:rFonts w:ascii="宋体" w:hAnsi="宋体" w:cs="宋体"/>
              </w:rPr>
            </w:pPr>
            <w:r>
              <w:rPr>
                <w:rFonts w:hint="eastAsia" w:ascii="宋体" w:hAnsi="宋体" w:cs="宋体"/>
              </w:rPr>
              <w:t>统一社会信用代码</w:t>
            </w:r>
          </w:p>
        </w:tc>
        <w:tc>
          <w:tcPr>
            <w:tcW w:w="6656" w:type="dxa"/>
            <w:gridSpan w:val="4"/>
            <w:vAlign w:val="center"/>
          </w:tcPr>
          <w:p>
            <w:pPr>
              <w:tabs>
                <w:tab w:val="left" w:pos="210"/>
              </w:tabs>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rPr>
            </w:pPr>
            <w:r>
              <w:rPr>
                <w:rFonts w:hint="eastAsia" w:ascii="宋体" w:hAnsi="宋体" w:cs="宋体"/>
              </w:rPr>
              <w:t>法</w:t>
            </w:r>
          </w:p>
          <w:p>
            <w:pPr>
              <w:tabs>
                <w:tab w:val="left" w:pos="210"/>
              </w:tabs>
              <w:spacing w:line="360" w:lineRule="auto"/>
              <w:jc w:val="center"/>
              <w:rPr>
                <w:rFonts w:ascii="宋体" w:hAnsi="宋体" w:cs="宋体"/>
              </w:rPr>
            </w:pPr>
            <w:r>
              <w:rPr>
                <w:rFonts w:hint="eastAsia" w:ascii="宋体" w:hAnsi="宋体" w:cs="宋体"/>
              </w:rPr>
              <w:t>定</w:t>
            </w:r>
          </w:p>
          <w:p>
            <w:pPr>
              <w:tabs>
                <w:tab w:val="left" w:pos="210"/>
              </w:tabs>
              <w:spacing w:line="360" w:lineRule="auto"/>
              <w:jc w:val="center"/>
              <w:rPr>
                <w:rFonts w:ascii="宋体" w:hAnsi="宋体" w:cs="宋体"/>
              </w:rPr>
            </w:pPr>
            <w:r>
              <w:rPr>
                <w:rFonts w:hint="eastAsia" w:ascii="宋体" w:hAnsi="宋体" w:cs="宋体"/>
              </w:rPr>
              <w:t>代</w:t>
            </w:r>
          </w:p>
          <w:p>
            <w:pPr>
              <w:tabs>
                <w:tab w:val="left" w:pos="210"/>
              </w:tabs>
              <w:spacing w:line="360" w:lineRule="auto"/>
              <w:jc w:val="center"/>
              <w:rPr>
                <w:rFonts w:ascii="宋体" w:hAnsi="宋体" w:cs="宋体"/>
              </w:rPr>
            </w:pPr>
            <w:r>
              <w:rPr>
                <w:rFonts w:hint="eastAsia" w:ascii="宋体" w:hAnsi="宋体" w:cs="宋体"/>
              </w:rPr>
              <w:t>表</w:t>
            </w:r>
          </w:p>
          <w:p>
            <w:pPr>
              <w:tabs>
                <w:tab w:val="left" w:pos="210"/>
              </w:tabs>
              <w:spacing w:line="360" w:lineRule="auto"/>
              <w:jc w:val="center"/>
              <w:rPr>
                <w:rFonts w:ascii="宋体" w:hAnsi="宋体" w:cs="宋体"/>
              </w:rPr>
            </w:pPr>
            <w:r>
              <w:rPr>
                <w:rFonts w:hint="eastAsia" w:ascii="宋体" w:hAnsi="宋体" w:cs="宋体"/>
              </w:rPr>
              <w:t>人</w:t>
            </w:r>
          </w:p>
        </w:tc>
        <w:tc>
          <w:tcPr>
            <w:tcW w:w="2160" w:type="dxa"/>
            <w:vAlign w:val="center"/>
          </w:tcPr>
          <w:p>
            <w:pPr>
              <w:tabs>
                <w:tab w:val="left" w:pos="210"/>
              </w:tabs>
              <w:spacing w:line="360" w:lineRule="auto"/>
              <w:rPr>
                <w:rFonts w:ascii="宋体" w:hAnsi="宋体" w:cs="宋体"/>
              </w:rPr>
            </w:pPr>
            <w:r>
              <w:rPr>
                <w:rFonts w:hint="eastAsia" w:ascii="宋体" w:hAnsi="宋体" w:cs="宋体"/>
              </w:rPr>
              <w:t>姓名</w:t>
            </w:r>
          </w:p>
        </w:tc>
        <w:tc>
          <w:tcPr>
            <w:tcW w:w="2340" w:type="dxa"/>
            <w:gridSpan w:val="2"/>
            <w:vAlign w:val="center"/>
          </w:tcPr>
          <w:p>
            <w:pPr>
              <w:tabs>
                <w:tab w:val="left" w:pos="210"/>
              </w:tabs>
              <w:spacing w:line="360" w:lineRule="auto"/>
              <w:ind w:firstLine="480" w:firstLineChars="200"/>
              <w:rPr>
                <w:rFonts w:ascii="宋体" w:hAnsi="宋体" w:cs="宋体"/>
              </w:rPr>
            </w:pPr>
          </w:p>
        </w:tc>
        <w:tc>
          <w:tcPr>
            <w:tcW w:w="2156" w:type="dxa"/>
            <w:vAlign w:val="center"/>
          </w:tcPr>
          <w:p>
            <w:pPr>
              <w:tabs>
                <w:tab w:val="left" w:pos="210"/>
              </w:tabs>
              <w:spacing w:line="360" w:lineRule="auto"/>
              <w:ind w:firstLine="480" w:firstLineChars="200"/>
              <w:rPr>
                <w:rFonts w:ascii="宋体" w:hAnsi="宋体" w:cs="宋体"/>
              </w:rPr>
            </w:pPr>
            <w:r>
              <w:rPr>
                <w:rFonts w:hint="eastAsia" w:ascii="宋体" w:hAnsi="宋体" w:cs="宋体"/>
              </w:rPr>
              <w:t>性别</w:t>
            </w:r>
          </w:p>
        </w:tc>
        <w:tc>
          <w:tcPr>
            <w:tcW w:w="2160" w:type="dxa"/>
            <w:vAlign w:val="center"/>
          </w:tcPr>
          <w:p>
            <w:pPr>
              <w:tabs>
                <w:tab w:val="left" w:pos="210"/>
              </w:tabs>
              <w:spacing w:line="360" w:lineRule="auto"/>
              <w:ind w:firstLine="480" w:firstLineChars="20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80" w:firstLineChars="200"/>
              <w:jc w:val="center"/>
              <w:rPr>
                <w:rFonts w:ascii="宋体" w:hAnsi="宋体" w:cs="宋体"/>
              </w:rPr>
            </w:pPr>
          </w:p>
        </w:tc>
        <w:tc>
          <w:tcPr>
            <w:tcW w:w="2160" w:type="dxa"/>
            <w:vAlign w:val="center"/>
          </w:tcPr>
          <w:p>
            <w:pPr>
              <w:tabs>
                <w:tab w:val="left" w:pos="210"/>
              </w:tabs>
              <w:spacing w:line="360" w:lineRule="auto"/>
              <w:rPr>
                <w:rFonts w:ascii="宋体" w:hAnsi="宋体" w:cs="宋体"/>
              </w:rPr>
            </w:pPr>
            <w:r>
              <w:rPr>
                <w:rFonts w:hint="eastAsia" w:ascii="宋体" w:hAnsi="宋体" w:cs="宋体"/>
              </w:rPr>
              <w:t>职务</w:t>
            </w:r>
          </w:p>
        </w:tc>
        <w:tc>
          <w:tcPr>
            <w:tcW w:w="2340" w:type="dxa"/>
            <w:gridSpan w:val="2"/>
            <w:vAlign w:val="center"/>
          </w:tcPr>
          <w:p>
            <w:pPr>
              <w:tabs>
                <w:tab w:val="left" w:pos="210"/>
              </w:tabs>
              <w:spacing w:line="360" w:lineRule="auto"/>
              <w:rPr>
                <w:rFonts w:ascii="宋体" w:hAnsi="宋体" w:cs="宋体"/>
              </w:rPr>
            </w:pPr>
          </w:p>
        </w:tc>
        <w:tc>
          <w:tcPr>
            <w:tcW w:w="2156" w:type="dxa"/>
            <w:vAlign w:val="center"/>
          </w:tcPr>
          <w:p>
            <w:pPr>
              <w:tabs>
                <w:tab w:val="left" w:pos="210"/>
              </w:tabs>
              <w:spacing w:line="360" w:lineRule="auto"/>
              <w:ind w:firstLine="480" w:firstLineChars="200"/>
              <w:rPr>
                <w:rFonts w:ascii="宋体" w:hAnsi="宋体" w:cs="宋体"/>
              </w:rPr>
            </w:pPr>
            <w:r>
              <w:rPr>
                <w:rFonts w:hint="eastAsia" w:ascii="宋体" w:hAnsi="宋体" w:cs="宋体"/>
              </w:rPr>
              <w:t>联系电话</w:t>
            </w:r>
          </w:p>
        </w:tc>
        <w:tc>
          <w:tcPr>
            <w:tcW w:w="2160" w:type="dxa"/>
            <w:vAlign w:val="center"/>
          </w:tcPr>
          <w:p>
            <w:pPr>
              <w:tabs>
                <w:tab w:val="left" w:pos="210"/>
              </w:tabs>
              <w:spacing w:line="360" w:lineRule="auto"/>
              <w:ind w:firstLine="480" w:firstLineChars="20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594" w:type="dxa"/>
            <w:vMerge w:val="continue"/>
            <w:vAlign w:val="center"/>
          </w:tcPr>
          <w:p>
            <w:pPr>
              <w:tabs>
                <w:tab w:val="left" w:pos="210"/>
              </w:tabs>
              <w:spacing w:line="360" w:lineRule="auto"/>
              <w:ind w:firstLine="480" w:firstLineChars="200"/>
              <w:jc w:val="center"/>
              <w:rPr>
                <w:rFonts w:ascii="宋体" w:hAnsi="宋体" w:cs="宋体"/>
              </w:rPr>
            </w:pPr>
          </w:p>
        </w:tc>
        <w:tc>
          <w:tcPr>
            <w:tcW w:w="2160" w:type="dxa"/>
            <w:vAlign w:val="center"/>
          </w:tcPr>
          <w:p>
            <w:pPr>
              <w:tabs>
                <w:tab w:val="left" w:pos="210"/>
              </w:tabs>
              <w:spacing w:line="360" w:lineRule="auto"/>
              <w:rPr>
                <w:rFonts w:ascii="宋体" w:hAnsi="宋体" w:cs="宋体"/>
              </w:rPr>
            </w:pPr>
            <w:r>
              <w:rPr>
                <w:rFonts w:hint="eastAsia" w:ascii="宋体" w:hAnsi="宋体" w:cs="宋体"/>
              </w:rPr>
              <w:t>传真</w:t>
            </w:r>
          </w:p>
        </w:tc>
        <w:tc>
          <w:tcPr>
            <w:tcW w:w="6656" w:type="dxa"/>
            <w:gridSpan w:val="4"/>
            <w:vAlign w:val="center"/>
          </w:tcPr>
          <w:p>
            <w:pPr>
              <w:tabs>
                <w:tab w:val="left" w:pos="210"/>
              </w:tabs>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594" w:type="dxa"/>
            <w:vMerge w:val="restart"/>
            <w:vAlign w:val="center"/>
          </w:tcPr>
          <w:p>
            <w:pPr>
              <w:tabs>
                <w:tab w:val="left" w:pos="210"/>
              </w:tabs>
              <w:spacing w:line="360" w:lineRule="auto"/>
              <w:jc w:val="center"/>
              <w:rPr>
                <w:rFonts w:ascii="宋体" w:hAnsi="宋体" w:cs="宋体"/>
              </w:rPr>
            </w:pPr>
            <w:r>
              <w:rPr>
                <w:rFonts w:hint="eastAsia" w:ascii="宋体" w:hAnsi="宋体" w:cs="宋体"/>
              </w:rPr>
              <w:t>法</w:t>
            </w:r>
          </w:p>
          <w:p>
            <w:pPr>
              <w:tabs>
                <w:tab w:val="left" w:pos="210"/>
              </w:tabs>
              <w:spacing w:line="360" w:lineRule="auto"/>
              <w:jc w:val="center"/>
              <w:rPr>
                <w:rFonts w:ascii="宋体" w:hAnsi="宋体" w:cs="宋体"/>
              </w:rPr>
            </w:pPr>
            <w:r>
              <w:rPr>
                <w:rFonts w:hint="eastAsia" w:ascii="宋体" w:hAnsi="宋体" w:cs="宋体"/>
              </w:rPr>
              <w:t>定</w:t>
            </w:r>
          </w:p>
          <w:p>
            <w:pPr>
              <w:tabs>
                <w:tab w:val="left" w:pos="210"/>
              </w:tabs>
              <w:spacing w:line="360" w:lineRule="auto"/>
              <w:jc w:val="center"/>
              <w:rPr>
                <w:rFonts w:ascii="宋体" w:hAnsi="宋体" w:cs="宋体"/>
              </w:rPr>
            </w:pPr>
            <w:r>
              <w:rPr>
                <w:rFonts w:hint="eastAsia" w:ascii="宋体" w:hAnsi="宋体" w:cs="宋体"/>
              </w:rPr>
              <w:t>代</w:t>
            </w:r>
          </w:p>
          <w:p>
            <w:pPr>
              <w:tabs>
                <w:tab w:val="left" w:pos="210"/>
              </w:tabs>
              <w:spacing w:line="360" w:lineRule="auto"/>
              <w:jc w:val="center"/>
              <w:rPr>
                <w:rFonts w:ascii="宋体" w:hAnsi="宋体" w:cs="宋体"/>
              </w:rPr>
            </w:pPr>
            <w:r>
              <w:rPr>
                <w:rFonts w:hint="eastAsia" w:ascii="宋体" w:hAnsi="宋体" w:cs="宋体"/>
              </w:rPr>
              <w:t>表</w:t>
            </w:r>
          </w:p>
          <w:p>
            <w:pPr>
              <w:tabs>
                <w:tab w:val="left" w:pos="210"/>
              </w:tabs>
              <w:spacing w:line="360" w:lineRule="auto"/>
              <w:jc w:val="center"/>
              <w:rPr>
                <w:rFonts w:ascii="宋体" w:hAnsi="宋体" w:cs="宋体"/>
              </w:rPr>
            </w:pPr>
            <w:r>
              <w:rPr>
                <w:rFonts w:hint="eastAsia" w:ascii="宋体" w:hAnsi="宋体" w:cs="宋体"/>
              </w:rPr>
              <w:t>人</w:t>
            </w:r>
          </w:p>
          <w:p>
            <w:pPr>
              <w:tabs>
                <w:tab w:val="left" w:pos="210"/>
              </w:tabs>
              <w:spacing w:line="360" w:lineRule="auto"/>
              <w:jc w:val="center"/>
              <w:rPr>
                <w:rFonts w:ascii="宋体" w:hAnsi="宋体" w:cs="宋体"/>
              </w:rPr>
            </w:pPr>
            <w:r>
              <w:rPr>
                <w:rFonts w:hint="eastAsia" w:ascii="宋体" w:hAnsi="宋体" w:cs="宋体"/>
              </w:rPr>
              <w:t>身</w:t>
            </w:r>
          </w:p>
          <w:p>
            <w:pPr>
              <w:tabs>
                <w:tab w:val="left" w:pos="210"/>
              </w:tabs>
              <w:spacing w:line="360" w:lineRule="auto"/>
              <w:jc w:val="center"/>
              <w:rPr>
                <w:rFonts w:ascii="宋体" w:hAnsi="宋体" w:cs="宋体"/>
              </w:rPr>
            </w:pPr>
            <w:r>
              <w:rPr>
                <w:rFonts w:hint="eastAsia" w:ascii="宋体" w:hAnsi="宋体" w:cs="宋体"/>
              </w:rPr>
              <w:t>份</w:t>
            </w:r>
          </w:p>
          <w:p>
            <w:pPr>
              <w:tabs>
                <w:tab w:val="left" w:pos="210"/>
              </w:tabs>
              <w:spacing w:line="360" w:lineRule="auto"/>
              <w:jc w:val="center"/>
              <w:rPr>
                <w:rFonts w:ascii="宋体" w:hAnsi="宋体" w:cs="宋体"/>
              </w:rPr>
            </w:pPr>
            <w:r>
              <w:rPr>
                <w:rFonts w:hint="eastAsia" w:ascii="宋体" w:hAnsi="宋体" w:cs="宋体"/>
              </w:rPr>
              <w:t>证</w:t>
            </w:r>
          </w:p>
          <w:p>
            <w:pPr>
              <w:tabs>
                <w:tab w:val="left" w:pos="210"/>
              </w:tabs>
              <w:spacing w:line="360" w:lineRule="auto"/>
              <w:jc w:val="center"/>
              <w:rPr>
                <w:rFonts w:ascii="宋体" w:hAnsi="宋体" w:cs="宋体"/>
              </w:rPr>
            </w:pPr>
            <w:r>
              <w:rPr>
                <w:rFonts w:hint="eastAsia" w:ascii="宋体" w:hAnsi="宋体" w:cs="宋体"/>
              </w:rPr>
              <w:t>复</w:t>
            </w:r>
          </w:p>
          <w:p>
            <w:pPr>
              <w:tabs>
                <w:tab w:val="left" w:pos="210"/>
              </w:tabs>
              <w:spacing w:line="360" w:lineRule="auto"/>
              <w:jc w:val="center"/>
              <w:rPr>
                <w:rFonts w:ascii="宋体" w:hAnsi="宋体" w:cs="宋体"/>
              </w:rPr>
            </w:pPr>
            <w:r>
              <w:rPr>
                <w:rFonts w:hint="eastAsia" w:ascii="宋体" w:hAnsi="宋体" w:cs="宋体"/>
              </w:rPr>
              <w:t>印</w:t>
            </w:r>
          </w:p>
          <w:p>
            <w:pPr>
              <w:tabs>
                <w:tab w:val="left" w:pos="210"/>
              </w:tabs>
              <w:spacing w:line="360" w:lineRule="auto"/>
              <w:jc w:val="center"/>
              <w:rPr>
                <w:rFonts w:ascii="宋体" w:hAnsi="宋体" w:cs="宋体"/>
              </w:rPr>
            </w:pPr>
            <w:r>
              <w:rPr>
                <w:rFonts w:hint="eastAsia" w:ascii="宋体" w:hAnsi="宋体" w:cs="宋体"/>
              </w:rPr>
              <w:t>件</w:t>
            </w:r>
          </w:p>
        </w:tc>
        <w:tc>
          <w:tcPr>
            <w:tcW w:w="4316" w:type="dxa"/>
            <w:gridSpan w:val="2"/>
            <w:vMerge w:val="restart"/>
            <w:vAlign w:val="center"/>
          </w:tcPr>
          <w:p>
            <w:pPr>
              <w:tabs>
                <w:tab w:val="left" w:pos="210"/>
              </w:tabs>
              <w:spacing w:line="360" w:lineRule="auto"/>
              <w:ind w:firstLine="480" w:firstLineChars="200"/>
              <w:rPr>
                <w:rFonts w:ascii="宋体" w:hAnsi="宋体" w:cs="宋体"/>
              </w:rPr>
            </w:pPr>
            <w:r>
              <w:rPr>
                <w:rFonts w:hint="eastAsia" w:ascii="宋体" w:hAnsi="宋体" w:cs="宋体"/>
              </w:rPr>
              <w:t>（正反面）</w:t>
            </w:r>
          </w:p>
        </w:tc>
        <w:tc>
          <w:tcPr>
            <w:tcW w:w="4500" w:type="dxa"/>
            <w:gridSpan w:val="3"/>
            <w:vAlign w:val="center"/>
          </w:tcPr>
          <w:p>
            <w:pPr>
              <w:tabs>
                <w:tab w:val="left" w:pos="210"/>
              </w:tabs>
              <w:spacing w:line="360" w:lineRule="auto"/>
              <w:ind w:firstLine="480" w:firstLineChars="200"/>
              <w:rPr>
                <w:rFonts w:ascii="宋体" w:hAnsi="宋体" w:cs="宋体"/>
              </w:rPr>
            </w:pPr>
            <w:r>
              <w:rPr>
                <w:rFonts w:hint="eastAsia" w:ascii="宋体" w:hAnsi="宋体" w:cs="宋体"/>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94" w:type="dxa"/>
            <w:vMerge w:val="continue"/>
            <w:vAlign w:val="center"/>
          </w:tcPr>
          <w:p>
            <w:pPr>
              <w:tabs>
                <w:tab w:val="left" w:pos="210"/>
              </w:tabs>
              <w:spacing w:line="360" w:lineRule="auto"/>
              <w:ind w:firstLine="480" w:firstLineChars="200"/>
              <w:rPr>
                <w:rFonts w:ascii="宋体" w:hAnsi="宋体" w:cs="宋体"/>
              </w:rPr>
            </w:pPr>
          </w:p>
        </w:tc>
        <w:tc>
          <w:tcPr>
            <w:tcW w:w="4316" w:type="dxa"/>
            <w:gridSpan w:val="2"/>
            <w:vMerge w:val="continue"/>
            <w:vAlign w:val="center"/>
          </w:tcPr>
          <w:p>
            <w:pPr>
              <w:tabs>
                <w:tab w:val="left" w:pos="210"/>
              </w:tabs>
              <w:spacing w:line="360" w:lineRule="auto"/>
              <w:ind w:firstLine="480" w:firstLineChars="200"/>
              <w:rPr>
                <w:rFonts w:ascii="宋体" w:hAnsi="宋体" w:cs="宋体"/>
              </w:rPr>
            </w:pPr>
          </w:p>
        </w:tc>
        <w:tc>
          <w:tcPr>
            <w:tcW w:w="4500" w:type="dxa"/>
            <w:gridSpan w:val="3"/>
            <w:vAlign w:val="bottom"/>
          </w:tcPr>
          <w:p>
            <w:pPr>
              <w:tabs>
                <w:tab w:val="left" w:pos="210"/>
              </w:tabs>
              <w:spacing w:line="360" w:lineRule="auto"/>
              <w:ind w:firstLine="480" w:firstLineChars="200"/>
              <w:rPr>
                <w:rFonts w:ascii="宋体" w:hAnsi="宋体" w:cs="宋体"/>
              </w:rPr>
            </w:pPr>
            <w:r>
              <w:rPr>
                <w:rFonts w:hint="eastAsia" w:ascii="宋体" w:hAnsi="宋体" w:cs="宋体"/>
              </w:rPr>
              <w:t>（公章）</w:t>
            </w:r>
          </w:p>
          <w:p>
            <w:pPr>
              <w:tabs>
                <w:tab w:val="left" w:pos="210"/>
              </w:tabs>
              <w:spacing w:line="360" w:lineRule="auto"/>
              <w:rPr>
                <w:rFonts w:ascii="宋体" w:hAnsi="宋体" w:cs="宋体"/>
              </w:rPr>
            </w:pPr>
          </w:p>
          <w:p>
            <w:pPr>
              <w:tabs>
                <w:tab w:val="left" w:pos="210"/>
              </w:tabs>
              <w:spacing w:line="360" w:lineRule="auto"/>
              <w:rPr>
                <w:rFonts w:ascii="宋体" w:hAnsi="宋体" w:cs="宋体"/>
              </w:rPr>
            </w:pPr>
          </w:p>
          <w:p>
            <w:pPr>
              <w:tabs>
                <w:tab w:val="left" w:pos="210"/>
              </w:tabs>
              <w:spacing w:line="360" w:lineRule="auto"/>
              <w:rPr>
                <w:rFonts w:ascii="宋体" w:hAnsi="宋体" w:cs="宋体"/>
              </w:rPr>
            </w:pPr>
          </w:p>
          <w:p>
            <w:pPr>
              <w:adjustRightInd w:val="0"/>
              <w:snapToGrid w:val="0"/>
              <w:spacing w:line="480" w:lineRule="auto"/>
              <w:ind w:firstLine="480" w:firstLineChars="200"/>
              <w:jc w:val="right"/>
              <w:rPr>
                <w:rFonts w:ascii="宋体" w:hAnsi="宋体" w:cs="宋体"/>
              </w:rPr>
            </w:pPr>
            <w:r>
              <w:rPr>
                <w:rFonts w:hint="eastAsia" w:ascii="宋体" w:hAnsi="宋体" w:cs="宋体"/>
              </w:rPr>
              <w:t>_________年______月 _____日</w:t>
            </w:r>
          </w:p>
        </w:tc>
      </w:tr>
    </w:tbl>
    <w:p>
      <w:pPr>
        <w:pStyle w:val="13"/>
        <w:spacing w:line="500" w:lineRule="exact"/>
        <w:jc w:val="center"/>
        <w:rPr>
          <w:rFonts w:hAnsi="宋体" w:cs="宋体"/>
          <w:sz w:val="24"/>
        </w:rPr>
      </w:pPr>
      <w:r>
        <w:rPr>
          <w:rFonts w:hint="eastAsia" w:hAnsi="宋体" w:cs="宋体"/>
          <w:b/>
          <w:sz w:val="24"/>
        </w:rPr>
        <w:br w:type="page"/>
      </w:r>
      <w:r>
        <w:rPr>
          <w:rFonts w:hint="eastAsia" w:hAnsi="宋体" w:cs="宋体"/>
          <w:b/>
          <w:sz w:val="24"/>
        </w:rPr>
        <w:t>7-2法定代表人授权书（格式）</w:t>
      </w:r>
    </w:p>
    <w:p>
      <w:pPr>
        <w:pStyle w:val="13"/>
        <w:spacing w:line="500" w:lineRule="exact"/>
        <w:rPr>
          <w:rFonts w:hAnsi="宋体" w:cs="宋体"/>
          <w:sz w:val="24"/>
        </w:rPr>
      </w:pPr>
      <w:r>
        <w:rPr>
          <w:rFonts w:hint="eastAsia" w:hAnsi="宋体" w:cs="宋体"/>
          <w:sz w:val="24"/>
        </w:rPr>
        <w:t>陕西卓佲项目管理有限公司：</w:t>
      </w:r>
    </w:p>
    <w:p>
      <w:pPr>
        <w:tabs>
          <w:tab w:val="left" w:pos="8820"/>
        </w:tabs>
        <w:spacing w:line="360" w:lineRule="auto"/>
        <w:ind w:firstLine="570"/>
        <w:rPr>
          <w:rFonts w:ascii="宋体" w:hAnsi="宋体" w:cs="宋体"/>
          <w:u w:val="single"/>
        </w:rPr>
      </w:pPr>
      <w:r>
        <w:rPr>
          <w:rFonts w:hint="eastAsia" w:ascii="宋体" w:hAnsi="宋体" w:cs="宋体"/>
        </w:rPr>
        <w:t>本授权委托书声明：我</w:t>
      </w:r>
      <w:r>
        <w:rPr>
          <w:rFonts w:hint="eastAsia" w:ascii="宋体" w:hAnsi="宋体" w:cs="宋体"/>
          <w:u w:val="single"/>
        </w:rPr>
        <w:t xml:space="preserve">（法定代表人姓名）   </w:t>
      </w:r>
      <w:r>
        <w:rPr>
          <w:rFonts w:hint="eastAsia" w:ascii="宋体" w:hAnsi="宋体" w:cs="宋体"/>
        </w:rPr>
        <w:t>系注册于</w:t>
      </w:r>
      <w:r>
        <w:rPr>
          <w:rFonts w:hint="eastAsia" w:ascii="宋体" w:hAnsi="宋体" w:cs="宋体"/>
          <w:u w:val="single"/>
        </w:rPr>
        <w:t xml:space="preserve">  （供应商地址）     </w:t>
      </w:r>
      <w:r>
        <w:rPr>
          <w:rFonts w:hint="eastAsia" w:ascii="宋体" w:hAnsi="宋体" w:cs="宋体"/>
        </w:rPr>
        <w:t>的</w:t>
      </w:r>
      <w:r>
        <w:rPr>
          <w:rFonts w:hint="eastAsia" w:ascii="宋体" w:hAnsi="宋体" w:cs="宋体"/>
          <w:u w:val="single"/>
        </w:rPr>
        <w:t xml:space="preserve">（供应商名称）  </w:t>
      </w:r>
      <w:r>
        <w:rPr>
          <w:rFonts w:hint="eastAsia" w:ascii="宋体" w:hAnsi="宋体" w:cs="宋体"/>
        </w:rPr>
        <w:t>的法定代表人，现代表公司授权</w:t>
      </w:r>
      <w:r>
        <w:rPr>
          <w:rFonts w:hint="eastAsia" w:ascii="宋体" w:hAnsi="宋体" w:cs="宋体"/>
          <w:u w:val="single"/>
        </w:rPr>
        <w:t xml:space="preserve">（被授权人的姓名、职务）   </w:t>
      </w:r>
      <w:r>
        <w:rPr>
          <w:rFonts w:hint="eastAsia" w:ascii="宋体" w:hAnsi="宋体" w:cs="宋体"/>
        </w:rPr>
        <w:t>为我公司合法代理人，代表本公司参加</w:t>
      </w:r>
      <w:r>
        <w:rPr>
          <w:rFonts w:hint="eastAsia" w:ascii="宋体" w:hAnsi="宋体" w:cs="宋体"/>
          <w:u w:val="single"/>
        </w:rPr>
        <w:t xml:space="preserve">  （项目名称） （项目编号）</w:t>
      </w:r>
      <w:r>
        <w:rPr>
          <w:rFonts w:hint="eastAsia" w:ascii="宋体" w:hAnsi="宋体" w:cs="宋体"/>
        </w:rPr>
        <w:t>的采购活动。以我方名义全权处理该项目有关招标、签订合同以及执行合同等一切事宜。</w:t>
      </w:r>
    </w:p>
    <w:p>
      <w:pPr>
        <w:spacing w:line="360" w:lineRule="auto"/>
        <w:ind w:firstLine="482" w:firstLineChars="200"/>
        <w:rPr>
          <w:rFonts w:ascii="宋体" w:hAnsi="宋体" w:cs="宋体"/>
          <w:b/>
          <w:bCs/>
        </w:rPr>
      </w:pPr>
      <w:r>
        <w:rPr>
          <w:rFonts w:hint="eastAsia" w:ascii="宋体" w:hAnsi="宋体" w:cs="宋体"/>
          <w:b/>
          <w:bCs/>
        </w:rPr>
        <w:t>本授权书自投标文件递交截止之日起生效，有效期与投标文件有效期一致，特此声明。</w:t>
      </w:r>
    </w:p>
    <w:p>
      <w:pPr>
        <w:pStyle w:val="13"/>
        <w:spacing w:line="500" w:lineRule="exact"/>
        <w:ind w:firstLine="480" w:firstLineChars="200"/>
        <w:rPr>
          <w:rFonts w:hAnsi="宋体" w:cs="宋体"/>
          <w:sz w:val="24"/>
        </w:rPr>
      </w:pPr>
      <w:r>
        <w:rPr>
          <w:rFonts w:hint="eastAsia" w:hAnsi="宋体" w:cs="宋体"/>
          <w:sz w:val="24"/>
        </w:rPr>
        <w:t>供应商（单位名称及公章）：</w:t>
      </w:r>
      <w:r>
        <w:rPr>
          <w:rFonts w:hint="eastAsia" w:hAnsi="宋体" w:cs="宋体"/>
          <w:sz w:val="28"/>
          <w:szCs w:val="28"/>
        </w:rPr>
        <w:t>__________________</w:t>
      </w:r>
    </w:p>
    <w:p>
      <w:pPr>
        <w:pStyle w:val="13"/>
        <w:spacing w:line="500" w:lineRule="exact"/>
        <w:ind w:firstLine="480" w:firstLineChars="200"/>
        <w:rPr>
          <w:rFonts w:hAnsi="宋体" w:cs="宋体"/>
          <w:sz w:val="24"/>
        </w:rPr>
      </w:pPr>
      <w:r>
        <w:rPr>
          <w:rFonts w:hint="eastAsia" w:hAnsi="宋体" w:cs="宋体"/>
          <w:sz w:val="24"/>
        </w:rPr>
        <w:t xml:space="preserve">法定代表人（签字或盖章）： </w:t>
      </w:r>
      <w:r>
        <w:rPr>
          <w:rFonts w:hint="eastAsia" w:hAnsi="宋体" w:cs="宋体"/>
          <w:sz w:val="28"/>
          <w:szCs w:val="28"/>
        </w:rPr>
        <w:t>__________________</w:t>
      </w:r>
    </w:p>
    <w:p>
      <w:pPr>
        <w:pStyle w:val="13"/>
        <w:spacing w:line="500" w:lineRule="exact"/>
        <w:ind w:firstLine="480" w:firstLineChars="200"/>
        <w:rPr>
          <w:rFonts w:hAnsi="宋体" w:cs="宋体"/>
          <w:sz w:val="24"/>
          <w:u w:val="single"/>
        </w:rPr>
      </w:pPr>
      <w:r>
        <w:rPr>
          <w:rFonts w:hint="eastAsia" w:hAnsi="宋体" w:cs="宋体"/>
          <w:sz w:val="24"/>
        </w:rPr>
        <w:t>被授权人：</w:t>
      </w:r>
      <w:r>
        <w:rPr>
          <w:rFonts w:hint="eastAsia" w:hAnsi="宋体" w:cs="宋体"/>
          <w:sz w:val="28"/>
          <w:szCs w:val="28"/>
        </w:rPr>
        <w:t>_____________</w:t>
      </w:r>
      <w:r>
        <w:rPr>
          <w:rFonts w:hint="eastAsia" w:hAnsi="宋体" w:cs="宋体"/>
          <w:sz w:val="24"/>
        </w:rPr>
        <w:t>性别：</w:t>
      </w:r>
      <w:r>
        <w:rPr>
          <w:rFonts w:hint="eastAsia" w:hAnsi="宋体" w:cs="宋体"/>
          <w:sz w:val="28"/>
          <w:szCs w:val="28"/>
        </w:rPr>
        <w:t>____________</w:t>
      </w:r>
      <w:r>
        <w:rPr>
          <w:rFonts w:hint="eastAsia" w:hAnsi="宋体" w:cs="宋体"/>
          <w:sz w:val="24"/>
        </w:rPr>
        <w:t>职务：</w:t>
      </w:r>
      <w:r>
        <w:rPr>
          <w:rFonts w:hint="eastAsia" w:hAnsi="宋体" w:cs="宋体"/>
          <w:sz w:val="28"/>
          <w:szCs w:val="28"/>
        </w:rPr>
        <w:t>_________</w:t>
      </w:r>
    </w:p>
    <w:p>
      <w:pPr>
        <w:pStyle w:val="13"/>
        <w:spacing w:line="500" w:lineRule="exact"/>
        <w:ind w:firstLine="480" w:firstLineChars="200"/>
        <w:rPr>
          <w:rFonts w:hAnsi="宋体" w:cs="宋体"/>
          <w:sz w:val="24"/>
          <w:u w:val="single"/>
        </w:rPr>
      </w:pPr>
      <w:r>
        <w:rPr>
          <w:rFonts w:hint="eastAsia" w:hAnsi="宋体" w:cs="宋体"/>
          <w:sz w:val="24"/>
        </w:rPr>
        <w:t xml:space="preserve">联系地址：  </w:t>
      </w:r>
      <w:r>
        <w:rPr>
          <w:rFonts w:hint="eastAsia" w:hAnsi="宋体" w:cs="宋体"/>
          <w:sz w:val="28"/>
          <w:szCs w:val="28"/>
        </w:rPr>
        <w:t>________________</w:t>
      </w:r>
    </w:p>
    <w:p>
      <w:pPr>
        <w:pStyle w:val="13"/>
        <w:spacing w:line="500" w:lineRule="exact"/>
        <w:ind w:firstLine="480" w:firstLineChars="200"/>
        <w:rPr>
          <w:rFonts w:hAnsi="宋体" w:cs="宋体"/>
          <w:sz w:val="24"/>
          <w:u w:val="single"/>
        </w:rPr>
      </w:pPr>
      <w:r>
        <w:rPr>
          <w:rFonts w:hint="eastAsia" w:hAnsi="宋体" w:cs="宋体"/>
          <w:sz w:val="24"/>
        </w:rPr>
        <w:t>联系电话：</w:t>
      </w:r>
      <w:r>
        <w:rPr>
          <w:rFonts w:hint="eastAsia" w:hAnsi="宋体" w:cs="宋体"/>
          <w:sz w:val="28"/>
          <w:szCs w:val="28"/>
        </w:rPr>
        <w:t>________________</w:t>
      </w:r>
    </w:p>
    <w:p>
      <w:pPr>
        <w:pStyle w:val="13"/>
        <w:spacing w:line="500" w:lineRule="exact"/>
        <w:ind w:firstLine="480" w:firstLineChars="200"/>
        <w:rPr>
          <w:rFonts w:hAnsi="宋体" w:cs="宋体"/>
          <w:sz w:val="24"/>
        </w:rPr>
      </w:pPr>
      <w:r>
        <w:rPr>
          <w:rFonts w:hint="eastAsia" w:hAnsi="宋体" w:cs="宋体"/>
          <w:sz w:val="24"/>
        </w:rPr>
        <w:t>法定代表人及被授权人身份证复印件或扫描件</w:t>
      </w:r>
    </w:p>
    <w:tbl>
      <w:tblPr>
        <w:tblStyle w:val="36"/>
        <w:tblW w:w="894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6" w:hRule="atLeast"/>
        </w:trPr>
        <w:tc>
          <w:tcPr>
            <w:tcW w:w="4394" w:type="dxa"/>
            <w:shd w:val="clear" w:color="auto" w:fill="D9D9D9"/>
            <w:vAlign w:val="center"/>
          </w:tcPr>
          <w:p>
            <w:pPr>
              <w:pStyle w:val="13"/>
              <w:spacing w:line="500" w:lineRule="exact"/>
              <w:rPr>
                <w:rFonts w:hAnsi="宋体" w:cs="宋体"/>
                <w:sz w:val="24"/>
                <w:shd w:val="pct10" w:color="auto" w:fill="FFFFFF"/>
              </w:rPr>
            </w:pPr>
            <w:r>
              <w:rPr>
                <w:rFonts w:hint="eastAsia" w:hAnsi="宋体" w:cs="宋体"/>
                <w:sz w:val="24"/>
                <w:shd w:val="pct10" w:color="auto" w:fill="FFFFFF"/>
              </w:rPr>
              <w:t>法定代表人身份证复印件（正反面）</w:t>
            </w:r>
          </w:p>
          <w:p>
            <w:pPr>
              <w:pStyle w:val="13"/>
              <w:spacing w:line="500" w:lineRule="exact"/>
              <w:rPr>
                <w:rFonts w:hAnsi="宋体" w:cs="宋体"/>
                <w:sz w:val="24"/>
                <w:shd w:val="pct10" w:color="auto" w:fill="FFFFFF"/>
              </w:rPr>
            </w:pPr>
          </w:p>
        </w:tc>
        <w:tc>
          <w:tcPr>
            <w:tcW w:w="4546" w:type="dxa"/>
            <w:shd w:val="clear" w:color="auto" w:fill="D9D9D9"/>
            <w:vAlign w:val="center"/>
          </w:tcPr>
          <w:p>
            <w:pPr>
              <w:pStyle w:val="13"/>
              <w:spacing w:line="500" w:lineRule="exact"/>
              <w:ind w:firstLine="480" w:firstLineChars="200"/>
              <w:rPr>
                <w:rFonts w:hAnsi="宋体" w:cs="宋体"/>
                <w:sz w:val="24"/>
                <w:shd w:val="pct10" w:color="auto" w:fill="FFFFFF"/>
              </w:rPr>
            </w:pPr>
            <w:r>
              <w:rPr>
                <w:rFonts w:hint="eastAsia" w:hAnsi="宋体" w:cs="宋体"/>
                <w:sz w:val="24"/>
                <w:shd w:val="pct10" w:color="auto" w:fill="FFFFFF"/>
              </w:rPr>
              <w:t>被授权人身份证复印件（正反面）</w:t>
            </w:r>
          </w:p>
          <w:p>
            <w:pPr>
              <w:pStyle w:val="13"/>
              <w:spacing w:line="500" w:lineRule="exact"/>
              <w:ind w:firstLine="480" w:firstLineChars="200"/>
              <w:rPr>
                <w:rFonts w:hAnsi="宋体" w:cs="宋体"/>
                <w:sz w:val="24"/>
                <w:shd w:val="pct10" w:color="auto" w:fill="FFFFFF"/>
              </w:rPr>
            </w:pPr>
          </w:p>
        </w:tc>
      </w:tr>
    </w:tbl>
    <w:p>
      <w:pPr>
        <w:pStyle w:val="4"/>
        <w:spacing w:before="319" w:beforeLines="100" w:after="478" w:afterLines="150" w:line="500" w:lineRule="exact"/>
        <w:ind w:firstLine="720"/>
        <w:rPr>
          <w:rFonts w:ascii="宋体" w:hAnsi="宋体" w:cs="宋体"/>
          <w:sz w:val="36"/>
          <w:szCs w:val="36"/>
        </w:rPr>
        <w:sectPr>
          <w:pgSz w:w="11906" w:h="16838"/>
          <w:pgMar w:top="1440" w:right="1803" w:bottom="1440" w:left="1803" w:header="851" w:footer="992" w:gutter="0"/>
          <w:pgNumType w:fmt="decimal"/>
          <w:cols w:space="720" w:num="1"/>
          <w:docGrid w:type="lines" w:linePitch="319" w:charSpace="0"/>
        </w:sectPr>
      </w:pPr>
      <w:bookmarkStart w:id="95" w:name="_Toc12851"/>
      <w:bookmarkStart w:id="96" w:name="_Toc9172"/>
    </w:p>
    <w:bookmarkEnd w:id="95"/>
    <w:bookmarkEnd w:id="96"/>
    <w:p>
      <w:pPr>
        <w:widowControl w:val="0"/>
        <w:spacing w:line="360" w:lineRule="auto"/>
        <w:rPr>
          <w:rFonts w:ascii="宋体" w:hAnsi="宋体" w:cs="宋体"/>
        </w:rPr>
      </w:pPr>
      <w:r>
        <w:rPr>
          <w:rFonts w:hint="eastAsia" w:ascii="宋体" w:hAnsi="宋体" w:cs="宋体"/>
        </w:rPr>
        <w:t>8、供应商须提供医疗器械经营许可证或备案凭证（所投产品须在其经营范围内）和所投产品的医疗器械产品注册证及其附件或备案凭证（供应商若为生产商提供医疗器械生产许可证）；</w:t>
      </w:r>
    </w:p>
    <w:p>
      <w:pPr>
        <w:widowControl w:val="0"/>
        <w:spacing w:line="360" w:lineRule="auto"/>
        <w:rPr>
          <w:rFonts w:ascii="宋体" w:hAnsi="宋体" w:cs="宋体"/>
        </w:rPr>
      </w:pPr>
    </w:p>
    <w:p>
      <w:pPr>
        <w:widowControl w:val="0"/>
        <w:spacing w:line="360" w:lineRule="auto"/>
        <w:rPr>
          <w:rFonts w:ascii="宋体" w:hAnsi="宋体" w:eastAsia="宋体" w:cs="宋体"/>
        </w:rPr>
      </w:pPr>
    </w:p>
    <w:p>
      <w:pPr>
        <w:rPr>
          <w:rFonts w:ascii="宋体" w:hAnsi="宋体" w:cs="宋体"/>
          <w:sz w:val="32"/>
          <w:szCs w:val="32"/>
        </w:rPr>
      </w:pPr>
      <w:r>
        <w:rPr>
          <w:rFonts w:hint="eastAsia" w:ascii="宋体" w:hAnsi="宋体" w:cs="宋体"/>
          <w:sz w:val="32"/>
          <w:szCs w:val="32"/>
        </w:rPr>
        <w:br w:type="page"/>
      </w:r>
    </w:p>
    <w:p>
      <w:pPr>
        <w:spacing w:line="360" w:lineRule="auto"/>
        <w:ind w:left="840"/>
        <w:jc w:val="center"/>
        <w:rPr>
          <w:rFonts w:ascii="宋体" w:hAnsi="宋体" w:cs="宋体"/>
          <w:sz w:val="32"/>
          <w:szCs w:val="32"/>
        </w:rPr>
      </w:pPr>
      <w:r>
        <w:rPr>
          <w:rFonts w:hint="eastAsia" w:ascii="宋体" w:hAnsi="宋体" w:cs="宋体"/>
          <w:sz w:val="32"/>
          <w:szCs w:val="32"/>
        </w:rPr>
        <w:t>9、本项目不接受联合体</w:t>
      </w:r>
    </w:p>
    <w:p>
      <w:pPr>
        <w:pStyle w:val="12"/>
        <w:ind w:left="480" w:leftChars="200" w:firstLine="0"/>
        <w:rPr>
          <w:rFonts w:ascii="宋体" w:hAnsi="宋体" w:cs="宋体"/>
        </w:rPr>
      </w:pPr>
    </w:p>
    <w:p>
      <w:pPr>
        <w:pStyle w:val="35"/>
        <w:ind w:left="480"/>
        <w:rPr>
          <w:rFonts w:ascii="宋体" w:hAnsi="宋体" w:cs="宋体"/>
        </w:rPr>
      </w:pPr>
    </w:p>
    <w:p>
      <w:pPr>
        <w:snapToGrid w:val="0"/>
        <w:spacing w:line="480" w:lineRule="auto"/>
        <w:rPr>
          <w:rFonts w:ascii="宋体" w:hAnsi="宋体" w:cs="宋体"/>
        </w:rPr>
      </w:pPr>
      <w:r>
        <w:rPr>
          <w:rFonts w:hint="eastAsia" w:ascii="宋体" w:hAnsi="宋体" w:cs="宋体"/>
        </w:rPr>
        <w:t>(采购人名称）_______________________：</w:t>
      </w:r>
    </w:p>
    <w:p>
      <w:pPr>
        <w:spacing w:line="360" w:lineRule="auto"/>
        <w:ind w:firstLine="480"/>
        <w:rPr>
          <w:rFonts w:ascii="宋体" w:hAnsi="宋体" w:cs="宋体"/>
        </w:rPr>
      </w:pPr>
      <w:r>
        <w:rPr>
          <w:rFonts w:hint="eastAsia" w:ascii="宋体" w:hAnsi="宋体" w:cs="宋体"/>
        </w:rPr>
        <w:t>我单位参与陕西卓佲项目管理有限公司组织的____________________(项目名称)，我单位郑重声明：我方非联合体，如有虚假，承担相应责任。</w:t>
      </w:r>
    </w:p>
    <w:p>
      <w:pPr>
        <w:spacing w:line="360" w:lineRule="auto"/>
        <w:ind w:firstLine="480"/>
        <w:rPr>
          <w:rFonts w:ascii="宋体" w:hAnsi="宋体" w:cs="宋体"/>
        </w:rPr>
      </w:pPr>
      <w:r>
        <w:rPr>
          <w:rFonts w:hint="eastAsia" w:ascii="宋体" w:hAnsi="宋体" w:cs="宋体"/>
        </w:rPr>
        <w:t>特此声明！</w:t>
      </w:r>
    </w:p>
    <w:p>
      <w:pPr>
        <w:rPr>
          <w:rFonts w:ascii="宋体" w:hAnsi="宋体" w:cs="宋体"/>
        </w:rPr>
      </w:pPr>
    </w:p>
    <w:p>
      <w:pPr>
        <w:pStyle w:val="12"/>
        <w:rPr>
          <w:rFonts w:ascii="宋体" w:hAnsi="宋体" w:cs="宋体"/>
        </w:rPr>
      </w:pPr>
    </w:p>
    <w:p>
      <w:pPr>
        <w:pStyle w:val="12"/>
        <w:rPr>
          <w:rFonts w:ascii="宋体" w:hAnsi="宋体" w:cs="宋体"/>
        </w:rPr>
      </w:pPr>
    </w:p>
    <w:p>
      <w:pPr>
        <w:pStyle w:val="12"/>
        <w:rPr>
          <w:rFonts w:ascii="宋体" w:hAnsi="宋体" w:cs="宋体"/>
        </w:rPr>
      </w:pPr>
    </w:p>
    <w:p>
      <w:pPr>
        <w:pStyle w:val="12"/>
        <w:rPr>
          <w:rFonts w:ascii="宋体" w:hAnsi="宋体" w:cs="宋体"/>
        </w:rPr>
      </w:pPr>
    </w:p>
    <w:p>
      <w:pPr>
        <w:pStyle w:val="12"/>
        <w:rPr>
          <w:rFonts w:ascii="宋体" w:hAnsi="宋体" w:cs="宋体"/>
        </w:rPr>
      </w:pPr>
    </w:p>
    <w:p>
      <w:pPr>
        <w:pStyle w:val="12"/>
        <w:rPr>
          <w:rFonts w:ascii="宋体" w:hAnsi="宋体" w:cs="宋体"/>
        </w:rPr>
      </w:pPr>
    </w:p>
    <w:p>
      <w:pPr>
        <w:pStyle w:val="13"/>
        <w:spacing w:line="480" w:lineRule="auto"/>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3"/>
        <w:spacing w:line="480" w:lineRule="auto"/>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rPr>
      </w:pPr>
      <w:r>
        <w:rPr>
          <w:rFonts w:hint="eastAsia" w:ascii="宋体" w:hAnsi="宋体" w:cs="宋体"/>
        </w:rPr>
        <w:t>日    期：</w:t>
      </w:r>
      <w:r>
        <w:rPr>
          <w:rFonts w:hint="eastAsia" w:asciiTheme="minorEastAsia" w:hAnsiTheme="minorEastAsia" w:cstheme="minorEastAsia"/>
        </w:rPr>
        <w:t>______年________月_______日</w:t>
      </w:r>
    </w:p>
    <w:p>
      <w:pPr>
        <w:adjustRightInd w:val="0"/>
        <w:snapToGrid w:val="0"/>
        <w:spacing w:line="480" w:lineRule="auto"/>
        <w:rPr>
          <w:rFonts w:ascii="宋体" w:hAnsi="宋体" w:cs="宋体"/>
        </w:rPr>
      </w:pPr>
    </w:p>
    <w:p>
      <w:pPr>
        <w:pStyle w:val="4"/>
        <w:tabs>
          <w:tab w:val="left" w:pos="2096"/>
          <w:tab w:val="center" w:pos="5024"/>
        </w:tabs>
        <w:spacing w:before="319" w:beforeLines="100" w:after="478" w:afterLines="150" w:line="500" w:lineRule="exact"/>
        <w:ind w:firstLine="1080" w:firstLineChars="300"/>
        <w:rPr>
          <w:rFonts w:ascii="宋体" w:hAnsi="宋体" w:cs="宋体"/>
          <w:sz w:val="36"/>
          <w:szCs w:val="36"/>
        </w:rPr>
        <w:sectPr>
          <w:footerReference r:id="rId14" w:type="default"/>
          <w:pgSz w:w="11906" w:h="16838"/>
          <w:pgMar w:top="1440" w:right="1803" w:bottom="1440" w:left="1803" w:header="851" w:footer="992" w:gutter="0"/>
          <w:pgNumType w:fmt="decimal"/>
          <w:cols w:space="720" w:num="1"/>
          <w:docGrid w:type="lines" w:linePitch="319" w:charSpace="0"/>
        </w:sectPr>
      </w:pPr>
    </w:p>
    <w:p>
      <w:pPr>
        <w:pStyle w:val="112"/>
        <w:spacing w:before="197" w:after="197"/>
        <w:ind w:firstLine="659"/>
        <w:jc w:val="center"/>
        <w:rPr>
          <w:rFonts w:eastAsia="宋体"/>
        </w:rPr>
      </w:pPr>
      <w:bookmarkStart w:id="97" w:name="_Toc4480"/>
      <w:r>
        <w:rPr>
          <w:rFonts w:hint="eastAsia" w:ascii="宋体" w:hAnsi="宋体" w:eastAsia="宋体" w:cs="宋体"/>
          <w:color w:val="000000" w:themeColor="text1"/>
          <w14:textFill>
            <w14:solidFill>
              <w14:schemeClr w14:val="tx1"/>
            </w14:solidFill>
          </w14:textFill>
        </w:rPr>
        <w:t xml:space="preserve">第四部分  </w:t>
      </w:r>
      <w:r>
        <w:rPr>
          <w:rFonts w:hint="eastAsia" w:eastAsia="宋体"/>
        </w:rPr>
        <w:t>供应商概况</w:t>
      </w:r>
      <w:bookmarkEnd w:id="97"/>
    </w:p>
    <w:tbl>
      <w:tblPr>
        <w:tblStyle w:val="104"/>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992"/>
        <w:gridCol w:w="1424"/>
        <w:gridCol w:w="1411"/>
        <w:gridCol w:w="1464"/>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asciiTheme="minorEastAsia" w:hAnsiTheme="minorEastAsia" w:cstheme="minorEastAsia"/>
                <w:kern w:val="2"/>
              </w:rPr>
            </w:pPr>
            <w:r>
              <w:rPr>
                <w:rFonts w:hint="eastAsia" w:asciiTheme="minorEastAsia" w:hAnsiTheme="minorEastAsia" w:cstheme="minorEastAsia"/>
                <w:kern w:val="2"/>
              </w:rPr>
              <w:t>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rPr>
                <w:rFonts w:asciiTheme="minorEastAsia" w:hAnsiTheme="minorEastAsia" w:cstheme="minorEastAsia"/>
                <w:kern w:val="2"/>
              </w:rPr>
            </w:pPr>
            <w:r>
              <w:rPr>
                <w:rFonts w:hint="eastAsia" w:asciiTheme="minorEastAsia" w:hAnsiTheme="minorEastAsia" w:cstheme="minorEastAsia"/>
                <w:kern w:val="2"/>
              </w:rPr>
              <w:t>供应商全称</w:t>
            </w:r>
          </w:p>
        </w:tc>
        <w:tc>
          <w:tcPr>
            <w:tcW w:w="6756" w:type="dxa"/>
            <w:gridSpan w:val="5"/>
          </w:tcPr>
          <w:p>
            <w:pPr>
              <w:ind w:firstLine="0"/>
              <w:jc w:val="both"/>
              <w:rPr>
                <w:rFonts w:asciiTheme="minorEastAsia" w:hAnsiTheme="minorEastAsia" w:cstheme="minor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rPr>
                <w:rFonts w:asciiTheme="minorEastAsia" w:hAnsiTheme="minorEastAsia" w:cstheme="minorEastAsia"/>
                <w:kern w:val="2"/>
              </w:rPr>
            </w:pPr>
            <w:r>
              <w:rPr>
                <w:rFonts w:hint="eastAsia" w:asciiTheme="minorEastAsia" w:hAnsiTheme="minorEastAsia" w:cstheme="minorEastAsia"/>
                <w:kern w:val="2"/>
              </w:rPr>
              <w:t>注册地址</w:t>
            </w:r>
          </w:p>
        </w:tc>
        <w:tc>
          <w:tcPr>
            <w:tcW w:w="2416" w:type="dxa"/>
            <w:gridSpan w:val="2"/>
          </w:tcPr>
          <w:p>
            <w:pPr>
              <w:ind w:firstLine="0"/>
              <w:jc w:val="both"/>
              <w:rPr>
                <w:rFonts w:asciiTheme="minorEastAsia" w:hAnsiTheme="minorEastAsia" w:cstheme="minorEastAsia"/>
                <w:kern w:val="2"/>
              </w:rPr>
            </w:pPr>
          </w:p>
        </w:tc>
        <w:tc>
          <w:tcPr>
            <w:tcW w:w="1411" w:type="dxa"/>
          </w:tcPr>
          <w:p>
            <w:pPr>
              <w:ind w:firstLine="0"/>
              <w:jc w:val="both"/>
              <w:rPr>
                <w:rFonts w:asciiTheme="minorEastAsia" w:hAnsiTheme="minorEastAsia" w:cstheme="minorEastAsia"/>
                <w:kern w:val="2"/>
              </w:rPr>
            </w:pPr>
            <w:r>
              <w:rPr>
                <w:rFonts w:hint="eastAsia" w:asciiTheme="minorEastAsia" w:hAnsiTheme="minorEastAsia" w:cstheme="minorEastAsia"/>
                <w:kern w:val="2"/>
              </w:rPr>
              <w:t>成立时间</w:t>
            </w:r>
          </w:p>
        </w:tc>
        <w:tc>
          <w:tcPr>
            <w:tcW w:w="2929" w:type="dxa"/>
            <w:gridSpan w:val="2"/>
          </w:tcPr>
          <w:p>
            <w:pPr>
              <w:ind w:firstLine="0"/>
              <w:jc w:val="both"/>
              <w:rPr>
                <w:rFonts w:asciiTheme="minorEastAsia" w:hAnsiTheme="minorEastAsia" w:cstheme="minor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rPr>
                <w:rFonts w:asciiTheme="minorEastAsia" w:hAnsiTheme="minorEastAsia" w:cstheme="minorEastAsia"/>
                <w:kern w:val="2"/>
              </w:rPr>
            </w:pPr>
            <w:r>
              <w:rPr>
                <w:rFonts w:hint="eastAsia" w:asciiTheme="minorEastAsia" w:hAnsiTheme="minorEastAsia" w:cstheme="minorEastAsia"/>
                <w:kern w:val="2"/>
              </w:rPr>
              <w:t>统一社会信用代码</w:t>
            </w:r>
          </w:p>
        </w:tc>
        <w:tc>
          <w:tcPr>
            <w:tcW w:w="2416" w:type="dxa"/>
            <w:gridSpan w:val="2"/>
          </w:tcPr>
          <w:p>
            <w:pPr>
              <w:ind w:firstLine="0"/>
              <w:jc w:val="both"/>
              <w:rPr>
                <w:rFonts w:asciiTheme="minorEastAsia" w:hAnsiTheme="minorEastAsia" w:cstheme="minorEastAsia"/>
                <w:kern w:val="2"/>
              </w:rPr>
            </w:pPr>
          </w:p>
        </w:tc>
        <w:tc>
          <w:tcPr>
            <w:tcW w:w="1411" w:type="dxa"/>
          </w:tcPr>
          <w:p>
            <w:pPr>
              <w:ind w:firstLine="0"/>
              <w:jc w:val="both"/>
              <w:rPr>
                <w:rFonts w:asciiTheme="minorEastAsia" w:hAnsiTheme="minorEastAsia" w:cstheme="minorEastAsia"/>
                <w:kern w:val="2"/>
              </w:rPr>
            </w:pPr>
            <w:r>
              <w:rPr>
                <w:rFonts w:hint="eastAsia" w:asciiTheme="minorEastAsia" w:hAnsiTheme="minorEastAsia" w:cstheme="minorEastAsia"/>
                <w:kern w:val="2"/>
              </w:rPr>
              <w:t>单位性质</w:t>
            </w:r>
          </w:p>
        </w:tc>
        <w:tc>
          <w:tcPr>
            <w:tcW w:w="2929" w:type="dxa"/>
            <w:gridSpan w:val="2"/>
          </w:tcPr>
          <w:p>
            <w:pPr>
              <w:ind w:firstLine="0"/>
              <w:jc w:val="both"/>
              <w:rPr>
                <w:rFonts w:asciiTheme="minorEastAsia" w:hAnsiTheme="minorEastAsia" w:cstheme="minor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rPr>
                <w:rFonts w:asciiTheme="minorEastAsia" w:hAnsiTheme="minorEastAsia" w:cstheme="minorEastAsia"/>
                <w:kern w:val="2"/>
              </w:rPr>
            </w:pPr>
            <w:r>
              <w:rPr>
                <w:rFonts w:hint="eastAsia" w:asciiTheme="minorEastAsia" w:hAnsiTheme="minorEastAsia" w:cstheme="minorEastAsia"/>
                <w:kern w:val="2"/>
              </w:rPr>
              <w:t>法定代表人</w:t>
            </w:r>
          </w:p>
          <w:p>
            <w:pPr>
              <w:ind w:firstLine="0"/>
              <w:rPr>
                <w:rFonts w:asciiTheme="minorEastAsia" w:hAnsiTheme="minorEastAsia" w:cstheme="minorEastAsia"/>
                <w:kern w:val="2"/>
              </w:rPr>
            </w:pPr>
            <w:r>
              <w:rPr>
                <w:rFonts w:hint="eastAsia" w:asciiTheme="minorEastAsia" w:hAnsiTheme="minorEastAsia" w:cstheme="minorEastAsia"/>
                <w:kern w:val="2"/>
              </w:rPr>
              <w:t>（主要负责人）</w:t>
            </w:r>
          </w:p>
        </w:tc>
        <w:tc>
          <w:tcPr>
            <w:tcW w:w="2416" w:type="dxa"/>
            <w:gridSpan w:val="2"/>
          </w:tcPr>
          <w:p>
            <w:pPr>
              <w:ind w:firstLine="0"/>
              <w:jc w:val="both"/>
              <w:rPr>
                <w:rFonts w:asciiTheme="minorEastAsia" w:hAnsiTheme="minorEastAsia" w:cstheme="minorEastAsia"/>
                <w:kern w:val="2"/>
              </w:rPr>
            </w:pPr>
          </w:p>
        </w:tc>
        <w:tc>
          <w:tcPr>
            <w:tcW w:w="1411" w:type="dxa"/>
          </w:tcPr>
          <w:p>
            <w:pPr>
              <w:ind w:firstLine="0"/>
              <w:jc w:val="both"/>
              <w:rPr>
                <w:rFonts w:asciiTheme="minorEastAsia" w:hAnsiTheme="minorEastAsia" w:cstheme="minorEastAsia"/>
                <w:kern w:val="2"/>
              </w:rPr>
            </w:pPr>
            <w:r>
              <w:rPr>
                <w:rFonts w:hint="eastAsia" w:asciiTheme="minorEastAsia" w:hAnsiTheme="minorEastAsia" w:cstheme="minorEastAsia"/>
                <w:kern w:val="2"/>
              </w:rPr>
              <w:t>所属行业</w:t>
            </w:r>
          </w:p>
        </w:tc>
        <w:tc>
          <w:tcPr>
            <w:tcW w:w="2929" w:type="dxa"/>
            <w:gridSpan w:val="2"/>
          </w:tcPr>
          <w:p>
            <w:pPr>
              <w:ind w:firstLine="0"/>
              <w:jc w:val="both"/>
              <w:rPr>
                <w:rFonts w:asciiTheme="minorEastAsia" w:hAnsiTheme="minorEastAsia" w:cstheme="minor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rPr>
                <w:rFonts w:asciiTheme="minorEastAsia" w:hAnsiTheme="minorEastAsia" w:cstheme="minorEastAsia"/>
                <w:kern w:val="2"/>
              </w:rPr>
            </w:pPr>
            <w:r>
              <w:rPr>
                <w:rFonts w:hint="eastAsia" w:asciiTheme="minorEastAsia" w:hAnsiTheme="minorEastAsia" w:cstheme="minorEastAsia"/>
                <w:kern w:val="2"/>
              </w:rPr>
              <w:t>基本存款账户</w:t>
            </w:r>
          </w:p>
          <w:p>
            <w:pPr>
              <w:ind w:firstLine="0"/>
              <w:rPr>
                <w:rFonts w:asciiTheme="minorEastAsia" w:hAnsiTheme="minorEastAsia" w:cstheme="minorEastAsia"/>
                <w:kern w:val="2"/>
              </w:rPr>
            </w:pPr>
            <w:r>
              <w:rPr>
                <w:rFonts w:hint="eastAsia" w:asciiTheme="minorEastAsia" w:hAnsiTheme="minorEastAsia" w:cstheme="minorEastAsia"/>
                <w:kern w:val="2"/>
              </w:rPr>
              <w:t>开户银行</w:t>
            </w:r>
          </w:p>
        </w:tc>
        <w:tc>
          <w:tcPr>
            <w:tcW w:w="2416" w:type="dxa"/>
            <w:gridSpan w:val="2"/>
          </w:tcPr>
          <w:p>
            <w:pPr>
              <w:ind w:firstLine="0"/>
              <w:jc w:val="both"/>
              <w:rPr>
                <w:rFonts w:asciiTheme="minorEastAsia" w:hAnsiTheme="minorEastAsia" w:cstheme="minorEastAsia"/>
                <w:kern w:val="2"/>
              </w:rPr>
            </w:pPr>
          </w:p>
        </w:tc>
        <w:tc>
          <w:tcPr>
            <w:tcW w:w="1411" w:type="dxa"/>
          </w:tcPr>
          <w:p>
            <w:pPr>
              <w:ind w:firstLine="0"/>
              <w:jc w:val="both"/>
              <w:rPr>
                <w:rFonts w:asciiTheme="minorEastAsia" w:hAnsiTheme="minorEastAsia" w:cstheme="minorEastAsia"/>
                <w:kern w:val="2"/>
              </w:rPr>
            </w:pPr>
            <w:r>
              <w:rPr>
                <w:rFonts w:hint="eastAsia" w:asciiTheme="minorEastAsia" w:hAnsiTheme="minorEastAsia" w:cstheme="minorEastAsia"/>
                <w:kern w:val="2"/>
              </w:rPr>
              <w:t>基本存款</w:t>
            </w:r>
          </w:p>
          <w:p>
            <w:pPr>
              <w:ind w:firstLine="0"/>
              <w:jc w:val="both"/>
              <w:rPr>
                <w:rFonts w:asciiTheme="minorEastAsia" w:hAnsiTheme="minorEastAsia" w:cstheme="minorEastAsia"/>
                <w:kern w:val="2"/>
              </w:rPr>
            </w:pPr>
            <w:r>
              <w:rPr>
                <w:rFonts w:hint="eastAsia" w:asciiTheme="minorEastAsia" w:hAnsiTheme="minorEastAsia" w:cstheme="minorEastAsia"/>
                <w:kern w:val="2"/>
              </w:rPr>
              <w:t>账户账号</w:t>
            </w:r>
          </w:p>
        </w:tc>
        <w:tc>
          <w:tcPr>
            <w:tcW w:w="2929" w:type="dxa"/>
            <w:gridSpan w:val="2"/>
          </w:tcPr>
          <w:p>
            <w:pPr>
              <w:ind w:firstLine="0"/>
              <w:jc w:val="both"/>
              <w:rPr>
                <w:rFonts w:asciiTheme="minorEastAsia" w:hAnsiTheme="minorEastAsia" w:cstheme="minor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rPr>
                <w:rFonts w:asciiTheme="minorEastAsia" w:hAnsiTheme="minorEastAsia" w:cstheme="minorEastAsia"/>
                <w:kern w:val="2"/>
              </w:rPr>
            </w:pPr>
            <w:r>
              <w:rPr>
                <w:rFonts w:hint="eastAsia" w:asciiTheme="minorEastAsia" w:hAnsiTheme="minorEastAsia" w:cstheme="minorEastAsia"/>
                <w:kern w:val="2"/>
              </w:rPr>
              <w:t>上年度</w:t>
            </w:r>
          </w:p>
          <w:p>
            <w:pPr>
              <w:ind w:firstLine="0"/>
              <w:rPr>
                <w:rFonts w:asciiTheme="minorEastAsia" w:hAnsiTheme="minorEastAsia" w:cstheme="minorEastAsia"/>
                <w:kern w:val="2"/>
              </w:rPr>
            </w:pPr>
            <w:r>
              <w:rPr>
                <w:rFonts w:hint="eastAsia" w:asciiTheme="minorEastAsia" w:hAnsiTheme="minorEastAsia" w:cstheme="minorEastAsia"/>
                <w:kern w:val="2"/>
              </w:rPr>
              <w:t>营业收入*</w:t>
            </w:r>
          </w:p>
        </w:tc>
        <w:tc>
          <w:tcPr>
            <w:tcW w:w="2416" w:type="dxa"/>
            <w:gridSpan w:val="2"/>
          </w:tcPr>
          <w:p>
            <w:pPr>
              <w:ind w:firstLine="0"/>
              <w:jc w:val="both"/>
              <w:rPr>
                <w:rFonts w:asciiTheme="minorEastAsia" w:hAnsiTheme="minorEastAsia" w:cstheme="minorEastAsia"/>
                <w:kern w:val="2"/>
              </w:rPr>
            </w:pPr>
          </w:p>
        </w:tc>
        <w:tc>
          <w:tcPr>
            <w:tcW w:w="1411" w:type="dxa"/>
          </w:tcPr>
          <w:p>
            <w:pPr>
              <w:ind w:firstLine="0"/>
              <w:jc w:val="both"/>
              <w:rPr>
                <w:rFonts w:asciiTheme="minorEastAsia" w:hAnsiTheme="minorEastAsia" w:cstheme="minorEastAsia"/>
                <w:kern w:val="2"/>
              </w:rPr>
            </w:pPr>
            <w:r>
              <w:rPr>
                <w:rFonts w:hint="eastAsia" w:asciiTheme="minorEastAsia" w:hAnsiTheme="minorEastAsia" w:cstheme="minorEastAsia"/>
                <w:kern w:val="2"/>
              </w:rPr>
              <w:t>资产总额</w:t>
            </w:r>
          </w:p>
        </w:tc>
        <w:tc>
          <w:tcPr>
            <w:tcW w:w="2929" w:type="dxa"/>
            <w:gridSpan w:val="2"/>
          </w:tcPr>
          <w:p>
            <w:pPr>
              <w:ind w:firstLine="0"/>
              <w:jc w:val="both"/>
              <w:rPr>
                <w:rFonts w:asciiTheme="minorEastAsia" w:hAnsiTheme="minorEastAsia" w:cstheme="minor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rPr>
                <w:rFonts w:asciiTheme="minorEastAsia" w:hAnsiTheme="minorEastAsia" w:cstheme="minorEastAsia"/>
                <w:kern w:val="2"/>
              </w:rPr>
            </w:pPr>
            <w:r>
              <w:rPr>
                <w:rFonts w:hint="eastAsia" w:asciiTheme="minorEastAsia" w:hAnsiTheme="minorEastAsia" w:cstheme="minorEastAsia"/>
                <w:kern w:val="2"/>
              </w:rPr>
              <w:t>经营范围</w:t>
            </w:r>
          </w:p>
        </w:tc>
        <w:tc>
          <w:tcPr>
            <w:tcW w:w="6756" w:type="dxa"/>
            <w:gridSpan w:val="5"/>
          </w:tcPr>
          <w:p>
            <w:pPr>
              <w:ind w:firstLine="0"/>
              <w:jc w:val="both"/>
              <w:rPr>
                <w:rFonts w:asciiTheme="minorEastAsia" w:hAnsiTheme="minorEastAsia" w:cstheme="minor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rPr>
                <w:rFonts w:asciiTheme="minorEastAsia" w:hAnsiTheme="minorEastAsia" w:cstheme="minorEastAsia"/>
                <w:kern w:val="2"/>
              </w:rPr>
            </w:pPr>
            <w:r>
              <w:rPr>
                <w:rFonts w:hint="eastAsia" w:asciiTheme="minorEastAsia" w:hAnsiTheme="minorEastAsia" w:cstheme="minorEastAsia"/>
                <w:kern w:val="2"/>
              </w:rPr>
              <w:t>资质证书名称</w:t>
            </w:r>
          </w:p>
        </w:tc>
        <w:tc>
          <w:tcPr>
            <w:tcW w:w="2416" w:type="dxa"/>
            <w:gridSpan w:val="2"/>
          </w:tcPr>
          <w:p>
            <w:pPr>
              <w:ind w:firstLine="0"/>
              <w:jc w:val="both"/>
              <w:rPr>
                <w:rFonts w:asciiTheme="minorEastAsia" w:hAnsiTheme="minorEastAsia" w:cstheme="minorEastAsia"/>
                <w:kern w:val="2"/>
              </w:rPr>
            </w:pPr>
            <w:r>
              <w:rPr>
                <w:rFonts w:hint="eastAsia" w:asciiTheme="minorEastAsia" w:hAnsiTheme="minorEastAsia" w:cstheme="minorEastAsia"/>
                <w:kern w:val="2"/>
              </w:rPr>
              <w:t>证书号</w:t>
            </w:r>
          </w:p>
        </w:tc>
        <w:tc>
          <w:tcPr>
            <w:tcW w:w="1411" w:type="dxa"/>
          </w:tcPr>
          <w:p>
            <w:pPr>
              <w:ind w:firstLine="0"/>
              <w:jc w:val="both"/>
              <w:rPr>
                <w:rFonts w:asciiTheme="minorEastAsia" w:hAnsiTheme="minorEastAsia" w:cstheme="minorEastAsia"/>
                <w:kern w:val="2"/>
              </w:rPr>
            </w:pPr>
            <w:r>
              <w:rPr>
                <w:rFonts w:hint="eastAsia" w:asciiTheme="minorEastAsia" w:hAnsiTheme="minorEastAsia" w:cstheme="minorEastAsia"/>
                <w:kern w:val="2"/>
              </w:rPr>
              <w:t>等级</w:t>
            </w:r>
          </w:p>
        </w:tc>
        <w:tc>
          <w:tcPr>
            <w:tcW w:w="2929" w:type="dxa"/>
            <w:gridSpan w:val="2"/>
          </w:tcPr>
          <w:p>
            <w:pPr>
              <w:ind w:firstLine="0"/>
              <w:jc w:val="both"/>
              <w:rPr>
                <w:rFonts w:asciiTheme="minorEastAsia" w:hAnsiTheme="minorEastAsia" w:cstheme="minorEastAsia"/>
                <w:kern w:val="2"/>
              </w:rPr>
            </w:pPr>
            <w:r>
              <w:rPr>
                <w:rFonts w:hint="eastAsia" w:asciiTheme="minorEastAsia" w:hAnsiTheme="minorEastAsia" w:cstheme="minorEastAsia"/>
                <w:kern w:val="2"/>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Theme="minorEastAsia" w:hAnsiTheme="minorEastAsia" w:cstheme="minorEastAsia"/>
                <w:kern w:val="2"/>
              </w:rPr>
            </w:pPr>
          </w:p>
        </w:tc>
        <w:tc>
          <w:tcPr>
            <w:tcW w:w="2416" w:type="dxa"/>
            <w:gridSpan w:val="2"/>
          </w:tcPr>
          <w:p>
            <w:pPr>
              <w:ind w:firstLine="0"/>
              <w:jc w:val="both"/>
              <w:rPr>
                <w:rFonts w:asciiTheme="minorEastAsia" w:hAnsiTheme="minorEastAsia" w:cstheme="minorEastAsia"/>
                <w:kern w:val="2"/>
              </w:rPr>
            </w:pPr>
          </w:p>
        </w:tc>
        <w:tc>
          <w:tcPr>
            <w:tcW w:w="1411" w:type="dxa"/>
          </w:tcPr>
          <w:p>
            <w:pPr>
              <w:ind w:firstLine="0"/>
              <w:jc w:val="both"/>
              <w:rPr>
                <w:rFonts w:asciiTheme="minorEastAsia" w:hAnsiTheme="minorEastAsia" w:cstheme="minorEastAsia"/>
                <w:kern w:val="2"/>
              </w:rPr>
            </w:pPr>
          </w:p>
        </w:tc>
        <w:tc>
          <w:tcPr>
            <w:tcW w:w="2929" w:type="dxa"/>
            <w:gridSpan w:val="2"/>
          </w:tcPr>
          <w:p>
            <w:pPr>
              <w:ind w:firstLine="0"/>
              <w:jc w:val="both"/>
              <w:rPr>
                <w:rFonts w:asciiTheme="minorEastAsia" w:hAnsiTheme="minorEastAsia" w:cstheme="minor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Theme="minorEastAsia" w:hAnsiTheme="minorEastAsia" w:cstheme="minorEastAsia"/>
                <w:kern w:val="2"/>
              </w:rPr>
            </w:pPr>
          </w:p>
        </w:tc>
        <w:tc>
          <w:tcPr>
            <w:tcW w:w="2416" w:type="dxa"/>
            <w:gridSpan w:val="2"/>
          </w:tcPr>
          <w:p>
            <w:pPr>
              <w:ind w:firstLine="0"/>
              <w:jc w:val="both"/>
              <w:rPr>
                <w:rFonts w:asciiTheme="minorEastAsia" w:hAnsiTheme="minorEastAsia" w:cstheme="minorEastAsia"/>
                <w:kern w:val="2"/>
              </w:rPr>
            </w:pPr>
          </w:p>
        </w:tc>
        <w:tc>
          <w:tcPr>
            <w:tcW w:w="1411" w:type="dxa"/>
          </w:tcPr>
          <w:p>
            <w:pPr>
              <w:ind w:firstLine="0"/>
              <w:jc w:val="both"/>
              <w:rPr>
                <w:rFonts w:asciiTheme="minorEastAsia" w:hAnsiTheme="minorEastAsia" w:cstheme="minorEastAsia"/>
                <w:kern w:val="2"/>
              </w:rPr>
            </w:pPr>
          </w:p>
        </w:tc>
        <w:tc>
          <w:tcPr>
            <w:tcW w:w="2929" w:type="dxa"/>
            <w:gridSpan w:val="2"/>
          </w:tcPr>
          <w:p>
            <w:pPr>
              <w:ind w:firstLine="0"/>
              <w:jc w:val="both"/>
              <w:rPr>
                <w:rFonts w:asciiTheme="minorEastAsia" w:hAnsiTheme="minorEastAsia" w:cstheme="minor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asciiTheme="minorEastAsia" w:hAnsiTheme="minorEastAsia" w:cstheme="minorEastAsia"/>
                <w:kern w:val="2"/>
              </w:rPr>
            </w:pPr>
            <w:r>
              <w:rPr>
                <w:rFonts w:hint="eastAsia" w:asciiTheme="minorEastAsia" w:hAnsiTheme="minorEastAsia" w:cstheme="minorEastAsia"/>
                <w:kern w:val="2"/>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restart"/>
          </w:tcPr>
          <w:p>
            <w:pPr>
              <w:ind w:firstLine="0"/>
              <w:jc w:val="both"/>
              <w:rPr>
                <w:rFonts w:asciiTheme="minorEastAsia" w:hAnsiTheme="minorEastAsia" w:cstheme="minorEastAsia"/>
                <w:kern w:val="2"/>
              </w:rPr>
            </w:pPr>
            <w:r>
              <w:rPr>
                <w:rFonts w:hint="eastAsia" w:asciiTheme="minorEastAsia" w:hAnsiTheme="minorEastAsia" w:cstheme="minorEastAsia"/>
                <w:kern w:val="2"/>
              </w:rPr>
              <w:t>从业人员总数</w:t>
            </w:r>
          </w:p>
        </w:tc>
        <w:tc>
          <w:tcPr>
            <w:tcW w:w="992" w:type="dxa"/>
            <w:vMerge w:val="restart"/>
          </w:tcPr>
          <w:p>
            <w:pPr>
              <w:ind w:firstLine="0"/>
              <w:jc w:val="both"/>
              <w:rPr>
                <w:rFonts w:asciiTheme="minorEastAsia" w:hAnsiTheme="minorEastAsia" w:cstheme="minorEastAsia"/>
                <w:kern w:val="2"/>
              </w:rPr>
            </w:pPr>
          </w:p>
        </w:tc>
        <w:tc>
          <w:tcPr>
            <w:tcW w:w="1424" w:type="dxa"/>
          </w:tcPr>
          <w:p>
            <w:pPr>
              <w:ind w:firstLine="0"/>
              <w:jc w:val="both"/>
              <w:rPr>
                <w:rFonts w:asciiTheme="minorEastAsia" w:hAnsiTheme="minorEastAsia" w:cstheme="minorEastAsia"/>
                <w:kern w:val="2"/>
              </w:rPr>
            </w:pPr>
            <w:r>
              <w:rPr>
                <w:rFonts w:hint="eastAsia" w:asciiTheme="minorEastAsia" w:hAnsiTheme="minorEastAsia" w:cstheme="minorEastAsia"/>
                <w:kern w:val="2"/>
              </w:rPr>
              <w:t>管理人员</w:t>
            </w:r>
          </w:p>
          <w:p>
            <w:pPr>
              <w:ind w:firstLine="0"/>
              <w:jc w:val="both"/>
              <w:rPr>
                <w:rFonts w:asciiTheme="minorEastAsia" w:hAnsiTheme="minorEastAsia" w:cstheme="minorEastAsia"/>
                <w:kern w:val="2"/>
              </w:rPr>
            </w:pPr>
            <w:r>
              <w:rPr>
                <w:rFonts w:hint="eastAsia" w:asciiTheme="minorEastAsia" w:hAnsiTheme="minorEastAsia" w:cstheme="minorEastAsia"/>
                <w:kern w:val="2"/>
              </w:rPr>
              <w:t>数量</w:t>
            </w:r>
          </w:p>
        </w:tc>
        <w:tc>
          <w:tcPr>
            <w:tcW w:w="1411" w:type="dxa"/>
          </w:tcPr>
          <w:p>
            <w:pPr>
              <w:ind w:firstLine="0"/>
              <w:jc w:val="both"/>
              <w:rPr>
                <w:rFonts w:asciiTheme="minorEastAsia" w:hAnsiTheme="minorEastAsia" w:cstheme="minorEastAsia"/>
                <w:kern w:val="2"/>
              </w:rPr>
            </w:pPr>
          </w:p>
        </w:tc>
        <w:tc>
          <w:tcPr>
            <w:tcW w:w="1464" w:type="dxa"/>
          </w:tcPr>
          <w:p>
            <w:pPr>
              <w:ind w:firstLine="0"/>
              <w:jc w:val="both"/>
              <w:rPr>
                <w:rFonts w:asciiTheme="minorEastAsia" w:hAnsiTheme="minorEastAsia" w:cstheme="minorEastAsia"/>
                <w:kern w:val="2"/>
              </w:rPr>
            </w:pPr>
            <w:r>
              <w:rPr>
                <w:rFonts w:hint="eastAsia" w:asciiTheme="minorEastAsia" w:hAnsiTheme="minorEastAsia" w:cstheme="minorEastAsia"/>
                <w:kern w:val="2"/>
              </w:rPr>
              <w:t>专业技术</w:t>
            </w:r>
          </w:p>
          <w:p>
            <w:pPr>
              <w:ind w:firstLine="0"/>
              <w:jc w:val="both"/>
              <w:rPr>
                <w:rFonts w:asciiTheme="minorEastAsia" w:hAnsiTheme="minorEastAsia" w:cstheme="minorEastAsia"/>
                <w:kern w:val="2"/>
              </w:rPr>
            </w:pPr>
            <w:r>
              <w:rPr>
                <w:rFonts w:hint="eastAsia" w:asciiTheme="minorEastAsia" w:hAnsiTheme="minorEastAsia" w:cstheme="minorEastAsia"/>
                <w:kern w:val="2"/>
              </w:rPr>
              <w:t>人员数量</w:t>
            </w:r>
          </w:p>
        </w:tc>
        <w:tc>
          <w:tcPr>
            <w:tcW w:w="1465" w:type="dxa"/>
          </w:tcPr>
          <w:p>
            <w:pPr>
              <w:ind w:firstLine="0"/>
              <w:jc w:val="both"/>
              <w:rPr>
                <w:rFonts w:asciiTheme="minorEastAsia" w:hAnsiTheme="minorEastAsia" w:cstheme="minor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continue"/>
          </w:tcPr>
          <w:p>
            <w:pPr>
              <w:ind w:firstLine="0"/>
              <w:jc w:val="both"/>
              <w:rPr>
                <w:rFonts w:asciiTheme="minorEastAsia" w:hAnsiTheme="minorEastAsia" w:cstheme="minorEastAsia"/>
                <w:kern w:val="2"/>
              </w:rPr>
            </w:pPr>
          </w:p>
        </w:tc>
        <w:tc>
          <w:tcPr>
            <w:tcW w:w="992" w:type="dxa"/>
            <w:vMerge w:val="continue"/>
          </w:tcPr>
          <w:p>
            <w:pPr>
              <w:ind w:firstLine="0"/>
              <w:jc w:val="both"/>
              <w:rPr>
                <w:rFonts w:asciiTheme="minorEastAsia" w:hAnsiTheme="minorEastAsia" w:cstheme="minorEastAsia"/>
                <w:kern w:val="2"/>
              </w:rPr>
            </w:pPr>
          </w:p>
        </w:tc>
        <w:tc>
          <w:tcPr>
            <w:tcW w:w="1424" w:type="dxa"/>
          </w:tcPr>
          <w:p>
            <w:pPr>
              <w:ind w:firstLine="0"/>
              <w:jc w:val="both"/>
              <w:rPr>
                <w:rFonts w:asciiTheme="minorEastAsia" w:hAnsiTheme="minorEastAsia" w:cstheme="minorEastAsia"/>
                <w:kern w:val="2"/>
              </w:rPr>
            </w:pPr>
            <w:r>
              <w:rPr>
                <w:rFonts w:hint="eastAsia" w:asciiTheme="minorEastAsia" w:hAnsiTheme="minorEastAsia" w:cstheme="minorEastAsia"/>
                <w:kern w:val="2"/>
              </w:rPr>
              <w:t>残疾人</w:t>
            </w:r>
          </w:p>
          <w:p>
            <w:pPr>
              <w:ind w:firstLine="0"/>
              <w:jc w:val="both"/>
              <w:rPr>
                <w:rFonts w:asciiTheme="minorEastAsia" w:hAnsiTheme="minorEastAsia" w:cstheme="minorEastAsia"/>
                <w:kern w:val="2"/>
              </w:rPr>
            </w:pPr>
            <w:r>
              <w:rPr>
                <w:rFonts w:hint="eastAsia" w:asciiTheme="minorEastAsia" w:hAnsiTheme="minorEastAsia" w:cstheme="minorEastAsia"/>
                <w:kern w:val="2"/>
              </w:rPr>
              <w:t>数量</w:t>
            </w:r>
          </w:p>
        </w:tc>
        <w:tc>
          <w:tcPr>
            <w:tcW w:w="1411" w:type="dxa"/>
          </w:tcPr>
          <w:p>
            <w:pPr>
              <w:ind w:firstLine="0"/>
              <w:jc w:val="both"/>
              <w:rPr>
                <w:rFonts w:asciiTheme="minorEastAsia" w:hAnsiTheme="minorEastAsia" w:cstheme="minorEastAsia"/>
                <w:kern w:val="2"/>
              </w:rPr>
            </w:pPr>
          </w:p>
        </w:tc>
        <w:tc>
          <w:tcPr>
            <w:tcW w:w="1464" w:type="dxa"/>
          </w:tcPr>
          <w:p>
            <w:pPr>
              <w:ind w:firstLine="0"/>
              <w:jc w:val="both"/>
              <w:rPr>
                <w:rFonts w:asciiTheme="minorEastAsia" w:hAnsiTheme="minorEastAsia" w:cstheme="minorEastAsia"/>
                <w:kern w:val="2"/>
              </w:rPr>
            </w:pPr>
            <w:r>
              <w:rPr>
                <w:rFonts w:hint="eastAsia" w:asciiTheme="minorEastAsia" w:hAnsiTheme="minorEastAsia" w:cstheme="minorEastAsia"/>
                <w:kern w:val="2"/>
              </w:rPr>
              <w:t>少数民族</w:t>
            </w:r>
          </w:p>
          <w:p>
            <w:pPr>
              <w:ind w:firstLine="0"/>
              <w:jc w:val="both"/>
              <w:rPr>
                <w:rFonts w:asciiTheme="minorEastAsia" w:hAnsiTheme="minorEastAsia" w:cstheme="minorEastAsia"/>
                <w:kern w:val="2"/>
              </w:rPr>
            </w:pPr>
            <w:r>
              <w:rPr>
                <w:rFonts w:hint="eastAsia" w:asciiTheme="minorEastAsia" w:hAnsiTheme="minorEastAsia" w:cstheme="minorEastAsia"/>
                <w:kern w:val="2"/>
              </w:rPr>
              <w:t>数量</w:t>
            </w:r>
          </w:p>
        </w:tc>
        <w:tc>
          <w:tcPr>
            <w:tcW w:w="1465" w:type="dxa"/>
          </w:tcPr>
          <w:p>
            <w:pPr>
              <w:ind w:firstLine="0"/>
              <w:jc w:val="both"/>
              <w:rPr>
                <w:rFonts w:asciiTheme="minorEastAsia" w:hAnsiTheme="minorEastAsia" w:cstheme="minor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asciiTheme="minorEastAsia" w:hAnsiTheme="minorEastAsia" w:cstheme="minorEastAsia"/>
                <w:kern w:val="2"/>
              </w:rPr>
            </w:pPr>
            <w:r>
              <w:rPr>
                <w:rFonts w:hint="eastAsia" w:asciiTheme="minorEastAsia" w:hAnsiTheme="minorEastAsia" w:cstheme="minorEastAsia"/>
                <w:kern w:val="2"/>
              </w:rPr>
              <w:t>存在直接控股、管理关系的相关供应商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Theme="minorEastAsia" w:hAnsiTheme="minorEastAsia" w:cstheme="minorEastAsia"/>
                <w:kern w:val="2"/>
              </w:rPr>
            </w:pPr>
            <w:r>
              <w:rPr>
                <w:rFonts w:hint="eastAsia" w:asciiTheme="minorEastAsia" w:hAnsiTheme="minorEastAsia" w:cstheme="minorEastAsia"/>
                <w:kern w:val="2"/>
              </w:rPr>
              <w:t>关系</w:t>
            </w:r>
          </w:p>
        </w:tc>
        <w:tc>
          <w:tcPr>
            <w:tcW w:w="6756" w:type="dxa"/>
            <w:gridSpan w:val="5"/>
          </w:tcPr>
          <w:p>
            <w:pPr>
              <w:ind w:firstLine="0"/>
              <w:jc w:val="both"/>
              <w:rPr>
                <w:rFonts w:asciiTheme="minorEastAsia" w:hAnsiTheme="minorEastAsia" w:cstheme="minorEastAsia"/>
                <w:kern w:val="2"/>
              </w:rPr>
            </w:pPr>
            <w:r>
              <w:rPr>
                <w:rFonts w:hint="eastAsia" w:asciiTheme="minorEastAsia" w:hAnsiTheme="minorEastAsia" w:cstheme="minorEastAsia"/>
                <w:kern w:val="2"/>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Theme="minorEastAsia" w:hAnsiTheme="minorEastAsia" w:cstheme="minorEastAsia"/>
                <w:kern w:val="2"/>
              </w:rPr>
            </w:pPr>
          </w:p>
        </w:tc>
        <w:tc>
          <w:tcPr>
            <w:tcW w:w="6756" w:type="dxa"/>
            <w:gridSpan w:val="5"/>
          </w:tcPr>
          <w:p>
            <w:pPr>
              <w:ind w:firstLine="0"/>
              <w:jc w:val="both"/>
              <w:rPr>
                <w:rFonts w:asciiTheme="minorEastAsia" w:hAnsiTheme="minorEastAsia" w:cstheme="minor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Theme="minorEastAsia" w:hAnsiTheme="minorEastAsia" w:cstheme="minorEastAsia"/>
                <w:kern w:val="2"/>
              </w:rPr>
            </w:pPr>
          </w:p>
        </w:tc>
        <w:tc>
          <w:tcPr>
            <w:tcW w:w="6756" w:type="dxa"/>
            <w:gridSpan w:val="5"/>
          </w:tcPr>
          <w:p>
            <w:pPr>
              <w:ind w:firstLine="0"/>
              <w:jc w:val="both"/>
              <w:rPr>
                <w:rFonts w:asciiTheme="minorEastAsia" w:hAnsiTheme="minorEastAsia" w:cstheme="minor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Theme="minorEastAsia" w:hAnsiTheme="minorEastAsia" w:cstheme="minorEastAsia"/>
                <w:kern w:val="2"/>
              </w:rPr>
            </w:pPr>
            <w:r>
              <w:rPr>
                <w:rFonts w:hint="eastAsia" w:asciiTheme="minorEastAsia" w:hAnsiTheme="minorEastAsia" w:cstheme="minorEastAsia"/>
                <w:kern w:val="2"/>
              </w:rPr>
              <w:t>说明</w:t>
            </w:r>
          </w:p>
        </w:tc>
        <w:tc>
          <w:tcPr>
            <w:tcW w:w="6756" w:type="dxa"/>
            <w:gridSpan w:val="5"/>
          </w:tcPr>
          <w:p>
            <w:pPr>
              <w:ind w:firstLine="0"/>
              <w:jc w:val="both"/>
              <w:rPr>
                <w:rFonts w:asciiTheme="minorEastAsia" w:hAnsiTheme="minorEastAsia" w:cstheme="minorEastAsia"/>
                <w:kern w:val="2"/>
              </w:rPr>
            </w:pPr>
            <w:r>
              <w:rPr>
                <w:rFonts w:hint="eastAsia" w:asciiTheme="minorEastAsia" w:hAnsiTheme="minorEastAsia" w:cstheme="minorEastAsia"/>
                <w:kern w:val="2"/>
              </w:rPr>
              <w:t>1.成立时间至提交投标文件截止时间不足一年的可不填写“上年度营业收入”；</w:t>
            </w:r>
          </w:p>
          <w:p>
            <w:pPr>
              <w:ind w:firstLine="0"/>
              <w:jc w:val="both"/>
              <w:rPr>
                <w:rFonts w:asciiTheme="minorEastAsia" w:hAnsiTheme="minorEastAsia" w:cstheme="minorEastAsia"/>
                <w:kern w:val="2"/>
              </w:rPr>
            </w:pPr>
            <w:r>
              <w:rPr>
                <w:rFonts w:hint="eastAsia" w:asciiTheme="minorEastAsia" w:hAnsiTheme="minorEastAsia" w:cstheme="minorEastAsia"/>
                <w:kern w:val="2"/>
              </w:rPr>
              <w:t>2.表格空间不足时，请自行扩展。</w:t>
            </w:r>
          </w:p>
        </w:tc>
      </w:tr>
    </w:tbl>
    <w:p>
      <w:pPr>
        <w:rPr>
          <w:rFonts w:ascii="宋体" w:hAnsi="宋体" w:eastAsia="宋体" w:cs="宋体"/>
          <w:color w:val="000000" w:themeColor="text1"/>
          <w:sz w:val="32"/>
          <w:szCs w:val="32"/>
          <w14:textFill>
            <w14:solidFill>
              <w14:schemeClr w14:val="tx1"/>
            </w14:solidFill>
          </w14:textFill>
        </w:rPr>
      </w:pPr>
    </w:p>
    <w:p>
      <w:pP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br w:type="page"/>
      </w:r>
    </w:p>
    <w:p>
      <w:pPr>
        <w:pStyle w:val="4"/>
        <w:ind w:firstLine="657"/>
      </w:pPr>
      <w:bookmarkStart w:id="98" w:name="_Toc20360"/>
      <w:r>
        <w:t>第五部分</w:t>
      </w:r>
      <w:r>
        <w:rPr>
          <w:rFonts w:hint="eastAsia"/>
        </w:rPr>
        <w:t xml:space="preserve">  </w:t>
      </w:r>
      <w:r>
        <w:t>供应商参加政府采购活动承诺书</w:t>
      </w:r>
      <w:bookmarkEnd w:id="98"/>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未签署下列承诺书的，将被视为无效投标，其责任由供应商自行承担。</w:t>
      </w:r>
    </w:p>
    <w:p>
      <w:pPr>
        <w:jc w:val="center"/>
        <w:rPr>
          <w:rFonts w:ascii="宋体" w:hAnsi="宋体" w:eastAsia="宋体" w:cs="宋体"/>
          <w:sz w:val="32"/>
          <w:szCs w:val="32"/>
        </w:rPr>
      </w:pPr>
      <w:r>
        <w:rPr>
          <w:rFonts w:hint="eastAsia" w:ascii="宋体" w:hAnsi="宋体" w:eastAsia="宋体" w:cs="宋体"/>
          <w:sz w:val="32"/>
          <w:szCs w:val="32"/>
        </w:rPr>
        <w:t>（一）质量安全责任承诺书</w:t>
      </w:r>
    </w:p>
    <w:p>
      <w:pPr>
        <w:spacing w:line="560" w:lineRule="exact"/>
        <w:ind w:firstLine="576" w:firstLineChars="200"/>
        <w:jc w:val="both"/>
        <w:rPr>
          <w:rFonts w:ascii="宋体" w:hAnsi="宋体" w:eastAsia="宋体" w:cs="宋体"/>
          <w:sz w:val="28"/>
          <w:szCs w:val="28"/>
        </w:rPr>
      </w:pP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为保证本采购项目顺利进行，作为投标供应商，现郑重承诺：</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1．我方所投产品的生产（包括设计、制造、安装、改造、维修等）、投入使用的材料等均完全符合国家现行质量、安全、环保标准和要求。</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2．我方将严格按照国家现行相关储存、运输、安装调试技术标准及规范、服务标准及规范、施工标准及规范，在规定的时限内，保质、保量完成项目全部内容，并向采购人交付合格产品。</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3．对于因产品生产质量以及储存、运输、安装调试、服务、施工等过程中产生的任何安全事故，我方承担全部责任。</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4．我方提供的货物、工程、服务等符合现行的国家、行业、地区、企业标准及要求，标准不一致的，以更为严格的为准，我方对提供的货物、工程、服务等的质量、安全、环保等承担全部责任。</w:t>
      </w:r>
    </w:p>
    <w:p>
      <w:pPr>
        <w:spacing w:line="560" w:lineRule="exact"/>
        <w:ind w:firstLine="576" w:firstLineChars="200"/>
        <w:jc w:val="both"/>
        <w:rPr>
          <w:rFonts w:ascii="宋体" w:hAnsi="宋体" w:eastAsia="宋体" w:cs="宋体"/>
          <w:sz w:val="28"/>
          <w:szCs w:val="28"/>
        </w:rPr>
      </w:pPr>
    </w:p>
    <w:p>
      <w:pPr>
        <w:spacing w:line="560" w:lineRule="exact"/>
        <w:ind w:firstLine="3187" w:firstLineChars="1107"/>
        <w:jc w:val="both"/>
        <w:rPr>
          <w:rFonts w:ascii="宋体" w:hAnsi="宋体" w:eastAsia="宋体" w:cs="宋体"/>
          <w:sz w:val="28"/>
          <w:szCs w:val="28"/>
        </w:rPr>
      </w:pPr>
      <w:r>
        <w:rPr>
          <w:rFonts w:hint="eastAsia" w:ascii="宋体" w:hAnsi="宋体" w:eastAsia="宋体" w:cs="宋体"/>
          <w:sz w:val="28"/>
          <w:szCs w:val="28"/>
        </w:rPr>
        <w:t>供应商：（供应商全称并加盖公章）</w:t>
      </w:r>
    </w:p>
    <w:p>
      <w:pPr>
        <w:spacing w:line="560" w:lineRule="exact"/>
        <w:ind w:firstLine="3187" w:firstLineChars="1107"/>
        <w:jc w:val="both"/>
        <w:rPr>
          <w:rFonts w:ascii="宋体" w:hAnsi="宋体" w:eastAsia="宋体" w:cs="宋体"/>
          <w:sz w:val="28"/>
          <w:szCs w:val="28"/>
        </w:rPr>
      </w:pPr>
      <w:r>
        <w:rPr>
          <w:rFonts w:hint="eastAsia" w:ascii="宋体" w:hAnsi="宋体" w:eastAsia="宋体" w:cs="宋体"/>
          <w:sz w:val="28"/>
          <w:szCs w:val="28"/>
        </w:rPr>
        <w:t>日  期：    年  月  日</w:t>
      </w:r>
    </w:p>
    <w:p>
      <w:pPr>
        <w:spacing w:line="560" w:lineRule="exact"/>
        <w:ind w:firstLine="576" w:firstLineChars="200"/>
        <w:jc w:val="both"/>
        <w:rPr>
          <w:rFonts w:ascii="宋体" w:hAnsi="宋体" w:eastAsia="宋体" w:cs="宋体"/>
          <w:sz w:val="28"/>
          <w:szCs w:val="28"/>
        </w:rPr>
      </w:pPr>
    </w:p>
    <w:p>
      <w:pPr>
        <w:rPr>
          <w:rFonts w:ascii="宋体" w:hAnsi="宋体" w:eastAsia="宋体" w:cs="宋体"/>
          <w:sz w:val="32"/>
          <w:szCs w:val="32"/>
        </w:rPr>
      </w:pPr>
      <w:r>
        <w:rPr>
          <w:rFonts w:hint="eastAsia" w:ascii="宋体" w:hAnsi="宋体" w:eastAsia="宋体" w:cs="宋体"/>
          <w:sz w:val="32"/>
          <w:szCs w:val="32"/>
        </w:rPr>
        <w:br w:type="page"/>
      </w:r>
    </w:p>
    <w:p>
      <w:pPr>
        <w:jc w:val="center"/>
        <w:rPr>
          <w:rFonts w:ascii="宋体" w:hAnsi="宋体" w:eastAsia="宋体" w:cs="宋体"/>
          <w:sz w:val="32"/>
          <w:szCs w:val="32"/>
        </w:rPr>
      </w:pPr>
      <w:r>
        <w:rPr>
          <w:rFonts w:hint="eastAsia" w:ascii="宋体" w:hAnsi="宋体" w:eastAsia="宋体" w:cs="宋体"/>
          <w:sz w:val="32"/>
          <w:szCs w:val="32"/>
        </w:rPr>
        <w:t>（二）参加政府采购活动行为自律承诺书</w:t>
      </w:r>
    </w:p>
    <w:p>
      <w:pPr>
        <w:spacing w:line="560" w:lineRule="exact"/>
        <w:ind w:firstLine="576" w:firstLineChars="200"/>
        <w:jc w:val="both"/>
        <w:rPr>
          <w:rFonts w:ascii="宋体" w:hAnsi="宋体" w:eastAsia="宋体" w:cs="宋体"/>
          <w:sz w:val="28"/>
          <w:szCs w:val="28"/>
        </w:rPr>
      </w:pP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作为参加本次政府采购项目的供应商，我方郑重承诺在参与政府采购活动中遵纪守法、公平竞争、诚实守信，如有违反愿承担一切责任及后果：</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1．不与采购人、采购代理机构、政府采购评审专家恶意串通，不向其行贿或提供其他不正当利益；</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2．不与其他供应商恶意串通，采取“围标、串标、陪标”等商业欺诈手段谋取中标、成交；</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3．不提供虚假或无效证明文件（包括但不限于资格证明文件、合同及验收文件、检验检测报告、从业人员资格证书、机构或所投产品的各类认证证书等）或虚假材料谋取中标、成交；</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4．不采取不正当手段诋毁、排挤其他供应商；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5．不以不正当理由拒不与采购人签订政府采购合同，或逾期签订政府采购合同，或不按照采购文件确定的事项签订政府采购合同；</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6．不以不正当理由拒绝履行合同义务，不会擅自变更、中止或者终止政府采购合同或将政府采购合同转包；</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7．不在提供商品、服务或工程施工过程中提供假冒伪劣产品，损害采购人的合法权益或公共利益；</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8．不采取捏造事实、提供虚假材料或者以非法手段取得证明材料进行质疑和投诉；</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9．不发生其他有悖于政府采购公开、公平、公正和诚信原则的行为。</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10．尊重和接受政府采购监督管理部门的监督和采购人、采购代理机构的政府采购工作要求，愿意承担因违约行为给采购人造成的损失。</w:t>
      </w:r>
    </w:p>
    <w:p>
      <w:pPr>
        <w:spacing w:line="560" w:lineRule="exact"/>
        <w:ind w:firstLine="576" w:firstLineChars="200"/>
        <w:jc w:val="both"/>
        <w:rPr>
          <w:rFonts w:ascii="宋体" w:hAnsi="宋体" w:eastAsia="宋体" w:cs="宋体"/>
          <w:sz w:val="28"/>
          <w:szCs w:val="28"/>
        </w:rPr>
      </w:pPr>
    </w:p>
    <w:p>
      <w:pPr>
        <w:spacing w:line="560" w:lineRule="exact"/>
        <w:ind w:firstLine="3187" w:firstLineChars="1107"/>
        <w:jc w:val="both"/>
        <w:rPr>
          <w:rFonts w:ascii="宋体" w:hAnsi="宋体" w:eastAsia="宋体" w:cs="宋体"/>
          <w:sz w:val="28"/>
          <w:szCs w:val="28"/>
        </w:rPr>
      </w:pPr>
      <w:r>
        <w:rPr>
          <w:rFonts w:hint="eastAsia" w:ascii="宋体" w:hAnsi="宋体" w:eastAsia="宋体" w:cs="宋体"/>
          <w:sz w:val="28"/>
          <w:szCs w:val="28"/>
        </w:rPr>
        <w:t>供应商：（供应商全称并加盖公章）</w:t>
      </w:r>
    </w:p>
    <w:p>
      <w:pPr>
        <w:spacing w:line="560" w:lineRule="exact"/>
        <w:ind w:firstLine="3187" w:firstLineChars="1107"/>
        <w:jc w:val="both"/>
        <w:rPr>
          <w:rFonts w:ascii="宋体" w:hAnsi="宋体" w:eastAsia="宋体" w:cs="宋体"/>
          <w:sz w:val="28"/>
          <w:szCs w:val="28"/>
        </w:rPr>
      </w:pPr>
      <w:r>
        <w:rPr>
          <w:rFonts w:hint="eastAsia" w:ascii="宋体" w:hAnsi="宋体" w:eastAsia="宋体" w:cs="宋体"/>
          <w:sz w:val="28"/>
          <w:szCs w:val="28"/>
        </w:rPr>
        <w:t>日  期：    年  月  日</w:t>
      </w:r>
    </w:p>
    <w:p>
      <w:pP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br w:type="page"/>
      </w:r>
    </w:p>
    <w:p>
      <w:pPr>
        <w:pStyle w:val="4"/>
        <w:ind w:firstLine="657"/>
        <w:jc w:val="center"/>
        <w:rPr>
          <w:rFonts w:ascii="宋体" w:hAnsi="宋体" w:eastAsia="宋体" w:cs="宋体"/>
          <w:color w:val="000000" w:themeColor="text1"/>
          <w14:textFill>
            <w14:solidFill>
              <w14:schemeClr w14:val="tx1"/>
            </w14:solidFill>
          </w14:textFill>
        </w:rPr>
      </w:pPr>
      <w:bookmarkStart w:id="99" w:name="_Toc4010"/>
      <w:r>
        <w:rPr>
          <w:rFonts w:hint="eastAsia" w:ascii="宋体" w:hAnsi="宋体" w:eastAsia="宋体" w:cs="宋体"/>
          <w:color w:val="000000" w:themeColor="text1"/>
          <w14:textFill>
            <w14:solidFill>
              <w14:schemeClr w14:val="tx1"/>
            </w14:solidFill>
          </w14:textFill>
        </w:rPr>
        <w:t>第六部分  商务和技术响应偏离表</w:t>
      </w:r>
      <w:bookmarkEnd w:id="87"/>
      <w:bookmarkEnd w:id="88"/>
      <w:bookmarkEnd w:id="89"/>
      <w:bookmarkEnd w:id="90"/>
      <w:bookmarkEnd w:id="99"/>
    </w:p>
    <w:p>
      <w:pPr>
        <w:kinsoku w:val="0"/>
        <w:spacing w:line="480" w:lineRule="auto"/>
        <w:ind w:left="1269" w:hanging="1267" w:hangingChars="440"/>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表1、商务响应偏差表</w:t>
      </w:r>
    </w:p>
    <w:tbl>
      <w:tblPr>
        <w:tblStyle w:val="36"/>
        <w:tblW w:w="0" w:type="auto"/>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vAlign w:val="center"/>
          </w:tcPr>
          <w:p>
            <w:pPr>
              <w:pStyle w:val="13"/>
              <w:spacing w:line="360" w:lineRule="auto"/>
              <w:jc w:val="center"/>
              <w:rPr>
                <w:rFonts w:hAnsi="宋体" w:cs="宋体"/>
                <w:sz w:val="24"/>
              </w:rPr>
            </w:pPr>
            <w:r>
              <w:rPr>
                <w:rFonts w:hint="eastAsia" w:hAnsi="宋体" w:cs="宋体"/>
                <w:sz w:val="24"/>
              </w:rPr>
              <w:t>序号</w:t>
            </w:r>
          </w:p>
        </w:tc>
        <w:tc>
          <w:tcPr>
            <w:tcW w:w="1521" w:type="dxa"/>
            <w:vAlign w:val="center"/>
          </w:tcPr>
          <w:p>
            <w:pPr>
              <w:pStyle w:val="13"/>
              <w:spacing w:line="360" w:lineRule="auto"/>
              <w:jc w:val="center"/>
              <w:rPr>
                <w:rFonts w:hAnsi="宋体" w:cs="宋体"/>
                <w:sz w:val="24"/>
              </w:rPr>
            </w:pPr>
            <w:r>
              <w:rPr>
                <w:rFonts w:hint="eastAsia" w:hAnsi="宋体" w:cs="宋体"/>
                <w:sz w:val="24"/>
              </w:rPr>
              <w:t>商务条款</w:t>
            </w:r>
          </w:p>
        </w:tc>
        <w:tc>
          <w:tcPr>
            <w:tcW w:w="1600" w:type="dxa"/>
            <w:vAlign w:val="center"/>
          </w:tcPr>
          <w:p>
            <w:pPr>
              <w:pStyle w:val="13"/>
              <w:spacing w:line="360" w:lineRule="auto"/>
              <w:jc w:val="center"/>
              <w:rPr>
                <w:rFonts w:hAnsi="宋体" w:cs="宋体"/>
                <w:sz w:val="24"/>
              </w:rPr>
            </w:pPr>
            <w:r>
              <w:rPr>
                <w:rFonts w:hint="eastAsia" w:hAnsi="宋体" w:cs="宋体"/>
                <w:sz w:val="24"/>
              </w:rPr>
              <w:t>商务要求</w:t>
            </w:r>
          </w:p>
          <w:p>
            <w:pPr>
              <w:pStyle w:val="13"/>
              <w:spacing w:line="360" w:lineRule="auto"/>
              <w:jc w:val="center"/>
              <w:rPr>
                <w:rFonts w:hAnsi="宋体" w:cs="宋体"/>
                <w:sz w:val="24"/>
              </w:rPr>
            </w:pPr>
            <w:r>
              <w:rPr>
                <w:rFonts w:hint="eastAsia" w:hAnsi="宋体" w:cs="宋体"/>
                <w:sz w:val="24"/>
              </w:rPr>
              <w:t>内容</w:t>
            </w:r>
          </w:p>
        </w:tc>
        <w:tc>
          <w:tcPr>
            <w:tcW w:w="1938" w:type="dxa"/>
            <w:vAlign w:val="center"/>
          </w:tcPr>
          <w:p>
            <w:pPr>
              <w:pStyle w:val="13"/>
              <w:spacing w:line="360" w:lineRule="auto"/>
              <w:jc w:val="center"/>
              <w:rPr>
                <w:rFonts w:hAnsi="宋体" w:cs="宋体"/>
                <w:sz w:val="24"/>
              </w:rPr>
            </w:pPr>
            <w:r>
              <w:rPr>
                <w:rFonts w:hint="eastAsia" w:hAnsi="宋体" w:cs="宋体"/>
                <w:sz w:val="24"/>
              </w:rPr>
              <w:t>投标文件</w:t>
            </w:r>
          </w:p>
          <w:p>
            <w:pPr>
              <w:pStyle w:val="13"/>
              <w:spacing w:line="360" w:lineRule="auto"/>
              <w:jc w:val="center"/>
              <w:rPr>
                <w:rFonts w:hAnsi="宋体" w:cs="宋体"/>
                <w:sz w:val="24"/>
              </w:rPr>
            </w:pPr>
            <w:r>
              <w:rPr>
                <w:rFonts w:hint="eastAsia" w:hAnsi="宋体" w:cs="宋体"/>
                <w:sz w:val="24"/>
              </w:rPr>
              <w:t>响应商务内容</w:t>
            </w:r>
          </w:p>
        </w:tc>
        <w:tc>
          <w:tcPr>
            <w:tcW w:w="1410" w:type="dxa"/>
            <w:vAlign w:val="center"/>
          </w:tcPr>
          <w:p>
            <w:pPr>
              <w:pStyle w:val="13"/>
              <w:spacing w:line="360" w:lineRule="auto"/>
              <w:jc w:val="center"/>
              <w:rPr>
                <w:rFonts w:hAnsi="宋体" w:cs="宋体"/>
                <w:sz w:val="24"/>
              </w:rPr>
            </w:pPr>
            <w:r>
              <w:rPr>
                <w:rFonts w:hint="eastAsia" w:hAnsi="宋体" w:cs="宋体"/>
                <w:sz w:val="24"/>
              </w:rPr>
              <w:t>偏离情况</w:t>
            </w:r>
          </w:p>
        </w:tc>
        <w:tc>
          <w:tcPr>
            <w:tcW w:w="1356" w:type="dxa"/>
            <w:vAlign w:val="center"/>
          </w:tcPr>
          <w:p>
            <w:pPr>
              <w:pStyle w:val="13"/>
              <w:spacing w:line="360" w:lineRule="auto"/>
              <w:jc w:val="center"/>
              <w:rPr>
                <w:rFonts w:hAnsi="宋体" w:cs="宋体"/>
                <w:sz w:val="24"/>
              </w:rPr>
            </w:pPr>
            <w:r>
              <w:rPr>
                <w:rFonts w:hint="eastAsia"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3"/>
              <w:spacing w:line="480" w:lineRule="auto"/>
              <w:ind w:firstLine="496" w:firstLineChars="200"/>
              <w:rPr>
                <w:rFonts w:hAnsi="宋体" w:cs="宋体"/>
                <w:sz w:val="24"/>
              </w:rPr>
            </w:pPr>
          </w:p>
        </w:tc>
        <w:tc>
          <w:tcPr>
            <w:tcW w:w="1521" w:type="dxa"/>
          </w:tcPr>
          <w:p>
            <w:pPr>
              <w:pStyle w:val="13"/>
              <w:spacing w:line="480" w:lineRule="auto"/>
              <w:ind w:firstLine="496" w:firstLineChars="200"/>
              <w:rPr>
                <w:rFonts w:hAnsi="宋体" w:cs="宋体"/>
                <w:sz w:val="24"/>
              </w:rPr>
            </w:pPr>
          </w:p>
        </w:tc>
        <w:tc>
          <w:tcPr>
            <w:tcW w:w="1600" w:type="dxa"/>
            <w:vAlign w:val="center"/>
          </w:tcPr>
          <w:p>
            <w:pPr>
              <w:pStyle w:val="13"/>
              <w:spacing w:line="480" w:lineRule="auto"/>
              <w:ind w:firstLine="496" w:firstLineChars="200"/>
              <w:rPr>
                <w:rFonts w:hAnsi="宋体" w:cs="宋体"/>
                <w:sz w:val="24"/>
              </w:rPr>
            </w:pPr>
          </w:p>
        </w:tc>
        <w:tc>
          <w:tcPr>
            <w:tcW w:w="1938" w:type="dxa"/>
            <w:vAlign w:val="center"/>
          </w:tcPr>
          <w:p>
            <w:pPr>
              <w:pStyle w:val="13"/>
              <w:spacing w:line="480" w:lineRule="auto"/>
              <w:ind w:firstLine="496" w:firstLineChars="200"/>
              <w:rPr>
                <w:rFonts w:hAnsi="宋体" w:cs="宋体"/>
                <w:sz w:val="24"/>
              </w:rPr>
            </w:pPr>
          </w:p>
        </w:tc>
        <w:tc>
          <w:tcPr>
            <w:tcW w:w="1410" w:type="dxa"/>
            <w:vAlign w:val="center"/>
          </w:tcPr>
          <w:p>
            <w:pPr>
              <w:pStyle w:val="13"/>
              <w:spacing w:line="480" w:lineRule="auto"/>
              <w:ind w:firstLine="496" w:firstLineChars="200"/>
              <w:rPr>
                <w:rFonts w:hAnsi="宋体" w:cs="宋体"/>
                <w:sz w:val="24"/>
              </w:rPr>
            </w:pPr>
          </w:p>
        </w:tc>
        <w:tc>
          <w:tcPr>
            <w:tcW w:w="1356" w:type="dxa"/>
            <w:vAlign w:val="center"/>
          </w:tcPr>
          <w:p>
            <w:pPr>
              <w:pStyle w:val="13"/>
              <w:spacing w:line="480" w:lineRule="auto"/>
              <w:ind w:firstLine="496"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3"/>
              <w:spacing w:line="480" w:lineRule="auto"/>
              <w:ind w:firstLine="496" w:firstLineChars="200"/>
              <w:rPr>
                <w:rFonts w:hAnsi="宋体" w:cs="宋体"/>
                <w:sz w:val="24"/>
              </w:rPr>
            </w:pPr>
          </w:p>
        </w:tc>
        <w:tc>
          <w:tcPr>
            <w:tcW w:w="1521" w:type="dxa"/>
          </w:tcPr>
          <w:p>
            <w:pPr>
              <w:pStyle w:val="13"/>
              <w:spacing w:line="480" w:lineRule="auto"/>
              <w:ind w:firstLine="496" w:firstLineChars="200"/>
              <w:rPr>
                <w:rFonts w:hAnsi="宋体" w:cs="宋体"/>
                <w:sz w:val="24"/>
              </w:rPr>
            </w:pPr>
          </w:p>
        </w:tc>
        <w:tc>
          <w:tcPr>
            <w:tcW w:w="1600" w:type="dxa"/>
          </w:tcPr>
          <w:p>
            <w:pPr>
              <w:pStyle w:val="13"/>
              <w:spacing w:line="480" w:lineRule="auto"/>
              <w:ind w:firstLine="496" w:firstLineChars="200"/>
              <w:rPr>
                <w:rFonts w:hAnsi="宋体" w:cs="宋体"/>
                <w:sz w:val="24"/>
              </w:rPr>
            </w:pPr>
          </w:p>
        </w:tc>
        <w:tc>
          <w:tcPr>
            <w:tcW w:w="1938" w:type="dxa"/>
          </w:tcPr>
          <w:p>
            <w:pPr>
              <w:pStyle w:val="13"/>
              <w:spacing w:line="480" w:lineRule="auto"/>
              <w:ind w:firstLine="496" w:firstLineChars="200"/>
              <w:rPr>
                <w:rFonts w:hAnsi="宋体" w:cs="宋体"/>
                <w:sz w:val="24"/>
              </w:rPr>
            </w:pPr>
          </w:p>
        </w:tc>
        <w:tc>
          <w:tcPr>
            <w:tcW w:w="1410" w:type="dxa"/>
          </w:tcPr>
          <w:p>
            <w:pPr>
              <w:pStyle w:val="13"/>
              <w:spacing w:line="480" w:lineRule="auto"/>
              <w:ind w:firstLine="496" w:firstLineChars="200"/>
              <w:rPr>
                <w:rFonts w:hAnsi="宋体" w:cs="宋体"/>
                <w:sz w:val="24"/>
              </w:rPr>
            </w:pPr>
          </w:p>
        </w:tc>
        <w:tc>
          <w:tcPr>
            <w:tcW w:w="1356" w:type="dxa"/>
          </w:tcPr>
          <w:p>
            <w:pPr>
              <w:pStyle w:val="13"/>
              <w:spacing w:line="480" w:lineRule="auto"/>
              <w:ind w:firstLine="496"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3"/>
              <w:spacing w:line="480" w:lineRule="auto"/>
              <w:ind w:firstLine="496" w:firstLineChars="200"/>
              <w:rPr>
                <w:rFonts w:hAnsi="宋体" w:cs="宋体"/>
                <w:sz w:val="24"/>
              </w:rPr>
            </w:pPr>
          </w:p>
        </w:tc>
        <w:tc>
          <w:tcPr>
            <w:tcW w:w="1521" w:type="dxa"/>
          </w:tcPr>
          <w:p>
            <w:pPr>
              <w:pStyle w:val="13"/>
              <w:spacing w:line="480" w:lineRule="auto"/>
              <w:ind w:firstLine="496" w:firstLineChars="200"/>
              <w:rPr>
                <w:rFonts w:hAnsi="宋体" w:cs="宋体"/>
                <w:sz w:val="24"/>
              </w:rPr>
            </w:pPr>
          </w:p>
        </w:tc>
        <w:tc>
          <w:tcPr>
            <w:tcW w:w="1600" w:type="dxa"/>
          </w:tcPr>
          <w:p>
            <w:pPr>
              <w:pStyle w:val="13"/>
              <w:spacing w:line="480" w:lineRule="auto"/>
              <w:ind w:firstLine="496" w:firstLineChars="200"/>
              <w:rPr>
                <w:rFonts w:hAnsi="宋体" w:cs="宋体"/>
                <w:sz w:val="24"/>
              </w:rPr>
            </w:pPr>
          </w:p>
        </w:tc>
        <w:tc>
          <w:tcPr>
            <w:tcW w:w="1938" w:type="dxa"/>
          </w:tcPr>
          <w:p>
            <w:pPr>
              <w:pStyle w:val="13"/>
              <w:spacing w:line="480" w:lineRule="auto"/>
              <w:ind w:firstLine="496" w:firstLineChars="200"/>
              <w:rPr>
                <w:rFonts w:hAnsi="宋体" w:cs="宋体"/>
                <w:sz w:val="24"/>
              </w:rPr>
            </w:pPr>
          </w:p>
        </w:tc>
        <w:tc>
          <w:tcPr>
            <w:tcW w:w="1410" w:type="dxa"/>
          </w:tcPr>
          <w:p>
            <w:pPr>
              <w:pStyle w:val="13"/>
              <w:spacing w:line="480" w:lineRule="auto"/>
              <w:ind w:firstLine="496" w:firstLineChars="200"/>
              <w:rPr>
                <w:rFonts w:hAnsi="宋体" w:cs="宋体"/>
                <w:sz w:val="24"/>
              </w:rPr>
            </w:pPr>
          </w:p>
        </w:tc>
        <w:tc>
          <w:tcPr>
            <w:tcW w:w="1356" w:type="dxa"/>
          </w:tcPr>
          <w:p>
            <w:pPr>
              <w:pStyle w:val="13"/>
              <w:spacing w:line="480" w:lineRule="auto"/>
              <w:ind w:firstLine="496"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3"/>
              <w:spacing w:line="480" w:lineRule="auto"/>
              <w:ind w:firstLine="496" w:firstLineChars="200"/>
              <w:rPr>
                <w:rFonts w:hAnsi="宋体" w:cs="宋体"/>
                <w:sz w:val="24"/>
              </w:rPr>
            </w:pPr>
          </w:p>
        </w:tc>
        <w:tc>
          <w:tcPr>
            <w:tcW w:w="1521" w:type="dxa"/>
          </w:tcPr>
          <w:p>
            <w:pPr>
              <w:pStyle w:val="13"/>
              <w:spacing w:line="480" w:lineRule="auto"/>
              <w:ind w:firstLine="496" w:firstLineChars="200"/>
              <w:rPr>
                <w:rFonts w:hAnsi="宋体" w:cs="宋体"/>
                <w:sz w:val="24"/>
              </w:rPr>
            </w:pPr>
          </w:p>
        </w:tc>
        <w:tc>
          <w:tcPr>
            <w:tcW w:w="1600" w:type="dxa"/>
          </w:tcPr>
          <w:p>
            <w:pPr>
              <w:pStyle w:val="13"/>
              <w:spacing w:line="480" w:lineRule="auto"/>
              <w:ind w:firstLine="496" w:firstLineChars="200"/>
              <w:rPr>
                <w:rFonts w:hAnsi="宋体" w:cs="宋体"/>
                <w:sz w:val="24"/>
              </w:rPr>
            </w:pPr>
          </w:p>
        </w:tc>
        <w:tc>
          <w:tcPr>
            <w:tcW w:w="1938" w:type="dxa"/>
          </w:tcPr>
          <w:p>
            <w:pPr>
              <w:pStyle w:val="13"/>
              <w:spacing w:line="480" w:lineRule="auto"/>
              <w:ind w:firstLine="496" w:firstLineChars="200"/>
              <w:rPr>
                <w:rFonts w:hAnsi="宋体" w:cs="宋体"/>
                <w:sz w:val="24"/>
              </w:rPr>
            </w:pPr>
          </w:p>
        </w:tc>
        <w:tc>
          <w:tcPr>
            <w:tcW w:w="1410" w:type="dxa"/>
          </w:tcPr>
          <w:p>
            <w:pPr>
              <w:pStyle w:val="13"/>
              <w:spacing w:line="480" w:lineRule="auto"/>
              <w:ind w:firstLine="496" w:firstLineChars="200"/>
              <w:rPr>
                <w:rFonts w:hAnsi="宋体" w:cs="宋体"/>
                <w:sz w:val="24"/>
              </w:rPr>
            </w:pPr>
          </w:p>
        </w:tc>
        <w:tc>
          <w:tcPr>
            <w:tcW w:w="1356" w:type="dxa"/>
          </w:tcPr>
          <w:p>
            <w:pPr>
              <w:pStyle w:val="13"/>
              <w:spacing w:line="480" w:lineRule="auto"/>
              <w:ind w:firstLine="496"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3"/>
              <w:spacing w:line="480" w:lineRule="auto"/>
              <w:ind w:firstLine="496" w:firstLineChars="200"/>
              <w:rPr>
                <w:rFonts w:hAnsi="宋体" w:cs="宋体"/>
                <w:sz w:val="24"/>
              </w:rPr>
            </w:pPr>
          </w:p>
        </w:tc>
        <w:tc>
          <w:tcPr>
            <w:tcW w:w="1521" w:type="dxa"/>
          </w:tcPr>
          <w:p>
            <w:pPr>
              <w:pStyle w:val="13"/>
              <w:spacing w:line="480" w:lineRule="auto"/>
              <w:ind w:firstLine="496" w:firstLineChars="200"/>
              <w:rPr>
                <w:rFonts w:hAnsi="宋体" w:cs="宋体"/>
                <w:sz w:val="24"/>
              </w:rPr>
            </w:pPr>
          </w:p>
        </w:tc>
        <w:tc>
          <w:tcPr>
            <w:tcW w:w="1600" w:type="dxa"/>
          </w:tcPr>
          <w:p>
            <w:pPr>
              <w:pStyle w:val="13"/>
              <w:spacing w:line="480" w:lineRule="auto"/>
              <w:ind w:firstLine="496" w:firstLineChars="200"/>
              <w:rPr>
                <w:rFonts w:hAnsi="宋体" w:cs="宋体"/>
                <w:sz w:val="24"/>
              </w:rPr>
            </w:pPr>
          </w:p>
        </w:tc>
        <w:tc>
          <w:tcPr>
            <w:tcW w:w="1938" w:type="dxa"/>
          </w:tcPr>
          <w:p>
            <w:pPr>
              <w:pStyle w:val="13"/>
              <w:spacing w:line="480" w:lineRule="auto"/>
              <w:ind w:firstLine="496" w:firstLineChars="200"/>
              <w:rPr>
                <w:rFonts w:hAnsi="宋体" w:cs="宋体"/>
                <w:sz w:val="24"/>
              </w:rPr>
            </w:pPr>
          </w:p>
        </w:tc>
        <w:tc>
          <w:tcPr>
            <w:tcW w:w="1410" w:type="dxa"/>
          </w:tcPr>
          <w:p>
            <w:pPr>
              <w:pStyle w:val="13"/>
              <w:spacing w:line="480" w:lineRule="auto"/>
              <w:ind w:firstLine="496" w:firstLineChars="200"/>
              <w:rPr>
                <w:rFonts w:hAnsi="宋体" w:cs="宋体"/>
                <w:sz w:val="24"/>
              </w:rPr>
            </w:pPr>
          </w:p>
        </w:tc>
        <w:tc>
          <w:tcPr>
            <w:tcW w:w="1356" w:type="dxa"/>
          </w:tcPr>
          <w:p>
            <w:pPr>
              <w:pStyle w:val="13"/>
              <w:spacing w:line="480" w:lineRule="auto"/>
              <w:ind w:firstLine="496"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3"/>
              <w:spacing w:line="480" w:lineRule="auto"/>
              <w:ind w:firstLine="496" w:firstLineChars="200"/>
              <w:rPr>
                <w:rFonts w:hAnsi="宋体" w:cs="宋体"/>
                <w:sz w:val="24"/>
              </w:rPr>
            </w:pPr>
          </w:p>
        </w:tc>
        <w:tc>
          <w:tcPr>
            <w:tcW w:w="1521" w:type="dxa"/>
          </w:tcPr>
          <w:p>
            <w:pPr>
              <w:pStyle w:val="13"/>
              <w:spacing w:line="480" w:lineRule="auto"/>
              <w:ind w:firstLine="496" w:firstLineChars="200"/>
              <w:rPr>
                <w:rFonts w:hAnsi="宋体" w:cs="宋体"/>
                <w:sz w:val="24"/>
              </w:rPr>
            </w:pPr>
          </w:p>
        </w:tc>
        <w:tc>
          <w:tcPr>
            <w:tcW w:w="1600" w:type="dxa"/>
          </w:tcPr>
          <w:p>
            <w:pPr>
              <w:pStyle w:val="13"/>
              <w:spacing w:line="480" w:lineRule="auto"/>
              <w:ind w:firstLine="496" w:firstLineChars="200"/>
              <w:rPr>
                <w:rFonts w:hAnsi="宋体" w:cs="宋体"/>
                <w:sz w:val="24"/>
              </w:rPr>
            </w:pPr>
          </w:p>
        </w:tc>
        <w:tc>
          <w:tcPr>
            <w:tcW w:w="1938" w:type="dxa"/>
          </w:tcPr>
          <w:p>
            <w:pPr>
              <w:pStyle w:val="13"/>
              <w:spacing w:line="480" w:lineRule="auto"/>
              <w:ind w:firstLine="496" w:firstLineChars="200"/>
              <w:rPr>
                <w:rFonts w:hAnsi="宋体" w:cs="宋体"/>
                <w:sz w:val="24"/>
              </w:rPr>
            </w:pPr>
          </w:p>
        </w:tc>
        <w:tc>
          <w:tcPr>
            <w:tcW w:w="1410" w:type="dxa"/>
          </w:tcPr>
          <w:p>
            <w:pPr>
              <w:pStyle w:val="13"/>
              <w:spacing w:line="480" w:lineRule="auto"/>
              <w:ind w:firstLine="496" w:firstLineChars="200"/>
              <w:rPr>
                <w:rFonts w:hAnsi="宋体" w:cs="宋体"/>
                <w:sz w:val="24"/>
              </w:rPr>
            </w:pPr>
          </w:p>
        </w:tc>
        <w:tc>
          <w:tcPr>
            <w:tcW w:w="1356" w:type="dxa"/>
          </w:tcPr>
          <w:p>
            <w:pPr>
              <w:pStyle w:val="13"/>
              <w:spacing w:line="480" w:lineRule="auto"/>
              <w:ind w:firstLine="496"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3"/>
              <w:spacing w:line="480" w:lineRule="auto"/>
              <w:ind w:firstLine="496" w:firstLineChars="200"/>
              <w:rPr>
                <w:rFonts w:hAnsi="宋体" w:cs="宋体"/>
                <w:sz w:val="24"/>
              </w:rPr>
            </w:pPr>
          </w:p>
        </w:tc>
        <w:tc>
          <w:tcPr>
            <w:tcW w:w="1521" w:type="dxa"/>
          </w:tcPr>
          <w:p>
            <w:pPr>
              <w:pStyle w:val="13"/>
              <w:spacing w:line="480" w:lineRule="auto"/>
              <w:ind w:firstLine="496" w:firstLineChars="200"/>
              <w:rPr>
                <w:rFonts w:hAnsi="宋体" w:cs="宋体"/>
                <w:sz w:val="24"/>
              </w:rPr>
            </w:pPr>
          </w:p>
        </w:tc>
        <w:tc>
          <w:tcPr>
            <w:tcW w:w="1600" w:type="dxa"/>
          </w:tcPr>
          <w:p>
            <w:pPr>
              <w:pStyle w:val="13"/>
              <w:spacing w:line="480" w:lineRule="auto"/>
              <w:ind w:firstLine="496" w:firstLineChars="200"/>
              <w:rPr>
                <w:rFonts w:hAnsi="宋体" w:cs="宋体"/>
                <w:sz w:val="24"/>
              </w:rPr>
            </w:pPr>
          </w:p>
        </w:tc>
        <w:tc>
          <w:tcPr>
            <w:tcW w:w="1938" w:type="dxa"/>
          </w:tcPr>
          <w:p>
            <w:pPr>
              <w:pStyle w:val="13"/>
              <w:spacing w:line="480" w:lineRule="auto"/>
              <w:ind w:firstLine="496" w:firstLineChars="200"/>
              <w:rPr>
                <w:rFonts w:hAnsi="宋体" w:cs="宋体"/>
                <w:sz w:val="24"/>
              </w:rPr>
            </w:pPr>
          </w:p>
        </w:tc>
        <w:tc>
          <w:tcPr>
            <w:tcW w:w="1410" w:type="dxa"/>
          </w:tcPr>
          <w:p>
            <w:pPr>
              <w:pStyle w:val="13"/>
              <w:spacing w:line="480" w:lineRule="auto"/>
              <w:ind w:firstLine="496" w:firstLineChars="200"/>
              <w:rPr>
                <w:rFonts w:hAnsi="宋体" w:cs="宋体"/>
                <w:sz w:val="24"/>
              </w:rPr>
            </w:pPr>
          </w:p>
        </w:tc>
        <w:tc>
          <w:tcPr>
            <w:tcW w:w="1356" w:type="dxa"/>
          </w:tcPr>
          <w:p>
            <w:pPr>
              <w:pStyle w:val="13"/>
              <w:spacing w:line="480" w:lineRule="auto"/>
              <w:ind w:firstLine="496"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3" w:type="dxa"/>
          </w:tcPr>
          <w:p>
            <w:pPr>
              <w:pStyle w:val="13"/>
              <w:spacing w:line="480" w:lineRule="auto"/>
              <w:rPr>
                <w:rFonts w:hAnsi="宋体" w:cs="宋体"/>
                <w:sz w:val="24"/>
              </w:rPr>
            </w:pPr>
          </w:p>
        </w:tc>
        <w:tc>
          <w:tcPr>
            <w:tcW w:w="1521" w:type="dxa"/>
          </w:tcPr>
          <w:p>
            <w:pPr>
              <w:pStyle w:val="13"/>
              <w:spacing w:line="480" w:lineRule="auto"/>
              <w:rPr>
                <w:rFonts w:hAnsi="宋体" w:cs="宋体"/>
                <w:sz w:val="24"/>
              </w:rPr>
            </w:pPr>
          </w:p>
        </w:tc>
        <w:tc>
          <w:tcPr>
            <w:tcW w:w="1600" w:type="dxa"/>
          </w:tcPr>
          <w:p>
            <w:pPr>
              <w:pStyle w:val="13"/>
              <w:spacing w:line="480" w:lineRule="auto"/>
              <w:ind w:firstLine="496" w:firstLineChars="200"/>
              <w:rPr>
                <w:rFonts w:hAnsi="宋体" w:cs="宋体"/>
                <w:sz w:val="24"/>
              </w:rPr>
            </w:pPr>
          </w:p>
        </w:tc>
        <w:tc>
          <w:tcPr>
            <w:tcW w:w="1938" w:type="dxa"/>
          </w:tcPr>
          <w:p>
            <w:pPr>
              <w:pStyle w:val="13"/>
              <w:spacing w:line="480" w:lineRule="auto"/>
              <w:ind w:firstLine="496" w:firstLineChars="200"/>
              <w:rPr>
                <w:rFonts w:hAnsi="宋体" w:cs="宋体"/>
                <w:sz w:val="24"/>
              </w:rPr>
            </w:pPr>
          </w:p>
        </w:tc>
        <w:tc>
          <w:tcPr>
            <w:tcW w:w="1410" w:type="dxa"/>
          </w:tcPr>
          <w:p>
            <w:pPr>
              <w:pStyle w:val="13"/>
              <w:spacing w:line="480" w:lineRule="auto"/>
              <w:ind w:firstLine="496" w:firstLineChars="200"/>
              <w:rPr>
                <w:rFonts w:hAnsi="宋体" w:cs="宋体"/>
                <w:sz w:val="24"/>
              </w:rPr>
            </w:pPr>
          </w:p>
        </w:tc>
        <w:tc>
          <w:tcPr>
            <w:tcW w:w="1356" w:type="dxa"/>
          </w:tcPr>
          <w:p>
            <w:pPr>
              <w:pStyle w:val="13"/>
              <w:spacing w:line="480" w:lineRule="auto"/>
              <w:ind w:firstLine="496" w:firstLineChars="200"/>
              <w:rPr>
                <w:rFonts w:hAnsi="宋体" w:cs="宋体"/>
                <w:sz w:val="24"/>
              </w:rPr>
            </w:pPr>
          </w:p>
        </w:tc>
      </w:tr>
    </w:tbl>
    <w:p>
      <w:pPr>
        <w:pStyle w:val="12"/>
        <w:spacing w:line="360" w:lineRule="auto"/>
        <w:ind w:left="140" w:firstLine="0"/>
        <w:rPr>
          <w:rFonts w:ascii="宋体" w:hAnsi="宋体" w:cs="宋体"/>
          <w:b/>
          <w:bCs/>
        </w:rPr>
      </w:pPr>
      <w:r>
        <w:rPr>
          <w:rFonts w:hint="eastAsia" w:ascii="宋体" w:hAnsi="宋体" w:cs="宋体"/>
          <w:b/>
          <w:bCs/>
        </w:rPr>
        <w:t>1、本表须按“第二章  供应商须知”中所列商务条款进行比较和响应；</w:t>
      </w:r>
    </w:p>
    <w:p>
      <w:pPr>
        <w:pStyle w:val="12"/>
        <w:spacing w:line="360" w:lineRule="auto"/>
        <w:ind w:firstLine="248" w:firstLineChars="100"/>
        <w:rPr>
          <w:rFonts w:ascii="宋体" w:hAnsi="宋体" w:cs="宋体"/>
          <w:b/>
          <w:bCs/>
        </w:rPr>
      </w:pPr>
      <w:r>
        <w:rPr>
          <w:rFonts w:hint="eastAsia" w:ascii="宋体" w:hAnsi="宋体" w:cs="宋体"/>
          <w:b/>
          <w:bCs/>
        </w:rPr>
        <w:t>2、该表必须按照招标文件要求逐条如实填写，根据情况在“偏离情况”项填写正偏离或负偏离或无偏离，在“说明”项填写正偏离或负偏离原因。</w:t>
      </w:r>
    </w:p>
    <w:p>
      <w:pPr>
        <w:pStyle w:val="12"/>
        <w:spacing w:line="360" w:lineRule="auto"/>
        <w:ind w:left="140" w:firstLine="0"/>
        <w:rPr>
          <w:rFonts w:ascii="宋体" w:hAnsi="宋体" w:cs="宋体"/>
          <w:b/>
          <w:bCs/>
        </w:rPr>
      </w:pPr>
      <w:r>
        <w:rPr>
          <w:rFonts w:hint="eastAsia" w:ascii="宋体" w:hAnsi="宋体" w:cs="宋体"/>
          <w:b/>
          <w:bCs/>
        </w:rPr>
        <w:t>3、该表可扩展。商务条款不允许负偏离；</w:t>
      </w:r>
    </w:p>
    <w:p>
      <w:pPr>
        <w:adjustRightInd w:val="0"/>
        <w:snapToGrid w:val="0"/>
        <w:spacing w:line="480" w:lineRule="auto"/>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供应商（单位名称及公章）：</w:t>
      </w:r>
    </w:p>
    <w:p>
      <w:pPr>
        <w:adjustRightInd w:val="0"/>
        <w:snapToGrid w:val="0"/>
        <w:spacing w:line="48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法定代表人或被授权人（签字或盖章）：</w:t>
      </w:r>
    </w:p>
    <w:p>
      <w:pPr>
        <w:adjustRightInd w:val="0"/>
        <w:snapToGrid w:val="0"/>
        <w:spacing w:line="480" w:lineRule="auto"/>
        <w:rPr>
          <w:rFonts w:ascii="宋体" w:hAnsi="宋体" w:cs="宋体"/>
        </w:rPr>
      </w:pPr>
      <w:r>
        <w:rPr>
          <w:rFonts w:hint="eastAsia" w:ascii="宋体" w:hAnsi="宋体" w:cs="宋体"/>
          <w:color w:val="000000" w:themeColor="text1"/>
          <w14:textFill>
            <w14:solidFill>
              <w14:schemeClr w14:val="tx1"/>
            </w14:solidFill>
          </w14:textFill>
        </w:rPr>
        <w:t xml:space="preserve">日    期：  </w:t>
      </w:r>
      <w:r>
        <w:rPr>
          <w:rFonts w:hint="eastAsia" w:asciiTheme="minorEastAsia" w:hAnsiTheme="minorEastAsia" w:cstheme="minorEastAsia"/>
        </w:rPr>
        <w:t>______年________月_______日</w:t>
      </w:r>
    </w:p>
    <w:p>
      <w:pPr>
        <w:adjustRightInd w:val="0"/>
        <w:snapToGrid w:val="0"/>
        <w:spacing w:line="480" w:lineRule="auto"/>
        <w:rPr>
          <w:rFonts w:ascii="宋体" w:hAnsi="宋体"/>
          <w:color w:val="000000" w:themeColor="text1"/>
          <w14:textFill>
            <w14:solidFill>
              <w14:schemeClr w14:val="tx1"/>
            </w14:solidFill>
          </w14:textFill>
        </w:rPr>
        <w:sectPr>
          <w:headerReference r:id="rId15" w:type="default"/>
          <w:pgSz w:w="11906" w:h="16838"/>
          <w:pgMar w:top="1440" w:right="1803" w:bottom="1440" w:left="1803" w:header="850" w:footer="992" w:gutter="0"/>
          <w:pgNumType w:fmt="decimal"/>
          <w:cols w:space="0" w:num="1"/>
          <w:titlePg/>
          <w:docGrid w:type="linesAndChars" w:linePitch="395" w:charSpace="1724"/>
        </w:sectPr>
      </w:pPr>
    </w:p>
    <w:p>
      <w:pPr>
        <w:rPr>
          <w:rFonts w:ascii="宋体" w:hAnsi="宋体" w:cs="宋体"/>
        </w:rPr>
      </w:pPr>
      <w:r>
        <w:rPr>
          <w:rFonts w:hint="eastAsia" w:asciiTheme="minorEastAsia" w:hAnsiTheme="minorEastAsia" w:cstheme="minorEastAsia"/>
          <w:color w:val="000000" w:themeColor="text1"/>
          <w:sz w:val="28"/>
          <w:szCs w:val="28"/>
          <w14:textFill>
            <w14:solidFill>
              <w14:schemeClr w14:val="tx1"/>
            </w14:solidFill>
          </w14:textFill>
        </w:rPr>
        <w:t>表2、</w:t>
      </w:r>
      <w:r>
        <w:rPr>
          <w:rFonts w:hint="eastAsia" w:ascii="宋体" w:hAnsi="宋体" w:cs="宋体"/>
          <w:sz w:val="28"/>
          <w:szCs w:val="32"/>
        </w:rPr>
        <w:t>技术响应偏离表</w:t>
      </w:r>
    </w:p>
    <w:tbl>
      <w:tblPr>
        <w:tblStyle w:val="36"/>
        <w:tblW w:w="0" w:type="auto"/>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vAlign w:val="center"/>
          </w:tcPr>
          <w:p>
            <w:pPr>
              <w:pStyle w:val="13"/>
              <w:spacing w:line="360" w:lineRule="auto"/>
              <w:jc w:val="center"/>
              <w:rPr>
                <w:rFonts w:hAnsi="宋体" w:cs="宋体"/>
                <w:sz w:val="24"/>
              </w:rPr>
            </w:pPr>
            <w:r>
              <w:rPr>
                <w:rFonts w:hint="eastAsia" w:hAnsi="宋体" w:cs="宋体"/>
                <w:sz w:val="24"/>
              </w:rPr>
              <w:t>序号</w:t>
            </w:r>
          </w:p>
        </w:tc>
        <w:tc>
          <w:tcPr>
            <w:tcW w:w="1521" w:type="dxa"/>
            <w:vAlign w:val="center"/>
          </w:tcPr>
          <w:p>
            <w:pPr>
              <w:pStyle w:val="13"/>
              <w:spacing w:line="360" w:lineRule="auto"/>
              <w:jc w:val="center"/>
              <w:rPr>
                <w:rFonts w:hAnsi="宋体" w:cs="宋体"/>
                <w:sz w:val="24"/>
              </w:rPr>
            </w:pPr>
            <w:r>
              <w:rPr>
                <w:rFonts w:hint="eastAsia" w:hAnsi="宋体" w:cs="宋体"/>
                <w:sz w:val="24"/>
              </w:rPr>
              <w:t>产品名称</w:t>
            </w:r>
          </w:p>
        </w:tc>
        <w:tc>
          <w:tcPr>
            <w:tcW w:w="1600" w:type="dxa"/>
            <w:vAlign w:val="center"/>
          </w:tcPr>
          <w:p>
            <w:pPr>
              <w:spacing w:line="500" w:lineRule="exact"/>
              <w:jc w:val="center"/>
              <w:rPr>
                <w:rFonts w:ascii="宋体" w:hAnsi="宋体" w:cs="宋体"/>
              </w:rPr>
            </w:pPr>
            <w:r>
              <w:rPr>
                <w:rFonts w:hint="eastAsia" w:ascii="宋体" w:hAnsi="宋体" w:cs="宋体"/>
              </w:rPr>
              <w:t>标书要求</w:t>
            </w:r>
          </w:p>
          <w:p>
            <w:pPr>
              <w:spacing w:line="500" w:lineRule="exact"/>
              <w:jc w:val="center"/>
              <w:rPr>
                <w:rFonts w:ascii="宋体" w:hAnsi="宋体" w:cs="宋体"/>
              </w:rPr>
            </w:pPr>
            <w:r>
              <w:rPr>
                <w:rFonts w:hint="eastAsia" w:ascii="宋体" w:hAnsi="宋体" w:cs="宋体"/>
              </w:rPr>
              <w:t>技术指标</w:t>
            </w:r>
          </w:p>
        </w:tc>
        <w:tc>
          <w:tcPr>
            <w:tcW w:w="1938" w:type="dxa"/>
            <w:vAlign w:val="center"/>
          </w:tcPr>
          <w:p>
            <w:pPr>
              <w:spacing w:line="500" w:lineRule="exact"/>
              <w:jc w:val="center"/>
              <w:rPr>
                <w:rFonts w:ascii="宋体" w:hAnsi="宋体" w:cs="宋体"/>
              </w:rPr>
            </w:pPr>
            <w:r>
              <w:rPr>
                <w:rFonts w:hint="eastAsia" w:ascii="宋体" w:hAnsi="宋体" w:cs="宋体"/>
              </w:rPr>
              <w:t>投标产品</w:t>
            </w:r>
          </w:p>
          <w:p>
            <w:pPr>
              <w:spacing w:line="500" w:lineRule="exact"/>
              <w:jc w:val="center"/>
              <w:rPr>
                <w:rFonts w:ascii="宋体" w:hAnsi="宋体" w:cs="宋体"/>
              </w:rPr>
            </w:pPr>
            <w:r>
              <w:rPr>
                <w:rFonts w:hint="eastAsia" w:ascii="宋体" w:hAnsi="宋体" w:cs="宋体"/>
              </w:rPr>
              <w:t>技术指标</w:t>
            </w:r>
          </w:p>
        </w:tc>
        <w:tc>
          <w:tcPr>
            <w:tcW w:w="1410" w:type="dxa"/>
            <w:vAlign w:val="center"/>
          </w:tcPr>
          <w:p>
            <w:pPr>
              <w:spacing w:line="500" w:lineRule="exact"/>
              <w:jc w:val="center"/>
              <w:rPr>
                <w:rFonts w:ascii="宋体" w:hAnsi="宋体" w:cs="宋体"/>
              </w:rPr>
            </w:pPr>
            <w:r>
              <w:rPr>
                <w:rFonts w:hint="eastAsia" w:ascii="宋体" w:hAnsi="宋体" w:cs="宋体"/>
              </w:rPr>
              <w:t>偏离情况</w:t>
            </w:r>
          </w:p>
        </w:tc>
        <w:tc>
          <w:tcPr>
            <w:tcW w:w="1356" w:type="dxa"/>
            <w:vAlign w:val="center"/>
          </w:tcPr>
          <w:p>
            <w:pPr>
              <w:pStyle w:val="13"/>
              <w:spacing w:line="360" w:lineRule="auto"/>
              <w:jc w:val="center"/>
              <w:rPr>
                <w:rFonts w:hAnsi="宋体" w:cs="宋体"/>
                <w:sz w:val="24"/>
              </w:rPr>
            </w:pPr>
            <w:r>
              <w:rPr>
                <w:rFonts w:hint="eastAsia"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3"/>
              <w:spacing w:line="480" w:lineRule="auto"/>
              <w:ind w:firstLine="480" w:firstLineChars="200"/>
              <w:rPr>
                <w:rFonts w:hAnsi="宋体" w:cs="宋体"/>
                <w:sz w:val="24"/>
              </w:rPr>
            </w:pPr>
          </w:p>
        </w:tc>
        <w:tc>
          <w:tcPr>
            <w:tcW w:w="1521" w:type="dxa"/>
          </w:tcPr>
          <w:p>
            <w:pPr>
              <w:pStyle w:val="13"/>
              <w:spacing w:line="480" w:lineRule="auto"/>
              <w:ind w:firstLine="480" w:firstLineChars="200"/>
              <w:rPr>
                <w:rFonts w:hAnsi="宋体" w:cs="宋体"/>
                <w:sz w:val="24"/>
              </w:rPr>
            </w:pPr>
          </w:p>
        </w:tc>
        <w:tc>
          <w:tcPr>
            <w:tcW w:w="1600" w:type="dxa"/>
            <w:vAlign w:val="center"/>
          </w:tcPr>
          <w:p>
            <w:pPr>
              <w:pStyle w:val="13"/>
              <w:spacing w:line="480" w:lineRule="auto"/>
              <w:ind w:firstLine="480" w:firstLineChars="200"/>
              <w:rPr>
                <w:rFonts w:hAnsi="宋体" w:cs="宋体"/>
                <w:sz w:val="24"/>
              </w:rPr>
            </w:pPr>
          </w:p>
        </w:tc>
        <w:tc>
          <w:tcPr>
            <w:tcW w:w="1938" w:type="dxa"/>
            <w:vAlign w:val="center"/>
          </w:tcPr>
          <w:p>
            <w:pPr>
              <w:pStyle w:val="13"/>
              <w:spacing w:line="480" w:lineRule="auto"/>
              <w:ind w:firstLine="480" w:firstLineChars="200"/>
              <w:rPr>
                <w:rFonts w:hAnsi="宋体" w:cs="宋体"/>
                <w:sz w:val="24"/>
              </w:rPr>
            </w:pPr>
          </w:p>
        </w:tc>
        <w:tc>
          <w:tcPr>
            <w:tcW w:w="1410" w:type="dxa"/>
            <w:vAlign w:val="center"/>
          </w:tcPr>
          <w:p>
            <w:pPr>
              <w:pStyle w:val="13"/>
              <w:spacing w:line="480" w:lineRule="auto"/>
              <w:ind w:firstLine="480" w:firstLineChars="200"/>
              <w:rPr>
                <w:rFonts w:hAnsi="宋体" w:cs="宋体"/>
                <w:sz w:val="24"/>
              </w:rPr>
            </w:pPr>
          </w:p>
        </w:tc>
        <w:tc>
          <w:tcPr>
            <w:tcW w:w="1356" w:type="dxa"/>
            <w:vAlign w:val="center"/>
          </w:tcPr>
          <w:p>
            <w:pPr>
              <w:pStyle w:val="13"/>
              <w:spacing w:line="480" w:lineRule="auto"/>
              <w:ind w:firstLine="480"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3"/>
              <w:spacing w:line="480" w:lineRule="auto"/>
              <w:ind w:firstLine="480" w:firstLineChars="200"/>
              <w:rPr>
                <w:rFonts w:hAnsi="宋体" w:cs="宋体"/>
                <w:sz w:val="24"/>
              </w:rPr>
            </w:pPr>
          </w:p>
        </w:tc>
        <w:tc>
          <w:tcPr>
            <w:tcW w:w="1521" w:type="dxa"/>
          </w:tcPr>
          <w:p>
            <w:pPr>
              <w:pStyle w:val="13"/>
              <w:spacing w:line="480" w:lineRule="auto"/>
              <w:ind w:firstLine="480" w:firstLineChars="200"/>
              <w:rPr>
                <w:rFonts w:hAnsi="宋体" w:cs="宋体"/>
                <w:sz w:val="24"/>
              </w:rPr>
            </w:pPr>
          </w:p>
        </w:tc>
        <w:tc>
          <w:tcPr>
            <w:tcW w:w="1600" w:type="dxa"/>
          </w:tcPr>
          <w:p>
            <w:pPr>
              <w:pStyle w:val="13"/>
              <w:spacing w:line="480" w:lineRule="auto"/>
              <w:ind w:firstLine="480" w:firstLineChars="200"/>
              <w:rPr>
                <w:rFonts w:hAnsi="宋体" w:cs="宋体"/>
                <w:sz w:val="24"/>
              </w:rPr>
            </w:pPr>
          </w:p>
        </w:tc>
        <w:tc>
          <w:tcPr>
            <w:tcW w:w="1938" w:type="dxa"/>
          </w:tcPr>
          <w:p>
            <w:pPr>
              <w:pStyle w:val="13"/>
              <w:spacing w:line="480" w:lineRule="auto"/>
              <w:ind w:firstLine="480" w:firstLineChars="200"/>
              <w:rPr>
                <w:rFonts w:hAnsi="宋体" w:cs="宋体"/>
                <w:sz w:val="24"/>
              </w:rPr>
            </w:pPr>
          </w:p>
        </w:tc>
        <w:tc>
          <w:tcPr>
            <w:tcW w:w="1410" w:type="dxa"/>
          </w:tcPr>
          <w:p>
            <w:pPr>
              <w:pStyle w:val="13"/>
              <w:spacing w:line="480" w:lineRule="auto"/>
              <w:ind w:firstLine="480" w:firstLineChars="200"/>
              <w:rPr>
                <w:rFonts w:hAnsi="宋体" w:cs="宋体"/>
                <w:sz w:val="24"/>
              </w:rPr>
            </w:pPr>
          </w:p>
        </w:tc>
        <w:tc>
          <w:tcPr>
            <w:tcW w:w="1356" w:type="dxa"/>
          </w:tcPr>
          <w:p>
            <w:pPr>
              <w:pStyle w:val="13"/>
              <w:spacing w:line="480" w:lineRule="auto"/>
              <w:ind w:firstLine="480"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3"/>
              <w:spacing w:line="480" w:lineRule="auto"/>
              <w:ind w:firstLine="480" w:firstLineChars="200"/>
              <w:rPr>
                <w:rFonts w:hAnsi="宋体" w:cs="宋体"/>
                <w:sz w:val="24"/>
              </w:rPr>
            </w:pPr>
          </w:p>
        </w:tc>
        <w:tc>
          <w:tcPr>
            <w:tcW w:w="1521" w:type="dxa"/>
          </w:tcPr>
          <w:p>
            <w:pPr>
              <w:pStyle w:val="13"/>
              <w:spacing w:line="480" w:lineRule="auto"/>
              <w:ind w:firstLine="480" w:firstLineChars="200"/>
              <w:rPr>
                <w:rFonts w:hAnsi="宋体" w:cs="宋体"/>
                <w:sz w:val="24"/>
              </w:rPr>
            </w:pPr>
          </w:p>
        </w:tc>
        <w:tc>
          <w:tcPr>
            <w:tcW w:w="1600" w:type="dxa"/>
          </w:tcPr>
          <w:p>
            <w:pPr>
              <w:pStyle w:val="13"/>
              <w:spacing w:line="480" w:lineRule="auto"/>
              <w:ind w:firstLine="480" w:firstLineChars="200"/>
              <w:rPr>
                <w:rFonts w:hAnsi="宋体" w:cs="宋体"/>
                <w:sz w:val="24"/>
              </w:rPr>
            </w:pPr>
          </w:p>
        </w:tc>
        <w:tc>
          <w:tcPr>
            <w:tcW w:w="1938" w:type="dxa"/>
          </w:tcPr>
          <w:p>
            <w:pPr>
              <w:pStyle w:val="13"/>
              <w:spacing w:line="480" w:lineRule="auto"/>
              <w:ind w:firstLine="480" w:firstLineChars="200"/>
              <w:rPr>
                <w:rFonts w:hAnsi="宋体" w:cs="宋体"/>
                <w:sz w:val="24"/>
              </w:rPr>
            </w:pPr>
          </w:p>
        </w:tc>
        <w:tc>
          <w:tcPr>
            <w:tcW w:w="1410" w:type="dxa"/>
          </w:tcPr>
          <w:p>
            <w:pPr>
              <w:pStyle w:val="13"/>
              <w:spacing w:line="480" w:lineRule="auto"/>
              <w:ind w:firstLine="480" w:firstLineChars="200"/>
              <w:rPr>
                <w:rFonts w:hAnsi="宋体" w:cs="宋体"/>
                <w:sz w:val="24"/>
              </w:rPr>
            </w:pPr>
          </w:p>
        </w:tc>
        <w:tc>
          <w:tcPr>
            <w:tcW w:w="1356" w:type="dxa"/>
          </w:tcPr>
          <w:p>
            <w:pPr>
              <w:pStyle w:val="13"/>
              <w:spacing w:line="480" w:lineRule="auto"/>
              <w:ind w:firstLine="480"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3"/>
              <w:spacing w:line="480" w:lineRule="auto"/>
              <w:ind w:firstLine="480" w:firstLineChars="200"/>
              <w:rPr>
                <w:rFonts w:hAnsi="宋体" w:cs="宋体"/>
                <w:sz w:val="24"/>
              </w:rPr>
            </w:pPr>
          </w:p>
        </w:tc>
        <w:tc>
          <w:tcPr>
            <w:tcW w:w="1521" w:type="dxa"/>
          </w:tcPr>
          <w:p>
            <w:pPr>
              <w:pStyle w:val="13"/>
              <w:spacing w:line="480" w:lineRule="auto"/>
              <w:ind w:firstLine="480" w:firstLineChars="200"/>
              <w:rPr>
                <w:rFonts w:hAnsi="宋体" w:cs="宋体"/>
                <w:sz w:val="24"/>
              </w:rPr>
            </w:pPr>
          </w:p>
        </w:tc>
        <w:tc>
          <w:tcPr>
            <w:tcW w:w="1600" w:type="dxa"/>
          </w:tcPr>
          <w:p>
            <w:pPr>
              <w:pStyle w:val="13"/>
              <w:spacing w:line="480" w:lineRule="auto"/>
              <w:ind w:firstLine="480" w:firstLineChars="200"/>
              <w:rPr>
                <w:rFonts w:hAnsi="宋体" w:cs="宋体"/>
                <w:sz w:val="24"/>
              </w:rPr>
            </w:pPr>
          </w:p>
        </w:tc>
        <w:tc>
          <w:tcPr>
            <w:tcW w:w="1938" w:type="dxa"/>
          </w:tcPr>
          <w:p>
            <w:pPr>
              <w:pStyle w:val="13"/>
              <w:spacing w:line="480" w:lineRule="auto"/>
              <w:ind w:firstLine="480" w:firstLineChars="200"/>
              <w:rPr>
                <w:rFonts w:hAnsi="宋体" w:cs="宋体"/>
                <w:sz w:val="24"/>
              </w:rPr>
            </w:pPr>
          </w:p>
        </w:tc>
        <w:tc>
          <w:tcPr>
            <w:tcW w:w="1410" w:type="dxa"/>
          </w:tcPr>
          <w:p>
            <w:pPr>
              <w:pStyle w:val="13"/>
              <w:spacing w:line="480" w:lineRule="auto"/>
              <w:ind w:firstLine="480" w:firstLineChars="200"/>
              <w:rPr>
                <w:rFonts w:hAnsi="宋体" w:cs="宋体"/>
                <w:sz w:val="24"/>
              </w:rPr>
            </w:pPr>
          </w:p>
        </w:tc>
        <w:tc>
          <w:tcPr>
            <w:tcW w:w="1356" w:type="dxa"/>
          </w:tcPr>
          <w:p>
            <w:pPr>
              <w:pStyle w:val="13"/>
              <w:spacing w:line="480" w:lineRule="auto"/>
              <w:ind w:firstLine="480"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3"/>
              <w:spacing w:line="480" w:lineRule="auto"/>
              <w:ind w:firstLine="480" w:firstLineChars="200"/>
              <w:rPr>
                <w:rFonts w:hAnsi="宋体" w:cs="宋体"/>
                <w:sz w:val="24"/>
              </w:rPr>
            </w:pPr>
          </w:p>
        </w:tc>
        <w:tc>
          <w:tcPr>
            <w:tcW w:w="1521" w:type="dxa"/>
          </w:tcPr>
          <w:p>
            <w:pPr>
              <w:pStyle w:val="13"/>
              <w:spacing w:line="480" w:lineRule="auto"/>
              <w:ind w:firstLine="480" w:firstLineChars="200"/>
              <w:rPr>
                <w:rFonts w:hAnsi="宋体" w:cs="宋体"/>
                <w:sz w:val="24"/>
              </w:rPr>
            </w:pPr>
          </w:p>
        </w:tc>
        <w:tc>
          <w:tcPr>
            <w:tcW w:w="1600" w:type="dxa"/>
          </w:tcPr>
          <w:p>
            <w:pPr>
              <w:pStyle w:val="13"/>
              <w:spacing w:line="480" w:lineRule="auto"/>
              <w:ind w:firstLine="480" w:firstLineChars="200"/>
              <w:rPr>
                <w:rFonts w:hAnsi="宋体" w:cs="宋体"/>
                <w:sz w:val="24"/>
              </w:rPr>
            </w:pPr>
          </w:p>
        </w:tc>
        <w:tc>
          <w:tcPr>
            <w:tcW w:w="1938" w:type="dxa"/>
          </w:tcPr>
          <w:p>
            <w:pPr>
              <w:pStyle w:val="13"/>
              <w:spacing w:line="480" w:lineRule="auto"/>
              <w:ind w:firstLine="480" w:firstLineChars="200"/>
              <w:rPr>
                <w:rFonts w:hAnsi="宋体" w:cs="宋体"/>
                <w:sz w:val="24"/>
              </w:rPr>
            </w:pPr>
          </w:p>
        </w:tc>
        <w:tc>
          <w:tcPr>
            <w:tcW w:w="1410" w:type="dxa"/>
          </w:tcPr>
          <w:p>
            <w:pPr>
              <w:pStyle w:val="13"/>
              <w:spacing w:line="480" w:lineRule="auto"/>
              <w:ind w:firstLine="480" w:firstLineChars="200"/>
              <w:rPr>
                <w:rFonts w:hAnsi="宋体" w:cs="宋体"/>
                <w:sz w:val="24"/>
              </w:rPr>
            </w:pPr>
          </w:p>
        </w:tc>
        <w:tc>
          <w:tcPr>
            <w:tcW w:w="1356" w:type="dxa"/>
          </w:tcPr>
          <w:p>
            <w:pPr>
              <w:pStyle w:val="13"/>
              <w:spacing w:line="480" w:lineRule="auto"/>
              <w:ind w:firstLine="480"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3"/>
              <w:spacing w:line="480" w:lineRule="auto"/>
              <w:ind w:firstLine="480" w:firstLineChars="200"/>
              <w:rPr>
                <w:rFonts w:hAnsi="宋体" w:cs="宋体"/>
                <w:sz w:val="24"/>
              </w:rPr>
            </w:pPr>
          </w:p>
        </w:tc>
        <w:tc>
          <w:tcPr>
            <w:tcW w:w="1521" w:type="dxa"/>
          </w:tcPr>
          <w:p>
            <w:pPr>
              <w:pStyle w:val="13"/>
              <w:spacing w:line="480" w:lineRule="auto"/>
              <w:ind w:firstLine="480" w:firstLineChars="200"/>
              <w:rPr>
                <w:rFonts w:hAnsi="宋体" w:cs="宋体"/>
                <w:sz w:val="24"/>
              </w:rPr>
            </w:pPr>
          </w:p>
        </w:tc>
        <w:tc>
          <w:tcPr>
            <w:tcW w:w="1600" w:type="dxa"/>
          </w:tcPr>
          <w:p>
            <w:pPr>
              <w:pStyle w:val="13"/>
              <w:spacing w:line="480" w:lineRule="auto"/>
              <w:ind w:firstLine="480" w:firstLineChars="200"/>
              <w:rPr>
                <w:rFonts w:hAnsi="宋体" w:cs="宋体"/>
                <w:sz w:val="24"/>
              </w:rPr>
            </w:pPr>
          </w:p>
        </w:tc>
        <w:tc>
          <w:tcPr>
            <w:tcW w:w="1938" w:type="dxa"/>
          </w:tcPr>
          <w:p>
            <w:pPr>
              <w:pStyle w:val="13"/>
              <w:spacing w:line="480" w:lineRule="auto"/>
              <w:ind w:firstLine="480" w:firstLineChars="200"/>
              <w:rPr>
                <w:rFonts w:hAnsi="宋体" w:cs="宋体"/>
                <w:sz w:val="24"/>
              </w:rPr>
            </w:pPr>
          </w:p>
        </w:tc>
        <w:tc>
          <w:tcPr>
            <w:tcW w:w="1410" w:type="dxa"/>
          </w:tcPr>
          <w:p>
            <w:pPr>
              <w:pStyle w:val="13"/>
              <w:spacing w:line="480" w:lineRule="auto"/>
              <w:ind w:firstLine="480" w:firstLineChars="200"/>
              <w:rPr>
                <w:rFonts w:hAnsi="宋体" w:cs="宋体"/>
                <w:sz w:val="24"/>
              </w:rPr>
            </w:pPr>
          </w:p>
        </w:tc>
        <w:tc>
          <w:tcPr>
            <w:tcW w:w="1356" w:type="dxa"/>
          </w:tcPr>
          <w:p>
            <w:pPr>
              <w:pStyle w:val="13"/>
              <w:spacing w:line="480" w:lineRule="auto"/>
              <w:ind w:firstLine="480"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3"/>
              <w:spacing w:line="480" w:lineRule="auto"/>
              <w:ind w:firstLine="480" w:firstLineChars="200"/>
              <w:rPr>
                <w:rFonts w:hAnsi="宋体" w:cs="宋体"/>
                <w:sz w:val="24"/>
              </w:rPr>
            </w:pPr>
          </w:p>
        </w:tc>
        <w:tc>
          <w:tcPr>
            <w:tcW w:w="1521" w:type="dxa"/>
          </w:tcPr>
          <w:p>
            <w:pPr>
              <w:pStyle w:val="13"/>
              <w:spacing w:line="480" w:lineRule="auto"/>
              <w:ind w:firstLine="480" w:firstLineChars="200"/>
              <w:rPr>
                <w:rFonts w:hAnsi="宋体" w:cs="宋体"/>
                <w:sz w:val="24"/>
              </w:rPr>
            </w:pPr>
          </w:p>
        </w:tc>
        <w:tc>
          <w:tcPr>
            <w:tcW w:w="1600" w:type="dxa"/>
          </w:tcPr>
          <w:p>
            <w:pPr>
              <w:pStyle w:val="13"/>
              <w:spacing w:line="480" w:lineRule="auto"/>
              <w:ind w:firstLine="480" w:firstLineChars="200"/>
              <w:rPr>
                <w:rFonts w:hAnsi="宋体" w:cs="宋体"/>
                <w:sz w:val="24"/>
              </w:rPr>
            </w:pPr>
          </w:p>
        </w:tc>
        <w:tc>
          <w:tcPr>
            <w:tcW w:w="1938" w:type="dxa"/>
          </w:tcPr>
          <w:p>
            <w:pPr>
              <w:pStyle w:val="13"/>
              <w:spacing w:line="480" w:lineRule="auto"/>
              <w:ind w:firstLine="480" w:firstLineChars="200"/>
              <w:rPr>
                <w:rFonts w:hAnsi="宋体" w:cs="宋体"/>
                <w:sz w:val="24"/>
              </w:rPr>
            </w:pPr>
          </w:p>
        </w:tc>
        <w:tc>
          <w:tcPr>
            <w:tcW w:w="1410" w:type="dxa"/>
          </w:tcPr>
          <w:p>
            <w:pPr>
              <w:pStyle w:val="13"/>
              <w:spacing w:line="480" w:lineRule="auto"/>
              <w:ind w:firstLine="480" w:firstLineChars="200"/>
              <w:rPr>
                <w:rFonts w:hAnsi="宋体" w:cs="宋体"/>
                <w:sz w:val="24"/>
              </w:rPr>
            </w:pPr>
          </w:p>
        </w:tc>
        <w:tc>
          <w:tcPr>
            <w:tcW w:w="1356" w:type="dxa"/>
          </w:tcPr>
          <w:p>
            <w:pPr>
              <w:pStyle w:val="13"/>
              <w:spacing w:line="480" w:lineRule="auto"/>
              <w:ind w:firstLine="480"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3" w:type="dxa"/>
          </w:tcPr>
          <w:p>
            <w:pPr>
              <w:pStyle w:val="13"/>
              <w:spacing w:line="480" w:lineRule="auto"/>
              <w:rPr>
                <w:rFonts w:hAnsi="宋体" w:cs="宋体"/>
                <w:sz w:val="24"/>
              </w:rPr>
            </w:pPr>
          </w:p>
        </w:tc>
        <w:tc>
          <w:tcPr>
            <w:tcW w:w="1521" w:type="dxa"/>
          </w:tcPr>
          <w:p>
            <w:pPr>
              <w:pStyle w:val="13"/>
              <w:spacing w:line="480" w:lineRule="auto"/>
              <w:rPr>
                <w:rFonts w:hAnsi="宋体" w:cs="宋体"/>
                <w:sz w:val="24"/>
              </w:rPr>
            </w:pPr>
          </w:p>
        </w:tc>
        <w:tc>
          <w:tcPr>
            <w:tcW w:w="1600" w:type="dxa"/>
          </w:tcPr>
          <w:p>
            <w:pPr>
              <w:pStyle w:val="13"/>
              <w:spacing w:line="480" w:lineRule="auto"/>
              <w:ind w:firstLine="480" w:firstLineChars="200"/>
              <w:rPr>
                <w:rFonts w:hAnsi="宋体" w:cs="宋体"/>
                <w:sz w:val="24"/>
              </w:rPr>
            </w:pPr>
          </w:p>
        </w:tc>
        <w:tc>
          <w:tcPr>
            <w:tcW w:w="1938" w:type="dxa"/>
          </w:tcPr>
          <w:p>
            <w:pPr>
              <w:pStyle w:val="13"/>
              <w:spacing w:line="480" w:lineRule="auto"/>
              <w:ind w:firstLine="480" w:firstLineChars="200"/>
              <w:rPr>
                <w:rFonts w:hAnsi="宋体" w:cs="宋体"/>
                <w:sz w:val="24"/>
              </w:rPr>
            </w:pPr>
          </w:p>
        </w:tc>
        <w:tc>
          <w:tcPr>
            <w:tcW w:w="1410" w:type="dxa"/>
          </w:tcPr>
          <w:p>
            <w:pPr>
              <w:pStyle w:val="13"/>
              <w:spacing w:line="480" w:lineRule="auto"/>
              <w:ind w:firstLine="480" w:firstLineChars="200"/>
              <w:rPr>
                <w:rFonts w:hAnsi="宋体" w:cs="宋体"/>
                <w:sz w:val="24"/>
              </w:rPr>
            </w:pPr>
          </w:p>
        </w:tc>
        <w:tc>
          <w:tcPr>
            <w:tcW w:w="1356" w:type="dxa"/>
          </w:tcPr>
          <w:p>
            <w:pPr>
              <w:pStyle w:val="13"/>
              <w:spacing w:line="480" w:lineRule="auto"/>
              <w:ind w:firstLine="480" w:firstLineChars="200"/>
              <w:rPr>
                <w:rFonts w:hAnsi="宋体" w:cs="宋体"/>
                <w:sz w:val="24"/>
              </w:rPr>
            </w:pPr>
          </w:p>
        </w:tc>
      </w:tr>
    </w:tbl>
    <w:p>
      <w:pPr>
        <w:pStyle w:val="12"/>
        <w:spacing w:line="360" w:lineRule="auto"/>
        <w:ind w:left="140" w:firstLine="0"/>
        <w:rPr>
          <w:rFonts w:ascii="宋体" w:hAnsi="宋体" w:cs="宋体"/>
          <w:b/>
          <w:bCs/>
        </w:rPr>
      </w:pPr>
      <w:r>
        <w:rPr>
          <w:rFonts w:hint="eastAsia" w:ascii="宋体" w:hAnsi="宋体" w:cs="宋体"/>
          <w:b/>
          <w:bCs/>
        </w:rPr>
        <w:t>1、本表须按“第三章招标内容及要求”中所列服务要求进行比较和响应；</w:t>
      </w:r>
    </w:p>
    <w:p>
      <w:pPr>
        <w:pStyle w:val="12"/>
        <w:spacing w:line="360" w:lineRule="auto"/>
        <w:ind w:left="140" w:firstLine="0"/>
        <w:rPr>
          <w:rFonts w:ascii="宋体" w:hAnsi="宋体" w:cs="宋体"/>
        </w:rPr>
      </w:pPr>
      <w:r>
        <w:rPr>
          <w:rFonts w:hint="eastAsia" w:ascii="宋体" w:hAnsi="宋体" w:cs="宋体"/>
          <w:b/>
          <w:bCs/>
        </w:rPr>
        <w:t>2、该表必须按照招标文件要求逐条如实填写，根据情况在“偏离情况”项填写正偏离或负偏离或无偏离，在“说明”项填写正偏离或负偏离原因。</w:t>
      </w:r>
    </w:p>
    <w:p>
      <w:pPr>
        <w:pStyle w:val="12"/>
        <w:spacing w:line="360" w:lineRule="auto"/>
        <w:ind w:left="140" w:firstLine="0"/>
        <w:rPr>
          <w:rFonts w:ascii="宋体" w:hAnsi="宋体" w:cs="宋体"/>
        </w:rPr>
      </w:pPr>
      <w:r>
        <w:rPr>
          <w:rFonts w:hint="eastAsia" w:ascii="宋体" w:hAnsi="宋体" w:cs="宋体"/>
          <w:b/>
          <w:bCs/>
        </w:rPr>
        <w:t>3、该表可扩展。</w:t>
      </w:r>
    </w:p>
    <w:p>
      <w:pPr>
        <w:adjustRightInd w:val="0"/>
        <w:snapToGrid w:val="0"/>
        <w:spacing w:line="480" w:lineRule="auto"/>
        <w:rPr>
          <w:rFonts w:asciiTheme="minorEastAsia" w:hAnsiTheme="minorEastAsia" w:cstheme="minorEastAsia"/>
          <w:color w:val="000000" w:themeColor="text1"/>
          <w14:textFill>
            <w14:solidFill>
              <w14:schemeClr w14:val="tx1"/>
            </w14:solidFill>
          </w14:textFill>
        </w:rPr>
      </w:pPr>
    </w:p>
    <w:p>
      <w:pPr>
        <w:adjustRightInd w:val="0"/>
        <w:snapToGrid w:val="0"/>
        <w:spacing w:line="480" w:lineRule="auto"/>
        <w:rPr>
          <w:rFonts w:asciiTheme="minorEastAsia" w:hAnsiTheme="minorEastAsia" w:cstheme="minorEastAsia"/>
          <w:color w:val="000000" w:themeColor="text1"/>
          <w:u w:val="single"/>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供应商（单位名称及公章）：</w:t>
      </w:r>
    </w:p>
    <w:p>
      <w:pPr>
        <w:adjustRightInd w:val="0"/>
        <w:snapToGrid w:val="0"/>
        <w:spacing w:line="48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法定代表人或被授权人（签字或盖章）：</w:t>
      </w:r>
    </w:p>
    <w:p>
      <w:pPr>
        <w:adjustRightInd w:val="0"/>
        <w:snapToGrid w:val="0"/>
        <w:spacing w:line="480" w:lineRule="auto"/>
        <w:rPr>
          <w:rFonts w:ascii="宋体" w:hAnsi="宋体" w:cs="宋体"/>
        </w:rPr>
      </w:pPr>
      <w:r>
        <w:rPr>
          <w:rFonts w:hint="eastAsia" w:asciiTheme="minorEastAsia" w:hAnsiTheme="minorEastAsia" w:cstheme="minorEastAsia"/>
          <w:color w:val="000000" w:themeColor="text1"/>
          <w14:textFill>
            <w14:solidFill>
              <w14:schemeClr w14:val="tx1"/>
            </w14:solidFill>
          </w14:textFill>
        </w:rPr>
        <w:t xml:space="preserve">日    期：  </w:t>
      </w:r>
      <w:r>
        <w:rPr>
          <w:rFonts w:hint="eastAsia" w:asciiTheme="minorEastAsia" w:hAnsiTheme="minorEastAsia" w:cstheme="minorEastAsia"/>
        </w:rPr>
        <w:t>______年________月_______日</w:t>
      </w:r>
    </w:p>
    <w:p>
      <w:pPr>
        <w:adjustRightInd w:val="0"/>
        <w:snapToGrid w:val="0"/>
        <w:spacing w:line="480" w:lineRule="auto"/>
        <w:rPr>
          <w:rFonts w:asciiTheme="minorEastAsia" w:hAnsiTheme="minorEastAsia" w:cstheme="minorEastAsia"/>
          <w:color w:val="000000" w:themeColor="text1"/>
          <w14:textFill>
            <w14:solidFill>
              <w14:schemeClr w14:val="tx1"/>
            </w14:solidFill>
          </w14:textFill>
        </w:rPr>
      </w:pPr>
    </w:p>
    <w:p/>
    <w:bookmarkEnd w:id="91"/>
    <w:bookmarkEnd w:id="92"/>
    <w:bookmarkEnd w:id="93"/>
    <w:bookmarkEnd w:id="94"/>
    <w:p>
      <w:pPr>
        <w:rPr>
          <w:rFonts w:asciiTheme="minorEastAsia" w:hAnsiTheme="minorEastAsia" w:cstheme="minorEastAsia"/>
          <w:color w:val="000000" w:themeColor="text1"/>
          <w:sz w:val="36"/>
          <w:szCs w:val="36"/>
          <w14:textFill>
            <w14:solidFill>
              <w14:schemeClr w14:val="tx1"/>
            </w14:solidFill>
          </w14:textFill>
        </w:rPr>
      </w:pPr>
      <w:bookmarkStart w:id="100" w:name="_Toc24830"/>
      <w:r>
        <w:rPr>
          <w:rFonts w:hint="eastAsia" w:asciiTheme="minorEastAsia" w:hAnsiTheme="minorEastAsia" w:cstheme="minorEastAsia"/>
          <w:color w:val="000000" w:themeColor="text1"/>
          <w:sz w:val="36"/>
          <w:szCs w:val="36"/>
          <w14:textFill>
            <w14:solidFill>
              <w14:schemeClr w14:val="tx1"/>
            </w14:solidFill>
          </w14:textFill>
        </w:rPr>
        <w:br w:type="page"/>
      </w:r>
    </w:p>
    <w:p>
      <w:pPr>
        <w:pStyle w:val="4"/>
        <w:spacing w:before="319" w:beforeLines="100" w:after="478" w:afterLines="150" w:line="500" w:lineRule="exact"/>
        <w:jc w:val="center"/>
        <w:rPr>
          <w:rFonts w:asciiTheme="minorEastAsia" w:hAnsiTheme="minorEastAsia" w:eastAsiaTheme="minorEastAsia" w:cstheme="minorEastAsia"/>
          <w:color w:val="000000" w:themeColor="text1"/>
          <w14:textFill>
            <w14:solidFill>
              <w14:schemeClr w14:val="tx1"/>
            </w14:solidFill>
          </w14:textFill>
        </w:rPr>
      </w:pPr>
      <w:bookmarkStart w:id="101" w:name="_Toc258"/>
      <w:bookmarkStart w:id="102" w:name="_Toc23939"/>
      <w:r>
        <w:rPr>
          <w:rFonts w:hint="eastAsia" w:asciiTheme="minorEastAsia" w:hAnsiTheme="minorEastAsia" w:eastAsiaTheme="minorEastAsia" w:cstheme="minorEastAsia"/>
          <w:color w:val="000000" w:themeColor="text1"/>
          <w14:textFill>
            <w14:solidFill>
              <w14:schemeClr w14:val="tx1"/>
            </w14:solidFill>
          </w14:textFill>
        </w:rPr>
        <w:t xml:space="preserve">第七部分  </w:t>
      </w:r>
      <w:bookmarkEnd w:id="100"/>
      <w:bookmarkEnd w:id="101"/>
      <w:r>
        <w:rPr>
          <w:rFonts w:hint="eastAsia" w:asciiTheme="minorEastAsia" w:hAnsiTheme="minorEastAsia" w:eastAsiaTheme="minorEastAsia" w:cstheme="minorEastAsia"/>
          <w:color w:val="000000" w:themeColor="text1"/>
          <w14:textFill>
            <w14:solidFill>
              <w14:schemeClr w14:val="tx1"/>
            </w14:solidFill>
          </w14:textFill>
        </w:rPr>
        <w:t>技术与服务方案</w:t>
      </w:r>
      <w:bookmarkEnd w:id="102"/>
    </w:p>
    <w:p>
      <w:pPr>
        <w:rPr>
          <w:rFonts w:ascii="宋体" w:hAnsi="宋体" w:cs="宋体"/>
          <w:b/>
          <w:bCs/>
          <w:sz w:val="20"/>
          <w:szCs w:val="20"/>
        </w:rPr>
      </w:pPr>
      <w:r>
        <w:rPr>
          <w:rFonts w:hint="eastAsia" w:ascii="宋体" w:hAnsi="宋体" w:cs="宋体"/>
          <w:b/>
          <w:bCs/>
        </w:rPr>
        <w:t>由供应商自行编写，无具体格式。</w:t>
      </w:r>
    </w:p>
    <w:p>
      <w:pPr>
        <w:jc w:val="both"/>
        <w:rPr>
          <w:rFonts w:asciiTheme="minorEastAsia" w:hAnsiTheme="minorEastAsia" w:cstheme="minorEastAsia"/>
        </w:rPr>
      </w:pPr>
      <w:r>
        <w:rPr>
          <w:rFonts w:hint="eastAsia" w:asciiTheme="minorEastAsia" w:hAnsiTheme="minorEastAsia" w:cstheme="minorEastAsia"/>
        </w:rPr>
        <w:t xml:space="preserve">  </w:t>
      </w:r>
    </w:p>
    <w:p>
      <w:pPr>
        <w:rPr>
          <w:rFonts w:asciiTheme="minorEastAsia" w:hAnsiTheme="minorEastAsia" w:cstheme="minorEastAsia"/>
          <w:color w:val="000000" w:themeColor="text1"/>
          <w:sz w:val="32"/>
          <w:szCs w:val="32"/>
          <w14:textFill>
            <w14:solidFill>
              <w14:schemeClr w14:val="tx1"/>
            </w14:solidFill>
          </w14:textFill>
        </w:rPr>
      </w:pPr>
      <w:r>
        <w:rPr>
          <w:rFonts w:hint="eastAsia"/>
        </w:rPr>
        <w:t xml:space="preserve">                      </w:t>
      </w:r>
      <w:r>
        <w:rPr>
          <w:rFonts w:hint="eastAsia" w:asciiTheme="minorEastAsia" w:hAnsiTheme="minorEastAsia" w:cstheme="minorEastAsia"/>
          <w:color w:val="000000" w:themeColor="text1"/>
          <w:sz w:val="32"/>
          <w:szCs w:val="32"/>
          <w14:textFill>
            <w14:solidFill>
              <w14:schemeClr w14:val="tx1"/>
            </w14:solidFill>
          </w14:textFill>
        </w:rPr>
        <w:t xml:space="preserve"> </w:t>
      </w:r>
    </w:p>
    <w:p>
      <w:pPr>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br w:type="page"/>
      </w:r>
    </w:p>
    <w:p>
      <w:pPr>
        <w:jc w:val="center"/>
        <w:outlineLvl w:val="1"/>
      </w:pPr>
      <w:bookmarkStart w:id="103" w:name="_Toc4711"/>
      <w:r>
        <w:rPr>
          <w:rFonts w:hint="eastAsia" w:asciiTheme="minorEastAsia" w:hAnsiTheme="minorEastAsia" w:cstheme="minorEastAsia"/>
          <w:color w:val="000000" w:themeColor="text1"/>
          <w:sz w:val="32"/>
          <w:szCs w:val="32"/>
          <w14:textFill>
            <w14:solidFill>
              <w14:schemeClr w14:val="tx1"/>
            </w14:solidFill>
          </w14:textFill>
        </w:rPr>
        <w:t>第八部分  服务承诺</w:t>
      </w:r>
      <w:bookmarkEnd w:id="103"/>
    </w:p>
    <w:p>
      <w:pPr>
        <w:rPr>
          <w:rFonts w:ascii="宋体" w:hAnsi="宋体" w:cs="宋体"/>
          <w:b/>
          <w:bCs/>
          <w:sz w:val="20"/>
          <w:szCs w:val="20"/>
        </w:rPr>
      </w:pPr>
      <w:bookmarkStart w:id="104" w:name="_Toc11540"/>
      <w:bookmarkStart w:id="105" w:name="_Toc6020"/>
      <w:bookmarkStart w:id="106" w:name="_Toc3034"/>
      <w:bookmarkStart w:id="107" w:name="_Toc24882"/>
      <w:bookmarkStart w:id="108" w:name="_Toc8494"/>
      <w:bookmarkStart w:id="109" w:name="_Toc11410"/>
      <w:bookmarkStart w:id="110" w:name="_Toc30983"/>
      <w:bookmarkStart w:id="111" w:name="_Toc12793"/>
      <w:r>
        <w:rPr>
          <w:rFonts w:hint="eastAsia" w:ascii="宋体" w:hAnsi="宋体" w:cs="宋体"/>
          <w:b/>
          <w:bCs/>
        </w:rPr>
        <w:t>由供应商自行编写，无具体格式。</w:t>
      </w:r>
    </w:p>
    <w:p>
      <w:pP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br w:type="page"/>
      </w:r>
    </w:p>
    <w:p>
      <w:pPr>
        <w:pStyle w:val="4"/>
        <w:jc w:val="center"/>
        <w:rPr>
          <w:rFonts w:ascii="宋体" w:hAnsi="宋体" w:eastAsia="宋体" w:cs="宋体"/>
          <w:color w:val="000000" w:themeColor="text1"/>
          <w14:textFill>
            <w14:solidFill>
              <w14:schemeClr w14:val="tx1"/>
            </w14:solidFill>
          </w14:textFill>
        </w:rPr>
      </w:pPr>
      <w:bookmarkStart w:id="112" w:name="_Toc31967"/>
      <w:r>
        <w:rPr>
          <w:rFonts w:hint="eastAsia" w:ascii="宋体" w:hAnsi="宋体" w:eastAsia="宋体" w:cs="宋体"/>
          <w:color w:val="000000" w:themeColor="text1"/>
          <w14:textFill>
            <w14:solidFill>
              <w14:schemeClr w14:val="tx1"/>
            </w14:solidFill>
          </w14:textFill>
        </w:rPr>
        <w:t>第九部分  供应商业绩一览表</w:t>
      </w:r>
      <w:bookmarkEnd w:id="104"/>
      <w:bookmarkEnd w:id="105"/>
      <w:bookmarkEnd w:id="106"/>
      <w:bookmarkEnd w:id="107"/>
      <w:bookmarkEnd w:id="112"/>
    </w:p>
    <w:p>
      <w:pPr>
        <w:rPr>
          <w:rFonts w:asciiTheme="minorEastAsia" w:hAnsiTheme="minorEastAsia" w:cstheme="minorEastAsia"/>
          <w:color w:val="000000" w:themeColor="text1"/>
          <w14:textFill>
            <w14:solidFill>
              <w14:schemeClr w14:val="tx1"/>
            </w14:solidFill>
          </w14:textFill>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01"/>
        <w:gridCol w:w="1602"/>
        <w:gridCol w:w="1468"/>
        <w:gridCol w:w="1485"/>
        <w:gridCol w:w="1577"/>
        <w:gridCol w:w="116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35" w:hRule="atLeast"/>
          <w:jc w:val="center"/>
        </w:trPr>
        <w:tc>
          <w:tcPr>
            <w:tcW w:w="801" w:type="dxa"/>
            <w:tcBorders>
              <w:top w:val="single" w:color="auto" w:sz="4" w:space="0"/>
            </w:tcBorders>
            <w:vAlign w:val="center"/>
          </w:tcPr>
          <w:p>
            <w:pPr>
              <w:spacing w:line="400" w:lineRule="exact"/>
              <w:rPr>
                <w:rFonts w:ascii="宋体" w:hAnsi="宋体" w:cs="宋体"/>
              </w:rPr>
            </w:pPr>
            <w:r>
              <w:rPr>
                <w:rFonts w:hint="eastAsia" w:ascii="宋体" w:hAnsi="宋体" w:cs="宋体"/>
              </w:rPr>
              <w:t>年份</w:t>
            </w:r>
          </w:p>
        </w:tc>
        <w:tc>
          <w:tcPr>
            <w:tcW w:w="1602"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用户名称</w:t>
            </w:r>
          </w:p>
        </w:tc>
        <w:tc>
          <w:tcPr>
            <w:tcW w:w="1468"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项目名称</w:t>
            </w:r>
          </w:p>
        </w:tc>
        <w:tc>
          <w:tcPr>
            <w:tcW w:w="1485" w:type="dxa"/>
            <w:tcBorders>
              <w:top w:val="single" w:color="auto" w:sz="4" w:space="0"/>
            </w:tcBorders>
            <w:vAlign w:val="center"/>
          </w:tcPr>
          <w:p>
            <w:pPr>
              <w:spacing w:line="400" w:lineRule="exact"/>
              <w:jc w:val="center"/>
              <w:rPr>
                <w:rFonts w:ascii="宋体" w:hAnsi="宋体" w:eastAsia="宋体" w:cs="宋体"/>
              </w:rPr>
            </w:pPr>
            <w:r>
              <w:rPr>
                <w:rFonts w:hint="eastAsia" w:ascii="宋体" w:hAnsi="宋体" w:cs="宋体"/>
              </w:rPr>
              <w:t>合同签订时间</w:t>
            </w:r>
          </w:p>
        </w:tc>
        <w:tc>
          <w:tcPr>
            <w:tcW w:w="1577" w:type="dxa"/>
            <w:tcBorders>
              <w:top w:val="single" w:color="auto" w:sz="4" w:space="0"/>
            </w:tcBorders>
            <w:vAlign w:val="center"/>
          </w:tcPr>
          <w:p>
            <w:pPr>
              <w:spacing w:line="400" w:lineRule="exact"/>
              <w:ind w:firstLine="120" w:firstLineChars="50"/>
              <w:rPr>
                <w:rFonts w:ascii="宋体" w:hAnsi="宋体" w:cs="宋体"/>
              </w:rPr>
            </w:pPr>
            <w:r>
              <w:rPr>
                <w:rFonts w:hint="eastAsia" w:ascii="宋体" w:hAnsi="宋体" w:cs="宋体"/>
              </w:rPr>
              <w:t>合同金额</w:t>
            </w:r>
          </w:p>
        </w:tc>
        <w:tc>
          <w:tcPr>
            <w:tcW w:w="1163" w:type="dxa"/>
            <w:tcBorders>
              <w:top w:val="single" w:color="auto" w:sz="4" w:space="0"/>
              <w:left w:val="single" w:color="auto" w:sz="4" w:space="0"/>
            </w:tcBorders>
            <w:vAlign w:val="center"/>
          </w:tcPr>
          <w:p>
            <w:pPr>
              <w:spacing w:line="400" w:lineRule="exact"/>
              <w:rPr>
                <w:rFonts w:ascii="宋体" w:hAnsi="宋体" w:cs="宋体"/>
              </w:rPr>
            </w:pPr>
            <w:r>
              <w:rPr>
                <w:rFonts w:hint="eastAsia" w:ascii="宋体" w:hAnsi="宋体" w:cs="宋体"/>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vAlign w:val="center"/>
          </w:tcPr>
          <w:p>
            <w:pPr>
              <w:spacing w:line="400" w:lineRule="exact"/>
              <w:jc w:val="center"/>
              <w:rPr>
                <w:rFonts w:ascii="宋体" w:hAnsi="宋体" w:cs="宋体"/>
              </w:rPr>
            </w:pPr>
          </w:p>
        </w:tc>
        <w:tc>
          <w:tcPr>
            <w:tcW w:w="1602" w:type="dxa"/>
            <w:vAlign w:val="center"/>
          </w:tcPr>
          <w:p>
            <w:pPr>
              <w:spacing w:line="400" w:lineRule="exact"/>
              <w:jc w:val="center"/>
              <w:rPr>
                <w:rFonts w:ascii="宋体" w:hAnsi="宋体" w:cs="宋体"/>
              </w:rPr>
            </w:pPr>
          </w:p>
        </w:tc>
        <w:tc>
          <w:tcPr>
            <w:tcW w:w="1468" w:type="dxa"/>
            <w:vAlign w:val="center"/>
          </w:tcPr>
          <w:p>
            <w:pPr>
              <w:spacing w:line="400" w:lineRule="exact"/>
              <w:jc w:val="center"/>
              <w:rPr>
                <w:rFonts w:ascii="宋体" w:hAnsi="宋体" w:cs="宋体"/>
              </w:rPr>
            </w:pPr>
          </w:p>
        </w:tc>
        <w:tc>
          <w:tcPr>
            <w:tcW w:w="1485" w:type="dxa"/>
            <w:vAlign w:val="center"/>
          </w:tcPr>
          <w:p>
            <w:pPr>
              <w:spacing w:line="400" w:lineRule="exact"/>
              <w:jc w:val="center"/>
              <w:rPr>
                <w:rFonts w:ascii="宋体" w:hAnsi="宋体" w:cs="宋体"/>
              </w:rPr>
            </w:pPr>
          </w:p>
        </w:tc>
        <w:tc>
          <w:tcPr>
            <w:tcW w:w="1577" w:type="dxa"/>
            <w:vAlign w:val="center"/>
          </w:tcPr>
          <w:p>
            <w:pPr>
              <w:spacing w:line="400" w:lineRule="exact"/>
              <w:jc w:val="center"/>
              <w:rPr>
                <w:rFonts w:ascii="宋体" w:hAnsi="宋体" w:cs="宋体"/>
              </w:rPr>
            </w:pPr>
          </w:p>
        </w:tc>
        <w:tc>
          <w:tcPr>
            <w:tcW w:w="1163"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vAlign w:val="center"/>
          </w:tcPr>
          <w:p>
            <w:pPr>
              <w:spacing w:line="400" w:lineRule="exact"/>
              <w:jc w:val="center"/>
              <w:rPr>
                <w:rFonts w:ascii="宋体" w:hAnsi="宋体" w:cs="宋体"/>
              </w:rPr>
            </w:pPr>
          </w:p>
        </w:tc>
        <w:tc>
          <w:tcPr>
            <w:tcW w:w="1602" w:type="dxa"/>
            <w:vAlign w:val="center"/>
          </w:tcPr>
          <w:p>
            <w:pPr>
              <w:spacing w:line="400" w:lineRule="exact"/>
              <w:jc w:val="center"/>
              <w:rPr>
                <w:rFonts w:ascii="宋体" w:hAnsi="宋体" w:cs="宋体"/>
              </w:rPr>
            </w:pPr>
          </w:p>
        </w:tc>
        <w:tc>
          <w:tcPr>
            <w:tcW w:w="1468" w:type="dxa"/>
            <w:vAlign w:val="center"/>
          </w:tcPr>
          <w:p>
            <w:pPr>
              <w:spacing w:line="400" w:lineRule="exact"/>
              <w:jc w:val="center"/>
              <w:rPr>
                <w:rFonts w:ascii="宋体" w:hAnsi="宋体" w:cs="宋体"/>
              </w:rPr>
            </w:pPr>
          </w:p>
        </w:tc>
        <w:tc>
          <w:tcPr>
            <w:tcW w:w="1485" w:type="dxa"/>
            <w:vAlign w:val="center"/>
          </w:tcPr>
          <w:p>
            <w:pPr>
              <w:spacing w:line="400" w:lineRule="exact"/>
              <w:jc w:val="center"/>
              <w:rPr>
                <w:rFonts w:ascii="宋体" w:hAnsi="宋体" w:cs="宋体"/>
              </w:rPr>
            </w:pPr>
          </w:p>
        </w:tc>
        <w:tc>
          <w:tcPr>
            <w:tcW w:w="1577" w:type="dxa"/>
            <w:vAlign w:val="center"/>
          </w:tcPr>
          <w:p>
            <w:pPr>
              <w:spacing w:line="400" w:lineRule="exact"/>
              <w:jc w:val="center"/>
              <w:rPr>
                <w:rFonts w:ascii="宋体" w:hAnsi="宋体" w:cs="宋体"/>
              </w:rPr>
            </w:pPr>
          </w:p>
        </w:tc>
        <w:tc>
          <w:tcPr>
            <w:tcW w:w="1163"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vAlign w:val="center"/>
          </w:tcPr>
          <w:p>
            <w:pPr>
              <w:spacing w:line="400" w:lineRule="exact"/>
              <w:jc w:val="center"/>
              <w:rPr>
                <w:rFonts w:ascii="宋体" w:hAnsi="宋体" w:cs="宋体"/>
              </w:rPr>
            </w:pPr>
          </w:p>
        </w:tc>
        <w:tc>
          <w:tcPr>
            <w:tcW w:w="1602" w:type="dxa"/>
            <w:vAlign w:val="center"/>
          </w:tcPr>
          <w:p>
            <w:pPr>
              <w:spacing w:line="400" w:lineRule="exact"/>
              <w:jc w:val="center"/>
              <w:rPr>
                <w:rFonts w:ascii="宋体" w:hAnsi="宋体" w:cs="宋体"/>
              </w:rPr>
            </w:pPr>
          </w:p>
        </w:tc>
        <w:tc>
          <w:tcPr>
            <w:tcW w:w="1468" w:type="dxa"/>
            <w:vAlign w:val="center"/>
          </w:tcPr>
          <w:p>
            <w:pPr>
              <w:spacing w:line="400" w:lineRule="exact"/>
              <w:jc w:val="center"/>
              <w:rPr>
                <w:rFonts w:ascii="宋体" w:hAnsi="宋体" w:cs="宋体"/>
              </w:rPr>
            </w:pPr>
          </w:p>
        </w:tc>
        <w:tc>
          <w:tcPr>
            <w:tcW w:w="1485" w:type="dxa"/>
            <w:vAlign w:val="center"/>
          </w:tcPr>
          <w:p>
            <w:pPr>
              <w:spacing w:line="400" w:lineRule="exact"/>
              <w:jc w:val="center"/>
              <w:rPr>
                <w:rFonts w:ascii="宋体" w:hAnsi="宋体" w:cs="宋体"/>
              </w:rPr>
            </w:pPr>
          </w:p>
        </w:tc>
        <w:tc>
          <w:tcPr>
            <w:tcW w:w="1577" w:type="dxa"/>
            <w:vAlign w:val="center"/>
          </w:tcPr>
          <w:p>
            <w:pPr>
              <w:spacing w:line="400" w:lineRule="exact"/>
              <w:jc w:val="center"/>
              <w:rPr>
                <w:rFonts w:ascii="宋体" w:hAnsi="宋体" w:cs="宋体"/>
              </w:rPr>
            </w:pPr>
          </w:p>
        </w:tc>
        <w:tc>
          <w:tcPr>
            <w:tcW w:w="1163"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vAlign w:val="center"/>
          </w:tcPr>
          <w:p>
            <w:pPr>
              <w:spacing w:line="400" w:lineRule="exact"/>
              <w:jc w:val="center"/>
              <w:rPr>
                <w:rFonts w:ascii="宋体" w:hAnsi="宋体" w:cs="宋体"/>
              </w:rPr>
            </w:pPr>
          </w:p>
        </w:tc>
        <w:tc>
          <w:tcPr>
            <w:tcW w:w="1602" w:type="dxa"/>
            <w:tcBorders>
              <w:right w:val="single" w:color="auto" w:sz="4" w:space="0"/>
            </w:tcBorders>
            <w:vAlign w:val="center"/>
          </w:tcPr>
          <w:p>
            <w:pPr>
              <w:spacing w:line="400" w:lineRule="exact"/>
              <w:jc w:val="center"/>
              <w:rPr>
                <w:rFonts w:ascii="宋体" w:hAnsi="宋体" w:cs="宋体"/>
              </w:rPr>
            </w:pPr>
          </w:p>
        </w:tc>
        <w:tc>
          <w:tcPr>
            <w:tcW w:w="1468" w:type="dxa"/>
            <w:tcBorders>
              <w:left w:val="single" w:color="auto" w:sz="4" w:space="0"/>
            </w:tcBorders>
            <w:vAlign w:val="center"/>
          </w:tcPr>
          <w:p>
            <w:pPr>
              <w:spacing w:line="400" w:lineRule="exact"/>
              <w:jc w:val="center"/>
              <w:rPr>
                <w:rFonts w:ascii="宋体" w:hAnsi="宋体" w:cs="宋体"/>
              </w:rPr>
            </w:pPr>
          </w:p>
        </w:tc>
        <w:tc>
          <w:tcPr>
            <w:tcW w:w="1485" w:type="dxa"/>
            <w:vAlign w:val="center"/>
          </w:tcPr>
          <w:p>
            <w:pPr>
              <w:spacing w:line="400" w:lineRule="exact"/>
              <w:jc w:val="center"/>
              <w:rPr>
                <w:rFonts w:ascii="宋体" w:hAnsi="宋体" w:cs="宋体"/>
              </w:rPr>
            </w:pPr>
          </w:p>
        </w:tc>
        <w:tc>
          <w:tcPr>
            <w:tcW w:w="1577" w:type="dxa"/>
            <w:vAlign w:val="center"/>
          </w:tcPr>
          <w:p>
            <w:pPr>
              <w:spacing w:line="400" w:lineRule="exact"/>
              <w:jc w:val="center"/>
              <w:rPr>
                <w:rFonts w:ascii="宋体" w:hAnsi="宋体" w:cs="宋体"/>
              </w:rPr>
            </w:pPr>
          </w:p>
        </w:tc>
        <w:tc>
          <w:tcPr>
            <w:tcW w:w="1163"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tcBorders>
              <w:right w:val="single" w:color="auto" w:sz="4" w:space="0"/>
            </w:tcBorders>
            <w:vAlign w:val="center"/>
          </w:tcPr>
          <w:p>
            <w:pPr>
              <w:spacing w:line="400" w:lineRule="exact"/>
              <w:rPr>
                <w:rFonts w:ascii="宋体" w:hAnsi="宋体" w:cs="宋体"/>
              </w:rPr>
            </w:pPr>
          </w:p>
        </w:tc>
        <w:tc>
          <w:tcPr>
            <w:tcW w:w="1602" w:type="dxa"/>
            <w:tcBorders>
              <w:left w:val="single" w:color="auto" w:sz="4" w:space="0"/>
              <w:right w:val="single" w:color="auto" w:sz="4" w:space="0"/>
            </w:tcBorders>
            <w:vAlign w:val="center"/>
          </w:tcPr>
          <w:p>
            <w:pPr>
              <w:spacing w:line="400" w:lineRule="exact"/>
              <w:rPr>
                <w:rFonts w:ascii="宋体" w:hAnsi="宋体" w:cs="宋体"/>
              </w:rPr>
            </w:pPr>
          </w:p>
        </w:tc>
        <w:tc>
          <w:tcPr>
            <w:tcW w:w="1468" w:type="dxa"/>
            <w:tcBorders>
              <w:left w:val="single" w:color="auto" w:sz="4" w:space="0"/>
              <w:right w:val="single" w:color="auto" w:sz="4" w:space="0"/>
            </w:tcBorders>
            <w:vAlign w:val="center"/>
          </w:tcPr>
          <w:p>
            <w:pPr>
              <w:spacing w:line="400" w:lineRule="exact"/>
              <w:rPr>
                <w:rFonts w:ascii="宋体" w:hAnsi="宋体" w:cs="宋体"/>
              </w:rPr>
            </w:pPr>
          </w:p>
        </w:tc>
        <w:tc>
          <w:tcPr>
            <w:tcW w:w="1485" w:type="dxa"/>
            <w:tcBorders>
              <w:left w:val="single" w:color="auto" w:sz="4" w:space="0"/>
              <w:right w:val="single" w:color="auto" w:sz="4" w:space="0"/>
            </w:tcBorders>
            <w:vAlign w:val="center"/>
          </w:tcPr>
          <w:p>
            <w:pPr>
              <w:spacing w:line="400" w:lineRule="exact"/>
              <w:rPr>
                <w:rFonts w:ascii="宋体" w:hAnsi="宋体" w:cs="宋体"/>
              </w:rPr>
            </w:pPr>
          </w:p>
        </w:tc>
        <w:tc>
          <w:tcPr>
            <w:tcW w:w="1577" w:type="dxa"/>
            <w:tcBorders>
              <w:left w:val="single" w:color="auto" w:sz="4" w:space="0"/>
              <w:right w:val="single" w:color="auto" w:sz="4" w:space="0"/>
            </w:tcBorders>
            <w:vAlign w:val="center"/>
          </w:tcPr>
          <w:p>
            <w:pPr>
              <w:spacing w:line="400" w:lineRule="exact"/>
              <w:rPr>
                <w:rFonts w:ascii="宋体" w:hAnsi="宋体" w:cs="宋体"/>
              </w:rPr>
            </w:pPr>
          </w:p>
        </w:tc>
        <w:tc>
          <w:tcPr>
            <w:tcW w:w="1163" w:type="dxa"/>
            <w:tcBorders>
              <w:left w:val="single" w:color="auto" w:sz="4"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vAlign w:val="center"/>
          </w:tcPr>
          <w:p>
            <w:pPr>
              <w:spacing w:line="400" w:lineRule="exact"/>
              <w:rPr>
                <w:rFonts w:ascii="宋体" w:hAnsi="宋体" w:cs="宋体"/>
              </w:rPr>
            </w:pPr>
          </w:p>
        </w:tc>
        <w:tc>
          <w:tcPr>
            <w:tcW w:w="1602" w:type="dxa"/>
            <w:vAlign w:val="center"/>
          </w:tcPr>
          <w:p>
            <w:pPr>
              <w:spacing w:line="400" w:lineRule="exact"/>
              <w:rPr>
                <w:rFonts w:ascii="宋体" w:hAnsi="宋体" w:cs="宋体"/>
              </w:rPr>
            </w:pPr>
          </w:p>
        </w:tc>
        <w:tc>
          <w:tcPr>
            <w:tcW w:w="1468" w:type="dxa"/>
            <w:vAlign w:val="center"/>
          </w:tcPr>
          <w:p>
            <w:pPr>
              <w:spacing w:line="400" w:lineRule="exact"/>
              <w:rPr>
                <w:rFonts w:ascii="宋体" w:hAnsi="宋体" w:cs="宋体"/>
              </w:rPr>
            </w:pPr>
          </w:p>
        </w:tc>
        <w:tc>
          <w:tcPr>
            <w:tcW w:w="1485" w:type="dxa"/>
            <w:vAlign w:val="center"/>
          </w:tcPr>
          <w:p>
            <w:pPr>
              <w:spacing w:line="400" w:lineRule="exact"/>
              <w:rPr>
                <w:rFonts w:ascii="宋体" w:hAnsi="宋体" w:cs="宋体"/>
              </w:rPr>
            </w:pPr>
          </w:p>
        </w:tc>
        <w:tc>
          <w:tcPr>
            <w:tcW w:w="1577" w:type="dxa"/>
            <w:tcBorders>
              <w:right w:val="single" w:color="auto" w:sz="4" w:space="0"/>
            </w:tcBorders>
            <w:vAlign w:val="center"/>
          </w:tcPr>
          <w:p>
            <w:pPr>
              <w:spacing w:line="400" w:lineRule="exact"/>
              <w:rPr>
                <w:rFonts w:ascii="宋体" w:hAnsi="宋体" w:cs="宋体"/>
              </w:rPr>
            </w:pPr>
          </w:p>
        </w:tc>
        <w:tc>
          <w:tcPr>
            <w:tcW w:w="1163" w:type="dxa"/>
            <w:tcBorders>
              <w:left w:val="single" w:color="auto" w:sz="4"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4" w:hRule="atLeast"/>
          <w:jc w:val="center"/>
        </w:trPr>
        <w:tc>
          <w:tcPr>
            <w:tcW w:w="801" w:type="dxa"/>
            <w:tcBorders>
              <w:bottom w:val="single" w:color="auto" w:sz="4" w:space="0"/>
            </w:tcBorders>
            <w:vAlign w:val="center"/>
          </w:tcPr>
          <w:p>
            <w:pPr>
              <w:spacing w:line="400" w:lineRule="exact"/>
              <w:jc w:val="center"/>
              <w:rPr>
                <w:rFonts w:ascii="宋体" w:hAnsi="宋体" w:cs="宋体"/>
              </w:rPr>
            </w:pPr>
          </w:p>
        </w:tc>
        <w:tc>
          <w:tcPr>
            <w:tcW w:w="1602" w:type="dxa"/>
            <w:tcBorders>
              <w:bottom w:val="single" w:color="auto" w:sz="4" w:space="0"/>
            </w:tcBorders>
            <w:vAlign w:val="center"/>
          </w:tcPr>
          <w:p>
            <w:pPr>
              <w:spacing w:line="400" w:lineRule="exact"/>
              <w:jc w:val="center"/>
              <w:rPr>
                <w:rFonts w:ascii="宋体" w:hAnsi="宋体" w:cs="宋体"/>
              </w:rPr>
            </w:pPr>
          </w:p>
        </w:tc>
        <w:tc>
          <w:tcPr>
            <w:tcW w:w="1468" w:type="dxa"/>
            <w:tcBorders>
              <w:bottom w:val="single" w:color="auto" w:sz="4" w:space="0"/>
            </w:tcBorders>
            <w:vAlign w:val="center"/>
          </w:tcPr>
          <w:p>
            <w:pPr>
              <w:spacing w:line="400" w:lineRule="exact"/>
              <w:jc w:val="center"/>
              <w:rPr>
                <w:rFonts w:ascii="宋体" w:hAnsi="宋体" w:cs="宋体"/>
              </w:rPr>
            </w:pPr>
          </w:p>
        </w:tc>
        <w:tc>
          <w:tcPr>
            <w:tcW w:w="1485" w:type="dxa"/>
            <w:tcBorders>
              <w:bottom w:val="single" w:color="auto" w:sz="4" w:space="0"/>
            </w:tcBorders>
            <w:vAlign w:val="center"/>
          </w:tcPr>
          <w:p>
            <w:pPr>
              <w:spacing w:line="400" w:lineRule="exact"/>
              <w:jc w:val="center"/>
              <w:rPr>
                <w:rFonts w:ascii="宋体" w:hAnsi="宋体" w:cs="宋体"/>
              </w:rPr>
            </w:pPr>
          </w:p>
        </w:tc>
        <w:tc>
          <w:tcPr>
            <w:tcW w:w="1577" w:type="dxa"/>
            <w:tcBorders>
              <w:bottom w:val="single" w:color="auto" w:sz="4" w:space="0"/>
              <w:right w:val="single" w:color="auto" w:sz="4" w:space="0"/>
            </w:tcBorders>
            <w:vAlign w:val="center"/>
          </w:tcPr>
          <w:p>
            <w:pPr>
              <w:spacing w:line="400" w:lineRule="exact"/>
              <w:jc w:val="center"/>
              <w:rPr>
                <w:rFonts w:ascii="宋体" w:hAnsi="宋体" w:cs="宋体"/>
              </w:rPr>
            </w:pPr>
          </w:p>
        </w:tc>
        <w:tc>
          <w:tcPr>
            <w:tcW w:w="1163" w:type="dxa"/>
            <w:tcBorders>
              <w:left w:val="single" w:color="auto" w:sz="4" w:space="0"/>
              <w:bottom w:val="single" w:color="auto" w:sz="4" w:space="0"/>
            </w:tcBorders>
            <w:vAlign w:val="center"/>
          </w:tcPr>
          <w:p>
            <w:pPr>
              <w:spacing w:line="400" w:lineRule="exact"/>
              <w:jc w:val="center"/>
              <w:rPr>
                <w:rFonts w:ascii="宋体" w:hAnsi="宋体" w:cs="宋体"/>
              </w:rPr>
            </w:pPr>
          </w:p>
        </w:tc>
      </w:tr>
    </w:tbl>
    <w:p>
      <w:pPr>
        <w:spacing w:line="360" w:lineRule="auto"/>
        <w:ind w:left="360"/>
        <w:rPr>
          <w:rFonts w:asciiTheme="minorEastAsia" w:hAnsiTheme="minorEastAsia" w:cstheme="minorEastAsia"/>
          <w:color w:val="000000" w:themeColor="text1"/>
          <w14:textFill>
            <w14:solidFill>
              <w14:schemeClr w14:val="tx1"/>
            </w14:solidFill>
          </w14:textFill>
        </w:rPr>
      </w:pPr>
    </w:p>
    <w:p>
      <w:pPr>
        <w:spacing w:line="360" w:lineRule="auto"/>
        <w:rPr>
          <w:rFonts w:ascii="宋体" w:hAnsi="宋体" w:cs="宋体"/>
        </w:rPr>
      </w:pPr>
      <w:r>
        <w:rPr>
          <w:rFonts w:hint="eastAsia" w:asciiTheme="minorEastAsia" w:hAnsiTheme="minorEastAsia" w:cstheme="minorEastAsia"/>
          <w:color w:val="000000" w:themeColor="text1"/>
          <w14:textFill>
            <w14:solidFill>
              <w14:schemeClr w14:val="tx1"/>
            </w14:solidFill>
          </w14:textFill>
        </w:rPr>
        <w:t xml:space="preserve"> 注：</w:t>
      </w:r>
      <w:r>
        <w:rPr>
          <w:rFonts w:hint="eastAsia" w:ascii="宋体" w:hAnsi="宋体" w:cs="宋体"/>
        </w:rPr>
        <w:t>后附合同复印件</w:t>
      </w:r>
    </w:p>
    <w:p>
      <w:pPr>
        <w:spacing w:line="360" w:lineRule="auto"/>
        <w:rPr>
          <w:rFonts w:asciiTheme="minorEastAsia" w:hAnsiTheme="minorEastAsia" w:cstheme="minorEastAsia"/>
          <w:color w:val="000000" w:themeColor="text1"/>
          <w14:textFill>
            <w14:solidFill>
              <w14:schemeClr w14:val="tx1"/>
            </w14:solidFill>
          </w14:textFill>
        </w:rPr>
      </w:pPr>
    </w:p>
    <w:p>
      <w:pPr>
        <w:adjustRightInd w:val="0"/>
        <w:spacing w:line="600" w:lineRule="auto"/>
        <w:rPr>
          <w:rFonts w:asciiTheme="minorEastAsia" w:hAnsiTheme="minorEastAsia" w:cstheme="minorEastAsia"/>
          <w:bCs/>
          <w:color w:val="000000" w:themeColor="text1"/>
          <w:u w:val="single"/>
          <w14:textFill>
            <w14:solidFill>
              <w14:schemeClr w14:val="tx1"/>
            </w14:solidFill>
          </w14:textFill>
        </w:rPr>
      </w:pPr>
      <w:r>
        <w:rPr>
          <w:rFonts w:hint="eastAsia" w:asciiTheme="minorEastAsia" w:hAnsiTheme="minorEastAsia" w:cstheme="minorEastAsia"/>
          <w:bCs/>
          <w:color w:val="000000" w:themeColor="text1"/>
          <w14:textFill>
            <w14:solidFill>
              <w14:schemeClr w14:val="tx1"/>
            </w14:solidFill>
          </w14:textFill>
        </w:rPr>
        <w:t>供应商名称：</w:t>
      </w:r>
      <w:r>
        <w:rPr>
          <w:rFonts w:hint="eastAsia" w:asciiTheme="minorEastAsia" w:hAnsiTheme="minorEastAsia" w:cstheme="minorEastAsia"/>
          <w:bCs/>
          <w:color w:val="000000" w:themeColor="text1"/>
          <w:u w:val="single"/>
          <w14:textFill>
            <w14:solidFill>
              <w14:schemeClr w14:val="tx1"/>
            </w14:solidFill>
          </w14:textFill>
        </w:rPr>
        <w:t xml:space="preserve">              </w:t>
      </w:r>
      <w:r>
        <w:rPr>
          <w:rFonts w:hint="eastAsia" w:asciiTheme="minorEastAsia" w:hAnsiTheme="minorEastAsia" w:cstheme="minorEastAsia"/>
          <w:bCs/>
          <w:color w:val="000000" w:themeColor="text1"/>
          <w14:textFill>
            <w14:solidFill>
              <w14:schemeClr w14:val="tx1"/>
            </w14:solidFill>
          </w14:textFill>
        </w:rPr>
        <w:t>（全称及公章）</w:t>
      </w:r>
    </w:p>
    <w:p>
      <w:pPr>
        <w:adjustRightInd w:val="0"/>
        <w:snapToGrid w:val="0"/>
        <w:spacing w:line="60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法定代表人或被授权人（签字或盖章）：</w:t>
      </w:r>
    </w:p>
    <w:p>
      <w:pPr>
        <w:adjustRightInd w:val="0"/>
        <w:snapToGrid w:val="0"/>
        <w:spacing w:line="480" w:lineRule="auto"/>
        <w:rPr>
          <w:rFonts w:ascii="宋体" w:hAnsi="宋体" w:cs="宋体"/>
        </w:rPr>
      </w:pPr>
      <w:r>
        <w:rPr>
          <w:rFonts w:hint="eastAsia" w:asciiTheme="minorEastAsia" w:hAnsiTheme="minorEastAsia" w:cstheme="minorEastAsia"/>
          <w:bCs/>
          <w:color w:val="000000" w:themeColor="text1"/>
          <w14:textFill>
            <w14:solidFill>
              <w14:schemeClr w14:val="tx1"/>
            </w14:solidFill>
          </w14:textFill>
        </w:rPr>
        <w:t xml:space="preserve">日    </w:t>
      </w:r>
      <w:r>
        <w:rPr>
          <w:rFonts w:hint="eastAsia" w:asciiTheme="minorEastAsia" w:hAnsiTheme="minorEastAsia" w:cstheme="minorEastAsia"/>
          <w:color w:val="000000" w:themeColor="text1"/>
          <w14:textFill>
            <w14:solidFill>
              <w14:schemeClr w14:val="tx1"/>
            </w14:solidFill>
          </w14:textFill>
        </w:rPr>
        <w:t xml:space="preserve">期: </w:t>
      </w:r>
      <w:r>
        <w:rPr>
          <w:rFonts w:hint="eastAsia" w:asciiTheme="minorEastAsia" w:hAnsiTheme="minorEastAsia" w:cstheme="minorEastAsia"/>
        </w:rPr>
        <w:t>______年________月_______日</w:t>
      </w:r>
    </w:p>
    <w:p>
      <w:pPr>
        <w:adjustRightInd w:val="0"/>
        <w:snapToGrid w:val="0"/>
        <w:spacing w:line="600" w:lineRule="auto"/>
        <w:rPr>
          <w:rFonts w:asciiTheme="minorEastAsia" w:hAnsiTheme="minorEastAsia" w:cstheme="minorEastAsia"/>
          <w:sz w:val="36"/>
          <w:szCs w:val="36"/>
        </w:rPr>
      </w:pPr>
      <w:r>
        <w:rPr>
          <w:rFonts w:hint="eastAsia" w:asciiTheme="minorEastAsia" w:hAnsiTheme="minorEastAsia" w:cstheme="minorEastAsia"/>
          <w:color w:val="000000" w:themeColor="text1"/>
          <w14:textFill>
            <w14:solidFill>
              <w14:schemeClr w14:val="tx1"/>
            </w14:solidFill>
          </w14:textFill>
        </w:rPr>
        <w:t xml:space="preserve">                  </w:t>
      </w:r>
      <w:bookmarkEnd w:id="108"/>
      <w:bookmarkEnd w:id="109"/>
      <w:bookmarkEnd w:id="110"/>
      <w:bookmarkEnd w:id="111"/>
    </w:p>
    <w:p>
      <w:r>
        <w:br w:type="page"/>
      </w:r>
    </w:p>
    <w:p>
      <w:pPr>
        <w:pStyle w:val="4"/>
        <w:rPr>
          <w:rFonts w:ascii="宋体" w:hAnsi="宋体" w:eastAsia="宋体" w:cs="宋体"/>
          <w:color w:val="000000" w:themeColor="text1"/>
          <w14:textFill>
            <w14:solidFill>
              <w14:schemeClr w14:val="tx1"/>
            </w14:solidFill>
          </w14:textFill>
        </w:rPr>
      </w:pPr>
      <w:bookmarkStart w:id="113" w:name="_Toc22400"/>
      <w:bookmarkStart w:id="114" w:name="_Toc9666"/>
      <w:bookmarkStart w:id="115" w:name="_Toc29034"/>
      <w:bookmarkStart w:id="116" w:name="_Toc23432"/>
      <w:bookmarkStart w:id="117" w:name="_Toc18894"/>
      <w:bookmarkStart w:id="118" w:name="_Toc13497"/>
      <w:r>
        <w:rPr>
          <w:rFonts w:hint="eastAsia" w:ascii="宋体" w:hAnsi="宋体" w:eastAsia="宋体" w:cs="宋体"/>
          <w:color w:val="000000" w:themeColor="text1"/>
          <w14:textFill>
            <w14:solidFill>
              <w14:schemeClr w14:val="tx1"/>
            </w14:solidFill>
          </w14:textFill>
        </w:rPr>
        <w:t>第十部分  供应商认为有必要说明的其他问题</w:t>
      </w:r>
      <w:bookmarkEnd w:id="113"/>
      <w:bookmarkEnd w:id="114"/>
      <w:bookmarkEnd w:id="115"/>
      <w:bookmarkEnd w:id="116"/>
      <w:bookmarkEnd w:id="117"/>
      <w:bookmarkEnd w:id="118"/>
    </w:p>
    <w:p>
      <w:pPr>
        <w:rPr>
          <w:rFonts w:asciiTheme="minorEastAsia" w:hAnsiTheme="minorEastAsia" w:cstheme="minorEastAsia"/>
          <w:color w:val="000000" w:themeColor="text1"/>
          <w14:textFill>
            <w14:solidFill>
              <w14:schemeClr w14:val="tx1"/>
            </w14:solidFill>
          </w14:textFill>
        </w:rPr>
      </w:pPr>
    </w:p>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供应商认为有必要提供的其他证明文件</w:t>
      </w:r>
    </w:p>
    <w:p>
      <w:r>
        <w:br w:type="page"/>
      </w:r>
    </w:p>
    <w:p>
      <w:pPr>
        <w:adjustRightInd w:val="0"/>
        <w:spacing w:line="416" w:lineRule="atLeast"/>
        <w:jc w:val="center"/>
        <w:textAlignment w:val="baseline"/>
        <w:outlineLvl w:val="1"/>
        <w:rPr>
          <w:rFonts w:asciiTheme="minorEastAsia" w:hAnsiTheme="minorEastAsia" w:cstheme="minorEastAsia"/>
        </w:rPr>
      </w:pPr>
      <w:bookmarkStart w:id="119" w:name="_Toc9607"/>
      <w:bookmarkStart w:id="120" w:name="_Toc7273"/>
      <w:bookmarkStart w:id="121" w:name="_Toc22501"/>
      <w:bookmarkStart w:id="122" w:name="_Toc20129"/>
      <w:bookmarkStart w:id="123" w:name="_Toc8177"/>
      <w:bookmarkStart w:id="124" w:name="_Toc22866"/>
      <w:bookmarkStart w:id="125" w:name="_Toc12121"/>
      <w:r>
        <w:rPr>
          <w:rFonts w:hint="eastAsia" w:asciiTheme="minorEastAsia" w:hAnsiTheme="minorEastAsia" w:cstheme="minorEastAsia"/>
        </w:rPr>
        <w:t>附件一、中小企业声明</w:t>
      </w:r>
      <w:bookmarkEnd w:id="119"/>
      <w:bookmarkEnd w:id="120"/>
      <w:bookmarkEnd w:id="121"/>
      <w:bookmarkEnd w:id="122"/>
      <w:bookmarkEnd w:id="123"/>
      <w:bookmarkEnd w:id="124"/>
      <w:bookmarkEnd w:id="125"/>
    </w:p>
    <w:p>
      <w:pPr>
        <w:rPr>
          <w:rFonts w:asciiTheme="minorEastAsia" w:hAnsiTheme="minorEastAsia" w:cstheme="minorEastAsia"/>
        </w:rPr>
      </w:pPr>
    </w:p>
    <w:p>
      <w:pPr>
        <w:spacing w:line="588" w:lineRule="exact"/>
        <w:ind w:firstLine="504" w:firstLineChars="200"/>
        <w:rPr>
          <w:rFonts w:ascii="宋体" w:hAnsi="宋体"/>
          <w:color w:val="000000"/>
          <w:spacing w:val="6"/>
        </w:rPr>
      </w:pPr>
      <w:bookmarkStart w:id="126" w:name="_Toc11130"/>
      <w:bookmarkStart w:id="127" w:name="_Toc15467"/>
      <w:bookmarkStart w:id="128" w:name="_Toc11556"/>
      <w:bookmarkStart w:id="129" w:name="_Toc3198"/>
      <w:bookmarkStart w:id="130" w:name="_Toc30503"/>
      <w:r>
        <w:rPr>
          <w:rFonts w:hint="eastAsia" w:ascii="宋体" w:hAnsi="宋体"/>
          <w:color w:val="000000"/>
          <w:spacing w:val="6"/>
        </w:rPr>
        <w:t>根据《政府采购促进中小企业发展管理办法》（财库[2020]46号）的规定，由供应商自行声明并对真实性负责。如有虚假，将依法承担相应责任。</w:t>
      </w:r>
    </w:p>
    <w:bookmarkEnd w:id="126"/>
    <w:bookmarkEnd w:id="127"/>
    <w:bookmarkEnd w:id="128"/>
    <w:bookmarkEnd w:id="129"/>
    <w:bookmarkEnd w:id="130"/>
    <w:p>
      <w:pPr>
        <w:adjustRightInd w:val="0"/>
        <w:spacing w:line="360" w:lineRule="auto"/>
        <w:jc w:val="center"/>
        <w:textAlignment w:val="baseline"/>
        <w:rPr>
          <w:rFonts w:ascii="宋体" w:hAnsi="宋体" w:cs="宋体"/>
        </w:rPr>
      </w:pPr>
      <w:bookmarkStart w:id="131" w:name="_Toc21174"/>
      <w:bookmarkStart w:id="132" w:name="_Toc21466"/>
      <w:bookmarkStart w:id="133" w:name="_Toc14587"/>
      <w:r>
        <w:rPr>
          <w:rFonts w:hint="eastAsia" w:ascii="宋体" w:hAnsi="宋体" w:cs="宋体"/>
        </w:rPr>
        <w:t>中小企业声明函（货物）</w:t>
      </w:r>
    </w:p>
    <w:p>
      <w:pPr>
        <w:spacing w:line="360" w:lineRule="auto"/>
        <w:ind w:right="140" w:firstLine="641"/>
        <w:rPr>
          <w:rFonts w:ascii="宋体" w:hAnsi="宋体" w:cs="宋体"/>
        </w:rPr>
      </w:pPr>
      <w:r>
        <w:rPr>
          <w:rFonts w:hint="eastAsia" w:ascii="宋体" w:hAnsi="宋体" w:cs="宋体"/>
        </w:rPr>
        <w:t>本公司（联合体）郑重声明，根据《政府采购促进中小企业发展管理办法》（财库﹝2020﹞46 号）的规定，本公司（联合体）参加</w:t>
      </w:r>
      <w:r>
        <w:rPr>
          <w:rFonts w:hint="eastAsia" w:ascii="宋体" w:hAnsi="宋体" w:cs="宋体"/>
          <w:u w:val="single"/>
        </w:rPr>
        <w:t>（单位名称）</w:t>
      </w:r>
      <w:r>
        <w:rPr>
          <w:rFonts w:hint="eastAsia" w:ascii="宋体" w:hAnsi="宋体" w:cs="宋体"/>
        </w:rPr>
        <w:t>的</w:t>
      </w:r>
      <w:r>
        <w:rPr>
          <w:rFonts w:hint="eastAsia" w:ascii="宋体" w:hAnsi="宋体" w:cs="宋体"/>
          <w:u w:val="single"/>
        </w:rPr>
        <w:t>（项目名称）</w:t>
      </w:r>
      <w:r>
        <w:rPr>
          <w:rFonts w:hint="eastAsia" w:ascii="宋体" w:hAnsi="宋体" w:cs="宋体"/>
        </w:rPr>
        <w:t>采购活动，提供的货物全部由符合政策要求的中小企业制造。相关企业（含联合体中的中小企业、签订分包意向协议的中小企业）的具体情况如下：</w:t>
      </w:r>
    </w:p>
    <w:p>
      <w:pPr>
        <w:pStyle w:val="17"/>
        <w:numPr>
          <w:ilvl w:val="0"/>
          <w:numId w:val="10"/>
        </w:numPr>
        <w:spacing w:line="360" w:lineRule="auto"/>
        <w:rPr>
          <w:rFonts w:ascii="宋体" w:hAnsi="宋体" w:cs="宋体"/>
          <w:w w:val="97"/>
        </w:rPr>
      </w:pPr>
      <w:r>
        <w:rPr>
          <w:rFonts w:hint="eastAsia" w:ascii="宋体" w:hAnsi="宋体" w:cs="宋体"/>
          <w:w w:val="97"/>
          <w:u w:val="single"/>
        </w:rPr>
        <w:t xml:space="preserve">    （标的名称）</w:t>
      </w:r>
      <w:r>
        <w:rPr>
          <w:rFonts w:hint="eastAsia" w:ascii="宋体" w:hAnsi="宋体" w:cs="宋体"/>
          <w:w w:val="97"/>
        </w:rPr>
        <w:t xml:space="preserve"> ，属于</w:t>
      </w:r>
      <w:r>
        <w:rPr>
          <w:rFonts w:hint="eastAsia" w:ascii="宋体" w:hAnsi="宋体" w:cs="宋体"/>
          <w:w w:val="97"/>
          <w:u w:val="single"/>
        </w:rPr>
        <w:t xml:space="preserve">                （采购文件中明确的所属行业）            </w:t>
      </w:r>
    </w:p>
    <w:p>
      <w:pPr>
        <w:spacing w:line="360" w:lineRule="auto"/>
        <w:rPr>
          <w:rFonts w:ascii="宋体" w:hAnsi="宋体" w:cs="宋体"/>
          <w:w w:val="97"/>
          <w:u w:val="single"/>
        </w:rPr>
      </w:pPr>
      <w:r>
        <w:rPr>
          <w:rFonts w:hint="eastAsia" w:ascii="宋体" w:hAnsi="宋体" w:cs="宋体"/>
          <w:w w:val="97"/>
          <w:u w:val="single"/>
        </w:rPr>
        <w:t>行业；</w:t>
      </w:r>
      <w:r>
        <w:rPr>
          <w:rFonts w:hint="eastAsia" w:ascii="宋体" w:hAnsi="宋体" w:cs="宋体"/>
          <w:w w:val="97"/>
        </w:rPr>
        <w:t xml:space="preserve">制造商为 </w:t>
      </w:r>
      <w:r>
        <w:rPr>
          <w:rFonts w:hint="eastAsia" w:ascii="宋体" w:hAnsi="宋体" w:cs="宋体"/>
          <w:w w:val="97"/>
          <w:u w:val="single"/>
        </w:rPr>
        <w:t>（企业名称）      ，</w:t>
      </w:r>
      <w:r>
        <w:rPr>
          <w:rFonts w:hint="eastAsia" w:ascii="宋体" w:hAnsi="宋体" w:cs="宋体"/>
          <w:w w:val="97"/>
        </w:rPr>
        <w:t>从业人员</w:t>
      </w:r>
      <w:r>
        <w:rPr>
          <w:rFonts w:hint="eastAsia" w:ascii="宋体" w:hAnsi="宋体" w:cs="宋体"/>
          <w:w w:val="97"/>
          <w:u w:val="single"/>
        </w:rPr>
        <w:t xml:space="preserve">      </w:t>
      </w:r>
      <w:r>
        <w:rPr>
          <w:rFonts w:hint="eastAsia" w:ascii="宋体" w:hAnsi="宋体" w:cs="宋体"/>
          <w:w w:val="97"/>
        </w:rPr>
        <w:t>人，营业收入为</w:t>
      </w:r>
      <w:r>
        <w:rPr>
          <w:rFonts w:hint="eastAsia" w:ascii="宋体" w:hAnsi="宋体" w:cs="宋体"/>
          <w:w w:val="97"/>
          <w:u w:val="single"/>
        </w:rPr>
        <w:t xml:space="preserve">   </w:t>
      </w:r>
      <w:r>
        <w:rPr>
          <w:rFonts w:hint="eastAsia" w:ascii="宋体" w:hAnsi="宋体" w:cs="宋体"/>
          <w:w w:val="97"/>
        </w:rPr>
        <w:t>万元，资产总额为</w:t>
      </w:r>
      <w:r>
        <w:rPr>
          <w:rFonts w:hint="eastAsia" w:ascii="宋体" w:hAnsi="宋体" w:cs="宋体"/>
          <w:w w:val="97"/>
          <w:u w:val="single"/>
        </w:rPr>
        <w:t xml:space="preserve">     </w:t>
      </w:r>
      <w:r>
        <w:rPr>
          <w:rFonts w:hint="eastAsia" w:ascii="宋体" w:hAnsi="宋体" w:cs="宋体"/>
          <w:w w:val="97"/>
        </w:rPr>
        <w:t>万元</w:t>
      </w:r>
      <w:r>
        <w:rPr>
          <w:rFonts w:hint="eastAsia" w:ascii="宋体" w:hAnsi="宋体" w:cs="宋体"/>
          <w:w w:val="97"/>
          <w:vertAlign w:val="superscript"/>
        </w:rPr>
        <w:t>1</w:t>
      </w:r>
      <w:r>
        <w:rPr>
          <w:rFonts w:hint="eastAsia" w:ascii="宋体" w:hAnsi="宋体" w:cs="宋体"/>
          <w:w w:val="97"/>
        </w:rPr>
        <w:t>，属于</w:t>
      </w:r>
      <w:r>
        <w:rPr>
          <w:rFonts w:hint="eastAsia" w:ascii="宋体" w:hAnsi="宋体" w:cs="宋体"/>
          <w:w w:val="97"/>
          <w:u w:val="single"/>
        </w:rPr>
        <w:t>（中型企业、小型企业、微型企业）；</w:t>
      </w:r>
    </w:p>
    <w:p>
      <w:pPr>
        <w:pStyle w:val="17"/>
        <w:numPr>
          <w:ilvl w:val="0"/>
          <w:numId w:val="10"/>
        </w:numPr>
        <w:spacing w:line="360" w:lineRule="auto"/>
        <w:rPr>
          <w:rFonts w:ascii="宋体" w:hAnsi="宋体" w:cs="宋体"/>
          <w:w w:val="97"/>
        </w:rPr>
      </w:pPr>
      <w:r>
        <w:rPr>
          <w:rFonts w:hint="eastAsia" w:ascii="宋体" w:hAnsi="宋体" w:cs="宋体"/>
          <w:w w:val="97"/>
          <w:u w:val="single"/>
        </w:rPr>
        <w:t xml:space="preserve">    （标的名称）</w:t>
      </w:r>
      <w:r>
        <w:rPr>
          <w:rFonts w:hint="eastAsia" w:ascii="宋体" w:hAnsi="宋体" w:cs="宋体"/>
          <w:w w:val="97"/>
        </w:rPr>
        <w:t xml:space="preserve"> ，属于</w:t>
      </w:r>
      <w:r>
        <w:rPr>
          <w:rFonts w:hint="eastAsia" w:ascii="宋体" w:hAnsi="宋体" w:cs="宋体"/>
          <w:w w:val="97"/>
          <w:u w:val="single"/>
        </w:rPr>
        <w:t xml:space="preserve">                （采购文件中明确的所属行业）            </w:t>
      </w:r>
    </w:p>
    <w:p>
      <w:pPr>
        <w:spacing w:line="360" w:lineRule="auto"/>
        <w:rPr>
          <w:rFonts w:ascii="宋体" w:hAnsi="宋体" w:cs="宋体"/>
          <w:w w:val="97"/>
          <w:u w:val="single"/>
        </w:rPr>
      </w:pPr>
      <w:r>
        <w:rPr>
          <w:rFonts w:hint="eastAsia" w:ascii="宋体" w:hAnsi="宋体" w:cs="宋体"/>
          <w:w w:val="97"/>
          <w:u w:val="single"/>
        </w:rPr>
        <w:t>行业；</w:t>
      </w:r>
      <w:r>
        <w:rPr>
          <w:rFonts w:hint="eastAsia" w:ascii="宋体" w:hAnsi="宋体" w:cs="宋体"/>
          <w:w w:val="97"/>
        </w:rPr>
        <w:t xml:space="preserve">制造商为 </w:t>
      </w:r>
      <w:r>
        <w:rPr>
          <w:rFonts w:hint="eastAsia" w:ascii="宋体" w:hAnsi="宋体" w:cs="宋体"/>
          <w:w w:val="97"/>
          <w:u w:val="single"/>
        </w:rPr>
        <w:t>（企业名称）      ，</w:t>
      </w:r>
      <w:r>
        <w:rPr>
          <w:rFonts w:hint="eastAsia" w:ascii="宋体" w:hAnsi="宋体" w:cs="宋体"/>
          <w:w w:val="97"/>
        </w:rPr>
        <w:t>从业人员</w:t>
      </w:r>
      <w:r>
        <w:rPr>
          <w:rFonts w:hint="eastAsia" w:ascii="宋体" w:hAnsi="宋体" w:cs="宋体"/>
          <w:w w:val="97"/>
          <w:u w:val="single"/>
        </w:rPr>
        <w:t xml:space="preserve">      </w:t>
      </w:r>
      <w:r>
        <w:rPr>
          <w:rFonts w:hint="eastAsia" w:ascii="宋体" w:hAnsi="宋体" w:cs="宋体"/>
          <w:w w:val="97"/>
        </w:rPr>
        <w:t>人，营业收入为</w:t>
      </w:r>
      <w:r>
        <w:rPr>
          <w:rFonts w:hint="eastAsia" w:ascii="宋体" w:hAnsi="宋体" w:cs="宋体"/>
          <w:w w:val="97"/>
          <w:u w:val="single"/>
        </w:rPr>
        <w:t xml:space="preserve">   </w:t>
      </w:r>
      <w:r>
        <w:rPr>
          <w:rFonts w:hint="eastAsia" w:ascii="宋体" w:hAnsi="宋体" w:cs="宋体"/>
          <w:w w:val="97"/>
        </w:rPr>
        <w:t>万元，资产总额为</w:t>
      </w:r>
      <w:r>
        <w:rPr>
          <w:rFonts w:hint="eastAsia" w:ascii="宋体" w:hAnsi="宋体" w:cs="宋体"/>
          <w:w w:val="97"/>
          <w:u w:val="single"/>
        </w:rPr>
        <w:t xml:space="preserve">     </w:t>
      </w:r>
      <w:r>
        <w:rPr>
          <w:rFonts w:hint="eastAsia" w:ascii="宋体" w:hAnsi="宋体" w:cs="宋体"/>
          <w:w w:val="97"/>
        </w:rPr>
        <w:t>万元</w:t>
      </w:r>
      <w:r>
        <w:rPr>
          <w:rFonts w:hint="eastAsia" w:ascii="宋体" w:hAnsi="宋体" w:cs="宋体"/>
          <w:w w:val="97"/>
          <w:vertAlign w:val="superscript"/>
        </w:rPr>
        <w:t>1</w:t>
      </w:r>
      <w:r>
        <w:rPr>
          <w:rFonts w:hint="eastAsia" w:ascii="宋体" w:hAnsi="宋体" w:cs="宋体"/>
          <w:w w:val="97"/>
        </w:rPr>
        <w:t>，属于</w:t>
      </w:r>
      <w:r>
        <w:rPr>
          <w:rFonts w:hint="eastAsia" w:ascii="宋体" w:hAnsi="宋体" w:cs="宋体"/>
          <w:w w:val="97"/>
          <w:u w:val="single"/>
        </w:rPr>
        <w:t>（中型企业、小型企业、微型企业）；</w:t>
      </w:r>
    </w:p>
    <w:p>
      <w:pPr>
        <w:spacing w:line="360" w:lineRule="auto"/>
        <w:ind w:left="640"/>
        <w:rPr>
          <w:rFonts w:ascii="宋体" w:hAnsi="宋体" w:cs="宋体"/>
        </w:rPr>
      </w:pPr>
      <w:r>
        <w:rPr>
          <w:rFonts w:hint="eastAsia" w:ascii="宋体" w:hAnsi="宋体" w:cs="宋体"/>
        </w:rPr>
        <w:t>……</w:t>
      </w:r>
    </w:p>
    <w:p>
      <w:pPr>
        <w:spacing w:line="360" w:lineRule="auto"/>
        <w:ind w:right="160" w:firstLine="646"/>
        <w:rPr>
          <w:rFonts w:ascii="宋体" w:hAnsi="宋体" w:cs="宋体"/>
        </w:rPr>
      </w:pPr>
      <w:r>
        <w:rPr>
          <w:rFonts w:hint="eastAsia" w:ascii="宋体" w:hAnsi="宋体" w:cs="宋体"/>
        </w:rPr>
        <w:t>以上企业，不属于大企业的分支机构，不存在控股股东为大企业的情形，也不存在与大企业的负责人为同一人的情形。</w:t>
      </w:r>
    </w:p>
    <w:p>
      <w:pPr>
        <w:spacing w:line="360" w:lineRule="auto"/>
        <w:ind w:right="160" w:firstLine="646"/>
        <w:rPr>
          <w:rFonts w:ascii="宋体" w:hAnsi="宋体" w:cs="宋体"/>
        </w:rPr>
      </w:pPr>
      <w:r>
        <w:rPr>
          <w:rFonts w:hint="eastAsia" w:ascii="宋体" w:hAnsi="宋体" w:cs="宋体"/>
        </w:rPr>
        <w:t>本企业对上述声明内容的真实性负责。如有虚假，将依法承担相应责任。</w:t>
      </w:r>
    </w:p>
    <w:p>
      <w:pPr>
        <w:spacing w:line="360" w:lineRule="auto"/>
        <w:rPr>
          <w:rFonts w:ascii="宋体" w:hAnsi="宋体" w:cs="宋体"/>
        </w:rPr>
      </w:pPr>
    </w:p>
    <w:p>
      <w:pPr>
        <w:spacing w:line="360" w:lineRule="auto"/>
        <w:ind w:left="3840" w:right="1900"/>
        <w:rPr>
          <w:rFonts w:ascii="宋体" w:hAnsi="宋体" w:cs="宋体"/>
        </w:rPr>
      </w:pPr>
      <w:r>
        <w:rPr>
          <w:rFonts w:hint="eastAsia" w:ascii="宋体" w:hAnsi="宋体" w:cs="宋体"/>
        </w:rPr>
        <w:t>企业名称（盖章）：</w:t>
      </w:r>
    </w:p>
    <w:p>
      <w:pPr>
        <w:spacing w:line="360" w:lineRule="auto"/>
        <w:ind w:left="3840" w:right="1900"/>
        <w:rPr>
          <w:rFonts w:ascii="宋体" w:hAnsi="宋体" w:cs="宋体"/>
        </w:rPr>
      </w:pPr>
      <w:r>
        <w:rPr>
          <w:rFonts w:hint="eastAsia" w:ascii="宋体" w:hAnsi="宋体" w:cs="宋体"/>
        </w:rPr>
        <w:t>日期：</w:t>
      </w:r>
    </w:p>
    <w:p>
      <w:pPr>
        <w:pStyle w:val="13"/>
        <w:spacing w:line="360" w:lineRule="auto"/>
        <w:rPr>
          <w:rFonts w:hAnsi="宋体" w:cs="宋体"/>
          <w:color w:val="000000"/>
          <w:sz w:val="18"/>
          <w:szCs w:val="18"/>
        </w:rPr>
      </w:pPr>
      <w:r>
        <w:rPr>
          <w:rFonts w:hint="eastAsia" w:hAnsi="宋体" w:cs="宋体"/>
          <w:color w:val="000000"/>
          <w:sz w:val="18"/>
          <w:szCs w:val="18"/>
        </w:rPr>
        <w:t>备注：1.填写前请认真阅读《工业和信息化部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财政部关于印发中小企业划型标准规定的通知》(工信部联企业〔2011〕300号)和《财政部、工业和信息化部关于印发〈政府采购促进中小企业发展管理办法〉的通知》(财库〔2020〕46号)相关规定。</w:t>
      </w:r>
    </w:p>
    <w:p>
      <w:pPr>
        <w:spacing w:line="360" w:lineRule="auto"/>
        <w:rPr>
          <w:rFonts w:ascii="宋体" w:cs="宋体"/>
          <w:sz w:val="15"/>
          <w:szCs w:val="16"/>
        </w:rPr>
      </w:pPr>
      <w:r>
        <w:rPr>
          <w:rFonts w:hint="eastAsia" w:hAnsi="宋体" w:cs="宋体"/>
          <w:color w:val="000000"/>
          <w:sz w:val="18"/>
          <w:szCs w:val="18"/>
        </w:rPr>
        <w:t xml:space="preserve">    2.从业人员、营业收入、资产总额填报上一年度数据，无上一年度数据的新成立企业可不填报。</w:t>
      </w:r>
    </w:p>
    <w:p>
      <w:pPr>
        <w:pStyle w:val="4"/>
        <w:shd w:val="clear" w:color="auto" w:fill="FFFFFF"/>
        <w:spacing w:before="450" w:after="300" w:line="540" w:lineRule="atLeast"/>
        <w:ind w:firstLine="780"/>
        <w:textAlignment w:val="baseline"/>
        <w:rPr>
          <w:rFonts w:ascii="微软雅黑" w:hAnsi="微软雅黑" w:eastAsia="微软雅黑" w:cs="微软雅黑"/>
          <w:color w:val="383940"/>
          <w:sz w:val="39"/>
          <w:szCs w:val="39"/>
          <w:shd w:val="clear" w:color="auto" w:fill="FFFFFF"/>
        </w:rPr>
        <w:sectPr>
          <w:footerReference r:id="rId16" w:type="default"/>
          <w:pgSz w:w="11906" w:h="16838"/>
          <w:pgMar w:top="1440" w:right="1803" w:bottom="1440" w:left="1803" w:header="851" w:footer="992" w:gutter="0"/>
          <w:pgNumType w:fmt="decimal"/>
          <w:cols w:space="720" w:num="1"/>
          <w:docGrid w:type="lines" w:linePitch="319" w:charSpace="0"/>
        </w:sectPr>
      </w:pPr>
    </w:p>
    <w:p>
      <w:pPr>
        <w:spacing w:before="450" w:after="300" w:line="540" w:lineRule="atLeast"/>
        <w:jc w:val="center"/>
        <w:textAlignment w:val="baseline"/>
        <w:rPr>
          <w:rFonts w:ascii="微软雅黑" w:hAnsi="微软雅黑" w:eastAsia="微软雅黑" w:cs="微软雅黑"/>
          <w:color w:val="383940"/>
          <w:sz w:val="39"/>
          <w:szCs w:val="39"/>
        </w:rPr>
      </w:pPr>
      <w:r>
        <w:rPr>
          <w:rFonts w:hint="eastAsia" w:ascii="微软雅黑" w:hAnsi="微软雅黑" w:eastAsia="微软雅黑" w:cs="微软雅黑"/>
          <w:color w:val="383940"/>
          <w:sz w:val="39"/>
          <w:szCs w:val="39"/>
          <w:shd w:val="clear" w:color="auto" w:fill="FFFFFF"/>
        </w:rPr>
        <w:t>关于印发中小企业划型标准规定的通知</w:t>
      </w:r>
    </w:p>
    <w:p>
      <w:pPr>
        <w:pStyle w:val="31"/>
        <w:spacing w:line="360" w:lineRule="auto"/>
        <w:rPr>
          <w:rFonts w:eastAsia="宋体"/>
          <w:color w:val="000000"/>
          <w:shd w:val="clear" w:color="auto" w:fill="FFFFFF"/>
        </w:rPr>
      </w:pPr>
      <w:r>
        <w:rPr>
          <w:rFonts w:hint="eastAsia"/>
          <w:color w:val="000000"/>
          <w:shd w:val="clear" w:color="auto" w:fill="FFFFFF"/>
        </w:rPr>
        <w:t>各省、自治区、直辖市人民政府，国务院各部委、各直属机构及有关单位：</w:t>
      </w:r>
    </w:p>
    <w:p>
      <w:pPr>
        <w:pStyle w:val="31"/>
        <w:spacing w:line="360" w:lineRule="auto"/>
        <w:rPr>
          <w:rFonts w:eastAsia="宋体"/>
          <w:color w:val="000000"/>
          <w:shd w:val="clear" w:color="auto" w:fill="FFFFFF"/>
        </w:rPr>
      </w:pPr>
      <w:r>
        <w:rPr>
          <w:rFonts w:hint="eastAsia"/>
          <w:color w:val="000000"/>
          <w:shd w:val="clear" w:color="auto" w:fill="FFFFFF"/>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31"/>
        <w:spacing w:line="360" w:lineRule="auto"/>
        <w:rPr>
          <w:rFonts w:eastAsia="宋体"/>
          <w:color w:val="000000"/>
          <w:shd w:val="clear" w:color="auto" w:fill="FFFFFF"/>
        </w:rPr>
      </w:pPr>
      <w:r>
        <w:rPr>
          <w:rFonts w:hint="eastAsia"/>
          <w:color w:val="000000"/>
          <w:shd w:val="clear" w:color="auto" w:fill="FFFFFF"/>
        </w:rPr>
        <w:t>　　　　　　　　　　　　　　　　　　　　　工业和信息化部　国家统计局</w:t>
      </w:r>
    </w:p>
    <w:p>
      <w:pPr>
        <w:pStyle w:val="31"/>
        <w:spacing w:line="360" w:lineRule="auto"/>
        <w:rPr>
          <w:rFonts w:eastAsia="宋体"/>
          <w:color w:val="000000"/>
          <w:shd w:val="clear" w:color="auto" w:fill="FFFFFF"/>
        </w:rPr>
      </w:pPr>
      <w:r>
        <w:rPr>
          <w:rFonts w:hint="eastAsia"/>
          <w:color w:val="000000"/>
          <w:shd w:val="clear" w:color="auto" w:fill="FFFFFF"/>
        </w:rPr>
        <w:t>　　　　　　　　　　　　　　　　　　　　国家发展和改革委员会　财政部</w:t>
      </w:r>
    </w:p>
    <w:p>
      <w:pPr>
        <w:pStyle w:val="31"/>
        <w:spacing w:line="360" w:lineRule="auto"/>
        <w:rPr>
          <w:color w:val="000000"/>
        </w:rPr>
      </w:pPr>
      <w:r>
        <w:rPr>
          <w:rFonts w:hint="eastAsia"/>
          <w:color w:val="000000"/>
          <w:shd w:val="clear" w:color="auto" w:fill="FFFFFF"/>
        </w:rPr>
        <w:t>　　　　　　　　　　　　　　　　　　　　　　　　二○一一年六月十八日</w:t>
      </w:r>
    </w:p>
    <w:p>
      <w:pPr>
        <w:pStyle w:val="31"/>
        <w:rPr>
          <w:color w:val="000000"/>
        </w:rPr>
      </w:pPr>
      <w:r>
        <w:rPr>
          <w:rFonts w:hint="eastAsia"/>
          <w:color w:val="000000"/>
          <w:shd w:val="clear" w:color="auto" w:fill="FFFFFF"/>
        </w:rPr>
        <w:t> </w:t>
      </w:r>
    </w:p>
    <w:p>
      <w:pPr>
        <w:pStyle w:val="31"/>
        <w:jc w:val="center"/>
        <w:rPr>
          <w:rStyle w:val="39"/>
          <w:color w:val="000000"/>
          <w:sz w:val="36"/>
          <w:szCs w:val="36"/>
          <w:shd w:val="clear" w:color="auto" w:fill="FFFFFF"/>
        </w:rPr>
      </w:pPr>
      <w:r>
        <w:rPr>
          <w:rStyle w:val="39"/>
          <w:rFonts w:hint="eastAsia"/>
          <w:color w:val="000000"/>
          <w:sz w:val="36"/>
          <w:szCs w:val="36"/>
          <w:shd w:val="clear" w:color="auto" w:fill="FFFFFF"/>
        </w:rPr>
        <w:t>中小企业划型标准规定</w:t>
      </w:r>
    </w:p>
    <w:p>
      <w:pPr>
        <w:spacing w:line="360" w:lineRule="auto"/>
        <w:rPr>
          <w:rFonts w:ascii="宋体" w:hAnsi="宋体" w:eastAsia="宋体" w:cs="宋体"/>
          <w:color w:val="000000"/>
          <w:shd w:val="clear" w:color="auto" w:fill="FFFFFF"/>
        </w:rPr>
      </w:pPr>
      <w:r>
        <w:rPr>
          <w:rFonts w:hint="eastAsia" w:ascii="宋体" w:hAnsi="宋体" w:cs="宋体"/>
          <w:color w:val="000000"/>
          <w:shd w:val="clear" w:color="auto" w:fill="FFFFFF"/>
        </w:rPr>
        <w:t>　　一、根据《中华人民共和国中小企业促进法》和《国务院关于进一步促进中小企业发展的若干意见》(国发〔2009〕36号)，制定本规定。</w:t>
      </w:r>
    </w:p>
    <w:p>
      <w:pPr>
        <w:spacing w:line="360" w:lineRule="auto"/>
        <w:rPr>
          <w:rFonts w:ascii="宋体" w:hAnsi="宋体" w:eastAsia="宋体" w:cs="宋体"/>
          <w:color w:val="000000"/>
          <w:shd w:val="clear" w:color="auto" w:fill="FFFFFF"/>
        </w:rPr>
      </w:pPr>
      <w:r>
        <w:rPr>
          <w:rFonts w:hint="eastAsia" w:ascii="宋体" w:hAnsi="宋体" w:cs="宋体"/>
          <w:color w:val="000000"/>
          <w:shd w:val="clear" w:color="auto" w:fill="FFFFFF"/>
        </w:rPr>
        <w:t>　　二、中小企业划分为中型、小型、微型三种类型，具体标准根据企业从业人员、营业收入、资产总额等指标，结合行业特点制定。</w:t>
      </w:r>
    </w:p>
    <w:p>
      <w:pPr>
        <w:spacing w:line="360" w:lineRule="auto"/>
        <w:rPr>
          <w:rFonts w:ascii="宋体" w:hAnsi="宋体" w:eastAsia="宋体" w:cs="宋体"/>
          <w:color w:val="000000"/>
          <w:shd w:val="clear" w:color="auto" w:fill="FFFFFF"/>
        </w:rPr>
      </w:pPr>
      <w:r>
        <w:rPr>
          <w:rFonts w:hint="eastAsia" w:ascii="宋体" w:hAnsi="宋体" w:cs="宋体"/>
          <w:color w:val="000000"/>
          <w:shd w:val="clear" w:color="auto"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spacing w:line="360" w:lineRule="auto"/>
        <w:rPr>
          <w:rFonts w:ascii="宋体" w:hAnsi="宋体" w:eastAsia="宋体" w:cs="宋体"/>
          <w:color w:val="000000"/>
          <w:shd w:val="clear" w:color="auto" w:fill="FFFFFF"/>
        </w:rPr>
      </w:pPr>
      <w:r>
        <w:rPr>
          <w:rFonts w:hint="eastAsia" w:ascii="宋体" w:hAnsi="宋体" w:cs="宋体"/>
          <w:color w:val="000000"/>
          <w:shd w:val="clear" w:color="auto" w:fill="FFFFFF"/>
        </w:rPr>
        <w:t>　　四、各行业划型标准为：</w:t>
      </w:r>
    </w:p>
    <w:p>
      <w:pPr>
        <w:spacing w:line="360" w:lineRule="auto"/>
        <w:rPr>
          <w:rFonts w:ascii="宋体" w:hAnsi="宋体" w:eastAsia="宋体" w:cs="宋体"/>
          <w:color w:val="000000"/>
          <w:shd w:val="clear" w:color="auto" w:fill="FFFFFF"/>
        </w:rPr>
      </w:pPr>
      <w:r>
        <w:rPr>
          <w:rFonts w:hint="eastAsia" w:ascii="宋体" w:hAnsi="宋体" w:cs="宋体"/>
          <w:color w:val="000000"/>
          <w:shd w:val="clear" w:color="auto" w:fill="FFFFFF"/>
        </w:rPr>
        <w:t>　　（一）农、林、牧、渔业。营业收入20000万元以下的为中小微型企业。其中，营业收入500万元及以上的为中型企业，营业收入50万元及以上的为小型企业，营业收入50万元以下的为微型企业。</w:t>
      </w:r>
    </w:p>
    <w:p>
      <w:pPr>
        <w:spacing w:line="360" w:lineRule="auto"/>
        <w:rPr>
          <w:rFonts w:ascii="宋体" w:hAnsi="宋体" w:eastAsia="宋体" w:cs="宋体"/>
          <w:color w:val="000000"/>
          <w:shd w:val="clear" w:color="auto" w:fill="FFFFFF"/>
        </w:rPr>
      </w:pPr>
      <w:r>
        <w:rPr>
          <w:rFonts w:hint="eastAsia" w:ascii="宋体" w:hAnsi="宋体" w:cs="宋体"/>
          <w:color w:val="000000"/>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spacing w:line="360" w:lineRule="auto"/>
        <w:rPr>
          <w:rFonts w:ascii="宋体" w:hAnsi="宋体" w:eastAsia="宋体" w:cs="宋体"/>
          <w:color w:val="000000"/>
          <w:shd w:val="clear" w:color="auto" w:fill="FFFFFF"/>
        </w:rPr>
      </w:pPr>
      <w:r>
        <w:rPr>
          <w:rFonts w:hint="eastAsia" w:ascii="宋体" w:hAnsi="宋体" w:cs="宋体"/>
          <w:color w:val="000000"/>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spacing w:line="360" w:lineRule="auto"/>
        <w:rPr>
          <w:rFonts w:ascii="宋体" w:hAnsi="宋体" w:eastAsia="宋体" w:cs="宋体"/>
          <w:color w:val="000000"/>
          <w:shd w:val="clear" w:color="auto" w:fill="FFFFFF"/>
        </w:rPr>
      </w:pPr>
      <w:r>
        <w:rPr>
          <w:rFonts w:hint="eastAsia" w:ascii="宋体" w:hAnsi="宋体" w:cs="宋体"/>
          <w:color w:val="000000"/>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spacing w:line="360" w:lineRule="auto"/>
        <w:rPr>
          <w:rFonts w:ascii="宋体" w:hAnsi="宋体" w:eastAsia="宋体" w:cs="宋体"/>
          <w:color w:val="000000"/>
          <w:shd w:val="clear" w:color="auto" w:fill="FFFFFF"/>
        </w:rPr>
      </w:pPr>
      <w:r>
        <w:rPr>
          <w:rFonts w:hint="eastAsia" w:ascii="宋体" w:hAnsi="宋体" w:cs="宋体"/>
          <w:color w:val="000000"/>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spacing w:line="360" w:lineRule="auto"/>
        <w:rPr>
          <w:rFonts w:ascii="宋体" w:hAnsi="宋体" w:eastAsia="宋体" w:cs="宋体"/>
          <w:color w:val="000000"/>
          <w:shd w:val="clear" w:color="auto" w:fill="FFFFFF"/>
        </w:rPr>
      </w:pPr>
      <w:r>
        <w:rPr>
          <w:rFonts w:hint="eastAsia" w:ascii="宋体" w:hAnsi="宋体" w:cs="宋体"/>
          <w:color w:val="000000"/>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spacing w:line="360" w:lineRule="auto"/>
        <w:rPr>
          <w:rFonts w:ascii="宋体" w:hAnsi="宋体" w:eastAsia="宋体" w:cs="宋体"/>
          <w:color w:val="000000"/>
          <w:shd w:val="clear" w:color="auto" w:fill="FFFFFF"/>
        </w:rPr>
      </w:pPr>
      <w:r>
        <w:rPr>
          <w:rFonts w:hint="eastAsia" w:ascii="宋体" w:hAnsi="宋体" w:cs="宋体"/>
          <w:color w:val="000000"/>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rPr>
          <w:rFonts w:ascii="宋体" w:hAnsi="宋体" w:eastAsia="宋体" w:cs="宋体"/>
          <w:color w:val="000000"/>
          <w:shd w:val="clear" w:color="auto" w:fill="FFFFFF"/>
        </w:rPr>
      </w:pPr>
      <w:r>
        <w:rPr>
          <w:rFonts w:hint="eastAsia" w:ascii="宋体" w:hAnsi="宋体" w:cs="宋体"/>
          <w:color w:val="000000"/>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spacing w:line="360" w:lineRule="auto"/>
        <w:rPr>
          <w:rFonts w:ascii="宋体" w:hAnsi="宋体" w:eastAsia="宋体" w:cs="宋体"/>
          <w:color w:val="000000"/>
          <w:shd w:val="clear" w:color="auto" w:fill="FFFFFF"/>
        </w:rPr>
      </w:pPr>
      <w:r>
        <w:rPr>
          <w:rFonts w:hint="eastAsia" w:ascii="宋体" w:hAnsi="宋体" w:cs="宋体"/>
          <w:color w:val="000000"/>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rPr>
          <w:rFonts w:ascii="宋体" w:hAnsi="宋体" w:eastAsia="宋体" w:cs="宋体"/>
          <w:color w:val="000000"/>
          <w:shd w:val="clear" w:color="auto" w:fill="FFFFFF"/>
        </w:rPr>
      </w:pPr>
      <w:r>
        <w:rPr>
          <w:rFonts w:hint="eastAsia" w:ascii="宋体" w:hAnsi="宋体" w:cs="宋体"/>
          <w:color w:val="000000"/>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rPr>
          <w:rFonts w:ascii="宋体" w:hAnsi="宋体" w:eastAsia="宋体" w:cs="宋体"/>
          <w:color w:val="000000"/>
          <w:shd w:val="clear" w:color="auto" w:fill="FFFFFF"/>
        </w:rPr>
      </w:pPr>
      <w:r>
        <w:rPr>
          <w:rFonts w:hint="eastAsia" w:ascii="宋体" w:hAnsi="宋体" w:cs="宋体"/>
          <w:color w:val="000000"/>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spacing w:line="360" w:lineRule="auto"/>
        <w:rPr>
          <w:rFonts w:ascii="宋体" w:hAnsi="宋体" w:eastAsia="宋体" w:cs="宋体"/>
          <w:color w:val="000000"/>
          <w:shd w:val="clear" w:color="auto" w:fill="FFFFFF"/>
        </w:rPr>
      </w:pPr>
      <w:r>
        <w:rPr>
          <w:rFonts w:hint="eastAsia" w:ascii="宋体" w:hAnsi="宋体" w:cs="宋体"/>
          <w:color w:val="000000"/>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spacing w:line="360" w:lineRule="auto"/>
        <w:rPr>
          <w:rFonts w:ascii="宋体" w:hAnsi="宋体" w:eastAsia="宋体" w:cs="宋体"/>
          <w:color w:val="000000"/>
          <w:shd w:val="clear" w:color="auto" w:fill="FFFFFF"/>
        </w:rPr>
      </w:pPr>
      <w:r>
        <w:rPr>
          <w:rFonts w:hint="eastAsia" w:ascii="宋体" w:hAnsi="宋体" w:cs="宋体"/>
          <w:color w:val="000000"/>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spacing w:line="360" w:lineRule="auto"/>
        <w:rPr>
          <w:rFonts w:ascii="宋体" w:hAnsi="宋体" w:eastAsia="宋体" w:cs="宋体"/>
          <w:color w:val="000000"/>
          <w:shd w:val="clear" w:color="auto" w:fill="FFFFFF"/>
        </w:rPr>
      </w:pPr>
      <w:r>
        <w:rPr>
          <w:rFonts w:hint="eastAsia" w:ascii="宋体" w:hAnsi="宋体" w:cs="宋体"/>
          <w:color w:val="000000"/>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rPr>
          <w:rFonts w:ascii="宋体" w:hAnsi="宋体" w:eastAsia="宋体" w:cs="宋体"/>
          <w:color w:val="000000"/>
          <w:shd w:val="clear" w:color="auto" w:fill="FFFFFF"/>
        </w:rPr>
      </w:pPr>
      <w:r>
        <w:rPr>
          <w:rFonts w:hint="eastAsia" w:ascii="宋体" w:hAnsi="宋体" w:cs="宋体"/>
          <w:color w:val="000000"/>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rPr>
          <w:rFonts w:ascii="宋体" w:hAnsi="宋体" w:eastAsia="宋体" w:cs="宋体"/>
          <w:color w:val="000000"/>
          <w:shd w:val="clear" w:color="auto" w:fill="FFFFFF"/>
        </w:rPr>
      </w:pPr>
      <w:r>
        <w:rPr>
          <w:rFonts w:hint="eastAsia" w:ascii="宋体" w:hAnsi="宋体" w:cs="宋体"/>
          <w:color w:val="000000"/>
          <w:shd w:val="clear" w:color="auto" w:fill="FFFFFF"/>
        </w:rPr>
        <w:t>　　（十六）其他未列明行业。从业人员300人以下的为中小微型企业。其中，从业人员100人及以上的为中型企业；从业人员10人及以上的为小型企业；从业人员10人以下的为微型企业。</w:t>
      </w:r>
    </w:p>
    <w:p>
      <w:pPr>
        <w:spacing w:line="360" w:lineRule="auto"/>
        <w:rPr>
          <w:rFonts w:ascii="宋体" w:hAnsi="宋体" w:eastAsia="宋体" w:cs="宋体"/>
          <w:color w:val="000000"/>
          <w:shd w:val="clear" w:color="auto" w:fill="FFFFFF"/>
        </w:rPr>
      </w:pPr>
      <w:r>
        <w:rPr>
          <w:rFonts w:hint="eastAsia" w:ascii="宋体" w:hAnsi="宋体" w:cs="宋体"/>
          <w:color w:val="000000"/>
          <w:shd w:val="clear" w:color="auto" w:fill="FFFFFF"/>
        </w:rPr>
        <w:t>　　五、企业类型的划分以统计部门的统计数据为依据。</w:t>
      </w:r>
    </w:p>
    <w:p>
      <w:pPr>
        <w:spacing w:line="360" w:lineRule="auto"/>
        <w:rPr>
          <w:rFonts w:ascii="宋体" w:hAnsi="宋体" w:eastAsia="宋体" w:cs="宋体"/>
          <w:color w:val="000000"/>
          <w:shd w:val="clear" w:color="auto" w:fill="FFFFFF"/>
        </w:rPr>
      </w:pPr>
      <w:r>
        <w:rPr>
          <w:rFonts w:hint="eastAsia" w:ascii="宋体" w:hAnsi="宋体" w:cs="宋体"/>
          <w:color w:val="000000"/>
          <w:shd w:val="clear" w:color="auto" w:fill="FFFFFF"/>
        </w:rPr>
        <w:t>　　六、本规定适用于在中华人民共和国境内依法设立的各类所有制和各种组织形式的企业。个体工商户和本规定以外的行业，参照本规定进行划型。</w:t>
      </w:r>
    </w:p>
    <w:p>
      <w:pPr>
        <w:spacing w:line="360" w:lineRule="auto"/>
        <w:rPr>
          <w:rFonts w:ascii="宋体" w:hAnsi="宋体" w:eastAsia="宋体" w:cs="宋体"/>
          <w:color w:val="000000"/>
          <w:shd w:val="clear" w:color="auto" w:fill="FFFFFF"/>
        </w:rPr>
      </w:pPr>
      <w:r>
        <w:rPr>
          <w:rFonts w:hint="eastAsia" w:ascii="宋体" w:hAnsi="宋体" w:cs="宋体"/>
          <w:color w:val="000000"/>
          <w:shd w:val="clear" w:color="auto" w:fill="FFFFFF"/>
        </w:rPr>
        <w:t>　　七、本规定的中型企业标准上限即为大型企业标准的下限，国家统计部门据此制定大中小微型企业的统计分类。国务院有关部门据此进行相关数据分析，不得制定与本规定不一致的企业划型标准。</w:t>
      </w:r>
    </w:p>
    <w:p>
      <w:pPr>
        <w:spacing w:line="360" w:lineRule="auto"/>
        <w:rPr>
          <w:rFonts w:ascii="宋体" w:hAnsi="宋体" w:eastAsia="宋体" w:cs="宋体"/>
          <w:color w:val="000000"/>
          <w:shd w:val="clear" w:color="auto" w:fill="FFFFFF"/>
        </w:rPr>
      </w:pPr>
      <w:r>
        <w:rPr>
          <w:rFonts w:hint="eastAsia" w:ascii="宋体" w:hAnsi="宋体" w:cs="宋体"/>
          <w:color w:val="000000"/>
          <w:shd w:val="clear" w:color="auto" w:fill="FFFFFF"/>
        </w:rPr>
        <w:t>　　八、本规定由工业和信息化部、国家统计局会同有关部门根据《国民经济行业分类》修订情况和企业发展变化情况适时修订。</w:t>
      </w:r>
    </w:p>
    <w:p>
      <w:pPr>
        <w:spacing w:line="360" w:lineRule="auto"/>
        <w:rPr>
          <w:rFonts w:ascii="宋体" w:hAnsi="宋体" w:eastAsia="宋体" w:cs="宋体"/>
          <w:color w:val="000000"/>
          <w:shd w:val="clear" w:color="auto" w:fill="FFFFFF"/>
        </w:rPr>
      </w:pPr>
      <w:r>
        <w:rPr>
          <w:rFonts w:hint="eastAsia" w:ascii="宋体" w:hAnsi="宋体" w:cs="宋体"/>
          <w:color w:val="000000"/>
          <w:shd w:val="clear" w:color="auto" w:fill="FFFFFF"/>
        </w:rPr>
        <w:t>　　九、本规定由工业和信息化部、国家统计局会同有关部门负责解释。</w:t>
      </w:r>
    </w:p>
    <w:p>
      <w:pPr>
        <w:spacing w:line="360" w:lineRule="auto"/>
        <w:sectPr>
          <w:pgSz w:w="11906" w:h="16838"/>
          <w:pgMar w:top="1440" w:right="1803" w:bottom="1440" w:left="1803" w:header="851" w:footer="992" w:gutter="0"/>
          <w:pgNumType w:fmt="decimal"/>
          <w:cols w:space="720" w:num="1"/>
          <w:docGrid w:type="lines" w:linePitch="319" w:charSpace="0"/>
        </w:sectPr>
      </w:pPr>
      <w:r>
        <w:rPr>
          <w:rFonts w:hint="eastAsia" w:ascii="宋体" w:hAnsi="宋体" w:cs="宋体"/>
          <w:color w:val="000000"/>
          <w:shd w:val="clear" w:color="auto" w:fill="FFFFFF"/>
        </w:rPr>
        <w:t>　　十、本规定自发布之日起执行，原国家经贸委、原国家计委、财政部和国家统计局2003年颁布的《中小企业标准暂行规定》同时废止。</w:t>
      </w:r>
    </w:p>
    <w:p>
      <w:pPr>
        <w:adjustRightInd w:val="0"/>
        <w:spacing w:line="360" w:lineRule="auto"/>
        <w:jc w:val="center"/>
        <w:textAlignment w:val="baseline"/>
        <w:outlineLvl w:val="1"/>
        <w:rPr>
          <w:rFonts w:asciiTheme="minorEastAsia" w:hAnsiTheme="minorEastAsia" w:cstheme="minorEastAsia"/>
        </w:rPr>
      </w:pPr>
      <w:bookmarkStart w:id="134" w:name="_Toc290"/>
      <w:r>
        <w:rPr>
          <w:rFonts w:hint="eastAsia" w:asciiTheme="minorEastAsia" w:hAnsiTheme="minorEastAsia" w:cstheme="minorEastAsia"/>
        </w:rPr>
        <w:t>附件二、残疾人福利性单位声明</w:t>
      </w:r>
      <w:bookmarkEnd w:id="131"/>
      <w:bookmarkEnd w:id="132"/>
      <w:bookmarkEnd w:id="133"/>
      <w:bookmarkEnd w:id="134"/>
    </w:p>
    <w:p>
      <w:pPr>
        <w:spacing w:line="360" w:lineRule="auto"/>
        <w:ind w:firstLine="504" w:firstLineChars="200"/>
        <w:rPr>
          <w:rFonts w:ascii="宋体" w:hAnsi="宋体" w:cs="宋体"/>
          <w:spacing w:val="6"/>
        </w:rPr>
      </w:pPr>
      <w:r>
        <w:rPr>
          <w:rFonts w:hint="eastAsia" w:ascii="宋体" w:hAnsi="宋体" w:cs="宋体"/>
          <w:spacing w:val="6"/>
        </w:rPr>
        <w:t>根据《三部门联合发布关于促进残疾人就业政府采购政策的通知》（财库〔2017〕141号）的规定，由供应商自行申明，并对申明真实性负责。如有虚假，将依法承担相应责任。</w:t>
      </w:r>
    </w:p>
    <w:p>
      <w:pPr>
        <w:spacing w:line="360" w:lineRule="auto"/>
        <w:rPr>
          <w:rFonts w:ascii="宋体" w:hAnsi="宋体" w:cs="宋体"/>
        </w:rPr>
      </w:pPr>
    </w:p>
    <w:p>
      <w:pPr>
        <w:adjustRightInd w:val="0"/>
        <w:spacing w:line="360" w:lineRule="auto"/>
        <w:jc w:val="center"/>
        <w:textAlignment w:val="baseline"/>
        <w:outlineLvl w:val="1"/>
        <w:rPr>
          <w:rFonts w:asciiTheme="minorEastAsia" w:hAnsiTheme="minorEastAsia" w:cstheme="minorEastAsia"/>
        </w:rPr>
      </w:pPr>
      <w:bookmarkStart w:id="135" w:name="_Toc3053"/>
      <w:bookmarkStart w:id="136" w:name="_Toc3639"/>
      <w:bookmarkStart w:id="137" w:name="_Toc13817"/>
      <w:bookmarkStart w:id="138" w:name="_Toc26193"/>
      <w:bookmarkStart w:id="139" w:name="_Toc13075"/>
      <w:bookmarkStart w:id="140" w:name="_Toc2723"/>
      <w:bookmarkStart w:id="141" w:name="_Toc27385"/>
      <w:r>
        <w:rPr>
          <w:rFonts w:hint="eastAsia" w:asciiTheme="minorEastAsia" w:hAnsiTheme="minorEastAsia" w:cstheme="minorEastAsia"/>
        </w:rPr>
        <w:t>附件三、监狱企业证明文件</w:t>
      </w:r>
      <w:bookmarkEnd w:id="135"/>
      <w:bookmarkEnd w:id="136"/>
      <w:bookmarkEnd w:id="137"/>
      <w:bookmarkEnd w:id="138"/>
      <w:bookmarkEnd w:id="139"/>
      <w:bookmarkEnd w:id="140"/>
      <w:bookmarkEnd w:id="141"/>
    </w:p>
    <w:p>
      <w:pPr>
        <w:adjustRightInd w:val="0"/>
        <w:spacing w:line="360" w:lineRule="auto"/>
        <w:ind w:firstLine="480" w:firstLineChars="200"/>
        <w:jc w:val="center"/>
        <w:textAlignment w:val="baseline"/>
        <w:outlineLvl w:val="1"/>
        <w:rPr>
          <w:rFonts w:asciiTheme="minorEastAsia" w:hAnsiTheme="minorEastAsia" w:cstheme="minorEastAsia"/>
        </w:rPr>
      </w:pPr>
      <w:bookmarkStart w:id="142" w:name="_Toc18780"/>
      <w:r>
        <w:rPr>
          <w:rFonts w:hint="eastAsia" w:asciiTheme="minorEastAsia" w:hAnsiTheme="minorEastAsia" w:cstheme="minorEastAsia"/>
        </w:rPr>
        <w:t>说明：根据《关于政府采购支持监狱企业发展有关问题的通知》（财库〔2014〕68号）的规定，监狱企业参加政府采购活动时，应当提供由省级以上监狱管理局、戒毒管理局（含新疆生产建设兵团）出具的属于监狱企业的证明文件。</w:t>
      </w:r>
      <w:bookmarkEnd w:id="142"/>
    </w:p>
    <w:p>
      <w:pPr>
        <w:rPr>
          <w:rFonts w:ascii="宋体" w:hAnsi="宋体" w:cs="宋体"/>
        </w:rPr>
      </w:pPr>
      <w:bookmarkStart w:id="143" w:name="_Toc11969"/>
      <w:bookmarkStart w:id="144" w:name="_Toc13539"/>
      <w:bookmarkStart w:id="145" w:name="_Toc2126"/>
      <w:bookmarkStart w:id="146" w:name="_Toc3267"/>
      <w:bookmarkStart w:id="147" w:name="_Toc13303"/>
      <w:bookmarkStart w:id="148" w:name="_Toc563"/>
      <w:bookmarkStart w:id="149" w:name="_Toc19198"/>
      <w:bookmarkStart w:id="150" w:name="_Toc13122"/>
    </w:p>
    <w:p>
      <w:pPr>
        <w:jc w:val="center"/>
        <w:rPr>
          <w:rFonts w:ascii="宋体" w:hAnsi="宋体" w:cs="宋体"/>
        </w:rPr>
      </w:pPr>
      <w:r>
        <w:rPr>
          <w:rFonts w:hint="eastAsia" w:ascii="宋体" w:hAnsi="宋体" w:cs="宋体"/>
        </w:rPr>
        <w:t>附件四、“节能产品”，“环境标志产品”证明材料</w:t>
      </w:r>
      <w:bookmarkEnd w:id="143"/>
      <w:bookmarkEnd w:id="144"/>
      <w:bookmarkEnd w:id="145"/>
      <w:bookmarkEnd w:id="146"/>
      <w:bookmarkEnd w:id="147"/>
      <w:bookmarkEnd w:id="148"/>
      <w:bookmarkEnd w:id="149"/>
      <w:bookmarkEnd w:id="150"/>
    </w:p>
    <w:p>
      <w:pPr>
        <w:rPr>
          <w:rFonts w:ascii="宋体" w:hAnsi="宋体" w:cs="宋体"/>
        </w:rPr>
      </w:pPr>
    </w:p>
    <w:p>
      <w:pPr>
        <w:adjustRightInd w:val="0"/>
        <w:spacing w:line="360" w:lineRule="auto"/>
        <w:ind w:firstLine="480" w:firstLineChars="200"/>
        <w:textAlignment w:val="baseline"/>
        <w:outlineLvl w:val="1"/>
        <w:rPr>
          <w:rFonts w:asciiTheme="minorEastAsia" w:hAnsiTheme="minorEastAsia" w:cstheme="minorEastAsia"/>
        </w:rPr>
      </w:pPr>
      <w:bookmarkStart w:id="151" w:name="_Toc29617"/>
      <w:r>
        <w:rPr>
          <w:rFonts w:hint="eastAsia" w:asciiTheme="minorEastAsia" w:hAnsiTheme="minorEastAsia" w:cstheme="minorEastAsia"/>
        </w:rPr>
        <w:t>1、供应商提供的产品属于“节能产品”，“环境标志产品”，应提供产品列入“节能产品”，“环境标志产品”相应产品的国家确定的认证机构出具的、处于有效期内的节能产品、环境标志产品认证证书。</w:t>
      </w:r>
      <w:bookmarkEnd w:id="151"/>
    </w:p>
    <w:p>
      <w:pPr>
        <w:adjustRightInd w:val="0"/>
        <w:spacing w:line="360" w:lineRule="auto"/>
        <w:ind w:firstLine="480" w:firstLineChars="200"/>
        <w:jc w:val="both"/>
        <w:textAlignment w:val="baseline"/>
        <w:outlineLvl w:val="1"/>
        <w:rPr>
          <w:rFonts w:asciiTheme="minorEastAsia" w:hAnsiTheme="minorEastAsia" w:cstheme="minorEastAsia"/>
        </w:rPr>
      </w:pPr>
      <w:bookmarkStart w:id="152" w:name="_Toc6295"/>
      <w:r>
        <w:rPr>
          <w:rFonts w:hint="eastAsia" w:asciiTheme="minorEastAsia" w:hAnsiTheme="minorEastAsia" w:cstheme="minorEastAsia"/>
        </w:rPr>
        <w:t>2、未按照上述要求提供的，评审时不予以考虑。</w:t>
      </w:r>
      <w:bookmarkEnd w:id="152"/>
    </w:p>
    <w:p>
      <w:pPr>
        <w:spacing w:line="360" w:lineRule="auto"/>
        <w:ind w:left="480" w:leftChars="200"/>
        <w:rPr>
          <w:rFonts w:ascii="宋体" w:hAnsi="宋体" w:cs="宋体"/>
        </w:rPr>
      </w:pPr>
    </w:p>
    <w:p>
      <w:pPr>
        <w:spacing w:line="360" w:lineRule="auto"/>
        <w:ind w:left="480" w:leftChars="200"/>
        <w:rPr>
          <w:rFonts w:asciiTheme="minorEastAsia" w:hAnsiTheme="minorEastAsia" w:cstheme="minorEastAsia"/>
        </w:rPr>
      </w:pPr>
    </w:p>
    <w:p>
      <w:pPr>
        <w:snapToGrid w:val="0"/>
        <w:spacing w:line="360" w:lineRule="auto"/>
        <w:ind w:firstLine="480" w:firstLineChars="200"/>
        <w:rPr>
          <w:rFonts w:asciiTheme="minorEastAsia" w:hAnsiTheme="minorEastAsia" w:cstheme="minorEastAsia"/>
        </w:rPr>
      </w:pPr>
    </w:p>
    <w:p>
      <w:pPr>
        <w:rPr>
          <w:rFonts w:asciiTheme="minorEastAsia" w:hAnsiTheme="minorEastAsia" w:cstheme="minorEastAsia"/>
        </w:rPr>
      </w:pPr>
      <w:bookmarkStart w:id="153" w:name="_Toc364"/>
      <w:bookmarkStart w:id="154" w:name="_Toc11924"/>
      <w:bookmarkStart w:id="155" w:name="_Toc3159"/>
      <w:bookmarkStart w:id="156" w:name="_Toc4757"/>
      <w:bookmarkStart w:id="157" w:name="_Toc654"/>
      <w:bookmarkStart w:id="158" w:name="_Toc5338"/>
      <w:r>
        <w:rPr>
          <w:rFonts w:hint="eastAsia" w:asciiTheme="minorEastAsia" w:hAnsiTheme="minorEastAsia" w:cstheme="minorEastAsia"/>
        </w:rPr>
        <w:br w:type="page"/>
      </w:r>
    </w:p>
    <w:bookmarkEnd w:id="153"/>
    <w:p>
      <w:pPr>
        <w:jc w:val="center"/>
        <w:rPr>
          <w:rFonts w:ascii="宋体" w:hAnsi="宋体" w:cs="宋体"/>
        </w:rPr>
      </w:pPr>
      <w:r>
        <w:rPr>
          <w:rFonts w:hint="eastAsia" w:ascii="宋体" w:hAnsi="宋体" w:cs="宋体"/>
        </w:rPr>
        <w:t>附件五、质疑函样本</w:t>
      </w:r>
    </w:p>
    <w:p>
      <w:pPr>
        <w:keepNext/>
        <w:keepLines/>
        <w:adjustRightInd w:val="0"/>
        <w:textAlignment w:val="baseline"/>
        <w:rPr>
          <w:rFonts w:asciiTheme="minorEastAsia" w:hAnsiTheme="minorEastAsia" w:cstheme="minorEastAsia"/>
          <w:bCs/>
        </w:rPr>
      </w:pPr>
      <w:r>
        <w:rPr>
          <w:rFonts w:hint="eastAsia" w:asciiTheme="minorEastAsia" w:hAnsiTheme="minorEastAsia" w:cstheme="minorEastAsia"/>
          <w:bCs/>
        </w:rPr>
        <w:t>一、质疑供应商基本信息</w:t>
      </w:r>
    </w:p>
    <w:p>
      <w:pPr>
        <w:keepNext/>
        <w:keepLines/>
        <w:adjustRightInd w:val="0"/>
        <w:textAlignment w:val="baseline"/>
        <w:rPr>
          <w:rFonts w:asciiTheme="minorEastAsia" w:hAnsiTheme="minorEastAsia" w:cstheme="minorEastAsia"/>
          <w:bCs/>
        </w:rPr>
      </w:pPr>
      <w:r>
        <w:rPr>
          <w:rFonts w:hint="eastAsia" w:asciiTheme="minorEastAsia" w:hAnsiTheme="minorEastAsia" w:cstheme="minorEastAsia"/>
          <w:bCs/>
        </w:rPr>
        <w:t xml:space="preserve">质疑供应商：                                        </w:t>
      </w:r>
    </w:p>
    <w:p>
      <w:pPr>
        <w:keepNext/>
        <w:keepLines/>
        <w:adjustRightInd w:val="0"/>
        <w:textAlignment w:val="baseline"/>
        <w:rPr>
          <w:rFonts w:asciiTheme="minorEastAsia" w:hAnsiTheme="minorEastAsia" w:cstheme="minorEastAsia"/>
          <w:bCs/>
        </w:rPr>
      </w:pPr>
      <w:r>
        <w:rPr>
          <w:rFonts w:hint="eastAsia" w:asciiTheme="minorEastAsia" w:hAnsiTheme="minorEastAsia" w:cstheme="minorEastAsia"/>
          <w:bCs/>
        </w:rPr>
        <w:t xml:space="preserve">地址：                          邮编：                                                   </w:t>
      </w:r>
    </w:p>
    <w:p>
      <w:pPr>
        <w:keepNext/>
        <w:keepLines/>
        <w:adjustRightInd w:val="0"/>
        <w:textAlignment w:val="baseline"/>
        <w:rPr>
          <w:rFonts w:asciiTheme="minorEastAsia" w:hAnsiTheme="minorEastAsia" w:cstheme="minorEastAsia"/>
          <w:bCs/>
        </w:rPr>
      </w:pPr>
      <w:r>
        <w:rPr>
          <w:rFonts w:hint="eastAsia" w:asciiTheme="minorEastAsia" w:hAnsiTheme="minorEastAsia" w:cstheme="minorEastAsia"/>
          <w:bCs/>
        </w:rPr>
        <w:t xml:space="preserve">联系人：                      联系电话：                              </w:t>
      </w:r>
    </w:p>
    <w:p>
      <w:pPr>
        <w:keepNext/>
        <w:keepLines/>
        <w:adjustRightInd w:val="0"/>
        <w:textAlignment w:val="baseline"/>
        <w:rPr>
          <w:rFonts w:asciiTheme="minorEastAsia" w:hAnsiTheme="minorEastAsia" w:cstheme="minorEastAsia"/>
          <w:bCs/>
        </w:rPr>
      </w:pPr>
      <w:r>
        <w:rPr>
          <w:rFonts w:hint="eastAsia" w:asciiTheme="minorEastAsia" w:hAnsiTheme="minorEastAsia" w:cstheme="minorEastAsia"/>
          <w:bCs/>
        </w:rPr>
        <w:t xml:space="preserve">授权代表：                                          </w:t>
      </w:r>
    </w:p>
    <w:p>
      <w:pPr>
        <w:keepNext/>
        <w:keepLines/>
        <w:adjustRightInd w:val="0"/>
        <w:textAlignment w:val="baseline"/>
        <w:rPr>
          <w:rFonts w:asciiTheme="minorEastAsia" w:hAnsiTheme="minorEastAsia" w:cstheme="minorEastAsia"/>
          <w:bCs/>
        </w:rPr>
      </w:pPr>
      <w:r>
        <w:rPr>
          <w:rFonts w:hint="eastAsia" w:asciiTheme="minorEastAsia" w:hAnsiTheme="minorEastAsia" w:cstheme="minorEastAsia"/>
          <w:bCs/>
        </w:rPr>
        <w:t xml:space="preserve">联系电话：                                            </w:t>
      </w:r>
    </w:p>
    <w:p>
      <w:pPr>
        <w:keepNext/>
        <w:keepLines/>
        <w:adjustRightInd w:val="0"/>
        <w:textAlignment w:val="baseline"/>
        <w:rPr>
          <w:rFonts w:asciiTheme="minorEastAsia" w:hAnsiTheme="minorEastAsia" w:cstheme="minorEastAsia"/>
          <w:bCs/>
        </w:rPr>
      </w:pPr>
      <w:r>
        <w:rPr>
          <w:rFonts w:hint="eastAsia" w:asciiTheme="minorEastAsia" w:hAnsiTheme="minorEastAsia" w:cstheme="minorEastAsia"/>
          <w:bCs/>
        </w:rPr>
        <w:t xml:space="preserve">地址：                         邮编：                                                </w:t>
      </w:r>
    </w:p>
    <w:p>
      <w:pPr>
        <w:keepNext/>
        <w:keepLines/>
        <w:adjustRightInd w:val="0"/>
        <w:textAlignment w:val="baseline"/>
        <w:rPr>
          <w:rFonts w:asciiTheme="minorEastAsia" w:hAnsiTheme="minorEastAsia" w:cstheme="minorEastAsia"/>
          <w:bCs/>
        </w:rPr>
      </w:pPr>
      <w:r>
        <w:rPr>
          <w:rFonts w:hint="eastAsia" w:asciiTheme="minorEastAsia" w:hAnsiTheme="minorEastAsia" w:cstheme="minorEastAsia"/>
          <w:bCs/>
        </w:rPr>
        <w:t>二、质疑项目基本情况</w:t>
      </w:r>
    </w:p>
    <w:p>
      <w:pPr>
        <w:keepNext/>
        <w:keepLines/>
        <w:adjustRightInd w:val="0"/>
        <w:textAlignment w:val="baseline"/>
        <w:rPr>
          <w:rFonts w:asciiTheme="minorEastAsia" w:hAnsiTheme="minorEastAsia" w:cstheme="minorEastAsia"/>
          <w:bCs/>
        </w:rPr>
      </w:pPr>
      <w:r>
        <w:rPr>
          <w:rFonts w:hint="eastAsia" w:asciiTheme="minorEastAsia" w:hAnsiTheme="minorEastAsia" w:cstheme="minorEastAsia"/>
          <w:bCs/>
        </w:rPr>
        <w:t xml:space="preserve">质疑项目的名称：              </w:t>
      </w:r>
      <w:r>
        <w:rPr>
          <w:rFonts w:hint="eastAsia" w:ascii="宋体" w:hAnsi="宋体" w:cs="宋体"/>
        </w:rPr>
        <w:t xml:space="preserve"> 包号：  </w:t>
      </w:r>
      <w:r>
        <w:rPr>
          <w:rFonts w:hint="eastAsia" w:asciiTheme="minorEastAsia" w:hAnsiTheme="minorEastAsia" w:cstheme="minorEastAsia"/>
          <w:bCs/>
        </w:rPr>
        <w:t xml:space="preserve">                        </w:t>
      </w:r>
    </w:p>
    <w:p>
      <w:pPr>
        <w:keepNext/>
        <w:keepLines/>
        <w:adjustRightInd w:val="0"/>
        <w:textAlignment w:val="baseline"/>
        <w:rPr>
          <w:rFonts w:asciiTheme="minorEastAsia" w:hAnsiTheme="minorEastAsia" w:cstheme="minorEastAsia"/>
          <w:bCs/>
        </w:rPr>
      </w:pPr>
      <w:r>
        <w:rPr>
          <w:rFonts w:hint="eastAsia" w:asciiTheme="minorEastAsia" w:hAnsiTheme="minorEastAsia" w:cstheme="minorEastAsia"/>
          <w:bCs/>
        </w:rPr>
        <w:t xml:space="preserve">质疑项目的编号：                </w:t>
      </w:r>
    </w:p>
    <w:p>
      <w:pPr>
        <w:keepNext/>
        <w:keepLines/>
        <w:adjustRightInd w:val="0"/>
        <w:textAlignment w:val="baseline"/>
        <w:rPr>
          <w:rFonts w:asciiTheme="minorEastAsia" w:hAnsiTheme="minorEastAsia" w:cstheme="minorEastAsia"/>
          <w:bCs/>
        </w:rPr>
      </w:pPr>
      <w:r>
        <w:rPr>
          <w:rFonts w:hint="eastAsia" w:asciiTheme="minorEastAsia" w:hAnsiTheme="minorEastAsia" w:cstheme="minorEastAsia"/>
          <w:bCs/>
        </w:rPr>
        <w:t xml:space="preserve">采购人名称：                                         </w:t>
      </w:r>
    </w:p>
    <w:p>
      <w:pPr>
        <w:keepNext/>
        <w:keepLines/>
        <w:adjustRightInd w:val="0"/>
        <w:textAlignment w:val="baseline"/>
        <w:rPr>
          <w:rFonts w:asciiTheme="minorEastAsia" w:hAnsiTheme="minorEastAsia" w:cstheme="minorEastAsia"/>
          <w:bCs/>
        </w:rPr>
      </w:pPr>
      <w:r>
        <w:rPr>
          <w:rFonts w:hint="eastAsia" w:asciiTheme="minorEastAsia" w:hAnsiTheme="minorEastAsia" w:cstheme="minorEastAsia"/>
          <w:bCs/>
        </w:rPr>
        <w:t xml:space="preserve">采购文件获取日期：                                           </w:t>
      </w:r>
    </w:p>
    <w:p>
      <w:pPr>
        <w:keepNext/>
        <w:keepLines/>
        <w:adjustRightInd w:val="0"/>
        <w:textAlignment w:val="baseline"/>
        <w:rPr>
          <w:rFonts w:asciiTheme="minorEastAsia" w:hAnsiTheme="minorEastAsia" w:cstheme="minorEastAsia"/>
          <w:bCs/>
        </w:rPr>
      </w:pPr>
      <w:r>
        <w:rPr>
          <w:rFonts w:hint="eastAsia" w:asciiTheme="minorEastAsia" w:hAnsiTheme="minorEastAsia" w:cstheme="minorEastAsia"/>
          <w:bCs/>
        </w:rPr>
        <w:t>三、质疑事项具体内容</w:t>
      </w:r>
    </w:p>
    <w:p>
      <w:pPr>
        <w:keepNext/>
        <w:keepLines/>
        <w:adjustRightInd w:val="0"/>
        <w:textAlignment w:val="baseline"/>
        <w:rPr>
          <w:rFonts w:asciiTheme="minorEastAsia" w:hAnsiTheme="minorEastAsia" w:cstheme="minorEastAsia"/>
          <w:bCs/>
        </w:rPr>
      </w:pPr>
      <w:r>
        <w:rPr>
          <w:rFonts w:hint="eastAsia" w:asciiTheme="minorEastAsia" w:hAnsiTheme="minorEastAsia" w:cstheme="minorEastAsia"/>
          <w:bCs/>
        </w:rPr>
        <w:t xml:space="preserve">质疑事项1：                                         </w:t>
      </w:r>
    </w:p>
    <w:p>
      <w:pPr>
        <w:keepNext/>
        <w:keepLines/>
        <w:adjustRightInd w:val="0"/>
        <w:textAlignment w:val="baseline"/>
        <w:rPr>
          <w:rFonts w:asciiTheme="minorEastAsia" w:hAnsiTheme="minorEastAsia" w:cstheme="minorEastAsia"/>
          <w:bCs/>
        </w:rPr>
      </w:pPr>
      <w:r>
        <w:rPr>
          <w:rFonts w:hint="eastAsia" w:asciiTheme="minorEastAsia" w:hAnsiTheme="minorEastAsia" w:cstheme="minorEastAsia"/>
          <w:bCs/>
        </w:rPr>
        <w:t xml:space="preserve">事实依据：                                                                                               </w:t>
      </w:r>
    </w:p>
    <w:p>
      <w:pPr>
        <w:keepNext/>
        <w:keepLines/>
        <w:adjustRightInd w:val="0"/>
        <w:textAlignment w:val="baseline"/>
        <w:rPr>
          <w:rFonts w:asciiTheme="minorEastAsia" w:hAnsiTheme="minorEastAsia" w:cstheme="minorEastAsia"/>
          <w:bCs/>
        </w:rPr>
      </w:pPr>
      <w:r>
        <w:rPr>
          <w:rFonts w:hint="eastAsia" w:asciiTheme="minorEastAsia" w:hAnsiTheme="minorEastAsia" w:cstheme="minorEastAsia"/>
          <w:bCs/>
        </w:rPr>
        <w:t xml:space="preserve">法律依据：                                                                                               </w:t>
      </w:r>
    </w:p>
    <w:p>
      <w:pPr>
        <w:keepNext/>
        <w:keepLines/>
        <w:adjustRightInd w:val="0"/>
        <w:textAlignment w:val="baseline"/>
        <w:rPr>
          <w:rFonts w:asciiTheme="minorEastAsia" w:hAnsiTheme="minorEastAsia" w:cstheme="minorEastAsia"/>
          <w:bCs/>
        </w:rPr>
      </w:pPr>
      <w:r>
        <w:rPr>
          <w:rFonts w:hint="eastAsia" w:asciiTheme="minorEastAsia" w:hAnsiTheme="minorEastAsia" w:cstheme="minorEastAsia"/>
          <w:bCs/>
        </w:rPr>
        <w:t>质疑事项2</w:t>
      </w:r>
    </w:p>
    <w:p>
      <w:pPr>
        <w:keepNext/>
        <w:keepLines/>
        <w:adjustRightInd w:val="0"/>
        <w:textAlignment w:val="baseline"/>
        <w:rPr>
          <w:rFonts w:asciiTheme="minorEastAsia" w:hAnsiTheme="minorEastAsia" w:cstheme="minorEastAsia"/>
          <w:bCs/>
        </w:rPr>
      </w:pPr>
      <w:r>
        <w:rPr>
          <w:rFonts w:hint="eastAsia" w:asciiTheme="minorEastAsia" w:hAnsiTheme="minorEastAsia" w:cstheme="minorEastAsia"/>
          <w:bCs/>
        </w:rPr>
        <w:t>四、与质疑事项相关的质疑请求</w:t>
      </w:r>
    </w:p>
    <w:p>
      <w:pPr>
        <w:keepNext/>
        <w:keepLines/>
        <w:adjustRightInd w:val="0"/>
        <w:textAlignment w:val="baseline"/>
        <w:rPr>
          <w:rFonts w:asciiTheme="minorEastAsia" w:hAnsiTheme="minorEastAsia" w:cstheme="minorEastAsia"/>
          <w:bCs/>
        </w:rPr>
      </w:pPr>
      <w:r>
        <w:rPr>
          <w:rFonts w:hint="eastAsia" w:asciiTheme="minorEastAsia" w:hAnsiTheme="minorEastAsia" w:cstheme="minorEastAsia"/>
          <w:bCs/>
        </w:rPr>
        <w:t xml:space="preserve">请求：                                               </w:t>
      </w:r>
    </w:p>
    <w:p>
      <w:pPr>
        <w:keepNext/>
        <w:keepLines/>
        <w:adjustRightInd w:val="0"/>
        <w:textAlignment w:val="baseline"/>
        <w:rPr>
          <w:rFonts w:asciiTheme="minorEastAsia" w:hAnsiTheme="minorEastAsia" w:cstheme="minorEastAsia"/>
          <w:bCs/>
        </w:rPr>
      </w:pPr>
      <w:r>
        <w:rPr>
          <w:rFonts w:hint="eastAsia" w:asciiTheme="minorEastAsia" w:hAnsiTheme="minorEastAsia" w:cstheme="minorEastAsia"/>
          <w:bCs/>
        </w:rPr>
        <w:t xml:space="preserve">签字(签章)：                   公章：                      </w:t>
      </w:r>
    </w:p>
    <w:p>
      <w:pPr>
        <w:keepNext/>
        <w:keepLines/>
        <w:adjustRightInd w:val="0"/>
        <w:textAlignment w:val="baseline"/>
        <w:rPr>
          <w:rFonts w:asciiTheme="minorEastAsia" w:hAnsiTheme="minorEastAsia" w:cstheme="minorEastAsia"/>
          <w:bCs/>
        </w:rPr>
      </w:pPr>
      <w:r>
        <w:rPr>
          <w:rFonts w:hint="eastAsia" w:asciiTheme="minorEastAsia" w:hAnsiTheme="minorEastAsia" w:cstheme="minorEastAsia"/>
          <w:bCs/>
        </w:rPr>
        <w:t xml:space="preserve">日期：    </w:t>
      </w:r>
    </w:p>
    <w:p>
      <w:pPr>
        <w:keepNext/>
        <w:keepLines/>
        <w:adjustRightInd w:val="0"/>
        <w:textAlignment w:val="baseline"/>
        <w:rPr>
          <w:rFonts w:asciiTheme="minorEastAsia" w:hAnsiTheme="minorEastAsia" w:cstheme="minorEastAsia"/>
          <w:bCs/>
        </w:rPr>
      </w:pPr>
      <w:r>
        <w:rPr>
          <w:rFonts w:hint="eastAsia" w:asciiTheme="minorEastAsia" w:hAnsiTheme="minorEastAsia" w:cstheme="minorEastAsia"/>
          <w:bCs/>
        </w:rPr>
        <w:t>质疑函制作说明：</w:t>
      </w:r>
    </w:p>
    <w:p>
      <w:pPr>
        <w:keepNext/>
        <w:keepLines/>
        <w:adjustRightInd w:val="0"/>
        <w:textAlignment w:val="baseline"/>
        <w:rPr>
          <w:rFonts w:asciiTheme="minorEastAsia" w:hAnsiTheme="minorEastAsia" w:cstheme="minorEastAsia"/>
          <w:bCs/>
        </w:rPr>
      </w:pPr>
      <w:r>
        <w:rPr>
          <w:rFonts w:hint="eastAsia" w:asciiTheme="minorEastAsia" w:hAnsiTheme="minorEastAsia" w:cstheme="minorEastAsia"/>
          <w:bCs/>
        </w:rPr>
        <w:t>1.供应商提出质疑时，应提交质疑函和必要的证明材料。</w:t>
      </w:r>
    </w:p>
    <w:p>
      <w:pPr>
        <w:keepNext/>
        <w:keepLines/>
        <w:adjustRightInd w:val="0"/>
        <w:textAlignment w:val="baseline"/>
        <w:rPr>
          <w:rFonts w:asciiTheme="minorEastAsia" w:hAnsiTheme="minorEastAsia" w:cstheme="minorEastAsia"/>
          <w:bCs/>
        </w:rPr>
      </w:pPr>
      <w:r>
        <w:rPr>
          <w:rFonts w:hint="eastAsia" w:asciiTheme="minorEastAsia" w:hAnsiTheme="minorEastAsia" w:cstheme="minorEastAsia"/>
          <w:bCs/>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keepNext/>
        <w:keepLines/>
        <w:adjustRightInd w:val="0"/>
        <w:textAlignment w:val="baseline"/>
        <w:rPr>
          <w:rFonts w:asciiTheme="minorEastAsia" w:hAnsiTheme="minorEastAsia" w:cstheme="minorEastAsia"/>
          <w:bCs/>
        </w:rPr>
      </w:pPr>
      <w:r>
        <w:rPr>
          <w:rFonts w:hint="eastAsia" w:asciiTheme="minorEastAsia" w:hAnsiTheme="minorEastAsia" w:cstheme="minorEastAsia"/>
          <w:bCs/>
        </w:rPr>
        <w:t>3.质疑供应商若对项目的某一分包进行质疑，质疑函中应列明具体分。</w:t>
      </w:r>
    </w:p>
    <w:p>
      <w:pPr>
        <w:keepNext/>
        <w:keepLines/>
        <w:adjustRightInd w:val="0"/>
        <w:textAlignment w:val="baseline"/>
        <w:rPr>
          <w:rFonts w:asciiTheme="minorEastAsia" w:hAnsiTheme="minorEastAsia" w:cstheme="minorEastAsia"/>
          <w:bCs/>
        </w:rPr>
      </w:pPr>
      <w:r>
        <w:rPr>
          <w:rFonts w:hint="eastAsia" w:asciiTheme="minorEastAsia" w:hAnsiTheme="minorEastAsia" w:cstheme="minorEastAsia"/>
          <w:bCs/>
        </w:rPr>
        <w:t>4.质疑函的质疑事项应具体、明确，并有必要的事实依据和法律依据。</w:t>
      </w:r>
    </w:p>
    <w:p>
      <w:pPr>
        <w:keepNext/>
        <w:keepLines/>
        <w:adjustRightInd w:val="0"/>
        <w:textAlignment w:val="baseline"/>
        <w:rPr>
          <w:rFonts w:asciiTheme="minorEastAsia" w:hAnsiTheme="minorEastAsia" w:cstheme="minorEastAsia"/>
          <w:bCs/>
        </w:rPr>
      </w:pPr>
      <w:r>
        <w:rPr>
          <w:rFonts w:hint="eastAsia" w:asciiTheme="minorEastAsia" w:hAnsiTheme="minorEastAsia" w:cstheme="minorEastAsia"/>
          <w:bCs/>
        </w:rPr>
        <w:t>5.质疑函的质疑请求应与质疑事项相关。</w:t>
      </w:r>
    </w:p>
    <w:p>
      <w:pPr>
        <w:rPr>
          <w:rFonts w:asciiTheme="minorEastAsia" w:hAnsiTheme="minorEastAsia" w:cstheme="minorEastAsia"/>
        </w:rPr>
      </w:pPr>
      <w:r>
        <w:rPr>
          <w:rFonts w:hint="eastAsia" w:asciiTheme="minorEastAsia" w:hAnsiTheme="minorEastAsia" w:cstheme="minorEastAsia"/>
          <w:bCs/>
        </w:rPr>
        <w:t>6.质疑供应商为自然人的，质疑函应由本人签字；质疑供应商为法人或者其他组织的，质疑函应由法定代表人、主要负责人，或者其授权代表签字或者盖章，并加盖公章。</w:t>
      </w:r>
    </w:p>
    <w:bookmarkEnd w:id="154"/>
    <w:bookmarkEnd w:id="155"/>
    <w:bookmarkEnd w:id="156"/>
    <w:bookmarkEnd w:id="157"/>
    <w:bookmarkEnd w:id="158"/>
    <w:p>
      <w:pPr>
        <w:ind w:firstLine="816" w:firstLineChars="100"/>
        <w:rPr>
          <w:rFonts w:ascii="宋体" w:hAnsi="宋体" w:cs="宋体"/>
          <w:b/>
          <w:spacing w:val="48"/>
          <w:sz w:val="72"/>
          <w:szCs w:val="72"/>
        </w:rPr>
        <w:sectPr>
          <w:headerReference r:id="rId17" w:type="default"/>
          <w:footerReference r:id="rId19" w:type="default"/>
          <w:headerReference r:id="rId18" w:type="even"/>
          <w:pgSz w:w="11906" w:h="16838"/>
          <w:pgMar w:top="1440" w:right="1800" w:bottom="1440" w:left="1800" w:header="851" w:footer="992" w:gutter="0"/>
          <w:pgNumType w:fmt="decimal"/>
          <w:cols w:space="425" w:num="1"/>
          <w:docGrid w:type="linesAndChars" w:linePitch="420" w:charSpace="0"/>
        </w:sectPr>
      </w:pPr>
    </w:p>
    <w:p>
      <w:pPr>
        <w:pStyle w:val="6"/>
        <w:numPr>
          <w:ilvl w:val="3"/>
          <w:numId w:val="0"/>
        </w:numPr>
      </w:pPr>
    </w:p>
    <w:p>
      <w:pPr>
        <w:ind w:firstLine="816" w:firstLineChars="100"/>
        <w:rPr>
          <w:rFonts w:ascii="宋体" w:hAnsi="宋体" w:cs="宋体"/>
          <w:b/>
          <w:spacing w:val="48"/>
          <w:sz w:val="72"/>
          <w:szCs w:val="72"/>
        </w:rPr>
      </w:pPr>
      <w:r>
        <w:rPr>
          <w:rFonts w:hint="eastAsia" w:ascii="宋体" w:hAnsi="宋体" w:cs="宋体"/>
          <w:b/>
          <w:spacing w:val="48"/>
          <w:sz w:val="72"/>
          <w:szCs w:val="72"/>
        </w:rPr>
        <w:t>公平       公正</w:t>
      </w:r>
    </w:p>
    <w:p>
      <w:pPr>
        <w:rPr>
          <w:rFonts w:ascii="宋体" w:hAnsi="宋体" w:cs="宋体"/>
          <w:b/>
          <w:spacing w:val="48"/>
          <w:sz w:val="72"/>
          <w:szCs w:val="72"/>
        </w:rPr>
      </w:pPr>
    </w:p>
    <w:p>
      <w:pPr>
        <w:rPr>
          <w:rFonts w:ascii="宋体" w:hAnsi="宋体" w:cs="宋体"/>
          <w:spacing w:val="48"/>
          <w:sz w:val="72"/>
          <w:szCs w:val="72"/>
        </w:rPr>
      </w:pPr>
    </w:p>
    <w:p>
      <w:pPr>
        <w:rPr>
          <w:rFonts w:ascii="宋体" w:hAnsi="宋体" w:cs="宋体"/>
        </w:rPr>
      </w:pPr>
    </w:p>
    <w:p>
      <w:pPr>
        <w:ind w:firstLine="816" w:firstLineChars="100"/>
        <w:rPr>
          <w:rFonts w:ascii="宋体" w:hAnsi="宋体" w:cs="宋体"/>
          <w:b/>
          <w:spacing w:val="48"/>
          <w:sz w:val="72"/>
          <w:szCs w:val="72"/>
        </w:rPr>
      </w:pPr>
      <w:bookmarkStart w:id="159" w:name="_Toc9946"/>
      <w:r>
        <w:rPr>
          <w:rFonts w:hint="eastAsia" w:ascii="宋体" w:hAnsi="宋体" w:cs="宋体"/>
          <w:b/>
          <w:spacing w:val="48"/>
          <w:sz w:val="72"/>
          <w:szCs w:val="72"/>
        </w:rPr>
        <w:t>专业       高效</w:t>
      </w:r>
      <w:bookmarkEnd w:id="159"/>
    </w:p>
    <w:p>
      <w:pPr>
        <w:rPr>
          <w:rFonts w:ascii="宋体" w:hAnsi="宋体" w:cs="宋体"/>
          <w:spacing w:val="48"/>
          <w:sz w:val="72"/>
          <w:szCs w:val="72"/>
        </w:rPr>
      </w:pPr>
    </w:p>
    <w:p>
      <w:pPr>
        <w:rPr>
          <w:rFonts w:ascii="宋体" w:hAnsi="宋体" w:cs="宋体"/>
          <w:b/>
          <w:spacing w:val="48"/>
          <w:sz w:val="72"/>
          <w:szCs w:val="72"/>
        </w:rPr>
      </w:pPr>
    </w:p>
    <w:p>
      <w:pPr>
        <w:rPr>
          <w:rFonts w:ascii="宋体" w:hAnsi="宋体" w:cs="宋体"/>
          <w:spacing w:val="48"/>
          <w:sz w:val="72"/>
          <w:szCs w:val="72"/>
        </w:rPr>
      </w:pPr>
    </w:p>
    <w:p>
      <w:pPr>
        <w:rPr>
          <w:rFonts w:ascii="宋体" w:hAnsi="宋体" w:cs="宋体"/>
        </w:rPr>
      </w:pPr>
    </w:p>
    <w:p>
      <w:pPr>
        <w:rPr>
          <w:rFonts w:ascii="宋体" w:hAnsi="宋体" w:cs="宋体"/>
          <w:b/>
          <w:sz w:val="30"/>
          <w:szCs w:val="30"/>
        </w:rPr>
      </w:pPr>
    </w:p>
    <w:p>
      <w:pPr>
        <w:rPr>
          <w:rFonts w:ascii="宋体" w:hAnsi="宋体" w:cs="宋体"/>
          <w:b/>
          <w:sz w:val="30"/>
          <w:szCs w:val="30"/>
        </w:rPr>
      </w:pPr>
      <w:bookmarkStart w:id="160" w:name="_Toc32384"/>
      <w:r>
        <w:rPr>
          <w:rFonts w:hint="eastAsia" w:ascii="宋体" w:hAnsi="宋体" w:cs="宋体"/>
          <w:b/>
          <w:sz w:val="30"/>
          <w:szCs w:val="30"/>
        </w:rPr>
        <w:t>企业名称：陕西卓佲项目管理有限公司</w:t>
      </w:r>
      <w:bookmarkEnd w:id="160"/>
    </w:p>
    <w:p>
      <w:pPr>
        <w:rPr>
          <w:rFonts w:ascii="宋体" w:hAnsi="宋体" w:cs="宋体"/>
          <w:b/>
          <w:sz w:val="30"/>
          <w:szCs w:val="30"/>
        </w:rPr>
      </w:pPr>
      <w:bookmarkStart w:id="161" w:name="_Toc25918"/>
      <w:r>
        <w:rPr>
          <w:rFonts w:hint="eastAsia" w:ascii="宋体" w:hAnsi="宋体" w:cs="宋体"/>
          <w:b/>
          <w:sz w:val="30"/>
          <w:szCs w:val="30"/>
        </w:rPr>
        <w:t>地址：西安市雁塔区科技路十号华奥大厦A座20层2002室</w:t>
      </w:r>
      <w:bookmarkEnd w:id="161"/>
    </w:p>
    <w:p>
      <w:pPr>
        <w:rPr>
          <w:rFonts w:ascii="宋体" w:hAnsi="宋体" w:cs="宋体"/>
          <w:b/>
          <w:sz w:val="30"/>
          <w:szCs w:val="30"/>
        </w:rPr>
      </w:pPr>
      <w:bookmarkStart w:id="162" w:name="_Toc26276"/>
      <w:r>
        <w:rPr>
          <w:rFonts w:hint="eastAsia" w:ascii="宋体" w:hAnsi="宋体" w:cs="宋体"/>
          <w:b/>
          <w:sz w:val="30"/>
          <w:szCs w:val="30"/>
        </w:rPr>
        <w:t>邮政编码：710065</w:t>
      </w:r>
      <w:bookmarkEnd w:id="162"/>
    </w:p>
    <w:p>
      <w:pPr>
        <w:rPr>
          <w:rFonts w:ascii="宋体" w:hAnsi="宋体" w:cs="宋体"/>
          <w:b/>
          <w:sz w:val="30"/>
          <w:szCs w:val="30"/>
        </w:rPr>
      </w:pPr>
      <w:bookmarkStart w:id="163" w:name="_Toc1409"/>
      <w:r>
        <w:rPr>
          <w:rFonts w:hint="eastAsia" w:ascii="宋体" w:hAnsi="宋体" w:cs="宋体"/>
          <w:b/>
          <w:sz w:val="30"/>
          <w:szCs w:val="30"/>
        </w:rPr>
        <w:t>电话：029-88440695</w:t>
      </w:r>
      <w:bookmarkEnd w:id="163"/>
    </w:p>
    <w:p>
      <w:pPr>
        <w:rPr>
          <w:rFonts w:ascii="宋体" w:hAnsi="宋体" w:cs="宋体"/>
        </w:rPr>
      </w:pPr>
      <w:bookmarkStart w:id="164" w:name="_Toc13292"/>
      <w:r>
        <w:rPr>
          <w:rFonts w:hint="eastAsia" w:ascii="宋体" w:hAnsi="宋体" w:cs="宋体"/>
          <w:b/>
          <w:sz w:val="30"/>
          <w:szCs w:val="30"/>
        </w:rPr>
        <w:t>传真：029-88440695</w:t>
      </w:r>
      <w:bookmarkEnd w:id="164"/>
    </w:p>
    <w:sectPr>
      <w:footerReference r:id="rId20" w:type="default"/>
      <w:pgSz w:w="11906" w:h="16838"/>
      <w:pgMar w:top="1440" w:right="1800" w:bottom="1440" w:left="1800" w:header="851" w:footer="992" w:gutter="0"/>
      <w:pgNumType w:fmt="decimal"/>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150"/>
        <w:tab w:val="right" w:pos="8420"/>
        <w:tab w:val="clear" w:pos="4153"/>
      </w:tabs>
      <w:rPr>
        <w:rFonts w:ascii="宋体" w:hAnsi="宋体" w:cs="宋体"/>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3"/>
                          </w:pPr>
                          <w:r>
                            <w:t xml:space="preserve">第 </w:t>
                          </w:r>
                          <w:r>
                            <w:fldChar w:fldCharType="begin"/>
                          </w:r>
                          <w:r>
                            <w:instrText xml:space="preserve"> PAGE  \* MERGEFORMAT </w:instrText>
                          </w:r>
                          <w:r>
                            <w:fldChar w:fldCharType="separate"/>
                          </w:r>
                          <w:r>
                            <w:t>105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H7cf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QBJJGqj4&#10;/bev999/3v/4gmAPBNpqO4a4hYZIt7tSOwju9y1set67yjT+Hxgh8APW3UFetnOI+kPpIE0jcFHw&#10;9QvAD4/HtbHuFVMN8kaGDdSvlZVs5tZ1oX2Iv02qggvR1lBItM3w8PQ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E4ftx90CAAAmBgAADgAAAAAAAAABACAAAAAfAQAAZHJzL2Uyb0RvYy54bWxQSwUG&#10;AAAAAAYABgBZAQAAbgYAAAAA&#10;">
              <v:fill on="f" focussize="0,0"/>
              <v:stroke on="f" weight="0.5pt"/>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105</w:t>
                    </w:r>
                    <w:r>
                      <w:fldChar w:fldCharType="end"/>
                    </w:r>
                    <w:r>
                      <w:t xml:space="preserve"> 页</w:t>
                    </w:r>
                  </w:p>
                </w:txbxContent>
              </v:textbox>
            </v:shape>
          </w:pict>
        </mc:Fallback>
      </mc:AlternateContent>
    </w:r>
    <w:r>
      <w:rPr>
        <w:rFonts w:hint="eastAsia" w:ascii="宋体" w:hAnsi="宋体" w:cs="宋体"/>
      </w:rPr>
      <w:tab/>
    </w:r>
    <w:r>
      <w:rPr>
        <w:rFonts w:hint="eastAsia" w:ascii="宋体" w:hAnsi="宋体" w:cs="宋体"/>
      </w:rPr>
      <w:tab/>
    </w:r>
    <w:r>
      <w:rPr>
        <w:rFonts w:hint="eastAsia" w:ascii="宋体" w:hAnsi="宋体" w:cs="宋体"/>
      </w:rPr>
      <w:t>陕西卓佲项目管理有限公司</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150"/>
        <w:tab w:val="right" w:pos="8420"/>
        <w:tab w:val="clear" w:pos="4153"/>
      </w:tabs>
      <w:rPr>
        <w:rFonts w:ascii="宋体" w:hAnsi="宋体" w:cs="宋体"/>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3"/>
                          </w:pPr>
                          <w:r>
                            <w:t xml:space="preserve">第 </w:t>
                          </w:r>
                          <w:r>
                            <w:fldChar w:fldCharType="begin"/>
                          </w:r>
                          <w:r>
                            <w:instrText xml:space="preserve"> PAGE  \* MERGEFORMAT </w:instrText>
                          </w:r>
                          <w:r>
                            <w:fldChar w:fldCharType="separate"/>
                          </w:r>
                          <w:r>
                            <w:t>107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4023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RbjTbd0CAAAmBgAADgAAAAAAAAABACAAAAAfAQAAZHJzL2Uyb0RvYy54bWxQSwUG&#10;AAAAAAYABgBZAQAAbgYAAAAA&#10;">
              <v:fill on="f" focussize="0,0"/>
              <v:stroke on="f" weight="0.5pt"/>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107</w:t>
                    </w:r>
                    <w:r>
                      <w:fldChar w:fldCharType="end"/>
                    </w:r>
                    <w:r>
                      <w:t xml:space="preserve"> 页</w:t>
                    </w:r>
                  </w:p>
                </w:txbxContent>
              </v:textbox>
            </v:shape>
          </w:pict>
        </mc:Fallback>
      </mc:AlternateContent>
    </w:r>
    <w:r>
      <w:rPr>
        <w:rFonts w:hint="eastAsia" w:ascii="宋体" w:hAnsi="宋体" w:cs="宋体"/>
      </w:rPr>
      <w:tab/>
    </w:r>
    <w:r>
      <w:rPr>
        <w:rFonts w:hint="eastAsia" w:ascii="宋体" w:hAnsi="宋体" w:cs="宋体"/>
      </w:rPr>
      <w:tab/>
    </w:r>
    <w:r>
      <w:rPr>
        <w:rFonts w:hint="eastAsia" w:ascii="宋体" w:hAnsi="宋体" w:cs="宋体"/>
      </w:rPr>
      <w:t>陕西卓佲项目管理有限公司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pPr>
    <w:r>
      <w:rPr>
        <w:sz w:val="18"/>
      </w:rPr>
      <mc:AlternateContent>
        <mc:Choice Requires="wps">
          <w:drawing>
            <wp:anchor distT="0" distB="0" distL="114300" distR="114300" simplePos="0" relativeHeight="251659264" behindDoc="0" locked="0" layoutInCell="1" allowOverlap="1">
              <wp:simplePos x="0" y="0"/>
              <wp:positionH relativeFrom="margin">
                <wp:posOffset>2395220</wp:posOffset>
              </wp:positionH>
              <wp:positionV relativeFrom="paragraph">
                <wp:posOffset>-190500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3"/>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8.6pt;margin-top:-15pt;height:144pt;width:144pt;mso-position-horizontal-relative:margin;mso-wrap-style:none;z-index:251659264;mso-width-relative:page;mso-height-relative:page;" filled="f" stroked="f" coordsize="21600,21600" o:gfxdata="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N5IjEjZAAAACwEAAA8AAAAAAAAAAQAgAAAAIgAAAGRycy9kb3ducmV2Lnht&#10;bFBLAQIUABQAAAAIAIdO4kBfyKa93AIAACQGAAAOAAAAAAAAAAEAIAAAACgBAABkcnMvZTJvRG9j&#10;LnhtbFBLBQYAAAAABgAGAFkBAAB2BgAAAAA=&#10;">
              <v:fill on="f" focussize="0,0"/>
              <v:stroke on="f" weight="0.5pt"/>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3"/>
                          </w:pPr>
                          <w:r>
                            <w:t xml:space="preserve">第 </w:t>
                          </w:r>
                          <w:r>
                            <w:fldChar w:fldCharType="begin"/>
                          </w:r>
                          <w:r>
                            <w:instrText xml:space="preserve"> PAGE  \* MERGEFORMAT </w:instrText>
                          </w:r>
                          <w:r>
                            <w:fldChar w:fldCharType="separate"/>
                          </w:r>
                          <w:r>
                            <w:t>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48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lear" w:pos="4153"/>
      </w:tabs>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3"/>
                          </w:pPr>
                          <w:r>
                            <w:t xml:space="preserve">第 </w:t>
                          </w:r>
                          <w:r>
                            <w:fldChar w:fldCharType="begin"/>
                          </w:r>
                          <w:r>
                            <w:instrText xml:space="preserve"> PAGE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72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960" w:firstLineChars="2200"/>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3"/>
                          </w:pPr>
                          <w:r>
                            <w:t xml:space="preserve">第 </w:t>
                          </w:r>
                          <w:r>
                            <w:fldChar w:fldCharType="begin"/>
                          </w:r>
                          <w:r>
                            <w:instrText xml:space="preserve"> PAGE  \* MERGEFORMAT </w:instrText>
                          </w:r>
                          <w:r>
                            <w:fldChar w:fldCharType="separate"/>
                          </w:r>
                          <w:r>
                            <w:t>73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73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right"/>
      <w:rPr>
        <w:rFonts w:ascii="宋体" w:cs="宋体"/>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3"/>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3"/>
                          </w:pPr>
                          <w:r>
                            <w:t xml:space="preserve">第 </w:t>
                          </w:r>
                          <w:r>
                            <w:fldChar w:fldCharType="begin"/>
                          </w:r>
                          <w:r>
                            <w:instrText xml:space="preserve"> PAGE  \* MERGEFORMAT </w:instrText>
                          </w:r>
                          <w:r>
                            <w:fldChar w:fldCharType="separate"/>
                          </w:r>
                          <w:r>
                            <w:t>74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74</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150"/>
        <w:tab w:val="right" w:pos="8420"/>
        <w:tab w:val="clear" w:pos="4153"/>
      </w:tabs>
      <w:rPr>
        <w:rFonts w:ascii="宋体"/>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3"/>
                          </w:pPr>
                          <w:r>
                            <w:t xml:space="preserve">第 </w:t>
                          </w:r>
                          <w:r>
                            <w:fldChar w:fldCharType="begin"/>
                          </w:r>
                          <w:r>
                            <w:instrText xml:space="preserve"> PAGE  \* MERGEFORMAT </w:instrText>
                          </w:r>
                          <w:r>
                            <w:fldChar w:fldCharType="separate"/>
                          </w:r>
                          <w:r>
                            <w:t>88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88</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150"/>
        <w:tab w:val="right" w:pos="8420"/>
        <w:tab w:val="clear" w:pos="4153"/>
      </w:tabs>
      <w:rPr>
        <w:rFonts w:ascii="宋体"/>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3"/>
                          </w:pPr>
                          <w:r>
                            <w:t xml:space="preserve">第 </w:t>
                          </w:r>
                          <w:r>
                            <w:fldChar w:fldCharType="begin"/>
                          </w:r>
                          <w:r>
                            <w:instrText xml:space="preserve"> PAGE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95</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rPr>
        <w:rFonts w:eastAsia="宋体"/>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4DE2B7"/>
    <w:multiLevelType w:val="singleLevel"/>
    <w:tmpl w:val="AF4DE2B7"/>
    <w:lvl w:ilvl="0" w:tentative="0">
      <w:start w:val="1"/>
      <w:numFmt w:val="decimal"/>
      <w:lvlText w:val="%1."/>
      <w:lvlJc w:val="left"/>
      <w:pPr>
        <w:tabs>
          <w:tab w:val="left" w:pos="312"/>
        </w:tabs>
      </w:pPr>
    </w:lvl>
  </w:abstractNum>
  <w:abstractNum w:abstractNumId="1">
    <w:nsid w:val="B33ACC86"/>
    <w:multiLevelType w:val="singleLevel"/>
    <w:tmpl w:val="B33ACC86"/>
    <w:lvl w:ilvl="0" w:tentative="0">
      <w:start w:val="14"/>
      <w:numFmt w:val="decimal"/>
      <w:lvlText w:val="%1."/>
      <w:lvlJc w:val="left"/>
      <w:pPr>
        <w:tabs>
          <w:tab w:val="left" w:pos="312"/>
        </w:tabs>
      </w:pPr>
    </w:lvl>
  </w:abstractNum>
  <w:abstractNum w:abstractNumId="2">
    <w:nsid w:val="C04FB197"/>
    <w:multiLevelType w:val="singleLevel"/>
    <w:tmpl w:val="C04FB197"/>
    <w:lvl w:ilvl="0" w:tentative="0">
      <w:start w:val="1"/>
      <w:numFmt w:val="decimal"/>
      <w:lvlText w:val="%1."/>
      <w:lvlJc w:val="left"/>
      <w:pPr>
        <w:tabs>
          <w:tab w:val="left" w:pos="312"/>
        </w:tabs>
      </w:pPr>
    </w:lvl>
  </w:abstractNum>
  <w:abstractNum w:abstractNumId="3">
    <w:nsid w:val="C8560D05"/>
    <w:multiLevelType w:val="singleLevel"/>
    <w:tmpl w:val="C8560D05"/>
    <w:lvl w:ilvl="0" w:tentative="0">
      <w:start w:val="2"/>
      <w:numFmt w:val="chineseCounting"/>
      <w:suff w:val="space"/>
      <w:lvlText w:val="第%1部分"/>
      <w:lvlJc w:val="left"/>
      <w:rPr>
        <w:rFonts w:hint="eastAsia"/>
      </w:rPr>
    </w:lvl>
  </w:abstractNum>
  <w:abstractNum w:abstractNumId="4">
    <w:nsid w:val="34E9C6D8"/>
    <w:multiLevelType w:val="singleLevel"/>
    <w:tmpl w:val="34E9C6D8"/>
    <w:lvl w:ilvl="0" w:tentative="0">
      <w:start w:val="1"/>
      <w:numFmt w:val="decimal"/>
      <w:lvlText w:val="%1."/>
      <w:lvlJc w:val="left"/>
      <w:pPr>
        <w:tabs>
          <w:tab w:val="left" w:pos="312"/>
        </w:tabs>
      </w:pPr>
    </w:lvl>
  </w:abstractNum>
  <w:abstractNum w:abstractNumId="5">
    <w:nsid w:val="451D8B65"/>
    <w:multiLevelType w:val="singleLevel"/>
    <w:tmpl w:val="451D8B65"/>
    <w:lvl w:ilvl="0" w:tentative="0">
      <w:start w:val="1"/>
      <w:numFmt w:val="decimal"/>
      <w:suff w:val="nothing"/>
      <w:lvlText w:val="（%1）"/>
      <w:lvlJc w:val="left"/>
      <w:pPr>
        <w:ind w:left="0" w:firstLine="420"/>
      </w:pPr>
      <w:rPr>
        <w:rFonts w:hint="default"/>
      </w:rPr>
    </w:lvl>
  </w:abstractNum>
  <w:abstractNum w:abstractNumId="6">
    <w:nsid w:val="59E8BB7F"/>
    <w:multiLevelType w:val="singleLevel"/>
    <w:tmpl w:val="59E8BB7F"/>
    <w:lvl w:ilvl="0" w:tentative="0">
      <w:start w:val="3"/>
      <w:numFmt w:val="chineseCounting"/>
      <w:suff w:val="space"/>
      <w:lvlText w:val="第%1章"/>
      <w:lvlJc w:val="left"/>
      <w:rPr>
        <w:rFonts w:hint="eastAsia"/>
      </w:rPr>
    </w:lvl>
  </w:abstractNum>
  <w:abstractNum w:abstractNumId="7">
    <w:nsid w:val="5C44055F"/>
    <w:multiLevelType w:val="singleLevel"/>
    <w:tmpl w:val="5C44055F"/>
    <w:lvl w:ilvl="0" w:tentative="0">
      <w:start w:val="2"/>
      <w:numFmt w:val="decimal"/>
      <w:suff w:val="nothing"/>
      <w:lvlText w:val="（%1）"/>
      <w:lvlJc w:val="left"/>
    </w:lvl>
  </w:abstractNum>
  <w:abstractNum w:abstractNumId="8">
    <w:nsid w:val="604094DA"/>
    <w:multiLevelType w:val="singleLevel"/>
    <w:tmpl w:val="604094DA"/>
    <w:lvl w:ilvl="0" w:tentative="0">
      <w:start w:val="1"/>
      <w:numFmt w:val="decimal"/>
      <w:suff w:val="space"/>
      <w:lvlText w:val="%1."/>
      <w:lvlJc w:val="left"/>
    </w:lvl>
  </w:abstractNum>
  <w:abstractNum w:abstractNumId="9">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pStyle w:val="6"/>
      <w:lvlText w:val="%1.%2.%3.%4"/>
      <w:lvlJc w:val="left"/>
      <w:pPr>
        <w:ind w:left="864" w:hanging="864"/>
      </w:pPr>
      <w:rPr>
        <w:rFonts w:hint="eastAsia"/>
      </w:rPr>
    </w:lvl>
    <w:lvl w:ilvl="4" w:tentative="0">
      <w:start w:val="1"/>
      <w:numFmt w:val="decimal"/>
      <w:pStyle w:val="7"/>
      <w:lvlText w:val="%1.%2.%3.%4.%5"/>
      <w:lvlJc w:val="left"/>
      <w:pPr>
        <w:ind w:left="1008"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num w:numId="1">
    <w:abstractNumId w:val="9"/>
  </w:num>
  <w:num w:numId="2">
    <w:abstractNumId w:val="7"/>
  </w:num>
  <w:num w:numId="3">
    <w:abstractNumId w:val="6"/>
  </w:num>
  <w:num w:numId="4">
    <w:abstractNumId w:val="0"/>
  </w:num>
  <w:num w:numId="5">
    <w:abstractNumId w:val="1"/>
  </w:num>
  <w:num w:numId="6">
    <w:abstractNumId w:val="4"/>
  </w:num>
  <w:num w:numId="7">
    <w:abstractNumId w:val="2"/>
  </w:num>
  <w:num w:numId="8">
    <w:abstractNumId w:val="3"/>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20"/>
  <w:drawingGridVerticalSpacing w:val="21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3YjRkMGE3NzQxYjczMTVhMGMzZWI2OGY4N2I2NjYifQ=="/>
  </w:docVars>
  <w:rsids>
    <w:rsidRoot w:val="006A6B87"/>
    <w:rsid w:val="0000159C"/>
    <w:rsid w:val="000019FA"/>
    <w:rsid w:val="00002BB3"/>
    <w:rsid w:val="00003F53"/>
    <w:rsid w:val="00004F9A"/>
    <w:rsid w:val="00006A52"/>
    <w:rsid w:val="00012137"/>
    <w:rsid w:val="00012844"/>
    <w:rsid w:val="00012F9B"/>
    <w:rsid w:val="000131C6"/>
    <w:rsid w:val="00013929"/>
    <w:rsid w:val="00014DAF"/>
    <w:rsid w:val="00015802"/>
    <w:rsid w:val="00016042"/>
    <w:rsid w:val="000162A2"/>
    <w:rsid w:val="00021AF9"/>
    <w:rsid w:val="00022A4E"/>
    <w:rsid w:val="00022F41"/>
    <w:rsid w:val="00023261"/>
    <w:rsid w:val="000234CF"/>
    <w:rsid w:val="000235C8"/>
    <w:rsid w:val="000251DF"/>
    <w:rsid w:val="00027E6B"/>
    <w:rsid w:val="0003251F"/>
    <w:rsid w:val="00032BB4"/>
    <w:rsid w:val="00033377"/>
    <w:rsid w:val="00033B5A"/>
    <w:rsid w:val="000353DD"/>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D84"/>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2417"/>
    <w:rsid w:val="00093AD5"/>
    <w:rsid w:val="000951C6"/>
    <w:rsid w:val="000952F2"/>
    <w:rsid w:val="00095A8D"/>
    <w:rsid w:val="00096428"/>
    <w:rsid w:val="00097CDB"/>
    <w:rsid w:val="000A0237"/>
    <w:rsid w:val="000A0EFD"/>
    <w:rsid w:val="000A250B"/>
    <w:rsid w:val="000A2583"/>
    <w:rsid w:val="000A2B11"/>
    <w:rsid w:val="000A7A6A"/>
    <w:rsid w:val="000B250D"/>
    <w:rsid w:val="000B5741"/>
    <w:rsid w:val="000B5ACF"/>
    <w:rsid w:val="000B6858"/>
    <w:rsid w:val="000C048C"/>
    <w:rsid w:val="000C078B"/>
    <w:rsid w:val="000C21A4"/>
    <w:rsid w:val="000C4C29"/>
    <w:rsid w:val="000C538D"/>
    <w:rsid w:val="000C59A5"/>
    <w:rsid w:val="000D0AF3"/>
    <w:rsid w:val="000D0DE1"/>
    <w:rsid w:val="000D1277"/>
    <w:rsid w:val="000D12BE"/>
    <w:rsid w:val="000D4097"/>
    <w:rsid w:val="000E3FB5"/>
    <w:rsid w:val="000E5C68"/>
    <w:rsid w:val="000E5DED"/>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31D6"/>
    <w:rsid w:val="00113B9B"/>
    <w:rsid w:val="00121FC0"/>
    <w:rsid w:val="00122D76"/>
    <w:rsid w:val="001232E1"/>
    <w:rsid w:val="001240BB"/>
    <w:rsid w:val="001257D4"/>
    <w:rsid w:val="0013005B"/>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2476"/>
    <w:rsid w:val="0015361E"/>
    <w:rsid w:val="00156ED5"/>
    <w:rsid w:val="001630D0"/>
    <w:rsid w:val="00164101"/>
    <w:rsid w:val="00164EE1"/>
    <w:rsid w:val="001664B2"/>
    <w:rsid w:val="00166804"/>
    <w:rsid w:val="00166FD9"/>
    <w:rsid w:val="00167ECE"/>
    <w:rsid w:val="0017054A"/>
    <w:rsid w:val="00171A61"/>
    <w:rsid w:val="00173749"/>
    <w:rsid w:val="00173A35"/>
    <w:rsid w:val="0017410F"/>
    <w:rsid w:val="00174285"/>
    <w:rsid w:val="00175756"/>
    <w:rsid w:val="00176F0E"/>
    <w:rsid w:val="0018316D"/>
    <w:rsid w:val="00184DE0"/>
    <w:rsid w:val="00184F72"/>
    <w:rsid w:val="00187846"/>
    <w:rsid w:val="00191693"/>
    <w:rsid w:val="00191834"/>
    <w:rsid w:val="00191A7E"/>
    <w:rsid w:val="00193B5F"/>
    <w:rsid w:val="0019435F"/>
    <w:rsid w:val="001947E8"/>
    <w:rsid w:val="00194890"/>
    <w:rsid w:val="00196A1C"/>
    <w:rsid w:val="001A0C97"/>
    <w:rsid w:val="001A2103"/>
    <w:rsid w:val="001A5309"/>
    <w:rsid w:val="001A5764"/>
    <w:rsid w:val="001B0699"/>
    <w:rsid w:val="001B0C7B"/>
    <w:rsid w:val="001B2019"/>
    <w:rsid w:val="001B49FD"/>
    <w:rsid w:val="001B5302"/>
    <w:rsid w:val="001C0BA3"/>
    <w:rsid w:val="001C0BBD"/>
    <w:rsid w:val="001C25ED"/>
    <w:rsid w:val="001C5BE5"/>
    <w:rsid w:val="001D1BCB"/>
    <w:rsid w:val="001D22C0"/>
    <w:rsid w:val="001D2CE5"/>
    <w:rsid w:val="001D4171"/>
    <w:rsid w:val="001D576E"/>
    <w:rsid w:val="001D70BC"/>
    <w:rsid w:val="001E0376"/>
    <w:rsid w:val="001E1DFE"/>
    <w:rsid w:val="001E2BB9"/>
    <w:rsid w:val="001E6A70"/>
    <w:rsid w:val="001E7761"/>
    <w:rsid w:val="001E790E"/>
    <w:rsid w:val="001F2059"/>
    <w:rsid w:val="001F23C9"/>
    <w:rsid w:val="001F49A1"/>
    <w:rsid w:val="001F4ACC"/>
    <w:rsid w:val="001F7532"/>
    <w:rsid w:val="001F7B5A"/>
    <w:rsid w:val="00201795"/>
    <w:rsid w:val="0020498C"/>
    <w:rsid w:val="002051A7"/>
    <w:rsid w:val="00207790"/>
    <w:rsid w:val="00210CFC"/>
    <w:rsid w:val="00210FBE"/>
    <w:rsid w:val="00212328"/>
    <w:rsid w:val="002125C8"/>
    <w:rsid w:val="00213205"/>
    <w:rsid w:val="002137AF"/>
    <w:rsid w:val="002174B0"/>
    <w:rsid w:val="00220787"/>
    <w:rsid w:val="002209DE"/>
    <w:rsid w:val="00221727"/>
    <w:rsid w:val="00223EFE"/>
    <w:rsid w:val="00224257"/>
    <w:rsid w:val="0023070C"/>
    <w:rsid w:val="00230C6A"/>
    <w:rsid w:val="00233D53"/>
    <w:rsid w:val="002345B9"/>
    <w:rsid w:val="002378CD"/>
    <w:rsid w:val="00237A3F"/>
    <w:rsid w:val="00237C8C"/>
    <w:rsid w:val="0024210D"/>
    <w:rsid w:val="002434A7"/>
    <w:rsid w:val="00244C29"/>
    <w:rsid w:val="00247B11"/>
    <w:rsid w:val="00250468"/>
    <w:rsid w:val="00250A0D"/>
    <w:rsid w:val="00250B6E"/>
    <w:rsid w:val="002519B6"/>
    <w:rsid w:val="00252050"/>
    <w:rsid w:val="00253B74"/>
    <w:rsid w:val="00254492"/>
    <w:rsid w:val="002547E0"/>
    <w:rsid w:val="00255DBC"/>
    <w:rsid w:val="00256AC1"/>
    <w:rsid w:val="0025777A"/>
    <w:rsid w:val="00257B25"/>
    <w:rsid w:val="00260306"/>
    <w:rsid w:val="00261898"/>
    <w:rsid w:val="00264014"/>
    <w:rsid w:val="0026501F"/>
    <w:rsid w:val="00266611"/>
    <w:rsid w:val="00267AE5"/>
    <w:rsid w:val="00267C8A"/>
    <w:rsid w:val="00267F98"/>
    <w:rsid w:val="00271136"/>
    <w:rsid w:val="00272337"/>
    <w:rsid w:val="00272E7E"/>
    <w:rsid w:val="00273219"/>
    <w:rsid w:val="00273A93"/>
    <w:rsid w:val="002742EA"/>
    <w:rsid w:val="0027449B"/>
    <w:rsid w:val="00275C8F"/>
    <w:rsid w:val="00276641"/>
    <w:rsid w:val="00276C8A"/>
    <w:rsid w:val="002771C6"/>
    <w:rsid w:val="00277949"/>
    <w:rsid w:val="0028033D"/>
    <w:rsid w:val="002827CD"/>
    <w:rsid w:val="00282837"/>
    <w:rsid w:val="00282CF7"/>
    <w:rsid w:val="002848E9"/>
    <w:rsid w:val="00291777"/>
    <w:rsid w:val="0029384E"/>
    <w:rsid w:val="00294428"/>
    <w:rsid w:val="002961E2"/>
    <w:rsid w:val="00296372"/>
    <w:rsid w:val="00297703"/>
    <w:rsid w:val="00297866"/>
    <w:rsid w:val="002A3B25"/>
    <w:rsid w:val="002A62BF"/>
    <w:rsid w:val="002A6815"/>
    <w:rsid w:val="002A703D"/>
    <w:rsid w:val="002A7FF7"/>
    <w:rsid w:val="002B35C4"/>
    <w:rsid w:val="002B36C2"/>
    <w:rsid w:val="002B59BE"/>
    <w:rsid w:val="002B65AB"/>
    <w:rsid w:val="002B696D"/>
    <w:rsid w:val="002B69BA"/>
    <w:rsid w:val="002C05A3"/>
    <w:rsid w:val="002C4511"/>
    <w:rsid w:val="002D2B5F"/>
    <w:rsid w:val="002D327B"/>
    <w:rsid w:val="002D41DD"/>
    <w:rsid w:val="002D65D4"/>
    <w:rsid w:val="002D7418"/>
    <w:rsid w:val="002E1283"/>
    <w:rsid w:val="002E1660"/>
    <w:rsid w:val="002E379C"/>
    <w:rsid w:val="002E43F6"/>
    <w:rsid w:val="002E4813"/>
    <w:rsid w:val="002E7C3E"/>
    <w:rsid w:val="002F074B"/>
    <w:rsid w:val="002F1C19"/>
    <w:rsid w:val="002F1C7D"/>
    <w:rsid w:val="002F1EC9"/>
    <w:rsid w:val="002F25EC"/>
    <w:rsid w:val="002F2A10"/>
    <w:rsid w:val="002F2AAA"/>
    <w:rsid w:val="002F2EAB"/>
    <w:rsid w:val="002F30DD"/>
    <w:rsid w:val="002F3224"/>
    <w:rsid w:val="002F3350"/>
    <w:rsid w:val="002F7D7D"/>
    <w:rsid w:val="00300067"/>
    <w:rsid w:val="00300513"/>
    <w:rsid w:val="00300B27"/>
    <w:rsid w:val="0030123B"/>
    <w:rsid w:val="00301E0D"/>
    <w:rsid w:val="00301FAE"/>
    <w:rsid w:val="003024CF"/>
    <w:rsid w:val="00306470"/>
    <w:rsid w:val="00311862"/>
    <w:rsid w:val="00316D60"/>
    <w:rsid w:val="003172BB"/>
    <w:rsid w:val="00322208"/>
    <w:rsid w:val="003245F8"/>
    <w:rsid w:val="00325D47"/>
    <w:rsid w:val="00325EF1"/>
    <w:rsid w:val="00326169"/>
    <w:rsid w:val="00327A6B"/>
    <w:rsid w:val="00330EA4"/>
    <w:rsid w:val="00332A7C"/>
    <w:rsid w:val="00335C58"/>
    <w:rsid w:val="00337CFC"/>
    <w:rsid w:val="0034052E"/>
    <w:rsid w:val="003406B1"/>
    <w:rsid w:val="00343305"/>
    <w:rsid w:val="003443D3"/>
    <w:rsid w:val="003450CD"/>
    <w:rsid w:val="00345F35"/>
    <w:rsid w:val="00346A88"/>
    <w:rsid w:val="003509CA"/>
    <w:rsid w:val="0035140F"/>
    <w:rsid w:val="00351734"/>
    <w:rsid w:val="00354FCF"/>
    <w:rsid w:val="003551E0"/>
    <w:rsid w:val="0035572B"/>
    <w:rsid w:val="00357EC3"/>
    <w:rsid w:val="00360830"/>
    <w:rsid w:val="00364896"/>
    <w:rsid w:val="00366A2C"/>
    <w:rsid w:val="003704E3"/>
    <w:rsid w:val="00371456"/>
    <w:rsid w:val="00373AE9"/>
    <w:rsid w:val="00374506"/>
    <w:rsid w:val="0037495D"/>
    <w:rsid w:val="003752C8"/>
    <w:rsid w:val="0037531B"/>
    <w:rsid w:val="00375819"/>
    <w:rsid w:val="00375C89"/>
    <w:rsid w:val="00376DAF"/>
    <w:rsid w:val="00377482"/>
    <w:rsid w:val="003833FB"/>
    <w:rsid w:val="00383F8F"/>
    <w:rsid w:val="003872CB"/>
    <w:rsid w:val="00387AFC"/>
    <w:rsid w:val="00390290"/>
    <w:rsid w:val="0039216D"/>
    <w:rsid w:val="00392EBD"/>
    <w:rsid w:val="00393459"/>
    <w:rsid w:val="003943D1"/>
    <w:rsid w:val="0039449C"/>
    <w:rsid w:val="00395695"/>
    <w:rsid w:val="003A0002"/>
    <w:rsid w:val="003A0295"/>
    <w:rsid w:val="003A0D83"/>
    <w:rsid w:val="003A192D"/>
    <w:rsid w:val="003A2A14"/>
    <w:rsid w:val="003B086A"/>
    <w:rsid w:val="003B0D75"/>
    <w:rsid w:val="003B2AF6"/>
    <w:rsid w:val="003B3207"/>
    <w:rsid w:val="003B6EB4"/>
    <w:rsid w:val="003C3325"/>
    <w:rsid w:val="003C61F3"/>
    <w:rsid w:val="003C6AB2"/>
    <w:rsid w:val="003C7C29"/>
    <w:rsid w:val="003D2606"/>
    <w:rsid w:val="003D39C7"/>
    <w:rsid w:val="003D3A50"/>
    <w:rsid w:val="003D45F5"/>
    <w:rsid w:val="003D6B60"/>
    <w:rsid w:val="003E010E"/>
    <w:rsid w:val="003E1D81"/>
    <w:rsid w:val="003E2F34"/>
    <w:rsid w:val="003E5CDB"/>
    <w:rsid w:val="003E7874"/>
    <w:rsid w:val="003F3882"/>
    <w:rsid w:val="003F60A3"/>
    <w:rsid w:val="003F7C8E"/>
    <w:rsid w:val="004001BE"/>
    <w:rsid w:val="00400ECF"/>
    <w:rsid w:val="0040124D"/>
    <w:rsid w:val="004017C8"/>
    <w:rsid w:val="0040181A"/>
    <w:rsid w:val="004024C2"/>
    <w:rsid w:val="00405285"/>
    <w:rsid w:val="004068A7"/>
    <w:rsid w:val="00406C11"/>
    <w:rsid w:val="00407BBB"/>
    <w:rsid w:val="004106B2"/>
    <w:rsid w:val="00412CBC"/>
    <w:rsid w:val="00414D38"/>
    <w:rsid w:val="004155E3"/>
    <w:rsid w:val="00415649"/>
    <w:rsid w:val="004156E2"/>
    <w:rsid w:val="00415AB5"/>
    <w:rsid w:val="00416478"/>
    <w:rsid w:val="00420875"/>
    <w:rsid w:val="0042388D"/>
    <w:rsid w:val="00425038"/>
    <w:rsid w:val="0042688F"/>
    <w:rsid w:val="00427ABD"/>
    <w:rsid w:val="004317AB"/>
    <w:rsid w:val="00431DBF"/>
    <w:rsid w:val="00433512"/>
    <w:rsid w:val="0043432D"/>
    <w:rsid w:val="00441423"/>
    <w:rsid w:val="00441D7B"/>
    <w:rsid w:val="00444250"/>
    <w:rsid w:val="00444298"/>
    <w:rsid w:val="004456C5"/>
    <w:rsid w:val="00454666"/>
    <w:rsid w:val="004547F6"/>
    <w:rsid w:val="004574A4"/>
    <w:rsid w:val="00461F1D"/>
    <w:rsid w:val="00463236"/>
    <w:rsid w:val="004657D3"/>
    <w:rsid w:val="0046690A"/>
    <w:rsid w:val="0046782F"/>
    <w:rsid w:val="00471E1E"/>
    <w:rsid w:val="0047278F"/>
    <w:rsid w:val="00473CE1"/>
    <w:rsid w:val="0047590B"/>
    <w:rsid w:val="004846F1"/>
    <w:rsid w:val="00490F98"/>
    <w:rsid w:val="00491349"/>
    <w:rsid w:val="00493684"/>
    <w:rsid w:val="00493E48"/>
    <w:rsid w:val="00496ACE"/>
    <w:rsid w:val="00497530"/>
    <w:rsid w:val="004A00FD"/>
    <w:rsid w:val="004A570C"/>
    <w:rsid w:val="004A5CFF"/>
    <w:rsid w:val="004A61D7"/>
    <w:rsid w:val="004A6B5A"/>
    <w:rsid w:val="004B1026"/>
    <w:rsid w:val="004B13F6"/>
    <w:rsid w:val="004B5992"/>
    <w:rsid w:val="004C093C"/>
    <w:rsid w:val="004C0B7A"/>
    <w:rsid w:val="004C0CA0"/>
    <w:rsid w:val="004C5B48"/>
    <w:rsid w:val="004C6493"/>
    <w:rsid w:val="004C7371"/>
    <w:rsid w:val="004D2147"/>
    <w:rsid w:val="004D2D8E"/>
    <w:rsid w:val="004D2F54"/>
    <w:rsid w:val="004D4879"/>
    <w:rsid w:val="004D7112"/>
    <w:rsid w:val="004D7C23"/>
    <w:rsid w:val="004D7F2C"/>
    <w:rsid w:val="004E07B6"/>
    <w:rsid w:val="004E0B6D"/>
    <w:rsid w:val="004E63AF"/>
    <w:rsid w:val="004F01A5"/>
    <w:rsid w:val="004F04DD"/>
    <w:rsid w:val="004F2CC5"/>
    <w:rsid w:val="004F3159"/>
    <w:rsid w:val="004F411F"/>
    <w:rsid w:val="004F60D3"/>
    <w:rsid w:val="004F7234"/>
    <w:rsid w:val="004F7D8F"/>
    <w:rsid w:val="0050182A"/>
    <w:rsid w:val="00501CED"/>
    <w:rsid w:val="0050264E"/>
    <w:rsid w:val="00502DB5"/>
    <w:rsid w:val="0050431E"/>
    <w:rsid w:val="005053C1"/>
    <w:rsid w:val="00506ECC"/>
    <w:rsid w:val="00510D3F"/>
    <w:rsid w:val="00511E18"/>
    <w:rsid w:val="00512B77"/>
    <w:rsid w:val="00515ADE"/>
    <w:rsid w:val="00515E63"/>
    <w:rsid w:val="005176F4"/>
    <w:rsid w:val="005203BA"/>
    <w:rsid w:val="005220F8"/>
    <w:rsid w:val="00522932"/>
    <w:rsid w:val="0052539A"/>
    <w:rsid w:val="005309DD"/>
    <w:rsid w:val="005330CB"/>
    <w:rsid w:val="0053320F"/>
    <w:rsid w:val="005340C0"/>
    <w:rsid w:val="00534E48"/>
    <w:rsid w:val="0053507D"/>
    <w:rsid w:val="00535F18"/>
    <w:rsid w:val="00537136"/>
    <w:rsid w:val="005406CD"/>
    <w:rsid w:val="00544037"/>
    <w:rsid w:val="00544FDF"/>
    <w:rsid w:val="0054537C"/>
    <w:rsid w:val="00547AD0"/>
    <w:rsid w:val="005509F0"/>
    <w:rsid w:val="00551012"/>
    <w:rsid w:val="00553778"/>
    <w:rsid w:val="00553AC5"/>
    <w:rsid w:val="00554646"/>
    <w:rsid w:val="00554791"/>
    <w:rsid w:val="00555365"/>
    <w:rsid w:val="005555A0"/>
    <w:rsid w:val="0056050F"/>
    <w:rsid w:val="00560BBE"/>
    <w:rsid w:val="005612F2"/>
    <w:rsid w:val="0056216F"/>
    <w:rsid w:val="005627E9"/>
    <w:rsid w:val="005642D3"/>
    <w:rsid w:val="005676F6"/>
    <w:rsid w:val="00572506"/>
    <w:rsid w:val="00573AC9"/>
    <w:rsid w:val="00575980"/>
    <w:rsid w:val="005801CF"/>
    <w:rsid w:val="00581DBA"/>
    <w:rsid w:val="00581F60"/>
    <w:rsid w:val="005829C2"/>
    <w:rsid w:val="00582A46"/>
    <w:rsid w:val="0058322B"/>
    <w:rsid w:val="00583A5C"/>
    <w:rsid w:val="0058471F"/>
    <w:rsid w:val="0058487A"/>
    <w:rsid w:val="00584B3F"/>
    <w:rsid w:val="00585E3F"/>
    <w:rsid w:val="00592CFD"/>
    <w:rsid w:val="00593C8A"/>
    <w:rsid w:val="00594467"/>
    <w:rsid w:val="00594F66"/>
    <w:rsid w:val="005960B9"/>
    <w:rsid w:val="005A1806"/>
    <w:rsid w:val="005A20E0"/>
    <w:rsid w:val="005A32F2"/>
    <w:rsid w:val="005A3DFC"/>
    <w:rsid w:val="005A43AB"/>
    <w:rsid w:val="005A4B53"/>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50A4"/>
    <w:rsid w:val="005C6C4F"/>
    <w:rsid w:val="005D000E"/>
    <w:rsid w:val="005D035F"/>
    <w:rsid w:val="005D62E5"/>
    <w:rsid w:val="005D7216"/>
    <w:rsid w:val="005E12F7"/>
    <w:rsid w:val="005E37E1"/>
    <w:rsid w:val="005E548A"/>
    <w:rsid w:val="005E5BCC"/>
    <w:rsid w:val="005E5CCE"/>
    <w:rsid w:val="005E6CCC"/>
    <w:rsid w:val="005F1247"/>
    <w:rsid w:val="005F19BB"/>
    <w:rsid w:val="005F3B5B"/>
    <w:rsid w:val="005F6909"/>
    <w:rsid w:val="005F6C88"/>
    <w:rsid w:val="0060005D"/>
    <w:rsid w:val="006022C0"/>
    <w:rsid w:val="00602E42"/>
    <w:rsid w:val="00603657"/>
    <w:rsid w:val="00603BB4"/>
    <w:rsid w:val="0060479B"/>
    <w:rsid w:val="00606A55"/>
    <w:rsid w:val="00611AC2"/>
    <w:rsid w:val="00611FFE"/>
    <w:rsid w:val="00613BB6"/>
    <w:rsid w:val="0061777B"/>
    <w:rsid w:val="00624066"/>
    <w:rsid w:val="0062454A"/>
    <w:rsid w:val="00624620"/>
    <w:rsid w:val="00624946"/>
    <w:rsid w:val="00625173"/>
    <w:rsid w:val="00625CAB"/>
    <w:rsid w:val="00630CCB"/>
    <w:rsid w:val="00631E71"/>
    <w:rsid w:val="0063350A"/>
    <w:rsid w:val="006340A0"/>
    <w:rsid w:val="0063581A"/>
    <w:rsid w:val="00635858"/>
    <w:rsid w:val="00636BF4"/>
    <w:rsid w:val="00637FE9"/>
    <w:rsid w:val="00642CB1"/>
    <w:rsid w:val="006431A9"/>
    <w:rsid w:val="006460E3"/>
    <w:rsid w:val="006466DF"/>
    <w:rsid w:val="00646A42"/>
    <w:rsid w:val="006518D0"/>
    <w:rsid w:val="00652393"/>
    <w:rsid w:val="00656003"/>
    <w:rsid w:val="00657150"/>
    <w:rsid w:val="006571DD"/>
    <w:rsid w:val="0065774D"/>
    <w:rsid w:val="0065792C"/>
    <w:rsid w:val="00662E32"/>
    <w:rsid w:val="0066668A"/>
    <w:rsid w:val="00667CAB"/>
    <w:rsid w:val="00675065"/>
    <w:rsid w:val="00675563"/>
    <w:rsid w:val="00675DAD"/>
    <w:rsid w:val="00682389"/>
    <w:rsid w:val="00685346"/>
    <w:rsid w:val="00685390"/>
    <w:rsid w:val="00685B24"/>
    <w:rsid w:val="006870E8"/>
    <w:rsid w:val="00690BC5"/>
    <w:rsid w:val="00690C8E"/>
    <w:rsid w:val="00691341"/>
    <w:rsid w:val="006933DD"/>
    <w:rsid w:val="0069471D"/>
    <w:rsid w:val="00695670"/>
    <w:rsid w:val="00695E20"/>
    <w:rsid w:val="006A2D90"/>
    <w:rsid w:val="006A3BA0"/>
    <w:rsid w:val="006A4EC6"/>
    <w:rsid w:val="006A6B87"/>
    <w:rsid w:val="006A6DF3"/>
    <w:rsid w:val="006A7769"/>
    <w:rsid w:val="006B20D5"/>
    <w:rsid w:val="006B34F6"/>
    <w:rsid w:val="006B4952"/>
    <w:rsid w:val="006B5EA1"/>
    <w:rsid w:val="006B62C2"/>
    <w:rsid w:val="006B6316"/>
    <w:rsid w:val="006B6C2F"/>
    <w:rsid w:val="006B7A21"/>
    <w:rsid w:val="006B7F10"/>
    <w:rsid w:val="006C042B"/>
    <w:rsid w:val="006C2543"/>
    <w:rsid w:val="006C2A45"/>
    <w:rsid w:val="006C4042"/>
    <w:rsid w:val="006C6C85"/>
    <w:rsid w:val="006C6F0B"/>
    <w:rsid w:val="006C700A"/>
    <w:rsid w:val="006C7C59"/>
    <w:rsid w:val="006D0312"/>
    <w:rsid w:val="006D06D5"/>
    <w:rsid w:val="006D214E"/>
    <w:rsid w:val="006D2DEA"/>
    <w:rsid w:val="006D2E9C"/>
    <w:rsid w:val="006D30BC"/>
    <w:rsid w:val="006E1A0E"/>
    <w:rsid w:val="006E6E8B"/>
    <w:rsid w:val="006E7C76"/>
    <w:rsid w:val="006F04CD"/>
    <w:rsid w:val="006F07C9"/>
    <w:rsid w:val="006F0A6B"/>
    <w:rsid w:val="006F0F75"/>
    <w:rsid w:val="006F3496"/>
    <w:rsid w:val="006F4633"/>
    <w:rsid w:val="006F5AC8"/>
    <w:rsid w:val="006F5F50"/>
    <w:rsid w:val="006F721C"/>
    <w:rsid w:val="006F7A75"/>
    <w:rsid w:val="00703F7A"/>
    <w:rsid w:val="00704218"/>
    <w:rsid w:val="00706102"/>
    <w:rsid w:val="00711356"/>
    <w:rsid w:val="00713D33"/>
    <w:rsid w:val="00716375"/>
    <w:rsid w:val="00717B21"/>
    <w:rsid w:val="00721BAC"/>
    <w:rsid w:val="007240F9"/>
    <w:rsid w:val="00724763"/>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552A7"/>
    <w:rsid w:val="00757FC1"/>
    <w:rsid w:val="00760265"/>
    <w:rsid w:val="00763522"/>
    <w:rsid w:val="00763B46"/>
    <w:rsid w:val="00767121"/>
    <w:rsid w:val="00770A23"/>
    <w:rsid w:val="00770D89"/>
    <w:rsid w:val="00771FBD"/>
    <w:rsid w:val="00772751"/>
    <w:rsid w:val="00772BFA"/>
    <w:rsid w:val="007732E5"/>
    <w:rsid w:val="00773A1F"/>
    <w:rsid w:val="007750D4"/>
    <w:rsid w:val="00775725"/>
    <w:rsid w:val="00775864"/>
    <w:rsid w:val="00780950"/>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551E"/>
    <w:rsid w:val="007C6103"/>
    <w:rsid w:val="007C7079"/>
    <w:rsid w:val="007C745E"/>
    <w:rsid w:val="007C7E4A"/>
    <w:rsid w:val="007D20D8"/>
    <w:rsid w:val="007D249E"/>
    <w:rsid w:val="007D2EE8"/>
    <w:rsid w:val="007D4745"/>
    <w:rsid w:val="007D5763"/>
    <w:rsid w:val="007D596E"/>
    <w:rsid w:val="007D6288"/>
    <w:rsid w:val="007D7193"/>
    <w:rsid w:val="007D7958"/>
    <w:rsid w:val="007D7D00"/>
    <w:rsid w:val="007E051D"/>
    <w:rsid w:val="007E1576"/>
    <w:rsid w:val="007E2BD2"/>
    <w:rsid w:val="007E5F41"/>
    <w:rsid w:val="007E6CF2"/>
    <w:rsid w:val="007F0B94"/>
    <w:rsid w:val="007F0BE0"/>
    <w:rsid w:val="007F1EB4"/>
    <w:rsid w:val="007F5493"/>
    <w:rsid w:val="007F5B53"/>
    <w:rsid w:val="007F60D5"/>
    <w:rsid w:val="007F6DC7"/>
    <w:rsid w:val="0080075E"/>
    <w:rsid w:val="00802948"/>
    <w:rsid w:val="00802AAC"/>
    <w:rsid w:val="00806FED"/>
    <w:rsid w:val="00811115"/>
    <w:rsid w:val="008122DE"/>
    <w:rsid w:val="008134C7"/>
    <w:rsid w:val="008139EB"/>
    <w:rsid w:val="00813D5F"/>
    <w:rsid w:val="008150A6"/>
    <w:rsid w:val="008151E2"/>
    <w:rsid w:val="00816091"/>
    <w:rsid w:val="0081618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2D6E"/>
    <w:rsid w:val="00843A87"/>
    <w:rsid w:val="00843C41"/>
    <w:rsid w:val="0084500E"/>
    <w:rsid w:val="00845138"/>
    <w:rsid w:val="008455FB"/>
    <w:rsid w:val="0084584F"/>
    <w:rsid w:val="00847DB4"/>
    <w:rsid w:val="00850BC8"/>
    <w:rsid w:val="00850E33"/>
    <w:rsid w:val="0085172A"/>
    <w:rsid w:val="00856715"/>
    <w:rsid w:val="00856DC0"/>
    <w:rsid w:val="008607CA"/>
    <w:rsid w:val="00861CE7"/>
    <w:rsid w:val="00862E46"/>
    <w:rsid w:val="00864D01"/>
    <w:rsid w:val="00865BFC"/>
    <w:rsid w:val="00870585"/>
    <w:rsid w:val="0087394A"/>
    <w:rsid w:val="00873EAC"/>
    <w:rsid w:val="00874D32"/>
    <w:rsid w:val="00880D1C"/>
    <w:rsid w:val="00880EB6"/>
    <w:rsid w:val="00881B84"/>
    <w:rsid w:val="00885CC3"/>
    <w:rsid w:val="00886362"/>
    <w:rsid w:val="008876A3"/>
    <w:rsid w:val="00887DFB"/>
    <w:rsid w:val="0089283A"/>
    <w:rsid w:val="00892ADC"/>
    <w:rsid w:val="00893813"/>
    <w:rsid w:val="0089658C"/>
    <w:rsid w:val="00897000"/>
    <w:rsid w:val="008A0739"/>
    <w:rsid w:val="008A2458"/>
    <w:rsid w:val="008A66B8"/>
    <w:rsid w:val="008A7EED"/>
    <w:rsid w:val="008B25E6"/>
    <w:rsid w:val="008B2B1D"/>
    <w:rsid w:val="008B5009"/>
    <w:rsid w:val="008B7E45"/>
    <w:rsid w:val="008C1237"/>
    <w:rsid w:val="008C64FB"/>
    <w:rsid w:val="008C6F63"/>
    <w:rsid w:val="008C771B"/>
    <w:rsid w:val="008C77A4"/>
    <w:rsid w:val="008D0DB7"/>
    <w:rsid w:val="008D2DAF"/>
    <w:rsid w:val="008D4EEC"/>
    <w:rsid w:val="008D5BFC"/>
    <w:rsid w:val="008E1C91"/>
    <w:rsid w:val="008E2EFF"/>
    <w:rsid w:val="008E3B9E"/>
    <w:rsid w:val="008E4E0F"/>
    <w:rsid w:val="008E5935"/>
    <w:rsid w:val="008E738E"/>
    <w:rsid w:val="008F0A84"/>
    <w:rsid w:val="008F0CC3"/>
    <w:rsid w:val="008F44C7"/>
    <w:rsid w:val="008F5035"/>
    <w:rsid w:val="008F5056"/>
    <w:rsid w:val="00900C2F"/>
    <w:rsid w:val="0090408F"/>
    <w:rsid w:val="00906F8A"/>
    <w:rsid w:val="009104E4"/>
    <w:rsid w:val="00910A37"/>
    <w:rsid w:val="00915570"/>
    <w:rsid w:val="0091611D"/>
    <w:rsid w:val="00916267"/>
    <w:rsid w:val="009173A3"/>
    <w:rsid w:val="0092016A"/>
    <w:rsid w:val="00920CEB"/>
    <w:rsid w:val="00921082"/>
    <w:rsid w:val="00922A3C"/>
    <w:rsid w:val="00922DE7"/>
    <w:rsid w:val="00922EFB"/>
    <w:rsid w:val="00923A6C"/>
    <w:rsid w:val="009249C8"/>
    <w:rsid w:val="0093115A"/>
    <w:rsid w:val="00931671"/>
    <w:rsid w:val="00932C0E"/>
    <w:rsid w:val="00933F00"/>
    <w:rsid w:val="00935401"/>
    <w:rsid w:val="0094003A"/>
    <w:rsid w:val="0094004A"/>
    <w:rsid w:val="0094638E"/>
    <w:rsid w:val="00946A82"/>
    <w:rsid w:val="00951071"/>
    <w:rsid w:val="0095333C"/>
    <w:rsid w:val="009544D9"/>
    <w:rsid w:val="00955186"/>
    <w:rsid w:val="00955282"/>
    <w:rsid w:val="00956990"/>
    <w:rsid w:val="00956EE8"/>
    <w:rsid w:val="009570F6"/>
    <w:rsid w:val="00965C09"/>
    <w:rsid w:val="00966B6A"/>
    <w:rsid w:val="0097057C"/>
    <w:rsid w:val="009715C5"/>
    <w:rsid w:val="00971AF2"/>
    <w:rsid w:val="009723B8"/>
    <w:rsid w:val="009817A0"/>
    <w:rsid w:val="0098281C"/>
    <w:rsid w:val="009833A0"/>
    <w:rsid w:val="0098423D"/>
    <w:rsid w:val="009850E9"/>
    <w:rsid w:val="00985DFA"/>
    <w:rsid w:val="00986315"/>
    <w:rsid w:val="00986617"/>
    <w:rsid w:val="009911E3"/>
    <w:rsid w:val="00994B4C"/>
    <w:rsid w:val="00994E42"/>
    <w:rsid w:val="00995178"/>
    <w:rsid w:val="009960E6"/>
    <w:rsid w:val="009A1C33"/>
    <w:rsid w:val="009A2439"/>
    <w:rsid w:val="009A2BFF"/>
    <w:rsid w:val="009A6D30"/>
    <w:rsid w:val="009B206F"/>
    <w:rsid w:val="009B5F6F"/>
    <w:rsid w:val="009B7A7F"/>
    <w:rsid w:val="009B7A90"/>
    <w:rsid w:val="009B7BA4"/>
    <w:rsid w:val="009C1007"/>
    <w:rsid w:val="009C1F6E"/>
    <w:rsid w:val="009C2514"/>
    <w:rsid w:val="009C3C03"/>
    <w:rsid w:val="009C3C6C"/>
    <w:rsid w:val="009C3EBA"/>
    <w:rsid w:val="009C4C61"/>
    <w:rsid w:val="009C5377"/>
    <w:rsid w:val="009C58A2"/>
    <w:rsid w:val="009C7BA0"/>
    <w:rsid w:val="009D1B51"/>
    <w:rsid w:val="009D426B"/>
    <w:rsid w:val="009D43A5"/>
    <w:rsid w:val="009D52BF"/>
    <w:rsid w:val="009D6255"/>
    <w:rsid w:val="009D6DD3"/>
    <w:rsid w:val="009E3F57"/>
    <w:rsid w:val="009E4F8A"/>
    <w:rsid w:val="009E6471"/>
    <w:rsid w:val="009E6771"/>
    <w:rsid w:val="009E67E4"/>
    <w:rsid w:val="009E754B"/>
    <w:rsid w:val="009F0511"/>
    <w:rsid w:val="009F092A"/>
    <w:rsid w:val="009F1DBD"/>
    <w:rsid w:val="009F22FE"/>
    <w:rsid w:val="009F750B"/>
    <w:rsid w:val="00A00435"/>
    <w:rsid w:val="00A01FCD"/>
    <w:rsid w:val="00A025E8"/>
    <w:rsid w:val="00A03071"/>
    <w:rsid w:val="00A044F0"/>
    <w:rsid w:val="00A0582B"/>
    <w:rsid w:val="00A05B11"/>
    <w:rsid w:val="00A06B7F"/>
    <w:rsid w:val="00A06FBD"/>
    <w:rsid w:val="00A07D9C"/>
    <w:rsid w:val="00A109CC"/>
    <w:rsid w:val="00A13EDB"/>
    <w:rsid w:val="00A14C4D"/>
    <w:rsid w:val="00A15845"/>
    <w:rsid w:val="00A17B52"/>
    <w:rsid w:val="00A2141C"/>
    <w:rsid w:val="00A21B16"/>
    <w:rsid w:val="00A22918"/>
    <w:rsid w:val="00A22D76"/>
    <w:rsid w:val="00A2438C"/>
    <w:rsid w:val="00A24D47"/>
    <w:rsid w:val="00A30370"/>
    <w:rsid w:val="00A32017"/>
    <w:rsid w:val="00A3527C"/>
    <w:rsid w:val="00A36E1D"/>
    <w:rsid w:val="00A37E7E"/>
    <w:rsid w:val="00A4098F"/>
    <w:rsid w:val="00A4193A"/>
    <w:rsid w:val="00A42D4A"/>
    <w:rsid w:val="00A45C6F"/>
    <w:rsid w:val="00A46DCC"/>
    <w:rsid w:val="00A5014E"/>
    <w:rsid w:val="00A55DD6"/>
    <w:rsid w:val="00A562E3"/>
    <w:rsid w:val="00A569D3"/>
    <w:rsid w:val="00A6062B"/>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86B01"/>
    <w:rsid w:val="00A91A54"/>
    <w:rsid w:val="00A91B7E"/>
    <w:rsid w:val="00A96F13"/>
    <w:rsid w:val="00AA1080"/>
    <w:rsid w:val="00AA16D3"/>
    <w:rsid w:val="00AA18CA"/>
    <w:rsid w:val="00AA1D98"/>
    <w:rsid w:val="00AA3063"/>
    <w:rsid w:val="00AA3BFA"/>
    <w:rsid w:val="00AA4BCE"/>
    <w:rsid w:val="00AA5A0A"/>
    <w:rsid w:val="00AA5E84"/>
    <w:rsid w:val="00AA725C"/>
    <w:rsid w:val="00AB3274"/>
    <w:rsid w:val="00AB3E05"/>
    <w:rsid w:val="00AB7A0E"/>
    <w:rsid w:val="00AC0409"/>
    <w:rsid w:val="00AC0C60"/>
    <w:rsid w:val="00AC178D"/>
    <w:rsid w:val="00AC1897"/>
    <w:rsid w:val="00AC2E63"/>
    <w:rsid w:val="00AC2EA5"/>
    <w:rsid w:val="00AC3A70"/>
    <w:rsid w:val="00AC63F8"/>
    <w:rsid w:val="00AC7144"/>
    <w:rsid w:val="00AC75AF"/>
    <w:rsid w:val="00AD0634"/>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1853"/>
    <w:rsid w:val="00B02758"/>
    <w:rsid w:val="00B02B5A"/>
    <w:rsid w:val="00B0302F"/>
    <w:rsid w:val="00B036CF"/>
    <w:rsid w:val="00B03790"/>
    <w:rsid w:val="00B03CDC"/>
    <w:rsid w:val="00B04B8A"/>
    <w:rsid w:val="00B04BFB"/>
    <w:rsid w:val="00B104AA"/>
    <w:rsid w:val="00B11872"/>
    <w:rsid w:val="00B13758"/>
    <w:rsid w:val="00B13979"/>
    <w:rsid w:val="00B15E4F"/>
    <w:rsid w:val="00B17E7D"/>
    <w:rsid w:val="00B2012B"/>
    <w:rsid w:val="00B20B29"/>
    <w:rsid w:val="00B20CB9"/>
    <w:rsid w:val="00B20D52"/>
    <w:rsid w:val="00B2167C"/>
    <w:rsid w:val="00B22598"/>
    <w:rsid w:val="00B246D3"/>
    <w:rsid w:val="00B262C9"/>
    <w:rsid w:val="00B26A2C"/>
    <w:rsid w:val="00B26BDA"/>
    <w:rsid w:val="00B30526"/>
    <w:rsid w:val="00B3125B"/>
    <w:rsid w:val="00B32F9A"/>
    <w:rsid w:val="00B32FCD"/>
    <w:rsid w:val="00B34577"/>
    <w:rsid w:val="00B34E07"/>
    <w:rsid w:val="00B43464"/>
    <w:rsid w:val="00B45223"/>
    <w:rsid w:val="00B45C7D"/>
    <w:rsid w:val="00B461F3"/>
    <w:rsid w:val="00B46548"/>
    <w:rsid w:val="00B47EFD"/>
    <w:rsid w:val="00B50604"/>
    <w:rsid w:val="00B50C36"/>
    <w:rsid w:val="00B51C5E"/>
    <w:rsid w:val="00B52083"/>
    <w:rsid w:val="00B52525"/>
    <w:rsid w:val="00B52A88"/>
    <w:rsid w:val="00B52B44"/>
    <w:rsid w:val="00B52D72"/>
    <w:rsid w:val="00B56BAC"/>
    <w:rsid w:val="00B56E5B"/>
    <w:rsid w:val="00B571F4"/>
    <w:rsid w:val="00B61F86"/>
    <w:rsid w:val="00B64780"/>
    <w:rsid w:val="00B6494B"/>
    <w:rsid w:val="00B64BD5"/>
    <w:rsid w:val="00B64D7D"/>
    <w:rsid w:val="00B658BB"/>
    <w:rsid w:val="00B65E8E"/>
    <w:rsid w:val="00B6622F"/>
    <w:rsid w:val="00B67926"/>
    <w:rsid w:val="00B679FA"/>
    <w:rsid w:val="00B72B4C"/>
    <w:rsid w:val="00B75DE1"/>
    <w:rsid w:val="00B76388"/>
    <w:rsid w:val="00B76EAC"/>
    <w:rsid w:val="00B775F3"/>
    <w:rsid w:val="00B81ECA"/>
    <w:rsid w:val="00B838D7"/>
    <w:rsid w:val="00B83DCC"/>
    <w:rsid w:val="00B86A3E"/>
    <w:rsid w:val="00B903B2"/>
    <w:rsid w:val="00B9113C"/>
    <w:rsid w:val="00B91DE8"/>
    <w:rsid w:val="00B93ECE"/>
    <w:rsid w:val="00B96111"/>
    <w:rsid w:val="00B975ED"/>
    <w:rsid w:val="00B979E2"/>
    <w:rsid w:val="00B97D1F"/>
    <w:rsid w:val="00B97E9D"/>
    <w:rsid w:val="00BA25DB"/>
    <w:rsid w:val="00BA38E0"/>
    <w:rsid w:val="00BA4649"/>
    <w:rsid w:val="00BA51C2"/>
    <w:rsid w:val="00BA619F"/>
    <w:rsid w:val="00BA7D43"/>
    <w:rsid w:val="00BB02EB"/>
    <w:rsid w:val="00BB07F4"/>
    <w:rsid w:val="00BB08FA"/>
    <w:rsid w:val="00BB0940"/>
    <w:rsid w:val="00BB0A6C"/>
    <w:rsid w:val="00BB17F3"/>
    <w:rsid w:val="00BB2DBC"/>
    <w:rsid w:val="00BB4AC7"/>
    <w:rsid w:val="00BB4CD0"/>
    <w:rsid w:val="00BB4F92"/>
    <w:rsid w:val="00BB61C1"/>
    <w:rsid w:val="00BB67E2"/>
    <w:rsid w:val="00BB6B4A"/>
    <w:rsid w:val="00BB7E90"/>
    <w:rsid w:val="00BB7F6A"/>
    <w:rsid w:val="00BC03CC"/>
    <w:rsid w:val="00BC11D7"/>
    <w:rsid w:val="00BC144B"/>
    <w:rsid w:val="00BC1B9C"/>
    <w:rsid w:val="00BC2C14"/>
    <w:rsid w:val="00BC31EE"/>
    <w:rsid w:val="00BC3C19"/>
    <w:rsid w:val="00BC4B27"/>
    <w:rsid w:val="00BC5C23"/>
    <w:rsid w:val="00BD15BE"/>
    <w:rsid w:val="00BD2E19"/>
    <w:rsid w:val="00BD3BF3"/>
    <w:rsid w:val="00BD5316"/>
    <w:rsid w:val="00BD6613"/>
    <w:rsid w:val="00BE41BE"/>
    <w:rsid w:val="00BE4EBB"/>
    <w:rsid w:val="00BE6F8C"/>
    <w:rsid w:val="00BE735F"/>
    <w:rsid w:val="00BF0B0F"/>
    <w:rsid w:val="00BF150A"/>
    <w:rsid w:val="00BF30A5"/>
    <w:rsid w:val="00BF3210"/>
    <w:rsid w:val="00BF3B09"/>
    <w:rsid w:val="00BF4A06"/>
    <w:rsid w:val="00C00340"/>
    <w:rsid w:val="00C03270"/>
    <w:rsid w:val="00C03937"/>
    <w:rsid w:val="00C048FB"/>
    <w:rsid w:val="00C04CFA"/>
    <w:rsid w:val="00C074A8"/>
    <w:rsid w:val="00C076EF"/>
    <w:rsid w:val="00C15E59"/>
    <w:rsid w:val="00C15E84"/>
    <w:rsid w:val="00C16C84"/>
    <w:rsid w:val="00C21DB4"/>
    <w:rsid w:val="00C224CD"/>
    <w:rsid w:val="00C25539"/>
    <w:rsid w:val="00C25C2B"/>
    <w:rsid w:val="00C2744F"/>
    <w:rsid w:val="00C33D5F"/>
    <w:rsid w:val="00C34648"/>
    <w:rsid w:val="00C34D95"/>
    <w:rsid w:val="00C357EB"/>
    <w:rsid w:val="00C37015"/>
    <w:rsid w:val="00C40072"/>
    <w:rsid w:val="00C408BD"/>
    <w:rsid w:val="00C4213E"/>
    <w:rsid w:val="00C438D5"/>
    <w:rsid w:val="00C45741"/>
    <w:rsid w:val="00C4699F"/>
    <w:rsid w:val="00C472A3"/>
    <w:rsid w:val="00C50B26"/>
    <w:rsid w:val="00C50C4A"/>
    <w:rsid w:val="00C524B1"/>
    <w:rsid w:val="00C53D6E"/>
    <w:rsid w:val="00C56B9D"/>
    <w:rsid w:val="00C60706"/>
    <w:rsid w:val="00C61A1B"/>
    <w:rsid w:val="00C6464D"/>
    <w:rsid w:val="00C64FE6"/>
    <w:rsid w:val="00C65838"/>
    <w:rsid w:val="00C72DBC"/>
    <w:rsid w:val="00C74041"/>
    <w:rsid w:val="00C76B39"/>
    <w:rsid w:val="00C77891"/>
    <w:rsid w:val="00C80803"/>
    <w:rsid w:val="00C8081E"/>
    <w:rsid w:val="00C8194B"/>
    <w:rsid w:val="00C8510F"/>
    <w:rsid w:val="00C856C4"/>
    <w:rsid w:val="00C8634C"/>
    <w:rsid w:val="00C86F92"/>
    <w:rsid w:val="00C90072"/>
    <w:rsid w:val="00C9533B"/>
    <w:rsid w:val="00CA14A2"/>
    <w:rsid w:val="00CA408B"/>
    <w:rsid w:val="00CA597B"/>
    <w:rsid w:val="00CB0748"/>
    <w:rsid w:val="00CB18BD"/>
    <w:rsid w:val="00CB1B09"/>
    <w:rsid w:val="00CB232C"/>
    <w:rsid w:val="00CB2D79"/>
    <w:rsid w:val="00CB2E90"/>
    <w:rsid w:val="00CB31D0"/>
    <w:rsid w:val="00CB4405"/>
    <w:rsid w:val="00CB4EF4"/>
    <w:rsid w:val="00CB5BD0"/>
    <w:rsid w:val="00CB63F6"/>
    <w:rsid w:val="00CC042F"/>
    <w:rsid w:val="00CC11D6"/>
    <w:rsid w:val="00CC237A"/>
    <w:rsid w:val="00CC2A69"/>
    <w:rsid w:val="00CD2668"/>
    <w:rsid w:val="00CD2B6F"/>
    <w:rsid w:val="00CD2FAC"/>
    <w:rsid w:val="00CD3879"/>
    <w:rsid w:val="00CD495B"/>
    <w:rsid w:val="00CD5C64"/>
    <w:rsid w:val="00CD67F4"/>
    <w:rsid w:val="00CD69A5"/>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422B"/>
    <w:rsid w:val="00D1756F"/>
    <w:rsid w:val="00D21893"/>
    <w:rsid w:val="00D21E87"/>
    <w:rsid w:val="00D23DB6"/>
    <w:rsid w:val="00D242FC"/>
    <w:rsid w:val="00D24CEB"/>
    <w:rsid w:val="00D24F90"/>
    <w:rsid w:val="00D26400"/>
    <w:rsid w:val="00D264F9"/>
    <w:rsid w:val="00D31768"/>
    <w:rsid w:val="00D33471"/>
    <w:rsid w:val="00D35E6A"/>
    <w:rsid w:val="00D361F7"/>
    <w:rsid w:val="00D37A4D"/>
    <w:rsid w:val="00D37BDA"/>
    <w:rsid w:val="00D41D8D"/>
    <w:rsid w:val="00D475DD"/>
    <w:rsid w:val="00D50781"/>
    <w:rsid w:val="00D51C08"/>
    <w:rsid w:val="00D51F3E"/>
    <w:rsid w:val="00D55D74"/>
    <w:rsid w:val="00D568D6"/>
    <w:rsid w:val="00D613B2"/>
    <w:rsid w:val="00D61D4F"/>
    <w:rsid w:val="00D62526"/>
    <w:rsid w:val="00D65B3B"/>
    <w:rsid w:val="00D6655A"/>
    <w:rsid w:val="00D73BEF"/>
    <w:rsid w:val="00D75DD7"/>
    <w:rsid w:val="00D8461E"/>
    <w:rsid w:val="00D848AF"/>
    <w:rsid w:val="00D84D41"/>
    <w:rsid w:val="00D85867"/>
    <w:rsid w:val="00D90438"/>
    <w:rsid w:val="00D90F7C"/>
    <w:rsid w:val="00D91BBB"/>
    <w:rsid w:val="00D93BBB"/>
    <w:rsid w:val="00D9483F"/>
    <w:rsid w:val="00D957E5"/>
    <w:rsid w:val="00D9612C"/>
    <w:rsid w:val="00D96B41"/>
    <w:rsid w:val="00DA02CE"/>
    <w:rsid w:val="00DA0DFD"/>
    <w:rsid w:val="00DA26D1"/>
    <w:rsid w:val="00DA7EC9"/>
    <w:rsid w:val="00DB18FC"/>
    <w:rsid w:val="00DB2769"/>
    <w:rsid w:val="00DB4762"/>
    <w:rsid w:val="00DB630A"/>
    <w:rsid w:val="00DB6473"/>
    <w:rsid w:val="00DC3ED2"/>
    <w:rsid w:val="00DC4AE1"/>
    <w:rsid w:val="00DC6B38"/>
    <w:rsid w:val="00DC767D"/>
    <w:rsid w:val="00DC7A15"/>
    <w:rsid w:val="00DD0CDD"/>
    <w:rsid w:val="00DD26EA"/>
    <w:rsid w:val="00DD35BB"/>
    <w:rsid w:val="00DD5EDD"/>
    <w:rsid w:val="00DD6B34"/>
    <w:rsid w:val="00DD7198"/>
    <w:rsid w:val="00DE3B48"/>
    <w:rsid w:val="00DF0FF1"/>
    <w:rsid w:val="00DF1557"/>
    <w:rsid w:val="00DF49C5"/>
    <w:rsid w:val="00DF6B72"/>
    <w:rsid w:val="00DF7223"/>
    <w:rsid w:val="00DF749E"/>
    <w:rsid w:val="00DF7988"/>
    <w:rsid w:val="00E0112E"/>
    <w:rsid w:val="00E02056"/>
    <w:rsid w:val="00E037D5"/>
    <w:rsid w:val="00E07564"/>
    <w:rsid w:val="00E07EB9"/>
    <w:rsid w:val="00E10A87"/>
    <w:rsid w:val="00E114BC"/>
    <w:rsid w:val="00E11D50"/>
    <w:rsid w:val="00E13609"/>
    <w:rsid w:val="00E14B3C"/>
    <w:rsid w:val="00E16067"/>
    <w:rsid w:val="00E212E3"/>
    <w:rsid w:val="00E22505"/>
    <w:rsid w:val="00E226B6"/>
    <w:rsid w:val="00E227F4"/>
    <w:rsid w:val="00E23903"/>
    <w:rsid w:val="00E2465F"/>
    <w:rsid w:val="00E2575E"/>
    <w:rsid w:val="00E25E0D"/>
    <w:rsid w:val="00E27DAA"/>
    <w:rsid w:val="00E27FDC"/>
    <w:rsid w:val="00E303C9"/>
    <w:rsid w:val="00E30E7D"/>
    <w:rsid w:val="00E31BA9"/>
    <w:rsid w:val="00E332F8"/>
    <w:rsid w:val="00E33659"/>
    <w:rsid w:val="00E4021E"/>
    <w:rsid w:val="00E40872"/>
    <w:rsid w:val="00E41594"/>
    <w:rsid w:val="00E4296F"/>
    <w:rsid w:val="00E46A08"/>
    <w:rsid w:val="00E47BE1"/>
    <w:rsid w:val="00E518FB"/>
    <w:rsid w:val="00E56FE8"/>
    <w:rsid w:val="00E57945"/>
    <w:rsid w:val="00E57C5E"/>
    <w:rsid w:val="00E6057C"/>
    <w:rsid w:val="00E607A7"/>
    <w:rsid w:val="00E60C5E"/>
    <w:rsid w:val="00E63BD1"/>
    <w:rsid w:val="00E6467D"/>
    <w:rsid w:val="00E66BCF"/>
    <w:rsid w:val="00E71342"/>
    <w:rsid w:val="00E728E4"/>
    <w:rsid w:val="00E77471"/>
    <w:rsid w:val="00E777FC"/>
    <w:rsid w:val="00E83DB2"/>
    <w:rsid w:val="00E840FB"/>
    <w:rsid w:val="00E8555A"/>
    <w:rsid w:val="00E85DAF"/>
    <w:rsid w:val="00E86A39"/>
    <w:rsid w:val="00E8703F"/>
    <w:rsid w:val="00E87864"/>
    <w:rsid w:val="00E9170D"/>
    <w:rsid w:val="00E9198A"/>
    <w:rsid w:val="00E92C29"/>
    <w:rsid w:val="00E931C1"/>
    <w:rsid w:val="00E93D73"/>
    <w:rsid w:val="00E94BE1"/>
    <w:rsid w:val="00E94BFD"/>
    <w:rsid w:val="00E94E0E"/>
    <w:rsid w:val="00E97186"/>
    <w:rsid w:val="00E97F6C"/>
    <w:rsid w:val="00EA04D2"/>
    <w:rsid w:val="00EA6401"/>
    <w:rsid w:val="00EA68DB"/>
    <w:rsid w:val="00EB0764"/>
    <w:rsid w:val="00EB1322"/>
    <w:rsid w:val="00EB1A62"/>
    <w:rsid w:val="00EB4FC8"/>
    <w:rsid w:val="00EB6E57"/>
    <w:rsid w:val="00EB7A4C"/>
    <w:rsid w:val="00EC0DD8"/>
    <w:rsid w:val="00EC2A66"/>
    <w:rsid w:val="00EC3672"/>
    <w:rsid w:val="00EC44FF"/>
    <w:rsid w:val="00ED0960"/>
    <w:rsid w:val="00ED3782"/>
    <w:rsid w:val="00ED56C1"/>
    <w:rsid w:val="00ED7D80"/>
    <w:rsid w:val="00EE1F49"/>
    <w:rsid w:val="00EE1F87"/>
    <w:rsid w:val="00EE3720"/>
    <w:rsid w:val="00EE3F92"/>
    <w:rsid w:val="00EE7634"/>
    <w:rsid w:val="00EF271D"/>
    <w:rsid w:val="00EF4228"/>
    <w:rsid w:val="00EF473E"/>
    <w:rsid w:val="00EF4DC8"/>
    <w:rsid w:val="00EF659E"/>
    <w:rsid w:val="00EF6A13"/>
    <w:rsid w:val="00EF6F24"/>
    <w:rsid w:val="00F00971"/>
    <w:rsid w:val="00F01751"/>
    <w:rsid w:val="00F02CF2"/>
    <w:rsid w:val="00F0385A"/>
    <w:rsid w:val="00F053D3"/>
    <w:rsid w:val="00F1070F"/>
    <w:rsid w:val="00F10CEC"/>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88A"/>
    <w:rsid w:val="00F31BE1"/>
    <w:rsid w:val="00F31CAB"/>
    <w:rsid w:val="00F32A46"/>
    <w:rsid w:val="00F34AD2"/>
    <w:rsid w:val="00F37170"/>
    <w:rsid w:val="00F43040"/>
    <w:rsid w:val="00F440E7"/>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64CD"/>
    <w:rsid w:val="00F61702"/>
    <w:rsid w:val="00F62E71"/>
    <w:rsid w:val="00F6306C"/>
    <w:rsid w:val="00F630C8"/>
    <w:rsid w:val="00F64C12"/>
    <w:rsid w:val="00F6552D"/>
    <w:rsid w:val="00F667F5"/>
    <w:rsid w:val="00F67278"/>
    <w:rsid w:val="00F710E9"/>
    <w:rsid w:val="00F733F0"/>
    <w:rsid w:val="00F76A72"/>
    <w:rsid w:val="00F77340"/>
    <w:rsid w:val="00F8042D"/>
    <w:rsid w:val="00F8355F"/>
    <w:rsid w:val="00F85256"/>
    <w:rsid w:val="00F87572"/>
    <w:rsid w:val="00F87CA2"/>
    <w:rsid w:val="00F91976"/>
    <w:rsid w:val="00F92C8D"/>
    <w:rsid w:val="00F931AD"/>
    <w:rsid w:val="00F95FE5"/>
    <w:rsid w:val="00F9741A"/>
    <w:rsid w:val="00FA18B4"/>
    <w:rsid w:val="00FA1F53"/>
    <w:rsid w:val="00FA2095"/>
    <w:rsid w:val="00FA244D"/>
    <w:rsid w:val="00FA7224"/>
    <w:rsid w:val="00FB01BB"/>
    <w:rsid w:val="00FB1215"/>
    <w:rsid w:val="00FB3D8E"/>
    <w:rsid w:val="00FB4CB0"/>
    <w:rsid w:val="00FB608E"/>
    <w:rsid w:val="00FB6392"/>
    <w:rsid w:val="00FC39BA"/>
    <w:rsid w:val="00FC3DAC"/>
    <w:rsid w:val="00FD1428"/>
    <w:rsid w:val="00FD20C5"/>
    <w:rsid w:val="00FD221D"/>
    <w:rsid w:val="00FD2761"/>
    <w:rsid w:val="00FD309E"/>
    <w:rsid w:val="00FD37B5"/>
    <w:rsid w:val="00FD4568"/>
    <w:rsid w:val="00FD5B5E"/>
    <w:rsid w:val="00FD613E"/>
    <w:rsid w:val="00FD6F4D"/>
    <w:rsid w:val="00FE0559"/>
    <w:rsid w:val="00FE05A0"/>
    <w:rsid w:val="00FE3884"/>
    <w:rsid w:val="00FE3FCF"/>
    <w:rsid w:val="00FF2E19"/>
    <w:rsid w:val="00FF756F"/>
    <w:rsid w:val="010D4674"/>
    <w:rsid w:val="01B373CC"/>
    <w:rsid w:val="02A058B1"/>
    <w:rsid w:val="037A4244"/>
    <w:rsid w:val="04EE2B86"/>
    <w:rsid w:val="054854F1"/>
    <w:rsid w:val="06DA4BFF"/>
    <w:rsid w:val="079B25E0"/>
    <w:rsid w:val="07C86769"/>
    <w:rsid w:val="07FA2756"/>
    <w:rsid w:val="07FC7F20"/>
    <w:rsid w:val="08221A8C"/>
    <w:rsid w:val="08346591"/>
    <w:rsid w:val="08561BE0"/>
    <w:rsid w:val="085D675A"/>
    <w:rsid w:val="086134DE"/>
    <w:rsid w:val="090D12BC"/>
    <w:rsid w:val="094E5D97"/>
    <w:rsid w:val="0A837BAB"/>
    <w:rsid w:val="0AE01E1F"/>
    <w:rsid w:val="0B5847B0"/>
    <w:rsid w:val="0B802556"/>
    <w:rsid w:val="0BD1258F"/>
    <w:rsid w:val="0BEE2623"/>
    <w:rsid w:val="0C4F0D3F"/>
    <w:rsid w:val="0C7975B3"/>
    <w:rsid w:val="0CA43CE5"/>
    <w:rsid w:val="0CD96C5B"/>
    <w:rsid w:val="0D4D168F"/>
    <w:rsid w:val="0EE43BE8"/>
    <w:rsid w:val="0F835D24"/>
    <w:rsid w:val="11053E91"/>
    <w:rsid w:val="11BE084A"/>
    <w:rsid w:val="122E14D8"/>
    <w:rsid w:val="126C1FE6"/>
    <w:rsid w:val="12BD78F2"/>
    <w:rsid w:val="12BF5D2D"/>
    <w:rsid w:val="13097C9F"/>
    <w:rsid w:val="131F7E9C"/>
    <w:rsid w:val="13211135"/>
    <w:rsid w:val="134551AA"/>
    <w:rsid w:val="13763F01"/>
    <w:rsid w:val="13DA623E"/>
    <w:rsid w:val="15BA5427"/>
    <w:rsid w:val="164D4B16"/>
    <w:rsid w:val="16C06226"/>
    <w:rsid w:val="18767DC0"/>
    <w:rsid w:val="18BA4890"/>
    <w:rsid w:val="18D92F68"/>
    <w:rsid w:val="19137AFC"/>
    <w:rsid w:val="196C7450"/>
    <w:rsid w:val="1A584361"/>
    <w:rsid w:val="1AD4799A"/>
    <w:rsid w:val="1B1A7868"/>
    <w:rsid w:val="1B2C7D91"/>
    <w:rsid w:val="1BF63E31"/>
    <w:rsid w:val="1C4B249E"/>
    <w:rsid w:val="1C6963B1"/>
    <w:rsid w:val="1D622605"/>
    <w:rsid w:val="1D835834"/>
    <w:rsid w:val="1E157715"/>
    <w:rsid w:val="1E3B1447"/>
    <w:rsid w:val="1E47661F"/>
    <w:rsid w:val="1E7159F1"/>
    <w:rsid w:val="1F116CBE"/>
    <w:rsid w:val="1F321241"/>
    <w:rsid w:val="1F4924CA"/>
    <w:rsid w:val="1FAA2D68"/>
    <w:rsid w:val="1FE52A42"/>
    <w:rsid w:val="1FFC12EA"/>
    <w:rsid w:val="20F84C73"/>
    <w:rsid w:val="210C7C4D"/>
    <w:rsid w:val="21261320"/>
    <w:rsid w:val="234D7EF6"/>
    <w:rsid w:val="23627FFE"/>
    <w:rsid w:val="242760A3"/>
    <w:rsid w:val="24362D99"/>
    <w:rsid w:val="24673642"/>
    <w:rsid w:val="24771AB9"/>
    <w:rsid w:val="252512E3"/>
    <w:rsid w:val="25A4068B"/>
    <w:rsid w:val="25FD402B"/>
    <w:rsid w:val="2658362A"/>
    <w:rsid w:val="2665408D"/>
    <w:rsid w:val="26A5092E"/>
    <w:rsid w:val="26F176CF"/>
    <w:rsid w:val="274F0899"/>
    <w:rsid w:val="278C389C"/>
    <w:rsid w:val="27A92F3E"/>
    <w:rsid w:val="27B74703"/>
    <w:rsid w:val="280F63FC"/>
    <w:rsid w:val="28681C13"/>
    <w:rsid w:val="28B02EC3"/>
    <w:rsid w:val="2A5243F0"/>
    <w:rsid w:val="2AB56C65"/>
    <w:rsid w:val="2CB35427"/>
    <w:rsid w:val="2CB45632"/>
    <w:rsid w:val="2CB700CA"/>
    <w:rsid w:val="2CC66F08"/>
    <w:rsid w:val="2CDA6E57"/>
    <w:rsid w:val="2CE85ED3"/>
    <w:rsid w:val="2D2C5840"/>
    <w:rsid w:val="2D311EE9"/>
    <w:rsid w:val="2D3D7DFF"/>
    <w:rsid w:val="2D3F75C0"/>
    <w:rsid w:val="2D6B14FA"/>
    <w:rsid w:val="2D92328E"/>
    <w:rsid w:val="2E301AD7"/>
    <w:rsid w:val="2E6B4140"/>
    <w:rsid w:val="2EC34F10"/>
    <w:rsid w:val="2EFA558F"/>
    <w:rsid w:val="30B74016"/>
    <w:rsid w:val="30E2763D"/>
    <w:rsid w:val="312D1245"/>
    <w:rsid w:val="31572633"/>
    <w:rsid w:val="317F5EB0"/>
    <w:rsid w:val="31FE7144"/>
    <w:rsid w:val="32075FF9"/>
    <w:rsid w:val="325400D7"/>
    <w:rsid w:val="328637C7"/>
    <w:rsid w:val="34386694"/>
    <w:rsid w:val="344572AC"/>
    <w:rsid w:val="34BC25CF"/>
    <w:rsid w:val="350B5A84"/>
    <w:rsid w:val="350E3B42"/>
    <w:rsid w:val="35B14B30"/>
    <w:rsid w:val="364E3BC9"/>
    <w:rsid w:val="36513CE6"/>
    <w:rsid w:val="37145E8E"/>
    <w:rsid w:val="377D5C98"/>
    <w:rsid w:val="37904CE2"/>
    <w:rsid w:val="37922808"/>
    <w:rsid w:val="379A5591"/>
    <w:rsid w:val="386E7489"/>
    <w:rsid w:val="38867D66"/>
    <w:rsid w:val="396037B8"/>
    <w:rsid w:val="39627FB8"/>
    <w:rsid w:val="398232DB"/>
    <w:rsid w:val="39B73932"/>
    <w:rsid w:val="3A3F654C"/>
    <w:rsid w:val="3AFD74BE"/>
    <w:rsid w:val="3B50538F"/>
    <w:rsid w:val="3B614DE8"/>
    <w:rsid w:val="3BB317EF"/>
    <w:rsid w:val="3C827F43"/>
    <w:rsid w:val="3CEC29BB"/>
    <w:rsid w:val="3D7151BE"/>
    <w:rsid w:val="3D74650C"/>
    <w:rsid w:val="3DD97A46"/>
    <w:rsid w:val="3E0247FB"/>
    <w:rsid w:val="3E977499"/>
    <w:rsid w:val="3F8A0269"/>
    <w:rsid w:val="3FB15BEC"/>
    <w:rsid w:val="40782F31"/>
    <w:rsid w:val="40E94495"/>
    <w:rsid w:val="422724DE"/>
    <w:rsid w:val="427B34DE"/>
    <w:rsid w:val="42910921"/>
    <w:rsid w:val="436030C2"/>
    <w:rsid w:val="43AC1830"/>
    <w:rsid w:val="43B92B1D"/>
    <w:rsid w:val="43EF4B3E"/>
    <w:rsid w:val="44670713"/>
    <w:rsid w:val="459B31D0"/>
    <w:rsid w:val="45A656D1"/>
    <w:rsid w:val="45D65FB6"/>
    <w:rsid w:val="46FE497F"/>
    <w:rsid w:val="47017063"/>
    <w:rsid w:val="47DB67B1"/>
    <w:rsid w:val="482C4A12"/>
    <w:rsid w:val="488E4926"/>
    <w:rsid w:val="48937C53"/>
    <w:rsid w:val="48A71E8C"/>
    <w:rsid w:val="48FF5823"/>
    <w:rsid w:val="49886DC7"/>
    <w:rsid w:val="49A40179"/>
    <w:rsid w:val="49C777B9"/>
    <w:rsid w:val="4A64447A"/>
    <w:rsid w:val="4AA932D2"/>
    <w:rsid w:val="4B217CD3"/>
    <w:rsid w:val="4B413ED2"/>
    <w:rsid w:val="4B887635"/>
    <w:rsid w:val="4BCA036B"/>
    <w:rsid w:val="4BD96800"/>
    <w:rsid w:val="4C244391"/>
    <w:rsid w:val="4CD34FFD"/>
    <w:rsid w:val="4D2E0D54"/>
    <w:rsid w:val="4D5C5088"/>
    <w:rsid w:val="4DFE60AA"/>
    <w:rsid w:val="4E0A3905"/>
    <w:rsid w:val="4E704ADB"/>
    <w:rsid w:val="505F2D88"/>
    <w:rsid w:val="50FD4D3F"/>
    <w:rsid w:val="51612D03"/>
    <w:rsid w:val="51DE4CD1"/>
    <w:rsid w:val="51F32C4E"/>
    <w:rsid w:val="54A6749B"/>
    <w:rsid w:val="54A74C40"/>
    <w:rsid w:val="55006BAB"/>
    <w:rsid w:val="550E4956"/>
    <w:rsid w:val="55F767F7"/>
    <w:rsid w:val="55FE15B9"/>
    <w:rsid w:val="565F03FC"/>
    <w:rsid w:val="57073816"/>
    <w:rsid w:val="57603931"/>
    <w:rsid w:val="58D3041C"/>
    <w:rsid w:val="59097BB5"/>
    <w:rsid w:val="596E7FC3"/>
    <w:rsid w:val="596F4300"/>
    <w:rsid w:val="59EA23B3"/>
    <w:rsid w:val="5B3A26EB"/>
    <w:rsid w:val="5B8C73EB"/>
    <w:rsid w:val="5BE12E76"/>
    <w:rsid w:val="5C2D1BA6"/>
    <w:rsid w:val="5CD54DC2"/>
    <w:rsid w:val="5D9661E5"/>
    <w:rsid w:val="5DFA6003"/>
    <w:rsid w:val="5DFD27A3"/>
    <w:rsid w:val="5E5127C4"/>
    <w:rsid w:val="5ECA456D"/>
    <w:rsid w:val="5EFE6CD9"/>
    <w:rsid w:val="5F01473D"/>
    <w:rsid w:val="5F47525B"/>
    <w:rsid w:val="5F66312E"/>
    <w:rsid w:val="5FB73E4C"/>
    <w:rsid w:val="602A5424"/>
    <w:rsid w:val="60CB755B"/>
    <w:rsid w:val="60E7015E"/>
    <w:rsid w:val="625048C9"/>
    <w:rsid w:val="62614DF5"/>
    <w:rsid w:val="62625436"/>
    <w:rsid w:val="62634C1E"/>
    <w:rsid w:val="62637F5B"/>
    <w:rsid w:val="62B7218C"/>
    <w:rsid w:val="6304300D"/>
    <w:rsid w:val="634A0DD6"/>
    <w:rsid w:val="63B6377D"/>
    <w:rsid w:val="64142FD0"/>
    <w:rsid w:val="64ED149F"/>
    <w:rsid w:val="6530528B"/>
    <w:rsid w:val="6546685C"/>
    <w:rsid w:val="65496236"/>
    <w:rsid w:val="65920AEA"/>
    <w:rsid w:val="668450FD"/>
    <w:rsid w:val="66FA420B"/>
    <w:rsid w:val="67B10C48"/>
    <w:rsid w:val="67E43DAD"/>
    <w:rsid w:val="67E91BB8"/>
    <w:rsid w:val="68324E76"/>
    <w:rsid w:val="68761884"/>
    <w:rsid w:val="68DF42A7"/>
    <w:rsid w:val="68E556A9"/>
    <w:rsid w:val="69004013"/>
    <w:rsid w:val="69C16861"/>
    <w:rsid w:val="69CC12FA"/>
    <w:rsid w:val="6A677BFD"/>
    <w:rsid w:val="6A8348AD"/>
    <w:rsid w:val="6A991CAC"/>
    <w:rsid w:val="6B0F149F"/>
    <w:rsid w:val="6B321631"/>
    <w:rsid w:val="6B69424F"/>
    <w:rsid w:val="6BC16918"/>
    <w:rsid w:val="6C3F7B62"/>
    <w:rsid w:val="6C4E46B2"/>
    <w:rsid w:val="6C6D0B73"/>
    <w:rsid w:val="6C90660F"/>
    <w:rsid w:val="6CEE7E43"/>
    <w:rsid w:val="6D8D2B4F"/>
    <w:rsid w:val="6FD72944"/>
    <w:rsid w:val="6FEA0B0A"/>
    <w:rsid w:val="706D598E"/>
    <w:rsid w:val="70910D32"/>
    <w:rsid w:val="720535FB"/>
    <w:rsid w:val="725D4F25"/>
    <w:rsid w:val="72815934"/>
    <w:rsid w:val="728A30F6"/>
    <w:rsid w:val="733624C0"/>
    <w:rsid w:val="734168B5"/>
    <w:rsid w:val="73C15359"/>
    <w:rsid w:val="746F7452"/>
    <w:rsid w:val="74B0259D"/>
    <w:rsid w:val="75125AE1"/>
    <w:rsid w:val="75ED4028"/>
    <w:rsid w:val="76103A8F"/>
    <w:rsid w:val="76283D5C"/>
    <w:rsid w:val="765E777E"/>
    <w:rsid w:val="769D3B99"/>
    <w:rsid w:val="76CF58C2"/>
    <w:rsid w:val="76ED1ED7"/>
    <w:rsid w:val="7721295D"/>
    <w:rsid w:val="77687478"/>
    <w:rsid w:val="77A80CB1"/>
    <w:rsid w:val="77AD335C"/>
    <w:rsid w:val="79205A39"/>
    <w:rsid w:val="7958651B"/>
    <w:rsid w:val="79AF3C2B"/>
    <w:rsid w:val="79F513FE"/>
    <w:rsid w:val="7A212F9C"/>
    <w:rsid w:val="7A2A6ADE"/>
    <w:rsid w:val="7AC27647"/>
    <w:rsid w:val="7B254D67"/>
    <w:rsid w:val="7B94485B"/>
    <w:rsid w:val="7C6C2355"/>
    <w:rsid w:val="7C945CA8"/>
    <w:rsid w:val="7CBC2A29"/>
    <w:rsid w:val="7DB9522F"/>
    <w:rsid w:val="7DBD303D"/>
    <w:rsid w:val="7E33329E"/>
    <w:rsid w:val="7E5046A0"/>
    <w:rsid w:val="7E592D37"/>
    <w:rsid w:val="7E70004F"/>
    <w:rsid w:val="7E717ADF"/>
    <w:rsid w:val="7F2C4050"/>
    <w:rsid w:val="7F9D70F1"/>
    <w:rsid w:val="7FFF2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qFormat="1" w:uiPriority="99"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3">
    <w:name w:val="heading 1"/>
    <w:basedOn w:val="1"/>
    <w:next w:val="1"/>
    <w:link w:val="53"/>
    <w:qFormat/>
    <w:uiPriority w:val="9"/>
    <w:pPr>
      <w:spacing w:line="360" w:lineRule="auto"/>
      <w:jc w:val="center"/>
      <w:outlineLvl w:val="0"/>
    </w:pPr>
    <w:rPr>
      <w:rFonts w:ascii="方正小标宋_GBK" w:hAnsi="仿宋" w:eastAsia="方正小标宋_GBK"/>
      <w:sz w:val="44"/>
      <w:szCs w:val="44"/>
    </w:rPr>
  </w:style>
  <w:style w:type="paragraph" w:styleId="4">
    <w:name w:val="heading 2"/>
    <w:basedOn w:val="1"/>
    <w:next w:val="1"/>
    <w:link w:val="54"/>
    <w:unhideWhenUsed/>
    <w:qFormat/>
    <w:uiPriority w:val="9"/>
    <w:pPr>
      <w:spacing w:line="560" w:lineRule="exact"/>
      <w:ind w:firstLine="640" w:firstLineChars="200"/>
      <w:jc w:val="both"/>
      <w:outlineLvl w:val="1"/>
    </w:pPr>
    <w:rPr>
      <w:rFonts w:ascii="楷体" w:hAnsi="楷体" w:eastAsia="黑体"/>
      <w:sz w:val="32"/>
      <w:szCs w:val="32"/>
    </w:rPr>
  </w:style>
  <w:style w:type="paragraph" w:styleId="5">
    <w:name w:val="heading 3"/>
    <w:basedOn w:val="1"/>
    <w:next w:val="1"/>
    <w:link w:val="55"/>
    <w:unhideWhenUsed/>
    <w:qFormat/>
    <w:uiPriority w:val="9"/>
    <w:pPr>
      <w:spacing w:line="560" w:lineRule="exact"/>
      <w:jc w:val="center"/>
      <w:outlineLvl w:val="2"/>
    </w:pPr>
    <w:rPr>
      <w:rFonts w:ascii="方正小标宋_GBK" w:hAnsi="仿宋" w:eastAsia="方正小标宋_GBK"/>
      <w:sz w:val="36"/>
      <w:szCs w:val="36"/>
    </w:rPr>
  </w:style>
  <w:style w:type="paragraph" w:styleId="6">
    <w:name w:val="heading 4"/>
    <w:basedOn w:val="1"/>
    <w:next w:val="1"/>
    <w:link w:val="56"/>
    <w:semiHidden/>
    <w:unhideWhenUsed/>
    <w:qFormat/>
    <w:uiPriority w:val="9"/>
    <w:pPr>
      <w:keepNext/>
      <w:numPr>
        <w:ilvl w:val="3"/>
        <w:numId w:val="1"/>
      </w:numPr>
      <w:spacing w:before="240" w:after="60"/>
      <w:outlineLvl w:val="3"/>
    </w:pPr>
    <w:rPr>
      <w:rFonts w:cstheme="majorBidi"/>
      <w:b/>
      <w:bCs/>
      <w:sz w:val="28"/>
      <w:szCs w:val="28"/>
    </w:rPr>
  </w:style>
  <w:style w:type="paragraph" w:styleId="7">
    <w:name w:val="heading 5"/>
    <w:basedOn w:val="1"/>
    <w:next w:val="1"/>
    <w:link w:val="80"/>
    <w:semiHidden/>
    <w:unhideWhenUsed/>
    <w:qFormat/>
    <w:uiPriority w:val="9"/>
    <w:pPr>
      <w:numPr>
        <w:ilvl w:val="4"/>
        <w:numId w:val="1"/>
      </w:numPr>
      <w:spacing w:before="240" w:after="60"/>
      <w:outlineLvl w:val="4"/>
    </w:pPr>
    <w:rPr>
      <w:b/>
      <w:bCs/>
      <w:i/>
      <w:iCs/>
      <w:sz w:val="26"/>
      <w:szCs w:val="26"/>
    </w:rPr>
  </w:style>
  <w:style w:type="paragraph" w:styleId="8">
    <w:name w:val="heading 6"/>
    <w:basedOn w:val="1"/>
    <w:next w:val="1"/>
    <w:link w:val="81"/>
    <w:semiHidden/>
    <w:unhideWhenUsed/>
    <w:qFormat/>
    <w:uiPriority w:val="9"/>
    <w:pPr>
      <w:numPr>
        <w:ilvl w:val="5"/>
        <w:numId w:val="1"/>
      </w:numPr>
      <w:spacing w:before="240" w:after="60"/>
      <w:outlineLvl w:val="5"/>
    </w:pPr>
    <w:rPr>
      <w:rFonts w:cstheme="majorBidi"/>
      <w:b/>
      <w:bCs/>
      <w:sz w:val="22"/>
      <w:szCs w:val="22"/>
    </w:rPr>
  </w:style>
  <w:style w:type="paragraph" w:styleId="9">
    <w:name w:val="heading 7"/>
    <w:basedOn w:val="1"/>
    <w:next w:val="1"/>
    <w:link w:val="82"/>
    <w:semiHidden/>
    <w:unhideWhenUsed/>
    <w:qFormat/>
    <w:uiPriority w:val="9"/>
    <w:pPr>
      <w:numPr>
        <w:ilvl w:val="6"/>
        <w:numId w:val="1"/>
      </w:numPr>
      <w:spacing w:before="240" w:after="60"/>
      <w:outlineLvl w:val="6"/>
    </w:pPr>
  </w:style>
  <w:style w:type="paragraph" w:styleId="10">
    <w:name w:val="heading 8"/>
    <w:basedOn w:val="1"/>
    <w:next w:val="1"/>
    <w:link w:val="83"/>
    <w:semiHidden/>
    <w:unhideWhenUsed/>
    <w:qFormat/>
    <w:uiPriority w:val="9"/>
    <w:pPr>
      <w:numPr>
        <w:ilvl w:val="7"/>
        <w:numId w:val="1"/>
      </w:numPr>
      <w:spacing w:before="240" w:after="60"/>
      <w:outlineLvl w:val="7"/>
    </w:pPr>
    <w:rPr>
      <w:rFonts w:cstheme="majorBidi"/>
      <w:i/>
      <w:iCs/>
    </w:rPr>
  </w:style>
  <w:style w:type="paragraph" w:styleId="11">
    <w:name w:val="heading 9"/>
    <w:basedOn w:val="1"/>
    <w:next w:val="1"/>
    <w:link w:val="84"/>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rPr>
      <w:rFonts w:ascii="Calibri" w:hAnsi="Calibri" w:eastAsia="宋体" w:cs="Times New Roman"/>
      <w:szCs w:val="20"/>
    </w:rPr>
  </w:style>
  <w:style w:type="paragraph" w:styleId="12">
    <w:name w:val="Normal Indent"/>
    <w:basedOn w:val="1"/>
    <w:next w:val="13"/>
    <w:qFormat/>
    <w:uiPriority w:val="99"/>
    <w:pPr>
      <w:ind w:firstLine="420"/>
    </w:pPr>
  </w:style>
  <w:style w:type="paragraph" w:styleId="13">
    <w:name w:val="Plain Text"/>
    <w:basedOn w:val="1"/>
    <w:qFormat/>
    <w:uiPriority w:val="99"/>
    <w:pPr>
      <w:spacing w:line="324" w:lineRule="auto"/>
    </w:pPr>
    <w:rPr>
      <w:rFonts w:ascii="宋体" w:hAnsi="Courier New"/>
      <w:sz w:val="20"/>
    </w:rPr>
  </w:style>
  <w:style w:type="paragraph" w:styleId="14">
    <w:name w:val="caption"/>
    <w:basedOn w:val="1"/>
    <w:next w:val="1"/>
    <w:semiHidden/>
    <w:unhideWhenUsed/>
    <w:qFormat/>
    <w:uiPriority w:val="35"/>
    <w:rPr>
      <w:rFonts w:eastAsia="黑体" w:asciiTheme="majorHAnsi" w:hAnsiTheme="majorHAnsi" w:cstheme="majorBidi"/>
      <w:sz w:val="20"/>
      <w:szCs w:val="20"/>
    </w:rPr>
  </w:style>
  <w:style w:type="paragraph" w:styleId="15">
    <w:name w:val="Document Map"/>
    <w:basedOn w:val="1"/>
    <w:link w:val="108"/>
    <w:semiHidden/>
    <w:unhideWhenUsed/>
    <w:qFormat/>
    <w:uiPriority w:val="99"/>
    <w:pPr>
      <w:spacing w:line="400" w:lineRule="exact"/>
      <w:jc w:val="both"/>
    </w:pPr>
    <w:rPr>
      <w:rFonts w:ascii="宋体" w:hAnsi="Calibri Light" w:eastAsia="宋体" w:cs="Calibri Light"/>
      <w:kern w:val="2"/>
      <w:sz w:val="18"/>
      <w:szCs w:val="18"/>
    </w:rPr>
  </w:style>
  <w:style w:type="paragraph" w:styleId="16">
    <w:name w:val="annotation text"/>
    <w:basedOn w:val="1"/>
    <w:link w:val="100"/>
    <w:unhideWhenUsed/>
    <w:qFormat/>
    <w:uiPriority w:val="99"/>
    <w:pPr>
      <w:spacing w:line="400" w:lineRule="exact"/>
    </w:pPr>
    <w:rPr>
      <w:rFonts w:ascii="Calibri Light" w:hAnsi="Calibri Light" w:eastAsia="华文仿宋" w:cs="Calibri Light"/>
      <w:kern w:val="2"/>
      <w:sz w:val="28"/>
      <w:szCs w:val="28"/>
    </w:rPr>
  </w:style>
  <w:style w:type="paragraph" w:styleId="17">
    <w:name w:val="Body Text"/>
    <w:basedOn w:val="1"/>
    <w:next w:val="1"/>
    <w:qFormat/>
    <w:uiPriority w:val="99"/>
    <w:rPr>
      <w:sz w:val="20"/>
    </w:rPr>
  </w:style>
  <w:style w:type="paragraph" w:styleId="18">
    <w:name w:val="Body Text Indent"/>
    <w:basedOn w:val="1"/>
    <w:next w:val="1"/>
    <w:qFormat/>
    <w:uiPriority w:val="99"/>
    <w:pPr>
      <w:spacing w:after="120"/>
      <w:ind w:left="420" w:leftChars="200"/>
    </w:pPr>
    <w:rPr>
      <w:sz w:val="20"/>
    </w:rPr>
  </w:style>
  <w:style w:type="paragraph" w:styleId="19">
    <w:name w:val="toc 3"/>
    <w:basedOn w:val="1"/>
    <w:next w:val="1"/>
    <w:semiHidden/>
    <w:unhideWhenUsed/>
    <w:qFormat/>
    <w:uiPriority w:val="39"/>
    <w:pPr>
      <w:ind w:left="840" w:leftChars="400"/>
    </w:pPr>
  </w:style>
  <w:style w:type="paragraph" w:styleId="20">
    <w:name w:val="Date"/>
    <w:basedOn w:val="1"/>
    <w:next w:val="1"/>
    <w:link w:val="77"/>
    <w:semiHidden/>
    <w:unhideWhenUsed/>
    <w:qFormat/>
    <w:uiPriority w:val="99"/>
    <w:pPr>
      <w:ind w:left="100" w:leftChars="2500"/>
    </w:pPr>
  </w:style>
  <w:style w:type="paragraph" w:styleId="21">
    <w:name w:val="endnote text"/>
    <w:basedOn w:val="1"/>
    <w:semiHidden/>
    <w:qFormat/>
    <w:uiPriority w:val="0"/>
    <w:pPr>
      <w:snapToGrid w:val="0"/>
    </w:pPr>
  </w:style>
  <w:style w:type="paragraph" w:styleId="22">
    <w:name w:val="Balloon Text"/>
    <w:basedOn w:val="1"/>
    <w:link w:val="99"/>
    <w:semiHidden/>
    <w:unhideWhenUsed/>
    <w:qFormat/>
    <w:uiPriority w:val="99"/>
    <w:rPr>
      <w:sz w:val="18"/>
      <w:szCs w:val="18"/>
    </w:rPr>
  </w:style>
  <w:style w:type="paragraph" w:styleId="23">
    <w:name w:val="footer"/>
    <w:basedOn w:val="1"/>
    <w:link w:val="79"/>
    <w:unhideWhenUsed/>
    <w:qFormat/>
    <w:uiPriority w:val="99"/>
    <w:pPr>
      <w:tabs>
        <w:tab w:val="center" w:pos="4153"/>
        <w:tab w:val="right" w:pos="8306"/>
      </w:tabs>
      <w:snapToGrid w:val="0"/>
      <w:spacing w:line="240" w:lineRule="atLeast"/>
    </w:pPr>
    <w:rPr>
      <w:sz w:val="18"/>
      <w:szCs w:val="18"/>
    </w:rPr>
  </w:style>
  <w:style w:type="paragraph" w:styleId="24">
    <w:name w:val="header"/>
    <w:basedOn w:val="1"/>
    <w:link w:val="78"/>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5">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26">
    <w:name w:val="toc 4"/>
    <w:basedOn w:val="1"/>
    <w:next w:val="1"/>
    <w:unhideWhenUsed/>
    <w:qFormat/>
    <w:uiPriority w:val="39"/>
    <w:pPr>
      <w:ind w:left="1260" w:leftChars="600"/>
    </w:pPr>
  </w:style>
  <w:style w:type="paragraph" w:styleId="27">
    <w:name w:val="index heading"/>
    <w:basedOn w:val="1"/>
    <w:next w:val="28"/>
    <w:unhideWhenUsed/>
    <w:qFormat/>
    <w:uiPriority w:val="99"/>
    <w:rPr>
      <w:rFonts w:asciiTheme="majorHAnsi" w:hAnsiTheme="majorHAnsi" w:eastAsiaTheme="majorEastAsia" w:cstheme="majorBidi"/>
      <w:b/>
      <w:bCs/>
    </w:rPr>
  </w:style>
  <w:style w:type="paragraph" w:styleId="28">
    <w:name w:val="index 1"/>
    <w:basedOn w:val="1"/>
    <w:next w:val="1"/>
    <w:semiHidden/>
    <w:unhideWhenUsed/>
    <w:qFormat/>
    <w:uiPriority w:val="99"/>
  </w:style>
  <w:style w:type="paragraph" w:styleId="29">
    <w:name w:val="Subtitle"/>
    <w:basedOn w:val="1"/>
    <w:next w:val="1"/>
    <w:link w:val="86"/>
    <w:qFormat/>
    <w:uiPriority w:val="11"/>
    <w:pPr>
      <w:keepNext/>
      <w:spacing w:before="50" w:beforeLines="50" w:after="50" w:afterLines="50"/>
      <w:jc w:val="center"/>
      <w:outlineLvl w:val="1"/>
    </w:pPr>
    <w:rPr>
      <w:rFonts w:ascii="Calibri" w:hAnsi="Calibri" w:eastAsia="黑体" w:cstheme="majorBidi"/>
      <w:sz w:val="32"/>
    </w:rPr>
  </w:style>
  <w:style w:type="paragraph" w:styleId="30">
    <w:name w:val="toc 2"/>
    <w:basedOn w:val="1"/>
    <w:next w:val="1"/>
    <w:semiHidden/>
    <w:unhideWhenUsed/>
    <w:qFormat/>
    <w:uiPriority w:val="39"/>
    <w:pPr>
      <w:ind w:left="420" w:leftChars="200"/>
    </w:pPr>
  </w:style>
  <w:style w:type="paragraph" w:styleId="31">
    <w:name w:val="Normal (Web)"/>
    <w:basedOn w:val="1"/>
    <w:qFormat/>
    <w:uiPriority w:val="99"/>
    <w:pPr>
      <w:spacing w:before="100" w:beforeAutospacing="1" w:after="100" w:afterAutospacing="1"/>
    </w:pPr>
    <w:rPr>
      <w:rFonts w:ascii="宋体" w:hAnsi="宋体" w:cs="宋体"/>
    </w:rPr>
  </w:style>
  <w:style w:type="paragraph" w:styleId="32">
    <w:name w:val="Title"/>
    <w:basedOn w:val="1"/>
    <w:next w:val="1"/>
    <w:link w:val="85"/>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33">
    <w:name w:val="annotation subject"/>
    <w:basedOn w:val="16"/>
    <w:next w:val="16"/>
    <w:link w:val="107"/>
    <w:semiHidden/>
    <w:unhideWhenUsed/>
    <w:qFormat/>
    <w:uiPriority w:val="99"/>
    <w:rPr>
      <w:b/>
      <w:bCs/>
    </w:rPr>
  </w:style>
  <w:style w:type="paragraph" w:styleId="34">
    <w:name w:val="Body Text First Indent"/>
    <w:basedOn w:val="17"/>
    <w:qFormat/>
    <w:uiPriority w:val="0"/>
    <w:pPr>
      <w:spacing w:line="300" w:lineRule="auto"/>
      <w:ind w:firstLine="602"/>
    </w:pPr>
  </w:style>
  <w:style w:type="paragraph" w:styleId="35">
    <w:name w:val="Body Text First Indent 2"/>
    <w:basedOn w:val="18"/>
    <w:next w:val="12"/>
    <w:qFormat/>
    <w:uiPriority w:val="0"/>
    <w:pPr>
      <w:ind w:firstLine="420"/>
    </w:pPr>
  </w:style>
  <w:style w:type="table" w:styleId="37">
    <w:name w:val="Table Grid"/>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22"/>
    <w:rPr>
      <w:b/>
      <w:bCs/>
    </w:rPr>
  </w:style>
  <w:style w:type="character" w:styleId="40">
    <w:name w:val="page number"/>
    <w:qFormat/>
    <w:uiPriority w:val="0"/>
    <w:rPr>
      <w:rFonts w:ascii="Times New Roman" w:hAnsi="Times New Roman" w:eastAsia="宋体" w:cs="Times New Roman"/>
    </w:rPr>
  </w:style>
  <w:style w:type="character" w:styleId="41">
    <w:name w:val="FollowedHyperlink"/>
    <w:basedOn w:val="38"/>
    <w:semiHidden/>
    <w:unhideWhenUsed/>
    <w:qFormat/>
    <w:uiPriority w:val="99"/>
    <w:rPr>
      <w:color w:val="954F72" w:themeColor="followedHyperlink"/>
      <w:u w:val="single"/>
      <w14:textFill>
        <w14:solidFill>
          <w14:schemeClr w14:val="folHlink"/>
        </w14:solidFill>
      </w14:textFill>
    </w:rPr>
  </w:style>
  <w:style w:type="character" w:styleId="42">
    <w:name w:val="Emphasis"/>
    <w:basedOn w:val="38"/>
    <w:qFormat/>
    <w:uiPriority w:val="20"/>
    <w:rPr>
      <w:rFonts w:asciiTheme="minorHAnsi" w:hAnsiTheme="minorHAnsi"/>
      <w:b/>
      <w:i/>
      <w:iCs/>
    </w:rPr>
  </w:style>
  <w:style w:type="character" w:styleId="43">
    <w:name w:val="HTML Definition"/>
    <w:basedOn w:val="38"/>
    <w:semiHidden/>
    <w:unhideWhenUsed/>
    <w:qFormat/>
    <w:uiPriority w:val="99"/>
    <w:rPr>
      <w:color w:val="FFFFFF"/>
      <w:shd w:val="clear" w:color="auto" w:fill="048FD2"/>
    </w:rPr>
  </w:style>
  <w:style w:type="character" w:styleId="44">
    <w:name w:val="HTML Typewriter"/>
    <w:basedOn w:val="38"/>
    <w:semiHidden/>
    <w:unhideWhenUsed/>
    <w:qFormat/>
    <w:uiPriority w:val="99"/>
    <w:rPr>
      <w:rFonts w:hint="default" w:ascii="monospace" w:hAnsi="monospace" w:eastAsia="monospace" w:cs="monospace"/>
      <w:sz w:val="20"/>
    </w:rPr>
  </w:style>
  <w:style w:type="character" w:styleId="45">
    <w:name w:val="HTML Acronym"/>
    <w:basedOn w:val="38"/>
    <w:semiHidden/>
    <w:unhideWhenUsed/>
    <w:qFormat/>
    <w:uiPriority w:val="99"/>
  </w:style>
  <w:style w:type="character" w:styleId="46">
    <w:name w:val="HTML Variable"/>
    <w:basedOn w:val="38"/>
    <w:semiHidden/>
    <w:unhideWhenUsed/>
    <w:qFormat/>
    <w:uiPriority w:val="99"/>
  </w:style>
  <w:style w:type="character" w:styleId="47">
    <w:name w:val="Hyperlink"/>
    <w:basedOn w:val="38"/>
    <w:unhideWhenUsed/>
    <w:qFormat/>
    <w:uiPriority w:val="99"/>
    <w:rPr>
      <w:color w:val="0563C1" w:themeColor="hyperlink"/>
      <w:u w:val="single"/>
      <w14:textFill>
        <w14:solidFill>
          <w14:schemeClr w14:val="hlink"/>
        </w14:solidFill>
      </w14:textFill>
    </w:rPr>
  </w:style>
  <w:style w:type="character" w:styleId="48">
    <w:name w:val="HTML Code"/>
    <w:basedOn w:val="38"/>
    <w:semiHidden/>
    <w:unhideWhenUsed/>
    <w:qFormat/>
    <w:uiPriority w:val="99"/>
    <w:rPr>
      <w:rFonts w:hint="default" w:ascii="monospace" w:hAnsi="monospace" w:eastAsia="monospace" w:cs="monospace"/>
      <w:sz w:val="20"/>
    </w:rPr>
  </w:style>
  <w:style w:type="character" w:styleId="49">
    <w:name w:val="annotation reference"/>
    <w:basedOn w:val="38"/>
    <w:semiHidden/>
    <w:unhideWhenUsed/>
    <w:qFormat/>
    <w:uiPriority w:val="99"/>
    <w:rPr>
      <w:sz w:val="21"/>
      <w:szCs w:val="21"/>
    </w:rPr>
  </w:style>
  <w:style w:type="character" w:styleId="50">
    <w:name w:val="HTML Cite"/>
    <w:basedOn w:val="38"/>
    <w:semiHidden/>
    <w:unhideWhenUsed/>
    <w:qFormat/>
    <w:uiPriority w:val="99"/>
  </w:style>
  <w:style w:type="character" w:styleId="51">
    <w:name w:val="HTML Keyboard"/>
    <w:basedOn w:val="38"/>
    <w:semiHidden/>
    <w:unhideWhenUsed/>
    <w:qFormat/>
    <w:uiPriority w:val="99"/>
    <w:rPr>
      <w:rFonts w:ascii="monospace" w:hAnsi="monospace" w:eastAsia="monospace" w:cs="monospace"/>
      <w:sz w:val="20"/>
    </w:rPr>
  </w:style>
  <w:style w:type="character" w:styleId="52">
    <w:name w:val="HTML Sample"/>
    <w:basedOn w:val="38"/>
    <w:semiHidden/>
    <w:unhideWhenUsed/>
    <w:qFormat/>
    <w:uiPriority w:val="99"/>
    <w:rPr>
      <w:rFonts w:hint="default" w:ascii="monospace" w:hAnsi="monospace" w:eastAsia="monospace" w:cs="monospace"/>
    </w:rPr>
  </w:style>
  <w:style w:type="character" w:customStyle="1" w:styleId="53">
    <w:name w:val="标题 1 Char"/>
    <w:basedOn w:val="38"/>
    <w:link w:val="3"/>
    <w:qFormat/>
    <w:uiPriority w:val="9"/>
    <w:rPr>
      <w:rFonts w:ascii="方正小标宋_GBK" w:hAnsi="仿宋" w:eastAsia="方正小标宋_GBK"/>
      <w:sz w:val="44"/>
      <w:szCs w:val="44"/>
    </w:rPr>
  </w:style>
  <w:style w:type="character" w:customStyle="1" w:styleId="54">
    <w:name w:val="标题 2 Char"/>
    <w:basedOn w:val="38"/>
    <w:link w:val="4"/>
    <w:qFormat/>
    <w:uiPriority w:val="9"/>
    <w:rPr>
      <w:rFonts w:ascii="楷体" w:hAnsi="楷体" w:eastAsia="黑体"/>
      <w:sz w:val="32"/>
      <w:szCs w:val="32"/>
    </w:rPr>
  </w:style>
  <w:style w:type="character" w:customStyle="1" w:styleId="55">
    <w:name w:val="标题 3 Char"/>
    <w:basedOn w:val="38"/>
    <w:link w:val="5"/>
    <w:qFormat/>
    <w:uiPriority w:val="9"/>
    <w:rPr>
      <w:rFonts w:ascii="方正小标宋_GBK" w:hAnsi="仿宋" w:eastAsia="方正小标宋_GBK"/>
      <w:sz w:val="36"/>
      <w:szCs w:val="36"/>
    </w:rPr>
  </w:style>
  <w:style w:type="character" w:customStyle="1" w:styleId="56">
    <w:name w:val="标题 4 Char"/>
    <w:basedOn w:val="38"/>
    <w:link w:val="6"/>
    <w:semiHidden/>
    <w:qFormat/>
    <w:uiPriority w:val="9"/>
    <w:rPr>
      <w:rFonts w:cstheme="majorBidi"/>
      <w:b/>
      <w:bCs/>
      <w:sz w:val="28"/>
      <w:szCs w:val="28"/>
    </w:rPr>
  </w:style>
  <w:style w:type="paragraph" w:customStyle="1" w:styleId="57">
    <w:name w:val="※封面大标题"/>
    <w:basedOn w:val="1"/>
    <w:next w:val="1"/>
    <w:qFormat/>
    <w:uiPriority w:val="0"/>
    <w:pPr>
      <w:jc w:val="center"/>
    </w:pPr>
    <w:rPr>
      <w:rFonts w:ascii="华文中宋" w:hAnsi="华文中宋" w:eastAsia="华文中宋"/>
      <w:sz w:val="96"/>
      <w:szCs w:val="96"/>
    </w:rPr>
  </w:style>
  <w:style w:type="paragraph" w:customStyle="1" w:styleId="58">
    <w:name w:val="※封面题颌"/>
    <w:basedOn w:val="1"/>
    <w:next w:val="1"/>
    <w:qFormat/>
    <w:uiPriority w:val="0"/>
    <w:pPr>
      <w:jc w:val="center"/>
    </w:pPr>
    <w:rPr>
      <w:rFonts w:ascii="Calibri Light" w:hAnsi="Calibri Light" w:eastAsia="华文仿宋"/>
      <w:sz w:val="36"/>
      <w:szCs w:val="36"/>
    </w:rPr>
  </w:style>
  <w:style w:type="paragraph" w:customStyle="1" w:styleId="59">
    <w:name w:val="※封面题眉"/>
    <w:basedOn w:val="1"/>
    <w:next w:val="57"/>
    <w:qFormat/>
    <w:uiPriority w:val="0"/>
    <w:pPr>
      <w:jc w:val="center"/>
    </w:pPr>
    <w:rPr>
      <w:rFonts w:ascii="华文仿宋" w:hAnsi="华文仿宋" w:eastAsia="华文仿宋"/>
      <w:sz w:val="52"/>
      <w:szCs w:val="28"/>
    </w:rPr>
  </w:style>
  <w:style w:type="paragraph" w:customStyle="1" w:styleId="60">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61">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62">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63">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64">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65">
    <w:name w:val="※小标题 一"/>
    <w:basedOn w:val="64"/>
    <w:next w:val="64"/>
    <w:qFormat/>
    <w:uiPriority w:val="0"/>
    <w:pPr>
      <w:spacing w:before="120" w:line="240" w:lineRule="auto"/>
      <w:outlineLvl w:val="2"/>
    </w:pPr>
    <w:rPr>
      <w:b/>
      <w:color w:val="203864" w:themeColor="accent5" w:themeShade="80"/>
      <w:sz w:val="32"/>
    </w:rPr>
  </w:style>
  <w:style w:type="paragraph" w:customStyle="1" w:styleId="66">
    <w:name w:val="※小标题（1）"/>
    <w:basedOn w:val="1"/>
    <w:next w:val="64"/>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67">
    <w:name w:val="※小标题（一）"/>
    <w:basedOn w:val="1"/>
    <w:next w:val="64"/>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68">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69">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70">
    <w:name w:val="※页眉"/>
    <w:basedOn w:val="64"/>
    <w:qFormat/>
    <w:uiPriority w:val="0"/>
    <w:pPr>
      <w:pBdr>
        <w:bottom w:val="single" w:color="auto" w:sz="4" w:space="1"/>
      </w:pBdr>
      <w:spacing w:line="240" w:lineRule="atLeast"/>
      <w:jc w:val="right"/>
    </w:pPr>
    <w:rPr>
      <w:rFonts w:ascii="宋体" w:hAnsi="宋体" w:eastAsia="宋体"/>
      <w:sz w:val="18"/>
    </w:rPr>
  </w:style>
  <w:style w:type="paragraph" w:customStyle="1" w:styleId="71">
    <w:name w:val="※章节标题（第X章）"/>
    <w:basedOn w:val="1"/>
    <w:qFormat/>
    <w:uiPriority w:val="0"/>
    <w:pPr>
      <w:jc w:val="center"/>
      <w:outlineLvl w:val="0"/>
    </w:pPr>
    <w:rPr>
      <w:rFonts w:ascii="Calibri Light" w:hAnsi="Calibri Light" w:eastAsia="黑体"/>
      <w:sz w:val="36"/>
      <w:szCs w:val="28"/>
    </w:rPr>
  </w:style>
  <w:style w:type="paragraph" w:customStyle="1" w:styleId="72">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73">
    <w:name w:val="※章节标题（第Z部分分项）"/>
    <w:basedOn w:val="72"/>
    <w:qFormat/>
    <w:uiPriority w:val="0"/>
    <w:pPr>
      <w:outlineLvl w:val="2"/>
    </w:pPr>
  </w:style>
  <w:style w:type="paragraph" w:customStyle="1" w:styleId="74">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75">
    <w:name w:val="※正文（缩进2）"/>
    <w:basedOn w:val="64"/>
    <w:qFormat/>
    <w:uiPriority w:val="0"/>
    <w:pPr>
      <w:ind w:firstLine="200" w:firstLineChars="200"/>
    </w:pPr>
  </w:style>
  <w:style w:type="paragraph" w:customStyle="1" w:styleId="76">
    <w:name w:val="※正文（缩进4）"/>
    <w:basedOn w:val="64"/>
    <w:qFormat/>
    <w:uiPriority w:val="0"/>
    <w:pPr>
      <w:ind w:firstLine="400" w:firstLineChars="400"/>
    </w:pPr>
  </w:style>
  <w:style w:type="character" w:customStyle="1" w:styleId="77">
    <w:name w:val="日期 Char"/>
    <w:basedOn w:val="38"/>
    <w:link w:val="20"/>
    <w:semiHidden/>
    <w:qFormat/>
    <w:uiPriority w:val="99"/>
    <w:rPr>
      <w:rFonts w:ascii="华文仿宋" w:hAnsi="华文仿宋" w:eastAsia="华文仿宋"/>
      <w:sz w:val="28"/>
      <w:szCs w:val="28"/>
    </w:rPr>
  </w:style>
  <w:style w:type="character" w:customStyle="1" w:styleId="78">
    <w:name w:val="页眉 Char"/>
    <w:basedOn w:val="38"/>
    <w:link w:val="24"/>
    <w:qFormat/>
    <w:uiPriority w:val="0"/>
    <w:rPr>
      <w:rFonts w:ascii="华文仿宋" w:hAnsi="华文仿宋" w:eastAsia="华文仿宋"/>
      <w:sz w:val="18"/>
      <w:szCs w:val="18"/>
    </w:rPr>
  </w:style>
  <w:style w:type="character" w:customStyle="1" w:styleId="79">
    <w:name w:val="页脚 Char"/>
    <w:basedOn w:val="38"/>
    <w:link w:val="23"/>
    <w:qFormat/>
    <w:uiPriority w:val="99"/>
    <w:rPr>
      <w:rFonts w:ascii="华文仿宋" w:hAnsi="华文仿宋" w:eastAsia="华文仿宋"/>
      <w:sz w:val="18"/>
      <w:szCs w:val="18"/>
    </w:rPr>
  </w:style>
  <w:style w:type="character" w:customStyle="1" w:styleId="80">
    <w:name w:val="标题 5 Char"/>
    <w:basedOn w:val="38"/>
    <w:link w:val="7"/>
    <w:semiHidden/>
    <w:qFormat/>
    <w:uiPriority w:val="9"/>
    <w:rPr>
      <w:b/>
      <w:bCs/>
      <w:i/>
      <w:iCs/>
      <w:sz w:val="26"/>
      <w:szCs w:val="26"/>
    </w:rPr>
  </w:style>
  <w:style w:type="character" w:customStyle="1" w:styleId="81">
    <w:name w:val="标题 6 Char"/>
    <w:basedOn w:val="38"/>
    <w:link w:val="8"/>
    <w:semiHidden/>
    <w:qFormat/>
    <w:uiPriority w:val="9"/>
    <w:rPr>
      <w:rFonts w:cstheme="majorBidi"/>
      <w:b/>
      <w:bCs/>
    </w:rPr>
  </w:style>
  <w:style w:type="character" w:customStyle="1" w:styleId="82">
    <w:name w:val="标题 7 Char"/>
    <w:basedOn w:val="38"/>
    <w:link w:val="9"/>
    <w:semiHidden/>
    <w:qFormat/>
    <w:uiPriority w:val="9"/>
    <w:rPr>
      <w:sz w:val="24"/>
      <w:szCs w:val="24"/>
    </w:rPr>
  </w:style>
  <w:style w:type="character" w:customStyle="1" w:styleId="83">
    <w:name w:val="标题 8 Char"/>
    <w:basedOn w:val="38"/>
    <w:link w:val="10"/>
    <w:semiHidden/>
    <w:qFormat/>
    <w:uiPriority w:val="9"/>
    <w:rPr>
      <w:rFonts w:cstheme="majorBidi"/>
      <w:i/>
      <w:iCs/>
      <w:sz w:val="24"/>
      <w:szCs w:val="24"/>
    </w:rPr>
  </w:style>
  <w:style w:type="character" w:customStyle="1" w:styleId="84">
    <w:name w:val="标题 9 Char"/>
    <w:basedOn w:val="38"/>
    <w:link w:val="11"/>
    <w:semiHidden/>
    <w:qFormat/>
    <w:uiPriority w:val="9"/>
    <w:rPr>
      <w:rFonts w:asciiTheme="majorHAnsi" w:hAnsiTheme="majorHAnsi" w:eastAsiaTheme="majorEastAsia" w:cstheme="majorBidi"/>
    </w:rPr>
  </w:style>
  <w:style w:type="character" w:customStyle="1" w:styleId="85">
    <w:name w:val="标题 Char"/>
    <w:basedOn w:val="38"/>
    <w:link w:val="32"/>
    <w:qFormat/>
    <w:uiPriority w:val="10"/>
    <w:rPr>
      <w:rFonts w:asciiTheme="majorHAnsi" w:hAnsiTheme="majorHAnsi" w:eastAsiaTheme="majorEastAsia" w:cstheme="majorBidi"/>
      <w:b/>
      <w:bCs/>
      <w:kern w:val="28"/>
      <w:sz w:val="32"/>
      <w:szCs w:val="32"/>
    </w:rPr>
  </w:style>
  <w:style w:type="character" w:customStyle="1" w:styleId="86">
    <w:name w:val="副标题 Char"/>
    <w:basedOn w:val="38"/>
    <w:link w:val="29"/>
    <w:qFormat/>
    <w:uiPriority w:val="11"/>
    <w:rPr>
      <w:rFonts w:ascii="Calibri" w:hAnsi="Calibri" w:eastAsia="黑体" w:cstheme="majorBidi"/>
      <w:sz w:val="32"/>
      <w:szCs w:val="24"/>
    </w:rPr>
  </w:style>
  <w:style w:type="paragraph" w:styleId="87">
    <w:name w:val="No Spacing"/>
    <w:basedOn w:val="1"/>
    <w:qFormat/>
    <w:uiPriority w:val="1"/>
    <w:rPr>
      <w:szCs w:val="32"/>
    </w:rPr>
  </w:style>
  <w:style w:type="paragraph" w:styleId="88">
    <w:name w:val="List Paragraph"/>
    <w:basedOn w:val="1"/>
    <w:qFormat/>
    <w:uiPriority w:val="0"/>
    <w:pPr>
      <w:ind w:left="720"/>
      <w:contextualSpacing/>
    </w:pPr>
  </w:style>
  <w:style w:type="paragraph" w:styleId="89">
    <w:name w:val="Quote"/>
    <w:basedOn w:val="1"/>
    <w:next w:val="1"/>
    <w:link w:val="90"/>
    <w:qFormat/>
    <w:uiPriority w:val="29"/>
    <w:rPr>
      <w:i/>
    </w:rPr>
  </w:style>
  <w:style w:type="character" w:customStyle="1" w:styleId="90">
    <w:name w:val="引用 Char"/>
    <w:basedOn w:val="38"/>
    <w:link w:val="89"/>
    <w:qFormat/>
    <w:uiPriority w:val="29"/>
    <w:rPr>
      <w:i/>
      <w:sz w:val="24"/>
      <w:szCs w:val="24"/>
    </w:rPr>
  </w:style>
  <w:style w:type="paragraph" w:styleId="91">
    <w:name w:val="Intense Quote"/>
    <w:basedOn w:val="1"/>
    <w:next w:val="1"/>
    <w:link w:val="92"/>
    <w:qFormat/>
    <w:uiPriority w:val="30"/>
    <w:pPr>
      <w:ind w:left="720" w:right="720"/>
    </w:pPr>
    <w:rPr>
      <w:b/>
      <w:i/>
      <w:szCs w:val="22"/>
    </w:rPr>
  </w:style>
  <w:style w:type="character" w:customStyle="1" w:styleId="92">
    <w:name w:val="明显引用 Char"/>
    <w:basedOn w:val="38"/>
    <w:link w:val="91"/>
    <w:qFormat/>
    <w:uiPriority w:val="30"/>
    <w:rPr>
      <w:b/>
      <w:i/>
      <w:sz w:val="24"/>
    </w:rPr>
  </w:style>
  <w:style w:type="character" w:customStyle="1" w:styleId="93">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94">
    <w:name w:val="明显强调1"/>
    <w:basedOn w:val="38"/>
    <w:qFormat/>
    <w:uiPriority w:val="21"/>
    <w:rPr>
      <w:b/>
      <w:i/>
      <w:sz w:val="24"/>
      <w:szCs w:val="24"/>
      <w:u w:val="single"/>
    </w:rPr>
  </w:style>
  <w:style w:type="character" w:customStyle="1" w:styleId="95">
    <w:name w:val="不明显参考1"/>
    <w:basedOn w:val="38"/>
    <w:qFormat/>
    <w:uiPriority w:val="31"/>
    <w:rPr>
      <w:sz w:val="24"/>
      <w:szCs w:val="24"/>
      <w:u w:val="single"/>
    </w:rPr>
  </w:style>
  <w:style w:type="character" w:customStyle="1" w:styleId="96">
    <w:name w:val="明显参考1"/>
    <w:basedOn w:val="38"/>
    <w:qFormat/>
    <w:uiPriority w:val="32"/>
    <w:rPr>
      <w:b/>
      <w:sz w:val="24"/>
      <w:u w:val="single"/>
    </w:rPr>
  </w:style>
  <w:style w:type="character" w:customStyle="1" w:styleId="97">
    <w:name w:val="书籍标题1"/>
    <w:basedOn w:val="38"/>
    <w:qFormat/>
    <w:uiPriority w:val="33"/>
    <w:rPr>
      <w:rFonts w:asciiTheme="majorHAnsi" w:hAnsiTheme="majorHAnsi" w:eastAsiaTheme="majorEastAsia"/>
      <w:b/>
      <w:i/>
      <w:sz w:val="24"/>
      <w:szCs w:val="24"/>
    </w:rPr>
  </w:style>
  <w:style w:type="paragraph" w:customStyle="1" w:styleId="98">
    <w:name w:val="TOC 标题1"/>
    <w:basedOn w:val="3"/>
    <w:next w:val="1"/>
    <w:semiHidden/>
    <w:unhideWhenUsed/>
    <w:qFormat/>
    <w:uiPriority w:val="39"/>
    <w:pPr>
      <w:outlineLvl w:val="9"/>
    </w:pPr>
  </w:style>
  <w:style w:type="character" w:customStyle="1" w:styleId="99">
    <w:name w:val="批注框文本 Char"/>
    <w:basedOn w:val="38"/>
    <w:link w:val="22"/>
    <w:semiHidden/>
    <w:qFormat/>
    <w:uiPriority w:val="99"/>
    <w:rPr>
      <w:sz w:val="18"/>
      <w:szCs w:val="18"/>
    </w:rPr>
  </w:style>
  <w:style w:type="character" w:customStyle="1" w:styleId="100">
    <w:name w:val="批注文字 Char"/>
    <w:basedOn w:val="38"/>
    <w:link w:val="16"/>
    <w:qFormat/>
    <w:uiPriority w:val="99"/>
    <w:rPr>
      <w:rFonts w:ascii="Calibri Light" w:hAnsi="Calibri Light" w:eastAsia="华文仿宋" w:cs="Calibri Light"/>
      <w:kern w:val="2"/>
      <w:sz w:val="28"/>
      <w:szCs w:val="28"/>
    </w:rPr>
  </w:style>
  <w:style w:type="paragraph" w:customStyle="1" w:styleId="101">
    <w:name w:val="@正文"/>
    <w:basedOn w:val="64"/>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102">
    <w:name w:val="@一级小标题"/>
    <w:basedOn w:val="1"/>
    <w:next w:val="101"/>
    <w:qFormat/>
    <w:uiPriority w:val="0"/>
    <w:pPr>
      <w:keepNext/>
      <w:spacing w:before="120" w:after="60"/>
      <w:outlineLvl w:val="2"/>
    </w:pPr>
    <w:rPr>
      <w:rFonts w:ascii="Calibri" w:hAnsi="Calibri" w:eastAsia="黑体"/>
      <w:kern w:val="28"/>
      <w:sz w:val="28"/>
    </w:rPr>
  </w:style>
  <w:style w:type="paragraph" w:customStyle="1" w:styleId="103">
    <w:name w:val="@标题"/>
    <w:basedOn w:val="1"/>
    <w:next w:val="101"/>
    <w:qFormat/>
    <w:uiPriority w:val="0"/>
    <w:pPr>
      <w:keepNext/>
      <w:spacing w:before="50" w:beforeLines="50" w:after="50" w:afterLines="50"/>
      <w:jc w:val="center"/>
      <w:outlineLvl w:val="1"/>
    </w:pPr>
    <w:rPr>
      <w:rFonts w:ascii="Calibri" w:hAnsi="Calibri" w:eastAsia="黑体"/>
      <w:kern w:val="32"/>
      <w:sz w:val="32"/>
    </w:rPr>
  </w:style>
  <w:style w:type="table" w:customStyle="1" w:styleId="104">
    <w:name w:val="网格型1"/>
    <w:basedOn w:val="36"/>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5">
    <w:name w:val="页眉 Char1"/>
    <w:basedOn w:val="38"/>
    <w:semiHidden/>
    <w:qFormat/>
    <w:uiPriority w:val="99"/>
    <w:rPr>
      <w:rFonts w:cs="Calibri Light"/>
      <w:sz w:val="18"/>
      <w:szCs w:val="18"/>
    </w:rPr>
  </w:style>
  <w:style w:type="character" w:customStyle="1" w:styleId="106">
    <w:name w:val="页脚 Char1"/>
    <w:basedOn w:val="38"/>
    <w:semiHidden/>
    <w:qFormat/>
    <w:uiPriority w:val="99"/>
    <w:rPr>
      <w:rFonts w:cs="Calibri Light"/>
      <w:sz w:val="18"/>
      <w:szCs w:val="18"/>
    </w:rPr>
  </w:style>
  <w:style w:type="character" w:customStyle="1" w:styleId="107">
    <w:name w:val="批注主题 Char"/>
    <w:basedOn w:val="100"/>
    <w:link w:val="33"/>
    <w:semiHidden/>
    <w:qFormat/>
    <w:uiPriority w:val="99"/>
    <w:rPr>
      <w:rFonts w:ascii="Calibri Light" w:hAnsi="Calibri Light" w:eastAsia="华文仿宋" w:cs="Calibri Light"/>
      <w:b/>
      <w:bCs/>
      <w:kern w:val="2"/>
      <w:sz w:val="28"/>
      <w:szCs w:val="28"/>
    </w:rPr>
  </w:style>
  <w:style w:type="character" w:customStyle="1" w:styleId="108">
    <w:name w:val="文档结构图 Char"/>
    <w:basedOn w:val="38"/>
    <w:link w:val="15"/>
    <w:semiHidden/>
    <w:qFormat/>
    <w:uiPriority w:val="99"/>
    <w:rPr>
      <w:rFonts w:ascii="宋体" w:hAnsi="Calibri Light" w:eastAsia="宋体" w:cs="Calibri Light"/>
      <w:kern w:val="2"/>
      <w:sz w:val="18"/>
      <w:szCs w:val="18"/>
    </w:rPr>
  </w:style>
  <w:style w:type="character" w:styleId="109">
    <w:name w:val="Placeholder Text"/>
    <w:basedOn w:val="38"/>
    <w:semiHidden/>
    <w:qFormat/>
    <w:uiPriority w:val="99"/>
    <w:rPr>
      <w:color w:val="808080"/>
    </w:rPr>
  </w:style>
  <w:style w:type="character" w:customStyle="1" w:styleId="110">
    <w:name w:val="Unresolved Mention"/>
    <w:basedOn w:val="38"/>
    <w:semiHidden/>
    <w:unhideWhenUsed/>
    <w:qFormat/>
    <w:uiPriority w:val="99"/>
    <w:rPr>
      <w:color w:val="605E5C"/>
      <w:shd w:val="clear" w:color="auto" w:fill="E1DFDD"/>
    </w:rPr>
  </w:style>
  <w:style w:type="paragraph" w:customStyle="1" w:styleId="111">
    <w:name w:val="样式1"/>
    <w:basedOn w:val="5"/>
    <w:link w:val="113"/>
    <w:qFormat/>
    <w:uiPriority w:val="0"/>
    <w:pPr>
      <w:jc w:val="left"/>
    </w:pPr>
    <w:rPr>
      <w:rFonts w:eastAsia="楷体"/>
      <w:sz w:val="32"/>
    </w:rPr>
  </w:style>
  <w:style w:type="paragraph" w:customStyle="1" w:styleId="112">
    <w:name w:val="样式2"/>
    <w:basedOn w:val="103"/>
    <w:link w:val="115"/>
    <w:qFormat/>
    <w:uiPriority w:val="0"/>
    <w:pPr>
      <w:spacing w:line="560" w:lineRule="exact"/>
      <w:ind w:firstLine="643" w:firstLineChars="200"/>
      <w:jc w:val="both"/>
    </w:pPr>
    <w:rPr>
      <w:rFonts w:ascii="仿宋_GB2312" w:hAnsi="仿宋" w:eastAsia="仿宋_GB2312"/>
      <w:b/>
      <w:bCs/>
      <w:szCs w:val="32"/>
    </w:rPr>
  </w:style>
  <w:style w:type="character" w:customStyle="1" w:styleId="113">
    <w:name w:val="样式1 字符"/>
    <w:basedOn w:val="54"/>
    <w:link w:val="111"/>
    <w:qFormat/>
    <w:uiPriority w:val="0"/>
    <w:rPr>
      <w:rFonts w:ascii="方正小标宋_GBK" w:hAnsi="仿宋" w:eastAsia="楷体"/>
      <w:sz w:val="32"/>
      <w:szCs w:val="36"/>
    </w:rPr>
  </w:style>
  <w:style w:type="paragraph" w:customStyle="1" w:styleId="114">
    <w:name w:val="样式3"/>
    <w:basedOn w:val="1"/>
    <w:link w:val="116"/>
    <w:qFormat/>
    <w:uiPriority w:val="0"/>
    <w:pPr>
      <w:spacing w:line="560" w:lineRule="exact"/>
      <w:jc w:val="center"/>
    </w:pPr>
    <w:rPr>
      <w:rFonts w:ascii="方正小标宋_GBK" w:hAnsi="仿宋" w:eastAsia="方正小标宋_GBK"/>
      <w:sz w:val="36"/>
      <w:szCs w:val="36"/>
    </w:rPr>
  </w:style>
  <w:style w:type="character" w:customStyle="1" w:styleId="115">
    <w:name w:val="样式2 字符"/>
    <w:basedOn w:val="38"/>
    <w:link w:val="112"/>
    <w:qFormat/>
    <w:uiPriority w:val="0"/>
    <w:rPr>
      <w:rFonts w:ascii="仿宋_GB2312" w:hAnsi="仿宋" w:eastAsia="仿宋_GB2312"/>
      <w:b/>
      <w:bCs/>
      <w:kern w:val="32"/>
      <w:sz w:val="32"/>
      <w:szCs w:val="32"/>
    </w:rPr>
  </w:style>
  <w:style w:type="character" w:customStyle="1" w:styleId="116">
    <w:name w:val="样式3 字符"/>
    <w:basedOn w:val="38"/>
    <w:link w:val="114"/>
    <w:qFormat/>
    <w:uiPriority w:val="0"/>
    <w:rPr>
      <w:rFonts w:ascii="方正小标宋_GBK" w:hAnsi="仿宋" w:eastAsia="方正小标宋_GBK"/>
      <w:sz w:val="36"/>
      <w:szCs w:val="36"/>
    </w:rPr>
  </w:style>
  <w:style w:type="paragraph" w:customStyle="1" w:styleId="117">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118">
    <w:name w:val="Table Paragraph"/>
    <w:basedOn w:val="1"/>
    <w:qFormat/>
    <w:uiPriority w:val="1"/>
  </w:style>
  <w:style w:type="paragraph" w:customStyle="1" w:styleId="119">
    <w:name w:val="纯文本1"/>
    <w:basedOn w:val="1"/>
    <w:qFormat/>
    <w:uiPriority w:val="0"/>
    <w:rPr>
      <w:rFonts w:ascii="宋体" w:hAnsi="Courier New" w:eastAsia="宋体"/>
      <w:szCs w:val="22"/>
    </w:rPr>
  </w:style>
  <w:style w:type="paragraph" w:customStyle="1" w:styleId="120">
    <w:name w:val="WPSOffice手动目录 1"/>
    <w:qFormat/>
    <w:uiPriority w:val="0"/>
    <w:rPr>
      <w:rFonts w:ascii="Times New Roman" w:hAnsi="Times New Roman" w:eastAsia="宋体" w:cs="Times New Roman"/>
      <w:lang w:val="en-US" w:eastAsia="zh-CN" w:bidi="ar-SA"/>
    </w:rPr>
  </w:style>
  <w:style w:type="paragraph" w:customStyle="1" w:styleId="12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22">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123">
    <w:name w:val="mini-outputtext1"/>
    <w:basedOn w:val="38"/>
    <w:qFormat/>
    <w:uiPriority w:val="0"/>
  </w:style>
  <w:style w:type="character" w:customStyle="1" w:styleId="124">
    <w:name w:val="NormalCharacter"/>
    <w:semiHidden/>
    <w:qFormat/>
    <w:uiPriority w:val="0"/>
    <w:rPr>
      <w:rFonts w:cs="Times New Roman" w:asciiTheme="minorHAnsi" w:hAnsiTheme="minorHAnsi" w:eastAsiaTheme="minorEastAsia"/>
      <w:sz w:val="24"/>
      <w:szCs w:val="24"/>
      <w:lang w:val="en-US" w:eastAsia="zh-CN" w:bidi="ar-SA"/>
    </w:rPr>
  </w:style>
  <w:style w:type="paragraph" w:customStyle="1" w:styleId="125">
    <w:name w:val="AnnotationText"/>
    <w:basedOn w:val="1"/>
    <w:qFormat/>
    <w:uiPriority w:val="0"/>
    <w:pPr>
      <w:textAlignment w:val="baseline"/>
    </w:pPr>
    <w:rPr>
      <w:rFonts w:ascii="宋体" w:hAnsi="宋体" w:eastAsia="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A5F621-7A7A-40C6-B2CA-780923FFCA19}">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110</Pages>
  <Words>44772</Words>
  <Characters>49679</Characters>
  <Lines>381</Lines>
  <Paragraphs>107</Paragraphs>
  <TotalTime>16</TotalTime>
  <ScaleCrop>false</ScaleCrop>
  <LinksUpToDate>false</LinksUpToDate>
  <CharactersWithSpaces>51778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2022-04-07T08:51:00Z</dcterms:created>
  <dc:creator>lenovo</dc:creator>
  <cp:lastModifiedBy>趁早</cp:lastModifiedBy>
  <cp:lastPrinted>2022-07-20T07:54:00Z</cp:lastPrinted>
  <dcterms:modified xsi:type="dcterms:W3CDTF">2022-07-29T08:33:15Z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B891CFFBEDFE459A85991E0CCA9746DE</vt:lpwstr>
  </property>
</Properties>
</file>