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宋体" w:hAnsi="宋体" w:eastAsia="宋体" w:cs="宋体"/>
          <w:b/>
          <w:bCs/>
          <w:sz w:val="32"/>
          <w:szCs w:val="32"/>
        </w:rPr>
      </w:pPr>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ZMZB2022ZXXZ-85R</w:t>
      </w:r>
    </w:p>
    <w:p>
      <w:pPr>
        <w:jc w:val="center"/>
        <w:rPr>
          <w:rFonts w:hint="eastAsia" w:ascii="宋体" w:hAnsi="宋体" w:eastAsia="宋体" w:cs="宋体"/>
          <w:sz w:val="44"/>
          <w:szCs w:val="44"/>
        </w:rPr>
      </w:pPr>
    </w:p>
    <w:p>
      <w:pPr>
        <w:jc w:val="both"/>
        <w:rPr>
          <w:rFonts w:hint="eastAsia" w:ascii="宋体" w:hAnsi="宋体" w:eastAsia="宋体" w:cs="宋体"/>
          <w:sz w:val="52"/>
          <w:szCs w:val="52"/>
        </w:rPr>
      </w:pP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西安市中心血站</w:t>
      </w:r>
    </w:p>
    <w:p>
      <w:pPr>
        <w:jc w:val="center"/>
        <w:rPr>
          <w:rFonts w:hint="eastAsia" w:ascii="宋体" w:hAnsi="宋体" w:eastAsia="宋体" w:cs="宋体"/>
          <w:b/>
          <w:bCs/>
          <w:sz w:val="56"/>
          <w:szCs w:val="56"/>
        </w:rPr>
      </w:pPr>
      <w:r>
        <w:rPr>
          <w:rFonts w:hint="eastAsia" w:ascii="宋体" w:hAnsi="宋体" w:eastAsia="宋体" w:cs="宋体"/>
          <w:b/>
          <w:bCs/>
          <w:sz w:val="56"/>
          <w:szCs w:val="56"/>
          <w:lang w:eastAsia="zh-CN"/>
        </w:rPr>
        <w:t>成分科耗材采购项目（二次）</w:t>
      </w:r>
    </w:p>
    <w:p>
      <w:pPr>
        <w:jc w:val="center"/>
        <w:rPr>
          <w:rFonts w:hint="eastAsia" w:ascii="宋体" w:hAnsi="宋体" w:eastAsia="宋体" w:cs="宋体"/>
          <w:b/>
          <w:bCs/>
          <w:sz w:val="72"/>
          <w:szCs w:val="72"/>
        </w:rPr>
      </w:pPr>
      <w:r>
        <w:rPr>
          <w:rFonts w:hint="eastAsia" w:ascii="宋体" w:hAnsi="宋体" w:eastAsia="宋体" w:cs="宋体"/>
          <w:b/>
          <w:bCs/>
          <w:sz w:val="56"/>
          <w:szCs w:val="56"/>
        </w:rPr>
        <w:t>招标文件</w:t>
      </w: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816" w:firstLineChars="200"/>
        <w:jc w:val="both"/>
        <w:rPr>
          <w:rFonts w:hint="eastAsia" w:ascii="宋体" w:hAnsi="宋体" w:eastAsia="宋体" w:cs="宋体"/>
          <w:b/>
          <w:bCs/>
          <w:sz w:val="40"/>
          <w:szCs w:val="40"/>
        </w:rPr>
      </w:pPr>
    </w:p>
    <w:p>
      <w:pPr>
        <w:spacing w:line="560" w:lineRule="exact"/>
        <w:ind w:firstLine="656" w:firstLineChars="200"/>
        <w:jc w:val="center"/>
        <w:rPr>
          <w:rFonts w:hint="eastAsia" w:ascii="宋体" w:hAnsi="宋体" w:eastAsia="宋体" w:cs="宋体"/>
          <w:sz w:val="32"/>
          <w:szCs w:val="32"/>
        </w:rPr>
      </w:pPr>
    </w:p>
    <w:p>
      <w:pPr>
        <w:spacing w:line="560" w:lineRule="exact"/>
        <w:ind w:firstLine="656" w:firstLineChars="200"/>
        <w:jc w:val="center"/>
        <w:rPr>
          <w:rFonts w:hint="eastAsia" w:ascii="宋体" w:hAnsi="宋体" w:eastAsia="宋体" w:cs="宋体"/>
          <w:sz w:val="32"/>
          <w:szCs w:val="32"/>
        </w:rPr>
      </w:pPr>
    </w:p>
    <w:p>
      <w:pPr>
        <w:spacing w:line="560" w:lineRule="exact"/>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陕西卓佲项目管理有限公司</w:t>
      </w:r>
    </w:p>
    <w:p>
      <w:pPr>
        <w:spacing w:line="560" w:lineRule="exact"/>
        <w:jc w:val="center"/>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TIME \@ "yyyy年M月" </w:instrText>
      </w:r>
      <w:r>
        <w:rPr>
          <w:rFonts w:hint="eastAsia" w:ascii="宋体" w:hAnsi="宋体" w:eastAsia="宋体" w:cs="宋体"/>
          <w:sz w:val="32"/>
          <w:szCs w:val="32"/>
        </w:rPr>
        <w:fldChar w:fldCharType="separate"/>
      </w:r>
      <w:r>
        <w:rPr>
          <w:rFonts w:hint="eastAsia" w:ascii="宋体" w:hAnsi="宋体" w:eastAsia="宋体" w:cs="宋体"/>
          <w:sz w:val="32"/>
          <w:szCs w:val="32"/>
        </w:rPr>
        <w:t>2022年</w:t>
      </w:r>
      <w:bookmarkStart w:id="163" w:name="_GoBack"/>
      <w:bookmarkEnd w:id="163"/>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rPr>
        <w:fldChar w:fldCharType="end"/>
      </w:r>
      <w:r>
        <w:rPr>
          <w:rFonts w:hint="eastAsia" w:ascii="宋体" w:hAnsi="宋体" w:eastAsia="宋体" w:cs="宋体"/>
          <w:sz w:val="32"/>
          <w:szCs w:val="32"/>
        </w:rPr>
        <w:br w:type="page"/>
      </w:r>
    </w:p>
    <w:sdt>
      <w:sdtPr>
        <w:rPr>
          <w:rFonts w:ascii="宋体" w:hAnsi="宋体" w:eastAsia="宋体" w:cs="Times New Roman"/>
          <w:sz w:val="21"/>
          <w:szCs w:val="24"/>
          <w:lang w:val="en-US" w:eastAsia="zh-CN" w:bidi="ar-SA"/>
        </w:rPr>
        <w:id w:val="147473170"/>
        <w15:color w:val="DBDBDB"/>
        <w:docPartObj>
          <w:docPartGallery w:val="Table of Contents"/>
          <w:docPartUnique/>
        </w:docPartObj>
      </w:sdtPr>
      <w:sdtEndPr>
        <w:rPr>
          <w:rFonts w:ascii="宋体" w:hAnsi="宋体" w:eastAsia="宋体" w:cs="Times New Roman"/>
          <w:sz w:val="21"/>
          <w:szCs w:val="24"/>
          <w:lang w:val="en-US" w:eastAsia="zh-CN" w:bidi="ar-SA"/>
        </w:rPr>
      </w:sdtEndPr>
      <w:sdtContent>
        <w:p>
          <w:pPr>
            <w:spacing w:before="0" w:beforeLines="0" w:after="0" w:afterLines="0" w:line="240" w:lineRule="auto"/>
            <w:ind w:left="0" w:leftChars="0" w:right="0" w:rightChars="0" w:firstLine="0" w:firstLineChars="0"/>
            <w:jc w:val="center"/>
            <w:rPr>
              <w:sz w:val="44"/>
              <w:szCs w:val="44"/>
            </w:rPr>
          </w:pPr>
          <w:bookmarkStart w:id="0" w:name="_Toc100219612"/>
          <w:r>
            <w:rPr>
              <w:rFonts w:ascii="宋体" w:hAnsi="宋体" w:eastAsia="宋体"/>
              <w:sz w:val="36"/>
              <w:szCs w:val="44"/>
            </w:rPr>
            <w:t>目录</w:t>
          </w:r>
        </w:p>
        <w:p>
          <w:pPr>
            <w:pStyle w:val="24"/>
            <w:keepNext w:val="0"/>
            <w:keepLines w:val="0"/>
            <w:pageBreakBefore w:val="0"/>
            <w:widowControl/>
            <w:tabs>
              <w:tab w:val="right" w:leader="dot" w:pos="8300"/>
            </w:tabs>
            <w:kinsoku/>
            <w:wordWrap/>
            <w:overflowPunct/>
            <w:topLinePunct w:val="0"/>
            <w:autoSpaceDE/>
            <w:autoSpaceDN/>
            <w:bidi w:val="0"/>
            <w:adjustRightInd/>
            <w:snapToGrid/>
            <w:spacing w:before="0" w:beforeLines="0" w:after="0" w:afterLines="0"/>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_Toc8703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投标邀请函</w:t>
          </w:r>
          <w:r>
            <w:rPr>
              <w:sz w:val="24"/>
              <w:szCs w:val="24"/>
            </w:rPr>
            <w:tab/>
          </w:r>
          <w:r>
            <w:rPr>
              <w:sz w:val="24"/>
              <w:szCs w:val="24"/>
            </w:rPr>
            <w:fldChar w:fldCharType="begin"/>
          </w:r>
          <w:r>
            <w:rPr>
              <w:sz w:val="24"/>
              <w:szCs w:val="24"/>
            </w:rPr>
            <w:instrText xml:space="preserve"> PAGEREF _Toc8703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24"/>
            <w:keepNext w:val="0"/>
            <w:keepLines w:val="0"/>
            <w:pageBreakBefore w:val="0"/>
            <w:widowControl/>
            <w:tabs>
              <w:tab w:val="right" w:leader="dot" w:pos="8300"/>
            </w:tabs>
            <w:kinsoku/>
            <w:wordWrap/>
            <w:overflowPunct/>
            <w:topLinePunct w:val="0"/>
            <w:autoSpaceDE/>
            <w:autoSpaceDN/>
            <w:bidi w:val="0"/>
            <w:adjustRightInd/>
            <w:snapToGrid/>
            <w:spacing w:before="0" w:beforeLines="0" w:after="0" w:afterLines="0"/>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_Toc32014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sz w:val="24"/>
              <w:szCs w:val="24"/>
            </w:rPr>
            <w:tab/>
          </w:r>
          <w:r>
            <w:rPr>
              <w:sz w:val="24"/>
              <w:szCs w:val="24"/>
            </w:rPr>
            <w:fldChar w:fldCharType="begin"/>
          </w:r>
          <w:r>
            <w:rPr>
              <w:sz w:val="24"/>
              <w:szCs w:val="24"/>
            </w:rPr>
            <w:instrText xml:space="preserve"> PAGEREF _Toc32014 \h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_Toc5823 </w:instrText>
          </w:r>
          <w:r>
            <w:rPr>
              <w:rFonts w:hint="eastAsia" w:ascii="宋体" w:hAnsi="宋体" w:eastAsia="宋体" w:cs="宋体"/>
              <w:sz w:val="24"/>
              <w:szCs w:val="24"/>
            </w:rPr>
            <w:fldChar w:fldCharType="separate"/>
          </w:r>
          <w:r>
            <w:rPr>
              <w:rFonts w:hint="eastAsia" w:ascii="宋体" w:hAnsi="宋体" w:eastAsia="宋体" w:cs="宋体"/>
              <w:sz w:val="24"/>
              <w:szCs w:val="24"/>
            </w:rPr>
            <w:t>〖前附表〗</w:t>
          </w:r>
          <w:r>
            <w:rPr>
              <w:sz w:val="24"/>
              <w:szCs w:val="24"/>
            </w:rPr>
            <w:tab/>
          </w:r>
          <w:r>
            <w:rPr>
              <w:sz w:val="24"/>
              <w:szCs w:val="24"/>
            </w:rPr>
            <w:fldChar w:fldCharType="begin"/>
          </w:r>
          <w:r>
            <w:rPr>
              <w:sz w:val="24"/>
              <w:szCs w:val="24"/>
            </w:rPr>
            <w:instrText xml:space="preserve"> PAGEREF _Toc5823 \h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_Toc21317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一、有关定义</w:t>
          </w:r>
          <w:r>
            <w:rPr>
              <w:sz w:val="24"/>
              <w:szCs w:val="24"/>
            </w:rPr>
            <w:tab/>
          </w:r>
          <w:r>
            <w:rPr>
              <w:sz w:val="24"/>
              <w:szCs w:val="24"/>
            </w:rPr>
            <w:fldChar w:fldCharType="begin"/>
          </w:r>
          <w:r>
            <w:rPr>
              <w:sz w:val="24"/>
              <w:szCs w:val="24"/>
            </w:rPr>
            <w:instrText xml:space="preserve"> PAGEREF _Toc21317 \h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_Toc8789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二、供应商注意事项</w:t>
          </w:r>
          <w:r>
            <w:rPr>
              <w:sz w:val="24"/>
              <w:szCs w:val="24"/>
            </w:rPr>
            <w:tab/>
          </w:r>
          <w:r>
            <w:rPr>
              <w:sz w:val="24"/>
              <w:szCs w:val="24"/>
            </w:rPr>
            <w:fldChar w:fldCharType="begin"/>
          </w:r>
          <w:r>
            <w:rPr>
              <w:sz w:val="24"/>
              <w:szCs w:val="24"/>
            </w:rPr>
            <w:instrText xml:space="preserve"> PAGEREF _Toc8789 \h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_Toc749 </w:instrText>
          </w:r>
          <w:r>
            <w:rPr>
              <w:rFonts w:hint="eastAsia" w:ascii="宋体" w:hAnsi="宋体" w:eastAsia="宋体" w:cs="宋体"/>
              <w:sz w:val="24"/>
              <w:szCs w:val="24"/>
            </w:rPr>
            <w:fldChar w:fldCharType="separate"/>
          </w:r>
          <w:r>
            <w:rPr>
              <w:rFonts w:hint="eastAsia" w:ascii="宋体" w:hAnsi="宋体" w:eastAsia="宋体" w:cs="宋体"/>
              <w:sz w:val="24"/>
              <w:szCs w:val="24"/>
            </w:rPr>
            <w:t>三、招标文件</w:t>
          </w:r>
          <w:r>
            <w:rPr>
              <w:sz w:val="24"/>
              <w:szCs w:val="24"/>
            </w:rPr>
            <w:tab/>
          </w:r>
          <w:r>
            <w:rPr>
              <w:sz w:val="24"/>
              <w:szCs w:val="24"/>
            </w:rPr>
            <w:fldChar w:fldCharType="begin"/>
          </w:r>
          <w:r>
            <w:rPr>
              <w:sz w:val="24"/>
              <w:szCs w:val="24"/>
            </w:rPr>
            <w:instrText xml:space="preserve"> PAGEREF _Toc749 \h </w:instrText>
          </w:r>
          <w:r>
            <w:rPr>
              <w:sz w:val="24"/>
              <w:szCs w:val="24"/>
            </w:rPr>
            <w:fldChar w:fldCharType="separate"/>
          </w:r>
          <w:r>
            <w:rPr>
              <w:sz w:val="24"/>
              <w:szCs w:val="24"/>
            </w:rPr>
            <w:t>28</w:t>
          </w:r>
          <w:r>
            <w:rPr>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_Toc9409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四、投标文件</w:t>
          </w:r>
          <w:r>
            <w:rPr>
              <w:sz w:val="24"/>
              <w:szCs w:val="24"/>
            </w:rPr>
            <w:tab/>
          </w:r>
          <w:r>
            <w:rPr>
              <w:sz w:val="24"/>
              <w:szCs w:val="24"/>
            </w:rPr>
            <w:fldChar w:fldCharType="begin"/>
          </w:r>
          <w:r>
            <w:rPr>
              <w:sz w:val="24"/>
              <w:szCs w:val="24"/>
            </w:rPr>
            <w:instrText xml:space="preserve"> PAGEREF _Toc9409 \h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_Toc11680 </w:instrText>
          </w:r>
          <w:r>
            <w:rPr>
              <w:rFonts w:hint="eastAsia" w:ascii="宋体" w:hAnsi="宋体" w:eastAsia="宋体" w:cs="宋体"/>
              <w:sz w:val="24"/>
              <w:szCs w:val="24"/>
            </w:rPr>
            <w:fldChar w:fldCharType="separate"/>
          </w:r>
          <w:r>
            <w:rPr>
              <w:rFonts w:hint="eastAsia" w:ascii="宋体" w:hAnsi="宋体" w:eastAsia="宋体" w:cs="宋体"/>
              <w:sz w:val="24"/>
              <w:szCs w:val="24"/>
            </w:rPr>
            <w:t>五、开标程序</w:t>
          </w:r>
          <w:r>
            <w:rPr>
              <w:sz w:val="24"/>
              <w:szCs w:val="24"/>
            </w:rPr>
            <w:tab/>
          </w:r>
          <w:r>
            <w:rPr>
              <w:sz w:val="24"/>
              <w:szCs w:val="24"/>
            </w:rPr>
            <w:fldChar w:fldCharType="begin"/>
          </w:r>
          <w:r>
            <w:rPr>
              <w:sz w:val="24"/>
              <w:szCs w:val="24"/>
            </w:rPr>
            <w:instrText xml:space="preserve"> PAGEREF _Toc11680 \h </w:instrText>
          </w:r>
          <w:r>
            <w:rPr>
              <w:sz w:val="24"/>
              <w:szCs w:val="24"/>
            </w:rPr>
            <w:fldChar w:fldCharType="separate"/>
          </w:r>
          <w:r>
            <w:rPr>
              <w:sz w:val="24"/>
              <w:szCs w:val="24"/>
            </w:rPr>
            <w:t>35</w:t>
          </w:r>
          <w:r>
            <w:rPr>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_Toc23651 </w:instrText>
          </w:r>
          <w:r>
            <w:rPr>
              <w:rFonts w:hint="eastAsia" w:ascii="宋体" w:hAnsi="宋体" w:eastAsia="宋体" w:cs="宋体"/>
              <w:sz w:val="24"/>
              <w:szCs w:val="24"/>
            </w:rPr>
            <w:fldChar w:fldCharType="separate"/>
          </w:r>
          <w:r>
            <w:rPr>
              <w:rFonts w:hint="eastAsia" w:ascii="宋体" w:hAnsi="宋体" w:eastAsia="宋体" w:cs="宋体"/>
              <w:sz w:val="24"/>
              <w:szCs w:val="24"/>
            </w:rPr>
            <w:t>六、资格审查</w:t>
          </w:r>
          <w:r>
            <w:rPr>
              <w:sz w:val="24"/>
              <w:szCs w:val="24"/>
            </w:rPr>
            <w:tab/>
          </w:r>
          <w:r>
            <w:rPr>
              <w:sz w:val="24"/>
              <w:szCs w:val="24"/>
            </w:rPr>
            <w:fldChar w:fldCharType="begin"/>
          </w:r>
          <w:r>
            <w:rPr>
              <w:sz w:val="24"/>
              <w:szCs w:val="24"/>
            </w:rPr>
            <w:instrText xml:space="preserve"> PAGEREF _Toc23651 \h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_Toc30374 </w:instrText>
          </w:r>
          <w:r>
            <w:rPr>
              <w:rFonts w:hint="eastAsia" w:ascii="宋体" w:hAnsi="宋体" w:eastAsia="宋体" w:cs="宋体"/>
              <w:sz w:val="24"/>
              <w:szCs w:val="24"/>
            </w:rPr>
            <w:fldChar w:fldCharType="separate"/>
          </w:r>
          <w:r>
            <w:rPr>
              <w:rFonts w:hint="eastAsia" w:ascii="宋体" w:hAnsi="宋体" w:eastAsia="宋体" w:cs="宋体"/>
              <w:sz w:val="24"/>
              <w:szCs w:val="24"/>
            </w:rPr>
            <w:t>七、评审方法和程序</w:t>
          </w:r>
          <w:r>
            <w:rPr>
              <w:sz w:val="24"/>
              <w:szCs w:val="24"/>
            </w:rPr>
            <w:tab/>
          </w:r>
          <w:r>
            <w:rPr>
              <w:sz w:val="24"/>
              <w:szCs w:val="24"/>
            </w:rPr>
            <w:fldChar w:fldCharType="begin"/>
          </w:r>
          <w:r>
            <w:rPr>
              <w:sz w:val="24"/>
              <w:szCs w:val="24"/>
            </w:rPr>
            <w:instrText xml:space="preserve"> PAGEREF _Toc30374 \h </w:instrText>
          </w:r>
          <w:r>
            <w:rPr>
              <w:sz w:val="24"/>
              <w:szCs w:val="24"/>
            </w:rPr>
            <w:fldChar w:fldCharType="separate"/>
          </w:r>
          <w:r>
            <w:rPr>
              <w:sz w:val="24"/>
              <w:szCs w:val="24"/>
            </w:rPr>
            <w:t>38</w:t>
          </w:r>
          <w:r>
            <w:rPr>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_Toc27686 </w:instrText>
          </w:r>
          <w:r>
            <w:rPr>
              <w:rFonts w:hint="eastAsia" w:ascii="宋体" w:hAnsi="宋体" w:eastAsia="宋体" w:cs="宋体"/>
              <w:sz w:val="24"/>
              <w:szCs w:val="24"/>
            </w:rPr>
            <w:fldChar w:fldCharType="separate"/>
          </w:r>
          <w:r>
            <w:rPr>
              <w:rFonts w:hint="eastAsia" w:ascii="宋体" w:hAnsi="宋体" w:eastAsia="宋体" w:cs="宋体"/>
              <w:sz w:val="24"/>
              <w:szCs w:val="24"/>
            </w:rPr>
            <w:t>八、中标</w:t>
          </w:r>
          <w:r>
            <w:rPr>
              <w:sz w:val="24"/>
              <w:szCs w:val="24"/>
            </w:rPr>
            <w:tab/>
          </w:r>
          <w:r>
            <w:rPr>
              <w:sz w:val="24"/>
              <w:szCs w:val="24"/>
            </w:rPr>
            <w:fldChar w:fldCharType="begin"/>
          </w:r>
          <w:r>
            <w:rPr>
              <w:sz w:val="24"/>
              <w:szCs w:val="24"/>
            </w:rPr>
            <w:instrText xml:space="preserve"> PAGEREF _Toc27686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_Toc22271 </w:instrText>
          </w:r>
          <w:r>
            <w:rPr>
              <w:rFonts w:hint="eastAsia" w:ascii="宋体" w:hAnsi="宋体" w:eastAsia="宋体" w:cs="宋体"/>
              <w:sz w:val="24"/>
              <w:szCs w:val="24"/>
            </w:rPr>
            <w:fldChar w:fldCharType="separate"/>
          </w:r>
          <w:r>
            <w:rPr>
              <w:rFonts w:hint="eastAsia" w:ascii="宋体" w:hAnsi="宋体" w:eastAsia="宋体" w:cs="宋体"/>
              <w:sz w:val="24"/>
              <w:szCs w:val="24"/>
            </w:rPr>
            <w:t>九、合同签订、履行及验收</w:t>
          </w:r>
          <w:r>
            <w:rPr>
              <w:sz w:val="24"/>
              <w:szCs w:val="24"/>
            </w:rPr>
            <w:tab/>
          </w:r>
          <w:r>
            <w:rPr>
              <w:sz w:val="24"/>
              <w:szCs w:val="24"/>
            </w:rPr>
            <w:fldChar w:fldCharType="begin"/>
          </w:r>
          <w:r>
            <w:rPr>
              <w:sz w:val="24"/>
              <w:szCs w:val="24"/>
            </w:rPr>
            <w:instrText xml:space="preserve"> PAGEREF _Toc22271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_Toc11230 </w:instrText>
          </w:r>
          <w:r>
            <w:rPr>
              <w:rFonts w:hint="eastAsia" w:ascii="宋体" w:hAnsi="宋体" w:eastAsia="宋体" w:cs="宋体"/>
              <w:sz w:val="24"/>
              <w:szCs w:val="24"/>
            </w:rPr>
            <w:fldChar w:fldCharType="separate"/>
          </w:r>
          <w:r>
            <w:rPr>
              <w:rFonts w:hint="eastAsia" w:ascii="宋体" w:hAnsi="宋体" w:eastAsia="宋体" w:cs="宋体"/>
              <w:sz w:val="24"/>
              <w:szCs w:val="24"/>
            </w:rPr>
            <w:t>十、废标及重新招标</w:t>
          </w:r>
          <w:r>
            <w:rPr>
              <w:sz w:val="24"/>
              <w:szCs w:val="24"/>
            </w:rPr>
            <w:tab/>
          </w:r>
          <w:r>
            <w:rPr>
              <w:sz w:val="24"/>
              <w:szCs w:val="24"/>
            </w:rPr>
            <w:fldChar w:fldCharType="begin"/>
          </w:r>
          <w:r>
            <w:rPr>
              <w:sz w:val="24"/>
              <w:szCs w:val="24"/>
            </w:rPr>
            <w:instrText xml:space="preserve"> PAGEREF _Toc11230 \h </w:instrText>
          </w:r>
          <w:r>
            <w:rPr>
              <w:sz w:val="24"/>
              <w:szCs w:val="24"/>
            </w:rPr>
            <w:fldChar w:fldCharType="separate"/>
          </w:r>
          <w:r>
            <w:rPr>
              <w:sz w:val="24"/>
              <w:szCs w:val="24"/>
            </w:rPr>
            <w:t>50</w:t>
          </w:r>
          <w:r>
            <w:rPr>
              <w:sz w:val="24"/>
              <w:szCs w:val="24"/>
            </w:rPr>
            <w:fldChar w:fldCharType="end"/>
          </w:r>
          <w:r>
            <w:rPr>
              <w:rFonts w:hint="eastAsia" w:ascii="宋体" w:hAnsi="宋体" w:eastAsia="宋体" w:cs="宋体"/>
              <w:sz w:val="24"/>
              <w:szCs w:val="24"/>
            </w:rPr>
            <w:fldChar w:fldCharType="end"/>
          </w:r>
        </w:p>
        <w:p>
          <w:pPr>
            <w:pStyle w:val="24"/>
            <w:keepNext w:val="0"/>
            <w:keepLines w:val="0"/>
            <w:pageBreakBefore w:val="0"/>
            <w:widowControl/>
            <w:tabs>
              <w:tab w:val="right" w:leader="dot" w:pos="8300"/>
            </w:tabs>
            <w:kinsoku/>
            <w:wordWrap/>
            <w:overflowPunct/>
            <w:topLinePunct w:val="0"/>
            <w:autoSpaceDE/>
            <w:autoSpaceDN/>
            <w:bidi w:val="0"/>
            <w:adjustRightInd/>
            <w:snapToGrid/>
            <w:spacing w:before="0" w:beforeLines="0" w:after="0" w:afterLines="0"/>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_Toc18096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招标内容及要求</w:t>
          </w:r>
          <w:r>
            <w:rPr>
              <w:sz w:val="24"/>
              <w:szCs w:val="24"/>
            </w:rPr>
            <w:tab/>
          </w:r>
          <w:r>
            <w:rPr>
              <w:sz w:val="24"/>
              <w:szCs w:val="24"/>
            </w:rPr>
            <w:fldChar w:fldCharType="begin"/>
          </w:r>
          <w:r>
            <w:rPr>
              <w:sz w:val="24"/>
              <w:szCs w:val="24"/>
            </w:rPr>
            <w:instrText xml:space="preserve"> PAGEREF _Toc18096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sz w:val="24"/>
              <w:szCs w:val="24"/>
            </w:rPr>
            <w:fldChar w:fldCharType="end"/>
          </w:r>
        </w:p>
        <w:p>
          <w:pPr>
            <w:pStyle w:val="24"/>
            <w:keepNext w:val="0"/>
            <w:keepLines w:val="0"/>
            <w:pageBreakBefore w:val="0"/>
            <w:widowControl/>
            <w:tabs>
              <w:tab w:val="right" w:leader="dot" w:pos="8300"/>
            </w:tabs>
            <w:kinsoku/>
            <w:wordWrap/>
            <w:overflowPunct/>
            <w:topLinePunct w:val="0"/>
            <w:autoSpaceDE/>
            <w:autoSpaceDN/>
            <w:bidi w:val="0"/>
            <w:adjustRightInd/>
            <w:snapToGrid/>
            <w:spacing w:before="0" w:beforeLines="0" w:after="0" w:afterLines="0"/>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_Toc23770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合同文本</w:t>
          </w:r>
          <w:r>
            <w:rPr>
              <w:sz w:val="24"/>
              <w:szCs w:val="24"/>
            </w:rPr>
            <w:tab/>
          </w:r>
          <w:r>
            <w:rPr>
              <w:sz w:val="24"/>
              <w:szCs w:val="24"/>
            </w:rPr>
            <w:fldChar w:fldCharType="begin"/>
          </w:r>
          <w:r>
            <w:rPr>
              <w:sz w:val="24"/>
              <w:szCs w:val="24"/>
            </w:rPr>
            <w:instrText xml:space="preserve"> PAGEREF _Toc23770 \h </w:instrText>
          </w:r>
          <w:r>
            <w:rPr>
              <w:sz w:val="24"/>
              <w:szCs w:val="24"/>
            </w:rPr>
            <w:fldChar w:fldCharType="separate"/>
          </w:r>
          <w:r>
            <w:rPr>
              <w:sz w:val="24"/>
              <w:szCs w:val="24"/>
            </w:rPr>
            <w:t>55</w:t>
          </w:r>
          <w:r>
            <w:rPr>
              <w:sz w:val="24"/>
              <w:szCs w:val="24"/>
            </w:rPr>
            <w:fldChar w:fldCharType="end"/>
          </w:r>
          <w:r>
            <w:rPr>
              <w:rFonts w:hint="eastAsia" w:ascii="宋体" w:hAnsi="宋体" w:eastAsia="宋体" w:cs="宋体"/>
              <w:sz w:val="24"/>
              <w:szCs w:val="24"/>
            </w:rPr>
            <w:fldChar w:fldCharType="end"/>
          </w:r>
        </w:p>
        <w:p>
          <w:pPr>
            <w:pStyle w:val="24"/>
            <w:keepNext w:val="0"/>
            <w:keepLines w:val="0"/>
            <w:pageBreakBefore w:val="0"/>
            <w:widowControl/>
            <w:tabs>
              <w:tab w:val="right" w:leader="dot" w:pos="8300"/>
            </w:tabs>
            <w:kinsoku/>
            <w:wordWrap/>
            <w:overflowPunct/>
            <w:topLinePunct w:val="0"/>
            <w:autoSpaceDE/>
            <w:autoSpaceDN/>
            <w:bidi w:val="0"/>
            <w:adjustRightInd/>
            <w:snapToGrid/>
            <w:spacing w:before="0" w:beforeLines="0" w:after="0" w:afterLines="0"/>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_Toc3501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投标文件构成及格式</w:t>
          </w:r>
          <w:r>
            <w:rPr>
              <w:sz w:val="24"/>
              <w:szCs w:val="24"/>
            </w:rPr>
            <w:tab/>
          </w:r>
          <w:r>
            <w:rPr>
              <w:sz w:val="24"/>
              <w:szCs w:val="24"/>
            </w:rPr>
            <w:fldChar w:fldCharType="begin"/>
          </w:r>
          <w:r>
            <w:rPr>
              <w:sz w:val="24"/>
              <w:szCs w:val="24"/>
            </w:rPr>
            <w:instrText xml:space="preserve"> PAGEREF _Toc3501 \h </w:instrText>
          </w:r>
          <w:r>
            <w:rPr>
              <w:sz w:val="24"/>
              <w:szCs w:val="24"/>
            </w:rPr>
            <w:fldChar w:fldCharType="separate"/>
          </w:r>
          <w:r>
            <w:rPr>
              <w:sz w:val="24"/>
              <w:szCs w:val="24"/>
            </w:rPr>
            <w:t>59</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_Toc27571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投标函</w:t>
          </w:r>
          <w:r>
            <w:rPr>
              <w:sz w:val="24"/>
              <w:szCs w:val="24"/>
            </w:rPr>
            <w:tab/>
          </w:r>
          <w:r>
            <w:rPr>
              <w:sz w:val="24"/>
              <w:szCs w:val="24"/>
            </w:rPr>
            <w:fldChar w:fldCharType="begin"/>
          </w:r>
          <w:r>
            <w:rPr>
              <w:sz w:val="24"/>
              <w:szCs w:val="24"/>
            </w:rPr>
            <w:instrText xml:space="preserve"> PAGEREF _Toc27571 \h </w:instrText>
          </w:r>
          <w:r>
            <w:rPr>
              <w:sz w:val="24"/>
              <w:szCs w:val="24"/>
            </w:rPr>
            <w:fldChar w:fldCharType="separate"/>
          </w:r>
          <w:r>
            <w:rPr>
              <w:sz w:val="24"/>
              <w:szCs w:val="24"/>
            </w:rPr>
            <w:t>61</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_Toc24783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第二部分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开标一览表</w:t>
          </w:r>
          <w:r>
            <w:rPr>
              <w:sz w:val="24"/>
              <w:szCs w:val="24"/>
            </w:rPr>
            <w:tab/>
          </w:r>
          <w:r>
            <w:rPr>
              <w:sz w:val="24"/>
              <w:szCs w:val="24"/>
            </w:rPr>
            <w:fldChar w:fldCharType="begin"/>
          </w:r>
          <w:r>
            <w:rPr>
              <w:sz w:val="24"/>
              <w:szCs w:val="24"/>
            </w:rPr>
            <w:instrText xml:space="preserve"> PAGEREF _Toc24783 \h </w:instrText>
          </w:r>
          <w:r>
            <w:rPr>
              <w:sz w:val="24"/>
              <w:szCs w:val="24"/>
            </w:rPr>
            <w:fldChar w:fldCharType="separate"/>
          </w:r>
          <w:r>
            <w:rPr>
              <w:sz w:val="24"/>
              <w:szCs w:val="24"/>
            </w:rPr>
            <w:t>63</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_Toc29150 </w:instrText>
          </w:r>
          <w:r>
            <w:rPr>
              <w:rFonts w:hint="eastAsia" w:ascii="宋体" w:hAnsi="宋体" w:eastAsia="宋体" w:cs="宋体"/>
              <w:sz w:val="24"/>
              <w:szCs w:val="24"/>
            </w:rPr>
            <w:fldChar w:fldCharType="separate"/>
          </w:r>
          <w:r>
            <w:rPr>
              <w:rFonts w:hint="eastAsia" w:ascii="宋体" w:hAnsi="宋体" w:eastAsia="宋体" w:cs="宋体"/>
              <w:sz w:val="24"/>
              <w:szCs w:val="24"/>
            </w:rPr>
            <w:t>第三部分  资格证明文件</w:t>
          </w:r>
          <w:r>
            <w:rPr>
              <w:sz w:val="24"/>
              <w:szCs w:val="24"/>
            </w:rPr>
            <w:tab/>
          </w:r>
          <w:r>
            <w:rPr>
              <w:sz w:val="24"/>
              <w:szCs w:val="24"/>
            </w:rPr>
            <w:fldChar w:fldCharType="begin"/>
          </w:r>
          <w:r>
            <w:rPr>
              <w:sz w:val="24"/>
              <w:szCs w:val="24"/>
            </w:rPr>
            <w:instrText xml:space="preserve"> PAGEREF _Toc29150 \h </w:instrText>
          </w:r>
          <w:r>
            <w:rPr>
              <w:sz w:val="24"/>
              <w:szCs w:val="24"/>
            </w:rPr>
            <w:fldChar w:fldCharType="separate"/>
          </w:r>
          <w:r>
            <w:rPr>
              <w:sz w:val="24"/>
              <w:szCs w:val="24"/>
            </w:rPr>
            <w:t>65</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_Toc21430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第四部分  </w:t>
          </w:r>
          <w:r>
            <w:rPr>
              <w:rFonts w:hint="eastAsia" w:eastAsia="宋体"/>
              <w:sz w:val="24"/>
              <w:szCs w:val="24"/>
              <w:lang w:val="en-US" w:eastAsia="zh-CN"/>
            </w:rPr>
            <w:t>供应商概况</w:t>
          </w:r>
          <w:r>
            <w:rPr>
              <w:sz w:val="24"/>
              <w:szCs w:val="24"/>
            </w:rPr>
            <w:tab/>
          </w:r>
          <w:r>
            <w:rPr>
              <w:sz w:val="24"/>
              <w:szCs w:val="24"/>
            </w:rPr>
            <w:fldChar w:fldCharType="begin"/>
          </w:r>
          <w:r>
            <w:rPr>
              <w:sz w:val="24"/>
              <w:szCs w:val="24"/>
            </w:rPr>
            <w:instrText xml:space="preserve"> PAGEREF _Toc21430 \h </w:instrText>
          </w:r>
          <w:r>
            <w:rPr>
              <w:sz w:val="24"/>
              <w:szCs w:val="24"/>
            </w:rPr>
            <w:fldChar w:fldCharType="separate"/>
          </w:r>
          <w:r>
            <w:rPr>
              <w:sz w:val="24"/>
              <w:szCs w:val="24"/>
            </w:rPr>
            <w:t>73</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_Toc31889 </w:instrText>
          </w:r>
          <w:r>
            <w:rPr>
              <w:rFonts w:hint="eastAsia" w:ascii="宋体" w:hAnsi="宋体" w:eastAsia="宋体" w:cs="宋体"/>
              <w:sz w:val="24"/>
              <w:szCs w:val="24"/>
            </w:rPr>
            <w:fldChar w:fldCharType="separate"/>
          </w:r>
          <w:r>
            <w:rPr>
              <w:sz w:val="24"/>
              <w:szCs w:val="24"/>
            </w:rPr>
            <w:t>第五部分</w:t>
          </w:r>
          <w:r>
            <w:rPr>
              <w:rFonts w:hint="eastAsia"/>
              <w:sz w:val="24"/>
              <w:szCs w:val="24"/>
            </w:rPr>
            <w:t xml:space="preserve">  </w:t>
          </w:r>
          <w:r>
            <w:rPr>
              <w:sz w:val="24"/>
              <w:szCs w:val="24"/>
            </w:rPr>
            <w:t>供应商参加政府采购活动承诺书</w:t>
          </w:r>
          <w:r>
            <w:rPr>
              <w:sz w:val="24"/>
              <w:szCs w:val="24"/>
            </w:rPr>
            <w:tab/>
          </w:r>
          <w:r>
            <w:rPr>
              <w:sz w:val="24"/>
              <w:szCs w:val="24"/>
            </w:rPr>
            <w:fldChar w:fldCharType="begin"/>
          </w:r>
          <w:r>
            <w:rPr>
              <w:sz w:val="24"/>
              <w:szCs w:val="24"/>
            </w:rPr>
            <w:instrText xml:space="preserve"> PAGEREF _Toc31889 \h </w:instrText>
          </w:r>
          <w:r>
            <w:rPr>
              <w:sz w:val="24"/>
              <w:szCs w:val="24"/>
            </w:rPr>
            <w:fldChar w:fldCharType="separate"/>
          </w:r>
          <w:r>
            <w:rPr>
              <w:sz w:val="24"/>
              <w:szCs w:val="24"/>
            </w:rPr>
            <w:t>74</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_Toc11915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eastAsia="zh-CN"/>
            </w:rPr>
            <w:t>六部分</w:t>
          </w:r>
          <w:r>
            <w:rPr>
              <w:rFonts w:hint="eastAsia" w:ascii="宋体" w:hAnsi="宋体" w:eastAsia="宋体" w:cs="宋体"/>
              <w:sz w:val="24"/>
              <w:szCs w:val="24"/>
            </w:rPr>
            <w:t xml:space="preserve">  商务和</w:t>
          </w:r>
          <w:r>
            <w:rPr>
              <w:rFonts w:hint="eastAsia" w:ascii="宋体" w:hAnsi="宋体" w:eastAsia="宋体" w:cs="宋体"/>
              <w:sz w:val="24"/>
              <w:szCs w:val="24"/>
              <w:lang w:eastAsia="zh-CN"/>
            </w:rPr>
            <w:t>技术</w:t>
          </w:r>
          <w:r>
            <w:rPr>
              <w:rFonts w:hint="eastAsia" w:ascii="宋体" w:hAnsi="宋体" w:eastAsia="宋体" w:cs="宋体"/>
              <w:sz w:val="24"/>
              <w:szCs w:val="24"/>
            </w:rPr>
            <w:t>响应偏离表</w:t>
          </w:r>
          <w:r>
            <w:rPr>
              <w:sz w:val="24"/>
              <w:szCs w:val="24"/>
            </w:rPr>
            <w:tab/>
          </w:r>
          <w:r>
            <w:rPr>
              <w:sz w:val="24"/>
              <w:szCs w:val="24"/>
            </w:rPr>
            <w:fldChar w:fldCharType="begin"/>
          </w:r>
          <w:r>
            <w:rPr>
              <w:sz w:val="24"/>
              <w:szCs w:val="24"/>
            </w:rPr>
            <w:instrText xml:space="preserve"> PAGEREF _Toc11915 \h </w:instrText>
          </w:r>
          <w:r>
            <w:rPr>
              <w:sz w:val="24"/>
              <w:szCs w:val="24"/>
            </w:rPr>
            <w:fldChar w:fldCharType="separate"/>
          </w:r>
          <w:r>
            <w:rPr>
              <w:sz w:val="24"/>
              <w:szCs w:val="24"/>
            </w:rPr>
            <w:t>77</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_Toc3055 </w:instrText>
          </w:r>
          <w:r>
            <w:rPr>
              <w:rFonts w:hint="eastAsia" w:ascii="宋体" w:hAnsi="宋体" w:eastAsia="宋体" w:cs="宋体"/>
              <w:sz w:val="24"/>
              <w:szCs w:val="24"/>
            </w:rPr>
            <w:fldChar w:fldCharType="separate"/>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lang w:eastAsia="zh-CN"/>
            </w:rPr>
            <w:t>部分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技术与</w:t>
          </w:r>
          <w:r>
            <w:rPr>
              <w:rFonts w:hint="eastAsia" w:asciiTheme="minorEastAsia" w:hAnsiTheme="minorEastAsia" w:eastAsiaTheme="minorEastAsia" w:cstheme="minorEastAsia"/>
              <w:sz w:val="24"/>
              <w:szCs w:val="24"/>
              <w:lang w:val="en-US" w:eastAsia="zh-CN"/>
            </w:rPr>
            <w:t>服务方案</w:t>
          </w:r>
          <w:r>
            <w:rPr>
              <w:sz w:val="24"/>
              <w:szCs w:val="24"/>
            </w:rPr>
            <w:tab/>
          </w:r>
          <w:r>
            <w:rPr>
              <w:sz w:val="24"/>
              <w:szCs w:val="24"/>
            </w:rPr>
            <w:fldChar w:fldCharType="begin"/>
          </w:r>
          <w:r>
            <w:rPr>
              <w:sz w:val="24"/>
              <w:szCs w:val="24"/>
            </w:rPr>
            <w:instrText xml:space="preserve"> PAGEREF _Toc3055 \h </w:instrText>
          </w:r>
          <w:r>
            <w:rPr>
              <w:sz w:val="24"/>
              <w:szCs w:val="24"/>
            </w:rPr>
            <w:fldChar w:fldCharType="separate"/>
          </w:r>
          <w:r>
            <w:rPr>
              <w:sz w:val="24"/>
              <w:szCs w:val="24"/>
            </w:rPr>
            <w:t>79</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_Toc28410 </w:instrText>
          </w:r>
          <w:r>
            <w:rPr>
              <w:rFonts w:hint="eastAsia" w:ascii="宋体" w:hAnsi="宋体" w:eastAsia="宋体" w:cs="宋体"/>
              <w:sz w:val="24"/>
              <w:szCs w:val="24"/>
            </w:rPr>
            <w:fldChar w:fldCharType="separate"/>
          </w:r>
          <w:r>
            <w:rPr>
              <w:rFonts w:hint="eastAsia" w:asciiTheme="minorEastAsia" w:hAnsiTheme="minorEastAsia" w:eastAsiaTheme="minorEastAsia" w:cstheme="minorEastAsia"/>
              <w:sz w:val="24"/>
              <w:szCs w:val="24"/>
              <w:lang w:val="en-US" w:eastAsia="zh-CN" w:bidi="ar-SA"/>
            </w:rPr>
            <w:t>第</w:t>
          </w:r>
          <w:r>
            <w:rPr>
              <w:rFonts w:hint="eastAsia" w:asciiTheme="minorEastAsia" w:hAnsiTheme="minorEastAsia" w:cstheme="minorEastAsia"/>
              <w:sz w:val="24"/>
              <w:szCs w:val="24"/>
              <w:lang w:val="en-US" w:eastAsia="zh-CN" w:bidi="ar-SA"/>
            </w:rPr>
            <w:t>八</w:t>
          </w:r>
          <w:r>
            <w:rPr>
              <w:rFonts w:hint="eastAsia" w:asciiTheme="minorEastAsia" w:hAnsiTheme="minorEastAsia" w:eastAsiaTheme="minorEastAsia" w:cstheme="minorEastAsia"/>
              <w:sz w:val="24"/>
              <w:szCs w:val="24"/>
              <w:lang w:val="en-US" w:eastAsia="zh-CN" w:bidi="ar-SA"/>
            </w:rPr>
            <w:t>部分  服务</w:t>
          </w:r>
          <w:r>
            <w:rPr>
              <w:rFonts w:hint="eastAsia" w:asciiTheme="minorEastAsia" w:hAnsiTheme="minorEastAsia" w:cstheme="minorEastAsia"/>
              <w:sz w:val="24"/>
              <w:szCs w:val="24"/>
              <w:lang w:val="en-US" w:eastAsia="zh-CN" w:bidi="ar-SA"/>
            </w:rPr>
            <w:t>承诺</w:t>
          </w:r>
          <w:r>
            <w:rPr>
              <w:sz w:val="24"/>
              <w:szCs w:val="24"/>
            </w:rPr>
            <w:tab/>
          </w:r>
          <w:r>
            <w:rPr>
              <w:sz w:val="24"/>
              <w:szCs w:val="24"/>
            </w:rPr>
            <w:fldChar w:fldCharType="begin"/>
          </w:r>
          <w:r>
            <w:rPr>
              <w:sz w:val="24"/>
              <w:szCs w:val="24"/>
            </w:rPr>
            <w:instrText xml:space="preserve"> PAGEREF _Toc28410 \h </w:instrText>
          </w:r>
          <w:r>
            <w:rPr>
              <w:sz w:val="24"/>
              <w:szCs w:val="24"/>
            </w:rPr>
            <w:fldChar w:fldCharType="separate"/>
          </w:r>
          <w:r>
            <w:rPr>
              <w:sz w:val="24"/>
              <w:szCs w:val="24"/>
            </w:rPr>
            <w:t>80</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_Toc5287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eastAsia="zh-CN"/>
            </w:rPr>
            <w:t>九部分</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业绩一览表</w:t>
          </w:r>
          <w:r>
            <w:rPr>
              <w:sz w:val="24"/>
              <w:szCs w:val="24"/>
            </w:rPr>
            <w:tab/>
          </w:r>
          <w:r>
            <w:rPr>
              <w:sz w:val="24"/>
              <w:szCs w:val="24"/>
            </w:rPr>
            <w:fldChar w:fldCharType="begin"/>
          </w:r>
          <w:r>
            <w:rPr>
              <w:sz w:val="24"/>
              <w:szCs w:val="24"/>
            </w:rPr>
            <w:instrText xml:space="preserve"> PAGEREF _Toc5287 \h </w:instrText>
          </w:r>
          <w:r>
            <w:rPr>
              <w:sz w:val="24"/>
              <w:szCs w:val="24"/>
            </w:rPr>
            <w:fldChar w:fldCharType="separate"/>
          </w:r>
          <w:r>
            <w:rPr>
              <w:sz w:val="24"/>
              <w:szCs w:val="24"/>
            </w:rPr>
            <w:t>81</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_Toc13793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十</w:t>
          </w:r>
          <w:r>
            <w:rPr>
              <w:rFonts w:hint="eastAsia" w:ascii="宋体" w:hAnsi="宋体" w:eastAsia="宋体" w:cs="宋体"/>
              <w:sz w:val="24"/>
              <w:szCs w:val="24"/>
              <w:lang w:eastAsia="zh-CN"/>
            </w:rPr>
            <w:t>部分</w:t>
          </w:r>
          <w:r>
            <w:rPr>
              <w:rFonts w:hint="eastAsia" w:ascii="宋体" w:hAnsi="宋体" w:eastAsia="宋体" w:cs="宋体"/>
              <w:sz w:val="24"/>
              <w:szCs w:val="24"/>
            </w:rPr>
            <w:t xml:space="preserve">  </w:t>
          </w:r>
          <w:r>
            <w:rPr>
              <w:rFonts w:hint="eastAsia" w:ascii="宋体" w:hAnsi="宋体" w:eastAsia="宋体" w:cs="宋体"/>
              <w:sz w:val="24"/>
              <w:szCs w:val="24"/>
              <w:lang w:eastAsia="zh-CN"/>
            </w:rPr>
            <w:t>供应商</w:t>
          </w:r>
          <w:r>
            <w:rPr>
              <w:rFonts w:hint="eastAsia" w:ascii="宋体" w:hAnsi="宋体" w:eastAsia="宋体" w:cs="宋体"/>
              <w:sz w:val="24"/>
              <w:szCs w:val="24"/>
            </w:rPr>
            <w:t>认为有必要说明的其他问题</w:t>
          </w:r>
          <w:r>
            <w:rPr>
              <w:sz w:val="24"/>
              <w:szCs w:val="24"/>
            </w:rPr>
            <w:tab/>
          </w:r>
          <w:r>
            <w:rPr>
              <w:sz w:val="24"/>
              <w:szCs w:val="24"/>
            </w:rPr>
            <w:fldChar w:fldCharType="begin"/>
          </w:r>
          <w:r>
            <w:rPr>
              <w:sz w:val="24"/>
              <w:szCs w:val="24"/>
            </w:rPr>
            <w:instrText xml:space="preserve"> PAGEREF _Toc13793 \h </w:instrText>
          </w:r>
          <w:r>
            <w:rPr>
              <w:sz w:val="24"/>
              <w:szCs w:val="24"/>
            </w:rPr>
            <w:fldChar w:fldCharType="separate"/>
          </w:r>
          <w:r>
            <w:rPr>
              <w:sz w:val="24"/>
              <w:szCs w:val="24"/>
            </w:rPr>
            <w:t>82</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_Toc24418 </w:instrText>
          </w:r>
          <w:r>
            <w:rPr>
              <w:rFonts w:hint="eastAsia" w:ascii="宋体" w:hAnsi="宋体" w:eastAsia="宋体" w:cs="宋体"/>
              <w:sz w:val="24"/>
              <w:szCs w:val="24"/>
            </w:rPr>
            <w:fldChar w:fldCharType="separate"/>
          </w: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、中小企业</w:t>
          </w:r>
          <w:r>
            <w:rPr>
              <w:rFonts w:hint="eastAsia" w:asciiTheme="minorEastAsia" w:hAnsiTheme="minorEastAsia" w:cstheme="minorEastAsia"/>
              <w:sz w:val="24"/>
              <w:szCs w:val="24"/>
              <w:lang w:eastAsia="zh-CN"/>
            </w:rPr>
            <w:t>声</w:t>
          </w:r>
          <w:r>
            <w:rPr>
              <w:rFonts w:hint="eastAsia" w:asciiTheme="minorEastAsia" w:hAnsiTheme="minorEastAsia" w:eastAsiaTheme="minorEastAsia" w:cstheme="minorEastAsia"/>
              <w:sz w:val="24"/>
              <w:szCs w:val="24"/>
            </w:rPr>
            <w:t>明</w:t>
          </w:r>
          <w:r>
            <w:rPr>
              <w:sz w:val="24"/>
              <w:szCs w:val="24"/>
            </w:rPr>
            <w:tab/>
          </w:r>
          <w:r>
            <w:rPr>
              <w:sz w:val="24"/>
              <w:szCs w:val="24"/>
            </w:rPr>
            <w:fldChar w:fldCharType="begin"/>
          </w:r>
          <w:r>
            <w:rPr>
              <w:sz w:val="24"/>
              <w:szCs w:val="24"/>
            </w:rPr>
            <w:instrText xml:space="preserve"> PAGEREF _Toc24418 \h </w:instrText>
          </w:r>
          <w:r>
            <w:rPr>
              <w:sz w:val="24"/>
              <w:szCs w:val="24"/>
            </w:rPr>
            <w:fldChar w:fldCharType="separate"/>
          </w:r>
          <w:r>
            <w:rPr>
              <w:sz w:val="24"/>
              <w:szCs w:val="24"/>
            </w:rPr>
            <w:t>83</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_Toc12161 </w:instrText>
          </w:r>
          <w:r>
            <w:rPr>
              <w:rFonts w:hint="eastAsia" w:ascii="宋体" w:hAnsi="宋体" w:eastAsia="宋体" w:cs="宋体"/>
              <w:sz w:val="24"/>
              <w:szCs w:val="24"/>
            </w:rPr>
            <w:fldChar w:fldCharType="separate"/>
          </w: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、残疾人福利性单位声明</w:t>
          </w:r>
          <w:r>
            <w:rPr>
              <w:sz w:val="24"/>
              <w:szCs w:val="24"/>
            </w:rPr>
            <w:tab/>
          </w:r>
          <w:r>
            <w:rPr>
              <w:sz w:val="24"/>
              <w:szCs w:val="24"/>
            </w:rPr>
            <w:fldChar w:fldCharType="begin"/>
          </w:r>
          <w:r>
            <w:rPr>
              <w:sz w:val="24"/>
              <w:szCs w:val="24"/>
            </w:rPr>
            <w:instrText xml:space="preserve"> PAGEREF _Toc12161 \h </w:instrText>
          </w:r>
          <w:r>
            <w:rPr>
              <w:sz w:val="24"/>
              <w:szCs w:val="24"/>
            </w:rPr>
            <w:fldChar w:fldCharType="separate"/>
          </w:r>
          <w:r>
            <w:rPr>
              <w:sz w:val="24"/>
              <w:szCs w:val="24"/>
            </w:rPr>
            <w:t>87</w:t>
          </w:r>
          <w:r>
            <w:rPr>
              <w:sz w:val="24"/>
              <w:szCs w:val="24"/>
            </w:rPr>
            <w:fldChar w:fldCharType="end"/>
          </w:r>
          <w:r>
            <w:rPr>
              <w:rFonts w:hint="eastAsia" w:ascii="宋体" w:hAnsi="宋体" w:eastAsia="宋体" w:cs="宋体"/>
              <w:sz w:val="24"/>
              <w:szCs w:val="24"/>
            </w:rPr>
            <w:fldChar w:fldCharType="end"/>
          </w:r>
        </w:p>
        <w:p>
          <w:pPr>
            <w:pStyle w:val="28"/>
            <w:keepNext w:val="0"/>
            <w:keepLines w:val="0"/>
            <w:pageBreakBefore w:val="0"/>
            <w:widowControl/>
            <w:tabs>
              <w:tab w:val="right" w:leader="dot" w:pos="8300"/>
            </w:tabs>
            <w:kinsoku/>
            <w:wordWrap/>
            <w:overflowPunct/>
            <w:topLinePunct w:val="0"/>
            <w:autoSpaceDE/>
            <w:autoSpaceDN/>
            <w:bidi w:val="0"/>
            <w:adjustRightInd/>
            <w:snapToGrid/>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_Toc15535 </w:instrText>
          </w:r>
          <w:r>
            <w:rPr>
              <w:rFonts w:hint="eastAsia" w:ascii="宋体" w:hAnsi="宋体" w:eastAsia="宋体" w:cs="宋体"/>
              <w:sz w:val="24"/>
              <w:szCs w:val="24"/>
            </w:rPr>
            <w:fldChar w:fldCharType="separate"/>
          </w: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、监狱企业证明文件</w:t>
          </w:r>
          <w:r>
            <w:rPr>
              <w:sz w:val="24"/>
              <w:szCs w:val="24"/>
            </w:rPr>
            <w:tab/>
          </w:r>
          <w:r>
            <w:rPr>
              <w:sz w:val="24"/>
              <w:szCs w:val="24"/>
            </w:rPr>
            <w:fldChar w:fldCharType="begin"/>
          </w:r>
          <w:r>
            <w:rPr>
              <w:sz w:val="24"/>
              <w:szCs w:val="24"/>
            </w:rPr>
            <w:instrText xml:space="preserve"> PAGEREF _Toc15535 \h </w:instrText>
          </w:r>
          <w:r>
            <w:rPr>
              <w:sz w:val="24"/>
              <w:szCs w:val="24"/>
            </w:rPr>
            <w:fldChar w:fldCharType="separate"/>
          </w:r>
          <w:r>
            <w:rPr>
              <w:sz w:val="24"/>
              <w:szCs w:val="24"/>
            </w:rPr>
            <w:t>87</w:t>
          </w:r>
          <w:r>
            <w:rPr>
              <w:sz w:val="24"/>
              <w:szCs w:val="24"/>
            </w:rPr>
            <w:fldChar w:fldCharType="end"/>
          </w:r>
          <w:r>
            <w:rPr>
              <w:rFonts w:hint="eastAsia" w:ascii="宋体" w:hAnsi="宋体" w:eastAsia="宋体" w:cs="宋体"/>
              <w:sz w:val="24"/>
              <w:szCs w:val="24"/>
            </w:rPr>
            <w:fldChar w:fldCharType="end"/>
          </w:r>
        </w:p>
        <w:p>
          <w:pPr>
            <w:rPr>
              <w:rFonts w:hint="eastAsia" w:ascii="宋体" w:hAnsi="宋体" w:eastAsia="宋体" w:cs="宋体"/>
            </w:rPr>
          </w:pPr>
          <w:r>
            <w:rPr>
              <w:rFonts w:hint="eastAsia" w:ascii="宋体" w:hAnsi="宋体" w:eastAsia="宋体" w:cs="宋体"/>
              <w:szCs w:val="24"/>
            </w:rPr>
            <w:fldChar w:fldCharType="end"/>
          </w:r>
        </w:p>
      </w:sdtContent>
    </w:sdt>
    <w:p>
      <w:pPr>
        <w:pStyle w:val="4"/>
        <w:tabs>
          <w:tab w:val="center" w:pos="4158"/>
          <w:tab w:val="left" w:pos="6761"/>
        </w:tabs>
        <w:jc w:val="left"/>
        <w:rPr>
          <w:rFonts w:hint="eastAsia" w:ascii="宋体" w:hAnsi="宋体" w:eastAsia="宋体" w:cs="宋体"/>
          <w:lang w:eastAsia="zh-CN"/>
        </w:rPr>
      </w:pPr>
      <w:r>
        <w:rPr>
          <w:rFonts w:hint="eastAsia" w:ascii="宋体" w:hAnsi="宋体" w:eastAsia="宋体" w:cs="宋体"/>
          <w:lang w:eastAsia="zh-CN"/>
        </w:rPr>
        <w:tab/>
      </w:r>
      <w:bookmarkStart w:id="1" w:name="_Toc8703"/>
    </w:p>
    <w:p>
      <w:pPr>
        <w:rPr>
          <w:rFonts w:hint="eastAsia" w:ascii="宋体" w:hAnsi="宋体" w:eastAsia="宋体" w:cs="宋体"/>
          <w:lang w:eastAsia="zh-CN"/>
        </w:rPr>
      </w:pPr>
      <w:r>
        <w:rPr>
          <w:rFonts w:hint="eastAsia" w:ascii="宋体" w:hAnsi="宋体" w:eastAsia="宋体" w:cs="宋体"/>
          <w:lang w:eastAsia="zh-CN"/>
        </w:rPr>
        <w:br w:type="page"/>
      </w:r>
    </w:p>
    <w:p>
      <w:pPr>
        <w:pStyle w:val="4"/>
        <w:tabs>
          <w:tab w:val="center" w:pos="4158"/>
          <w:tab w:val="left" w:pos="6761"/>
        </w:tabs>
        <w:jc w:val="center"/>
        <w:rPr>
          <w:rFonts w:hint="eastAsia" w:ascii="宋体" w:hAnsi="宋体" w:eastAsia="宋体" w:cs="宋体"/>
          <w:lang w:eastAsia="zh-CN"/>
        </w:rPr>
      </w:pPr>
      <w:r>
        <w:rPr>
          <w:rFonts w:hint="eastAsia" w:ascii="宋体" w:hAnsi="宋体" w:eastAsia="宋体" w:cs="宋体"/>
        </w:rPr>
        <w:t>第一章  投标邀请函</w:t>
      </w:r>
      <w:bookmarkEnd w:id="0"/>
      <w:bookmarkEnd w:id="1"/>
    </w:p>
    <w:p>
      <w:pPr>
        <w:pStyle w:val="9"/>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Chars="-348" w:right="0" w:rightChars="0" w:firstLine="864" w:firstLineChars="300"/>
        <w:jc w:val="left"/>
        <w:textAlignment w:val="baseline"/>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项目概况</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00" w:type="dxa"/>
            <w:noWrap w:val="0"/>
            <w:vAlign w:val="top"/>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eastAsia="宋体" w:cs="宋体"/>
                <w:b w:val="0"/>
                <w:bCs w:val="0"/>
                <w:sz w:val="28"/>
                <w:szCs w:val="28"/>
                <w:lang w:val="en-US" w:eastAsia="zh-CN" w:bidi="ar-SA"/>
              </w:rPr>
              <w:t>成分科耗材采购项目（二次）</w:t>
            </w:r>
            <w:r>
              <w:rPr>
                <w:rFonts w:hint="eastAsia" w:ascii="宋体" w:hAnsi="宋体" w:eastAsia="宋体" w:cs="宋体"/>
                <w:b w:val="0"/>
                <w:bCs w:val="0"/>
                <w:sz w:val="28"/>
                <w:szCs w:val="28"/>
                <w:lang w:val="en-US" w:eastAsia="zh-CN" w:bidi="ar-SA"/>
              </w:rPr>
              <w:t>招标项目的潜在投标人应在全国公共资源交易平台（陕西省·西安市）网站〖首页〉电子交易平台〉陕西政府采购交易系统〉企业端〗获取招标文件，并于2022年0</w:t>
            </w:r>
            <w:r>
              <w:rPr>
                <w:rFonts w:hint="eastAsia" w:eastAsia="宋体" w:cs="宋体"/>
                <w:b w:val="0"/>
                <w:bCs w:val="0"/>
                <w:sz w:val="28"/>
                <w:szCs w:val="28"/>
                <w:lang w:val="en-US" w:eastAsia="zh-CN" w:bidi="ar-SA"/>
              </w:rPr>
              <w:t>8</w:t>
            </w:r>
            <w:r>
              <w:rPr>
                <w:rFonts w:hint="eastAsia" w:ascii="宋体" w:hAnsi="宋体" w:eastAsia="宋体" w:cs="宋体"/>
                <w:b w:val="0"/>
                <w:bCs w:val="0"/>
                <w:sz w:val="28"/>
                <w:szCs w:val="28"/>
                <w:lang w:val="en-US" w:eastAsia="zh-CN" w:bidi="ar-SA"/>
              </w:rPr>
              <w:t>月</w:t>
            </w:r>
            <w:r>
              <w:rPr>
                <w:rFonts w:hint="eastAsia" w:eastAsia="宋体" w:cs="宋体"/>
                <w:b w:val="0"/>
                <w:bCs w:val="0"/>
                <w:sz w:val="28"/>
                <w:szCs w:val="28"/>
                <w:lang w:val="en-US" w:eastAsia="zh-CN" w:bidi="ar-SA"/>
              </w:rPr>
              <w:t>23</w:t>
            </w:r>
            <w:r>
              <w:rPr>
                <w:rFonts w:hint="eastAsia" w:ascii="宋体" w:hAnsi="宋体" w:eastAsia="宋体" w:cs="宋体"/>
                <w:b w:val="0"/>
                <w:bCs w:val="0"/>
                <w:sz w:val="28"/>
                <w:szCs w:val="28"/>
                <w:lang w:val="en-US" w:eastAsia="zh-CN" w:bidi="ar-SA"/>
              </w:rPr>
              <w:t xml:space="preserve">日 </w:t>
            </w:r>
            <w:r>
              <w:rPr>
                <w:rFonts w:hint="eastAsia" w:eastAsia="宋体" w:cs="宋体"/>
                <w:b w:val="0"/>
                <w:bCs w:val="0"/>
                <w:sz w:val="28"/>
                <w:szCs w:val="28"/>
                <w:lang w:val="en-US" w:eastAsia="zh-CN" w:bidi="ar-SA"/>
              </w:rPr>
              <w:t>09</w:t>
            </w:r>
            <w:r>
              <w:rPr>
                <w:rFonts w:hint="eastAsia" w:ascii="宋体" w:hAnsi="宋体" w:eastAsia="宋体" w:cs="宋体"/>
                <w:b w:val="0"/>
                <w:bCs w:val="0"/>
                <w:sz w:val="28"/>
                <w:szCs w:val="28"/>
                <w:lang w:val="en-US" w:eastAsia="zh-CN" w:bidi="ar-SA"/>
              </w:rPr>
              <w:t>时</w:t>
            </w:r>
            <w:r>
              <w:rPr>
                <w:rFonts w:hint="eastAsia" w:eastAsia="宋体" w:cs="宋体"/>
                <w:b w:val="0"/>
                <w:bCs w:val="0"/>
                <w:sz w:val="28"/>
                <w:szCs w:val="28"/>
                <w:lang w:val="en-US" w:eastAsia="zh-CN" w:bidi="ar-SA"/>
              </w:rPr>
              <w:t>3</w:t>
            </w:r>
            <w:r>
              <w:rPr>
                <w:rFonts w:hint="eastAsia" w:ascii="宋体" w:hAnsi="宋体" w:eastAsia="宋体" w:cs="宋体"/>
                <w:b w:val="0"/>
                <w:bCs w:val="0"/>
                <w:sz w:val="28"/>
                <w:szCs w:val="28"/>
                <w:lang w:val="en-US" w:eastAsia="zh-CN" w:bidi="ar-SA"/>
              </w:rPr>
              <w:t>0分（北京时间）前递交投标文件。</w:t>
            </w:r>
          </w:p>
        </w:tc>
      </w:tr>
    </w:tbl>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Chars="0" w:right="0" w:rightChars="0"/>
        <w:jc w:val="left"/>
        <w:textAlignment w:val="baseline"/>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一、项目基本情况</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项目编号：</w:t>
      </w:r>
      <w:r>
        <w:rPr>
          <w:rFonts w:hint="eastAsia" w:eastAsia="宋体" w:cs="宋体"/>
          <w:b w:val="0"/>
          <w:bCs w:val="0"/>
          <w:sz w:val="28"/>
          <w:szCs w:val="28"/>
          <w:lang w:val="en-US" w:eastAsia="zh-CN" w:bidi="ar-SA"/>
        </w:rPr>
        <w:t>ZMZB2022ZXXZ-85R</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项目名称：</w:t>
      </w:r>
      <w:r>
        <w:rPr>
          <w:rFonts w:hint="eastAsia" w:eastAsia="宋体" w:cs="宋体"/>
          <w:b w:val="0"/>
          <w:bCs w:val="0"/>
          <w:sz w:val="28"/>
          <w:szCs w:val="28"/>
          <w:lang w:val="en-US" w:eastAsia="zh-CN" w:bidi="ar-SA"/>
        </w:rPr>
        <w:t>成分科耗材采购项目（二次）</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采购方式：公开招标</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预算金额：</w:t>
      </w:r>
      <w:r>
        <w:rPr>
          <w:rFonts w:hint="eastAsia" w:eastAsia="宋体" w:cs="宋体"/>
          <w:b w:val="0"/>
          <w:bCs w:val="0"/>
          <w:sz w:val="28"/>
          <w:szCs w:val="28"/>
          <w:lang w:val="en-US" w:eastAsia="zh-CN" w:bidi="ar-SA"/>
        </w:rPr>
        <w:t>559000.00</w:t>
      </w:r>
      <w:r>
        <w:rPr>
          <w:rFonts w:hint="eastAsia" w:ascii="宋体" w:hAnsi="宋体" w:eastAsia="宋体" w:cs="宋体"/>
          <w:b w:val="0"/>
          <w:bCs w:val="0"/>
          <w:sz w:val="28"/>
          <w:szCs w:val="28"/>
          <w:lang w:val="en-US" w:eastAsia="zh-CN" w:bidi="ar-SA"/>
        </w:rPr>
        <w:t>元</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采购需求：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w:t>
      </w:r>
      <w:r>
        <w:rPr>
          <w:rFonts w:hint="eastAsia" w:eastAsia="宋体" w:cs="宋体"/>
          <w:b w:val="0"/>
          <w:bCs w:val="0"/>
          <w:sz w:val="28"/>
          <w:szCs w:val="28"/>
          <w:lang w:val="en-US" w:eastAsia="zh-CN" w:bidi="ar-SA"/>
        </w:rPr>
        <w:t>1</w:t>
      </w:r>
      <w:r>
        <w:rPr>
          <w:rFonts w:hint="eastAsia" w:ascii="宋体" w:hAnsi="宋体" w:eastAsia="宋体" w:cs="宋体"/>
          <w:b w:val="0"/>
          <w:bCs w:val="0"/>
          <w:sz w:val="28"/>
          <w:szCs w:val="28"/>
          <w:lang w:val="en-US" w:eastAsia="zh-CN" w:bidi="ar-SA"/>
        </w:rPr>
        <w:t>(</w:t>
      </w:r>
      <w:r>
        <w:rPr>
          <w:rFonts w:hint="eastAsia" w:eastAsia="宋体" w:cs="宋体"/>
          <w:b w:val="0"/>
          <w:bCs w:val="0"/>
          <w:sz w:val="28"/>
          <w:szCs w:val="28"/>
          <w:lang w:val="en-US" w:eastAsia="zh-CN" w:bidi="ar-SA"/>
        </w:rPr>
        <w:t>第7标段：</w:t>
      </w:r>
      <w:r>
        <w:rPr>
          <w:rFonts w:hint="eastAsia" w:ascii="宋体" w:hAnsi="宋体" w:eastAsia="宋体" w:cs="宋体"/>
          <w:b w:val="0"/>
          <w:bCs w:val="0"/>
          <w:sz w:val="28"/>
          <w:szCs w:val="28"/>
          <w:lang w:val="en-US" w:eastAsia="zh-CN" w:bidi="ar-SA"/>
        </w:rPr>
        <w:t>血浆外包装袋):</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合同包预算金额：</w:t>
      </w:r>
      <w:r>
        <w:rPr>
          <w:rFonts w:hint="eastAsia" w:ascii="宋体" w:hAnsi="宋体" w:eastAsia="宋体" w:cs="宋体"/>
          <w:sz w:val="28"/>
          <w:szCs w:val="28"/>
        </w:rPr>
        <w:t>445000</w:t>
      </w:r>
      <w:r>
        <w:rPr>
          <w:rFonts w:hint="eastAsia" w:ascii="宋体" w:hAnsi="宋体" w:eastAsia="宋体" w:cs="宋体"/>
          <w:sz w:val="28"/>
          <w:szCs w:val="28"/>
          <w:lang w:val="en-US" w:eastAsia="zh-CN"/>
        </w:rPr>
        <w:t>.00</w:t>
      </w:r>
      <w:r>
        <w:rPr>
          <w:rFonts w:hint="eastAsia" w:ascii="宋体" w:hAnsi="宋体" w:eastAsia="宋体" w:cs="宋体"/>
          <w:sz w:val="28"/>
          <w:szCs w:val="28"/>
          <w:lang w:val="zh-CN"/>
        </w:rPr>
        <w:t>元</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合同包最高限价：</w:t>
      </w:r>
      <w:r>
        <w:rPr>
          <w:rFonts w:hint="eastAsia" w:ascii="宋体" w:hAnsi="宋体" w:eastAsia="宋体" w:cs="宋体"/>
          <w:sz w:val="28"/>
          <w:szCs w:val="28"/>
        </w:rPr>
        <w:t>445000</w:t>
      </w:r>
      <w:r>
        <w:rPr>
          <w:rFonts w:hint="eastAsia" w:ascii="宋体" w:hAnsi="宋体" w:eastAsia="宋体" w:cs="宋体"/>
          <w:sz w:val="28"/>
          <w:szCs w:val="28"/>
          <w:lang w:val="en-US" w:eastAsia="zh-CN"/>
        </w:rPr>
        <w:t>.00</w:t>
      </w:r>
      <w:r>
        <w:rPr>
          <w:rFonts w:hint="eastAsia" w:ascii="宋体" w:hAnsi="宋体" w:eastAsia="宋体" w:cs="宋体"/>
          <w:sz w:val="28"/>
          <w:szCs w:val="28"/>
          <w:lang w:val="zh-CN"/>
        </w:rPr>
        <w:t>元</w:t>
      </w:r>
    </w:p>
    <w:tbl>
      <w:tblPr>
        <w:tblStyle w:val="34"/>
        <w:tblW w:w="9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37"/>
        <w:gridCol w:w="1611"/>
        <w:gridCol w:w="1332"/>
        <w:gridCol w:w="1095"/>
        <w:gridCol w:w="1350"/>
        <w:gridCol w:w="1768"/>
        <w:gridCol w:w="1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品目号</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96" w:firstLineChars="20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品目</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名称</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采购标的</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数量</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品目预算(元)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eastAsia="宋体" w:cs="宋体"/>
                <w:b w:val="0"/>
                <w:bCs w:val="0"/>
                <w:sz w:val="24"/>
                <w:szCs w:val="24"/>
                <w:lang w:val="en-US" w:eastAsia="zh-CN" w:bidi="ar-SA"/>
              </w:rPr>
              <w:t>1</w:t>
            </w:r>
            <w:r>
              <w:rPr>
                <w:rFonts w:hint="eastAsia" w:ascii="宋体" w:hAnsi="宋体" w:eastAsia="宋体" w:cs="宋体"/>
                <w:b w:val="0"/>
                <w:bCs w:val="0"/>
                <w:sz w:val="24"/>
                <w:szCs w:val="24"/>
                <w:lang w:val="en-US" w:eastAsia="zh-CN" w:bidi="ar-SA"/>
              </w:rPr>
              <w:t>-1</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其他医用材料</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血浆外包装袋</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250,000(个)</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445000.00元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445000.00元</w:t>
            </w:r>
          </w:p>
        </w:tc>
      </w:tr>
    </w:tbl>
    <w:p>
      <w:pPr>
        <w:keepNext w:val="0"/>
        <w:keepLines w:val="0"/>
        <w:pageBreakBefore w:val="0"/>
        <w:widowControl w:val="0"/>
        <w:kinsoku/>
        <w:wordWrap/>
        <w:overflowPunct/>
        <w:topLinePunct w:val="0"/>
        <w:autoSpaceDE/>
        <w:autoSpaceDN/>
        <w:bidi w:val="0"/>
        <w:adjustRightInd/>
        <w:snapToGrid/>
        <w:spacing w:line="360" w:lineRule="auto"/>
        <w:ind w:firstLine="576"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576"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 xml:space="preserve">合同履行期限：自合同签订后到该项目质保期结束（具体服务起止日期可随合同签订时间相应顺延） </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w:t>
      </w:r>
      <w:r>
        <w:rPr>
          <w:rFonts w:hint="eastAsia" w:eastAsia="宋体" w:cs="宋体"/>
          <w:b w:val="0"/>
          <w:bCs w:val="0"/>
          <w:sz w:val="28"/>
          <w:szCs w:val="28"/>
          <w:lang w:val="en-US" w:eastAsia="zh-CN" w:bidi="ar-SA"/>
        </w:rPr>
        <w:t>2</w:t>
      </w:r>
      <w:r>
        <w:rPr>
          <w:rFonts w:hint="eastAsia" w:ascii="宋体" w:hAnsi="宋体" w:eastAsia="宋体" w:cs="宋体"/>
          <w:b w:val="0"/>
          <w:bCs w:val="0"/>
          <w:sz w:val="28"/>
          <w:szCs w:val="28"/>
          <w:lang w:val="en-US" w:eastAsia="zh-CN" w:bidi="ar-SA"/>
        </w:rPr>
        <w:t>(</w:t>
      </w:r>
      <w:r>
        <w:rPr>
          <w:rFonts w:hint="eastAsia" w:eastAsia="宋体" w:cs="宋体"/>
          <w:b w:val="0"/>
          <w:bCs w:val="0"/>
          <w:sz w:val="28"/>
          <w:szCs w:val="28"/>
          <w:lang w:val="en-US" w:eastAsia="zh-CN" w:bidi="ar-SA"/>
        </w:rPr>
        <w:t>第8标段：</w:t>
      </w:r>
      <w:r>
        <w:rPr>
          <w:rFonts w:hint="eastAsia" w:ascii="宋体" w:hAnsi="宋体" w:eastAsia="宋体" w:cs="宋体"/>
          <w:b w:val="0"/>
          <w:bCs w:val="0"/>
          <w:sz w:val="28"/>
          <w:szCs w:val="28"/>
          <w:lang w:val="en-US" w:eastAsia="zh-CN" w:bidi="ar-SA"/>
        </w:rPr>
        <w:t>机制解冻去甘油红细胞耗材ACP235、机制冰冻红细胞耗材ACP225):</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合同包预算金额：</w:t>
      </w:r>
      <w:r>
        <w:rPr>
          <w:rFonts w:hint="eastAsia" w:ascii="宋体" w:hAnsi="宋体" w:eastAsia="宋体" w:cs="宋体"/>
          <w:sz w:val="28"/>
          <w:szCs w:val="28"/>
          <w:lang w:val="en-US" w:eastAsia="zh-CN"/>
        </w:rPr>
        <w:t>114000.00元</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合同包最高限价：</w:t>
      </w:r>
      <w:r>
        <w:rPr>
          <w:rFonts w:hint="eastAsia" w:ascii="宋体" w:hAnsi="宋体" w:eastAsia="宋体" w:cs="宋体"/>
          <w:sz w:val="28"/>
          <w:szCs w:val="28"/>
          <w:lang w:val="en-US" w:eastAsia="zh-CN"/>
        </w:rPr>
        <w:t>114000.00元</w:t>
      </w:r>
    </w:p>
    <w:tbl>
      <w:tblPr>
        <w:tblStyle w:val="34"/>
        <w:tblW w:w="9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37"/>
        <w:gridCol w:w="1611"/>
        <w:gridCol w:w="1332"/>
        <w:gridCol w:w="1095"/>
        <w:gridCol w:w="1350"/>
        <w:gridCol w:w="1768"/>
        <w:gridCol w:w="1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品目号</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96" w:firstLineChars="20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品目</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名称</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采购标的</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数量</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品目预算(元)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lang w:val="en-US" w:eastAsia="zh-CN" w:bidi="ar-SA"/>
              </w:rPr>
            </w:pPr>
            <w:r>
              <w:rPr>
                <w:rFonts w:hint="eastAsia"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-1</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其他医用材料</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机制解冻去甘油红细胞耗材（ACP235）</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200(套)</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firstLine="0" w:firstLineChars="0"/>
              <w:jc w:val="righ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90,000.00</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firstLine="0" w:firstLineChars="0"/>
              <w:jc w:val="righ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default" w:ascii="宋体" w:hAnsi="宋体" w:eastAsia="宋体" w:cs="宋体"/>
                <w:b w:val="0"/>
                <w:bCs w:val="0"/>
                <w:sz w:val="24"/>
                <w:szCs w:val="24"/>
                <w:lang w:val="en-US" w:eastAsia="zh-CN" w:bidi="ar-SA"/>
              </w:rPr>
            </w:pPr>
            <w:r>
              <w:rPr>
                <w:rFonts w:hint="eastAsia" w:eastAsia="宋体" w:cs="宋体"/>
                <w:b w:val="0"/>
                <w:bCs w:val="0"/>
                <w:sz w:val="24"/>
                <w:szCs w:val="24"/>
                <w:lang w:val="en-US" w:eastAsia="zh-CN" w:bidi="ar-SA"/>
              </w:rPr>
              <w:t>2-2</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其他医用材料</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机制冰冻红细胞耗材ACP225</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200(套)</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firstLine="0" w:firstLineChars="0"/>
              <w:jc w:val="righ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24,000.00</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24,000.00</w:t>
            </w:r>
          </w:p>
        </w:tc>
      </w:tr>
    </w:tbl>
    <w:p>
      <w:pPr>
        <w:keepNext w:val="0"/>
        <w:keepLines w:val="0"/>
        <w:pageBreakBefore w:val="0"/>
        <w:widowControl w:val="0"/>
        <w:kinsoku/>
        <w:wordWrap/>
        <w:overflowPunct/>
        <w:topLinePunct w:val="0"/>
        <w:autoSpaceDE/>
        <w:autoSpaceDN/>
        <w:bidi w:val="0"/>
        <w:adjustRightInd/>
        <w:snapToGrid/>
        <w:spacing w:line="360" w:lineRule="auto"/>
        <w:ind w:firstLine="576"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本合同包不接受联合体投标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Chars="0" w:right="0" w:rightChars="0"/>
        <w:jc w:val="left"/>
        <w:textAlignment w:val="baseline"/>
        <w:outlineLvl w:val="9"/>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合同履行期限：自合同签订后到该项目质保期结束（具体服务起止日期可随合同签订时间相应顺延）</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Chars="0" w:right="0" w:rightChars="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二、申请人的资格要求：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1.满足《中华人民共和国政府釆购法》第二十二条规定;</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2.落实政府采购政策需满足的资格要求：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w:t>
      </w:r>
      <w:r>
        <w:rPr>
          <w:rFonts w:hint="eastAsia" w:eastAsia="宋体" w:cs="宋体"/>
          <w:b w:val="0"/>
          <w:bCs w:val="0"/>
          <w:sz w:val="28"/>
          <w:szCs w:val="28"/>
          <w:lang w:val="en-US" w:eastAsia="zh-CN" w:bidi="ar-SA"/>
        </w:rPr>
        <w:t>1</w:t>
      </w:r>
      <w:r>
        <w:rPr>
          <w:rFonts w:hint="eastAsia" w:ascii="宋体" w:hAnsi="宋体" w:eastAsia="宋体" w:cs="宋体"/>
          <w:b w:val="0"/>
          <w:bCs w:val="0"/>
          <w:sz w:val="28"/>
          <w:szCs w:val="28"/>
          <w:lang w:val="en-US" w:eastAsia="zh-CN" w:bidi="ar-SA"/>
        </w:rPr>
        <w:t>(</w:t>
      </w:r>
      <w:r>
        <w:rPr>
          <w:rFonts w:hint="eastAsia" w:eastAsia="宋体" w:cs="宋体"/>
          <w:b w:val="0"/>
          <w:bCs w:val="0"/>
          <w:sz w:val="28"/>
          <w:szCs w:val="28"/>
          <w:lang w:val="en-US" w:eastAsia="zh-CN" w:bidi="ar-SA"/>
        </w:rPr>
        <w:t>第7标段：</w:t>
      </w:r>
      <w:r>
        <w:rPr>
          <w:rFonts w:hint="eastAsia" w:ascii="宋体" w:hAnsi="宋体" w:eastAsia="宋体" w:cs="宋体"/>
          <w:b w:val="0"/>
          <w:bCs w:val="0"/>
          <w:sz w:val="28"/>
          <w:szCs w:val="28"/>
          <w:lang w:val="en-US" w:eastAsia="zh-CN" w:bidi="ar-SA"/>
        </w:rPr>
        <w:t>血浆外包装袋)落实政府采购政策需满足的资格要求如下:</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（1）《政府采购促进中小企业发展管理办法》（财库〔2020〕46号）； </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（2）《财政部 司法部关于政府采购支持监狱企业发展有关问题的通知》（财库〔2014〕68号）；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（3）《国务院办公厅关于建立政府强制采购节能产品制度的通知》（国办发〔2007〕51号）；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（4）《财政部 国家发展改革委关于印发〈节能产品政府采购实施意见〉的通知》（财库〔2004〕185号）；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（5）《财政部环保总局关于环境标志产品政府采购实施的意见》（财库〔2006〕90号；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（6）《三部门联合发布关于促进残疾人就业政府采购政策的通知》（财库〔2017〕141号）。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（7）《财政部 发展改革委 生态环境部 市场监管总局关于调整优化节能产品、环境标志产品政府采购执行机制的通知》（财库〔2019〕9号）；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（8）陕西省财政厅关于印发《陕西省中小企业政府采购信用融资办法》（陕财办采〔2018〕23号）。</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w:t>
      </w:r>
      <w:r>
        <w:rPr>
          <w:rFonts w:hint="eastAsia" w:eastAsia="宋体" w:cs="宋体"/>
          <w:b w:val="0"/>
          <w:bCs w:val="0"/>
          <w:sz w:val="28"/>
          <w:szCs w:val="28"/>
          <w:lang w:val="en-US" w:eastAsia="zh-CN" w:bidi="ar-SA"/>
        </w:rPr>
        <w:t>2</w:t>
      </w:r>
      <w:r>
        <w:rPr>
          <w:rFonts w:hint="eastAsia" w:ascii="宋体" w:hAnsi="宋体" w:eastAsia="宋体" w:cs="宋体"/>
          <w:b w:val="0"/>
          <w:bCs w:val="0"/>
          <w:sz w:val="28"/>
          <w:szCs w:val="28"/>
          <w:lang w:val="en-US" w:eastAsia="zh-CN" w:bidi="ar-SA"/>
        </w:rPr>
        <w:t>(</w:t>
      </w:r>
      <w:r>
        <w:rPr>
          <w:rFonts w:hint="eastAsia" w:eastAsia="宋体" w:cs="宋体"/>
          <w:b w:val="0"/>
          <w:bCs w:val="0"/>
          <w:sz w:val="28"/>
          <w:szCs w:val="28"/>
          <w:lang w:val="en-US" w:eastAsia="zh-CN" w:bidi="ar-SA"/>
        </w:rPr>
        <w:t>第8标段：</w:t>
      </w:r>
      <w:r>
        <w:rPr>
          <w:rFonts w:hint="eastAsia" w:ascii="宋体" w:hAnsi="宋体" w:eastAsia="宋体" w:cs="宋体"/>
          <w:b w:val="0"/>
          <w:bCs w:val="0"/>
          <w:sz w:val="28"/>
          <w:szCs w:val="28"/>
          <w:lang w:val="en-US" w:eastAsia="zh-CN" w:bidi="ar-SA"/>
        </w:rPr>
        <w:t>机制解冻去甘油红细胞耗材ACP235、机制冰冻红细胞耗材ACP225)落实政府采购政策需满足的资格要求如下:</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（1）《政府采购促进中小企业发展管理办法》（财库〔2020〕46号）； </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（2）《财政部 司法部关于政府采购支持监狱企业发展有关问题的通知》（财库〔2014〕68号）；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（3）《国务院办公厅关于建立政府强制采购节能产品制度的通知》（国办发〔2007〕51号）；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（4）《财政部 国家发展改革委关于印发〈节能产品政府采购实施意见〉的通知》（财库〔2004〕185号）；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（5）《财政部环保总局关于环境标志产品政府采购实施的意见》（财库〔2006〕90号；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（6）《三部门联合发布关于促进残疾人就业政府采购政策的通知》（财库〔2017〕141号）。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（7）《财政部 发展改革委 生态环境部 市场监管总局关于调整优化节能产品、环境标志产品政府采购执行机制的通知》（财库〔2019〕9号）；</w:t>
      </w:r>
      <w:r>
        <w:rPr>
          <w:rFonts w:hint="eastAsia" w:ascii="宋体" w:hAnsi="宋体" w:eastAsia="宋体" w:cs="宋体"/>
          <w:b w:val="0"/>
          <w:bCs w:val="0"/>
          <w:sz w:val="28"/>
          <w:szCs w:val="28"/>
          <w:lang w:val="en-US" w:eastAsia="zh-CN" w:bidi="ar-SA"/>
        </w:rPr>
        <w:br w:type="textWrapping"/>
      </w:r>
      <w:r>
        <w:rPr>
          <w:rFonts w:hint="eastAsia" w:ascii="宋体" w:hAnsi="宋体" w:eastAsia="宋体" w:cs="宋体"/>
          <w:b w:val="0"/>
          <w:bCs w:val="0"/>
          <w:sz w:val="28"/>
          <w:szCs w:val="28"/>
          <w:lang w:val="en-US" w:eastAsia="zh-CN" w:bidi="ar-SA"/>
        </w:rPr>
        <w:t>（8）陕西省财政厅关于印发《陕西省中小企业政府采购信用融资办法》（陕财办采〔2018〕23号）。</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3.本项目的特定资格要求：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w:t>
      </w:r>
      <w:r>
        <w:rPr>
          <w:rFonts w:hint="eastAsia" w:eastAsia="宋体" w:cs="宋体"/>
          <w:b w:val="0"/>
          <w:bCs w:val="0"/>
          <w:sz w:val="28"/>
          <w:szCs w:val="28"/>
          <w:lang w:val="en-US" w:eastAsia="zh-CN" w:bidi="ar-SA"/>
        </w:rPr>
        <w:t>1</w:t>
      </w:r>
      <w:r>
        <w:rPr>
          <w:rFonts w:hint="eastAsia" w:ascii="宋体" w:hAnsi="宋体" w:eastAsia="宋体" w:cs="宋体"/>
          <w:b w:val="0"/>
          <w:bCs w:val="0"/>
          <w:sz w:val="28"/>
          <w:szCs w:val="28"/>
          <w:lang w:val="en-US" w:eastAsia="zh-CN" w:bidi="ar-SA"/>
        </w:rPr>
        <w:t>(</w:t>
      </w:r>
      <w:r>
        <w:rPr>
          <w:rFonts w:hint="eastAsia" w:eastAsia="宋体" w:cs="宋体"/>
          <w:b w:val="0"/>
          <w:bCs w:val="0"/>
          <w:sz w:val="28"/>
          <w:szCs w:val="28"/>
          <w:lang w:val="en-US" w:eastAsia="zh-CN" w:bidi="ar-SA"/>
        </w:rPr>
        <w:t>第7标段：</w:t>
      </w:r>
      <w:r>
        <w:rPr>
          <w:rFonts w:hint="eastAsia" w:ascii="宋体" w:hAnsi="宋体" w:eastAsia="宋体" w:cs="宋体"/>
          <w:b w:val="0"/>
          <w:bCs w:val="0"/>
          <w:sz w:val="28"/>
          <w:szCs w:val="28"/>
          <w:lang w:val="en-US" w:eastAsia="zh-CN" w:bidi="ar-SA"/>
        </w:rPr>
        <w:t>血浆外包装袋)特定资格要求如下:</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（1）具有独立承担民事责任能力的法人、其他组织或自然人，提供合法有效的统一社会信用代码营业执照（事业单位提供事业单位法人证书，自然人应提供身份证）；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2）财务状况证明：供应商提供2020年度或2021年度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（3）社会保障资金缴纳证明：提供2021年9月以来至少一个月的社会保障资金缴存单据或社保机构开具的社会保险参保缴费情况证明。依法不需要缴纳社会保障资金的供应商应提供相关文件证明；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（4）税收缴纳证明：提供2021年9月以来至少一个月的纳税证明或完税证明，依法免税的单位应提供相关证明材料；</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（5）法定代表人授权委托书（法定代表人参加响应时,只需提供法定代表人身份证）； </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（6）参加政府采购活动前3年内在经营活动中没有重大违法记录的书面声明；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yellow"/>
          <w:lang w:val="en-US" w:eastAsia="zh-CN" w:bidi="ar-SA"/>
        </w:rPr>
      </w:pPr>
      <w:r>
        <w:rPr>
          <w:rFonts w:hint="eastAsia" w:ascii="宋体" w:hAnsi="宋体" w:eastAsia="宋体" w:cs="宋体"/>
          <w:sz w:val="28"/>
          <w:szCs w:val="28"/>
          <w:highlight w:val="none"/>
          <w:lang w:val="en-US" w:eastAsia="zh-CN" w:bidi="ar-SA"/>
        </w:rPr>
        <w:t xml:space="preserve">（7）具有履行合同所必需的设备和专业技术能力的书面声明；   </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8"/>
          <w:szCs w:val="28"/>
          <w:lang w:val="en-US" w:eastAsia="zh-CN" w:bidi="ar-SA"/>
        </w:rPr>
      </w:pPr>
      <w:r>
        <w:rPr>
          <w:rFonts w:hint="eastAsia" w:ascii="宋体" w:hAnsi="宋体" w:eastAsia="宋体" w:cs="宋体"/>
          <w:sz w:val="28"/>
          <w:szCs w:val="28"/>
          <w:highlight w:val="none"/>
          <w:lang w:val="en-US" w:eastAsia="zh-CN" w:bidi="ar-SA"/>
        </w:rPr>
        <w:t>（8）本项目不接受联合体投标。</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合同包</w:t>
      </w:r>
      <w:r>
        <w:rPr>
          <w:rFonts w:hint="eastAsia" w:eastAsia="宋体" w:cs="宋体"/>
          <w:b w:val="0"/>
          <w:bCs w:val="0"/>
          <w:sz w:val="28"/>
          <w:szCs w:val="28"/>
          <w:lang w:val="en-US" w:eastAsia="zh-CN" w:bidi="ar-SA"/>
        </w:rPr>
        <w:t>2</w:t>
      </w:r>
      <w:r>
        <w:rPr>
          <w:rFonts w:hint="eastAsia" w:ascii="宋体" w:hAnsi="宋体" w:eastAsia="宋体" w:cs="宋体"/>
          <w:b w:val="0"/>
          <w:bCs w:val="0"/>
          <w:sz w:val="28"/>
          <w:szCs w:val="28"/>
          <w:lang w:val="en-US" w:eastAsia="zh-CN" w:bidi="ar-SA"/>
        </w:rPr>
        <w:t>(</w:t>
      </w:r>
      <w:r>
        <w:rPr>
          <w:rFonts w:hint="eastAsia" w:eastAsia="宋体" w:cs="宋体"/>
          <w:b w:val="0"/>
          <w:bCs w:val="0"/>
          <w:sz w:val="28"/>
          <w:szCs w:val="28"/>
          <w:lang w:val="en-US" w:eastAsia="zh-CN" w:bidi="ar-SA"/>
        </w:rPr>
        <w:t>第8标段：</w:t>
      </w:r>
      <w:r>
        <w:rPr>
          <w:rFonts w:hint="eastAsia" w:ascii="宋体" w:hAnsi="宋体" w:eastAsia="宋体" w:cs="宋体"/>
          <w:b w:val="0"/>
          <w:bCs w:val="0"/>
          <w:sz w:val="28"/>
          <w:szCs w:val="28"/>
          <w:lang w:val="en-US" w:eastAsia="zh-CN" w:bidi="ar-SA"/>
        </w:rPr>
        <w:t>机制解冻去甘油红细胞耗材ACP235、机制冰冻红细胞耗材ACP225)特定资格要求如下:</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（1）具有独立承担民事责任能力的法人、其他组织或自然人，提供合法有效的统一社会信用代码营业执照（事业单位提供事业单位法人证书，自然人应提供身份证）；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2）财务状况证明：供应商提供2020年度或2021年度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（3）社会保障资金缴纳证明：提供2021年9月以来至少一个月的社会保障资金缴存单据或社保机构开具的社会保险参保缴费情况证明。依法不需要缴纳社会保障资金的供应商应提供相关文件证明；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（4）税收缴纳证明：提供2021年9月以来至少一个月的纳税证明或完税证明，依法免税的单位应提供相关证明材料；</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（5）法定代表人授权委托书（法定代表人参加响应时,只需提供法定代表人身份证）； </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（6）参加政府采购活动前3年内在经营活动中没有重大违法记录的书面声明；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（7）具有履行合同所必需的设备和专业技术能力的书面声明；   </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8）第八标段：所投产品为医疗器械或药品的，提供医疗器械注册（备案）证或国药准字号证，供应商为生产厂家的须提供《医疗器械生产许可（备案）证》或《药品生产许可（备案）证》，供应商为代理商的须提供《医疗器械经营（备案）许可证》或《药品经营（备案）许可证》；</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8"/>
          <w:szCs w:val="28"/>
          <w:lang w:val="en-US" w:eastAsia="zh-CN" w:bidi="ar-SA"/>
        </w:rPr>
      </w:pPr>
      <w:r>
        <w:rPr>
          <w:rFonts w:hint="eastAsia" w:ascii="宋体" w:hAnsi="宋体" w:eastAsia="宋体" w:cs="宋体"/>
          <w:sz w:val="28"/>
          <w:szCs w:val="28"/>
          <w:highlight w:val="none"/>
          <w:lang w:val="en-US" w:eastAsia="zh-CN" w:bidi="ar-SA"/>
        </w:rPr>
        <w:t>（9）本项目不接受联合体投标。</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Chars="0" w:right="0" w:rightChars="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三、获取招标文件</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时间：2022年</w:t>
      </w:r>
      <w:r>
        <w:rPr>
          <w:rFonts w:hint="eastAsia" w:eastAsia="宋体" w:cs="宋体"/>
          <w:b w:val="0"/>
          <w:bCs w:val="0"/>
          <w:sz w:val="28"/>
          <w:szCs w:val="28"/>
          <w:lang w:val="en-US" w:eastAsia="zh-CN" w:bidi="ar-SA"/>
        </w:rPr>
        <w:t>08</w:t>
      </w:r>
      <w:r>
        <w:rPr>
          <w:rFonts w:hint="eastAsia" w:ascii="宋体" w:hAnsi="宋体" w:eastAsia="宋体" w:cs="宋体"/>
          <w:b w:val="0"/>
          <w:bCs w:val="0"/>
          <w:sz w:val="28"/>
          <w:szCs w:val="28"/>
          <w:lang w:val="en-US" w:eastAsia="zh-CN" w:bidi="ar-SA"/>
        </w:rPr>
        <w:t>月</w:t>
      </w:r>
      <w:r>
        <w:rPr>
          <w:rFonts w:hint="eastAsia" w:eastAsia="宋体" w:cs="宋体"/>
          <w:b w:val="0"/>
          <w:bCs w:val="0"/>
          <w:sz w:val="28"/>
          <w:szCs w:val="28"/>
          <w:lang w:val="en-US" w:eastAsia="zh-CN" w:bidi="ar-SA"/>
        </w:rPr>
        <w:t>02</w:t>
      </w:r>
      <w:r>
        <w:rPr>
          <w:rFonts w:hint="eastAsia" w:ascii="宋体" w:hAnsi="宋体" w:eastAsia="宋体" w:cs="宋体"/>
          <w:b w:val="0"/>
          <w:bCs w:val="0"/>
          <w:sz w:val="28"/>
          <w:szCs w:val="28"/>
          <w:lang w:val="en-US" w:eastAsia="zh-CN" w:bidi="ar-SA"/>
        </w:rPr>
        <w:t>日至2022年</w:t>
      </w:r>
      <w:r>
        <w:rPr>
          <w:rFonts w:hint="eastAsia" w:eastAsia="宋体" w:cs="宋体"/>
          <w:b w:val="0"/>
          <w:bCs w:val="0"/>
          <w:sz w:val="28"/>
          <w:szCs w:val="28"/>
          <w:lang w:val="en-US" w:eastAsia="zh-CN" w:bidi="ar-SA"/>
        </w:rPr>
        <w:t>08</w:t>
      </w:r>
      <w:r>
        <w:rPr>
          <w:rFonts w:hint="eastAsia" w:ascii="宋体" w:hAnsi="宋体" w:eastAsia="宋体" w:cs="宋体"/>
          <w:b w:val="0"/>
          <w:bCs w:val="0"/>
          <w:sz w:val="28"/>
          <w:szCs w:val="28"/>
          <w:lang w:val="en-US" w:eastAsia="zh-CN" w:bidi="ar-SA"/>
        </w:rPr>
        <w:t>月</w:t>
      </w:r>
      <w:r>
        <w:rPr>
          <w:rFonts w:hint="eastAsia" w:eastAsia="宋体" w:cs="宋体"/>
          <w:b w:val="0"/>
          <w:bCs w:val="0"/>
          <w:sz w:val="28"/>
          <w:szCs w:val="28"/>
          <w:lang w:val="en-US" w:eastAsia="zh-CN" w:bidi="ar-SA"/>
        </w:rPr>
        <w:t>08</w:t>
      </w:r>
      <w:r>
        <w:rPr>
          <w:rFonts w:hint="eastAsia" w:ascii="宋体" w:hAnsi="宋体" w:eastAsia="宋体" w:cs="宋体"/>
          <w:b w:val="0"/>
          <w:bCs w:val="0"/>
          <w:sz w:val="28"/>
          <w:szCs w:val="28"/>
          <w:lang w:val="en-US" w:eastAsia="zh-CN" w:bidi="ar-SA"/>
        </w:rPr>
        <w:t>日，每天上午</w:t>
      </w:r>
      <w:r>
        <w:rPr>
          <w:rFonts w:hint="eastAsia" w:eastAsia="宋体" w:cs="宋体"/>
          <w:b w:val="0"/>
          <w:bCs w:val="0"/>
          <w:sz w:val="28"/>
          <w:szCs w:val="28"/>
          <w:lang w:val="en-US" w:eastAsia="zh-CN" w:bidi="ar-SA"/>
        </w:rPr>
        <w:t>00</w:t>
      </w:r>
      <w:r>
        <w:rPr>
          <w:rFonts w:hint="eastAsia" w:ascii="宋体" w:hAnsi="宋体" w:eastAsia="宋体" w:cs="宋体"/>
          <w:b w:val="0"/>
          <w:bCs w:val="0"/>
          <w:sz w:val="28"/>
          <w:szCs w:val="28"/>
          <w:lang w:val="en-US" w:eastAsia="zh-CN" w:bidi="ar-SA"/>
        </w:rPr>
        <w:t>:00:0</w:t>
      </w:r>
      <w:r>
        <w:rPr>
          <w:rFonts w:hint="eastAsia" w:eastAsia="宋体" w:cs="宋体"/>
          <w:b w:val="0"/>
          <w:bCs w:val="0"/>
          <w:sz w:val="28"/>
          <w:szCs w:val="28"/>
          <w:lang w:val="en-US" w:eastAsia="zh-CN" w:bidi="ar-SA"/>
        </w:rPr>
        <w:t>0</w:t>
      </w:r>
      <w:r>
        <w:rPr>
          <w:rFonts w:hint="eastAsia" w:ascii="宋体" w:hAnsi="宋体" w:eastAsia="宋体" w:cs="宋体"/>
          <w:b w:val="0"/>
          <w:bCs w:val="0"/>
          <w:sz w:val="28"/>
          <w:szCs w:val="28"/>
          <w:lang w:val="en-US" w:eastAsia="zh-CN" w:bidi="ar-SA"/>
        </w:rPr>
        <w:t>至</w:t>
      </w:r>
      <w:r>
        <w:rPr>
          <w:rFonts w:hint="eastAsia" w:eastAsia="宋体" w:cs="宋体"/>
          <w:b w:val="0"/>
          <w:bCs w:val="0"/>
          <w:sz w:val="28"/>
          <w:szCs w:val="28"/>
          <w:lang w:val="en-US" w:eastAsia="zh-CN" w:bidi="ar-SA"/>
        </w:rPr>
        <w:t>12</w:t>
      </w:r>
      <w:r>
        <w:rPr>
          <w:rFonts w:hint="eastAsia" w:ascii="宋体" w:hAnsi="宋体" w:eastAsia="宋体" w:cs="宋体"/>
          <w:b w:val="0"/>
          <w:bCs w:val="0"/>
          <w:sz w:val="28"/>
          <w:szCs w:val="28"/>
          <w:lang w:val="en-US" w:eastAsia="zh-CN" w:bidi="ar-SA"/>
        </w:rPr>
        <w:t>:</w:t>
      </w:r>
      <w:r>
        <w:rPr>
          <w:rFonts w:hint="eastAsia" w:eastAsia="宋体" w:cs="宋体"/>
          <w:b w:val="0"/>
          <w:bCs w:val="0"/>
          <w:sz w:val="28"/>
          <w:szCs w:val="28"/>
          <w:lang w:val="en-US" w:eastAsia="zh-CN" w:bidi="ar-SA"/>
        </w:rPr>
        <w:t>00</w:t>
      </w:r>
      <w:r>
        <w:rPr>
          <w:rFonts w:hint="eastAsia" w:ascii="宋体" w:hAnsi="宋体" w:eastAsia="宋体" w:cs="宋体"/>
          <w:b w:val="0"/>
          <w:bCs w:val="0"/>
          <w:sz w:val="28"/>
          <w:szCs w:val="28"/>
          <w:lang w:val="en-US" w:eastAsia="zh-CN" w:bidi="ar-SA"/>
        </w:rPr>
        <w:t>:</w:t>
      </w:r>
      <w:r>
        <w:rPr>
          <w:rFonts w:hint="eastAsia" w:eastAsia="宋体" w:cs="宋体"/>
          <w:b w:val="0"/>
          <w:bCs w:val="0"/>
          <w:sz w:val="28"/>
          <w:szCs w:val="28"/>
          <w:lang w:val="en-US" w:eastAsia="zh-CN" w:bidi="ar-SA"/>
        </w:rPr>
        <w:t>00</w:t>
      </w:r>
      <w:r>
        <w:rPr>
          <w:rFonts w:hint="eastAsia" w:ascii="宋体" w:hAnsi="宋体" w:eastAsia="宋体" w:cs="宋体"/>
          <w:b w:val="0"/>
          <w:bCs w:val="0"/>
          <w:sz w:val="28"/>
          <w:szCs w:val="28"/>
          <w:lang w:val="en-US" w:eastAsia="zh-CN" w:bidi="ar-SA"/>
        </w:rPr>
        <w:t>，下午1</w:t>
      </w:r>
      <w:r>
        <w:rPr>
          <w:rFonts w:hint="eastAsia" w:eastAsia="宋体" w:cs="宋体"/>
          <w:b w:val="0"/>
          <w:bCs w:val="0"/>
          <w:sz w:val="28"/>
          <w:szCs w:val="28"/>
          <w:lang w:val="en-US" w:eastAsia="zh-CN" w:bidi="ar-SA"/>
        </w:rPr>
        <w:t>2</w:t>
      </w:r>
      <w:r>
        <w:rPr>
          <w:rFonts w:hint="eastAsia" w:ascii="宋体" w:hAnsi="宋体" w:eastAsia="宋体" w:cs="宋体"/>
          <w:b w:val="0"/>
          <w:bCs w:val="0"/>
          <w:sz w:val="28"/>
          <w:szCs w:val="28"/>
          <w:lang w:val="en-US" w:eastAsia="zh-CN" w:bidi="ar-SA"/>
        </w:rPr>
        <w:t>:</w:t>
      </w:r>
      <w:r>
        <w:rPr>
          <w:rFonts w:hint="eastAsia" w:eastAsia="宋体" w:cs="宋体"/>
          <w:b w:val="0"/>
          <w:bCs w:val="0"/>
          <w:sz w:val="28"/>
          <w:szCs w:val="28"/>
          <w:lang w:val="en-US" w:eastAsia="zh-CN" w:bidi="ar-SA"/>
        </w:rPr>
        <w:t>0</w:t>
      </w:r>
      <w:r>
        <w:rPr>
          <w:rFonts w:hint="eastAsia" w:ascii="宋体" w:hAnsi="宋体" w:eastAsia="宋体" w:cs="宋体"/>
          <w:b w:val="0"/>
          <w:bCs w:val="0"/>
          <w:sz w:val="28"/>
          <w:szCs w:val="28"/>
          <w:lang w:val="en-US" w:eastAsia="zh-CN" w:bidi="ar-SA"/>
        </w:rPr>
        <w:t>0:00至</w:t>
      </w:r>
      <w:r>
        <w:rPr>
          <w:rFonts w:hint="eastAsia" w:eastAsia="宋体" w:cs="宋体"/>
          <w:b w:val="0"/>
          <w:bCs w:val="0"/>
          <w:sz w:val="28"/>
          <w:szCs w:val="28"/>
          <w:lang w:val="en-US" w:eastAsia="zh-CN" w:bidi="ar-SA"/>
        </w:rPr>
        <w:t>23</w:t>
      </w:r>
      <w:r>
        <w:rPr>
          <w:rFonts w:hint="eastAsia" w:ascii="宋体" w:hAnsi="宋体" w:eastAsia="宋体" w:cs="宋体"/>
          <w:b w:val="0"/>
          <w:bCs w:val="0"/>
          <w:sz w:val="28"/>
          <w:szCs w:val="28"/>
          <w:lang w:val="en-US" w:eastAsia="zh-CN" w:bidi="ar-SA"/>
        </w:rPr>
        <w:t>:</w:t>
      </w:r>
      <w:r>
        <w:rPr>
          <w:rFonts w:hint="eastAsia" w:eastAsia="宋体" w:cs="宋体"/>
          <w:b w:val="0"/>
          <w:bCs w:val="0"/>
          <w:sz w:val="28"/>
          <w:szCs w:val="28"/>
          <w:lang w:val="en-US" w:eastAsia="zh-CN" w:bidi="ar-SA"/>
        </w:rPr>
        <w:t>59</w:t>
      </w:r>
      <w:r>
        <w:rPr>
          <w:rFonts w:hint="eastAsia" w:ascii="宋体" w:hAnsi="宋体" w:eastAsia="宋体" w:cs="宋体"/>
          <w:b w:val="0"/>
          <w:bCs w:val="0"/>
          <w:sz w:val="28"/>
          <w:szCs w:val="28"/>
          <w:lang w:val="en-US" w:eastAsia="zh-CN" w:bidi="ar-SA"/>
        </w:rPr>
        <w:t>:</w:t>
      </w:r>
      <w:r>
        <w:rPr>
          <w:rFonts w:hint="eastAsia" w:eastAsia="宋体" w:cs="宋体"/>
          <w:b w:val="0"/>
          <w:bCs w:val="0"/>
          <w:sz w:val="28"/>
          <w:szCs w:val="28"/>
          <w:lang w:val="en-US" w:eastAsia="zh-CN" w:bidi="ar-SA"/>
        </w:rPr>
        <w:t>59</w:t>
      </w:r>
      <w:r>
        <w:rPr>
          <w:rFonts w:hint="eastAsia" w:ascii="宋体" w:hAnsi="宋体" w:eastAsia="宋体" w:cs="宋体"/>
          <w:b w:val="0"/>
          <w:bCs w:val="0"/>
          <w:sz w:val="28"/>
          <w:szCs w:val="28"/>
          <w:lang w:val="en-US" w:eastAsia="zh-CN" w:bidi="ar-SA"/>
        </w:rPr>
        <w:t>（北京时间,法定节假日除外）</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地点：全国公共资源交易平台（陕西省·西安市）网站〖首页〉电子交易平台〉陕西政府采购交易系统〉企业端〗。</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方式：</w:t>
      </w:r>
      <w:r>
        <w:rPr>
          <w:rFonts w:hint="eastAsia" w:eastAsia="宋体" w:cs="宋体"/>
          <w:b w:val="0"/>
          <w:bCs w:val="0"/>
          <w:sz w:val="28"/>
          <w:szCs w:val="28"/>
          <w:lang w:val="en-US" w:eastAsia="zh-CN" w:bidi="ar-SA"/>
        </w:rPr>
        <w:t>在线</w:t>
      </w:r>
      <w:r>
        <w:rPr>
          <w:rFonts w:hint="eastAsia" w:ascii="宋体" w:hAnsi="宋体" w:eastAsia="宋体" w:cs="宋体"/>
          <w:b w:val="0"/>
          <w:bCs w:val="0"/>
          <w:sz w:val="28"/>
          <w:szCs w:val="28"/>
          <w:lang w:val="en-US" w:eastAsia="zh-CN" w:bidi="ar-SA"/>
        </w:rPr>
        <w:t>获取</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售价：免费获取</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Chars="0" w:right="0" w:rightChars="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四、提交投标文件截止时间、开标时间和地点</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2022年</w:t>
      </w:r>
      <w:r>
        <w:rPr>
          <w:rFonts w:hint="eastAsia" w:eastAsia="宋体" w:cs="宋体"/>
          <w:b w:val="0"/>
          <w:bCs w:val="0"/>
          <w:sz w:val="28"/>
          <w:szCs w:val="28"/>
          <w:lang w:val="en-US" w:eastAsia="zh-CN" w:bidi="ar-SA"/>
        </w:rPr>
        <w:t>08</w:t>
      </w:r>
      <w:r>
        <w:rPr>
          <w:rFonts w:hint="eastAsia" w:ascii="宋体" w:hAnsi="宋体" w:eastAsia="宋体" w:cs="宋体"/>
          <w:b w:val="0"/>
          <w:bCs w:val="0"/>
          <w:sz w:val="28"/>
          <w:szCs w:val="28"/>
          <w:lang w:val="en-US" w:eastAsia="zh-CN" w:bidi="ar-SA"/>
        </w:rPr>
        <w:t>月</w:t>
      </w:r>
      <w:r>
        <w:rPr>
          <w:rFonts w:hint="eastAsia" w:eastAsia="宋体" w:cs="宋体"/>
          <w:b w:val="0"/>
          <w:bCs w:val="0"/>
          <w:sz w:val="28"/>
          <w:szCs w:val="28"/>
          <w:lang w:val="en-US" w:eastAsia="zh-CN" w:bidi="ar-SA"/>
        </w:rPr>
        <w:t>23</w:t>
      </w:r>
      <w:r>
        <w:rPr>
          <w:rFonts w:hint="eastAsia" w:ascii="宋体" w:hAnsi="宋体" w:eastAsia="宋体" w:cs="宋体"/>
          <w:b w:val="0"/>
          <w:bCs w:val="0"/>
          <w:sz w:val="28"/>
          <w:szCs w:val="28"/>
          <w:lang w:val="en-US" w:eastAsia="zh-CN" w:bidi="ar-SA"/>
        </w:rPr>
        <w:t>日</w:t>
      </w:r>
      <w:r>
        <w:rPr>
          <w:rFonts w:hint="eastAsia" w:eastAsia="宋体" w:cs="宋体"/>
          <w:b w:val="0"/>
          <w:bCs w:val="0"/>
          <w:sz w:val="28"/>
          <w:szCs w:val="28"/>
          <w:lang w:val="en-US" w:eastAsia="zh-CN" w:bidi="ar-SA"/>
        </w:rPr>
        <w:t>09</w:t>
      </w:r>
      <w:r>
        <w:rPr>
          <w:rFonts w:hint="eastAsia" w:ascii="宋体" w:hAnsi="宋体" w:eastAsia="宋体" w:cs="宋体"/>
          <w:b w:val="0"/>
          <w:bCs w:val="0"/>
          <w:sz w:val="28"/>
          <w:szCs w:val="28"/>
          <w:lang w:val="en-US" w:eastAsia="zh-CN" w:bidi="ar-SA"/>
        </w:rPr>
        <w:t>时</w:t>
      </w:r>
      <w:r>
        <w:rPr>
          <w:rFonts w:hint="eastAsia" w:eastAsia="宋体" w:cs="宋体"/>
          <w:b w:val="0"/>
          <w:bCs w:val="0"/>
          <w:sz w:val="28"/>
          <w:szCs w:val="28"/>
          <w:lang w:val="en-US" w:eastAsia="zh-CN" w:bidi="ar-SA"/>
        </w:rPr>
        <w:t>3</w:t>
      </w:r>
      <w:r>
        <w:rPr>
          <w:rFonts w:hint="eastAsia" w:ascii="宋体" w:hAnsi="宋体" w:eastAsia="宋体" w:cs="宋体"/>
          <w:b w:val="0"/>
          <w:bCs w:val="0"/>
          <w:sz w:val="28"/>
          <w:szCs w:val="28"/>
          <w:lang w:val="en-US" w:eastAsia="zh-CN" w:bidi="ar-SA"/>
        </w:rPr>
        <w:t>0分00秒 （北京时间）</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地点：全国公共资源交易平台（陕西省·西安市）网站〖首页〉电子交易平台〉陕西政府采购交易系统〉企业端〗，在线提交。</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Chars="0" w:right="0" w:rightChars="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五、公告期限</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自本公告发布之日起5个工作日。</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Chars="0" w:right="0" w:rightChars="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六、其他补充事宜</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auto"/>
        <w:ind w:left="0" w:right="0" w:firstLine="48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本项目开标地点：西安市未央区文景北路16号白桦林国际B座五层</w:t>
      </w:r>
      <w:r>
        <w:rPr>
          <w:rFonts w:hint="eastAsia" w:eastAsia="宋体" w:cs="宋体"/>
          <w:b w:val="0"/>
          <w:bCs w:val="0"/>
          <w:sz w:val="28"/>
          <w:szCs w:val="28"/>
          <w:lang w:val="en-US" w:eastAsia="zh-CN" w:bidi="ar-SA"/>
        </w:rPr>
        <w:t>506</w:t>
      </w:r>
      <w:r>
        <w:rPr>
          <w:rFonts w:hint="eastAsia" w:ascii="宋体" w:hAnsi="宋体" w:eastAsia="宋体" w:cs="宋体"/>
          <w:b w:val="0"/>
          <w:bCs w:val="0"/>
          <w:sz w:val="28"/>
          <w:szCs w:val="28"/>
          <w:lang w:val="en-US" w:eastAsia="zh-CN" w:bidi="ar-SA"/>
        </w:rPr>
        <w:t>室</w:t>
      </w:r>
    </w:p>
    <w:p>
      <w:pPr>
        <w:spacing w:line="560" w:lineRule="exact"/>
        <w:ind w:firstLine="576" w:firstLineChars="200"/>
        <w:jc w:val="both"/>
        <w:outlineLvl w:val="9"/>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bidi="ar-SA"/>
        </w:rPr>
        <w:t>注：</w:t>
      </w:r>
      <w:r>
        <w:rPr>
          <w:rFonts w:hint="eastAsia" w:ascii="宋体" w:hAnsi="宋体" w:eastAsia="宋体" w:cs="宋体"/>
          <w:sz w:val="28"/>
          <w:szCs w:val="28"/>
        </w:rPr>
        <w:t>（1）本项目为电子化政府采购项目，</w:t>
      </w:r>
      <w:r>
        <w:rPr>
          <w:rFonts w:hint="eastAsia" w:ascii="宋体" w:hAnsi="宋体" w:eastAsia="宋体" w:cs="宋体"/>
          <w:sz w:val="28"/>
          <w:szCs w:val="28"/>
          <w:lang w:val="en-US" w:eastAsia="zh-CN"/>
        </w:rPr>
        <w:t>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pPr>
        <w:spacing w:line="560" w:lineRule="exact"/>
        <w:ind w:firstLine="576" w:firstLineChars="200"/>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spacing w:line="560" w:lineRule="exact"/>
        <w:ind w:firstLine="576" w:firstLineChars="200"/>
        <w:jc w:val="both"/>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（3）打开【全国公共资源交易平台（陕西省·西安市）】网站（简称西安市公共资源交易平台，官网地址：</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"http://sxggzyjy.xa.gov.cn/"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http://sxggzyjy.xa.gov.cn/</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spacing w:line="560" w:lineRule="exact"/>
        <w:ind w:firstLine="576" w:firstLineChars="200"/>
        <w:jc w:val="both"/>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（4）请供应商务必及时下载项目招标文件并做好备份,否则会影响投标文件编制及后续投标活动。 </w:t>
      </w:r>
    </w:p>
    <w:p>
      <w:pPr>
        <w:spacing w:line="560" w:lineRule="exact"/>
        <w:ind w:firstLine="576" w:firstLineChars="200"/>
        <w:jc w:val="both"/>
        <w:outlineLvl w:val="9"/>
      </w:pPr>
      <w:r>
        <w:rPr>
          <w:rFonts w:hint="eastAsia" w:ascii="宋体" w:hAnsi="宋体" w:eastAsia="宋体" w:cs="宋体"/>
          <w:sz w:val="28"/>
          <w:szCs w:val="28"/>
          <w:lang w:val="en-US" w:eastAsia="zh-CN"/>
        </w:rPr>
        <w:t>（5）按照陕西省财政厅《关于政府采购供应商注册登记有关事项的通知》中的要求,供应商应通过陕西省政府采购网(http:〃www.ccgp shaanxi.gov.cn/)注册登记,加入陕西省政府采购供应商库 。</w:t>
      </w:r>
      <w:r>
        <w:rPr>
          <w:rFonts w:hint="eastAsia" w:ascii="黑体" w:hAnsi="宋体" w:eastAsia="黑体" w:cs="黑体"/>
          <w:color w:val="000000"/>
          <w:kern w:val="0"/>
          <w:sz w:val="29"/>
          <w:szCs w:val="29"/>
          <w:lang w:val="en-US" w:eastAsia="zh-CN" w:bidi="ar"/>
        </w:rPr>
        <w:t xml:space="preserve"> </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）制作电子投标文件（*.SXSTF）需要使用专用制作工具。软件下载及操作说明详见西安市公共资源交易平台〖首页·〉服务指南·〉下载专区〗中的《政府采购项目投标文件制作软件及操作手册》。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Chars="0" w:right="0" w:rightChars="0" w:firstLine="576" w:firstLineChars="200"/>
        <w:jc w:val="left"/>
        <w:textAlignment w:val="baseline"/>
        <w:outlineLvl w:val="9"/>
        <w:rPr>
          <w:rFonts w:hint="eastAsia" w:ascii="宋体" w:hAnsi="宋体" w:eastAsia="宋体" w:cs="宋体"/>
          <w:b w:val="0"/>
          <w:bCs w:val="0"/>
          <w:sz w:val="28"/>
          <w:szCs w:val="28"/>
          <w:lang w:val="en-US" w:eastAsia="zh-CN" w:bidi="ar-SA"/>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sz w:val="28"/>
          <w:szCs w:val="28"/>
        </w:rPr>
        <w:t>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Chars="0" w:right="0" w:rightChars="0" w:firstLine="576" w:firstLineChars="200"/>
        <w:jc w:val="left"/>
        <w:textAlignment w:val="baseline"/>
        <w:outlineLvl w:val="9"/>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（8）</w:t>
      </w:r>
      <w:r>
        <w:rPr>
          <w:rFonts w:hint="eastAsia" w:ascii="宋体" w:hAnsi="宋体" w:eastAsia="宋体" w:cs="宋体"/>
          <w:sz w:val="28"/>
          <w:szCs w:val="28"/>
        </w:rPr>
        <w:t>本项目将采用“不见面开标”形式。操作说明详见平台〖首页·〉服务指南·〉下载专区〗中的《西安公共资源交易不见面开标大厅供应商操作手册》。</w:t>
      </w:r>
    </w:p>
    <w:p>
      <w:pPr>
        <w:pStyle w:val="7"/>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Chars="0" w:right="0" w:rightChars="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七、对本次招标提出询问，请按以下方式联系。</w:t>
      </w:r>
    </w:p>
    <w:p>
      <w:pPr>
        <w:pStyle w:val="9"/>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288" w:firstLineChars="10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1.釆购人信息</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名称：西安市中心血站</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地址：</w:t>
      </w:r>
      <w:r>
        <w:rPr>
          <w:rFonts w:hint="eastAsia" w:eastAsia="宋体" w:cs="宋体"/>
          <w:b w:val="0"/>
          <w:bCs w:val="0"/>
          <w:sz w:val="28"/>
          <w:szCs w:val="28"/>
          <w:lang w:val="en-US" w:eastAsia="zh-CN" w:bidi="ar-SA"/>
        </w:rPr>
        <w:t>西安市</w:t>
      </w:r>
      <w:r>
        <w:rPr>
          <w:rFonts w:hint="eastAsia" w:ascii="宋体" w:hAnsi="宋体" w:eastAsia="宋体" w:cs="宋体"/>
          <w:b w:val="0"/>
          <w:bCs w:val="0"/>
          <w:sz w:val="28"/>
          <w:szCs w:val="28"/>
          <w:lang w:val="en-US" w:eastAsia="zh-CN" w:bidi="ar-SA"/>
        </w:rPr>
        <w:t>朱雀大街407号</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联系方式：鲁老师 029-85236579</w:t>
      </w:r>
    </w:p>
    <w:p>
      <w:pPr>
        <w:pStyle w:val="9"/>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288" w:firstLineChars="10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2.釆购代理机构信息</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名称：陕西卓佲项目管理有限公司</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地址：西安市雁塔区科技路10号华奥大厦A座</w:t>
      </w:r>
      <w:r>
        <w:rPr>
          <w:rFonts w:hint="eastAsia" w:eastAsia="宋体" w:cs="宋体"/>
          <w:b w:val="0"/>
          <w:bCs w:val="0"/>
          <w:sz w:val="28"/>
          <w:szCs w:val="28"/>
          <w:lang w:val="en-US" w:eastAsia="zh-CN" w:bidi="ar-SA"/>
        </w:rPr>
        <w:t>20层</w:t>
      </w:r>
      <w:r>
        <w:rPr>
          <w:rFonts w:hint="eastAsia" w:ascii="宋体" w:hAnsi="宋体" w:eastAsia="宋体" w:cs="宋体"/>
          <w:b w:val="0"/>
          <w:bCs w:val="0"/>
          <w:sz w:val="28"/>
          <w:szCs w:val="28"/>
          <w:lang w:val="en-US" w:eastAsia="zh-CN" w:bidi="ar-SA"/>
        </w:rPr>
        <w:t>2002室</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联系方式：029-88440695</w:t>
      </w:r>
    </w:p>
    <w:p>
      <w:pPr>
        <w:pStyle w:val="9"/>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348" w:right="0" w:rightChars="0" w:firstLine="1152" w:firstLineChars="400"/>
        <w:jc w:val="lef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3.项目联系方式</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项目联系人：董菊莉 杜华龙</w:t>
      </w:r>
      <w:r>
        <w:rPr>
          <w:rFonts w:hint="eastAsia" w:eastAsia="宋体" w:cs="宋体"/>
          <w:b w:val="0"/>
          <w:bCs w:val="0"/>
          <w:sz w:val="28"/>
          <w:szCs w:val="28"/>
          <w:lang w:val="en-US" w:eastAsia="zh-CN" w:bidi="ar-SA"/>
        </w:rPr>
        <w:t xml:space="preserve"> 米文佳</w:t>
      </w:r>
      <w:r>
        <w:rPr>
          <w:rFonts w:hint="eastAsia" w:ascii="宋体" w:hAnsi="宋体" w:eastAsia="宋体" w:cs="宋体"/>
          <w:b w:val="0"/>
          <w:bCs w:val="0"/>
          <w:sz w:val="28"/>
          <w:szCs w:val="28"/>
          <w:lang w:val="en-US" w:eastAsia="zh-CN" w:bidi="ar-SA"/>
        </w:rPr>
        <w:t xml:space="preserve"> 张倩</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电话：029-88440695</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陕西卓佲项目管理有限公司</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2022年</w:t>
      </w:r>
      <w:r>
        <w:rPr>
          <w:rFonts w:hint="eastAsia" w:eastAsia="宋体" w:cs="宋体"/>
          <w:b w:val="0"/>
          <w:bCs w:val="0"/>
          <w:sz w:val="28"/>
          <w:szCs w:val="28"/>
          <w:lang w:val="en-US" w:eastAsia="zh-CN" w:bidi="ar-SA"/>
        </w:rPr>
        <w:t>08</w:t>
      </w:r>
      <w:r>
        <w:rPr>
          <w:rFonts w:hint="eastAsia" w:ascii="宋体" w:hAnsi="宋体" w:eastAsia="宋体" w:cs="宋体"/>
          <w:b w:val="0"/>
          <w:bCs w:val="0"/>
          <w:sz w:val="28"/>
          <w:szCs w:val="28"/>
          <w:lang w:val="en-US" w:eastAsia="zh-CN" w:bidi="ar-SA"/>
        </w:rPr>
        <w:t>月</w:t>
      </w:r>
      <w:r>
        <w:rPr>
          <w:rFonts w:hint="eastAsia" w:eastAsia="宋体" w:cs="宋体"/>
          <w:b w:val="0"/>
          <w:bCs w:val="0"/>
          <w:sz w:val="28"/>
          <w:szCs w:val="28"/>
          <w:lang w:val="en-US" w:eastAsia="zh-CN" w:bidi="ar-SA"/>
        </w:rPr>
        <w:t>01</w:t>
      </w:r>
      <w:r>
        <w:rPr>
          <w:rFonts w:hint="eastAsia" w:ascii="宋体" w:hAnsi="宋体" w:eastAsia="宋体" w:cs="宋体"/>
          <w:b w:val="0"/>
          <w:bCs w:val="0"/>
          <w:sz w:val="28"/>
          <w:szCs w:val="28"/>
          <w:lang w:val="en-US" w:eastAsia="zh-CN" w:bidi="ar-SA"/>
        </w:rPr>
        <w:t>日</w:t>
      </w:r>
    </w:p>
    <w:p>
      <w:pPr>
        <w:spacing w:line="560" w:lineRule="exact"/>
        <w:ind w:firstLine="656" w:firstLineChars="200"/>
        <w:jc w:val="both"/>
        <w:rPr>
          <w:rFonts w:hint="eastAsia" w:ascii="宋体" w:hAnsi="宋体" w:eastAsia="宋体" w:cs="宋体"/>
          <w:sz w:val="32"/>
          <w:szCs w:val="32"/>
          <w:lang w:eastAsia="zh-CN"/>
        </w:rPr>
      </w:pPr>
      <w:bookmarkStart w:id="2" w:name="_Toc534656409"/>
      <w:bookmarkStart w:id="3" w:name="_Toc534656414"/>
      <w:bookmarkStart w:id="4" w:name="_Toc100219613"/>
      <w:bookmarkStart w:id="5" w:name="_Toc533363235"/>
      <w:bookmarkStart w:id="6" w:name="_Toc498349068"/>
      <w:bookmarkStart w:id="7" w:name="_Toc533363262"/>
      <w:bookmarkStart w:id="8" w:name="_Toc97563329"/>
      <w:bookmarkStart w:id="9" w:name="_Toc445407251"/>
      <w:r>
        <w:rPr>
          <w:rFonts w:hint="eastAsia" w:ascii="宋体" w:hAnsi="宋体" w:eastAsia="宋体" w:cs="宋体"/>
          <w:sz w:val="32"/>
          <w:szCs w:val="32"/>
        </w:rPr>
        <w:br w:type="page"/>
      </w:r>
    </w:p>
    <w:p>
      <w:pPr>
        <w:pStyle w:val="4"/>
        <w:spacing w:line="240" w:lineRule="auto"/>
        <w:rPr>
          <w:rFonts w:hint="eastAsia" w:ascii="宋体" w:hAnsi="宋体" w:eastAsia="宋体" w:cs="宋体"/>
        </w:rPr>
      </w:pPr>
      <w:bookmarkStart w:id="10" w:name="_Toc32014"/>
      <w:r>
        <w:rPr>
          <w:rFonts w:hint="eastAsia" w:ascii="宋体" w:hAnsi="宋体" w:eastAsia="宋体" w:cs="宋体"/>
        </w:rPr>
        <w:t>第二章  供应商须知</w:t>
      </w:r>
      <w:bookmarkEnd w:id="2"/>
      <w:bookmarkEnd w:id="3"/>
      <w:bookmarkEnd w:id="4"/>
      <w:bookmarkEnd w:id="5"/>
      <w:bookmarkEnd w:id="6"/>
      <w:bookmarkEnd w:id="7"/>
      <w:bookmarkEnd w:id="8"/>
      <w:bookmarkEnd w:id="9"/>
      <w:bookmarkEnd w:id="10"/>
    </w:p>
    <w:p>
      <w:pPr>
        <w:pStyle w:val="5"/>
        <w:spacing w:line="240" w:lineRule="auto"/>
        <w:jc w:val="left"/>
        <w:outlineLvl w:val="1"/>
        <w:rPr>
          <w:rFonts w:hint="eastAsia" w:ascii="宋体" w:hAnsi="宋体" w:eastAsia="宋体" w:cs="宋体"/>
          <w:sz w:val="28"/>
          <w:szCs w:val="28"/>
        </w:rPr>
      </w:pPr>
      <w:bookmarkStart w:id="11" w:name="_Toc5823"/>
      <w:r>
        <w:rPr>
          <w:rFonts w:hint="eastAsia" w:ascii="宋体" w:hAnsi="宋体" w:eastAsia="宋体" w:cs="宋体"/>
          <w:sz w:val="28"/>
          <w:szCs w:val="28"/>
        </w:rPr>
        <w:t>〖前附表〗</w:t>
      </w:r>
      <w:bookmarkEnd w:id="11"/>
    </w:p>
    <w:tbl>
      <w:tblPr>
        <w:tblStyle w:val="35"/>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3402"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内容</w:t>
            </w:r>
          </w:p>
        </w:tc>
        <w:tc>
          <w:tcPr>
            <w:tcW w:w="4490"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402" w:type="dxa"/>
            <w:tcBorders>
              <w:top w:val="single" w:color="auto" w:sz="2"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4490" w:type="dxa"/>
            <w:tcBorders>
              <w:top w:val="single" w:color="auto" w:sz="2"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lang w:eastAsia="zh-CN"/>
              </w:rPr>
              <w:t>西安市中心血站成分科耗材采购项目（二次）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4490"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lang w:eastAsia="zh-CN"/>
              </w:rPr>
              <w:t>ZMZB2022ZXXZ-85R</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预算执行书编号</w:t>
            </w:r>
          </w:p>
        </w:tc>
        <w:tc>
          <w:tcPr>
            <w:tcW w:w="4490"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highlight w:val="none"/>
                <w:lang w:eastAsia="zh-CN"/>
              </w:rPr>
              <w:t>政采</w:t>
            </w:r>
            <w:r>
              <w:rPr>
                <w:rFonts w:hint="eastAsia" w:ascii="宋体" w:hAnsi="宋体" w:eastAsia="宋体" w:cs="宋体"/>
                <w:sz w:val="28"/>
                <w:szCs w:val="28"/>
                <w:highlight w:val="none"/>
                <w:lang w:val="en-US" w:eastAsia="zh-CN"/>
              </w:rPr>
              <w:t>-西安市-2022-00566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是否预留份额</w:t>
            </w:r>
          </w:p>
          <w:p>
            <w:pPr>
              <w:jc w:val="center"/>
              <w:rPr>
                <w:rFonts w:hint="eastAsia" w:ascii="宋体" w:hAnsi="宋体" w:eastAsia="宋体" w:cs="宋体"/>
                <w:sz w:val="28"/>
                <w:szCs w:val="28"/>
              </w:rPr>
            </w:pPr>
            <w:r>
              <w:rPr>
                <w:rFonts w:hint="eastAsia" w:ascii="宋体" w:hAnsi="宋体" w:eastAsia="宋体" w:cs="宋体"/>
                <w:sz w:val="28"/>
                <w:szCs w:val="28"/>
              </w:rPr>
              <w:t>专门面向中小企业采购</w:t>
            </w:r>
          </w:p>
        </w:tc>
        <w:tc>
          <w:tcPr>
            <w:tcW w:w="4490" w:type="dxa"/>
            <w:shd w:val="clear" w:color="auto" w:fill="auto"/>
            <w:vAlign w:val="center"/>
          </w:tcPr>
          <w:p>
            <w:pPr>
              <w:jc w:val="center"/>
              <w:rPr>
                <w:rFonts w:hint="eastAsia" w:ascii="宋体" w:hAnsi="宋体" w:eastAsia="宋体" w:cs="宋体"/>
                <w:sz w:val="28"/>
                <w:szCs w:val="28"/>
              </w:rPr>
            </w:pPr>
            <w:sdt>
              <w:sdtPr>
                <w:rPr>
                  <w:rFonts w:hint="eastAsia" w:ascii="宋体" w:hAnsi="宋体" w:eastAsia="宋体" w:cs="宋体"/>
                  <w:sz w:val="28"/>
                  <w:szCs w:val="28"/>
                </w:rPr>
                <w:id w:val="2139916130"/>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2072024220"/>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lang w:val="en-US" w:eastAsia="zh-CN" w:bidi="ar-SA"/>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预算金额</w:t>
            </w:r>
          </w:p>
        </w:tc>
        <w:tc>
          <w:tcPr>
            <w:tcW w:w="4490"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lang w:val="en-US" w:eastAsia="zh-CN"/>
              </w:rPr>
              <w:t>559000.00元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hint="eastAsia" w:ascii="宋体" w:hAnsi="宋体" w:eastAsia="宋体" w:cs="宋体"/>
                <w:sz w:val="28"/>
                <w:szCs w:val="28"/>
              </w:rPr>
            </w:pP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最高限价</w:t>
            </w:r>
          </w:p>
        </w:tc>
        <w:tc>
          <w:tcPr>
            <w:tcW w:w="4490"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lang w:val="en-US" w:eastAsia="zh-CN"/>
              </w:rPr>
              <w:t>559000.00元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是否接受联合体</w:t>
            </w:r>
          </w:p>
        </w:tc>
        <w:tc>
          <w:tcPr>
            <w:tcW w:w="4490" w:type="dxa"/>
            <w:shd w:val="clear" w:color="auto" w:fill="auto"/>
            <w:vAlign w:val="center"/>
          </w:tcPr>
          <w:p>
            <w:pPr>
              <w:jc w:val="center"/>
              <w:rPr>
                <w:rFonts w:hint="eastAsia" w:ascii="宋体" w:hAnsi="宋体" w:eastAsia="宋体" w:cs="宋体"/>
                <w:sz w:val="28"/>
                <w:szCs w:val="28"/>
              </w:rPr>
            </w:pPr>
            <w:sdt>
              <w:sdtPr>
                <w:rPr>
                  <w:rFonts w:hint="eastAsia" w:ascii="宋体" w:hAnsi="宋体" w:eastAsia="宋体" w:cs="宋体"/>
                  <w:sz w:val="28"/>
                  <w:szCs w:val="28"/>
                </w:rPr>
                <w:id w:val="60816019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317929335"/>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3402" w:type="dxa"/>
            <w:shd w:val="clear" w:color="auto" w:fill="auto"/>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是否允许进口产品</w:t>
            </w:r>
          </w:p>
        </w:tc>
        <w:tc>
          <w:tcPr>
            <w:tcW w:w="4490" w:type="dxa"/>
            <w:shd w:val="clear" w:color="auto" w:fill="auto"/>
            <w:vAlign w:val="center"/>
          </w:tcPr>
          <w:p>
            <w:pPr>
              <w:jc w:val="center"/>
              <w:rPr>
                <w:rFonts w:hint="eastAsia" w:eastAsia="宋体"/>
                <w:lang w:eastAsia="zh-CN"/>
              </w:rPr>
            </w:pPr>
            <w:sdt>
              <w:sdtPr>
                <w:rPr>
                  <w:rFonts w:hint="eastAsia" w:ascii="宋体" w:hAnsi="宋体" w:eastAsia="宋体" w:cs="宋体"/>
                  <w:sz w:val="28"/>
                  <w:szCs w:val="28"/>
                </w:rPr>
                <w:id w:val="14857025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lang w:val="en-US" w:eastAsia="zh-CN"/>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68959484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lang w:val="en-US" w:eastAsia="zh-CN"/>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投标保证金</w:t>
            </w:r>
          </w:p>
        </w:tc>
        <w:tc>
          <w:tcPr>
            <w:tcW w:w="4490"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履约保证金</w:t>
            </w:r>
          </w:p>
        </w:tc>
        <w:tc>
          <w:tcPr>
            <w:tcW w:w="4490"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3402" w:type="dxa"/>
            <w:shd w:val="clear" w:color="auto" w:fill="auto"/>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投标文件份数</w:t>
            </w:r>
          </w:p>
        </w:tc>
        <w:tc>
          <w:tcPr>
            <w:tcW w:w="4490" w:type="dxa"/>
            <w:shd w:val="clear" w:color="auto" w:fill="auto"/>
            <w:vAlign w:val="center"/>
          </w:tcPr>
          <w:p>
            <w:pPr>
              <w:jc w:val="both"/>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投标供应商无需提供；中标供应商下载中标（成交）通知书后，向采购代理机构提供一正两副（和上传文件保持一致的）纸质投标（响应）文件用于备案及档案保存。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现场踏勘和集中答疑</w:t>
            </w:r>
          </w:p>
        </w:tc>
        <w:tc>
          <w:tcPr>
            <w:tcW w:w="4490"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政府采购信息发布媒体</w:t>
            </w:r>
          </w:p>
          <w:p>
            <w:pPr>
              <w:jc w:val="center"/>
              <w:rPr>
                <w:rFonts w:hint="eastAsia" w:ascii="宋体" w:hAnsi="宋体" w:eastAsia="宋体" w:cs="宋体"/>
                <w:sz w:val="28"/>
                <w:szCs w:val="28"/>
              </w:rPr>
            </w:pPr>
            <w:r>
              <w:rPr>
                <w:rFonts w:hint="eastAsia" w:ascii="宋体" w:hAnsi="宋体" w:eastAsia="宋体" w:cs="宋体"/>
                <w:sz w:val="28"/>
                <w:szCs w:val="28"/>
              </w:rPr>
              <w:t>（采购公告、采购结果公告、变更公告）</w:t>
            </w:r>
          </w:p>
        </w:tc>
        <w:tc>
          <w:tcPr>
            <w:tcW w:w="4490" w:type="dxa"/>
            <w:shd w:val="clear" w:color="auto" w:fill="auto"/>
            <w:vAlign w:val="center"/>
          </w:tcPr>
          <w:p>
            <w:pPr>
              <w:rPr>
                <w:rFonts w:hint="eastAsia" w:ascii="宋体" w:hAnsi="宋体" w:eastAsia="宋体" w:cs="宋体"/>
                <w:sz w:val="28"/>
                <w:szCs w:val="28"/>
              </w:rPr>
            </w:pPr>
            <w:r>
              <w:rPr>
                <w:rFonts w:hint="eastAsia" w:ascii="宋体" w:hAnsi="宋体" w:eastAsia="宋体" w:cs="宋体"/>
                <w:sz w:val="28"/>
                <w:szCs w:val="28"/>
              </w:rPr>
              <w:t>1．陕西省政府采购网：仅提供项目公告，官网地址：http://ccgp-shaanxi.gov.cn/。</w:t>
            </w:r>
          </w:p>
          <w:p>
            <w:pPr>
              <w:rPr>
                <w:rFonts w:hint="eastAsia" w:ascii="宋体" w:hAnsi="宋体" w:eastAsia="宋体" w:cs="宋体"/>
                <w:sz w:val="28"/>
                <w:szCs w:val="28"/>
              </w:rPr>
            </w:pPr>
            <w:r>
              <w:rPr>
                <w:rFonts w:hint="eastAsia" w:ascii="宋体" w:hAnsi="宋体" w:eastAsia="宋体" w:cs="宋体"/>
                <w:sz w:val="28"/>
                <w:szCs w:val="28"/>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询问和质疑</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投诉受理</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rPr>
              <w:t>1．受理单位：西安市财政局政府采购管理处</w:t>
            </w:r>
          </w:p>
          <w:p>
            <w:pPr>
              <w:jc w:val="both"/>
              <w:rPr>
                <w:rFonts w:hint="eastAsia" w:ascii="宋体" w:hAnsi="宋体" w:eastAsia="宋体" w:cs="宋体"/>
                <w:sz w:val="28"/>
                <w:szCs w:val="28"/>
              </w:rPr>
            </w:pPr>
            <w:r>
              <w:rPr>
                <w:rFonts w:hint="eastAsia" w:ascii="宋体" w:hAnsi="宋体" w:eastAsia="宋体" w:cs="宋体"/>
                <w:sz w:val="28"/>
                <w:szCs w:val="28"/>
              </w:rPr>
              <w:t>2．联系电话：029-89821846</w:t>
            </w:r>
          </w:p>
          <w:p>
            <w:pPr>
              <w:jc w:val="both"/>
              <w:rPr>
                <w:rFonts w:hint="eastAsia" w:ascii="宋体" w:hAnsi="宋体" w:eastAsia="宋体" w:cs="宋体"/>
                <w:sz w:val="28"/>
                <w:szCs w:val="28"/>
              </w:rPr>
            </w:pPr>
            <w:r>
              <w:rPr>
                <w:rFonts w:hint="eastAsia" w:ascii="宋体" w:hAnsi="宋体" w:eastAsia="宋体" w:cs="宋体"/>
                <w:sz w:val="28"/>
                <w:szCs w:val="28"/>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信用信息查询截至时点</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开标形式</w:t>
            </w:r>
          </w:p>
        </w:tc>
        <w:tc>
          <w:tcPr>
            <w:tcW w:w="4490" w:type="dxa"/>
            <w:shd w:val="clear" w:color="auto" w:fill="auto"/>
            <w:vAlign w:val="center"/>
          </w:tcPr>
          <w:p>
            <w:pPr>
              <w:jc w:val="both"/>
              <w:rPr>
                <w:rFonts w:hint="eastAsia" w:ascii="宋体" w:hAnsi="宋体" w:eastAsia="宋体" w:cs="宋体"/>
                <w:sz w:val="28"/>
                <w:szCs w:val="28"/>
              </w:rPr>
            </w:pPr>
            <w:sdt>
              <w:sdtPr>
                <w:rPr>
                  <w:rFonts w:hint="eastAsia" w:ascii="宋体" w:hAnsi="宋体" w:eastAsia="宋体" w:cs="宋体"/>
                  <w:sz w:val="28"/>
                  <w:szCs w:val="28"/>
                </w:rPr>
                <w:id w:val="1077786224"/>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lang w:val="en-US" w:eastAsia="zh-CN" w:bidi="ar-SA"/>
                  </w:rPr>
                  <w:t>☑</w:t>
                </w:r>
              </w:sdtContent>
            </w:sdt>
            <w:r>
              <w:rPr>
                <w:rFonts w:hint="eastAsia" w:ascii="宋体" w:hAnsi="宋体" w:eastAsia="宋体" w:cs="宋体"/>
                <w:sz w:val="28"/>
                <w:szCs w:val="28"/>
              </w:rPr>
              <w:t xml:space="preserve">不见面开标  </w:t>
            </w:r>
            <w:sdt>
              <w:sdtPr>
                <w:rPr>
                  <w:rFonts w:hint="eastAsia" w:ascii="宋体" w:hAnsi="宋体" w:eastAsia="宋体" w:cs="宋体"/>
                  <w:sz w:val="28"/>
                  <w:szCs w:val="28"/>
                </w:rPr>
                <w:id w:val="155357503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见面开标</w:t>
            </w:r>
          </w:p>
          <w:p>
            <w:pPr>
              <w:jc w:val="both"/>
              <w:rPr>
                <w:rFonts w:hint="eastAsia" w:ascii="宋体" w:hAnsi="宋体" w:eastAsia="宋体" w:cs="宋体"/>
                <w:sz w:val="28"/>
                <w:szCs w:val="28"/>
              </w:rPr>
            </w:pPr>
            <w:r>
              <w:rPr>
                <w:rFonts w:hint="eastAsia" w:ascii="宋体" w:hAnsi="宋体" w:eastAsia="宋体" w:cs="宋体"/>
                <w:sz w:val="28"/>
                <w:szCs w:val="28"/>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17</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是否允许递交多个备选投标方案</w:t>
            </w:r>
          </w:p>
        </w:tc>
        <w:tc>
          <w:tcPr>
            <w:tcW w:w="4490" w:type="dxa"/>
            <w:shd w:val="clear" w:color="auto" w:fill="auto"/>
            <w:vAlign w:val="center"/>
          </w:tcPr>
          <w:p>
            <w:pPr>
              <w:jc w:val="both"/>
              <w:rPr>
                <w:rFonts w:hint="eastAsia" w:ascii="宋体" w:hAnsi="宋体" w:eastAsia="宋体" w:cs="宋体"/>
                <w:sz w:val="28"/>
                <w:szCs w:val="28"/>
              </w:rPr>
            </w:pPr>
            <w:sdt>
              <w:sdtPr>
                <w:rPr>
                  <w:rFonts w:hint="eastAsia" w:ascii="宋体" w:hAnsi="宋体" w:eastAsia="宋体" w:cs="宋体"/>
                  <w:sz w:val="28"/>
                  <w:szCs w:val="28"/>
                </w:rPr>
                <w:id w:val="160885784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61833125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lang w:val="en-US" w:eastAsia="zh-CN" w:bidi="ar-SA"/>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18</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中标通知书</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lang w:eastAsia="zh-CN"/>
              </w:rPr>
              <w:t>中标</w:t>
            </w:r>
            <w:r>
              <w:rPr>
                <w:rFonts w:hint="eastAsia" w:ascii="宋体" w:hAnsi="宋体" w:eastAsia="宋体" w:cs="宋体"/>
                <w:sz w:val="28"/>
                <w:szCs w:val="28"/>
              </w:rPr>
              <w:t xml:space="preserve">供应商可登录【全国公共资源交易平台（陕西省•西安市）】网站〖首页〉电子交易平台〉企业端〗后，在〖我的项目/项目流程〗模块中点击下载“中标（成交）通知书”。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19</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西安市公共资源交易中心电子化政府采购系统技术支持（软件开发商）</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rPr>
              <w:t>国泰新点软件股份有限公司</w:t>
            </w:r>
          </w:p>
          <w:p>
            <w:pPr>
              <w:rPr>
                <w:rFonts w:hint="eastAsia" w:ascii="宋体" w:hAnsi="宋体" w:eastAsia="宋体" w:cs="宋体"/>
                <w:sz w:val="28"/>
                <w:szCs w:val="28"/>
              </w:rPr>
            </w:pPr>
            <w:r>
              <w:rPr>
                <w:rFonts w:hint="eastAsia" w:ascii="宋体" w:hAnsi="宋体" w:eastAsia="宋体" w:cs="宋体"/>
                <w:sz w:val="28"/>
                <w:szCs w:val="28"/>
              </w:rPr>
              <w:t>1．技术支持热线：400-998-0000/400-928-0095</w:t>
            </w:r>
          </w:p>
          <w:p>
            <w:pPr>
              <w:rPr>
                <w:rFonts w:hint="eastAsia" w:ascii="宋体" w:hAnsi="宋体" w:eastAsia="宋体" w:cs="宋体"/>
                <w:sz w:val="28"/>
                <w:szCs w:val="28"/>
              </w:rPr>
            </w:pPr>
            <w:r>
              <w:rPr>
                <w:rFonts w:hint="eastAsia" w:ascii="宋体" w:hAnsi="宋体" w:eastAsia="宋体" w:cs="宋体"/>
                <w:sz w:val="28"/>
                <w:szCs w:val="28"/>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3402" w:type="dxa"/>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CA业务网点</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rPr>
              <w:t>陕西省数字证书认证中心股份有限公司</w:t>
            </w:r>
          </w:p>
          <w:p>
            <w:pPr>
              <w:jc w:val="both"/>
              <w:rPr>
                <w:rFonts w:hint="eastAsia" w:ascii="宋体" w:hAnsi="宋体" w:eastAsia="宋体" w:cs="宋体"/>
                <w:sz w:val="28"/>
                <w:szCs w:val="28"/>
              </w:rPr>
            </w:pPr>
            <w:r>
              <w:rPr>
                <w:rFonts w:hint="eastAsia" w:ascii="宋体" w:hAnsi="宋体" w:eastAsia="宋体" w:cs="宋体"/>
                <w:sz w:val="28"/>
                <w:szCs w:val="28"/>
              </w:rPr>
              <w:t>网点1：西安市高新三路信息港大厦1楼客服中心</w:t>
            </w:r>
          </w:p>
          <w:p>
            <w:pPr>
              <w:jc w:val="both"/>
              <w:rPr>
                <w:rFonts w:hint="eastAsia" w:ascii="宋体" w:hAnsi="宋体" w:eastAsia="宋体" w:cs="宋体"/>
                <w:sz w:val="28"/>
                <w:szCs w:val="28"/>
              </w:rPr>
            </w:pPr>
            <w:r>
              <w:rPr>
                <w:rFonts w:hint="eastAsia" w:ascii="宋体" w:hAnsi="宋体" w:eastAsia="宋体" w:cs="宋体"/>
                <w:sz w:val="28"/>
                <w:szCs w:val="28"/>
              </w:rPr>
              <w:t>客服电话：4006-369-888</w:t>
            </w:r>
          </w:p>
          <w:p>
            <w:pPr>
              <w:jc w:val="both"/>
              <w:rPr>
                <w:rFonts w:hint="eastAsia" w:ascii="宋体" w:hAnsi="宋体" w:eastAsia="宋体" w:cs="宋体"/>
                <w:sz w:val="28"/>
                <w:szCs w:val="28"/>
              </w:rPr>
            </w:pPr>
            <w:r>
              <w:rPr>
                <w:rFonts w:hint="eastAsia" w:ascii="宋体" w:hAnsi="宋体" w:eastAsia="宋体" w:cs="宋体"/>
                <w:sz w:val="28"/>
                <w:szCs w:val="28"/>
              </w:rPr>
              <w:t>网点2：西安市长安北路14号省体育公寓B座一楼</w:t>
            </w:r>
          </w:p>
          <w:p>
            <w:pPr>
              <w:jc w:val="both"/>
              <w:rPr>
                <w:rFonts w:hint="eastAsia" w:ascii="宋体" w:hAnsi="宋体" w:eastAsia="宋体" w:cs="宋体"/>
                <w:sz w:val="28"/>
                <w:szCs w:val="28"/>
              </w:rPr>
            </w:pPr>
            <w:r>
              <w:rPr>
                <w:rFonts w:hint="eastAsia" w:ascii="宋体" w:hAnsi="宋体" w:eastAsia="宋体" w:cs="宋体"/>
                <w:sz w:val="28"/>
                <w:szCs w:val="28"/>
              </w:rPr>
              <w:t>咨询电话：029-88661241</w:t>
            </w:r>
          </w:p>
          <w:p>
            <w:pPr>
              <w:jc w:val="both"/>
              <w:rPr>
                <w:rFonts w:hint="eastAsia" w:ascii="宋体" w:hAnsi="宋体" w:eastAsia="宋体" w:cs="宋体"/>
                <w:sz w:val="28"/>
                <w:szCs w:val="28"/>
              </w:rPr>
            </w:pPr>
            <w:r>
              <w:rPr>
                <w:rFonts w:hint="eastAsia" w:ascii="宋体" w:hAnsi="宋体" w:eastAsia="宋体" w:cs="宋体"/>
                <w:sz w:val="28"/>
                <w:szCs w:val="28"/>
              </w:rPr>
              <w:t>网点3：西安市文景北路16号白桦林国际B座2楼11#窗口</w:t>
            </w:r>
          </w:p>
          <w:p>
            <w:pPr>
              <w:jc w:val="both"/>
              <w:rPr>
                <w:rFonts w:hint="eastAsia" w:ascii="宋体" w:hAnsi="宋体" w:eastAsia="宋体" w:cs="宋体"/>
                <w:sz w:val="28"/>
                <w:szCs w:val="28"/>
              </w:rPr>
            </w:pPr>
            <w:r>
              <w:rPr>
                <w:rFonts w:hint="eastAsia" w:ascii="宋体" w:hAnsi="宋体" w:eastAsia="宋体" w:cs="宋体"/>
                <w:sz w:val="28"/>
                <w:szCs w:val="28"/>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21</w:t>
            </w:r>
          </w:p>
        </w:tc>
        <w:tc>
          <w:tcPr>
            <w:tcW w:w="3402"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代理服务费</w:t>
            </w:r>
          </w:p>
        </w:tc>
        <w:tc>
          <w:tcPr>
            <w:tcW w:w="4490" w:type="dxa"/>
            <w:shd w:val="clear" w:color="auto" w:fill="auto"/>
            <w:vAlign w:val="center"/>
          </w:tcPr>
          <w:p>
            <w:pPr>
              <w:jc w:val="both"/>
              <w:rPr>
                <w:rFonts w:hint="eastAsia" w:ascii="宋体" w:hAnsi="宋体" w:eastAsia="宋体" w:cs="宋体"/>
                <w:sz w:val="28"/>
                <w:szCs w:val="28"/>
              </w:rPr>
            </w:pPr>
            <w:r>
              <w:rPr>
                <w:rFonts w:hint="eastAsia" w:ascii="宋体" w:hAnsi="宋体" w:eastAsia="宋体" w:cs="宋体"/>
                <w:sz w:val="28"/>
                <w:szCs w:val="28"/>
              </w:rPr>
              <w:t>1、参照国家计委颁发的《招标代理服务收费管理暂行办法》（计价格[2002]1980号）和国家发展改革委员会办公厅颁发的《关于招标代理服务收费有关问题的通知》（发改办价格[2003]857号）的标准收取。</w:t>
            </w:r>
          </w:p>
          <w:p>
            <w:pPr>
              <w:jc w:val="both"/>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w:t>
            </w:r>
          </w:p>
        </w:tc>
        <w:tc>
          <w:tcPr>
            <w:tcW w:w="3402"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所属行业</w:t>
            </w:r>
          </w:p>
        </w:tc>
        <w:tc>
          <w:tcPr>
            <w:tcW w:w="4490" w:type="dxa"/>
            <w:shd w:val="clear" w:color="auto" w:fill="auto"/>
            <w:vAlign w:val="center"/>
          </w:tcPr>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工业</w:t>
            </w:r>
          </w:p>
        </w:tc>
      </w:tr>
    </w:tbl>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br w:type="page"/>
      </w:r>
    </w:p>
    <w:p>
      <w:pPr>
        <w:pStyle w:val="6"/>
        <w:outlineLvl w:val="1"/>
        <w:rPr>
          <w:rFonts w:hint="eastAsia" w:ascii="宋体" w:hAnsi="宋体" w:eastAsia="宋体" w:cs="宋体"/>
          <w:b/>
          <w:bCs/>
          <w:sz w:val="28"/>
          <w:szCs w:val="28"/>
        </w:rPr>
      </w:pPr>
      <w:bookmarkStart w:id="12" w:name="_Toc21317"/>
      <w:r>
        <w:rPr>
          <w:rFonts w:hint="eastAsia" w:ascii="宋体" w:hAnsi="宋体" w:eastAsia="宋体" w:cs="宋体"/>
          <w:b/>
          <w:bCs/>
          <w:sz w:val="28"/>
          <w:szCs w:val="28"/>
        </w:rPr>
        <w:t>一、有关定义</w:t>
      </w:r>
      <w:bookmarkEnd w:id="12"/>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1．采购人：依法进行政府采购的西安市市级机关、事业单位或团体组织。</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2．供应商：指向采购人提供货物、工程或者服务的法人、其他组织或者自然人。</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3．同级政府采购监管部门：西安市财政局政府采购管理处。</w:t>
      </w:r>
    </w:p>
    <w:p>
      <w:pPr>
        <w:spacing w:line="560" w:lineRule="exact"/>
        <w:ind w:firstLine="576" w:firstLineChars="200"/>
        <w:rPr>
          <w:rFonts w:hint="eastAsia" w:ascii="宋体" w:hAnsi="宋体" w:eastAsia="宋体" w:cs="宋体"/>
          <w:sz w:val="28"/>
          <w:szCs w:val="28"/>
        </w:rPr>
      </w:pPr>
      <w:r>
        <w:rPr>
          <w:rFonts w:hint="eastAsia" w:ascii="宋体" w:hAnsi="宋体" w:eastAsia="宋体" w:cs="宋体"/>
          <w:sz w:val="28"/>
          <w:szCs w:val="28"/>
        </w:rPr>
        <w:t>4．西安市公共资源交易平台：即【全国公共资源交易平台（陕西省·西安市）】的简称，官网地址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"http://sxggzyjy.xa.gov.cn/"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http://sxggzyjy.xa.gov.cn/</w:t>
      </w:r>
      <w:r>
        <w:rPr>
          <w:rStyle w:val="45"/>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spacing w:line="560" w:lineRule="exact"/>
        <w:ind w:firstLine="576" w:firstLineChars="200"/>
        <w:rPr>
          <w:rFonts w:hint="eastAsia" w:ascii="宋体" w:hAnsi="宋体" w:eastAsia="宋体" w:cs="宋体"/>
          <w:sz w:val="28"/>
          <w:szCs w:val="28"/>
        </w:rPr>
      </w:pPr>
      <w:r>
        <w:rPr>
          <w:rFonts w:hint="eastAsia" w:ascii="宋体" w:hAnsi="宋体" w:eastAsia="宋体" w:cs="宋体"/>
          <w:sz w:val="28"/>
          <w:szCs w:val="28"/>
        </w:rPr>
        <w:t>5．企业端：指西安市公共资源交易平台〖首页·〉电子交易平台·〉陕西政府采购交易系统·〉企业端〗，快捷登录网址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"http://www.sxggzyjy.cn:9002/TPBidder/memberLogin"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http://www.sxggzyjy.cn:9002/TPBidder/memberLogin</w:t>
      </w:r>
      <w:r>
        <w:rPr>
          <w:rStyle w:val="45"/>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pStyle w:val="6"/>
        <w:outlineLvl w:val="1"/>
        <w:rPr>
          <w:rFonts w:hint="eastAsia" w:ascii="宋体" w:hAnsi="宋体" w:eastAsia="宋体" w:cs="宋体"/>
          <w:b/>
          <w:bCs/>
          <w:sz w:val="28"/>
          <w:szCs w:val="28"/>
        </w:rPr>
      </w:pPr>
      <w:bookmarkStart w:id="13" w:name="_Toc8789"/>
      <w:r>
        <w:rPr>
          <w:rFonts w:hint="eastAsia" w:ascii="宋体" w:hAnsi="宋体" w:eastAsia="宋体" w:cs="宋体"/>
          <w:b/>
          <w:bCs/>
          <w:sz w:val="28"/>
          <w:szCs w:val="28"/>
        </w:rPr>
        <w:t>二、供应商注意事项</w:t>
      </w:r>
      <w:bookmarkEnd w:id="13"/>
    </w:p>
    <w:p>
      <w:pPr>
        <w:pStyle w:val="99"/>
        <w:bidi w:val="0"/>
        <w:rPr>
          <w:rFonts w:hint="eastAsia"/>
          <w:b/>
          <w:bCs/>
          <w:sz w:val="28"/>
          <w:szCs w:val="28"/>
        </w:rPr>
      </w:pPr>
      <w:bookmarkStart w:id="14" w:name="_Toc21146"/>
      <w:r>
        <w:rPr>
          <w:rFonts w:hint="eastAsia"/>
          <w:b/>
          <w:bCs/>
          <w:sz w:val="28"/>
          <w:szCs w:val="28"/>
        </w:rPr>
        <w:t>（一）供应商投标流程</w:t>
      </w:r>
      <w:bookmarkEnd w:id="1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使用电子交易系统的采购项目（即线上项目），将同时提供WORD\PDF格式（仅用于预览）和SXSZF格式（用于制作电子投标文件）两个版本，文件内容一致。</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1．预览采购文件：打开西安市公共资源交易平台〖首页·〉交易大厅·〉政府采购〗栏目，下载和阅读本项目采购文件的预览版本（WORD\PDF格式）；</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2．办理注册登记（针对初次使用电子交易系统的用户）：</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（1）办理诚信入库注册：在决定参加本项目采购活动后，供应商应先在西安市公共资源交易平台上完成“诚信入库登记”；</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（2）办理数字认证（CA锁）：一般分为法人锁（必选）、企业锁主锁（必选）及副锁（可选）。CA锁将用于对电子投标文件进行签章、加密、递交及开标时解密等相关操作。CA办理及售后服务统一由第三方机构（</w:t>
      </w:r>
      <w:r>
        <w:rPr>
          <w:rFonts w:hint="eastAsia" w:ascii="宋体" w:hAnsi="宋体" w:eastAsia="宋体" w:cs="宋体"/>
          <w:sz w:val="28"/>
          <w:szCs w:val="28"/>
          <w:lang w:val="en-US" w:eastAsia="zh-CN"/>
        </w:rPr>
        <w:t>陕西CA、深圳CA、西部CA、北京CA四家数字证书公司</w:t>
      </w:r>
      <w:r>
        <w:rPr>
          <w:rFonts w:hint="eastAsia" w:ascii="宋体" w:hAnsi="宋体" w:eastAsia="宋体" w:cs="宋体"/>
          <w:sz w:val="28"/>
          <w:szCs w:val="28"/>
        </w:rPr>
        <w:t>）负责。</w:t>
      </w:r>
    </w:p>
    <w:p>
      <w:pPr>
        <w:widowControl w:val="0"/>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办理须知：</w:t>
      </w:r>
    </w:p>
    <w:p>
      <w:pPr>
        <w:widowControl w:val="0"/>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http://</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"http://www.snca.com.cn/channel/show/27.html"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www.snca.com.cn/channel/show/27.html</w:t>
      </w:r>
      <w:r>
        <w:rPr>
          <w:rStyle w:val="45"/>
          <w:rFonts w:hint="eastAsia" w:ascii="宋体" w:hAnsi="宋体" w:eastAsia="宋体" w:cs="宋体"/>
          <w:color w:val="auto"/>
          <w:sz w:val="28"/>
          <w:szCs w:val="28"/>
          <w:u w:val="none"/>
        </w:rPr>
        <w:fldChar w:fldCharType="end"/>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（3）绑定和激活CA：将数字证书与诚信库中的供应商账户进行绑定。</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76" w:firstLineChars="200"/>
        <w:jc w:val="both"/>
        <w:outlineLvl w:val="9"/>
        <w:rPr>
          <w:rFonts w:hint="eastAsia" w:ascii="宋体" w:hAnsi="宋体" w:eastAsia="宋体" w:cs="宋体"/>
          <w:sz w:val="32"/>
          <w:szCs w:val="32"/>
        </w:rPr>
      </w:pPr>
      <w:r>
        <w:rPr>
          <w:rFonts w:hint="eastAsia" w:ascii="宋体" w:hAnsi="宋体" w:eastAsia="宋体" w:cs="宋体"/>
          <w:sz w:val="28"/>
          <w:szCs w:val="28"/>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5．提交电子投标文件：在提交投标文件截止时间前及时提交加密后电子投标文件，逾期提交的，系统将会拒收；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8．中标供应商注册：按照陕西省政府采购监管部门的要求，采购代理机构在发布中标公告前，应由中标供应商在陕西省政府采购网上完成注册。</w:t>
      </w:r>
    </w:p>
    <w:p>
      <w:pPr>
        <w:pStyle w:val="99"/>
        <w:bidi w:val="0"/>
        <w:rPr>
          <w:rFonts w:hint="eastAsia"/>
          <w:b/>
          <w:bCs/>
          <w:sz w:val="28"/>
          <w:szCs w:val="28"/>
        </w:rPr>
      </w:pPr>
      <w:bookmarkStart w:id="15" w:name="_Toc18855"/>
      <w:r>
        <w:rPr>
          <w:rFonts w:hint="eastAsia"/>
          <w:b/>
          <w:bCs/>
          <w:sz w:val="28"/>
          <w:szCs w:val="28"/>
        </w:rPr>
        <w:t>（二）关于询问、质疑和投诉</w:t>
      </w:r>
      <w:bookmarkEnd w:id="15"/>
    </w:p>
    <w:p>
      <w:pPr>
        <w:pStyle w:val="99"/>
        <w:bidi w:val="0"/>
        <w:rPr>
          <w:rFonts w:hint="eastAsia" w:ascii="宋体" w:hAnsi="宋体" w:eastAsia="宋体" w:cs="宋体"/>
          <w:sz w:val="28"/>
          <w:szCs w:val="28"/>
        </w:rPr>
      </w:pPr>
      <w:bookmarkStart w:id="16" w:name="_Toc25855"/>
      <w:r>
        <w:rPr>
          <w:rFonts w:hint="eastAsia" w:ascii="宋体" w:hAnsi="宋体" w:eastAsia="宋体" w:cs="宋体"/>
          <w:sz w:val="28"/>
          <w:szCs w:val="28"/>
        </w:rPr>
        <w:t>1．询问</w:t>
      </w:r>
      <w:bookmarkEnd w:id="16"/>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供应商对政府采购活动事项有疑问的，可以向采购人或采购代理机构提出询问。采购人或采购代理机构将在3个工作日内对供应商依法提出的询问作出答复。</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pPr>
        <w:pStyle w:val="99"/>
        <w:bidi w:val="0"/>
        <w:rPr>
          <w:rFonts w:hint="eastAsia"/>
          <w:sz w:val="28"/>
          <w:szCs w:val="28"/>
        </w:rPr>
      </w:pPr>
      <w:bookmarkStart w:id="17" w:name="_Toc7787"/>
      <w:r>
        <w:rPr>
          <w:rFonts w:hint="eastAsia"/>
          <w:sz w:val="28"/>
          <w:szCs w:val="28"/>
        </w:rPr>
        <w:t>2．质疑</w:t>
      </w:r>
      <w:bookmarkEnd w:id="17"/>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（2）质疑方式：</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① 在线质疑：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登录西安市公共资源交易平台〖首页·〉电子交易平台·〉企业端〗，在〖我的项目〗中点击“项目流程·〉提出质疑”，填写表单并提交质疑。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② 书面质疑：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书面质疑函应按照财政部国库司制定的《政府采购供应商质疑函范本》（见下方链接）进行填写，签字、盖章后提交至采购人、采购代理机构。</w:t>
      </w:r>
    </w:p>
    <w:p>
      <w:pPr>
        <w:spacing w:line="560" w:lineRule="exact"/>
        <w:ind w:firstLine="576" w:firstLineChars="200"/>
        <w:outlineLvl w:val="9"/>
        <w:rPr>
          <w:rFonts w:hint="eastAsia" w:ascii="宋体" w:hAnsi="宋体" w:eastAsia="宋体" w:cs="宋体"/>
          <w:sz w:val="28"/>
          <w:szCs w:val="28"/>
        </w:rPr>
      </w:pPr>
      <w:r>
        <w:rPr>
          <w:rFonts w:hint="eastAsia" w:ascii="宋体" w:hAnsi="宋体" w:eastAsia="宋体" w:cs="宋体"/>
          <w:sz w:val="28"/>
          <w:szCs w:val="28"/>
        </w:rPr>
        <w:t>质疑函范本地址：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"http://download.ccgp.gov.cn/2018/zhiyihanfanben.zip"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http://download.ccgp.gov.cn/2018/zhiyihanfanben.zip</w:t>
      </w:r>
      <w:r>
        <w:rPr>
          <w:rStyle w:val="45"/>
          <w:rFonts w:hint="eastAsia" w:ascii="宋体" w:hAnsi="宋体" w:eastAsia="宋体" w:cs="宋体"/>
          <w:color w:val="auto"/>
          <w:sz w:val="28"/>
          <w:szCs w:val="28"/>
          <w:u w:val="none"/>
        </w:rPr>
        <w:fldChar w:fldCharType="end"/>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（5）有下列情形之一的，属于无效质疑：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① 对采购文件提出质疑的质疑人不是依法获取采购文件的潜在供应商；对采购过程、中标结果提出质疑的质疑人不是参与本次政府采购项目的供应商；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② 超过法定期限或未以书面形式提出的；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③ 缺乏必要的证明材料，或捏造事实、提供虚假材料，或以非法手段取得证明材料的；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④ 质疑函没有合法有效的签字、盖章或委托授权书的（代理人提出质疑和投诉，应当提交供应商签署的授权委托书）；</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⑤ 针对同一采购程序环节又提出其他质疑事项的，或质疑答复后就同一事项再次提出质疑的；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⑥ 不符合法律、法规、规章和政府采购监管机构规定的其他条件的。</w:t>
      </w:r>
    </w:p>
    <w:p>
      <w:pPr>
        <w:pStyle w:val="99"/>
        <w:bidi w:val="0"/>
        <w:rPr>
          <w:rFonts w:hint="eastAsia" w:ascii="宋体" w:hAnsi="宋体" w:eastAsia="宋体" w:cs="宋体"/>
          <w:sz w:val="28"/>
          <w:szCs w:val="28"/>
        </w:rPr>
      </w:pPr>
      <w:bookmarkStart w:id="18" w:name="_Toc26875"/>
      <w:r>
        <w:rPr>
          <w:rFonts w:hint="eastAsia" w:ascii="宋体" w:hAnsi="宋体" w:eastAsia="宋体" w:cs="宋体"/>
          <w:sz w:val="28"/>
          <w:szCs w:val="28"/>
        </w:rPr>
        <w:t>3．投诉</w:t>
      </w:r>
      <w:bookmarkEnd w:id="18"/>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（2）供应商投诉的事项不得超出已质疑事项的范围。供应商提出投诉时，应当提交投诉书和必要的证明材料，并按财政部《投诉书范本》给定的格式进行填写。</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投诉书范本地址：</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"http://download.ccgp.gov.cn/2018/tousushufanben.zip" </w:instrText>
      </w:r>
      <w:r>
        <w:rPr>
          <w:rFonts w:hint="eastAsia" w:ascii="宋体" w:hAnsi="宋体" w:eastAsia="宋体" w:cs="宋体"/>
          <w:sz w:val="28"/>
          <w:szCs w:val="28"/>
        </w:rPr>
        <w:fldChar w:fldCharType="separate"/>
      </w:r>
      <w:r>
        <w:rPr>
          <w:rStyle w:val="45"/>
          <w:rFonts w:hint="eastAsia" w:ascii="宋体" w:hAnsi="宋体" w:eastAsia="宋体" w:cs="宋体"/>
          <w:sz w:val="28"/>
          <w:szCs w:val="28"/>
        </w:rPr>
        <w:t>http://download.ccgp.gov.cn/2018/tousushufanben.zip</w:t>
      </w:r>
      <w:r>
        <w:rPr>
          <w:rStyle w:val="45"/>
          <w:rFonts w:hint="eastAsia" w:ascii="宋体" w:hAnsi="宋体" w:eastAsia="宋体" w:cs="宋体"/>
          <w:sz w:val="28"/>
          <w:szCs w:val="28"/>
        </w:rPr>
        <w:fldChar w:fldCharType="end"/>
      </w:r>
    </w:p>
    <w:p>
      <w:pPr>
        <w:pStyle w:val="99"/>
        <w:bidi w:val="0"/>
        <w:rPr>
          <w:rFonts w:hint="eastAsia" w:ascii="宋体" w:hAnsi="宋体" w:eastAsia="宋体" w:cs="宋体"/>
          <w:sz w:val="28"/>
          <w:szCs w:val="28"/>
        </w:rPr>
      </w:pPr>
      <w:bookmarkStart w:id="19" w:name="_Toc6468"/>
      <w:r>
        <w:rPr>
          <w:rFonts w:hint="eastAsia" w:ascii="宋体" w:hAnsi="宋体" w:eastAsia="宋体" w:cs="宋体"/>
          <w:sz w:val="28"/>
          <w:szCs w:val="28"/>
        </w:rPr>
        <w:t>4．恶意质疑、投诉的法律后果</w:t>
      </w:r>
      <w:bookmarkEnd w:id="1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（1）对捏造事实、提供虚假材料进行质疑、投诉的行为予以严肃处理：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（2）对捏造事实诬告陷害他人、诽谤他人的法律适用：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《中华人民共和国刑法》第246条【侮辱罪、诽谤罪】以暴力或者其他方法公然侮辱他人或者捏造事实诽谤他人，情节严重的，处三年以下有期徒刑、拘役、管制或者剥夺政治权利。</w:t>
      </w:r>
    </w:p>
    <w:p>
      <w:pPr>
        <w:pStyle w:val="99"/>
        <w:bidi w:val="0"/>
        <w:rPr>
          <w:rFonts w:hint="eastAsia"/>
          <w:b/>
          <w:bCs/>
          <w:sz w:val="28"/>
          <w:szCs w:val="28"/>
        </w:rPr>
      </w:pPr>
      <w:bookmarkStart w:id="20" w:name="_Toc15150"/>
      <w:r>
        <w:rPr>
          <w:rFonts w:hint="eastAsia"/>
          <w:b/>
          <w:bCs/>
          <w:sz w:val="28"/>
          <w:szCs w:val="28"/>
        </w:rPr>
        <w:t>（三）关于保证金</w:t>
      </w:r>
      <w:bookmarkEnd w:id="20"/>
    </w:p>
    <w:p>
      <w:pPr>
        <w:pStyle w:val="99"/>
        <w:bidi w:val="0"/>
        <w:rPr>
          <w:rFonts w:hint="eastAsia"/>
          <w:sz w:val="28"/>
          <w:szCs w:val="28"/>
        </w:rPr>
      </w:pPr>
      <w:bookmarkStart w:id="21" w:name="_Toc21776"/>
      <w:r>
        <w:rPr>
          <w:rFonts w:hint="eastAsia"/>
          <w:sz w:val="28"/>
          <w:szCs w:val="28"/>
        </w:rPr>
        <w:t>1．西安市政府采购信用担保及信用融资政策</w:t>
      </w:r>
      <w:bookmarkEnd w:id="21"/>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《实施方案》链接地址：</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"http://xaczj.xa.gov.cn/zfcg/cgfg/5db90552fd850863a9e4594d.html"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http://xaczj.xa.gov.cn/zfcg/cgfg/5db90552fd850863a9e4594d.html</w:t>
      </w:r>
      <w:r>
        <w:rPr>
          <w:rStyle w:val="45"/>
          <w:rFonts w:hint="eastAsia" w:ascii="宋体" w:hAnsi="宋体" w:eastAsia="宋体" w:cs="宋体"/>
          <w:color w:val="auto"/>
          <w:sz w:val="28"/>
          <w:szCs w:val="28"/>
          <w:u w:val="none"/>
        </w:rPr>
        <w:fldChar w:fldCharType="end"/>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《合作机构名单》链接地址：</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"http://xaczj.xa.gov.cn/zfcg/cgfg/5db9054565cbd804f69e97e0.html"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http://xaczj.xa.gov.cn/zfcg/cgfg/5db9054565cbd804f69e97e0.html</w:t>
      </w:r>
      <w:r>
        <w:rPr>
          <w:rStyle w:val="45"/>
          <w:rFonts w:hint="eastAsia" w:ascii="宋体" w:hAnsi="宋体" w:eastAsia="宋体" w:cs="宋体"/>
          <w:color w:val="auto"/>
          <w:sz w:val="28"/>
          <w:szCs w:val="28"/>
          <w:u w:val="none"/>
        </w:rPr>
        <w:fldChar w:fldCharType="end"/>
      </w:r>
    </w:p>
    <w:p>
      <w:pPr>
        <w:pStyle w:val="99"/>
        <w:bidi w:val="0"/>
        <w:rPr>
          <w:rFonts w:hint="eastAsia"/>
          <w:sz w:val="28"/>
          <w:szCs w:val="28"/>
        </w:rPr>
      </w:pPr>
      <w:bookmarkStart w:id="22" w:name="_Toc184"/>
      <w:r>
        <w:rPr>
          <w:rFonts w:hint="eastAsia"/>
          <w:sz w:val="28"/>
          <w:szCs w:val="28"/>
        </w:rPr>
        <w:t>2．投标保证金</w:t>
      </w:r>
      <w:bookmarkEnd w:id="2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按照西安市财政局《关于促进政府采购公平竞争优化营商环境的通知》第三条规定，供应商参与西安市政府采购活动时，免交投标保证金。</w:t>
      </w:r>
    </w:p>
    <w:p>
      <w:pPr>
        <w:pStyle w:val="99"/>
        <w:bidi w:val="0"/>
        <w:rPr>
          <w:rFonts w:hint="eastAsia"/>
          <w:sz w:val="28"/>
          <w:szCs w:val="28"/>
        </w:rPr>
      </w:pPr>
      <w:bookmarkStart w:id="23" w:name="_Toc26947"/>
      <w:r>
        <w:rPr>
          <w:rFonts w:hint="eastAsia"/>
          <w:sz w:val="28"/>
          <w:szCs w:val="28"/>
        </w:rPr>
        <w:t>3．履约保证金</w:t>
      </w:r>
      <w:bookmarkEnd w:id="23"/>
    </w:p>
    <w:p>
      <w:pPr>
        <w:spacing w:line="560" w:lineRule="exact"/>
        <w:ind w:firstLine="576" w:firstLineChars="200"/>
        <w:jc w:val="both"/>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无</w:t>
      </w:r>
    </w:p>
    <w:p>
      <w:pPr>
        <w:pStyle w:val="99"/>
        <w:bidi w:val="0"/>
        <w:rPr>
          <w:rFonts w:hint="eastAsia"/>
          <w:b/>
          <w:bCs/>
          <w:sz w:val="28"/>
          <w:szCs w:val="28"/>
        </w:rPr>
      </w:pPr>
      <w:bookmarkStart w:id="24" w:name="_Toc9929"/>
      <w:r>
        <w:rPr>
          <w:rFonts w:hint="eastAsia"/>
          <w:b/>
          <w:bCs/>
          <w:sz w:val="28"/>
          <w:szCs w:val="28"/>
        </w:rPr>
        <w:t>（四）关于联合体</w:t>
      </w:r>
      <w:bookmarkEnd w:id="2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4．供应商以联合体形式参加政府采购活动时，遵循以下规则：</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③ 采用资格前审的项目，联合体应当在提交资格前审申请文件前组成。资格前审后联合体不得增减、更换成员。</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④ 资格审查阶段，采购人将对所有联合体成员进行信用记录查询，联合体成员存在不良信用记录的，视同联合体存在不良信用记录。</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⑤ 招标文件要求供应商交纳保证金的，可以由联合体中的一方或者多方共同交纳保证金，其交纳的保证金对联合体各方均具有约束力。</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⑥ 招标文件要求供应商提供履约人员和设备情况的，联合体各方均应提供，以说明其作为独立供应商所具有的能有效执行合同的能力和资源。</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⑨ 对采购项目提出投诉时，应当由组成联合体的所有供应商共同提出。</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联合体投标无效，本项目不 接受联合体投标</w:t>
      </w:r>
    </w:p>
    <w:p>
      <w:pPr>
        <w:pStyle w:val="99"/>
        <w:bidi w:val="0"/>
        <w:rPr>
          <w:rFonts w:hint="eastAsia"/>
          <w:b/>
          <w:bCs/>
          <w:sz w:val="28"/>
          <w:szCs w:val="28"/>
        </w:rPr>
      </w:pPr>
      <w:bookmarkStart w:id="25" w:name="_Toc7087"/>
      <w:r>
        <w:rPr>
          <w:rFonts w:hint="eastAsia"/>
          <w:b/>
          <w:bCs/>
          <w:sz w:val="28"/>
          <w:szCs w:val="28"/>
        </w:rPr>
        <w:t>（五）关于进口产品</w:t>
      </w:r>
      <w:bookmarkEnd w:id="25"/>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99"/>
        <w:bidi w:val="0"/>
        <w:rPr>
          <w:rFonts w:hint="eastAsia"/>
          <w:b/>
          <w:bCs/>
          <w:sz w:val="28"/>
          <w:szCs w:val="28"/>
        </w:rPr>
      </w:pPr>
      <w:bookmarkStart w:id="26" w:name="_Toc15301"/>
      <w:r>
        <w:rPr>
          <w:rFonts w:hint="eastAsia"/>
          <w:b/>
          <w:bCs/>
          <w:sz w:val="28"/>
          <w:szCs w:val="28"/>
        </w:rPr>
        <w:t>（六）关于政府采购政策</w:t>
      </w:r>
      <w:bookmarkEnd w:id="26"/>
    </w:p>
    <w:p>
      <w:pPr>
        <w:pStyle w:val="99"/>
        <w:bidi w:val="0"/>
        <w:ind w:left="0" w:leftChars="0" w:firstLine="0" w:firstLineChars="0"/>
        <w:rPr>
          <w:rFonts w:hint="eastAsia"/>
          <w:sz w:val="28"/>
          <w:szCs w:val="28"/>
        </w:rPr>
      </w:pPr>
      <w:bookmarkStart w:id="27" w:name="_Toc2460"/>
      <w:r>
        <w:rPr>
          <w:rFonts w:hint="eastAsia"/>
          <w:sz w:val="28"/>
          <w:szCs w:val="28"/>
        </w:rPr>
        <w:t>1．对中小企业、监狱企业、残疾人福利性单位的优惠政策</w:t>
      </w:r>
      <w:bookmarkEnd w:id="27"/>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w:t>
      </w:r>
      <w:r>
        <w:rPr>
          <w:rFonts w:hint="eastAsia" w:ascii="宋体" w:hAnsi="宋体" w:eastAsia="宋体" w:cs="宋体"/>
          <w:sz w:val="28"/>
          <w:szCs w:val="28"/>
          <w:lang w:val="en-US" w:eastAsia="zh-CN"/>
        </w:rPr>
        <w:t>10</w:t>
      </w: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（2）根据财政部、司法部联合下发的《关于政府采购支持监狱企业发展有关问题的通知》（财库〔2014〕68号）的规定，监狱企业视同小型、微型企业。</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99"/>
        <w:bidi w:val="0"/>
        <w:ind w:left="0" w:leftChars="0" w:firstLine="0" w:firstLineChars="0"/>
        <w:rPr>
          <w:rFonts w:hint="eastAsia"/>
          <w:sz w:val="28"/>
          <w:szCs w:val="28"/>
        </w:rPr>
      </w:pPr>
      <w:bookmarkStart w:id="28" w:name="_Toc22143"/>
      <w:r>
        <w:rPr>
          <w:rFonts w:hint="eastAsia"/>
          <w:sz w:val="28"/>
          <w:szCs w:val="28"/>
        </w:rPr>
        <w:t>2．节能、环保产品采购政策</w:t>
      </w:r>
      <w:bookmarkEnd w:id="28"/>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（3）《节能产品政府采购品目清单》见财政部、发展改革委《关于印发节能产品政府采购品目清单的通知》（财库〔2019〕19号）附件。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（4）《环境标志产品政府采购品目清单》见财政部、生态环境部《关于印发环境标志产品政府采购品目清单的通知》（财库〔2019〕18号）附件。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（5）“国家确定的认证机构”名单见市场监管总局《关于发布参与实施政府采购节能产品、环境标志产品认证机构名录的公告》（2019年第16号）。</w:t>
      </w:r>
    </w:p>
    <w:p>
      <w:pPr>
        <w:pStyle w:val="99"/>
        <w:bidi w:val="0"/>
        <w:rPr>
          <w:rFonts w:hint="eastAsia"/>
          <w:sz w:val="28"/>
          <w:szCs w:val="28"/>
        </w:rPr>
      </w:pPr>
      <w:bookmarkStart w:id="29" w:name="_Toc19090"/>
      <w:r>
        <w:rPr>
          <w:rFonts w:hint="eastAsia"/>
          <w:sz w:val="28"/>
          <w:szCs w:val="28"/>
        </w:rPr>
        <w:t>3．陕西省中小企业政府采购信用融资办法</w:t>
      </w:r>
      <w:bookmarkEnd w:id="2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76" w:firstLineChars="200"/>
        <w:outlineLvl w:val="9"/>
        <w:rPr>
          <w:rFonts w:hint="eastAsia" w:ascii="宋体" w:hAnsi="宋体" w:eastAsia="宋体" w:cs="宋体"/>
          <w:sz w:val="28"/>
          <w:szCs w:val="28"/>
        </w:rPr>
      </w:pPr>
      <w:r>
        <w:rPr>
          <w:rFonts w:hint="eastAsia" w:ascii="宋体" w:hAnsi="宋体" w:eastAsia="宋体" w:cs="宋体"/>
          <w:sz w:val="28"/>
          <w:szCs w:val="28"/>
        </w:rPr>
        <w:t>链接地址：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"http://www.ccgp-shaanxi.gov.cn/zcdservice/zcd/shanxi/article/zcdt/1390497710741917696"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http://www.ccgp-shaanxi.gov.cn/zcdservice/zcd/shanxi/article/zcdt/1390497710741917696</w:t>
      </w:r>
      <w:r>
        <w:rPr>
          <w:rStyle w:val="45"/>
          <w:rFonts w:hint="eastAsia" w:ascii="宋体" w:hAnsi="宋体" w:eastAsia="宋体" w:cs="宋体"/>
          <w:color w:val="auto"/>
          <w:sz w:val="28"/>
          <w:szCs w:val="28"/>
          <w:u w:val="none"/>
        </w:rPr>
        <w:fldChar w:fldCharType="end"/>
      </w:r>
    </w:p>
    <w:p>
      <w:pPr>
        <w:pStyle w:val="99"/>
        <w:bidi w:val="0"/>
        <w:rPr>
          <w:rFonts w:hint="eastAsia"/>
          <w:b/>
          <w:bCs/>
          <w:sz w:val="28"/>
          <w:szCs w:val="28"/>
        </w:rPr>
      </w:pPr>
      <w:bookmarkStart w:id="30" w:name="_Toc9302"/>
      <w:r>
        <w:rPr>
          <w:rFonts w:hint="eastAsia"/>
          <w:b/>
          <w:bCs/>
          <w:sz w:val="28"/>
          <w:szCs w:val="28"/>
        </w:rPr>
        <w:t>（七）关于现场踏勘和集中答疑</w:t>
      </w:r>
      <w:bookmarkEnd w:id="30"/>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凡未参加现场踏勘和集中答疑的供应商，由此带来的不利后果由该供应商自行承担。</w:t>
      </w:r>
    </w:p>
    <w:p>
      <w:pPr>
        <w:pStyle w:val="99"/>
        <w:bidi w:val="0"/>
        <w:rPr>
          <w:rFonts w:hint="eastAsia"/>
          <w:b/>
          <w:bCs/>
          <w:sz w:val="28"/>
          <w:szCs w:val="28"/>
        </w:rPr>
      </w:pPr>
      <w:bookmarkStart w:id="31" w:name="_Toc25219"/>
      <w:r>
        <w:rPr>
          <w:rFonts w:hint="eastAsia"/>
          <w:b/>
          <w:bCs/>
          <w:sz w:val="28"/>
          <w:szCs w:val="28"/>
        </w:rPr>
        <w:t>（八）关于同一品牌产品的处理</w:t>
      </w:r>
      <w:bookmarkEnd w:id="31"/>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99"/>
        <w:bidi w:val="0"/>
        <w:rPr>
          <w:rFonts w:hint="eastAsia"/>
          <w:b/>
          <w:bCs/>
          <w:sz w:val="28"/>
          <w:szCs w:val="28"/>
        </w:rPr>
      </w:pPr>
      <w:bookmarkStart w:id="32" w:name="_Toc15678"/>
      <w:r>
        <w:rPr>
          <w:rFonts w:hint="eastAsia"/>
          <w:b/>
          <w:bCs/>
          <w:sz w:val="28"/>
          <w:szCs w:val="28"/>
        </w:rPr>
        <w:t>（九）关于知识产权和保密事项</w:t>
      </w:r>
      <w:bookmarkEnd w:id="3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99"/>
        <w:bidi w:val="0"/>
        <w:rPr>
          <w:rFonts w:hint="eastAsia"/>
          <w:b/>
          <w:bCs/>
          <w:sz w:val="28"/>
          <w:szCs w:val="28"/>
        </w:rPr>
      </w:pPr>
      <w:bookmarkStart w:id="33" w:name="_Toc17978"/>
      <w:r>
        <w:rPr>
          <w:rFonts w:hint="eastAsia"/>
          <w:b/>
          <w:bCs/>
          <w:sz w:val="28"/>
          <w:szCs w:val="28"/>
        </w:rPr>
        <w:t>（十）关于信用记录的查询和使用</w:t>
      </w:r>
      <w:bookmarkEnd w:id="33"/>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1．根据财政部《关于在政府采购活动中查询及使用信用记录有关问题的通知》（财库〔2016〕125号）第二条有关要求，采购人将在资格审查阶段通过【信用中国】（</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"https://www.creditchina.gov.cn"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https://www.creditchina.gov.cn</w:t>
      </w:r>
      <w:r>
        <w:rPr>
          <w:rStyle w:val="45"/>
          <w:rFonts w:hint="eastAsia" w:ascii="宋体" w:hAnsi="宋体" w:eastAsia="宋体" w:cs="宋体"/>
          <w:color w:val="auto"/>
          <w:sz w:val="28"/>
          <w:szCs w:val="28"/>
          <w:u w:val="none"/>
        </w:rPr>
        <w:fldChar w:fldCharType="end"/>
      </w:r>
      <w:r>
        <w:rPr>
          <w:rFonts w:hint="eastAsia" w:ascii="宋体" w:hAnsi="宋体" w:eastAsia="宋体" w:cs="宋体"/>
          <w:sz w:val="28"/>
          <w:szCs w:val="28"/>
        </w:rPr>
        <w:t>/）和【中国政府采购网】（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"http://www.ccgp.gov.cn/"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http://www.ccgp.gov.cn/）</w:t>
      </w:r>
      <w:r>
        <w:rPr>
          <w:rStyle w:val="45"/>
          <w:rFonts w:hint="eastAsia" w:ascii="宋体" w:hAnsi="宋体" w:eastAsia="宋体" w:cs="宋体"/>
          <w:color w:val="auto"/>
          <w:sz w:val="28"/>
          <w:szCs w:val="28"/>
          <w:u w:val="none"/>
        </w:rPr>
        <w:fldChar w:fldCharType="end"/>
      </w:r>
      <w:r>
        <w:rPr>
          <w:rFonts w:hint="eastAsia" w:ascii="宋体" w:hAnsi="宋体" w:eastAsia="宋体" w:cs="宋体"/>
          <w:sz w:val="28"/>
          <w:szCs w:val="28"/>
        </w:rPr>
        <w:t>对供应商的信用情况进行甄别。</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3．供应商在参加政府采购活动前3年内因违法经营被禁止在一定期限内参加政府采购活动，期限届满的，可以参加政府采购活动的，但供应商应提供相关证明材料。</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4．信用记录查询结果打印后，将与其他采购文件一并保存。</w:t>
      </w:r>
    </w:p>
    <w:p>
      <w:pPr>
        <w:pStyle w:val="99"/>
        <w:bidi w:val="0"/>
        <w:rPr>
          <w:rFonts w:hint="eastAsia"/>
          <w:b/>
          <w:bCs/>
          <w:sz w:val="28"/>
          <w:szCs w:val="28"/>
        </w:rPr>
      </w:pPr>
      <w:bookmarkStart w:id="34" w:name="_Toc5362"/>
      <w:r>
        <w:rPr>
          <w:rFonts w:hint="eastAsia"/>
          <w:b/>
          <w:bCs/>
          <w:sz w:val="28"/>
          <w:szCs w:val="28"/>
        </w:rPr>
        <w:t>（十一）其他重要事项</w:t>
      </w:r>
      <w:bookmarkEnd w:id="3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1．招标文件内所附网络链接仅供参考，不保证其长期有效性。</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2．供应商的投标费用自理。</w:t>
      </w:r>
    </w:p>
    <w:p>
      <w:pPr>
        <w:pStyle w:val="6"/>
        <w:ind w:left="0" w:leftChars="0" w:firstLine="0" w:firstLineChars="0"/>
        <w:outlineLvl w:val="1"/>
        <w:rPr>
          <w:rFonts w:hint="eastAsia" w:ascii="宋体" w:hAnsi="宋体" w:eastAsia="宋体" w:cs="宋体"/>
          <w:sz w:val="28"/>
          <w:szCs w:val="28"/>
        </w:rPr>
      </w:pPr>
      <w:bookmarkStart w:id="35" w:name="_Toc749"/>
      <w:r>
        <w:rPr>
          <w:rFonts w:hint="eastAsia" w:ascii="宋体" w:hAnsi="宋体" w:eastAsia="宋体" w:cs="宋体"/>
          <w:sz w:val="28"/>
          <w:szCs w:val="28"/>
        </w:rPr>
        <w:t>三、招标文件</w:t>
      </w:r>
      <w:bookmarkEnd w:id="35"/>
    </w:p>
    <w:p>
      <w:pPr>
        <w:pStyle w:val="99"/>
        <w:bidi w:val="0"/>
        <w:rPr>
          <w:rFonts w:hint="eastAsia"/>
          <w:b/>
          <w:bCs/>
          <w:sz w:val="28"/>
          <w:szCs w:val="28"/>
        </w:rPr>
      </w:pPr>
      <w:bookmarkStart w:id="36" w:name="_Toc23274"/>
      <w:r>
        <w:rPr>
          <w:rFonts w:hint="eastAsia"/>
          <w:b/>
          <w:bCs/>
          <w:sz w:val="28"/>
          <w:szCs w:val="28"/>
        </w:rPr>
        <w:t>（一）招标文件的解释权</w:t>
      </w:r>
      <w:bookmarkEnd w:id="36"/>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本项目招标文件的解释权归采购代理机构，评标委员会成员应根据政府采购法律法规和招标文件所载明的评审方法、标准进行评审。</w:t>
      </w:r>
    </w:p>
    <w:p>
      <w:pPr>
        <w:pStyle w:val="99"/>
        <w:bidi w:val="0"/>
        <w:rPr>
          <w:rFonts w:hint="eastAsia"/>
          <w:b/>
          <w:bCs/>
          <w:sz w:val="28"/>
          <w:szCs w:val="28"/>
        </w:rPr>
      </w:pPr>
      <w:bookmarkStart w:id="37" w:name="_Toc30024"/>
      <w:r>
        <w:rPr>
          <w:rFonts w:hint="eastAsia"/>
          <w:b/>
          <w:bCs/>
          <w:sz w:val="28"/>
          <w:szCs w:val="28"/>
        </w:rPr>
        <w:t>（二）招标文件主要内容</w:t>
      </w:r>
      <w:bookmarkEnd w:id="37"/>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第1章  投标邀请函</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第2章  供应商须知</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第3章  招标内容及要求</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第4章  合同文本</w:t>
      </w:r>
    </w:p>
    <w:p>
      <w:pPr>
        <w:spacing w:line="560" w:lineRule="exact"/>
        <w:ind w:firstLine="576" w:firstLineChars="200"/>
        <w:jc w:val="both"/>
        <w:outlineLvl w:val="9"/>
        <w:rPr>
          <w:rFonts w:hint="eastAsia" w:ascii="宋体" w:hAnsi="宋体" w:eastAsia="宋体" w:cs="宋体"/>
          <w:sz w:val="32"/>
          <w:szCs w:val="32"/>
        </w:rPr>
      </w:pPr>
      <w:r>
        <w:rPr>
          <w:rFonts w:hint="eastAsia" w:ascii="宋体" w:hAnsi="宋体" w:eastAsia="宋体" w:cs="宋体"/>
          <w:sz w:val="28"/>
          <w:szCs w:val="28"/>
        </w:rPr>
        <w:t>第5章  投标文件构成及格式</w:t>
      </w:r>
    </w:p>
    <w:p>
      <w:pPr>
        <w:pStyle w:val="99"/>
        <w:bidi w:val="0"/>
        <w:rPr>
          <w:rFonts w:hint="eastAsia"/>
          <w:b/>
          <w:bCs/>
          <w:sz w:val="28"/>
          <w:szCs w:val="28"/>
        </w:rPr>
      </w:pPr>
      <w:bookmarkStart w:id="38" w:name="_Toc26313"/>
      <w:r>
        <w:rPr>
          <w:rFonts w:hint="eastAsia"/>
          <w:b/>
          <w:bCs/>
          <w:sz w:val="28"/>
          <w:szCs w:val="28"/>
        </w:rPr>
        <w:t>（三）招标文件的检查及阅读</w:t>
      </w:r>
      <w:bookmarkEnd w:id="38"/>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供应商应认真阅读和充分理解招标文件中所有的事项、格式条款和规范要求，在投标文件中对招标文件做出全面响 应，并按招标文件的要求提交全部资料。</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项目废标后重新组织招标的，采购代理机构将重新编制、发布新版招标文件，供应商应按新版招标文件重新编制投标文件。原招标文件及投标文件失效。</w:t>
      </w:r>
    </w:p>
    <w:p>
      <w:pPr>
        <w:pStyle w:val="99"/>
        <w:bidi w:val="0"/>
        <w:rPr>
          <w:rFonts w:hint="eastAsia"/>
          <w:b/>
          <w:bCs/>
          <w:sz w:val="28"/>
          <w:szCs w:val="28"/>
        </w:rPr>
      </w:pPr>
      <w:bookmarkStart w:id="39" w:name="_Toc5096"/>
      <w:r>
        <w:rPr>
          <w:rFonts w:hint="eastAsia"/>
          <w:b/>
          <w:bCs/>
          <w:sz w:val="28"/>
          <w:szCs w:val="28"/>
        </w:rPr>
        <w:t>（四）招标文件的修改、澄清</w:t>
      </w:r>
      <w:bookmarkEnd w:id="3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1．提交投标文件截止之日前，采购人或采购代理机构可能对已发出的招标文件进行澄清或者修改，澄清或者修改的内容为招标文件的组成部分。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76" w:firstLineChars="200"/>
        <w:jc w:val="left"/>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陕西省政府采购网</w:t>
      </w:r>
      <w:r>
        <w:rPr>
          <w:rStyle w:val="45"/>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http://www.ccgp-shaanxi.gov.cn/</w:t>
      </w:r>
      <w:r>
        <w:rPr>
          <w:rStyle w:val="45"/>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）中的〖首页·〉信息公告·〉市级·〉西安市〗；</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"http://xa.sxggzyjy.cn/"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全国公共资源交易网（陕西省·西安市）</w:t>
      </w:r>
      <w:r>
        <w:rPr>
          <w:rStyle w:val="45"/>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"http://sxggzyjy.xa.gov.cn/"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http://sxggzyjy.xa.gov.cn/</w:t>
      </w:r>
      <w:r>
        <w:rPr>
          <w:rStyle w:val="45"/>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）中的〖首页·〉交易大厅·〉政府采购〗。</w:t>
      </w:r>
    </w:p>
    <w:p>
      <w:pPr>
        <w:pStyle w:val="6"/>
        <w:ind w:left="0" w:leftChars="0" w:firstLine="0" w:firstLineChars="0"/>
        <w:outlineLvl w:val="1"/>
        <w:rPr>
          <w:rFonts w:hint="eastAsia" w:ascii="宋体" w:hAnsi="宋体" w:eastAsia="宋体" w:cs="宋体"/>
          <w:sz w:val="28"/>
          <w:szCs w:val="28"/>
        </w:rPr>
      </w:pPr>
      <w:bookmarkStart w:id="40" w:name="_Toc9409"/>
      <w:r>
        <w:rPr>
          <w:rFonts w:hint="eastAsia" w:ascii="宋体" w:hAnsi="宋体" w:eastAsia="宋体" w:cs="宋体"/>
          <w:sz w:val="28"/>
          <w:szCs w:val="28"/>
        </w:rPr>
        <w:t>四、投标文件</w:t>
      </w:r>
      <w:bookmarkEnd w:id="40"/>
    </w:p>
    <w:p>
      <w:pPr>
        <w:pStyle w:val="99"/>
        <w:bidi w:val="0"/>
        <w:rPr>
          <w:rFonts w:hint="eastAsia"/>
          <w:b/>
          <w:bCs/>
          <w:sz w:val="28"/>
          <w:szCs w:val="28"/>
        </w:rPr>
      </w:pPr>
      <w:bookmarkStart w:id="41" w:name="_Toc19870"/>
      <w:r>
        <w:rPr>
          <w:rFonts w:hint="eastAsia"/>
          <w:b/>
          <w:bCs/>
          <w:sz w:val="28"/>
          <w:szCs w:val="28"/>
        </w:rPr>
        <w:t>（一）投标文件的式样</w:t>
      </w:r>
      <w:bookmarkEnd w:id="41"/>
    </w:p>
    <w:p>
      <w:pPr>
        <w:pStyle w:val="99"/>
        <w:bidi w:val="0"/>
        <w:ind w:left="0" w:leftChars="0" w:firstLine="0" w:firstLineChars="0"/>
        <w:rPr>
          <w:rFonts w:hint="eastAsia"/>
          <w:sz w:val="28"/>
          <w:szCs w:val="28"/>
        </w:rPr>
      </w:pPr>
      <w:bookmarkStart w:id="42" w:name="_Toc23111"/>
      <w:r>
        <w:rPr>
          <w:rFonts w:hint="eastAsia"/>
          <w:sz w:val="28"/>
          <w:szCs w:val="28"/>
        </w:rPr>
        <w:t>1．组成及格式</w:t>
      </w:r>
      <w:bookmarkEnd w:id="4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供应商依照招标文件第五章《投标文件构成及格式》给定形式进行编制投标文件。</w:t>
      </w:r>
    </w:p>
    <w:p>
      <w:pPr>
        <w:pStyle w:val="99"/>
        <w:bidi w:val="0"/>
        <w:ind w:left="0" w:leftChars="0" w:firstLine="0" w:firstLineChars="0"/>
        <w:rPr>
          <w:rFonts w:hint="eastAsia"/>
          <w:sz w:val="28"/>
          <w:szCs w:val="28"/>
        </w:rPr>
      </w:pPr>
      <w:bookmarkStart w:id="43" w:name="_Toc4658"/>
      <w:r>
        <w:rPr>
          <w:rFonts w:hint="eastAsia"/>
          <w:sz w:val="28"/>
          <w:szCs w:val="28"/>
        </w:rPr>
        <w:t>2．语言</w:t>
      </w:r>
      <w:bookmarkEnd w:id="43"/>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招标活动的所有文件、资料、函电文字均使用简体中文，确需提交用其他语言形成的资料，必须翻译成简体中文，如有差异，以简体中文为准。</w:t>
      </w:r>
    </w:p>
    <w:p>
      <w:pPr>
        <w:pStyle w:val="99"/>
        <w:bidi w:val="0"/>
        <w:ind w:left="0" w:leftChars="0" w:firstLine="0" w:firstLineChars="0"/>
        <w:rPr>
          <w:rFonts w:hint="eastAsia"/>
          <w:sz w:val="28"/>
          <w:szCs w:val="28"/>
        </w:rPr>
      </w:pPr>
      <w:bookmarkStart w:id="44" w:name="_Toc3436"/>
      <w:r>
        <w:rPr>
          <w:rFonts w:hint="eastAsia"/>
          <w:sz w:val="28"/>
          <w:szCs w:val="28"/>
        </w:rPr>
        <w:t>3．计量单位</w:t>
      </w:r>
      <w:bookmarkEnd w:id="4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投标文件的计量单位应使用中华人民共和国法定计量单位，但招标文件另有规定的除外。</w:t>
      </w:r>
    </w:p>
    <w:p>
      <w:pPr>
        <w:pStyle w:val="99"/>
        <w:bidi w:val="0"/>
        <w:rPr>
          <w:rFonts w:hint="eastAsia"/>
          <w:b/>
          <w:bCs/>
          <w:sz w:val="28"/>
          <w:szCs w:val="28"/>
        </w:rPr>
      </w:pPr>
      <w:bookmarkStart w:id="45" w:name="_Toc15553"/>
      <w:r>
        <w:rPr>
          <w:rFonts w:hint="eastAsia"/>
          <w:b/>
          <w:bCs/>
          <w:sz w:val="28"/>
          <w:szCs w:val="28"/>
        </w:rPr>
        <w:t>（二）投标文件的有效期</w:t>
      </w:r>
      <w:bookmarkEnd w:id="45"/>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投标文件有效期为自开标之日起不少于90个日历日。如中标，延长至合同执行完毕时止。</w:t>
      </w:r>
    </w:p>
    <w:p>
      <w:pPr>
        <w:pStyle w:val="99"/>
        <w:bidi w:val="0"/>
        <w:rPr>
          <w:rFonts w:hint="eastAsia"/>
          <w:b/>
          <w:bCs/>
          <w:sz w:val="28"/>
          <w:szCs w:val="28"/>
        </w:rPr>
      </w:pPr>
      <w:bookmarkStart w:id="46" w:name="_Toc28137"/>
      <w:r>
        <w:rPr>
          <w:rFonts w:hint="eastAsia"/>
          <w:b/>
          <w:bCs/>
          <w:sz w:val="28"/>
          <w:szCs w:val="28"/>
        </w:rPr>
        <w:t>（三）投标报价</w:t>
      </w:r>
      <w:bookmarkEnd w:id="46"/>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投标报价是供应商响应采购项目要求的全部工作内容的价格体现，包括完成采购内容所需的利润、税金及其它相关的一切费用。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1．供应商在报价时应充分考虑所有可能发生的费用，招标文件未列明，而供应商认为应当计取的费用均应列入报价中。报价时不论是否计取，采购人均按已计取对待。</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3．投标报价货币：人民币；单位：元。</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4．投标文件报价出现前后不一致的，除招标文件另有规定外，按照下列规则修正：</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（1）投标文件中开标一览表内容与投标文件中其他位置相应内容表述不一致的，以开标一览表为准；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（2）大写金额和小写金额不一致的，以大写金额为准；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同时出现两种以上不一致的，按照前款规定的顺序修正。修正后的报价经供应商确认后产生约束力，供应商不确认的，其投标无效。</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5．因供应商对招标文件理解不透、误解、疏漏或对市场行情了解不清造成的后果和风险，均由供应商自己负责。</w:t>
      </w:r>
    </w:p>
    <w:p>
      <w:pPr>
        <w:pStyle w:val="99"/>
        <w:bidi w:val="0"/>
        <w:rPr>
          <w:rFonts w:hint="eastAsia"/>
          <w:b/>
          <w:bCs/>
          <w:sz w:val="28"/>
          <w:szCs w:val="28"/>
        </w:rPr>
      </w:pPr>
      <w:bookmarkStart w:id="47" w:name="_Toc30313"/>
      <w:r>
        <w:rPr>
          <w:rFonts w:hint="eastAsia"/>
          <w:b/>
          <w:bCs/>
          <w:sz w:val="28"/>
          <w:szCs w:val="28"/>
        </w:rPr>
        <w:t>（四）投标文件的制作和签章</w:t>
      </w:r>
      <w:bookmarkEnd w:id="47"/>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链接地址：</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"http://sxggzyjy.xa.gov.cn/fwzn/004003/20181115/4d59c184-e8f6-4d5a-a416-c2f6b0601e66.html" </w:instrText>
      </w:r>
      <w:r>
        <w:rPr>
          <w:rFonts w:hint="eastAsia" w:ascii="宋体" w:hAnsi="宋体" w:eastAsia="宋体" w:cs="宋体"/>
          <w:sz w:val="28"/>
          <w:szCs w:val="28"/>
        </w:rPr>
        <w:fldChar w:fldCharType="separate"/>
      </w:r>
      <w:r>
        <w:rPr>
          <w:rStyle w:val="45"/>
          <w:rFonts w:hint="eastAsia" w:ascii="宋体" w:hAnsi="宋体" w:eastAsia="宋体" w:cs="宋体"/>
          <w:sz w:val="28"/>
          <w:szCs w:val="28"/>
        </w:rPr>
        <w:t>http://sxggzyjy.xa.gov.cn/fwzn/004003/20181115/4d59c184-e8f6-4d5a-a416-c2f6b0601e66.html</w:t>
      </w:r>
      <w:r>
        <w:rPr>
          <w:rStyle w:val="45"/>
          <w:rFonts w:hint="eastAsia" w:ascii="宋体" w:hAnsi="宋体" w:eastAsia="宋体" w:cs="宋体"/>
          <w:sz w:val="28"/>
          <w:szCs w:val="28"/>
        </w:rPr>
        <w:fldChar w:fldCharType="end"/>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3．电子投标文件制作过程中，需要法定代表人签字或盖章的地方，请使用“法人CA锁”进行签章；需要加盖供应商公章的地方，请使用“企业CA锁”进行签章。</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99"/>
        <w:bidi w:val="0"/>
        <w:rPr>
          <w:rFonts w:hint="eastAsia"/>
          <w:b/>
          <w:bCs/>
          <w:sz w:val="28"/>
          <w:szCs w:val="28"/>
        </w:rPr>
      </w:pPr>
      <w:bookmarkStart w:id="48" w:name="_Toc15534"/>
      <w:r>
        <w:rPr>
          <w:rFonts w:hint="eastAsia"/>
          <w:b/>
          <w:bCs/>
          <w:sz w:val="28"/>
          <w:szCs w:val="28"/>
        </w:rPr>
        <w:t>（五）投标文件的加密和提交</w:t>
      </w:r>
      <w:bookmarkEnd w:id="48"/>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1．在生成电子投标文件时，需要使用CA锁对投标文件进行加密。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注意：加密投标文件和开标时解密投标文件应当使用同一CA，否则将会导致解密失败。</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3．上传文件有误或需要重新提交的，可先撤销已经上传的文件，然后重新上传新文件。</w:t>
      </w:r>
    </w:p>
    <w:p>
      <w:pPr>
        <w:pStyle w:val="99"/>
        <w:bidi w:val="0"/>
        <w:rPr>
          <w:rFonts w:hint="eastAsia"/>
          <w:b/>
          <w:bCs/>
          <w:sz w:val="28"/>
          <w:szCs w:val="28"/>
        </w:rPr>
      </w:pPr>
      <w:bookmarkStart w:id="49" w:name="_Toc28545"/>
      <w:r>
        <w:rPr>
          <w:rFonts w:hint="eastAsia"/>
          <w:b/>
          <w:bCs/>
          <w:sz w:val="28"/>
          <w:szCs w:val="28"/>
        </w:rPr>
        <w:t>（六）投标文件的补充、修改和撤回</w:t>
      </w:r>
      <w:bookmarkEnd w:id="4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2．供应商在提交投标文件截止时间后，撤回投标文件的，投标保证金不予退还。</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99"/>
        <w:bidi w:val="0"/>
        <w:rPr>
          <w:rFonts w:hint="eastAsia"/>
          <w:b/>
          <w:bCs/>
          <w:sz w:val="28"/>
          <w:szCs w:val="28"/>
        </w:rPr>
      </w:pPr>
      <w:bookmarkStart w:id="50" w:name="_Toc5968"/>
      <w:r>
        <w:rPr>
          <w:rFonts w:hint="eastAsia"/>
          <w:b/>
          <w:bCs/>
          <w:sz w:val="28"/>
          <w:szCs w:val="28"/>
        </w:rPr>
        <w:t>（七）关于投标文件的雷同性分析</w:t>
      </w:r>
      <w:bookmarkEnd w:id="50"/>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若“文件创建标识码”一致，则表示不同投标供应商使用投标文件制作软件时，使用同一源工程文件，该情形建议由评标委员会结合项目情况综合判定。</w:t>
      </w:r>
    </w:p>
    <w:p>
      <w:pPr>
        <w:pStyle w:val="99"/>
        <w:bidi w:val="0"/>
        <w:rPr>
          <w:rFonts w:hint="eastAsia"/>
          <w:b/>
          <w:bCs/>
          <w:sz w:val="28"/>
          <w:szCs w:val="28"/>
        </w:rPr>
      </w:pPr>
      <w:bookmarkStart w:id="51" w:name="_Toc11132"/>
      <w:r>
        <w:rPr>
          <w:rFonts w:hint="eastAsia"/>
          <w:b/>
          <w:bCs/>
          <w:sz w:val="28"/>
          <w:szCs w:val="28"/>
        </w:rPr>
        <w:t>（八）投标文件被拒绝接收的情形</w:t>
      </w:r>
      <w:bookmarkEnd w:id="51"/>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1．误投的或采用旧版电子招标文件制作的；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2．逾期提交电子投标文件的。</w:t>
      </w:r>
    </w:p>
    <w:p>
      <w:pPr>
        <w:pStyle w:val="6"/>
        <w:ind w:left="0" w:leftChars="0" w:firstLine="0" w:firstLineChars="0"/>
        <w:outlineLvl w:val="1"/>
        <w:rPr>
          <w:rFonts w:hint="eastAsia" w:ascii="宋体" w:hAnsi="宋体" w:eastAsia="宋体" w:cs="宋体"/>
          <w:sz w:val="28"/>
          <w:szCs w:val="28"/>
        </w:rPr>
      </w:pPr>
      <w:bookmarkStart w:id="52" w:name="_Toc11680"/>
      <w:r>
        <w:rPr>
          <w:rFonts w:hint="eastAsia" w:ascii="宋体" w:hAnsi="宋体" w:eastAsia="宋体" w:cs="宋体"/>
          <w:sz w:val="28"/>
          <w:szCs w:val="28"/>
        </w:rPr>
        <w:t>五、开标程序</w:t>
      </w:r>
      <w:bookmarkEnd w:id="5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开标工作由采购代理机构组织实施，整个过程受同级政府采购监管机构的监督、管理。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“不见面开标”是依托政府采购云平台实现的供应商在线参与开标的一种组织形式。供应商无需抵达开标现场，即可在线实现开标、解密、澄清等操作。</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1．供应商登录：开标前，请各供应商至少提前半小时登录西安市公共资源交易平台〖首页·〉不见面开标〗系统。</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2．主持人宣布开标：提交投标文件截止时间过后，系统将不再接收任何投标文件。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4．唱标：对于公开招标项目，“不见面开标”系统将自动展示供应商名单及其投标报价。</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5．开标结束：进入评审环节。供应商请保持在线，评审期间评标委员会可能会要求供应商做相应的澄清。因供应商擅自离席造成的不利后果，由供应商自行承担。</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“不见面开标”系统操作说明：详见西安市公共资源交易平台〖首页·〉服务指南·〉下载专区〗中的《西安公共资源交易不见面开标大厅供应商操作手册》。</w:t>
      </w:r>
    </w:p>
    <w:p>
      <w:pPr>
        <w:spacing w:line="560" w:lineRule="exact"/>
        <w:ind w:firstLine="576" w:firstLineChars="200"/>
        <w:outlineLvl w:val="9"/>
        <w:rPr>
          <w:rFonts w:hint="eastAsia" w:ascii="宋体" w:hAnsi="宋体" w:eastAsia="宋体" w:cs="宋体"/>
          <w:sz w:val="28"/>
          <w:szCs w:val="28"/>
        </w:rPr>
      </w:pPr>
      <w:r>
        <w:rPr>
          <w:rFonts w:hint="eastAsia" w:ascii="宋体" w:hAnsi="宋体" w:eastAsia="宋体" w:cs="宋体"/>
          <w:sz w:val="28"/>
          <w:szCs w:val="28"/>
        </w:rPr>
        <w:t>链接地址：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"http://sxggzyjy.xa.gov.cn/fwzn/004003/20200426/bc8b2c1e-abe2-4168-913c-68ff93345faf.html"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http://sxggzyjy.xa.gov.cn/fwzn/004003/20200426/bc8b2c1e-abe2-4168-913c-68ff93345faf.html</w:t>
      </w:r>
      <w:r>
        <w:rPr>
          <w:rStyle w:val="45"/>
          <w:rFonts w:hint="eastAsia" w:ascii="宋体" w:hAnsi="宋体" w:eastAsia="宋体" w:cs="宋体"/>
          <w:color w:val="auto"/>
          <w:sz w:val="28"/>
          <w:szCs w:val="28"/>
          <w:u w:val="none"/>
        </w:rPr>
        <w:fldChar w:fldCharType="end"/>
      </w:r>
    </w:p>
    <w:p>
      <w:pPr>
        <w:pStyle w:val="99"/>
        <w:bidi w:val="0"/>
        <w:rPr>
          <w:rFonts w:hint="eastAsia"/>
          <w:b/>
          <w:bCs/>
          <w:sz w:val="28"/>
          <w:szCs w:val="28"/>
        </w:rPr>
      </w:pPr>
      <w:bookmarkStart w:id="53" w:name="_Toc15581"/>
      <w:r>
        <w:rPr>
          <w:rFonts w:hint="eastAsia"/>
          <w:b/>
          <w:bCs/>
          <w:sz w:val="28"/>
          <w:szCs w:val="28"/>
        </w:rPr>
        <w:t>（</w:t>
      </w:r>
      <w:r>
        <w:rPr>
          <w:rFonts w:hint="eastAsia"/>
          <w:b/>
          <w:bCs/>
          <w:sz w:val="28"/>
          <w:szCs w:val="28"/>
          <w:lang w:eastAsia="zh-CN"/>
        </w:rPr>
        <w:t>一</w:t>
      </w:r>
      <w:r>
        <w:rPr>
          <w:rFonts w:hint="eastAsia"/>
          <w:b/>
          <w:bCs/>
          <w:sz w:val="28"/>
          <w:szCs w:val="28"/>
        </w:rPr>
        <w:t>）开标环节投标文件视为无效的情形</w:t>
      </w:r>
      <w:bookmarkEnd w:id="53"/>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1．供应商放弃或拒绝对电子投标文件进行解密的；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2．因供应商自身原因，导致未在规定的解密时限内完整解密的，如忘带CA锁、或携带的CA锁与加密文件的CA锁不同、或使用旧版招标文件编制投标文件等情形；</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3．上传的电子投标文件无法正常打开的；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4．政府采购法律法规规定的其他无效情形。</w:t>
      </w:r>
    </w:p>
    <w:p>
      <w:pPr>
        <w:pStyle w:val="99"/>
        <w:bidi w:val="0"/>
        <w:rPr>
          <w:rFonts w:hint="eastAsia"/>
          <w:b/>
          <w:bCs/>
          <w:sz w:val="28"/>
          <w:szCs w:val="28"/>
        </w:rPr>
      </w:pPr>
      <w:bookmarkStart w:id="54" w:name="_Toc4756"/>
      <w:r>
        <w:rPr>
          <w:rFonts w:hint="eastAsia"/>
          <w:b/>
          <w:bCs/>
          <w:sz w:val="28"/>
          <w:szCs w:val="28"/>
        </w:rPr>
        <w:t>（</w:t>
      </w:r>
      <w:r>
        <w:rPr>
          <w:rFonts w:hint="eastAsia"/>
          <w:b/>
          <w:bCs/>
          <w:sz w:val="28"/>
          <w:szCs w:val="28"/>
          <w:lang w:eastAsia="zh-CN"/>
        </w:rPr>
        <w:t>二</w:t>
      </w:r>
      <w:r>
        <w:rPr>
          <w:rFonts w:hint="eastAsia"/>
          <w:b/>
          <w:bCs/>
          <w:sz w:val="28"/>
          <w:szCs w:val="28"/>
        </w:rPr>
        <w:t>）突发状况的应急处置</w:t>
      </w:r>
      <w:bookmarkEnd w:id="5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在开评标过程中，如因停电、断网、电子化系统故障等特殊原因导致电子化开、评标工作无法正常进行时，采购代理机构将及时汇报政府采购监管部门，并等待或中止后续活动。</w:t>
      </w:r>
    </w:p>
    <w:p>
      <w:pPr>
        <w:pStyle w:val="6"/>
        <w:ind w:left="0" w:leftChars="0" w:firstLine="0" w:firstLineChars="0"/>
        <w:outlineLvl w:val="1"/>
        <w:rPr>
          <w:rFonts w:hint="eastAsia" w:ascii="宋体" w:hAnsi="宋体" w:eastAsia="宋体" w:cs="宋体"/>
          <w:sz w:val="28"/>
          <w:szCs w:val="28"/>
        </w:rPr>
      </w:pPr>
      <w:bookmarkStart w:id="55" w:name="_Toc23651"/>
      <w:r>
        <w:rPr>
          <w:rFonts w:hint="eastAsia" w:ascii="宋体" w:hAnsi="宋体" w:eastAsia="宋体" w:cs="宋体"/>
          <w:sz w:val="28"/>
          <w:szCs w:val="28"/>
        </w:rPr>
        <w:t>六、资格审查</w:t>
      </w:r>
      <w:bookmarkEnd w:id="55"/>
    </w:p>
    <w:p>
      <w:pPr>
        <w:spacing w:line="560" w:lineRule="exact"/>
        <w:ind w:firstLine="576"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开标结束后，依据法律法规和招标文件的规定，对投标文件中的资格证明文件等进行审查，以确保供应商是否具备相应资格。</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76" w:firstLineChars="200"/>
        <w:jc w:val="both"/>
        <w:rPr>
          <w:rFonts w:hint="eastAsia" w:ascii="宋体" w:hAnsi="宋体" w:eastAsia="宋体" w:cs="宋体"/>
          <w:sz w:val="32"/>
          <w:szCs w:val="32"/>
        </w:rPr>
      </w:pPr>
      <w:r>
        <w:rPr>
          <w:rFonts w:hint="eastAsia" w:ascii="宋体" w:hAnsi="宋体" w:eastAsia="宋体" w:cs="宋体"/>
          <w:sz w:val="28"/>
          <w:szCs w:val="28"/>
        </w:rPr>
        <w:t>合格供应商不足3家的，不得评标。</w:t>
      </w:r>
    </w:p>
    <w:p>
      <w:pPr>
        <w:rPr>
          <w:rFonts w:hint="eastAsia" w:ascii="宋体" w:hAnsi="宋体" w:eastAsia="宋体" w:cs="宋体"/>
          <w:sz w:val="32"/>
          <w:szCs w:val="32"/>
        </w:rPr>
      </w:pPr>
      <w:r>
        <w:rPr>
          <w:rFonts w:hint="eastAsia" w:ascii="宋体" w:hAnsi="宋体" w:eastAsia="宋体" w:cs="宋体"/>
          <w:sz w:val="32"/>
          <w:szCs w:val="32"/>
        </w:rPr>
        <w:br w:type="page"/>
      </w:r>
    </w:p>
    <w:p>
      <w:pPr>
        <w:spacing w:line="560" w:lineRule="exact"/>
        <w:rPr>
          <w:rFonts w:hint="eastAsia" w:ascii="宋体" w:hAnsi="宋体" w:eastAsia="宋体" w:cs="宋体"/>
          <w:sz w:val="28"/>
          <w:szCs w:val="28"/>
        </w:rPr>
      </w:pPr>
      <w:r>
        <w:rPr>
          <w:rFonts w:hint="eastAsia" w:ascii="宋体" w:hAnsi="宋体" w:eastAsia="宋体" w:cs="宋体"/>
          <w:sz w:val="28"/>
          <w:szCs w:val="28"/>
        </w:rPr>
        <w:t>〖资格性审查表〗</w:t>
      </w:r>
    </w:p>
    <w:tbl>
      <w:tblPr>
        <w:tblStyle w:val="34"/>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569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资格项</w:t>
            </w:r>
          </w:p>
        </w:tc>
        <w:tc>
          <w:tcPr>
            <w:tcW w:w="569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一</w:t>
            </w:r>
          </w:p>
        </w:tc>
        <w:tc>
          <w:tcPr>
            <w:tcW w:w="8032" w:type="dxa"/>
            <w:gridSpan w:val="2"/>
            <w:tcBorders>
              <w:top w:val="single" w:color="auto" w:sz="2" w:space="0"/>
            </w:tcBorders>
            <w:shd w:val="clear" w:color="auto" w:fill="auto"/>
            <w:vAlign w:val="center"/>
          </w:tcPr>
          <w:p>
            <w:pPr>
              <w:jc w:val="center"/>
              <w:rPr>
                <w:rFonts w:hint="eastAsia" w:ascii="宋体" w:hAnsi="宋体" w:eastAsia="宋体" w:cs="宋体"/>
                <w:sz w:val="28"/>
                <w:szCs w:val="28"/>
              </w:rPr>
            </w:pPr>
            <w:r>
              <w:rPr>
                <w:rFonts w:hint="eastAsia" w:ascii="宋体" w:hAnsi="宋体" w:eastAsia="宋体" w:cs="宋体"/>
                <w:sz w:val="28"/>
                <w:szCs w:val="28"/>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有效的主体资格证明</w:t>
            </w:r>
          </w:p>
        </w:tc>
        <w:tc>
          <w:tcPr>
            <w:tcW w:w="5696" w:type="dxa"/>
            <w:vAlign w:val="center"/>
          </w:tcPr>
          <w:p>
            <w:pPr>
              <w:jc w:val="both"/>
              <w:rPr>
                <w:rFonts w:hint="eastAsia" w:ascii="宋体" w:hAnsi="宋体" w:eastAsia="宋体" w:cs="宋体"/>
                <w:sz w:val="28"/>
                <w:szCs w:val="28"/>
              </w:rPr>
            </w:pPr>
            <w:r>
              <w:rPr>
                <w:rFonts w:hint="eastAsia" w:ascii="宋体" w:hAnsi="宋体" w:eastAsia="宋体" w:cs="宋体"/>
                <w:sz w:val="28"/>
                <w:szCs w:val="28"/>
                <w:highlight w:val="none"/>
                <w:lang w:val="en-US" w:eastAsia="zh-CN" w:bidi="ar-SA"/>
              </w:rPr>
              <w:t>具有独立承担民事责任能力的法人、其他组织或自然人，提供合法有效的统一社会信用代码营业执照（事业单位提供事业单位法人证书，自然人应提供身份证）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财务状况证明</w:t>
            </w:r>
          </w:p>
        </w:tc>
        <w:tc>
          <w:tcPr>
            <w:tcW w:w="5696" w:type="dxa"/>
            <w:vAlign w:val="center"/>
          </w:tcPr>
          <w:p>
            <w:pPr>
              <w:jc w:val="both"/>
              <w:rPr>
                <w:rFonts w:hint="eastAsia" w:ascii="宋体" w:hAnsi="宋体" w:eastAsia="宋体" w:cs="宋体"/>
                <w:sz w:val="28"/>
                <w:szCs w:val="28"/>
              </w:rPr>
            </w:pPr>
            <w:r>
              <w:rPr>
                <w:rFonts w:hint="eastAsia" w:ascii="宋体" w:hAnsi="宋体" w:eastAsia="宋体" w:cs="宋体"/>
                <w:sz w:val="28"/>
                <w:szCs w:val="28"/>
                <w:lang w:val="en-US" w:eastAsia="zh-CN"/>
              </w:rPr>
              <w:t>供应商提供2020年度或2021年度完整的财务审计报告（成立时间至提交响应文件截止时间不足一年的可提供成立后任意时段的资产负债表），或其开标前三个月内银行出具的资信证明，或财政部门认可的政府采购专业担保机构出具的投标担保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highlight w:val="none"/>
                <w:lang w:val="en-US" w:eastAsia="zh-CN" w:bidi="ar-SA"/>
              </w:rPr>
              <w:t>社会保障资金缴纳证明</w:t>
            </w:r>
          </w:p>
        </w:tc>
        <w:tc>
          <w:tcPr>
            <w:tcW w:w="5696" w:type="dxa"/>
            <w:vAlign w:val="center"/>
          </w:tcPr>
          <w:p>
            <w:pPr>
              <w:jc w:val="both"/>
              <w:rPr>
                <w:rFonts w:hint="eastAsia" w:ascii="宋体" w:hAnsi="宋体" w:eastAsia="宋体" w:cs="宋体"/>
                <w:sz w:val="28"/>
                <w:szCs w:val="28"/>
              </w:rPr>
            </w:pPr>
            <w:r>
              <w:rPr>
                <w:rFonts w:hint="eastAsia" w:ascii="宋体" w:hAnsi="宋体" w:eastAsia="宋体" w:cs="宋体"/>
                <w:sz w:val="28"/>
                <w:szCs w:val="28"/>
                <w:highlight w:val="none"/>
                <w:lang w:val="en-US" w:eastAsia="zh-CN" w:bidi="ar-SA"/>
              </w:rPr>
              <w:t>提供2021年9月以来至少一个月的社会保障资金缴存单据或社保机构开具的社会保险参保缴费情况证明。依法不需要缴纳社会保障资金的供应商应提供相关文件证明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highlight w:val="none"/>
                <w:lang w:val="en-US" w:eastAsia="zh-CN" w:bidi="ar-SA"/>
              </w:rPr>
              <w:t>税收缴纳证明</w:t>
            </w:r>
          </w:p>
        </w:tc>
        <w:tc>
          <w:tcPr>
            <w:tcW w:w="5696" w:type="dxa"/>
            <w:vAlign w:val="center"/>
          </w:tcPr>
          <w:p>
            <w:pPr>
              <w:jc w:val="both"/>
              <w:rPr>
                <w:rFonts w:hint="eastAsia" w:ascii="宋体" w:hAnsi="宋体" w:eastAsia="宋体" w:cs="宋体"/>
                <w:sz w:val="28"/>
                <w:szCs w:val="28"/>
              </w:rPr>
            </w:pPr>
            <w:r>
              <w:rPr>
                <w:rFonts w:hint="eastAsia" w:ascii="宋体" w:hAnsi="宋体" w:eastAsia="宋体" w:cs="宋体"/>
                <w:sz w:val="28"/>
                <w:szCs w:val="28"/>
                <w:highlight w:val="none"/>
                <w:lang w:val="en-US" w:eastAsia="zh-CN" w:bidi="ar-SA"/>
              </w:rPr>
              <w:t>提供2021年9月以来至少一个月的纳税证明或完税证明，依法免税的单位应提供相关证明材料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法定代表人委托授权书</w:t>
            </w:r>
          </w:p>
        </w:tc>
        <w:tc>
          <w:tcPr>
            <w:tcW w:w="5696" w:type="dxa"/>
            <w:vAlign w:val="center"/>
          </w:tcPr>
          <w:p>
            <w:pPr>
              <w:jc w:val="both"/>
              <w:rPr>
                <w:rFonts w:hint="eastAsia" w:ascii="宋体" w:hAnsi="宋体" w:eastAsia="宋体" w:cs="宋体"/>
                <w:sz w:val="28"/>
                <w:szCs w:val="28"/>
              </w:rPr>
            </w:pPr>
            <w:r>
              <w:rPr>
                <w:rFonts w:hint="eastAsia" w:ascii="宋体" w:hAnsi="宋体" w:eastAsia="宋体" w:cs="宋体"/>
                <w:sz w:val="28"/>
                <w:szCs w:val="28"/>
                <w:highlight w:val="none"/>
                <w:lang w:val="en-US" w:eastAsia="zh-CN" w:bidi="ar-SA"/>
              </w:rPr>
              <w:t>法定代表人授权委托书（法定代表人参加响应时,只需提供法定代表人身份证）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6" w:hRule="atLeast"/>
          <w:jc w:val="center"/>
        </w:trPr>
        <w:tc>
          <w:tcPr>
            <w:tcW w:w="836"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无重大违法记录声明</w:t>
            </w:r>
          </w:p>
        </w:tc>
        <w:tc>
          <w:tcPr>
            <w:tcW w:w="5696" w:type="dxa"/>
            <w:vAlign w:val="center"/>
          </w:tcPr>
          <w:p>
            <w:pPr>
              <w:jc w:val="both"/>
              <w:rPr>
                <w:rFonts w:hint="default" w:ascii="宋体" w:hAnsi="宋体" w:eastAsia="宋体" w:cs="宋体"/>
                <w:sz w:val="28"/>
                <w:szCs w:val="28"/>
                <w:lang w:val="en-US" w:eastAsia="zh-CN"/>
              </w:rPr>
            </w:pPr>
            <w:r>
              <w:rPr>
                <w:rFonts w:hint="eastAsia" w:ascii="宋体" w:hAnsi="宋体" w:eastAsia="宋体" w:cs="宋体"/>
                <w:sz w:val="28"/>
                <w:szCs w:val="28"/>
                <w:highlight w:val="none"/>
                <w:lang w:val="en-US" w:eastAsia="zh-CN" w:bidi="ar-SA"/>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6" w:hRule="atLeast"/>
          <w:jc w:val="center"/>
        </w:trPr>
        <w:tc>
          <w:tcPr>
            <w:tcW w:w="836"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336" w:type="dxa"/>
            <w:vAlign w:val="center"/>
          </w:tcPr>
          <w:p>
            <w:pPr>
              <w:jc w:val="center"/>
              <w:rPr>
                <w:rFonts w:hint="eastAsia" w:ascii="宋体" w:hAnsi="宋体" w:eastAsia="宋体" w:cs="宋体"/>
                <w:sz w:val="28"/>
                <w:szCs w:val="28"/>
              </w:rPr>
            </w:pPr>
            <w:r>
              <w:rPr>
                <w:rFonts w:hint="eastAsia" w:ascii="宋体" w:hAnsi="宋体" w:eastAsia="宋体" w:cs="宋体"/>
                <w:sz w:val="28"/>
                <w:szCs w:val="28"/>
                <w:highlight w:val="none"/>
                <w:lang w:val="en-US" w:eastAsia="zh-CN" w:bidi="ar-SA"/>
              </w:rPr>
              <w:t>履行合同书面声明</w:t>
            </w:r>
          </w:p>
        </w:tc>
        <w:tc>
          <w:tcPr>
            <w:tcW w:w="5696" w:type="dxa"/>
            <w:vAlign w:val="center"/>
          </w:tcPr>
          <w:p>
            <w:pPr>
              <w:jc w:val="both"/>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具有履行合同所必需的设备和专业技术能力的书面声明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6" w:hRule="atLeast"/>
          <w:jc w:val="center"/>
        </w:trPr>
        <w:tc>
          <w:tcPr>
            <w:tcW w:w="836"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2336" w:type="dxa"/>
            <w:vAlign w:val="center"/>
          </w:tcPr>
          <w:p>
            <w:pPr>
              <w:jc w:val="center"/>
              <w:rPr>
                <w:rFonts w:hint="eastAsia" w:ascii="宋体" w:hAnsi="宋体" w:eastAsia="宋体" w:cs="宋体"/>
                <w:sz w:val="28"/>
                <w:szCs w:val="28"/>
                <w:highlight w:val="yellow"/>
                <w:lang w:eastAsia="zh-CN"/>
              </w:rPr>
            </w:pPr>
            <w:r>
              <w:rPr>
                <w:rFonts w:hint="eastAsia" w:ascii="宋体" w:hAnsi="宋体" w:eastAsia="宋体" w:cs="宋体"/>
                <w:sz w:val="28"/>
                <w:szCs w:val="28"/>
                <w:highlight w:val="none"/>
                <w:lang w:eastAsia="zh-CN"/>
              </w:rPr>
              <w:t>医疗器械及产品许可证</w:t>
            </w:r>
          </w:p>
        </w:tc>
        <w:tc>
          <w:tcPr>
            <w:tcW w:w="5696" w:type="dxa"/>
            <w:vAlign w:val="center"/>
          </w:tcPr>
          <w:p>
            <w:pPr>
              <w:jc w:val="both"/>
              <w:rPr>
                <w:rFonts w:hint="eastAsia" w:ascii="宋体" w:hAnsi="宋体" w:eastAsia="宋体" w:cs="宋体"/>
                <w:sz w:val="28"/>
                <w:szCs w:val="28"/>
                <w:highlight w:val="yellow"/>
                <w:lang w:val="en-US" w:eastAsia="zh-CN" w:bidi="ar-SA"/>
              </w:rPr>
            </w:pPr>
            <w:r>
              <w:rPr>
                <w:rFonts w:hint="eastAsia" w:ascii="宋体" w:hAnsi="宋体" w:eastAsia="宋体" w:cs="宋体"/>
                <w:sz w:val="28"/>
                <w:szCs w:val="28"/>
                <w:highlight w:val="none"/>
                <w:lang w:val="en-US" w:eastAsia="zh-CN" w:bidi="ar-SA"/>
              </w:rPr>
              <w:t>第八标段：所投产品为医疗器械或药品的，提供医疗器械注册（备案）证或国药准字号证，供应商为生产厂家的须提供《医疗器械生产许可（备案）证》或《药品生产许可（备案）证》，供应商为代理商的须提供《医疗器械经营（备案）许可证》或《药品经营（备案）许可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1" w:hRule="atLeast"/>
          <w:jc w:val="center"/>
        </w:trPr>
        <w:tc>
          <w:tcPr>
            <w:tcW w:w="836"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2336" w:type="dxa"/>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联合体</w:t>
            </w:r>
          </w:p>
        </w:tc>
        <w:tc>
          <w:tcPr>
            <w:tcW w:w="5696" w:type="dxa"/>
            <w:vAlign w:val="center"/>
          </w:tcPr>
          <w:p>
            <w:pPr>
              <w:jc w:val="both"/>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本项目不接受联合体投标</w:t>
            </w:r>
          </w:p>
        </w:tc>
      </w:tr>
    </w:tbl>
    <w:p>
      <w:pPr>
        <w:outlineLvl w:val="9"/>
        <w:rPr>
          <w:rFonts w:hint="eastAsia" w:ascii="宋体" w:hAnsi="宋体" w:eastAsia="宋体" w:cs="宋体"/>
          <w:sz w:val="28"/>
          <w:szCs w:val="28"/>
        </w:rPr>
      </w:pPr>
    </w:p>
    <w:p>
      <w:pPr>
        <w:pStyle w:val="6"/>
        <w:outlineLvl w:val="1"/>
        <w:rPr>
          <w:rFonts w:hint="eastAsia" w:ascii="宋体" w:hAnsi="宋体" w:eastAsia="宋体" w:cs="宋体"/>
          <w:sz w:val="28"/>
          <w:szCs w:val="28"/>
        </w:rPr>
      </w:pPr>
      <w:bookmarkStart w:id="56" w:name="_Toc30374"/>
      <w:r>
        <w:rPr>
          <w:rFonts w:hint="eastAsia" w:ascii="宋体" w:hAnsi="宋体" w:eastAsia="宋体" w:cs="宋体"/>
          <w:sz w:val="28"/>
          <w:szCs w:val="28"/>
        </w:rPr>
        <w:t>七、评审方法和程序</w:t>
      </w:r>
      <w:bookmarkEnd w:id="56"/>
    </w:p>
    <w:p>
      <w:pPr>
        <w:pStyle w:val="99"/>
        <w:bidi w:val="0"/>
        <w:rPr>
          <w:rFonts w:hint="eastAsia"/>
          <w:b/>
          <w:bCs/>
          <w:sz w:val="28"/>
          <w:szCs w:val="28"/>
        </w:rPr>
      </w:pPr>
      <w:bookmarkStart w:id="57" w:name="_Toc14369"/>
      <w:r>
        <w:rPr>
          <w:rFonts w:hint="eastAsia"/>
          <w:b/>
          <w:bCs/>
          <w:sz w:val="28"/>
          <w:szCs w:val="28"/>
        </w:rPr>
        <w:t>（一）评标方法</w:t>
      </w:r>
      <w:bookmarkEnd w:id="57"/>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本项目采用综合评分法，即投标文件满足招标文件全部实质性要求，且按照评审因素的量化指标评审得分最高的供应商为中标候选人。</w:t>
      </w:r>
    </w:p>
    <w:p>
      <w:pPr>
        <w:pStyle w:val="99"/>
        <w:bidi w:val="0"/>
        <w:rPr>
          <w:rFonts w:hint="eastAsia"/>
          <w:b/>
          <w:bCs/>
          <w:sz w:val="28"/>
          <w:szCs w:val="28"/>
        </w:rPr>
      </w:pPr>
      <w:bookmarkStart w:id="58" w:name="_Toc15322"/>
      <w:r>
        <w:rPr>
          <w:rFonts w:hint="eastAsia"/>
          <w:b/>
          <w:bCs/>
          <w:sz w:val="28"/>
          <w:szCs w:val="28"/>
        </w:rPr>
        <w:t>（二）评标程序</w:t>
      </w:r>
      <w:bookmarkEnd w:id="58"/>
    </w:p>
    <w:p>
      <w:pPr>
        <w:pStyle w:val="99"/>
        <w:bidi w:val="0"/>
        <w:rPr>
          <w:rFonts w:hint="eastAsia"/>
          <w:sz w:val="28"/>
          <w:szCs w:val="28"/>
        </w:rPr>
      </w:pPr>
      <w:bookmarkStart w:id="59" w:name="_Toc19236"/>
      <w:r>
        <w:rPr>
          <w:rFonts w:hint="eastAsia"/>
          <w:sz w:val="28"/>
          <w:szCs w:val="28"/>
        </w:rPr>
        <w:t>1．组建评标委员会</w:t>
      </w:r>
      <w:bookmarkEnd w:id="5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由采购代理机构组织评标委员会推选评标组长，采购人代表不得担任组长。</w:t>
      </w:r>
    </w:p>
    <w:p>
      <w:pPr>
        <w:pStyle w:val="99"/>
        <w:bidi w:val="0"/>
        <w:rPr>
          <w:rFonts w:hint="eastAsia"/>
          <w:sz w:val="28"/>
          <w:szCs w:val="28"/>
        </w:rPr>
      </w:pPr>
      <w:bookmarkStart w:id="60" w:name="_Toc1683"/>
      <w:r>
        <w:rPr>
          <w:rFonts w:hint="eastAsia"/>
          <w:sz w:val="28"/>
          <w:szCs w:val="28"/>
        </w:rPr>
        <w:t>2．投标文件的符合性审查</w:t>
      </w:r>
      <w:bookmarkEnd w:id="60"/>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供应商资格性审查通过后，评标委员会对符合资格的投标人的投标文件进行符合性审查，以确定其是否满足招标文件的实质性要求。</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对于投标文件中含义不明确、同类问题表述不一致或者有明显文字和计算错误的内容，评标委员会应当以书面形式要求投标人作出必要的澄清、说明或者补正。</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outlineLvl w:val="9"/>
        <w:rPr>
          <w:rFonts w:hint="eastAsia" w:ascii="宋体" w:hAnsi="宋体" w:eastAsia="宋体" w:cs="宋体"/>
          <w:sz w:val="28"/>
          <w:szCs w:val="28"/>
        </w:rPr>
      </w:pPr>
      <w:r>
        <w:rPr>
          <w:rFonts w:hint="eastAsia" w:ascii="宋体" w:hAnsi="宋体" w:eastAsia="宋体" w:cs="宋体"/>
          <w:sz w:val="28"/>
          <w:szCs w:val="28"/>
        </w:rPr>
        <w:t>〖符合性审查表〗</w:t>
      </w:r>
    </w:p>
    <w:tbl>
      <w:tblPr>
        <w:tblStyle w:val="34"/>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outlineLvl w:val="9"/>
              <w:rPr>
                <w:rFonts w:hint="eastAsia" w:ascii="宋体" w:hAnsi="宋体" w:eastAsia="宋体" w:cs="宋体"/>
                <w:b/>
                <w:bCs/>
                <w:sz w:val="28"/>
                <w:szCs w:val="28"/>
              </w:rPr>
            </w:pPr>
            <w:r>
              <w:rPr>
                <w:rFonts w:hint="eastAsia" w:ascii="宋体" w:hAnsi="宋体" w:eastAsia="宋体" w:cs="宋体"/>
                <w:b/>
                <w:bCs/>
                <w:sz w:val="28"/>
                <w:szCs w:val="28"/>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outlineLvl w:val="9"/>
              <w:rPr>
                <w:rFonts w:hint="eastAsia" w:ascii="宋体" w:hAnsi="宋体" w:eastAsia="宋体" w:cs="宋体"/>
                <w:b/>
                <w:bCs/>
                <w:sz w:val="28"/>
                <w:szCs w:val="28"/>
              </w:rPr>
            </w:pPr>
            <w:r>
              <w:rPr>
                <w:rFonts w:hint="eastAsia" w:ascii="宋体" w:hAnsi="宋体" w:eastAsia="宋体" w:cs="宋体"/>
                <w:b/>
                <w:bCs/>
                <w:sz w:val="28"/>
                <w:szCs w:val="28"/>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outlineLvl w:val="9"/>
              <w:rPr>
                <w:rFonts w:hint="eastAsia" w:ascii="宋体" w:hAnsi="宋体" w:eastAsia="宋体" w:cs="宋体"/>
                <w:b/>
                <w:bCs/>
                <w:sz w:val="28"/>
                <w:szCs w:val="28"/>
              </w:rPr>
            </w:pPr>
            <w:r>
              <w:rPr>
                <w:rFonts w:hint="eastAsia" w:ascii="宋体" w:hAnsi="宋体" w:eastAsia="宋体" w:cs="宋体"/>
                <w:b/>
                <w:bCs/>
                <w:sz w:val="28"/>
                <w:szCs w:val="28"/>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392" w:type="dxa"/>
            <w:tcBorders>
              <w:top w:val="single" w:color="auto" w:sz="2" w:space="0"/>
            </w:tcBorders>
            <w:vAlign w:val="center"/>
          </w:tcPr>
          <w:p>
            <w:pPr>
              <w:spacing w:line="560" w:lineRule="exact"/>
              <w:jc w:val="center"/>
              <w:outlineLvl w:val="9"/>
              <w:rPr>
                <w:rFonts w:hint="eastAsia" w:ascii="宋体" w:hAnsi="宋体" w:eastAsia="宋体" w:cs="宋体"/>
                <w:sz w:val="28"/>
                <w:szCs w:val="28"/>
              </w:rPr>
            </w:pPr>
            <w:r>
              <w:rPr>
                <w:rFonts w:hint="eastAsia" w:ascii="宋体" w:hAnsi="宋体" w:eastAsia="宋体" w:cs="宋体"/>
                <w:sz w:val="28"/>
                <w:szCs w:val="28"/>
              </w:rPr>
              <w:t>投标报价是否超过预算或最高限价</w:t>
            </w:r>
          </w:p>
        </w:tc>
        <w:tc>
          <w:tcPr>
            <w:tcW w:w="5498" w:type="dxa"/>
            <w:tcBorders>
              <w:top w:val="single" w:color="auto" w:sz="2" w:space="0"/>
            </w:tcBorders>
            <w:vAlign w:val="center"/>
          </w:tcPr>
          <w:p>
            <w:pPr>
              <w:jc w:val="both"/>
              <w:outlineLvl w:val="9"/>
              <w:rPr>
                <w:rFonts w:hint="eastAsia" w:ascii="宋体" w:hAnsi="宋体" w:eastAsia="宋体" w:cs="宋体"/>
                <w:sz w:val="28"/>
                <w:szCs w:val="28"/>
              </w:rPr>
            </w:pPr>
            <w:r>
              <w:rPr>
                <w:rFonts w:hint="eastAsia" w:ascii="宋体" w:hAnsi="宋体" w:eastAsia="宋体" w:cs="宋体"/>
                <w:sz w:val="28"/>
                <w:szCs w:val="28"/>
              </w:rPr>
              <w:t>投标报价</w:t>
            </w:r>
            <w:r>
              <w:rPr>
                <w:rFonts w:hint="eastAsia" w:ascii="宋体" w:hAnsi="宋体" w:eastAsia="宋体" w:cs="宋体"/>
                <w:sz w:val="28"/>
                <w:szCs w:val="28"/>
                <w:lang w:eastAsia="zh-CN"/>
              </w:rPr>
              <w:t>未</w:t>
            </w:r>
            <w:r>
              <w:rPr>
                <w:rFonts w:hint="eastAsia" w:ascii="宋体" w:hAnsi="宋体" w:eastAsia="宋体" w:cs="宋体"/>
                <w:sz w:val="28"/>
                <w:szCs w:val="28"/>
              </w:rPr>
              <w:t>超过预算或最高限价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392" w:type="dxa"/>
            <w:vAlign w:val="center"/>
          </w:tcPr>
          <w:p>
            <w:pPr>
              <w:spacing w:line="560" w:lineRule="exact"/>
              <w:jc w:val="center"/>
              <w:outlineLvl w:val="9"/>
              <w:rPr>
                <w:rFonts w:hint="eastAsia" w:ascii="宋体" w:hAnsi="宋体" w:eastAsia="宋体" w:cs="宋体"/>
                <w:sz w:val="28"/>
                <w:szCs w:val="28"/>
              </w:rPr>
            </w:pPr>
            <w:r>
              <w:rPr>
                <w:rFonts w:hint="eastAsia" w:ascii="宋体" w:hAnsi="宋体" w:eastAsia="宋体" w:cs="宋体"/>
                <w:sz w:val="28"/>
                <w:szCs w:val="28"/>
                <w:lang w:eastAsia="zh-CN"/>
              </w:rPr>
              <w:t>交货期</w:t>
            </w:r>
            <w:r>
              <w:rPr>
                <w:rFonts w:hint="eastAsia" w:ascii="宋体" w:hAnsi="宋体" w:eastAsia="宋体" w:cs="宋体"/>
                <w:sz w:val="28"/>
                <w:szCs w:val="28"/>
              </w:rPr>
              <w:t>是否满足招标文件要求</w:t>
            </w:r>
          </w:p>
        </w:tc>
        <w:tc>
          <w:tcPr>
            <w:tcW w:w="5498" w:type="dxa"/>
            <w:vAlign w:val="center"/>
          </w:tcPr>
          <w:p>
            <w:pPr>
              <w:jc w:val="both"/>
              <w:outlineLvl w:val="9"/>
              <w:rPr>
                <w:rFonts w:hint="eastAsia" w:ascii="宋体" w:hAnsi="宋体" w:eastAsia="宋体" w:cs="宋体"/>
                <w:sz w:val="28"/>
                <w:szCs w:val="28"/>
              </w:rPr>
            </w:pPr>
            <w:r>
              <w:rPr>
                <w:rFonts w:hint="eastAsia" w:ascii="宋体" w:hAnsi="宋体" w:eastAsia="宋体" w:cs="宋体"/>
                <w:sz w:val="28"/>
                <w:szCs w:val="28"/>
                <w:lang w:eastAsia="zh-CN"/>
              </w:rPr>
              <w:t>交货期</w:t>
            </w:r>
            <w:r>
              <w:rPr>
                <w:rFonts w:hint="eastAsia" w:ascii="宋体" w:hAnsi="宋体" w:eastAsia="宋体" w:cs="宋体"/>
                <w:sz w:val="28"/>
                <w:szCs w:val="28"/>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392" w:type="dxa"/>
            <w:vAlign w:val="center"/>
          </w:tcPr>
          <w:p>
            <w:pPr>
              <w:spacing w:line="560" w:lineRule="exact"/>
              <w:jc w:val="center"/>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质保期</w:t>
            </w:r>
            <w:r>
              <w:rPr>
                <w:rFonts w:hint="eastAsia" w:ascii="宋体" w:hAnsi="宋体" w:eastAsia="宋体" w:cs="宋体"/>
                <w:sz w:val="28"/>
                <w:szCs w:val="28"/>
              </w:rPr>
              <w:t>是否满足招标文件要求</w:t>
            </w:r>
          </w:p>
        </w:tc>
        <w:tc>
          <w:tcPr>
            <w:tcW w:w="5498" w:type="dxa"/>
            <w:vAlign w:val="center"/>
          </w:tcPr>
          <w:p>
            <w:pPr>
              <w:jc w:val="both"/>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质保期</w:t>
            </w:r>
            <w:r>
              <w:rPr>
                <w:rFonts w:hint="eastAsia" w:ascii="宋体" w:hAnsi="宋体" w:eastAsia="宋体" w:cs="宋体"/>
                <w:sz w:val="28"/>
                <w:szCs w:val="28"/>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392" w:type="dxa"/>
            <w:vAlign w:val="center"/>
          </w:tcPr>
          <w:p>
            <w:pPr>
              <w:spacing w:line="560" w:lineRule="exact"/>
              <w:jc w:val="center"/>
              <w:outlineLvl w:val="9"/>
              <w:rPr>
                <w:rFonts w:hint="eastAsia" w:ascii="宋体" w:hAnsi="宋体" w:eastAsia="宋体" w:cs="宋体"/>
                <w:sz w:val="28"/>
                <w:szCs w:val="28"/>
              </w:rPr>
            </w:pPr>
            <w:r>
              <w:rPr>
                <w:rFonts w:hint="eastAsia" w:ascii="宋体" w:hAnsi="宋体" w:eastAsia="宋体" w:cs="宋体"/>
                <w:sz w:val="28"/>
                <w:szCs w:val="28"/>
                <w:lang w:val="en-US" w:eastAsia="zh-CN"/>
              </w:rPr>
              <w:t>数量、签署、盖章、装订</w:t>
            </w:r>
            <w:r>
              <w:rPr>
                <w:rFonts w:hint="eastAsia" w:ascii="宋体" w:hAnsi="宋体" w:eastAsia="宋体" w:cs="宋体"/>
                <w:sz w:val="28"/>
                <w:szCs w:val="28"/>
              </w:rPr>
              <w:t>是否满足招标文件要求</w:t>
            </w:r>
          </w:p>
        </w:tc>
        <w:tc>
          <w:tcPr>
            <w:tcW w:w="5498" w:type="dxa"/>
            <w:vAlign w:val="center"/>
          </w:tcPr>
          <w:p>
            <w:pPr>
              <w:jc w:val="both"/>
              <w:outlineLvl w:val="9"/>
              <w:rPr>
                <w:rFonts w:hint="eastAsia" w:ascii="宋体" w:hAnsi="宋体" w:eastAsia="宋体" w:cs="宋体"/>
                <w:sz w:val="28"/>
                <w:szCs w:val="28"/>
              </w:rPr>
            </w:pPr>
            <w:r>
              <w:rPr>
                <w:rFonts w:hint="eastAsia" w:ascii="宋体" w:hAnsi="宋体" w:eastAsia="宋体" w:cs="宋体"/>
                <w:sz w:val="28"/>
                <w:szCs w:val="28"/>
                <w:lang w:val="en-US" w:eastAsia="zh-CN"/>
              </w:rPr>
              <w:t>数量、签署、盖章、装订</w:t>
            </w:r>
            <w:r>
              <w:rPr>
                <w:rFonts w:hint="eastAsia" w:ascii="宋体" w:hAnsi="宋体" w:eastAsia="宋体" w:cs="宋体"/>
                <w:sz w:val="28"/>
                <w:szCs w:val="28"/>
              </w:rPr>
              <w:t>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392" w:type="dxa"/>
            <w:vAlign w:val="center"/>
          </w:tcPr>
          <w:p>
            <w:pPr>
              <w:spacing w:line="560" w:lineRule="exact"/>
              <w:jc w:val="center"/>
              <w:outlineLvl w:val="9"/>
              <w:rPr>
                <w:rFonts w:hint="eastAsia" w:ascii="宋体" w:hAnsi="宋体" w:eastAsia="宋体" w:cs="宋体"/>
                <w:sz w:val="28"/>
                <w:szCs w:val="28"/>
              </w:rPr>
            </w:pPr>
            <w:r>
              <w:rPr>
                <w:rFonts w:hint="eastAsia" w:ascii="宋体" w:hAnsi="宋体" w:eastAsia="宋体" w:cs="宋体"/>
                <w:sz w:val="28"/>
                <w:szCs w:val="28"/>
              </w:rPr>
              <w:t>投标文件有效期</w:t>
            </w:r>
          </w:p>
        </w:tc>
        <w:tc>
          <w:tcPr>
            <w:tcW w:w="5498" w:type="dxa"/>
            <w:vAlign w:val="center"/>
          </w:tcPr>
          <w:p>
            <w:pPr>
              <w:jc w:val="both"/>
              <w:outlineLvl w:val="9"/>
              <w:rPr>
                <w:rFonts w:hint="eastAsia" w:ascii="宋体" w:hAnsi="宋体" w:eastAsia="宋体" w:cs="宋体"/>
                <w:sz w:val="28"/>
                <w:szCs w:val="28"/>
              </w:rPr>
            </w:pPr>
            <w:r>
              <w:rPr>
                <w:rFonts w:hint="eastAsia" w:ascii="宋体" w:hAnsi="宋体" w:eastAsia="宋体" w:cs="宋体"/>
                <w:sz w:val="28"/>
                <w:szCs w:val="28"/>
              </w:rPr>
              <w:t>符合招标文件的要求</w:t>
            </w:r>
          </w:p>
        </w:tc>
      </w:tr>
    </w:tbl>
    <w:p>
      <w:pPr>
        <w:pStyle w:val="99"/>
        <w:bidi w:val="0"/>
        <w:rPr>
          <w:rFonts w:hint="eastAsia"/>
          <w:sz w:val="28"/>
          <w:szCs w:val="28"/>
        </w:rPr>
      </w:pPr>
      <w:bookmarkStart w:id="61" w:name="_Toc11857"/>
      <w:r>
        <w:rPr>
          <w:rFonts w:hint="eastAsia"/>
          <w:sz w:val="28"/>
          <w:szCs w:val="28"/>
        </w:rPr>
        <w:t>3．综合比较与评价</w:t>
      </w:r>
      <w:bookmarkEnd w:id="61"/>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评标委员会按《评审要素及分值一览表》中规定的评标方法和标准，对通过符合性审查的投标文件进行商务和技术评估，综合比较与评价。</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出现下列情形的，供应商投标无效：</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（1）投标文件报价出现本章第五小节“投标报价”所列需要修正情形，但供应商对修正后的报价不予确认的；</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outlineLvl w:val="9"/>
        <w:rPr>
          <w:rFonts w:hint="eastAsia" w:ascii="宋体" w:hAnsi="宋体" w:eastAsia="宋体" w:cs="宋体"/>
          <w:sz w:val="28"/>
          <w:szCs w:val="28"/>
        </w:rPr>
      </w:pPr>
      <w:r>
        <w:rPr>
          <w:rFonts w:hint="eastAsia" w:ascii="宋体" w:hAnsi="宋体" w:eastAsia="宋体" w:cs="宋体"/>
          <w:sz w:val="28"/>
          <w:szCs w:val="28"/>
        </w:rPr>
        <w:br w:type="page"/>
      </w:r>
    </w:p>
    <w:p>
      <w:pPr>
        <w:spacing w:line="560" w:lineRule="exact"/>
        <w:jc w:val="both"/>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〖评审要素及分值一览表〗</w:t>
      </w:r>
    </w:p>
    <w:p>
      <w:pPr>
        <w:pStyle w:val="7"/>
        <w:numPr>
          <w:ilvl w:val="3"/>
          <w:numId w:val="0"/>
        </w:numPr>
        <w:ind w:leftChars="0"/>
        <w:rPr>
          <w:rFonts w:hint="eastAsia" w:eastAsia="宋体"/>
          <w:lang w:eastAsia="zh-CN"/>
        </w:rPr>
      </w:pPr>
      <w:bookmarkStart w:id="62" w:name="_Toc10025"/>
      <w:r>
        <w:rPr>
          <w:rFonts w:hint="eastAsia" w:eastAsia="宋体"/>
          <w:lang w:eastAsia="zh-CN"/>
        </w:rPr>
        <w:t>第七标段评分标准：</w:t>
      </w:r>
    </w:p>
    <w:tbl>
      <w:tblPr>
        <w:tblStyle w:val="34"/>
        <w:tblW w:w="9058"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438"/>
        <w:gridCol w:w="809"/>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541" w:type="dxa"/>
            <w:noWrap w:val="0"/>
            <w:vAlign w:val="center"/>
          </w:tcPr>
          <w:p>
            <w:pPr>
              <w:spacing w:line="400" w:lineRule="exact"/>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438" w:type="dxa"/>
            <w:noWrap w:val="0"/>
            <w:vAlign w:val="center"/>
          </w:tcPr>
          <w:p>
            <w:pPr>
              <w:spacing w:line="400" w:lineRule="exact"/>
              <w:ind w:firstLine="28"/>
              <w:rPr>
                <w:rFonts w:hint="eastAsia" w:ascii="宋体" w:hAnsi="宋体" w:eastAsia="宋体" w:cs="宋体"/>
                <w:b/>
                <w:bCs/>
                <w:sz w:val="21"/>
                <w:szCs w:val="21"/>
              </w:rPr>
            </w:pPr>
            <w:r>
              <w:rPr>
                <w:rFonts w:hint="eastAsia" w:ascii="宋体" w:hAnsi="宋体" w:eastAsia="宋体" w:cs="宋体"/>
                <w:b/>
                <w:bCs/>
                <w:sz w:val="21"/>
                <w:szCs w:val="21"/>
              </w:rPr>
              <w:t>评分因素及权重</w:t>
            </w:r>
          </w:p>
        </w:tc>
        <w:tc>
          <w:tcPr>
            <w:tcW w:w="809" w:type="dxa"/>
            <w:noWrap w:val="0"/>
            <w:vAlign w:val="center"/>
          </w:tcPr>
          <w:p>
            <w:pPr>
              <w:spacing w:line="400" w:lineRule="exact"/>
              <w:ind w:firstLine="28"/>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6270" w:type="dxa"/>
            <w:noWrap w:val="0"/>
            <w:vAlign w:val="center"/>
          </w:tcPr>
          <w:p>
            <w:pPr>
              <w:spacing w:line="400" w:lineRule="exact"/>
              <w:ind w:firstLine="28"/>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3" w:hRule="atLeast"/>
        </w:trPr>
        <w:tc>
          <w:tcPr>
            <w:tcW w:w="541" w:type="dxa"/>
            <w:noWrap w:val="0"/>
            <w:vAlign w:val="center"/>
          </w:tcPr>
          <w:p>
            <w:pPr>
              <w:spacing w:line="400" w:lineRule="exact"/>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38" w:type="dxa"/>
            <w:noWrap w:val="0"/>
            <w:vAlign w:val="center"/>
          </w:tcPr>
          <w:p>
            <w:pPr>
              <w:spacing w:line="360" w:lineRule="auto"/>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报价30%</w:t>
            </w:r>
          </w:p>
        </w:tc>
        <w:tc>
          <w:tcPr>
            <w:tcW w:w="809" w:type="dxa"/>
            <w:noWrap w:val="0"/>
            <w:vAlign w:val="center"/>
          </w:tcPr>
          <w:p>
            <w:pPr>
              <w:spacing w:line="400" w:lineRule="exact"/>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6270" w:type="dxa"/>
            <w:noWrap w:val="0"/>
            <w:vAlign w:val="center"/>
          </w:tcPr>
          <w:p>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经初审合格的投标文件，其投标报价为有效投标价。</w:t>
            </w:r>
          </w:p>
          <w:p>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评标基准价：即满足招标文件要求且投标价格最低的投标报价为评标基准价。</w:t>
            </w:r>
          </w:p>
          <w:p>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的价格分统一按照下列公式计算。投标报价得分=(评标基准价／投标报价)×30</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注：评标委员会认为投标人的报价明显低于其他通过符合性审查投标人报价的，根据中华人民共和国财政部令第87号《政府采购货物和服务招标投标管理办法》第六十条实行。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9" w:hRule="atLeast"/>
        </w:trPr>
        <w:tc>
          <w:tcPr>
            <w:tcW w:w="541" w:type="dxa"/>
            <w:noWrap w:val="0"/>
            <w:vAlign w:val="center"/>
          </w:tcPr>
          <w:p>
            <w:pPr>
              <w:spacing w:line="400" w:lineRule="exact"/>
              <w:ind w:firstLine="2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38" w:type="dxa"/>
            <w:noWrap w:val="0"/>
            <w:vAlign w:val="center"/>
          </w:tcPr>
          <w:p>
            <w:p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技术指标</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w:t>
            </w:r>
          </w:p>
        </w:tc>
        <w:tc>
          <w:tcPr>
            <w:tcW w:w="809" w:type="dxa"/>
            <w:noWrap w:val="0"/>
            <w:vAlign w:val="center"/>
          </w:tcPr>
          <w:p>
            <w:pPr>
              <w:spacing w:line="400" w:lineRule="exact"/>
              <w:ind w:firstLine="28"/>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6270" w:type="dxa"/>
            <w:noWrap w:val="0"/>
            <w:vAlign w:val="center"/>
          </w:tcPr>
          <w:p>
            <w:pP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eastAsia="zh-CN"/>
              </w:rPr>
              <w:t>根据供应商</w:t>
            </w:r>
            <w:r>
              <w:rPr>
                <w:rFonts w:hint="eastAsia" w:ascii="宋体" w:hAnsi="宋体" w:eastAsia="宋体" w:cs="宋体"/>
                <w:b/>
                <w:bCs/>
                <w:kern w:val="0"/>
                <w:sz w:val="21"/>
                <w:szCs w:val="21"/>
                <w:highlight w:val="none"/>
              </w:rPr>
              <w:t>提供所投</w:t>
            </w:r>
            <w:r>
              <w:rPr>
                <w:rFonts w:hint="eastAsia" w:ascii="宋体" w:hAnsi="宋体" w:eastAsia="宋体" w:cs="宋体"/>
                <w:b/>
                <w:bCs/>
                <w:kern w:val="0"/>
                <w:sz w:val="21"/>
                <w:szCs w:val="21"/>
                <w:highlight w:val="none"/>
                <w:lang w:eastAsia="zh-CN"/>
              </w:rPr>
              <w:t>产品</w:t>
            </w:r>
            <w:r>
              <w:rPr>
                <w:rFonts w:hint="eastAsia" w:ascii="宋体" w:hAnsi="宋体" w:eastAsia="宋体" w:cs="宋体"/>
                <w:b/>
                <w:bCs/>
                <w:kern w:val="0"/>
                <w:sz w:val="21"/>
                <w:szCs w:val="21"/>
                <w:highlight w:val="none"/>
              </w:rPr>
              <w:t>的主要技术指标（参数）的相应的证明材料（包括但不限于产品彩页、测试报告、官网和功能截图等技术支持性文件（资料），经评审专家审定得分。</w:t>
            </w:r>
          </w:p>
          <w:p>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基本分（</w:t>
            </w:r>
            <w:r>
              <w:rPr>
                <w:rFonts w:hint="eastAsia" w:ascii="宋体" w:hAnsi="宋体" w:eastAsia="宋体" w:cs="宋体"/>
                <w:kern w:val="0"/>
                <w:sz w:val="21"/>
                <w:szCs w:val="21"/>
                <w:highlight w:val="none"/>
                <w:lang w:val="en-US" w:eastAsia="zh-CN"/>
              </w:rPr>
              <w:t>30</w:t>
            </w:r>
            <w:r>
              <w:rPr>
                <w:rFonts w:hint="eastAsia" w:ascii="宋体" w:hAnsi="宋体" w:eastAsia="宋体" w:cs="宋体"/>
                <w:kern w:val="0"/>
                <w:sz w:val="21"/>
                <w:szCs w:val="21"/>
                <w:highlight w:val="none"/>
              </w:rPr>
              <w:t>分）：完全符合、响应招标文件要求，没有负偏离的得</w:t>
            </w:r>
            <w:r>
              <w:rPr>
                <w:rFonts w:hint="eastAsia" w:ascii="宋体" w:hAnsi="宋体" w:eastAsia="宋体" w:cs="宋体"/>
                <w:kern w:val="0"/>
                <w:sz w:val="21"/>
                <w:szCs w:val="21"/>
                <w:highlight w:val="none"/>
                <w:lang w:val="en-US" w:eastAsia="zh-CN"/>
              </w:rPr>
              <w:t>30</w:t>
            </w:r>
            <w:r>
              <w:rPr>
                <w:rFonts w:hint="eastAsia" w:ascii="宋体" w:hAnsi="宋体" w:eastAsia="宋体" w:cs="宋体"/>
                <w:kern w:val="0"/>
                <w:sz w:val="21"/>
                <w:szCs w:val="21"/>
                <w:highlight w:val="none"/>
              </w:rPr>
              <w:t>分；参数负偏离一项扣</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分，扣完为止</w:t>
            </w:r>
            <w:r>
              <w:rPr>
                <w:rFonts w:hint="eastAsia" w:ascii="宋体" w:hAnsi="宋体" w:eastAsia="宋体" w:cs="宋体"/>
                <w:kern w:val="0"/>
                <w:sz w:val="21"/>
                <w:szCs w:val="21"/>
                <w:highlight w:val="none"/>
                <w:lang w:eastAsia="zh-CN"/>
              </w:rPr>
              <w:t>。</w:t>
            </w:r>
          </w:p>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w:t>
            </w:r>
            <w:r>
              <w:rPr>
                <w:rFonts w:hint="eastAsia" w:ascii="宋体" w:hAnsi="宋体" w:eastAsia="宋体" w:cs="宋体"/>
                <w:kern w:val="0"/>
                <w:sz w:val="21"/>
                <w:szCs w:val="21"/>
                <w:highlight w:val="none"/>
                <w:lang w:eastAsia="zh-CN"/>
              </w:rPr>
              <w:t xml:space="preserve"> 参数</w:t>
            </w:r>
            <w:r>
              <w:rPr>
                <w:rFonts w:hint="eastAsia" w:ascii="宋体" w:hAnsi="宋体" w:eastAsia="宋体" w:cs="宋体"/>
                <w:sz w:val="21"/>
                <w:szCs w:val="21"/>
                <w:highlight w:val="none"/>
              </w:rPr>
              <w:t>需尽可能多的提供相关的功能证明材料对技术指标予以佐证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自行承担因材料提供不全导致技术参数被视为负偏离的风险。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7" w:hRule="atLeast"/>
        </w:trPr>
        <w:tc>
          <w:tcPr>
            <w:tcW w:w="541" w:type="dxa"/>
            <w:vMerge w:val="restart"/>
            <w:noWrap w:val="0"/>
            <w:vAlign w:val="center"/>
          </w:tcPr>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3</w:t>
            </w:r>
          </w:p>
        </w:tc>
        <w:tc>
          <w:tcPr>
            <w:tcW w:w="1438" w:type="dxa"/>
            <w:vMerge w:val="restart"/>
            <w:noWrap w:val="0"/>
            <w:vAlign w:val="center"/>
          </w:tcPr>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质</w:t>
            </w:r>
          </w:p>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量</w:t>
            </w:r>
          </w:p>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保</w:t>
            </w:r>
          </w:p>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证</w:t>
            </w:r>
          </w:p>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 xml:space="preserve">% </w:t>
            </w:r>
          </w:p>
        </w:tc>
        <w:tc>
          <w:tcPr>
            <w:tcW w:w="809" w:type="dxa"/>
            <w:noWrap w:val="0"/>
            <w:vAlign w:val="center"/>
          </w:tcPr>
          <w:p>
            <w:pPr>
              <w:spacing w:line="2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270" w:type="dxa"/>
            <w:noWrap w:val="0"/>
            <w:vAlign w:val="center"/>
          </w:tcPr>
          <w:p>
            <w:pPr>
              <w:spacing w:line="360" w:lineRule="exact"/>
              <w:ind w:left="60"/>
              <w:rPr>
                <w:rFonts w:hint="eastAsia" w:ascii="宋体" w:hAnsi="宋体" w:eastAsia="宋体" w:cs="宋体"/>
                <w:sz w:val="21"/>
                <w:szCs w:val="21"/>
              </w:rPr>
            </w:pPr>
            <w:r>
              <w:rPr>
                <w:rFonts w:hint="eastAsia" w:ascii="宋体" w:hAnsi="宋体" w:eastAsia="宋体" w:cs="宋体"/>
                <w:sz w:val="21"/>
                <w:szCs w:val="21"/>
                <w:lang w:eastAsia="zh-CN"/>
              </w:rPr>
              <w:t>产品</w:t>
            </w:r>
            <w:r>
              <w:rPr>
                <w:rFonts w:hint="eastAsia" w:ascii="宋体" w:hAnsi="宋体" w:eastAsia="宋体" w:cs="宋体"/>
                <w:sz w:val="21"/>
                <w:szCs w:val="21"/>
              </w:rPr>
              <w:t>进货渠道正规，并能够提供</w:t>
            </w:r>
            <w:r>
              <w:rPr>
                <w:rFonts w:hint="eastAsia" w:ascii="宋体" w:hAnsi="宋体" w:eastAsia="宋体" w:cs="宋体"/>
                <w:sz w:val="21"/>
                <w:szCs w:val="21"/>
                <w:lang w:eastAsia="zh-CN"/>
              </w:rPr>
              <w:t>产品批准证明文件、批检报告、</w:t>
            </w:r>
            <w:r>
              <w:rPr>
                <w:rFonts w:hint="eastAsia" w:ascii="宋体" w:hAnsi="宋体" w:eastAsia="宋体" w:cs="宋体"/>
                <w:sz w:val="21"/>
                <w:szCs w:val="21"/>
              </w:rPr>
              <w:t>说明书等相关资料。</w:t>
            </w:r>
            <w:r>
              <w:rPr>
                <w:rFonts w:hint="eastAsia" w:ascii="宋体" w:hAnsi="宋体" w:eastAsia="宋体" w:cs="宋体"/>
                <w:sz w:val="21"/>
                <w:szCs w:val="21"/>
                <w:lang w:eastAsia="zh-CN"/>
              </w:rPr>
              <w:t>提供生产</w:t>
            </w:r>
            <w:r>
              <w:rPr>
                <w:rFonts w:hint="eastAsia" w:ascii="宋体" w:hAnsi="宋体" w:eastAsia="宋体" w:cs="宋体"/>
                <w:sz w:val="21"/>
                <w:szCs w:val="21"/>
              </w:rPr>
              <w:t>质量</w:t>
            </w:r>
            <w:r>
              <w:rPr>
                <w:rFonts w:hint="eastAsia" w:ascii="宋体" w:hAnsi="宋体" w:eastAsia="宋体" w:cs="宋体"/>
                <w:sz w:val="21"/>
                <w:szCs w:val="21"/>
                <w:lang w:eastAsia="zh-CN"/>
              </w:rPr>
              <w:t>管理规范、经营质量规范等</w:t>
            </w:r>
            <w:r>
              <w:rPr>
                <w:rFonts w:hint="eastAsia" w:ascii="宋体" w:hAnsi="宋体" w:eastAsia="宋体" w:cs="宋体"/>
                <w:sz w:val="21"/>
                <w:szCs w:val="21"/>
              </w:rPr>
              <w:t>，确保生产供应的</w:t>
            </w:r>
            <w:r>
              <w:rPr>
                <w:rFonts w:hint="eastAsia" w:ascii="宋体" w:hAnsi="宋体" w:eastAsia="宋体" w:cs="宋体"/>
                <w:sz w:val="21"/>
                <w:szCs w:val="21"/>
                <w:lang w:eastAsia="zh-CN"/>
              </w:rPr>
              <w:t>产品</w:t>
            </w:r>
            <w:r>
              <w:rPr>
                <w:rFonts w:hint="eastAsia" w:ascii="宋体" w:hAnsi="宋体" w:eastAsia="宋体" w:cs="宋体"/>
                <w:sz w:val="21"/>
                <w:szCs w:val="21"/>
              </w:rPr>
              <w:t>无假货、</w:t>
            </w:r>
            <w:r>
              <w:rPr>
                <w:rFonts w:hint="eastAsia" w:ascii="宋体" w:hAnsi="宋体" w:eastAsia="宋体" w:cs="宋体"/>
                <w:sz w:val="21"/>
                <w:szCs w:val="21"/>
                <w:lang w:eastAsia="zh-CN"/>
              </w:rPr>
              <w:t>无质量问题</w:t>
            </w: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提供的证明文件齐全程度</w:t>
            </w:r>
            <w:r>
              <w:rPr>
                <w:rFonts w:hint="eastAsia" w:ascii="宋体" w:hAnsi="宋体" w:eastAsia="宋体" w:cs="宋体"/>
                <w:sz w:val="21"/>
                <w:szCs w:val="21"/>
                <w:lang w:eastAsia="zh-CN"/>
              </w:rPr>
              <w:t>，</w:t>
            </w:r>
            <w:r>
              <w:rPr>
                <w:rFonts w:hint="eastAsia" w:ascii="宋体" w:hAnsi="宋体" w:eastAsia="宋体" w:cs="宋体"/>
                <w:sz w:val="21"/>
                <w:szCs w:val="21"/>
              </w:rPr>
              <w:t>由评委综合比较，证明材料齐全、完整得</w:t>
            </w:r>
            <w:r>
              <w:rPr>
                <w:rFonts w:hint="eastAsia" w:ascii="宋体" w:hAnsi="宋体" w:eastAsia="宋体" w:cs="宋体"/>
                <w:sz w:val="21"/>
                <w:szCs w:val="21"/>
                <w:lang w:val="en-US" w:eastAsia="zh-CN"/>
              </w:rPr>
              <w:t>2.1-3</w:t>
            </w:r>
            <w:r>
              <w:rPr>
                <w:rFonts w:hint="eastAsia" w:ascii="宋体" w:hAnsi="宋体" w:eastAsia="宋体" w:cs="宋体"/>
                <w:sz w:val="21"/>
                <w:szCs w:val="21"/>
              </w:rPr>
              <w:t>分；所投</w:t>
            </w:r>
            <w:r>
              <w:rPr>
                <w:rFonts w:hint="eastAsia" w:ascii="宋体" w:hAnsi="宋体" w:eastAsia="宋体" w:cs="宋体"/>
                <w:sz w:val="21"/>
                <w:szCs w:val="21"/>
                <w:lang w:eastAsia="zh-CN"/>
              </w:rPr>
              <w:t>产品</w:t>
            </w:r>
            <w:r>
              <w:rPr>
                <w:rFonts w:hint="eastAsia" w:ascii="宋体" w:hAnsi="宋体" w:eastAsia="宋体" w:cs="宋体"/>
                <w:sz w:val="21"/>
                <w:szCs w:val="21"/>
              </w:rPr>
              <w:t>证明材料不完整得0.1-</w:t>
            </w:r>
            <w:r>
              <w:rPr>
                <w:rFonts w:hint="eastAsia" w:ascii="宋体" w:hAnsi="宋体" w:eastAsia="宋体" w:cs="宋体"/>
                <w:sz w:val="21"/>
                <w:szCs w:val="21"/>
                <w:lang w:val="en-US" w:eastAsia="zh-CN"/>
              </w:rPr>
              <w:t>2</w:t>
            </w:r>
            <w:r>
              <w:rPr>
                <w:rFonts w:hint="eastAsia" w:ascii="宋体" w:hAnsi="宋体" w:eastAsia="宋体" w:cs="宋体"/>
                <w:sz w:val="21"/>
                <w:szCs w:val="21"/>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1" w:hRule="atLeast"/>
        </w:trPr>
        <w:tc>
          <w:tcPr>
            <w:tcW w:w="541" w:type="dxa"/>
            <w:vMerge w:val="continue"/>
            <w:noWrap w:val="0"/>
            <w:vAlign w:val="center"/>
          </w:tcPr>
          <w:p>
            <w:pPr>
              <w:spacing w:line="400" w:lineRule="exact"/>
              <w:ind w:firstLine="28"/>
              <w:jc w:val="center"/>
              <w:rPr>
                <w:rFonts w:hint="eastAsia" w:ascii="宋体" w:hAnsi="宋体" w:eastAsia="宋体" w:cs="宋体"/>
                <w:sz w:val="21"/>
                <w:szCs w:val="21"/>
              </w:rPr>
            </w:pPr>
          </w:p>
        </w:tc>
        <w:tc>
          <w:tcPr>
            <w:tcW w:w="1438" w:type="dxa"/>
            <w:vMerge w:val="continue"/>
            <w:noWrap w:val="0"/>
            <w:vAlign w:val="center"/>
          </w:tcPr>
          <w:p>
            <w:pPr>
              <w:spacing w:line="400" w:lineRule="exact"/>
              <w:ind w:firstLine="28"/>
              <w:jc w:val="center"/>
              <w:rPr>
                <w:rFonts w:hint="eastAsia" w:ascii="宋体" w:hAnsi="宋体" w:eastAsia="宋体" w:cs="宋体"/>
                <w:sz w:val="21"/>
                <w:szCs w:val="21"/>
              </w:rPr>
            </w:pPr>
          </w:p>
        </w:tc>
        <w:tc>
          <w:tcPr>
            <w:tcW w:w="809" w:type="dxa"/>
            <w:noWrap w:val="0"/>
            <w:vAlign w:val="center"/>
          </w:tcPr>
          <w:p>
            <w:pPr>
              <w:spacing w:line="2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270" w:type="dxa"/>
            <w:noWrap w:val="0"/>
            <w:vAlign w:val="center"/>
          </w:tcPr>
          <w:p>
            <w:pPr>
              <w:spacing w:line="360" w:lineRule="exact"/>
              <w:ind w:left="6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运送过程中有良好的储存及运输环境，符合相关储存标准，提供合理的储存、运输方案。应具备符合国家标准的冷链运输环境。储存、运输方案详细合理可行得4.1-5分，储存、运输方案较详细合理可行得2.1-4分，储存、运输方案差得0.1-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trPr>
        <w:tc>
          <w:tcPr>
            <w:tcW w:w="541" w:type="dxa"/>
            <w:vMerge w:val="continue"/>
            <w:noWrap w:val="0"/>
            <w:vAlign w:val="center"/>
          </w:tcPr>
          <w:p>
            <w:pPr>
              <w:spacing w:line="400" w:lineRule="exact"/>
              <w:ind w:firstLine="28"/>
              <w:jc w:val="center"/>
              <w:rPr>
                <w:rFonts w:hint="eastAsia" w:ascii="宋体" w:hAnsi="宋体" w:eastAsia="宋体" w:cs="宋体"/>
                <w:sz w:val="21"/>
                <w:szCs w:val="21"/>
              </w:rPr>
            </w:pPr>
          </w:p>
        </w:tc>
        <w:tc>
          <w:tcPr>
            <w:tcW w:w="1438" w:type="dxa"/>
            <w:vMerge w:val="continue"/>
            <w:noWrap w:val="0"/>
            <w:vAlign w:val="center"/>
          </w:tcPr>
          <w:p>
            <w:pPr>
              <w:spacing w:line="400" w:lineRule="exact"/>
              <w:ind w:firstLine="28"/>
              <w:jc w:val="center"/>
              <w:rPr>
                <w:rFonts w:hint="eastAsia" w:ascii="宋体" w:hAnsi="宋体" w:eastAsia="宋体" w:cs="宋体"/>
                <w:sz w:val="21"/>
                <w:szCs w:val="21"/>
              </w:rPr>
            </w:pPr>
          </w:p>
        </w:tc>
        <w:tc>
          <w:tcPr>
            <w:tcW w:w="809" w:type="dxa"/>
            <w:noWrap w:val="0"/>
            <w:vAlign w:val="center"/>
          </w:tcPr>
          <w:p>
            <w:pPr>
              <w:spacing w:line="2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270" w:type="dxa"/>
            <w:noWrap w:val="0"/>
            <w:vAlign w:val="center"/>
          </w:tcPr>
          <w:p>
            <w:pPr>
              <w:spacing w:line="360" w:lineRule="exact"/>
              <w:ind w:left="60"/>
              <w:rPr>
                <w:rFonts w:hint="eastAsia" w:ascii="宋体" w:hAnsi="宋体" w:eastAsia="宋体" w:cs="宋体"/>
                <w:sz w:val="21"/>
                <w:szCs w:val="21"/>
              </w:rPr>
            </w:pPr>
            <w:r>
              <w:rPr>
                <w:rFonts w:hint="eastAsia" w:ascii="宋体" w:hAnsi="宋体" w:eastAsia="宋体" w:cs="宋体"/>
                <w:sz w:val="21"/>
                <w:szCs w:val="21"/>
                <w:lang w:val="en-US" w:eastAsia="zh-CN"/>
              </w:rPr>
              <w:t>根据供应商所提供的供货方案、退换货方案及紧急措施等进行综合比较，</w:t>
            </w:r>
            <w:r>
              <w:rPr>
                <w:rFonts w:hint="eastAsia" w:ascii="宋体" w:hAnsi="宋体" w:eastAsia="宋体" w:cs="宋体"/>
                <w:sz w:val="21"/>
                <w:szCs w:val="21"/>
              </w:rPr>
              <w:t>方案完整详细、可操作性强、合理、可行，符合且能有效提升实际需求，计</w:t>
            </w:r>
            <w:r>
              <w:rPr>
                <w:rFonts w:hint="eastAsia" w:ascii="宋体" w:hAnsi="宋体" w:eastAsia="宋体" w:cs="宋体"/>
                <w:sz w:val="21"/>
                <w:szCs w:val="21"/>
                <w:lang w:val="en-US" w:eastAsia="zh-CN"/>
              </w:rPr>
              <w:t>4.1-5</w:t>
            </w:r>
            <w:r>
              <w:rPr>
                <w:rFonts w:hint="eastAsia" w:ascii="宋体" w:hAnsi="宋体" w:eastAsia="宋体" w:cs="宋体"/>
                <w:sz w:val="21"/>
                <w:szCs w:val="21"/>
              </w:rPr>
              <w:t>分；有方案，与实际需求有偏差，计</w:t>
            </w:r>
            <w:r>
              <w:rPr>
                <w:rFonts w:hint="eastAsia" w:ascii="宋体" w:hAnsi="宋体" w:eastAsia="宋体" w:cs="宋体"/>
                <w:sz w:val="21"/>
                <w:szCs w:val="21"/>
                <w:lang w:val="en-US" w:eastAsia="zh-CN"/>
              </w:rPr>
              <w:t>2.1-4</w:t>
            </w:r>
            <w:r>
              <w:rPr>
                <w:rFonts w:hint="eastAsia" w:ascii="宋体" w:hAnsi="宋体" w:eastAsia="宋体" w:cs="宋体"/>
                <w:sz w:val="21"/>
                <w:szCs w:val="21"/>
              </w:rPr>
              <w:t>分；方案内容不完整，响应有缺项，与实际需求不符，计0.1-</w:t>
            </w:r>
            <w:r>
              <w:rPr>
                <w:rFonts w:hint="eastAsia" w:ascii="宋体" w:hAnsi="宋体" w:eastAsia="宋体" w:cs="宋体"/>
                <w:sz w:val="21"/>
                <w:szCs w:val="21"/>
                <w:lang w:val="en-US" w:eastAsia="zh-CN"/>
              </w:rPr>
              <w:t>2</w:t>
            </w:r>
            <w:r>
              <w:rPr>
                <w:rFonts w:hint="eastAsia" w:ascii="宋体" w:hAnsi="宋体" w:eastAsia="宋体" w:cs="宋体"/>
                <w:sz w:val="21"/>
                <w:szCs w:val="21"/>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trPr>
        <w:tc>
          <w:tcPr>
            <w:tcW w:w="541" w:type="dxa"/>
            <w:noWrap w:val="0"/>
            <w:vAlign w:val="center"/>
          </w:tcPr>
          <w:p>
            <w:pPr>
              <w:spacing w:line="400" w:lineRule="exact"/>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438" w:type="dxa"/>
            <w:noWrap w:val="0"/>
            <w:vAlign w:val="center"/>
          </w:tcPr>
          <w:p>
            <w:pPr>
              <w:spacing w:line="400" w:lineRule="exact"/>
              <w:ind w:firstLine="28"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样品</w:t>
            </w:r>
            <w:r>
              <w:rPr>
                <w:rFonts w:hint="eastAsia" w:ascii="宋体" w:hAnsi="宋体" w:eastAsia="宋体" w:cs="宋体"/>
                <w:sz w:val="21"/>
                <w:szCs w:val="21"/>
                <w:highlight w:val="none"/>
                <w:lang w:val="en-US" w:eastAsia="zh-CN"/>
              </w:rPr>
              <w:t>10%</w:t>
            </w:r>
          </w:p>
        </w:tc>
        <w:tc>
          <w:tcPr>
            <w:tcW w:w="809" w:type="dxa"/>
            <w:noWrap w:val="0"/>
            <w:vAlign w:val="center"/>
          </w:tcPr>
          <w:p>
            <w:pPr>
              <w:spacing w:line="2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270" w:type="dxa"/>
            <w:noWrap w:val="0"/>
            <w:vAlign w:val="center"/>
          </w:tcPr>
          <w:p>
            <w:pPr>
              <w:spacing w:line="360" w:lineRule="exact"/>
              <w:ind w:left="6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投标人提供的样品、小样，对样品、小样整体制作，整体工艺处理水平，加工效果，材料选用、质量等进行综合比较；整体工艺处理水平高，加工效果好，材料选用优质、质量好，计5.1-10分；整体工艺处理水平低，加工效果不好，材料选用差、质量差，计0.1-5分；未提供不计分。</w:t>
            </w:r>
          </w:p>
          <w:p>
            <w:pPr>
              <w:spacing w:line="360" w:lineRule="exact"/>
              <w:ind w:left="6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p>
            <w:pPr>
              <w:spacing w:line="360" w:lineRule="exact"/>
              <w:ind w:left="6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（1）样品递交地点：西安市公共资源交易中心一楼指定地点。</w:t>
            </w:r>
          </w:p>
          <w:p>
            <w:pPr>
              <w:spacing w:line="360" w:lineRule="exact"/>
              <w:ind w:left="6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（2）样品递交时间：同投标文件递交截止时间一致，逾期递交的不予接收。</w:t>
            </w:r>
          </w:p>
          <w:p>
            <w:pPr>
              <w:spacing w:line="360" w:lineRule="exact"/>
              <w:ind w:left="60"/>
              <w:rPr>
                <w:rFonts w:hint="eastAsia"/>
                <w:highlight w:val="none"/>
                <w:lang w:val="en-US" w:eastAsia="zh-CN"/>
              </w:rPr>
            </w:pPr>
            <w:r>
              <w:rPr>
                <w:rFonts w:hint="eastAsia" w:ascii="宋体" w:hAnsi="宋体" w:eastAsia="宋体" w:cs="宋体"/>
                <w:b/>
                <w:bCs/>
                <w:sz w:val="21"/>
                <w:szCs w:val="21"/>
                <w:highlight w:val="none"/>
                <w:lang w:val="en-US" w:eastAsia="zh-CN"/>
              </w:rPr>
              <w:t>中标（成交）投标单位样品作为验收依据转采购人接收，未中标（未成交）投标单位样品采购结果公示后五个工作日内退还。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541" w:type="dxa"/>
            <w:vMerge w:val="restart"/>
            <w:tcBorders>
              <w:top w:val="single" w:color="auto" w:sz="4" w:space="0"/>
              <w:left w:val="single" w:color="auto" w:sz="4" w:space="0"/>
              <w:right w:val="single" w:color="auto" w:sz="4" w:space="0"/>
            </w:tcBorders>
            <w:noWrap w:val="0"/>
            <w:vAlign w:val="center"/>
          </w:tcPr>
          <w:p>
            <w:pPr>
              <w:spacing w:line="400" w:lineRule="exact"/>
              <w:ind w:firstLine="28"/>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438"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售后服务</w:t>
            </w:r>
            <w:r>
              <w:rPr>
                <w:rFonts w:hint="eastAsia" w:ascii="宋体" w:hAnsi="宋体" w:eastAsia="宋体" w:cs="宋体"/>
                <w:sz w:val="21"/>
                <w:szCs w:val="21"/>
                <w:lang w:val="en-US" w:eastAsia="zh-CN"/>
              </w:rPr>
              <w:t>10</w:t>
            </w:r>
            <w:r>
              <w:rPr>
                <w:rFonts w:hint="eastAsia" w:ascii="宋体" w:hAnsi="宋体" w:eastAsia="宋体" w:cs="宋体"/>
                <w:sz w:val="21"/>
                <w:szCs w:val="21"/>
              </w:rPr>
              <w:t>%</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8"/>
              <w:rPr>
                <w:rFonts w:hint="eastAsia" w:ascii="宋体" w:hAnsi="宋体" w:eastAsia="宋体" w:cs="宋体"/>
                <w:sz w:val="21"/>
                <w:szCs w:val="21"/>
              </w:rPr>
            </w:pPr>
            <w:r>
              <w:rPr>
                <w:rFonts w:hint="eastAsia" w:ascii="宋体" w:hAnsi="宋体" w:eastAsia="宋体" w:cs="宋体"/>
                <w:sz w:val="21"/>
                <w:szCs w:val="21"/>
              </w:rPr>
              <w:t>提供售后服务方案（包含售后服务机构承诺、售后服务保障措施、人员配置安排计划、</w:t>
            </w:r>
            <w:r>
              <w:rPr>
                <w:rFonts w:hint="eastAsia" w:ascii="宋体" w:hAnsi="宋体" w:eastAsia="宋体" w:cs="宋体"/>
                <w:sz w:val="21"/>
                <w:szCs w:val="21"/>
                <w:lang w:eastAsia="zh-CN"/>
              </w:rPr>
              <w:t>质量问题</w:t>
            </w:r>
            <w:r>
              <w:rPr>
                <w:rFonts w:hint="eastAsia" w:ascii="宋体" w:hAnsi="宋体" w:eastAsia="宋体" w:cs="宋体"/>
                <w:sz w:val="21"/>
                <w:szCs w:val="21"/>
              </w:rPr>
              <w:t>处理响应时间安排计划、质量保证期限及质量保证的范围承诺、应急处理等）。方案完整详细、可操作性强、合理、可行，符合且能有效提升实际需求，计</w:t>
            </w:r>
            <w:r>
              <w:rPr>
                <w:rFonts w:hint="eastAsia" w:ascii="宋体" w:hAnsi="宋体" w:eastAsia="宋体" w:cs="宋体"/>
                <w:sz w:val="21"/>
                <w:szCs w:val="21"/>
                <w:lang w:val="en-US" w:eastAsia="zh-CN"/>
              </w:rPr>
              <w:t>4.1-5</w:t>
            </w:r>
            <w:r>
              <w:rPr>
                <w:rFonts w:hint="eastAsia" w:ascii="宋体" w:hAnsi="宋体" w:eastAsia="宋体" w:cs="宋体"/>
                <w:sz w:val="21"/>
                <w:szCs w:val="21"/>
              </w:rPr>
              <w:t>分；有方案，与实际需求有偏差，计</w:t>
            </w:r>
            <w:r>
              <w:rPr>
                <w:rFonts w:hint="eastAsia" w:ascii="宋体" w:hAnsi="宋体" w:eastAsia="宋体" w:cs="宋体"/>
                <w:sz w:val="21"/>
                <w:szCs w:val="21"/>
                <w:lang w:val="en-US" w:eastAsia="zh-CN"/>
              </w:rPr>
              <w:t>2.1-4</w:t>
            </w:r>
            <w:r>
              <w:rPr>
                <w:rFonts w:hint="eastAsia" w:ascii="宋体" w:hAnsi="宋体" w:eastAsia="宋体" w:cs="宋体"/>
                <w:sz w:val="21"/>
                <w:szCs w:val="21"/>
              </w:rPr>
              <w:t>分；方案内容不完整，响应有缺项，与实际需求不符，计0.1-</w:t>
            </w:r>
            <w:r>
              <w:rPr>
                <w:rFonts w:hint="eastAsia" w:ascii="宋体" w:hAnsi="宋体" w:eastAsia="宋体" w:cs="宋体"/>
                <w:sz w:val="21"/>
                <w:szCs w:val="21"/>
                <w:lang w:val="en-US" w:eastAsia="zh-CN"/>
              </w:rPr>
              <w:t>2</w:t>
            </w:r>
            <w:r>
              <w:rPr>
                <w:rFonts w:hint="eastAsia" w:ascii="宋体" w:hAnsi="宋体" w:eastAsia="宋体" w:cs="宋体"/>
                <w:sz w:val="21"/>
                <w:szCs w:val="21"/>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4" w:hRule="atLeast"/>
        </w:trPr>
        <w:tc>
          <w:tcPr>
            <w:tcW w:w="541" w:type="dxa"/>
            <w:vMerge w:val="continue"/>
            <w:tcBorders>
              <w:left w:val="single" w:color="auto" w:sz="4" w:space="0"/>
              <w:right w:val="single" w:color="auto" w:sz="4" w:space="0"/>
            </w:tcBorders>
            <w:noWrap w:val="0"/>
            <w:vAlign w:val="center"/>
          </w:tcPr>
          <w:p>
            <w:pPr>
              <w:spacing w:line="400" w:lineRule="exact"/>
              <w:ind w:firstLine="28"/>
              <w:jc w:val="center"/>
              <w:rPr>
                <w:rFonts w:hint="eastAsia" w:ascii="宋体" w:hAnsi="宋体" w:eastAsia="宋体" w:cs="宋体"/>
                <w:sz w:val="21"/>
                <w:szCs w:val="21"/>
              </w:rPr>
            </w:pPr>
          </w:p>
        </w:tc>
        <w:tc>
          <w:tcPr>
            <w:tcW w:w="1438" w:type="dxa"/>
            <w:vMerge w:val="continue"/>
            <w:tcBorders>
              <w:left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8"/>
              <w:rPr>
                <w:rFonts w:hint="eastAsia" w:ascii="宋体" w:hAnsi="宋体" w:eastAsia="宋体" w:cs="宋体"/>
                <w:sz w:val="21"/>
                <w:szCs w:val="21"/>
                <w:lang w:eastAsia="zh-CN"/>
              </w:rPr>
            </w:pPr>
            <w:r>
              <w:rPr>
                <w:rFonts w:hint="eastAsia" w:ascii="宋体" w:hAnsi="宋体" w:eastAsia="宋体" w:cs="宋体"/>
                <w:sz w:val="21"/>
                <w:szCs w:val="21"/>
              </w:rPr>
              <w:t>根据供应商提供的培训方案及培训效果保证措施等进行综合评分，培训采购人指定的技术人员和管理人员，制定培训课程计划表，列出每种培训的地点和时间、培训的内容、方式、次数等，培训内容应包括所提供产品的原理和技术性能、操作方法、</w:t>
            </w:r>
            <w:r>
              <w:rPr>
                <w:rFonts w:hint="eastAsia" w:ascii="宋体" w:hAnsi="宋体" w:eastAsia="宋体" w:cs="宋体"/>
                <w:sz w:val="21"/>
                <w:szCs w:val="21"/>
                <w:lang w:eastAsia="zh-CN"/>
              </w:rPr>
              <w:t>应急处理</w:t>
            </w:r>
            <w:r>
              <w:rPr>
                <w:rFonts w:hint="eastAsia" w:ascii="宋体" w:hAnsi="宋体" w:eastAsia="宋体" w:cs="宋体"/>
                <w:sz w:val="21"/>
                <w:szCs w:val="21"/>
              </w:rPr>
              <w:t>等各个方面，培训的具体日期及人数由使用单位确定。方案完整详细、可操作性强、合理、可行，符合且能有效提升实际需求，计4.1-</w:t>
            </w:r>
            <w:r>
              <w:rPr>
                <w:rFonts w:hint="eastAsia" w:ascii="宋体" w:hAnsi="宋体" w:eastAsia="宋体" w:cs="宋体"/>
                <w:sz w:val="21"/>
                <w:szCs w:val="21"/>
                <w:lang w:val="en-US" w:eastAsia="zh-CN"/>
              </w:rPr>
              <w:t>5</w:t>
            </w:r>
            <w:r>
              <w:rPr>
                <w:rFonts w:hint="eastAsia" w:ascii="宋体" w:hAnsi="宋体" w:eastAsia="宋体" w:cs="宋体"/>
                <w:sz w:val="21"/>
                <w:szCs w:val="21"/>
              </w:rPr>
              <w:t>分；有方案，与实际需求有偏差，计</w:t>
            </w:r>
            <w:r>
              <w:rPr>
                <w:rFonts w:hint="eastAsia" w:ascii="宋体" w:hAnsi="宋体" w:eastAsia="宋体" w:cs="宋体"/>
                <w:sz w:val="21"/>
                <w:szCs w:val="21"/>
                <w:lang w:val="en-US" w:eastAsia="zh-CN"/>
              </w:rPr>
              <w:t>2</w:t>
            </w:r>
            <w:r>
              <w:rPr>
                <w:rFonts w:hint="eastAsia" w:ascii="宋体" w:hAnsi="宋体" w:eastAsia="宋体" w:cs="宋体"/>
                <w:sz w:val="21"/>
                <w:szCs w:val="21"/>
              </w:rPr>
              <w:t>.1-4分；方案内容不完整，响应有缺项，与实际需求不符，计0.1-</w:t>
            </w:r>
            <w:r>
              <w:rPr>
                <w:rFonts w:hint="eastAsia" w:ascii="宋体" w:hAnsi="宋体" w:eastAsia="宋体" w:cs="宋体"/>
                <w:sz w:val="21"/>
                <w:szCs w:val="21"/>
                <w:lang w:val="en-US" w:eastAsia="zh-CN"/>
              </w:rPr>
              <w:t>2</w:t>
            </w:r>
            <w:r>
              <w:rPr>
                <w:rFonts w:hint="eastAsia" w:ascii="宋体" w:hAnsi="宋体" w:eastAsia="宋体" w:cs="宋体"/>
                <w:sz w:val="21"/>
                <w:szCs w:val="21"/>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trPr>
        <w:tc>
          <w:tcPr>
            <w:tcW w:w="541"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143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业绩</w:t>
            </w:r>
            <w:r>
              <w:rPr>
                <w:rFonts w:hint="eastAsia" w:ascii="宋体" w:hAnsi="宋体" w:eastAsia="宋体" w:cs="宋体"/>
                <w:sz w:val="21"/>
                <w:szCs w:val="21"/>
                <w:lang w:val="en-US" w:eastAsia="zh-CN"/>
              </w:rPr>
              <w:t>5</w:t>
            </w:r>
            <w:r>
              <w:rPr>
                <w:rFonts w:hint="eastAsia" w:ascii="宋体" w:hAnsi="宋体" w:eastAsia="宋体" w:cs="宋体"/>
                <w:sz w:val="21"/>
                <w:szCs w:val="21"/>
              </w:rPr>
              <w:t>%</w:t>
            </w:r>
          </w:p>
        </w:tc>
        <w:tc>
          <w:tcPr>
            <w:tcW w:w="809"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ind w:firstLine="28"/>
              <w:rPr>
                <w:rFonts w:hint="eastAsia" w:ascii="宋体" w:hAnsi="宋体" w:eastAsia="宋体" w:cs="宋体"/>
                <w:sz w:val="21"/>
                <w:szCs w:val="21"/>
              </w:rPr>
            </w:pPr>
            <w:r>
              <w:rPr>
                <w:rFonts w:hint="eastAsia" w:ascii="宋体" w:hAnsi="宋体" w:eastAsia="宋体" w:cs="宋体"/>
                <w:sz w:val="21"/>
                <w:szCs w:val="21"/>
              </w:rPr>
              <w:t>评标委员会根据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提供的201</w:t>
            </w:r>
            <w:r>
              <w:rPr>
                <w:rFonts w:hint="eastAsia" w:ascii="宋体" w:hAnsi="宋体" w:eastAsia="宋体" w:cs="宋体"/>
                <w:sz w:val="21"/>
                <w:szCs w:val="21"/>
                <w:lang w:val="en-US" w:eastAsia="zh-CN"/>
              </w:rPr>
              <w:t>9</w:t>
            </w:r>
            <w:r>
              <w:rPr>
                <w:rFonts w:hint="eastAsia" w:ascii="宋体" w:hAnsi="宋体" w:eastAsia="宋体" w:cs="宋体"/>
                <w:sz w:val="21"/>
                <w:szCs w:val="21"/>
              </w:rPr>
              <w:t>年1月1日至今</w:t>
            </w:r>
            <w:r>
              <w:rPr>
                <w:rFonts w:hint="eastAsia" w:ascii="宋体" w:hAnsi="宋体" w:eastAsia="宋体" w:cs="宋体"/>
                <w:sz w:val="21"/>
                <w:szCs w:val="21"/>
                <w:highlight w:val="none"/>
              </w:rPr>
              <w:t>所投</w:t>
            </w:r>
            <w:r>
              <w:rPr>
                <w:rFonts w:hint="eastAsia" w:ascii="宋体" w:hAnsi="宋体" w:eastAsia="宋体" w:cs="宋体"/>
                <w:sz w:val="21"/>
                <w:szCs w:val="21"/>
                <w:highlight w:val="none"/>
                <w:lang w:eastAsia="zh-CN"/>
              </w:rPr>
              <w:t>同类业绩</w:t>
            </w:r>
            <w:r>
              <w:rPr>
                <w:rFonts w:hint="eastAsia" w:ascii="宋体" w:hAnsi="宋体" w:eastAsia="宋体" w:cs="宋体"/>
                <w:sz w:val="21"/>
                <w:szCs w:val="21"/>
              </w:rPr>
              <w:t>（以合同签订日期为准，</w:t>
            </w:r>
            <w:r>
              <w:rPr>
                <w:rFonts w:hint="eastAsia" w:ascii="宋体" w:hAnsi="宋体" w:eastAsia="宋体" w:cs="宋体"/>
                <w:sz w:val="21"/>
                <w:szCs w:val="21"/>
                <w:lang w:eastAsia="zh-CN"/>
              </w:rPr>
              <w:t>仅</w:t>
            </w:r>
            <w:r>
              <w:rPr>
                <w:rFonts w:hint="eastAsia" w:ascii="宋体" w:hAnsi="宋体" w:eastAsia="宋体" w:cs="宋体"/>
                <w:sz w:val="21"/>
                <w:szCs w:val="21"/>
              </w:rPr>
              <w:t>限</w:t>
            </w:r>
            <w:r>
              <w:rPr>
                <w:rFonts w:hint="eastAsia" w:ascii="宋体" w:hAnsi="宋体" w:eastAsia="宋体" w:cs="宋体"/>
                <w:sz w:val="21"/>
                <w:szCs w:val="21"/>
                <w:lang w:eastAsia="zh-CN"/>
              </w:rPr>
              <w:t>供应商</w:t>
            </w:r>
            <w:r>
              <w:rPr>
                <w:rFonts w:hint="eastAsia" w:ascii="宋体" w:hAnsi="宋体" w:eastAsia="宋体" w:cs="宋体"/>
                <w:sz w:val="21"/>
                <w:szCs w:val="21"/>
              </w:rPr>
              <w:t>本身</w:t>
            </w:r>
            <w:r>
              <w:rPr>
                <w:rFonts w:hint="eastAsia" w:ascii="宋体" w:hAnsi="宋体" w:eastAsia="宋体" w:cs="宋体"/>
                <w:sz w:val="21"/>
                <w:szCs w:val="21"/>
                <w:lang w:eastAsia="zh-CN"/>
              </w:rPr>
              <w:t>，提供合同复印件</w:t>
            </w:r>
            <w:r>
              <w:rPr>
                <w:rFonts w:hint="eastAsia" w:ascii="宋体" w:hAnsi="宋体" w:eastAsia="宋体" w:cs="宋体"/>
                <w:sz w:val="21"/>
                <w:szCs w:val="21"/>
                <w:highlight w:val="none"/>
              </w:rPr>
              <w:t>）进行评定，</w:t>
            </w:r>
            <w:r>
              <w:rPr>
                <w:rFonts w:hint="eastAsia" w:ascii="宋体" w:hAnsi="宋体" w:eastAsia="宋体" w:cs="宋体"/>
                <w:sz w:val="21"/>
                <w:szCs w:val="21"/>
                <w:highlight w:val="none"/>
                <w:lang w:eastAsia="zh-CN"/>
              </w:rPr>
              <w:t>每份计</w:t>
            </w:r>
            <w:r>
              <w:rPr>
                <w:rFonts w:hint="eastAsia" w:ascii="宋体" w:hAnsi="宋体" w:eastAsia="宋体" w:cs="宋体"/>
                <w:sz w:val="21"/>
                <w:szCs w:val="21"/>
                <w:highlight w:val="none"/>
                <w:lang w:val="en-US" w:eastAsia="zh-CN"/>
              </w:rPr>
              <w:t>1分，最高计5分</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trPr>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节能环保2%</w:t>
            </w:r>
          </w:p>
        </w:tc>
        <w:tc>
          <w:tcPr>
            <w:tcW w:w="809"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8"/>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投标产品中每有一项为节能产品经国家认证的得0.5分，每有一项为环境标志产品经国家认证的得0.5分，</w:t>
            </w:r>
            <w:r>
              <w:rPr>
                <w:rFonts w:hint="eastAsia" w:ascii="宋体" w:hAnsi="宋体" w:eastAsia="宋体" w:cs="宋体"/>
                <w:sz w:val="21"/>
                <w:szCs w:val="21"/>
                <w:lang w:eastAsia="zh-CN"/>
              </w:rPr>
              <w:t>供应商</w:t>
            </w:r>
            <w:r>
              <w:rPr>
                <w:rFonts w:hint="eastAsia" w:ascii="宋体" w:hAnsi="宋体" w:eastAsia="宋体" w:cs="宋体"/>
                <w:sz w:val="21"/>
                <w:szCs w:val="21"/>
              </w:rPr>
              <w:t>投标产品中每有一项产品同时为节能产品和环境标志产品得1分，最多得2分。（以经国家确定的认证机构出具的、处于有效期内的节能产品、环境标志产品认证证书为准。）</w:t>
            </w:r>
          </w:p>
        </w:tc>
      </w:tr>
    </w:tbl>
    <w:p>
      <w:pPr>
        <w:rPr>
          <w:rFonts w:hint="eastAsia" w:eastAsia="宋体"/>
          <w:lang w:eastAsia="zh-CN"/>
        </w:rPr>
      </w:pPr>
      <w:r>
        <w:rPr>
          <w:rFonts w:hint="eastAsia" w:eastAsia="宋体"/>
          <w:lang w:eastAsia="zh-CN"/>
        </w:rPr>
        <w:br w:type="page"/>
      </w:r>
    </w:p>
    <w:p>
      <w:pPr>
        <w:pStyle w:val="7"/>
        <w:numPr>
          <w:ilvl w:val="3"/>
          <w:numId w:val="0"/>
        </w:numPr>
        <w:ind w:leftChars="0"/>
        <w:rPr>
          <w:rFonts w:hint="eastAsia" w:eastAsia="宋体"/>
          <w:lang w:eastAsia="zh-CN"/>
        </w:rPr>
      </w:pPr>
      <w:r>
        <w:rPr>
          <w:rFonts w:hint="eastAsia" w:eastAsia="宋体"/>
          <w:lang w:eastAsia="zh-CN"/>
        </w:rPr>
        <w:t>第八标段评分标准：</w:t>
      </w:r>
    </w:p>
    <w:tbl>
      <w:tblPr>
        <w:tblStyle w:val="34"/>
        <w:tblW w:w="9058"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438"/>
        <w:gridCol w:w="809"/>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541" w:type="dxa"/>
            <w:noWrap w:val="0"/>
            <w:vAlign w:val="center"/>
          </w:tcPr>
          <w:p>
            <w:pPr>
              <w:spacing w:line="400" w:lineRule="exact"/>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438" w:type="dxa"/>
            <w:noWrap w:val="0"/>
            <w:vAlign w:val="center"/>
          </w:tcPr>
          <w:p>
            <w:pPr>
              <w:spacing w:line="400" w:lineRule="exact"/>
              <w:ind w:firstLine="28"/>
              <w:rPr>
                <w:rFonts w:hint="eastAsia" w:ascii="宋体" w:hAnsi="宋体" w:eastAsia="宋体" w:cs="宋体"/>
                <w:b/>
                <w:bCs/>
                <w:sz w:val="21"/>
                <w:szCs w:val="21"/>
              </w:rPr>
            </w:pPr>
            <w:r>
              <w:rPr>
                <w:rFonts w:hint="eastAsia" w:ascii="宋体" w:hAnsi="宋体" w:eastAsia="宋体" w:cs="宋体"/>
                <w:b/>
                <w:bCs/>
                <w:sz w:val="21"/>
                <w:szCs w:val="21"/>
              </w:rPr>
              <w:t>评分因素及权重</w:t>
            </w:r>
          </w:p>
        </w:tc>
        <w:tc>
          <w:tcPr>
            <w:tcW w:w="809" w:type="dxa"/>
            <w:noWrap w:val="0"/>
            <w:vAlign w:val="center"/>
          </w:tcPr>
          <w:p>
            <w:pPr>
              <w:spacing w:line="400" w:lineRule="exact"/>
              <w:ind w:firstLine="28"/>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6270" w:type="dxa"/>
            <w:noWrap w:val="0"/>
            <w:vAlign w:val="center"/>
          </w:tcPr>
          <w:p>
            <w:pPr>
              <w:spacing w:line="400" w:lineRule="exact"/>
              <w:ind w:firstLine="28"/>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3" w:hRule="atLeast"/>
        </w:trPr>
        <w:tc>
          <w:tcPr>
            <w:tcW w:w="541" w:type="dxa"/>
            <w:noWrap w:val="0"/>
            <w:vAlign w:val="center"/>
          </w:tcPr>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1</w:t>
            </w:r>
          </w:p>
        </w:tc>
        <w:tc>
          <w:tcPr>
            <w:tcW w:w="1438" w:type="dxa"/>
            <w:noWrap w:val="0"/>
            <w:vAlign w:val="center"/>
          </w:tcPr>
          <w:p>
            <w:pPr>
              <w:spacing w:line="360" w:lineRule="auto"/>
              <w:ind w:firstLine="28"/>
              <w:jc w:val="center"/>
              <w:rPr>
                <w:rFonts w:hint="eastAsia" w:ascii="宋体" w:hAnsi="宋体" w:eastAsia="宋体" w:cs="宋体"/>
                <w:sz w:val="21"/>
                <w:szCs w:val="21"/>
              </w:rPr>
            </w:pPr>
            <w:r>
              <w:rPr>
                <w:rFonts w:hint="eastAsia" w:ascii="宋体" w:hAnsi="宋体" w:eastAsia="宋体" w:cs="宋体"/>
                <w:sz w:val="21"/>
                <w:szCs w:val="21"/>
              </w:rPr>
              <w:t>报价30%</w:t>
            </w:r>
          </w:p>
        </w:tc>
        <w:tc>
          <w:tcPr>
            <w:tcW w:w="809" w:type="dxa"/>
            <w:noWrap w:val="0"/>
            <w:vAlign w:val="center"/>
          </w:tcPr>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30</w:t>
            </w:r>
          </w:p>
        </w:tc>
        <w:tc>
          <w:tcPr>
            <w:tcW w:w="6270" w:type="dxa"/>
            <w:noWrap w:val="0"/>
            <w:vAlign w:val="center"/>
          </w:tcPr>
          <w:p>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经初审合格的投标文件，其投标报价为有效投标价。</w:t>
            </w:r>
          </w:p>
          <w:p>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评标基准价：即满足招标文件要求且投标价格最低的投标报价为评标基准价。</w:t>
            </w:r>
          </w:p>
          <w:p>
            <w:pPr>
              <w:numPr>
                <w:ilvl w:val="0"/>
                <w:numId w:val="0"/>
              </w:numP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的价格分统一按照下列公式计算。投标报价得分=(评标基准价／投标报价)×30</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注：评标委员会认为投标人的报价明显低于其他通过符合性审查投标人报价的，根据中华人民共和国财政部令第87号《政府采购货物和服务招标投标管理办法》第六十条实行。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9" w:hRule="atLeast"/>
        </w:trPr>
        <w:tc>
          <w:tcPr>
            <w:tcW w:w="541" w:type="dxa"/>
            <w:noWrap w:val="0"/>
            <w:vAlign w:val="center"/>
          </w:tcPr>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2</w:t>
            </w:r>
          </w:p>
        </w:tc>
        <w:tc>
          <w:tcPr>
            <w:tcW w:w="1438" w:type="dxa"/>
            <w:noWrap w:val="0"/>
            <w:vAlign w:val="center"/>
          </w:tcPr>
          <w:p>
            <w:pPr>
              <w:spacing w:line="400" w:lineRule="exact"/>
              <w:jc w:val="left"/>
              <w:rPr>
                <w:rFonts w:hint="eastAsia" w:ascii="宋体" w:hAnsi="宋体" w:eastAsia="宋体" w:cs="宋体"/>
                <w:sz w:val="21"/>
                <w:szCs w:val="21"/>
              </w:rPr>
            </w:pPr>
            <w:r>
              <w:rPr>
                <w:rFonts w:hint="eastAsia" w:ascii="宋体" w:hAnsi="宋体" w:eastAsia="宋体" w:cs="宋体"/>
                <w:sz w:val="21"/>
                <w:szCs w:val="21"/>
              </w:rPr>
              <w:t>技术指标</w:t>
            </w:r>
            <w:r>
              <w:rPr>
                <w:rFonts w:hint="eastAsia" w:ascii="宋体" w:hAnsi="宋体" w:eastAsia="宋体" w:cs="宋体"/>
                <w:sz w:val="21"/>
                <w:szCs w:val="21"/>
                <w:lang w:val="en-US" w:eastAsia="zh-CN"/>
              </w:rPr>
              <w:t>36</w:t>
            </w:r>
            <w:r>
              <w:rPr>
                <w:rFonts w:hint="eastAsia" w:ascii="宋体" w:hAnsi="宋体" w:eastAsia="宋体" w:cs="宋体"/>
                <w:sz w:val="21"/>
                <w:szCs w:val="21"/>
              </w:rPr>
              <w:t>%</w:t>
            </w:r>
          </w:p>
        </w:tc>
        <w:tc>
          <w:tcPr>
            <w:tcW w:w="809" w:type="dxa"/>
            <w:noWrap w:val="0"/>
            <w:vAlign w:val="center"/>
          </w:tcPr>
          <w:p>
            <w:pPr>
              <w:spacing w:line="400" w:lineRule="exact"/>
              <w:ind w:firstLine="28"/>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6270" w:type="dxa"/>
            <w:noWrap w:val="0"/>
            <w:vAlign w:val="center"/>
          </w:tcPr>
          <w:p>
            <w:pPr>
              <w:rPr>
                <w:rFonts w:hint="eastAsia" w:ascii="宋体" w:hAnsi="宋体" w:eastAsia="宋体" w:cs="宋体"/>
                <w:b/>
                <w:bCs/>
                <w:kern w:val="0"/>
                <w:sz w:val="21"/>
                <w:szCs w:val="21"/>
              </w:rPr>
            </w:pPr>
            <w:r>
              <w:rPr>
                <w:rFonts w:hint="eastAsia" w:ascii="宋体" w:hAnsi="宋体" w:eastAsia="宋体" w:cs="宋体"/>
                <w:b/>
                <w:bCs/>
                <w:kern w:val="0"/>
                <w:sz w:val="21"/>
                <w:szCs w:val="21"/>
                <w:lang w:eastAsia="zh-CN"/>
              </w:rPr>
              <w:t>根据供应商</w:t>
            </w:r>
            <w:r>
              <w:rPr>
                <w:rFonts w:hint="eastAsia" w:ascii="宋体" w:hAnsi="宋体" w:eastAsia="宋体" w:cs="宋体"/>
                <w:b/>
                <w:bCs/>
                <w:kern w:val="0"/>
                <w:sz w:val="21"/>
                <w:szCs w:val="21"/>
              </w:rPr>
              <w:t>提供所投</w:t>
            </w:r>
            <w:r>
              <w:rPr>
                <w:rFonts w:hint="eastAsia" w:ascii="宋体" w:hAnsi="宋体" w:eastAsia="宋体" w:cs="宋体"/>
                <w:b/>
                <w:bCs/>
                <w:kern w:val="0"/>
                <w:sz w:val="21"/>
                <w:szCs w:val="21"/>
                <w:lang w:eastAsia="zh-CN"/>
              </w:rPr>
              <w:t>产品</w:t>
            </w:r>
            <w:r>
              <w:rPr>
                <w:rFonts w:hint="eastAsia" w:ascii="宋体" w:hAnsi="宋体" w:eastAsia="宋体" w:cs="宋体"/>
                <w:b/>
                <w:bCs/>
                <w:kern w:val="0"/>
                <w:sz w:val="21"/>
                <w:szCs w:val="21"/>
              </w:rPr>
              <w:t>的主要技术指标（参数）的相应的证明材料（包括但不限于产品彩页、测试报告、官网和功能截图等技术支持性文件（资料），经评审专家审定得分。</w:t>
            </w:r>
          </w:p>
          <w:p>
            <w:pPr>
              <w:numPr>
                <w:ilvl w:val="0"/>
                <w:numId w:val="0"/>
              </w:numPr>
              <w:rPr>
                <w:rFonts w:hint="eastAsia" w:ascii="宋体" w:hAnsi="宋体" w:eastAsia="宋体" w:cs="宋体"/>
                <w:kern w:val="0"/>
                <w:sz w:val="21"/>
                <w:szCs w:val="21"/>
              </w:rPr>
            </w:pPr>
            <w:r>
              <w:rPr>
                <w:rFonts w:hint="eastAsia" w:ascii="宋体" w:hAnsi="宋体" w:eastAsia="宋体" w:cs="宋体"/>
                <w:kern w:val="0"/>
                <w:sz w:val="21"/>
                <w:szCs w:val="21"/>
              </w:rPr>
              <w:t>基本分（</w:t>
            </w:r>
            <w:r>
              <w:rPr>
                <w:rFonts w:hint="eastAsia" w:ascii="宋体" w:hAnsi="宋体" w:eastAsia="宋体" w:cs="宋体"/>
                <w:kern w:val="0"/>
                <w:sz w:val="21"/>
                <w:szCs w:val="21"/>
                <w:lang w:val="en-US" w:eastAsia="zh-CN"/>
              </w:rPr>
              <w:t>36</w:t>
            </w:r>
            <w:r>
              <w:rPr>
                <w:rFonts w:hint="eastAsia" w:ascii="宋体" w:hAnsi="宋体" w:eastAsia="宋体" w:cs="宋体"/>
                <w:kern w:val="0"/>
                <w:sz w:val="21"/>
                <w:szCs w:val="21"/>
              </w:rPr>
              <w:t>分）：完全符合、响应招标文件要求，没有负偏离的得</w:t>
            </w:r>
            <w:r>
              <w:rPr>
                <w:rFonts w:hint="eastAsia" w:ascii="宋体" w:hAnsi="宋体" w:eastAsia="宋体" w:cs="宋体"/>
                <w:kern w:val="0"/>
                <w:sz w:val="21"/>
                <w:szCs w:val="21"/>
                <w:lang w:val="en-US" w:eastAsia="zh-CN"/>
              </w:rPr>
              <w:t>36</w:t>
            </w:r>
            <w:r>
              <w:rPr>
                <w:rFonts w:hint="eastAsia" w:ascii="宋体" w:hAnsi="宋体" w:eastAsia="宋体" w:cs="宋体"/>
                <w:kern w:val="0"/>
                <w:sz w:val="21"/>
                <w:szCs w:val="21"/>
              </w:rPr>
              <w:t>分；参数负偏离一项扣</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分，扣完为止</w:t>
            </w:r>
            <w:r>
              <w:rPr>
                <w:rFonts w:hint="eastAsia" w:ascii="宋体" w:hAnsi="宋体" w:eastAsia="宋体" w:cs="宋体"/>
                <w:kern w:val="0"/>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注：</w:t>
            </w:r>
            <w:r>
              <w:rPr>
                <w:rFonts w:hint="eastAsia" w:ascii="宋体" w:hAnsi="宋体" w:eastAsia="宋体" w:cs="宋体"/>
                <w:kern w:val="0"/>
                <w:sz w:val="21"/>
                <w:szCs w:val="21"/>
                <w:lang w:eastAsia="zh-CN"/>
              </w:rPr>
              <w:t xml:space="preserve"> 参数</w:t>
            </w:r>
            <w:r>
              <w:rPr>
                <w:rFonts w:hint="eastAsia" w:ascii="宋体" w:hAnsi="宋体" w:eastAsia="宋体" w:cs="宋体"/>
                <w:sz w:val="21"/>
                <w:szCs w:val="21"/>
              </w:rPr>
              <w:t>需尽可能多的提供相关的功能证明材料对技术指标予以佐证</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r>
              <w:rPr>
                <w:rFonts w:hint="eastAsia" w:ascii="宋体" w:hAnsi="宋体" w:eastAsia="宋体" w:cs="宋体"/>
                <w:sz w:val="21"/>
                <w:szCs w:val="21"/>
                <w:lang w:eastAsia="zh-CN"/>
              </w:rPr>
              <w:t>供应商</w:t>
            </w:r>
            <w:r>
              <w:rPr>
                <w:rFonts w:hint="eastAsia" w:ascii="宋体" w:hAnsi="宋体" w:eastAsia="宋体" w:cs="宋体"/>
                <w:sz w:val="21"/>
                <w:szCs w:val="21"/>
              </w:rPr>
              <w:t>自行承担因材料提供不全导致技术参数被视为负偏离的风险。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7" w:hRule="atLeast"/>
        </w:trPr>
        <w:tc>
          <w:tcPr>
            <w:tcW w:w="541" w:type="dxa"/>
            <w:vMerge w:val="restart"/>
            <w:noWrap w:val="0"/>
            <w:vAlign w:val="center"/>
          </w:tcPr>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3</w:t>
            </w:r>
          </w:p>
        </w:tc>
        <w:tc>
          <w:tcPr>
            <w:tcW w:w="1438" w:type="dxa"/>
            <w:vMerge w:val="restart"/>
            <w:noWrap w:val="0"/>
            <w:vAlign w:val="center"/>
          </w:tcPr>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质</w:t>
            </w:r>
          </w:p>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量</w:t>
            </w:r>
          </w:p>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保</w:t>
            </w:r>
          </w:p>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证</w:t>
            </w:r>
          </w:p>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 </w:t>
            </w:r>
          </w:p>
        </w:tc>
        <w:tc>
          <w:tcPr>
            <w:tcW w:w="809" w:type="dxa"/>
            <w:noWrap w:val="0"/>
            <w:vAlign w:val="center"/>
          </w:tcPr>
          <w:p>
            <w:pPr>
              <w:spacing w:line="2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270" w:type="dxa"/>
            <w:noWrap w:val="0"/>
            <w:vAlign w:val="center"/>
          </w:tcPr>
          <w:p>
            <w:pPr>
              <w:spacing w:line="360" w:lineRule="exact"/>
              <w:ind w:left="60"/>
              <w:rPr>
                <w:rFonts w:hint="eastAsia" w:ascii="宋体" w:hAnsi="宋体" w:eastAsia="宋体" w:cs="宋体"/>
                <w:sz w:val="21"/>
                <w:szCs w:val="21"/>
              </w:rPr>
            </w:pPr>
            <w:r>
              <w:rPr>
                <w:rFonts w:hint="eastAsia" w:ascii="宋体" w:hAnsi="宋体" w:eastAsia="宋体" w:cs="宋体"/>
                <w:sz w:val="21"/>
                <w:szCs w:val="21"/>
                <w:lang w:eastAsia="zh-CN"/>
              </w:rPr>
              <w:t>产品</w:t>
            </w:r>
            <w:r>
              <w:rPr>
                <w:rFonts w:hint="eastAsia" w:ascii="宋体" w:hAnsi="宋体" w:eastAsia="宋体" w:cs="宋体"/>
                <w:sz w:val="21"/>
                <w:szCs w:val="21"/>
              </w:rPr>
              <w:t>进货渠道正规，并能够提供</w:t>
            </w:r>
            <w:r>
              <w:rPr>
                <w:rFonts w:hint="eastAsia" w:ascii="宋体" w:hAnsi="宋体" w:eastAsia="宋体" w:cs="宋体"/>
                <w:sz w:val="21"/>
                <w:szCs w:val="21"/>
                <w:lang w:eastAsia="zh-CN"/>
              </w:rPr>
              <w:t>产品批准证明文件、批检报告、</w:t>
            </w:r>
            <w:r>
              <w:rPr>
                <w:rFonts w:hint="eastAsia" w:ascii="宋体" w:hAnsi="宋体" w:eastAsia="宋体" w:cs="宋体"/>
                <w:sz w:val="21"/>
                <w:szCs w:val="21"/>
              </w:rPr>
              <w:t>说明书等相关资料。</w:t>
            </w:r>
            <w:r>
              <w:rPr>
                <w:rFonts w:hint="eastAsia" w:ascii="宋体" w:hAnsi="宋体" w:eastAsia="宋体" w:cs="宋体"/>
                <w:sz w:val="21"/>
                <w:szCs w:val="21"/>
                <w:lang w:eastAsia="zh-CN"/>
              </w:rPr>
              <w:t>提供生产</w:t>
            </w:r>
            <w:r>
              <w:rPr>
                <w:rFonts w:hint="eastAsia" w:ascii="宋体" w:hAnsi="宋体" w:eastAsia="宋体" w:cs="宋体"/>
                <w:sz w:val="21"/>
                <w:szCs w:val="21"/>
              </w:rPr>
              <w:t>质量</w:t>
            </w:r>
            <w:r>
              <w:rPr>
                <w:rFonts w:hint="eastAsia" w:ascii="宋体" w:hAnsi="宋体" w:eastAsia="宋体" w:cs="宋体"/>
                <w:sz w:val="21"/>
                <w:szCs w:val="21"/>
                <w:lang w:eastAsia="zh-CN"/>
              </w:rPr>
              <w:t>管理规范、经营质量规范等</w:t>
            </w:r>
            <w:r>
              <w:rPr>
                <w:rFonts w:hint="eastAsia" w:ascii="宋体" w:hAnsi="宋体" w:eastAsia="宋体" w:cs="宋体"/>
                <w:sz w:val="21"/>
                <w:szCs w:val="21"/>
              </w:rPr>
              <w:t>，确保生产供应的</w:t>
            </w:r>
            <w:r>
              <w:rPr>
                <w:rFonts w:hint="eastAsia" w:ascii="宋体" w:hAnsi="宋体" w:eastAsia="宋体" w:cs="宋体"/>
                <w:sz w:val="21"/>
                <w:szCs w:val="21"/>
                <w:lang w:eastAsia="zh-CN"/>
              </w:rPr>
              <w:t>产品</w:t>
            </w:r>
            <w:r>
              <w:rPr>
                <w:rFonts w:hint="eastAsia" w:ascii="宋体" w:hAnsi="宋体" w:eastAsia="宋体" w:cs="宋体"/>
                <w:sz w:val="21"/>
                <w:szCs w:val="21"/>
              </w:rPr>
              <w:t>无假货、</w:t>
            </w:r>
            <w:r>
              <w:rPr>
                <w:rFonts w:hint="eastAsia" w:ascii="宋体" w:hAnsi="宋体" w:eastAsia="宋体" w:cs="宋体"/>
                <w:sz w:val="21"/>
                <w:szCs w:val="21"/>
                <w:lang w:eastAsia="zh-CN"/>
              </w:rPr>
              <w:t>无质量问题</w:t>
            </w: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提供的证明文件齐全程度</w:t>
            </w:r>
            <w:r>
              <w:rPr>
                <w:rFonts w:hint="eastAsia" w:ascii="宋体" w:hAnsi="宋体" w:eastAsia="宋体" w:cs="宋体"/>
                <w:sz w:val="21"/>
                <w:szCs w:val="21"/>
                <w:lang w:eastAsia="zh-CN"/>
              </w:rPr>
              <w:t>，</w:t>
            </w:r>
            <w:r>
              <w:rPr>
                <w:rFonts w:hint="eastAsia" w:ascii="宋体" w:hAnsi="宋体" w:eastAsia="宋体" w:cs="宋体"/>
                <w:sz w:val="21"/>
                <w:szCs w:val="21"/>
              </w:rPr>
              <w:t>由评委综合比较，证明材料齐全、完整得</w:t>
            </w:r>
            <w:r>
              <w:rPr>
                <w:rFonts w:hint="eastAsia" w:ascii="宋体" w:hAnsi="宋体" w:eastAsia="宋体" w:cs="宋体"/>
                <w:sz w:val="21"/>
                <w:szCs w:val="21"/>
                <w:lang w:val="en-US" w:eastAsia="zh-CN"/>
              </w:rPr>
              <w:t>2.1-3</w:t>
            </w:r>
            <w:r>
              <w:rPr>
                <w:rFonts w:hint="eastAsia" w:ascii="宋体" w:hAnsi="宋体" w:eastAsia="宋体" w:cs="宋体"/>
                <w:sz w:val="21"/>
                <w:szCs w:val="21"/>
              </w:rPr>
              <w:t>分；所投</w:t>
            </w:r>
            <w:r>
              <w:rPr>
                <w:rFonts w:hint="eastAsia" w:ascii="宋体" w:hAnsi="宋体" w:eastAsia="宋体" w:cs="宋体"/>
                <w:sz w:val="21"/>
                <w:szCs w:val="21"/>
                <w:lang w:eastAsia="zh-CN"/>
              </w:rPr>
              <w:t>产品</w:t>
            </w:r>
            <w:r>
              <w:rPr>
                <w:rFonts w:hint="eastAsia" w:ascii="宋体" w:hAnsi="宋体" w:eastAsia="宋体" w:cs="宋体"/>
                <w:sz w:val="21"/>
                <w:szCs w:val="21"/>
              </w:rPr>
              <w:t>证明材料不完整得0.1-2分，未提供不得分。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1" w:hRule="atLeast"/>
        </w:trPr>
        <w:tc>
          <w:tcPr>
            <w:tcW w:w="541" w:type="dxa"/>
            <w:vMerge w:val="continue"/>
            <w:noWrap w:val="0"/>
            <w:vAlign w:val="center"/>
          </w:tcPr>
          <w:p>
            <w:pPr>
              <w:spacing w:line="400" w:lineRule="exact"/>
              <w:ind w:firstLine="28"/>
              <w:jc w:val="center"/>
              <w:rPr>
                <w:rFonts w:hint="eastAsia" w:ascii="宋体" w:hAnsi="宋体" w:eastAsia="宋体" w:cs="宋体"/>
                <w:sz w:val="21"/>
                <w:szCs w:val="21"/>
              </w:rPr>
            </w:pPr>
          </w:p>
        </w:tc>
        <w:tc>
          <w:tcPr>
            <w:tcW w:w="1438" w:type="dxa"/>
            <w:vMerge w:val="continue"/>
            <w:noWrap w:val="0"/>
            <w:vAlign w:val="center"/>
          </w:tcPr>
          <w:p>
            <w:pPr>
              <w:spacing w:line="400" w:lineRule="exact"/>
              <w:ind w:firstLine="28"/>
              <w:jc w:val="center"/>
              <w:rPr>
                <w:rFonts w:hint="eastAsia" w:ascii="宋体" w:hAnsi="宋体" w:eastAsia="宋体" w:cs="宋体"/>
                <w:sz w:val="21"/>
                <w:szCs w:val="21"/>
              </w:rPr>
            </w:pPr>
          </w:p>
        </w:tc>
        <w:tc>
          <w:tcPr>
            <w:tcW w:w="809" w:type="dxa"/>
            <w:noWrap w:val="0"/>
            <w:vAlign w:val="center"/>
          </w:tcPr>
          <w:p>
            <w:pPr>
              <w:spacing w:line="2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270" w:type="dxa"/>
            <w:noWrap w:val="0"/>
            <w:vAlign w:val="center"/>
          </w:tcPr>
          <w:p>
            <w:pPr>
              <w:spacing w:line="360" w:lineRule="exact"/>
              <w:ind w:left="6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运送过程中有良好的储存及运输环境，符合相关储存标准，提供合理的储存、运输方案。应具备符合国家标准的冷链运输环境。储存、运输方案详细合理可行得4.1-6分，储存、运输方案较详细合理可行得2.1-4分，储存、运输方案差得0.1-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trPr>
        <w:tc>
          <w:tcPr>
            <w:tcW w:w="541" w:type="dxa"/>
            <w:vMerge w:val="continue"/>
            <w:noWrap w:val="0"/>
            <w:vAlign w:val="center"/>
          </w:tcPr>
          <w:p>
            <w:pPr>
              <w:spacing w:line="400" w:lineRule="exact"/>
              <w:ind w:firstLine="28"/>
              <w:jc w:val="center"/>
              <w:rPr>
                <w:rFonts w:hint="eastAsia" w:ascii="宋体" w:hAnsi="宋体" w:eastAsia="宋体" w:cs="宋体"/>
                <w:sz w:val="21"/>
                <w:szCs w:val="21"/>
              </w:rPr>
            </w:pPr>
          </w:p>
        </w:tc>
        <w:tc>
          <w:tcPr>
            <w:tcW w:w="1438" w:type="dxa"/>
            <w:vMerge w:val="continue"/>
            <w:noWrap w:val="0"/>
            <w:vAlign w:val="center"/>
          </w:tcPr>
          <w:p>
            <w:pPr>
              <w:spacing w:line="400" w:lineRule="exact"/>
              <w:ind w:firstLine="28"/>
              <w:jc w:val="center"/>
              <w:rPr>
                <w:rFonts w:hint="eastAsia" w:ascii="宋体" w:hAnsi="宋体" w:eastAsia="宋体" w:cs="宋体"/>
                <w:sz w:val="21"/>
                <w:szCs w:val="21"/>
              </w:rPr>
            </w:pPr>
          </w:p>
        </w:tc>
        <w:tc>
          <w:tcPr>
            <w:tcW w:w="809" w:type="dxa"/>
            <w:noWrap w:val="0"/>
            <w:vAlign w:val="center"/>
          </w:tcPr>
          <w:p>
            <w:pPr>
              <w:spacing w:line="2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270" w:type="dxa"/>
            <w:noWrap w:val="0"/>
            <w:vAlign w:val="center"/>
          </w:tcPr>
          <w:p>
            <w:pPr>
              <w:spacing w:line="360" w:lineRule="exact"/>
              <w:ind w:left="60"/>
              <w:rPr>
                <w:rFonts w:hint="eastAsia" w:ascii="宋体" w:hAnsi="宋体" w:eastAsia="宋体" w:cs="宋体"/>
                <w:sz w:val="21"/>
                <w:szCs w:val="21"/>
              </w:rPr>
            </w:pPr>
            <w:r>
              <w:rPr>
                <w:rFonts w:hint="eastAsia" w:ascii="宋体" w:hAnsi="宋体" w:eastAsia="宋体" w:cs="宋体"/>
                <w:sz w:val="21"/>
                <w:szCs w:val="21"/>
                <w:lang w:val="en-US" w:eastAsia="zh-CN"/>
              </w:rPr>
              <w:t>根据供应商所提供的供货方案、退换货方案及紧急措施等进行综合比较，</w:t>
            </w:r>
            <w:r>
              <w:rPr>
                <w:rFonts w:hint="eastAsia" w:ascii="宋体" w:hAnsi="宋体" w:eastAsia="宋体" w:cs="宋体"/>
                <w:sz w:val="21"/>
                <w:szCs w:val="21"/>
              </w:rPr>
              <w:t>方案完整详细、可操作性强、合理、可行，符合且能有效提升实际需求，计</w:t>
            </w:r>
            <w:r>
              <w:rPr>
                <w:rFonts w:hint="eastAsia" w:ascii="宋体" w:hAnsi="宋体" w:eastAsia="宋体" w:cs="宋体"/>
                <w:sz w:val="21"/>
                <w:szCs w:val="21"/>
                <w:lang w:val="en-US" w:eastAsia="zh-CN"/>
              </w:rPr>
              <w:t>4.1-6</w:t>
            </w:r>
            <w:r>
              <w:rPr>
                <w:rFonts w:hint="eastAsia" w:ascii="宋体" w:hAnsi="宋体" w:eastAsia="宋体" w:cs="宋体"/>
                <w:sz w:val="21"/>
                <w:szCs w:val="21"/>
              </w:rPr>
              <w:t>分；有方案，与实际需求有偏差，计</w:t>
            </w:r>
            <w:r>
              <w:rPr>
                <w:rFonts w:hint="eastAsia" w:ascii="宋体" w:hAnsi="宋体" w:eastAsia="宋体" w:cs="宋体"/>
                <w:sz w:val="21"/>
                <w:szCs w:val="21"/>
                <w:lang w:val="en-US" w:eastAsia="zh-CN"/>
              </w:rPr>
              <w:t>2.1-4</w:t>
            </w:r>
            <w:r>
              <w:rPr>
                <w:rFonts w:hint="eastAsia" w:ascii="宋体" w:hAnsi="宋体" w:eastAsia="宋体" w:cs="宋体"/>
                <w:sz w:val="21"/>
                <w:szCs w:val="21"/>
              </w:rPr>
              <w:t>分；方案内容不完整，响应有缺项，与实际需求不符，计0.1-</w:t>
            </w:r>
            <w:r>
              <w:rPr>
                <w:rFonts w:hint="eastAsia" w:ascii="宋体" w:hAnsi="宋体" w:eastAsia="宋体" w:cs="宋体"/>
                <w:sz w:val="21"/>
                <w:szCs w:val="21"/>
                <w:lang w:val="en-US" w:eastAsia="zh-CN"/>
              </w:rPr>
              <w:t>2</w:t>
            </w:r>
            <w:r>
              <w:rPr>
                <w:rFonts w:hint="eastAsia" w:ascii="宋体" w:hAnsi="宋体" w:eastAsia="宋体" w:cs="宋体"/>
                <w:sz w:val="21"/>
                <w:szCs w:val="21"/>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1" w:hRule="atLeast"/>
        </w:trPr>
        <w:tc>
          <w:tcPr>
            <w:tcW w:w="541" w:type="dxa"/>
            <w:vMerge w:val="restart"/>
            <w:tcBorders>
              <w:top w:val="single" w:color="auto" w:sz="4" w:space="0"/>
              <w:left w:val="single" w:color="auto" w:sz="4" w:space="0"/>
              <w:right w:val="single" w:color="auto" w:sz="4" w:space="0"/>
            </w:tcBorders>
            <w:noWrap w:val="0"/>
            <w:vAlign w:val="center"/>
          </w:tcPr>
          <w:p>
            <w:pPr>
              <w:spacing w:line="400" w:lineRule="exact"/>
              <w:ind w:firstLine="28"/>
              <w:jc w:val="center"/>
              <w:rPr>
                <w:rFonts w:hint="eastAsia" w:ascii="宋体" w:hAnsi="宋体" w:eastAsia="宋体" w:cs="宋体"/>
                <w:sz w:val="21"/>
                <w:szCs w:val="21"/>
              </w:rPr>
            </w:pPr>
            <w:r>
              <w:rPr>
                <w:rFonts w:hint="eastAsia" w:ascii="宋体" w:hAnsi="宋体" w:eastAsia="宋体" w:cs="宋体"/>
                <w:sz w:val="21"/>
                <w:szCs w:val="21"/>
              </w:rPr>
              <w:t>4</w:t>
            </w:r>
          </w:p>
        </w:tc>
        <w:tc>
          <w:tcPr>
            <w:tcW w:w="1438"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售后服务</w:t>
            </w:r>
            <w:r>
              <w:rPr>
                <w:rFonts w:hint="eastAsia" w:ascii="宋体" w:hAnsi="宋体" w:eastAsia="宋体" w:cs="宋体"/>
                <w:sz w:val="21"/>
                <w:szCs w:val="21"/>
                <w:lang w:val="en-US" w:eastAsia="zh-CN"/>
              </w:rPr>
              <w:t>12</w:t>
            </w:r>
            <w:r>
              <w:rPr>
                <w:rFonts w:hint="eastAsia" w:ascii="宋体" w:hAnsi="宋体" w:eastAsia="宋体" w:cs="宋体"/>
                <w:sz w:val="21"/>
                <w:szCs w:val="21"/>
              </w:rPr>
              <w:t>%</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8"/>
              <w:rPr>
                <w:rFonts w:hint="eastAsia" w:ascii="宋体" w:hAnsi="宋体" w:eastAsia="宋体" w:cs="宋体"/>
                <w:sz w:val="21"/>
                <w:szCs w:val="21"/>
              </w:rPr>
            </w:pPr>
            <w:r>
              <w:rPr>
                <w:rFonts w:hint="eastAsia" w:ascii="宋体" w:hAnsi="宋体" w:eastAsia="宋体" w:cs="宋体"/>
                <w:sz w:val="21"/>
                <w:szCs w:val="21"/>
              </w:rPr>
              <w:t>提供售后服务方案（包含售后服务机构承诺、售后服务保障措施、人员配置安排计划、</w:t>
            </w:r>
            <w:r>
              <w:rPr>
                <w:rFonts w:hint="eastAsia" w:ascii="宋体" w:hAnsi="宋体" w:eastAsia="宋体" w:cs="宋体"/>
                <w:sz w:val="21"/>
                <w:szCs w:val="21"/>
                <w:lang w:eastAsia="zh-CN"/>
              </w:rPr>
              <w:t>质量问题</w:t>
            </w:r>
            <w:r>
              <w:rPr>
                <w:rFonts w:hint="eastAsia" w:ascii="宋体" w:hAnsi="宋体" w:eastAsia="宋体" w:cs="宋体"/>
                <w:sz w:val="21"/>
                <w:szCs w:val="21"/>
              </w:rPr>
              <w:t>处理响应时间安排计划、质量保证期限及质量保证的范围承诺、应急处理等）。方案完整详细、可操作性强、合理、可行，符合且能有效提升实际需求，计</w:t>
            </w:r>
            <w:r>
              <w:rPr>
                <w:rFonts w:hint="eastAsia" w:ascii="宋体" w:hAnsi="宋体" w:eastAsia="宋体" w:cs="宋体"/>
                <w:sz w:val="21"/>
                <w:szCs w:val="21"/>
                <w:lang w:val="en-US" w:eastAsia="zh-CN"/>
              </w:rPr>
              <w:t>4.1-6</w:t>
            </w:r>
            <w:r>
              <w:rPr>
                <w:rFonts w:hint="eastAsia" w:ascii="宋体" w:hAnsi="宋体" w:eastAsia="宋体" w:cs="宋体"/>
                <w:sz w:val="21"/>
                <w:szCs w:val="21"/>
              </w:rPr>
              <w:t>分；有方案，与实际需求有偏差，计</w:t>
            </w:r>
            <w:r>
              <w:rPr>
                <w:rFonts w:hint="eastAsia" w:ascii="宋体" w:hAnsi="宋体" w:eastAsia="宋体" w:cs="宋体"/>
                <w:sz w:val="21"/>
                <w:szCs w:val="21"/>
                <w:lang w:val="en-US" w:eastAsia="zh-CN"/>
              </w:rPr>
              <w:t>2.1-4</w:t>
            </w:r>
            <w:r>
              <w:rPr>
                <w:rFonts w:hint="eastAsia" w:ascii="宋体" w:hAnsi="宋体" w:eastAsia="宋体" w:cs="宋体"/>
                <w:sz w:val="21"/>
                <w:szCs w:val="21"/>
              </w:rPr>
              <w:t>分；方案内容不完整，响应有缺项，与实际需求不符，计0.1-</w:t>
            </w:r>
            <w:r>
              <w:rPr>
                <w:rFonts w:hint="eastAsia" w:ascii="宋体" w:hAnsi="宋体" w:eastAsia="宋体" w:cs="宋体"/>
                <w:sz w:val="21"/>
                <w:szCs w:val="21"/>
                <w:lang w:val="en-US" w:eastAsia="zh-CN"/>
              </w:rPr>
              <w:t>2</w:t>
            </w:r>
            <w:r>
              <w:rPr>
                <w:rFonts w:hint="eastAsia" w:ascii="宋体" w:hAnsi="宋体" w:eastAsia="宋体" w:cs="宋体"/>
                <w:sz w:val="21"/>
                <w:szCs w:val="21"/>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4" w:hRule="atLeast"/>
        </w:trPr>
        <w:tc>
          <w:tcPr>
            <w:tcW w:w="541" w:type="dxa"/>
            <w:vMerge w:val="continue"/>
            <w:tcBorders>
              <w:left w:val="single" w:color="auto" w:sz="4" w:space="0"/>
              <w:right w:val="single" w:color="auto" w:sz="4" w:space="0"/>
            </w:tcBorders>
            <w:noWrap w:val="0"/>
            <w:vAlign w:val="center"/>
          </w:tcPr>
          <w:p>
            <w:pPr>
              <w:spacing w:line="400" w:lineRule="exact"/>
              <w:ind w:firstLine="28"/>
              <w:jc w:val="center"/>
              <w:rPr>
                <w:rFonts w:hint="eastAsia" w:ascii="宋体" w:hAnsi="宋体" w:eastAsia="宋体" w:cs="宋体"/>
                <w:sz w:val="21"/>
                <w:szCs w:val="21"/>
              </w:rPr>
            </w:pPr>
          </w:p>
        </w:tc>
        <w:tc>
          <w:tcPr>
            <w:tcW w:w="1438" w:type="dxa"/>
            <w:vMerge w:val="continue"/>
            <w:tcBorders>
              <w:left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8"/>
              <w:rPr>
                <w:rFonts w:hint="eastAsia" w:ascii="宋体" w:hAnsi="宋体" w:eastAsia="宋体" w:cs="宋体"/>
                <w:sz w:val="21"/>
                <w:szCs w:val="21"/>
                <w:lang w:eastAsia="zh-CN"/>
              </w:rPr>
            </w:pPr>
            <w:r>
              <w:rPr>
                <w:rFonts w:hint="eastAsia" w:ascii="宋体" w:hAnsi="宋体" w:eastAsia="宋体" w:cs="宋体"/>
                <w:sz w:val="21"/>
                <w:szCs w:val="21"/>
              </w:rPr>
              <w:t>根据供应商提供的培训方案及培训效果保证措施等进行综合评分，培训采购人指定的技术人员和管理人员，制定培训课程计划表，列出每种培训的地点和时间、培训的内容、方式、次数等，培训内容应包括所提供产品的原理和技术性能、操作方法、</w:t>
            </w:r>
            <w:r>
              <w:rPr>
                <w:rFonts w:hint="eastAsia" w:ascii="宋体" w:hAnsi="宋体" w:eastAsia="宋体" w:cs="宋体"/>
                <w:sz w:val="21"/>
                <w:szCs w:val="21"/>
                <w:lang w:eastAsia="zh-CN"/>
              </w:rPr>
              <w:t>应急处理</w:t>
            </w:r>
            <w:r>
              <w:rPr>
                <w:rFonts w:hint="eastAsia" w:ascii="宋体" w:hAnsi="宋体" w:eastAsia="宋体" w:cs="宋体"/>
                <w:sz w:val="21"/>
                <w:szCs w:val="21"/>
              </w:rPr>
              <w:t>等各个方面，培训的具体日期及人数由使用单位确定。方案完整详细、可操作性强、合理、可行，符合且能有效提升实际需求，计4.1-</w:t>
            </w:r>
            <w:r>
              <w:rPr>
                <w:rFonts w:hint="eastAsia" w:ascii="宋体" w:hAnsi="宋体" w:eastAsia="宋体" w:cs="宋体"/>
                <w:sz w:val="21"/>
                <w:szCs w:val="21"/>
                <w:lang w:val="en-US" w:eastAsia="zh-CN"/>
              </w:rPr>
              <w:t>6</w:t>
            </w:r>
            <w:r>
              <w:rPr>
                <w:rFonts w:hint="eastAsia" w:ascii="宋体" w:hAnsi="宋体" w:eastAsia="宋体" w:cs="宋体"/>
                <w:sz w:val="21"/>
                <w:szCs w:val="21"/>
              </w:rPr>
              <w:t>分；有方案，与实际需求有偏差，计</w:t>
            </w:r>
            <w:r>
              <w:rPr>
                <w:rFonts w:hint="eastAsia" w:ascii="宋体" w:hAnsi="宋体" w:eastAsia="宋体" w:cs="宋体"/>
                <w:sz w:val="21"/>
                <w:szCs w:val="21"/>
                <w:lang w:val="en-US" w:eastAsia="zh-CN"/>
              </w:rPr>
              <w:t>2</w:t>
            </w:r>
            <w:r>
              <w:rPr>
                <w:rFonts w:hint="eastAsia" w:ascii="宋体" w:hAnsi="宋体" w:eastAsia="宋体" w:cs="宋体"/>
                <w:sz w:val="21"/>
                <w:szCs w:val="21"/>
              </w:rPr>
              <w:t>.1-4分；方案内容不完整，响应有缺项，与实际需求不符，计0.1-</w:t>
            </w:r>
            <w:r>
              <w:rPr>
                <w:rFonts w:hint="eastAsia" w:ascii="宋体" w:hAnsi="宋体" w:eastAsia="宋体" w:cs="宋体"/>
                <w:sz w:val="21"/>
                <w:szCs w:val="21"/>
                <w:lang w:val="en-US" w:eastAsia="zh-CN"/>
              </w:rPr>
              <w:t>2</w:t>
            </w:r>
            <w:r>
              <w:rPr>
                <w:rFonts w:hint="eastAsia" w:ascii="宋体" w:hAnsi="宋体" w:eastAsia="宋体" w:cs="宋体"/>
                <w:sz w:val="21"/>
                <w:szCs w:val="21"/>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trPr>
        <w:tc>
          <w:tcPr>
            <w:tcW w:w="541"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1438"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业绩</w:t>
            </w:r>
            <w:r>
              <w:rPr>
                <w:rFonts w:hint="eastAsia" w:ascii="宋体" w:hAnsi="宋体" w:eastAsia="宋体" w:cs="宋体"/>
                <w:sz w:val="21"/>
                <w:szCs w:val="21"/>
                <w:lang w:val="en-US" w:eastAsia="zh-CN"/>
              </w:rPr>
              <w:t>5</w:t>
            </w:r>
            <w:r>
              <w:rPr>
                <w:rFonts w:hint="eastAsia" w:ascii="宋体" w:hAnsi="宋体" w:eastAsia="宋体" w:cs="宋体"/>
                <w:sz w:val="21"/>
                <w:szCs w:val="21"/>
              </w:rPr>
              <w:t>%</w:t>
            </w:r>
          </w:p>
        </w:tc>
        <w:tc>
          <w:tcPr>
            <w:tcW w:w="809"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ind w:firstLine="28"/>
              <w:rPr>
                <w:rFonts w:hint="eastAsia" w:ascii="宋体" w:hAnsi="宋体" w:eastAsia="宋体" w:cs="宋体"/>
                <w:sz w:val="21"/>
                <w:szCs w:val="21"/>
              </w:rPr>
            </w:pPr>
            <w:r>
              <w:rPr>
                <w:rFonts w:hint="eastAsia" w:ascii="宋体" w:hAnsi="宋体" w:eastAsia="宋体" w:cs="宋体"/>
                <w:sz w:val="21"/>
                <w:szCs w:val="21"/>
              </w:rPr>
              <w:t>评标委员会根据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提供的201</w:t>
            </w:r>
            <w:r>
              <w:rPr>
                <w:rFonts w:hint="eastAsia" w:ascii="宋体" w:hAnsi="宋体" w:eastAsia="宋体" w:cs="宋体"/>
                <w:sz w:val="21"/>
                <w:szCs w:val="21"/>
                <w:lang w:val="en-US" w:eastAsia="zh-CN"/>
              </w:rPr>
              <w:t>9</w:t>
            </w:r>
            <w:r>
              <w:rPr>
                <w:rFonts w:hint="eastAsia" w:ascii="宋体" w:hAnsi="宋体" w:eastAsia="宋体" w:cs="宋体"/>
                <w:sz w:val="21"/>
                <w:szCs w:val="21"/>
              </w:rPr>
              <w:t>年1月1日至今</w:t>
            </w:r>
            <w:r>
              <w:rPr>
                <w:rFonts w:hint="eastAsia" w:ascii="宋体" w:hAnsi="宋体" w:eastAsia="宋体" w:cs="宋体"/>
                <w:sz w:val="21"/>
                <w:szCs w:val="21"/>
                <w:highlight w:val="none"/>
              </w:rPr>
              <w:t>所投</w:t>
            </w:r>
            <w:r>
              <w:rPr>
                <w:rFonts w:hint="eastAsia" w:ascii="宋体" w:hAnsi="宋体" w:eastAsia="宋体" w:cs="宋体"/>
                <w:sz w:val="21"/>
                <w:szCs w:val="21"/>
                <w:highlight w:val="none"/>
                <w:lang w:eastAsia="zh-CN"/>
              </w:rPr>
              <w:t>同类业绩</w:t>
            </w:r>
            <w:r>
              <w:rPr>
                <w:rFonts w:hint="eastAsia" w:ascii="宋体" w:hAnsi="宋体" w:eastAsia="宋体" w:cs="宋体"/>
                <w:sz w:val="21"/>
                <w:szCs w:val="21"/>
              </w:rPr>
              <w:t>（以合同签订日期为准，</w:t>
            </w:r>
            <w:r>
              <w:rPr>
                <w:rFonts w:hint="eastAsia" w:ascii="宋体" w:hAnsi="宋体" w:eastAsia="宋体" w:cs="宋体"/>
                <w:sz w:val="21"/>
                <w:szCs w:val="21"/>
                <w:lang w:eastAsia="zh-CN"/>
              </w:rPr>
              <w:t>仅</w:t>
            </w:r>
            <w:r>
              <w:rPr>
                <w:rFonts w:hint="eastAsia" w:ascii="宋体" w:hAnsi="宋体" w:eastAsia="宋体" w:cs="宋体"/>
                <w:sz w:val="21"/>
                <w:szCs w:val="21"/>
              </w:rPr>
              <w:t>限</w:t>
            </w:r>
            <w:r>
              <w:rPr>
                <w:rFonts w:hint="eastAsia" w:ascii="宋体" w:hAnsi="宋体" w:eastAsia="宋体" w:cs="宋体"/>
                <w:sz w:val="21"/>
                <w:szCs w:val="21"/>
                <w:lang w:eastAsia="zh-CN"/>
              </w:rPr>
              <w:t>供应商</w:t>
            </w:r>
            <w:r>
              <w:rPr>
                <w:rFonts w:hint="eastAsia" w:ascii="宋体" w:hAnsi="宋体" w:eastAsia="宋体" w:cs="宋体"/>
                <w:sz w:val="21"/>
                <w:szCs w:val="21"/>
              </w:rPr>
              <w:t>本身</w:t>
            </w:r>
            <w:r>
              <w:rPr>
                <w:rFonts w:hint="eastAsia" w:ascii="宋体" w:hAnsi="宋体" w:eastAsia="宋体" w:cs="宋体"/>
                <w:sz w:val="21"/>
                <w:szCs w:val="21"/>
                <w:lang w:eastAsia="zh-CN"/>
              </w:rPr>
              <w:t>，提供合同复印件</w:t>
            </w:r>
            <w:r>
              <w:rPr>
                <w:rFonts w:hint="eastAsia" w:ascii="宋体" w:hAnsi="宋体" w:eastAsia="宋体" w:cs="宋体"/>
                <w:sz w:val="21"/>
                <w:szCs w:val="21"/>
                <w:highlight w:val="none"/>
              </w:rPr>
              <w:t>）进行评定，</w:t>
            </w:r>
            <w:r>
              <w:rPr>
                <w:rFonts w:hint="eastAsia" w:ascii="宋体" w:hAnsi="宋体" w:eastAsia="宋体" w:cs="宋体"/>
                <w:sz w:val="21"/>
                <w:szCs w:val="21"/>
                <w:highlight w:val="none"/>
                <w:lang w:eastAsia="zh-CN"/>
              </w:rPr>
              <w:t>每份计</w:t>
            </w:r>
            <w:r>
              <w:rPr>
                <w:rFonts w:hint="eastAsia" w:ascii="宋体" w:hAnsi="宋体" w:eastAsia="宋体" w:cs="宋体"/>
                <w:sz w:val="21"/>
                <w:szCs w:val="21"/>
                <w:highlight w:val="none"/>
                <w:lang w:val="en-US" w:eastAsia="zh-CN"/>
              </w:rPr>
              <w:t>1分，最高计5分</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trPr>
        <w:tc>
          <w:tcPr>
            <w:tcW w:w="5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节能环保2%</w:t>
            </w:r>
          </w:p>
        </w:tc>
        <w:tc>
          <w:tcPr>
            <w:tcW w:w="809"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2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8"/>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投标产品中每有一项为节能产品经国家认证的得0.5分，每有一项为环境标志产品经国家认证的得0.5分，</w:t>
            </w:r>
            <w:r>
              <w:rPr>
                <w:rFonts w:hint="eastAsia" w:ascii="宋体" w:hAnsi="宋体" w:eastAsia="宋体" w:cs="宋体"/>
                <w:sz w:val="21"/>
                <w:szCs w:val="21"/>
                <w:lang w:eastAsia="zh-CN"/>
              </w:rPr>
              <w:t>供应商</w:t>
            </w:r>
            <w:r>
              <w:rPr>
                <w:rFonts w:hint="eastAsia" w:ascii="宋体" w:hAnsi="宋体" w:eastAsia="宋体" w:cs="宋体"/>
                <w:sz w:val="21"/>
                <w:szCs w:val="21"/>
              </w:rPr>
              <w:t>投标产品中每有一项产品同时为节能产品和环境标志产品得1分，最多得2分。（以经国家确定的认证机构出具的、处于有效期内的节能产品、环境标志产品认证证书为准。）</w:t>
            </w:r>
          </w:p>
        </w:tc>
      </w:tr>
    </w:tbl>
    <w:p>
      <w:pPr>
        <w:pStyle w:val="99"/>
        <w:bidi w:val="0"/>
        <w:rPr>
          <w:rFonts w:hint="eastAsia"/>
          <w:sz w:val="28"/>
          <w:szCs w:val="28"/>
        </w:rPr>
      </w:pPr>
    </w:p>
    <w:p>
      <w:pPr>
        <w:spacing w:line="360" w:lineRule="auto"/>
        <w:rPr>
          <w:rFonts w:hint="eastAsia" w:ascii="宋体" w:hAnsi="宋体" w:eastAsia="宋体" w:cs="宋体"/>
          <w:b/>
          <w:bCs/>
          <w:sz w:val="24"/>
        </w:rPr>
      </w:pPr>
      <w:r>
        <w:rPr>
          <w:rFonts w:hint="eastAsia" w:ascii="宋体" w:hAnsi="宋体" w:eastAsia="宋体" w:cs="宋体"/>
          <w:b/>
          <w:bCs/>
          <w:sz w:val="24"/>
        </w:rPr>
        <w:t xml:space="preserve">评审标准备注： </w:t>
      </w:r>
    </w:p>
    <w:p>
      <w:pPr>
        <w:keepNext w:val="0"/>
        <w:keepLines w:val="0"/>
        <w:pageBreakBefore w:val="0"/>
        <w:widowControl w:val="0"/>
        <w:kinsoku/>
        <w:wordWrap/>
        <w:overflowPunct/>
        <w:topLinePunct w:val="0"/>
        <w:autoSpaceDE/>
        <w:autoSpaceDN/>
        <w:bidi w:val="0"/>
        <w:adjustRightInd/>
        <w:snapToGrid/>
        <w:spacing w:line="120" w:lineRule="auto"/>
        <w:ind w:firstLine="496" w:firstLineChars="200"/>
        <w:textAlignment w:val="auto"/>
        <w:rPr>
          <w:rFonts w:hint="eastAsia" w:ascii="宋体" w:hAnsi="宋体" w:eastAsia="宋体" w:cs="宋体"/>
          <w:sz w:val="24"/>
        </w:rPr>
      </w:pPr>
      <w:r>
        <w:rPr>
          <w:rFonts w:hint="eastAsia" w:ascii="宋体" w:hAnsi="宋体" w:eastAsia="宋体" w:cs="宋体"/>
          <w:sz w:val="24"/>
        </w:rPr>
        <w:t>1.对于非专门面向中小企业的项目、残疾人福利性单位的项目，对小型和微型企业、残疾人福利性单位产品的价格给予</w:t>
      </w:r>
      <w:r>
        <w:rPr>
          <w:rFonts w:hint="eastAsia" w:ascii="宋体" w:hAnsi="宋体" w:eastAsia="宋体" w:cs="宋体"/>
          <w:sz w:val="24"/>
          <w:lang w:val="en-US" w:eastAsia="zh-CN"/>
        </w:rPr>
        <w:t>10</w:t>
      </w:r>
      <w:r>
        <w:rPr>
          <w:rFonts w:hint="eastAsia" w:ascii="宋体" w:hAnsi="宋体" w:eastAsia="宋体" w:cs="宋体"/>
          <w:sz w:val="24"/>
        </w:rPr>
        <w:t>%的扣除，用扣除后的价格参与评审，残疾人福利性单位属于小型、微型企业的，不重复享受政策；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120" w:lineRule="auto"/>
        <w:ind w:firstLine="496" w:firstLineChars="200"/>
        <w:textAlignment w:val="auto"/>
        <w:rPr>
          <w:rFonts w:hint="eastAsia" w:ascii="宋体" w:hAnsi="宋体" w:eastAsia="宋体" w:cs="宋体"/>
          <w:sz w:val="24"/>
          <w:lang w:eastAsia="zh-CN"/>
        </w:rPr>
      </w:pPr>
      <w:r>
        <w:rPr>
          <w:rFonts w:hint="eastAsia" w:ascii="宋体" w:hAnsi="宋体" w:eastAsia="宋体" w:cs="宋体"/>
          <w:sz w:val="24"/>
        </w:rPr>
        <w:t>2.《关于政府采购支持监狱企业发展有关问题的通知》（财库[2014]68号）的规定，对监狱企业给予</w:t>
      </w:r>
      <w:r>
        <w:rPr>
          <w:rFonts w:hint="eastAsia" w:ascii="宋体" w:hAnsi="宋体" w:eastAsia="宋体" w:cs="宋体"/>
          <w:sz w:val="24"/>
          <w:lang w:val="en-US" w:eastAsia="zh-CN"/>
        </w:rPr>
        <w:t>10</w:t>
      </w:r>
      <w:r>
        <w:rPr>
          <w:rFonts w:hint="eastAsia" w:ascii="宋体" w:hAnsi="宋体" w:eastAsia="宋体" w:cs="宋体"/>
          <w:sz w:val="24"/>
        </w:rPr>
        <w:t>%的价格扣除，用扣除后的价格参与评审（提供由省级以上监狱管理局、戒毒管理局（含新疆生产建设兵团）出具的属于监狱企业的证明文件）</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120" w:lineRule="auto"/>
        <w:ind w:firstLine="496" w:firstLineChars="200"/>
        <w:textAlignment w:val="auto"/>
        <w:rPr>
          <w:rFonts w:hint="eastAsia" w:ascii="宋体" w:hAnsi="宋体" w:eastAsia="宋体" w:cs="宋体"/>
          <w:sz w:val="24"/>
          <w:lang w:eastAsia="zh-CN"/>
        </w:rPr>
      </w:pPr>
      <w:r>
        <w:rPr>
          <w:rFonts w:hint="eastAsia" w:ascii="宋体" w:hAnsi="宋体" w:eastAsia="宋体" w:cs="宋体"/>
          <w:sz w:val="24"/>
        </w:rPr>
        <w:t>3.节能环保产品以节能产品、环境标志产品认证证书为准</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120" w:lineRule="auto"/>
        <w:ind w:firstLine="496" w:firstLineChars="200"/>
        <w:textAlignment w:val="auto"/>
        <w:rPr>
          <w:rFonts w:hint="eastAsia" w:ascii="宋体" w:hAnsi="宋体" w:eastAsia="宋体" w:cs="宋体"/>
          <w:sz w:val="24"/>
        </w:rPr>
      </w:pPr>
      <w:r>
        <w:rPr>
          <w:rFonts w:hint="eastAsia" w:ascii="宋体" w:hAnsi="宋体" w:eastAsia="宋体" w:cs="宋体"/>
          <w:sz w:val="24"/>
        </w:rPr>
        <w:t>4.技术参数正偏离须在技术响应表中注明正偏离的理由和佐证材料的页码；</w:t>
      </w:r>
    </w:p>
    <w:p>
      <w:pPr>
        <w:pStyle w:val="33"/>
        <w:ind w:left="0" w:leftChars="0" w:firstLine="496" w:firstLineChars="200"/>
        <w:rPr>
          <w:rFonts w:hint="eastAsia" w:ascii="宋体" w:hAnsi="宋体" w:eastAsia="宋体" w:cs="宋体"/>
          <w:sz w:val="24"/>
          <w:lang w:eastAsia="zh-CN"/>
        </w:rPr>
      </w:pPr>
      <w:r>
        <w:rPr>
          <w:rFonts w:hint="eastAsia" w:ascii="宋体" w:hAnsi="宋体" w:eastAsia="宋体" w:cs="宋体"/>
          <w:sz w:val="24"/>
        </w:rPr>
        <w:t>5.评审指标出现漏项的最低得分为零分</w:t>
      </w:r>
      <w:r>
        <w:rPr>
          <w:rFonts w:hint="eastAsia" w:ascii="宋体" w:hAnsi="宋体" w:eastAsia="宋体" w:cs="宋体"/>
          <w:sz w:val="24"/>
          <w:lang w:eastAsia="zh-CN"/>
        </w:rPr>
        <w:t>；</w:t>
      </w:r>
    </w:p>
    <w:p>
      <w:pPr>
        <w:pStyle w:val="99"/>
        <w:bidi w:val="0"/>
        <w:rPr>
          <w:rFonts w:hint="eastAsia"/>
          <w:sz w:val="28"/>
          <w:szCs w:val="28"/>
        </w:rPr>
      </w:pPr>
      <w:r>
        <w:rPr>
          <w:rFonts w:hint="eastAsia"/>
          <w:sz w:val="28"/>
          <w:szCs w:val="28"/>
        </w:rPr>
        <w:t>4．推荐中标候选人</w:t>
      </w:r>
      <w:bookmarkEnd w:id="6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99"/>
        <w:bidi w:val="0"/>
        <w:rPr>
          <w:rFonts w:hint="eastAsia"/>
          <w:sz w:val="28"/>
          <w:szCs w:val="28"/>
        </w:rPr>
      </w:pPr>
      <w:bookmarkStart w:id="63" w:name="_Toc12762"/>
      <w:r>
        <w:rPr>
          <w:rFonts w:hint="eastAsia"/>
          <w:sz w:val="28"/>
          <w:szCs w:val="28"/>
        </w:rPr>
        <w:t>5．编写评审报告</w:t>
      </w:r>
      <w:bookmarkEnd w:id="63"/>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评审报告是评标委员会根据全体评标成员签字的原始评标记录和评标结果编写的报告，其主要内容包括：</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（1）招标公告刊登的媒体名称、开标日期和地点；</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（2）投标供应商名单和评标委员会成员名单；</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（3）评标方法；</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（4）开标记录和评标情况及说明，包括投标无效供应商名单及原因；</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（5）评标结果，确定的中标候选人名单或者经采购人委托直接确定的中标供应商；</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（6）其他需要说明的情况，包括评标过程中投标供应商根据评标委员会要求进行的澄清、说明或者补正，评标委员会成员的更换等。</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99"/>
        <w:bidi w:val="0"/>
        <w:rPr>
          <w:rFonts w:hint="eastAsia"/>
          <w:b/>
          <w:bCs/>
          <w:sz w:val="28"/>
          <w:szCs w:val="28"/>
        </w:rPr>
      </w:pPr>
      <w:bookmarkStart w:id="64" w:name="_Toc8654"/>
      <w:r>
        <w:rPr>
          <w:rFonts w:hint="eastAsia"/>
          <w:b/>
          <w:bCs/>
          <w:sz w:val="28"/>
          <w:szCs w:val="28"/>
        </w:rPr>
        <w:t>（三）评标争议处理规则</w:t>
      </w:r>
      <w:bookmarkEnd w:id="64"/>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99"/>
        <w:bidi w:val="0"/>
        <w:rPr>
          <w:rFonts w:hint="eastAsia"/>
          <w:b/>
          <w:bCs/>
          <w:sz w:val="28"/>
          <w:szCs w:val="28"/>
        </w:rPr>
      </w:pPr>
      <w:bookmarkStart w:id="65" w:name="_Toc4810"/>
      <w:r>
        <w:rPr>
          <w:rFonts w:hint="eastAsia"/>
          <w:b/>
          <w:bCs/>
          <w:sz w:val="28"/>
          <w:szCs w:val="28"/>
        </w:rPr>
        <w:t>（四）评审现场人员的保密责任</w:t>
      </w:r>
      <w:bookmarkEnd w:id="65"/>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99"/>
        <w:bidi w:val="0"/>
        <w:rPr>
          <w:rFonts w:hint="eastAsia"/>
          <w:b/>
          <w:bCs/>
          <w:sz w:val="28"/>
          <w:szCs w:val="28"/>
        </w:rPr>
      </w:pPr>
      <w:bookmarkStart w:id="66" w:name="_Toc27257"/>
      <w:r>
        <w:rPr>
          <w:rFonts w:hint="eastAsia"/>
          <w:b/>
          <w:bCs/>
          <w:sz w:val="28"/>
          <w:szCs w:val="28"/>
        </w:rPr>
        <w:t>（五）视同供应商串通投标的情形，其投标无效：</w:t>
      </w:r>
      <w:bookmarkEnd w:id="66"/>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1．不同供应商的投标文件由同一单位或者个人编制；</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2．不同供应商委托同一单位或者个人办理投标事宜；</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3．不同供应商的投标文件载明的项目管理成员或者联系人员为同一人；</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4．不同供应商的投标文件异常一致或者投标报价呈规律性差异。</w:t>
      </w:r>
    </w:p>
    <w:p>
      <w:pPr>
        <w:pStyle w:val="6"/>
        <w:ind w:left="0" w:leftChars="0" w:firstLine="0" w:firstLineChars="0"/>
        <w:outlineLvl w:val="1"/>
        <w:rPr>
          <w:rFonts w:hint="eastAsia" w:ascii="宋体" w:hAnsi="宋体" w:eastAsia="宋体" w:cs="宋体"/>
          <w:sz w:val="28"/>
          <w:szCs w:val="28"/>
        </w:rPr>
      </w:pPr>
      <w:bookmarkStart w:id="67" w:name="_Toc27686"/>
      <w:r>
        <w:rPr>
          <w:rFonts w:hint="eastAsia" w:ascii="宋体" w:hAnsi="宋体" w:eastAsia="宋体" w:cs="宋体"/>
          <w:sz w:val="28"/>
          <w:szCs w:val="28"/>
        </w:rPr>
        <w:t>八、中标</w:t>
      </w:r>
      <w:bookmarkEnd w:id="67"/>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60" w:lineRule="exact"/>
        <w:ind w:firstLine="576" w:firstLineChars="200"/>
        <w:jc w:val="both"/>
        <w:rPr>
          <w:rFonts w:hint="eastAsia" w:ascii="宋体" w:hAnsi="宋体" w:eastAsia="宋体" w:cs="宋体"/>
          <w:sz w:val="28"/>
          <w:szCs w:val="28"/>
          <w:lang w:eastAsia="zh-CN"/>
        </w:rPr>
      </w:pPr>
      <w:r>
        <w:rPr>
          <w:rFonts w:hint="eastAsia" w:ascii="宋体" w:hAnsi="宋体" w:eastAsia="宋体" w:cs="宋体"/>
          <w:sz w:val="28"/>
          <w:szCs w:val="28"/>
        </w:rPr>
        <w:t>2．采购代理机构将在中标供应商确定之日起</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个工作日内，在【</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陕西省政府采购网</w:t>
      </w:r>
      <w:r>
        <w:rPr>
          <w:rStyle w:val="45"/>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w:instrText>
      </w:r>
      <w:r>
        <w:rPr>
          <w:rFonts w:hint="eastAsia" w:ascii="宋体" w:hAnsi="宋体" w:eastAsia="宋体" w:cs="宋体"/>
          <w:sz w:val="28"/>
          <w:szCs w:val="28"/>
        </w:rPr>
        <w:fldChar w:fldCharType="separate"/>
      </w:r>
      <w:r>
        <w:rPr>
          <w:rStyle w:val="45"/>
          <w:rFonts w:hint="eastAsia" w:ascii="宋体" w:hAnsi="宋体" w:eastAsia="宋体" w:cs="宋体"/>
          <w:color w:val="auto"/>
          <w:sz w:val="28"/>
          <w:szCs w:val="28"/>
          <w:u w:val="none"/>
        </w:rPr>
        <w:t>http://www.ccgp-shaanxi.gov.cn/</w:t>
      </w:r>
      <w:r>
        <w:rPr>
          <w:rStyle w:val="45"/>
          <w:rFonts w:hint="eastAsia" w:ascii="宋体" w:hAnsi="宋体" w:eastAsia="宋体" w:cs="宋体"/>
          <w:color w:val="auto"/>
          <w:sz w:val="28"/>
          <w:szCs w:val="28"/>
          <w:u w:val="none"/>
        </w:rPr>
        <w:fldChar w:fldCharType="end"/>
      </w:r>
      <w:r>
        <w:rPr>
          <w:rFonts w:hint="eastAsia" w:ascii="宋体" w:hAnsi="宋体" w:eastAsia="宋体" w:cs="宋体"/>
          <w:sz w:val="28"/>
          <w:szCs w:val="28"/>
        </w:rPr>
        <w:t>）上公布中标结果。中标公告期限为1个工作日</w:t>
      </w:r>
      <w:r>
        <w:rPr>
          <w:rFonts w:hint="eastAsia" w:ascii="宋体" w:hAnsi="宋体" w:eastAsia="宋体" w:cs="宋体"/>
          <w:sz w:val="28"/>
          <w:szCs w:val="28"/>
          <w:lang w:eastAsia="zh-CN"/>
        </w:rPr>
        <w:t>。</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．采购代理机构按照相关规定将评审报告送监管机构备案。</w:t>
      </w:r>
    </w:p>
    <w:p>
      <w:pPr>
        <w:pStyle w:val="6"/>
        <w:ind w:left="0" w:leftChars="0" w:firstLine="0" w:firstLineChars="0"/>
        <w:outlineLvl w:val="1"/>
        <w:rPr>
          <w:rFonts w:hint="eastAsia" w:ascii="宋体" w:hAnsi="宋体" w:eastAsia="宋体" w:cs="宋体"/>
          <w:sz w:val="28"/>
          <w:szCs w:val="28"/>
        </w:rPr>
      </w:pPr>
      <w:bookmarkStart w:id="68" w:name="_Toc22271"/>
      <w:r>
        <w:rPr>
          <w:rFonts w:hint="eastAsia" w:ascii="宋体" w:hAnsi="宋体" w:eastAsia="宋体" w:cs="宋体"/>
          <w:sz w:val="28"/>
          <w:szCs w:val="28"/>
        </w:rPr>
        <w:t>九、合同签订、履行及验收</w:t>
      </w:r>
      <w:bookmarkEnd w:id="68"/>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招标文件、投标文件、澄清、补充合同等为政府采购合同的组成部分，具有同等法律效力。</w:t>
      </w:r>
    </w:p>
    <w:p>
      <w:pPr>
        <w:pStyle w:val="99"/>
        <w:bidi w:val="0"/>
        <w:rPr>
          <w:rFonts w:hint="eastAsia"/>
          <w:b/>
          <w:bCs/>
          <w:sz w:val="28"/>
          <w:szCs w:val="28"/>
        </w:rPr>
      </w:pPr>
      <w:bookmarkStart w:id="69" w:name="_Toc7975"/>
      <w:r>
        <w:rPr>
          <w:rFonts w:hint="eastAsia"/>
          <w:b/>
          <w:bCs/>
          <w:sz w:val="28"/>
          <w:szCs w:val="28"/>
        </w:rPr>
        <w:t>（一）签订政府采购合同</w:t>
      </w:r>
      <w:bookmarkEnd w:id="69"/>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1．自中标通知书发出之日起30日内，采购人与中标供应商应按招标文件和中标供应商投标文件的约定，签订书面合同。</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2．中标供应商拒绝与采购人签订合同的，采购人可以按照《政府采购法实施条例》第四十九条规定，确定下一候选人为中标供应商，也可以重新开展政府采购活动。</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4．质疑或者投诉事项可能影响中标、成交结果的，采购人应当暂停签订合同，已经签订合同的，应当中止履行合同。</w:t>
      </w:r>
    </w:p>
    <w:p>
      <w:pPr>
        <w:pStyle w:val="99"/>
        <w:bidi w:val="0"/>
        <w:rPr>
          <w:rFonts w:hint="eastAsia"/>
          <w:b/>
          <w:bCs/>
          <w:sz w:val="28"/>
          <w:szCs w:val="28"/>
        </w:rPr>
      </w:pPr>
      <w:bookmarkStart w:id="70" w:name="_Toc19981"/>
      <w:r>
        <w:rPr>
          <w:rFonts w:hint="eastAsia"/>
          <w:b/>
          <w:bCs/>
          <w:sz w:val="28"/>
          <w:szCs w:val="28"/>
        </w:rPr>
        <w:t>（二）合同公告及备案</w:t>
      </w:r>
      <w:bookmarkEnd w:id="70"/>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1．采购人应当自政府采购合同签订之日起2个工作日内，在陕西省政府采购网对合同进行公示，但政府采购合同中涉及国家秘密、商业秘密的内容除外。</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2．采购人应自合同签订之日起7个工作日内将政府采购合同报送监管机构备案。</w:t>
      </w:r>
    </w:p>
    <w:p>
      <w:pPr>
        <w:pStyle w:val="99"/>
        <w:bidi w:val="0"/>
        <w:rPr>
          <w:rFonts w:hint="eastAsia"/>
          <w:b/>
          <w:bCs/>
          <w:sz w:val="28"/>
          <w:szCs w:val="28"/>
        </w:rPr>
      </w:pPr>
      <w:bookmarkStart w:id="71" w:name="_Toc20858"/>
      <w:r>
        <w:rPr>
          <w:rFonts w:hint="eastAsia"/>
          <w:b/>
          <w:bCs/>
          <w:sz w:val="28"/>
          <w:szCs w:val="28"/>
        </w:rPr>
        <w:t>（三）履行合同</w:t>
      </w:r>
      <w:bookmarkEnd w:id="71"/>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1．合同一经签订，双方应严格履行合同规定的义务。</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2．在合同履行过程中，如发生合同纠纷，合同双方应按照《中华人民共和国民法典》及合同条款的有关规定进行处理。</w:t>
      </w:r>
    </w:p>
    <w:p>
      <w:pPr>
        <w:pStyle w:val="99"/>
        <w:bidi w:val="0"/>
        <w:rPr>
          <w:rFonts w:hint="eastAsia"/>
          <w:b/>
          <w:bCs/>
          <w:sz w:val="28"/>
          <w:szCs w:val="28"/>
        </w:rPr>
      </w:pPr>
      <w:bookmarkStart w:id="72" w:name="_Toc1157"/>
      <w:r>
        <w:rPr>
          <w:rFonts w:hint="eastAsia"/>
          <w:b/>
          <w:bCs/>
          <w:sz w:val="28"/>
          <w:szCs w:val="28"/>
        </w:rPr>
        <w:t>（四）验收或考核</w:t>
      </w:r>
      <w:bookmarkEnd w:id="72"/>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1．采购人严格按照国家相关法律法规的要求及招标文件的要求组织验收或考核。</w:t>
      </w:r>
    </w:p>
    <w:p>
      <w:pPr>
        <w:spacing w:line="560" w:lineRule="exact"/>
        <w:ind w:firstLine="576" w:firstLineChars="200"/>
        <w:jc w:val="both"/>
        <w:outlineLvl w:val="9"/>
        <w:rPr>
          <w:rFonts w:hint="eastAsia" w:ascii="宋体" w:hAnsi="宋体" w:eastAsia="宋体" w:cs="宋体"/>
          <w:sz w:val="28"/>
          <w:szCs w:val="28"/>
        </w:rPr>
      </w:pPr>
      <w:r>
        <w:rPr>
          <w:rFonts w:hint="eastAsia" w:ascii="宋体" w:hAnsi="宋体" w:eastAsia="宋体" w:cs="宋体"/>
          <w:sz w:val="28"/>
          <w:szCs w:val="28"/>
        </w:rPr>
        <w:t>2．采购人按《关于促进政府采购公平竞争优化营商环境的通知》（财库〔2019〕38号）、《保障中小企业款项支付条例》（国务院令第728号）等规定及采购合同的约定进行支付合同款项。</w:t>
      </w:r>
    </w:p>
    <w:p>
      <w:pPr>
        <w:pStyle w:val="6"/>
        <w:outlineLvl w:val="1"/>
        <w:rPr>
          <w:rFonts w:hint="eastAsia" w:ascii="宋体" w:hAnsi="宋体" w:eastAsia="宋体" w:cs="宋体"/>
          <w:sz w:val="28"/>
          <w:szCs w:val="28"/>
        </w:rPr>
      </w:pPr>
      <w:bookmarkStart w:id="73" w:name="_Toc11230"/>
      <w:r>
        <w:rPr>
          <w:rFonts w:hint="eastAsia" w:ascii="宋体" w:hAnsi="宋体" w:eastAsia="宋体" w:cs="宋体"/>
          <w:sz w:val="28"/>
          <w:szCs w:val="28"/>
        </w:rPr>
        <w:t>十、废标及重新招标</w:t>
      </w:r>
      <w:bookmarkEnd w:id="73"/>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2．根据《政府采购法》第三十六条规定，在招标采购中，出现下列情形之一的，本项目按废标处理：</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（1）出现影响采购公正的违法、违规行为的；</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（2）供应商的报价均超过了采购预算，采购人不能支付的；</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（3）因重大变故，采购任务取消的。</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废标后，除采购任务取消外，本项目将重新组织招标。</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76" w:firstLineChars="200"/>
        <w:jc w:val="both"/>
        <w:rPr>
          <w:rFonts w:hint="eastAsia" w:ascii="宋体" w:hAnsi="宋体" w:eastAsia="宋体" w:cs="宋体"/>
          <w:sz w:val="32"/>
          <w:szCs w:val="32"/>
        </w:rPr>
      </w:pPr>
      <w:r>
        <w:rPr>
          <w:rFonts w:hint="eastAsia" w:ascii="宋体" w:hAnsi="宋体" w:eastAsia="宋体" w:cs="宋体"/>
          <w:sz w:val="28"/>
          <w:szCs w:val="28"/>
        </w:rPr>
        <w:t>4．招标文件未明确的其他事项，按《政府采购法》及其相关法律法规执行。</w:t>
      </w:r>
    </w:p>
    <w:p>
      <w:pPr>
        <w:rPr>
          <w:rFonts w:hint="eastAsia" w:ascii="宋体" w:hAnsi="宋体" w:eastAsia="宋体" w:cs="宋体"/>
          <w:sz w:val="32"/>
          <w:szCs w:val="32"/>
        </w:rPr>
      </w:pPr>
      <w:bookmarkStart w:id="74" w:name="_Toc100219614"/>
      <w:r>
        <w:rPr>
          <w:rFonts w:hint="eastAsia" w:ascii="宋体" w:hAnsi="宋体" w:eastAsia="宋体" w:cs="宋体"/>
          <w:sz w:val="32"/>
          <w:szCs w:val="32"/>
        </w:rPr>
        <w:br w:type="page"/>
      </w:r>
    </w:p>
    <w:p>
      <w:pPr>
        <w:rPr>
          <w:rFonts w:hint="eastAsia" w:ascii="宋体" w:hAnsi="宋体" w:eastAsia="宋体" w:cs="宋体"/>
        </w:rPr>
      </w:pPr>
    </w:p>
    <w:p>
      <w:pPr>
        <w:pStyle w:val="4"/>
        <w:rPr>
          <w:rFonts w:hint="eastAsia" w:ascii="宋体" w:hAnsi="宋体" w:eastAsia="宋体" w:cs="宋体"/>
        </w:rPr>
      </w:pPr>
      <w:bookmarkStart w:id="75" w:name="_Toc18096"/>
      <w:r>
        <w:rPr>
          <w:rFonts w:hint="eastAsia" w:ascii="宋体" w:hAnsi="宋体" w:eastAsia="宋体" w:cs="宋体"/>
        </w:rPr>
        <w:t>第三章  招标内容及要求</w:t>
      </w:r>
      <w:bookmarkEnd w:id="74"/>
      <w:bookmarkEnd w:id="75"/>
    </w:p>
    <w:p>
      <w:pPr>
        <w:pBdr>
          <w:bottom w:val="single" w:color="auto" w:sz="4" w:space="1"/>
        </w:pBdr>
        <w:spacing w:before="312" w:beforeLines="100"/>
        <w:ind w:left="420" w:hanging="420"/>
        <w:rPr>
          <w:rFonts w:hint="eastAsia" w:ascii="宋体" w:hAnsi="宋体" w:eastAsia="宋体" w:cs="宋体"/>
          <w:b/>
          <w:color w:val="auto"/>
          <w:sz w:val="28"/>
          <w:szCs w:val="28"/>
        </w:rPr>
      </w:pPr>
      <w:r>
        <w:rPr>
          <w:rFonts w:hint="eastAsia" w:ascii="宋体" w:hAnsi="宋体" w:eastAsia="宋体" w:cs="宋体"/>
          <w:b/>
          <w:color w:val="auto"/>
          <w:sz w:val="28"/>
          <w:szCs w:val="28"/>
        </w:rPr>
        <w:t>一、项目概况</w:t>
      </w:r>
    </w:p>
    <w:p>
      <w:pPr>
        <w:spacing w:line="400" w:lineRule="exact"/>
        <w:ind w:firstLine="576" w:firstLineChars="200"/>
        <w:rPr>
          <w:rFonts w:hint="eastAsia" w:ascii="宋体" w:hAnsi="宋体" w:eastAsia="宋体" w:cs="宋体"/>
          <w:color w:val="auto"/>
          <w:sz w:val="28"/>
          <w:szCs w:val="28"/>
        </w:rPr>
      </w:pPr>
    </w:p>
    <w:p>
      <w:pPr>
        <w:widowControl/>
        <w:ind w:firstLine="496"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西安市中心血站为保证临床血液供应，开展无偿献血工作，需要采购用于成分血制备</w:t>
      </w:r>
      <w:r>
        <w:rPr>
          <w:rFonts w:hint="eastAsia" w:ascii="宋体" w:hAnsi="宋体" w:eastAsia="宋体" w:cs="宋体"/>
          <w:color w:val="auto"/>
          <w:sz w:val="24"/>
          <w:szCs w:val="24"/>
          <w:highlight w:val="none"/>
          <w:lang w:val="en-US" w:eastAsia="zh-CN"/>
        </w:rPr>
        <w:t>和包装</w:t>
      </w:r>
      <w:r>
        <w:rPr>
          <w:rFonts w:hint="eastAsia" w:ascii="宋体" w:hAnsi="宋体" w:eastAsia="宋体" w:cs="宋体"/>
          <w:color w:val="auto"/>
          <w:sz w:val="24"/>
          <w:szCs w:val="24"/>
          <w:highlight w:val="none"/>
        </w:rPr>
        <w:t>的耗材，包括</w:t>
      </w:r>
      <w:r>
        <w:rPr>
          <w:rFonts w:hint="eastAsia" w:ascii="宋体" w:hAnsi="宋体" w:eastAsia="宋体" w:cs="宋体"/>
          <w:color w:val="000000" w:themeColor="text1"/>
          <w:sz w:val="24"/>
          <w:szCs w:val="24"/>
          <w:highlight w:val="none"/>
          <w14:textFill>
            <w14:solidFill>
              <w14:schemeClr w14:val="tx1"/>
            </w14:solidFill>
          </w14:textFill>
        </w:rPr>
        <w:t>不同型号规格的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冰冻红细胞耗材</w:t>
      </w:r>
      <w:r>
        <w:rPr>
          <w:rFonts w:hint="eastAsia" w:ascii="宋体" w:hAnsi="宋体" w:eastAsia="宋体" w:cs="宋体"/>
          <w:color w:val="000000" w:themeColor="text1"/>
          <w:sz w:val="24"/>
          <w:szCs w:val="24"/>
          <w:highlight w:val="none"/>
          <w14:textFill>
            <w14:solidFill>
              <w14:schemeClr w14:val="tx1"/>
            </w14:solidFill>
          </w14:textFill>
        </w:rPr>
        <w:t>等，通过标准化的血液制备流程，可以按照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血细胞</w:t>
      </w:r>
      <w:r>
        <w:rPr>
          <w:rFonts w:hint="eastAsia" w:ascii="宋体" w:hAnsi="宋体" w:eastAsia="宋体" w:cs="宋体"/>
          <w:color w:val="000000" w:themeColor="text1"/>
          <w:sz w:val="24"/>
          <w:szCs w:val="24"/>
          <w:highlight w:val="none"/>
          <w14:textFill>
            <w14:solidFill>
              <w14:schemeClr w14:val="tx1"/>
            </w14:solidFill>
          </w14:textFill>
        </w:rPr>
        <w:t>生物特性分装并储存到满足组分活性适宜的温度及容器中，从而达到精准输血、一血多用，节约宝贵</w:t>
      </w:r>
      <w:r>
        <w:rPr>
          <w:rFonts w:hint="eastAsia" w:ascii="宋体" w:hAnsi="宋体" w:eastAsia="宋体" w:cs="宋体"/>
          <w:color w:val="auto"/>
          <w:sz w:val="24"/>
          <w:szCs w:val="24"/>
          <w:highlight w:val="none"/>
        </w:rPr>
        <w:t>的血液资源，救治更多的患者的效果，以保证临床供血安全、充分、有效。</w:t>
      </w:r>
    </w:p>
    <w:p>
      <w:pPr>
        <w:pBdr>
          <w:bottom w:val="single" w:color="auto" w:sz="4" w:space="1"/>
        </w:pBdr>
        <w:spacing w:before="312" w:beforeLines="100"/>
        <w:ind w:left="420" w:hanging="420"/>
        <w:rPr>
          <w:rFonts w:hint="eastAsia" w:ascii="宋体" w:hAnsi="宋体" w:eastAsia="宋体" w:cs="宋体"/>
          <w:b/>
          <w:color w:val="auto"/>
          <w:sz w:val="28"/>
          <w:szCs w:val="28"/>
        </w:rPr>
      </w:pPr>
      <w:r>
        <w:rPr>
          <w:rFonts w:hint="eastAsia" w:ascii="宋体" w:hAnsi="宋体" w:eastAsia="宋体" w:cs="宋体"/>
          <w:b/>
          <w:color w:val="auto"/>
          <w:sz w:val="28"/>
          <w:szCs w:val="28"/>
        </w:rPr>
        <w:t>二、采购内容（包括采购品目、规格和数量）</w:t>
      </w:r>
    </w:p>
    <w:p>
      <w:pPr>
        <w:rPr>
          <w:rFonts w:hint="eastAsia" w:ascii="宋体" w:hAnsi="宋体" w:eastAsia="宋体" w:cs="宋体"/>
          <w:color w:val="auto"/>
          <w:sz w:val="28"/>
          <w:szCs w:val="28"/>
        </w:rPr>
      </w:pPr>
    </w:p>
    <w:tbl>
      <w:tblPr>
        <w:tblStyle w:val="34"/>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536"/>
        <w:gridCol w:w="865"/>
        <w:gridCol w:w="93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tabs>
                <w:tab w:val="left" w:pos="480"/>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标段</w:t>
            </w:r>
          </w:p>
        </w:tc>
        <w:tc>
          <w:tcPr>
            <w:tcW w:w="4536" w:type="dxa"/>
            <w:vAlign w:val="center"/>
          </w:tcPr>
          <w:p>
            <w:pPr>
              <w:tabs>
                <w:tab w:val="left" w:pos="480"/>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物品名称</w:t>
            </w:r>
          </w:p>
        </w:tc>
        <w:tc>
          <w:tcPr>
            <w:tcW w:w="865" w:type="dxa"/>
            <w:vAlign w:val="center"/>
          </w:tcPr>
          <w:p>
            <w:pPr>
              <w:tabs>
                <w:tab w:val="left" w:pos="480"/>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930" w:type="dxa"/>
            <w:vAlign w:val="center"/>
          </w:tcPr>
          <w:p>
            <w:pPr>
              <w:tabs>
                <w:tab w:val="left" w:pos="480"/>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单位</w:t>
            </w:r>
          </w:p>
        </w:tc>
        <w:tc>
          <w:tcPr>
            <w:tcW w:w="1560" w:type="dxa"/>
            <w:vAlign w:val="center"/>
          </w:tcPr>
          <w:p>
            <w:pPr>
              <w:tabs>
                <w:tab w:val="left" w:pos="480"/>
              </w:tabs>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2" w:type="dxa"/>
            <w:vAlign w:val="center"/>
          </w:tcPr>
          <w:p>
            <w:pPr>
              <w:jc w:val="center"/>
              <w:rPr>
                <w:rFonts w:hint="eastAsia" w:ascii="宋体" w:hAnsi="宋体" w:eastAsia="宋体" w:cs="宋体"/>
                <w:color w:val="auto"/>
                <w:sz w:val="20"/>
              </w:rPr>
            </w:pPr>
            <w:r>
              <w:rPr>
                <w:rFonts w:hint="eastAsia" w:ascii="宋体" w:hAnsi="宋体" w:eastAsia="宋体" w:cs="宋体"/>
                <w:color w:val="auto"/>
                <w:sz w:val="20"/>
              </w:rPr>
              <w:t>7</w:t>
            </w:r>
          </w:p>
        </w:tc>
        <w:tc>
          <w:tcPr>
            <w:tcW w:w="4536" w:type="dxa"/>
            <w:vAlign w:val="center"/>
          </w:tcPr>
          <w:p>
            <w:pPr>
              <w:widowControl/>
              <w:jc w:val="left"/>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rPr>
              <w:t>血浆外包装袋</w:t>
            </w:r>
          </w:p>
        </w:tc>
        <w:tc>
          <w:tcPr>
            <w:tcW w:w="865"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 w:val="20"/>
              </w:rPr>
              <w:t>250000</w:t>
            </w:r>
          </w:p>
        </w:tc>
        <w:tc>
          <w:tcPr>
            <w:tcW w:w="930" w:type="dxa"/>
            <w:vAlign w:val="center"/>
          </w:tcPr>
          <w:p>
            <w:pPr>
              <w:widowControl/>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sz w:val="20"/>
              </w:rPr>
              <w:t>个</w:t>
            </w:r>
          </w:p>
        </w:tc>
        <w:tc>
          <w:tcPr>
            <w:tcW w:w="1560"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 w:val="20"/>
                <w:szCs w:val="20"/>
              </w:rPr>
              <w:t>445000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2" w:type="dxa"/>
            <w:vMerge w:val="restart"/>
            <w:vAlign w:val="center"/>
          </w:tcPr>
          <w:p>
            <w:pPr>
              <w:jc w:val="center"/>
              <w:rPr>
                <w:rFonts w:hint="eastAsia" w:ascii="宋体" w:hAnsi="宋体" w:eastAsia="宋体" w:cs="宋体"/>
                <w:color w:val="auto"/>
                <w:sz w:val="20"/>
              </w:rPr>
            </w:pPr>
            <w:r>
              <w:rPr>
                <w:rFonts w:hint="eastAsia" w:ascii="宋体" w:hAnsi="宋体" w:eastAsia="宋体" w:cs="宋体"/>
                <w:color w:val="auto"/>
                <w:sz w:val="20"/>
              </w:rPr>
              <w:t>8</w:t>
            </w:r>
          </w:p>
        </w:tc>
        <w:tc>
          <w:tcPr>
            <w:tcW w:w="4536" w:type="dxa"/>
            <w:vAlign w:val="center"/>
          </w:tcPr>
          <w:p>
            <w:pPr>
              <w:widowControl/>
              <w:textAlignment w:val="center"/>
              <w:rPr>
                <w:rFonts w:hint="eastAsia" w:ascii="宋体" w:hAnsi="宋体" w:eastAsia="宋体" w:cs="宋体"/>
                <w:color w:val="auto"/>
                <w:sz w:val="20"/>
              </w:rPr>
            </w:pPr>
            <w:r>
              <w:rPr>
                <w:rFonts w:hint="eastAsia" w:ascii="宋体" w:hAnsi="宋体" w:eastAsia="宋体" w:cs="宋体"/>
                <w:color w:val="auto"/>
                <w:kern w:val="0"/>
                <w:sz w:val="20"/>
                <w:szCs w:val="20"/>
              </w:rPr>
              <w:t>机制解冻去甘油红细胞耗材ACP235</w:t>
            </w:r>
            <w:r>
              <w:rPr>
                <w:rFonts w:hint="eastAsia" w:ascii="宋体" w:hAnsi="宋体" w:eastAsia="宋体" w:cs="宋体"/>
                <w:b/>
                <w:bCs/>
                <w:color w:val="auto"/>
                <w:kern w:val="0"/>
                <w:sz w:val="20"/>
                <w:szCs w:val="20"/>
                <w:lang w:eastAsia="zh-CN"/>
              </w:rPr>
              <w:t>（核心产品）</w:t>
            </w:r>
          </w:p>
        </w:tc>
        <w:tc>
          <w:tcPr>
            <w:tcW w:w="865" w:type="dxa"/>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sz w:val="20"/>
              </w:rPr>
              <w:t>200</w:t>
            </w:r>
          </w:p>
        </w:tc>
        <w:tc>
          <w:tcPr>
            <w:tcW w:w="930" w:type="dxa"/>
            <w:vAlign w:val="center"/>
          </w:tcPr>
          <w:p>
            <w:pPr>
              <w:widowControl/>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sz w:val="20"/>
              </w:rPr>
              <w:t>套</w:t>
            </w:r>
          </w:p>
        </w:tc>
        <w:tc>
          <w:tcPr>
            <w:tcW w:w="1560" w:type="dxa"/>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szCs w:val="20"/>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2" w:type="dxa"/>
            <w:vMerge w:val="continue"/>
            <w:vAlign w:val="center"/>
          </w:tcPr>
          <w:p>
            <w:pPr>
              <w:jc w:val="center"/>
              <w:rPr>
                <w:rFonts w:hint="eastAsia" w:ascii="宋体" w:hAnsi="宋体" w:eastAsia="宋体" w:cs="宋体"/>
                <w:color w:val="auto"/>
                <w:sz w:val="20"/>
              </w:rPr>
            </w:pPr>
          </w:p>
        </w:tc>
        <w:tc>
          <w:tcPr>
            <w:tcW w:w="4536" w:type="dxa"/>
            <w:vAlign w:val="center"/>
          </w:tcPr>
          <w:p>
            <w:pPr>
              <w:widowControl/>
              <w:textAlignment w:val="center"/>
              <w:rPr>
                <w:rFonts w:hint="eastAsia" w:ascii="宋体" w:hAnsi="宋体" w:eastAsia="宋体" w:cs="宋体"/>
                <w:color w:val="auto"/>
                <w:sz w:val="20"/>
              </w:rPr>
            </w:pPr>
            <w:r>
              <w:rPr>
                <w:rFonts w:hint="eastAsia" w:ascii="宋体" w:hAnsi="宋体" w:eastAsia="宋体" w:cs="宋体"/>
                <w:bCs/>
                <w:color w:val="auto"/>
                <w:sz w:val="20"/>
                <w:szCs w:val="20"/>
              </w:rPr>
              <w:t>机制冰冻红细胞耗材ACP225</w:t>
            </w:r>
          </w:p>
        </w:tc>
        <w:tc>
          <w:tcPr>
            <w:tcW w:w="865" w:type="dxa"/>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sz w:val="20"/>
              </w:rPr>
              <w:t>200</w:t>
            </w:r>
          </w:p>
        </w:tc>
        <w:tc>
          <w:tcPr>
            <w:tcW w:w="930" w:type="dxa"/>
            <w:vAlign w:val="center"/>
          </w:tcPr>
          <w:p>
            <w:pPr>
              <w:widowControl/>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sz w:val="20"/>
              </w:rPr>
              <w:t>套</w:t>
            </w:r>
          </w:p>
        </w:tc>
        <w:tc>
          <w:tcPr>
            <w:tcW w:w="1560" w:type="dxa"/>
            <w:vAlign w:val="center"/>
          </w:tcPr>
          <w:p>
            <w:pPr>
              <w:widowControl/>
              <w:jc w:val="center"/>
              <w:textAlignment w:val="center"/>
              <w:rPr>
                <w:rFonts w:hint="eastAsia" w:ascii="宋体" w:hAnsi="宋体" w:eastAsia="宋体" w:cs="宋体"/>
                <w:color w:val="auto"/>
                <w:sz w:val="20"/>
              </w:rPr>
            </w:pPr>
            <w:r>
              <w:rPr>
                <w:rFonts w:hint="eastAsia" w:ascii="宋体" w:hAnsi="宋体" w:eastAsia="宋体" w:cs="宋体"/>
                <w:color w:val="auto"/>
                <w:kern w:val="0"/>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043" w:type="dxa"/>
            <w:gridSpan w:val="4"/>
            <w:vAlign w:val="center"/>
          </w:tcPr>
          <w:p>
            <w:pPr>
              <w:jc w:val="center"/>
              <w:rPr>
                <w:rFonts w:hint="eastAsia" w:ascii="宋体" w:hAnsi="宋体" w:eastAsia="宋体" w:cs="宋体"/>
                <w:b/>
                <w:color w:val="auto"/>
                <w:szCs w:val="21"/>
              </w:rPr>
            </w:pPr>
            <w:r>
              <w:rPr>
                <w:rFonts w:hint="eastAsia" w:ascii="宋体" w:hAnsi="宋体" w:eastAsia="宋体" w:cs="宋体"/>
                <w:color w:val="auto"/>
                <w:szCs w:val="21"/>
              </w:rPr>
              <w:t>合计</w:t>
            </w:r>
          </w:p>
        </w:tc>
        <w:tc>
          <w:tcPr>
            <w:tcW w:w="1560" w:type="dxa"/>
            <w:vAlign w:val="center"/>
          </w:tcPr>
          <w:p>
            <w:pPr>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559000</w:t>
            </w:r>
          </w:p>
        </w:tc>
      </w:tr>
    </w:tbl>
    <w:p>
      <w:pPr>
        <w:pBdr>
          <w:bottom w:val="single" w:color="auto" w:sz="4" w:space="1"/>
        </w:pBdr>
        <w:spacing w:before="312" w:beforeLines="100"/>
        <w:ind w:left="420" w:hanging="420"/>
        <w:rPr>
          <w:rFonts w:hint="eastAsia" w:ascii="宋体" w:hAnsi="宋体" w:eastAsia="宋体" w:cs="宋体"/>
          <w:b/>
          <w:sz w:val="28"/>
          <w:szCs w:val="28"/>
        </w:rPr>
      </w:pPr>
      <w:r>
        <w:rPr>
          <w:rFonts w:hint="eastAsia" w:ascii="宋体" w:hAnsi="宋体" w:eastAsia="宋体" w:cs="宋体"/>
          <w:b/>
          <w:sz w:val="28"/>
          <w:szCs w:val="28"/>
        </w:rPr>
        <w:t>三、技术要求（包括对产品的认证、检验报告等）</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第七标段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血浆外包装袋</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1、适合-25℃温度下冰冻血浆的存储、运输，具有有防震减震和防渗漏的功能。</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2、袋体为气泡防震信封式塑料袋，上下两面分别用单层气泡塑料（气泡面向里）和透明塑料材质制作。采用聚乙烯膜材，信封的背面用气泡塑料,且气泡塑料面易于干胶黏贴，在-25℃</w:t>
      </w:r>
      <w:r>
        <w:rPr>
          <w:rFonts w:hint="eastAsia" w:ascii="宋体" w:hAnsi="宋体" w:eastAsia="宋体" w:cs="宋体"/>
          <w:color w:val="auto"/>
          <w:sz w:val="24"/>
          <w:szCs w:val="24"/>
          <w:lang w:eastAsia="zh-CN"/>
        </w:rPr>
        <w:t>以</w:t>
      </w:r>
      <w:r>
        <w:rPr>
          <w:rFonts w:hint="eastAsia" w:ascii="宋体" w:hAnsi="宋体" w:eastAsia="宋体" w:cs="宋体"/>
          <w:color w:val="auto"/>
          <w:sz w:val="24"/>
          <w:szCs w:val="24"/>
        </w:rPr>
        <w:t>下不易脱落，正面用透明塑料，信封口自带不干胶密封条，待装入冰冻血浆后密封血浆。包装完成后及储存过程中封口处不能脱落或自行打开</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（此项采购人将专门组织验收）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袋体透明一面（信封正面）为白色，表面手感顺滑，表面无杂质，不宜过软。电子扫描枪可以顺利扫描袋内血浆袋上的条形码。袋体左上方有本单位标识（九宫格左上方位置），大袋和小袋要有较明显的区别。该面为信封口，信封口处长4.0-4.5cm，自带不干胶密封条的长度是整个袋体的宽度，宽度不小于1cm。</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4、袋体气泡一面（信封背面）白色或淡蓝色，表面顺滑，气泡与贴膜紧密度强，不能剥脱。单层气泡在袋体里面，气泡厚度1-2mm，袋体外面顺滑平整，易与信封口的不干胶粘贴，保证包装袋封口牢固。</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5、袋体长度：大袋（200ml血浆）：正面 165-180mm，背面：160-170mm；宽度：160-165mm；小袋（100ml血浆）：正面 175-190mm，背面：140-150mm；宽度：130-135mm；特大号（冰冻红细胞）：270±5mm,内径宽度： 180±5mm。</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6、重量：小袋6-8g，大袋7-9g，特大号10-15g。</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7、数量：小</w:t>
      </w:r>
      <w:r>
        <w:rPr>
          <w:rFonts w:hint="eastAsia" w:ascii="宋体" w:hAnsi="宋体" w:eastAsia="宋体" w:cs="宋体"/>
          <w:color w:val="000000" w:themeColor="text1"/>
          <w:sz w:val="24"/>
          <w:szCs w:val="24"/>
          <w:highlight w:val="none"/>
          <w14:textFill>
            <w14:solidFill>
              <w14:schemeClr w14:val="tx1"/>
            </w14:solidFill>
          </w14:textFill>
        </w:rPr>
        <w:t>袋129700个；大袋1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0000个，特大袋300个。</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8、提供样品。（投标人应按照以上要求提供所投产品样品：大袋、小袋各</w:t>
      </w:r>
      <w:r>
        <w:rPr>
          <w:rFonts w:hint="eastAsia" w:ascii="宋体" w:hAnsi="宋体" w:eastAsia="宋体" w:cs="宋体"/>
          <w:b/>
          <w:bCs/>
          <w:color w:val="auto"/>
          <w:sz w:val="24"/>
          <w:szCs w:val="24"/>
          <w:highlight w:val="none"/>
          <w:lang w:val="en-US" w:eastAsia="zh-CN"/>
        </w:rPr>
        <w:t>5-10</w:t>
      </w:r>
      <w:r>
        <w:rPr>
          <w:rFonts w:hint="eastAsia" w:ascii="宋体" w:hAnsi="宋体" w:eastAsia="宋体" w:cs="宋体"/>
          <w:b/>
          <w:bCs/>
          <w:color w:val="auto"/>
          <w:sz w:val="24"/>
          <w:szCs w:val="24"/>
          <w:highlight w:val="none"/>
        </w:rPr>
        <w:t>个；</w:t>
      </w:r>
      <w:r>
        <w:rPr>
          <w:rFonts w:hint="eastAsia" w:ascii="宋体" w:hAnsi="宋体" w:eastAsia="宋体" w:cs="宋体"/>
          <w:b/>
          <w:bCs/>
          <w:color w:val="auto"/>
          <w:sz w:val="24"/>
          <w:szCs w:val="24"/>
        </w:rPr>
        <w:t>密封包 装，注明投标人名称，与投标文件同时递交，未递交或按时未递交，样品分不得分）。</w:t>
      </w:r>
    </w:p>
    <w:p>
      <w:pPr>
        <w:keepNext w:val="0"/>
        <w:keepLines w:val="0"/>
        <w:pageBreakBefore w:val="0"/>
        <w:widowControl/>
        <w:kinsoku/>
        <w:wordWrap/>
        <w:overflowPunct/>
        <w:topLinePunct w:val="0"/>
        <w:autoSpaceDE/>
        <w:autoSpaceDN/>
        <w:bidi w:val="0"/>
        <w:adjustRightInd/>
        <w:snapToGrid/>
        <w:spacing w:line="360" w:lineRule="auto"/>
        <w:ind w:firstLine="485" w:firstLineChars="196"/>
        <w:textAlignment w:val="auto"/>
        <w:rPr>
          <w:rFonts w:hint="eastAsia" w:ascii="宋体" w:hAnsi="宋体" w:eastAsia="宋体" w:cs="宋体"/>
          <w:b/>
          <w:color w:val="auto"/>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第八标段</w:t>
      </w:r>
    </w:p>
    <w:p>
      <w:pPr>
        <w:keepNext w:val="0"/>
        <w:keepLines w:val="0"/>
        <w:pageBreakBefore w:val="0"/>
        <w:widowControl/>
        <w:kinsoku/>
        <w:wordWrap/>
        <w:overflowPunct/>
        <w:topLinePunct w:val="0"/>
        <w:autoSpaceDE/>
        <w:autoSpaceDN/>
        <w:bidi w:val="0"/>
        <w:adjustRightInd/>
        <w:snapToGrid/>
        <w:spacing w:line="360" w:lineRule="auto"/>
        <w:ind w:firstLine="485"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8</w:t>
      </w:r>
      <w:r>
        <w:rPr>
          <w:rFonts w:hint="eastAsia" w:ascii="宋体" w:hAnsi="宋体" w:eastAsia="宋体" w:cs="宋体"/>
          <w:b/>
          <w:color w:val="auto"/>
          <w:sz w:val="24"/>
          <w:szCs w:val="24"/>
          <w:highlight w:val="none"/>
        </w:rPr>
        <w:t>.1机制冰冻解冻去</w:t>
      </w:r>
      <w:r>
        <w:rPr>
          <w:rFonts w:hint="eastAsia" w:ascii="宋体" w:hAnsi="宋体" w:eastAsia="宋体" w:cs="宋体"/>
          <w:b/>
          <w:color w:val="auto"/>
          <w:sz w:val="24"/>
          <w:szCs w:val="24"/>
        </w:rPr>
        <w:t>甘油红细胞耗材（ACP235）</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1、该耗材须与本单位现有制备冰冻解冻去甘油红细胞的设备ACP215匹配。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一套产品须包括：高渗溶液管路、洗涤溶液管路、添加液软管、细菌过滤器、溶液泵管、血液泵管、275ml的BMB离心杯、DPM过滤器、SPM过滤器、热合软管、红细胞成分血收集袋、废液袋和滑动夹组成。必须为密闭系统管路。</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3、耗材应有医疗器械注册证。</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4、使用该耗材制备的去甘油化洗涤后红细胞质控要求应该达到或优于GB18469-2012标准。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5、外包装应使用密封防压包装。</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6、运到单位的耗材有效期≥2年。</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485"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8.2机制冰冻红细胞耗材ACP225</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1、该耗材在无菌条件下加入甘油，适宜于红细胞冰冻保存；须与本单位现有制备冰冻解冻去甘油红细胞的设备ACP215匹配。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2、一套产品须包括：甘油溶液穿刺器、棘轮夹、血液泵管、细菌过滤器、DPM过滤器、滑动夹和热合软管组成。必须为密闭系统管路。</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3、耗材应有医疗器械注册证。</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4、外包装应使用密封包装。</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 w:val="24"/>
          <w:szCs w:val="24"/>
        </w:rPr>
        <w:t>5、运到单位的耗材有效期≥2年。</w:t>
      </w:r>
    </w:p>
    <w:p>
      <w:pPr>
        <w:pBdr>
          <w:bottom w:val="single" w:color="auto" w:sz="4" w:space="1"/>
        </w:pBdr>
        <w:spacing w:before="312" w:beforeLines="100"/>
        <w:ind w:left="420" w:hanging="420"/>
        <w:rPr>
          <w:rFonts w:hint="eastAsia" w:ascii="宋体" w:hAnsi="宋体" w:eastAsia="宋体" w:cs="宋体"/>
          <w:b/>
          <w:color w:val="auto"/>
          <w:sz w:val="24"/>
          <w:szCs w:val="24"/>
        </w:rPr>
      </w:pPr>
      <w:bookmarkStart w:id="76" w:name="_Toc100219615"/>
      <w:r>
        <w:rPr>
          <w:rFonts w:hint="eastAsia" w:ascii="宋体" w:hAnsi="宋体" w:eastAsia="宋体" w:cs="宋体"/>
          <w:b/>
          <w:color w:val="auto"/>
          <w:sz w:val="24"/>
          <w:szCs w:val="24"/>
        </w:rPr>
        <w:t>四、服务要求</w:t>
      </w:r>
    </w:p>
    <w:p>
      <w:pPr>
        <w:spacing w:line="400" w:lineRule="exact"/>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在合同执行过程中需要供应商应执行的伴随服务的服务标准或应当履行的相关义务。</w:t>
      </w:r>
    </w:p>
    <w:p>
      <w:pPr>
        <w:spacing w:line="400" w:lineRule="exact"/>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1、技术服务承诺：乙方免费提供必要的技术支持，包括现场指导、集中授课、专项操作等。</w:t>
      </w:r>
    </w:p>
    <w:p>
      <w:pPr>
        <w:spacing w:line="400" w:lineRule="exact"/>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2、售后服务承诺：甲方发现有质量或可能影响质量问题时，乙方接到通知后1小时内反应，24小时内到达现场解决问题。</w:t>
      </w:r>
    </w:p>
    <w:p>
      <w:pPr>
        <w:pBdr>
          <w:bottom w:val="single" w:color="auto" w:sz="4" w:space="1"/>
        </w:pBdr>
        <w:spacing w:before="312" w:beforeLines="100"/>
        <w:ind w:left="420" w:hanging="420"/>
        <w:rPr>
          <w:rFonts w:hint="eastAsia" w:ascii="宋体" w:hAnsi="宋体" w:eastAsia="宋体" w:cs="宋体"/>
          <w:b/>
          <w:color w:val="auto"/>
          <w:sz w:val="24"/>
          <w:szCs w:val="24"/>
        </w:rPr>
      </w:pPr>
      <w:r>
        <w:rPr>
          <w:rFonts w:hint="eastAsia" w:ascii="宋体" w:hAnsi="宋体" w:eastAsia="宋体" w:cs="宋体"/>
          <w:b/>
          <w:color w:val="auto"/>
          <w:sz w:val="24"/>
          <w:szCs w:val="24"/>
        </w:rPr>
        <w:t>五、商务要求</w:t>
      </w:r>
    </w:p>
    <w:p>
      <w:pPr>
        <w:ind w:firstLine="496" w:firstLineChars="200"/>
        <w:rPr>
          <w:rFonts w:hint="eastAsia" w:ascii="宋体" w:hAnsi="宋体" w:eastAsia="宋体" w:cs="宋体"/>
          <w:color w:val="auto"/>
          <w:sz w:val="22"/>
          <w:szCs w:val="24"/>
        </w:rPr>
      </w:pPr>
      <w:r>
        <w:rPr>
          <w:rFonts w:hint="eastAsia" w:ascii="宋体" w:hAnsi="宋体" w:eastAsia="宋体" w:cs="宋体"/>
          <w:color w:val="auto"/>
          <w:sz w:val="24"/>
          <w:szCs w:val="24"/>
        </w:rPr>
        <w:t>商务条款则是当事人自己需要权衡和决策的问题，主要是与经济利益密切</w:t>
      </w:r>
      <w:r>
        <w:rPr>
          <w:rFonts w:hint="eastAsia" w:ascii="宋体" w:hAnsi="宋体" w:eastAsia="宋体" w:cs="宋体"/>
          <w:color w:val="auto"/>
          <w:sz w:val="22"/>
          <w:szCs w:val="24"/>
        </w:rPr>
        <w:t>相关的交易标的、价格、付款条件等条款。</w:t>
      </w:r>
    </w:p>
    <w:p>
      <w:pPr>
        <w:spacing w:line="400" w:lineRule="exact"/>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一、供货期：自合同签订之日起一年之内，按需配送。</w:t>
      </w:r>
    </w:p>
    <w:p>
      <w:pPr>
        <w:spacing w:line="400" w:lineRule="exact"/>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二、交货时间：接到采购人订单之日起7日内交货。</w:t>
      </w:r>
    </w:p>
    <w:p>
      <w:pPr>
        <w:spacing w:line="400" w:lineRule="exact"/>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三、款项结算：合同签订后分批采购，分批付款。每批次产品经甲方确认合格后三个月内，按实际用量据实支付。</w:t>
      </w:r>
    </w:p>
    <w:p>
      <w:pPr>
        <w:spacing w:line="400" w:lineRule="exact"/>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四、交货地点：西安市中心血站指定地点。</w:t>
      </w:r>
    </w:p>
    <w:p>
      <w:pPr>
        <w:pBdr>
          <w:bottom w:val="single" w:color="auto" w:sz="4" w:space="1"/>
        </w:pBdr>
        <w:spacing w:before="312" w:beforeLines="100"/>
        <w:rPr>
          <w:rFonts w:hint="eastAsia" w:ascii="宋体" w:hAnsi="宋体" w:eastAsia="宋体" w:cs="宋体"/>
          <w:b/>
          <w:color w:val="auto"/>
          <w:sz w:val="24"/>
          <w:szCs w:val="24"/>
        </w:rPr>
      </w:pPr>
      <w:r>
        <w:rPr>
          <w:rFonts w:hint="eastAsia" w:ascii="宋体" w:hAnsi="宋体" w:eastAsia="宋体" w:cs="宋体"/>
          <w:b/>
          <w:color w:val="auto"/>
          <w:sz w:val="24"/>
          <w:szCs w:val="24"/>
        </w:rPr>
        <w:t>六、其他</w:t>
      </w:r>
    </w:p>
    <w:p>
      <w:pPr>
        <w:spacing w:line="400" w:lineRule="exact"/>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）产品质保期</w:t>
      </w:r>
    </w:p>
    <w:p>
      <w:pPr>
        <w:spacing w:line="400" w:lineRule="exact"/>
        <w:ind w:firstLine="496"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产品到血站后使用期</w:t>
      </w:r>
      <w:r>
        <w:rPr>
          <w:rFonts w:hint="eastAsia" w:ascii="宋体" w:hAnsi="宋体" w:eastAsia="宋体" w:cs="宋体"/>
          <w:color w:val="000000" w:themeColor="text1"/>
          <w:sz w:val="24"/>
          <w:szCs w:val="24"/>
          <w:highlight w:val="none"/>
          <w14:textFill>
            <w14:solidFill>
              <w14:schemeClr w14:val="tx1"/>
            </w14:solidFill>
          </w14:textFill>
        </w:rPr>
        <w:t>限：≥</w:t>
      </w: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14:textFill>
            <w14:solidFill>
              <w14:schemeClr w14:val="tx1"/>
            </w14:solidFill>
          </w14:textFill>
        </w:rPr>
        <w:t>。</w:t>
      </w:r>
    </w:p>
    <w:p>
      <w:pPr>
        <w:rPr>
          <w:rFonts w:hint="eastAsia" w:ascii="宋体" w:hAnsi="宋体" w:eastAsia="宋体" w:cs="宋体"/>
          <w:color w:val="auto"/>
          <w:sz w:val="28"/>
          <w:szCs w:val="28"/>
        </w:rPr>
      </w:pPr>
    </w:p>
    <w:p>
      <w:pPr>
        <w:rPr>
          <w:rFonts w:hint="eastAsia" w:ascii="宋体" w:hAnsi="宋体" w:eastAsia="宋体" w:cs="宋体"/>
        </w:rPr>
      </w:pPr>
      <w:r>
        <w:rPr>
          <w:rFonts w:hint="eastAsia" w:ascii="宋体" w:hAnsi="宋体" w:eastAsia="宋体" w:cs="宋体"/>
        </w:rPr>
        <w:br w:type="page"/>
      </w:r>
    </w:p>
    <w:p>
      <w:pPr>
        <w:pStyle w:val="4"/>
        <w:rPr>
          <w:rFonts w:hint="eastAsia" w:ascii="宋体" w:hAnsi="宋体" w:eastAsia="宋体" w:cs="宋体"/>
        </w:rPr>
      </w:pPr>
      <w:bookmarkStart w:id="77" w:name="_Toc23770"/>
      <w:r>
        <w:rPr>
          <w:rFonts w:hint="eastAsia" w:ascii="宋体" w:hAnsi="宋体" w:eastAsia="宋体" w:cs="宋体"/>
        </w:rPr>
        <w:t>第四章  合同文本</w:t>
      </w:r>
      <w:bookmarkEnd w:id="76"/>
      <w:bookmarkEnd w:id="77"/>
    </w:p>
    <w:p>
      <w:pPr>
        <w:spacing w:line="420" w:lineRule="exact"/>
        <w:rPr>
          <w:rFonts w:ascii="宋体" w:hAnsi="宋体"/>
          <w:color w:val="auto"/>
          <w:sz w:val="24"/>
        </w:rPr>
      </w:pPr>
      <w:bookmarkStart w:id="78" w:name="_Toc100219616"/>
      <w:r>
        <w:rPr>
          <w:rFonts w:hint="eastAsia" w:ascii="宋体" w:hAnsi="宋体"/>
          <w:color w:val="auto"/>
          <w:sz w:val="24"/>
        </w:rPr>
        <w:t>甲方：西安市中心血站</w:t>
      </w:r>
    </w:p>
    <w:p>
      <w:pPr>
        <w:spacing w:line="420" w:lineRule="exact"/>
        <w:rPr>
          <w:rFonts w:hint="eastAsia" w:ascii="宋体" w:hAnsi="宋体"/>
          <w:color w:val="auto"/>
          <w:sz w:val="24"/>
        </w:rPr>
      </w:pPr>
      <w:r>
        <w:rPr>
          <w:rFonts w:hint="eastAsia" w:ascii="宋体" w:hAnsi="宋体"/>
          <w:color w:val="auto"/>
          <w:sz w:val="24"/>
        </w:rPr>
        <w:t xml:space="preserve">乙方：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p>
    <w:p>
      <w:pPr>
        <w:spacing w:line="420" w:lineRule="exact"/>
        <w:rPr>
          <w:rFonts w:hint="eastAsia" w:ascii="宋体" w:hAnsi="宋体"/>
          <w:color w:val="auto"/>
          <w:sz w:val="24"/>
        </w:rPr>
      </w:pPr>
      <w:r>
        <w:rPr>
          <w:rFonts w:hint="eastAsia" w:ascii="宋体" w:hAnsi="宋体"/>
          <w:color w:val="auto"/>
          <w:sz w:val="24"/>
        </w:rPr>
        <w:t>项目名称：</w:t>
      </w:r>
      <w:r>
        <w:rPr>
          <w:rFonts w:hint="eastAsia" w:ascii="宋体" w:hAnsi="宋体" w:cs="宋体"/>
          <w:color w:val="auto"/>
          <w:kern w:val="0"/>
          <w:sz w:val="24"/>
          <w:szCs w:val="24"/>
        </w:rPr>
        <w:t xml:space="preserve">                        </w:t>
      </w:r>
    </w:p>
    <w:p>
      <w:pPr>
        <w:spacing w:line="460" w:lineRule="exact"/>
        <w:ind w:firstLine="485" w:firstLineChars="196"/>
        <w:rPr>
          <w:rFonts w:hint="eastAsia" w:ascii="宋体" w:hAnsi="宋体"/>
          <w:color w:val="auto"/>
          <w:sz w:val="24"/>
          <w:szCs w:val="24"/>
        </w:rPr>
      </w:pPr>
      <w:r>
        <w:rPr>
          <w:rFonts w:ascii="宋体" w:hAnsi="宋体"/>
          <w:b/>
          <w:bCs/>
          <w:color w:val="auto"/>
          <w:sz w:val="24"/>
          <w:szCs w:val="24"/>
          <w:lang w:val="zh-CN"/>
        </w:rPr>
        <w:t>一、合同内容:</w:t>
      </w:r>
      <w:r>
        <w:rPr>
          <w:rFonts w:hint="eastAsia" w:ascii="宋体" w:hAnsi="宋体"/>
          <w:b/>
          <w:bCs/>
          <w:color w:val="auto"/>
          <w:sz w:val="24"/>
          <w:szCs w:val="24"/>
          <w:lang w:val="zh-CN"/>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089"/>
        <w:gridCol w:w="1353"/>
        <w:gridCol w:w="1162"/>
        <w:gridCol w:w="1296"/>
        <w:gridCol w:w="1352"/>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rPr>
            </w:pPr>
            <w:r>
              <w:rPr>
                <w:rFonts w:hint="eastAsia"/>
                <w:color w:val="auto"/>
              </w:rPr>
              <w:t>序号</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rPr>
            </w:pPr>
            <w:r>
              <w:rPr>
                <w:rFonts w:hint="eastAsia"/>
                <w:color w:val="auto"/>
              </w:rPr>
              <w:t>物品名称</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r>
              <w:rPr>
                <w:rFonts w:hint="eastAsia"/>
                <w:color w:val="auto"/>
              </w:rPr>
              <w:t>制造厂商</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rPr>
            </w:pPr>
            <w:r>
              <w:rPr>
                <w:rFonts w:hint="eastAsia"/>
                <w:color w:val="auto"/>
              </w:rPr>
              <w:t>规格</w:t>
            </w:r>
          </w:p>
        </w:tc>
        <w:tc>
          <w:tcPr>
            <w:tcW w:w="1296" w:type="dxa"/>
            <w:tcBorders>
              <w:top w:val="single" w:color="auto" w:sz="4" w:space="0"/>
              <w:left w:val="single" w:color="auto" w:sz="4" w:space="0"/>
              <w:right w:val="single" w:color="auto" w:sz="4" w:space="0"/>
            </w:tcBorders>
            <w:noWrap w:val="0"/>
            <w:vAlign w:val="center"/>
          </w:tcPr>
          <w:p>
            <w:pPr>
              <w:jc w:val="center"/>
              <w:rPr>
                <w:rFonts w:hint="eastAsia"/>
                <w:color w:val="auto"/>
              </w:rPr>
            </w:pPr>
            <w:r>
              <w:rPr>
                <w:rFonts w:hint="eastAsia"/>
                <w:color w:val="auto"/>
              </w:rPr>
              <w:t>单价（元）</w:t>
            </w:r>
          </w:p>
        </w:tc>
        <w:tc>
          <w:tcPr>
            <w:tcW w:w="1352" w:type="dxa"/>
            <w:tcBorders>
              <w:top w:val="single" w:color="auto" w:sz="4" w:space="0"/>
              <w:left w:val="single" w:color="auto" w:sz="4" w:space="0"/>
              <w:right w:val="single" w:color="auto" w:sz="4" w:space="0"/>
            </w:tcBorders>
            <w:noWrap w:val="0"/>
            <w:vAlign w:val="center"/>
          </w:tcPr>
          <w:p>
            <w:pPr>
              <w:jc w:val="center"/>
              <w:rPr>
                <w:color w:val="auto"/>
              </w:rPr>
            </w:pPr>
            <w:r>
              <w:rPr>
                <w:rFonts w:hint="eastAsia"/>
                <w:color w:val="auto"/>
              </w:rPr>
              <w:t>数量（套）</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rPr>
            </w:pPr>
            <w:r>
              <w:rPr>
                <w:rFonts w:hint="eastAsia"/>
                <w:color w:val="auto"/>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rPr>
            </w:pPr>
            <w:r>
              <w:rPr>
                <w:rFonts w:hint="eastAsia"/>
                <w:color w:val="auto"/>
              </w:rPr>
              <w:t>1</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p>
        </w:tc>
        <w:tc>
          <w:tcPr>
            <w:tcW w:w="1296" w:type="dxa"/>
            <w:tcBorders>
              <w:left w:val="single" w:color="auto" w:sz="4" w:space="0"/>
              <w:bottom w:val="single" w:color="auto" w:sz="4" w:space="0"/>
              <w:right w:val="single" w:color="auto" w:sz="4" w:space="0"/>
            </w:tcBorders>
            <w:noWrap w:val="0"/>
            <w:vAlign w:val="center"/>
          </w:tcPr>
          <w:p>
            <w:pPr>
              <w:jc w:val="center"/>
              <w:rPr>
                <w:rFonts w:hint="eastAsia"/>
                <w:color w:val="auto"/>
              </w:rPr>
            </w:pPr>
          </w:p>
        </w:tc>
        <w:tc>
          <w:tcPr>
            <w:tcW w:w="1352" w:type="dxa"/>
            <w:tcBorders>
              <w:left w:val="single" w:color="auto" w:sz="4" w:space="0"/>
              <w:bottom w:val="single" w:color="auto" w:sz="4" w:space="0"/>
              <w:right w:val="single" w:color="auto" w:sz="4" w:space="0"/>
            </w:tcBorders>
            <w:noWrap w:val="0"/>
            <w:vAlign w:val="center"/>
          </w:tcPr>
          <w:p>
            <w:pPr>
              <w:jc w:val="center"/>
              <w:rPr>
                <w:rFonts w:hint="eastAsia"/>
                <w:color w:val="auto"/>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p>
        </w:tc>
      </w:tr>
    </w:tbl>
    <w:p>
      <w:pPr>
        <w:spacing w:line="360" w:lineRule="exact"/>
        <w:ind w:firstLine="496" w:firstLineChars="200"/>
        <w:rPr>
          <w:rFonts w:ascii="宋体" w:hAnsi="宋体"/>
          <w:b/>
          <w:color w:val="auto"/>
          <w:sz w:val="24"/>
          <w:szCs w:val="24"/>
        </w:rPr>
      </w:pPr>
      <w:r>
        <w:rPr>
          <w:rFonts w:ascii="宋体" w:hAnsi="宋体"/>
          <w:b/>
          <w:color w:val="auto"/>
          <w:sz w:val="24"/>
          <w:szCs w:val="24"/>
        </w:rPr>
        <w:t>二、合同价款</w:t>
      </w:r>
    </w:p>
    <w:p>
      <w:pPr>
        <w:spacing w:line="360" w:lineRule="exact"/>
        <w:ind w:firstLine="496" w:firstLineChars="200"/>
        <w:rPr>
          <w:rFonts w:hint="eastAsia" w:ascii="宋体" w:hAnsi="宋体"/>
          <w:color w:val="auto"/>
          <w:sz w:val="24"/>
          <w:szCs w:val="24"/>
        </w:rPr>
      </w:pPr>
      <w:r>
        <w:rPr>
          <w:rFonts w:ascii="宋体" w:hAnsi="宋体"/>
          <w:color w:val="auto"/>
          <w:sz w:val="24"/>
          <w:szCs w:val="24"/>
        </w:rPr>
        <w:t>1、合同总价：</w:t>
      </w:r>
      <w:r>
        <w:rPr>
          <w:rFonts w:hint="eastAsia" w:ascii="宋体" w:hAnsi="宋体"/>
          <w:color w:val="auto"/>
          <w:sz w:val="24"/>
          <w:szCs w:val="24"/>
        </w:rPr>
        <w:t>人民币</w:t>
      </w:r>
      <w:r>
        <w:rPr>
          <w:rFonts w:hint="eastAsia" w:ascii="宋体" w:hAnsi="宋体"/>
          <w:color w:val="auto"/>
          <w:sz w:val="24"/>
          <w:szCs w:val="24"/>
          <w:u w:val="single"/>
        </w:rPr>
        <w:t xml:space="preserve">                  </w:t>
      </w:r>
      <w:r>
        <w:rPr>
          <w:rFonts w:hint="eastAsia" w:ascii="宋体" w:hAnsi="宋体"/>
          <w:color w:val="auto"/>
          <w:sz w:val="24"/>
          <w:szCs w:val="24"/>
        </w:rPr>
        <w:t>元整 （￥0.00元）。</w:t>
      </w:r>
    </w:p>
    <w:p>
      <w:pPr>
        <w:spacing w:line="360" w:lineRule="exact"/>
        <w:ind w:firstLine="496" w:firstLineChars="200"/>
        <w:rPr>
          <w:rFonts w:hint="eastAsia" w:ascii="宋体" w:hAnsi="宋体"/>
          <w:color w:val="auto"/>
          <w:sz w:val="24"/>
          <w:szCs w:val="24"/>
        </w:rPr>
      </w:pPr>
      <w:r>
        <w:rPr>
          <w:rFonts w:ascii="宋体" w:hAnsi="宋体"/>
          <w:color w:val="auto"/>
          <w:sz w:val="24"/>
          <w:szCs w:val="24"/>
        </w:rPr>
        <w:t>2、合同总价包括：</w:t>
      </w:r>
      <w:r>
        <w:rPr>
          <w:rFonts w:hint="eastAsia" w:ascii="宋体" w:hAnsi="宋体"/>
          <w:color w:val="auto"/>
          <w:sz w:val="24"/>
          <w:szCs w:val="24"/>
        </w:rPr>
        <w:t>税费、培训费、产品费、运杂费</w:t>
      </w:r>
      <w:r>
        <w:rPr>
          <w:rFonts w:ascii="宋体" w:hAnsi="宋体"/>
          <w:color w:val="auto"/>
          <w:sz w:val="24"/>
          <w:szCs w:val="24"/>
        </w:rPr>
        <w:t>及其它相关的费用。</w:t>
      </w:r>
    </w:p>
    <w:p>
      <w:pPr>
        <w:spacing w:line="360" w:lineRule="exact"/>
        <w:ind w:firstLine="496" w:firstLineChars="200"/>
        <w:rPr>
          <w:rFonts w:ascii="宋体" w:hAnsi="宋体"/>
          <w:color w:val="auto"/>
          <w:sz w:val="24"/>
          <w:szCs w:val="24"/>
        </w:rPr>
      </w:pPr>
      <w:r>
        <w:rPr>
          <w:rFonts w:ascii="宋体" w:hAnsi="宋体"/>
          <w:color w:val="auto"/>
          <w:sz w:val="24"/>
          <w:szCs w:val="24"/>
        </w:rPr>
        <w:t>3、合同</w:t>
      </w:r>
      <w:r>
        <w:rPr>
          <w:rFonts w:hint="eastAsia" w:ascii="宋体" w:hAnsi="宋体"/>
          <w:color w:val="auto"/>
          <w:sz w:val="24"/>
          <w:szCs w:val="24"/>
        </w:rPr>
        <w:t>单价</w:t>
      </w:r>
      <w:r>
        <w:rPr>
          <w:rFonts w:ascii="宋体" w:hAnsi="宋体"/>
          <w:color w:val="auto"/>
          <w:sz w:val="24"/>
          <w:szCs w:val="24"/>
        </w:rPr>
        <w:t>一次包死，不受市场价变化的影响。</w:t>
      </w:r>
      <w:r>
        <w:rPr>
          <w:rFonts w:hint="eastAsia" w:ascii="宋体" w:hAnsi="宋体"/>
          <w:color w:val="auto"/>
          <w:sz w:val="24"/>
          <w:szCs w:val="24"/>
        </w:rPr>
        <w:t>最终付款总价以甲方实际使用数量为准。</w:t>
      </w:r>
    </w:p>
    <w:p>
      <w:pPr>
        <w:spacing w:line="360" w:lineRule="exact"/>
        <w:ind w:firstLine="496" w:firstLineChars="200"/>
        <w:rPr>
          <w:rFonts w:ascii="宋体" w:hAnsi="宋体"/>
          <w:b/>
          <w:color w:val="auto"/>
          <w:sz w:val="24"/>
          <w:szCs w:val="24"/>
        </w:rPr>
      </w:pPr>
      <w:r>
        <w:rPr>
          <w:rFonts w:ascii="宋体" w:hAnsi="宋体"/>
          <w:b/>
          <w:color w:val="auto"/>
          <w:sz w:val="24"/>
          <w:szCs w:val="24"/>
        </w:rPr>
        <w:t>三、合同结算</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1</w:t>
      </w:r>
      <w:r>
        <w:rPr>
          <w:rFonts w:ascii="宋体" w:hAnsi="宋体"/>
          <w:color w:val="auto"/>
          <w:sz w:val="24"/>
          <w:szCs w:val="24"/>
        </w:rPr>
        <w:t>、</w:t>
      </w:r>
      <w:r>
        <w:rPr>
          <w:rFonts w:hint="eastAsia" w:ascii="宋体" w:hAnsi="宋体"/>
          <w:color w:val="auto"/>
          <w:sz w:val="24"/>
          <w:szCs w:val="24"/>
        </w:rPr>
        <w:t>款项结算</w:t>
      </w:r>
      <w:r>
        <w:rPr>
          <w:rFonts w:ascii="宋体" w:hAnsi="宋体"/>
          <w:color w:val="auto"/>
          <w:sz w:val="24"/>
          <w:szCs w:val="24"/>
        </w:rPr>
        <w:t>：</w:t>
      </w:r>
      <w:r>
        <w:rPr>
          <w:rFonts w:hint="eastAsia" w:ascii="宋体" w:hAnsi="宋体"/>
          <w:color w:val="auto"/>
          <w:sz w:val="24"/>
          <w:szCs w:val="24"/>
        </w:rPr>
        <w:t>合同签订后分批采购，分批付款。每批次产品经甲方确认合格后三个月内，按实际用量据实支付。</w:t>
      </w:r>
    </w:p>
    <w:p>
      <w:pPr>
        <w:spacing w:line="360" w:lineRule="exact"/>
        <w:ind w:firstLine="496" w:firstLineChars="200"/>
        <w:rPr>
          <w:rFonts w:hint="eastAsia" w:ascii="宋体" w:hAnsi="宋体"/>
          <w:b/>
          <w:color w:val="auto"/>
          <w:sz w:val="24"/>
          <w:szCs w:val="24"/>
        </w:rPr>
      </w:pPr>
      <w:r>
        <w:rPr>
          <w:rFonts w:ascii="宋体" w:hAnsi="宋体"/>
          <w:b/>
          <w:color w:val="auto"/>
          <w:sz w:val="24"/>
          <w:szCs w:val="24"/>
        </w:rPr>
        <w:t>四、交货条件</w:t>
      </w:r>
    </w:p>
    <w:p>
      <w:pPr>
        <w:spacing w:line="360" w:lineRule="exact"/>
        <w:ind w:firstLine="496"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交货</w:t>
      </w:r>
      <w:r>
        <w:rPr>
          <w:rFonts w:ascii="宋体" w:hAnsi="宋体"/>
          <w:color w:val="auto"/>
          <w:sz w:val="24"/>
          <w:szCs w:val="24"/>
          <w:highlight w:val="none"/>
        </w:rPr>
        <w:t>地点：</w:t>
      </w:r>
      <w:r>
        <w:rPr>
          <w:rFonts w:hint="eastAsia" w:ascii="宋体" w:hAnsi="宋体"/>
          <w:color w:val="auto"/>
          <w:sz w:val="24"/>
          <w:szCs w:val="24"/>
          <w:highlight w:val="none"/>
        </w:rPr>
        <w:t>采购人指定地点。</w:t>
      </w:r>
    </w:p>
    <w:p>
      <w:pPr>
        <w:spacing w:line="360" w:lineRule="exact"/>
        <w:ind w:firstLine="496"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、供货期：自合同签订之日起</w:t>
      </w:r>
      <w:r>
        <w:rPr>
          <w:rFonts w:hint="eastAsia" w:ascii="宋体" w:hAnsi="宋体"/>
          <w:color w:val="auto"/>
          <w:sz w:val="24"/>
          <w:szCs w:val="24"/>
          <w:u w:val="single"/>
        </w:rPr>
        <w:t xml:space="preserve">      </w:t>
      </w:r>
      <w:r>
        <w:rPr>
          <w:rFonts w:hint="eastAsia" w:ascii="宋体" w:hAnsi="宋体"/>
          <w:color w:val="auto"/>
          <w:sz w:val="24"/>
          <w:szCs w:val="24"/>
          <w:highlight w:val="none"/>
        </w:rPr>
        <w:t>年之内，按需配送。</w:t>
      </w:r>
    </w:p>
    <w:p>
      <w:pPr>
        <w:spacing w:line="360" w:lineRule="exact"/>
        <w:ind w:firstLine="496"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、交货时间：接到采购人订单之日起</w:t>
      </w:r>
      <w:r>
        <w:rPr>
          <w:rFonts w:hint="eastAsia" w:ascii="宋体" w:hAnsi="宋体"/>
          <w:color w:val="auto"/>
          <w:sz w:val="24"/>
          <w:szCs w:val="24"/>
          <w:u w:val="single"/>
        </w:rPr>
        <w:t xml:space="preserve">      </w:t>
      </w:r>
      <w:r>
        <w:rPr>
          <w:rFonts w:hint="eastAsia" w:ascii="宋体" w:hAnsi="宋体"/>
          <w:color w:val="auto"/>
          <w:sz w:val="24"/>
          <w:szCs w:val="24"/>
          <w:highlight w:val="none"/>
        </w:rPr>
        <w:t>日内交货。</w:t>
      </w:r>
    </w:p>
    <w:p>
      <w:pPr>
        <w:spacing w:line="360" w:lineRule="exact"/>
        <w:ind w:firstLine="496" w:firstLineChars="200"/>
        <w:rPr>
          <w:rFonts w:hint="eastAsia" w:ascii="宋体" w:hAnsi="宋体"/>
          <w:b/>
          <w:color w:val="auto"/>
          <w:sz w:val="24"/>
          <w:szCs w:val="24"/>
        </w:rPr>
      </w:pPr>
      <w:r>
        <w:rPr>
          <w:rFonts w:ascii="宋体" w:hAnsi="宋体"/>
          <w:b/>
          <w:color w:val="auto"/>
          <w:sz w:val="24"/>
          <w:szCs w:val="24"/>
        </w:rPr>
        <w:t>五、</w:t>
      </w:r>
      <w:r>
        <w:rPr>
          <w:rFonts w:hint="eastAsia" w:ascii="宋体" w:hAnsi="宋体"/>
          <w:b/>
          <w:color w:val="auto"/>
          <w:sz w:val="24"/>
          <w:szCs w:val="24"/>
        </w:rPr>
        <w:t>货物</w:t>
      </w:r>
      <w:r>
        <w:rPr>
          <w:rFonts w:ascii="宋体" w:hAnsi="宋体"/>
          <w:b/>
          <w:color w:val="auto"/>
          <w:sz w:val="24"/>
          <w:szCs w:val="24"/>
        </w:rPr>
        <w:t>运输</w:t>
      </w:r>
    </w:p>
    <w:p>
      <w:pPr>
        <w:spacing w:line="360" w:lineRule="exact"/>
        <w:ind w:firstLine="496" w:firstLineChars="200"/>
        <w:rPr>
          <w:rFonts w:hint="eastAsia" w:ascii="宋体" w:hAnsi="宋体"/>
          <w:color w:val="auto"/>
          <w:sz w:val="24"/>
          <w:szCs w:val="24"/>
        </w:rPr>
      </w:pPr>
      <w:r>
        <w:rPr>
          <w:rFonts w:ascii="宋体" w:hAnsi="宋体"/>
          <w:color w:val="auto"/>
          <w:sz w:val="24"/>
          <w:szCs w:val="24"/>
        </w:rPr>
        <w:t>1、乙方负责所有货物的运输。确保货物安全、完整到达使用地点，运杂费用包含在总价内，包括货物从供货地点到</w:t>
      </w:r>
      <w:r>
        <w:rPr>
          <w:rFonts w:hint="eastAsia" w:ascii="宋体" w:hAnsi="宋体"/>
          <w:color w:val="auto"/>
          <w:sz w:val="24"/>
          <w:szCs w:val="24"/>
        </w:rPr>
        <w:t>采购人指定</w:t>
      </w:r>
      <w:r>
        <w:rPr>
          <w:rFonts w:ascii="宋体" w:hAnsi="宋体"/>
          <w:color w:val="auto"/>
          <w:sz w:val="24"/>
          <w:szCs w:val="24"/>
        </w:rPr>
        <w:t>地点的运输费、保险费、搬运费等</w:t>
      </w:r>
      <w:r>
        <w:rPr>
          <w:rFonts w:hint="eastAsia" w:ascii="宋体" w:hAnsi="宋体"/>
          <w:color w:val="auto"/>
          <w:sz w:val="24"/>
          <w:szCs w:val="24"/>
        </w:rPr>
        <w:t>相关费用</w:t>
      </w:r>
      <w:r>
        <w:rPr>
          <w:rFonts w:ascii="宋体" w:hAnsi="宋体"/>
          <w:color w:val="auto"/>
          <w:sz w:val="24"/>
          <w:szCs w:val="24"/>
        </w:rPr>
        <w:t>。</w:t>
      </w:r>
    </w:p>
    <w:p>
      <w:pPr>
        <w:spacing w:line="360" w:lineRule="exact"/>
        <w:ind w:firstLine="496" w:firstLineChars="200"/>
        <w:rPr>
          <w:rFonts w:hint="eastAsia" w:ascii="宋体" w:hAnsi="宋体"/>
          <w:color w:val="auto"/>
          <w:sz w:val="24"/>
          <w:szCs w:val="24"/>
        </w:rPr>
      </w:pPr>
      <w:r>
        <w:rPr>
          <w:rFonts w:ascii="宋体" w:hAnsi="宋体"/>
          <w:color w:val="auto"/>
          <w:sz w:val="24"/>
          <w:szCs w:val="24"/>
        </w:rPr>
        <w:t>2、所</w:t>
      </w:r>
      <w:r>
        <w:rPr>
          <w:rFonts w:hint="eastAsia" w:ascii="宋体" w:hAnsi="宋体"/>
          <w:color w:val="auto"/>
          <w:sz w:val="24"/>
          <w:szCs w:val="24"/>
        </w:rPr>
        <w:t>供</w:t>
      </w:r>
      <w:r>
        <w:rPr>
          <w:rFonts w:ascii="宋体" w:hAnsi="宋体"/>
          <w:color w:val="auto"/>
          <w:sz w:val="24"/>
          <w:szCs w:val="24"/>
        </w:rPr>
        <w:t>货物在运输、搬运、安装的过程中，造成甲方</w:t>
      </w:r>
      <w:r>
        <w:rPr>
          <w:rFonts w:hint="eastAsia" w:ascii="宋体" w:hAnsi="宋体"/>
          <w:color w:val="auto"/>
          <w:sz w:val="24"/>
          <w:szCs w:val="24"/>
        </w:rPr>
        <w:t>财产</w:t>
      </w:r>
      <w:r>
        <w:rPr>
          <w:rFonts w:ascii="宋体" w:hAnsi="宋体"/>
          <w:color w:val="auto"/>
          <w:sz w:val="24"/>
          <w:szCs w:val="24"/>
        </w:rPr>
        <w:t>损失</w:t>
      </w:r>
      <w:r>
        <w:rPr>
          <w:rFonts w:hint="eastAsia" w:ascii="宋体" w:hAnsi="宋体"/>
          <w:color w:val="auto"/>
          <w:sz w:val="24"/>
          <w:szCs w:val="24"/>
        </w:rPr>
        <w:t>和人员受伤的</w:t>
      </w:r>
      <w:r>
        <w:rPr>
          <w:rFonts w:ascii="宋体" w:hAnsi="宋体"/>
          <w:color w:val="auto"/>
          <w:sz w:val="24"/>
          <w:szCs w:val="24"/>
        </w:rPr>
        <w:t>的，由乙方为甲方修复</w:t>
      </w:r>
      <w:r>
        <w:rPr>
          <w:rFonts w:hint="eastAsia" w:ascii="宋体" w:hAnsi="宋体"/>
          <w:color w:val="auto"/>
          <w:sz w:val="24"/>
          <w:szCs w:val="24"/>
        </w:rPr>
        <w:t>、</w:t>
      </w:r>
      <w:r>
        <w:rPr>
          <w:rFonts w:ascii="宋体" w:hAnsi="宋体"/>
          <w:color w:val="auto"/>
          <w:sz w:val="24"/>
          <w:szCs w:val="24"/>
        </w:rPr>
        <w:t>更新</w:t>
      </w:r>
      <w:r>
        <w:rPr>
          <w:rFonts w:hint="eastAsia" w:ascii="宋体" w:hAnsi="宋体"/>
          <w:color w:val="auto"/>
          <w:sz w:val="24"/>
          <w:szCs w:val="24"/>
        </w:rPr>
        <w:t>和治疗,所产生费用由乙方承担</w:t>
      </w:r>
      <w:r>
        <w:rPr>
          <w:rFonts w:ascii="宋体" w:hAnsi="宋体"/>
          <w:color w:val="auto"/>
          <w:sz w:val="24"/>
          <w:szCs w:val="24"/>
        </w:rPr>
        <w:t>。</w:t>
      </w:r>
    </w:p>
    <w:p>
      <w:pPr>
        <w:spacing w:line="360" w:lineRule="exact"/>
        <w:ind w:firstLine="496" w:firstLineChars="200"/>
        <w:rPr>
          <w:rFonts w:hint="eastAsia" w:ascii="宋体" w:hAnsi="宋体"/>
          <w:b/>
          <w:color w:val="auto"/>
          <w:sz w:val="24"/>
          <w:szCs w:val="24"/>
        </w:rPr>
      </w:pPr>
      <w:r>
        <w:rPr>
          <w:rFonts w:ascii="宋体" w:hAnsi="宋体"/>
          <w:b/>
          <w:color w:val="auto"/>
          <w:sz w:val="24"/>
          <w:szCs w:val="24"/>
        </w:rPr>
        <w:t>六、质量保证</w:t>
      </w:r>
    </w:p>
    <w:p>
      <w:pPr>
        <w:tabs>
          <w:tab w:val="left" w:pos="480"/>
        </w:tabs>
        <w:spacing w:line="400" w:lineRule="exact"/>
        <w:ind w:firstLine="485" w:firstLineChars="196"/>
        <w:rPr>
          <w:rFonts w:ascii="宋体"/>
          <w:sz w:val="24"/>
        </w:rPr>
      </w:pPr>
      <w:r>
        <w:rPr>
          <w:rFonts w:hint="eastAsia" w:ascii="宋体" w:hAnsi="宋体"/>
          <w:sz w:val="24"/>
          <w:lang w:val="en-US" w:eastAsia="zh-CN"/>
        </w:rPr>
        <w:t>1</w:t>
      </w:r>
      <w:r>
        <w:rPr>
          <w:rFonts w:hint="eastAsia" w:ascii="宋体" w:hAnsi="宋体"/>
          <w:sz w:val="24"/>
        </w:rPr>
        <w:t>、使用中因乙方产品质量所引发的各种赔偿责任（如医疗纠纷）由厂家或供货商负责协调解决。</w:t>
      </w:r>
    </w:p>
    <w:p>
      <w:pPr>
        <w:tabs>
          <w:tab w:val="left" w:pos="480"/>
        </w:tabs>
        <w:spacing w:line="400" w:lineRule="exact"/>
        <w:ind w:firstLine="485" w:firstLineChars="196"/>
        <w:rPr>
          <w:rFonts w:ascii="宋体"/>
          <w:sz w:val="24"/>
        </w:rPr>
      </w:pPr>
      <w:r>
        <w:rPr>
          <w:rFonts w:hint="eastAsia" w:ascii="宋体" w:hAnsi="宋体"/>
          <w:sz w:val="24"/>
          <w:lang w:val="en-US" w:eastAsia="zh-CN"/>
        </w:rPr>
        <w:t>2</w:t>
      </w:r>
      <w:r>
        <w:rPr>
          <w:rFonts w:hint="eastAsia" w:ascii="宋体" w:hAnsi="宋体"/>
          <w:sz w:val="24"/>
        </w:rPr>
        <w:t>、因质量问题题而发生的争议，由具有资质的法定部门做出质量鉴定，该检验结果为最终结果。</w:t>
      </w:r>
    </w:p>
    <w:p>
      <w:pPr>
        <w:spacing w:line="360" w:lineRule="exact"/>
        <w:ind w:firstLine="496" w:firstLineChars="200"/>
        <w:rPr>
          <w:rFonts w:ascii="宋体" w:hAnsi="宋体"/>
          <w:b/>
          <w:color w:val="auto"/>
          <w:sz w:val="24"/>
          <w:szCs w:val="24"/>
        </w:rPr>
      </w:pPr>
      <w:r>
        <w:rPr>
          <w:rFonts w:hint="eastAsia" w:ascii="宋体" w:hAnsi="宋体"/>
          <w:b/>
          <w:color w:val="auto"/>
          <w:sz w:val="24"/>
          <w:szCs w:val="24"/>
        </w:rPr>
        <w:t>七、货物</w:t>
      </w:r>
      <w:r>
        <w:rPr>
          <w:rFonts w:ascii="宋体" w:hAnsi="宋体"/>
          <w:b/>
          <w:color w:val="auto"/>
          <w:sz w:val="24"/>
          <w:szCs w:val="24"/>
        </w:rPr>
        <w:t>验收</w:t>
      </w:r>
    </w:p>
    <w:p>
      <w:pPr>
        <w:spacing w:line="360" w:lineRule="exact"/>
        <w:ind w:firstLine="496" w:firstLineChars="200"/>
        <w:rPr>
          <w:rFonts w:ascii="宋体" w:hAnsi="宋体"/>
          <w:color w:val="auto"/>
          <w:sz w:val="24"/>
          <w:szCs w:val="24"/>
        </w:rPr>
      </w:pPr>
      <w:r>
        <w:rPr>
          <w:rFonts w:hint="eastAsia" w:ascii="宋体" w:hAnsi="宋体"/>
          <w:color w:val="auto"/>
          <w:sz w:val="24"/>
          <w:szCs w:val="24"/>
        </w:rPr>
        <w:t>由采购人和供应商共同对项目整体进行验收，应当在15个日历日内完成。其内容包括确认产品的产地、规格、型号、数量、包装等，对其产品技术指标、性能参数是否达到现行国家有关验收规范</w:t>
      </w:r>
      <w:r>
        <w:rPr>
          <w:rFonts w:ascii="宋体" w:hAnsi="宋体"/>
          <w:color w:val="auto"/>
          <w:sz w:val="24"/>
          <w:szCs w:val="24"/>
        </w:rPr>
        <w:t>“</w:t>
      </w:r>
      <w:r>
        <w:rPr>
          <w:rFonts w:hint="eastAsia" w:ascii="宋体" w:hAnsi="宋体"/>
          <w:color w:val="auto"/>
          <w:sz w:val="24"/>
          <w:szCs w:val="24"/>
        </w:rPr>
        <w:t>合格</w:t>
      </w:r>
      <w:r>
        <w:rPr>
          <w:rFonts w:ascii="宋体" w:hAnsi="宋体"/>
          <w:color w:val="auto"/>
          <w:sz w:val="24"/>
          <w:szCs w:val="24"/>
        </w:rPr>
        <w:t>”</w:t>
      </w:r>
      <w:r>
        <w:rPr>
          <w:rFonts w:hint="eastAsia" w:ascii="宋体" w:hAnsi="宋体"/>
          <w:color w:val="auto"/>
          <w:sz w:val="24"/>
          <w:szCs w:val="24"/>
        </w:rPr>
        <w:t>标准进行逐项检查。</w:t>
      </w:r>
    </w:p>
    <w:p>
      <w:pPr>
        <w:spacing w:line="360" w:lineRule="exact"/>
        <w:ind w:firstLine="496"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所验产品的指标、性能参数通过验收达不到招标文件要求和投标响应文件承诺的，或在使用中发现采购人不能容忍的缺陷等，将视为产品验收不合格，供应商应无条件免费更换或退货。</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若发现供应商有弄虚作假的，在招标阶段故意或随意夸大产品技术性能，供应商应无条件退货，并赔偿采购人相应的损失。</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验收标准：按招标文件、招标响应文件及澄清函等技术指标进行验收。各项指标均应符合验收标准及要求。</w:t>
      </w:r>
    </w:p>
    <w:p>
      <w:pPr>
        <w:spacing w:line="360" w:lineRule="exact"/>
        <w:ind w:firstLine="496"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验收合格后，填写验收单，双方签字生效。</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验收依据：合同文本；投标文件及澄清函、招标文件；国家和行业制定的相应的标准和规范；产品验收清单（注明品名、数量、规格型号和原产地或生产厂家）。</w:t>
      </w:r>
    </w:p>
    <w:p>
      <w:pPr>
        <w:spacing w:line="360" w:lineRule="exact"/>
        <w:ind w:firstLine="496" w:firstLineChars="200"/>
        <w:rPr>
          <w:rFonts w:hint="eastAsia" w:ascii="宋体" w:hAnsi="宋体"/>
          <w:b/>
          <w:color w:val="auto"/>
          <w:sz w:val="24"/>
          <w:szCs w:val="24"/>
        </w:rPr>
      </w:pPr>
      <w:r>
        <w:rPr>
          <w:rFonts w:ascii="宋体" w:hAnsi="宋体"/>
          <w:b/>
          <w:color w:val="auto"/>
          <w:sz w:val="24"/>
          <w:szCs w:val="24"/>
        </w:rPr>
        <w:t>八、</w:t>
      </w:r>
      <w:r>
        <w:rPr>
          <w:rFonts w:hint="eastAsia" w:ascii="宋体" w:hAnsi="宋体"/>
          <w:b/>
          <w:color w:val="auto"/>
          <w:sz w:val="24"/>
          <w:szCs w:val="24"/>
        </w:rPr>
        <w:t>权利和义务</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1</w:t>
      </w:r>
      <w:r>
        <w:rPr>
          <w:rFonts w:ascii="宋体" w:hAnsi="宋体"/>
          <w:color w:val="auto"/>
          <w:sz w:val="24"/>
          <w:szCs w:val="24"/>
        </w:rPr>
        <w:t>、</w:t>
      </w:r>
      <w:r>
        <w:rPr>
          <w:rFonts w:hint="eastAsia" w:ascii="宋体" w:hAnsi="宋体"/>
          <w:color w:val="auto"/>
          <w:sz w:val="24"/>
          <w:szCs w:val="24"/>
        </w:rPr>
        <w:t>乙方应全力支持甲方组织无偿献血活动，并积极配合参与无偿献血事业的宣传、献血和志愿者活动。</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2、</w:t>
      </w:r>
      <w:r>
        <w:rPr>
          <w:rFonts w:ascii="宋体" w:hAnsi="宋体"/>
          <w:color w:val="auto"/>
          <w:sz w:val="24"/>
          <w:szCs w:val="24"/>
        </w:rPr>
        <w:t>乙方应保证甲方在使用该</w:t>
      </w:r>
      <w:r>
        <w:rPr>
          <w:rFonts w:hint="eastAsia" w:ascii="宋体" w:hAnsi="宋体"/>
          <w:color w:val="auto"/>
          <w:sz w:val="24"/>
          <w:szCs w:val="24"/>
        </w:rPr>
        <w:t>产品</w:t>
      </w:r>
      <w:r>
        <w:rPr>
          <w:rFonts w:ascii="宋体" w:hAnsi="宋体"/>
          <w:color w:val="auto"/>
          <w:sz w:val="24"/>
          <w:szCs w:val="24"/>
        </w:rPr>
        <w:t>或其任何一部分时免受第三方提出侵犯其专利权</w:t>
      </w:r>
      <w:r>
        <w:rPr>
          <w:rFonts w:hint="eastAsia" w:ascii="宋体" w:hAnsi="宋体"/>
          <w:color w:val="auto"/>
          <w:sz w:val="24"/>
          <w:szCs w:val="24"/>
        </w:rPr>
        <w:t>、</w:t>
      </w:r>
      <w:r>
        <w:rPr>
          <w:rFonts w:ascii="宋体" w:hAnsi="宋体"/>
          <w:color w:val="auto"/>
          <w:sz w:val="24"/>
          <w:szCs w:val="24"/>
        </w:rPr>
        <w:t>商标权或工业设计权的起诉。</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3、产品质量不符合合同规定时，乙方负责包退包换。由于上述原因导致延误交货时间的，每延误一日，乙方应按逾期交货部分产品价款总值的5‰向甲方偿付违约金。</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除不可抗力因素外，如果乙方不能按照合同规定的时间交货，应及时以书面形式将延迟的事实、可能延迟的时间和原因通知甲方。甲方收到乙方通知后，将尽快作出评价，决定是否同意延长交货期及收取误期赔偿费。甲方在不影响合同项下的其它补救措施情况下，可从合同未付款中扣除误期违约金。违约金按合同条款的规定计算，如按上述办法计算的违约金仍不足以补偿因乙方违约造成的损失，甲方有权进一步向乙方提出索赔。</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5</w:t>
      </w:r>
      <w:r>
        <w:rPr>
          <w:rFonts w:ascii="宋体" w:hAnsi="宋体"/>
          <w:color w:val="auto"/>
          <w:sz w:val="24"/>
          <w:szCs w:val="24"/>
        </w:rPr>
        <w:t>、在履行合同过程中，如果乙方遇到可能妨碍按时交货和提供服务的情况，应及时以书面形式将拖延的事实，可能拖延的期限和理由通知甲方。甲方在收到乙方通知后，应尽快对情况进行评价，酌情延长交货时间或对乙方加收误期赔偿金。每延误一周的赔偿费按迟交货物交货价或未提供服务的服务费用的百分之</w:t>
      </w:r>
      <w:r>
        <w:rPr>
          <w:rFonts w:hint="eastAsia" w:ascii="宋体" w:hAnsi="宋体"/>
          <w:color w:val="auto"/>
          <w:sz w:val="24"/>
          <w:szCs w:val="24"/>
        </w:rPr>
        <w:t>一</w:t>
      </w:r>
      <w:r>
        <w:rPr>
          <w:rFonts w:ascii="宋体" w:hAnsi="宋体"/>
          <w:color w:val="auto"/>
          <w:sz w:val="24"/>
          <w:szCs w:val="24"/>
        </w:rPr>
        <w:t>（</w:t>
      </w:r>
      <w:r>
        <w:rPr>
          <w:rFonts w:hint="eastAsia" w:ascii="宋体" w:hAnsi="宋体"/>
          <w:color w:val="auto"/>
          <w:sz w:val="24"/>
          <w:szCs w:val="24"/>
        </w:rPr>
        <w:t>1</w:t>
      </w:r>
      <w:r>
        <w:rPr>
          <w:rFonts w:ascii="宋体" w:hAnsi="宋体"/>
          <w:color w:val="auto"/>
          <w:sz w:val="24"/>
          <w:szCs w:val="24"/>
        </w:rPr>
        <w:t>%）计收，直至交货或提供服务为止。误期赔偿费的最高限额为合同价格的百分之五（5%）。一旦达到误期赔偿费的最高限额</w:t>
      </w:r>
      <w:r>
        <w:rPr>
          <w:rFonts w:hint="eastAsia" w:ascii="宋体" w:hAnsi="宋体"/>
          <w:color w:val="auto"/>
          <w:sz w:val="24"/>
          <w:szCs w:val="24"/>
        </w:rPr>
        <w:t>或发生</w:t>
      </w:r>
      <w:r>
        <w:rPr>
          <w:rFonts w:ascii="宋体" w:hAnsi="宋体"/>
          <w:color w:val="auto"/>
          <w:sz w:val="24"/>
          <w:szCs w:val="24"/>
        </w:rPr>
        <w:t>误期</w:t>
      </w:r>
      <w:r>
        <w:rPr>
          <w:rFonts w:hint="eastAsia" w:ascii="宋体" w:hAnsi="宋体"/>
          <w:color w:val="auto"/>
          <w:sz w:val="24"/>
          <w:szCs w:val="24"/>
        </w:rPr>
        <w:t>供货≧3次</w:t>
      </w:r>
      <w:r>
        <w:rPr>
          <w:rFonts w:ascii="宋体" w:hAnsi="宋体"/>
          <w:color w:val="auto"/>
          <w:sz w:val="24"/>
          <w:szCs w:val="24"/>
        </w:rPr>
        <w:t>，甲方可终止合同。</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6、如乙方未能按照招标参数要求提供甲方所需货物，且七个日历日内无法整改，甲方可终止合同。</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7、如遇不可抗拒因素，甲方可终止合同。</w:t>
      </w:r>
    </w:p>
    <w:p>
      <w:pPr>
        <w:spacing w:line="360" w:lineRule="exact"/>
        <w:ind w:firstLine="496" w:firstLineChars="200"/>
        <w:rPr>
          <w:rFonts w:hint="eastAsia" w:ascii="宋体" w:hAnsi="宋体"/>
          <w:b/>
          <w:color w:val="auto"/>
          <w:sz w:val="24"/>
          <w:szCs w:val="24"/>
        </w:rPr>
      </w:pPr>
      <w:r>
        <w:rPr>
          <w:rFonts w:hint="eastAsia" w:ascii="宋体" w:hAnsi="宋体"/>
          <w:b/>
          <w:color w:val="auto"/>
          <w:sz w:val="24"/>
          <w:szCs w:val="24"/>
        </w:rPr>
        <w:t>九、技术及售后服务(</w:t>
      </w:r>
      <w:r>
        <w:rPr>
          <w:rFonts w:hint="eastAsia" w:ascii="宋体" w:hAnsi="宋体"/>
          <w:color w:val="auto"/>
          <w:sz w:val="24"/>
          <w:szCs w:val="24"/>
        </w:rPr>
        <w:t>据实填写,可以补充增加</w:t>
      </w:r>
      <w:r>
        <w:rPr>
          <w:rFonts w:hint="eastAsia" w:ascii="宋体" w:hAnsi="宋体"/>
          <w:b/>
          <w:color w:val="auto"/>
          <w:sz w:val="24"/>
          <w:szCs w:val="24"/>
        </w:rPr>
        <w:t>)</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1、技术服务承诺：乙方</w:t>
      </w:r>
      <w:r>
        <w:rPr>
          <w:rFonts w:ascii="宋体" w:hAnsi="宋体"/>
          <w:color w:val="auto"/>
          <w:sz w:val="24"/>
          <w:szCs w:val="24"/>
        </w:rPr>
        <w:t>免费提供必要的技术支持</w:t>
      </w:r>
      <w:r>
        <w:rPr>
          <w:rFonts w:hint="eastAsia" w:ascii="宋体" w:hAnsi="宋体"/>
          <w:color w:val="auto"/>
          <w:sz w:val="24"/>
          <w:szCs w:val="24"/>
        </w:rPr>
        <w:t>，包括现场指导、集中授课、专项操作等。</w:t>
      </w:r>
    </w:p>
    <w:p>
      <w:pPr>
        <w:spacing w:line="360" w:lineRule="exact"/>
        <w:ind w:firstLine="496" w:firstLineChars="200"/>
        <w:rPr>
          <w:rFonts w:ascii="宋体" w:hAnsi="宋体"/>
          <w:color w:val="auto"/>
          <w:sz w:val="24"/>
          <w:szCs w:val="24"/>
        </w:rPr>
      </w:pPr>
      <w:r>
        <w:rPr>
          <w:rFonts w:hint="eastAsia" w:ascii="宋体" w:hAnsi="宋体"/>
          <w:color w:val="auto"/>
          <w:sz w:val="24"/>
          <w:szCs w:val="24"/>
        </w:rPr>
        <w:t>2、售后服务承诺：甲方发现有质量或可能影响质量问题时，乙方接到通知后4小时内到达现场解决问题。</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3、优惠承诺：在招标过程中形成的，但不限于招标过程中形成的，可以增加优惠承诺内容。</w:t>
      </w:r>
    </w:p>
    <w:p>
      <w:pPr>
        <w:spacing w:line="360" w:lineRule="exact"/>
        <w:ind w:firstLine="496" w:firstLineChars="200"/>
        <w:rPr>
          <w:rFonts w:hint="eastAsia" w:ascii="宋体" w:hAnsi="宋体"/>
          <w:b/>
          <w:color w:val="auto"/>
          <w:sz w:val="24"/>
          <w:szCs w:val="24"/>
        </w:rPr>
      </w:pPr>
      <w:r>
        <w:rPr>
          <w:rFonts w:ascii="宋体" w:hAnsi="宋体"/>
          <w:b/>
          <w:color w:val="auto"/>
          <w:sz w:val="24"/>
          <w:szCs w:val="24"/>
        </w:rPr>
        <w:t>十、违约责任</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1、</w:t>
      </w:r>
      <w:r>
        <w:rPr>
          <w:rFonts w:ascii="宋体" w:hAnsi="宋体"/>
          <w:color w:val="auto"/>
          <w:sz w:val="24"/>
          <w:szCs w:val="24"/>
        </w:rPr>
        <w:t>按《</w:t>
      </w:r>
      <w:r>
        <w:rPr>
          <w:rFonts w:hint="eastAsia" w:ascii="宋体" w:hAnsi="宋体"/>
          <w:color w:val="auto"/>
          <w:sz w:val="24"/>
          <w:szCs w:val="24"/>
          <w:lang w:eastAsia="zh-CN"/>
        </w:rPr>
        <w:t>民法典</w:t>
      </w:r>
      <w:r>
        <w:rPr>
          <w:rFonts w:ascii="宋体" w:hAnsi="宋体"/>
          <w:color w:val="auto"/>
          <w:sz w:val="24"/>
          <w:szCs w:val="24"/>
        </w:rPr>
        <w:t>》中的相关条款执行。</w:t>
      </w:r>
    </w:p>
    <w:p>
      <w:pPr>
        <w:spacing w:line="360" w:lineRule="exact"/>
        <w:ind w:firstLine="496" w:firstLineChars="200"/>
        <w:rPr>
          <w:rFonts w:ascii="宋体" w:hAnsi="宋体"/>
          <w:color w:val="auto"/>
          <w:sz w:val="24"/>
          <w:szCs w:val="24"/>
        </w:rPr>
      </w:pPr>
      <w:r>
        <w:rPr>
          <w:rFonts w:ascii="宋体" w:hAnsi="宋体"/>
          <w:color w:val="auto"/>
          <w:sz w:val="24"/>
          <w:szCs w:val="24"/>
        </w:rPr>
        <w:t>2、如乙方事先未征得甲方同意并得到甲方的谅解而单方面延迟交货，将按违约终止合同。</w:t>
      </w:r>
    </w:p>
    <w:p>
      <w:pPr>
        <w:spacing w:line="360" w:lineRule="exact"/>
        <w:ind w:firstLine="496" w:firstLineChars="200"/>
        <w:rPr>
          <w:rFonts w:hint="eastAsia" w:ascii="宋体" w:hAnsi="宋体"/>
          <w:color w:val="auto"/>
          <w:sz w:val="24"/>
          <w:szCs w:val="24"/>
        </w:rPr>
      </w:pPr>
      <w:r>
        <w:rPr>
          <w:rFonts w:ascii="宋体" w:hAnsi="宋体"/>
          <w:color w:val="auto"/>
          <w:sz w:val="24"/>
          <w:szCs w:val="24"/>
        </w:rPr>
        <w:t>3、违约终止合同：未按合同要求提供货物或质量不能满足技术要求，甲方会同监督机构有权终止合同，对乙方违约行为进行追究，同时按政府采购法的有关规定进行相应的处罚。</w:t>
      </w:r>
    </w:p>
    <w:p>
      <w:pPr>
        <w:spacing w:line="360" w:lineRule="exact"/>
        <w:ind w:firstLine="496" w:firstLineChars="200"/>
        <w:rPr>
          <w:rFonts w:hint="eastAsia" w:ascii="宋体" w:hAnsi="宋体"/>
          <w:b/>
          <w:color w:val="auto"/>
          <w:sz w:val="24"/>
          <w:szCs w:val="24"/>
        </w:rPr>
      </w:pPr>
      <w:r>
        <w:rPr>
          <w:rFonts w:ascii="宋体" w:hAnsi="宋体"/>
          <w:b/>
          <w:color w:val="auto"/>
          <w:sz w:val="24"/>
          <w:szCs w:val="24"/>
        </w:rPr>
        <w:t>十一、</w:t>
      </w:r>
      <w:r>
        <w:rPr>
          <w:rFonts w:hint="eastAsia" w:ascii="宋体" w:hAnsi="宋体"/>
          <w:b/>
          <w:color w:val="auto"/>
          <w:sz w:val="24"/>
          <w:szCs w:val="24"/>
        </w:rPr>
        <w:t>争议的解决</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本合同在履行过程中发生的争议，由甲、乙双方当事人协商解决，协商不成的按下列方式解决：</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（一）提交西安市仲裁委员会仲裁；</w:t>
      </w:r>
    </w:p>
    <w:p>
      <w:pPr>
        <w:spacing w:line="360" w:lineRule="exact"/>
        <w:ind w:firstLine="496" w:firstLineChars="200"/>
        <w:rPr>
          <w:rFonts w:ascii="宋体" w:hAnsi="宋体"/>
          <w:color w:val="auto"/>
          <w:sz w:val="24"/>
          <w:szCs w:val="24"/>
        </w:rPr>
      </w:pPr>
      <w:r>
        <w:rPr>
          <w:rFonts w:hint="eastAsia" w:ascii="宋体" w:hAnsi="宋体"/>
          <w:color w:val="auto"/>
          <w:sz w:val="24"/>
          <w:szCs w:val="24"/>
        </w:rPr>
        <w:t>（二）依法向西安市雁塔区人民法院起诉。</w:t>
      </w:r>
    </w:p>
    <w:p>
      <w:pPr>
        <w:spacing w:line="360" w:lineRule="exact"/>
        <w:ind w:firstLine="496" w:firstLineChars="200"/>
        <w:rPr>
          <w:rFonts w:hint="eastAsia" w:ascii="宋体" w:hAnsi="宋体"/>
          <w:b/>
          <w:color w:val="auto"/>
          <w:sz w:val="24"/>
          <w:szCs w:val="24"/>
        </w:rPr>
      </w:pPr>
      <w:r>
        <w:rPr>
          <w:rFonts w:hint="eastAsia" w:ascii="宋体" w:hAnsi="宋体"/>
          <w:b/>
          <w:color w:val="auto"/>
          <w:sz w:val="24"/>
          <w:szCs w:val="24"/>
        </w:rPr>
        <w:t>十二、</w:t>
      </w:r>
      <w:r>
        <w:rPr>
          <w:rFonts w:ascii="宋体" w:hAnsi="宋体"/>
          <w:b/>
          <w:color w:val="auto"/>
          <w:sz w:val="24"/>
          <w:szCs w:val="24"/>
        </w:rPr>
        <w:t>合同生效</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本合同一式捌份，甲方执肆份，乙方执壹份，财政局备案贰份，代理机构壹份。本合同经各方盖章后生效，执行期壹年，自</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月起至</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月。若执行期内，本合同总价款全部支付完成时或本合同标的物经政府采购流程再次成交并签订合同时，则该合同自动终止。</w:t>
      </w:r>
    </w:p>
    <w:p>
      <w:pPr>
        <w:spacing w:line="360" w:lineRule="exact"/>
        <w:ind w:firstLine="496" w:firstLineChars="200"/>
        <w:rPr>
          <w:rFonts w:hint="eastAsia" w:ascii="宋体" w:hAnsi="宋体"/>
          <w:b/>
          <w:color w:val="auto"/>
          <w:sz w:val="24"/>
          <w:szCs w:val="24"/>
        </w:rPr>
      </w:pPr>
      <w:r>
        <w:rPr>
          <w:rFonts w:hint="eastAsia" w:ascii="宋体" w:hAnsi="宋体"/>
          <w:b/>
          <w:color w:val="auto"/>
          <w:sz w:val="24"/>
          <w:szCs w:val="24"/>
        </w:rPr>
        <w:t>十三、其他事项</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（一）合同未尽事宜，由甲、乙双方协商确认后，作为合同补充，与原合同具有同等法律效力。</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（二）合同一经签订，不得擅自变更、中止或终止合同。对确需变更、调整或中止、终止合同的，应按规定履行相应的手续。</w:t>
      </w:r>
    </w:p>
    <w:p>
      <w:pPr>
        <w:spacing w:line="360" w:lineRule="exact"/>
        <w:ind w:firstLine="496" w:firstLineChars="200"/>
        <w:rPr>
          <w:rFonts w:hint="eastAsia" w:ascii="宋体" w:hAnsi="宋体"/>
          <w:color w:val="auto"/>
          <w:sz w:val="24"/>
          <w:szCs w:val="24"/>
        </w:rPr>
      </w:pPr>
      <w:r>
        <w:rPr>
          <w:rFonts w:hint="eastAsia" w:ascii="宋体" w:hAnsi="宋体"/>
          <w:color w:val="auto"/>
          <w:sz w:val="24"/>
          <w:szCs w:val="24"/>
        </w:rPr>
        <w:t>（三）本合同按照中华人民共和国的现行法律进行解释。</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35"/>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r>
              <w:rPr>
                <w:rFonts w:hint="eastAsia" w:ascii="宋体" w:hAnsi="宋体"/>
                <w:color w:val="auto"/>
                <w:szCs w:val="21"/>
              </w:rPr>
              <w:t>甲  方</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r>
              <w:rPr>
                <w:rFonts w:hint="eastAsia" w:ascii="宋体" w:hAnsi="宋体"/>
                <w:color w:val="auto"/>
                <w:szCs w:val="21"/>
              </w:rPr>
              <w:t>乙  方</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r>
              <w:rPr>
                <w:rFonts w:hint="eastAsia" w:ascii="宋体" w:hAnsi="宋体"/>
                <w:color w:val="auto"/>
                <w:szCs w:val="21"/>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rPr>
              <w:t>采购人名称（盖章）</w:t>
            </w:r>
          </w:p>
          <w:p>
            <w:pPr>
              <w:rPr>
                <w:rFonts w:ascii="宋体" w:hAnsi="宋体"/>
                <w:color w:val="auto"/>
                <w:szCs w:val="21"/>
              </w:rPr>
            </w:pPr>
            <w:r>
              <w:rPr>
                <w:rFonts w:hint="eastAsia"/>
                <w:color w:val="auto"/>
                <w:kern w:val="0"/>
              </w:rPr>
              <w:t>西安市中心血站</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rPr>
              <w:t>中标供应商全称（盖章）</w:t>
            </w:r>
          </w:p>
          <w:p>
            <w:pPr>
              <w:rPr>
                <w:rFonts w:ascii="宋体" w:hAnsi="宋体"/>
                <w:color w:val="auto"/>
                <w:szCs w:val="21"/>
              </w:rPr>
            </w:pPr>
          </w:p>
        </w:tc>
        <w:tc>
          <w:tcPr>
            <w:tcW w:w="29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rPr>
              <w:t>代理机构名称（盖章）</w:t>
            </w:r>
          </w:p>
          <w:p>
            <w:pPr>
              <w:rPr>
                <w:rFonts w:hint="eastAsia" w:ascii="宋体" w:hAnsi="宋体"/>
                <w:color w:val="auto"/>
                <w:szCs w:val="21"/>
              </w:rPr>
            </w:pPr>
            <w:r>
              <w:rPr>
                <w:rFonts w:hint="eastAsia" w:ascii="宋体" w:hAnsi="宋体"/>
                <w:color w:val="auto"/>
                <w:szCs w:val="21"/>
                <w:lang w:eastAsia="zh-CN"/>
              </w:rPr>
              <w:t>陕西卓佲项目管理有限公司</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地址：朱雀大街407号</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地址：</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地址：</w:t>
            </w:r>
            <w:r>
              <w:rPr>
                <w:rFonts w:hint="eastAsia" w:ascii="宋体" w:hAnsi="宋体"/>
                <w:color w:val="auto"/>
                <w:lang w:eastAsia="zh-CN"/>
              </w:rPr>
              <w:t>科技路</w:t>
            </w:r>
            <w:r>
              <w:rPr>
                <w:rFonts w:hint="eastAsia" w:ascii="宋体" w:hAnsi="宋体"/>
                <w:color w:val="auto"/>
                <w:lang w:val="en-US" w:eastAsia="zh-CN"/>
              </w:rPr>
              <w:t>10号华奥大厦A座20层2002室</w:t>
            </w:r>
            <w:r>
              <w:rPr>
                <w:rFonts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邮编：710061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邮编：</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olor w:val="auto"/>
                <w:lang w:val="en-US" w:eastAsia="zh-CN"/>
              </w:rPr>
            </w:pPr>
            <w:r>
              <w:rPr>
                <w:rFonts w:hint="eastAsia" w:ascii="宋体" w:hAnsi="宋体"/>
                <w:color w:val="auto"/>
              </w:rPr>
              <w:t>邮编：</w:t>
            </w:r>
            <w:r>
              <w:rPr>
                <w:rFonts w:hint="eastAsia" w:ascii="宋体" w:hAnsi="宋体"/>
                <w:color w:val="auto"/>
                <w:lang w:val="en-US" w:eastAsia="zh-CN"/>
              </w:rPr>
              <w:t>710065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 xml:space="preserve">法定代表人： </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法定代表人：</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被授权代表：</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rPr>
            </w:pPr>
            <w:r>
              <w:rPr>
                <w:rFonts w:hint="eastAsia" w:ascii="宋体" w:hAnsi="宋体"/>
                <w:color w:val="auto"/>
              </w:rPr>
              <w:t>被授权代表：</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分管主任：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电话：029-85236579</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电话：</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承办人：（签字）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传真：029-85236579</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传真：</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olor w:val="auto"/>
                <w:lang w:val="en-US" w:eastAsia="zh-CN"/>
              </w:rPr>
            </w:pPr>
            <w:r>
              <w:rPr>
                <w:rFonts w:hint="eastAsia" w:ascii="宋体" w:hAnsi="宋体"/>
                <w:color w:val="auto"/>
              </w:rPr>
              <w:t>电话：</w:t>
            </w:r>
            <w:r>
              <w:rPr>
                <w:rFonts w:hint="eastAsia" w:ascii="宋体" w:hAnsi="宋体"/>
                <w:color w:val="auto"/>
                <w:lang w:val="en-US" w:eastAsia="zh-CN"/>
              </w:rPr>
              <w:t>029-88440695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开户银行：</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olor w:val="auto"/>
                <w:lang w:val="en-US" w:eastAsia="zh-CN"/>
              </w:rPr>
            </w:pPr>
            <w:r>
              <w:rPr>
                <w:rFonts w:hint="eastAsia" w:ascii="宋体" w:hAnsi="宋体"/>
                <w:color w:val="auto"/>
              </w:rPr>
              <w:t>传真：</w:t>
            </w:r>
            <w:r>
              <w:rPr>
                <w:rFonts w:hint="eastAsia" w:ascii="宋体" w:hAnsi="宋体"/>
                <w:color w:val="auto"/>
                <w:lang w:val="en-US" w:eastAsia="zh-CN"/>
              </w:rPr>
              <w:t>029-88440695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帐号：</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日期：  年    月    日</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日期：   年    月    日</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日期：  年    月    日</w:t>
            </w:r>
          </w:p>
        </w:tc>
      </w:tr>
    </w:tbl>
    <w:p>
      <w:pPr>
        <w:rPr>
          <w:rFonts w:hint="eastAsia" w:ascii="宋体" w:hAnsi="宋体" w:eastAsia="宋体" w:cs="宋体"/>
        </w:rPr>
      </w:pPr>
      <w:r>
        <w:rPr>
          <w:rFonts w:hint="eastAsia" w:ascii="宋体" w:hAnsi="宋体" w:eastAsia="宋体" w:cs="宋体"/>
        </w:rPr>
        <w:br w:type="page"/>
      </w:r>
    </w:p>
    <w:p>
      <w:pPr>
        <w:pStyle w:val="4"/>
        <w:rPr>
          <w:rFonts w:hint="eastAsia" w:ascii="宋体" w:hAnsi="宋体" w:eastAsia="宋体" w:cs="宋体"/>
        </w:rPr>
      </w:pPr>
      <w:bookmarkStart w:id="79" w:name="_Toc3501"/>
      <w:r>
        <w:rPr>
          <w:rFonts w:hint="eastAsia" w:ascii="宋体" w:hAnsi="宋体" w:eastAsia="宋体" w:cs="宋体"/>
        </w:rPr>
        <w:t>第五章  投标文件构成及格式</w:t>
      </w:r>
      <w:bookmarkEnd w:id="78"/>
      <w:bookmarkEnd w:id="79"/>
    </w:p>
    <w:p>
      <w:pPr>
        <w:spacing w:line="560" w:lineRule="exact"/>
        <w:ind w:firstLine="656" w:firstLineChars="200"/>
        <w:jc w:val="both"/>
        <w:rPr>
          <w:rFonts w:hint="eastAsia" w:ascii="宋体" w:hAnsi="宋体" w:eastAsia="宋体" w:cs="宋体"/>
          <w:sz w:val="32"/>
          <w:szCs w:val="32"/>
        </w:rPr>
      </w:pPr>
    </w:p>
    <w:p>
      <w:pPr>
        <w:spacing w:line="560" w:lineRule="exact"/>
        <w:ind w:firstLine="656" w:firstLineChars="200"/>
        <w:jc w:val="both"/>
        <w:rPr>
          <w:rFonts w:hint="eastAsia" w:ascii="宋体" w:hAnsi="宋体" w:eastAsia="宋体" w:cs="宋体"/>
          <w:sz w:val="32"/>
          <w:szCs w:val="32"/>
        </w:rPr>
      </w:pPr>
    </w:p>
    <w:p>
      <w:pPr>
        <w:spacing w:line="560" w:lineRule="exact"/>
        <w:jc w:val="both"/>
        <w:rPr>
          <w:rFonts w:hint="eastAsia" w:ascii="宋体" w:hAnsi="宋体" w:eastAsia="宋体" w:cs="宋体"/>
          <w:sz w:val="32"/>
          <w:szCs w:val="32"/>
        </w:rPr>
      </w:pP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西安市中心血站</w:t>
      </w:r>
    </w:p>
    <w:p>
      <w:pPr>
        <w:jc w:val="center"/>
        <w:rPr>
          <w:rFonts w:hint="eastAsia" w:ascii="宋体" w:hAnsi="宋体" w:eastAsia="宋体" w:cs="宋体"/>
          <w:b/>
          <w:bCs/>
          <w:sz w:val="56"/>
          <w:szCs w:val="56"/>
        </w:rPr>
      </w:pPr>
      <w:r>
        <w:rPr>
          <w:rFonts w:hint="eastAsia" w:ascii="宋体" w:hAnsi="宋体" w:eastAsia="宋体" w:cs="宋体"/>
          <w:b/>
          <w:bCs/>
          <w:sz w:val="56"/>
          <w:szCs w:val="56"/>
          <w:lang w:eastAsia="zh-CN"/>
        </w:rPr>
        <w:t>成分科耗材采购项目（二次）</w:t>
      </w:r>
    </w:p>
    <w:p>
      <w:pPr>
        <w:snapToGrid w:val="0"/>
        <w:spacing w:line="240" w:lineRule="auto"/>
        <w:jc w:val="center"/>
        <w:outlineLvl w:val="9"/>
        <w:rPr>
          <w:rFonts w:hint="eastAsia" w:asciiTheme="minorEastAsia" w:hAnsiTheme="minorEastAsia" w:eastAsiaTheme="minorEastAsia" w:cstheme="minorEastAsia"/>
          <w:b/>
          <w:bCs/>
          <w:sz w:val="44"/>
          <w:szCs w:val="44"/>
          <w:lang w:eastAsia="zh-CN"/>
        </w:rPr>
      </w:pPr>
    </w:p>
    <w:p>
      <w:pPr>
        <w:snapToGrid w:val="0"/>
        <w:spacing w:line="240" w:lineRule="auto"/>
        <w:jc w:val="center"/>
        <w:outlineLvl w:val="9"/>
        <w:rPr>
          <w:rFonts w:hint="eastAsia" w:asciiTheme="minorEastAsia" w:hAnsiTheme="minorEastAsia" w:eastAsiaTheme="minorEastAsia" w:cstheme="minorEastAsia"/>
          <w:b/>
          <w:bCs/>
          <w:sz w:val="48"/>
          <w:szCs w:val="48"/>
          <w:lang w:eastAsia="zh-CN"/>
        </w:rPr>
      </w:pPr>
      <w:r>
        <w:rPr>
          <w:rFonts w:hint="eastAsia" w:asciiTheme="minorEastAsia" w:hAnsiTheme="minorEastAsia" w:eastAsiaTheme="minorEastAsia" w:cstheme="minorEastAsia"/>
          <w:b/>
          <w:bCs/>
          <w:sz w:val="48"/>
          <w:szCs w:val="48"/>
          <w:lang w:eastAsia="zh-CN"/>
        </w:rPr>
        <w:t>投标文件</w:t>
      </w:r>
    </w:p>
    <w:p>
      <w:pPr>
        <w:outlineLvl w:val="9"/>
        <w:rPr>
          <w:rFonts w:hint="eastAsia" w:ascii="宋体" w:hAnsi="宋体" w:eastAsia="宋体" w:cs="宋体"/>
          <w:sz w:val="28"/>
          <w:szCs w:val="28"/>
        </w:rPr>
      </w:pPr>
    </w:p>
    <w:p>
      <w:pPr>
        <w:outlineLvl w:val="9"/>
        <w:rPr>
          <w:rFonts w:hint="eastAsia" w:ascii="宋体" w:hAnsi="宋体" w:eastAsia="宋体" w:cs="宋体"/>
          <w:sz w:val="28"/>
          <w:szCs w:val="28"/>
        </w:rPr>
      </w:pPr>
    </w:p>
    <w:p>
      <w:pPr>
        <w:outlineLvl w:val="9"/>
        <w:rPr>
          <w:rFonts w:hint="eastAsia" w:ascii="宋体" w:hAnsi="宋体" w:eastAsia="宋体" w:cs="宋体"/>
          <w:sz w:val="28"/>
          <w:szCs w:val="28"/>
        </w:rPr>
      </w:pPr>
    </w:p>
    <w:p>
      <w:pPr>
        <w:outlineLvl w:val="9"/>
        <w:rPr>
          <w:rFonts w:hint="eastAsia" w:ascii="宋体" w:hAnsi="宋体" w:eastAsia="宋体" w:cs="宋体"/>
          <w:sz w:val="28"/>
          <w:szCs w:val="28"/>
        </w:rPr>
      </w:pPr>
    </w:p>
    <w:p>
      <w:pPr>
        <w:spacing w:line="560" w:lineRule="exact"/>
        <w:ind w:firstLine="736" w:firstLineChars="200"/>
        <w:jc w:val="center"/>
        <w:outlineLvl w:val="9"/>
        <w:rPr>
          <w:rFonts w:hint="eastAsia" w:ascii="宋体" w:hAnsi="宋体" w:eastAsia="宋体" w:cs="宋体"/>
          <w:sz w:val="36"/>
          <w:szCs w:val="36"/>
        </w:rPr>
      </w:pPr>
      <w:r>
        <w:rPr>
          <w:rFonts w:hint="eastAsia" w:ascii="宋体" w:hAnsi="宋体" w:eastAsia="宋体" w:cs="宋体"/>
          <w:b/>
          <w:bCs/>
          <w:sz w:val="36"/>
          <w:szCs w:val="36"/>
        </w:rPr>
        <w:t>项目编号：</w:t>
      </w:r>
      <w:r>
        <w:rPr>
          <w:rFonts w:hint="eastAsia" w:ascii="宋体" w:hAnsi="宋体" w:eastAsia="宋体" w:cs="宋体"/>
          <w:b/>
          <w:bCs/>
          <w:sz w:val="36"/>
          <w:szCs w:val="36"/>
          <w:lang w:eastAsia="zh-CN"/>
        </w:rPr>
        <w:t>ZMZB2022ZXXZ-85R</w:t>
      </w:r>
    </w:p>
    <w:p>
      <w:pPr>
        <w:spacing w:line="560" w:lineRule="exact"/>
        <w:ind w:firstLine="736" w:firstLineChars="200"/>
        <w:jc w:val="both"/>
        <w:rPr>
          <w:rFonts w:hint="eastAsia" w:ascii="宋体" w:hAnsi="宋体" w:eastAsia="宋体" w:cs="宋体"/>
          <w:sz w:val="36"/>
          <w:szCs w:val="36"/>
        </w:rPr>
      </w:pPr>
    </w:p>
    <w:p>
      <w:pPr>
        <w:spacing w:line="560" w:lineRule="exact"/>
        <w:ind w:firstLine="736" w:firstLineChars="200"/>
        <w:jc w:val="both"/>
        <w:rPr>
          <w:rFonts w:hint="eastAsia" w:ascii="宋体" w:hAnsi="宋体" w:eastAsia="宋体" w:cs="宋体"/>
          <w:sz w:val="36"/>
          <w:szCs w:val="36"/>
        </w:rPr>
      </w:pPr>
    </w:p>
    <w:p>
      <w:pPr>
        <w:spacing w:line="560" w:lineRule="exact"/>
        <w:ind w:firstLine="656" w:firstLineChars="200"/>
        <w:jc w:val="both"/>
        <w:rPr>
          <w:rFonts w:hint="eastAsia" w:ascii="宋体" w:hAnsi="宋体" w:eastAsia="宋体" w:cs="宋体"/>
          <w:sz w:val="32"/>
          <w:szCs w:val="32"/>
        </w:rPr>
      </w:pPr>
    </w:p>
    <w:p>
      <w:pPr>
        <w:spacing w:line="560" w:lineRule="exact"/>
        <w:ind w:firstLine="656" w:firstLineChars="200"/>
        <w:jc w:val="both"/>
        <w:rPr>
          <w:rFonts w:hint="eastAsia" w:ascii="宋体" w:hAnsi="宋体" w:eastAsia="宋体" w:cs="宋体"/>
          <w:sz w:val="32"/>
          <w:szCs w:val="32"/>
        </w:rPr>
      </w:pPr>
    </w:p>
    <w:p>
      <w:pPr>
        <w:spacing w:line="560" w:lineRule="exact"/>
        <w:ind w:firstLine="656" w:firstLineChars="200"/>
        <w:jc w:val="both"/>
        <w:rPr>
          <w:rFonts w:hint="eastAsia" w:ascii="宋体" w:hAnsi="宋体" w:eastAsia="宋体" w:cs="宋体"/>
          <w:sz w:val="32"/>
          <w:szCs w:val="32"/>
        </w:rPr>
      </w:pPr>
    </w:p>
    <w:p>
      <w:pPr>
        <w:spacing w:line="560" w:lineRule="exact"/>
        <w:jc w:val="both"/>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pacing w:line="360" w:lineRule="auto"/>
        <w:ind w:firstLine="656"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标  段：</w:t>
      </w:r>
      <w:r>
        <w:rPr>
          <w:rFonts w:hint="eastAsia" w:ascii="宋体" w:hAnsi="宋体" w:eastAsia="宋体" w:cs="宋体"/>
          <w:sz w:val="32"/>
          <w:szCs w:val="32"/>
          <w:lang w:eastAsia="zh-CN"/>
        </w:rPr>
        <w:t>第</w:t>
      </w:r>
      <w:r>
        <w:rPr>
          <w:rFonts w:hint="eastAsia" w:ascii="宋体" w:hAnsi="宋体" w:eastAsia="宋体" w:cs="宋体"/>
          <w:sz w:val="32"/>
          <w:szCs w:val="32"/>
          <w:lang w:val="en-US" w:eastAsia="zh-CN"/>
        </w:rPr>
        <w:t>X标段</w:t>
      </w:r>
    </w:p>
    <w:p>
      <w:pPr>
        <w:keepNext w:val="0"/>
        <w:keepLines w:val="0"/>
        <w:pageBreakBefore w:val="0"/>
        <w:widowControl/>
        <w:kinsoku/>
        <w:wordWrap/>
        <w:overflowPunct/>
        <w:topLinePunct w:val="0"/>
        <w:autoSpaceDE/>
        <w:autoSpaceDN/>
        <w:bidi w:val="0"/>
        <w:adjustRightInd/>
        <w:snapToGrid w:val="0"/>
        <w:spacing w:line="360" w:lineRule="auto"/>
        <w:ind w:firstLine="656" w:firstLineChars="200"/>
        <w:jc w:val="left"/>
        <w:textAlignment w:val="auto"/>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keepNext w:val="0"/>
        <w:keepLines w:val="0"/>
        <w:pageBreakBefore w:val="0"/>
        <w:widowControl/>
        <w:kinsoku/>
        <w:wordWrap/>
        <w:overflowPunct/>
        <w:topLinePunct w:val="0"/>
        <w:autoSpaceDE/>
        <w:autoSpaceDN/>
        <w:bidi w:val="0"/>
        <w:adjustRightInd/>
        <w:snapToGrid w:val="0"/>
        <w:spacing w:line="360" w:lineRule="auto"/>
        <w:ind w:firstLine="656" w:firstLineChars="200"/>
        <w:jc w:val="left"/>
        <w:textAlignment w:val="auto"/>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spacing w:line="560" w:lineRule="exact"/>
        <w:ind w:firstLine="656"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spacing w:line="560" w:lineRule="exact"/>
        <w:ind w:firstLine="896" w:firstLineChars="200"/>
        <w:jc w:val="center"/>
        <w:rPr>
          <w:rFonts w:hint="eastAsia" w:ascii="宋体" w:hAnsi="宋体" w:eastAsia="宋体" w:cs="宋体"/>
          <w:sz w:val="44"/>
          <w:szCs w:val="44"/>
        </w:rPr>
      </w:pPr>
    </w:p>
    <w:p>
      <w:pPr>
        <w:spacing w:line="560" w:lineRule="exact"/>
        <w:ind w:firstLine="896" w:firstLineChars="200"/>
        <w:jc w:val="center"/>
        <w:outlineLvl w:val="9"/>
        <w:rPr>
          <w:rFonts w:hint="eastAsia" w:ascii="宋体" w:hAnsi="宋体" w:eastAsia="宋体" w:cs="宋体"/>
          <w:sz w:val="44"/>
          <w:szCs w:val="44"/>
        </w:rPr>
      </w:pPr>
      <w:r>
        <w:rPr>
          <w:rFonts w:hint="eastAsia" w:ascii="宋体" w:hAnsi="宋体" w:eastAsia="宋体" w:cs="宋体"/>
          <w:sz w:val="44"/>
          <w:szCs w:val="44"/>
        </w:rPr>
        <w:t>目    录</w:t>
      </w:r>
    </w:p>
    <w:p>
      <w:pPr>
        <w:spacing w:line="560" w:lineRule="exact"/>
        <w:ind w:firstLine="656" w:firstLineChars="200"/>
        <w:jc w:val="both"/>
        <w:rPr>
          <w:rFonts w:hint="eastAsia" w:ascii="宋体" w:hAnsi="宋体" w:eastAsia="宋体" w:cs="宋体"/>
          <w:sz w:val="32"/>
          <w:szCs w:val="32"/>
        </w:rPr>
      </w:pPr>
    </w:p>
    <w:p>
      <w:pPr>
        <w:pStyle w:val="19"/>
        <w:snapToGrid w:val="0"/>
        <w:spacing w:line="480" w:lineRule="auto"/>
        <w:ind w:firstLine="576" w:firstLineChars="200"/>
        <w:jc w:val="left"/>
        <w:outlineLvl w:val="9"/>
        <w:rPr>
          <w:rFonts w:hAnsi="宋体" w:cs="宋体"/>
          <w:b/>
          <w:bCs/>
          <w:color w:val="000000" w:themeColor="text1"/>
          <w:sz w:val="28"/>
          <w:szCs w:val="28"/>
          <w14:textFill>
            <w14:solidFill>
              <w14:schemeClr w14:val="tx1"/>
            </w14:solidFill>
          </w14:textFill>
        </w:rPr>
      </w:pPr>
      <w:bookmarkStart w:id="80" w:name="_Toc3727_WPSOffice_Level1"/>
      <w:r>
        <w:rPr>
          <w:rFonts w:hint="eastAsia" w:hAnsi="宋体" w:cs="宋体"/>
          <w:b/>
          <w:bCs/>
          <w:color w:val="000000" w:themeColor="text1"/>
          <w:sz w:val="28"/>
          <w:szCs w:val="28"/>
          <w14:textFill>
            <w14:solidFill>
              <w14:schemeClr w14:val="tx1"/>
            </w14:solidFill>
          </w14:textFill>
        </w:rPr>
        <w:t>第一章  投标函</w:t>
      </w:r>
      <w:bookmarkEnd w:id="80"/>
    </w:p>
    <w:p>
      <w:pPr>
        <w:snapToGrid w:val="0"/>
        <w:spacing w:line="480" w:lineRule="auto"/>
        <w:ind w:firstLine="576" w:firstLineChars="200"/>
        <w:jc w:val="left"/>
        <w:outlineLvl w:val="9"/>
        <w:rPr>
          <w:rFonts w:hAnsi="宋体" w:cs="宋体"/>
          <w:b/>
          <w:color w:val="000000" w:themeColor="text1"/>
          <w:sz w:val="28"/>
          <w:szCs w:val="28"/>
          <w14:textFill>
            <w14:solidFill>
              <w14:schemeClr w14:val="tx1"/>
            </w14:solidFill>
          </w14:textFill>
        </w:rPr>
      </w:pPr>
      <w:bookmarkStart w:id="81" w:name="_Toc23436_WPSOffice_Level1"/>
      <w:r>
        <w:rPr>
          <w:rFonts w:hint="eastAsia" w:ascii="宋体" w:hAnsi="宋体" w:cs="宋体"/>
          <w:b/>
          <w:color w:val="000000" w:themeColor="text1"/>
          <w:sz w:val="28"/>
          <w:szCs w:val="28"/>
          <w14:textFill>
            <w14:solidFill>
              <w14:schemeClr w14:val="tx1"/>
            </w14:solidFill>
          </w14:textFill>
        </w:rPr>
        <w:t>第二</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color w:val="000000" w:themeColor="text1"/>
          <w:sz w:val="28"/>
          <w:szCs w:val="28"/>
          <w:lang w:eastAsia="zh-CN"/>
          <w14:textFill>
            <w14:solidFill>
              <w14:schemeClr w14:val="tx1"/>
            </w14:solidFill>
          </w14:textFill>
        </w:rPr>
        <w:t>开标</w:t>
      </w:r>
      <w:r>
        <w:rPr>
          <w:rFonts w:hint="eastAsia" w:ascii="宋体" w:hAnsi="宋体" w:cs="宋体"/>
          <w:b/>
          <w:color w:val="000000" w:themeColor="text1"/>
          <w:sz w:val="28"/>
          <w:szCs w:val="28"/>
          <w14:textFill>
            <w14:solidFill>
              <w14:schemeClr w14:val="tx1"/>
            </w14:solidFill>
          </w14:textFill>
        </w:rPr>
        <w:t>一览表</w:t>
      </w:r>
      <w:bookmarkEnd w:id="81"/>
    </w:p>
    <w:p>
      <w:pPr>
        <w:pStyle w:val="19"/>
        <w:snapToGrid w:val="0"/>
        <w:spacing w:line="480" w:lineRule="auto"/>
        <w:ind w:firstLine="576" w:firstLineChars="200"/>
        <w:jc w:val="left"/>
        <w:outlineLvl w:val="9"/>
        <w:rPr>
          <w:rFonts w:hint="eastAsia" w:hAnsi="宋体" w:cs="宋体" w:eastAsiaTheme="minorEastAsia"/>
          <w:b/>
          <w:color w:val="000000" w:themeColor="text1"/>
          <w:sz w:val="28"/>
          <w:szCs w:val="28"/>
          <w:lang w:eastAsia="zh-CN"/>
          <w14:textFill>
            <w14:solidFill>
              <w14:schemeClr w14:val="tx1"/>
            </w14:solidFill>
          </w14:textFill>
        </w:rPr>
      </w:pPr>
      <w:bookmarkStart w:id="82" w:name="_Toc11444_WPSOffice_Level1"/>
      <w:r>
        <w:rPr>
          <w:rFonts w:hint="eastAsia" w:hAnsi="宋体" w:cs="宋体"/>
          <w:b/>
          <w:color w:val="000000" w:themeColor="text1"/>
          <w:sz w:val="28"/>
          <w:szCs w:val="28"/>
          <w14:textFill>
            <w14:solidFill>
              <w14:schemeClr w14:val="tx1"/>
            </w14:solidFill>
          </w14:textFill>
        </w:rPr>
        <w:t>第三</w:t>
      </w:r>
      <w:r>
        <w:rPr>
          <w:rFonts w:hint="eastAsia" w:hAnsi="宋体" w:cs="宋体"/>
          <w:b/>
          <w:bCs/>
          <w:color w:val="000000" w:themeColor="text1"/>
          <w:sz w:val="28"/>
          <w:szCs w:val="28"/>
          <w14:textFill>
            <w14:solidFill>
              <w14:schemeClr w14:val="tx1"/>
            </w14:solidFill>
          </w14:textFill>
        </w:rPr>
        <w:t xml:space="preserve">章  </w:t>
      </w:r>
      <w:bookmarkEnd w:id="82"/>
      <w:r>
        <w:rPr>
          <w:rFonts w:hint="eastAsia" w:hAnsi="宋体" w:cs="宋体"/>
          <w:b/>
          <w:color w:val="000000" w:themeColor="text1"/>
          <w:sz w:val="28"/>
          <w:szCs w:val="28"/>
          <w14:textFill>
            <w14:solidFill>
              <w14:schemeClr w14:val="tx1"/>
            </w14:solidFill>
          </w14:textFill>
        </w:rPr>
        <w:t>资</w:t>
      </w:r>
      <w:r>
        <w:rPr>
          <w:rFonts w:hint="eastAsia" w:hAnsi="宋体" w:cs="宋体"/>
          <w:b/>
          <w:color w:val="000000" w:themeColor="text1"/>
          <w:sz w:val="28"/>
          <w:szCs w:val="28"/>
          <w:lang w:val="en-US" w:eastAsia="zh-CN"/>
          <w14:textFill>
            <w14:solidFill>
              <w14:schemeClr w14:val="tx1"/>
            </w14:solidFill>
          </w14:textFill>
        </w:rPr>
        <w:t>格</w:t>
      </w:r>
      <w:r>
        <w:rPr>
          <w:rFonts w:hint="eastAsia" w:hAnsi="宋体" w:cs="宋体"/>
          <w:b/>
          <w:color w:val="000000" w:themeColor="text1"/>
          <w:sz w:val="28"/>
          <w:szCs w:val="28"/>
          <w14:textFill>
            <w14:solidFill>
              <w14:schemeClr w14:val="tx1"/>
            </w14:solidFill>
          </w14:textFill>
        </w:rPr>
        <w:t>证明</w:t>
      </w:r>
      <w:r>
        <w:rPr>
          <w:rFonts w:hint="eastAsia" w:hAnsi="宋体" w:cs="宋体"/>
          <w:b/>
          <w:color w:val="000000" w:themeColor="text1"/>
          <w:sz w:val="28"/>
          <w:szCs w:val="28"/>
          <w:lang w:eastAsia="zh-CN"/>
          <w14:textFill>
            <w14:solidFill>
              <w14:schemeClr w14:val="tx1"/>
            </w14:solidFill>
          </w14:textFill>
        </w:rPr>
        <w:t>文件</w:t>
      </w:r>
    </w:p>
    <w:p>
      <w:pPr>
        <w:pStyle w:val="19"/>
        <w:snapToGrid w:val="0"/>
        <w:spacing w:line="480" w:lineRule="auto"/>
        <w:ind w:firstLine="576" w:firstLineChars="200"/>
        <w:jc w:val="left"/>
        <w:outlineLvl w:val="9"/>
        <w:rPr>
          <w:rFonts w:hint="eastAsia" w:hAnsi="宋体" w:cs="宋体" w:eastAsiaTheme="minorEastAsia"/>
          <w:b/>
          <w:color w:val="000000" w:themeColor="text1"/>
          <w:sz w:val="28"/>
          <w:szCs w:val="28"/>
          <w:lang w:eastAsia="zh-CN"/>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第四</w:t>
      </w:r>
      <w:r>
        <w:rPr>
          <w:rFonts w:hint="eastAsia" w:hAnsi="宋体" w:cs="宋体"/>
          <w:b/>
          <w:bCs/>
          <w:color w:val="000000" w:themeColor="text1"/>
          <w:sz w:val="28"/>
          <w:szCs w:val="28"/>
          <w14:textFill>
            <w14:solidFill>
              <w14:schemeClr w14:val="tx1"/>
            </w14:solidFill>
          </w14:textFill>
        </w:rPr>
        <w:t xml:space="preserve">章  </w:t>
      </w:r>
      <w:r>
        <w:rPr>
          <w:rFonts w:hint="eastAsia" w:hAnsi="宋体" w:cs="宋体"/>
          <w:b/>
          <w:bCs/>
          <w:color w:val="000000" w:themeColor="text1"/>
          <w:sz w:val="28"/>
          <w:szCs w:val="28"/>
          <w:lang w:val="en-US" w:eastAsia="zh-CN"/>
          <w14:textFill>
            <w14:solidFill>
              <w14:schemeClr w14:val="tx1"/>
            </w14:solidFill>
          </w14:textFill>
        </w:rPr>
        <w:t>供应商概况</w:t>
      </w:r>
    </w:p>
    <w:p>
      <w:pPr>
        <w:pStyle w:val="19"/>
        <w:snapToGrid w:val="0"/>
        <w:spacing w:line="480" w:lineRule="auto"/>
        <w:ind w:firstLine="576" w:firstLineChars="200"/>
        <w:jc w:val="left"/>
        <w:outlineLvl w:val="9"/>
        <w:rPr>
          <w:rFonts w:hint="eastAsia" w:hAnsi="宋体" w:cs="宋体"/>
          <w:b/>
          <w:bCs/>
          <w:color w:val="000000" w:themeColor="text1"/>
          <w:sz w:val="28"/>
          <w:szCs w:val="28"/>
          <w14:textFill>
            <w14:solidFill>
              <w14:schemeClr w14:val="tx1"/>
            </w14:solidFill>
          </w14:textFill>
        </w:rPr>
      </w:pPr>
      <w:bookmarkStart w:id="83" w:name="_Toc5905_WPSOffice_Level1"/>
      <w:r>
        <w:rPr>
          <w:rFonts w:hint="eastAsia" w:hAnsi="宋体" w:cs="宋体"/>
          <w:b/>
          <w:color w:val="000000" w:themeColor="text1"/>
          <w:sz w:val="28"/>
          <w:szCs w:val="28"/>
          <w14:textFill>
            <w14:solidFill>
              <w14:schemeClr w14:val="tx1"/>
            </w14:solidFill>
          </w14:textFill>
        </w:rPr>
        <w:t>第五</w:t>
      </w:r>
      <w:r>
        <w:rPr>
          <w:rFonts w:hint="eastAsia" w:hAnsi="宋体" w:cs="宋体"/>
          <w:b/>
          <w:bCs/>
          <w:color w:val="000000" w:themeColor="text1"/>
          <w:sz w:val="28"/>
          <w:szCs w:val="28"/>
          <w14:textFill>
            <w14:solidFill>
              <w14:schemeClr w14:val="tx1"/>
            </w14:solidFill>
          </w14:textFill>
        </w:rPr>
        <w:t>章  供应商参加政府采购活动承诺书</w:t>
      </w:r>
    </w:p>
    <w:p>
      <w:pPr>
        <w:pStyle w:val="19"/>
        <w:snapToGrid w:val="0"/>
        <w:spacing w:line="480" w:lineRule="auto"/>
        <w:ind w:firstLine="576" w:firstLineChars="200"/>
        <w:jc w:val="left"/>
        <w:outlineLvl w:val="9"/>
        <w:rPr>
          <w:rFonts w:hint="default" w:hAnsi="宋体" w:cs="宋体"/>
          <w:b/>
          <w:bCs/>
          <w:color w:val="000000" w:themeColor="text1"/>
          <w:sz w:val="28"/>
          <w:szCs w:val="28"/>
          <w:lang w:val="en-US" w:eastAsia="zh-CN"/>
          <w14:textFill>
            <w14:solidFill>
              <w14:schemeClr w14:val="tx1"/>
            </w14:solidFill>
          </w14:textFill>
        </w:rPr>
      </w:pPr>
      <w:r>
        <w:rPr>
          <w:rFonts w:hint="eastAsia" w:hAnsi="宋体" w:cs="宋体"/>
          <w:b/>
          <w:bCs/>
          <w:color w:val="000000" w:themeColor="text1"/>
          <w:sz w:val="28"/>
          <w:szCs w:val="28"/>
          <w:lang w:val="en-US" w:eastAsia="zh-CN"/>
          <w14:textFill>
            <w14:solidFill>
              <w14:schemeClr w14:val="tx1"/>
            </w14:solidFill>
          </w14:textFill>
        </w:rPr>
        <w:t>第六章  商务和技术响应偏离表</w:t>
      </w:r>
    </w:p>
    <w:p>
      <w:pPr>
        <w:pStyle w:val="19"/>
        <w:snapToGrid w:val="0"/>
        <w:spacing w:line="480" w:lineRule="auto"/>
        <w:ind w:firstLine="576" w:firstLineChars="200"/>
        <w:jc w:val="left"/>
        <w:outlineLvl w:val="9"/>
        <w:rPr>
          <w:rFonts w:hint="eastAsia" w:hAnsi="宋体" w:cs="宋体"/>
          <w:b/>
          <w:bCs/>
          <w:color w:val="000000" w:themeColor="text1"/>
          <w:sz w:val="28"/>
          <w:szCs w:val="28"/>
          <w:lang w:val="en-US" w:eastAsia="zh-CN"/>
          <w14:textFill>
            <w14:solidFill>
              <w14:schemeClr w14:val="tx1"/>
            </w14:solidFill>
          </w14:textFill>
        </w:rPr>
      </w:pPr>
      <w:r>
        <w:rPr>
          <w:rFonts w:hint="eastAsia" w:hAnsi="宋体" w:cs="宋体"/>
          <w:b/>
          <w:bCs/>
          <w:color w:val="000000" w:themeColor="text1"/>
          <w:sz w:val="28"/>
          <w:szCs w:val="28"/>
          <w:lang w:val="en-US" w:eastAsia="zh-CN"/>
          <w14:textFill>
            <w14:solidFill>
              <w14:schemeClr w14:val="tx1"/>
            </w14:solidFill>
          </w14:textFill>
        </w:rPr>
        <w:t>第七章  技术与服务方案</w:t>
      </w:r>
    </w:p>
    <w:p>
      <w:pPr>
        <w:pStyle w:val="19"/>
        <w:snapToGrid w:val="0"/>
        <w:spacing w:line="480" w:lineRule="auto"/>
        <w:ind w:firstLine="576" w:firstLineChars="200"/>
        <w:jc w:val="left"/>
        <w:outlineLvl w:val="9"/>
        <w:rPr>
          <w:rFonts w:hint="eastAsia" w:hAnsi="宋体" w:cs="宋体" w:eastAsiaTheme="minorEastAsia"/>
          <w:b/>
          <w:bCs/>
          <w:color w:val="000000" w:themeColor="text1"/>
          <w:sz w:val="28"/>
          <w:szCs w:val="28"/>
          <w:lang w:eastAsia="zh-CN"/>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w:t>
      </w:r>
      <w:bookmarkEnd w:id="83"/>
      <w:r>
        <w:rPr>
          <w:rFonts w:hint="eastAsia" w:hAnsi="宋体" w:cs="宋体"/>
          <w:b/>
          <w:color w:val="000000" w:themeColor="text1"/>
          <w:sz w:val="28"/>
          <w:szCs w:val="28"/>
          <w:lang w:eastAsia="zh-CN"/>
          <w14:textFill>
            <w14:solidFill>
              <w14:schemeClr w14:val="tx1"/>
            </w14:solidFill>
          </w14:textFill>
        </w:rPr>
        <w:t>八</w:t>
      </w:r>
      <w:r>
        <w:rPr>
          <w:rFonts w:hint="eastAsia" w:hAnsi="宋体" w:cs="宋体"/>
          <w:b/>
          <w:bCs/>
          <w:color w:val="000000" w:themeColor="text1"/>
          <w:sz w:val="28"/>
          <w:szCs w:val="28"/>
          <w14:textFill>
            <w14:solidFill>
              <w14:schemeClr w14:val="tx1"/>
            </w14:solidFill>
          </w14:textFill>
        </w:rPr>
        <w:t xml:space="preserve">章  </w:t>
      </w:r>
      <w:r>
        <w:rPr>
          <w:rFonts w:hint="eastAsia" w:hAnsi="宋体" w:cs="宋体"/>
          <w:b/>
          <w:bCs/>
          <w:color w:val="000000" w:themeColor="text1"/>
          <w:sz w:val="28"/>
          <w:szCs w:val="28"/>
          <w:lang w:eastAsia="zh-CN"/>
          <w14:textFill>
            <w14:solidFill>
              <w14:schemeClr w14:val="tx1"/>
            </w14:solidFill>
          </w14:textFill>
        </w:rPr>
        <w:t>服务承诺</w:t>
      </w:r>
    </w:p>
    <w:p>
      <w:pPr>
        <w:pStyle w:val="19"/>
        <w:snapToGrid w:val="0"/>
        <w:spacing w:line="480" w:lineRule="auto"/>
        <w:ind w:firstLine="576" w:firstLineChars="200"/>
        <w:jc w:val="left"/>
        <w:outlineLvl w:val="9"/>
        <w:rPr>
          <w:rFonts w:hint="eastAsia" w:hAnsi="宋体" w:cs="宋体"/>
          <w:b/>
          <w:bCs/>
          <w:color w:val="000000" w:themeColor="text1"/>
          <w:sz w:val="28"/>
          <w:szCs w:val="28"/>
          <w:lang w:val="en-US" w:eastAsia="zh-CN"/>
          <w14:textFill>
            <w14:solidFill>
              <w14:schemeClr w14:val="tx1"/>
            </w14:solidFill>
          </w14:textFill>
        </w:rPr>
      </w:pPr>
      <w:r>
        <w:rPr>
          <w:rFonts w:hint="eastAsia" w:hAnsi="宋体" w:cs="宋体"/>
          <w:b/>
          <w:bCs/>
          <w:color w:val="000000" w:themeColor="text1"/>
          <w:sz w:val="28"/>
          <w:szCs w:val="28"/>
          <w:lang w:val="en-US" w:eastAsia="zh-CN"/>
          <w14:textFill>
            <w14:solidFill>
              <w14:schemeClr w14:val="tx1"/>
            </w14:solidFill>
          </w14:textFill>
        </w:rPr>
        <w:t>第九章  供应商业绩一览表</w:t>
      </w:r>
    </w:p>
    <w:p>
      <w:pPr>
        <w:pStyle w:val="19"/>
        <w:snapToGrid w:val="0"/>
        <w:spacing w:line="480" w:lineRule="auto"/>
        <w:ind w:firstLine="576" w:firstLineChars="200"/>
        <w:jc w:val="left"/>
        <w:outlineLvl w:val="9"/>
        <w:rPr>
          <w:rFonts w:hint="eastAsia" w:hAnsi="宋体" w:cs="宋体"/>
          <w:b/>
          <w:bCs/>
          <w:color w:val="000000" w:themeColor="text1"/>
          <w:sz w:val="28"/>
          <w:szCs w:val="28"/>
          <w:lang w:val="en-US" w:eastAsia="zh-CN"/>
          <w14:textFill>
            <w14:solidFill>
              <w14:schemeClr w14:val="tx1"/>
            </w14:solidFill>
          </w14:textFill>
        </w:rPr>
      </w:pPr>
      <w:bookmarkStart w:id="84" w:name="_Toc1523_WPSOffice_Level1"/>
      <w:r>
        <w:rPr>
          <w:rFonts w:hint="eastAsia" w:hAnsi="宋体" w:cs="宋体"/>
          <w:b/>
          <w:bCs/>
          <w:color w:val="000000" w:themeColor="text1"/>
          <w:sz w:val="28"/>
          <w:szCs w:val="28"/>
          <w:lang w:val="en-US" w:eastAsia="zh-CN"/>
          <w14:textFill>
            <w14:solidFill>
              <w14:schemeClr w14:val="tx1"/>
            </w14:solidFill>
          </w14:textFill>
        </w:rPr>
        <w:t xml:space="preserve">第十章  </w:t>
      </w:r>
      <w:bookmarkEnd w:id="84"/>
      <w:r>
        <w:rPr>
          <w:rFonts w:hint="eastAsia" w:hAnsi="宋体" w:cs="宋体"/>
          <w:b/>
          <w:bCs/>
          <w:color w:val="000000" w:themeColor="text1"/>
          <w:sz w:val="28"/>
          <w:szCs w:val="28"/>
          <w:lang w:val="en-US" w:eastAsia="zh-CN"/>
          <w14:textFill>
            <w14:solidFill>
              <w14:schemeClr w14:val="tx1"/>
            </w14:solidFill>
          </w14:textFill>
        </w:rPr>
        <w:t>供应商认为有必要说明的其他问题</w:t>
      </w:r>
    </w:p>
    <w:p>
      <w:pPr>
        <w:rPr>
          <w:rFonts w:hint="eastAsia" w:ascii="宋体" w:hAnsi="宋体" w:eastAsia="宋体" w:cs="宋体"/>
          <w:sz w:val="32"/>
          <w:szCs w:val="32"/>
        </w:rPr>
      </w:pPr>
      <w:r>
        <w:rPr>
          <w:rFonts w:hint="eastAsia" w:ascii="宋体" w:hAnsi="宋体" w:eastAsia="宋体" w:cs="宋体"/>
        </w:rPr>
        <w:br w:type="page"/>
      </w:r>
    </w:p>
    <w:p>
      <w:pPr>
        <w:pStyle w:val="5"/>
        <w:jc w:val="center"/>
        <w:rPr>
          <w:rFonts w:hint="eastAsia" w:ascii="宋体" w:hAnsi="宋体" w:eastAsia="宋体" w:cs="宋体"/>
        </w:rPr>
      </w:pPr>
      <w:bookmarkStart w:id="85" w:name="_Toc27571"/>
      <w:r>
        <w:rPr>
          <w:rFonts w:hint="eastAsia" w:ascii="宋体" w:hAnsi="宋体" w:eastAsia="宋体" w:cs="宋体"/>
        </w:rPr>
        <w:t>第一部分  投标函</w:t>
      </w:r>
      <w:bookmarkEnd w:id="85"/>
    </w:p>
    <w:p>
      <w:pPr>
        <w:spacing w:line="560" w:lineRule="exact"/>
        <w:jc w:val="both"/>
        <w:rPr>
          <w:rFonts w:hint="eastAsia" w:ascii="宋体" w:hAnsi="宋体" w:eastAsia="宋体" w:cs="宋体"/>
          <w:sz w:val="28"/>
          <w:szCs w:val="28"/>
        </w:rPr>
      </w:pPr>
      <w:r>
        <w:rPr>
          <w:rFonts w:hint="eastAsia" w:ascii="宋体" w:hAnsi="宋体" w:eastAsia="宋体" w:cs="宋体"/>
          <w:sz w:val="28"/>
          <w:szCs w:val="28"/>
          <w:lang w:eastAsia="zh-CN"/>
        </w:rPr>
        <w:t>陕西卓佲项目管理有限公司</w:t>
      </w:r>
      <w:r>
        <w:rPr>
          <w:rFonts w:hint="eastAsia" w:ascii="宋体" w:hAnsi="宋体" w:eastAsia="宋体" w:cs="宋体"/>
          <w:sz w:val="28"/>
          <w:szCs w:val="28"/>
        </w:rPr>
        <w:t>：</w:t>
      </w:r>
    </w:p>
    <w:p>
      <w:pPr>
        <w:spacing w:line="560" w:lineRule="exact"/>
        <w:ind w:firstLine="576" w:firstLineChars="200"/>
        <w:jc w:val="left"/>
        <w:rPr>
          <w:rFonts w:hint="eastAsia" w:ascii="宋体" w:hAnsi="宋体" w:eastAsia="宋体" w:cs="宋体"/>
          <w:sz w:val="28"/>
          <w:szCs w:val="28"/>
        </w:rPr>
      </w:pPr>
      <w:r>
        <w:rPr>
          <w:rFonts w:hint="eastAsia" w:ascii="宋体" w:hAnsi="宋体" w:eastAsia="宋体" w:cs="宋体"/>
          <w:sz w:val="28"/>
          <w:szCs w:val="28"/>
        </w:rPr>
        <w:t>我单位收到项目名称为：</w:t>
      </w:r>
      <w:r>
        <w:rPr>
          <w:rFonts w:hint="eastAsia" w:ascii="宋体" w:hAnsi="宋体" w:eastAsia="宋体" w:cs="宋体"/>
          <w:sz w:val="28"/>
          <w:szCs w:val="28"/>
          <w:u w:val="single"/>
        </w:rPr>
        <w:t xml:space="preserve">                  </w:t>
      </w:r>
      <w:r>
        <w:rPr>
          <w:rFonts w:hint="eastAsia" w:ascii="宋体" w:hAnsi="宋体" w:eastAsia="宋体" w:cs="宋体"/>
          <w:sz w:val="28"/>
          <w:szCs w:val="28"/>
        </w:rPr>
        <w:t>（项目编号为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）第X标段的招标文件，经详细研究，我公司决定参加本次招标活动。为此，我方郑重承诺以下诸点，并负法律责任。</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2．我方已悉知并及时关注了贵</w:t>
      </w:r>
      <w:r>
        <w:rPr>
          <w:rFonts w:hint="eastAsia" w:ascii="宋体" w:hAnsi="宋体" w:eastAsia="宋体" w:cs="宋体"/>
          <w:sz w:val="28"/>
          <w:szCs w:val="28"/>
          <w:lang w:eastAsia="zh-CN"/>
        </w:rPr>
        <w:t>单位</w:t>
      </w:r>
      <w:r>
        <w:rPr>
          <w:rFonts w:hint="eastAsia" w:ascii="宋体" w:hAnsi="宋体" w:eastAsia="宋体" w:cs="宋体"/>
          <w:sz w:val="28"/>
          <w:szCs w:val="28"/>
        </w:rPr>
        <w:t>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3．我方同意向贵</w:t>
      </w:r>
      <w:r>
        <w:rPr>
          <w:rFonts w:hint="eastAsia" w:ascii="宋体" w:hAnsi="宋体" w:eastAsia="宋体" w:cs="宋体"/>
          <w:sz w:val="28"/>
          <w:szCs w:val="28"/>
          <w:lang w:eastAsia="zh-CN"/>
        </w:rPr>
        <w:t>单位</w:t>
      </w:r>
      <w:r>
        <w:rPr>
          <w:rFonts w:hint="eastAsia" w:ascii="宋体" w:hAnsi="宋体" w:eastAsia="宋体" w:cs="宋体"/>
          <w:sz w:val="28"/>
          <w:szCs w:val="28"/>
        </w:rPr>
        <w:t>提供与本次招标有关的全部证明材料，并保证所提交的证明材料真实、合法、有效。</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w:t>
      </w:r>
      <w:r>
        <w:rPr>
          <w:rFonts w:hint="eastAsia" w:ascii="宋体" w:hAnsi="宋体" w:eastAsia="宋体" w:cs="宋体"/>
          <w:sz w:val="28"/>
          <w:szCs w:val="28"/>
          <w:lang w:val="en-US" w:eastAsia="zh-CN"/>
        </w:rPr>
        <w:t>2</w:t>
      </w:r>
      <w:r>
        <w:rPr>
          <w:rFonts w:hint="eastAsia" w:ascii="宋体" w:hAnsi="宋体" w:eastAsia="宋体" w:cs="宋体"/>
          <w:sz w:val="28"/>
          <w:szCs w:val="28"/>
        </w:rPr>
        <w:t>）遵照招标文件中的要求，完成本项目的合同责任和义务。</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法定代表人或委托代理人：（签字或盖章）</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联系电话：</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通讯地址：</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邮    编：</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电子邮箱：</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日    期：    年  月  日</w:t>
      </w:r>
    </w:p>
    <w:p>
      <w:pPr>
        <w:rPr>
          <w:rFonts w:hint="eastAsia" w:ascii="宋体" w:hAnsi="宋体" w:eastAsia="宋体" w:cs="宋体"/>
          <w:sz w:val="32"/>
          <w:szCs w:val="32"/>
        </w:rPr>
      </w:pPr>
      <w:r>
        <w:rPr>
          <w:rFonts w:hint="eastAsia" w:ascii="宋体" w:hAnsi="宋体" w:eastAsia="宋体" w:cs="宋体"/>
        </w:rPr>
        <w:br w:type="page"/>
      </w:r>
    </w:p>
    <w:p>
      <w:pPr>
        <w:pStyle w:val="5"/>
        <w:numPr>
          <w:ilvl w:val="0"/>
          <w:numId w:val="2"/>
        </w:numPr>
        <w:jc w:val="center"/>
        <w:rPr>
          <w:rFonts w:hint="eastAsia" w:ascii="宋体" w:hAnsi="宋体" w:eastAsia="宋体" w:cs="宋体"/>
        </w:rPr>
      </w:pPr>
      <w:r>
        <w:rPr>
          <w:rFonts w:hint="eastAsia" w:ascii="宋体" w:hAnsi="宋体" w:eastAsia="宋体" w:cs="宋体"/>
          <w:lang w:val="en-US" w:eastAsia="zh-CN"/>
        </w:rPr>
        <w:t xml:space="preserve">  </w:t>
      </w:r>
      <w:bookmarkStart w:id="86" w:name="_Toc24783"/>
      <w:r>
        <w:rPr>
          <w:rFonts w:hint="eastAsia" w:ascii="宋体" w:hAnsi="宋体" w:eastAsia="宋体" w:cs="宋体"/>
        </w:rPr>
        <w:t>开标一览表</w:t>
      </w:r>
      <w:bookmarkEnd w:id="86"/>
    </w:p>
    <w:p>
      <w:pPr>
        <w:widowControl/>
        <w:wordWrap w:val="0"/>
        <w:spacing w:line="360" w:lineRule="auto"/>
        <w:jc w:val="left"/>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lang w:eastAsia="zh-CN"/>
        </w:rPr>
        <w:t>西安市中心血站成分科耗材采购项目（二次）</w:t>
      </w:r>
    </w:p>
    <w:p>
      <w:pPr>
        <w:pStyle w:val="2"/>
        <w:ind w:left="0" w:leftChars="0" w:firstLine="0" w:firstLineChars="0"/>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项目编号：</w:t>
      </w:r>
      <w:r>
        <w:rPr>
          <w:rFonts w:hint="eastAsia" w:ascii="宋体" w:hAnsi="宋体" w:cs="宋体"/>
          <w:kern w:val="2"/>
          <w:sz w:val="24"/>
          <w:szCs w:val="21"/>
          <w:lang w:val="en-US" w:eastAsia="zh-CN" w:bidi="ar-SA"/>
        </w:rPr>
        <w:t>ZMZB2022ZXXZ-85R</w:t>
      </w:r>
    </w:p>
    <w:p>
      <w:pPr>
        <w:numPr>
          <w:ilvl w:val="0"/>
          <w:numId w:val="0"/>
        </w:numPr>
        <w:rPr>
          <w:rFonts w:hint="default" w:ascii="宋体" w:hAnsi="宋体" w:cs="宋体" w:eastAsiaTheme="minorEastAsia"/>
          <w:sz w:val="24"/>
          <w:lang w:val="en-US" w:eastAsia="zh-CN"/>
        </w:rPr>
      </w:pPr>
      <w:r>
        <w:rPr>
          <w:rFonts w:hint="eastAsia" w:ascii="宋体" w:hAnsi="宋体" w:cs="宋体"/>
          <w:sz w:val="24"/>
          <w:lang w:eastAsia="zh-CN"/>
        </w:rPr>
        <w:t>标段：第</w:t>
      </w:r>
      <w:r>
        <w:rPr>
          <w:rFonts w:hint="eastAsia" w:ascii="宋体" w:hAnsi="宋体" w:cs="宋体"/>
          <w:sz w:val="24"/>
          <w:lang w:val="en-US" w:eastAsia="zh-CN"/>
        </w:rPr>
        <w:t>X标段</w:t>
      </w:r>
    </w:p>
    <w:p>
      <w:pPr>
        <w:numPr>
          <w:ilvl w:val="0"/>
          <w:numId w:val="0"/>
        </w:numPr>
        <w:rPr>
          <w:rFonts w:hint="eastAsia"/>
        </w:rPr>
      </w:pPr>
      <w:r>
        <w:rPr>
          <w:rFonts w:hint="eastAsia" w:ascii="宋体" w:hAnsi="宋体" w:cs="宋体"/>
          <w:sz w:val="24"/>
        </w:rPr>
        <w:t>单位：</w:t>
      </w:r>
      <w:r>
        <w:rPr>
          <w:rFonts w:hint="eastAsia" w:ascii="宋体" w:hAnsi="宋体" w:cs="宋体"/>
          <w:sz w:val="24"/>
          <w:szCs w:val="24"/>
        </w:rPr>
        <w:t xml:space="preserve">元  </w:t>
      </w:r>
    </w:p>
    <w:tbl>
      <w:tblPr>
        <w:tblStyle w:val="3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2436"/>
        <w:gridCol w:w="2281"/>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2481" w:type="dxa"/>
            <w:tcBorders>
              <w:tl2br w:val="single" w:color="auto" w:sz="4" w:space="0"/>
            </w:tcBorders>
          </w:tcPr>
          <w:p>
            <w:pPr>
              <w:kinsoku w:val="0"/>
              <w:spacing w:line="480" w:lineRule="auto"/>
              <w:ind w:right="-235" w:rightChars="-95" w:firstLine="992" w:firstLineChars="400"/>
              <w:rPr>
                <w:rFonts w:ascii="宋体" w:hAnsi="宋体" w:cs="宋体"/>
                <w:sz w:val="24"/>
              </w:rPr>
            </w:pPr>
            <w:r>
              <w:rPr>
                <w:rFonts w:hint="eastAsia" w:ascii="宋体" w:hAnsi="宋体" w:cs="宋体"/>
                <w:sz w:val="24"/>
              </w:rPr>
              <w:t>报价内容</w:t>
            </w:r>
          </w:p>
          <w:p>
            <w:pPr>
              <w:kinsoku w:val="0"/>
              <w:spacing w:line="480" w:lineRule="auto"/>
              <w:ind w:left="10" w:right="-235" w:rightChars="-95" w:firstLine="517" w:firstLineChars="209"/>
              <w:rPr>
                <w:rFonts w:ascii="宋体" w:hAnsi="宋体" w:cs="宋体"/>
                <w:sz w:val="24"/>
              </w:rPr>
            </w:pPr>
          </w:p>
          <w:p>
            <w:pPr>
              <w:kinsoku w:val="0"/>
              <w:spacing w:line="480" w:lineRule="auto"/>
              <w:ind w:right="-235" w:rightChars="-95"/>
              <w:rPr>
                <w:rFonts w:ascii="宋体" w:hAnsi="宋体" w:cs="宋体"/>
                <w:sz w:val="24"/>
              </w:rPr>
            </w:pPr>
            <w:r>
              <w:rPr>
                <w:rFonts w:hint="eastAsia" w:ascii="宋体" w:hAnsi="宋体" w:cs="宋体"/>
                <w:sz w:val="24"/>
              </w:rPr>
              <w:t>投标内容</w:t>
            </w:r>
          </w:p>
        </w:tc>
        <w:tc>
          <w:tcPr>
            <w:tcW w:w="2436" w:type="dxa"/>
            <w:vAlign w:val="center"/>
          </w:tcPr>
          <w:p>
            <w:pPr>
              <w:kinsoku w:val="0"/>
              <w:spacing w:line="480" w:lineRule="auto"/>
              <w:ind w:right="-235" w:rightChars="-95"/>
              <w:jc w:val="center"/>
              <w:rPr>
                <w:rFonts w:ascii="宋体" w:hAnsi="宋体" w:cs="宋体"/>
                <w:sz w:val="24"/>
              </w:rPr>
            </w:pPr>
            <w:r>
              <w:rPr>
                <w:rFonts w:hint="eastAsia" w:ascii="宋体" w:hAnsi="宋体" w:cs="宋体"/>
                <w:sz w:val="24"/>
              </w:rPr>
              <w:t>总报价</w:t>
            </w:r>
          </w:p>
        </w:tc>
        <w:tc>
          <w:tcPr>
            <w:tcW w:w="2281" w:type="dxa"/>
            <w:vAlign w:val="center"/>
          </w:tcPr>
          <w:p>
            <w:pPr>
              <w:kinsoku w:val="0"/>
              <w:ind w:right="-235" w:rightChars="-95"/>
              <w:jc w:val="center"/>
              <w:rPr>
                <w:rFonts w:ascii="宋体" w:hAnsi="宋体" w:cs="宋体"/>
                <w:sz w:val="24"/>
              </w:rPr>
            </w:pPr>
            <w:r>
              <w:rPr>
                <w:rFonts w:hint="eastAsia" w:ascii="宋体" w:hAnsi="宋体" w:cs="宋体"/>
                <w:sz w:val="24"/>
                <w:lang w:eastAsia="zh-CN"/>
              </w:rPr>
              <w:t>交货期</w:t>
            </w:r>
          </w:p>
        </w:tc>
        <w:tc>
          <w:tcPr>
            <w:tcW w:w="2281" w:type="dxa"/>
            <w:vAlign w:val="center"/>
          </w:tcPr>
          <w:p>
            <w:pPr>
              <w:kinsoku w:val="0"/>
              <w:ind w:right="-235" w:rightChars="-95"/>
              <w:jc w:val="center"/>
              <w:rPr>
                <w:rFonts w:hint="eastAsia" w:ascii="宋体" w:hAnsi="宋体" w:cs="宋体"/>
                <w:sz w:val="24"/>
                <w:lang w:eastAsia="zh-CN"/>
              </w:rPr>
            </w:pPr>
            <w:r>
              <w:rPr>
                <w:rFonts w:hint="eastAsia" w:ascii="宋体" w:hAnsi="宋体" w:cs="宋体"/>
                <w:sz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481" w:type="dxa"/>
            <w:vAlign w:val="center"/>
          </w:tcPr>
          <w:p>
            <w:pPr>
              <w:kinsoku w:val="0"/>
              <w:ind w:right="69" w:rightChars="28"/>
              <w:jc w:val="center"/>
              <w:rPr>
                <w:rFonts w:hint="eastAsia" w:ascii="宋体" w:hAnsi="宋体" w:eastAsia="宋体" w:cs="宋体"/>
                <w:sz w:val="24"/>
                <w:lang w:eastAsia="zh-CN"/>
              </w:rPr>
            </w:pPr>
            <w:r>
              <w:rPr>
                <w:rFonts w:hint="eastAsia" w:ascii="宋体" w:hAnsi="宋体" w:cs="宋体"/>
                <w:sz w:val="24"/>
                <w:lang w:eastAsia="zh-CN"/>
              </w:rPr>
              <w:t>西安市中心血站成分科耗材采购项目（二次）</w:t>
            </w:r>
          </w:p>
        </w:tc>
        <w:tc>
          <w:tcPr>
            <w:tcW w:w="2436" w:type="dxa"/>
            <w:vAlign w:val="center"/>
          </w:tcPr>
          <w:p>
            <w:pPr>
              <w:kinsoku w:val="0"/>
              <w:spacing w:line="480" w:lineRule="auto"/>
              <w:ind w:left="10" w:right="-235" w:rightChars="-95" w:firstLine="517" w:firstLineChars="209"/>
              <w:jc w:val="center"/>
              <w:rPr>
                <w:rFonts w:ascii="宋体" w:hAnsi="宋体" w:cs="宋体"/>
                <w:sz w:val="24"/>
              </w:rPr>
            </w:pPr>
          </w:p>
        </w:tc>
        <w:tc>
          <w:tcPr>
            <w:tcW w:w="2281" w:type="dxa"/>
            <w:vAlign w:val="center"/>
          </w:tcPr>
          <w:p>
            <w:pPr>
              <w:kinsoku w:val="0"/>
              <w:spacing w:line="480" w:lineRule="auto"/>
              <w:ind w:left="10" w:right="-235" w:rightChars="-95" w:firstLine="517" w:firstLineChars="209"/>
              <w:jc w:val="center"/>
              <w:rPr>
                <w:rFonts w:ascii="宋体" w:hAnsi="宋体" w:cs="宋体"/>
                <w:sz w:val="24"/>
              </w:rPr>
            </w:pPr>
          </w:p>
        </w:tc>
        <w:tc>
          <w:tcPr>
            <w:tcW w:w="2281" w:type="dxa"/>
            <w:vAlign w:val="center"/>
          </w:tcPr>
          <w:p>
            <w:pPr>
              <w:kinsoku w:val="0"/>
              <w:spacing w:line="480" w:lineRule="auto"/>
              <w:ind w:left="10" w:right="-235" w:rightChars="-95" w:firstLine="517"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479" w:type="dxa"/>
            <w:gridSpan w:val="4"/>
          </w:tcPr>
          <w:p>
            <w:pPr>
              <w:kinsoku w:val="0"/>
              <w:ind w:right="-235" w:rightChars="-95"/>
              <w:rPr>
                <w:rFonts w:ascii="宋体" w:hAnsi="宋体" w:cs="宋体"/>
                <w:b/>
                <w:bCs/>
                <w:sz w:val="24"/>
                <w:szCs w:val="24"/>
              </w:rPr>
            </w:pPr>
          </w:p>
          <w:p>
            <w:pPr>
              <w:kinsoku w:val="0"/>
              <w:ind w:right="-235" w:rightChars="-95"/>
              <w:rPr>
                <w:rFonts w:hint="eastAsia" w:ascii="宋体" w:hAnsi="宋体" w:cs="宋体"/>
                <w:sz w:val="24"/>
              </w:rPr>
            </w:pPr>
            <w:r>
              <w:rPr>
                <w:rFonts w:hint="eastAsia" w:ascii="宋体" w:hAnsi="宋体" w:cs="宋体"/>
                <w:sz w:val="24"/>
              </w:rPr>
              <w:t>总报价：（大写）________________（小写）_________________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9479" w:type="dxa"/>
            <w:gridSpan w:val="4"/>
            <w:vAlign w:val="center"/>
          </w:tcPr>
          <w:p>
            <w:pPr>
              <w:kinsoku w:val="0"/>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备注：表内报价内容以元为单位，精确到小数点后两位；</w:t>
            </w:r>
          </w:p>
        </w:tc>
      </w:tr>
    </w:tbl>
    <w:p>
      <w:pPr>
        <w:adjustRightInd w:val="0"/>
        <w:snapToGrid w:val="0"/>
        <w:spacing w:line="480" w:lineRule="auto"/>
        <w:jc w:val="left"/>
        <w:rPr>
          <w:rFonts w:hint="eastAsia" w:ascii="宋体" w:hAnsi="宋体" w:cs="宋体"/>
          <w:sz w:val="24"/>
        </w:rPr>
      </w:pPr>
    </w:p>
    <w:p>
      <w:pPr>
        <w:adjustRightInd w:val="0"/>
        <w:snapToGrid w:val="0"/>
        <w:spacing w:line="480" w:lineRule="auto"/>
        <w:jc w:val="left"/>
        <w:rPr>
          <w:rFonts w:ascii="宋体" w:hAnsi="宋体" w:cs="宋体"/>
          <w:sz w:val="24"/>
        </w:rPr>
      </w:pPr>
      <w:r>
        <w:rPr>
          <w:rFonts w:hint="eastAsia" w:ascii="宋体" w:hAnsi="宋体" w:cs="宋体"/>
          <w:sz w:val="24"/>
        </w:rPr>
        <w:t>供应商（单位名称及公章）：___________________________</w:t>
      </w:r>
    </w:p>
    <w:p>
      <w:pPr>
        <w:adjustRightInd w:val="0"/>
        <w:snapToGrid w:val="0"/>
        <w:spacing w:line="480" w:lineRule="auto"/>
        <w:jc w:val="left"/>
      </w:pPr>
      <w:r>
        <w:rPr>
          <w:rFonts w:hint="eastAsia" w:ascii="宋体" w:hAnsi="宋体" w:cs="宋体"/>
          <w:sz w:val="24"/>
        </w:rPr>
        <w:t>法定代表人或被授权人（签字或盖章）：__________________</w:t>
      </w:r>
    </w:p>
    <w:p>
      <w:pPr>
        <w:adjustRightInd w:val="0"/>
        <w:snapToGrid w:val="0"/>
        <w:spacing w:line="480" w:lineRule="auto"/>
        <w:jc w:val="left"/>
        <w:rPr>
          <w:rFonts w:ascii="宋体" w:cs="宋体"/>
          <w:sz w:val="24"/>
        </w:rPr>
      </w:pPr>
      <w:r>
        <w:rPr>
          <w:rFonts w:hint="eastAsia" w:ascii="宋体" w:hAnsi="宋体" w:cs="宋体"/>
          <w:sz w:val="24"/>
        </w:rPr>
        <w:t>时间：_______年________月_______日</w:t>
      </w:r>
    </w:p>
    <w:p>
      <w:pPr>
        <w:spacing w:line="560" w:lineRule="exact"/>
        <w:ind w:firstLine="656" w:firstLineChars="200"/>
        <w:jc w:val="both"/>
        <w:rPr>
          <w:rFonts w:hint="eastAsia" w:ascii="宋体" w:hAnsi="宋体" w:eastAsia="宋体" w:cs="宋体"/>
          <w:sz w:val="32"/>
          <w:szCs w:val="32"/>
        </w:rPr>
      </w:pPr>
    </w:p>
    <w:p>
      <w:pPr>
        <w:spacing w:line="560" w:lineRule="exact"/>
        <w:ind w:firstLine="656" w:firstLineChars="200"/>
        <w:jc w:val="both"/>
        <w:rPr>
          <w:rFonts w:hint="eastAsia" w:ascii="宋体" w:hAnsi="宋体" w:eastAsia="宋体" w:cs="宋体"/>
          <w:sz w:val="32"/>
          <w:szCs w:val="32"/>
        </w:rPr>
      </w:pPr>
    </w:p>
    <w:p>
      <w:pPr>
        <w:spacing w:line="560" w:lineRule="exact"/>
        <w:ind w:firstLine="656"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jc w:val="center"/>
        <w:outlineLvl w:val="9"/>
        <w:rPr>
          <w:rFonts w:hint="eastAsia" w:ascii="宋体" w:hAnsi="宋体" w:eastAsia="宋体" w:cs="宋体"/>
          <w:sz w:val="32"/>
          <w:szCs w:val="32"/>
        </w:rPr>
      </w:pPr>
      <w:r>
        <w:rPr>
          <w:rFonts w:hint="eastAsia" w:ascii="宋体" w:hAnsi="宋体" w:eastAsia="宋体" w:cs="宋体"/>
          <w:sz w:val="32"/>
          <w:szCs w:val="32"/>
        </w:rPr>
        <w:t>分项报价表（</w:t>
      </w:r>
      <w:r>
        <w:rPr>
          <w:rFonts w:hint="eastAsia" w:ascii="宋体" w:hAnsi="宋体" w:eastAsia="宋体" w:cs="宋体"/>
          <w:sz w:val="32"/>
          <w:szCs w:val="32"/>
          <w:lang w:eastAsia="zh-CN"/>
        </w:rPr>
        <w:t>货物</w:t>
      </w:r>
      <w:r>
        <w:rPr>
          <w:rFonts w:hint="eastAsia" w:ascii="宋体" w:hAnsi="宋体" w:eastAsia="宋体" w:cs="宋体"/>
          <w:sz w:val="32"/>
          <w:szCs w:val="32"/>
        </w:rPr>
        <w:t>类适用）</w:t>
      </w:r>
    </w:p>
    <w:p>
      <w:pPr>
        <w:widowControl/>
        <w:wordWrap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eastAsia="zh-CN"/>
          <w14:textFill>
            <w14:solidFill>
              <w14:schemeClr w14:val="tx1"/>
            </w14:solidFill>
          </w14:textFill>
        </w:rPr>
        <w:t>西安市中心血站成分科耗材采购项目（二次）</w:t>
      </w:r>
      <w:r>
        <w:rPr>
          <w:rFonts w:hint="eastAsia" w:ascii="宋体" w:hAnsi="宋体" w:cs="宋体"/>
          <w:color w:val="000000" w:themeColor="text1"/>
          <w:sz w:val="24"/>
          <w14:textFill>
            <w14:solidFill>
              <w14:schemeClr w14:val="tx1"/>
            </w14:solidFill>
          </w14:textFill>
        </w:rPr>
        <w:t xml:space="preserve">   </w:t>
      </w:r>
    </w:p>
    <w:p>
      <w:pPr>
        <w:widowControl/>
        <w:wordWrap w:val="0"/>
        <w:spacing w:line="360" w:lineRule="auto"/>
        <w:rPr>
          <w:rFonts w:hint="eastAsia" w:ascii="宋体" w:eastAsia="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ZMZB2022ZXXZ-85R</w:t>
      </w:r>
    </w:p>
    <w:p>
      <w:pPr>
        <w:widowControl/>
        <w:wordWrap w:val="0"/>
        <w:spacing w:line="360" w:lineRule="auto"/>
        <w:jc w:val="left"/>
        <w:rPr>
          <w:rFonts w:hint="eastAsia" w:ascii="宋体" w:hAnsi="宋体" w:cs="宋体"/>
          <w:sz w:val="24"/>
          <w:lang w:val="en-US" w:eastAsia="zh-CN"/>
        </w:rPr>
      </w:pPr>
      <w:r>
        <w:rPr>
          <w:rFonts w:hint="eastAsia" w:ascii="宋体" w:hAnsi="宋体" w:cs="宋体"/>
          <w:color w:val="000000" w:themeColor="text1"/>
          <w:sz w:val="24"/>
          <w:lang w:eastAsia="zh-CN"/>
          <w14:textFill>
            <w14:solidFill>
              <w14:schemeClr w14:val="tx1"/>
            </w14:solidFill>
          </w14:textFill>
        </w:rPr>
        <w:t>标段：</w:t>
      </w:r>
      <w:r>
        <w:rPr>
          <w:rFonts w:hint="eastAsia" w:ascii="宋体" w:hAnsi="宋体" w:cs="宋体"/>
          <w:sz w:val="24"/>
          <w:lang w:eastAsia="zh-CN"/>
        </w:rPr>
        <w:t>第</w:t>
      </w:r>
      <w:r>
        <w:rPr>
          <w:rFonts w:hint="eastAsia" w:ascii="宋体" w:hAnsi="宋体" w:cs="宋体"/>
          <w:sz w:val="24"/>
          <w:lang w:val="en-US" w:eastAsia="zh-CN"/>
        </w:rPr>
        <w:t>X标段</w:t>
      </w:r>
    </w:p>
    <w:p>
      <w:pPr>
        <w:widowControl/>
        <w:wordWrap w:val="0"/>
        <w:spacing w:line="360" w:lineRule="auto"/>
        <w:jc w:val="left"/>
        <w:rPr>
          <w:rFonts w:ascii="宋体" w:cs="宋体"/>
          <w:b/>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t>共  页，第  页</w:t>
      </w:r>
    </w:p>
    <w:tbl>
      <w:tblPr>
        <w:tblStyle w:val="34"/>
        <w:tblpPr w:leftFromText="180" w:rightFromText="180" w:vertAnchor="text" w:horzAnchor="page" w:tblpX="1534" w:tblpY="373"/>
        <w:tblOverlap w:val="never"/>
        <w:tblW w:w="0" w:type="auto"/>
        <w:tblInd w:w="0" w:type="dxa"/>
        <w:tblLayout w:type="fixed"/>
        <w:tblCellMar>
          <w:top w:w="0" w:type="dxa"/>
          <w:left w:w="28" w:type="dxa"/>
          <w:bottom w:w="0" w:type="dxa"/>
          <w:right w:w="28" w:type="dxa"/>
        </w:tblCellMar>
      </w:tblPr>
      <w:tblGrid>
        <w:gridCol w:w="1148"/>
        <w:gridCol w:w="530"/>
        <w:gridCol w:w="789"/>
        <w:gridCol w:w="588"/>
        <w:gridCol w:w="963"/>
        <w:gridCol w:w="1570"/>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right w:val="single" w:color="auto" w:sz="4" w:space="0"/>
            </w:tcBorders>
            <w:noWrap w:val="0"/>
            <w:vAlign w:val="center"/>
          </w:tcPr>
          <w:p>
            <w:pPr>
              <w:jc w:val="left"/>
              <w:rPr>
                <w:rFonts w:ascii="宋体" w:hAnsi="宋体"/>
                <w:sz w:val="22"/>
              </w:rPr>
            </w:pPr>
            <w:r>
              <w:rPr>
                <w:rFonts w:hint="eastAsia" w:ascii="宋体" w:hAnsi="宋体"/>
                <w:sz w:val="22"/>
              </w:rPr>
              <w:t>产品费用</w:t>
            </w:r>
          </w:p>
        </w:tc>
        <w:tc>
          <w:tcPr>
            <w:tcW w:w="530" w:type="dxa"/>
            <w:tcBorders>
              <w:top w:val="single" w:color="auto" w:sz="6" w:space="0"/>
              <w:left w:val="single" w:color="auto" w:sz="4" w:space="0"/>
              <w:bottom w:val="single" w:color="auto" w:sz="6" w:space="0"/>
            </w:tcBorders>
            <w:noWrap w:val="0"/>
            <w:vAlign w:val="center"/>
          </w:tcPr>
          <w:p>
            <w:pPr>
              <w:spacing w:after="120"/>
              <w:jc w:val="center"/>
              <w:rPr>
                <w:rFonts w:ascii="宋体" w:hAnsi="宋体"/>
                <w:sz w:val="22"/>
              </w:rPr>
            </w:pPr>
            <w:r>
              <w:rPr>
                <w:rFonts w:hint="eastAsia" w:ascii="宋体" w:hAnsi="宋体"/>
                <w:sz w:val="22"/>
              </w:rPr>
              <w:t>序号</w:t>
            </w:r>
          </w:p>
        </w:tc>
        <w:tc>
          <w:tcPr>
            <w:tcW w:w="789"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hAnsi="宋体"/>
                <w:sz w:val="22"/>
              </w:rPr>
            </w:pPr>
            <w:r>
              <w:rPr>
                <w:rFonts w:hint="eastAsia" w:ascii="宋体" w:hAnsi="宋体"/>
                <w:sz w:val="22"/>
              </w:rPr>
              <w:t>名称</w:t>
            </w:r>
          </w:p>
        </w:tc>
        <w:tc>
          <w:tcPr>
            <w:tcW w:w="588" w:type="dxa"/>
            <w:tcBorders>
              <w:top w:val="single" w:color="auto" w:sz="6" w:space="0"/>
              <w:left w:val="single" w:color="auto" w:sz="6" w:space="0"/>
              <w:bottom w:val="single" w:color="auto" w:sz="6" w:space="0"/>
              <w:right w:val="single" w:color="auto" w:sz="4" w:space="0"/>
            </w:tcBorders>
            <w:noWrap w:val="0"/>
            <w:vAlign w:val="center"/>
          </w:tcPr>
          <w:p>
            <w:pPr>
              <w:spacing w:after="120"/>
              <w:jc w:val="center"/>
              <w:rPr>
                <w:rFonts w:ascii="宋体" w:hAnsi="宋体"/>
                <w:sz w:val="22"/>
              </w:rPr>
            </w:pPr>
            <w:r>
              <w:rPr>
                <w:rFonts w:hint="eastAsia" w:ascii="宋体" w:hAnsi="宋体"/>
                <w:sz w:val="22"/>
              </w:rPr>
              <w:t>品牌</w:t>
            </w:r>
          </w:p>
        </w:tc>
        <w:tc>
          <w:tcPr>
            <w:tcW w:w="963" w:type="dxa"/>
            <w:tcBorders>
              <w:top w:val="single" w:color="auto" w:sz="6" w:space="0"/>
              <w:left w:val="single" w:color="auto" w:sz="4" w:space="0"/>
              <w:bottom w:val="single" w:color="auto" w:sz="6" w:space="0"/>
              <w:right w:val="single" w:color="auto" w:sz="6" w:space="0"/>
            </w:tcBorders>
            <w:noWrap w:val="0"/>
            <w:vAlign w:val="center"/>
          </w:tcPr>
          <w:p>
            <w:pPr>
              <w:spacing w:after="120"/>
              <w:jc w:val="center"/>
              <w:rPr>
                <w:rFonts w:ascii="宋体" w:hAnsi="宋体"/>
                <w:sz w:val="22"/>
              </w:rPr>
            </w:pPr>
            <w:r>
              <w:rPr>
                <w:rFonts w:hint="eastAsia" w:ascii="宋体" w:hAnsi="宋体"/>
                <w:sz w:val="22"/>
              </w:rPr>
              <w:t>型号或规格</w:t>
            </w:r>
          </w:p>
        </w:tc>
        <w:tc>
          <w:tcPr>
            <w:tcW w:w="1570" w:type="dxa"/>
            <w:tcBorders>
              <w:top w:val="single" w:color="auto" w:sz="6" w:space="0"/>
              <w:left w:val="single" w:color="auto" w:sz="6" w:space="0"/>
              <w:bottom w:val="single" w:color="auto" w:sz="6" w:space="0"/>
              <w:right w:val="single" w:color="auto" w:sz="6" w:space="0"/>
            </w:tcBorders>
            <w:noWrap w:val="0"/>
            <w:vAlign w:val="center"/>
          </w:tcPr>
          <w:p>
            <w:pPr>
              <w:spacing w:before="159" w:beforeLines="50" w:after="120"/>
              <w:jc w:val="center"/>
              <w:rPr>
                <w:rFonts w:ascii="宋体" w:hAnsi="宋体"/>
                <w:sz w:val="22"/>
              </w:rPr>
            </w:pPr>
            <w:r>
              <w:rPr>
                <w:rFonts w:hint="eastAsia" w:ascii="宋体" w:hAnsi="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hAnsi="宋体"/>
                <w:sz w:val="22"/>
              </w:rPr>
            </w:pPr>
            <w:r>
              <w:rPr>
                <w:rFonts w:hint="eastAsia" w:ascii="宋体" w:hAnsi="宋体"/>
                <w:sz w:val="22"/>
              </w:rPr>
              <w:t>数量</w:t>
            </w:r>
          </w:p>
        </w:tc>
        <w:tc>
          <w:tcPr>
            <w:tcW w:w="135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hAnsi="宋体"/>
                <w:sz w:val="22"/>
              </w:rPr>
            </w:pPr>
            <w:r>
              <w:rPr>
                <w:rFonts w:hint="eastAsia" w:ascii="宋体" w:hAnsi="宋体"/>
                <w:sz w:val="22"/>
              </w:rPr>
              <w:t>单价</w:t>
            </w:r>
          </w:p>
          <w:p>
            <w:pPr>
              <w:spacing w:after="120"/>
              <w:jc w:val="center"/>
              <w:rPr>
                <w:rFonts w:ascii="宋体" w:hAnsi="宋体"/>
                <w:bCs/>
                <w:sz w:val="22"/>
              </w:rPr>
            </w:pPr>
            <w:r>
              <w:rPr>
                <w:rFonts w:hint="eastAsia" w:ascii="宋体" w:hAnsi="宋体"/>
                <w:sz w:val="22"/>
              </w:rPr>
              <w:t>（元）</w:t>
            </w:r>
          </w:p>
        </w:tc>
        <w:tc>
          <w:tcPr>
            <w:tcW w:w="115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hAnsi="宋体"/>
                <w:bCs/>
                <w:sz w:val="22"/>
              </w:rPr>
            </w:pPr>
            <w:r>
              <w:rPr>
                <w:rFonts w:hint="eastAsia" w:ascii="宋体" w:hAnsi="宋体"/>
                <w:bCs/>
                <w:sz w:val="22"/>
              </w:rPr>
              <w:t>总价</w:t>
            </w:r>
          </w:p>
          <w:p>
            <w:pPr>
              <w:spacing w:after="120"/>
              <w:jc w:val="center"/>
              <w:rPr>
                <w:rFonts w:ascii="宋体" w:hAnsi="宋体"/>
                <w:bCs/>
                <w:sz w:val="22"/>
              </w:rPr>
            </w:pPr>
            <w:r>
              <w:rPr>
                <w:rFonts w:hint="eastAsia" w:ascii="宋体" w:hAnsi="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noWrap w:val="0"/>
            <w:vAlign w:val="center"/>
          </w:tcPr>
          <w:p>
            <w:pPr>
              <w:spacing w:before="319" w:beforeLines="100"/>
              <w:jc w:val="center"/>
              <w:rPr>
                <w:rFonts w:ascii="宋体" w:hAnsi="宋体"/>
                <w:sz w:val="22"/>
              </w:rPr>
            </w:pPr>
          </w:p>
        </w:tc>
        <w:tc>
          <w:tcPr>
            <w:tcW w:w="530" w:type="dxa"/>
            <w:tcBorders>
              <w:top w:val="single" w:color="auto" w:sz="6" w:space="0"/>
              <w:left w:val="single" w:color="auto" w:sz="4" w:space="0"/>
              <w:bottom w:val="single" w:color="auto" w:sz="4" w:space="0"/>
            </w:tcBorders>
            <w:noWrap w:val="0"/>
            <w:vAlign w:val="center"/>
          </w:tcPr>
          <w:p>
            <w:pPr>
              <w:spacing w:before="319" w:beforeLines="100"/>
              <w:jc w:val="center"/>
              <w:rPr>
                <w:rFonts w:ascii="宋体" w:hAnsi="宋体"/>
                <w:sz w:val="22"/>
              </w:rPr>
            </w:pPr>
            <w:r>
              <w:rPr>
                <w:rFonts w:hint="eastAsia" w:ascii="宋体" w:hAnsi="宋体"/>
                <w:sz w:val="22"/>
              </w:rPr>
              <w:t>1</w:t>
            </w:r>
          </w:p>
        </w:tc>
        <w:tc>
          <w:tcPr>
            <w:tcW w:w="789" w:type="dxa"/>
            <w:tcBorders>
              <w:top w:val="single" w:color="auto" w:sz="6" w:space="0"/>
              <w:left w:val="single" w:color="auto" w:sz="6" w:space="0"/>
              <w:bottom w:val="single" w:color="auto" w:sz="4" w:space="0"/>
              <w:right w:val="single" w:color="auto" w:sz="6" w:space="0"/>
            </w:tcBorders>
            <w:noWrap w:val="0"/>
            <w:vAlign w:val="center"/>
          </w:tcPr>
          <w:p>
            <w:pPr>
              <w:spacing w:before="159" w:beforeLines="50"/>
              <w:jc w:val="center"/>
              <w:rPr>
                <w:rFonts w:ascii="宋体" w:hAnsi="宋体"/>
                <w:sz w:val="22"/>
              </w:rPr>
            </w:pPr>
          </w:p>
        </w:tc>
        <w:tc>
          <w:tcPr>
            <w:tcW w:w="588" w:type="dxa"/>
            <w:tcBorders>
              <w:top w:val="single" w:color="auto" w:sz="6" w:space="0"/>
              <w:left w:val="single" w:color="auto" w:sz="6" w:space="0"/>
              <w:bottom w:val="single" w:color="auto" w:sz="4" w:space="0"/>
              <w:right w:val="single" w:color="auto" w:sz="4" w:space="0"/>
            </w:tcBorders>
            <w:noWrap w:val="0"/>
            <w:vAlign w:val="center"/>
          </w:tcPr>
          <w:p>
            <w:pPr>
              <w:spacing w:before="159" w:beforeLines="50"/>
              <w:jc w:val="center"/>
              <w:rPr>
                <w:rFonts w:ascii="宋体" w:hAnsi="宋体"/>
                <w:sz w:val="22"/>
              </w:rPr>
            </w:pPr>
          </w:p>
        </w:tc>
        <w:tc>
          <w:tcPr>
            <w:tcW w:w="963" w:type="dxa"/>
            <w:tcBorders>
              <w:top w:val="single" w:color="auto" w:sz="6" w:space="0"/>
              <w:left w:val="single" w:color="auto" w:sz="4" w:space="0"/>
              <w:bottom w:val="single" w:color="auto" w:sz="4" w:space="0"/>
              <w:right w:val="single" w:color="auto" w:sz="6" w:space="0"/>
            </w:tcBorders>
            <w:noWrap w:val="0"/>
            <w:vAlign w:val="center"/>
          </w:tcPr>
          <w:p>
            <w:pPr>
              <w:spacing w:before="159" w:beforeLines="50"/>
              <w:jc w:val="center"/>
              <w:rPr>
                <w:rFonts w:ascii="宋体" w:hAnsi="宋体"/>
                <w:sz w:val="22"/>
              </w:rPr>
            </w:pPr>
          </w:p>
        </w:tc>
        <w:tc>
          <w:tcPr>
            <w:tcW w:w="1570" w:type="dxa"/>
            <w:tcBorders>
              <w:top w:val="single" w:color="auto" w:sz="6" w:space="0"/>
              <w:left w:val="single" w:color="auto" w:sz="6" w:space="0"/>
              <w:bottom w:val="single" w:color="auto" w:sz="4" w:space="0"/>
              <w:right w:val="single" w:color="auto" w:sz="6" w:space="0"/>
            </w:tcBorders>
            <w:noWrap w:val="0"/>
            <w:vAlign w:val="center"/>
          </w:tcPr>
          <w:p>
            <w:pPr>
              <w:spacing w:before="159" w:beforeLines="50"/>
              <w:jc w:val="center"/>
              <w:rPr>
                <w:rFonts w:ascii="宋体" w:hAnsi="宋体"/>
                <w:sz w:val="22"/>
              </w:rPr>
            </w:pPr>
          </w:p>
        </w:tc>
        <w:tc>
          <w:tcPr>
            <w:tcW w:w="966" w:type="dxa"/>
            <w:tcBorders>
              <w:top w:val="single" w:color="auto" w:sz="6" w:space="0"/>
              <w:left w:val="single" w:color="auto" w:sz="6" w:space="0"/>
              <w:bottom w:val="single" w:color="auto" w:sz="4" w:space="0"/>
              <w:right w:val="single" w:color="auto" w:sz="6" w:space="0"/>
            </w:tcBorders>
            <w:noWrap w:val="0"/>
            <w:vAlign w:val="center"/>
          </w:tcPr>
          <w:p>
            <w:pPr>
              <w:spacing w:before="159" w:beforeLines="50"/>
              <w:jc w:val="center"/>
              <w:rPr>
                <w:rFonts w:ascii="宋体" w:hAnsi="宋体"/>
                <w:sz w:val="22"/>
              </w:rPr>
            </w:pPr>
          </w:p>
        </w:tc>
        <w:tc>
          <w:tcPr>
            <w:tcW w:w="1353" w:type="dxa"/>
            <w:tcBorders>
              <w:top w:val="single" w:color="auto" w:sz="6" w:space="0"/>
              <w:left w:val="single" w:color="auto" w:sz="6" w:space="0"/>
              <w:bottom w:val="single" w:color="auto" w:sz="4" w:space="0"/>
              <w:right w:val="single" w:color="auto" w:sz="6" w:space="0"/>
            </w:tcBorders>
            <w:noWrap w:val="0"/>
            <w:vAlign w:val="center"/>
          </w:tcPr>
          <w:p>
            <w:pPr>
              <w:spacing w:before="159" w:beforeLines="50"/>
              <w:jc w:val="center"/>
              <w:rPr>
                <w:rFonts w:ascii="宋体" w:hAnsi="宋体"/>
                <w:sz w:val="22"/>
              </w:rPr>
            </w:pPr>
          </w:p>
        </w:tc>
        <w:tc>
          <w:tcPr>
            <w:tcW w:w="1153" w:type="dxa"/>
            <w:tcBorders>
              <w:top w:val="single" w:color="auto" w:sz="6" w:space="0"/>
              <w:left w:val="single" w:color="auto" w:sz="6" w:space="0"/>
              <w:bottom w:val="single" w:color="auto" w:sz="4" w:space="0"/>
              <w:right w:val="single" w:color="auto" w:sz="6" w:space="0"/>
            </w:tcBorders>
            <w:noWrap w:val="0"/>
            <w:vAlign w:val="center"/>
          </w:tcPr>
          <w:p>
            <w:pPr>
              <w:spacing w:before="159" w:beforeLines="50"/>
              <w:jc w:val="center"/>
              <w:rPr>
                <w:rFonts w:ascii="宋体" w:hAnsi="宋体"/>
                <w:sz w:val="22"/>
              </w:rPr>
            </w:pPr>
          </w:p>
        </w:tc>
      </w:tr>
      <w:tr>
        <w:tblPrEx>
          <w:tblCellMar>
            <w:top w:w="0" w:type="dxa"/>
            <w:left w:w="28" w:type="dxa"/>
            <w:bottom w:w="0" w:type="dxa"/>
            <w:right w:w="28" w:type="dxa"/>
          </w:tblCellMar>
        </w:tblPrEx>
        <w:trPr>
          <w:trHeight w:val="608" w:hRule="atLeast"/>
        </w:trPr>
        <w:tc>
          <w:tcPr>
            <w:tcW w:w="1148" w:type="dxa"/>
            <w:vMerge w:val="continue"/>
            <w:tcBorders>
              <w:left w:val="single" w:color="auto" w:sz="6" w:space="0"/>
              <w:right w:val="single" w:color="auto" w:sz="4" w:space="0"/>
            </w:tcBorders>
            <w:noWrap w:val="0"/>
            <w:vAlign w:val="center"/>
          </w:tcPr>
          <w:p>
            <w:pPr>
              <w:spacing w:before="319" w:beforeLines="100"/>
              <w:jc w:val="center"/>
              <w:rPr>
                <w:rFonts w:ascii="宋体" w:hAnsi="宋体"/>
                <w:sz w:val="22"/>
              </w:rPr>
            </w:pPr>
          </w:p>
        </w:tc>
        <w:tc>
          <w:tcPr>
            <w:tcW w:w="530" w:type="dxa"/>
            <w:tcBorders>
              <w:top w:val="single" w:color="auto" w:sz="4" w:space="0"/>
              <w:left w:val="single" w:color="auto" w:sz="4" w:space="0"/>
              <w:bottom w:val="single" w:color="auto" w:sz="6" w:space="0"/>
            </w:tcBorders>
            <w:noWrap w:val="0"/>
            <w:vAlign w:val="center"/>
          </w:tcPr>
          <w:p>
            <w:pPr>
              <w:spacing w:before="319" w:beforeLines="100"/>
              <w:jc w:val="center"/>
              <w:rPr>
                <w:rFonts w:ascii="宋体" w:hAnsi="宋体"/>
                <w:sz w:val="22"/>
              </w:rPr>
            </w:pPr>
            <w:r>
              <w:rPr>
                <w:rFonts w:hint="eastAsia" w:ascii="宋体" w:hAnsi="宋体"/>
                <w:sz w:val="22"/>
              </w:rPr>
              <w:t>2</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319" w:beforeLines="10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noWrap w:val="0"/>
            <w:vAlign w:val="center"/>
          </w:tcPr>
          <w:p>
            <w:pPr>
              <w:spacing w:before="159"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noWrap w:val="0"/>
            <w:vAlign w:val="center"/>
          </w:tcPr>
          <w:p>
            <w:pPr>
              <w:spacing w:before="319" w:beforeLines="100"/>
              <w:jc w:val="center"/>
              <w:rPr>
                <w:rFonts w:ascii="宋体" w:hAnsi="宋体"/>
                <w:sz w:val="22"/>
              </w:rPr>
            </w:pPr>
          </w:p>
        </w:tc>
        <w:tc>
          <w:tcPr>
            <w:tcW w:w="530" w:type="dxa"/>
            <w:tcBorders>
              <w:top w:val="single" w:color="auto" w:sz="4" w:space="0"/>
              <w:left w:val="single" w:color="auto" w:sz="4" w:space="0"/>
              <w:bottom w:val="single" w:color="auto" w:sz="6" w:space="0"/>
            </w:tcBorders>
            <w:noWrap w:val="0"/>
            <w:vAlign w:val="center"/>
          </w:tcPr>
          <w:p>
            <w:pPr>
              <w:spacing w:before="319" w:beforeLines="100"/>
              <w:jc w:val="center"/>
              <w:rPr>
                <w:rFonts w:ascii="宋体" w:hAnsi="宋体"/>
                <w:sz w:val="22"/>
              </w:rPr>
            </w:pPr>
            <w:r>
              <w:rPr>
                <w:rFonts w:hint="eastAsia" w:ascii="宋体" w:hAnsi="宋体"/>
                <w:sz w:val="22"/>
              </w:rPr>
              <w:t>3</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319" w:beforeLines="10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noWrap w:val="0"/>
            <w:vAlign w:val="center"/>
          </w:tcPr>
          <w:p>
            <w:pPr>
              <w:spacing w:before="159"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r>
      <w:tr>
        <w:tblPrEx>
          <w:tblCellMar>
            <w:top w:w="0" w:type="dxa"/>
            <w:left w:w="28" w:type="dxa"/>
            <w:bottom w:w="0" w:type="dxa"/>
            <w:right w:w="28" w:type="dxa"/>
          </w:tblCellMar>
        </w:tblPrEx>
        <w:trPr>
          <w:trHeight w:val="823" w:hRule="atLeast"/>
        </w:trPr>
        <w:tc>
          <w:tcPr>
            <w:tcW w:w="1148" w:type="dxa"/>
            <w:vMerge w:val="continue"/>
            <w:tcBorders>
              <w:left w:val="single" w:color="auto" w:sz="6" w:space="0"/>
              <w:right w:val="single" w:color="auto" w:sz="4" w:space="0"/>
            </w:tcBorders>
            <w:noWrap w:val="0"/>
            <w:vAlign w:val="center"/>
          </w:tcPr>
          <w:p>
            <w:pPr>
              <w:spacing w:before="319" w:beforeLines="100"/>
              <w:jc w:val="center"/>
              <w:rPr>
                <w:rFonts w:ascii="宋体" w:hAnsi="宋体"/>
                <w:sz w:val="22"/>
              </w:rPr>
            </w:pPr>
          </w:p>
        </w:tc>
        <w:tc>
          <w:tcPr>
            <w:tcW w:w="530" w:type="dxa"/>
            <w:tcBorders>
              <w:top w:val="single" w:color="auto" w:sz="4" w:space="0"/>
              <w:left w:val="single" w:color="auto" w:sz="4" w:space="0"/>
              <w:bottom w:val="single" w:color="auto" w:sz="6" w:space="0"/>
            </w:tcBorders>
            <w:noWrap w:val="0"/>
            <w:vAlign w:val="center"/>
          </w:tcPr>
          <w:p>
            <w:pPr>
              <w:spacing w:before="319" w:beforeLines="100"/>
              <w:jc w:val="center"/>
              <w:rPr>
                <w:rFonts w:ascii="宋体" w:hAnsi="宋体"/>
                <w:sz w:val="22"/>
              </w:rPr>
            </w:pPr>
            <w:r>
              <w:rPr>
                <w:rFonts w:hint="eastAsia" w:ascii="宋体" w:hAnsi="宋体"/>
                <w:sz w:val="22"/>
              </w:rPr>
              <w:t>……</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noWrap w:val="0"/>
            <w:vAlign w:val="center"/>
          </w:tcPr>
          <w:p>
            <w:pPr>
              <w:spacing w:before="159"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r>
      <w:tr>
        <w:tblPrEx>
          <w:tblCellMar>
            <w:top w:w="0" w:type="dxa"/>
            <w:left w:w="28" w:type="dxa"/>
            <w:bottom w:w="0" w:type="dxa"/>
            <w:right w:w="28" w:type="dxa"/>
          </w:tblCellMar>
        </w:tblPrEx>
        <w:trPr>
          <w:trHeight w:val="823" w:hRule="atLeast"/>
        </w:trPr>
        <w:tc>
          <w:tcPr>
            <w:tcW w:w="1148" w:type="dxa"/>
            <w:vMerge w:val="continue"/>
            <w:tcBorders>
              <w:left w:val="single" w:color="auto" w:sz="6" w:space="0"/>
              <w:bottom w:val="single" w:color="auto" w:sz="6" w:space="0"/>
              <w:right w:val="single" w:color="auto" w:sz="4" w:space="0"/>
            </w:tcBorders>
            <w:noWrap w:val="0"/>
            <w:vAlign w:val="center"/>
          </w:tcPr>
          <w:p>
            <w:pPr>
              <w:spacing w:before="319" w:beforeLines="100"/>
              <w:jc w:val="center"/>
              <w:rPr>
                <w:rFonts w:ascii="宋体" w:hAnsi="宋体"/>
                <w:sz w:val="22"/>
              </w:rPr>
            </w:pPr>
          </w:p>
        </w:tc>
        <w:tc>
          <w:tcPr>
            <w:tcW w:w="530" w:type="dxa"/>
            <w:tcBorders>
              <w:top w:val="single" w:color="auto" w:sz="4" w:space="0"/>
              <w:left w:val="single" w:color="auto" w:sz="4" w:space="0"/>
              <w:bottom w:val="single" w:color="auto" w:sz="6" w:space="0"/>
            </w:tcBorders>
            <w:noWrap w:val="0"/>
            <w:vAlign w:val="center"/>
          </w:tcPr>
          <w:p>
            <w:pPr>
              <w:spacing w:before="319" w:beforeLines="100"/>
              <w:jc w:val="center"/>
              <w:rPr>
                <w:rFonts w:ascii="宋体" w:hAnsi="宋体"/>
                <w:b/>
                <w:sz w:val="22"/>
              </w:rPr>
            </w:pPr>
            <w:r>
              <w:rPr>
                <w:rFonts w:hint="eastAsia" w:ascii="宋体" w:hAnsi="宋体"/>
                <w:sz w:val="22"/>
              </w:rPr>
              <w:t>……</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588" w:type="dxa"/>
            <w:tcBorders>
              <w:top w:val="single" w:color="auto" w:sz="4" w:space="0"/>
              <w:left w:val="single" w:color="auto" w:sz="6" w:space="0"/>
              <w:bottom w:val="single" w:color="auto" w:sz="6" w:space="0"/>
              <w:right w:val="single" w:color="auto" w:sz="4" w:space="0"/>
            </w:tcBorders>
            <w:noWrap w:val="0"/>
            <w:vAlign w:val="center"/>
          </w:tcPr>
          <w:p>
            <w:pPr>
              <w:spacing w:before="159" w:beforeLines="50"/>
              <w:jc w:val="center"/>
              <w:rPr>
                <w:rFonts w:ascii="宋体" w:hAnsi="宋体"/>
                <w:sz w:val="22"/>
              </w:rPr>
            </w:pPr>
          </w:p>
        </w:tc>
        <w:tc>
          <w:tcPr>
            <w:tcW w:w="963" w:type="dxa"/>
            <w:tcBorders>
              <w:top w:val="single" w:color="auto" w:sz="4" w:space="0"/>
              <w:left w:val="single" w:color="auto" w:sz="4"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570"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2"/>
              </w:rPr>
            </w:pPr>
            <w:r>
              <w:rPr>
                <w:rFonts w:hint="eastAsia" w:ascii="宋体" w:hAnsi="宋体"/>
                <w:sz w:val="22"/>
              </w:rPr>
              <w:t>其他费用</w:t>
            </w:r>
          </w:p>
        </w:tc>
        <w:tc>
          <w:tcPr>
            <w:tcW w:w="6593" w:type="dxa"/>
            <w:gridSpan w:val="6"/>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2"/>
              </w:rPr>
            </w:pPr>
            <w:r>
              <w:rPr>
                <w:rFonts w:hint="eastAsia" w:ascii="宋体" w:hAnsi="宋体"/>
                <w:sz w:val="22"/>
              </w:rPr>
              <w:t>……</w:t>
            </w:r>
          </w:p>
        </w:tc>
        <w:tc>
          <w:tcPr>
            <w:tcW w:w="6593" w:type="dxa"/>
            <w:gridSpan w:val="6"/>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2"/>
              </w:rPr>
            </w:pP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tcBorders>
            <w:noWrap w:val="0"/>
            <w:vAlign w:val="center"/>
          </w:tcPr>
          <w:p>
            <w:pPr>
              <w:jc w:val="center"/>
              <w:rPr>
                <w:rFonts w:ascii="宋体" w:hAnsi="宋体"/>
                <w:sz w:val="22"/>
              </w:rPr>
            </w:pPr>
            <w:r>
              <w:rPr>
                <w:rFonts w:hint="eastAsia" w:ascii="宋体" w:hAnsi="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noWrap w:val="0"/>
            <w:vAlign w:val="center"/>
          </w:tcPr>
          <w:p>
            <w:pPr>
              <w:spacing w:before="159" w:beforeLines="50"/>
              <w:jc w:val="left"/>
              <w:rPr>
                <w:rFonts w:ascii="宋体" w:hAnsi="宋体"/>
                <w:sz w:val="22"/>
              </w:rPr>
            </w:pPr>
            <w:r>
              <w:rPr>
                <w:rFonts w:hint="eastAsia" w:ascii="宋体" w:hAnsi="宋体"/>
                <w:sz w:val="22"/>
              </w:rPr>
              <w:t>大写：                       小写：元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tcBorders>
            <w:noWrap w:val="0"/>
            <w:vAlign w:val="center"/>
          </w:tcPr>
          <w:p>
            <w:pPr>
              <w:jc w:val="center"/>
              <w:rPr>
                <w:rFonts w:ascii="宋体" w:hAnsi="宋体"/>
                <w:sz w:val="22"/>
              </w:rPr>
            </w:pPr>
            <w:r>
              <w:rPr>
                <w:rFonts w:hint="eastAsia" w:ascii="宋体" w:hAnsi="宋体"/>
                <w:sz w:val="22"/>
              </w:rPr>
              <w:t>备注</w:t>
            </w:r>
          </w:p>
        </w:tc>
        <w:tc>
          <w:tcPr>
            <w:tcW w:w="7382" w:type="dxa"/>
            <w:gridSpan w:val="7"/>
            <w:tcBorders>
              <w:top w:val="single" w:color="auto" w:sz="4" w:space="0"/>
              <w:left w:val="single" w:color="auto" w:sz="6" w:space="0"/>
              <w:bottom w:val="single" w:color="auto" w:sz="6" w:space="0"/>
              <w:right w:val="single" w:color="auto" w:sz="6" w:space="0"/>
            </w:tcBorders>
            <w:noWrap w:val="0"/>
            <w:vAlign w:val="center"/>
          </w:tcPr>
          <w:p>
            <w:pPr>
              <w:spacing w:before="159" w:beforeLines="50"/>
              <w:jc w:val="center"/>
              <w:rPr>
                <w:rFonts w:ascii="宋体" w:hAnsi="宋体"/>
                <w:sz w:val="22"/>
              </w:rPr>
            </w:pPr>
            <w:r>
              <w:rPr>
                <w:rFonts w:hint="eastAsia" w:ascii="宋体" w:hAnsi="宋体"/>
                <w:spacing w:val="-6"/>
                <w:sz w:val="22"/>
              </w:rPr>
              <w:t>保留小数点后两位。</w:t>
            </w:r>
          </w:p>
        </w:tc>
      </w:tr>
    </w:tbl>
    <w:p>
      <w:pPr>
        <w:adjustRightInd w:val="0"/>
        <w:snapToGrid w:val="0"/>
        <w:spacing w:line="480" w:lineRule="auto"/>
        <w:rPr>
          <w:rFonts w:hint="eastAsia" w:ascii="宋体" w:hAnsi="宋体"/>
          <w:color w:val="000000" w:themeColor="text1"/>
          <w:sz w:val="24"/>
          <w:szCs w:val="24"/>
          <w14:textFill>
            <w14:solidFill>
              <w14:schemeClr w14:val="tx1"/>
            </w14:solidFill>
          </w14:textFill>
        </w:rPr>
      </w:pPr>
    </w:p>
    <w:p>
      <w:pPr>
        <w:adjustRightInd w:val="0"/>
        <w:snapToGrid w:val="0"/>
        <w:spacing w:line="480" w:lineRule="auto"/>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供应商（单位名称及公章）：</w:t>
      </w:r>
    </w:p>
    <w:p>
      <w:pPr>
        <w:adjustRightInd w:val="0"/>
        <w:snapToGrid w:val="0"/>
        <w:spacing w:line="480" w:lineRule="auto"/>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法定代表人或被授权人（签字或盖章）：</w:t>
      </w:r>
    </w:p>
    <w:p>
      <w:pPr>
        <w:adjustRightInd w:val="0"/>
        <w:snapToGrid w:val="0"/>
        <w:spacing w:line="480" w:lineRule="auto"/>
        <w:jc w:val="left"/>
        <w:rPr>
          <w:rFonts w:ascii="宋体" w:cs="宋体"/>
          <w:sz w:val="24"/>
        </w:rPr>
      </w:pPr>
      <w:r>
        <w:rPr>
          <w:rFonts w:hint="eastAsia" w:ascii="宋体" w:hAnsi="宋体"/>
          <w:color w:val="000000" w:themeColor="text1"/>
          <w:sz w:val="24"/>
          <w:szCs w:val="24"/>
          <w14:textFill>
            <w14:solidFill>
              <w14:schemeClr w14:val="tx1"/>
            </w14:solidFill>
          </w14:textFill>
        </w:rPr>
        <w:t>日期：</w:t>
      </w:r>
      <w:r>
        <w:rPr>
          <w:rFonts w:hint="eastAsia" w:ascii="宋体" w:hAnsi="宋体" w:cs="宋体"/>
          <w:sz w:val="24"/>
        </w:rPr>
        <w:t>_______年________月_______日</w:t>
      </w:r>
    </w:p>
    <w:p>
      <w:pPr>
        <w:adjustRightInd w:val="0"/>
        <w:snapToGrid w:val="0"/>
        <w:spacing w:line="480" w:lineRule="auto"/>
        <w:rPr>
          <w:color w:val="000000" w:themeColor="text1"/>
          <w:sz w:val="36"/>
          <w:szCs w:val="36"/>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3" w:bottom="1440" w:left="1803" w:header="850" w:footer="992" w:gutter="0"/>
          <w:pgNumType w:fmt="decimal"/>
          <w:cols w:space="0" w:num="1"/>
          <w:titlePg/>
          <w:docGrid w:type="linesAndChars" w:linePitch="395" w:charSpace="1724"/>
        </w:sectPr>
      </w:pPr>
    </w:p>
    <w:p>
      <w:pPr>
        <w:pStyle w:val="5"/>
        <w:jc w:val="center"/>
        <w:rPr>
          <w:rFonts w:hint="eastAsia" w:ascii="宋体" w:hAnsi="宋体" w:eastAsia="宋体" w:cs="宋体"/>
        </w:rPr>
      </w:pPr>
      <w:bookmarkStart w:id="87" w:name="_Toc29150"/>
      <w:r>
        <w:rPr>
          <w:rFonts w:hint="eastAsia" w:ascii="宋体" w:hAnsi="宋体" w:eastAsia="宋体" w:cs="宋体"/>
        </w:rPr>
        <w:t>第三部分  资格证明文件</w:t>
      </w:r>
      <w:bookmarkEnd w:id="87"/>
    </w:p>
    <w:p>
      <w:pPr>
        <w:spacing w:line="560" w:lineRule="exact"/>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按照招标文件第一章《投标邀请函》所列“供应商资格要求”提供各项资格证明文件，未按要求提供的，其投标文件将被视为无效文件。</w:t>
      </w:r>
    </w:p>
    <w:p>
      <w:pPr>
        <w:rPr>
          <w:rFonts w:ascii="宋体" w:hAnsi="宋体" w:cs="宋体"/>
          <w:sz w:val="24"/>
          <w:szCs w:val="24"/>
        </w:rPr>
      </w:pPr>
      <w:r>
        <w:rPr>
          <w:rFonts w:hint="eastAsia" w:ascii="宋体" w:hAnsi="宋体" w:cs="宋体" w:eastAsiaTheme="minorEastAsia"/>
          <w:color w:val="auto"/>
          <w:kern w:val="0"/>
          <w:sz w:val="32"/>
          <w:szCs w:val="32"/>
          <w:lang w:val="en-US" w:eastAsia="zh-CN" w:bidi="ar-SA"/>
        </w:rPr>
        <w:t>（一）基本资格条件</w:t>
      </w:r>
    </w:p>
    <w:p>
      <w:pPr>
        <w:pStyle w:val="16"/>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16"/>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3"/>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3"/>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3"/>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3"/>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3"/>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3"/>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6"/>
        <w:rPr>
          <w:rFonts w:ascii="宋体" w:hAnsi="宋体" w:cs="宋体"/>
        </w:rPr>
      </w:pPr>
    </w:p>
    <w:p>
      <w:pPr>
        <w:widowControl/>
        <w:snapToGrid w:val="0"/>
        <w:spacing w:line="480" w:lineRule="auto"/>
        <w:ind w:firstLine="480" w:firstLineChars="200"/>
        <w:jc w:val="left"/>
        <w:rPr>
          <w:rFonts w:hAnsi="宋体" w:cs="宋体"/>
          <w:sz w:val="24"/>
        </w:rPr>
      </w:pPr>
      <w:r>
        <w:rPr>
          <w:rFonts w:hint="eastAsia" w:ascii="宋体" w:hAnsi="宋体" w:cs="宋体"/>
          <w:kern w:val="0"/>
          <w:sz w:val="24"/>
          <w:szCs w:val="24"/>
        </w:rPr>
        <w:t>我方对此声明负全部法律责任。</w:t>
      </w:r>
    </w:p>
    <w:p>
      <w:pPr>
        <w:pStyle w:val="1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1、具有独立承担民事责任能力的法人、其他组织或自然人，提供合法有效的统一社会信用代码营业执照（事业单位提供事业单位法人证书，自然人应提供身份证）；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2、财务状况证明：供应商提供2020年度或2021年度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3、社会保障资金缴纳证明：提供2021年9月以来至少一个月的社会保障资金缴存单据或社保机构开具的社会保险参保缴费情况证明。依法不需要缴纳社会保障资金的供应商应提供相关文件证明；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4、税收缴纳证明：提供2021年9月以来至少一个月的纳税证明或完税证明，依法免税的单位应提供相关证明材料；</w:t>
      </w:r>
    </w:p>
    <w:p>
      <w:pPr>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5、法定代表人授权委托书（法定代表人参加响应时,只需提供法定代表人身份证）； </w:t>
      </w:r>
    </w:p>
    <w:p>
      <w:pPr>
        <w:jc w:val="center"/>
        <w:rPr>
          <w:rFonts w:ascii="宋体" w:hAnsi="宋体" w:cs="宋体"/>
          <w:sz w:val="28"/>
          <w:szCs w:val="32"/>
        </w:rPr>
      </w:pPr>
      <w:r>
        <w:rPr>
          <w:rFonts w:hint="eastAsia" w:ascii="宋体" w:hAnsi="宋体" w:cs="宋体"/>
          <w:sz w:val="28"/>
          <w:szCs w:val="32"/>
          <w:lang w:val="en-US" w:eastAsia="zh-CN"/>
        </w:rPr>
        <w:t>5</w:t>
      </w:r>
      <w:r>
        <w:rPr>
          <w:rFonts w:hint="eastAsia" w:ascii="宋体" w:hAnsi="宋体" w:cs="宋体"/>
          <w:sz w:val="28"/>
          <w:szCs w:val="32"/>
        </w:rPr>
        <w:t>-1法定代表人证明书（格式）</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vAlign w:val="center"/>
          </w:tcPr>
          <w:p>
            <w:pPr>
              <w:tabs>
                <w:tab w:val="left" w:pos="210"/>
              </w:tabs>
              <w:spacing w:line="360" w:lineRule="auto"/>
              <w:ind w:firstLine="480" w:firstLineChars="200"/>
              <w:jc w:val="left"/>
              <w:rPr>
                <w:rFonts w:ascii="宋体" w:hAnsi="宋体" w:cs="宋体"/>
                <w:kern w:val="0"/>
              </w:rPr>
            </w:pPr>
          </w:p>
        </w:tc>
        <w:tc>
          <w:tcPr>
            <w:tcW w:w="2156" w:type="dxa"/>
            <w:vAlign w:val="center"/>
          </w:tcPr>
          <w:p>
            <w:pPr>
              <w:tabs>
                <w:tab w:val="left" w:pos="210"/>
              </w:tabs>
              <w:spacing w:line="360" w:lineRule="auto"/>
              <w:ind w:firstLine="480" w:firstLineChars="200"/>
              <w:jc w:val="left"/>
              <w:rPr>
                <w:rFonts w:ascii="宋体" w:hAnsi="宋体" w:cs="宋体"/>
                <w:kern w:val="0"/>
              </w:rPr>
            </w:pPr>
            <w:r>
              <w:rPr>
                <w:rFonts w:hint="eastAsia" w:ascii="宋体" w:hAnsi="宋体" w:cs="宋体"/>
                <w:kern w:val="0"/>
              </w:rPr>
              <w:t>性别</w:t>
            </w:r>
          </w:p>
        </w:tc>
        <w:tc>
          <w:tcPr>
            <w:tcW w:w="2160" w:type="dxa"/>
            <w:vAlign w:val="center"/>
          </w:tcPr>
          <w:p>
            <w:pPr>
              <w:tabs>
                <w:tab w:val="left" w:pos="210"/>
              </w:tabs>
              <w:spacing w:line="360" w:lineRule="auto"/>
              <w:ind w:firstLine="48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vAlign w:val="center"/>
          </w:tcPr>
          <w:p>
            <w:pPr>
              <w:tabs>
                <w:tab w:val="left" w:pos="210"/>
              </w:tabs>
              <w:spacing w:line="360" w:lineRule="auto"/>
              <w:jc w:val="left"/>
              <w:rPr>
                <w:rFonts w:ascii="宋体" w:hAnsi="宋体" w:cs="宋体"/>
                <w:kern w:val="0"/>
              </w:rPr>
            </w:pPr>
          </w:p>
        </w:tc>
        <w:tc>
          <w:tcPr>
            <w:tcW w:w="2156" w:type="dxa"/>
            <w:vAlign w:val="center"/>
          </w:tcPr>
          <w:p>
            <w:pPr>
              <w:tabs>
                <w:tab w:val="left" w:pos="210"/>
              </w:tabs>
              <w:spacing w:line="360" w:lineRule="auto"/>
              <w:ind w:firstLine="480" w:firstLineChars="200"/>
              <w:jc w:val="left"/>
              <w:rPr>
                <w:rFonts w:ascii="宋体" w:hAnsi="宋体" w:cs="宋体"/>
                <w:kern w:val="0"/>
              </w:rPr>
            </w:pPr>
            <w:r>
              <w:rPr>
                <w:rFonts w:hint="eastAsia" w:ascii="宋体" w:hAnsi="宋体" w:cs="宋体"/>
                <w:kern w:val="0"/>
              </w:rPr>
              <w:t>联系电话</w:t>
            </w:r>
          </w:p>
        </w:tc>
        <w:tc>
          <w:tcPr>
            <w:tcW w:w="2160" w:type="dxa"/>
            <w:vAlign w:val="center"/>
          </w:tcPr>
          <w:p>
            <w:pPr>
              <w:tabs>
                <w:tab w:val="left" w:pos="210"/>
              </w:tabs>
              <w:spacing w:line="360" w:lineRule="auto"/>
              <w:ind w:firstLine="48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vAlign w:val="center"/>
          </w:tcPr>
          <w:p>
            <w:pPr>
              <w:tabs>
                <w:tab w:val="left" w:pos="210"/>
              </w:tabs>
              <w:spacing w:line="360" w:lineRule="auto"/>
              <w:ind w:firstLine="480" w:firstLineChars="200"/>
              <w:jc w:val="left"/>
              <w:rPr>
                <w:rFonts w:ascii="宋体" w:hAnsi="宋体" w:cs="宋体"/>
                <w:kern w:val="0"/>
              </w:rPr>
            </w:pPr>
            <w:r>
              <w:rPr>
                <w:rFonts w:hint="eastAsia" w:ascii="宋体" w:hAnsi="宋体" w:cs="宋体"/>
                <w:kern w:val="0"/>
              </w:rPr>
              <w:t>（正反面）</w:t>
            </w:r>
          </w:p>
        </w:tc>
        <w:tc>
          <w:tcPr>
            <w:tcW w:w="4500" w:type="dxa"/>
            <w:gridSpan w:val="3"/>
            <w:vAlign w:val="center"/>
          </w:tcPr>
          <w:p>
            <w:pPr>
              <w:tabs>
                <w:tab w:val="left" w:pos="210"/>
              </w:tabs>
              <w:spacing w:line="360" w:lineRule="auto"/>
              <w:ind w:firstLine="48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jc w:val="left"/>
              <w:rPr>
                <w:rFonts w:ascii="宋体" w:hAnsi="宋体" w:cs="宋体"/>
                <w:kern w:val="0"/>
              </w:rPr>
            </w:pPr>
          </w:p>
        </w:tc>
        <w:tc>
          <w:tcPr>
            <w:tcW w:w="4316" w:type="dxa"/>
            <w:gridSpan w:val="2"/>
            <w:vMerge w:val="continue"/>
            <w:vAlign w:val="center"/>
          </w:tcPr>
          <w:p>
            <w:pPr>
              <w:tabs>
                <w:tab w:val="left" w:pos="210"/>
              </w:tabs>
              <w:spacing w:line="360" w:lineRule="auto"/>
              <w:ind w:firstLine="480" w:firstLineChars="200"/>
              <w:jc w:val="left"/>
              <w:rPr>
                <w:rFonts w:ascii="宋体" w:hAnsi="宋体" w:cs="宋体"/>
                <w:kern w:val="0"/>
              </w:rPr>
            </w:pPr>
          </w:p>
        </w:tc>
        <w:tc>
          <w:tcPr>
            <w:tcW w:w="4500" w:type="dxa"/>
            <w:gridSpan w:val="3"/>
            <w:vAlign w:val="bottom"/>
          </w:tcPr>
          <w:p>
            <w:pPr>
              <w:tabs>
                <w:tab w:val="left" w:pos="210"/>
              </w:tabs>
              <w:spacing w:line="360" w:lineRule="auto"/>
              <w:ind w:firstLine="48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19"/>
        <w:spacing w:line="500" w:lineRule="exact"/>
        <w:jc w:val="center"/>
        <w:rPr>
          <w:rFonts w:hAnsi="宋体" w:cs="宋体"/>
          <w:sz w:val="24"/>
          <w:szCs w:val="24"/>
        </w:rPr>
      </w:pPr>
      <w:r>
        <w:rPr>
          <w:rFonts w:hint="eastAsia" w:hAnsi="宋体" w:cs="宋体"/>
          <w:b/>
          <w:sz w:val="24"/>
          <w:szCs w:val="24"/>
        </w:rPr>
        <w:br w:type="page"/>
      </w:r>
      <w:r>
        <w:rPr>
          <w:rFonts w:hint="eastAsia" w:hAnsi="宋体" w:cs="宋体"/>
          <w:b/>
          <w:sz w:val="24"/>
          <w:szCs w:val="24"/>
          <w:lang w:val="en-US" w:eastAsia="zh-CN"/>
        </w:rPr>
        <w:t>5</w:t>
      </w:r>
      <w:r>
        <w:rPr>
          <w:rFonts w:hint="eastAsia" w:hAnsi="宋体" w:cs="宋体"/>
          <w:b/>
          <w:sz w:val="24"/>
          <w:szCs w:val="24"/>
        </w:rPr>
        <w:t>-2法定代表人授权书（格式）</w:t>
      </w:r>
    </w:p>
    <w:p>
      <w:pPr>
        <w:pStyle w:val="19"/>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ascii="宋体" w:hAnsi="宋体" w:cs="宋体"/>
          <w:b/>
          <w:bCs/>
          <w:sz w:val="24"/>
          <w:szCs w:val="24"/>
        </w:rPr>
      </w:pPr>
      <w:r>
        <w:rPr>
          <w:rFonts w:hint="eastAsia" w:ascii="宋体" w:hAnsi="宋体" w:cs="宋体"/>
          <w:b/>
          <w:bCs/>
          <w:sz w:val="24"/>
        </w:rPr>
        <w:t>本授权书自</w:t>
      </w:r>
      <w:r>
        <w:rPr>
          <w:rFonts w:hint="eastAsia" w:ascii="宋体" w:hAnsi="宋体" w:cs="宋体"/>
          <w:b/>
          <w:bCs/>
          <w:sz w:val="24"/>
          <w:u w:val="single"/>
          <w:lang w:val="en-US" w:eastAsia="zh-CN"/>
        </w:rPr>
        <w:t xml:space="preserve">     </w:t>
      </w:r>
      <w:r>
        <w:rPr>
          <w:rFonts w:hint="eastAsia" w:ascii="宋体" w:hAnsi="宋体" w:cs="宋体"/>
          <w:b/>
          <w:bCs/>
          <w:sz w:val="24"/>
          <w:u w:val="none"/>
          <w:lang w:val="en-US" w:eastAsia="zh-CN"/>
        </w:rPr>
        <w:t>年</w:t>
      </w:r>
      <w:r>
        <w:rPr>
          <w:rFonts w:hint="eastAsia" w:ascii="宋体" w:hAnsi="宋体" w:cs="宋体"/>
          <w:b/>
          <w:bCs/>
          <w:sz w:val="24"/>
          <w:u w:val="single"/>
          <w:lang w:val="en-US" w:eastAsia="zh-CN"/>
        </w:rPr>
        <w:t xml:space="preserve">     </w:t>
      </w:r>
      <w:r>
        <w:rPr>
          <w:rFonts w:hint="eastAsia" w:ascii="宋体" w:hAnsi="宋体" w:cs="宋体"/>
          <w:b/>
          <w:bCs/>
          <w:sz w:val="24"/>
          <w:u w:val="none"/>
          <w:lang w:val="en-US" w:eastAsia="zh-CN"/>
        </w:rPr>
        <w:t>月</w:t>
      </w:r>
      <w:r>
        <w:rPr>
          <w:rFonts w:hint="eastAsia" w:ascii="宋体" w:hAnsi="宋体" w:cs="宋体"/>
          <w:b/>
          <w:bCs/>
          <w:sz w:val="24"/>
          <w:u w:val="single"/>
          <w:lang w:val="en-US" w:eastAsia="zh-CN"/>
        </w:rPr>
        <w:t xml:space="preserve">     </w:t>
      </w:r>
      <w:r>
        <w:rPr>
          <w:rFonts w:hint="eastAsia" w:ascii="宋体" w:hAnsi="宋体" w:cs="宋体"/>
          <w:b/>
          <w:bCs/>
          <w:sz w:val="24"/>
          <w:u w:val="none"/>
          <w:lang w:val="en-US" w:eastAsia="zh-CN"/>
        </w:rPr>
        <w:t>日</w:t>
      </w:r>
      <w:r>
        <w:rPr>
          <w:rFonts w:hint="eastAsia" w:ascii="宋体" w:hAnsi="宋体" w:cs="宋体"/>
          <w:b/>
          <w:bCs/>
          <w:sz w:val="24"/>
        </w:rPr>
        <w:t>生效，有效期与投标文件有效期一致，特此声明。</w:t>
      </w:r>
    </w:p>
    <w:p>
      <w:pPr>
        <w:pStyle w:val="19"/>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19"/>
        <w:spacing w:line="500" w:lineRule="exact"/>
        <w:ind w:firstLine="480" w:firstLineChars="200"/>
        <w:jc w:val="left"/>
        <w:rPr>
          <w:rFonts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19"/>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19"/>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19"/>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19"/>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w:t>
      </w:r>
      <w:r>
        <w:rPr>
          <w:rFonts w:hint="eastAsia" w:hAnsi="宋体" w:cs="宋体"/>
          <w:sz w:val="24"/>
          <w:szCs w:val="24"/>
          <w:lang w:eastAsia="zh-CN"/>
        </w:rPr>
        <w:t>或</w:t>
      </w:r>
      <w:r>
        <w:rPr>
          <w:rFonts w:hint="eastAsia" w:hAnsi="宋体" w:cs="宋体"/>
          <w:sz w:val="24"/>
          <w:szCs w:val="24"/>
        </w:rPr>
        <w:t>扫描件</w:t>
      </w:r>
    </w:p>
    <w:tbl>
      <w:tblPr>
        <w:tblStyle w:val="34"/>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9"/>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19"/>
              <w:spacing w:line="500" w:lineRule="exact"/>
              <w:jc w:val="left"/>
              <w:rPr>
                <w:rFonts w:hAnsi="宋体" w:cs="宋体"/>
                <w:sz w:val="24"/>
                <w:szCs w:val="24"/>
                <w:shd w:val="pct10" w:color="auto" w:fill="FFFFFF"/>
              </w:rPr>
            </w:pPr>
          </w:p>
        </w:tc>
        <w:tc>
          <w:tcPr>
            <w:tcW w:w="4546" w:type="dxa"/>
            <w:shd w:val="clear" w:color="auto" w:fill="D9D9D9"/>
            <w:vAlign w:val="center"/>
          </w:tcPr>
          <w:p>
            <w:pPr>
              <w:pStyle w:val="1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19"/>
              <w:spacing w:line="500" w:lineRule="exact"/>
              <w:ind w:firstLine="480" w:firstLineChars="200"/>
              <w:jc w:val="left"/>
              <w:rPr>
                <w:rFonts w:hAnsi="宋体" w:cs="宋体"/>
                <w:sz w:val="24"/>
                <w:szCs w:val="24"/>
                <w:shd w:val="pct10" w:color="auto" w:fill="FFFFFF"/>
              </w:rPr>
            </w:pPr>
          </w:p>
        </w:tc>
      </w:tr>
    </w:tbl>
    <w:p>
      <w:pPr>
        <w:pStyle w:val="5"/>
        <w:spacing w:before="319" w:beforeLines="100" w:after="478" w:afterLines="150" w:line="500" w:lineRule="exact"/>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88" w:name="_Toc9172"/>
      <w:bookmarkStart w:id="89" w:name="_Toc12851"/>
    </w:p>
    <w:bookmarkEnd w:id="88"/>
    <w:bookmarkEnd w:id="89"/>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6、无重大违法记录声明（格式）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项目名称)公开招标，我单位郑重声明：我方参加本项目公开招标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9"/>
        <w:spacing w:line="500" w:lineRule="exact"/>
        <w:jc w:val="left"/>
        <w:rPr>
          <w:rFonts w:hAnsi="宋体" w:cs="宋体"/>
          <w:sz w:val="24"/>
          <w:szCs w:val="24"/>
        </w:rPr>
      </w:pPr>
    </w:p>
    <w:p>
      <w:pPr>
        <w:pStyle w:val="19"/>
        <w:spacing w:line="480" w:lineRule="auto"/>
        <w:jc w:val="left"/>
        <w:rPr>
          <w:rFonts w:hAnsi="宋体" w:cs="宋体"/>
          <w:sz w:val="24"/>
        </w:rPr>
      </w:pPr>
    </w:p>
    <w:p>
      <w:pPr>
        <w:pStyle w:val="1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7、具有履行合同所必需的设备和专业技术能力的书面声明</w:t>
      </w:r>
      <w:r>
        <w:rPr>
          <w:rFonts w:hint="eastAsia" w:ascii="宋体" w:hAnsi="宋体" w:cs="宋体"/>
          <w:sz w:val="32"/>
          <w:szCs w:val="24"/>
        </w:rPr>
        <w:t>（格式）</w:t>
      </w:r>
      <w:r>
        <w:rPr>
          <w:rFonts w:hint="eastAsia" w:ascii="宋体" w:hAnsi="宋体" w:eastAsia="宋体" w:cs="宋体"/>
          <w:sz w:val="28"/>
          <w:szCs w:val="28"/>
          <w:highlight w:val="none"/>
          <w:lang w:val="en-US" w:eastAsia="zh-CN" w:bidi="ar-SA"/>
        </w:rPr>
        <w:t xml:space="preserve"> </w:t>
      </w:r>
    </w:p>
    <w:p>
      <w:pPr>
        <w:widowControl/>
        <w:snapToGrid w:val="0"/>
        <w:spacing w:line="480" w:lineRule="auto"/>
        <w:jc w:val="left"/>
        <w:rPr>
          <w:rFonts w:hint="eastAsia"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hAnsi="宋体" w:cs="宋体"/>
          <w:sz w:val="24"/>
          <w:szCs w:val="24"/>
        </w:rPr>
      </w:pPr>
      <w:r>
        <w:rPr>
          <w:rFonts w:hint="eastAsia" w:ascii="宋体" w:hAnsi="宋体" w:cs="宋体"/>
          <w:kern w:val="0"/>
          <w:sz w:val="24"/>
          <w:szCs w:val="24"/>
        </w:rPr>
        <w:t>特此声明。</w:t>
      </w:r>
    </w:p>
    <w:p>
      <w:pPr>
        <w:pStyle w:val="19"/>
        <w:spacing w:line="480" w:lineRule="auto"/>
        <w:jc w:val="left"/>
        <w:rPr>
          <w:rFonts w:hAnsi="宋体" w:cs="宋体"/>
          <w:sz w:val="24"/>
        </w:rPr>
      </w:pPr>
    </w:p>
    <w:p>
      <w:pPr>
        <w:pStyle w:val="1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8、第八标段：所投产品为医疗器械或药品的，提供医疗器械注册（备案）证或国药准字号证，供应商为生产厂家的须提供《医疗器械生产许可（备案）证》或《药品生产许可（备案）证》，供应商为代理商的须提供《医疗器械经营（备案）许可证》或《药品经营（备案）许可证》；</w:t>
      </w:r>
    </w:p>
    <w:p>
      <w:pPr>
        <w:rPr>
          <w:rFonts w:hint="default"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9、本项目不接受联合体投标。</w:t>
      </w:r>
    </w:p>
    <w:p>
      <w:pPr>
        <w:widowControl/>
        <w:snapToGrid w:val="0"/>
        <w:spacing w:line="480" w:lineRule="auto"/>
        <w:jc w:val="left"/>
        <w:rPr>
          <w:rFonts w:hint="eastAsia"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我单位参与陕西卓佲项目管理有限公司组织的____________________(项目名称)，我单位郑重声明：我方非联合体，如有虚假，承担相应责任。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1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pStyle w:val="5"/>
        <w:tabs>
          <w:tab w:val="left" w:pos="2096"/>
          <w:tab w:val="center" w:pos="5024"/>
        </w:tabs>
        <w:spacing w:before="319" w:beforeLines="100" w:after="478" w:afterLines="150" w:line="500" w:lineRule="exact"/>
        <w:ind w:firstLine="1080" w:firstLineChars="300"/>
        <w:rPr>
          <w:rFonts w:ascii="宋体" w:hAnsi="宋体" w:cs="宋体"/>
          <w:sz w:val="36"/>
          <w:szCs w:val="36"/>
        </w:rPr>
        <w:sectPr>
          <w:headerReference r:id="rId7" w:type="default"/>
          <w:pgSz w:w="11906" w:h="16838"/>
          <w:pgMar w:top="1440" w:right="1803" w:bottom="1440" w:left="1803" w:header="851" w:footer="992" w:gutter="0"/>
          <w:pgNumType w:fmt="decimal"/>
          <w:cols w:space="720" w:num="1"/>
          <w:docGrid w:type="lines" w:linePitch="319" w:charSpace="0"/>
        </w:sectPr>
      </w:pPr>
    </w:p>
    <w:p>
      <w:pPr>
        <w:pStyle w:val="110"/>
        <w:spacing w:before="210" w:after="210"/>
        <w:ind w:firstLine="640"/>
        <w:jc w:val="center"/>
        <w:rPr>
          <w:rFonts w:hint="eastAsia" w:eastAsia="宋体"/>
          <w:lang w:eastAsia="zh-CN"/>
        </w:rPr>
      </w:pPr>
      <w:bookmarkStart w:id="90" w:name="_Toc21430"/>
      <w:bookmarkStart w:id="91" w:name="_Toc32575"/>
      <w:bookmarkStart w:id="92" w:name="_Toc28294"/>
      <w:bookmarkStart w:id="93" w:name="_Toc30568"/>
      <w:bookmarkStart w:id="94" w:name="_Toc9106"/>
      <w:bookmarkStart w:id="95" w:name="_Toc29109"/>
      <w:bookmarkStart w:id="96" w:name="_Toc14575"/>
      <w:bookmarkStart w:id="97" w:name="_Toc18738"/>
      <w:bookmarkStart w:id="98" w:name="_Toc26570"/>
      <w:r>
        <w:rPr>
          <w:rFonts w:hint="eastAsia" w:ascii="宋体" w:hAnsi="宋体" w:eastAsia="宋体" w:cs="宋体"/>
          <w:color w:val="000000" w:themeColor="text1"/>
          <w:sz w:val="32"/>
          <w:szCs w:val="32"/>
          <w:lang w:val="en-US" w:eastAsia="zh-CN"/>
          <w14:textFill>
            <w14:solidFill>
              <w14:schemeClr w14:val="tx1"/>
            </w14:solidFill>
          </w14:textFill>
        </w:rPr>
        <w:t xml:space="preserve">第四部分  </w:t>
      </w:r>
      <w:r>
        <w:rPr>
          <w:rFonts w:hint="eastAsia" w:eastAsia="宋体"/>
          <w:lang w:val="en-US" w:eastAsia="zh-CN"/>
        </w:rPr>
        <w:t>供应商概况</w:t>
      </w:r>
      <w:bookmarkEnd w:id="90"/>
    </w:p>
    <w:tbl>
      <w:tblPr>
        <w:tblStyle w:val="102"/>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法定代表人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（主要负责人）</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基本存款账户</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开户银行</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账户账号</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上年度</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营业收入*</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管理人员</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专业技术</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人员数量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hint="eastAsia" w:ascii="宋体" w:hAnsi="宋体" w:eastAsia="宋体" w:cs="宋体"/>
                <w:kern w:val="2"/>
                <w:sz w:val="28"/>
                <w:szCs w:val="28"/>
              </w:rPr>
            </w:pPr>
          </w:p>
        </w:tc>
        <w:tc>
          <w:tcPr>
            <w:tcW w:w="992" w:type="dxa"/>
            <w:vMerge w:val="continue"/>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残疾人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少数民族</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2.表格空间不足时，请自行扩展。</w:t>
            </w:r>
          </w:p>
        </w:tc>
      </w:tr>
    </w:tbl>
    <w:p>
      <w:pPr>
        <w:rPr>
          <w:rFonts w:hint="eastAsia" w:ascii="宋体" w:hAnsi="宋体" w:eastAsia="宋体" w:cs="宋体"/>
          <w:color w:val="000000" w:themeColor="text1"/>
          <w:sz w:val="32"/>
          <w:szCs w:val="32"/>
          <w:lang w:val="en-US" w:eastAsia="zh-CN"/>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5"/>
      </w:pPr>
      <w:bookmarkStart w:id="99" w:name="_Toc31889"/>
      <w:r>
        <w:t>第五部分</w:t>
      </w:r>
      <w:r>
        <w:rPr>
          <w:rFonts w:hint="eastAsia"/>
        </w:rPr>
        <w:t xml:space="preserve">  </w:t>
      </w:r>
      <w:r>
        <w:t>供应商参加政府采购活动承诺书</w:t>
      </w:r>
      <w:bookmarkEnd w:id="99"/>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jc w:val="center"/>
        <w:outlineLvl w:val="9"/>
        <w:rPr>
          <w:rFonts w:hint="eastAsia" w:ascii="宋体" w:hAnsi="宋体" w:eastAsia="宋体" w:cs="宋体"/>
          <w:sz w:val="32"/>
          <w:szCs w:val="32"/>
        </w:rPr>
      </w:pPr>
      <w:r>
        <w:rPr>
          <w:rFonts w:hint="eastAsia" w:ascii="宋体" w:hAnsi="宋体" w:eastAsia="宋体" w:cs="宋体"/>
          <w:sz w:val="32"/>
          <w:szCs w:val="32"/>
        </w:rPr>
        <w:t>（一）质量安全责任承诺书</w:t>
      </w:r>
    </w:p>
    <w:p>
      <w:pPr>
        <w:spacing w:line="560" w:lineRule="exact"/>
        <w:ind w:firstLine="576" w:firstLineChars="200"/>
        <w:jc w:val="both"/>
        <w:rPr>
          <w:rFonts w:hint="eastAsia" w:ascii="宋体" w:hAnsi="宋体" w:eastAsia="宋体" w:cs="宋体"/>
          <w:sz w:val="28"/>
          <w:szCs w:val="28"/>
        </w:rPr>
      </w:pP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76" w:firstLineChars="200"/>
        <w:jc w:val="both"/>
        <w:rPr>
          <w:rFonts w:hint="eastAsia" w:ascii="宋体" w:hAnsi="宋体" w:eastAsia="宋体" w:cs="宋体"/>
          <w:sz w:val="28"/>
          <w:szCs w:val="28"/>
        </w:rPr>
      </w:pPr>
    </w:p>
    <w:p>
      <w:pPr>
        <w:spacing w:line="560" w:lineRule="exact"/>
        <w:ind w:firstLine="3187" w:firstLineChars="1107"/>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hint="eastAsia" w:ascii="宋体" w:hAnsi="宋体" w:eastAsia="宋体" w:cs="宋体"/>
          <w:sz w:val="28"/>
          <w:szCs w:val="28"/>
        </w:rPr>
      </w:pPr>
      <w:r>
        <w:rPr>
          <w:rFonts w:hint="eastAsia" w:ascii="宋体" w:hAnsi="宋体" w:eastAsia="宋体" w:cs="宋体"/>
          <w:sz w:val="28"/>
          <w:szCs w:val="28"/>
        </w:rPr>
        <w:t>日  期：    年  月  日</w:t>
      </w:r>
    </w:p>
    <w:p>
      <w:pPr>
        <w:spacing w:line="560" w:lineRule="exact"/>
        <w:ind w:firstLine="576" w:firstLineChars="200"/>
        <w:jc w:val="both"/>
        <w:rPr>
          <w:rFonts w:hint="eastAsia" w:ascii="宋体" w:hAnsi="宋体" w:eastAsia="宋体" w:cs="宋体"/>
          <w:sz w:val="28"/>
          <w:szCs w:val="28"/>
        </w:rPr>
      </w:pPr>
    </w:p>
    <w:p>
      <w:pPr>
        <w:rPr>
          <w:rFonts w:hint="eastAsia" w:ascii="宋体" w:hAnsi="宋体" w:eastAsia="宋体" w:cs="宋体"/>
          <w:sz w:val="32"/>
          <w:szCs w:val="32"/>
        </w:rPr>
      </w:pPr>
      <w:r>
        <w:rPr>
          <w:rFonts w:hint="eastAsia" w:ascii="宋体" w:hAnsi="宋体" w:eastAsia="宋体" w:cs="宋体"/>
          <w:sz w:val="32"/>
          <w:szCs w:val="32"/>
        </w:rPr>
        <w:br w:type="page"/>
      </w:r>
    </w:p>
    <w:p>
      <w:pPr>
        <w:jc w:val="center"/>
        <w:outlineLvl w:val="9"/>
        <w:rPr>
          <w:rFonts w:hint="eastAsia" w:ascii="宋体" w:hAnsi="宋体" w:eastAsia="宋体" w:cs="宋体"/>
          <w:sz w:val="32"/>
          <w:szCs w:val="32"/>
        </w:rPr>
      </w:pPr>
      <w:r>
        <w:rPr>
          <w:rFonts w:hint="eastAsia" w:ascii="宋体" w:hAnsi="宋体" w:eastAsia="宋体" w:cs="宋体"/>
          <w:sz w:val="32"/>
          <w:szCs w:val="32"/>
        </w:rPr>
        <w:t>（二）参加政府采购活动行为自律承诺书</w:t>
      </w:r>
    </w:p>
    <w:p>
      <w:pPr>
        <w:spacing w:line="560" w:lineRule="exact"/>
        <w:ind w:firstLine="576" w:firstLineChars="200"/>
        <w:jc w:val="both"/>
        <w:rPr>
          <w:rFonts w:hint="eastAsia" w:ascii="宋体" w:hAnsi="宋体" w:eastAsia="宋体" w:cs="宋体"/>
          <w:sz w:val="28"/>
          <w:szCs w:val="28"/>
        </w:rPr>
      </w:pP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576" w:firstLineChars="200"/>
        <w:jc w:val="both"/>
        <w:rPr>
          <w:rFonts w:hint="eastAsia" w:ascii="宋体" w:hAnsi="宋体" w:eastAsia="宋体" w:cs="宋体"/>
          <w:sz w:val="28"/>
          <w:szCs w:val="28"/>
        </w:rPr>
      </w:pPr>
    </w:p>
    <w:p>
      <w:pPr>
        <w:spacing w:line="560" w:lineRule="exact"/>
        <w:ind w:firstLine="3187" w:firstLineChars="1107"/>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hint="eastAsia" w:ascii="宋体" w:hAnsi="宋体" w:eastAsia="宋体" w:cs="宋体"/>
          <w:sz w:val="28"/>
          <w:szCs w:val="28"/>
        </w:rPr>
      </w:pPr>
      <w:r>
        <w:rPr>
          <w:rFonts w:hint="eastAsia" w:ascii="宋体" w:hAnsi="宋体" w:eastAsia="宋体" w:cs="宋体"/>
          <w:sz w:val="28"/>
          <w:szCs w:val="28"/>
        </w:rPr>
        <w:t>日  期：    年  月  日</w:t>
      </w:r>
    </w:p>
    <w:p>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5"/>
        <w:jc w:val="center"/>
        <w:rPr>
          <w:rFonts w:hint="eastAsia" w:ascii="宋体" w:hAnsi="宋体" w:eastAsia="宋体" w:cs="宋体"/>
          <w:color w:val="000000" w:themeColor="text1"/>
          <w:sz w:val="32"/>
          <w:szCs w:val="32"/>
          <w14:textFill>
            <w14:solidFill>
              <w14:schemeClr w14:val="tx1"/>
            </w14:solidFill>
          </w14:textFill>
        </w:rPr>
      </w:pPr>
      <w:bookmarkStart w:id="100" w:name="_Toc11915"/>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eastAsia="宋体" w:cs="宋体"/>
          <w:color w:val="000000" w:themeColor="text1"/>
          <w:sz w:val="32"/>
          <w:szCs w:val="32"/>
          <w:lang w:eastAsia="zh-CN"/>
          <w14:textFill>
            <w14:solidFill>
              <w14:schemeClr w14:val="tx1"/>
            </w14:solidFill>
          </w14:textFill>
        </w:rPr>
        <w:t>六部分</w:t>
      </w:r>
      <w:r>
        <w:rPr>
          <w:rFonts w:hint="eastAsia" w:ascii="宋体" w:hAnsi="宋体" w:eastAsia="宋体" w:cs="宋体"/>
          <w:color w:val="000000" w:themeColor="text1"/>
          <w:sz w:val="32"/>
          <w:szCs w:val="32"/>
          <w14:textFill>
            <w14:solidFill>
              <w14:schemeClr w14:val="tx1"/>
            </w14:solidFill>
          </w14:textFill>
        </w:rPr>
        <w:t xml:space="preserve">  商务和</w:t>
      </w:r>
      <w:r>
        <w:rPr>
          <w:rFonts w:hint="eastAsia" w:ascii="宋体" w:hAnsi="宋体" w:eastAsia="宋体" w:cs="宋体"/>
          <w:color w:val="000000" w:themeColor="text1"/>
          <w:sz w:val="32"/>
          <w:szCs w:val="32"/>
          <w:lang w:eastAsia="zh-CN"/>
          <w14:textFill>
            <w14:solidFill>
              <w14:schemeClr w14:val="tx1"/>
            </w14:solidFill>
          </w14:textFill>
        </w:rPr>
        <w:t>技术</w:t>
      </w:r>
      <w:r>
        <w:rPr>
          <w:rFonts w:hint="eastAsia" w:ascii="宋体" w:hAnsi="宋体" w:eastAsia="宋体" w:cs="宋体"/>
          <w:color w:val="000000" w:themeColor="text1"/>
          <w:sz w:val="32"/>
          <w:szCs w:val="32"/>
          <w14:textFill>
            <w14:solidFill>
              <w14:schemeClr w14:val="tx1"/>
            </w14:solidFill>
          </w14:textFill>
        </w:rPr>
        <w:t>响应偏离表</w:t>
      </w:r>
      <w:bookmarkEnd w:id="91"/>
      <w:bookmarkEnd w:id="92"/>
      <w:bookmarkEnd w:id="93"/>
      <w:bookmarkEnd w:id="94"/>
      <w:bookmarkEnd w:id="100"/>
    </w:p>
    <w:p>
      <w:pPr>
        <w:kinsoku w:val="0"/>
        <w:spacing w:line="480" w:lineRule="auto"/>
        <w:ind w:left="1269" w:hanging="1267" w:hangingChars="440"/>
        <w:jc w:val="lef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表1、商务响应偏差表</w:t>
      </w:r>
    </w:p>
    <w:tbl>
      <w:tblPr>
        <w:tblStyle w:val="34"/>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9"/>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9"/>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pPr>
              <w:pStyle w:val="19"/>
              <w:spacing w:line="360" w:lineRule="auto"/>
              <w:jc w:val="center"/>
              <w:rPr>
                <w:rFonts w:hAnsi="宋体" w:cs="宋体"/>
                <w:sz w:val="24"/>
                <w:szCs w:val="24"/>
              </w:rPr>
            </w:pPr>
            <w:r>
              <w:rPr>
                <w:rFonts w:hint="eastAsia" w:hAnsi="宋体" w:cs="宋体"/>
                <w:sz w:val="24"/>
                <w:szCs w:val="24"/>
              </w:rPr>
              <w:t>商务要求</w:t>
            </w:r>
          </w:p>
          <w:p>
            <w:pPr>
              <w:pStyle w:val="19"/>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pPr>
              <w:pStyle w:val="19"/>
              <w:spacing w:line="360" w:lineRule="auto"/>
              <w:jc w:val="center"/>
              <w:rPr>
                <w:rFonts w:hAnsi="宋体" w:cs="宋体"/>
                <w:sz w:val="24"/>
                <w:szCs w:val="24"/>
              </w:rPr>
            </w:pPr>
            <w:r>
              <w:rPr>
                <w:rFonts w:hint="eastAsia" w:hAnsi="宋体" w:cs="宋体"/>
                <w:sz w:val="24"/>
                <w:szCs w:val="24"/>
              </w:rPr>
              <w:t>投标文件</w:t>
            </w:r>
          </w:p>
          <w:p>
            <w:pPr>
              <w:pStyle w:val="19"/>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pPr>
              <w:pStyle w:val="19"/>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19"/>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jc w:val="left"/>
              <w:rPr>
                <w:rFonts w:hAnsi="宋体" w:cs="宋体"/>
                <w:sz w:val="24"/>
                <w:szCs w:val="24"/>
              </w:rPr>
            </w:pPr>
          </w:p>
        </w:tc>
        <w:tc>
          <w:tcPr>
            <w:tcW w:w="1521" w:type="dxa"/>
          </w:tcPr>
          <w:p>
            <w:pPr>
              <w:pStyle w:val="19"/>
              <w:spacing w:line="480" w:lineRule="auto"/>
              <w:ind w:firstLine="496" w:firstLineChars="200"/>
              <w:jc w:val="left"/>
              <w:rPr>
                <w:rFonts w:hAnsi="宋体" w:cs="宋体"/>
                <w:sz w:val="24"/>
                <w:szCs w:val="24"/>
              </w:rPr>
            </w:pPr>
          </w:p>
        </w:tc>
        <w:tc>
          <w:tcPr>
            <w:tcW w:w="1600" w:type="dxa"/>
            <w:vAlign w:val="center"/>
          </w:tcPr>
          <w:p>
            <w:pPr>
              <w:pStyle w:val="19"/>
              <w:spacing w:line="480" w:lineRule="auto"/>
              <w:ind w:firstLine="496" w:firstLineChars="200"/>
              <w:jc w:val="left"/>
              <w:rPr>
                <w:rFonts w:hAnsi="宋体" w:cs="宋体"/>
                <w:sz w:val="24"/>
                <w:szCs w:val="24"/>
              </w:rPr>
            </w:pPr>
          </w:p>
        </w:tc>
        <w:tc>
          <w:tcPr>
            <w:tcW w:w="1938" w:type="dxa"/>
            <w:vAlign w:val="center"/>
          </w:tcPr>
          <w:p>
            <w:pPr>
              <w:pStyle w:val="19"/>
              <w:spacing w:line="480" w:lineRule="auto"/>
              <w:ind w:firstLine="496" w:firstLineChars="200"/>
              <w:jc w:val="left"/>
              <w:rPr>
                <w:rFonts w:hAnsi="宋体" w:cs="宋体"/>
                <w:sz w:val="24"/>
                <w:szCs w:val="24"/>
              </w:rPr>
            </w:pPr>
          </w:p>
        </w:tc>
        <w:tc>
          <w:tcPr>
            <w:tcW w:w="1410" w:type="dxa"/>
            <w:vAlign w:val="center"/>
          </w:tcPr>
          <w:p>
            <w:pPr>
              <w:pStyle w:val="19"/>
              <w:spacing w:line="480" w:lineRule="auto"/>
              <w:ind w:firstLine="496" w:firstLineChars="200"/>
              <w:jc w:val="left"/>
              <w:rPr>
                <w:rFonts w:hAnsi="宋体" w:cs="宋体"/>
                <w:sz w:val="24"/>
                <w:szCs w:val="24"/>
              </w:rPr>
            </w:pPr>
          </w:p>
        </w:tc>
        <w:tc>
          <w:tcPr>
            <w:tcW w:w="1356" w:type="dxa"/>
            <w:vAlign w:val="center"/>
          </w:tcPr>
          <w:p>
            <w:pPr>
              <w:pStyle w:val="19"/>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jc w:val="left"/>
              <w:rPr>
                <w:rFonts w:hAnsi="宋体" w:cs="宋体"/>
                <w:sz w:val="24"/>
                <w:szCs w:val="24"/>
              </w:rPr>
            </w:pPr>
          </w:p>
        </w:tc>
        <w:tc>
          <w:tcPr>
            <w:tcW w:w="1521" w:type="dxa"/>
          </w:tcPr>
          <w:p>
            <w:pPr>
              <w:pStyle w:val="19"/>
              <w:spacing w:line="480" w:lineRule="auto"/>
              <w:ind w:firstLine="496" w:firstLineChars="200"/>
              <w:jc w:val="left"/>
              <w:rPr>
                <w:rFonts w:hAnsi="宋体" w:cs="宋体"/>
                <w:sz w:val="24"/>
                <w:szCs w:val="24"/>
              </w:rPr>
            </w:pPr>
          </w:p>
        </w:tc>
        <w:tc>
          <w:tcPr>
            <w:tcW w:w="1600" w:type="dxa"/>
          </w:tcPr>
          <w:p>
            <w:pPr>
              <w:pStyle w:val="19"/>
              <w:spacing w:line="480" w:lineRule="auto"/>
              <w:ind w:firstLine="496" w:firstLineChars="200"/>
              <w:jc w:val="left"/>
              <w:rPr>
                <w:rFonts w:hAnsi="宋体" w:cs="宋体"/>
                <w:sz w:val="24"/>
                <w:szCs w:val="24"/>
              </w:rPr>
            </w:pPr>
          </w:p>
        </w:tc>
        <w:tc>
          <w:tcPr>
            <w:tcW w:w="1938" w:type="dxa"/>
          </w:tcPr>
          <w:p>
            <w:pPr>
              <w:pStyle w:val="19"/>
              <w:spacing w:line="480" w:lineRule="auto"/>
              <w:ind w:firstLine="496" w:firstLineChars="200"/>
              <w:jc w:val="left"/>
              <w:rPr>
                <w:rFonts w:hAnsi="宋体" w:cs="宋体"/>
                <w:sz w:val="24"/>
                <w:szCs w:val="24"/>
              </w:rPr>
            </w:pPr>
          </w:p>
        </w:tc>
        <w:tc>
          <w:tcPr>
            <w:tcW w:w="1410" w:type="dxa"/>
          </w:tcPr>
          <w:p>
            <w:pPr>
              <w:pStyle w:val="19"/>
              <w:spacing w:line="480" w:lineRule="auto"/>
              <w:ind w:firstLine="496" w:firstLineChars="200"/>
              <w:jc w:val="left"/>
              <w:rPr>
                <w:rFonts w:hAnsi="宋体" w:cs="宋体"/>
                <w:sz w:val="24"/>
                <w:szCs w:val="24"/>
              </w:rPr>
            </w:pPr>
          </w:p>
        </w:tc>
        <w:tc>
          <w:tcPr>
            <w:tcW w:w="1356" w:type="dxa"/>
          </w:tcPr>
          <w:p>
            <w:pPr>
              <w:pStyle w:val="19"/>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jc w:val="left"/>
              <w:rPr>
                <w:rFonts w:hAnsi="宋体" w:cs="宋体"/>
                <w:sz w:val="24"/>
                <w:szCs w:val="24"/>
              </w:rPr>
            </w:pPr>
          </w:p>
        </w:tc>
        <w:tc>
          <w:tcPr>
            <w:tcW w:w="1521" w:type="dxa"/>
          </w:tcPr>
          <w:p>
            <w:pPr>
              <w:pStyle w:val="19"/>
              <w:spacing w:line="480" w:lineRule="auto"/>
              <w:ind w:firstLine="496" w:firstLineChars="200"/>
              <w:jc w:val="left"/>
              <w:rPr>
                <w:rFonts w:hAnsi="宋体" w:cs="宋体"/>
                <w:sz w:val="24"/>
                <w:szCs w:val="24"/>
              </w:rPr>
            </w:pPr>
          </w:p>
        </w:tc>
        <w:tc>
          <w:tcPr>
            <w:tcW w:w="1600" w:type="dxa"/>
          </w:tcPr>
          <w:p>
            <w:pPr>
              <w:pStyle w:val="19"/>
              <w:spacing w:line="480" w:lineRule="auto"/>
              <w:ind w:firstLine="496" w:firstLineChars="200"/>
              <w:jc w:val="left"/>
              <w:rPr>
                <w:rFonts w:hAnsi="宋体" w:cs="宋体"/>
                <w:sz w:val="24"/>
                <w:szCs w:val="24"/>
              </w:rPr>
            </w:pPr>
          </w:p>
        </w:tc>
        <w:tc>
          <w:tcPr>
            <w:tcW w:w="1938" w:type="dxa"/>
          </w:tcPr>
          <w:p>
            <w:pPr>
              <w:pStyle w:val="19"/>
              <w:spacing w:line="480" w:lineRule="auto"/>
              <w:ind w:firstLine="496" w:firstLineChars="200"/>
              <w:jc w:val="left"/>
              <w:rPr>
                <w:rFonts w:hAnsi="宋体" w:cs="宋体"/>
                <w:sz w:val="24"/>
                <w:szCs w:val="24"/>
              </w:rPr>
            </w:pPr>
          </w:p>
        </w:tc>
        <w:tc>
          <w:tcPr>
            <w:tcW w:w="1410" w:type="dxa"/>
          </w:tcPr>
          <w:p>
            <w:pPr>
              <w:pStyle w:val="19"/>
              <w:spacing w:line="480" w:lineRule="auto"/>
              <w:ind w:firstLine="496" w:firstLineChars="200"/>
              <w:jc w:val="left"/>
              <w:rPr>
                <w:rFonts w:hAnsi="宋体" w:cs="宋体"/>
                <w:sz w:val="24"/>
                <w:szCs w:val="24"/>
              </w:rPr>
            </w:pPr>
          </w:p>
        </w:tc>
        <w:tc>
          <w:tcPr>
            <w:tcW w:w="1356" w:type="dxa"/>
          </w:tcPr>
          <w:p>
            <w:pPr>
              <w:pStyle w:val="19"/>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jc w:val="left"/>
              <w:rPr>
                <w:rFonts w:hAnsi="宋体" w:cs="宋体"/>
                <w:sz w:val="24"/>
                <w:szCs w:val="24"/>
              </w:rPr>
            </w:pPr>
          </w:p>
        </w:tc>
        <w:tc>
          <w:tcPr>
            <w:tcW w:w="1521" w:type="dxa"/>
          </w:tcPr>
          <w:p>
            <w:pPr>
              <w:pStyle w:val="19"/>
              <w:spacing w:line="480" w:lineRule="auto"/>
              <w:ind w:firstLine="496" w:firstLineChars="200"/>
              <w:jc w:val="left"/>
              <w:rPr>
                <w:rFonts w:hAnsi="宋体" w:cs="宋体"/>
                <w:sz w:val="24"/>
                <w:szCs w:val="24"/>
              </w:rPr>
            </w:pPr>
          </w:p>
        </w:tc>
        <w:tc>
          <w:tcPr>
            <w:tcW w:w="1600" w:type="dxa"/>
          </w:tcPr>
          <w:p>
            <w:pPr>
              <w:pStyle w:val="19"/>
              <w:spacing w:line="480" w:lineRule="auto"/>
              <w:ind w:firstLine="496" w:firstLineChars="200"/>
              <w:jc w:val="left"/>
              <w:rPr>
                <w:rFonts w:hAnsi="宋体" w:cs="宋体"/>
                <w:sz w:val="24"/>
                <w:szCs w:val="24"/>
              </w:rPr>
            </w:pPr>
          </w:p>
        </w:tc>
        <w:tc>
          <w:tcPr>
            <w:tcW w:w="1938" w:type="dxa"/>
          </w:tcPr>
          <w:p>
            <w:pPr>
              <w:pStyle w:val="19"/>
              <w:spacing w:line="480" w:lineRule="auto"/>
              <w:ind w:firstLine="496" w:firstLineChars="200"/>
              <w:jc w:val="left"/>
              <w:rPr>
                <w:rFonts w:hAnsi="宋体" w:cs="宋体"/>
                <w:sz w:val="24"/>
                <w:szCs w:val="24"/>
              </w:rPr>
            </w:pPr>
          </w:p>
        </w:tc>
        <w:tc>
          <w:tcPr>
            <w:tcW w:w="1410" w:type="dxa"/>
          </w:tcPr>
          <w:p>
            <w:pPr>
              <w:pStyle w:val="19"/>
              <w:spacing w:line="480" w:lineRule="auto"/>
              <w:ind w:firstLine="496" w:firstLineChars="200"/>
              <w:jc w:val="left"/>
              <w:rPr>
                <w:rFonts w:hAnsi="宋体" w:cs="宋体"/>
                <w:sz w:val="24"/>
                <w:szCs w:val="24"/>
              </w:rPr>
            </w:pPr>
          </w:p>
        </w:tc>
        <w:tc>
          <w:tcPr>
            <w:tcW w:w="1356" w:type="dxa"/>
          </w:tcPr>
          <w:p>
            <w:pPr>
              <w:pStyle w:val="19"/>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jc w:val="left"/>
              <w:rPr>
                <w:rFonts w:hAnsi="宋体" w:cs="宋体"/>
                <w:sz w:val="24"/>
                <w:szCs w:val="24"/>
              </w:rPr>
            </w:pPr>
          </w:p>
        </w:tc>
        <w:tc>
          <w:tcPr>
            <w:tcW w:w="1521" w:type="dxa"/>
          </w:tcPr>
          <w:p>
            <w:pPr>
              <w:pStyle w:val="19"/>
              <w:spacing w:line="480" w:lineRule="auto"/>
              <w:ind w:firstLine="496" w:firstLineChars="200"/>
              <w:jc w:val="left"/>
              <w:rPr>
                <w:rFonts w:hAnsi="宋体" w:cs="宋体"/>
                <w:sz w:val="24"/>
                <w:szCs w:val="24"/>
              </w:rPr>
            </w:pPr>
          </w:p>
        </w:tc>
        <w:tc>
          <w:tcPr>
            <w:tcW w:w="1600" w:type="dxa"/>
          </w:tcPr>
          <w:p>
            <w:pPr>
              <w:pStyle w:val="19"/>
              <w:spacing w:line="480" w:lineRule="auto"/>
              <w:ind w:firstLine="496" w:firstLineChars="200"/>
              <w:jc w:val="left"/>
              <w:rPr>
                <w:rFonts w:hAnsi="宋体" w:cs="宋体"/>
                <w:sz w:val="24"/>
                <w:szCs w:val="24"/>
              </w:rPr>
            </w:pPr>
          </w:p>
        </w:tc>
        <w:tc>
          <w:tcPr>
            <w:tcW w:w="1938" w:type="dxa"/>
          </w:tcPr>
          <w:p>
            <w:pPr>
              <w:pStyle w:val="19"/>
              <w:spacing w:line="480" w:lineRule="auto"/>
              <w:ind w:firstLine="496" w:firstLineChars="200"/>
              <w:jc w:val="left"/>
              <w:rPr>
                <w:rFonts w:hAnsi="宋体" w:cs="宋体"/>
                <w:sz w:val="24"/>
                <w:szCs w:val="24"/>
              </w:rPr>
            </w:pPr>
          </w:p>
        </w:tc>
        <w:tc>
          <w:tcPr>
            <w:tcW w:w="1410" w:type="dxa"/>
          </w:tcPr>
          <w:p>
            <w:pPr>
              <w:pStyle w:val="19"/>
              <w:spacing w:line="480" w:lineRule="auto"/>
              <w:ind w:firstLine="496" w:firstLineChars="200"/>
              <w:jc w:val="left"/>
              <w:rPr>
                <w:rFonts w:hAnsi="宋体" w:cs="宋体"/>
                <w:sz w:val="24"/>
                <w:szCs w:val="24"/>
              </w:rPr>
            </w:pPr>
          </w:p>
        </w:tc>
        <w:tc>
          <w:tcPr>
            <w:tcW w:w="1356" w:type="dxa"/>
          </w:tcPr>
          <w:p>
            <w:pPr>
              <w:pStyle w:val="19"/>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jc w:val="left"/>
              <w:rPr>
                <w:rFonts w:hAnsi="宋体" w:cs="宋体"/>
                <w:sz w:val="24"/>
                <w:szCs w:val="24"/>
              </w:rPr>
            </w:pPr>
          </w:p>
        </w:tc>
        <w:tc>
          <w:tcPr>
            <w:tcW w:w="1521" w:type="dxa"/>
          </w:tcPr>
          <w:p>
            <w:pPr>
              <w:pStyle w:val="19"/>
              <w:spacing w:line="480" w:lineRule="auto"/>
              <w:ind w:firstLine="496" w:firstLineChars="200"/>
              <w:jc w:val="left"/>
              <w:rPr>
                <w:rFonts w:hAnsi="宋体" w:cs="宋体"/>
                <w:sz w:val="24"/>
                <w:szCs w:val="24"/>
              </w:rPr>
            </w:pPr>
          </w:p>
        </w:tc>
        <w:tc>
          <w:tcPr>
            <w:tcW w:w="1600" w:type="dxa"/>
          </w:tcPr>
          <w:p>
            <w:pPr>
              <w:pStyle w:val="19"/>
              <w:spacing w:line="480" w:lineRule="auto"/>
              <w:ind w:firstLine="496" w:firstLineChars="200"/>
              <w:jc w:val="left"/>
              <w:rPr>
                <w:rFonts w:hAnsi="宋体" w:cs="宋体"/>
                <w:sz w:val="24"/>
                <w:szCs w:val="24"/>
              </w:rPr>
            </w:pPr>
          </w:p>
        </w:tc>
        <w:tc>
          <w:tcPr>
            <w:tcW w:w="1938" w:type="dxa"/>
          </w:tcPr>
          <w:p>
            <w:pPr>
              <w:pStyle w:val="19"/>
              <w:spacing w:line="480" w:lineRule="auto"/>
              <w:ind w:firstLine="496" w:firstLineChars="200"/>
              <w:jc w:val="left"/>
              <w:rPr>
                <w:rFonts w:hAnsi="宋体" w:cs="宋体"/>
                <w:sz w:val="24"/>
                <w:szCs w:val="24"/>
              </w:rPr>
            </w:pPr>
          </w:p>
        </w:tc>
        <w:tc>
          <w:tcPr>
            <w:tcW w:w="1410" w:type="dxa"/>
          </w:tcPr>
          <w:p>
            <w:pPr>
              <w:pStyle w:val="19"/>
              <w:spacing w:line="480" w:lineRule="auto"/>
              <w:ind w:firstLine="496" w:firstLineChars="200"/>
              <w:jc w:val="left"/>
              <w:rPr>
                <w:rFonts w:hAnsi="宋体" w:cs="宋体"/>
                <w:sz w:val="24"/>
                <w:szCs w:val="24"/>
              </w:rPr>
            </w:pPr>
          </w:p>
        </w:tc>
        <w:tc>
          <w:tcPr>
            <w:tcW w:w="1356" w:type="dxa"/>
          </w:tcPr>
          <w:p>
            <w:pPr>
              <w:pStyle w:val="19"/>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jc w:val="left"/>
              <w:rPr>
                <w:rFonts w:hAnsi="宋体" w:cs="宋体"/>
                <w:sz w:val="24"/>
                <w:szCs w:val="24"/>
              </w:rPr>
            </w:pPr>
          </w:p>
        </w:tc>
        <w:tc>
          <w:tcPr>
            <w:tcW w:w="1521" w:type="dxa"/>
          </w:tcPr>
          <w:p>
            <w:pPr>
              <w:pStyle w:val="19"/>
              <w:spacing w:line="480" w:lineRule="auto"/>
              <w:ind w:firstLine="496" w:firstLineChars="200"/>
              <w:jc w:val="left"/>
              <w:rPr>
                <w:rFonts w:hAnsi="宋体" w:cs="宋体"/>
                <w:sz w:val="24"/>
                <w:szCs w:val="24"/>
              </w:rPr>
            </w:pPr>
          </w:p>
        </w:tc>
        <w:tc>
          <w:tcPr>
            <w:tcW w:w="1600" w:type="dxa"/>
          </w:tcPr>
          <w:p>
            <w:pPr>
              <w:pStyle w:val="19"/>
              <w:spacing w:line="480" w:lineRule="auto"/>
              <w:ind w:firstLine="496" w:firstLineChars="200"/>
              <w:jc w:val="left"/>
              <w:rPr>
                <w:rFonts w:hAnsi="宋体" w:cs="宋体"/>
                <w:sz w:val="24"/>
                <w:szCs w:val="24"/>
              </w:rPr>
            </w:pPr>
          </w:p>
        </w:tc>
        <w:tc>
          <w:tcPr>
            <w:tcW w:w="1938" w:type="dxa"/>
          </w:tcPr>
          <w:p>
            <w:pPr>
              <w:pStyle w:val="19"/>
              <w:spacing w:line="480" w:lineRule="auto"/>
              <w:ind w:firstLine="496" w:firstLineChars="200"/>
              <w:jc w:val="left"/>
              <w:rPr>
                <w:rFonts w:hAnsi="宋体" w:cs="宋体"/>
                <w:sz w:val="24"/>
                <w:szCs w:val="24"/>
              </w:rPr>
            </w:pPr>
          </w:p>
        </w:tc>
        <w:tc>
          <w:tcPr>
            <w:tcW w:w="1410" w:type="dxa"/>
          </w:tcPr>
          <w:p>
            <w:pPr>
              <w:pStyle w:val="19"/>
              <w:spacing w:line="480" w:lineRule="auto"/>
              <w:ind w:firstLine="496" w:firstLineChars="200"/>
              <w:jc w:val="left"/>
              <w:rPr>
                <w:rFonts w:hAnsi="宋体" w:cs="宋体"/>
                <w:sz w:val="24"/>
                <w:szCs w:val="24"/>
              </w:rPr>
            </w:pPr>
          </w:p>
        </w:tc>
        <w:tc>
          <w:tcPr>
            <w:tcW w:w="1356" w:type="dxa"/>
          </w:tcPr>
          <w:p>
            <w:pPr>
              <w:pStyle w:val="19"/>
              <w:spacing w:line="480" w:lineRule="auto"/>
              <w:ind w:firstLine="496"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9"/>
              <w:spacing w:line="480" w:lineRule="auto"/>
              <w:jc w:val="left"/>
              <w:rPr>
                <w:rFonts w:hAnsi="宋体" w:cs="宋体"/>
                <w:sz w:val="24"/>
                <w:szCs w:val="24"/>
              </w:rPr>
            </w:pPr>
          </w:p>
        </w:tc>
        <w:tc>
          <w:tcPr>
            <w:tcW w:w="1521" w:type="dxa"/>
          </w:tcPr>
          <w:p>
            <w:pPr>
              <w:pStyle w:val="19"/>
              <w:spacing w:line="480" w:lineRule="auto"/>
              <w:jc w:val="left"/>
              <w:rPr>
                <w:rFonts w:hAnsi="宋体" w:cs="宋体"/>
                <w:sz w:val="24"/>
                <w:szCs w:val="24"/>
              </w:rPr>
            </w:pPr>
          </w:p>
        </w:tc>
        <w:tc>
          <w:tcPr>
            <w:tcW w:w="1600" w:type="dxa"/>
          </w:tcPr>
          <w:p>
            <w:pPr>
              <w:pStyle w:val="19"/>
              <w:spacing w:line="480" w:lineRule="auto"/>
              <w:ind w:firstLine="496" w:firstLineChars="200"/>
              <w:jc w:val="left"/>
              <w:rPr>
                <w:rFonts w:hAnsi="宋体" w:cs="宋体"/>
                <w:sz w:val="24"/>
                <w:szCs w:val="24"/>
              </w:rPr>
            </w:pPr>
          </w:p>
        </w:tc>
        <w:tc>
          <w:tcPr>
            <w:tcW w:w="1938" w:type="dxa"/>
          </w:tcPr>
          <w:p>
            <w:pPr>
              <w:pStyle w:val="19"/>
              <w:spacing w:line="480" w:lineRule="auto"/>
              <w:ind w:firstLine="496" w:firstLineChars="200"/>
              <w:jc w:val="left"/>
              <w:rPr>
                <w:rFonts w:hAnsi="宋体" w:cs="宋体"/>
                <w:sz w:val="24"/>
                <w:szCs w:val="24"/>
              </w:rPr>
            </w:pPr>
          </w:p>
        </w:tc>
        <w:tc>
          <w:tcPr>
            <w:tcW w:w="1410" w:type="dxa"/>
          </w:tcPr>
          <w:p>
            <w:pPr>
              <w:pStyle w:val="19"/>
              <w:spacing w:line="480" w:lineRule="auto"/>
              <w:ind w:firstLine="496" w:firstLineChars="200"/>
              <w:jc w:val="left"/>
              <w:rPr>
                <w:rFonts w:hAnsi="宋体" w:cs="宋体"/>
                <w:sz w:val="24"/>
                <w:szCs w:val="24"/>
              </w:rPr>
            </w:pPr>
          </w:p>
        </w:tc>
        <w:tc>
          <w:tcPr>
            <w:tcW w:w="1356" w:type="dxa"/>
          </w:tcPr>
          <w:p>
            <w:pPr>
              <w:pStyle w:val="19"/>
              <w:spacing w:line="480" w:lineRule="auto"/>
              <w:ind w:firstLine="496" w:firstLineChars="200"/>
              <w:jc w:val="left"/>
              <w:rPr>
                <w:rFonts w:hAnsi="宋体" w:cs="宋体"/>
                <w:sz w:val="24"/>
                <w:szCs w:val="24"/>
              </w:rPr>
            </w:pPr>
          </w:p>
        </w:tc>
      </w:tr>
    </w:tbl>
    <w:p>
      <w:pPr>
        <w:pStyle w:val="2"/>
        <w:spacing w:line="360" w:lineRule="auto"/>
        <w:ind w:left="140" w:firstLine="0"/>
        <w:rPr>
          <w:rFonts w:hint="eastAsia" w:ascii="宋体" w:hAnsi="宋体" w:cs="宋体"/>
          <w:b/>
          <w:bCs/>
          <w:sz w:val="24"/>
          <w:szCs w:val="24"/>
          <w:lang w:eastAsia="zh-CN"/>
        </w:rPr>
      </w:pPr>
      <w:r>
        <w:rPr>
          <w:rFonts w:hint="eastAsia" w:ascii="宋体" w:hAnsi="宋体" w:cs="宋体"/>
          <w:b/>
          <w:bCs/>
          <w:sz w:val="24"/>
          <w:szCs w:val="24"/>
          <w:lang w:val="en-US" w:eastAsia="zh-CN"/>
        </w:rPr>
        <w:t>1、</w:t>
      </w:r>
      <w:r>
        <w:rPr>
          <w:rFonts w:hint="eastAsia" w:ascii="宋体" w:hAnsi="宋体" w:cs="宋体"/>
          <w:b/>
          <w:bCs/>
          <w:sz w:val="24"/>
          <w:szCs w:val="24"/>
          <w:lang w:eastAsia="zh-CN"/>
        </w:rPr>
        <w:t>本表须按“第三章招标内容及要求”中所列商务条款进行比较和响应；</w:t>
      </w:r>
    </w:p>
    <w:p>
      <w:pPr>
        <w:pStyle w:val="2"/>
        <w:spacing w:line="360" w:lineRule="auto"/>
        <w:ind w:left="0" w:leftChars="0" w:firstLine="248" w:firstLineChars="100"/>
        <w:rPr>
          <w:rFonts w:hint="eastAsia" w:ascii="宋体" w:hAnsi="宋体" w:cs="宋体"/>
          <w:b/>
          <w:bCs/>
          <w:sz w:val="24"/>
          <w:szCs w:val="24"/>
          <w:lang w:eastAsia="zh-CN"/>
        </w:rPr>
      </w:pPr>
      <w:r>
        <w:rPr>
          <w:rFonts w:hint="eastAsia" w:ascii="宋体" w:hAnsi="宋体" w:cs="宋体"/>
          <w:b/>
          <w:bCs/>
          <w:sz w:val="24"/>
          <w:szCs w:val="24"/>
          <w:lang w:val="en-US" w:eastAsia="zh-CN"/>
        </w:rPr>
        <w:t>2、</w:t>
      </w:r>
      <w:r>
        <w:rPr>
          <w:rFonts w:hint="eastAsia" w:ascii="宋体" w:hAnsi="宋体" w:cs="宋体"/>
          <w:b/>
          <w:bCs/>
          <w:sz w:val="24"/>
          <w:szCs w:val="24"/>
          <w:lang w:eastAsia="zh-CN"/>
        </w:rPr>
        <w:t>该表必须按照招标文件要求逐条如实填写，根据情况在“偏离情况”项填写正偏离或负偏离或无偏离，在“说明”项填写正偏离或负偏离原因。</w:t>
      </w:r>
    </w:p>
    <w:p>
      <w:pPr>
        <w:pStyle w:val="2"/>
        <w:spacing w:line="360" w:lineRule="auto"/>
        <w:ind w:left="140" w:firstLine="0"/>
        <w:rPr>
          <w:rFonts w:hint="eastAsia" w:ascii="宋体" w:hAnsi="宋体" w:cs="宋体"/>
          <w:b/>
          <w:bCs/>
          <w:sz w:val="24"/>
          <w:szCs w:val="24"/>
          <w:lang w:eastAsia="zh-CN"/>
        </w:rPr>
      </w:pPr>
      <w:r>
        <w:rPr>
          <w:rFonts w:hint="eastAsia" w:ascii="宋体" w:hAnsi="宋体" w:cs="宋体"/>
          <w:b/>
          <w:bCs/>
          <w:sz w:val="24"/>
          <w:szCs w:val="24"/>
          <w:lang w:eastAsia="zh-CN"/>
        </w:rPr>
        <w:t>3、该表可扩展。商务条款不允许负偏离；</w:t>
      </w:r>
    </w:p>
    <w:p>
      <w:pPr>
        <w:adjustRightInd w:val="0"/>
        <w:snapToGrid w:val="0"/>
        <w:spacing w:line="480" w:lineRule="auto"/>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供应商（单位名称及公章）：</w:t>
      </w:r>
    </w:p>
    <w:p>
      <w:pPr>
        <w:adjustRightInd w:val="0"/>
        <w:snapToGrid w:val="0"/>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法定代表人或被授权人（签字或盖章）：</w:t>
      </w:r>
    </w:p>
    <w:p>
      <w:pPr>
        <w:adjustRightInd w:val="0"/>
        <w:snapToGrid w:val="0"/>
        <w:spacing w:line="480" w:lineRule="auto"/>
        <w:rPr>
          <w:rFonts w:ascii="宋体" w:hAnsi="宋体"/>
          <w:color w:val="000000" w:themeColor="text1"/>
          <w:sz w:val="24"/>
          <w:szCs w:val="24"/>
          <w14:textFill>
            <w14:solidFill>
              <w14:schemeClr w14:val="tx1"/>
            </w14:solidFill>
          </w14:textFill>
        </w:rPr>
        <w:sectPr>
          <w:pgSz w:w="11906" w:h="16838"/>
          <w:pgMar w:top="1440" w:right="1803" w:bottom="1440" w:left="1803" w:header="850" w:footer="992" w:gutter="0"/>
          <w:pgNumType w:fmt="decimal"/>
          <w:cols w:space="0" w:num="1"/>
          <w:titlePg/>
          <w:docGrid w:type="linesAndChars" w:linePitch="395" w:charSpace="1724"/>
        </w:sectPr>
      </w:pPr>
      <w:r>
        <w:rPr>
          <w:rFonts w:hint="eastAsia" w:ascii="宋体" w:hAnsi="宋体" w:cs="宋体"/>
          <w:color w:val="000000" w:themeColor="text1"/>
          <w:sz w:val="24"/>
          <w:szCs w:val="24"/>
          <w14:textFill>
            <w14:solidFill>
              <w14:schemeClr w14:val="tx1"/>
            </w14:solidFill>
          </w14:textFill>
        </w:rPr>
        <w:t>日    期：</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jc w:val="left"/>
        <w:rPr>
          <w:rFonts w:ascii="宋体" w:hAnsi="宋体" w:cs="宋体"/>
          <w:b w:val="0"/>
          <w:bCs w:val="0"/>
          <w:sz w:val="24"/>
          <w:szCs w:val="24"/>
        </w:rPr>
      </w:pPr>
      <w:r>
        <w:rPr>
          <w:rFonts w:hint="eastAsia" w:asciiTheme="minorEastAsia" w:hAnsiTheme="minorEastAsia" w:cstheme="minorEastAsia"/>
          <w:b w:val="0"/>
          <w:bCs w:val="0"/>
          <w:color w:val="000000" w:themeColor="text1"/>
          <w:sz w:val="28"/>
          <w:szCs w:val="28"/>
          <w14:textFill>
            <w14:solidFill>
              <w14:schemeClr w14:val="tx1"/>
            </w14:solidFill>
          </w14:textFill>
        </w:rPr>
        <w:t>表2、</w:t>
      </w:r>
      <w:r>
        <w:rPr>
          <w:rFonts w:hint="eastAsia" w:ascii="宋体" w:hAnsi="宋体" w:cs="宋体"/>
          <w:b w:val="0"/>
          <w:bCs w:val="0"/>
          <w:sz w:val="28"/>
          <w:szCs w:val="32"/>
          <w:lang w:eastAsia="zh-CN"/>
        </w:rPr>
        <w:t>技术响应</w:t>
      </w:r>
      <w:r>
        <w:rPr>
          <w:rFonts w:hint="eastAsia" w:ascii="宋体" w:hAnsi="宋体" w:cs="宋体"/>
          <w:b w:val="0"/>
          <w:bCs w:val="0"/>
          <w:sz w:val="28"/>
          <w:szCs w:val="32"/>
        </w:rPr>
        <w:t>偏离表</w:t>
      </w:r>
    </w:p>
    <w:tbl>
      <w:tblPr>
        <w:tblStyle w:val="34"/>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9"/>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9"/>
              <w:spacing w:line="360" w:lineRule="auto"/>
              <w:jc w:val="center"/>
              <w:rPr>
                <w:rFonts w:hAnsi="宋体" w:cs="宋体"/>
                <w:sz w:val="24"/>
                <w:szCs w:val="24"/>
              </w:rPr>
            </w:pPr>
            <w:r>
              <w:rPr>
                <w:rFonts w:hint="eastAsia" w:hAnsi="宋体" w:cs="宋体"/>
                <w:sz w:val="24"/>
              </w:rPr>
              <w:t>产品名称</w:t>
            </w:r>
          </w:p>
        </w:tc>
        <w:tc>
          <w:tcPr>
            <w:tcW w:w="1600"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356" w:type="dxa"/>
            <w:vAlign w:val="center"/>
          </w:tcPr>
          <w:p>
            <w:pPr>
              <w:pStyle w:val="19"/>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jc w:val="left"/>
              <w:rPr>
                <w:rFonts w:hAnsi="宋体" w:cs="宋体"/>
                <w:sz w:val="24"/>
                <w:szCs w:val="24"/>
              </w:rPr>
            </w:pPr>
          </w:p>
        </w:tc>
        <w:tc>
          <w:tcPr>
            <w:tcW w:w="1521" w:type="dxa"/>
          </w:tcPr>
          <w:p>
            <w:pPr>
              <w:pStyle w:val="19"/>
              <w:spacing w:line="480" w:lineRule="auto"/>
              <w:ind w:firstLine="480" w:firstLineChars="200"/>
              <w:jc w:val="left"/>
              <w:rPr>
                <w:rFonts w:hAnsi="宋体" w:cs="宋体"/>
                <w:sz w:val="24"/>
                <w:szCs w:val="24"/>
              </w:rPr>
            </w:pPr>
          </w:p>
        </w:tc>
        <w:tc>
          <w:tcPr>
            <w:tcW w:w="1600" w:type="dxa"/>
            <w:vAlign w:val="center"/>
          </w:tcPr>
          <w:p>
            <w:pPr>
              <w:pStyle w:val="19"/>
              <w:spacing w:line="480" w:lineRule="auto"/>
              <w:ind w:firstLine="480" w:firstLineChars="200"/>
              <w:jc w:val="left"/>
              <w:rPr>
                <w:rFonts w:hAnsi="宋体" w:cs="宋体"/>
                <w:sz w:val="24"/>
                <w:szCs w:val="24"/>
              </w:rPr>
            </w:pPr>
          </w:p>
        </w:tc>
        <w:tc>
          <w:tcPr>
            <w:tcW w:w="1938" w:type="dxa"/>
            <w:vAlign w:val="center"/>
          </w:tcPr>
          <w:p>
            <w:pPr>
              <w:pStyle w:val="19"/>
              <w:spacing w:line="480" w:lineRule="auto"/>
              <w:ind w:firstLine="480" w:firstLineChars="200"/>
              <w:jc w:val="left"/>
              <w:rPr>
                <w:rFonts w:hAnsi="宋体" w:cs="宋体"/>
                <w:sz w:val="24"/>
                <w:szCs w:val="24"/>
              </w:rPr>
            </w:pPr>
          </w:p>
        </w:tc>
        <w:tc>
          <w:tcPr>
            <w:tcW w:w="1410" w:type="dxa"/>
            <w:vAlign w:val="center"/>
          </w:tcPr>
          <w:p>
            <w:pPr>
              <w:pStyle w:val="19"/>
              <w:spacing w:line="480" w:lineRule="auto"/>
              <w:ind w:firstLine="480" w:firstLineChars="200"/>
              <w:jc w:val="left"/>
              <w:rPr>
                <w:rFonts w:hAnsi="宋体" w:cs="宋体"/>
                <w:sz w:val="24"/>
                <w:szCs w:val="24"/>
              </w:rPr>
            </w:pPr>
          </w:p>
        </w:tc>
        <w:tc>
          <w:tcPr>
            <w:tcW w:w="1356" w:type="dxa"/>
            <w:vAlign w:val="center"/>
          </w:tcPr>
          <w:p>
            <w:pPr>
              <w:pStyle w:val="1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jc w:val="left"/>
              <w:rPr>
                <w:rFonts w:hAnsi="宋体" w:cs="宋体"/>
                <w:sz w:val="24"/>
                <w:szCs w:val="24"/>
              </w:rPr>
            </w:pPr>
          </w:p>
        </w:tc>
        <w:tc>
          <w:tcPr>
            <w:tcW w:w="1521" w:type="dxa"/>
          </w:tcPr>
          <w:p>
            <w:pPr>
              <w:pStyle w:val="19"/>
              <w:spacing w:line="480" w:lineRule="auto"/>
              <w:ind w:firstLine="480" w:firstLineChars="200"/>
              <w:jc w:val="left"/>
              <w:rPr>
                <w:rFonts w:hAnsi="宋体" w:cs="宋体"/>
                <w:sz w:val="24"/>
                <w:szCs w:val="24"/>
              </w:rPr>
            </w:pPr>
          </w:p>
        </w:tc>
        <w:tc>
          <w:tcPr>
            <w:tcW w:w="1600" w:type="dxa"/>
          </w:tcPr>
          <w:p>
            <w:pPr>
              <w:pStyle w:val="19"/>
              <w:spacing w:line="480" w:lineRule="auto"/>
              <w:ind w:firstLine="480" w:firstLineChars="200"/>
              <w:jc w:val="left"/>
              <w:rPr>
                <w:rFonts w:hAnsi="宋体" w:cs="宋体"/>
                <w:sz w:val="24"/>
                <w:szCs w:val="24"/>
              </w:rPr>
            </w:pPr>
          </w:p>
        </w:tc>
        <w:tc>
          <w:tcPr>
            <w:tcW w:w="1938" w:type="dxa"/>
          </w:tcPr>
          <w:p>
            <w:pPr>
              <w:pStyle w:val="19"/>
              <w:spacing w:line="480" w:lineRule="auto"/>
              <w:ind w:firstLine="480" w:firstLineChars="200"/>
              <w:jc w:val="left"/>
              <w:rPr>
                <w:rFonts w:hAnsi="宋体" w:cs="宋体"/>
                <w:sz w:val="24"/>
                <w:szCs w:val="24"/>
              </w:rPr>
            </w:pPr>
          </w:p>
        </w:tc>
        <w:tc>
          <w:tcPr>
            <w:tcW w:w="1410" w:type="dxa"/>
          </w:tcPr>
          <w:p>
            <w:pPr>
              <w:pStyle w:val="19"/>
              <w:spacing w:line="480" w:lineRule="auto"/>
              <w:ind w:firstLine="480" w:firstLineChars="200"/>
              <w:jc w:val="left"/>
              <w:rPr>
                <w:rFonts w:hAnsi="宋体" w:cs="宋体"/>
                <w:sz w:val="24"/>
                <w:szCs w:val="24"/>
              </w:rPr>
            </w:pPr>
          </w:p>
        </w:tc>
        <w:tc>
          <w:tcPr>
            <w:tcW w:w="1356" w:type="dxa"/>
          </w:tcPr>
          <w:p>
            <w:pPr>
              <w:pStyle w:val="1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jc w:val="left"/>
              <w:rPr>
                <w:rFonts w:hAnsi="宋体" w:cs="宋体"/>
                <w:sz w:val="24"/>
                <w:szCs w:val="24"/>
              </w:rPr>
            </w:pPr>
          </w:p>
        </w:tc>
        <w:tc>
          <w:tcPr>
            <w:tcW w:w="1521" w:type="dxa"/>
          </w:tcPr>
          <w:p>
            <w:pPr>
              <w:pStyle w:val="19"/>
              <w:spacing w:line="480" w:lineRule="auto"/>
              <w:ind w:firstLine="480" w:firstLineChars="200"/>
              <w:jc w:val="left"/>
              <w:rPr>
                <w:rFonts w:hAnsi="宋体" w:cs="宋体"/>
                <w:sz w:val="24"/>
                <w:szCs w:val="24"/>
              </w:rPr>
            </w:pPr>
          </w:p>
        </w:tc>
        <w:tc>
          <w:tcPr>
            <w:tcW w:w="1600" w:type="dxa"/>
          </w:tcPr>
          <w:p>
            <w:pPr>
              <w:pStyle w:val="19"/>
              <w:spacing w:line="480" w:lineRule="auto"/>
              <w:ind w:firstLine="480" w:firstLineChars="200"/>
              <w:jc w:val="left"/>
              <w:rPr>
                <w:rFonts w:hAnsi="宋体" w:cs="宋体"/>
                <w:sz w:val="24"/>
                <w:szCs w:val="24"/>
              </w:rPr>
            </w:pPr>
          </w:p>
        </w:tc>
        <w:tc>
          <w:tcPr>
            <w:tcW w:w="1938" w:type="dxa"/>
          </w:tcPr>
          <w:p>
            <w:pPr>
              <w:pStyle w:val="19"/>
              <w:spacing w:line="480" w:lineRule="auto"/>
              <w:ind w:firstLine="480" w:firstLineChars="200"/>
              <w:jc w:val="left"/>
              <w:rPr>
                <w:rFonts w:hAnsi="宋体" w:cs="宋体"/>
                <w:sz w:val="24"/>
                <w:szCs w:val="24"/>
              </w:rPr>
            </w:pPr>
          </w:p>
        </w:tc>
        <w:tc>
          <w:tcPr>
            <w:tcW w:w="1410" w:type="dxa"/>
          </w:tcPr>
          <w:p>
            <w:pPr>
              <w:pStyle w:val="19"/>
              <w:spacing w:line="480" w:lineRule="auto"/>
              <w:ind w:firstLine="480" w:firstLineChars="200"/>
              <w:jc w:val="left"/>
              <w:rPr>
                <w:rFonts w:hAnsi="宋体" w:cs="宋体"/>
                <w:sz w:val="24"/>
                <w:szCs w:val="24"/>
              </w:rPr>
            </w:pPr>
          </w:p>
        </w:tc>
        <w:tc>
          <w:tcPr>
            <w:tcW w:w="1356" w:type="dxa"/>
          </w:tcPr>
          <w:p>
            <w:pPr>
              <w:pStyle w:val="1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jc w:val="left"/>
              <w:rPr>
                <w:rFonts w:hAnsi="宋体" w:cs="宋体"/>
                <w:sz w:val="24"/>
                <w:szCs w:val="24"/>
              </w:rPr>
            </w:pPr>
          </w:p>
        </w:tc>
        <w:tc>
          <w:tcPr>
            <w:tcW w:w="1521" w:type="dxa"/>
          </w:tcPr>
          <w:p>
            <w:pPr>
              <w:pStyle w:val="19"/>
              <w:spacing w:line="480" w:lineRule="auto"/>
              <w:ind w:firstLine="480" w:firstLineChars="200"/>
              <w:jc w:val="left"/>
              <w:rPr>
                <w:rFonts w:hAnsi="宋体" w:cs="宋体"/>
                <w:sz w:val="24"/>
                <w:szCs w:val="24"/>
              </w:rPr>
            </w:pPr>
          </w:p>
        </w:tc>
        <w:tc>
          <w:tcPr>
            <w:tcW w:w="1600" w:type="dxa"/>
          </w:tcPr>
          <w:p>
            <w:pPr>
              <w:pStyle w:val="19"/>
              <w:spacing w:line="480" w:lineRule="auto"/>
              <w:ind w:firstLine="480" w:firstLineChars="200"/>
              <w:jc w:val="left"/>
              <w:rPr>
                <w:rFonts w:hAnsi="宋体" w:cs="宋体"/>
                <w:sz w:val="24"/>
                <w:szCs w:val="24"/>
              </w:rPr>
            </w:pPr>
          </w:p>
        </w:tc>
        <w:tc>
          <w:tcPr>
            <w:tcW w:w="1938" w:type="dxa"/>
          </w:tcPr>
          <w:p>
            <w:pPr>
              <w:pStyle w:val="19"/>
              <w:spacing w:line="480" w:lineRule="auto"/>
              <w:ind w:firstLine="480" w:firstLineChars="200"/>
              <w:jc w:val="left"/>
              <w:rPr>
                <w:rFonts w:hAnsi="宋体" w:cs="宋体"/>
                <w:sz w:val="24"/>
                <w:szCs w:val="24"/>
              </w:rPr>
            </w:pPr>
          </w:p>
        </w:tc>
        <w:tc>
          <w:tcPr>
            <w:tcW w:w="1410" w:type="dxa"/>
          </w:tcPr>
          <w:p>
            <w:pPr>
              <w:pStyle w:val="19"/>
              <w:spacing w:line="480" w:lineRule="auto"/>
              <w:ind w:firstLine="480" w:firstLineChars="200"/>
              <w:jc w:val="left"/>
              <w:rPr>
                <w:rFonts w:hAnsi="宋体" w:cs="宋体"/>
                <w:sz w:val="24"/>
                <w:szCs w:val="24"/>
              </w:rPr>
            </w:pPr>
          </w:p>
        </w:tc>
        <w:tc>
          <w:tcPr>
            <w:tcW w:w="1356" w:type="dxa"/>
          </w:tcPr>
          <w:p>
            <w:pPr>
              <w:pStyle w:val="1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jc w:val="left"/>
              <w:rPr>
                <w:rFonts w:hAnsi="宋体" w:cs="宋体"/>
                <w:sz w:val="24"/>
                <w:szCs w:val="24"/>
              </w:rPr>
            </w:pPr>
          </w:p>
        </w:tc>
        <w:tc>
          <w:tcPr>
            <w:tcW w:w="1521" w:type="dxa"/>
          </w:tcPr>
          <w:p>
            <w:pPr>
              <w:pStyle w:val="19"/>
              <w:spacing w:line="480" w:lineRule="auto"/>
              <w:ind w:firstLine="480" w:firstLineChars="200"/>
              <w:jc w:val="left"/>
              <w:rPr>
                <w:rFonts w:hAnsi="宋体" w:cs="宋体"/>
                <w:sz w:val="24"/>
                <w:szCs w:val="24"/>
              </w:rPr>
            </w:pPr>
          </w:p>
        </w:tc>
        <w:tc>
          <w:tcPr>
            <w:tcW w:w="1600" w:type="dxa"/>
          </w:tcPr>
          <w:p>
            <w:pPr>
              <w:pStyle w:val="19"/>
              <w:spacing w:line="480" w:lineRule="auto"/>
              <w:ind w:firstLine="480" w:firstLineChars="200"/>
              <w:jc w:val="left"/>
              <w:rPr>
                <w:rFonts w:hAnsi="宋体" w:cs="宋体"/>
                <w:sz w:val="24"/>
                <w:szCs w:val="24"/>
              </w:rPr>
            </w:pPr>
          </w:p>
        </w:tc>
        <w:tc>
          <w:tcPr>
            <w:tcW w:w="1938" w:type="dxa"/>
          </w:tcPr>
          <w:p>
            <w:pPr>
              <w:pStyle w:val="19"/>
              <w:spacing w:line="480" w:lineRule="auto"/>
              <w:ind w:firstLine="480" w:firstLineChars="200"/>
              <w:jc w:val="left"/>
              <w:rPr>
                <w:rFonts w:hAnsi="宋体" w:cs="宋体"/>
                <w:sz w:val="24"/>
                <w:szCs w:val="24"/>
              </w:rPr>
            </w:pPr>
          </w:p>
        </w:tc>
        <w:tc>
          <w:tcPr>
            <w:tcW w:w="1410" w:type="dxa"/>
          </w:tcPr>
          <w:p>
            <w:pPr>
              <w:pStyle w:val="19"/>
              <w:spacing w:line="480" w:lineRule="auto"/>
              <w:ind w:firstLine="480" w:firstLineChars="200"/>
              <w:jc w:val="left"/>
              <w:rPr>
                <w:rFonts w:hAnsi="宋体" w:cs="宋体"/>
                <w:sz w:val="24"/>
                <w:szCs w:val="24"/>
              </w:rPr>
            </w:pPr>
          </w:p>
        </w:tc>
        <w:tc>
          <w:tcPr>
            <w:tcW w:w="1356" w:type="dxa"/>
          </w:tcPr>
          <w:p>
            <w:pPr>
              <w:pStyle w:val="1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jc w:val="left"/>
              <w:rPr>
                <w:rFonts w:hAnsi="宋体" w:cs="宋体"/>
                <w:sz w:val="24"/>
                <w:szCs w:val="24"/>
              </w:rPr>
            </w:pPr>
          </w:p>
        </w:tc>
        <w:tc>
          <w:tcPr>
            <w:tcW w:w="1521" w:type="dxa"/>
          </w:tcPr>
          <w:p>
            <w:pPr>
              <w:pStyle w:val="19"/>
              <w:spacing w:line="480" w:lineRule="auto"/>
              <w:ind w:firstLine="480" w:firstLineChars="200"/>
              <w:jc w:val="left"/>
              <w:rPr>
                <w:rFonts w:hAnsi="宋体" w:cs="宋体"/>
                <w:sz w:val="24"/>
                <w:szCs w:val="24"/>
              </w:rPr>
            </w:pPr>
          </w:p>
        </w:tc>
        <w:tc>
          <w:tcPr>
            <w:tcW w:w="1600" w:type="dxa"/>
          </w:tcPr>
          <w:p>
            <w:pPr>
              <w:pStyle w:val="19"/>
              <w:spacing w:line="480" w:lineRule="auto"/>
              <w:ind w:firstLine="480" w:firstLineChars="200"/>
              <w:jc w:val="left"/>
              <w:rPr>
                <w:rFonts w:hAnsi="宋体" w:cs="宋体"/>
                <w:sz w:val="24"/>
                <w:szCs w:val="24"/>
              </w:rPr>
            </w:pPr>
          </w:p>
        </w:tc>
        <w:tc>
          <w:tcPr>
            <w:tcW w:w="1938" w:type="dxa"/>
          </w:tcPr>
          <w:p>
            <w:pPr>
              <w:pStyle w:val="19"/>
              <w:spacing w:line="480" w:lineRule="auto"/>
              <w:ind w:firstLine="480" w:firstLineChars="200"/>
              <w:jc w:val="left"/>
              <w:rPr>
                <w:rFonts w:hAnsi="宋体" w:cs="宋体"/>
                <w:sz w:val="24"/>
                <w:szCs w:val="24"/>
              </w:rPr>
            </w:pPr>
          </w:p>
        </w:tc>
        <w:tc>
          <w:tcPr>
            <w:tcW w:w="1410" w:type="dxa"/>
          </w:tcPr>
          <w:p>
            <w:pPr>
              <w:pStyle w:val="19"/>
              <w:spacing w:line="480" w:lineRule="auto"/>
              <w:ind w:firstLine="480" w:firstLineChars="200"/>
              <w:jc w:val="left"/>
              <w:rPr>
                <w:rFonts w:hAnsi="宋体" w:cs="宋体"/>
                <w:sz w:val="24"/>
                <w:szCs w:val="24"/>
              </w:rPr>
            </w:pPr>
          </w:p>
        </w:tc>
        <w:tc>
          <w:tcPr>
            <w:tcW w:w="1356" w:type="dxa"/>
          </w:tcPr>
          <w:p>
            <w:pPr>
              <w:pStyle w:val="1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jc w:val="left"/>
              <w:rPr>
                <w:rFonts w:hAnsi="宋体" w:cs="宋体"/>
                <w:sz w:val="24"/>
                <w:szCs w:val="24"/>
              </w:rPr>
            </w:pPr>
          </w:p>
        </w:tc>
        <w:tc>
          <w:tcPr>
            <w:tcW w:w="1521" w:type="dxa"/>
          </w:tcPr>
          <w:p>
            <w:pPr>
              <w:pStyle w:val="19"/>
              <w:spacing w:line="480" w:lineRule="auto"/>
              <w:ind w:firstLine="480" w:firstLineChars="200"/>
              <w:jc w:val="left"/>
              <w:rPr>
                <w:rFonts w:hAnsi="宋体" w:cs="宋体"/>
                <w:sz w:val="24"/>
                <w:szCs w:val="24"/>
              </w:rPr>
            </w:pPr>
          </w:p>
        </w:tc>
        <w:tc>
          <w:tcPr>
            <w:tcW w:w="1600" w:type="dxa"/>
          </w:tcPr>
          <w:p>
            <w:pPr>
              <w:pStyle w:val="19"/>
              <w:spacing w:line="480" w:lineRule="auto"/>
              <w:ind w:firstLine="480" w:firstLineChars="200"/>
              <w:jc w:val="left"/>
              <w:rPr>
                <w:rFonts w:hAnsi="宋体" w:cs="宋体"/>
                <w:sz w:val="24"/>
                <w:szCs w:val="24"/>
              </w:rPr>
            </w:pPr>
          </w:p>
        </w:tc>
        <w:tc>
          <w:tcPr>
            <w:tcW w:w="1938" w:type="dxa"/>
          </w:tcPr>
          <w:p>
            <w:pPr>
              <w:pStyle w:val="19"/>
              <w:spacing w:line="480" w:lineRule="auto"/>
              <w:ind w:firstLine="480" w:firstLineChars="200"/>
              <w:jc w:val="left"/>
              <w:rPr>
                <w:rFonts w:hAnsi="宋体" w:cs="宋体"/>
                <w:sz w:val="24"/>
                <w:szCs w:val="24"/>
              </w:rPr>
            </w:pPr>
          </w:p>
        </w:tc>
        <w:tc>
          <w:tcPr>
            <w:tcW w:w="1410" w:type="dxa"/>
          </w:tcPr>
          <w:p>
            <w:pPr>
              <w:pStyle w:val="19"/>
              <w:spacing w:line="480" w:lineRule="auto"/>
              <w:ind w:firstLine="480" w:firstLineChars="200"/>
              <w:jc w:val="left"/>
              <w:rPr>
                <w:rFonts w:hAnsi="宋体" w:cs="宋体"/>
                <w:sz w:val="24"/>
                <w:szCs w:val="24"/>
              </w:rPr>
            </w:pPr>
          </w:p>
        </w:tc>
        <w:tc>
          <w:tcPr>
            <w:tcW w:w="1356" w:type="dxa"/>
          </w:tcPr>
          <w:p>
            <w:pPr>
              <w:pStyle w:val="19"/>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9"/>
              <w:spacing w:line="480" w:lineRule="auto"/>
              <w:jc w:val="left"/>
              <w:rPr>
                <w:rFonts w:hAnsi="宋体" w:cs="宋体"/>
                <w:sz w:val="24"/>
                <w:szCs w:val="24"/>
              </w:rPr>
            </w:pPr>
          </w:p>
        </w:tc>
        <w:tc>
          <w:tcPr>
            <w:tcW w:w="1521" w:type="dxa"/>
          </w:tcPr>
          <w:p>
            <w:pPr>
              <w:pStyle w:val="19"/>
              <w:spacing w:line="480" w:lineRule="auto"/>
              <w:jc w:val="left"/>
              <w:rPr>
                <w:rFonts w:hAnsi="宋体" w:cs="宋体"/>
                <w:sz w:val="24"/>
                <w:szCs w:val="24"/>
              </w:rPr>
            </w:pPr>
          </w:p>
        </w:tc>
        <w:tc>
          <w:tcPr>
            <w:tcW w:w="1600" w:type="dxa"/>
          </w:tcPr>
          <w:p>
            <w:pPr>
              <w:pStyle w:val="19"/>
              <w:spacing w:line="480" w:lineRule="auto"/>
              <w:ind w:firstLine="480" w:firstLineChars="200"/>
              <w:jc w:val="left"/>
              <w:rPr>
                <w:rFonts w:hAnsi="宋体" w:cs="宋体"/>
                <w:sz w:val="24"/>
                <w:szCs w:val="24"/>
              </w:rPr>
            </w:pPr>
          </w:p>
        </w:tc>
        <w:tc>
          <w:tcPr>
            <w:tcW w:w="1938" w:type="dxa"/>
          </w:tcPr>
          <w:p>
            <w:pPr>
              <w:pStyle w:val="19"/>
              <w:spacing w:line="480" w:lineRule="auto"/>
              <w:ind w:firstLine="480" w:firstLineChars="200"/>
              <w:jc w:val="left"/>
              <w:rPr>
                <w:rFonts w:hAnsi="宋体" w:cs="宋体"/>
                <w:sz w:val="24"/>
                <w:szCs w:val="24"/>
              </w:rPr>
            </w:pPr>
          </w:p>
        </w:tc>
        <w:tc>
          <w:tcPr>
            <w:tcW w:w="1410" w:type="dxa"/>
          </w:tcPr>
          <w:p>
            <w:pPr>
              <w:pStyle w:val="19"/>
              <w:spacing w:line="480" w:lineRule="auto"/>
              <w:ind w:firstLine="480" w:firstLineChars="200"/>
              <w:jc w:val="left"/>
              <w:rPr>
                <w:rFonts w:hAnsi="宋体" w:cs="宋体"/>
                <w:sz w:val="24"/>
                <w:szCs w:val="24"/>
              </w:rPr>
            </w:pPr>
          </w:p>
        </w:tc>
        <w:tc>
          <w:tcPr>
            <w:tcW w:w="1356" w:type="dxa"/>
          </w:tcPr>
          <w:p>
            <w:pPr>
              <w:pStyle w:val="19"/>
              <w:spacing w:line="480" w:lineRule="auto"/>
              <w:ind w:firstLine="480" w:firstLineChars="200"/>
              <w:jc w:val="left"/>
              <w:rPr>
                <w:rFonts w:hAnsi="宋体" w:cs="宋体"/>
                <w:sz w:val="24"/>
                <w:szCs w:val="24"/>
              </w:rPr>
            </w:pPr>
          </w:p>
        </w:tc>
      </w:tr>
    </w:tbl>
    <w:p>
      <w:pPr>
        <w:pStyle w:val="2"/>
        <w:spacing w:line="360" w:lineRule="auto"/>
        <w:ind w:left="140" w:firstLine="0"/>
        <w:rPr>
          <w:rFonts w:ascii="宋体" w:hAnsi="宋体" w:cs="宋体"/>
          <w:b/>
          <w:bCs/>
          <w:sz w:val="24"/>
          <w:szCs w:val="24"/>
        </w:rPr>
      </w:pPr>
      <w:r>
        <w:rPr>
          <w:rFonts w:hint="eastAsia" w:ascii="宋体" w:hAnsi="宋体" w:cs="宋体"/>
          <w:b/>
          <w:bCs/>
          <w:sz w:val="24"/>
          <w:szCs w:val="24"/>
        </w:rPr>
        <w:t>1、本表须按“</w:t>
      </w:r>
      <w:r>
        <w:rPr>
          <w:rFonts w:hint="eastAsia" w:ascii="宋体" w:hAnsi="宋体" w:cs="宋体"/>
          <w:b/>
          <w:bCs/>
          <w:sz w:val="24"/>
          <w:szCs w:val="24"/>
          <w:lang w:eastAsia="zh-CN"/>
        </w:rPr>
        <w:t>第三章招标内容及要求</w:t>
      </w:r>
      <w:r>
        <w:rPr>
          <w:rFonts w:hint="eastAsia" w:ascii="宋体" w:hAnsi="宋体" w:cs="宋体"/>
          <w:b/>
          <w:bCs/>
          <w:sz w:val="24"/>
          <w:szCs w:val="24"/>
        </w:rPr>
        <w:t>”中所列服务要求进行比较和响应；</w:t>
      </w:r>
    </w:p>
    <w:p>
      <w:pPr>
        <w:pStyle w:val="2"/>
        <w:spacing w:line="360" w:lineRule="auto"/>
        <w:ind w:left="140" w:firstLine="0"/>
        <w:rPr>
          <w:rFonts w:ascii="宋体" w:hAnsi="宋体" w:cs="宋体"/>
          <w:sz w:val="24"/>
          <w:szCs w:val="24"/>
        </w:rPr>
      </w:pPr>
      <w:r>
        <w:rPr>
          <w:rFonts w:hint="eastAsia" w:ascii="宋体" w:hAnsi="宋体" w:cs="宋体"/>
          <w:b/>
          <w:bCs/>
          <w:sz w:val="24"/>
          <w:szCs w:val="24"/>
        </w:rPr>
        <w:t>2、该表必须按照</w:t>
      </w:r>
      <w:r>
        <w:rPr>
          <w:rFonts w:hint="eastAsia" w:ascii="宋体" w:hAnsi="宋体" w:cs="宋体"/>
          <w:b/>
          <w:bCs/>
          <w:sz w:val="24"/>
          <w:szCs w:val="24"/>
          <w:lang w:eastAsia="zh-CN"/>
        </w:rPr>
        <w:t>招标</w:t>
      </w:r>
      <w:r>
        <w:rPr>
          <w:rFonts w:hint="eastAsia" w:ascii="宋体" w:hAnsi="宋体" w:cs="宋体"/>
          <w:b/>
          <w:bCs/>
          <w:sz w:val="24"/>
          <w:szCs w:val="24"/>
        </w:rPr>
        <w:t>文件要求逐条如实填写，根据情况在“偏离情况”项填写正偏离或负偏离或无偏离，在“说明”项填写正偏离或负偏离原因。</w:t>
      </w:r>
    </w:p>
    <w:p>
      <w:pPr>
        <w:pStyle w:val="2"/>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adjustRightInd w:val="0"/>
        <w:snapToGrid w:val="0"/>
        <w:spacing w:line="480" w:lineRule="auto"/>
        <w:jc w:val="left"/>
        <w:rPr>
          <w:rFonts w:asciiTheme="minorEastAsia" w:hAnsiTheme="minorEastAsia" w:cstheme="minorEastAsia"/>
          <w:color w:val="000000" w:themeColor="text1"/>
          <w:sz w:val="24"/>
          <w:szCs w:val="24"/>
          <w14:textFill>
            <w14:solidFill>
              <w14:schemeClr w14:val="tx1"/>
            </w14:solidFill>
          </w14:textFill>
        </w:rPr>
      </w:pPr>
    </w:p>
    <w:p>
      <w:pPr>
        <w:adjustRightInd w:val="0"/>
        <w:snapToGrid w:val="0"/>
        <w:spacing w:line="480" w:lineRule="auto"/>
        <w:jc w:val="lef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供应商（单位名称及公章）：</w:t>
      </w:r>
    </w:p>
    <w:p>
      <w:pPr>
        <w:adjustRightInd w:val="0"/>
        <w:snapToGrid w:val="0"/>
        <w:spacing w:line="48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法定代表人或被授权人（签字或盖章）：</w:t>
      </w:r>
    </w:p>
    <w:p>
      <w:pPr>
        <w:adjustRightInd w:val="0"/>
        <w:snapToGrid w:val="0"/>
        <w:spacing w:line="48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日    期：</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日</w:t>
      </w:r>
    </w:p>
    <w:p/>
    <w:bookmarkEnd w:id="95"/>
    <w:bookmarkEnd w:id="96"/>
    <w:bookmarkEnd w:id="97"/>
    <w:bookmarkEnd w:id="98"/>
    <w:p>
      <w:pPr>
        <w:rPr>
          <w:rFonts w:asciiTheme="minorEastAsia" w:hAnsiTheme="minorEastAsia" w:eastAsiaTheme="minorEastAsia" w:cstheme="minorEastAsia"/>
          <w:color w:val="000000" w:themeColor="text1"/>
          <w:sz w:val="36"/>
          <w:szCs w:val="36"/>
          <w14:textFill>
            <w14:solidFill>
              <w14:schemeClr w14:val="tx1"/>
            </w14:solidFill>
          </w14:textFill>
        </w:rPr>
      </w:pPr>
      <w:bookmarkStart w:id="101" w:name="_Toc24830"/>
      <w:r>
        <w:rPr>
          <w:rFonts w:hint="eastAsia" w:asciiTheme="minorEastAsia" w:hAnsiTheme="minorEastAsia" w:eastAsiaTheme="minorEastAsia" w:cstheme="minorEastAsia"/>
          <w:color w:val="000000" w:themeColor="text1"/>
          <w:sz w:val="36"/>
          <w:szCs w:val="36"/>
          <w14:textFill>
            <w14:solidFill>
              <w14:schemeClr w14:val="tx1"/>
            </w14:solidFill>
          </w14:textFill>
        </w:rPr>
        <w:br w:type="page"/>
      </w:r>
    </w:p>
    <w:p>
      <w:pPr>
        <w:pStyle w:val="5"/>
        <w:spacing w:before="319" w:beforeLines="100" w:after="478" w:afterLines="150" w:line="500" w:lineRule="exact"/>
        <w:jc w:val="cente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bookmarkStart w:id="102" w:name="_Toc258"/>
      <w:bookmarkStart w:id="103" w:name="_Toc3055"/>
      <w:r>
        <w:rPr>
          <w:rFonts w:hint="eastAsia" w:asciiTheme="minorEastAsia" w:hAnsiTheme="minorEastAsia" w:eastAsiaTheme="minorEastAsia" w:cstheme="minorEastAsia"/>
          <w:color w:val="000000" w:themeColor="text1"/>
          <w:sz w:val="32"/>
          <w:szCs w:val="32"/>
          <w14:textFill>
            <w14:solidFill>
              <w14:schemeClr w14:val="tx1"/>
            </w14:solidFill>
          </w14:textFill>
        </w:rPr>
        <w:t>第</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部分</w:t>
      </w:r>
      <w:r>
        <w:rPr>
          <w:rFonts w:hint="eastAsia" w:asciiTheme="minorEastAsia" w:hAnsiTheme="minorEastAsia" w:eastAsiaTheme="minorEastAsia" w:cstheme="minorEastAsia"/>
          <w:color w:val="000000" w:themeColor="text1"/>
          <w:sz w:val="32"/>
          <w:szCs w:val="32"/>
          <w14:textFill>
            <w14:solidFill>
              <w14:schemeClr w14:val="tx1"/>
            </w14:solidFill>
          </w14:textFill>
        </w:rPr>
        <w:t xml:space="preserve">  </w:t>
      </w:r>
      <w:bookmarkEnd w:id="101"/>
      <w:bookmarkEnd w:id="102"/>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技术与</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服务方案</w:t>
      </w:r>
      <w:bookmarkEnd w:id="103"/>
    </w:p>
    <w:p>
      <w:pPr>
        <w:rPr>
          <w:rFonts w:ascii="宋体" w:hAnsi="宋体" w:cs="宋体"/>
          <w:b/>
          <w:bCs/>
          <w:sz w:val="20"/>
          <w:szCs w:val="20"/>
        </w:rPr>
      </w:pPr>
      <w:r>
        <w:rPr>
          <w:rFonts w:hint="eastAsia" w:ascii="宋体" w:hAnsi="宋体" w:cs="宋体"/>
          <w:b/>
          <w:bCs/>
          <w:sz w:val="24"/>
          <w:szCs w:val="24"/>
        </w:rPr>
        <w:t>由供应商自行编写，无具体格式。</w:t>
      </w:r>
    </w:p>
    <w:p>
      <w:pPr>
        <w:jc w:val="both"/>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 xml:space="preserve">  </w:t>
      </w:r>
    </w:p>
    <w:p>
      <w:pPr>
        <w:bidi w:val="0"/>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pPr>
      <w:r>
        <w:rPr>
          <w:rFonts w:hint="eastAsia"/>
          <w:lang w:val="en-US" w:eastAsia="zh-CN"/>
        </w:rPr>
        <w:t xml:space="preserve">                      </w:t>
      </w:r>
      <w:r>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br w:type="page"/>
      </w:r>
    </w:p>
    <w:p>
      <w:pPr>
        <w:bidi w:val="0"/>
        <w:jc w:val="center"/>
        <w:outlineLvl w:val="1"/>
        <w:rPr>
          <w:rFonts w:hint="default" w:eastAsiaTheme="minorEastAsia"/>
          <w:lang w:val="en-US" w:eastAsia="zh-CN"/>
        </w:rPr>
      </w:pPr>
      <w:bookmarkStart w:id="104" w:name="_Toc28410"/>
      <w:r>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t>第</w:t>
      </w:r>
      <w:r>
        <w:rPr>
          <w:rFonts w:hint="eastAsia" w:asciiTheme="minorEastAsia" w:hAnsiTheme="minorEastAsia" w:cstheme="minorEastAsia"/>
          <w:color w:val="000000" w:themeColor="text1"/>
          <w:sz w:val="32"/>
          <w:szCs w:val="32"/>
          <w:lang w:val="en-US" w:eastAsia="zh-CN" w:bidi="ar-SA"/>
          <w14:textFill>
            <w14:solidFill>
              <w14:schemeClr w14:val="tx1"/>
            </w14:solidFill>
          </w14:textFill>
        </w:rPr>
        <w:t>八</w:t>
      </w:r>
      <w:r>
        <w:rPr>
          <w:rFonts w:hint="eastAsia" w:asciiTheme="minorEastAsia" w:hAnsiTheme="minorEastAsia" w:eastAsiaTheme="minorEastAsia" w:cstheme="minorEastAsia"/>
          <w:color w:val="000000" w:themeColor="text1"/>
          <w:sz w:val="32"/>
          <w:szCs w:val="32"/>
          <w:lang w:val="en-US" w:eastAsia="zh-CN" w:bidi="ar-SA"/>
          <w14:textFill>
            <w14:solidFill>
              <w14:schemeClr w14:val="tx1"/>
            </w14:solidFill>
          </w14:textFill>
        </w:rPr>
        <w:t>部分  服务</w:t>
      </w:r>
      <w:r>
        <w:rPr>
          <w:rFonts w:hint="eastAsia" w:asciiTheme="minorEastAsia" w:hAnsiTheme="minorEastAsia" w:cstheme="minorEastAsia"/>
          <w:color w:val="000000" w:themeColor="text1"/>
          <w:sz w:val="32"/>
          <w:szCs w:val="32"/>
          <w:lang w:val="en-US" w:eastAsia="zh-CN" w:bidi="ar-SA"/>
          <w14:textFill>
            <w14:solidFill>
              <w14:schemeClr w14:val="tx1"/>
            </w14:solidFill>
          </w14:textFill>
        </w:rPr>
        <w:t>承诺</w:t>
      </w:r>
      <w:bookmarkEnd w:id="104"/>
    </w:p>
    <w:p>
      <w:pPr>
        <w:rPr>
          <w:rFonts w:ascii="宋体" w:hAnsi="宋体" w:cs="宋体"/>
          <w:b/>
          <w:bCs/>
          <w:sz w:val="20"/>
          <w:szCs w:val="20"/>
        </w:rPr>
      </w:pPr>
      <w:bookmarkStart w:id="105" w:name="_Toc6020"/>
      <w:bookmarkStart w:id="106" w:name="_Toc3034"/>
      <w:bookmarkStart w:id="107" w:name="_Toc24882"/>
      <w:bookmarkStart w:id="108" w:name="_Toc11540"/>
      <w:bookmarkStart w:id="109" w:name="_Toc30983"/>
      <w:bookmarkStart w:id="110" w:name="_Toc8494"/>
      <w:bookmarkStart w:id="111" w:name="_Toc12793"/>
      <w:bookmarkStart w:id="112" w:name="_Toc11410"/>
      <w:r>
        <w:rPr>
          <w:rFonts w:hint="eastAsia" w:ascii="宋体" w:hAnsi="宋体" w:cs="宋体"/>
          <w:b/>
          <w:bCs/>
          <w:sz w:val="24"/>
          <w:szCs w:val="24"/>
        </w:rPr>
        <w:t>由供应商自行编写，无具体格式。</w:t>
      </w:r>
    </w:p>
    <w:p>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5"/>
        <w:jc w:val="center"/>
        <w:rPr>
          <w:rFonts w:hint="eastAsia" w:ascii="宋体" w:hAnsi="宋体" w:eastAsia="宋体" w:cs="宋体"/>
          <w:color w:val="000000" w:themeColor="text1"/>
          <w:sz w:val="32"/>
          <w:szCs w:val="32"/>
          <w14:textFill>
            <w14:solidFill>
              <w14:schemeClr w14:val="tx1"/>
            </w14:solidFill>
          </w14:textFill>
        </w:rPr>
      </w:pPr>
      <w:bookmarkStart w:id="113" w:name="_Toc5287"/>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eastAsia="宋体" w:cs="宋体"/>
          <w:color w:val="000000" w:themeColor="text1"/>
          <w:sz w:val="32"/>
          <w:szCs w:val="32"/>
          <w:lang w:eastAsia="zh-CN"/>
          <w14:textFill>
            <w14:solidFill>
              <w14:schemeClr w14:val="tx1"/>
            </w14:solidFill>
          </w14:textFill>
        </w:rPr>
        <w:t>九部分</w:t>
      </w:r>
      <w:r>
        <w:rPr>
          <w:rFonts w:hint="eastAsia" w:ascii="宋体" w:hAnsi="宋体" w:eastAsia="宋体" w:cs="宋体"/>
          <w:color w:val="000000" w:themeColor="text1"/>
          <w:sz w:val="32"/>
          <w:szCs w:val="32"/>
          <w14:textFill>
            <w14:solidFill>
              <w14:schemeClr w14:val="tx1"/>
            </w14:solidFill>
          </w14:textFill>
        </w:rPr>
        <w:t xml:space="preserve">  </w:t>
      </w:r>
      <w:r>
        <w:rPr>
          <w:rFonts w:hint="eastAsia" w:ascii="宋体" w:hAnsi="宋体" w:eastAsia="宋体" w:cs="宋体"/>
          <w:color w:val="000000" w:themeColor="text1"/>
          <w:sz w:val="32"/>
          <w:szCs w:val="32"/>
          <w:lang w:eastAsia="zh-CN"/>
          <w14:textFill>
            <w14:solidFill>
              <w14:schemeClr w14:val="tx1"/>
            </w14:solidFill>
          </w14:textFill>
        </w:rPr>
        <w:t>供应商</w:t>
      </w:r>
      <w:r>
        <w:rPr>
          <w:rFonts w:hint="eastAsia" w:ascii="宋体" w:hAnsi="宋体" w:eastAsia="宋体" w:cs="宋体"/>
          <w:color w:val="000000" w:themeColor="text1"/>
          <w:sz w:val="32"/>
          <w:szCs w:val="32"/>
          <w14:textFill>
            <w14:solidFill>
              <w14:schemeClr w14:val="tx1"/>
            </w14:solidFill>
          </w14:textFill>
        </w:rPr>
        <w:t>业绩一览表</w:t>
      </w:r>
      <w:bookmarkEnd w:id="105"/>
      <w:bookmarkEnd w:id="106"/>
      <w:bookmarkEnd w:id="107"/>
      <w:bookmarkEnd w:id="108"/>
      <w:bookmarkEnd w:id="113"/>
    </w:p>
    <w:p>
      <w:pPr>
        <w:rPr>
          <w:rFonts w:asciiTheme="minorEastAsia" w:hAnsiTheme="minorEastAsia" w:cstheme="minorEastAsia"/>
          <w:color w:val="000000" w:themeColor="text1"/>
          <w14:textFill>
            <w14:solidFill>
              <w14:schemeClr w14:val="tx1"/>
            </w14:solidFill>
          </w14:textFill>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1"/>
        <w:gridCol w:w="1602"/>
        <w:gridCol w:w="1468"/>
        <w:gridCol w:w="1485"/>
        <w:gridCol w:w="1577"/>
        <w:gridCol w:w="11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35" w:hRule="atLeast"/>
          <w:jc w:val="center"/>
        </w:trPr>
        <w:tc>
          <w:tcPr>
            <w:tcW w:w="801"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02"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68"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85" w:type="dxa"/>
            <w:tcBorders>
              <w:top w:val="single" w:color="auto" w:sz="4" w:space="0"/>
            </w:tcBorders>
            <w:vAlign w:val="center"/>
          </w:tcPr>
          <w:p>
            <w:pPr>
              <w:spacing w:line="400" w:lineRule="exact"/>
              <w:jc w:val="center"/>
              <w:rPr>
                <w:rFonts w:hint="eastAsia" w:ascii="宋体" w:hAnsi="宋体" w:eastAsia="宋体" w:cs="宋体"/>
                <w:lang w:eastAsia="zh-CN"/>
              </w:rPr>
            </w:pPr>
            <w:r>
              <w:rPr>
                <w:rFonts w:hint="eastAsia" w:ascii="宋体" w:hAnsi="宋体" w:cs="宋体"/>
                <w:lang w:eastAsia="zh-CN"/>
              </w:rPr>
              <w:t>合同签订时间</w:t>
            </w:r>
          </w:p>
        </w:tc>
        <w:tc>
          <w:tcPr>
            <w:tcW w:w="1577" w:type="dxa"/>
            <w:tcBorders>
              <w:top w:val="single" w:color="auto" w:sz="4" w:space="0"/>
            </w:tcBorders>
            <w:vAlign w:val="center"/>
          </w:tcPr>
          <w:p>
            <w:pPr>
              <w:spacing w:line="400" w:lineRule="exact"/>
              <w:ind w:firstLine="120" w:firstLineChars="50"/>
              <w:rPr>
                <w:rFonts w:ascii="宋体" w:hAnsi="宋体" w:cs="宋体"/>
              </w:rPr>
            </w:pPr>
            <w:r>
              <w:rPr>
                <w:rFonts w:hint="eastAsia" w:ascii="宋体" w:hAnsi="宋体" w:cs="宋体"/>
              </w:rPr>
              <w:t>合同金额</w:t>
            </w:r>
          </w:p>
        </w:tc>
        <w:tc>
          <w:tcPr>
            <w:tcW w:w="1163"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tcBorders>
              <w:right w:val="single" w:color="auto" w:sz="4" w:space="0"/>
            </w:tcBorders>
            <w:vAlign w:val="center"/>
          </w:tcPr>
          <w:p>
            <w:pPr>
              <w:spacing w:line="400" w:lineRule="exact"/>
              <w:jc w:val="center"/>
              <w:rPr>
                <w:rFonts w:ascii="宋体" w:hAnsi="宋体" w:cs="宋体"/>
              </w:rPr>
            </w:pPr>
          </w:p>
        </w:tc>
        <w:tc>
          <w:tcPr>
            <w:tcW w:w="1468" w:type="dxa"/>
            <w:tcBorders>
              <w:left w:val="single" w:color="auto" w:sz="4" w:space="0"/>
            </w:tcBorders>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tcBorders>
              <w:right w:val="single" w:color="auto" w:sz="4" w:space="0"/>
            </w:tcBorders>
            <w:vAlign w:val="center"/>
          </w:tcPr>
          <w:p>
            <w:pPr>
              <w:spacing w:line="400" w:lineRule="exact"/>
              <w:rPr>
                <w:rFonts w:ascii="宋体" w:hAnsi="宋体" w:cs="宋体"/>
              </w:rPr>
            </w:pPr>
          </w:p>
        </w:tc>
        <w:tc>
          <w:tcPr>
            <w:tcW w:w="1602" w:type="dxa"/>
            <w:tcBorders>
              <w:left w:val="single" w:color="auto" w:sz="4" w:space="0"/>
              <w:right w:val="single" w:color="auto" w:sz="4" w:space="0"/>
            </w:tcBorders>
            <w:vAlign w:val="center"/>
          </w:tcPr>
          <w:p>
            <w:pPr>
              <w:spacing w:line="400" w:lineRule="exact"/>
              <w:rPr>
                <w:rFonts w:ascii="宋体" w:hAnsi="宋体" w:cs="宋体"/>
              </w:rPr>
            </w:pPr>
          </w:p>
        </w:tc>
        <w:tc>
          <w:tcPr>
            <w:tcW w:w="1468" w:type="dxa"/>
            <w:tcBorders>
              <w:left w:val="single" w:color="auto" w:sz="4" w:space="0"/>
              <w:right w:val="single" w:color="auto" w:sz="4" w:space="0"/>
            </w:tcBorders>
            <w:vAlign w:val="center"/>
          </w:tcPr>
          <w:p>
            <w:pPr>
              <w:spacing w:line="400" w:lineRule="exact"/>
              <w:rPr>
                <w:rFonts w:ascii="宋体" w:hAnsi="宋体" w:cs="宋体"/>
              </w:rPr>
            </w:pPr>
          </w:p>
        </w:tc>
        <w:tc>
          <w:tcPr>
            <w:tcW w:w="1485" w:type="dxa"/>
            <w:tcBorders>
              <w:left w:val="single" w:color="auto" w:sz="4" w:space="0"/>
              <w:right w:val="single" w:color="auto" w:sz="4" w:space="0"/>
            </w:tcBorders>
            <w:vAlign w:val="center"/>
          </w:tcPr>
          <w:p>
            <w:pPr>
              <w:spacing w:line="400" w:lineRule="exact"/>
              <w:rPr>
                <w:rFonts w:ascii="宋体" w:hAnsi="宋体" w:cs="宋体"/>
              </w:rPr>
            </w:pPr>
          </w:p>
        </w:tc>
        <w:tc>
          <w:tcPr>
            <w:tcW w:w="1577" w:type="dxa"/>
            <w:tcBorders>
              <w:left w:val="single" w:color="auto" w:sz="4" w:space="0"/>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rPr>
                <w:rFonts w:ascii="宋体" w:hAnsi="宋体" w:cs="宋体"/>
              </w:rPr>
            </w:pPr>
          </w:p>
        </w:tc>
        <w:tc>
          <w:tcPr>
            <w:tcW w:w="1602" w:type="dxa"/>
            <w:vAlign w:val="center"/>
          </w:tcPr>
          <w:p>
            <w:pPr>
              <w:spacing w:line="400" w:lineRule="exact"/>
              <w:rPr>
                <w:rFonts w:ascii="宋体" w:hAnsi="宋体" w:cs="宋体"/>
              </w:rPr>
            </w:pPr>
          </w:p>
        </w:tc>
        <w:tc>
          <w:tcPr>
            <w:tcW w:w="1468" w:type="dxa"/>
            <w:vAlign w:val="center"/>
          </w:tcPr>
          <w:p>
            <w:pPr>
              <w:spacing w:line="400" w:lineRule="exact"/>
              <w:rPr>
                <w:rFonts w:ascii="宋体" w:hAnsi="宋体" w:cs="宋体"/>
              </w:rPr>
            </w:pPr>
          </w:p>
        </w:tc>
        <w:tc>
          <w:tcPr>
            <w:tcW w:w="1485" w:type="dxa"/>
            <w:vAlign w:val="center"/>
          </w:tcPr>
          <w:p>
            <w:pPr>
              <w:spacing w:line="400" w:lineRule="exact"/>
              <w:rPr>
                <w:rFonts w:ascii="宋体" w:hAnsi="宋体" w:cs="宋体"/>
              </w:rPr>
            </w:pPr>
          </w:p>
        </w:tc>
        <w:tc>
          <w:tcPr>
            <w:tcW w:w="1577" w:type="dxa"/>
            <w:tcBorders>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801" w:type="dxa"/>
            <w:tcBorders>
              <w:bottom w:val="single" w:color="auto" w:sz="4" w:space="0"/>
            </w:tcBorders>
            <w:vAlign w:val="center"/>
          </w:tcPr>
          <w:p>
            <w:pPr>
              <w:spacing w:line="400" w:lineRule="exact"/>
              <w:jc w:val="center"/>
              <w:rPr>
                <w:rFonts w:ascii="宋体" w:hAnsi="宋体" w:cs="宋体"/>
              </w:rPr>
            </w:pPr>
          </w:p>
        </w:tc>
        <w:tc>
          <w:tcPr>
            <w:tcW w:w="1602" w:type="dxa"/>
            <w:tcBorders>
              <w:bottom w:val="single" w:color="auto" w:sz="4" w:space="0"/>
            </w:tcBorders>
            <w:vAlign w:val="center"/>
          </w:tcPr>
          <w:p>
            <w:pPr>
              <w:spacing w:line="400" w:lineRule="exact"/>
              <w:jc w:val="center"/>
              <w:rPr>
                <w:rFonts w:ascii="宋体" w:hAnsi="宋体" w:cs="宋体"/>
              </w:rPr>
            </w:pPr>
          </w:p>
        </w:tc>
        <w:tc>
          <w:tcPr>
            <w:tcW w:w="1468" w:type="dxa"/>
            <w:tcBorders>
              <w:bottom w:val="single" w:color="auto" w:sz="4" w:space="0"/>
            </w:tcBorders>
            <w:vAlign w:val="center"/>
          </w:tcPr>
          <w:p>
            <w:pPr>
              <w:spacing w:line="400" w:lineRule="exact"/>
              <w:jc w:val="center"/>
              <w:rPr>
                <w:rFonts w:ascii="宋体" w:hAnsi="宋体" w:cs="宋体"/>
              </w:rPr>
            </w:pPr>
          </w:p>
        </w:tc>
        <w:tc>
          <w:tcPr>
            <w:tcW w:w="1485" w:type="dxa"/>
            <w:tcBorders>
              <w:bottom w:val="single" w:color="auto" w:sz="4" w:space="0"/>
            </w:tcBorders>
            <w:vAlign w:val="center"/>
          </w:tcPr>
          <w:p>
            <w:pPr>
              <w:spacing w:line="400" w:lineRule="exact"/>
              <w:jc w:val="center"/>
              <w:rPr>
                <w:rFonts w:ascii="宋体" w:hAnsi="宋体" w:cs="宋体"/>
              </w:rPr>
            </w:pPr>
          </w:p>
        </w:tc>
        <w:tc>
          <w:tcPr>
            <w:tcW w:w="1577"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63"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spacing w:line="360" w:lineRule="auto"/>
        <w:ind w:left="360"/>
        <w:jc w:val="left"/>
        <w:rPr>
          <w:rFonts w:hint="eastAsia" w:asciiTheme="minorEastAsia" w:hAnsiTheme="minorEastAsia" w:cstheme="minorEastAsia"/>
          <w:color w:val="000000" w:themeColor="text1"/>
          <w:sz w:val="24"/>
          <w:szCs w:val="24"/>
          <w14:textFill>
            <w14:solidFill>
              <w14:schemeClr w14:val="tx1"/>
            </w14:solidFill>
          </w14:textFill>
        </w:rPr>
      </w:pPr>
    </w:p>
    <w:p>
      <w:pPr>
        <w:spacing w:line="360" w:lineRule="auto"/>
        <w:jc w:val="left"/>
        <w:rPr>
          <w:rFonts w:ascii="宋体" w:hAnsi="宋体" w:cs="宋体"/>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注：</w:t>
      </w:r>
      <w:r>
        <w:rPr>
          <w:rFonts w:hint="eastAsia" w:ascii="宋体" w:hAnsi="宋体" w:cs="宋体"/>
          <w:sz w:val="24"/>
          <w:szCs w:val="24"/>
        </w:rPr>
        <w:t>后附合同复印件</w:t>
      </w:r>
    </w:p>
    <w:p>
      <w:pPr>
        <w:spacing w:line="360" w:lineRule="auto"/>
        <w:jc w:val="left"/>
        <w:rPr>
          <w:rFonts w:asciiTheme="minorEastAsia" w:hAnsiTheme="minorEastAsia" w:cstheme="minorEastAsia"/>
          <w:color w:val="000000" w:themeColor="text1"/>
          <w:sz w:val="24"/>
          <w:szCs w:val="24"/>
          <w14:textFill>
            <w14:solidFill>
              <w14:schemeClr w14:val="tx1"/>
            </w14:solidFill>
          </w14:textFill>
        </w:rPr>
      </w:pPr>
    </w:p>
    <w:p>
      <w:pPr>
        <w:adjustRightInd w:val="0"/>
        <w:spacing w:line="600" w:lineRule="auto"/>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供应商名称：</w:t>
      </w:r>
      <w:r>
        <w:rPr>
          <w:rFonts w:hint="eastAsia" w:asciiTheme="minorEastAsia" w:hAnsiTheme="minorEastAsia" w:cstheme="minorEastAsia"/>
          <w:bCs/>
          <w:color w:val="000000" w:themeColor="text1"/>
          <w:sz w:val="24"/>
          <w:szCs w:val="24"/>
          <w:u w:val="single"/>
          <w14:textFill>
            <w14:solidFill>
              <w14:schemeClr w14:val="tx1"/>
            </w14:solidFill>
          </w14:textFill>
        </w:rPr>
        <w:t xml:space="preserve">              （全称及公章）</w:t>
      </w:r>
    </w:p>
    <w:p>
      <w:pPr>
        <w:adjustRightInd w:val="0"/>
        <w:snapToGrid w:val="0"/>
        <w:spacing w:line="60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法定代表人或被授权人（签字或盖章）：</w:t>
      </w:r>
    </w:p>
    <w:p>
      <w:pPr>
        <w:adjustRightInd w:val="0"/>
        <w:snapToGrid w:val="0"/>
        <w:spacing w:line="600" w:lineRule="auto"/>
        <w:rPr>
          <w:rFonts w:asciiTheme="minorEastAsia" w:hAnsiTheme="minorEastAsia" w:cstheme="minorEastAsia"/>
          <w:sz w:val="36"/>
          <w:szCs w:val="36"/>
        </w:rPr>
      </w:pPr>
      <w:r>
        <w:rPr>
          <w:rFonts w:hint="eastAsia" w:asciiTheme="minorEastAsia" w:hAnsiTheme="minorEastAsia" w:cstheme="minorEastAsia"/>
          <w:bCs/>
          <w:color w:val="000000" w:themeColor="text1"/>
          <w:sz w:val="24"/>
          <w:szCs w:val="24"/>
          <w14:textFill>
            <w14:solidFill>
              <w14:schemeClr w14:val="tx1"/>
            </w14:solidFill>
          </w14:textFill>
        </w:rPr>
        <w:t xml:space="preserve">日    </w:t>
      </w:r>
      <w:r>
        <w:rPr>
          <w:rFonts w:hint="eastAsia" w:asciiTheme="minorEastAsia" w:hAnsiTheme="minorEastAsia" w:cstheme="minorEastAsia"/>
          <w:color w:val="000000" w:themeColor="text1"/>
          <w:sz w:val="24"/>
          <w:szCs w:val="24"/>
          <w14:textFill>
            <w14:solidFill>
              <w14:schemeClr w14:val="tx1"/>
            </w14:solidFill>
          </w14:textFill>
        </w:rPr>
        <w:t xml:space="preserve">期:                   </w:t>
      </w:r>
      <w:bookmarkEnd w:id="109"/>
      <w:bookmarkEnd w:id="110"/>
      <w:bookmarkEnd w:id="111"/>
      <w:bookmarkEnd w:id="112"/>
    </w:p>
    <w:p>
      <w:r>
        <w:br w:type="page"/>
      </w:r>
    </w:p>
    <w:p>
      <w:pPr>
        <w:pStyle w:val="5"/>
        <w:rPr>
          <w:rFonts w:hint="eastAsia" w:ascii="宋体" w:hAnsi="宋体" w:eastAsia="宋体" w:cs="宋体"/>
          <w:color w:val="000000" w:themeColor="text1"/>
          <w:sz w:val="32"/>
          <w:szCs w:val="32"/>
          <w14:textFill>
            <w14:solidFill>
              <w14:schemeClr w14:val="tx1"/>
            </w14:solidFill>
          </w14:textFill>
        </w:rPr>
      </w:pPr>
      <w:bookmarkStart w:id="114" w:name="_Toc22400"/>
      <w:bookmarkStart w:id="115" w:name="_Toc9666"/>
      <w:bookmarkStart w:id="116" w:name="_Toc29034"/>
      <w:bookmarkStart w:id="117" w:name="_Toc18894"/>
      <w:bookmarkStart w:id="118" w:name="_Toc23432"/>
      <w:bookmarkStart w:id="119" w:name="_Toc13793"/>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eastAsia="宋体" w:cs="宋体"/>
          <w:color w:val="000000" w:themeColor="text1"/>
          <w:sz w:val="32"/>
          <w:szCs w:val="32"/>
          <w:lang w:val="en-US" w:eastAsia="zh-CN"/>
          <w14:textFill>
            <w14:solidFill>
              <w14:schemeClr w14:val="tx1"/>
            </w14:solidFill>
          </w14:textFill>
        </w:rPr>
        <w:t>十</w:t>
      </w:r>
      <w:r>
        <w:rPr>
          <w:rFonts w:hint="eastAsia" w:ascii="宋体" w:hAnsi="宋体" w:eastAsia="宋体" w:cs="宋体"/>
          <w:color w:val="000000" w:themeColor="text1"/>
          <w:sz w:val="32"/>
          <w:szCs w:val="32"/>
          <w:lang w:eastAsia="zh-CN"/>
          <w14:textFill>
            <w14:solidFill>
              <w14:schemeClr w14:val="tx1"/>
            </w14:solidFill>
          </w14:textFill>
        </w:rPr>
        <w:t>部分</w:t>
      </w:r>
      <w:r>
        <w:rPr>
          <w:rFonts w:hint="eastAsia" w:ascii="宋体" w:hAnsi="宋体" w:eastAsia="宋体" w:cs="宋体"/>
          <w:color w:val="000000" w:themeColor="text1"/>
          <w:sz w:val="32"/>
          <w:szCs w:val="32"/>
          <w14:textFill>
            <w14:solidFill>
              <w14:schemeClr w14:val="tx1"/>
            </w14:solidFill>
          </w14:textFill>
        </w:rPr>
        <w:t xml:space="preserve">  </w:t>
      </w:r>
      <w:r>
        <w:rPr>
          <w:rFonts w:hint="eastAsia" w:ascii="宋体" w:hAnsi="宋体" w:eastAsia="宋体" w:cs="宋体"/>
          <w:color w:val="000000" w:themeColor="text1"/>
          <w:sz w:val="32"/>
          <w:szCs w:val="32"/>
          <w:lang w:eastAsia="zh-CN"/>
          <w14:textFill>
            <w14:solidFill>
              <w14:schemeClr w14:val="tx1"/>
            </w14:solidFill>
          </w14:textFill>
        </w:rPr>
        <w:t>供应商</w:t>
      </w:r>
      <w:r>
        <w:rPr>
          <w:rFonts w:hint="eastAsia" w:ascii="宋体" w:hAnsi="宋体" w:eastAsia="宋体" w:cs="宋体"/>
          <w:color w:val="000000" w:themeColor="text1"/>
          <w:sz w:val="32"/>
          <w:szCs w:val="32"/>
          <w14:textFill>
            <w14:solidFill>
              <w14:schemeClr w14:val="tx1"/>
            </w14:solidFill>
          </w14:textFill>
        </w:rPr>
        <w:t>认为有必要说明的其他问题</w:t>
      </w:r>
      <w:bookmarkEnd w:id="114"/>
      <w:bookmarkEnd w:id="115"/>
      <w:bookmarkEnd w:id="116"/>
      <w:bookmarkEnd w:id="117"/>
      <w:bookmarkEnd w:id="118"/>
      <w:bookmarkEnd w:id="119"/>
    </w:p>
    <w:p>
      <w:pPr>
        <w:rPr>
          <w:rFonts w:hint="eastAsia" w:asciiTheme="minorEastAsia" w:hAnsiTheme="minorEastAsia" w:cstheme="minorEastAsia"/>
          <w:color w:val="000000" w:themeColor="text1"/>
          <w:sz w:val="24"/>
          <w:lang w:eastAsia="zh-CN"/>
          <w14:textFill>
            <w14:solidFill>
              <w14:schemeClr w14:val="tx1"/>
            </w14:solidFill>
          </w14:textFill>
        </w:rPr>
      </w:pPr>
    </w:p>
    <w:p>
      <w:pPr>
        <w:outlineLvl w:val="9"/>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lang w:eastAsia="zh-CN"/>
          <w14:textFill>
            <w14:solidFill>
              <w14:schemeClr w14:val="tx1"/>
            </w14:solidFill>
          </w14:textFill>
        </w:rPr>
        <w:t>供应商</w:t>
      </w:r>
      <w:r>
        <w:rPr>
          <w:rFonts w:hint="eastAsia" w:asciiTheme="minorEastAsia" w:hAnsiTheme="minorEastAsia" w:cstheme="minorEastAsia"/>
          <w:color w:val="000000" w:themeColor="text1"/>
          <w:sz w:val="24"/>
          <w14:textFill>
            <w14:solidFill>
              <w14:schemeClr w14:val="tx1"/>
            </w14:solidFill>
          </w14:textFill>
        </w:rPr>
        <w:t>认为有必要提供的其他证明文件</w:t>
      </w:r>
    </w:p>
    <w:p>
      <w:pPr>
        <w:outlineLvl w:val="9"/>
      </w:pPr>
      <w:r>
        <w:br w:type="page"/>
      </w:r>
    </w:p>
    <w:p>
      <w:pPr>
        <w:adjustRightInd w:val="0"/>
        <w:spacing w:line="416" w:lineRule="atLeast"/>
        <w:jc w:val="center"/>
        <w:textAlignment w:val="baseline"/>
        <w:outlineLvl w:val="1"/>
        <w:rPr>
          <w:rFonts w:asciiTheme="minorEastAsia" w:hAnsiTheme="minorEastAsia" w:eastAsiaTheme="minorEastAsia" w:cstheme="minorEastAsia"/>
        </w:rPr>
      </w:pPr>
      <w:bookmarkStart w:id="120" w:name="_Toc20129"/>
      <w:bookmarkStart w:id="121" w:name="_Toc9607"/>
      <w:bookmarkStart w:id="122" w:name="_Toc7273"/>
      <w:bookmarkStart w:id="123" w:name="_Toc8177"/>
      <w:bookmarkStart w:id="124" w:name="_Toc22501"/>
      <w:bookmarkStart w:id="125" w:name="_Toc22866"/>
      <w:bookmarkStart w:id="126" w:name="_Toc24418"/>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eastAsia="zh-CN"/>
        </w:rPr>
        <w:t>一</w:t>
      </w:r>
      <w:r>
        <w:rPr>
          <w:rFonts w:hint="eastAsia" w:asciiTheme="minorEastAsia" w:hAnsiTheme="minorEastAsia" w:eastAsiaTheme="minorEastAsia" w:cstheme="minorEastAsia"/>
        </w:rPr>
        <w:t>、中小企业</w:t>
      </w:r>
      <w:r>
        <w:rPr>
          <w:rFonts w:hint="eastAsia" w:asciiTheme="minorEastAsia" w:hAnsiTheme="minorEastAsia" w:cstheme="minorEastAsia"/>
          <w:lang w:eastAsia="zh-CN"/>
        </w:rPr>
        <w:t>声</w:t>
      </w:r>
      <w:r>
        <w:rPr>
          <w:rFonts w:hint="eastAsia" w:asciiTheme="minorEastAsia" w:hAnsiTheme="minorEastAsia" w:eastAsiaTheme="minorEastAsia" w:cstheme="minorEastAsia"/>
        </w:rPr>
        <w:t>明</w:t>
      </w:r>
      <w:bookmarkEnd w:id="120"/>
      <w:bookmarkEnd w:id="121"/>
      <w:bookmarkEnd w:id="122"/>
      <w:bookmarkEnd w:id="123"/>
      <w:bookmarkEnd w:id="124"/>
      <w:bookmarkEnd w:id="125"/>
      <w:bookmarkEnd w:id="126"/>
    </w:p>
    <w:p>
      <w:pPr>
        <w:outlineLvl w:val="9"/>
        <w:rPr>
          <w:rFonts w:asciiTheme="minorEastAsia" w:hAnsiTheme="minorEastAsia" w:eastAsiaTheme="minorEastAsia" w:cstheme="minorEastAsia"/>
        </w:rPr>
      </w:pPr>
    </w:p>
    <w:p>
      <w:pPr>
        <w:spacing w:line="588" w:lineRule="exact"/>
        <w:ind w:firstLine="504" w:firstLineChars="200"/>
        <w:outlineLvl w:val="9"/>
        <w:rPr>
          <w:rFonts w:ascii="宋体" w:hAnsi="宋体"/>
          <w:color w:val="000000"/>
          <w:spacing w:val="6"/>
          <w:sz w:val="24"/>
        </w:rPr>
      </w:pPr>
      <w:bookmarkStart w:id="127" w:name="_Toc11130"/>
      <w:bookmarkStart w:id="128" w:name="_Toc30503"/>
      <w:bookmarkStart w:id="129" w:name="_Toc3198"/>
      <w:bookmarkStart w:id="130" w:name="_Toc11556"/>
      <w:bookmarkStart w:id="131" w:name="_Toc15467"/>
      <w:r>
        <w:rPr>
          <w:rFonts w:hint="eastAsia" w:ascii="宋体" w:hAnsi="宋体"/>
          <w:color w:val="000000"/>
          <w:spacing w:val="6"/>
          <w:sz w:val="24"/>
        </w:rPr>
        <w:t>根据《政府采购促进中小企业发展管理办法》（财库[2020]46号）的规定，由供应商自行声明并对真实性负责。如有虚假，将依法承担相应责任。</w:t>
      </w:r>
    </w:p>
    <w:bookmarkEnd w:id="127"/>
    <w:bookmarkEnd w:id="128"/>
    <w:bookmarkEnd w:id="129"/>
    <w:bookmarkEnd w:id="130"/>
    <w:bookmarkEnd w:id="131"/>
    <w:p>
      <w:pPr>
        <w:adjustRightInd w:val="0"/>
        <w:spacing w:line="416" w:lineRule="atLeast"/>
        <w:jc w:val="center"/>
        <w:textAlignment w:val="baseline"/>
        <w:outlineLvl w:val="9"/>
        <w:rPr>
          <w:rFonts w:ascii="宋体" w:hAnsi="宋体" w:cs="宋体"/>
        </w:rPr>
      </w:pPr>
      <w:bookmarkStart w:id="132" w:name="_Toc21174"/>
      <w:bookmarkStart w:id="133" w:name="_Toc14587"/>
      <w:bookmarkStart w:id="134" w:name="_Toc21466"/>
      <w:r>
        <w:rPr>
          <w:rFonts w:hint="eastAsia" w:ascii="宋体" w:hAnsi="宋体" w:cs="宋体"/>
        </w:rPr>
        <w:t>中小企业</w:t>
      </w:r>
      <w:r>
        <w:rPr>
          <w:rFonts w:hint="eastAsia" w:ascii="宋体" w:hAnsi="宋体" w:cs="宋体"/>
          <w:lang w:eastAsia="zh-CN"/>
        </w:rPr>
        <w:t>声</w:t>
      </w:r>
      <w:r>
        <w:rPr>
          <w:rFonts w:hint="eastAsia" w:ascii="宋体" w:hAnsi="宋体" w:cs="宋体"/>
        </w:rPr>
        <w:t>明</w:t>
      </w:r>
      <w:r>
        <w:rPr>
          <w:rFonts w:hint="eastAsia" w:ascii="宋体" w:hAnsi="宋体" w:cs="宋体"/>
          <w:lang w:eastAsia="zh-CN"/>
        </w:rPr>
        <w:t>函</w:t>
      </w:r>
      <w:r>
        <w:rPr>
          <w:rFonts w:hint="eastAsia" w:ascii="宋体" w:hAnsi="宋体" w:cs="宋体"/>
        </w:rPr>
        <w:t>（货物）</w:t>
      </w:r>
    </w:p>
    <w:p>
      <w:pPr>
        <w:spacing w:line="360" w:lineRule="auto"/>
        <w:ind w:right="140" w:firstLine="641"/>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6"/>
        <w:numPr>
          <w:ilvl w:val="0"/>
          <w:numId w:val="4"/>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6"/>
        <w:numPr>
          <w:ilvl w:val="0"/>
          <w:numId w:val="4"/>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ascii="宋体" w:hAnsi="宋体" w:cs="宋体"/>
          <w:sz w:val="24"/>
          <w:szCs w:val="24"/>
        </w:rPr>
      </w:pPr>
      <w:r>
        <w:rPr>
          <w:rFonts w:hint="eastAsia" w:ascii="宋体" w:hAnsi="宋体" w:cs="宋体"/>
          <w:sz w:val="24"/>
          <w:szCs w:val="24"/>
        </w:rPr>
        <w:t>企业名称（盖章）：日期：</w:t>
      </w:r>
    </w:p>
    <w:p>
      <w:pPr>
        <w:rPr>
          <w:rFonts w:ascii="宋体" w:hAnsi="宋体"/>
          <w:sz w:val="18"/>
        </w:rPr>
      </w:pPr>
      <w:r>
        <w:rPr>
          <w:rFonts w:ascii="仿宋" w:hAnsi="仿宋" w:eastAsia="仿宋"/>
          <w:sz w:val="32"/>
        </w:rPr>
        <w:drawing>
          <wp:anchor distT="0" distB="0" distL="114300" distR="114300" simplePos="0" relativeHeight="25166028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3"/>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5"/>
        <w:keepNext w:val="0"/>
        <w:keepLines w:val="0"/>
        <w:widowControl/>
        <w:shd w:val="clear" w:color="auto" w:fill="FFFFFF"/>
        <w:spacing w:before="450" w:after="300" w:line="540" w:lineRule="atLeast"/>
        <w:jc w:val="both"/>
        <w:textAlignment w:val="baseline"/>
        <w:rPr>
          <w:rFonts w:ascii="微软雅黑" w:hAnsi="微软雅黑" w:eastAsia="微软雅黑" w:cs="微软雅黑"/>
          <w:color w:val="383940"/>
          <w:sz w:val="39"/>
          <w:szCs w:val="39"/>
          <w:shd w:val="clear" w:color="auto" w:fill="FFFFFF"/>
        </w:rPr>
        <w:sectPr>
          <w:footerReference r:id="rId8" w:type="default"/>
          <w:pgSz w:w="11906" w:h="16838"/>
          <w:pgMar w:top="1440" w:right="1803" w:bottom="1440" w:left="1803" w:header="851" w:footer="992" w:gutter="0"/>
          <w:pgNumType w:fmt="decimal"/>
          <w:cols w:space="720" w:num="1"/>
          <w:docGrid w:type="lines" w:linePitch="319" w:charSpace="0"/>
        </w:sectPr>
      </w:pPr>
    </w:p>
    <w:p>
      <w:pPr>
        <w:keepNext w:val="0"/>
        <w:keepLines w:val="0"/>
        <w:widowControl/>
        <w:shd w:val="clear" w:color="auto" w:fill="FFFFFF"/>
        <w:spacing w:before="450" w:after="300" w:line="540" w:lineRule="atLeast"/>
        <w:jc w:val="center"/>
        <w:textAlignment w:val="baseline"/>
        <w:outlineLvl w:val="9"/>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pPr>
        <w:pStyle w:val="29"/>
        <w:shd w:val="clear" w:color="auto" w:fill="FFFFFF"/>
        <w:rPr>
          <w:rFonts w:hint="eastAsia" w:eastAsia="宋体"/>
          <w:color w:val="000000"/>
          <w:shd w:val="clear" w:color="auto" w:fill="FFFFFF"/>
          <w:lang w:eastAsia="zh-CN"/>
        </w:rPr>
      </w:pPr>
      <w:r>
        <w:rPr>
          <w:rFonts w:hint="eastAsia"/>
          <w:color w:val="000000"/>
          <w:shd w:val="clear" w:color="auto" w:fill="FFFFFF"/>
        </w:rPr>
        <w:t>各省、自治区、直辖市人民政府，国务院各部委、各直属机构及有关单位：</w:t>
      </w:r>
    </w:p>
    <w:p>
      <w:pPr>
        <w:pStyle w:val="29"/>
        <w:shd w:val="clear" w:color="auto" w:fill="FFFFFF"/>
        <w:rPr>
          <w:rFonts w:hint="eastAsia" w:eastAsia="宋体"/>
          <w:color w:val="000000"/>
          <w:shd w:val="clear" w:color="auto" w:fill="FFFFFF"/>
          <w:lang w:eastAsia="zh-CN"/>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9"/>
        <w:shd w:val="clear" w:color="auto" w:fill="FFFFFF"/>
        <w:rPr>
          <w:rFonts w:hint="eastAsia" w:eastAsia="宋体"/>
          <w:color w:val="000000"/>
          <w:shd w:val="clear" w:color="auto" w:fill="FFFFFF"/>
          <w:lang w:eastAsia="zh-CN"/>
        </w:rPr>
      </w:pPr>
      <w:r>
        <w:rPr>
          <w:rFonts w:hint="eastAsia"/>
          <w:color w:val="000000"/>
          <w:shd w:val="clear" w:color="auto" w:fill="FFFFFF"/>
        </w:rPr>
        <w:t>　　　　　　　　　　　　　　　　　　　　　工业和信息化部　国家统计局</w:t>
      </w:r>
    </w:p>
    <w:p>
      <w:pPr>
        <w:pStyle w:val="29"/>
        <w:shd w:val="clear" w:color="auto" w:fill="FFFFFF"/>
        <w:rPr>
          <w:rFonts w:hint="eastAsia" w:eastAsia="宋体"/>
          <w:color w:val="000000"/>
          <w:shd w:val="clear" w:color="auto" w:fill="FFFFFF"/>
          <w:lang w:eastAsia="zh-CN"/>
        </w:rPr>
      </w:pPr>
      <w:r>
        <w:rPr>
          <w:rFonts w:hint="eastAsia"/>
          <w:color w:val="000000"/>
          <w:shd w:val="clear" w:color="auto" w:fill="FFFFFF"/>
        </w:rPr>
        <w:t>　　　　　　　　　　　　　　　　　　　　国家发展和改革委员会　财政部</w:t>
      </w:r>
    </w:p>
    <w:p>
      <w:pPr>
        <w:pStyle w:val="29"/>
        <w:shd w:val="clear" w:color="auto" w:fill="FFFFFF"/>
        <w:rPr>
          <w:color w:val="000000"/>
        </w:rPr>
      </w:pPr>
      <w:r>
        <w:rPr>
          <w:rFonts w:hint="eastAsia"/>
          <w:color w:val="000000"/>
          <w:shd w:val="clear" w:color="auto" w:fill="FFFFFF"/>
        </w:rPr>
        <w:t>　　　　　　　　　　　　　　　　　　　　　　　　二○一一年六月十八日</w:t>
      </w:r>
    </w:p>
    <w:p>
      <w:pPr>
        <w:pStyle w:val="29"/>
        <w:shd w:val="clear" w:color="auto" w:fill="FFFFFF"/>
        <w:rPr>
          <w:color w:val="000000"/>
        </w:rPr>
      </w:pPr>
      <w:r>
        <w:rPr>
          <w:rFonts w:hint="eastAsia"/>
          <w:color w:val="000000"/>
          <w:shd w:val="clear" w:color="auto" w:fill="FFFFFF"/>
        </w:rPr>
        <w:t> </w:t>
      </w:r>
    </w:p>
    <w:p>
      <w:pPr>
        <w:pStyle w:val="29"/>
        <w:shd w:val="clear" w:color="auto" w:fill="FFFFFF"/>
        <w:jc w:val="center"/>
        <w:rPr>
          <w:rStyle w:val="37"/>
          <w:color w:val="000000"/>
          <w:sz w:val="36"/>
          <w:szCs w:val="36"/>
          <w:shd w:val="clear" w:color="auto" w:fill="FFFFFF"/>
        </w:rPr>
      </w:pPr>
      <w:r>
        <w:rPr>
          <w:rStyle w:val="37"/>
          <w:rFonts w:hint="eastAsia"/>
          <w:color w:val="000000"/>
          <w:sz w:val="36"/>
          <w:szCs w:val="36"/>
          <w:shd w:val="clear" w:color="auto" w:fill="FFFFFF"/>
        </w:rPr>
        <w:t>中小企业划型标准规定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四、各行业划型标准为：</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五、企业类型的划分以统计部门的统计数据为依据。</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pPr>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rPr>
        <w:t>　　九、本规定由工业和信息化部、国家统计局会同有关部门负责解释。</w:t>
      </w:r>
    </w:p>
    <w:p>
      <w:p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adjustRightInd w:val="0"/>
        <w:spacing w:line="416" w:lineRule="atLeast"/>
        <w:jc w:val="center"/>
        <w:textAlignment w:val="baseline"/>
        <w:outlineLvl w:val="1"/>
        <w:rPr>
          <w:rFonts w:hint="eastAsia" w:asciiTheme="minorEastAsia" w:hAnsiTheme="minorEastAsia" w:eastAsiaTheme="minorEastAsia" w:cstheme="minorEastAsia"/>
        </w:rPr>
      </w:pPr>
      <w:bookmarkStart w:id="135" w:name="_Toc12161"/>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eastAsia="zh-CN"/>
        </w:rPr>
        <w:t>二</w:t>
      </w:r>
      <w:r>
        <w:rPr>
          <w:rFonts w:hint="eastAsia" w:asciiTheme="minorEastAsia" w:hAnsiTheme="minorEastAsia" w:eastAsiaTheme="minorEastAsia" w:cstheme="minorEastAsia"/>
        </w:rPr>
        <w:t>、残疾人福利性单位声明</w:t>
      </w:r>
      <w:bookmarkEnd w:id="132"/>
      <w:bookmarkEnd w:id="133"/>
      <w:bookmarkEnd w:id="134"/>
      <w:bookmarkEnd w:id="135"/>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outlineLvl w:val="9"/>
        <w:rPr>
          <w:rFonts w:ascii="宋体" w:hAnsi="宋体" w:cs="宋体"/>
        </w:rPr>
      </w:pPr>
    </w:p>
    <w:p>
      <w:pPr>
        <w:adjustRightInd w:val="0"/>
        <w:spacing w:line="416" w:lineRule="atLeast"/>
        <w:jc w:val="center"/>
        <w:textAlignment w:val="baseline"/>
        <w:outlineLvl w:val="1"/>
        <w:rPr>
          <w:rFonts w:hint="eastAsia" w:asciiTheme="minorEastAsia" w:hAnsiTheme="minorEastAsia" w:eastAsiaTheme="minorEastAsia" w:cstheme="minorEastAsia"/>
        </w:rPr>
      </w:pPr>
      <w:bookmarkStart w:id="136" w:name="_Toc2723"/>
      <w:bookmarkStart w:id="137" w:name="_Toc13075"/>
      <w:bookmarkStart w:id="138" w:name="_Toc3053"/>
      <w:bookmarkStart w:id="139" w:name="_Toc27385"/>
      <w:bookmarkStart w:id="140" w:name="_Toc26193"/>
      <w:bookmarkStart w:id="141" w:name="_Toc13817"/>
      <w:bookmarkStart w:id="142" w:name="_Toc15535"/>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eastAsia="zh-CN"/>
        </w:rPr>
        <w:t>三</w:t>
      </w:r>
      <w:r>
        <w:rPr>
          <w:rFonts w:hint="eastAsia" w:asciiTheme="minorEastAsia" w:hAnsiTheme="minorEastAsia" w:eastAsiaTheme="minorEastAsia" w:cstheme="minorEastAsia"/>
        </w:rPr>
        <w:t>、监狱企业证明文件</w:t>
      </w:r>
      <w:bookmarkEnd w:id="136"/>
      <w:bookmarkEnd w:id="137"/>
      <w:bookmarkEnd w:id="138"/>
      <w:bookmarkEnd w:id="139"/>
      <w:bookmarkEnd w:id="140"/>
      <w:bookmarkEnd w:id="141"/>
      <w:bookmarkEnd w:id="142"/>
    </w:p>
    <w:p>
      <w:pPr>
        <w:outlineLvl w:val="9"/>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outlineLvl w:val="9"/>
        <w:rPr>
          <w:rFonts w:hint="eastAsia" w:ascii="宋体" w:hAnsi="宋体" w:cs="宋体"/>
        </w:rPr>
      </w:pPr>
      <w:bookmarkStart w:id="143" w:name="_Toc13539"/>
      <w:bookmarkStart w:id="144" w:name="_Toc13303"/>
      <w:bookmarkStart w:id="145" w:name="_Toc563"/>
      <w:bookmarkStart w:id="146" w:name="_Toc19198"/>
      <w:bookmarkStart w:id="147" w:name="_Toc11969"/>
      <w:bookmarkStart w:id="148" w:name="_Toc13122"/>
      <w:bookmarkStart w:id="149" w:name="_Toc2126"/>
      <w:bookmarkStart w:id="150" w:name="_Toc3267"/>
    </w:p>
    <w:p>
      <w:pPr>
        <w:jc w:val="center"/>
        <w:outlineLvl w:val="9"/>
        <w:rPr>
          <w:rFonts w:ascii="宋体" w:hAnsi="宋体" w:cs="宋体"/>
        </w:rPr>
      </w:pPr>
      <w:r>
        <w:rPr>
          <w:rFonts w:hint="eastAsia" w:ascii="宋体" w:hAnsi="宋体" w:cs="宋体"/>
        </w:rPr>
        <w:t>附件五、“节能产品”，“环境标志产品”证明材料</w:t>
      </w:r>
      <w:bookmarkEnd w:id="143"/>
      <w:bookmarkEnd w:id="144"/>
      <w:bookmarkEnd w:id="145"/>
      <w:bookmarkEnd w:id="146"/>
      <w:bookmarkEnd w:id="147"/>
      <w:bookmarkEnd w:id="148"/>
      <w:bookmarkEnd w:id="149"/>
      <w:bookmarkEnd w:id="150"/>
    </w:p>
    <w:p>
      <w:pPr>
        <w:outlineLvl w:val="9"/>
        <w:rPr>
          <w:rFonts w:hint="eastAsia" w:ascii="宋体" w:hAnsi="宋体" w:cs="宋体"/>
        </w:rPr>
      </w:pPr>
    </w:p>
    <w:p>
      <w:pPr>
        <w:outlineLvl w:val="9"/>
        <w:rPr>
          <w:rFonts w:ascii="宋体" w:hAnsi="宋体" w:cs="宋体"/>
        </w:rPr>
      </w:pPr>
      <w:r>
        <w:rPr>
          <w:rFonts w:hint="eastAsia" w:ascii="宋体" w:hAnsi="宋体" w:cs="宋体"/>
        </w:rPr>
        <w:t>1、供应商提供的产品属于“节能产品”，“环境标志产品”，应提供产品列入“节能产品”，“环境标志产品”相应产品的国家确定的认证机构出具的、处于有效期内的节能产品、环境标志产品认证证书。</w:t>
      </w:r>
    </w:p>
    <w:p>
      <w:pPr>
        <w:outlineLvl w:val="9"/>
        <w:rPr>
          <w:rFonts w:ascii="宋体" w:hAnsi="宋体" w:cs="宋体"/>
        </w:rPr>
      </w:pPr>
      <w:r>
        <w:rPr>
          <w:rFonts w:hint="eastAsia" w:ascii="宋体" w:hAnsi="宋体" w:cs="宋体"/>
        </w:rPr>
        <w:t>2、未按照上述要求提供的，评审时不予以考虑。</w:t>
      </w:r>
    </w:p>
    <w:p>
      <w:pPr>
        <w:widowControl/>
        <w:spacing w:line="360" w:lineRule="auto"/>
        <w:ind w:left="480" w:leftChars="200"/>
        <w:outlineLvl w:val="9"/>
        <w:rPr>
          <w:rFonts w:ascii="宋体" w:hAnsi="宋体" w:cs="宋体"/>
          <w:sz w:val="24"/>
          <w:szCs w:val="24"/>
        </w:rPr>
      </w:pPr>
    </w:p>
    <w:p>
      <w:pPr>
        <w:widowControl/>
        <w:spacing w:line="360" w:lineRule="auto"/>
        <w:ind w:left="480" w:leftChars="200"/>
        <w:outlineLvl w:val="9"/>
        <w:rPr>
          <w:rFonts w:asciiTheme="minorEastAsia" w:hAnsiTheme="minorEastAsia" w:eastAsiaTheme="minorEastAsia" w:cstheme="minorEastAsia"/>
          <w:sz w:val="24"/>
          <w:szCs w:val="24"/>
        </w:rPr>
      </w:pPr>
    </w:p>
    <w:p>
      <w:pPr>
        <w:snapToGrid w:val="0"/>
        <w:spacing w:line="360" w:lineRule="auto"/>
        <w:ind w:firstLine="480" w:firstLineChars="200"/>
        <w:outlineLvl w:val="9"/>
        <w:rPr>
          <w:rFonts w:asciiTheme="minorEastAsia" w:hAnsiTheme="minorEastAsia" w:eastAsiaTheme="minorEastAsia" w:cstheme="minorEastAsia"/>
          <w:sz w:val="24"/>
          <w:szCs w:val="24"/>
        </w:rPr>
      </w:pPr>
    </w:p>
    <w:p>
      <w:pPr>
        <w:outlineLvl w:val="9"/>
        <w:rPr>
          <w:rFonts w:hint="eastAsia" w:asciiTheme="minorEastAsia" w:hAnsiTheme="minorEastAsia" w:eastAsiaTheme="minorEastAsia" w:cstheme="minorEastAsia"/>
        </w:rPr>
      </w:pPr>
      <w:bookmarkStart w:id="151" w:name="_Toc364"/>
      <w:bookmarkStart w:id="152" w:name="_Toc3159"/>
      <w:bookmarkStart w:id="153" w:name="_Toc654"/>
      <w:bookmarkStart w:id="154" w:name="_Toc4757"/>
      <w:bookmarkStart w:id="155" w:name="_Toc5338"/>
      <w:bookmarkStart w:id="156" w:name="_Toc11924"/>
      <w:r>
        <w:rPr>
          <w:rFonts w:hint="eastAsia" w:asciiTheme="minorEastAsia" w:hAnsiTheme="minorEastAsia" w:eastAsiaTheme="minorEastAsia" w:cstheme="minorEastAsia"/>
        </w:rPr>
        <w:br w:type="page"/>
      </w:r>
    </w:p>
    <w:bookmarkEnd w:id="151"/>
    <w:p>
      <w:pPr>
        <w:adjustRightInd w:val="0"/>
        <w:spacing w:line="416" w:lineRule="atLeast"/>
        <w:ind w:left="0" w:leftChars="0" w:firstLine="0" w:firstLineChars="0"/>
        <w:textAlignment w:val="baseline"/>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附件</w:t>
      </w:r>
      <w:r>
        <w:rPr>
          <w:rFonts w:hint="eastAsia" w:asciiTheme="minorEastAsia" w:hAnsiTheme="minorEastAsia" w:eastAsiaTheme="minorEastAsia" w:cstheme="minorEastAsia"/>
          <w:sz w:val="22"/>
          <w:szCs w:val="22"/>
          <w:lang w:eastAsia="zh-CN"/>
        </w:rPr>
        <w:t>五</w:t>
      </w:r>
      <w:r>
        <w:rPr>
          <w:rFonts w:hint="eastAsia" w:asciiTheme="minorEastAsia" w:hAnsiTheme="minorEastAsia" w:eastAsiaTheme="minorEastAsia" w:cstheme="minorEastAsia"/>
          <w:sz w:val="22"/>
          <w:szCs w:val="22"/>
        </w:rPr>
        <w:t>、质疑函样本</w:t>
      </w:r>
    </w:p>
    <w:p>
      <w:pPr>
        <w:adjustRightInd w:val="0"/>
        <w:spacing w:line="416" w:lineRule="atLeast"/>
        <w:ind w:left="0" w:leftChars="0" w:firstLine="0" w:firstLineChars="0"/>
        <w:textAlignment w:val="baseline"/>
        <w:outlineLvl w:val="9"/>
        <w:rPr>
          <w:rFonts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一、质疑供应商基本信息</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质疑供应商：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地址：                          邮编：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联系人：                      联系电话：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授权代表：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联系电话：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地址：                         邮编：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二、质疑项目基本情况</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质疑项目的名称：              </w:t>
      </w:r>
      <w:r>
        <w:rPr>
          <w:rFonts w:hint="eastAsia" w:ascii="宋体" w:hAnsi="宋体" w:cs="宋体"/>
          <w:sz w:val="24"/>
          <w:szCs w:val="24"/>
        </w:rPr>
        <w:t xml:space="preserve"> 包号：  </w:t>
      </w:r>
      <w:r>
        <w:rPr>
          <w:rFonts w:hint="eastAsia" w:asciiTheme="minorEastAsia" w:hAnsiTheme="minorEastAsia" w:eastAsiaTheme="minorEastAsia" w:cstheme="minorEastAsia"/>
          <w:bCs/>
        </w:rPr>
        <w:t xml:space="preserve">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质疑项目的编号：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采购人名称：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采购文件获取日期：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三、质疑事项具体内容</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质疑事项1：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事实依据：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法律依据：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质疑事项2</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四、与质疑事项相关的质疑请求</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请求：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签字(签章)：                   公章：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日期：    </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质疑函制作说明：</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1.供应商提出质疑时，应提交质疑函和必要的证明材料。</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3.质疑供应商若对项目的某一分包进行质疑，质疑函中应列明具体分。</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4.质疑函的质疑事项应具体、明确，并有必要的事实依据和法律依据。</w:t>
      </w:r>
    </w:p>
    <w:p>
      <w:pPr>
        <w:keepNext/>
        <w:keepLines/>
        <w:adjustRightInd w:val="0"/>
        <w:spacing w:line="416" w:lineRule="atLeast"/>
        <w:textAlignment w:val="baseline"/>
        <w:outlineLvl w:val="9"/>
        <w:rPr>
          <w:rFonts w:asciiTheme="minorEastAsia" w:hAnsiTheme="minorEastAsia" w:eastAsiaTheme="minorEastAsia" w:cstheme="minorEastAsia"/>
          <w:bCs/>
        </w:rPr>
      </w:pPr>
      <w:r>
        <w:rPr>
          <w:rFonts w:hint="eastAsia" w:asciiTheme="minorEastAsia" w:hAnsiTheme="minorEastAsia" w:eastAsiaTheme="minorEastAsia" w:cstheme="minorEastAsia"/>
          <w:bCs/>
        </w:rPr>
        <w:t>5.质疑函的质疑请求应与质疑事项相关。</w:t>
      </w:r>
    </w:p>
    <w:p>
      <w:pPr>
        <w:outlineLvl w:val="9"/>
        <w:rPr>
          <w:rFonts w:asciiTheme="minorEastAsia" w:hAnsiTheme="minorEastAsia" w:eastAsiaTheme="minorEastAsia" w:cstheme="minorEastAsia"/>
        </w:rPr>
      </w:pPr>
      <w:r>
        <w:rPr>
          <w:rFonts w:hint="eastAsia" w:asciiTheme="minorEastAsia" w:hAnsiTheme="minorEastAsia" w:eastAsiaTheme="minorEastAsia" w:cstheme="minorEastAsia"/>
          <w:bCs/>
        </w:rPr>
        <w:t>6.质疑供应商为自然人的，质疑函应由本人签字；质疑供应商为法人或者其他组织的，质疑函应由法定代表人、主要负责人，或者其授权代表签字或者盖章，并加盖公章。</w:t>
      </w:r>
    </w:p>
    <w:bookmarkEnd w:id="152"/>
    <w:bookmarkEnd w:id="153"/>
    <w:bookmarkEnd w:id="154"/>
    <w:bookmarkEnd w:id="155"/>
    <w:bookmarkEnd w:id="156"/>
    <w:p>
      <w:pPr>
        <w:outlineLvl w:val="9"/>
        <w:rPr>
          <w:rFonts w:hint="eastAsia" w:asciiTheme="minorEastAsia" w:hAnsiTheme="minorEastAsia" w:eastAsiaTheme="minorEastAsia" w:cstheme="minorEastAsia"/>
          <w:b/>
          <w:bCs/>
          <w:spacing w:val="48"/>
          <w:sz w:val="72"/>
          <w:szCs w:val="72"/>
        </w:rPr>
      </w:pPr>
      <w:r>
        <w:rPr>
          <w:rFonts w:hint="eastAsia" w:asciiTheme="minorEastAsia" w:hAnsiTheme="minorEastAsia" w:eastAsiaTheme="minorEastAsia" w:cstheme="minorEastAsia"/>
          <w:b/>
          <w:bCs/>
          <w:spacing w:val="48"/>
          <w:sz w:val="72"/>
          <w:szCs w:val="72"/>
        </w:rPr>
        <w:br w:type="page"/>
      </w:r>
    </w:p>
    <w:p>
      <w:pPr>
        <w:ind w:firstLine="816" w:firstLineChars="100"/>
        <w:jc w:val="left"/>
        <w:rPr>
          <w:rFonts w:hint="eastAsia" w:ascii="宋体" w:hAnsi="宋体" w:cs="宋体"/>
          <w:b/>
          <w:spacing w:val="48"/>
          <w:sz w:val="72"/>
          <w:szCs w:val="72"/>
        </w:rPr>
      </w:pPr>
    </w:p>
    <w:p>
      <w:pPr>
        <w:ind w:firstLine="816" w:firstLineChars="100"/>
        <w:jc w:val="left"/>
        <w:rPr>
          <w:rFonts w:ascii="宋体" w:hAnsi="宋体" w:cs="宋体"/>
          <w:b/>
          <w:spacing w:val="48"/>
          <w:sz w:val="72"/>
          <w:szCs w:val="72"/>
        </w:rPr>
      </w:pPr>
      <w:r>
        <w:rPr>
          <w:rFonts w:hint="eastAsia" w:ascii="宋体" w:hAnsi="宋体" w:cs="宋体"/>
          <w:b/>
          <w:spacing w:val="48"/>
          <w:sz w:val="72"/>
          <w:szCs w:val="72"/>
        </w:rPr>
        <w:t>公平       公正</w:t>
      </w:r>
    </w:p>
    <w:p>
      <w:pPr>
        <w:jc w:val="left"/>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6" w:firstLineChars="100"/>
        <w:rPr>
          <w:rFonts w:ascii="宋体" w:hAnsi="宋体" w:cs="宋体"/>
          <w:b/>
          <w:spacing w:val="48"/>
          <w:sz w:val="72"/>
          <w:szCs w:val="72"/>
        </w:rPr>
      </w:pPr>
      <w:bookmarkStart w:id="157" w:name="_Toc9946"/>
      <w:r>
        <w:rPr>
          <w:rFonts w:hint="eastAsia" w:ascii="宋体" w:hAnsi="宋体" w:cs="宋体"/>
          <w:b/>
          <w:spacing w:val="48"/>
          <w:sz w:val="72"/>
          <w:szCs w:val="72"/>
        </w:rPr>
        <w:t>专业       高效</w:t>
      </w:r>
      <w:bookmarkEnd w:id="157"/>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bookmarkStart w:id="158" w:name="_Toc32384"/>
      <w:r>
        <w:rPr>
          <w:rFonts w:hint="eastAsia" w:ascii="宋体" w:hAnsi="宋体" w:cs="宋体"/>
          <w:b/>
          <w:sz w:val="30"/>
          <w:szCs w:val="30"/>
        </w:rPr>
        <w:t>企业名称：陕西卓佲项目管理有限公司</w:t>
      </w:r>
      <w:bookmarkEnd w:id="158"/>
    </w:p>
    <w:p>
      <w:pPr>
        <w:rPr>
          <w:rFonts w:ascii="宋体" w:hAnsi="宋体" w:cs="宋体"/>
          <w:b/>
          <w:sz w:val="30"/>
          <w:szCs w:val="30"/>
        </w:rPr>
      </w:pPr>
      <w:bookmarkStart w:id="159" w:name="_Toc25918"/>
      <w:r>
        <w:rPr>
          <w:rFonts w:hint="eastAsia" w:ascii="宋体" w:hAnsi="宋体" w:cs="宋体"/>
          <w:b/>
          <w:sz w:val="30"/>
          <w:szCs w:val="30"/>
        </w:rPr>
        <w:t>地址：西安市雁塔区科技路十号华奥大厦A座20层2002室</w:t>
      </w:r>
      <w:bookmarkEnd w:id="159"/>
    </w:p>
    <w:p>
      <w:pPr>
        <w:rPr>
          <w:rFonts w:ascii="宋体" w:hAnsi="宋体" w:cs="宋体"/>
          <w:b/>
          <w:sz w:val="30"/>
          <w:szCs w:val="30"/>
        </w:rPr>
      </w:pPr>
      <w:bookmarkStart w:id="160" w:name="_Toc26276"/>
      <w:r>
        <w:rPr>
          <w:rFonts w:hint="eastAsia" w:ascii="宋体" w:hAnsi="宋体" w:cs="宋体"/>
          <w:b/>
          <w:sz w:val="30"/>
          <w:szCs w:val="30"/>
        </w:rPr>
        <w:t>邮政编码：710065</w:t>
      </w:r>
      <w:bookmarkEnd w:id="160"/>
    </w:p>
    <w:p>
      <w:pPr>
        <w:rPr>
          <w:rFonts w:ascii="宋体" w:hAnsi="宋体" w:cs="宋体"/>
          <w:b/>
          <w:sz w:val="30"/>
          <w:szCs w:val="30"/>
        </w:rPr>
      </w:pPr>
      <w:bookmarkStart w:id="161" w:name="_Toc1409"/>
      <w:r>
        <w:rPr>
          <w:rFonts w:hint="eastAsia" w:ascii="宋体" w:hAnsi="宋体" w:cs="宋体"/>
          <w:b/>
          <w:sz w:val="30"/>
          <w:szCs w:val="30"/>
        </w:rPr>
        <w:t>电话：029-88440695</w:t>
      </w:r>
      <w:bookmarkEnd w:id="161"/>
    </w:p>
    <w:p>
      <w:pPr>
        <w:rPr>
          <w:rFonts w:hint="eastAsia" w:ascii="宋体" w:hAnsi="宋体" w:cs="宋体"/>
        </w:rPr>
      </w:pPr>
      <w:bookmarkStart w:id="162" w:name="_Toc13292"/>
      <w:r>
        <w:rPr>
          <w:rFonts w:hint="eastAsia" w:ascii="宋体" w:hAnsi="宋体" w:cs="宋体"/>
          <w:b/>
          <w:sz w:val="30"/>
          <w:szCs w:val="30"/>
        </w:rPr>
        <w:t>传真：029-88440695</w:t>
      </w:r>
      <w:bookmarkEnd w:id="162"/>
    </w:p>
    <w:sectPr>
      <w:headerReference r:id="rId9" w:type="default"/>
      <w:footerReference r:id="rId11" w:type="default"/>
      <w:headerReference r:id="rId10" w:type="even"/>
      <w:pgSz w:w="11906" w:h="16838"/>
      <w:pgMar w:top="1440" w:right="1800" w:bottom="1440" w:left="1800"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ascii="宋体" w:cs="宋体"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ascii="宋体" w:hAnsi="宋体" w:cs="宋体"/>
        <w:lang w:eastAsia="zh-CN"/>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0"/>
        <w:tab w:val="right" w:pos="8420"/>
        <w:tab w:val="clear" w:pos="4153"/>
      </w:tabs>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110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0"/>
        <w:tab w:val="right" w:pos="8420"/>
        <w:tab w:val="clear" w:pos="4153"/>
      </w:tabs>
      <w:rPr>
        <w:rFonts w:hint="eastAsia" w:ascii="宋体" w:hAnsi="宋体" w:cs="宋体" w:eastAsiaTheme="minor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lang w:eastAsia="zh-CN"/>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0D05"/>
    <w:multiLevelType w:val="singleLevel"/>
    <w:tmpl w:val="C8560D05"/>
    <w:lvl w:ilvl="0" w:tentative="0">
      <w:start w:val="2"/>
      <w:numFmt w:val="chineseCounting"/>
      <w:suff w:val="space"/>
      <w:lvlText w:val="第%1部分"/>
      <w:lvlJc w:val="left"/>
      <w:rPr>
        <w:rFonts w:hint="eastAsia"/>
      </w:rPr>
    </w:lvl>
  </w:abstractNum>
  <w:abstractNum w:abstractNumId="1">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2">
    <w:nsid w:val="604094DA"/>
    <w:multiLevelType w:val="singleLevel"/>
    <w:tmpl w:val="604094DA"/>
    <w:lvl w:ilvl="0" w:tentative="0">
      <w:start w:val="1"/>
      <w:numFmt w:val="decimal"/>
      <w:suff w:val="space"/>
      <w:lvlText w:val="%1."/>
      <w:lvlJc w:val="left"/>
    </w:lvl>
  </w:abstractNum>
  <w:abstractNum w:abstractNumId="3">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7"/>
      <w:lvlText w:val="%1.%2.%3.%4"/>
      <w:lvlJc w:val="left"/>
      <w:pPr>
        <w:ind w:left="864" w:hanging="864"/>
      </w:pPr>
      <w:rPr>
        <w:rFonts w:hint="eastAsia"/>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YjRkMGE3NzQxYjczMTVhMGMzZWI2OGY4N2I2NjY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2C8"/>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B6EB4"/>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0D4674"/>
    <w:rsid w:val="01B373CC"/>
    <w:rsid w:val="01E50D53"/>
    <w:rsid w:val="02A058B1"/>
    <w:rsid w:val="037A4244"/>
    <w:rsid w:val="06DA4BFF"/>
    <w:rsid w:val="077A5B30"/>
    <w:rsid w:val="08346591"/>
    <w:rsid w:val="08561BE0"/>
    <w:rsid w:val="090D12BC"/>
    <w:rsid w:val="0B5847B0"/>
    <w:rsid w:val="0B802556"/>
    <w:rsid w:val="0CA43CE5"/>
    <w:rsid w:val="0CD96C5B"/>
    <w:rsid w:val="0EE43BE8"/>
    <w:rsid w:val="11053E91"/>
    <w:rsid w:val="11BE084A"/>
    <w:rsid w:val="122E14D8"/>
    <w:rsid w:val="126C1FE6"/>
    <w:rsid w:val="12BD78F2"/>
    <w:rsid w:val="131F7E9C"/>
    <w:rsid w:val="13763F01"/>
    <w:rsid w:val="13DA623E"/>
    <w:rsid w:val="15BA5427"/>
    <w:rsid w:val="16C06226"/>
    <w:rsid w:val="16F07B27"/>
    <w:rsid w:val="1722633F"/>
    <w:rsid w:val="183969AF"/>
    <w:rsid w:val="18BA4890"/>
    <w:rsid w:val="18D92F68"/>
    <w:rsid w:val="19137AFC"/>
    <w:rsid w:val="196C7450"/>
    <w:rsid w:val="19962C07"/>
    <w:rsid w:val="199D3829"/>
    <w:rsid w:val="1A584361"/>
    <w:rsid w:val="1AD4799A"/>
    <w:rsid w:val="1B1A7868"/>
    <w:rsid w:val="1BF63E31"/>
    <w:rsid w:val="1C4B249E"/>
    <w:rsid w:val="1C6963B1"/>
    <w:rsid w:val="1D835834"/>
    <w:rsid w:val="1E47661F"/>
    <w:rsid w:val="1E7159F1"/>
    <w:rsid w:val="1F116CBE"/>
    <w:rsid w:val="1F321241"/>
    <w:rsid w:val="1F4924CA"/>
    <w:rsid w:val="23627FFE"/>
    <w:rsid w:val="252512E3"/>
    <w:rsid w:val="2658362A"/>
    <w:rsid w:val="2665408D"/>
    <w:rsid w:val="26A5092E"/>
    <w:rsid w:val="26F176CF"/>
    <w:rsid w:val="274F0899"/>
    <w:rsid w:val="278C389C"/>
    <w:rsid w:val="27A92F3E"/>
    <w:rsid w:val="27B74703"/>
    <w:rsid w:val="280F63FC"/>
    <w:rsid w:val="28681C13"/>
    <w:rsid w:val="2A5243F0"/>
    <w:rsid w:val="2AA52B09"/>
    <w:rsid w:val="2AB56C65"/>
    <w:rsid w:val="2CB35427"/>
    <w:rsid w:val="2CDA6E57"/>
    <w:rsid w:val="2D2C5840"/>
    <w:rsid w:val="2D3F75C0"/>
    <w:rsid w:val="2E301AD7"/>
    <w:rsid w:val="2E6B4140"/>
    <w:rsid w:val="2EFA558F"/>
    <w:rsid w:val="30B74016"/>
    <w:rsid w:val="30C36B72"/>
    <w:rsid w:val="30E2763D"/>
    <w:rsid w:val="312D1245"/>
    <w:rsid w:val="31572633"/>
    <w:rsid w:val="31FE7144"/>
    <w:rsid w:val="32075FF9"/>
    <w:rsid w:val="32CE4FCF"/>
    <w:rsid w:val="34386694"/>
    <w:rsid w:val="344572AC"/>
    <w:rsid w:val="34BC25CF"/>
    <w:rsid w:val="350E3B42"/>
    <w:rsid w:val="35B14B30"/>
    <w:rsid w:val="377D5C98"/>
    <w:rsid w:val="37904CE2"/>
    <w:rsid w:val="37922808"/>
    <w:rsid w:val="386E7489"/>
    <w:rsid w:val="38867D66"/>
    <w:rsid w:val="39B73932"/>
    <w:rsid w:val="3A3F654C"/>
    <w:rsid w:val="3B614DE8"/>
    <w:rsid w:val="3C6B187A"/>
    <w:rsid w:val="3D7151BE"/>
    <w:rsid w:val="3D74650C"/>
    <w:rsid w:val="3F8A0269"/>
    <w:rsid w:val="3FB15BEC"/>
    <w:rsid w:val="402B37FA"/>
    <w:rsid w:val="40782F31"/>
    <w:rsid w:val="41D810D6"/>
    <w:rsid w:val="42910921"/>
    <w:rsid w:val="436030C2"/>
    <w:rsid w:val="43AC1830"/>
    <w:rsid w:val="43B92B1D"/>
    <w:rsid w:val="44670713"/>
    <w:rsid w:val="45D65FB6"/>
    <w:rsid w:val="468518BF"/>
    <w:rsid w:val="46AA2576"/>
    <w:rsid w:val="46FE497F"/>
    <w:rsid w:val="47017063"/>
    <w:rsid w:val="482C4A12"/>
    <w:rsid w:val="48937C53"/>
    <w:rsid w:val="48A71E8C"/>
    <w:rsid w:val="49C777B9"/>
    <w:rsid w:val="4B217CD3"/>
    <w:rsid w:val="4B413ED2"/>
    <w:rsid w:val="4BCA036B"/>
    <w:rsid w:val="4BD96800"/>
    <w:rsid w:val="4C244391"/>
    <w:rsid w:val="4CD34FFD"/>
    <w:rsid w:val="4D5C5088"/>
    <w:rsid w:val="4DFE60AA"/>
    <w:rsid w:val="4E0A3905"/>
    <w:rsid w:val="50FD4D3F"/>
    <w:rsid w:val="51612D03"/>
    <w:rsid w:val="51DE4CD1"/>
    <w:rsid w:val="54A6749B"/>
    <w:rsid w:val="54A74C40"/>
    <w:rsid w:val="55006BAB"/>
    <w:rsid w:val="55FE15B9"/>
    <w:rsid w:val="565F03FC"/>
    <w:rsid w:val="57603931"/>
    <w:rsid w:val="589C536E"/>
    <w:rsid w:val="59097BB5"/>
    <w:rsid w:val="596F4300"/>
    <w:rsid w:val="5B3A26EB"/>
    <w:rsid w:val="5B8C73EB"/>
    <w:rsid w:val="5CD54DC2"/>
    <w:rsid w:val="5D9661E5"/>
    <w:rsid w:val="5DFD27A3"/>
    <w:rsid w:val="5E081BD5"/>
    <w:rsid w:val="5E5127C4"/>
    <w:rsid w:val="5F01473D"/>
    <w:rsid w:val="5F47525B"/>
    <w:rsid w:val="5FA04729"/>
    <w:rsid w:val="602A5424"/>
    <w:rsid w:val="60CB755B"/>
    <w:rsid w:val="60E7015E"/>
    <w:rsid w:val="62614DF5"/>
    <w:rsid w:val="62625436"/>
    <w:rsid w:val="62637F5B"/>
    <w:rsid w:val="62B7218C"/>
    <w:rsid w:val="6304300D"/>
    <w:rsid w:val="634A0DD6"/>
    <w:rsid w:val="64152AB8"/>
    <w:rsid w:val="6546685C"/>
    <w:rsid w:val="65496236"/>
    <w:rsid w:val="673B3BAF"/>
    <w:rsid w:val="68761884"/>
    <w:rsid w:val="68E556A9"/>
    <w:rsid w:val="69004013"/>
    <w:rsid w:val="69C16861"/>
    <w:rsid w:val="69CC12FA"/>
    <w:rsid w:val="6A8348AD"/>
    <w:rsid w:val="6B69424F"/>
    <w:rsid w:val="6BC16918"/>
    <w:rsid w:val="6C3F7B62"/>
    <w:rsid w:val="6C4E46B2"/>
    <w:rsid w:val="6C6D0B73"/>
    <w:rsid w:val="6C90660F"/>
    <w:rsid w:val="6D8D2B4F"/>
    <w:rsid w:val="6D9C0FE4"/>
    <w:rsid w:val="6E62701A"/>
    <w:rsid w:val="6FEA0B0A"/>
    <w:rsid w:val="720535FB"/>
    <w:rsid w:val="725D4F25"/>
    <w:rsid w:val="728A30F6"/>
    <w:rsid w:val="734168B5"/>
    <w:rsid w:val="746F7452"/>
    <w:rsid w:val="74B0259D"/>
    <w:rsid w:val="755E4B1E"/>
    <w:rsid w:val="75ED4028"/>
    <w:rsid w:val="76103A8F"/>
    <w:rsid w:val="765E777E"/>
    <w:rsid w:val="769D3B99"/>
    <w:rsid w:val="76CF58C2"/>
    <w:rsid w:val="76ED1ED7"/>
    <w:rsid w:val="77A80CB1"/>
    <w:rsid w:val="79205A39"/>
    <w:rsid w:val="7958651B"/>
    <w:rsid w:val="79F513FE"/>
    <w:rsid w:val="7A212F9C"/>
    <w:rsid w:val="7A2A6ADE"/>
    <w:rsid w:val="7C6C2355"/>
    <w:rsid w:val="7C945CA8"/>
    <w:rsid w:val="7DE44945"/>
    <w:rsid w:val="7E33329E"/>
    <w:rsid w:val="7E592D37"/>
    <w:rsid w:val="7F9D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4">
    <w:name w:val="heading 1"/>
    <w:basedOn w:val="1"/>
    <w:next w:val="1"/>
    <w:link w:val="74"/>
    <w:qFormat/>
    <w:uiPriority w:val="9"/>
    <w:pPr>
      <w:spacing w:line="360" w:lineRule="auto"/>
      <w:jc w:val="center"/>
      <w:outlineLvl w:val="0"/>
    </w:pPr>
    <w:rPr>
      <w:rFonts w:ascii="方正小标宋_GBK" w:hAnsi="仿宋" w:eastAsia="方正小标宋_GBK"/>
      <w:sz w:val="44"/>
      <w:szCs w:val="44"/>
    </w:rPr>
  </w:style>
  <w:style w:type="paragraph" w:styleId="5">
    <w:name w:val="heading 2"/>
    <w:basedOn w:val="1"/>
    <w:next w:val="1"/>
    <w:link w:val="75"/>
    <w:unhideWhenUsed/>
    <w:qFormat/>
    <w:uiPriority w:val="9"/>
    <w:pPr>
      <w:spacing w:line="560" w:lineRule="exact"/>
      <w:ind w:firstLine="640" w:firstLineChars="200"/>
      <w:jc w:val="both"/>
      <w:outlineLvl w:val="1"/>
    </w:pPr>
    <w:rPr>
      <w:rFonts w:ascii="楷体" w:hAnsi="楷体" w:eastAsia="黑体"/>
      <w:sz w:val="32"/>
      <w:szCs w:val="32"/>
    </w:rPr>
  </w:style>
  <w:style w:type="paragraph" w:styleId="6">
    <w:name w:val="heading 3"/>
    <w:basedOn w:val="1"/>
    <w:next w:val="1"/>
    <w:link w:val="76"/>
    <w:unhideWhenUsed/>
    <w:qFormat/>
    <w:uiPriority w:val="9"/>
    <w:pPr>
      <w:spacing w:line="560" w:lineRule="exact"/>
      <w:jc w:val="center"/>
      <w:outlineLvl w:val="2"/>
    </w:pPr>
    <w:rPr>
      <w:rFonts w:ascii="方正小标宋_GBK" w:hAnsi="仿宋" w:eastAsia="方正小标宋_GBK"/>
      <w:sz w:val="36"/>
      <w:szCs w:val="36"/>
    </w:rPr>
  </w:style>
  <w:style w:type="paragraph" w:styleId="7">
    <w:name w:val="heading 4"/>
    <w:basedOn w:val="1"/>
    <w:next w:val="1"/>
    <w:link w:val="77"/>
    <w:semiHidden/>
    <w:unhideWhenUsed/>
    <w:qFormat/>
    <w:uiPriority w:val="9"/>
    <w:pPr>
      <w:keepNext/>
      <w:numPr>
        <w:ilvl w:val="3"/>
        <w:numId w:val="1"/>
      </w:numPr>
      <w:spacing w:before="240" w:after="60"/>
      <w:outlineLvl w:val="3"/>
    </w:pPr>
    <w:rPr>
      <w:rFonts w:cstheme="majorBidi"/>
      <w:b/>
      <w:bCs/>
      <w:sz w:val="28"/>
      <w:szCs w:val="28"/>
    </w:rPr>
  </w:style>
  <w:style w:type="paragraph" w:styleId="8">
    <w:name w:val="heading 5"/>
    <w:basedOn w:val="1"/>
    <w:next w:val="1"/>
    <w:link w:val="78"/>
    <w:semiHidden/>
    <w:unhideWhenUsed/>
    <w:qFormat/>
    <w:uiPriority w:val="9"/>
    <w:pPr>
      <w:numPr>
        <w:ilvl w:val="4"/>
        <w:numId w:val="1"/>
      </w:numPr>
      <w:spacing w:before="240" w:after="60"/>
      <w:outlineLvl w:val="4"/>
    </w:pPr>
    <w:rPr>
      <w:b/>
      <w:bCs/>
      <w:i/>
      <w:iCs/>
      <w:sz w:val="26"/>
      <w:szCs w:val="26"/>
    </w:rPr>
  </w:style>
  <w:style w:type="paragraph" w:styleId="9">
    <w:name w:val="heading 6"/>
    <w:basedOn w:val="1"/>
    <w:next w:val="1"/>
    <w:link w:val="79"/>
    <w:semiHidden/>
    <w:unhideWhenUsed/>
    <w:qFormat/>
    <w:uiPriority w:val="9"/>
    <w:pPr>
      <w:numPr>
        <w:ilvl w:val="5"/>
        <w:numId w:val="1"/>
      </w:numPr>
      <w:spacing w:before="240" w:after="60"/>
      <w:outlineLvl w:val="5"/>
    </w:pPr>
    <w:rPr>
      <w:rFonts w:cstheme="majorBidi"/>
      <w:b/>
      <w:bCs/>
      <w:sz w:val="22"/>
      <w:szCs w:val="22"/>
    </w:rPr>
  </w:style>
  <w:style w:type="paragraph" w:styleId="10">
    <w:name w:val="heading 7"/>
    <w:basedOn w:val="1"/>
    <w:next w:val="1"/>
    <w:link w:val="80"/>
    <w:semiHidden/>
    <w:unhideWhenUsed/>
    <w:qFormat/>
    <w:uiPriority w:val="9"/>
    <w:pPr>
      <w:numPr>
        <w:ilvl w:val="6"/>
        <w:numId w:val="1"/>
      </w:numPr>
      <w:spacing w:before="240" w:after="60"/>
      <w:outlineLvl w:val="6"/>
    </w:pPr>
  </w:style>
  <w:style w:type="paragraph" w:styleId="11">
    <w:name w:val="heading 8"/>
    <w:basedOn w:val="1"/>
    <w:next w:val="1"/>
    <w:link w:val="81"/>
    <w:semiHidden/>
    <w:unhideWhenUsed/>
    <w:qFormat/>
    <w:uiPriority w:val="9"/>
    <w:pPr>
      <w:numPr>
        <w:ilvl w:val="7"/>
        <w:numId w:val="1"/>
      </w:numPr>
      <w:spacing w:before="240" w:after="60"/>
      <w:outlineLvl w:val="7"/>
    </w:pPr>
    <w:rPr>
      <w:rFonts w:cstheme="majorBidi"/>
      <w:i/>
      <w:iCs/>
    </w:rPr>
  </w:style>
  <w:style w:type="paragraph" w:styleId="12">
    <w:name w:val="heading 9"/>
    <w:basedOn w:val="1"/>
    <w:next w:val="1"/>
    <w:link w:val="82"/>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pPr>
  </w:style>
  <w:style w:type="paragraph" w:styleId="3">
    <w:name w:val="toc 4"/>
    <w:basedOn w:val="1"/>
    <w:next w:val="1"/>
    <w:unhideWhenUsed/>
    <w:qFormat/>
    <w:uiPriority w:val="39"/>
    <w:pPr>
      <w:ind w:left="1260" w:leftChars="600"/>
    </w:pPr>
    <w:rPr>
      <w:szCs w:val="24"/>
    </w:r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106"/>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98"/>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w:basedOn w:val="1"/>
    <w:next w:val="1"/>
    <w:qFormat/>
    <w:uiPriority w:val="99"/>
    <w:rPr>
      <w:rFonts w:cs="Times New Roman"/>
      <w:kern w:val="0"/>
      <w:sz w:val="20"/>
    </w:rPr>
  </w:style>
  <w:style w:type="paragraph" w:styleId="17">
    <w:name w:val="Body Text Indent"/>
    <w:basedOn w:val="1"/>
    <w:next w:val="1"/>
    <w:qFormat/>
    <w:uiPriority w:val="99"/>
    <w:pPr>
      <w:spacing w:after="120"/>
      <w:ind w:left="420" w:leftChars="200"/>
    </w:pPr>
    <w:rPr>
      <w:rFonts w:cs="Times New Roman"/>
      <w:kern w:val="0"/>
      <w:sz w:val="20"/>
    </w:rPr>
  </w:style>
  <w:style w:type="paragraph" w:styleId="18">
    <w:name w:val="toc 3"/>
    <w:basedOn w:val="1"/>
    <w:next w:val="1"/>
    <w:semiHidden/>
    <w:unhideWhenUsed/>
    <w:qFormat/>
    <w:uiPriority w:val="39"/>
    <w:pPr>
      <w:ind w:left="840" w:leftChars="400"/>
    </w:pPr>
  </w:style>
  <w:style w:type="paragraph" w:styleId="19">
    <w:name w:val="Plain Text"/>
    <w:basedOn w:val="1"/>
    <w:qFormat/>
    <w:uiPriority w:val="99"/>
    <w:pPr>
      <w:spacing w:line="324" w:lineRule="auto"/>
    </w:pPr>
    <w:rPr>
      <w:rFonts w:ascii="宋体" w:hAnsi="Courier New" w:cs="Times New Roman"/>
      <w:kern w:val="0"/>
      <w:sz w:val="20"/>
    </w:rPr>
  </w:style>
  <w:style w:type="paragraph" w:styleId="20">
    <w:name w:val="Date"/>
    <w:basedOn w:val="1"/>
    <w:next w:val="1"/>
    <w:link w:val="71"/>
    <w:semiHidden/>
    <w:unhideWhenUsed/>
    <w:qFormat/>
    <w:uiPriority w:val="99"/>
    <w:pPr>
      <w:ind w:left="100" w:leftChars="2500"/>
    </w:pPr>
  </w:style>
  <w:style w:type="paragraph" w:styleId="21">
    <w:name w:val="Balloon Text"/>
    <w:basedOn w:val="1"/>
    <w:link w:val="97"/>
    <w:semiHidden/>
    <w:unhideWhenUsed/>
    <w:qFormat/>
    <w:uiPriority w:val="99"/>
    <w:rPr>
      <w:sz w:val="18"/>
      <w:szCs w:val="18"/>
    </w:rPr>
  </w:style>
  <w:style w:type="paragraph" w:styleId="22">
    <w:name w:val="footer"/>
    <w:basedOn w:val="1"/>
    <w:link w:val="73"/>
    <w:unhideWhenUsed/>
    <w:qFormat/>
    <w:uiPriority w:val="99"/>
    <w:pPr>
      <w:tabs>
        <w:tab w:val="center" w:pos="4153"/>
        <w:tab w:val="right" w:pos="8306"/>
      </w:tabs>
      <w:snapToGrid w:val="0"/>
      <w:spacing w:line="240" w:lineRule="atLeast"/>
    </w:pPr>
    <w:rPr>
      <w:sz w:val="18"/>
      <w:szCs w:val="18"/>
    </w:rPr>
  </w:style>
  <w:style w:type="paragraph" w:styleId="23">
    <w:name w:val="header"/>
    <w:basedOn w:val="1"/>
    <w:link w:val="7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4">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5">
    <w:name w:val="index heading"/>
    <w:basedOn w:val="1"/>
    <w:next w:val="26"/>
    <w:unhideWhenUsed/>
    <w:qFormat/>
    <w:uiPriority w:val="99"/>
    <w:rPr>
      <w:rFonts w:asciiTheme="majorHAnsi" w:hAnsiTheme="majorHAnsi" w:eastAsiaTheme="majorEastAsia" w:cstheme="majorBidi"/>
      <w:b/>
      <w:bCs/>
    </w:rPr>
  </w:style>
  <w:style w:type="paragraph" w:styleId="26">
    <w:name w:val="index 1"/>
    <w:basedOn w:val="1"/>
    <w:next w:val="1"/>
    <w:semiHidden/>
    <w:unhideWhenUsed/>
    <w:qFormat/>
    <w:uiPriority w:val="99"/>
  </w:style>
  <w:style w:type="paragraph" w:styleId="27">
    <w:name w:val="Subtitle"/>
    <w:basedOn w:val="1"/>
    <w:next w:val="1"/>
    <w:link w:val="84"/>
    <w:qFormat/>
    <w:uiPriority w:val="11"/>
    <w:pPr>
      <w:keepNext/>
      <w:spacing w:before="50" w:beforeLines="50" w:after="50" w:afterLines="50"/>
      <w:jc w:val="center"/>
      <w:outlineLvl w:val="1"/>
    </w:pPr>
    <w:rPr>
      <w:rFonts w:ascii="Calibri" w:hAnsi="Calibri" w:eastAsia="黑体" w:cstheme="majorBidi"/>
      <w:sz w:val="32"/>
    </w:rPr>
  </w:style>
  <w:style w:type="paragraph" w:styleId="28">
    <w:name w:val="toc 2"/>
    <w:basedOn w:val="1"/>
    <w:next w:val="1"/>
    <w:semiHidden/>
    <w:unhideWhenUsed/>
    <w:qFormat/>
    <w:uiPriority w:val="39"/>
    <w:pPr>
      <w:ind w:left="420" w:leftChars="200"/>
    </w:p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Title"/>
    <w:basedOn w:val="1"/>
    <w:next w:val="1"/>
    <w:link w:val="83"/>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1">
    <w:name w:val="annotation subject"/>
    <w:basedOn w:val="15"/>
    <w:next w:val="15"/>
    <w:link w:val="105"/>
    <w:semiHidden/>
    <w:unhideWhenUsed/>
    <w:qFormat/>
    <w:uiPriority w:val="99"/>
    <w:rPr>
      <w:b/>
      <w:bCs/>
    </w:rPr>
  </w:style>
  <w:style w:type="paragraph" w:styleId="32">
    <w:name w:val="Body Text First Indent"/>
    <w:basedOn w:val="16"/>
    <w:qFormat/>
    <w:uiPriority w:val="0"/>
    <w:pPr>
      <w:spacing w:line="300" w:lineRule="auto"/>
      <w:ind w:firstLine="602"/>
      <w:jc w:val="left"/>
    </w:pPr>
  </w:style>
  <w:style w:type="paragraph" w:styleId="33">
    <w:name w:val="Body Text First Indent 2"/>
    <w:basedOn w:val="17"/>
    <w:next w:val="2"/>
    <w:qFormat/>
    <w:uiPriority w:val="0"/>
    <w:pPr>
      <w:ind w:firstLine="420"/>
    </w:p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page number"/>
    <w:qFormat/>
    <w:uiPriority w:val="0"/>
    <w:rPr>
      <w:rFonts w:ascii="Times New Roman" w:hAnsi="Times New Roman" w:eastAsia="宋体" w:cs="Times New Roman"/>
    </w:rPr>
  </w:style>
  <w:style w:type="character" w:styleId="39">
    <w:name w:val="FollowedHyperlink"/>
    <w:basedOn w:val="36"/>
    <w:semiHidden/>
    <w:unhideWhenUsed/>
    <w:qFormat/>
    <w:uiPriority w:val="99"/>
    <w:rPr>
      <w:color w:val="954F72" w:themeColor="followedHyperlink"/>
      <w:u w:val="single"/>
      <w14:textFill>
        <w14:solidFill>
          <w14:schemeClr w14:val="folHlink"/>
        </w14:solidFill>
      </w14:textFill>
    </w:rPr>
  </w:style>
  <w:style w:type="character" w:styleId="40">
    <w:name w:val="Emphasis"/>
    <w:basedOn w:val="36"/>
    <w:qFormat/>
    <w:uiPriority w:val="20"/>
    <w:rPr>
      <w:rFonts w:asciiTheme="minorHAnsi" w:hAnsiTheme="minorHAnsi"/>
      <w:b/>
      <w:i/>
      <w:iCs/>
    </w:rPr>
  </w:style>
  <w:style w:type="character" w:styleId="41">
    <w:name w:val="HTML Definition"/>
    <w:basedOn w:val="36"/>
    <w:semiHidden/>
    <w:unhideWhenUsed/>
    <w:qFormat/>
    <w:uiPriority w:val="99"/>
    <w:rPr>
      <w:color w:val="FFFFFF"/>
      <w:shd w:val="clear" w:fill="048FD2"/>
    </w:rPr>
  </w:style>
  <w:style w:type="character" w:styleId="42">
    <w:name w:val="HTML Typewriter"/>
    <w:basedOn w:val="36"/>
    <w:semiHidden/>
    <w:unhideWhenUsed/>
    <w:qFormat/>
    <w:uiPriority w:val="99"/>
    <w:rPr>
      <w:rFonts w:hint="default" w:ascii="monospace" w:hAnsi="monospace" w:eastAsia="monospace" w:cs="monospace"/>
      <w:sz w:val="20"/>
    </w:rPr>
  </w:style>
  <w:style w:type="character" w:styleId="43">
    <w:name w:val="HTML Acronym"/>
    <w:basedOn w:val="36"/>
    <w:semiHidden/>
    <w:unhideWhenUsed/>
    <w:qFormat/>
    <w:uiPriority w:val="99"/>
  </w:style>
  <w:style w:type="character" w:styleId="44">
    <w:name w:val="HTML Variable"/>
    <w:basedOn w:val="36"/>
    <w:semiHidden/>
    <w:unhideWhenUsed/>
    <w:qFormat/>
    <w:uiPriority w:val="99"/>
  </w:style>
  <w:style w:type="character" w:styleId="45">
    <w:name w:val="Hyperlink"/>
    <w:basedOn w:val="36"/>
    <w:unhideWhenUsed/>
    <w:qFormat/>
    <w:uiPriority w:val="99"/>
    <w:rPr>
      <w:color w:val="0563C1" w:themeColor="hyperlink"/>
      <w:u w:val="single"/>
      <w14:textFill>
        <w14:solidFill>
          <w14:schemeClr w14:val="hlink"/>
        </w14:solidFill>
      </w14:textFill>
    </w:rPr>
  </w:style>
  <w:style w:type="character" w:styleId="46">
    <w:name w:val="HTML Code"/>
    <w:basedOn w:val="36"/>
    <w:semiHidden/>
    <w:unhideWhenUsed/>
    <w:qFormat/>
    <w:uiPriority w:val="99"/>
    <w:rPr>
      <w:rFonts w:hint="default" w:ascii="monospace" w:hAnsi="monospace" w:eastAsia="monospace" w:cs="monospace"/>
      <w:sz w:val="20"/>
    </w:rPr>
  </w:style>
  <w:style w:type="character" w:styleId="47">
    <w:name w:val="annotation reference"/>
    <w:basedOn w:val="36"/>
    <w:semiHidden/>
    <w:unhideWhenUsed/>
    <w:qFormat/>
    <w:uiPriority w:val="99"/>
    <w:rPr>
      <w:sz w:val="21"/>
      <w:szCs w:val="21"/>
    </w:rPr>
  </w:style>
  <w:style w:type="character" w:styleId="48">
    <w:name w:val="HTML Cite"/>
    <w:basedOn w:val="36"/>
    <w:semiHidden/>
    <w:unhideWhenUsed/>
    <w:qFormat/>
    <w:uiPriority w:val="99"/>
  </w:style>
  <w:style w:type="character" w:styleId="49">
    <w:name w:val="HTML Keyboard"/>
    <w:basedOn w:val="36"/>
    <w:semiHidden/>
    <w:unhideWhenUsed/>
    <w:qFormat/>
    <w:uiPriority w:val="99"/>
    <w:rPr>
      <w:rFonts w:ascii="monospace" w:hAnsi="monospace" w:eastAsia="monospace" w:cs="monospace"/>
      <w:sz w:val="20"/>
    </w:rPr>
  </w:style>
  <w:style w:type="character" w:styleId="50">
    <w:name w:val="HTML Sample"/>
    <w:basedOn w:val="36"/>
    <w:semiHidden/>
    <w:unhideWhenUsed/>
    <w:qFormat/>
    <w:uiPriority w:val="99"/>
    <w:rPr>
      <w:rFonts w:hint="default" w:ascii="monospace" w:hAnsi="monospace" w:eastAsia="monospace" w:cs="monospace"/>
    </w:rPr>
  </w:style>
  <w:style w:type="paragraph" w:customStyle="1" w:styleId="51">
    <w:name w:val="※封面大标题"/>
    <w:basedOn w:val="1"/>
    <w:next w:val="1"/>
    <w:qFormat/>
    <w:uiPriority w:val="0"/>
    <w:pPr>
      <w:jc w:val="center"/>
    </w:pPr>
    <w:rPr>
      <w:rFonts w:ascii="华文中宋" w:hAnsi="华文中宋" w:eastAsia="华文中宋"/>
      <w:sz w:val="96"/>
      <w:szCs w:val="96"/>
    </w:rPr>
  </w:style>
  <w:style w:type="paragraph" w:customStyle="1" w:styleId="52">
    <w:name w:val="※封面题颌"/>
    <w:basedOn w:val="1"/>
    <w:next w:val="1"/>
    <w:qFormat/>
    <w:uiPriority w:val="0"/>
    <w:pPr>
      <w:jc w:val="center"/>
    </w:pPr>
    <w:rPr>
      <w:rFonts w:ascii="Calibri Light" w:hAnsi="Calibri Light" w:eastAsia="华文仿宋"/>
      <w:sz w:val="36"/>
      <w:szCs w:val="36"/>
    </w:rPr>
  </w:style>
  <w:style w:type="paragraph" w:customStyle="1" w:styleId="53">
    <w:name w:val="※封面题眉"/>
    <w:basedOn w:val="1"/>
    <w:next w:val="51"/>
    <w:qFormat/>
    <w:uiPriority w:val="0"/>
    <w:pPr>
      <w:jc w:val="center"/>
    </w:pPr>
    <w:rPr>
      <w:rFonts w:ascii="华文仿宋" w:hAnsi="华文仿宋" w:eastAsia="华文仿宋"/>
      <w:sz w:val="52"/>
      <w:szCs w:val="28"/>
    </w:rPr>
  </w:style>
  <w:style w:type="paragraph" w:customStyle="1" w:styleId="5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9">
    <w:name w:val="※小标题 一"/>
    <w:basedOn w:val="58"/>
    <w:next w:val="58"/>
    <w:qFormat/>
    <w:uiPriority w:val="0"/>
    <w:pPr>
      <w:spacing w:before="120" w:line="240" w:lineRule="auto"/>
      <w:outlineLvl w:val="2"/>
    </w:pPr>
    <w:rPr>
      <w:b/>
      <w:color w:val="203864" w:themeColor="accent5" w:themeShade="80"/>
      <w:sz w:val="32"/>
    </w:rPr>
  </w:style>
  <w:style w:type="paragraph" w:customStyle="1" w:styleId="60">
    <w:name w:val="※小标题（1）"/>
    <w:basedOn w:val="1"/>
    <w:next w:val="5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61">
    <w:name w:val="※小标题（一）"/>
    <w:basedOn w:val="1"/>
    <w:next w:val="5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4">
    <w:name w:val="※页眉"/>
    <w:basedOn w:val="58"/>
    <w:qFormat/>
    <w:uiPriority w:val="0"/>
    <w:pPr>
      <w:pBdr>
        <w:bottom w:val="single" w:color="auto" w:sz="4" w:space="1"/>
      </w:pBdr>
      <w:spacing w:line="240" w:lineRule="atLeast"/>
      <w:jc w:val="right"/>
    </w:pPr>
    <w:rPr>
      <w:rFonts w:ascii="宋体" w:hAnsi="宋体" w:eastAsia="宋体"/>
      <w:sz w:val="18"/>
    </w:rPr>
  </w:style>
  <w:style w:type="paragraph" w:customStyle="1" w:styleId="65">
    <w:name w:val="※章节标题（第X章）"/>
    <w:basedOn w:val="1"/>
    <w:qFormat/>
    <w:uiPriority w:val="0"/>
    <w:pPr>
      <w:jc w:val="center"/>
      <w:outlineLvl w:val="0"/>
    </w:pPr>
    <w:rPr>
      <w:rFonts w:ascii="Calibri Light" w:hAnsi="Calibri Light" w:eastAsia="黑体"/>
      <w:sz w:val="36"/>
      <w:szCs w:val="28"/>
    </w:rPr>
  </w:style>
  <w:style w:type="paragraph" w:customStyle="1" w:styleId="6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7">
    <w:name w:val="※章节标题（第Z部分分项）"/>
    <w:basedOn w:val="66"/>
    <w:qFormat/>
    <w:uiPriority w:val="0"/>
    <w:pPr>
      <w:outlineLvl w:val="2"/>
    </w:pPr>
  </w:style>
  <w:style w:type="paragraph" w:customStyle="1" w:styleId="6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9">
    <w:name w:val="※正文（缩进2）"/>
    <w:basedOn w:val="58"/>
    <w:qFormat/>
    <w:uiPriority w:val="0"/>
    <w:pPr>
      <w:ind w:firstLine="200" w:firstLineChars="200"/>
    </w:pPr>
  </w:style>
  <w:style w:type="paragraph" w:customStyle="1" w:styleId="70">
    <w:name w:val="※正文（缩进4）"/>
    <w:basedOn w:val="58"/>
    <w:qFormat/>
    <w:uiPriority w:val="0"/>
    <w:pPr>
      <w:ind w:firstLine="400" w:firstLineChars="400"/>
    </w:pPr>
  </w:style>
  <w:style w:type="character" w:customStyle="1" w:styleId="71">
    <w:name w:val="日期 字符"/>
    <w:basedOn w:val="36"/>
    <w:link w:val="20"/>
    <w:semiHidden/>
    <w:qFormat/>
    <w:uiPriority w:val="99"/>
    <w:rPr>
      <w:rFonts w:ascii="华文仿宋" w:hAnsi="华文仿宋" w:eastAsia="华文仿宋"/>
      <w:sz w:val="28"/>
      <w:szCs w:val="28"/>
    </w:rPr>
  </w:style>
  <w:style w:type="character" w:customStyle="1" w:styleId="72">
    <w:name w:val="页眉 字符"/>
    <w:basedOn w:val="36"/>
    <w:link w:val="23"/>
    <w:qFormat/>
    <w:uiPriority w:val="0"/>
    <w:rPr>
      <w:rFonts w:ascii="华文仿宋" w:hAnsi="华文仿宋" w:eastAsia="华文仿宋"/>
      <w:sz w:val="18"/>
      <w:szCs w:val="18"/>
    </w:rPr>
  </w:style>
  <w:style w:type="character" w:customStyle="1" w:styleId="73">
    <w:name w:val="页脚 字符"/>
    <w:basedOn w:val="36"/>
    <w:link w:val="22"/>
    <w:qFormat/>
    <w:uiPriority w:val="99"/>
    <w:rPr>
      <w:rFonts w:ascii="华文仿宋" w:hAnsi="华文仿宋" w:eastAsia="华文仿宋"/>
      <w:sz w:val="18"/>
      <w:szCs w:val="18"/>
    </w:rPr>
  </w:style>
  <w:style w:type="character" w:customStyle="1" w:styleId="74">
    <w:name w:val="标题 1 字符"/>
    <w:basedOn w:val="36"/>
    <w:link w:val="4"/>
    <w:qFormat/>
    <w:uiPriority w:val="9"/>
    <w:rPr>
      <w:rFonts w:ascii="方正小标宋_GBK" w:hAnsi="仿宋" w:eastAsia="方正小标宋_GBK"/>
      <w:sz w:val="44"/>
      <w:szCs w:val="44"/>
    </w:rPr>
  </w:style>
  <w:style w:type="character" w:customStyle="1" w:styleId="75">
    <w:name w:val="标题 2 字符"/>
    <w:basedOn w:val="36"/>
    <w:link w:val="5"/>
    <w:qFormat/>
    <w:uiPriority w:val="9"/>
    <w:rPr>
      <w:rFonts w:ascii="楷体" w:hAnsi="楷体" w:eastAsia="黑体"/>
      <w:sz w:val="32"/>
      <w:szCs w:val="32"/>
    </w:rPr>
  </w:style>
  <w:style w:type="character" w:customStyle="1" w:styleId="76">
    <w:name w:val="标题 3 字符"/>
    <w:basedOn w:val="36"/>
    <w:link w:val="6"/>
    <w:qFormat/>
    <w:uiPriority w:val="9"/>
    <w:rPr>
      <w:rFonts w:ascii="方正小标宋_GBK" w:hAnsi="仿宋" w:eastAsia="方正小标宋_GBK"/>
      <w:sz w:val="36"/>
      <w:szCs w:val="36"/>
    </w:rPr>
  </w:style>
  <w:style w:type="character" w:customStyle="1" w:styleId="77">
    <w:name w:val="标题 4 字符"/>
    <w:basedOn w:val="36"/>
    <w:link w:val="7"/>
    <w:semiHidden/>
    <w:qFormat/>
    <w:uiPriority w:val="9"/>
    <w:rPr>
      <w:rFonts w:cstheme="majorBidi"/>
      <w:b/>
      <w:bCs/>
      <w:sz w:val="28"/>
      <w:szCs w:val="28"/>
    </w:rPr>
  </w:style>
  <w:style w:type="character" w:customStyle="1" w:styleId="78">
    <w:name w:val="标题 5 字符"/>
    <w:basedOn w:val="36"/>
    <w:link w:val="8"/>
    <w:semiHidden/>
    <w:qFormat/>
    <w:uiPriority w:val="9"/>
    <w:rPr>
      <w:b/>
      <w:bCs/>
      <w:i/>
      <w:iCs/>
      <w:sz w:val="26"/>
      <w:szCs w:val="26"/>
    </w:rPr>
  </w:style>
  <w:style w:type="character" w:customStyle="1" w:styleId="79">
    <w:name w:val="标题 6 字符"/>
    <w:basedOn w:val="36"/>
    <w:link w:val="9"/>
    <w:semiHidden/>
    <w:qFormat/>
    <w:uiPriority w:val="9"/>
    <w:rPr>
      <w:rFonts w:cstheme="majorBidi"/>
      <w:b/>
      <w:bCs/>
    </w:rPr>
  </w:style>
  <w:style w:type="character" w:customStyle="1" w:styleId="80">
    <w:name w:val="标题 7 字符"/>
    <w:basedOn w:val="36"/>
    <w:link w:val="10"/>
    <w:semiHidden/>
    <w:qFormat/>
    <w:uiPriority w:val="9"/>
    <w:rPr>
      <w:sz w:val="24"/>
      <w:szCs w:val="24"/>
    </w:rPr>
  </w:style>
  <w:style w:type="character" w:customStyle="1" w:styleId="81">
    <w:name w:val="标题 8 字符"/>
    <w:basedOn w:val="36"/>
    <w:link w:val="11"/>
    <w:semiHidden/>
    <w:qFormat/>
    <w:uiPriority w:val="9"/>
    <w:rPr>
      <w:rFonts w:cstheme="majorBidi"/>
      <w:i/>
      <w:iCs/>
      <w:sz w:val="24"/>
      <w:szCs w:val="24"/>
    </w:rPr>
  </w:style>
  <w:style w:type="character" w:customStyle="1" w:styleId="82">
    <w:name w:val="标题 9 字符"/>
    <w:basedOn w:val="36"/>
    <w:link w:val="12"/>
    <w:semiHidden/>
    <w:qFormat/>
    <w:uiPriority w:val="9"/>
    <w:rPr>
      <w:rFonts w:asciiTheme="majorHAnsi" w:hAnsiTheme="majorHAnsi" w:eastAsiaTheme="majorEastAsia" w:cstheme="majorBidi"/>
    </w:rPr>
  </w:style>
  <w:style w:type="character" w:customStyle="1" w:styleId="83">
    <w:name w:val="标题 字符"/>
    <w:basedOn w:val="36"/>
    <w:link w:val="30"/>
    <w:qFormat/>
    <w:uiPriority w:val="10"/>
    <w:rPr>
      <w:rFonts w:asciiTheme="majorHAnsi" w:hAnsiTheme="majorHAnsi" w:eastAsiaTheme="majorEastAsia" w:cstheme="majorBidi"/>
      <w:b/>
      <w:bCs/>
      <w:kern w:val="28"/>
      <w:sz w:val="32"/>
      <w:szCs w:val="32"/>
    </w:rPr>
  </w:style>
  <w:style w:type="character" w:customStyle="1" w:styleId="84">
    <w:name w:val="副标题 字符"/>
    <w:basedOn w:val="36"/>
    <w:link w:val="27"/>
    <w:qFormat/>
    <w:uiPriority w:val="11"/>
    <w:rPr>
      <w:rFonts w:ascii="Calibri" w:hAnsi="Calibri" w:eastAsia="黑体" w:cstheme="majorBidi"/>
      <w:sz w:val="32"/>
      <w:szCs w:val="24"/>
    </w:rPr>
  </w:style>
  <w:style w:type="paragraph" w:styleId="85">
    <w:name w:val="No Spacing"/>
    <w:basedOn w:val="1"/>
    <w:qFormat/>
    <w:uiPriority w:val="1"/>
    <w:rPr>
      <w:szCs w:val="32"/>
    </w:rPr>
  </w:style>
  <w:style w:type="paragraph" w:styleId="86">
    <w:name w:val="List Paragraph"/>
    <w:basedOn w:val="1"/>
    <w:qFormat/>
    <w:uiPriority w:val="0"/>
    <w:pPr>
      <w:ind w:left="720"/>
      <w:contextualSpacing/>
    </w:pPr>
  </w:style>
  <w:style w:type="paragraph" w:styleId="87">
    <w:name w:val="Quote"/>
    <w:basedOn w:val="1"/>
    <w:next w:val="1"/>
    <w:link w:val="88"/>
    <w:qFormat/>
    <w:uiPriority w:val="29"/>
    <w:rPr>
      <w:i/>
    </w:rPr>
  </w:style>
  <w:style w:type="character" w:customStyle="1" w:styleId="88">
    <w:name w:val="引用 字符"/>
    <w:basedOn w:val="36"/>
    <w:link w:val="87"/>
    <w:qFormat/>
    <w:uiPriority w:val="29"/>
    <w:rPr>
      <w:i/>
      <w:sz w:val="24"/>
      <w:szCs w:val="24"/>
    </w:rPr>
  </w:style>
  <w:style w:type="paragraph" w:styleId="89">
    <w:name w:val="Intense Quote"/>
    <w:basedOn w:val="1"/>
    <w:next w:val="1"/>
    <w:link w:val="90"/>
    <w:qFormat/>
    <w:uiPriority w:val="30"/>
    <w:pPr>
      <w:ind w:left="720" w:right="720"/>
    </w:pPr>
    <w:rPr>
      <w:b/>
      <w:i/>
      <w:szCs w:val="22"/>
    </w:rPr>
  </w:style>
  <w:style w:type="character" w:customStyle="1" w:styleId="90">
    <w:name w:val="明显引用 字符"/>
    <w:basedOn w:val="36"/>
    <w:link w:val="89"/>
    <w:qFormat/>
    <w:uiPriority w:val="30"/>
    <w:rPr>
      <w:b/>
      <w:i/>
      <w:sz w:val="24"/>
    </w:rPr>
  </w:style>
  <w:style w:type="character" w:customStyle="1" w:styleId="9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92">
    <w:name w:val="Intense Emphasis"/>
    <w:basedOn w:val="36"/>
    <w:qFormat/>
    <w:uiPriority w:val="21"/>
    <w:rPr>
      <w:b/>
      <w:i/>
      <w:sz w:val="24"/>
      <w:szCs w:val="24"/>
      <w:u w:val="single"/>
    </w:rPr>
  </w:style>
  <w:style w:type="character" w:customStyle="1" w:styleId="93">
    <w:name w:val="Subtle Reference"/>
    <w:basedOn w:val="36"/>
    <w:qFormat/>
    <w:uiPriority w:val="31"/>
    <w:rPr>
      <w:sz w:val="24"/>
      <w:szCs w:val="24"/>
      <w:u w:val="single"/>
    </w:rPr>
  </w:style>
  <w:style w:type="character" w:customStyle="1" w:styleId="94">
    <w:name w:val="Intense Reference"/>
    <w:basedOn w:val="36"/>
    <w:qFormat/>
    <w:uiPriority w:val="32"/>
    <w:rPr>
      <w:b/>
      <w:sz w:val="24"/>
      <w:u w:val="single"/>
    </w:rPr>
  </w:style>
  <w:style w:type="character" w:customStyle="1" w:styleId="95">
    <w:name w:val="Book Title"/>
    <w:basedOn w:val="36"/>
    <w:qFormat/>
    <w:uiPriority w:val="33"/>
    <w:rPr>
      <w:rFonts w:asciiTheme="majorHAnsi" w:hAnsiTheme="majorHAnsi" w:eastAsiaTheme="majorEastAsia"/>
      <w:b/>
      <w:i/>
      <w:sz w:val="24"/>
      <w:szCs w:val="24"/>
    </w:rPr>
  </w:style>
  <w:style w:type="paragraph" w:customStyle="1" w:styleId="96">
    <w:name w:val="TOC Heading"/>
    <w:basedOn w:val="4"/>
    <w:next w:val="1"/>
    <w:semiHidden/>
    <w:unhideWhenUsed/>
    <w:qFormat/>
    <w:uiPriority w:val="39"/>
    <w:pPr>
      <w:outlineLvl w:val="9"/>
    </w:pPr>
  </w:style>
  <w:style w:type="character" w:customStyle="1" w:styleId="97">
    <w:name w:val="批注框文本 字符"/>
    <w:basedOn w:val="36"/>
    <w:link w:val="21"/>
    <w:semiHidden/>
    <w:qFormat/>
    <w:uiPriority w:val="99"/>
    <w:rPr>
      <w:sz w:val="18"/>
      <w:szCs w:val="18"/>
    </w:rPr>
  </w:style>
  <w:style w:type="character" w:customStyle="1" w:styleId="98">
    <w:name w:val="批注文字 字符"/>
    <w:basedOn w:val="36"/>
    <w:link w:val="15"/>
    <w:qFormat/>
    <w:uiPriority w:val="99"/>
    <w:rPr>
      <w:rFonts w:ascii="Calibri Light" w:hAnsi="Calibri Light" w:eastAsia="华文仿宋" w:cs="Calibri Light"/>
      <w:kern w:val="2"/>
      <w:sz w:val="28"/>
      <w:szCs w:val="28"/>
    </w:rPr>
  </w:style>
  <w:style w:type="paragraph" w:customStyle="1" w:styleId="99">
    <w:name w:val="@正文"/>
    <w:basedOn w:val="5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0">
    <w:name w:val="@一级小标题"/>
    <w:basedOn w:val="1"/>
    <w:next w:val="99"/>
    <w:qFormat/>
    <w:uiPriority w:val="0"/>
    <w:pPr>
      <w:keepNext/>
      <w:spacing w:before="120" w:after="60"/>
      <w:outlineLvl w:val="2"/>
    </w:pPr>
    <w:rPr>
      <w:rFonts w:ascii="Calibri" w:hAnsi="Calibri" w:eastAsia="黑体"/>
      <w:kern w:val="28"/>
      <w:sz w:val="28"/>
    </w:rPr>
  </w:style>
  <w:style w:type="paragraph" w:customStyle="1" w:styleId="101">
    <w:name w:val="@标题"/>
    <w:basedOn w:val="1"/>
    <w:next w:val="99"/>
    <w:qFormat/>
    <w:uiPriority w:val="0"/>
    <w:pPr>
      <w:keepNext/>
      <w:spacing w:before="50" w:beforeLines="50" w:after="50" w:afterLines="50"/>
      <w:jc w:val="center"/>
      <w:outlineLvl w:val="1"/>
    </w:pPr>
    <w:rPr>
      <w:rFonts w:ascii="Calibri" w:hAnsi="Calibri" w:eastAsia="黑体"/>
      <w:kern w:val="32"/>
      <w:sz w:val="32"/>
    </w:rPr>
  </w:style>
  <w:style w:type="table" w:customStyle="1" w:styleId="102">
    <w:name w:val="网格型1"/>
    <w:basedOn w:val="3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3">
    <w:name w:val="页眉 Char1"/>
    <w:basedOn w:val="36"/>
    <w:semiHidden/>
    <w:qFormat/>
    <w:uiPriority w:val="99"/>
    <w:rPr>
      <w:rFonts w:cs="Calibri Light"/>
      <w:sz w:val="18"/>
      <w:szCs w:val="18"/>
    </w:rPr>
  </w:style>
  <w:style w:type="character" w:customStyle="1" w:styleId="104">
    <w:name w:val="页脚 Char1"/>
    <w:basedOn w:val="36"/>
    <w:semiHidden/>
    <w:qFormat/>
    <w:uiPriority w:val="99"/>
    <w:rPr>
      <w:rFonts w:cs="Calibri Light"/>
      <w:sz w:val="18"/>
      <w:szCs w:val="18"/>
    </w:rPr>
  </w:style>
  <w:style w:type="character" w:customStyle="1" w:styleId="105">
    <w:name w:val="批注主题 字符"/>
    <w:basedOn w:val="98"/>
    <w:link w:val="31"/>
    <w:semiHidden/>
    <w:qFormat/>
    <w:uiPriority w:val="99"/>
    <w:rPr>
      <w:rFonts w:ascii="Calibri Light" w:hAnsi="Calibri Light" w:eastAsia="华文仿宋" w:cs="Calibri Light"/>
      <w:b/>
      <w:bCs/>
      <w:kern w:val="2"/>
      <w:sz w:val="28"/>
      <w:szCs w:val="28"/>
    </w:rPr>
  </w:style>
  <w:style w:type="character" w:customStyle="1" w:styleId="106">
    <w:name w:val="文档结构图 字符"/>
    <w:basedOn w:val="36"/>
    <w:link w:val="14"/>
    <w:semiHidden/>
    <w:qFormat/>
    <w:uiPriority w:val="99"/>
    <w:rPr>
      <w:rFonts w:ascii="宋体" w:hAnsi="Calibri Light" w:eastAsia="宋体" w:cs="Calibri Light"/>
      <w:kern w:val="2"/>
      <w:sz w:val="18"/>
      <w:szCs w:val="18"/>
    </w:rPr>
  </w:style>
  <w:style w:type="character" w:styleId="107">
    <w:name w:val="Placeholder Text"/>
    <w:basedOn w:val="36"/>
    <w:semiHidden/>
    <w:qFormat/>
    <w:uiPriority w:val="99"/>
    <w:rPr>
      <w:color w:val="808080"/>
    </w:rPr>
  </w:style>
  <w:style w:type="character" w:customStyle="1" w:styleId="108">
    <w:name w:val="Unresolved Mention"/>
    <w:basedOn w:val="36"/>
    <w:semiHidden/>
    <w:unhideWhenUsed/>
    <w:qFormat/>
    <w:uiPriority w:val="99"/>
    <w:rPr>
      <w:color w:val="605E5C"/>
      <w:shd w:val="clear" w:color="auto" w:fill="E1DFDD"/>
    </w:rPr>
  </w:style>
  <w:style w:type="paragraph" w:customStyle="1" w:styleId="109">
    <w:name w:val="样式1"/>
    <w:basedOn w:val="6"/>
    <w:link w:val="111"/>
    <w:qFormat/>
    <w:uiPriority w:val="0"/>
    <w:pPr>
      <w:jc w:val="left"/>
    </w:pPr>
    <w:rPr>
      <w:rFonts w:eastAsia="楷体"/>
      <w:sz w:val="32"/>
    </w:rPr>
  </w:style>
  <w:style w:type="paragraph" w:customStyle="1" w:styleId="110">
    <w:name w:val="样式2"/>
    <w:basedOn w:val="101"/>
    <w:link w:val="113"/>
    <w:qFormat/>
    <w:uiPriority w:val="0"/>
    <w:pPr>
      <w:spacing w:line="560" w:lineRule="exact"/>
      <w:ind w:firstLine="643" w:firstLineChars="200"/>
      <w:jc w:val="both"/>
    </w:pPr>
    <w:rPr>
      <w:rFonts w:ascii="仿宋_GB2312" w:hAnsi="仿宋" w:eastAsia="仿宋_GB2312"/>
      <w:b/>
      <w:bCs/>
      <w:szCs w:val="32"/>
    </w:rPr>
  </w:style>
  <w:style w:type="character" w:customStyle="1" w:styleId="111">
    <w:name w:val="样式1 字符"/>
    <w:basedOn w:val="75"/>
    <w:link w:val="109"/>
    <w:qFormat/>
    <w:uiPriority w:val="0"/>
    <w:rPr>
      <w:rFonts w:ascii="方正小标宋_GBK" w:hAnsi="仿宋" w:eastAsia="楷体"/>
      <w:sz w:val="32"/>
      <w:szCs w:val="36"/>
    </w:rPr>
  </w:style>
  <w:style w:type="paragraph" w:customStyle="1" w:styleId="112">
    <w:name w:val="样式3"/>
    <w:basedOn w:val="1"/>
    <w:link w:val="114"/>
    <w:qFormat/>
    <w:uiPriority w:val="0"/>
    <w:pPr>
      <w:spacing w:line="560" w:lineRule="exact"/>
      <w:jc w:val="center"/>
    </w:pPr>
    <w:rPr>
      <w:rFonts w:ascii="方正小标宋_GBK" w:hAnsi="仿宋" w:eastAsia="方正小标宋_GBK"/>
      <w:sz w:val="36"/>
      <w:szCs w:val="36"/>
    </w:rPr>
  </w:style>
  <w:style w:type="character" w:customStyle="1" w:styleId="113">
    <w:name w:val="样式2 字符"/>
    <w:basedOn w:val="36"/>
    <w:link w:val="110"/>
    <w:qFormat/>
    <w:uiPriority w:val="0"/>
    <w:rPr>
      <w:rFonts w:ascii="仿宋_GB2312" w:hAnsi="仿宋" w:eastAsia="仿宋_GB2312"/>
      <w:b/>
      <w:bCs/>
      <w:kern w:val="32"/>
      <w:sz w:val="32"/>
      <w:szCs w:val="32"/>
    </w:rPr>
  </w:style>
  <w:style w:type="character" w:customStyle="1" w:styleId="114">
    <w:name w:val="样式3 字符"/>
    <w:basedOn w:val="36"/>
    <w:link w:val="112"/>
    <w:qFormat/>
    <w:uiPriority w:val="0"/>
    <w:rPr>
      <w:rFonts w:ascii="方正小标宋_GBK" w:hAnsi="仿宋" w:eastAsia="方正小标宋_GBK"/>
      <w:sz w:val="36"/>
      <w:szCs w:val="36"/>
    </w:rPr>
  </w:style>
  <w:style w:type="paragraph" w:customStyle="1" w:styleId="115">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Table Paragraph"/>
    <w:basedOn w:val="1"/>
    <w:qFormat/>
    <w:uiPriority w:val="1"/>
  </w:style>
  <w:style w:type="paragraph" w:customStyle="1" w:styleId="117">
    <w:name w:val="纯文本1"/>
    <w:basedOn w:val="1"/>
    <w:qFormat/>
    <w:uiPriority w:val="0"/>
    <w:rPr>
      <w:rFonts w:ascii="宋体" w:hAnsi="Courier New" w:eastAsia="宋体" w:cs="Times New Roman"/>
      <w:szCs w:val="22"/>
    </w:rPr>
  </w:style>
  <w:style w:type="paragraph" w:customStyle="1" w:styleId="118">
    <w:name w:val="WPSOffice手动目录 1"/>
    <w:qFormat/>
    <w:uiPriority w:val="0"/>
    <w:pPr>
      <w:ind w:leftChars="0"/>
    </w:pPr>
    <w:rPr>
      <w:rFonts w:ascii="Times New Roman" w:hAnsi="Times New Roman" w:eastAsia="宋体" w:cs="Times New Roman"/>
      <w:sz w:val="20"/>
      <w:szCs w:val="20"/>
    </w:rPr>
  </w:style>
  <w:style w:type="paragraph" w:customStyle="1" w:styleId="119">
    <w:name w:val="WPSOffice手动目录 2"/>
    <w:qFormat/>
    <w:uiPriority w:val="0"/>
    <w:pPr>
      <w:ind w:leftChars="200"/>
    </w:pPr>
    <w:rPr>
      <w:rFonts w:ascii="Times New Roman" w:hAnsi="Times New Roman" w:eastAsia="宋体" w:cs="Times New Roman"/>
      <w:sz w:val="20"/>
      <w:szCs w:val="20"/>
    </w:rPr>
  </w:style>
  <w:style w:type="paragraph" w:customStyle="1" w:styleId="120">
    <w:name w:val="WPSOffice手动目录 3"/>
    <w:qFormat/>
    <w:uiPriority w:val="0"/>
    <w:pPr>
      <w:ind w:leftChars="400"/>
    </w:pPr>
    <w:rPr>
      <w:rFonts w:ascii="Times New Roman" w:hAnsi="Times New Roman" w:eastAsia="宋体" w:cs="Times New Roman"/>
      <w:sz w:val="20"/>
      <w:szCs w:val="20"/>
    </w:rPr>
  </w:style>
  <w:style w:type="character" w:customStyle="1" w:styleId="121">
    <w:name w:val="mini-outputtext1"/>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89</Pages>
  <Words>35933</Words>
  <Characters>39254</Characters>
  <Lines>1035</Lines>
  <Paragraphs>716</Paragraphs>
  <TotalTime>6</TotalTime>
  <ScaleCrop>false</ScaleCrop>
  <LinksUpToDate>false</LinksUpToDate>
  <CharactersWithSpaces>40907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趁早</cp:lastModifiedBy>
  <cp:lastPrinted>2022-06-13T05:23:00Z</cp:lastPrinted>
  <dcterms:modified xsi:type="dcterms:W3CDTF">2022-07-29T08:54:27Z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B891CFFBEDFE459A85991E0CCA9746DE</vt:lpwstr>
  </property>
</Properties>
</file>