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宋体" w:hAnsi="宋体" w:eastAsia="宋体" w:cs="宋体"/>
          <w:b/>
          <w:bCs/>
          <w:sz w:val="32"/>
          <w:szCs w:val="32"/>
          <w:lang w:val="en-US" w:eastAsia="zh-CN"/>
        </w:rPr>
      </w:pPr>
      <w:r>
        <w:rPr>
          <w:rFonts w:hint="eastAsia" w:ascii="宋体" w:hAnsi="宋体" w:eastAsia="宋体" w:cs="宋体"/>
          <w:b/>
          <w:bCs/>
          <w:sz w:val="32"/>
          <w:szCs w:val="32"/>
        </w:rPr>
        <w:t>项目编号：</w:t>
      </w:r>
      <w:r>
        <w:rPr>
          <w:rFonts w:hint="eastAsia" w:ascii="宋体" w:hAnsi="宋体" w:eastAsia="宋体" w:cs="宋体"/>
          <w:b/>
          <w:bCs/>
          <w:sz w:val="32"/>
          <w:szCs w:val="32"/>
          <w:lang w:eastAsia="zh-CN"/>
        </w:rPr>
        <w:t>SXWZ2022ZB-XAXZ-090A</w:t>
      </w:r>
    </w:p>
    <w:p>
      <w:pPr>
        <w:jc w:val="center"/>
        <w:rPr>
          <w:rFonts w:hint="eastAsia" w:ascii="宋体" w:hAnsi="宋体" w:eastAsia="宋体" w:cs="宋体"/>
          <w:sz w:val="44"/>
          <w:szCs w:val="44"/>
        </w:rPr>
      </w:pPr>
    </w:p>
    <w:p>
      <w:pPr>
        <w:jc w:val="both"/>
        <w:rPr>
          <w:rFonts w:hint="eastAsia" w:ascii="宋体" w:hAnsi="宋体" w:eastAsia="宋体" w:cs="宋体"/>
          <w:sz w:val="52"/>
          <w:szCs w:val="52"/>
        </w:rPr>
      </w:pPr>
    </w:p>
    <w:p>
      <w:pPr>
        <w:adjustRightInd w:val="0"/>
        <w:snapToGrid w:val="0"/>
        <w:spacing w:line="360" w:lineRule="auto"/>
        <w:jc w:val="center"/>
        <w:rPr>
          <w:rFonts w:hint="eastAsia" w:asciiTheme="minorEastAsia" w:hAnsiTheme="minorEastAsia" w:eastAsiaTheme="minorEastAsia" w:cstheme="minorEastAsia"/>
          <w:b/>
          <w:sz w:val="52"/>
          <w:szCs w:val="52"/>
          <w:lang w:eastAsia="zh-CN"/>
        </w:rPr>
      </w:pPr>
      <w:r>
        <w:rPr>
          <w:rFonts w:hint="eastAsia" w:ascii="宋体" w:hAnsi="宋体"/>
          <w:b/>
          <w:spacing w:val="20"/>
          <w:sz w:val="48"/>
          <w:szCs w:val="48"/>
          <w:lang w:eastAsia="zh-CN"/>
        </w:rPr>
        <w:t>西安市中心血站血型质管供血试剂耗材采购项目（二次）</w:t>
      </w:r>
    </w:p>
    <w:p>
      <w:pPr>
        <w:jc w:val="center"/>
        <w:rPr>
          <w:rFonts w:hint="eastAsia" w:ascii="宋体" w:hAnsi="宋体" w:eastAsia="宋体" w:cs="宋体"/>
          <w:b/>
          <w:bCs/>
          <w:sz w:val="56"/>
          <w:szCs w:val="56"/>
        </w:rPr>
      </w:pPr>
    </w:p>
    <w:p>
      <w:pPr>
        <w:jc w:val="center"/>
        <w:rPr>
          <w:rFonts w:hint="eastAsia" w:ascii="宋体" w:hAnsi="宋体" w:eastAsia="宋体" w:cs="宋体"/>
          <w:b/>
          <w:bCs/>
          <w:sz w:val="72"/>
          <w:szCs w:val="72"/>
        </w:rPr>
      </w:pPr>
      <w:r>
        <w:rPr>
          <w:rFonts w:hint="eastAsia" w:ascii="宋体" w:hAnsi="宋体" w:eastAsia="宋体" w:cs="宋体"/>
          <w:b/>
          <w:bCs/>
          <w:sz w:val="56"/>
          <w:szCs w:val="56"/>
        </w:rPr>
        <w:t>招标文件</w:t>
      </w:r>
    </w:p>
    <w:p>
      <w:pPr>
        <w:spacing w:line="560" w:lineRule="exact"/>
        <w:ind w:firstLine="816" w:firstLineChars="200"/>
        <w:jc w:val="both"/>
        <w:rPr>
          <w:rFonts w:hint="eastAsia" w:ascii="宋体" w:hAnsi="宋体" w:eastAsia="宋体" w:cs="宋体"/>
          <w:b/>
          <w:bCs/>
          <w:sz w:val="40"/>
          <w:szCs w:val="40"/>
        </w:rPr>
      </w:pPr>
    </w:p>
    <w:p>
      <w:pPr>
        <w:spacing w:line="560" w:lineRule="exact"/>
        <w:ind w:firstLine="816" w:firstLineChars="200"/>
        <w:jc w:val="both"/>
        <w:rPr>
          <w:rFonts w:hint="eastAsia" w:ascii="宋体" w:hAnsi="宋体" w:eastAsia="宋体" w:cs="宋体"/>
          <w:b/>
          <w:bCs/>
          <w:sz w:val="40"/>
          <w:szCs w:val="40"/>
        </w:rPr>
      </w:pPr>
    </w:p>
    <w:p>
      <w:pPr>
        <w:spacing w:line="560" w:lineRule="exact"/>
        <w:ind w:firstLine="816" w:firstLineChars="200"/>
        <w:jc w:val="both"/>
        <w:rPr>
          <w:rFonts w:hint="eastAsia" w:ascii="宋体" w:hAnsi="宋体" w:eastAsia="宋体" w:cs="宋体"/>
          <w:b/>
          <w:bCs/>
          <w:sz w:val="40"/>
          <w:szCs w:val="40"/>
        </w:rPr>
      </w:pPr>
    </w:p>
    <w:p>
      <w:pPr>
        <w:spacing w:line="560" w:lineRule="exact"/>
        <w:ind w:firstLine="816" w:firstLineChars="200"/>
        <w:jc w:val="both"/>
        <w:rPr>
          <w:rFonts w:hint="eastAsia" w:ascii="宋体" w:hAnsi="宋体" w:eastAsia="宋体" w:cs="宋体"/>
          <w:b/>
          <w:bCs/>
          <w:sz w:val="40"/>
          <w:szCs w:val="40"/>
        </w:rPr>
      </w:pPr>
    </w:p>
    <w:p>
      <w:pPr>
        <w:spacing w:line="560" w:lineRule="exact"/>
        <w:ind w:firstLine="816" w:firstLineChars="200"/>
        <w:jc w:val="both"/>
        <w:rPr>
          <w:rFonts w:hint="eastAsia" w:ascii="宋体" w:hAnsi="宋体" w:eastAsia="宋体" w:cs="宋体"/>
          <w:b/>
          <w:bCs/>
          <w:sz w:val="40"/>
          <w:szCs w:val="40"/>
        </w:rPr>
      </w:pPr>
    </w:p>
    <w:p>
      <w:pPr>
        <w:spacing w:line="560" w:lineRule="exact"/>
        <w:jc w:val="both"/>
        <w:rPr>
          <w:rFonts w:hint="eastAsia" w:ascii="宋体" w:hAnsi="宋体" w:eastAsia="宋体" w:cs="宋体"/>
          <w:sz w:val="32"/>
          <w:szCs w:val="32"/>
        </w:rPr>
      </w:pPr>
    </w:p>
    <w:p>
      <w:pPr>
        <w:spacing w:line="560" w:lineRule="exact"/>
        <w:ind w:firstLine="656" w:firstLineChars="200"/>
        <w:jc w:val="center"/>
        <w:rPr>
          <w:rFonts w:hint="eastAsia" w:ascii="宋体" w:hAnsi="宋体" w:eastAsia="宋体" w:cs="宋体"/>
          <w:sz w:val="32"/>
          <w:szCs w:val="32"/>
        </w:rPr>
      </w:pPr>
    </w:p>
    <w:p>
      <w:pPr>
        <w:spacing w:line="560" w:lineRule="exact"/>
        <w:ind w:firstLine="656" w:firstLineChars="200"/>
        <w:jc w:val="center"/>
        <w:rPr>
          <w:rFonts w:hint="eastAsia" w:ascii="宋体" w:hAnsi="宋体" w:eastAsia="宋体" w:cs="宋体"/>
          <w:sz w:val="32"/>
          <w:szCs w:val="32"/>
        </w:rPr>
      </w:pPr>
    </w:p>
    <w:p>
      <w:pPr>
        <w:spacing w:line="560" w:lineRule="exact"/>
        <w:ind w:firstLine="656" w:firstLineChars="200"/>
        <w:jc w:val="center"/>
        <w:rPr>
          <w:rFonts w:hint="eastAsia" w:ascii="宋体" w:hAnsi="宋体" w:eastAsia="宋体" w:cs="宋体"/>
          <w:sz w:val="32"/>
          <w:szCs w:val="32"/>
        </w:rPr>
      </w:pPr>
    </w:p>
    <w:p>
      <w:pPr>
        <w:spacing w:line="560" w:lineRule="exact"/>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陕西万泽招标有限公司</w:t>
      </w:r>
    </w:p>
    <w:p>
      <w:pPr>
        <w:spacing w:line="560" w:lineRule="exact"/>
        <w:jc w:val="center"/>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TIME \@ "yyyy年M月" </w:instrText>
      </w:r>
      <w:r>
        <w:rPr>
          <w:rFonts w:hint="eastAsia" w:ascii="宋体" w:hAnsi="宋体" w:eastAsia="宋体" w:cs="宋体"/>
          <w:sz w:val="32"/>
          <w:szCs w:val="32"/>
        </w:rPr>
        <w:fldChar w:fldCharType="separate"/>
      </w:r>
      <w:r>
        <w:rPr>
          <w:rFonts w:hint="eastAsia" w:ascii="宋体" w:hAnsi="宋体" w:eastAsia="宋体" w:cs="宋体"/>
          <w:sz w:val="32"/>
          <w:szCs w:val="32"/>
        </w:rPr>
        <w:t>2022年8月</w:t>
      </w:r>
      <w:r>
        <w:rPr>
          <w:rFonts w:hint="eastAsia" w:ascii="宋体" w:hAnsi="宋体" w:eastAsia="宋体" w:cs="宋体"/>
          <w:sz w:val="32"/>
          <w:szCs w:val="32"/>
        </w:rPr>
        <w:fldChar w:fldCharType="end"/>
      </w:r>
      <w:r>
        <w:rPr>
          <w:rFonts w:hint="eastAsia" w:ascii="宋体" w:hAnsi="宋体" w:eastAsia="宋体" w:cs="宋体"/>
          <w:sz w:val="32"/>
          <w:szCs w:val="32"/>
        </w:rPr>
        <w:br w:type="page"/>
      </w:r>
    </w:p>
    <w:sdt>
      <w:sdtPr>
        <w:rPr>
          <w:rFonts w:ascii="宋体" w:hAnsi="宋体" w:eastAsia="宋体" w:cs="Times New Roman"/>
          <w:sz w:val="21"/>
          <w:szCs w:val="24"/>
          <w:lang w:val="en-US" w:eastAsia="zh-CN" w:bidi="ar-SA"/>
        </w:rPr>
        <w:id w:val="147452241"/>
        <w15:color w:val="DBDBDB"/>
        <w:docPartObj>
          <w:docPartGallery w:val="Table of Contents"/>
          <w:docPartUnique/>
        </w:docPartObj>
      </w:sdtPr>
      <w:sdtEndPr>
        <w:rPr>
          <w:rFonts w:ascii="宋体" w:hAnsi="宋体" w:eastAsia="宋体" w:cs="Times New Roman"/>
          <w:sz w:val="21"/>
          <w:szCs w:val="24"/>
          <w:lang w:val="en-US" w:eastAsia="zh-CN" w:bidi="ar-SA"/>
        </w:rPr>
      </w:sdtEndPr>
      <w:sdtContent>
        <w:p>
          <w:pPr>
            <w:rPr>
              <w:rFonts w:ascii="宋体" w:hAnsi="宋体" w:eastAsia="宋体" w:cs="Times New Roman"/>
              <w:sz w:val="21"/>
              <w:szCs w:val="24"/>
              <w:lang w:val="en-US" w:eastAsia="zh-CN" w:bidi="ar-SA"/>
            </w:rPr>
          </w:pPr>
          <w:bookmarkStart w:id="0" w:name="_Toc27202"/>
        </w:p>
        <w:sdt>
          <w:sdtPr>
            <w:rPr>
              <w:rFonts w:ascii="宋体" w:hAnsi="宋体" w:eastAsia="宋体" w:cs="Times New Roman"/>
              <w:sz w:val="21"/>
              <w:szCs w:val="24"/>
              <w:lang w:val="en-US" w:eastAsia="zh-CN" w:bidi="ar-SA"/>
            </w:rPr>
            <w:id w:val="147473170"/>
            <w15:color w:val="DBDBDB"/>
            <w:docPartObj>
              <w:docPartGallery w:val="Table of Contents"/>
              <w:docPartUnique/>
            </w:docPartObj>
          </w:sdtPr>
          <w:sdtEndPr>
            <w:rPr>
              <w:rFonts w:ascii="宋体" w:hAnsi="宋体" w:eastAsia="宋体" w:cs="Times New Roman"/>
              <w:sz w:val="21"/>
              <w:szCs w:val="24"/>
              <w:lang w:val="en-US" w:eastAsia="zh-CN" w:bidi="ar-SA"/>
            </w:rPr>
          </w:sdtEndPr>
          <w:sdtContent>
            <w:p>
              <w:pPr>
                <w:keepNext w:val="0"/>
                <w:keepLines w:val="0"/>
                <w:pageBreakBefore w:val="0"/>
                <w:widowControl/>
                <w:kinsoku/>
                <w:wordWrap/>
                <w:overflowPunct/>
                <w:topLinePunct w:val="0"/>
                <w:autoSpaceDE/>
                <w:autoSpaceDN/>
                <w:bidi w:val="0"/>
                <w:adjustRightInd/>
                <w:snapToGrid/>
                <w:spacing w:before="199" w:beforeLines="50" w:after="0" w:afterLines="0" w:line="220" w:lineRule="exact"/>
                <w:ind w:left="0" w:leftChars="0" w:right="0" w:rightChars="0" w:firstLine="436" w:firstLineChars="200"/>
                <w:jc w:val="center"/>
                <w:textAlignment w:val="auto"/>
                <w:rPr>
                  <w:sz w:val="24"/>
                  <w:szCs w:val="24"/>
                </w:rPr>
              </w:pPr>
              <w:r>
                <w:rPr>
                  <w:rFonts w:ascii="宋体" w:hAnsi="宋体" w:eastAsia="宋体"/>
                  <w:sz w:val="24"/>
                  <w:szCs w:val="24"/>
                </w:rPr>
                <w:t>目录</w:t>
              </w:r>
            </w:p>
            <w:p>
              <w:pPr>
                <w:pStyle w:val="24"/>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jc w:val="left"/>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_Toc9005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投标邀请函</w:t>
              </w:r>
              <w:r>
                <w:rPr>
                  <w:sz w:val="24"/>
                  <w:szCs w:val="24"/>
                </w:rPr>
                <w:tab/>
              </w:r>
              <w:r>
                <w:rPr>
                  <w:sz w:val="24"/>
                  <w:szCs w:val="24"/>
                </w:rPr>
                <w:fldChar w:fldCharType="begin"/>
              </w:r>
              <w:r>
                <w:rPr>
                  <w:sz w:val="24"/>
                  <w:szCs w:val="24"/>
                </w:rPr>
                <w:instrText xml:space="preserve"> PAGEREF _Toc9005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sz w:val="24"/>
                  <w:szCs w:val="24"/>
                </w:rPr>
                <w:fldChar w:fldCharType="end"/>
              </w:r>
            </w:p>
            <w:p>
              <w:pPr>
                <w:pStyle w:val="24"/>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_Toc16600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供应商须知</w:t>
              </w:r>
              <w:r>
                <w:rPr>
                  <w:sz w:val="24"/>
                  <w:szCs w:val="24"/>
                </w:rPr>
                <w:tab/>
              </w:r>
              <w:r>
                <w:rPr>
                  <w:sz w:val="24"/>
                  <w:szCs w:val="24"/>
                </w:rPr>
                <w:fldChar w:fldCharType="begin"/>
              </w:r>
              <w:r>
                <w:rPr>
                  <w:sz w:val="24"/>
                  <w:szCs w:val="24"/>
                </w:rPr>
                <w:instrText xml:space="preserve"> PAGEREF _Toc16600 \h </w:instrText>
              </w:r>
              <w:r>
                <w:rPr>
                  <w:sz w:val="24"/>
                  <w:szCs w:val="24"/>
                </w:rPr>
                <w:fldChar w:fldCharType="separate"/>
              </w:r>
              <w:r>
                <w:rPr>
                  <w:sz w:val="24"/>
                  <w:szCs w:val="24"/>
                </w:rPr>
                <w:t>11</w:t>
              </w:r>
              <w:r>
                <w:rPr>
                  <w:sz w:val="24"/>
                  <w:szCs w:val="24"/>
                </w:rPr>
                <w:fldChar w:fldCharType="end"/>
              </w:r>
              <w:r>
                <w:rPr>
                  <w:rFonts w:hint="eastAsia" w:ascii="宋体" w:hAnsi="宋体" w:eastAsia="宋体" w:cs="宋体"/>
                  <w:sz w:val="24"/>
                  <w:szCs w:val="24"/>
                </w:rPr>
                <w:fldChar w:fldCharType="end"/>
              </w:r>
            </w:p>
            <w:p>
              <w:pPr>
                <w:pStyle w:val="26"/>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left="0" w:leftChars="0"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_Toc7075 </w:instrText>
              </w:r>
              <w:r>
                <w:rPr>
                  <w:rFonts w:hint="eastAsia" w:ascii="宋体" w:hAnsi="宋体" w:eastAsia="宋体" w:cs="宋体"/>
                  <w:sz w:val="24"/>
                  <w:szCs w:val="24"/>
                </w:rPr>
                <w:fldChar w:fldCharType="separate"/>
              </w:r>
              <w:r>
                <w:rPr>
                  <w:rFonts w:hint="eastAsia" w:ascii="宋体" w:hAnsi="宋体" w:eastAsia="宋体" w:cs="宋体"/>
                  <w:sz w:val="24"/>
                  <w:szCs w:val="24"/>
                </w:rPr>
                <w:t>〖前附表〗</w:t>
              </w:r>
              <w:r>
                <w:rPr>
                  <w:sz w:val="24"/>
                  <w:szCs w:val="24"/>
                </w:rPr>
                <w:tab/>
              </w:r>
              <w:r>
                <w:rPr>
                  <w:sz w:val="24"/>
                  <w:szCs w:val="24"/>
                </w:rPr>
                <w:fldChar w:fldCharType="begin"/>
              </w:r>
              <w:r>
                <w:rPr>
                  <w:sz w:val="24"/>
                  <w:szCs w:val="24"/>
                </w:rPr>
                <w:instrText xml:space="preserve"> PAGEREF _Toc7075 \h </w:instrText>
              </w:r>
              <w:r>
                <w:rPr>
                  <w:sz w:val="24"/>
                  <w:szCs w:val="24"/>
                </w:rPr>
                <w:fldChar w:fldCharType="separate"/>
              </w:r>
              <w:r>
                <w:rPr>
                  <w:sz w:val="24"/>
                  <w:szCs w:val="24"/>
                </w:rPr>
                <w:t>11</w:t>
              </w:r>
              <w:r>
                <w:rPr>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_Toc24850 </w:instrText>
              </w:r>
              <w:r>
                <w:rPr>
                  <w:rFonts w:hint="eastAsia" w:ascii="宋体" w:hAnsi="宋体" w:eastAsia="宋体" w:cs="宋体"/>
                  <w:sz w:val="24"/>
                  <w:szCs w:val="24"/>
                </w:rPr>
                <w:fldChar w:fldCharType="separate"/>
              </w:r>
              <w:r>
                <w:rPr>
                  <w:rFonts w:hint="eastAsia" w:ascii="宋体" w:hAnsi="宋体" w:eastAsia="宋体" w:cs="宋体"/>
                  <w:sz w:val="24"/>
                  <w:szCs w:val="24"/>
                </w:rPr>
                <w:t>一、有关定义</w:t>
              </w:r>
              <w:r>
                <w:rPr>
                  <w:sz w:val="24"/>
                  <w:szCs w:val="24"/>
                </w:rPr>
                <w:tab/>
              </w:r>
              <w:r>
                <w:rPr>
                  <w:sz w:val="24"/>
                  <w:szCs w:val="24"/>
                </w:rPr>
                <w:fldChar w:fldCharType="begin"/>
              </w:r>
              <w:r>
                <w:rPr>
                  <w:sz w:val="24"/>
                  <w:szCs w:val="24"/>
                </w:rPr>
                <w:instrText xml:space="preserve"> PAGEREF _Toc24850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_Toc31684 </w:instrText>
              </w:r>
              <w:r>
                <w:rPr>
                  <w:rFonts w:hint="eastAsia" w:ascii="宋体" w:hAnsi="宋体" w:eastAsia="宋体" w:cs="宋体"/>
                  <w:sz w:val="24"/>
                  <w:szCs w:val="24"/>
                </w:rPr>
                <w:fldChar w:fldCharType="separate"/>
              </w:r>
              <w:r>
                <w:rPr>
                  <w:rFonts w:hint="eastAsia" w:ascii="宋体" w:hAnsi="宋体" w:eastAsia="宋体" w:cs="宋体"/>
                  <w:bCs/>
                  <w:sz w:val="24"/>
                  <w:szCs w:val="24"/>
                </w:rPr>
                <w:t>二、供应商注意事项</w:t>
              </w:r>
              <w:r>
                <w:rPr>
                  <w:sz w:val="24"/>
                  <w:szCs w:val="24"/>
                </w:rPr>
                <w:tab/>
              </w:r>
              <w:r>
                <w:rPr>
                  <w:sz w:val="24"/>
                  <w:szCs w:val="24"/>
                </w:rPr>
                <w:fldChar w:fldCharType="begin"/>
              </w:r>
              <w:r>
                <w:rPr>
                  <w:sz w:val="24"/>
                  <w:szCs w:val="24"/>
                </w:rPr>
                <w:instrText xml:space="preserve"> PAGEREF _Toc31684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_Toc25953 </w:instrText>
              </w:r>
              <w:r>
                <w:rPr>
                  <w:rFonts w:hint="eastAsia" w:ascii="宋体" w:hAnsi="宋体" w:eastAsia="宋体" w:cs="宋体"/>
                  <w:sz w:val="24"/>
                  <w:szCs w:val="24"/>
                </w:rPr>
                <w:fldChar w:fldCharType="separate"/>
              </w:r>
              <w:r>
                <w:rPr>
                  <w:rFonts w:hint="eastAsia" w:ascii="宋体" w:hAnsi="宋体" w:eastAsia="宋体" w:cs="宋体"/>
                  <w:bCs/>
                  <w:sz w:val="24"/>
                  <w:szCs w:val="24"/>
                </w:rPr>
                <w:t>三、招标文件</w:t>
              </w:r>
              <w:r>
                <w:rPr>
                  <w:sz w:val="24"/>
                  <w:szCs w:val="24"/>
                </w:rPr>
                <w:tab/>
              </w:r>
              <w:r>
                <w:rPr>
                  <w:sz w:val="24"/>
                  <w:szCs w:val="24"/>
                </w:rPr>
                <w:fldChar w:fldCharType="begin"/>
              </w:r>
              <w:r>
                <w:rPr>
                  <w:sz w:val="24"/>
                  <w:szCs w:val="24"/>
                </w:rPr>
                <w:instrText xml:space="preserve"> PAGEREF _Toc25953 \h </w:instrText>
              </w:r>
              <w:r>
                <w:rPr>
                  <w:sz w:val="24"/>
                  <w:szCs w:val="24"/>
                </w:rPr>
                <w:fldChar w:fldCharType="separate"/>
              </w:r>
              <w:r>
                <w:rPr>
                  <w:sz w:val="24"/>
                  <w:szCs w:val="24"/>
                </w:rPr>
                <w:t>25</w:t>
              </w:r>
              <w:r>
                <w:rPr>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_Toc19295 </w:instrText>
              </w:r>
              <w:r>
                <w:rPr>
                  <w:rFonts w:hint="eastAsia" w:ascii="宋体" w:hAnsi="宋体" w:eastAsia="宋体" w:cs="宋体"/>
                  <w:sz w:val="24"/>
                  <w:szCs w:val="24"/>
                </w:rPr>
                <w:fldChar w:fldCharType="separate"/>
              </w:r>
              <w:r>
                <w:rPr>
                  <w:rFonts w:hint="eastAsia" w:ascii="宋体" w:hAnsi="宋体" w:eastAsia="宋体" w:cs="宋体"/>
                  <w:bCs/>
                  <w:sz w:val="24"/>
                  <w:szCs w:val="24"/>
                </w:rPr>
                <w:t>四、投标文件</w:t>
              </w:r>
              <w:r>
                <w:rPr>
                  <w:sz w:val="24"/>
                  <w:szCs w:val="24"/>
                </w:rPr>
                <w:tab/>
              </w:r>
              <w:r>
                <w:rPr>
                  <w:sz w:val="24"/>
                  <w:szCs w:val="24"/>
                </w:rPr>
                <w:fldChar w:fldCharType="begin"/>
              </w:r>
              <w:r>
                <w:rPr>
                  <w:sz w:val="24"/>
                  <w:szCs w:val="24"/>
                </w:rPr>
                <w:instrText xml:space="preserve"> PAGEREF _Toc19295 \h </w:instrText>
              </w:r>
              <w:r>
                <w:rPr>
                  <w:sz w:val="24"/>
                  <w:szCs w:val="24"/>
                </w:rPr>
                <w:fldChar w:fldCharType="separate"/>
              </w:r>
              <w:r>
                <w:rPr>
                  <w:sz w:val="24"/>
                  <w:szCs w:val="24"/>
                </w:rPr>
                <w:t>27</w:t>
              </w:r>
              <w:r>
                <w:rPr>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_Toc273 </w:instrText>
              </w:r>
              <w:r>
                <w:rPr>
                  <w:rFonts w:hint="eastAsia" w:ascii="宋体" w:hAnsi="宋体" w:eastAsia="宋体" w:cs="宋体"/>
                  <w:sz w:val="24"/>
                  <w:szCs w:val="24"/>
                </w:rPr>
                <w:fldChar w:fldCharType="separate"/>
              </w:r>
              <w:r>
                <w:rPr>
                  <w:rFonts w:hint="eastAsia" w:ascii="宋体" w:hAnsi="宋体" w:eastAsia="宋体" w:cs="宋体"/>
                  <w:sz w:val="24"/>
                  <w:szCs w:val="24"/>
                </w:rPr>
                <w:t>五、开标程序</w:t>
              </w:r>
              <w:r>
                <w:rPr>
                  <w:sz w:val="24"/>
                  <w:szCs w:val="24"/>
                </w:rPr>
                <w:tab/>
              </w:r>
              <w:r>
                <w:rPr>
                  <w:sz w:val="24"/>
                  <w:szCs w:val="24"/>
                </w:rPr>
                <w:fldChar w:fldCharType="begin"/>
              </w:r>
              <w:r>
                <w:rPr>
                  <w:sz w:val="24"/>
                  <w:szCs w:val="24"/>
                </w:rPr>
                <w:instrText xml:space="preserve"> PAGEREF _Toc273 \h </w:instrText>
              </w:r>
              <w:r>
                <w:rPr>
                  <w:sz w:val="24"/>
                  <w:szCs w:val="24"/>
                </w:rPr>
                <w:fldChar w:fldCharType="separate"/>
              </w:r>
              <w:r>
                <w:rPr>
                  <w:sz w:val="24"/>
                  <w:szCs w:val="24"/>
                </w:rPr>
                <w:t>31</w:t>
              </w:r>
              <w:r>
                <w:rPr>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_Toc30821 </w:instrText>
              </w:r>
              <w:r>
                <w:rPr>
                  <w:rFonts w:hint="eastAsia" w:ascii="宋体" w:hAnsi="宋体" w:eastAsia="宋体" w:cs="宋体"/>
                  <w:sz w:val="24"/>
                  <w:szCs w:val="24"/>
                </w:rPr>
                <w:fldChar w:fldCharType="separate"/>
              </w:r>
              <w:r>
                <w:rPr>
                  <w:rFonts w:hint="eastAsia" w:ascii="宋体" w:hAnsi="宋体" w:eastAsia="宋体" w:cs="宋体"/>
                  <w:bCs/>
                  <w:sz w:val="24"/>
                  <w:szCs w:val="24"/>
                </w:rPr>
                <w:t>六、资格审查</w:t>
              </w:r>
              <w:r>
                <w:rPr>
                  <w:sz w:val="24"/>
                  <w:szCs w:val="24"/>
                </w:rPr>
                <w:tab/>
              </w:r>
              <w:r>
                <w:rPr>
                  <w:sz w:val="24"/>
                  <w:szCs w:val="24"/>
                </w:rPr>
                <w:fldChar w:fldCharType="begin"/>
              </w:r>
              <w:r>
                <w:rPr>
                  <w:sz w:val="24"/>
                  <w:szCs w:val="24"/>
                </w:rPr>
                <w:instrText xml:space="preserve"> PAGEREF _Toc30821 \h </w:instrText>
              </w:r>
              <w:r>
                <w:rPr>
                  <w:sz w:val="24"/>
                  <w:szCs w:val="24"/>
                </w:rPr>
                <w:fldChar w:fldCharType="separate"/>
              </w:r>
              <w:r>
                <w:rPr>
                  <w:sz w:val="24"/>
                  <w:szCs w:val="24"/>
                </w:rPr>
                <w:t>32</w:t>
              </w:r>
              <w:r>
                <w:rPr>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_Toc6881 </w:instrText>
              </w:r>
              <w:r>
                <w:rPr>
                  <w:rFonts w:hint="eastAsia" w:ascii="宋体" w:hAnsi="宋体" w:eastAsia="宋体" w:cs="宋体"/>
                  <w:sz w:val="24"/>
                  <w:szCs w:val="24"/>
                </w:rPr>
                <w:fldChar w:fldCharType="separate"/>
              </w:r>
              <w:r>
                <w:rPr>
                  <w:rFonts w:hint="eastAsia" w:ascii="宋体" w:hAnsi="宋体" w:eastAsia="宋体" w:cs="宋体"/>
                  <w:bCs/>
                  <w:sz w:val="24"/>
                  <w:szCs w:val="24"/>
                </w:rPr>
                <w:t>七、评审方法和程序</w:t>
              </w:r>
              <w:r>
                <w:rPr>
                  <w:sz w:val="24"/>
                  <w:szCs w:val="24"/>
                </w:rPr>
                <w:tab/>
              </w:r>
              <w:r>
                <w:rPr>
                  <w:sz w:val="24"/>
                  <w:szCs w:val="24"/>
                </w:rPr>
                <w:fldChar w:fldCharType="begin"/>
              </w:r>
              <w:r>
                <w:rPr>
                  <w:sz w:val="24"/>
                  <w:szCs w:val="24"/>
                </w:rPr>
                <w:instrText xml:space="preserve"> PAGEREF _Toc6881 \h </w:instrText>
              </w:r>
              <w:r>
                <w:rPr>
                  <w:sz w:val="24"/>
                  <w:szCs w:val="24"/>
                </w:rPr>
                <w:fldChar w:fldCharType="separate"/>
              </w:r>
              <w:r>
                <w:rPr>
                  <w:sz w:val="24"/>
                  <w:szCs w:val="24"/>
                </w:rPr>
                <w:t>35</w:t>
              </w:r>
              <w:r>
                <w:rPr>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_Toc25850 </w:instrText>
              </w:r>
              <w:r>
                <w:rPr>
                  <w:rFonts w:hint="eastAsia" w:ascii="宋体" w:hAnsi="宋体" w:eastAsia="宋体" w:cs="宋体"/>
                  <w:sz w:val="24"/>
                  <w:szCs w:val="24"/>
                </w:rPr>
                <w:fldChar w:fldCharType="separate"/>
              </w:r>
              <w:r>
                <w:rPr>
                  <w:rFonts w:hint="eastAsia" w:ascii="宋体" w:hAnsi="宋体" w:eastAsia="宋体" w:cs="宋体"/>
                  <w:bCs/>
                  <w:sz w:val="24"/>
                  <w:szCs w:val="24"/>
                </w:rPr>
                <w:t>八、中标</w:t>
              </w:r>
              <w:r>
                <w:rPr>
                  <w:sz w:val="24"/>
                  <w:szCs w:val="24"/>
                </w:rPr>
                <w:tab/>
              </w:r>
              <w:r>
                <w:rPr>
                  <w:sz w:val="24"/>
                  <w:szCs w:val="24"/>
                </w:rPr>
                <w:fldChar w:fldCharType="begin"/>
              </w:r>
              <w:r>
                <w:rPr>
                  <w:sz w:val="24"/>
                  <w:szCs w:val="24"/>
                </w:rPr>
                <w:instrText xml:space="preserve"> PAGEREF _Toc25850 \h </w:instrText>
              </w:r>
              <w:r>
                <w:rPr>
                  <w:sz w:val="24"/>
                  <w:szCs w:val="24"/>
                </w:rPr>
                <w:fldChar w:fldCharType="separate"/>
              </w:r>
              <w:r>
                <w:rPr>
                  <w:sz w:val="24"/>
                  <w:szCs w:val="24"/>
                </w:rPr>
                <w:t>50</w:t>
              </w:r>
              <w:r>
                <w:rPr>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_Toc20787 </w:instrText>
              </w:r>
              <w:r>
                <w:rPr>
                  <w:rFonts w:hint="eastAsia" w:ascii="宋体" w:hAnsi="宋体" w:eastAsia="宋体" w:cs="宋体"/>
                  <w:sz w:val="24"/>
                  <w:szCs w:val="24"/>
                </w:rPr>
                <w:fldChar w:fldCharType="separate"/>
              </w:r>
              <w:r>
                <w:rPr>
                  <w:rFonts w:hint="eastAsia" w:ascii="宋体" w:hAnsi="宋体" w:eastAsia="宋体" w:cs="宋体"/>
                  <w:bCs/>
                  <w:sz w:val="24"/>
                  <w:szCs w:val="24"/>
                </w:rPr>
                <w:t>九、合同签订、履行及验收</w:t>
              </w:r>
              <w:r>
                <w:rPr>
                  <w:sz w:val="24"/>
                  <w:szCs w:val="24"/>
                </w:rPr>
                <w:tab/>
              </w:r>
              <w:r>
                <w:rPr>
                  <w:sz w:val="24"/>
                  <w:szCs w:val="24"/>
                </w:rPr>
                <w:fldChar w:fldCharType="begin"/>
              </w:r>
              <w:r>
                <w:rPr>
                  <w:sz w:val="24"/>
                  <w:szCs w:val="24"/>
                </w:rPr>
                <w:instrText xml:space="preserve"> PAGEREF _Toc20787 \h </w:instrText>
              </w:r>
              <w:r>
                <w:rPr>
                  <w:sz w:val="24"/>
                  <w:szCs w:val="24"/>
                </w:rPr>
                <w:fldChar w:fldCharType="separate"/>
              </w:r>
              <w:r>
                <w:rPr>
                  <w:sz w:val="24"/>
                  <w:szCs w:val="24"/>
                </w:rPr>
                <w:t>51</w:t>
              </w:r>
              <w:r>
                <w:rPr>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_Toc20328 </w:instrText>
              </w:r>
              <w:r>
                <w:rPr>
                  <w:rFonts w:hint="eastAsia" w:ascii="宋体" w:hAnsi="宋体" w:eastAsia="宋体" w:cs="宋体"/>
                  <w:sz w:val="24"/>
                  <w:szCs w:val="24"/>
                </w:rPr>
                <w:fldChar w:fldCharType="separate"/>
              </w:r>
              <w:r>
                <w:rPr>
                  <w:rFonts w:hint="eastAsia" w:ascii="宋体" w:hAnsi="宋体" w:eastAsia="宋体" w:cs="宋体"/>
                  <w:bCs/>
                  <w:sz w:val="24"/>
                  <w:szCs w:val="24"/>
                </w:rPr>
                <w:t>十、废标及重新招标</w:t>
              </w:r>
              <w:r>
                <w:rPr>
                  <w:sz w:val="24"/>
                  <w:szCs w:val="24"/>
                </w:rPr>
                <w:tab/>
              </w:r>
              <w:r>
                <w:rPr>
                  <w:sz w:val="24"/>
                  <w:szCs w:val="24"/>
                </w:rPr>
                <w:fldChar w:fldCharType="begin"/>
              </w:r>
              <w:r>
                <w:rPr>
                  <w:sz w:val="24"/>
                  <w:szCs w:val="24"/>
                </w:rPr>
                <w:instrText xml:space="preserve"> PAGEREF _Toc20328 \h </w:instrText>
              </w:r>
              <w:r>
                <w:rPr>
                  <w:sz w:val="24"/>
                  <w:szCs w:val="24"/>
                </w:rPr>
                <w:fldChar w:fldCharType="separate"/>
              </w:r>
              <w:r>
                <w:rPr>
                  <w:sz w:val="24"/>
                  <w:szCs w:val="24"/>
                </w:rPr>
                <w:t>52</w:t>
              </w:r>
              <w:r>
                <w:rPr>
                  <w:sz w:val="24"/>
                  <w:szCs w:val="24"/>
                </w:rPr>
                <w:fldChar w:fldCharType="end"/>
              </w:r>
              <w:r>
                <w:rPr>
                  <w:rFonts w:hint="eastAsia" w:ascii="宋体" w:hAnsi="宋体" w:eastAsia="宋体" w:cs="宋体"/>
                  <w:sz w:val="24"/>
                  <w:szCs w:val="24"/>
                </w:rPr>
                <w:fldChar w:fldCharType="end"/>
              </w:r>
            </w:p>
            <w:p>
              <w:pPr>
                <w:pStyle w:val="24"/>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_Toc25821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招标内容及要求</w:t>
              </w:r>
              <w:r>
                <w:rPr>
                  <w:sz w:val="24"/>
                  <w:szCs w:val="24"/>
                </w:rPr>
                <w:tab/>
              </w:r>
              <w:r>
                <w:rPr>
                  <w:sz w:val="24"/>
                  <w:szCs w:val="24"/>
                </w:rPr>
                <w:fldChar w:fldCharType="begin"/>
              </w:r>
              <w:r>
                <w:rPr>
                  <w:sz w:val="24"/>
                  <w:szCs w:val="24"/>
                </w:rPr>
                <w:instrText xml:space="preserve"> PAGEREF _Toc25821 \h </w:instrText>
              </w:r>
              <w:r>
                <w:rPr>
                  <w:sz w:val="24"/>
                  <w:szCs w:val="24"/>
                </w:rPr>
                <w:fldChar w:fldCharType="separate"/>
              </w:r>
              <w:r>
                <w:rPr>
                  <w:sz w:val="24"/>
                  <w:szCs w:val="24"/>
                </w:rPr>
                <w:t>53</w:t>
              </w:r>
              <w:r>
                <w:rPr>
                  <w:sz w:val="24"/>
                  <w:szCs w:val="24"/>
                </w:rPr>
                <w:fldChar w:fldCharType="end"/>
              </w:r>
              <w:r>
                <w:rPr>
                  <w:rFonts w:hint="eastAsia" w:ascii="宋体" w:hAnsi="宋体" w:eastAsia="宋体" w:cs="宋体"/>
                  <w:sz w:val="24"/>
                  <w:szCs w:val="24"/>
                </w:rPr>
                <w:fldChar w:fldCharType="end"/>
              </w:r>
            </w:p>
            <w:p>
              <w:pPr>
                <w:pStyle w:val="24"/>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_Toc10799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合同文本</w:t>
              </w:r>
              <w:r>
                <w:rPr>
                  <w:sz w:val="24"/>
                  <w:szCs w:val="24"/>
                </w:rPr>
                <w:tab/>
              </w:r>
              <w:r>
                <w:rPr>
                  <w:sz w:val="24"/>
                  <w:szCs w:val="24"/>
                </w:rPr>
                <w:fldChar w:fldCharType="begin"/>
              </w:r>
              <w:r>
                <w:rPr>
                  <w:sz w:val="24"/>
                  <w:szCs w:val="24"/>
                </w:rPr>
                <w:instrText xml:space="preserve"> PAGEREF _Toc10799 \h </w:instrText>
              </w:r>
              <w:r>
                <w:rPr>
                  <w:sz w:val="24"/>
                  <w:szCs w:val="24"/>
                </w:rPr>
                <w:fldChar w:fldCharType="separate"/>
              </w:r>
              <w:r>
                <w:rPr>
                  <w:sz w:val="24"/>
                  <w:szCs w:val="24"/>
                </w:rPr>
                <w:t>69</w:t>
              </w:r>
              <w:r>
                <w:rPr>
                  <w:sz w:val="24"/>
                  <w:szCs w:val="24"/>
                </w:rPr>
                <w:fldChar w:fldCharType="end"/>
              </w:r>
              <w:r>
                <w:rPr>
                  <w:rFonts w:hint="eastAsia" w:ascii="宋体" w:hAnsi="宋体" w:eastAsia="宋体" w:cs="宋体"/>
                  <w:sz w:val="24"/>
                  <w:szCs w:val="24"/>
                </w:rPr>
                <w:fldChar w:fldCharType="end"/>
              </w:r>
            </w:p>
            <w:p>
              <w:pPr>
                <w:pStyle w:val="24"/>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_Toc28166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投标文件构成及格式</w:t>
              </w:r>
              <w:r>
                <w:rPr>
                  <w:sz w:val="24"/>
                  <w:szCs w:val="24"/>
                </w:rPr>
                <w:tab/>
              </w:r>
              <w:r>
                <w:rPr>
                  <w:sz w:val="24"/>
                  <w:szCs w:val="24"/>
                </w:rPr>
                <w:fldChar w:fldCharType="begin"/>
              </w:r>
              <w:r>
                <w:rPr>
                  <w:sz w:val="24"/>
                  <w:szCs w:val="24"/>
                </w:rPr>
                <w:instrText xml:space="preserve"> PAGEREF _Toc28166 \h </w:instrText>
              </w:r>
              <w:r>
                <w:rPr>
                  <w:sz w:val="24"/>
                  <w:szCs w:val="24"/>
                </w:rPr>
                <w:fldChar w:fldCharType="separate"/>
              </w:r>
              <w:r>
                <w:rPr>
                  <w:sz w:val="24"/>
                  <w:szCs w:val="24"/>
                </w:rPr>
                <w:t>75</w:t>
              </w:r>
              <w:r>
                <w:rPr>
                  <w:sz w:val="24"/>
                  <w:szCs w:val="24"/>
                </w:rPr>
                <w:fldChar w:fldCharType="end"/>
              </w:r>
              <w:r>
                <w:rPr>
                  <w:rFonts w:hint="eastAsia" w:ascii="宋体" w:hAnsi="宋体" w:eastAsia="宋体" w:cs="宋体"/>
                  <w:sz w:val="24"/>
                  <w:szCs w:val="24"/>
                </w:rPr>
                <w:fldChar w:fldCharType="end"/>
              </w:r>
            </w:p>
            <w:p>
              <w:pPr>
                <w:pStyle w:val="26"/>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_Toc12096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第一部分  投标函</w:t>
              </w:r>
              <w:r>
                <w:rPr>
                  <w:sz w:val="24"/>
                  <w:szCs w:val="24"/>
                </w:rPr>
                <w:tab/>
              </w:r>
              <w:r>
                <w:rPr>
                  <w:sz w:val="24"/>
                  <w:szCs w:val="24"/>
                </w:rPr>
                <w:fldChar w:fldCharType="begin"/>
              </w:r>
              <w:r>
                <w:rPr>
                  <w:sz w:val="24"/>
                  <w:szCs w:val="24"/>
                </w:rPr>
                <w:instrText xml:space="preserve"> PAGEREF _Toc12096 \h </w:instrText>
              </w:r>
              <w:r>
                <w:rPr>
                  <w:sz w:val="24"/>
                  <w:szCs w:val="24"/>
                </w:rPr>
                <w:fldChar w:fldCharType="separate"/>
              </w:r>
              <w:r>
                <w:rPr>
                  <w:sz w:val="24"/>
                  <w:szCs w:val="24"/>
                </w:rPr>
                <w:t>77</w:t>
              </w:r>
              <w:r>
                <w:rPr>
                  <w:sz w:val="24"/>
                  <w:szCs w:val="24"/>
                </w:rPr>
                <w:fldChar w:fldCharType="end"/>
              </w:r>
              <w:r>
                <w:rPr>
                  <w:rFonts w:hint="eastAsia" w:ascii="宋体" w:hAnsi="宋体" w:eastAsia="宋体" w:cs="宋体"/>
                  <w:sz w:val="24"/>
                  <w:szCs w:val="24"/>
                </w:rPr>
                <w:fldChar w:fldCharType="end"/>
              </w:r>
            </w:p>
            <w:p>
              <w:pPr>
                <w:pStyle w:val="26"/>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_Toc31891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第二部分 开标一览表</w:t>
              </w:r>
              <w:r>
                <w:rPr>
                  <w:sz w:val="24"/>
                  <w:szCs w:val="24"/>
                </w:rPr>
                <w:tab/>
              </w:r>
              <w:r>
                <w:rPr>
                  <w:sz w:val="24"/>
                  <w:szCs w:val="24"/>
                </w:rPr>
                <w:fldChar w:fldCharType="begin"/>
              </w:r>
              <w:r>
                <w:rPr>
                  <w:sz w:val="24"/>
                  <w:szCs w:val="24"/>
                </w:rPr>
                <w:instrText xml:space="preserve"> PAGEREF _Toc31891 \h </w:instrText>
              </w:r>
              <w:r>
                <w:rPr>
                  <w:sz w:val="24"/>
                  <w:szCs w:val="24"/>
                </w:rPr>
                <w:fldChar w:fldCharType="separate"/>
              </w:r>
              <w:r>
                <w:rPr>
                  <w:sz w:val="24"/>
                  <w:szCs w:val="24"/>
                </w:rPr>
                <w:t>78</w:t>
              </w:r>
              <w:r>
                <w:rPr>
                  <w:sz w:val="24"/>
                  <w:szCs w:val="24"/>
                </w:rPr>
                <w:fldChar w:fldCharType="end"/>
              </w:r>
              <w:r>
                <w:rPr>
                  <w:rFonts w:hint="eastAsia" w:ascii="宋体" w:hAnsi="宋体" w:eastAsia="宋体" w:cs="宋体"/>
                  <w:sz w:val="24"/>
                  <w:szCs w:val="24"/>
                </w:rPr>
                <w:fldChar w:fldCharType="end"/>
              </w:r>
            </w:p>
            <w:p>
              <w:pPr>
                <w:pStyle w:val="26"/>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_Toc28359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第三部分  资格证明文件</w:t>
              </w:r>
              <w:r>
                <w:rPr>
                  <w:sz w:val="24"/>
                  <w:szCs w:val="24"/>
                </w:rPr>
                <w:tab/>
              </w:r>
              <w:r>
                <w:rPr>
                  <w:sz w:val="24"/>
                  <w:szCs w:val="24"/>
                </w:rPr>
                <w:fldChar w:fldCharType="begin"/>
              </w:r>
              <w:r>
                <w:rPr>
                  <w:sz w:val="24"/>
                  <w:szCs w:val="24"/>
                </w:rPr>
                <w:instrText xml:space="preserve"> PAGEREF _Toc28359 \h </w:instrText>
              </w:r>
              <w:r>
                <w:rPr>
                  <w:sz w:val="24"/>
                  <w:szCs w:val="24"/>
                </w:rPr>
                <w:fldChar w:fldCharType="separate"/>
              </w:r>
              <w:r>
                <w:rPr>
                  <w:sz w:val="24"/>
                  <w:szCs w:val="24"/>
                </w:rPr>
                <w:t>81</w:t>
              </w:r>
              <w:r>
                <w:rPr>
                  <w:sz w:val="24"/>
                  <w:szCs w:val="24"/>
                </w:rPr>
                <w:fldChar w:fldCharType="end"/>
              </w:r>
              <w:r>
                <w:rPr>
                  <w:rFonts w:hint="eastAsia" w:ascii="宋体" w:hAnsi="宋体" w:eastAsia="宋体" w:cs="宋体"/>
                  <w:sz w:val="24"/>
                  <w:szCs w:val="24"/>
                </w:rPr>
                <w:fldChar w:fldCharType="end"/>
              </w:r>
            </w:p>
            <w:p>
              <w:pPr>
                <w:pStyle w:val="26"/>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_Toc8729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第四部分  供应商概况</w:t>
              </w:r>
              <w:r>
                <w:rPr>
                  <w:sz w:val="24"/>
                  <w:szCs w:val="24"/>
                </w:rPr>
                <w:tab/>
              </w:r>
              <w:r>
                <w:rPr>
                  <w:sz w:val="24"/>
                  <w:szCs w:val="24"/>
                </w:rPr>
                <w:fldChar w:fldCharType="begin"/>
              </w:r>
              <w:r>
                <w:rPr>
                  <w:sz w:val="24"/>
                  <w:szCs w:val="24"/>
                </w:rPr>
                <w:instrText xml:space="preserve"> PAGEREF _Toc8729 \h </w:instrText>
              </w:r>
              <w:r>
                <w:rPr>
                  <w:sz w:val="24"/>
                  <w:szCs w:val="24"/>
                </w:rPr>
                <w:fldChar w:fldCharType="separate"/>
              </w:r>
              <w:r>
                <w:rPr>
                  <w:sz w:val="24"/>
                  <w:szCs w:val="24"/>
                </w:rPr>
                <w:t>86</w:t>
              </w:r>
              <w:r>
                <w:rPr>
                  <w:sz w:val="24"/>
                  <w:szCs w:val="24"/>
                </w:rPr>
                <w:fldChar w:fldCharType="end"/>
              </w:r>
              <w:r>
                <w:rPr>
                  <w:rFonts w:hint="eastAsia" w:ascii="宋体" w:hAnsi="宋体" w:eastAsia="宋体" w:cs="宋体"/>
                  <w:sz w:val="24"/>
                  <w:szCs w:val="24"/>
                </w:rPr>
                <w:fldChar w:fldCharType="end"/>
              </w:r>
            </w:p>
            <w:p>
              <w:pPr>
                <w:pStyle w:val="26"/>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_Toc24840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w:t>
              </w:r>
              <w:r>
                <w:rPr>
                  <w:rFonts w:hint="eastAsia" w:ascii="宋体" w:hAnsi="宋体" w:eastAsia="宋体" w:cs="宋体"/>
                  <w:bCs/>
                  <w:sz w:val="24"/>
                  <w:szCs w:val="24"/>
                  <w:lang w:val="en-US" w:eastAsia="zh-CN"/>
                </w:rPr>
                <w:t>五</w:t>
              </w:r>
              <w:r>
                <w:rPr>
                  <w:rFonts w:hint="eastAsia" w:ascii="宋体" w:hAnsi="宋体" w:eastAsia="宋体" w:cs="宋体"/>
                  <w:bCs/>
                  <w:sz w:val="24"/>
                  <w:szCs w:val="24"/>
                  <w:lang w:eastAsia="zh-CN"/>
                </w:rPr>
                <w:t>部分</w:t>
              </w:r>
              <w:r>
                <w:rPr>
                  <w:rFonts w:hint="eastAsia" w:ascii="宋体" w:hAnsi="宋体" w:eastAsia="宋体" w:cs="宋体"/>
                  <w:bCs/>
                  <w:sz w:val="24"/>
                  <w:szCs w:val="24"/>
                </w:rPr>
                <w:t xml:space="preserve">  商务和需求响应偏离表</w:t>
              </w:r>
              <w:r>
                <w:rPr>
                  <w:sz w:val="24"/>
                  <w:szCs w:val="24"/>
                </w:rPr>
                <w:tab/>
              </w:r>
              <w:r>
                <w:rPr>
                  <w:sz w:val="24"/>
                  <w:szCs w:val="24"/>
                </w:rPr>
                <w:fldChar w:fldCharType="begin"/>
              </w:r>
              <w:r>
                <w:rPr>
                  <w:sz w:val="24"/>
                  <w:szCs w:val="24"/>
                </w:rPr>
                <w:instrText xml:space="preserve"> PAGEREF _Toc24840 \h </w:instrText>
              </w:r>
              <w:r>
                <w:rPr>
                  <w:sz w:val="24"/>
                  <w:szCs w:val="24"/>
                </w:rPr>
                <w:fldChar w:fldCharType="separate"/>
              </w:r>
              <w:r>
                <w:rPr>
                  <w:sz w:val="24"/>
                  <w:szCs w:val="24"/>
                </w:rPr>
                <w:t>87</w:t>
              </w:r>
              <w:r>
                <w:rPr>
                  <w:sz w:val="24"/>
                  <w:szCs w:val="24"/>
                </w:rPr>
                <w:fldChar w:fldCharType="end"/>
              </w:r>
              <w:r>
                <w:rPr>
                  <w:rFonts w:hint="eastAsia" w:ascii="宋体" w:hAnsi="宋体" w:eastAsia="宋体" w:cs="宋体"/>
                  <w:sz w:val="24"/>
                  <w:szCs w:val="24"/>
                </w:rPr>
                <w:fldChar w:fldCharType="end"/>
              </w:r>
            </w:p>
            <w:p>
              <w:pPr>
                <w:pStyle w:val="26"/>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_Toc30071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w:t>
              </w:r>
              <w:r>
                <w:rPr>
                  <w:rFonts w:hint="eastAsia" w:ascii="宋体" w:hAnsi="宋体" w:eastAsia="宋体" w:cs="宋体"/>
                  <w:bCs/>
                  <w:sz w:val="24"/>
                  <w:szCs w:val="24"/>
                  <w:lang w:val="en-US" w:eastAsia="zh-CN"/>
                </w:rPr>
                <w:t>六</w:t>
              </w:r>
              <w:r>
                <w:rPr>
                  <w:rFonts w:hint="eastAsia" w:ascii="宋体" w:hAnsi="宋体" w:eastAsia="宋体" w:cs="宋体"/>
                  <w:bCs/>
                  <w:sz w:val="24"/>
                  <w:szCs w:val="24"/>
                  <w:lang w:eastAsia="zh-CN"/>
                </w:rPr>
                <w:t>部分</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技术方案</w:t>
              </w:r>
              <w:r>
                <w:rPr>
                  <w:sz w:val="24"/>
                  <w:szCs w:val="24"/>
                </w:rPr>
                <w:tab/>
              </w:r>
              <w:r>
                <w:rPr>
                  <w:sz w:val="24"/>
                  <w:szCs w:val="24"/>
                </w:rPr>
                <w:fldChar w:fldCharType="begin"/>
              </w:r>
              <w:r>
                <w:rPr>
                  <w:sz w:val="24"/>
                  <w:szCs w:val="24"/>
                </w:rPr>
                <w:instrText xml:space="preserve"> PAGEREF _Toc30071 \h </w:instrText>
              </w:r>
              <w:r>
                <w:rPr>
                  <w:sz w:val="24"/>
                  <w:szCs w:val="24"/>
                </w:rPr>
                <w:fldChar w:fldCharType="separate"/>
              </w:r>
              <w:r>
                <w:rPr>
                  <w:sz w:val="24"/>
                  <w:szCs w:val="24"/>
                </w:rPr>
                <w:t>90</w:t>
              </w:r>
              <w:r>
                <w:rPr>
                  <w:sz w:val="24"/>
                  <w:szCs w:val="24"/>
                </w:rPr>
                <w:fldChar w:fldCharType="end"/>
              </w:r>
              <w:r>
                <w:rPr>
                  <w:rFonts w:hint="eastAsia" w:ascii="宋体" w:hAnsi="宋体" w:eastAsia="宋体" w:cs="宋体"/>
                  <w:sz w:val="24"/>
                  <w:szCs w:val="24"/>
                </w:rPr>
                <w:fldChar w:fldCharType="end"/>
              </w:r>
            </w:p>
            <w:p>
              <w:pPr>
                <w:pStyle w:val="26"/>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_Toc28836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第七部分  服务保障措施</w:t>
              </w:r>
              <w:r>
                <w:rPr>
                  <w:sz w:val="24"/>
                  <w:szCs w:val="24"/>
                </w:rPr>
                <w:tab/>
              </w:r>
              <w:r>
                <w:rPr>
                  <w:sz w:val="24"/>
                  <w:szCs w:val="24"/>
                </w:rPr>
                <w:fldChar w:fldCharType="begin"/>
              </w:r>
              <w:r>
                <w:rPr>
                  <w:sz w:val="24"/>
                  <w:szCs w:val="24"/>
                </w:rPr>
                <w:instrText xml:space="preserve"> PAGEREF _Toc28836 \h </w:instrText>
              </w:r>
              <w:r>
                <w:rPr>
                  <w:sz w:val="24"/>
                  <w:szCs w:val="24"/>
                </w:rPr>
                <w:fldChar w:fldCharType="separate"/>
              </w:r>
              <w:r>
                <w:rPr>
                  <w:sz w:val="24"/>
                  <w:szCs w:val="24"/>
                </w:rPr>
                <w:t>91</w:t>
              </w:r>
              <w:r>
                <w:rPr>
                  <w:sz w:val="24"/>
                  <w:szCs w:val="24"/>
                </w:rPr>
                <w:fldChar w:fldCharType="end"/>
              </w:r>
              <w:r>
                <w:rPr>
                  <w:rFonts w:hint="eastAsia" w:ascii="宋体" w:hAnsi="宋体" w:eastAsia="宋体" w:cs="宋体"/>
                  <w:sz w:val="24"/>
                  <w:szCs w:val="24"/>
                </w:rPr>
                <w:fldChar w:fldCharType="end"/>
              </w:r>
            </w:p>
            <w:p>
              <w:pPr>
                <w:pStyle w:val="26"/>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_Toc4387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w:t>
              </w:r>
              <w:r>
                <w:rPr>
                  <w:rFonts w:hint="eastAsia" w:ascii="宋体" w:hAnsi="宋体" w:eastAsia="宋体" w:cs="宋体"/>
                  <w:bCs/>
                  <w:sz w:val="24"/>
                  <w:szCs w:val="24"/>
                  <w:lang w:val="en-US" w:eastAsia="zh-CN"/>
                </w:rPr>
                <w:t>八</w:t>
              </w:r>
              <w:r>
                <w:rPr>
                  <w:rFonts w:hint="eastAsia" w:ascii="宋体" w:hAnsi="宋体" w:eastAsia="宋体" w:cs="宋体"/>
                  <w:bCs/>
                  <w:sz w:val="24"/>
                  <w:szCs w:val="24"/>
                  <w:lang w:eastAsia="zh-CN"/>
                </w:rPr>
                <w:t>部分</w:t>
              </w:r>
              <w:r>
                <w:rPr>
                  <w:rFonts w:hint="eastAsia" w:ascii="宋体" w:hAnsi="宋体" w:eastAsia="宋体" w:cs="宋体"/>
                  <w:bCs/>
                  <w:sz w:val="24"/>
                  <w:szCs w:val="24"/>
                </w:rPr>
                <w:t xml:space="preserve">  </w:t>
              </w:r>
              <w:r>
                <w:rPr>
                  <w:rFonts w:hint="eastAsia" w:ascii="宋体" w:hAnsi="宋体" w:eastAsia="宋体" w:cs="宋体"/>
                  <w:bCs/>
                  <w:sz w:val="24"/>
                  <w:szCs w:val="24"/>
                  <w:lang w:eastAsia="zh-CN"/>
                </w:rPr>
                <w:t>供应商</w:t>
              </w:r>
              <w:r>
                <w:rPr>
                  <w:rFonts w:hint="eastAsia" w:ascii="宋体" w:hAnsi="宋体" w:eastAsia="宋体" w:cs="宋体"/>
                  <w:bCs/>
                  <w:sz w:val="24"/>
                  <w:szCs w:val="24"/>
                </w:rPr>
                <w:t>业绩一览表</w:t>
              </w:r>
              <w:r>
                <w:rPr>
                  <w:sz w:val="24"/>
                  <w:szCs w:val="24"/>
                </w:rPr>
                <w:tab/>
              </w:r>
              <w:r>
                <w:rPr>
                  <w:sz w:val="24"/>
                  <w:szCs w:val="24"/>
                </w:rPr>
                <w:fldChar w:fldCharType="begin"/>
              </w:r>
              <w:r>
                <w:rPr>
                  <w:sz w:val="24"/>
                  <w:szCs w:val="24"/>
                </w:rPr>
                <w:instrText xml:space="preserve"> PAGEREF _Toc4387 \h </w:instrText>
              </w:r>
              <w:r>
                <w:rPr>
                  <w:sz w:val="24"/>
                  <w:szCs w:val="24"/>
                </w:rPr>
                <w:fldChar w:fldCharType="separate"/>
              </w:r>
              <w:r>
                <w:rPr>
                  <w:sz w:val="24"/>
                  <w:szCs w:val="24"/>
                </w:rPr>
                <w:t>92</w:t>
              </w:r>
              <w:r>
                <w:rPr>
                  <w:sz w:val="24"/>
                  <w:szCs w:val="24"/>
                </w:rPr>
                <w:fldChar w:fldCharType="end"/>
              </w:r>
              <w:r>
                <w:rPr>
                  <w:rFonts w:hint="eastAsia" w:ascii="宋体" w:hAnsi="宋体" w:eastAsia="宋体" w:cs="宋体"/>
                  <w:sz w:val="24"/>
                  <w:szCs w:val="24"/>
                </w:rPr>
                <w:fldChar w:fldCharType="end"/>
              </w:r>
            </w:p>
            <w:p>
              <w:pPr>
                <w:pStyle w:val="26"/>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_Toc1856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w:t>
              </w:r>
              <w:r>
                <w:rPr>
                  <w:rFonts w:hint="eastAsia" w:ascii="宋体" w:hAnsi="宋体" w:eastAsia="宋体" w:cs="宋体"/>
                  <w:bCs/>
                  <w:sz w:val="24"/>
                  <w:szCs w:val="24"/>
                  <w:lang w:val="en-US" w:eastAsia="zh-CN"/>
                </w:rPr>
                <w:t>九</w:t>
              </w:r>
              <w:r>
                <w:rPr>
                  <w:rFonts w:hint="eastAsia" w:ascii="宋体" w:hAnsi="宋体" w:eastAsia="宋体" w:cs="宋体"/>
                  <w:bCs/>
                  <w:sz w:val="24"/>
                  <w:szCs w:val="24"/>
                  <w:lang w:eastAsia="zh-CN"/>
                </w:rPr>
                <w:t>部分</w:t>
              </w:r>
              <w:r>
                <w:rPr>
                  <w:rFonts w:hint="eastAsia" w:ascii="宋体" w:hAnsi="宋体" w:eastAsia="宋体" w:cs="宋体"/>
                  <w:bCs/>
                  <w:sz w:val="24"/>
                  <w:szCs w:val="24"/>
                </w:rPr>
                <w:t xml:space="preserve">  </w:t>
              </w:r>
              <w:r>
                <w:rPr>
                  <w:rFonts w:hint="eastAsia" w:ascii="宋体" w:hAnsi="宋体" w:eastAsia="宋体" w:cs="宋体"/>
                  <w:bCs/>
                  <w:sz w:val="24"/>
                  <w:szCs w:val="24"/>
                  <w:lang w:eastAsia="zh-CN"/>
                </w:rPr>
                <w:t>供应商</w:t>
              </w:r>
              <w:r>
                <w:rPr>
                  <w:rFonts w:hint="eastAsia" w:ascii="宋体" w:hAnsi="宋体" w:eastAsia="宋体" w:cs="宋体"/>
                  <w:bCs/>
                  <w:sz w:val="24"/>
                  <w:szCs w:val="24"/>
                </w:rPr>
                <w:t>认为有必要说明的其他问题</w:t>
              </w:r>
              <w:r>
                <w:rPr>
                  <w:sz w:val="24"/>
                  <w:szCs w:val="24"/>
                </w:rPr>
                <w:tab/>
              </w:r>
              <w:r>
                <w:rPr>
                  <w:sz w:val="24"/>
                  <w:szCs w:val="24"/>
                </w:rPr>
                <w:fldChar w:fldCharType="begin"/>
              </w:r>
              <w:r>
                <w:rPr>
                  <w:sz w:val="24"/>
                  <w:szCs w:val="24"/>
                </w:rPr>
                <w:instrText xml:space="preserve"> PAGEREF _Toc1856 \h </w:instrText>
              </w:r>
              <w:r>
                <w:rPr>
                  <w:sz w:val="24"/>
                  <w:szCs w:val="24"/>
                </w:rPr>
                <w:fldChar w:fldCharType="separate"/>
              </w:r>
              <w:r>
                <w:rPr>
                  <w:sz w:val="24"/>
                  <w:szCs w:val="24"/>
                </w:rPr>
                <w:t>93</w:t>
              </w:r>
              <w:r>
                <w:rPr>
                  <w:sz w:val="24"/>
                  <w:szCs w:val="24"/>
                </w:rPr>
                <w:fldChar w:fldCharType="end"/>
              </w:r>
              <w:r>
                <w:rPr>
                  <w:rFonts w:hint="eastAsia" w:ascii="宋体" w:hAnsi="宋体" w:eastAsia="宋体" w:cs="宋体"/>
                  <w:sz w:val="24"/>
                  <w:szCs w:val="24"/>
                </w:rPr>
                <w:fldChar w:fldCharType="end"/>
              </w:r>
            </w:p>
            <w:p>
              <w:pPr>
                <w:pStyle w:val="26"/>
                <w:keepNext w:val="0"/>
                <w:keepLines w:val="0"/>
                <w:pageBreakBefore w:val="0"/>
                <w:widowControl/>
                <w:tabs>
                  <w:tab w:val="right" w:leader="dot" w:pos="8300"/>
                </w:tabs>
                <w:kinsoku/>
                <w:wordWrap/>
                <w:overflowPunct/>
                <w:topLinePunct w:val="0"/>
                <w:autoSpaceDE/>
                <w:autoSpaceDN/>
                <w:bidi w:val="0"/>
                <w:adjustRightInd/>
                <w:snapToGrid/>
                <w:spacing w:before="199" w:beforeLines="50" w:line="220" w:lineRule="exact"/>
                <w:ind w:firstLine="496" w:firstLine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_Toc13582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w:t>
              </w:r>
              <w:r>
                <w:rPr>
                  <w:rFonts w:hint="eastAsia" w:ascii="宋体" w:hAnsi="宋体" w:eastAsia="宋体" w:cs="宋体"/>
                  <w:bCs/>
                  <w:sz w:val="24"/>
                  <w:szCs w:val="24"/>
                  <w:lang w:eastAsia="zh-CN"/>
                </w:rPr>
                <w:t>十</w:t>
              </w:r>
              <w:r>
                <w:rPr>
                  <w:rFonts w:hint="eastAsia" w:ascii="宋体" w:hAnsi="宋体" w:eastAsia="宋体" w:cs="宋体"/>
                  <w:bCs/>
                  <w:sz w:val="24"/>
                  <w:szCs w:val="24"/>
                </w:rPr>
                <w:t>部分  供应商参加政府采购活动承诺书</w:t>
              </w:r>
              <w:r>
                <w:rPr>
                  <w:sz w:val="24"/>
                  <w:szCs w:val="24"/>
                </w:rPr>
                <w:tab/>
              </w:r>
              <w:r>
                <w:rPr>
                  <w:sz w:val="24"/>
                  <w:szCs w:val="24"/>
                </w:rPr>
                <w:fldChar w:fldCharType="begin"/>
              </w:r>
              <w:r>
                <w:rPr>
                  <w:sz w:val="24"/>
                  <w:szCs w:val="24"/>
                </w:rPr>
                <w:instrText xml:space="preserve"> PAGEREF _Toc13582 \h </w:instrText>
              </w:r>
              <w:r>
                <w:rPr>
                  <w:sz w:val="24"/>
                  <w:szCs w:val="24"/>
                </w:rPr>
                <w:fldChar w:fldCharType="separate"/>
              </w:r>
              <w:r>
                <w:rPr>
                  <w:sz w:val="24"/>
                  <w:szCs w:val="24"/>
                </w:rPr>
                <w:t>97</w:t>
              </w:r>
              <w:r>
                <w:rPr>
                  <w:sz w:val="24"/>
                  <w:szCs w:val="24"/>
                </w:rPr>
                <w:fldChar w:fldCharType="end"/>
              </w:r>
              <w:r>
                <w:rPr>
                  <w:rFonts w:hint="eastAsia" w:ascii="宋体" w:hAnsi="宋体" w:eastAsia="宋体" w:cs="宋体"/>
                  <w:sz w:val="24"/>
                  <w:szCs w:val="24"/>
                </w:rPr>
                <w:fldChar w:fldCharType="end"/>
              </w:r>
            </w:p>
            <w:p>
              <w:pPr>
                <w:keepNext w:val="0"/>
                <w:keepLines w:val="0"/>
                <w:pageBreakBefore w:val="0"/>
                <w:widowControl/>
                <w:kinsoku/>
                <w:wordWrap/>
                <w:overflowPunct/>
                <w:topLinePunct w:val="0"/>
                <w:autoSpaceDE/>
                <w:autoSpaceDN/>
                <w:bidi w:val="0"/>
                <w:adjustRightInd/>
                <w:snapToGrid/>
                <w:spacing w:before="199" w:beforeLines="50" w:line="220" w:lineRule="exact"/>
                <w:ind w:firstLine="496" w:firstLineChars="200"/>
                <w:textAlignment w:val="auto"/>
                <w:rPr>
                  <w:rFonts w:hint="eastAsia" w:ascii="宋体" w:hAnsi="宋体" w:eastAsia="宋体" w:cs="宋体"/>
                  <w:sz w:val="32"/>
                  <w:szCs w:val="32"/>
                </w:rPr>
              </w:pPr>
              <w:r>
                <w:rPr>
                  <w:rFonts w:hint="eastAsia" w:ascii="宋体" w:hAnsi="宋体" w:eastAsia="宋体" w:cs="宋体"/>
                  <w:sz w:val="24"/>
                  <w:szCs w:val="24"/>
                </w:rPr>
                <w:fldChar w:fldCharType="end"/>
              </w:r>
              <w:bookmarkStart w:id="1" w:name="_Toc16667"/>
              <w:bookmarkStart w:id="2" w:name="_Toc9005"/>
            </w:p>
          </w:sdtContent>
        </w:sdt>
      </w:sdtContent>
    </w:sdt>
    <w:p>
      <w:pPr>
        <w:rPr>
          <w:rFonts w:hint="eastAsia" w:ascii="宋体" w:hAnsi="宋体" w:eastAsia="宋体" w:cs="宋体"/>
          <w:sz w:val="32"/>
          <w:szCs w:val="32"/>
        </w:rPr>
      </w:pPr>
      <w:r>
        <w:rPr>
          <w:rFonts w:hint="eastAsia" w:ascii="宋体" w:hAnsi="宋体" w:eastAsia="宋体" w:cs="宋体"/>
          <w:sz w:val="32"/>
          <w:szCs w:val="32"/>
        </w:rPr>
        <w:br w:type="page"/>
      </w:r>
    </w:p>
    <w:p>
      <w:pPr>
        <w:pStyle w:val="3"/>
        <w:rPr>
          <w:rFonts w:hint="eastAsia" w:ascii="宋体" w:hAnsi="宋体" w:eastAsia="宋体" w:cs="宋体"/>
          <w:sz w:val="32"/>
          <w:szCs w:val="32"/>
        </w:rPr>
      </w:pPr>
      <w:r>
        <w:rPr>
          <w:rFonts w:hint="eastAsia" w:ascii="宋体" w:hAnsi="宋体" w:eastAsia="宋体" w:cs="宋体"/>
          <w:sz w:val="32"/>
          <w:szCs w:val="32"/>
        </w:rPr>
        <w:t>第一章  投标邀请函</w:t>
      </w:r>
      <w:bookmarkEnd w:id="0"/>
      <w:bookmarkEnd w:id="1"/>
      <w:bookmarkEnd w:id="2"/>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陕西万泽招标有限公司受西安市中心血站的委托，经政府采购监管部门批准，按照政府采购程序，对</w:t>
      </w:r>
      <w:r>
        <w:rPr>
          <w:rFonts w:hint="eastAsia" w:ascii="宋体" w:hAnsi="宋体" w:eastAsia="宋体" w:cs="宋体"/>
          <w:sz w:val="24"/>
          <w:szCs w:val="24"/>
          <w:lang w:eastAsia="zh-CN"/>
        </w:rPr>
        <w:t>西安市中心血站血型质管供血试剂耗材采购项目（二次）</w:t>
      </w:r>
      <w:r>
        <w:rPr>
          <w:rFonts w:hint="eastAsia" w:ascii="宋体" w:hAnsi="宋体" w:eastAsia="宋体" w:cs="宋体"/>
          <w:sz w:val="24"/>
          <w:szCs w:val="24"/>
        </w:rPr>
        <w:t>进行公开招标，欢迎符合资格条件的、有能力提供本项目所需货物和服务的供应商参加投标。</w:t>
      </w:r>
    </w:p>
    <w:p>
      <w:pPr>
        <w:bidi w:val="0"/>
        <w:rPr>
          <w:rFonts w:hint="eastAsia"/>
        </w:rPr>
      </w:pPr>
      <w:bookmarkStart w:id="3" w:name="_Toc6324"/>
      <w:bookmarkStart w:id="4" w:name="_Toc6759"/>
      <w:bookmarkStart w:id="5" w:name="_Toc28572"/>
      <w:r>
        <w:rPr>
          <w:rFonts w:hint="eastAsia"/>
        </w:rPr>
        <w:t>一、项目基本信息：</w:t>
      </w:r>
      <w:bookmarkEnd w:id="3"/>
      <w:bookmarkEnd w:id="4"/>
      <w:bookmarkEnd w:id="5"/>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西安市中心血站血型质管供血试剂耗材采购项目（二次）</w:t>
      </w:r>
      <w:r>
        <w:rPr>
          <w:rFonts w:hint="eastAsia" w:ascii="宋体" w:hAnsi="宋体" w:eastAsia="宋体" w:cs="宋体"/>
          <w:sz w:val="24"/>
          <w:szCs w:val="24"/>
        </w:rPr>
        <w:t xml:space="preserve">      </w:t>
      </w:r>
    </w:p>
    <w:p>
      <w:pPr>
        <w:spacing w:line="560" w:lineRule="exact"/>
        <w:ind w:firstLine="496" w:firstLineChars="200"/>
        <w:jc w:val="both"/>
        <w:outlineLvl w:val="9"/>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SXWZ2022ZB-XAXZ-090A</w:t>
      </w:r>
    </w:p>
    <w:p>
      <w:pPr>
        <w:numPr>
          <w:ilvl w:val="0"/>
          <w:numId w:val="2"/>
        </w:numPr>
        <w:bidi w:val="0"/>
        <w:rPr>
          <w:rFonts w:hint="eastAsia"/>
        </w:rPr>
      </w:pPr>
      <w:r>
        <w:rPr>
          <w:rFonts w:hint="eastAsia" w:ascii="宋体" w:hAnsi="宋体" w:eastAsia="宋体" w:cs="宋体"/>
          <w:sz w:val="24"/>
          <w:szCs w:val="24"/>
        </w:rPr>
        <w:t>预算执行书编号：</w:t>
      </w:r>
      <w:bookmarkStart w:id="6" w:name="_Toc10927"/>
      <w:bookmarkStart w:id="7" w:name="_Toc20921"/>
      <w:bookmarkStart w:id="8" w:name="_Toc1840"/>
      <w:r>
        <w:rPr>
          <w:rFonts w:hint="eastAsia" w:ascii="宋体" w:hAnsi="宋体" w:eastAsia="宋体" w:cs="宋体"/>
          <w:sz w:val="24"/>
          <w:szCs w:val="24"/>
        </w:rPr>
        <w:t>ZCSP-西安市-2022-01098</w:t>
      </w:r>
    </w:p>
    <w:p>
      <w:pPr>
        <w:numPr>
          <w:ilvl w:val="0"/>
          <w:numId w:val="2"/>
        </w:numPr>
        <w:bidi w:val="0"/>
        <w:rPr>
          <w:rFonts w:hint="eastAsia"/>
        </w:rPr>
      </w:pPr>
      <w:r>
        <w:rPr>
          <w:rFonts w:hint="eastAsia"/>
        </w:rPr>
        <w:t>项目性质：非专门面向中小企业的采购</w:t>
      </w:r>
      <w:bookmarkEnd w:id="6"/>
      <w:bookmarkEnd w:id="7"/>
      <w:bookmarkEnd w:id="8"/>
    </w:p>
    <w:p>
      <w:pPr>
        <w:numPr>
          <w:ilvl w:val="0"/>
          <w:numId w:val="2"/>
        </w:numPr>
        <w:bidi w:val="0"/>
        <w:rPr>
          <w:rFonts w:hint="eastAsia"/>
        </w:rPr>
      </w:pPr>
      <w:bookmarkStart w:id="9" w:name="_Toc2952"/>
      <w:bookmarkStart w:id="10" w:name="_Toc27587"/>
      <w:bookmarkStart w:id="11" w:name="_Toc11058"/>
      <w:r>
        <w:rPr>
          <w:rFonts w:hint="eastAsia"/>
        </w:rPr>
        <w:t>采购内容和要求：</w:t>
      </w:r>
      <w:bookmarkEnd w:id="9"/>
      <w:bookmarkEnd w:id="10"/>
      <w:bookmarkEnd w:id="11"/>
    </w:p>
    <w:tbl>
      <w:tblPr>
        <w:tblStyle w:val="31"/>
        <w:tblW w:w="10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95"/>
        <w:gridCol w:w="1909"/>
        <w:gridCol w:w="1690"/>
        <w:gridCol w:w="930"/>
        <w:gridCol w:w="1152"/>
        <w:gridCol w:w="1194"/>
        <w:gridCol w:w="128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16" w:type="dxa"/>
            <w:vAlign w:val="center"/>
          </w:tcPr>
          <w:p>
            <w:pPr>
              <w:tabs>
                <w:tab w:val="left" w:pos="480"/>
              </w:tabs>
              <w:spacing w:line="240" w:lineRule="exact"/>
              <w:jc w:val="center"/>
              <w:rPr>
                <w:rFonts w:ascii="宋体" w:hAnsi="宋体" w:cs="宋体"/>
                <w:color w:val="auto"/>
                <w:sz w:val="22"/>
                <w:szCs w:val="22"/>
              </w:rPr>
            </w:pPr>
            <w:r>
              <w:rPr>
                <w:rFonts w:hint="eastAsia" w:ascii="宋体" w:hAnsi="宋体" w:cs="宋体"/>
                <w:color w:val="auto"/>
                <w:sz w:val="22"/>
                <w:szCs w:val="22"/>
                <w:lang w:eastAsia="zh-CN"/>
              </w:rPr>
              <w:t>项目</w:t>
            </w:r>
            <w:r>
              <w:rPr>
                <w:rFonts w:hint="eastAsia" w:ascii="宋体" w:hAnsi="宋体" w:cs="宋体"/>
                <w:color w:val="auto"/>
                <w:sz w:val="22"/>
                <w:szCs w:val="22"/>
              </w:rPr>
              <w:t>名称</w:t>
            </w:r>
          </w:p>
        </w:tc>
        <w:tc>
          <w:tcPr>
            <w:tcW w:w="495" w:type="dxa"/>
            <w:vAlign w:val="center"/>
          </w:tcPr>
          <w:p>
            <w:pPr>
              <w:tabs>
                <w:tab w:val="left" w:pos="480"/>
              </w:tabs>
              <w:spacing w:line="240" w:lineRule="exact"/>
              <w:jc w:val="center"/>
              <w:rPr>
                <w:rFonts w:hint="eastAsia" w:ascii="宋体" w:hAnsi="宋体" w:cs="宋体" w:eastAsiaTheme="minorEastAsia"/>
                <w:color w:val="auto"/>
                <w:sz w:val="22"/>
                <w:szCs w:val="22"/>
                <w:lang w:eastAsia="zh-CN"/>
              </w:rPr>
            </w:pPr>
            <w:r>
              <w:rPr>
                <w:rFonts w:hint="eastAsia" w:ascii="宋体" w:hAnsi="宋体" w:cs="宋体"/>
                <w:color w:val="auto"/>
                <w:sz w:val="22"/>
                <w:szCs w:val="22"/>
                <w:lang w:eastAsia="zh-CN"/>
              </w:rPr>
              <w:t>标段号</w:t>
            </w:r>
          </w:p>
        </w:tc>
        <w:tc>
          <w:tcPr>
            <w:tcW w:w="1909" w:type="dxa"/>
            <w:vAlign w:val="center"/>
          </w:tcPr>
          <w:p>
            <w:pPr>
              <w:tabs>
                <w:tab w:val="left" w:pos="480"/>
              </w:tabs>
              <w:spacing w:line="240" w:lineRule="exact"/>
              <w:jc w:val="center"/>
              <w:rPr>
                <w:rFonts w:hint="eastAsia" w:ascii="宋体" w:hAnsi="宋体" w:cs="宋体"/>
                <w:color w:val="auto"/>
                <w:sz w:val="22"/>
                <w:szCs w:val="22"/>
                <w:lang w:eastAsia="zh-CN"/>
              </w:rPr>
            </w:pPr>
            <w:r>
              <w:rPr>
                <w:rFonts w:hint="eastAsia" w:ascii="宋体" w:hAnsi="宋体" w:cs="宋体"/>
                <w:color w:val="auto"/>
                <w:sz w:val="22"/>
                <w:szCs w:val="22"/>
                <w:lang w:eastAsia="zh-CN"/>
              </w:rPr>
              <w:t>采购内容</w:t>
            </w:r>
          </w:p>
        </w:tc>
        <w:tc>
          <w:tcPr>
            <w:tcW w:w="1690" w:type="dxa"/>
            <w:vAlign w:val="center"/>
          </w:tcPr>
          <w:p>
            <w:pPr>
              <w:tabs>
                <w:tab w:val="left" w:pos="480"/>
              </w:tabs>
              <w:spacing w:line="240" w:lineRule="exact"/>
              <w:jc w:val="center"/>
              <w:rPr>
                <w:rFonts w:hint="eastAsia" w:ascii="宋体" w:hAnsi="宋体" w:cs="宋体"/>
                <w:color w:val="auto"/>
                <w:sz w:val="22"/>
                <w:szCs w:val="22"/>
                <w:lang w:eastAsia="zh-CN"/>
              </w:rPr>
            </w:pPr>
            <w:r>
              <w:rPr>
                <w:rFonts w:hint="eastAsia" w:ascii="宋体" w:hAnsi="宋体" w:cs="宋体"/>
                <w:color w:val="auto"/>
                <w:sz w:val="22"/>
                <w:szCs w:val="22"/>
                <w:lang w:eastAsia="zh-CN"/>
              </w:rPr>
              <w:t>物品名称</w:t>
            </w:r>
          </w:p>
        </w:tc>
        <w:tc>
          <w:tcPr>
            <w:tcW w:w="930" w:type="dxa"/>
            <w:vAlign w:val="center"/>
          </w:tcPr>
          <w:p>
            <w:pPr>
              <w:tabs>
                <w:tab w:val="left" w:pos="480"/>
              </w:tabs>
              <w:spacing w:line="240" w:lineRule="exact"/>
              <w:jc w:val="center"/>
              <w:rPr>
                <w:rFonts w:ascii="宋体" w:hAnsi="宋体" w:cs="宋体"/>
                <w:color w:val="auto"/>
                <w:sz w:val="22"/>
                <w:szCs w:val="22"/>
              </w:rPr>
            </w:pPr>
            <w:r>
              <w:rPr>
                <w:rFonts w:hint="eastAsia" w:ascii="宋体" w:hAnsi="宋体" w:cs="宋体"/>
                <w:color w:val="auto"/>
                <w:sz w:val="22"/>
                <w:szCs w:val="22"/>
              </w:rPr>
              <w:t>数量</w:t>
            </w:r>
          </w:p>
        </w:tc>
        <w:tc>
          <w:tcPr>
            <w:tcW w:w="1152" w:type="dxa"/>
            <w:vAlign w:val="center"/>
          </w:tcPr>
          <w:p>
            <w:pPr>
              <w:tabs>
                <w:tab w:val="left" w:pos="480"/>
              </w:tabs>
              <w:spacing w:line="240" w:lineRule="exact"/>
              <w:jc w:val="center"/>
              <w:rPr>
                <w:rFonts w:ascii="宋体" w:hAnsi="宋体" w:cs="宋体"/>
                <w:color w:val="auto"/>
                <w:sz w:val="22"/>
                <w:szCs w:val="22"/>
              </w:rPr>
            </w:pPr>
            <w:r>
              <w:rPr>
                <w:rFonts w:hint="eastAsia" w:ascii="宋体" w:hAnsi="宋体" w:cs="宋体"/>
                <w:color w:val="auto"/>
                <w:sz w:val="22"/>
                <w:szCs w:val="22"/>
              </w:rPr>
              <w:t>预算金额（元）</w:t>
            </w:r>
          </w:p>
        </w:tc>
        <w:tc>
          <w:tcPr>
            <w:tcW w:w="1194" w:type="dxa"/>
            <w:vAlign w:val="center"/>
          </w:tcPr>
          <w:p>
            <w:pPr>
              <w:tabs>
                <w:tab w:val="left" w:pos="480"/>
              </w:tabs>
              <w:spacing w:line="240" w:lineRule="exact"/>
              <w:jc w:val="both"/>
              <w:rPr>
                <w:rFonts w:hint="eastAsia"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规格型号</w:t>
            </w:r>
          </w:p>
        </w:tc>
        <w:tc>
          <w:tcPr>
            <w:tcW w:w="1284" w:type="dxa"/>
            <w:vAlign w:val="center"/>
          </w:tcPr>
          <w:p>
            <w:pPr>
              <w:widowControl/>
              <w:tabs>
                <w:tab w:val="left" w:pos="1620"/>
              </w:tabs>
              <w:wordWrap w:val="0"/>
              <w:snapToGrid w:val="0"/>
              <w:spacing w:line="360" w:lineRule="auto"/>
              <w:jc w:val="center"/>
              <w:rPr>
                <w:rFonts w:hint="eastAsia" w:ascii="宋体" w:hAnsi="宋体" w:cs="宋体"/>
                <w:color w:val="auto"/>
                <w:sz w:val="22"/>
                <w:szCs w:val="22"/>
              </w:rPr>
            </w:pPr>
            <w:r>
              <w:rPr>
                <w:rFonts w:hint="eastAsia" w:ascii="宋体" w:hAnsi="宋体" w:eastAsia="宋体" w:cs="宋体"/>
                <w:color w:val="auto"/>
                <w:kern w:val="0"/>
                <w:sz w:val="22"/>
                <w:szCs w:val="22"/>
              </w:rPr>
              <w:t>项目性质</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restart"/>
            <w:vAlign w:val="center"/>
          </w:tcPr>
          <w:p>
            <w:pPr>
              <w:spacing w:line="240" w:lineRule="exact"/>
              <w:jc w:val="center"/>
              <w:rPr>
                <w:rFonts w:ascii="宋体" w:hAnsi="宋体" w:cs="宋体"/>
                <w:color w:val="auto"/>
                <w:sz w:val="22"/>
                <w:szCs w:val="22"/>
              </w:rPr>
            </w:pPr>
            <w:r>
              <w:rPr>
                <w:rFonts w:hint="eastAsia" w:ascii="宋体" w:hAnsi="宋体" w:eastAsia="宋体" w:cs="宋体"/>
                <w:sz w:val="22"/>
                <w:szCs w:val="22"/>
                <w:lang w:eastAsia="zh-CN"/>
              </w:rPr>
              <w:t>西安市中心血站血型质管供血试剂耗材采购项目（二次）</w:t>
            </w:r>
          </w:p>
        </w:tc>
        <w:tc>
          <w:tcPr>
            <w:tcW w:w="495" w:type="dxa"/>
            <w:vMerge w:val="restart"/>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第一标段</w:t>
            </w:r>
          </w:p>
        </w:tc>
        <w:tc>
          <w:tcPr>
            <w:tcW w:w="1909" w:type="dxa"/>
            <w:vMerge w:val="restart"/>
            <w:vAlign w:val="center"/>
          </w:tcPr>
          <w:p>
            <w:pPr>
              <w:spacing w:line="240" w:lineRule="exact"/>
              <w:jc w:val="center"/>
              <w:rPr>
                <w:rFonts w:hint="eastAsia" w:ascii="宋体" w:hAnsi="宋体" w:eastAsia="宋体" w:cs="宋体"/>
                <w:sz w:val="22"/>
                <w:szCs w:val="22"/>
                <w:lang w:eastAsia="zh-CN"/>
              </w:rPr>
            </w:pPr>
            <w:bookmarkStart w:id="417" w:name="_GoBack"/>
            <w:r>
              <w:rPr>
                <w:rFonts w:hint="eastAsia" w:ascii="宋体" w:hAnsi="宋体" w:eastAsia="宋体" w:cs="宋体"/>
                <w:sz w:val="22"/>
                <w:szCs w:val="22"/>
                <w:lang w:eastAsia="zh-CN"/>
              </w:rPr>
              <w:t>HLA高分辨测序分型试剂/HLA高分辨流式分型试剂（3D-SSO方法）</w:t>
            </w:r>
            <w:bookmarkEnd w:id="417"/>
          </w:p>
        </w:tc>
        <w:tc>
          <w:tcPr>
            <w:tcW w:w="1690" w:type="dxa"/>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b/>
                <w:bCs/>
                <w:sz w:val="22"/>
                <w:szCs w:val="22"/>
                <w:lang w:eastAsia="zh-CN"/>
              </w:rPr>
              <w:t>HLA高分辨测序分型试剂（核心产品）</w:t>
            </w:r>
          </w:p>
        </w:tc>
        <w:tc>
          <w:tcPr>
            <w:tcW w:w="930" w:type="dxa"/>
            <w:vAlign w:val="center"/>
          </w:tcPr>
          <w:p>
            <w:pPr>
              <w:spacing w:line="240" w:lineRule="exact"/>
              <w:ind w:firstLine="110" w:firstLineChars="49"/>
              <w:jc w:val="center"/>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600人份</w:t>
            </w:r>
          </w:p>
        </w:tc>
        <w:tc>
          <w:tcPr>
            <w:tcW w:w="1152" w:type="dxa"/>
            <w:vAlign w:val="center"/>
          </w:tcPr>
          <w:p>
            <w:pPr>
              <w:spacing w:line="240" w:lineRule="exact"/>
              <w:jc w:val="center"/>
              <w:rPr>
                <w:rFonts w:hint="default" w:ascii="宋体" w:hAnsi="宋体" w:eastAsia="宋体" w:cs="宋体"/>
                <w:color w:val="auto"/>
                <w:sz w:val="22"/>
                <w:szCs w:val="22"/>
                <w:lang w:val="en-US" w:eastAsia="zh-CN"/>
              </w:rPr>
            </w:pPr>
            <w:r>
              <w:rPr>
                <w:rFonts w:hint="default" w:ascii="宋体" w:hAnsi="宋体" w:eastAsia="宋体" w:cs="宋体"/>
                <w:color w:val="auto"/>
                <w:sz w:val="22"/>
                <w:szCs w:val="22"/>
                <w:lang w:val="en-US" w:eastAsia="zh-CN"/>
              </w:rPr>
              <w:t>811200</w:t>
            </w:r>
          </w:p>
        </w:tc>
        <w:tc>
          <w:tcPr>
            <w:tcW w:w="119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25人份/套</w:t>
            </w:r>
          </w:p>
        </w:tc>
        <w:tc>
          <w:tcPr>
            <w:tcW w:w="1284" w:type="dxa"/>
            <w:vAlign w:val="center"/>
          </w:tcPr>
          <w:p>
            <w:pPr>
              <w:widowControl/>
              <w:tabs>
                <w:tab w:val="left" w:pos="1620"/>
              </w:tabs>
              <w:wordWrap w:val="0"/>
              <w:snapToGrid w:val="0"/>
              <w:spacing w:line="360" w:lineRule="auto"/>
              <w:jc w:val="center"/>
              <w:rPr>
                <w:rFonts w:hint="eastAsia" w:ascii="宋体" w:hAnsi="宋体" w:cs="宋体"/>
                <w:color w:val="auto"/>
                <w:sz w:val="22"/>
                <w:szCs w:val="22"/>
              </w:rPr>
            </w:pPr>
            <w:r>
              <w:rPr>
                <w:rFonts w:hint="eastAsia" w:ascii="宋体" w:hAnsi="宋体" w:eastAsia="宋体" w:cs="宋体"/>
                <w:color w:val="auto"/>
                <w:kern w:val="0"/>
                <w:sz w:val="22"/>
                <w:szCs w:val="22"/>
                <w:lang w:eastAsia="zh-CN"/>
              </w:rPr>
              <w:t>财政资金</w:t>
            </w:r>
          </w:p>
        </w:tc>
        <w:tc>
          <w:tcPr>
            <w:tcW w:w="1500" w:type="dxa"/>
            <w:vMerge w:val="restart"/>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本产品已做进口论证，允许采购进口产品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spacing w:line="240" w:lineRule="exact"/>
              <w:jc w:val="center"/>
              <w:rPr>
                <w:rFonts w:hint="eastAsia" w:ascii="宋体" w:hAnsi="宋体" w:eastAsia="宋体" w:cs="宋体"/>
                <w:sz w:val="22"/>
                <w:szCs w:val="22"/>
                <w:lang w:eastAsia="zh-CN"/>
              </w:rPr>
            </w:pPr>
          </w:p>
        </w:tc>
        <w:tc>
          <w:tcPr>
            <w:tcW w:w="1690" w:type="dxa"/>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HLA高分辨流式分型试剂（3D-SSO方法）</w:t>
            </w:r>
          </w:p>
        </w:tc>
        <w:tc>
          <w:tcPr>
            <w:tcW w:w="930" w:type="dxa"/>
            <w:vAlign w:val="center"/>
          </w:tcPr>
          <w:p>
            <w:pPr>
              <w:spacing w:line="240" w:lineRule="exact"/>
              <w:ind w:firstLine="110" w:firstLineChars="49"/>
              <w:jc w:val="center"/>
              <w:rPr>
                <w:rFonts w:hint="eastAsia" w:ascii="宋体" w:hAnsi="宋体" w:cs="宋体"/>
                <w:color w:val="auto"/>
                <w:sz w:val="22"/>
                <w:szCs w:val="22"/>
              </w:rPr>
            </w:pPr>
            <w:r>
              <w:rPr>
                <w:rFonts w:hint="eastAsia" w:ascii="宋体" w:hAnsi="宋体" w:cs="宋体"/>
                <w:color w:val="auto"/>
                <w:sz w:val="22"/>
                <w:szCs w:val="22"/>
              </w:rPr>
              <w:t>600</w:t>
            </w:r>
            <w:r>
              <w:rPr>
                <w:rFonts w:hint="eastAsia" w:ascii="宋体" w:hAnsi="宋体" w:cs="宋体"/>
                <w:color w:val="auto"/>
                <w:sz w:val="22"/>
                <w:szCs w:val="22"/>
                <w:lang w:val="en-US" w:eastAsia="zh-CN"/>
              </w:rPr>
              <w:t>人份</w:t>
            </w:r>
          </w:p>
        </w:tc>
        <w:tc>
          <w:tcPr>
            <w:tcW w:w="1152" w:type="dxa"/>
            <w:vAlign w:val="center"/>
          </w:tcPr>
          <w:p>
            <w:pPr>
              <w:spacing w:line="240" w:lineRule="exact"/>
              <w:jc w:val="center"/>
              <w:rPr>
                <w:rFonts w:hint="eastAsia" w:ascii="宋体" w:hAnsi="宋体" w:cs="宋体"/>
                <w:color w:val="auto"/>
                <w:sz w:val="22"/>
                <w:szCs w:val="22"/>
              </w:rPr>
            </w:pPr>
            <w:r>
              <w:rPr>
                <w:rFonts w:hint="eastAsia" w:ascii="宋体" w:hAnsi="宋体" w:cs="宋体"/>
                <w:color w:val="auto"/>
                <w:sz w:val="22"/>
                <w:szCs w:val="22"/>
              </w:rPr>
              <w:t>279000</w:t>
            </w:r>
          </w:p>
        </w:tc>
        <w:tc>
          <w:tcPr>
            <w:tcW w:w="119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25人份/套</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restart"/>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第二标段</w:t>
            </w:r>
          </w:p>
        </w:tc>
        <w:tc>
          <w:tcPr>
            <w:tcW w:w="1909" w:type="dxa"/>
            <w:vMerge w:val="restart"/>
            <w:vAlign w:val="center"/>
          </w:tcPr>
          <w:p>
            <w:pPr>
              <w:widowControl/>
              <w:jc w:val="left"/>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rPr>
              <w:t>国产血型抗体检测试剂和部分生化试剂耗材</w:t>
            </w:r>
          </w:p>
        </w:tc>
        <w:tc>
          <w:tcPr>
            <w:tcW w:w="1690" w:type="dxa"/>
            <w:vAlign w:val="center"/>
          </w:tcPr>
          <w:p>
            <w:pPr>
              <w:widowControl/>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抗-C</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100支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90000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widowControl/>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抗-c</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120支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108000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widowControl/>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抗-E</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200支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180000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widowControl/>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抗-e</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200支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250000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widowControl/>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IgG-D</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120支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31200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10ml/支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widowControl/>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2-Me</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400支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7200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1ml/支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b w:val="0"/>
                <w:bCs w:val="0"/>
                <w:color w:val="auto"/>
                <w:kern w:val="0"/>
                <w:sz w:val="22"/>
                <w:szCs w:val="22"/>
              </w:rPr>
              <w:t>多特异性抗人球蛋白</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200支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54000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10ml/支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抗-IgG</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500支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90000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血小板抗体检测试剂盒</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5盒</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30000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96T/盒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DNA抽提试剂盒离心柱型</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24盒</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62400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200T/盒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b/>
                <w:bCs/>
                <w:color w:val="000000" w:themeColor="text1"/>
                <w:kern w:val="0"/>
                <w:sz w:val="22"/>
                <w:szCs w:val="22"/>
                <w:lang w:eastAsia="zh-CN"/>
                <w14:textFill>
                  <w14:solidFill>
                    <w14:schemeClr w14:val="tx1"/>
                  </w14:solidFill>
                </w14:textFill>
              </w:rPr>
              <w:t>IgM-D（核心产品）</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120支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15000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10ml/支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Diego血型基因分型试剂盒</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600人份</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24000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1人份</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抗-P1</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4支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4400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3ml/支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抗-N</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4支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3240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抗-M</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12支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9720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抗-H</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4支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2880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抗-A1</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4支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2980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抗-C3d</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4支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凝聚胺介质试剂</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7200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150T/盒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DNA聚合酶（Taq酶）</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60支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7500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500u/支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全自动生化分析仪用ALT测定试剂盒</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60盒</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10200</w:t>
            </w:r>
          </w:p>
        </w:tc>
        <w:tc>
          <w:tcPr>
            <w:tcW w:w="119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176ml/盒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ALT质控品</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30支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9000</w:t>
            </w:r>
          </w:p>
        </w:tc>
        <w:tc>
          <w:tcPr>
            <w:tcW w:w="119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全自动生化分析仪清洗液</w:t>
            </w:r>
          </w:p>
        </w:tc>
        <w:tc>
          <w:tcPr>
            <w:tcW w:w="930" w:type="dxa"/>
            <w:vAlign w:val="center"/>
          </w:tcPr>
          <w:p>
            <w:pPr>
              <w:widowControl/>
              <w:jc w:val="center"/>
              <w:textAlignment w:val="center"/>
              <w:rPr>
                <w:rFonts w:hint="eastAsia" w:ascii="宋体" w:hAnsi="宋体" w:cs="宋体" w:eastAsiaTheme="minorEastAsia"/>
                <w:color w:val="auto"/>
                <w:sz w:val="22"/>
                <w:szCs w:val="22"/>
                <w:lang w:eastAsia="zh-CN"/>
              </w:rPr>
            </w:pPr>
            <w:r>
              <w:rPr>
                <w:rFonts w:hint="eastAsia" w:ascii="宋体" w:hAnsi="宋体" w:cs="宋体"/>
                <w:color w:val="auto"/>
                <w:kern w:val="0"/>
                <w:sz w:val="22"/>
                <w:szCs w:val="22"/>
              </w:rPr>
              <w:t>80</w:t>
            </w:r>
            <w:r>
              <w:rPr>
                <w:rFonts w:hint="eastAsia" w:ascii="宋体" w:hAnsi="宋体" w:cs="宋体"/>
                <w:color w:val="auto"/>
                <w:kern w:val="0"/>
                <w:sz w:val="22"/>
                <w:szCs w:val="22"/>
                <w:lang w:eastAsia="zh-CN"/>
              </w:rPr>
              <w:t>桶</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23200</w:t>
            </w:r>
          </w:p>
        </w:tc>
        <w:tc>
          <w:tcPr>
            <w:tcW w:w="119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1L/桶</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全自动生化分析仪校准品</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6支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1620</w:t>
            </w:r>
          </w:p>
        </w:tc>
        <w:tc>
          <w:tcPr>
            <w:tcW w:w="119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 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半自动生化分析仪用ALT测定试剂盒</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200盒</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13000</w:t>
            </w:r>
          </w:p>
        </w:tc>
        <w:tc>
          <w:tcPr>
            <w:tcW w:w="119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100ml/盒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restart"/>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第三标段</w:t>
            </w:r>
          </w:p>
        </w:tc>
        <w:tc>
          <w:tcPr>
            <w:tcW w:w="1909" w:type="dxa"/>
            <w:vMerge w:val="restart"/>
            <w:vAlign w:val="center"/>
          </w:tcPr>
          <w:p>
            <w:pPr>
              <w:widowControl/>
              <w:jc w:val="left"/>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rPr>
              <w:t>血型抗体检测试剂及配套试剂（进口）</w:t>
            </w: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进口BD清洗液</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5桶</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4500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5L/桶</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restart"/>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本产品已做进口论证，允许采购进口产品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进口DNA抽提试剂盒（罗氏）</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4盒</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10000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100T/盒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进口抗-Jka（IgM）</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25支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60000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进口抗-Jkb（IgM）</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25支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60000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进口抗-Lea（IgM）</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20支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24000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进口抗-Leb（IgM）</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20支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24000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进口抗-Fya</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4支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24000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进口抗-Fyb</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4支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8000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进口抗-Dia</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10支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40000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进口抗体检测用谱红细胞</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15套</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52500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16*3mL/套</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b/>
                <w:bCs/>
                <w:color w:val="000000" w:themeColor="text1"/>
                <w:kern w:val="0"/>
                <w:sz w:val="22"/>
                <w:szCs w:val="22"/>
                <w14:textFill>
                  <w14:solidFill>
                    <w14:schemeClr w14:val="tx1"/>
                  </w14:solidFill>
                </w14:textFill>
              </w:rPr>
              <w:t>进口抗筛用红细胞</w:t>
            </w:r>
            <w:r>
              <w:rPr>
                <w:rFonts w:hint="eastAsia" w:ascii="宋体" w:hAnsi="宋体" w:eastAsia="宋体" w:cs="宋体"/>
                <w:b/>
                <w:bCs/>
                <w:color w:val="000000" w:themeColor="text1"/>
                <w:kern w:val="0"/>
                <w:sz w:val="22"/>
                <w:szCs w:val="22"/>
                <w:lang w:eastAsia="zh-CN"/>
                <w14:textFill>
                  <w14:solidFill>
                    <w14:schemeClr w14:val="tx1"/>
                  </w14:solidFill>
                </w14:textFill>
              </w:rPr>
              <w:t>（核心产品）</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15套</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15000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3*3mL/套</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卡夹（进口）</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4套</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32000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2400人份/套</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进口抗体鉴定用低离子液（LISS）</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3瓶</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4500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500ml/瓶</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b w:val="0"/>
                <w:bCs w:val="0"/>
                <w:color w:val="auto"/>
                <w:kern w:val="0"/>
                <w:sz w:val="22"/>
                <w:szCs w:val="22"/>
              </w:rPr>
              <w:t>进口IgM+IgG抗-D</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45支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8100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进口抗-S（IgM）</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5000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10ml/支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进口抗-s（IgM）</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4000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进口抗-K（IgM）</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9920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进口抗-k（IgM）</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4960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进口封口膜</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12卷</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3120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100mm*38m</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进口琼脂糖</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10瓶</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2200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100g/瓶</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进口MarKer</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20支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4000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125U/支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进口抗-Wra</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8340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进口BD流式用鞘液</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2桶</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3000</w:t>
            </w:r>
          </w:p>
        </w:tc>
        <w:tc>
          <w:tcPr>
            <w:tcW w:w="1194" w:type="dxa"/>
            <w:vAlign w:val="center"/>
          </w:tcPr>
          <w:p>
            <w:pPr>
              <w:keepNext w:val="0"/>
              <w:keepLines w:val="0"/>
              <w:widowControl/>
              <w:suppressLineNumbers w:val="0"/>
              <w:jc w:val="center"/>
              <w:textAlignment w:val="center"/>
              <w:rPr>
                <w:rFonts w:hint="default" w:ascii="宋体" w:hAnsi="宋体" w:cs="宋体" w:eastAsiaTheme="minorEastAsia"/>
                <w:color w:val="auto"/>
                <w:sz w:val="22"/>
                <w:szCs w:val="22"/>
                <w:lang w:val="en-US" w:eastAsia="zh-CN"/>
              </w:rPr>
            </w:pPr>
            <w:r>
              <w:rPr>
                <w:rFonts w:hint="eastAsia" w:ascii="宋体" w:hAnsi="宋体" w:eastAsia="宋体" w:cs="宋体"/>
                <w:i w:val="0"/>
                <w:iCs w:val="0"/>
                <w:color w:val="auto"/>
                <w:kern w:val="0"/>
                <w:sz w:val="20"/>
                <w:szCs w:val="20"/>
                <w:u w:val="none"/>
                <w:lang w:val="en-US" w:eastAsia="zh-CN" w:bidi="ar"/>
              </w:rPr>
              <w:t>20L/桶</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第四标段</w:t>
            </w:r>
          </w:p>
        </w:tc>
        <w:tc>
          <w:tcPr>
            <w:tcW w:w="1909" w:type="dxa"/>
            <w:vAlign w:val="center"/>
          </w:tcPr>
          <w:p>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血浆亚甲蓝测定试剂盒</w:t>
            </w: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血浆亚甲蓝测定试剂盒</w:t>
            </w:r>
          </w:p>
        </w:tc>
        <w:tc>
          <w:tcPr>
            <w:tcW w:w="930" w:type="dxa"/>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6</w:t>
            </w:r>
            <w:r>
              <w:rPr>
                <w:rFonts w:hint="eastAsia" w:ascii="宋体" w:hAnsi="宋体" w:eastAsia="宋体" w:cs="宋体"/>
                <w:color w:val="auto"/>
                <w:kern w:val="0"/>
                <w:sz w:val="22"/>
                <w:szCs w:val="22"/>
                <w:lang w:eastAsia="zh-CN"/>
              </w:rPr>
              <w:t>盒</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sz w:val="22"/>
                <w:szCs w:val="22"/>
              </w:rPr>
              <w:t>34200</w:t>
            </w:r>
          </w:p>
        </w:tc>
        <w:tc>
          <w:tcPr>
            <w:tcW w:w="1194" w:type="dxa"/>
            <w:vAlign w:val="center"/>
          </w:tcPr>
          <w:p>
            <w:pPr>
              <w:widowControl/>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30人份/盒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restart"/>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第五标段</w:t>
            </w:r>
          </w:p>
        </w:tc>
        <w:tc>
          <w:tcPr>
            <w:tcW w:w="1909" w:type="dxa"/>
            <w:vMerge w:val="restart"/>
            <w:vAlign w:val="center"/>
          </w:tcPr>
          <w:p>
            <w:pPr>
              <w:widowControl/>
              <w:jc w:val="left"/>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rPr>
              <w:t>质管科抽检检测试剂</w:t>
            </w: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进口正常范围定值质控血浆</w:t>
            </w:r>
          </w:p>
        </w:tc>
        <w:tc>
          <w:tcPr>
            <w:tcW w:w="930" w:type="dxa"/>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8</w:t>
            </w:r>
            <w:r>
              <w:rPr>
                <w:rFonts w:hint="eastAsia" w:ascii="宋体" w:hAnsi="宋体" w:eastAsia="宋体" w:cs="宋体"/>
                <w:color w:val="auto"/>
                <w:kern w:val="0"/>
                <w:sz w:val="22"/>
                <w:szCs w:val="22"/>
                <w:lang w:eastAsia="zh-CN"/>
              </w:rPr>
              <w:t>盒</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sz w:val="22"/>
                <w:szCs w:val="22"/>
              </w:rPr>
              <w:t>26400</w:t>
            </w:r>
          </w:p>
        </w:tc>
        <w:tc>
          <w:tcPr>
            <w:tcW w:w="1194" w:type="dxa"/>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1mL×10瓶/盒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top"/>
          </w:tcPr>
          <w:p>
            <w:pPr>
              <w:widowControl/>
              <w:tabs>
                <w:tab w:val="left" w:pos="1620"/>
              </w:tabs>
              <w:wordWrap w:val="0"/>
              <w:snapToGrid w:val="0"/>
              <w:spacing w:line="240" w:lineRule="auto"/>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本产品已做进口论证，允许采购进口产品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color w:val="auto"/>
                <w:kern w:val="0"/>
                <w:sz w:val="22"/>
                <w:szCs w:val="22"/>
                <w:lang w:eastAsia="zh-CN"/>
              </w:rPr>
            </w:pPr>
            <w:r>
              <w:rPr>
                <w:rFonts w:hint="eastAsia" w:ascii="宋体" w:hAnsi="宋体" w:eastAsia="宋体" w:cs="宋体"/>
                <w:b/>
                <w:bCs/>
                <w:color w:val="auto"/>
                <w:kern w:val="0"/>
                <w:sz w:val="22"/>
                <w:szCs w:val="22"/>
              </w:rPr>
              <w:t>进口凝血因子VIII活性测定试剂盒</w:t>
            </w:r>
            <w:r>
              <w:rPr>
                <w:rFonts w:hint="eastAsia" w:ascii="宋体" w:hAnsi="宋体" w:eastAsia="宋体" w:cs="宋体"/>
                <w:b/>
                <w:bCs/>
                <w:color w:val="auto"/>
                <w:kern w:val="0"/>
                <w:sz w:val="22"/>
                <w:szCs w:val="22"/>
                <w:lang w:eastAsia="zh-CN"/>
              </w:rPr>
              <w:t>（核心产品）</w:t>
            </w:r>
          </w:p>
        </w:tc>
        <w:tc>
          <w:tcPr>
            <w:tcW w:w="930" w:type="dxa"/>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15</w:t>
            </w:r>
            <w:r>
              <w:rPr>
                <w:rFonts w:hint="eastAsia" w:ascii="宋体" w:hAnsi="宋体" w:eastAsia="宋体" w:cs="宋体"/>
                <w:color w:val="auto"/>
                <w:kern w:val="0"/>
                <w:sz w:val="22"/>
                <w:szCs w:val="22"/>
                <w:lang w:eastAsia="zh-CN"/>
              </w:rPr>
              <w:t>盒</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17475</w:t>
            </w:r>
          </w:p>
        </w:tc>
        <w:tc>
          <w:tcPr>
            <w:tcW w:w="1194" w:type="dxa"/>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1ml×8支/盒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top"/>
          </w:tcPr>
          <w:p>
            <w:pPr>
              <w:widowControl/>
              <w:tabs>
                <w:tab w:val="left" w:pos="1620"/>
              </w:tabs>
              <w:wordWrap w:val="0"/>
              <w:snapToGrid w:val="0"/>
              <w:spacing w:line="240" w:lineRule="auto"/>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本产品已做进口论证，允许采购进口产品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鲎试剂</w:t>
            </w:r>
          </w:p>
        </w:tc>
        <w:tc>
          <w:tcPr>
            <w:tcW w:w="930" w:type="dxa"/>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60</w:t>
            </w:r>
            <w:r>
              <w:rPr>
                <w:rFonts w:hint="eastAsia" w:ascii="宋体" w:hAnsi="宋体" w:eastAsia="宋体" w:cs="宋体"/>
                <w:color w:val="auto"/>
                <w:kern w:val="0"/>
                <w:sz w:val="22"/>
                <w:szCs w:val="22"/>
                <w:lang w:eastAsia="zh-CN"/>
              </w:rPr>
              <w:t>盒</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7800</w:t>
            </w:r>
          </w:p>
        </w:tc>
        <w:tc>
          <w:tcPr>
            <w:tcW w:w="1194" w:type="dxa"/>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0.1mL×10支/盒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细菌内毒素工作标准品</w:t>
            </w:r>
          </w:p>
        </w:tc>
        <w:tc>
          <w:tcPr>
            <w:tcW w:w="930" w:type="dxa"/>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15</w:t>
            </w:r>
            <w:r>
              <w:rPr>
                <w:rFonts w:hint="eastAsia" w:ascii="宋体" w:hAnsi="宋体" w:eastAsia="宋体" w:cs="宋体"/>
                <w:color w:val="auto"/>
                <w:kern w:val="0"/>
                <w:sz w:val="22"/>
                <w:szCs w:val="22"/>
                <w:lang w:eastAsia="zh-CN"/>
              </w:rPr>
              <w:t>盒</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27000</w:t>
            </w:r>
          </w:p>
        </w:tc>
        <w:tc>
          <w:tcPr>
            <w:tcW w:w="1194" w:type="dxa"/>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 Eu×10支/盒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第六标段</w:t>
            </w:r>
          </w:p>
        </w:tc>
        <w:tc>
          <w:tcPr>
            <w:tcW w:w="1909" w:type="dxa"/>
            <w:vAlign w:val="center"/>
          </w:tcPr>
          <w:p>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残余白细胞计数仪耗材</w:t>
            </w: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进口残余白细胞计数仪耗材</w:t>
            </w:r>
          </w:p>
        </w:tc>
        <w:tc>
          <w:tcPr>
            <w:tcW w:w="930" w:type="dxa"/>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6</w:t>
            </w:r>
            <w:r>
              <w:rPr>
                <w:rFonts w:hint="eastAsia" w:ascii="宋体" w:hAnsi="宋体" w:eastAsia="宋体" w:cs="宋体"/>
                <w:color w:val="auto"/>
                <w:kern w:val="0"/>
                <w:sz w:val="22"/>
                <w:szCs w:val="22"/>
                <w:lang w:eastAsia="zh-CN"/>
              </w:rPr>
              <w:t>套</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36000</w:t>
            </w:r>
          </w:p>
        </w:tc>
        <w:tc>
          <w:tcPr>
            <w:tcW w:w="1194" w:type="dxa"/>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50人份/套</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24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本产品已做进口论证，允许采购进口产品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第七</w:t>
            </w:r>
            <w:r>
              <w:rPr>
                <w:rFonts w:hint="eastAsia" w:ascii="宋体" w:hAnsi="宋体" w:eastAsia="宋体" w:cs="宋体"/>
                <w:sz w:val="22"/>
                <w:szCs w:val="22"/>
                <w:lang w:eastAsia="zh-CN"/>
              </w:rPr>
              <w:t>标段</w:t>
            </w:r>
          </w:p>
        </w:tc>
        <w:tc>
          <w:tcPr>
            <w:tcW w:w="1909" w:type="dxa"/>
            <w:vAlign w:val="center"/>
          </w:tcPr>
          <w:p>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辐照指示卡</w:t>
            </w: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辐照指示卡</w:t>
            </w:r>
          </w:p>
        </w:tc>
        <w:tc>
          <w:tcPr>
            <w:tcW w:w="930" w:type="dxa"/>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20</w:t>
            </w:r>
            <w:r>
              <w:rPr>
                <w:rFonts w:hint="eastAsia" w:ascii="宋体" w:hAnsi="宋体" w:eastAsia="宋体" w:cs="宋体"/>
                <w:color w:val="auto"/>
                <w:kern w:val="0"/>
                <w:sz w:val="22"/>
                <w:szCs w:val="22"/>
                <w:lang w:eastAsia="zh-CN"/>
              </w:rPr>
              <w:t>盒</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39200</w:t>
            </w:r>
          </w:p>
        </w:tc>
        <w:tc>
          <w:tcPr>
            <w:tcW w:w="1194"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200片/盒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840" w:type="dxa"/>
            <w:gridSpan w:val="5"/>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合计</w:t>
            </w:r>
          </w:p>
        </w:tc>
        <w:tc>
          <w:tcPr>
            <w:tcW w:w="5130" w:type="dxa"/>
            <w:gridSpan w:val="4"/>
            <w:vAlign w:val="center"/>
          </w:tcPr>
          <w:p>
            <w:pPr>
              <w:widowControl/>
              <w:tabs>
                <w:tab w:val="left" w:pos="1620"/>
              </w:tabs>
              <w:wordWrap w:val="0"/>
              <w:snapToGrid w:val="0"/>
              <w:spacing w:line="360" w:lineRule="auto"/>
              <w:jc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2727155</w:t>
            </w:r>
          </w:p>
        </w:tc>
      </w:tr>
    </w:tbl>
    <w:p>
      <w:pPr>
        <w:spacing w:line="560" w:lineRule="exact"/>
        <w:jc w:val="both"/>
        <w:outlineLvl w:val="9"/>
        <w:rPr>
          <w:rFonts w:hint="eastAsia" w:ascii="宋体" w:hAnsi="宋体" w:eastAsia="宋体" w:cs="宋体"/>
          <w:sz w:val="24"/>
          <w:szCs w:val="24"/>
        </w:rPr>
      </w:pPr>
      <w:r>
        <w:rPr>
          <w:rFonts w:hint="eastAsia" w:ascii="宋体" w:hAnsi="宋体" w:eastAsia="宋体" w:cs="宋体"/>
          <w:sz w:val="24"/>
          <w:szCs w:val="24"/>
        </w:rPr>
        <w:t>（详见招标文件第三章〈招标内容及要求〉）</w:t>
      </w:r>
    </w:p>
    <w:p>
      <w:pPr>
        <w:bidi w:val="0"/>
        <w:rPr>
          <w:rFonts w:hint="eastAsia"/>
          <w:lang w:val="en-US" w:eastAsia="zh-CN"/>
        </w:rPr>
      </w:pPr>
      <w:bookmarkStart w:id="12" w:name="_Toc5777"/>
      <w:bookmarkStart w:id="13" w:name="_Toc29589"/>
      <w:bookmarkStart w:id="14" w:name="_Toc26651"/>
      <w:r>
        <w:rPr>
          <w:rFonts w:hint="eastAsia"/>
        </w:rPr>
        <w:t>四、采购预算：</w:t>
      </w:r>
      <w:r>
        <w:rPr>
          <w:rFonts w:hint="eastAsia"/>
          <w:lang w:val="en-US" w:eastAsia="zh-CN"/>
        </w:rPr>
        <w:t>2727155元，最高限价：2727155元</w:t>
      </w:r>
      <w:bookmarkEnd w:id="12"/>
      <w:bookmarkEnd w:id="13"/>
      <w:bookmarkEnd w:id="14"/>
    </w:p>
    <w:p>
      <w:pPr>
        <w:bidi w:val="0"/>
        <w:rPr>
          <w:rFonts w:hint="eastAsia" w:ascii="宋体" w:hAnsi="宋体" w:eastAsia="宋体" w:cs="宋体"/>
          <w:szCs w:val="24"/>
        </w:rPr>
      </w:pPr>
      <w:bookmarkStart w:id="15" w:name="_Toc15670"/>
      <w:bookmarkStart w:id="16" w:name="_Toc4241"/>
      <w:bookmarkStart w:id="17" w:name="_Toc7327"/>
      <w:r>
        <w:rPr>
          <w:rFonts w:hint="eastAsia"/>
        </w:rPr>
        <w:t>五、供应商资格要求：</w:t>
      </w:r>
      <w:bookmarkEnd w:id="15"/>
      <w:bookmarkEnd w:id="16"/>
      <w:bookmarkEnd w:id="17"/>
    </w:p>
    <w:p>
      <w:pPr>
        <w:bidi w:val="0"/>
        <w:rPr>
          <w:rFonts w:hint="eastAsia"/>
        </w:rPr>
      </w:pPr>
      <w:bookmarkStart w:id="18" w:name="_Toc2061"/>
      <w:r>
        <w:rPr>
          <w:rFonts w:hint="eastAsia"/>
        </w:rPr>
        <w:t>1．基本资格条件</w:t>
      </w:r>
      <w:bookmarkEnd w:id="18"/>
    </w:p>
    <w:p>
      <w:pPr>
        <w:spacing w:line="560" w:lineRule="exact"/>
        <w:ind w:firstLine="496" w:firstLineChars="200"/>
        <w:jc w:val="both"/>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满足《中华人民共和国政府釆购法》第二十二条规定。</w:t>
      </w:r>
    </w:p>
    <w:p>
      <w:pPr>
        <w:bidi w:val="0"/>
        <w:spacing w:line="360" w:lineRule="auto"/>
        <w:rPr>
          <w:rFonts w:hint="eastAsia"/>
        </w:rPr>
      </w:pPr>
      <w:bookmarkStart w:id="19" w:name="_Toc25521"/>
      <w:r>
        <w:rPr>
          <w:rFonts w:hint="eastAsia"/>
        </w:rPr>
        <w:t>2．特定资格条件</w:t>
      </w:r>
      <w:bookmarkEnd w:id="19"/>
    </w:p>
    <w:p>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社会保障资金缴纳证明：供应商提供本单位2021年1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（3）税收缴纳证明：供应商提供本单位2021年1月至今已缴纳的至少一个月纳税证明或完税证明，依法免税的单位应提供相关证明材料； </w:t>
      </w:r>
    </w:p>
    <w:p>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（4）财务状况证明：提供本单位经会计师事务所审计的2020年或2021年任意一年的财务审计报告或在开标日期前六个月内其基本开户银行出具的资信证明；  </w:t>
      </w:r>
    </w:p>
    <w:p>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（5）供应商应出具参加本次政府采购活动前3年内在经营活动中没有重大违法违纪，以及未被列入失信被执行人、重大税收违法案件当事人名单、政府采购严重违法失信行为记录名单的书面声明；</w:t>
      </w:r>
    </w:p>
    <w:p>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（6）非法定代表人参加投标，须提供法定代表人授权委托书及被授权人身份证原件；法定代表人参加投标时,只须提供法定代表人身份证原件；</w:t>
      </w:r>
    </w:p>
    <w:p>
      <w:pPr>
        <w:keepNext w:val="0"/>
        <w:keepLines w:val="0"/>
        <w:pageBreakBefore w:val="0"/>
        <w:widowControl/>
        <w:kinsoku/>
        <w:wordWrap/>
        <w:overflowPunct/>
        <w:topLinePunct w:val="0"/>
        <w:autoSpaceDE/>
        <w:autoSpaceDN/>
        <w:bidi w:val="0"/>
        <w:adjustRightInd/>
        <w:snapToGrid/>
        <w:spacing w:line="360" w:lineRule="auto"/>
        <w:ind w:firstLine="248" w:firstLineChars="100"/>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  （7）所投产品为进口产品还须提供产品制造厂商针对该产品完整授权链的授权书；</w:t>
      </w:r>
    </w:p>
    <w:p>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outlineLvl w:val="9"/>
        <w:rPr>
          <w:rFonts w:hint="default"/>
          <w:lang w:val="en-US" w:eastAsia="zh-CN"/>
        </w:rPr>
      </w:pPr>
      <w:r>
        <w:rPr>
          <w:rFonts w:hint="eastAsia" w:ascii="宋体" w:hAnsi="宋体" w:eastAsia="宋体" w:cs="宋体"/>
          <w:sz w:val="24"/>
          <w:szCs w:val="24"/>
          <w:highlight w:val="none"/>
          <w:lang w:val="en-US" w:eastAsia="zh-CN" w:bidi="ar-SA"/>
        </w:rPr>
        <w:t>（8）投标人为代理商的应提供《医疗器械经营许可证》或《医疗器械经营备案凭证》；投标人为制造厂商的应提供《医疗器械经营许可证》和《医疗器械生产许可证》或《医疗器械生产备案凭证》；</w:t>
      </w:r>
    </w:p>
    <w:p>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outlineLvl w:val="9"/>
        <w:rPr>
          <w:rFonts w:hint="default" w:ascii="宋体" w:hAnsi="宋体" w:eastAsia="宋体" w:cs="宋体"/>
          <w:color w:val="FF0000"/>
          <w:sz w:val="24"/>
          <w:szCs w:val="24"/>
          <w:highlight w:val="none"/>
          <w:lang w:val="en-US" w:eastAsia="zh-CN" w:bidi="ar-SA"/>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（9）第一标段投标人须提供符合《人类白细胞抗原(HLA)基因分型检测体系技术要求核查指南(试行)》要求的书面声明函。</w:t>
      </w:r>
    </w:p>
    <w:p>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outlineLvl w:val="9"/>
        <w:rPr>
          <w:rFonts w:hint="default"/>
          <w:lang w:val="en-US" w:eastAsia="zh-CN"/>
        </w:rPr>
      </w:pPr>
      <w:r>
        <w:rPr>
          <w:rFonts w:hint="eastAsia" w:ascii="宋体" w:hAnsi="宋体" w:eastAsia="宋体" w:cs="宋体"/>
          <w:sz w:val="24"/>
          <w:szCs w:val="24"/>
          <w:highlight w:val="none"/>
          <w:lang w:val="en-US" w:eastAsia="zh-CN" w:bidi="ar-SA"/>
        </w:rPr>
        <w:t>（10）本项目不接受联合体投标。</w:t>
      </w:r>
    </w:p>
    <w:p>
      <w:pPr>
        <w:bidi w:val="0"/>
        <w:rPr>
          <w:rFonts w:hint="eastAsia"/>
        </w:rPr>
      </w:pPr>
      <w:bookmarkStart w:id="20" w:name="_Toc31906"/>
      <w:bookmarkStart w:id="21" w:name="_Toc3181"/>
      <w:bookmarkStart w:id="22" w:name="_Toc16518"/>
      <w:r>
        <w:rPr>
          <w:rFonts w:hint="eastAsia"/>
        </w:rPr>
        <w:t>六、执行的其他政府采购政策：</w:t>
      </w:r>
      <w:bookmarkEnd w:id="20"/>
      <w:bookmarkEnd w:id="21"/>
      <w:bookmarkEnd w:id="22"/>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关于政府采购支持监狱企业发展有关问题的通知》（财库〔2014〕68号）以及《关于促进残疾人就业政府采购政策的通知》（财库〔2017〕141号）。</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3．陕西省财政厅关于印发《陕西省中小企业政府采购信用融资办法》（陕财办采〔2018〕23号）。</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4．详见招标文件第二章相关事项。</w:t>
      </w:r>
    </w:p>
    <w:p>
      <w:pPr>
        <w:bidi w:val="0"/>
        <w:rPr>
          <w:rFonts w:hint="eastAsia"/>
        </w:rPr>
      </w:pPr>
      <w:bookmarkStart w:id="23" w:name="_Toc6511"/>
      <w:bookmarkStart w:id="24" w:name="_Toc3878"/>
      <w:bookmarkStart w:id="25" w:name="_Toc19338"/>
      <w:r>
        <w:rPr>
          <w:rFonts w:hint="eastAsia"/>
        </w:rPr>
        <w:t>七、招标文件获取方式及公告期限：</w:t>
      </w:r>
      <w:bookmarkEnd w:id="23"/>
      <w:bookmarkEnd w:id="24"/>
      <w:bookmarkEnd w:id="25"/>
    </w:p>
    <w:p>
      <w:pPr>
        <w:bidi w:val="0"/>
        <w:rPr>
          <w:rFonts w:hint="eastAsia" w:ascii="宋体" w:hAnsi="宋体" w:eastAsia="宋体" w:cs="宋体"/>
          <w:szCs w:val="24"/>
        </w:rPr>
      </w:pPr>
      <w:bookmarkStart w:id="26" w:name="_Toc28215"/>
      <w:r>
        <w:rPr>
          <w:rFonts w:hint="eastAsia"/>
        </w:rPr>
        <w:t>1．获取方式：</w:t>
      </w:r>
      <w:bookmarkEnd w:id="26"/>
    </w:p>
    <w:p>
      <w:pPr>
        <w:keepNext w:val="0"/>
        <w:keepLines w:val="0"/>
        <w:pageBreakBefore w:val="0"/>
        <w:widowControl/>
        <w:kinsoku/>
        <w:wordWrap/>
        <w:overflowPunct/>
        <w:topLinePunct w:val="0"/>
        <w:autoSpaceDE/>
        <w:autoSpaceDN/>
        <w:bidi w:val="0"/>
        <w:adjustRightInd/>
        <w:snapToGrid/>
        <w:spacing w:line="560" w:lineRule="exact"/>
        <w:ind w:left="248" w:leftChars="100" w:firstLine="496"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打开【全国公共资源交易平台（陕西省·西安市）】网站（简称西安市公共资源交易平台，官网地址：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"http://sxggzyjy.xa.gov.cn/"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http://sxggzyjy.xa.gov.cn/</w:t>
      </w:r>
      <w:r>
        <w:rPr>
          <w:rStyle w:val="42"/>
          <w:rFonts w:hint="eastAsia" w:ascii="宋体" w:hAnsi="宋体" w:eastAsia="宋体" w:cs="宋体"/>
          <w:color w:val="auto"/>
          <w:sz w:val="24"/>
          <w:szCs w:val="24"/>
          <w:u w:val="none"/>
        </w:rPr>
        <w:fldChar w:fldCharType="end"/>
      </w:r>
      <w:r>
        <w:rPr>
          <w:rFonts w:hint="eastAsia" w:ascii="宋体" w:hAnsi="宋体" w:eastAsia="宋体" w:cs="宋体"/>
          <w:sz w:val="24"/>
          <w:szCs w:val="24"/>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bookmarkStart w:id="27" w:name="_Toc2082"/>
      <w:r>
        <w:rPr>
          <w:rFonts w:hint="eastAsia" w:ascii="宋体" w:hAnsi="宋体" w:eastAsia="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248" w:leftChars="100" w:firstLine="496" w:firstLineChars="200"/>
        <w:jc w:val="both"/>
        <w:textAlignment w:val="auto"/>
        <w:outlineLvl w:val="9"/>
        <w:rPr>
          <w:rFonts w:hint="default" w:ascii="宋体" w:hAnsi="宋体" w:eastAsia="宋体" w:cs="宋体"/>
          <w:b w:val="0"/>
          <w:bCs w:val="0"/>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bidi="ar-SA"/>
        </w:rPr>
        <w:t>1.2</w:t>
      </w:r>
      <w:r>
        <w:rPr>
          <w:rFonts w:hint="eastAsia" w:ascii="宋体" w:hAnsi="宋体" w:eastAsia="宋体" w:cs="宋体"/>
          <w:sz w:val="24"/>
          <w:szCs w:val="24"/>
          <w:lang w:val="en-US" w:eastAsia="zh-CN"/>
        </w:rPr>
        <w:t>供应商于文件发售时间内登录全国公共资源交易平台（陕西省·西安市）系统 （http://sxggzyjy.xa.gov.cn/），选择本项目点击“我要投标”，参与投标活动。</w:t>
      </w:r>
    </w:p>
    <w:p>
      <w:pPr>
        <w:bidi w:val="0"/>
        <w:spacing w:line="360" w:lineRule="auto"/>
        <w:ind w:firstLine="248" w:firstLineChars="100"/>
        <w:rPr>
          <w:rFonts w:hint="eastAsia"/>
          <w:color w:val="auto"/>
          <w:highlight w:val="yellow"/>
        </w:rPr>
      </w:pPr>
      <w:r>
        <w:rPr>
          <w:rFonts w:hint="eastAsia"/>
          <w:color w:val="auto"/>
          <w:highlight w:val="none"/>
        </w:rPr>
        <w:t>2．</w:t>
      </w:r>
      <w:bookmarkEnd w:id="27"/>
      <w:r>
        <w:rPr>
          <w:rFonts w:hint="eastAsia"/>
          <w:color w:val="auto"/>
          <w:highlight w:val="none"/>
          <w:lang w:eastAsia="zh-CN"/>
        </w:rPr>
        <w:t>获取</w:t>
      </w:r>
      <w:r>
        <w:rPr>
          <w:rFonts w:hint="eastAsia"/>
          <w:color w:val="auto"/>
          <w:highlight w:val="none"/>
        </w:rPr>
        <w:t>时间：202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08</w:t>
      </w:r>
      <w:r>
        <w:rPr>
          <w:rFonts w:hint="eastAsia"/>
          <w:color w:val="auto"/>
          <w:highlight w:val="none"/>
        </w:rPr>
        <w:t>月</w:t>
      </w:r>
      <w:r>
        <w:rPr>
          <w:rFonts w:hint="eastAsia"/>
          <w:color w:val="auto"/>
          <w:highlight w:val="none"/>
          <w:lang w:val="en-US" w:eastAsia="zh-CN"/>
        </w:rPr>
        <w:t>19</w:t>
      </w:r>
      <w:r>
        <w:rPr>
          <w:rFonts w:hint="eastAsia"/>
          <w:color w:val="auto"/>
          <w:highlight w:val="none"/>
        </w:rPr>
        <w:t>日起至202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08</w:t>
      </w:r>
      <w:r>
        <w:rPr>
          <w:rFonts w:hint="eastAsia"/>
          <w:color w:val="auto"/>
          <w:highlight w:val="none"/>
        </w:rPr>
        <w:t>月</w:t>
      </w:r>
      <w:r>
        <w:rPr>
          <w:rFonts w:hint="eastAsia"/>
          <w:color w:val="auto"/>
          <w:highlight w:val="none"/>
          <w:lang w:val="en-US" w:eastAsia="zh-CN"/>
        </w:rPr>
        <w:t>26</w:t>
      </w:r>
      <w:r>
        <w:rPr>
          <w:rFonts w:hint="eastAsia"/>
          <w:color w:val="auto"/>
          <w:highlight w:val="none"/>
        </w:rPr>
        <w:t>日止</w:t>
      </w:r>
      <w:r>
        <w:rPr>
          <w:rFonts w:hint="eastAsia"/>
          <w:color w:val="auto"/>
          <w:highlight w:val="none"/>
          <w:lang w:eastAsia="zh-CN"/>
        </w:rPr>
        <w:t>，每天上午00:00:00至12:00:00，下午12:00:00至23：59:59（北京时间，法定节假日除外）。</w:t>
      </w:r>
    </w:p>
    <w:p>
      <w:pPr>
        <w:bidi w:val="0"/>
        <w:spacing w:line="360" w:lineRule="auto"/>
        <w:ind w:firstLine="248" w:firstLineChars="100"/>
        <w:rPr>
          <w:rFonts w:hint="eastAsia"/>
          <w:lang w:val="en-US" w:eastAsia="zh-CN"/>
        </w:rPr>
      </w:pPr>
      <w:bookmarkStart w:id="28" w:name="_Toc3722"/>
      <w:r>
        <w:rPr>
          <w:rFonts w:hint="eastAsia"/>
        </w:rPr>
        <w:t>3．</w:t>
      </w:r>
      <w:r>
        <w:rPr>
          <w:rFonts w:hint="eastAsia"/>
          <w:lang w:val="en-US" w:eastAsia="zh-CN"/>
        </w:rPr>
        <w:t>公告期自公告发布之日起5个工作日</w:t>
      </w:r>
      <w:bookmarkEnd w:id="28"/>
    </w:p>
    <w:p>
      <w:pPr>
        <w:bidi w:val="0"/>
        <w:spacing w:line="360" w:lineRule="auto"/>
        <w:ind w:firstLine="248" w:firstLineChars="100"/>
        <w:rPr>
          <w:rFonts w:hint="eastAsia"/>
        </w:rPr>
      </w:pPr>
      <w:bookmarkStart w:id="29" w:name="_Toc26633"/>
      <w:r>
        <w:rPr>
          <w:rFonts w:hint="eastAsia"/>
          <w:lang w:val="en-US" w:eastAsia="zh-CN"/>
        </w:rPr>
        <w:t>4.</w:t>
      </w:r>
      <w:r>
        <w:rPr>
          <w:rFonts w:hint="eastAsia"/>
        </w:rPr>
        <w:t>友情提示：</w:t>
      </w:r>
      <w:bookmarkEnd w:id="29"/>
    </w:p>
    <w:p>
      <w:pPr>
        <w:spacing w:line="560" w:lineRule="exact"/>
        <w:ind w:firstLine="496" w:firstLineChars="200"/>
        <w:jc w:val="both"/>
        <w:outlineLvl w:val="9"/>
        <w:rPr>
          <w:rFonts w:hint="default" w:ascii="宋体" w:hAnsi="宋体" w:eastAsia="宋体" w:cs="宋体"/>
          <w:b w:val="0"/>
          <w:bCs w:val="0"/>
          <w:sz w:val="24"/>
          <w:szCs w:val="24"/>
          <w:lang w:val="en-US" w:eastAsia="zh-CN" w:bidi="ar-SA"/>
        </w:rPr>
      </w:pPr>
      <w:bookmarkStart w:id="30" w:name="_Toc13341"/>
      <w:bookmarkStart w:id="31" w:name="_Toc6616"/>
      <w:bookmarkStart w:id="32" w:name="_Toc15253"/>
      <w:r>
        <w:rPr>
          <w:rFonts w:hint="eastAsia" w:ascii="宋体" w:hAnsi="宋体" w:eastAsia="宋体" w:cs="宋体"/>
          <w:sz w:val="24"/>
          <w:szCs w:val="24"/>
        </w:rPr>
        <w:t>打开【全国公共资源交易平台（陕西省·西安市）】网站（简称西安市公共资源交易平台，官网地址：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"http://sxggzyjy.xa.gov.cn/"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http://sxggzyjy.xa.gov.cn/</w:t>
      </w:r>
      <w:r>
        <w:rPr>
          <w:rStyle w:val="42"/>
          <w:rFonts w:hint="eastAsia" w:ascii="宋体" w:hAnsi="宋体" w:eastAsia="宋体" w:cs="宋体"/>
          <w:color w:val="auto"/>
          <w:sz w:val="24"/>
          <w:szCs w:val="24"/>
          <w:u w:val="none"/>
        </w:rPr>
        <w:fldChar w:fldCharType="end"/>
      </w:r>
      <w:r>
        <w:rPr>
          <w:rFonts w:hint="eastAsia" w:ascii="宋体" w:hAnsi="宋体" w:eastAsia="宋体" w:cs="宋体"/>
          <w:sz w:val="24"/>
          <w:szCs w:val="24"/>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bidi w:val="0"/>
        <w:ind w:firstLine="248" w:firstLineChars="100"/>
        <w:rPr>
          <w:rFonts w:hint="eastAsia"/>
          <w:color w:val="auto"/>
          <w:highlight w:val="none"/>
        </w:rPr>
      </w:pPr>
      <w:r>
        <w:rPr>
          <w:rFonts w:hint="eastAsia"/>
          <w:color w:val="auto"/>
          <w:highlight w:val="none"/>
        </w:rPr>
        <w:t>2．</w:t>
      </w:r>
      <w:r>
        <w:rPr>
          <w:rFonts w:hint="eastAsia"/>
          <w:color w:val="auto"/>
          <w:highlight w:val="none"/>
          <w:lang w:eastAsia="zh-CN"/>
        </w:rPr>
        <w:t>获取</w:t>
      </w:r>
      <w:r>
        <w:rPr>
          <w:rFonts w:hint="eastAsia"/>
          <w:color w:val="auto"/>
          <w:highlight w:val="none"/>
        </w:rPr>
        <w:t>时间：202</w:t>
      </w:r>
      <w:r>
        <w:rPr>
          <w:rFonts w:hint="eastAsia"/>
          <w:color w:val="auto"/>
          <w:highlight w:val="none"/>
          <w:lang w:val="en-US" w:eastAsia="zh-CN"/>
        </w:rPr>
        <w:t>2</w:t>
      </w:r>
      <w:r>
        <w:rPr>
          <w:rFonts w:hint="eastAsia"/>
          <w:color w:val="auto"/>
          <w:highlight w:val="none"/>
        </w:rPr>
        <w:t>年08月19日起至202</w:t>
      </w:r>
      <w:r>
        <w:rPr>
          <w:rFonts w:hint="eastAsia"/>
          <w:color w:val="auto"/>
          <w:highlight w:val="none"/>
          <w:lang w:val="en-US" w:eastAsia="zh-CN"/>
        </w:rPr>
        <w:t>2</w:t>
      </w:r>
      <w:r>
        <w:rPr>
          <w:rFonts w:hint="eastAsia"/>
          <w:color w:val="auto"/>
          <w:highlight w:val="none"/>
        </w:rPr>
        <w:t>年08月26日止</w:t>
      </w:r>
    </w:p>
    <w:p>
      <w:pPr>
        <w:bidi w:val="0"/>
        <w:spacing w:line="360" w:lineRule="auto"/>
        <w:ind w:firstLine="248" w:firstLineChars="100"/>
        <w:rPr>
          <w:rFonts w:hint="eastAsia"/>
          <w:lang w:val="en-US" w:eastAsia="zh-CN"/>
        </w:rPr>
      </w:pPr>
      <w:r>
        <w:rPr>
          <w:rFonts w:hint="eastAsia"/>
        </w:rPr>
        <w:t>3．</w:t>
      </w:r>
      <w:r>
        <w:rPr>
          <w:rFonts w:hint="eastAsia"/>
          <w:lang w:val="en-US" w:eastAsia="zh-CN"/>
        </w:rPr>
        <w:t>公告期自公告发布之日起5个工作日</w:t>
      </w:r>
    </w:p>
    <w:p>
      <w:pPr>
        <w:bidi w:val="0"/>
        <w:spacing w:line="360" w:lineRule="auto"/>
        <w:ind w:firstLine="248" w:firstLineChars="100"/>
        <w:rPr>
          <w:rFonts w:hint="eastAsia"/>
        </w:rPr>
      </w:pPr>
      <w:r>
        <w:rPr>
          <w:rFonts w:hint="eastAsia"/>
          <w:lang w:val="en-US" w:eastAsia="zh-CN"/>
        </w:rPr>
        <w:t>4.</w:t>
      </w:r>
      <w:r>
        <w:rPr>
          <w:rFonts w:hint="eastAsia"/>
        </w:rPr>
        <w:t>友情提示：</w:t>
      </w:r>
    </w:p>
    <w:p>
      <w:pPr>
        <w:spacing w:line="560" w:lineRule="exact"/>
        <w:ind w:firstLine="496" w:firstLineChars="20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rPr>
        <w:t>（1）本项目为电子化政府采购项目，供应商初次</w:t>
      </w:r>
      <w:r>
        <w:rPr>
          <w:rFonts w:hint="eastAsia" w:ascii="宋体" w:hAnsi="宋体" w:eastAsia="宋体" w:cs="宋体"/>
          <w:sz w:val="24"/>
          <w:szCs w:val="24"/>
          <w:lang w:eastAsia="zh-CN"/>
        </w:rPr>
        <w:t>使用电子交易平台时，请先阅读【全国公共资源交易平台（陕西省</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西安市）】（</w:t>
      </w:r>
      <w:r>
        <w:rPr>
          <w:rFonts w:hint="eastAsia" w:ascii="宋体" w:hAnsi="宋体" w:eastAsia="宋体" w:cs="宋体"/>
          <w:sz w:val="24"/>
          <w:szCs w:val="24"/>
          <w:lang w:val="en-US" w:eastAsia="zh-CN"/>
        </w:rPr>
        <w:t>http://sxggzyjy.xa.gov,cn/</w:t>
      </w:r>
      <w:r>
        <w:rPr>
          <w:rFonts w:hint="eastAsia" w:ascii="宋体" w:hAnsi="宋体" w:eastAsia="宋体" w:cs="宋体"/>
          <w:sz w:val="24"/>
          <w:szCs w:val="24"/>
          <w:lang w:eastAsia="zh-CN"/>
        </w:rPr>
        <w:t>）网站【首页</w:t>
      </w:r>
      <w:r>
        <w:rPr>
          <w:rFonts w:hint="eastAsia" w:ascii="宋体" w:hAnsi="宋体" w:eastAsia="宋体" w:cs="宋体"/>
          <w:sz w:val="24"/>
          <w:szCs w:val="24"/>
          <w:lang w:val="en-US" w:eastAsia="zh-CN"/>
        </w:rPr>
        <w:t>&gt;服务指南&gt;下载专区</w:t>
      </w:r>
      <w:r>
        <w:rPr>
          <w:rFonts w:hint="eastAsia" w:ascii="宋体" w:hAnsi="宋体" w:eastAsia="宋体" w:cs="宋体"/>
          <w:sz w:val="24"/>
          <w:szCs w:val="24"/>
          <w:lang w:eastAsia="zh-CN"/>
        </w:rPr>
        <w:t>】中的《西安市市级单位电子化政府采购项目投标指南》，并按要求完成诚信入库登记、</w:t>
      </w:r>
      <w:r>
        <w:rPr>
          <w:rFonts w:hint="eastAsia" w:ascii="宋体" w:hAnsi="宋体" w:eastAsia="宋体" w:cs="宋体"/>
          <w:sz w:val="24"/>
          <w:szCs w:val="24"/>
          <w:lang w:val="en-US" w:eastAsia="zh-CN"/>
        </w:rPr>
        <w:t>CA认证及企业信息绑定。</w:t>
      </w:r>
    </w:p>
    <w:p>
      <w:pPr>
        <w:spacing w:line="560" w:lineRule="exact"/>
        <w:ind w:firstLine="496"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办理CA认证：电子交易平台已接入陕西CA、深圳CA、西部CA、北京CA四家数字认证公司，各供应商在交易过程中登录系统、加密/解密投标文件、文件签章等均可使用上述四家CA公司签发的数字。办理须知及所需资料详见：</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"http://www.sxggzyjy.cn/fwzn/004003/20220701/6972fe02-f996-4928-951e-545dab02e53c.html" </w:instrText>
      </w:r>
      <w:r>
        <w:rPr>
          <w:rFonts w:hint="eastAsia" w:ascii="宋体" w:hAnsi="宋体" w:eastAsia="宋体" w:cs="宋体"/>
          <w:sz w:val="24"/>
          <w:szCs w:val="24"/>
          <w:lang w:val="en-US" w:eastAsia="zh-CN"/>
        </w:rPr>
        <w:fldChar w:fldCharType="separate"/>
      </w:r>
      <w:r>
        <w:rPr>
          <w:rStyle w:val="36"/>
          <w:rFonts w:hint="eastAsia" w:ascii="宋体" w:hAnsi="宋体" w:eastAsia="宋体" w:cs="宋体"/>
          <w:sz w:val="24"/>
          <w:szCs w:val="24"/>
          <w:lang w:val="en-US" w:eastAsia="zh-CN"/>
        </w:rPr>
        <w:t>http://www.sxggzyjy.cn/fwzn/004003/20220701/6972fe02-f996-4928-951e-545dab02e53c.html</w:t>
      </w:r>
      <w:r>
        <w:rPr>
          <w:rFonts w:hint="eastAsia" w:ascii="宋体" w:hAnsi="宋体" w:eastAsia="宋体" w:cs="宋体"/>
          <w:sz w:val="24"/>
          <w:szCs w:val="24"/>
          <w:lang w:val="en-US" w:eastAsia="zh-CN"/>
        </w:rPr>
        <w:fldChar w:fldCharType="end"/>
      </w:r>
    </w:p>
    <w:p>
      <w:pPr>
        <w:spacing w:line="560" w:lineRule="exact"/>
        <w:ind w:firstLine="496"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（3）请供应商务必及时下载项目招标文件并做好备份，否则会影响投标文件编制及后续投标活动。</w:t>
      </w:r>
    </w:p>
    <w:p>
      <w:pPr>
        <w:spacing w:line="560" w:lineRule="exact"/>
        <w:ind w:firstLine="496"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（4）本项目采用“不见面开标”形式，供应商可登录全国公共资源交易平台（陕西省.西安市）网站</w:t>
      </w:r>
    </w:p>
    <w:p>
      <w:pPr>
        <w:spacing w:line="560" w:lineRule="exact"/>
        <w:ind w:firstLine="496"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【首页&gt;不见面开标】系统，在线参加开标过程。操作手册详见【首页&gt;服务指南&gt;下载专区】中的《西安公共资源交易不见面开标大厅供应商操作手册》</w:t>
      </w:r>
    </w:p>
    <w:p>
      <w:pPr>
        <w:spacing w:line="560" w:lineRule="exact"/>
        <w:ind w:firstLine="496" w:firstLineChars="200"/>
        <w:jc w:val="left"/>
        <w:outlineLvl w:val="9"/>
        <w:rPr>
          <w:rFonts w:hint="default" w:ascii="宋体" w:hAnsi="宋体" w:eastAsia="宋体" w:cs="宋体"/>
          <w:sz w:val="24"/>
          <w:szCs w:val="24"/>
          <w:lang w:val="en-US"/>
        </w:rPr>
      </w:pPr>
      <w:r>
        <w:rPr>
          <w:rFonts w:hint="eastAsia" w:ascii="宋体" w:hAnsi="宋体" w:eastAsia="宋体" w:cs="宋体"/>
          <w:sz w:val="24"/>
          <w:szCs w:val="24"/>
          <w:lang w:val="en-US" w:eastAsia="zh-CN"/>
        </w:rPr>
        <w:t>（5）按照陕西省财政厅《关于政府采购供应商注册登记有关事项的通知》中的要求，供应商通过陕西省政府采购网（http://www.ccgp-shannxi.gov.cn/）注册登记，加入陕西省政府采购供应商库。</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）制作电子投标文件（*.SXSTF）需要使用专用制作工具。软件下载及操作说明详见西安市公共资源交易平台〖首页·〉服务指南·〉下载专区〗中的《政府采购项目投标文件制作软件及操作手册》。</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bidi w:val="0"/>
        <w:rPr>
          <w:rFonts w:hint="eastAsia" w:ascii="宋体" w:hAnsi="宋体" w:eastAsia="宋体" w:cs="宋体"/>
          <w:b/>
          <w:bCs/>
          <w:szCs w:val="24"/>
        </w:rPr>
      </w:pPr>
      <w:r>
        <w:rPr>
          <w:rFonts w:hint="eastAsia"/>
        </w:rPr>
        <w:t>八、提交投标文件方式、截止时间及开标时间、形式：</w:t>
      </w:r>
      <w:bookmarkEnd w:id="30"/>
      <w:bookmarkEnd w:id="31"/>
      <w:bookmarkEnd w:id="32"/>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spacing w:line="560" w:lineRule="exact"/>
        <w:ind w:firstLine="496" w:firstLineChars="200"/>
        <w:jc w:val="both"/>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2．提交投标文件截止时间及开标时间：2022年</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z w:val="24"/>
          <w:szCs w:val="24"/>
          <w:highlight w:val="none"/>
        </w:rPr>
        <w:t>，逾期提交的，系统将拒绝接收。</w:t>
      </w:r>
    </w:p>
    <w:p>
      <w:pPr>
        <w:keepNext w:val="0"/>
        <w:keepLines w:val="0"/>
        <w:pageBreakBefore w:val="0"/>
        <w:widowControl/>
        <w:kinsoku/>
        <w:wordWrap/>
        <w:overflowPunct/>
        <w:topLinePunct w:val="0"/>
        <w:autoSpaceDE/>
        <w:autoSpaceDN/>
        <w:bidi w:val="0"/>
        <w:adjustRightInd/>
        <w:snapToGrid/>
        <w:ind w:firstLine="496" w:firstLineChars="200"/>
        <w:textAlignment w:val="auto"/>
        <w:outlineLvl w:val="9"/>
        <w:rPr>
          <w:rFonts w:hint="default" w:eastAsiaTheme="minorEastAsia"/>
          <w:sz w:val="24"/>
          <w:szCs w:val="24"/>
          <w:highlight w:val="none"/>
          <w:lang w:val="en-US" w:eastAsia="zh-CN"/>
        </w:rPr>
      </w:pPr>
      <w:r>
        <w:rPr>
          <w:rFonts w:hint="eastAsia" w:ascii="宋体" w:hAnsi="宋体" w:eastAsia="宋体" w:cs="宋体"/>
          <w:sz w:val="24"/>
          <w:szCs w:val="24"/>
          <w:highlight w:val="none"/>
          <w:lang w:val="en-US" w:eastAsia="zh-CN"/>
        </w:rPr>
        <w:t>3.开标地址：西安市公共资源交易中心3楼开标室315。</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．开标形式：本项目将采用“不见面开标”形式。操作说明详见平台〖首页·〉服务指南·〉下载专区〗中的《西安公共资源交易不见面开标大厅供应商操作手册》。</w:t>
      </w:r>
    </w:p>
    <w:p>
      <w:pPr>
        <w:bidi w:val="0"/>
        <w:rPr>
          <w:rFonts w:hint="eastAsia"/>
        </w:rPr>
      </w:pPr>
      <w:bookmarkStart w:id="33" w:name="_Toc2146"/>
      <w:bookmarkStart w:id="34" w:name="_Toc4897"/>
      <w:bookmarkStart w:id="35" w:name="_Toc31797"/>
      <w:r>
        <w:rPr>
          <w:rFonts w:hint="eastAsia"/>
        </w:rPr>
        <w:t>九、联系方式</w:t>
      </w:r>
      <w:bookmarkEnd w:id="33"/>
      <w:bookmarkEnd w:id="34"/>
      <w:bookmarkEnd w:id="35"/>
    </w:p>
    <w:p>
      <w:pPr>
        <w:bidi w:val="0"/>
        <w:spacing w:line="360" w:lineRule="auto"/>
        <w:ind w:firstLine="496" w:firstLineChars="200"/>
        <w:rPr>
          <w:rFonts w:hint="eastAsia"/>
        </w:rPr>
      </w:pPr>
      <w:bookmarkStart w:id="36" w:name="_Toc5553"/>
      <w:r>
        <w:rPr>
          <w:rFonts w:hint="eastAsia"/>
        </w:rPr>
        <w:t>1．采购人：西安市中心血站</w:t>
      </w:r>
      <w:bookmarkEnd w:id="36"/>
    </w:p>
    <w:p>
      <w:pPr>
        <w:spacing w:line="360" w:lineRule="auto"/>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地址：西安市朱雀大街407号</w:t>
      </w:r>
    </w:p>
    <w:p>
      <w:pPr>
        <w:spacing w:line="360" w:lineRule="auto"/>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联系人：鲁刚</w:t>
      </w:r>
    </w:p>
    <w:p>
      <w:pPr>
        <w:spacing w:line="360" w:lineRule="auto"/>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联系方式：029-85236579</w:t>
      </w:r>
    </w:p>
    <w:p>
      <w:pPr>
        <w:bidi w:val="0"/>
        <w:spacing w:line="360" w:lineRule="auto"/>
        <w:ind w:firstLine="496" w:firstLineChars="200"/>
        <w:rPr>
          <w:rFonts w:hint="eastAsia"/>
        </w:rPr>
      </w:pPr>
      <w:bookmarkStart w:id="37" w:name="_Toc20402"/>
      <w:r>
        <w:rPr>
          <w:rFonts w:hint="eastAsia"/>
        </w:rPr>
        <w:t>2．采购代理机构：陕西万泽招标有限公司</w:t>
      </w:r>
      <w:bookmarkEnd w:id="37"/>
    </w:p>
    <w:p>
      <w:pPr>
        <w:spacing w:line="360" w:lineRule="auto"/>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地址：西安市莲湖区西关正街英达大厦1507室</w:t>
      </w:r>
    </w:p>
    <w:p>
      <w:pPr>
        <w:spacing w:line="360" w:lineRule="auto"/>
        <w:ind w:firstLine="496" w:firstLineChars="200"/>
        <w:jc w:val="both"/>
        <w:outlineLvl w:val="9"/>
        <w:rPr>
          <w:rFonts w:hint="default" w:ascii="宋体" w:hAnsi="宋体" w:eastAsia="宋体" w:cs="宋体"/>
          <w:sz w:val="24"/>
          <w:szCs w:val="24"/>
          <w:lang w:val="en-US" w:eastAsia="zh-CN"/>
        </w:rPr>
      </w:pPr>
      <w:r>
        <w:rPr>
          <w:rFonts w:hint="eastAsia" w:ascii="宋体" w:hAnsi="宋体" w:eastAsia="宋体" w:cs="宋体"/>
          <w:sz w:val="24"/>
          <w:szCs w:val="24"/>
        </w:rPr>
        <w:t>总机：029-88319689</w:t>
      </w:r>
    </w:p>
    <w:p>
      <w:pPr>
        <w:spacing w:line="360" w:lineRule="auto"/>
        <w:ind w:firstLine="496" w:firstLineChars="200"/>
        <w:jc w:val="both"/>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rPr>
        <w:t>：</w:t>
      </w:r>
      <w:r>
        <w:rPr>
          <w:rFonts w:hint="eastAsia" w:ascii="宋体" w:hAnsi="宋体" w:eastAsia="宋体" w:cs="宋体"/>
          <w:sz w:val="24"/>
          <w:szCs w:val="24"/>
          <w:lang w:eastAsia="zh-CN"/>
        </w:rPr>
        <w:t>崔方明</w:t>
      </w:r>
      <w:r>
        <w:rPr>
          <w:rFonts w:hint="eastAsia" w:ascii="宋体" w:hAnsi="宋体" w:eastAsia="宋体" w:cs="宋体"/>
          <w:sz w:val="24"/>
          <w:szCs w:val="24"/>
        </w:rPr>
        <w:t xml:space="preserve">  </w:t>
      </w:r>
      <w:r>
        <w:rPr>
          <w:rFonts w:hint="eastAsia" w:ascii="宋体" w:hAnsi="宋体" w:eastAsia="宋体" w:cs="宋体"/>
          <w:sz w:val="24"/>
          <w:szCs w:val="24"/>
          <w:lang w:eastAsia="zh-CN"/>
        </w:rPr>
        <w:t>许芳芳</w:t>
      </w:r>
      <w:r>
        <w:rPr>
          <w:rFonts w:hint="eastAsia" w:ascii="宋体" w:hAnsi="宋体" w:eastAsia="宋体" w:cs="宋体"/>
          <w:sz w:val="24"/>
          <w:szCs w:val="24"/>
        </w:rPr>
        <w:t xml:space="preserve">  </w:t>
      </w:r>
      <w:r>
        <w:rPr>
          <w:rFonts w:hint="eastAsia" w:ascii="宋体" w:hAnsi="宋体" w:eastAsia="宋体" w:cs="宋体"/>
          <w:sz w:val="24"/>
          <w:szCs w:val="24"/>
          <w:lang w:eastAsia="zh-CN"/>
        </w:rPr>
        <w:t>刘嘉辉</w:t>
      </w:r>
    </w:p>
    <w:p>
      <w:pPr>
        <w:spacing w:line="360" w:lineRule="auto"/>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联系</w:t>
      </w:r>
      <w:r>
        <w:rPr>
          <w:rFonts w:hint="eastAsia" w:ascii="宋体" w:hAnsi="宋体" w:eastAsia="宋体" w:cs="宋体"/>
          <w:sz w:val="24"/>
          <w:szCs w:val="24"/>
          <w:lang w:eastAsia="zh-CN"/>
        </w:rPr>
        <w:t>电话</w:t>
      </w:r>
      <w:r>
        <w:rPr>
          <w:rFonts w:hint="eastAsia" w:ascii="宋体" w:hAnsi="宋体" w:eastAsia="宋体" w:cs="宋体"/>
          <w:sz w:val="24"/>
          <w:szCs w:val="24"/>
        </w:rPr>
        <w:t>：029-88319689-804/811</w:t>
      </w:r>
    </w:p>
    <w:p>
      <w:pPr>
        <w:spacing w:line="560" w:lineRule="exact"/>
        <w:ind w:firstLine="496" w:firstLineChars="200"/>
        <w:jc w:val="righ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陕西万泽招标有限公司</w:t>
      </w:r>
    </w:p>
    <w:p>
      <w:pPr>
        <w:spacing w:line="560" w:lineRule="exact"/>
        <w:ind w:firstLine="496" w:firstLineChars="200"/>
        <w:jc w:val="righ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2022年08月19日</w:t>
      </w:r>
    </w:p>
    <w:p>
      <w:pPr>
        <w:spacing w:line="560" w:lineRule="exact"/>
        <w:ind w:firstLine="656" w:firstLineChars="200"/>
        <w:jc w:val="both"/>
        <w:rPr>
          <w:rFonts w:hint="eastAsia" w:ascii="宋体" w:hAnsi="宋体" w:eastAsia="宋体" w:cs="宋体"/>
          <w:sz w:val="32"/>
          <w:szCs w:val="32"/>
          <w:lang w:eastAsia="zh-CN"/>
        </w:rPr>
      </w:pPr>
      <w:bookmarkStart w:id="38" w:name="_Toc97563329"/>
      <w:bookmarkStart w:id="39" w:name="_Toc534656414"/>
      <w:bookmarkStart w:id="40" w:name="_Toc533363262"/>
      <w:bookmarkStart w:id="41" w:name="_Toc533363235"/>
      <w:bookmarkStart w:id="42" w:name="_Toc498349068"/>
      <w:bookmarkStart w:id="43" w:name="_Toc100219613"/>
      <w:bookmarkStart w:id="44" w:name="_Toc534656409"/>
      <w:bookmarkStart w:id="45" w:name="_Toc445407251"/>
      <w:r>
        <w:rPr>
          <w:rFonts w:hint="eastAsia" w:ascii="宋体" w:hAnsi="宋体" w:eastAsia="宋体" w:cs="宋体"/>
          <w:sz w:val="32"/>
          <w:szCs w:val="32"/>
        </w:rPr>
        <w:br w:type="page"/>
      </w:r>
    </w:p>
    <w:p>
      <w:pPr>
        <w:pStyle w:val="3"/>
        <w:spacing w:line="240" w:lineRule="auto"/>
        <w:rPr>
          <w:rFonts w:hint="eastAsia" w:ascii="宋体" w:hAnsi="宋体" w:eastAsia="宋体" w:cs="宋体"/>
          <w:sz w:val="32"/>
          <w:szCs w:val="32"/>
        </w:rPr>
      </w:pPr>
      <w:bookmarkStart w:id="46" w:name="_Toc6820"/>
      <w:bookmarkStart w:id="47" w:name="_Toc16600"/>
      <w:bookmarkStart w:id="48" w:name="_Toc3612"/>
      <w:bookmarkStart w:id="49" w:name="_Toc30150"/>
      <w:bookmarkStart w:id="50" w:name="_Toc9070"/>
      <w:r>
        <w:rPr>
          <w:rFonts w:hint="eastAsia" w:ascii="宋体" w:hAnsi="宋体" w:eastAsia="宋体" w:cs="宋体"/>
          <w:sz w:val="32"/>
          <w:szCs w:val="32"/>
        </w:rPr>
        <w:t>第二章  供应商须知</w:t>
      </w:r>
      <w:bookmarkEnd w:id="38"/>
      <w:bookmarkEnd w:id="39"/>
      <w:bookmarkEnd w:id="40"/>
      <w:bookmarkEnd w:id="41"/>
      <w:bookmarkEnd w:id="42"/>
      <w:bookmarkEnd w:id="43"/>
      <w:bookmarkEnd w:id="44"/>
      <w:bookmarkEnd w:id="45"/>
      <w:bookmarkEnd w:id="46"/>
      <w:bookmarkEnd w:id="47"/>
      <w:bookmarkEnd w:id="48"/>
      <w:bookmarkEnd w:id="49"/>
      <w:bookmarkEnd w:id="50"/>
    </w:p>
    <w:p>
      <w:pPr>
        <w:pStyle w:val="4"/>
        <w:spacing w:line="240" w:lineRule="auto"/>
        <w:jc w:val="left"/>
        <w:outlineLvl w:val="1"/>
        <w:rPr>
          <w:rFonts w:hint="eastAsia" w:ascii="宋体" w:hAnsi="宋体" w:eastAsia="宋体" w:cs="宋体"/>
          <w:sz w:val="28"/>
          <w:szCs w:val="28"/>
        </w:rPr>
      </w:pPr>
      <w:bookmarkStart w:id="51" w:name="_Toc19347"/>
      <w:bookmarkStart w:id="52" w:name="_Toc4342"/>
      <w:bookmarkStart w:id="53" w:name="_Toc2138"/>
      <w:bookmarkStart w:id="54" w:name="_Toc7075"/>
      <w:r>
        <w:rPr>
          <w:rFonts w:hint="eastAsia" w:ascii="宋体" w:hAnsi="宋体" w:eastAsia="宋体" w:cs="宋体"/>
          <w:sz w:val="28"/>
          <w:szCs w:val="28"/>
        </w:rPr>
        <w:t>〖前附表〗</w:t>
      </w:r>
      <w:bookmarkEnd w:id="51"/>
      <w:bookmarkEnd w:id="52"/>
      <w:bookmarkEnd w:id="53"/>
      <w:bookmarkEnd w:id="54"/>
    </w:p>
    <w:tbl>
      <w:tblPr>
        <w:tblStyle w:val="32"/>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3402"/>
        <w:gridCol w:w="449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402"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内容</w:t>
            </w:r>
          </w:p>
        </w:tc>
        <w:tc>
          <w:tcPr>
            <w:tcW w:w="4490"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402" w:type="dxa"/>
            <w:tcBorders>
              <w:top w:val="single" w:color="auto" w:sz="2"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490" w:type="dxa"/>
            <w:tcBorders>
              <w:top w:val="single" w:color="auto" w:sz="2"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西安市中心血站血型质管供血试剂耗材采购项目（二次）</w:t>
            </w:r>
            <w:r>
              <w:rPr>
                <w:rFonts w:hint="eastAsia" w:ascii="宋体" w:hAnsi="宋体" w:eastAsia="宋体" w:cs="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449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SXWZ2022ZB-XAXZ-090A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预算执行书编号</w:t>
            </w:r>
          </w:p>
        </w:tc>
        <w:tc>
          <w:tcPr>
            <w:tcW w:w="4490" w:type="dxa"/>
            <w:shd w:val="clear" w:color="auto" w:fill="auto"/>
            <w:vAlign w:val="center"/>
          </w:tcPr>
          <w:p>
            <w:pPr>
              <w:jc w:val="both"/>
              <w:rPr>
                <w:rFonts w:hint="default" w:ascii="宋体" w:hAnsi="宋体" w:eastAsia="宋体" w:cs="宋体"/>
                <w:sz w:val="24"/>
                <w:szCs w:val="24"/>
                <w:lang w:val="en-US" w:eastAsia="zh-CN"/>
              </w:rPr>
            </w:pPr>
            <w:r>
              <w:rPr>
                <w:rFonts w:hint="eastAsia" w:ascii="宋体" w:hAnsi="宋体" w:eastAsia="宋体" w:cs="宋体"/>
                <w:sz w:val="24"/>
                <w:szCs w:val="24"/>
                <w:highlight w:val="none"/>
                <w:shd w:val="clear" w:fill="FFFFFF" w:themeFill="background1"/>
                <w:lang w:val="en-US" w:eastAsia="zh-CN"/>
              </w:rPr>
              <w:t xml:space="preserve">         ZCSP-西安市-2022-01098     </w:t>
            </w:r>
            <w:r>
              <w:rPr>
                <w:rFonts w:hint="eastAsia" w:ascii="宋体" w:hAnsi="宋体" w:eastAsia="宋体" w:cs="宋体"/>
                <w:sz w:val="24"/>
                <w:szCs w:val="24"/>
                <w:highlight w:val="yellow"/>
                <w:shd w:val="clear" w:fill="FFFFFF" w:themeFill="background1"/>
                <w:lang w:val="en-US" w:eastAsia="zh-CN"/>
              </w:rPr>
              <w:t xml:space="preserve"> </w:t>
            </w:r>
            <w:r>
              <w:rPr>
                <w:rFonts w:hint="eastAsia" w:ascii="宋体" w:hAnsi="宋体" w:eastAsia="宋体" w:cs="宋体"/>
                <w:sz w:val="24"/>
                <w:szCs w:val="24"/>
                <w:highlight w:val="yellow"/>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是否预留份额</w:t>
            </w:r>
          </w:p>
          <w:p>
            <w:pPr>
              <w:jc w:val="center"/>
              <w:rPr>
                <w:rFonts w:hint="eastAsia" w:ascii="宋体" w:hAnsi="宋体" w:eastAsia="宋体" w:cs="宋体"/>
                <w:sz w:val="24"/>
                <w:szCs w:val="24"/>
              </w:rPr>
            </w:pPr>
            <w:r>
              <w:rPr>
                <w:rFonts w:hint="eastAsia" w:ascii="宋体" w:hAnsi="宋体" w:eastAsia="宋体" w:cs="宋体"/>
                <w:sz w:val="24"/>
                <w:szCs w:val="24"/>
              </w:rPr>
              <w:t>专门面向中小企业采购</w:t>
            </w:r>
          </w:p>
        </w:tc>
        <w:tc>
          <w:tcPr>
            <w:tcW w:w="4490" w:type="dxa"/>
            <w:shd w:val="clear" w:color="auto" w:fill="auto"/>
            <w:vAlign w:val="center"/>
          </w:tcPr>
          <w:p>
            <w:pPr>
              <w:jc w:val="center"/>
              <w:rPr>
                <w:rFonts w:hint="eastAsia" w:ascii="宋体" w:hAnsi="宋体" w:eastAsia="宋体" w:cs="宋体"/>
                <w:sz w:val="24"/>
                <w:szCs w:val="24"/>
              </w:rPr>
            </w:pPr>
            <w:sdt>
              <w:sdtPr>
                <w:rPr>
                  <w:rFonts w:hint="eastAsia" w:ascii="宋体" w:hAnsi="宋体" w:eastAsia="宋体" w:cs="宋体"/>
                  <w:sz w:val="24"/>
                  <w:szCs w:val="24"/>
                </w:rPr>
                <w:id w:val="2139916130"/>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 xml:space="preserve">是  </w:t>
            </w:r>
            <w:sdt>
              <w:sdtPr>
                <w:rPr>
                  <w:rFonts w:hint="eastAsia" w:ascii="宋体" w:hAnsi="宋体" w:eastAsia="宋体" w:cs="宋体"/>
                  <w:sz w:val="24"/>
                  <w:szCs w:val="24"/>
                </w:rPr>
                <w:id w:val="-2072024220"/>
                <w14:checkbox>
                  <w14:checked w14:val="1"/>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lang w:val="en-US" w:eastAsia="zh-CN" w:bidi="ar-SA"/>
                  </w:rPr>
                  <w:t>☑</w:t>
                </w:r>
              </w:sdtContent>
            </w:sdt>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restart"/>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预算金额</w:t>
            </w:r>
          </w:p>
        </w:tc>
        <w:tc>
          <w:tcPr>
            <w:tcW w:w="449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2727155.00元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pPr>
              <w:jc w:val="center"/>
              <w:rPr>
                <w:rFonts w:hint="eastAsia" w:ascii="宋体" w:hAnsi="宋体" w:eastAsia="宋体" w:cs="宋体"/>
                <w:sz w:val="24"/>
                <w:szCs w:val="24"/>
              </w:rPr>
            </w:pP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449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2727155.00元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是否接受联合体</w:t>
            </w:r>
          </w:p>
        </w:tc>
        <w:tc>
          <w:tcPr>
            <w:tcW w:w="4490" w:type="dxa"/>
            <w:shd w:val="clear" w:color="auto" w:fill="auto"/>
            <w:vAlign w:val="center"/>
          </w:tcPr>
          <w:p>
            <w:pPr>
              <w:jc w:val="center"/>
              <w:rPr>
                <w:rFonts w:hint="eastAsia" w:ascii="宋体" w:hAnsi="宋体" w:eastAsia="宋体" w:cs="宋体"/>
                <w:sz w:val="24"/>
                <w:szCs w:val="24"/>
              </w:rPr>
            </w:pPr>
            <w:sdt>
              <w:sdtPr>
                <w:rPr>
                  <w:rFonts w:hint="eastAsia" w:ascii="宋体" w:hAnsi="宋体" w:eastAsia="宋体" w:cs="宋体"/>
                  <w:sz w:val="24"/>
                  <w:szCs w:val="24"/>
                </w:rPr>
                <w:id w:val="608160193"/>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 xml:space="preserve">是  </w:t>
            </w:r>
            <w:sdt>
              <w:sdtPr>
                <w:rPr>
                  <w:rFonts w:hint="eastAsia" w:ascii="宋体" w:hAnsi="宋体" w:eastAsia="宋体" w:cs="宋体"/>
                  <w:sz w:val="24"/>
                  <w:szCs w:val="24"/>
                </w:rPr>
                <w:id w:val="1317929335"/>
                <w14:checkbox>
                  <w14:checked w14:val="1"/>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lang w:val="en-US" w:eastAsia="zh-CN" w:bidi="ar-SA"/>
                  </w:rPr>
                  <w:t>☑</w:t>
                </w:r>
              </w:sdtContent>
            </w:sdt>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是否允许进口产品</w:t>
            </w:r>
          </w:p>
        </w:tc>
        <w:tc>
          <w:tcPr>
            <w:tcW w:w="4490" w:type="dxa"/>
            <w:shd w:val="clear" w:color="auto" w:fill="auto"/>
            <w:vAlign w:val="center"/>
          </w:tcPr>
          <w:p>
            <w:pPr>
              <w:jc w:val="center"/>
              <w:rPr>
                <w:rFonts w:hint="eastAsia" w:ascii="宋体" w:hAnsi="宋体" w:eastAsia="宋体" w:cs="宋体"/>
                <w:sz w:val="24"/>
                <w:szCs w:val="24"/>
              </w:rPr>
            </w:pPr>
            <w:sdt>
              <w:sdtPr>
                <w:rPr>
                  <w:rFonts w:hint="eastAsia" w:ascii="宋体" w:hAnsi="宋体" w:eastAsia="宋体" w:cs="宋体"/>
                  <w:sz w:val="24"/>
                  <w:szCs w:val="24"/>
                </w:rPr>
                <w:id w:val="148570254"/>
                <w14:checkbox>
                  <w14:checked w14:val="1"/>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MS Gothic" w:hAnsi="MS Gothic" w:eastAsia="宋体" w:cs="宋体"/>
                    <w:sz w:val="24"/>
                    <w:szCs w:val="24"/>
                    <w:lang w:val="en-US" w:eastAsia="zh-CN" w:bidi="ar-SA"/>
                  </w:rPr>
                  <w:t>☑</w:t>
                </w:r>
              </w:sdtContent>
            </w:sdt>
            <w:r>
              <w:rPr>
                <w:rFonts w:hint="eastAsia" w:ascii="宋体" w:hAnsi="宋体" w:eastAsia="宋体" w:cs="宋体"/>
                <w:sz w:val="24"/>
                <w:szCs w:val="24"/>
              </w:rPr>
              <w:t xml:space="preserve">是  </w:t>
            </w:r>
            <w:sdt>
              <w:sdtPr>
                <w:rPr>
                  <w:rFonts w:hint="eastAsia" w:ascii="宋体" w:hAnsi="宋体" w:eastAsia="宋体" w:cs="宋体"/>
                  <w:sz w:val="24"/>
                  <w:szCs w:val="24"/>
                </w:rPr>
                <w:id w:val="-1689594843"/>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MS Gothic" w:hAnsi="MS Gothic" w:eastAsia="宋体" w:cs="宋体"/>
                    <w:sz w:val="24"/>
                    <w:szCs w:val="24"/>
                    <w:lang w:val="en-US" w:eastAsia="zh-CN" w:bidi="ar-SA"/>
                  </w:rPr>
                  <w:t>☐</w:t>
                </w:r>
              </w:sdtContent>
            </w:sdt>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449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履约保证金</w:t>
            </w:r>
          </w:p>
        </w:tc>
        <w:tc>
          <w:tcPr>
            <w:tcW w:w="4490" w:type="dxa"/>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402" w:type="dxa"/>
            <w:shd w:val="clear" w:color="auto" w:fill="auto"/>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投标文件份数</w:t>
            </w:r>
          </w:p>
        </w:tc>
        <w:tc>
          <w:tcPr>
            <w:tcW w:w="4490" w:type="dxa"/>
            <w:shd w:val="clear" w:color="auto" w:fill="auto"/>
            <w:vAlign w:val="center"/>
          </w:tcPr>
          <w:p>
            <w:pPr>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如纸质版文件与电子版文件不一致，以上传平台电子版文件为准；供应商需提供纸质版投标文件（密封一正</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副）于开标当日</w:t>
            </w:r>
            <w:r>
              <w:rPr>
                <w:rFonts w:hint="eastAsia" w:ascii="宋体" w:hAnsi="宋体" w:eastAsia="宋体" w:cs="宋体"/>
                <w:sz w:val="24"/>
                <w:szCs w:val="24"/>
                <w:highlight w:val="none"/>
                <w:lang w:val="en-US" w:eastAsia="zh-CN"/>
              </w:rPr>
              <w:t>09点-12点将标书邮寄或</w:t>
            </w:r>
            <w:r>
              <w:rPr>
                <w:rFonts w:hint="eastAsia" w:ascii="宋体" w:hAnsi="宋体" w:eastAsia="宋体" w:cs="宋体"/>
                <w:sz w:val="24"/>
                <w:szCs w:val="24"/>
                <w:highlight w:val="none"/>
                <w:lang w:eastAsia="zh-CN"/>
              </w:rPr>
              <w:t>送至西安市莲湖区西关正街英达大厦1507室。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402" w:type="dxa"/>
            <w:shd w:val="clear" w:color="auto" w:fill="auto"/>
            <w:vAlign w:val="center"/>
          </w:tcPr>
          <w:p>
            <w:pPr>
              <w:spacing w:line="360" w:lineRule="auto"/>
              <w:ind w:firstLine="1240" w:firstLineChars="500"/>
              <w:jc w:val="both"/>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cstheme="minorEastAsia"/>
                <w:sz w:val="24"/>
                <w:szCs w:val="24"/>
              </w:rPr>
              <w:t>打包</w:t>
            </w:r>
          </w:p>
        </w:tc>
        <w:tc>
          <w:tcPr>
            <w:tcW w:w="4490" w:type="dxa"/>
            <w:shd w:val="clear" w:color="auto" w:fill="auto"/>
            <w:vAlign w:val="center"/>
          </w:tcPr>
          <w:p>
            <w:pPr>
              <w:spacing w:line="240" w:lineRule="auto"/>
              <w:jc w:val="both"/>
              <w:rPr>
                <w:rFonts w:hint="eastAsia" w:asciiTheme="minorEastAsia" w:hAnsiTheme="minorEastAsia" w:eastAsiaTheme="minorEastAsia" w:cstheme="minorEastAsia"/>
                <w:sz w:val="24"/>
                <w:szCs w:val="24"/>
                <w:lang w:val="en-US" w:eastAsia="zh-CN" w:bidi="ar-SA"/>
              </w:rPr>
            </w:pPr>
            <w:r>
              <w:rPr>
                <w:rFonts w:hint="eastAsia" w:ascii="宋体" w:hAnsi="宋体" w:eastAsia="宋体" w:cs="宋体"/>
                <w:sz w:val="24"/>
                <w:szCs w:val="24"/>
              </w:rPr>
              <w:t>本次采购分包，</w:t>
            </w:r>
            <w:r>
              <w:rPr>
                <w:rFonts w:hint="eastAsia" w:ascii="宋体" w:hAnsi="宋体" w:eastAsia="宋体" w:cs="宋体"/>
                <w:sz w:val="24"/>
                <w:szCs w:val="24"/>
                <w:lang w:eastAsia="zh-CN"/>
              </w:rPr>
              <w:t>投标人</w:t>
            </w:r>
            <w:r>
              <w:rPr>
                <w:rFonts w:hint="eastAsia" w:ascii="宋体" w:hAnsi="宋体" w:eastAsia="宋体" w:cs="宋体"/>
                <w:sz w:val="24"/>
                <w:szCs w:val="24"/>
              </w:rPr>
              <w:t>可根据自身的资质情况和经营范围对本项目</w:t>
            </w:r>
            <w:r>
              <w:rPr>
                <w:rFonts w:hint="eastAsia" w:ascii="宋体" w:hAnsi="宋体" w:eastAsia="宋体" w:cs="宋体"/>
                <w:sz w:val="24"/>
                <w:szCs w:val="24"/>
                <w:lang w:val="en-US" w:eastAsia="zh-CN"/>
              </w:rPr>
              <w:t>任一包</w:t>
            </w:r>
            <w:r>
              <w:rPr>
                <w:rFonts w:hint="eastAsia" w:ascii="宋体" w:hAnsi="宋体" w:eastAsia="宋体" w:cs="宋体"/>
                <w:sz w:val="24"/>
                <w:szCs w:val="24"/>
              </w:rPr>
              <w:t>进行</w:t>
            </w:r>
            <w:r>
              <w:rPr>
                <w:rFonts w:hint="eastAsia" w:ascii="宋体" w:hAnsi="宋体" w:eastAsia="宋体" w:cs="宋体"/>
                <w:sz w:val="24"/>
                <w:szCs w:val="24"/>
                <w:lang w:eastAsia="zh-CN"/>
              </w:rPr>
              <w:t>投标</w:t>
            </w:r>
            <w:r>
              <w:rPr>
                <w:rFonts w:hint="eastAsia" w:ascii="宋体" w:hAnsi="宋体" w:eastAsia="宋体" w:cs="宋体"/>
                <w:sz w:val="24"/>
                <w:szCs w:val="24"/>
              </w:rPr>
              <w:t>，不得自行分解或只对本次项目中的品目进行不完全</w:t>
            </w:r>
            <w:r>
              <w:rPr>
                <w:rFonts w:hint="eastAsia" w:ascii="宋体" w:hAnsi="宋体" w:eastAsia="宋体" w:cs="宋体"/>
                <w:sz w:val="24"/>
                <w:szCs w:val="24"/>
                <w:lang w:eastAsia="zh-CN"/>
              </w:rPr>
              <w:t>投标</w:t>
            </w:r>
            <w:r>
              <w:rPr>
                <w:rFonts w:hint="eastAsia" w:ascii="宋体" w:hAnsi="宋体" w:eastAsia="宋体" w:cs="宋体"/>
                <w:sz w:val="24"/>
                <w:szCs w:val="24"/>
              </w:rPr>
              <w:t>，任何不完全的</w:t>
            </w:r>
            <w:r>
              <w:rPr>
                <w:rFonts w:hint="eastAsia" w:ascii="宋体" w:hAnsi="宋体" w:eastAsia="宋体" w:cs="宋体"/>
                <w:sz w:val="24"/>
                <w:szCs w:val="24"/>
                <w:lang w:eastAsia="zh-CN"/>
              </w:rPr>
              <w:t>投标</w:t>
            </w:r>
            <w:r>
              <w:rPr>
                <w:rFonts w:hint="eastAsia" w:ascii="宋体" w:hAnsi="宋体" w:eastAsia="宋体" w:cs="宋体"/>
                <w:sz w:val="24"/>
                <w:szCs w:val="24"/>
              </w:rPr>
              <w:t>将按无效</w:t>
            </w:r>
            <w:r>
              <w:rPr>
                <w:rFonts w:hint="eastAsia" w:ascii="宋体" w:hAnsi="宋体" w:eastAsia="宋体" w:cs="宋体"/>
                <w:sz w:val="24"/>
                <w:szCs w:val="24"/>
                <w:lang w:eastAsia="zh-CN"/>
              </w:rPr>
              <w:t>投标</w:t>
            </w:r>
            <w:r>
              <w:rPr>
                <w:rFonts w:hint="eastAsia" w:ascii="宋体" w:hAnsi="宋体" w:eastAsia="宋体" w:cs="宋体"/>
                <w:sz w:val="24"/>
                <w:szCs w:val="24"/>
              </w:rPr>
              <w:t>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现场踏勘和集中答疑</w:t>
            </w:r>
          </w:p>
        </w:tc>
        <w:tc>
          <w:tcPr>
            <w:tcW w:w="4490" w:type="dxa"/>
            <w:shd w:val="clear" w:color="auto" w:fill="auto"/>
            <w:vAlign w:val="center"/>
          </w:tcPr>
          <w:p>
            <w:pPr>
              <w:jc w:val="center"/>
              <w:rPr>
                <w:rFonts w:hint="eastAsia" w:ascii="宋体" w:hAnsi="宋体" w:eastAsia="宋体" w:cs="宋体"/>
                <w:sz w:val="24"/>
                <w:szCs w:val="24"/>
                <w:lang w:eastAsia="zh-CN"/>
              </w:rPr>
            </w:pPr>
            <w:sdt>
              <w:sdtPr>
                <w:rPr>
                  <w:rFonts w:hint="eastAsia" w:ascii="宋体" w:hAnsi="宋体" w:eastAsia="宋体" w:cs="宋体"/>
                  <w:sz w:val="24"/>
                  <w:szCs w:val="24"/>
                </w:rPr>
                <w:id w:val="608160193"/>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lang w:eastAsia="zh-CN"/>
              </w:rPr>
              <w:t>组织</w:t>
            </w:r>
            <w:r>
              <w:rPr>
                <w:rFonts w:hint="eastAsia" w:ascii="宋体" w:hAnsi="宋体" w:eastAsia="宋体" w:cs="宋体"/>
                <w:sz w:val="24"/>
                <w:szCs w:val="24"/>
              </w:rPr>
              <w:t xml:space="preserve">  </w:t>
            </w:r>
            <w:sdt>
              <w:sdtPr>
                <w:rPr>
                  <w:rFonts w:hint="eastAsia" w:ascii="宋体" w:hAnsi="宋体" w:eastAsia="宋体" w:cs="宋体"/>
                  <w:sz w:val="24"/>
                  <w:szCs w:val="24"/>
                </w:rPr>
                <w:id w:val="1317929335"/>
                <w14:checkbox>
                  <w14:checked w14:val="1"/>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lang w:val="en-US" w:eastAsia="zh-CN" w:bidi="ar-SA"/>
                  </w:rPr>
                  <w:t>☑</w:t>
                </w:r>
              </w:sdtContent>
            </w:sdt>
            <w:r>
              <w:rPr>
                <w:rFonts w:hint="eastAsia" w:ascii="宋体" w:hAnsi="宋体" w:eastAsia="宋体" w:cs="宋体"/>
                <w:sz w:val="24"/>
                <w:szCs w:val="24"/>
                <w:lang w:eastAsia="zh-CN"/>
              </w:rPr>
              <w:t>不组织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政府采购信息发布媒体</w:t>
            </w:r>
          </w:p>
          <w:p>
            <w:pPr>
              <w:jc w:val="center"/>
              <w:rPr>
                <w:rFonts w:hint="eastAsia" w:ascii="宋体" w:hAnsi="宋体" w:eastAsia="宋体" w:cs="宋体"/>
                <w:sz w:val="24"/>
                <w:szCs w:val="24"/>
              </w:rPr>
            </w:pPr>
            <w:r>
              <w:rPr>
                <w:rFonts w:hint="eastAsia" w:ascii="宋体" w:hAnsi="宋体" w:eastAsia="宋体" w:cs="宋体"/>
                <w:sz w:val="24"/>
                <w:szCs w:val="24"/>
              </w:rPr>
              <w:t>（采购公告、采购结果公告、变更公告）</w:t>
            </w:r>
          </w:p>
        </w:tc>
        <w:tc>
          <w:tcPr>
            <w:tcW w:w="4490" w:type="dxa"/>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1．陕西省政府采购网：仅提供项目公告，官网地址：http://ccgp-shaanxi.gov.cn/。</w:t>
            </w:r>
          </w:p>
          <w:p>
            <w:pPr>
              <w:rPr>
                <w:rFonts w:hint="eastAsia" w:ascii="宋体" w:hAnsi="宋体" w:eastAsia="宋体" w:cs="宋体"/>
                <w:sz w:val="24"/>
                <w:szCs w:val="24"/>
              </w:rPr>
            </w:pPr>
            <w:r>
              <w:rPr>
                <w:rFonts w:hint="eastAsia" w:ascii="宋体" w:hAnsi="宋体" w:eastAsia="宋体" w:cs="宋体"/>
                <w:sz w:val="24"/>
                <w:szCs w:val="24"/>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询问和质疑</w:t>
            </w:r>
          </w:p>
        </w:tc>
        <w:tc>
          <w:tcPr>
            <w:tcW w:w="4490" w:type="dxa"/>
            <w:shd w:val="clear" w:color="auto" w:fill="auto"/>
            <w:vAlign w:val="center"/>
          </w:tcPr>
          <w:p>
            <w:pPr>
              <w:jc w:val="both"/>
              <w:rPr>
                <w:rFonts w:hint="eastAsia" w:ascii="宋体" w:hAnsi="宋体" w:eastAsia="宋体" w:cs="宋体"/>
                <w:sz w:val="24"/>
                <w:szCs w:val="24"/>
              </w:rPr>
            </w:pPr>
            <w:r>
              <w:rPr>
                <w:rFonts w:hint="eastAsia" w:ascii="宋体" w:hAnsi="宋体" w:eastAsia="宋体" w:cs="宋体"/>
                <w:sz w:val="24"/>
                <w:szCs w:val="24"/>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sz w:val="24"/>
                <w:szCs w:val="24"/>
              </w:rPr>
            </w:pP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投诉受理</w:t>
            </w:r>
          </w:p>
        </w:tc>
        <w:tc>
          <w:tcPr>
            <w:tcW w:w="4490" w:type="dxa"/>
            <w:shd w:val="clear" w:color="auto" w:fill="auto"/>
            <w:vAlign w:val="center"/>
          </w:tcPr>
          <w:p>
            <w:pPr>
              <w:jc w:val="both"/>
              <w:rPr>
                <w:rFonts w:hint="eastAsia" w:ascii="宋体" w:hAnsi="宋体" w:eastAsia="宋体" w:cs="宋体"/>
                <w:sz w:val="24"/>
                <w:szCs w:val="24"/>
              </w:rPr>
            </w:pPr>
            <w:r>
              <w:rPr>
                <w:rFonts w:hint="eastAsia" w:ascii="宋体" w:hAnsi="宋体" w:eastAsia="宋体" w:cs="宋体"/>
                <w:sz w:val="24"/>
                <w:szCs w:val="24"/>
              </w:rPr>
              <w:t>1．受理单位：西安市财政局政府采购管理处</w:t>
            </w:r>
          </w:p>
          <w:p>
            <w:pPr>
              <w:jc w:val="both"/>
              <w:rPr>
                <w:rFonts w:hint="eastAsia" w:ascii="宋体" w:hAnsi="宋体" w:eastAsia="宋体" w:cs="宋体"/>
                <w:sz w:val="24"/>
                <w:szCs w:val="24"/>
              </w:rPr>
            </w:pPr>
            <w:r>
              <w:rPr>
                <w:rFonts w:hint="eastAsia" w:ascii="宋体" w:hAnsi="宋体" w:eastAsia="宋体" w:cs="宋体"/>
                <w:sz w:val="24"/>
                <w:szCs w:val="24"/>
              </w:rPr>
              <w:t>2．联系电话：029-89821846</w:t>
            </w:r>
          </w:p>
          <w:p>
            <w:pPr>
              <w:jc w:val="both"/>
              <w:rPr>
                <w:rFonts w:hint="eastAsia" w:ascii="宋体" w:hAnsi="宋体" w:eastAsia="宋体" w:cs="宋体"/>
                <w:sz w:val="24"/>
                <w:szCs w:val="24"/>
              </w:rPr>
            </w:pPr>
            <w:r>
              <w:rPr>
                <w:rFonts w:hint="eastAsia" w:ascii="宋体" w:hAnsi="宋体" w:eastAsia="宋体" w:cs="宋体"/>
                <w:sz w:val="24"/>
                <w:szCs w:val="24"/>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信用信息查询截至时点</w:t>
            </w:r>
          </w:p>
        </w:tc>
        <w:tc>
          <w:tcPr>
            <w:tcW w:w="4490" w:type="dxa"/>
            <w:shd w:val="clear" w:color="auto" w:fill="auto"/>
            <w:vAlign w:val="center"/>
          </w:tcPr>
          <w:p>
            <w:pPr>
              <w:jc w:val="both"/>
              <w:rPr>
                <w:rFonts w:hint="eastAsia" w:ascii="宋体" w:hAnsi="宋体" w:eastAsia="宋体" w:cs="宋体"/>
                <w:sz w:val="24"/>
                <w:szCs w:val="24"/>
              </w:rPr>
            </w:pPr>
            <w:r>
              <w:rPr>
                <w:rFonts w:hint="eastAsia" w:ascii="宋体" w:hAnsi="宋体" w:eastAsia="宋体" w:cs="宋体"/>
                <w:sz w:val="24"/>
                <w:szCs w:val="24"/>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开标形式</w:t>
            </w:r>
          </w:p>
        </w:tc>
        <w:tc>
          <w:tcPr>
            <w:tcW w:w="4490" w:type="dxa"/>
            <w:shd w:val="clear" w:color="auto" w:fill="auto"/>
            <w:vAlign w:val="center"/>
          </w:tcPr>
          <w:p>
            <w:pPr>
              <w:jc w:val="both"/>
              <w:rPr>
                <w:rFonts w:hint="eastAsia" w:ascii="宋体" w:hAnsi="宋体" w:eastAsia="宋体" w:cs="宋体"/>
                <w:sz w:val="24"/>
                <w:szCs w:val="24"/>
              </w:rPr>
            </w:pPr>
            <w:sdt>
              <w:sdtPr>
                <w:rPr>
                  <w:rFonts w:hint="eastAsia" w:ascii="宋体" w:hAnsi="宋体" w:eastAsia="宋体" w:cs="宋体"/>
                  <w:sz w:val="24"/>
                  <w:szCs w:val="24"/>
                </w:rPr>
                <w:id w:val="1077786224"/>
                <w14:checkbox>
                  <w14:checked w14:val="1"/>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lang w:val="en-US" w:eastAsia="zh-CN" w:bidi="ar-SA"/>
                  </w:rPr>
                  <w:t>☑</w:t>
                </w:r>
              </w:sdtContent>
            </w:sdt>
            <w:r>
              <w:rPr>
                <w:rFonts w:hint="eastAsia" w:ascii="宋体" w:hAnsi="宋体" w:eastAsia="宋体" w:cs="宋体"/>
                <w:sz w:val="24"/>
                <w:szCs w:val="24"/>
              </w:rPr>
              <w:t xml:space="preserve">不见面开标  </w:t>
            </w:r>
            <w:sdt>
              <w:sdtPr>
                <w:rPr>
                  <w:rFonts w:hint="eastAsia" w:ascii="宋体" w:hAnsi="宋体" w:eastAsia="宋体" w:cs="宋体"/>
                  <w:sz w:val="24"/>
                  <w:szCs w:val="24"/>
                </w:rPr>
                <w:id w:val="1553575034"/>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见面开标</w:t>
            </w:r>
          </w:p>
          <w:p>
            <w:pPr>
              <w:jc w:val="both"/>
              <w:rPr>
                <w:rFonts w:hint="eastAsia" w:ascii="宋体" w:hAnsi="宋体" w:eastAsia="宋体" w:cs="宋体"/>
                <w:sz w:val="24"/>
                <w:szCs w:val="24"/>
              </w:rPr>
            </w:pPr>
            <w:r>
              <w:rPr>
                <w:rFonts w:hint="eastAsia" w:ascii="宋体" w:hAnsi="宋体" w:eastAsia="宋体" w:cs="宋体"/>
                <w:sz w:val="24"/>
                <w:szCs w:val="24"/>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是否允许递交多个备选投标方案</w:t>
            </w:r>
          </w:p>
        </w:tc>
        <w:tc>
          <w:tcPr>
            <w:tcW w:w="4490" w:type="dxa"/>
            <w:shd w:val="clear" w:color="auto" w:fill="auto"/>
            <w:vAlign w:val="center"/>
          </w:tcPr>
          <w:p>
            <w:pPr>
              <w:jc w:val="both"/>
              <w:rPr>
                <w:rFonts w:hint="eastAsia" w:ascii="宋体" w:hAnsi="宋体" w:eastAsia="宋体" w:cs="宋体"/>
                <w:sz w:val="24"/>
                <w:szCs w:val="24"/>
              </w:rPr>
            </w:pPr>
            <w:sdt>
              <w:sdtPr>
                <w:rPr>
                  <w:rFonts w:hint="eastAsia" w:ascii="宋体" w:hAnsi="宋体" w:eastAsia="宋体" w:cs="宋体"/>
                  <w:sz w:val="24"/>
                  <w:szCs w:val="24"/>
                </w:rPr>
                <w:id w:val="1608857843"/>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MS Gothic" w:hAnsi="MS Gothic" w:eastAsia="宋体" w:cs="宋体"/>
                    <w:sz w:val="24"/>
                    <w:szCs w:val="24"/>
                    <w:lang w:val="en-US" w:eastAsia="zh-CN" w:bidi="ar-SA"/>
                  </w:rPr>
                  <w:t>☐</w:t>
                </w:r>
              </w:sdtContent>
            </w:sdt>
            <w:r>
              <w:rPr>
                <w:rFonts w:hint="eastAsia" w:ascii="宋体" w:hAnsi="宋体" w:eastAsia="宋体" w:cs="宋体"/>
                <w:sz w:val="24"/>
                <w:szCs w:val="24"/>
              </w:rPr>
              <w:t xml:space="preserve">是  </w:t>
            </w:r>
            <w:sdt>
              <w:sdtPr>
                <w:rPr>
                  <w:rFonts w:hint="eastAsia" w:ascii="宋体" w:hAnsi="宋体" w:eastAsia="宋体" w:cs="宋体"/>
                  <w:sz w:val="24"/>
                  <w:szCs w:val="24"/>
                </w:rPr>
                <w:id w:val="618331253"/>
                <w14:checkbox>
                  <w14:checked w14:val="1"/>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lang w:val="en-US" w:eastAsia="zh-CN" w:bidi="ar-SA"/>
                  </w:rPr>
                  <w:t>☑</w:t>
                </w:r>
              </w:sdtContent>
            </w:sdt>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中标通知书</w:t>
            </w:r>
          </w:p>
        </w:tc>
        <w:tc>
          <w:tcPr>
            <w:tcW w:w="4490" w:type="dxa"/>
            <w:shd w:val="clear" w:color="auto" w:fill="auto"/>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rPr>
              <w:t>1．领取地点：</w:t>
            </w:r>
            <w:r>
              <w:rPr>
                <w:rFonts w:hint="eastAsia" w:ascii="宋体" w:hAnsi="宋体" w:eastAsia="宋体" w:cs="宋体"/>
                <w:sz w:val="24"/>
                <w:szCs w:val="24"/>
                <w:lang w:eastAsia="zh-CN"/>
              </w:rPr>
              <w:t>西安市莲湖区西关正街英达大厦</w:t>
            </w:r>
            <w:r>
              <w:rPr>
                <w:rFonts w:hint="eastAsia" w:ascii="宋体" w:hAnsi="宋体" w:eastAsia="宋体" w:cs="宋体"/>
                <w:sz w:val="24"/>
                <w:szCs w:val="24"/>
                <w:lang w:val="en-US" w:eastAsia="zh-CN"/>
              </w:rPr>
              <w:t>1507室</w:t>
            </w:r>
          </w:p>
          <w:p>
            <w:pPr>
              <w:jc w:val="both"/>
              <w:rPr>
                <w:rFonts w:hint="default" w:ascii="宋体" w:hAnsi="宋体" w:eastAsia="宋体" w:cs="宋体"/>
                <w:sz w:val="24"/>
                <w:szCs w:val="24"/>
                <w:lang w:val="en-US" w:eastAsia="zh-CN"/>
              </w:rPr>
            </w:pPr>
            <w:r>
              <w:rPr>
                <w:rFonts w:hint="eastAsia" w:ascii="宋体" w:hAnsi="宋体" w:eastAsia="宋体" w:cs="宋体"/>
                <w:sz w:val="24"/>
                <w:szCs w:val="24"/>
              </w:rPr>
              <w:t>2．联系电话：</w:t>
            </w:r>
            <w:r>
              <w:rPr>
                <w:rFonts w:hint="eastAsia" w:ascii="宋体" w:hAnsi="宋体" w:eastAsia="宋体" w:cs="宋体"/>
                <w:sz w:val="24"/>
                <w:szCs w:val="24"/>
                <w:lang w:val="en-US" w:eastAsia="zh-CN"/>
              </w:rPr>
              <w:t>029-88319689-804</w:t>
            </w:r>
          </w:p>
          <w:p>
            <w:pPr>
              <w:jc w:val="both"/>
              <w:rPr>
                <w:rFonts w:hint="eastAsia" w:ascii="宋体" w:hAnsi="宋体" w:eastAsia="宋体" w:cs="宋体"/>
                <w:sz w:val="24"/>
                <w:szCs w:val="24"/>
              </w:rPr>
            </w:pPr>
            <w:r>
              <w:rPr>
                <w:rFonts w:hint="eastAsia" w:ascii="宋体" w:hAnsi="宋体" w:eastAsia="宋体" w:cs="宋体"/>
                <w:sz w:val="24"/>
                <w:szCs w:val="24"/>
              </w:rPr>
              <w:t>3．联系人：</w:t>
            </w:r>
            <w:r>
              <w:rPr>
                <w:rFonts w:hint="eastAsia" w:ascii="宋体" w:hAnsi="宋体" w:eastAsia="宋体" w:cs="宋体"/>
                <w:sz w:val="24"/>
                <w:szCs w:val="24"/>
                <w:lang w:eastAsia="zh-CN"/>
              </w:rPr>
              <w:t>崔方明</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刘嘉辉</w:t>
            </w:r>
            <w:r>
              <w:rPr>
                <w:rFonts w:hint="eastAsia" w:ascii="宋体" w:hAnsi="宋体" w:eastAsia="宋体" w:cs="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西安市公共资源交易中心电子化政府采购系统技术支持（软件开发商）</w:t>
            </w:r>
          </w:p>
        </w:tc>
        <w:tc>
          <w:tcPr>
            <w:tcW w:w="4490" w:type="dxa"/>
            <w:shd w:val="clear" w:color="auto" w:fill="auto"/>
            <w:vAlign w:val="center"/>
          </w:tcPr>
          <w:p>
            <w:pPr>
              <w:jc w:val="both"/>
              <w:rPr>
                <w:rFonts w:hint="eastAsia" w:ascii="宋体" w:hAnsi="宋体" w:eastAsia="宋体" w:cs="宋体"/>
                <w:sz w:val="24"/>
                <w:szCs w:val="24"/>
              </w:rPr>
            </w:pPr>
            <w:r>
              <w:rPr>
                <w:rFonts w:hint="eastAsia" w:ascii="宋体" w:hAnsi="宋体" w:eastAsia="宋体" w:cs="宋体"/>
                <w:sz w:val="24"/>
                <w:szCs w:val="24"/>
              </w:rPr>
              <w:t>国泰新点软件股份有限公司</w:t>
            </w:r>
          </w:p>
          <w:p>
            <w:pPr>
              <w:rPr>
                <w:rFonts w:hint="eastAsia" w:ascii="宋体" w:hAnsi="宋体" w:eastAsia="宋体" w:cs="宋体"/>
                <w:sz w:val="24"/>
                <w:szCs w:val="24"/>
              </w:rPr>
            </w:pPr>
            <w:r>
              <w:rPr>
                <w:rFonts w:hint="eastAsia" w:ascii="宋体" w:hAnsi="宋体" w:eastAsia="宋体" w:cs="宋体"/>
                <w:sz w:val="24"/>
                <w:szCs w:val="24"/>
              </w:rPr>
              <w:t>1．技术支持热线：400-998-0000/400-928-0095</w:t>
            </w:r>
          </w:p>
          <w:p>
            <w:pPr>
              <w:rPr>
                <w:rFonts w:hint="eastAsia" w:ascii="宋体" w:hAnsi="宋体" w:eastAsia="宋体" w:cs="宋体"/>
                <w:sz w:val="24"/>
                <w:szCs w:val="24"/>
              </w:rPr>
            </w:pPr>
            <w:r>
              <w:rPr>
                <w:rFonts w:hint="eastAsia" w:ascii="宋体" w:hAnsi="宋体" w:eastAsia="宋体" w:cs="宋体"/>
                <w:sz w:val="24"/>
                <w:szCs w:val="24"/>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340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CA业务网点</w:t>
            </w:r>
          </w:p>
        </w:tc>
        <w:tc>
          <w:tcPr>
            <w:tcW w:w="4490" w:type="dxa"/>
            <w:shd w:val="clear" w:color="auto" w:fill="auto"/>
            <w:vAlign w:val="center"/>
          </w:tcPr>
          <w:p>
            <w:pPr>
              <w:jc w:val="both"/>
              <w:rPr>
                <w:rFonts w:hint="eastAsia" w:ascii="宋体" w:hAnsi="宋体" w:eastAsia="宋体" w:cs="宋体"/>
                <w:sz w:val="24"/>
                <w:szCs w:val="24"/>
              </w:rPr>
            </w:pPr>
            <w:r>
              <w:rPr>
                <w:rFonts w:hint="eastAsia" w:ascii="宋体" w:hAnsi="宋体" w:eastAsia="宋体" w:cs="宋体"/>
                <w:sz w:val="24"/>
                <w:szCs w:val="24"/>
              </w:rPr>
              <w:t>陕西省数字证书认证中心股份有限公司</w:t>
            </w:r>
          </w:p>
          <w:p>
            <w:pPr>
              <w:jc w:val="both"/>
              <w:rPr>
                <w:rFonts w:hint="eastAsia" w:ascii="宋体" w:hAnsi="宋体" w:eastAsia="宋体" w:cs="宋体"/>
                <w:sz w:val="24"/>
                <w:szCs w:val="24"/>
              </w:rPr>
            </w:pPr>
            <w:r>
              <w:rPr>
                <w:rFonts w:hint="eastAsia" w:ascii="宋体" w:hAnsi="宋体" w:eastAsia="宋体" w:cs="宋体"/>
                <w:sz w:val="24"/>
                <w:szCs w:val="24"/>
              </w:rPr>
              <w:t>网点1：西安市高新三路信息港大厦1楼客服中心</w:t>
            </w:r>
          </w:p>
          <w:p>
            <w:pPr>
              <w:jc w:val="both"/>
              <w:rPr>
                <w:rFonts w:hint="eastAsia" w:ascii="宋体" w:hAnsi="宋体" w:eastAsia="宋体" w:cs="宋体"/>
                <w:sz w:val="24"/>
                <w:szCs w:val="24"/>
              </w:rPr>
            </w:pPr>
            <w:r>
              <w:rPr>
                <w:rFonts w:hint="eastAsia" w:ascii="宋体" w:hAnsi="宋体" w:eastAsia="宋体" w:cs="宋体"/>
                <w:sz w:val="24"/>
                <w:szCs w:val="24"/>
              </w:rPr>
              <w:t>客服电话：4006-369-888</w:t>
            </w:r>
          </w:p>
          <w:p>
            <w:pPr>
              <w:jc w:val="both"/>
              <w:rPr>
                <w:rFonts w:hint="eastAsia" w:ascii="宋体" w:hAnsi="宋体" w:eastAsia="宋体" w:cs="宋体"/>
                <w:sz w:val="24"/>
                <w:szCs w:val="24"/>
              </w:rPr>
            </w:pPr>
            <w:r>
              <w:rPr>
                <w:rFonts w:hint="eastAsia" w:ascii="宋体" w:hAnsi="宋体" w:eastAsia="宋体" w:cs="宋体"/>
                <w:sz w:val="24"/>
                <w:szCs w:val="24"/>
              </w:rPr>
              <w:t>网点2：西安市长安北路14号省体育公寓B座一楼</w:t>
            </w:r>
          </w:p>
          <w:p>
            <w:pPr>
              <w:jc w:val="both"/>
              <w:rPr>
                <w:rFonts w:hint="eastAsia" w:ascii="宋体" w:hAnsi="宋体" w:eastAsia="宋体" w:cs="宋体"/>
                <w:sz w:val="24"/>
                <w:szCs w:val="24"/>
              </w:rPr>
            </w:pPr>
            <w:r>
              <w:rPr>
                <w:rFonts w:hint="eastAsia" w:ascii="宋体" w:hAnsi="宋体" w:eastAsia="宋体" w:cs="宋体"/>
                <w:sz w:val="24"/>
                <w:szCs w:val="24"/>
              </w:rPr>
              <w:t>咨询电话：029-88661241</w:t>
            </w:r>
          </w:p>
          <w:p>
            <w:pPr>
              <w:jc w:val="both"/>
              <w:rPr>
                <w:rFonts w:hint="eastAsia" w:ascii="宋体" w:hAnsi="宋体" w:eastAsia="宋体" w:cs="宋体"/>
                <w:sz w:val="24"/>
                <w:szCs w:val="24"/>
              </w:rPr>
            </w:pPr>
            <w:r>
              <w:rPr>
                <w:rFonts w:hint="eastAsia" w:ascii="宋体" w:hAnsi="宋体" w:eastAsia="宋体" w:cs="宋体"/>
                <w:sz w:val="24"/>
                <w:szCs w:val="24"/>
              </w:rPr>
              <w:t>网点3：西安市文景北路16号白桦林国际B座2楼11#窗口</w:t>
            </w:r>
          </w:p>
          <w:p>
            <w:pPr>
              <w:jc w:val="both"/>
              <w:rPr>
                <w:rFonts w:hint="eastAsia" w:ascii="宋体" w:hAnsi="宋体" w:eastAsia="宋体" w:cs="宋体"/>
                <w:sz w:val="24"/>
                <w:szCs w:val="24"/>
              </w:rPr>
            </w:pPr>
            <w:r>
              <w:rPr>
                <w:rFonts w:hint="eastAsia" w:ascii="宋体" w:hAnsi="宋体" w:eastAsia="宋体" w:cs="宋体"/>
                <w:sz w:val="24"/>
                <w:szCs w:val="24"/>
              </w:rPr>
              <w:t>咨询电话：029-86510073转80211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3402" w:type="dxa"/>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代理服务费</w:t>
            </w:r>
          </w:p>
        </w:tc>
        <w:tc>
          <w:tcPr>
            <w:tcW w:w="4490" w:type="dxa"/>
            <w:shd w:val="clear" w:color="auto" w:fill="auto"/>
            <w:vAlign w:val="center"/>
          </w:tcPr>
          <w:p>
            <w:pPr>
              <w:jc w:val="both"/>
              <w:rPr>
                <w:rFonts w:hint="eastAsia" w:ascii="宋体" w:hAnsi="宋体" w:eastAsia="宋体" w:cs="宋体"/>
                <w:sz w:val="24"/>
                <w:szCs w:val="24"/>
              </w:rPr>
            </w:pPr>
            <w:r>
              <w:rPr>
                <w:rFonts w:hint="eastAsia" w:ascii="宋体" w:hAnsi="宋体" w:eastAsia="宋体" w:cs="宋体"/>
                <w:sz w:val="24"/>
                <w:szCs w:val="24"/>
              </w:rPr>
              <w:t>1、参照国家计委颁发的《招标代理服务收费管理暂行办法》（计价格[2002]1980号）和国家发展改革委员会办公厅颁发的《关于招标代理服务收费有关问题的通知》（发改办价格[2003]857号）的标准收取。</w:t>
            </w:r>
          </w:p>
          <w:p>
            <w:pPr>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供应商</w:t>
            </w:r>
            <w:r>
              <w:rPr>
                <w:rFonts w:hint="eastAsia" w:ascii="宋体" w:hAnsi="宋体" w:eastAsia="宋体" w:cs="宋体"/>
                <w:sz w:val="24"/>
                <w:szCs w:val="24"/>
              </w:rPr>
              <w:t>将招标代理服务费计入投标报价但不单独列明，中标单位在领取中标通知书前，须向采购代理机构一次性支付招标代理服务费；代理服务费以转账、电汇或现金等形式交纳。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3402" w:type="dxa"/>
            <w:shd w:val="clear" w:color="auto" w:fill="auto"/>
            <w:vAlign w:val="center"/>
          </w:tcPr>
          <w:p>
            <w:pPr>
              <w:pStyle w:val="119"/>
              <w:ind w:left="96" w:leftChars="0"/>
              <w:jc w:val="center"/>
              <w:rPr>
                <w:rFonts w:hint="eastAsia" w:ascii="宋体" w:hAnsi="宋体" w:eastAsia="宋体" w:cs="宋体"/>
                <w:b w:val="0"/>
                <w:bCs/>
                <w:sz w:val="24"/>
                <w:szCs w:val="24"/>
                <w:lang w:eastAsia="zh-CN"/>
              </w:rPr>
            </w:pPr>
            <w:r>
              <w:rPr>
                <w:rFonts w:hint="eastAsia" w:ascii="宋体" w:hAnsi="宋体" w:eastAsia="宋体" w:cs="宋体"/>
                <w:b w:val="0"/>
                <w:bCs/>
                <w:color w:val="000000" w:themeColor="text1"/>
                <w:kern w:val="2"/>
                <w:sz w:val="24"/>
                <w:szCs w:val="24"/>
                <w:lang w:val="zh-CN"/>
                <w14:textFill>
                  <w14:solidFill>
                    <w14:schemeClr w14:val="tx1"/>
                  </w14:solidFill>
                </w14:textFill>
              </w:rPr>
              <w:t>合同类型</w:t>
            </w:r>
          </w:p>
        </w:tc>
        <w:tc>
          <w:tcPr>
            <w:tcW w:w="4490" w:type="dxa"/>
            <w:shd w:val="clear" w:color="auto" w:fill="auto"/>
            <w:vAlign w:val="center"/>
          </w:tcPr>
          <w:p>
            <w:pPr>
              <w:rPr>
                <w:rFonts w:hint="eastAsia" w:ascii="宋体" w:hAnsi="宋体" w:eastAsia="宋体" w:cs="宋体"/>
                <w:b w:val="0"/>
                <w:bCs/>
                <w:color w:val="auto"/>
                <w:sz w:val="24"/>
                <w:szCs w:val="24"/>
                <w:lang w:val="zh-CN"/>
              </w:rPr>
            </w:pPr>
            <w:sdt>
              <w:sdtPr>
                <w:rPr>
                  <w:rFonts w:hint="eastAsia" w:ascii="宋体" w:hAnsi="宋体" w:eastAsia="宋体" w:cs="宋体"/>
                  <w:sz w:val="24"/>
                  <w:szCs w:val="24"/>
                </w:rPr>
                <w:id w:val="1553575034"/>
                <w14:checkbox>
                  <w14:checked w14:val="1"/>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MS Gothic" w:hAnsi="MS Gothic" w:eastAsia="宋体" w:cs="宋体"/>
                    <w:sz w:val="24"/>
                    <w:szCs w:val="24"/>
                    <w:lang w:val="en-US" w:eastAsia="zh-CN" w:bidi="ar-SA"/>
                  </w:rPr>
                  <w:t>☑</w:t>
                </w:r>
              </w:sdtContent>
            </w:sdt>
            <w:r>
              <w:rPr>
                <w:rFonts w:hint="eastAsia" w:ascii="宋体" w:hAnsi="宋体" w:eastAsia="宋体" w:cs="宋体"/>
                <w:b w:val="0"/>
                <w:bCs/>
                <w:color w:val="auto"/>
                <w:sz w:val="24"/>
                <w:szCs w:val="24"/>
                <w:lang w:val="zh-CN"/>
              </w:rPr>
              <w:t>固定总价</w:t>
            </w:r>
          </w:p>
          <w:p>
            <w:pPr>
              <w:rPr>
                <w:rFonts w:hint="eastAsia" w:ascii="宋体" w:hAnsi="宋体" w:eastAsia="宋体" w:cs="宋体"/>
                <w:b w:val="0"/>
                <w:bCs/>
                <w:color w:val="auto"/>
                <w:sz w:val="24"/>
                <w:szCs w:val="24"/>
                <w:lang w:val="zh-CN"/>
              </w:rPr>
            </w:pPr>
            <w:sdt>
              <w:sdtPr>
                <w:rPr>
                  <w:rFonts w:hint="eastAsia" w:ascii="宋体" w:hAnsi="宋体" w:eastAsia="宋体" w:cs="宋体"/>
                  <w:sz w:val="24"/>
                  <w:szCs w:val="24"/>
                </w:rPr>
                <w:id w:val="1553575034"/>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MS Gothic" w:hAnsi="MS Gothic" w:eastAsia="宋体" w:cs="宋体"/>
                    <w:sz w:val="24"/>
                    <w:szCs w:val="24"/>
                    <w:lang w:val="en-US" w:eastAsia="zh-CN" w:bidi="ar-SA"/>
                  </w:rPr>
                  <w:t>☐</w:t>
                </w:r>
              </w:sdtContent>
            </w:sdt>
            <w:r>
              <w:rPr>
                <w:rFonts w:hint="eastAsia" w:ascii="宋体" w:hAnsi="宋体" w:eastAsia="宋体" w:cs="宋体"/>
                <w:b w:val="0"/>
                <w:bCs/>
                <w:color w:val="auto"/>
                <w:sz w:val="24"/>
                <w:szCs w:val="24"/>
                <w:lang w:val="zh-CN"/>
              </w:rPr>
              <w:t>固定单价（适用于采购数量不定的情形）</w:t>
            </w:r>
          </w:p>
          <w:p>
            <w:pPr>
              <w:rPr>
                <w:rFonts w:hint="eastAsia" w:ascii="宋体" w:hAnsi="宋体" w:eastAsia="宋体" w:cs="宋体"/>
                <w:b w:val="0"/>
                <w:bCs/>
                <w:color w:val="auto"/>
                <w:sz w:val="24"/>
                <w:szCs w:val="24"/>
              </w:rPr>
            </w:pPr>
            <w:sdt>
              <w:sdtPr>
                <w:rPr>
                  <w:rFonts w:hint="eastAsia" w:ascii="宋体" w:hAnsi="宋体" w:eastAsia="宋体" w:cs="宋体"/>
                  <w:sz w:val="24"/>
                  <w:szCs w:val="24"/>
                </w:rPr>
                <w:id w:val="1553575034"/>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b w:val="0"/>
                <w:bCs/>
                <w:color w:val="auto"/>
                <w:sz w:val="24"/>
                <w:szCs w:val="24"/>
                <w:lang w:val="zh-CN"/>
              </w:rPr>
              <w:t>其他：___________________________</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3402" w:type="dxa"/>
            <w:shd w:val="clear" w:color="auto" w:fill="auto"/>
            <w:vAlign w:val="center"/>
          </w:tcPr>
          <w:p>
            <w:pPr>
              <w:tabs>
                <w:tab w:val="left" w:pos="7665"/>
              </w:tabs>
              <w:snapToGrid w:val="0"/>
              <w:jc w:val="center"/>
              <w:rPr>
                <w:rFonts w:hint="eastAsia" w:ascii="宋体" w:hAnsi="宋体" w:eastAsia="宋体" w:cs="宋体"/>
                <w:b w:val="0"/>
                <w:bCs/>
                <w:color w:val="000000" w:themeColor="text1"/>
                <w:sz w:val="24"/>
                <w:szCs w:val="24"/>
                <w:lang w:val="zh-CN" w:eastAsia="zh-CN" w:bidi="ar-SA"/>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争议解决途径</w:t>
            </w:r>
          </w:p>
        </w:tc>
        <w:tc>
          <w:tcPr>
            <w:tcW w:w="4490" w:type="dxa"/>
            <w:shd w:val="clear" w:color="auto" w:fill="auto"/>
            <w:vAlign w:val="center"/>
          </w:tcPr>
          <w:p>
            <w:pPr>
              <w:tabs>
                <w:tab w:val="left" w:pos="7665"/>
              </w:tabs>
              <w:snapToGrid w:val="0"/>
              <w:rPr>
                <w:rFonts w:hint="eastAsia" w:ascii="宋体" w:hAnsi="宋体" w:eastAsia="宋体" w:cs="宋体"/>
                <w:b w:val="0"/>
                <w:bCs/>
                <w:color w:val="auto"/>
                <w:sz w:val="24"/>
                <w:szCs w:val="24"/>
              </w:rPr>
            </w:pPr>
            <w:sdt>
              <w:sdtPr>
                <w:rPr>
                  <w:rFonts w:hint="eastAsia" w:ascii="宋体" w:hAnsi="宋体" w:eastAsia="宋体" w:cs="宋体"/>
                  <w:sz w:val="24"/>
                  <w:szCs w:val="24"/>
                </w:rPr>
                <w:id w:val="1553575034"/>
                <w14:checkbox>
                  <w14:checked w14:val="1"/>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MS Gothic" w:hAnsi="MS Gothic" w:eastAsia="宋体" w:cs="宋体"/>
                    <w:sz w:val="24"/>
                    <w:szCs w:val="24"/>
                    <w:lang w:val="en-US" w:eastAsia="zh-CN" w:bidi="ar-SA"/>
                  </w:rPr>
                  <w:t>☑</w:t>
                </w:r>
              </w:sdtContent>
            </w:sdt>
            <w:r>
              <w:rPr>
                <w:rFonts w:hint="eastAsia" w:ascii="宋体" w:hAnsi="宋体" w:eastAsia="宋体" w:cs="宋体"/>
                <w:b w:val="0"/>
                <w:bCs/>
                <w:color w:val="auto"/>
                <w:sz w:val="24"/>
                <w:szCs w:val="24"/>
              </w:rPr>
              <w:t>向有管辖权的人民法院提起诉讼</w:t>
            </w:r>
          </w:p>
          <w:p>
            <w:pPr>
              <w:tabs>
                <w:tab w:val="left" w:pos="7665"/>
              </w:tabs>
              <w:snapToGrid w:val="0"/>
              <w:rPr>
                <w:rFonts w:hint="eastAsia" w:ascii="宋体" w:hAnsi="宋体" w:eastAsia="宋体" w:cs="宋体"/>
                <w:b w:val="0"/>
                <w:bCs/>
                <w:color w:val="auto"/>
                <w:sz w:val="24"/>
                <w:szCs w:val="24"/>
              </w:rPr>
            </w:pPr>
            <w:sdt>
              <w:sdtPr>
                <w:rPr>
                  <w:rFonts w:hint="eastAsia" w:ascii="宋体" w:hAnsi="宋体" w:eastAsia="宋体" w:cs="宋体"/>
                  <w:sz w:val="24"/>
                  <w:szCs w:val="24"/>
                </w:rPr>
                <w:id w:val="1553575034"/>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b w:val="0"/>
                <w:bCs/>
                <w:color w:val="auto"/>
                <w:sz w:val="24"/>
                <w:szCs w:val="24"/>
              </w:rPr>
              <w:t>向西安仲裁委员会提请仲裁</w:t>
            </w:r>
          </w:p>
          <w:p>
            <w:pPr>
              <w:tabs>
                <w:tab w:val="left" w:pos="7665"/>
              </w:tabs>
              <w:snapToGrid w:val="0"/>
              <w:rPr>
                <w:rFonts w:hint="eastAsia" w:ascii="宋体" w:hAnsi="宋体" w:eastAsia="宋体" w:cs="宋体"/>
                <w:b w:val="0"/>
                <w:bCs/>
                <w:color w:val="auto"/>
                <w:sz w:val="24"/>
                <w:szCs w:val="24"/>
                <w:lang w:val="zh-CN" w:eastAsia="zh-CN" w:bidi="ar-SA"/>
              </w:rPr>
            </w:pPr>
            <w:sdt>
              <w:sdtPr>
                <w:rPr>
                  <w:rFonts w:hint="eastAsia" w:ascii="宋体" w:hAnsi="宋体" w:eastAsia="宋体" w:cs="宋体"/>
                  <w:sz w:val="24"/>
                  <w:szCs w:val="24"/>
                </w:rPr>
                <w:id w:val="1553575034"/>
                <w14:checkbox>
                  <w14:checked w14:val="0"/>
                  <w14:checkedState w14:val="2611"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b w:val="0"/>
                <w:bCs/>
                <w:color w:val="auto"/>
                <w:sz w:val="24"/>
                <w:szCs w:val="24"/>
              </w:rPr>
              <w:t>由供应商做出选择</w:t>
            </w:r>
          </w:p>
        </w:tc>
      </w:tr>
    </w:tbl>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br w:type="page"/>
      </w:r>
    </w:p>
    <w:p>
      <w:pPr>
        <w:pStyle w:val="5"/>
        <w:outlineLvl w:val="1"/>
        <w:rPr>
          <w:rFonts w:hint="eastAsia" w:ascii="宋体" w:hAnsi="宋体" w:eastAsia="宋体" w:cs="宋体"/>
          <w:sz w:val="24"/>
          <w:szCs w:val="24"/>
        </w:rPr>
      </w:pPr>
      <w:bookmarkStart w:id="55" w:name="_Toc19602"/>
      <w:bookmarkStart w:id="56" w:name="_Toc14866"/>
      <w:bookmarkStart w:id="57" w:name="_Toc24850"/>
      <w:bookmarkStart w:id="58" w:name="_Toc14974"/>
      <w:r>
        <w:rPr>
          <w:rFonts w:hint="eastAsia" w:ascii="宋体" w:hAnsi="宋体" w:eastAsia="宋体" w:cs="宋体"/>
          <w:sz w:val="24"/>
          <w:szCs w:val="24"/>
        </w:rPr>
        <w:t>一</w:t>
      </w:r>
      <w:r>
        <w:rPr>
          <w:rFonts w:hint="eastAsia" w:ascii="宋体" w:hAnsi="宋体" w:eastAsia="宋体" w:cs="宋体"/>
          <w:b/>
          <w:bCs/>
          <w:sz w:val="24"/>
          <w:szCs w:val="24"/>
        </w:rPr>
        <w:t>、有关定义</w:t>
      </w:r>
      <w:bookmarkEnd w:id="55"/>
      <w:bookmarkEnd w:id="56"/>
      <w:bookmarkEnd w:id="57"/>
      <w:bookmarkEnd w:id="58"/>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1．采购人：依法进行政府采购的西安市市级机关、事业单位或团体组织。</w:t>
      </w:r>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2．供应商：指向采购人提供货物、工程或者服务的法人、其他组织或者自然人。</w:t>
      </w:r>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3．同级政府采购监管部门：西安市财政局政府采购管理处。</w:t>
      </w:r>
    </w:p>
    <w:p>
      <w:pPr>
        <w:spacing w:line="560" w:lineRule="exact"/>
        <w:ind w:firstLine="496" w:firstLineChars="200"/>
        <w:rPr>
          <w:rFonts w:hint="eastAsia" w:ascii="宋体" w:hAnsi="宋体" w:eastAsia="宋体" w:cs="宋体"/>
          <w:sz w:val="24"/>
          <w:szCs w:val="24"/>
        </w:rPr>
      </w:pPr>
      <w:r>
        <w:rPr>
          <w:rFonts w:hint="eastAsia" w:ascii="宋体" w:hAnsi="宋体" w:eastAsia="宋体" w:cs="宋体"/>
          <w:sz w:val="24"/>
          <w:szCs w:val="24"/>
        </w:rPr>
        <w:t>4．西安市公共资源交易平台：即【全国公共资源交易平台（陕西省·西安市）】的简称，官网地址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"http://sxggzyjy.xa.gov.cn/"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http://sxggzyjy.xa.gov.cn/</w:t>
      </w:r>
      <w:r>
        <w:rPr>
          <w:rStyle w:val="42"/>
          <w:rFonts w:hint="eastAsia" w:ascii="宋体" w:hAnsi="宋体" w:eastAsia="宋体" w:cs="宋体"/>
          <w:color w:val="auto"/>
          <w:sz w:val="24"/>
          <w:szCs w:val="24"/>
          <w:u w:val="none"/>
        </w:rPr>
        <w:fldChar w:fldCharType="end"/>
      </w:r>
      <w:r>
        <w:rPr>
          <w:rFonts w:hint="eastAsia" w:ascii="宋体" w:hAnsi="宋体" w:eastAsia="宋体" w:cs="宋体"/>
          <w:sz w:val="24"/>
          <w:szCs w:val="24"/>
        </w:rPr>
        <w:t>。</w:t>
      </w:r>
    </w:p>
    <w:p>
      <w:pPr>
        <w:spacing w:line="560" w:lineRule="exact"/>
        <w:ind w:firstLine="496" w:firstLineChars="200"/>
        <w:rPr>
          <w:rFonts w:hint="eastAsia" w:ascii="宋体" w:hAnsi="宋体" w:eastAsia="宋体" w:cs="宋体"/>
          <w:sz w:val="24"/>
          <w:szCs w:val="24"/>
        </w:rPr>
      </w:pPr>
      <w:r>
        <w:rPr>
          <w:rFonts w:hint="eastAsia" w:ascii="宋体" w:hAnsi="宋体" w:eastAsia="宋体" w:cs="宋体"/>
          <w:sz w:val="24"/>
          <w:szCs w:val="24"/>
        </w:rPr>
        <w:t>5．企业端：指西安市公共资源交易平台〖首页·〉电子交易平台·〉陕西政府采购交易系统·〉企业端〗，快捷登录网址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"http://www.sxggzyjy.cn:9002/TPBidder/memberLogin"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http://www.sxggzyjy.cn:9002/TPBidder/memberLogin</w:t>
      </w:r>
      <w:r>
        <w:rPr>
          <w:rStyle w:val="42"/>
          <w:rFonts w:hint="eastAsia" w:ascii="宋体" w:hAnsi="宋体" w:eastAsia="宋体" w:cs="宋体"/>
          <w:color w:val="auto"/>
          <w:sz w:val="24"/>
          <w:szCs w:val="24"/>
          <w:u w:val="none"/>
        </w:rPr>
        <w:fldChar w:fldCharType="end"/>
      </w:r>
      <w:r>
        <w:rPr>
          <w:rFonts w:hint="eastAsia" w:ascii="宋体" w:hAnsi="宋体" w:eastAsia="宋体" w:cs="宋体"/>
          <w:sz w:val="24"/>
          <w:szCs w:val="24"/>
        </w:rPr>
        <w:t>。</w:t>
      </w:r>
    </w:p>
    <w:p>
      <w:pPr>
        <w:pStyle w:val="5"/>
        <w:outlineLvl w:val="1"/>
        <w:rPr>
          <w:rFonts w:hint="eastAsia" w:ascii="宋体" w:hAnsi="宋体" w:eastAsia="宋体" w:cs="宋体"/>
          <w:b/>
          <w:bCs/>
          <w:sz w:val="24"/>
          <w:szCs w:val="24"/>
        </w:rPr>
      </w:pPr>
      <w:bookmarkStart w:id="59" w:name="_Toc9704"/>
      <w:bookmarkStart w:id="60" w:name="_Toc31684"/>
      <w:bookmarkStart w:id="61" w:name="_Toc27995"/>
      <w:bookmarkStart w:id="62" w:name="_Toc14698"/>
      <w:r>
        <w:rPr>
          <w:rFonts w:hint="eastAsia" w:ascii="宋体" w:hAnsi="宋体" w:eastAsia="宋体" w:cs="宋体"/>
          <w:b/>
          <w:bCs/>
          <w:sz w:val="24"/>
          <w:szCs w:val="24"/>
        </w:rPr>
        <w:t>二、供应商注意事项</w:t>
      </w:r>
      <w:bookmarkEnd w:id="59"/>
      <w:bookmarkEnd w:id="60"/>
      <w:bookmarkEnd w:id="61"/>
      <w:bookmarkEnd w:id="62"/>
    </w:p>
    <w:p>
      <w:pPr>
        <w:bidi w:val="0"/>
        <w:rPr>
          <w:rFonts w:hint="eastAsia"/>
        </w:rPr>
      </w:pPr>
      <w:bookmarkStart w:id="63" w:name="_Toc26452"/>
      <w:bookmarkStart w:id="64" w:name="_Toc21146"/>
      <w:r>
        <w:rPr>
          <w:rFonts w:hint="eastAsia"/>
        </w:rPr>
        <w:t>（一）供应商投标流程</w:t>
      </w:r>
      <w:bookmarkEnd w:id="63"/>
      <w:bookmarkEnd w:id="64"/>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使用电子交易系统的采购项目（即线上项目），将同时提供WORD\PDF格式（仅用于预览）和SXSZF格式（用于制作电子投标文件）两个版本，文件内容一致。</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1．预览采购文件：打开西安市公共资源交易平台〖首页·〉交易大厅·〉政府采购〗栏目，下载和阅读本项目采购文件的预览版本（WORD\PDF格式）；</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2．办理注册登记（针对初次使用电子交易系统的用户）：</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（1）办理诚信入库注册：在决定参加本项目采购活动后，供应商应先在西安市公共资源交易平台上完成“诚信入库登记”；</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widowControl w:val="0"/>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办理须知：</w:t>
      </w:r>
    </w:p>
    <w:p>
      <w:pPr>
        <w:widowControl w:val="0"/>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http://</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"http://www.snca.com.cn/channel/show/27.html"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www.snca.com.cn/channel/show/27.html</w:t>
      </w:r>
      <w:r>
        <w:rPr>
          <w:rStyle w:val="42"/>
          <w:rFonts w:hint="eastAsia" w:ascii="宋体" w:hAnsi="宋体" w:eastAsia="宋体" w:cs="宋体"/>
          <w:color w:val="auto"/>
          <w:sz w:val="24"/>
          <w:szCs w:val="24"/>
          <w:u w:val="none"/>
        </w:rPr>
        <w:fldChar w:fldCharType="end"/>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（3）绑定和激活CA：将数字证书与诚信库中的供应商账户进行绑定。</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4．制作电子投标文件：需要使用专用制作软件“新点投标文件制作软件（陕西公共资源）”进行编制，编制完成后使用CA锁对电子投标文件进行签章、加密。详见本章中的“投标文件”相关内容。</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5．提交电子投标文件：在提交投标文件截止时间前及时提交加密后电子投标文件，逾期提交的，系统将会拒收；</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7．等待专家评审：评审期间，可能需要对评审专家提出的问题进行澄清或答复。在主持人宣布评审结束前，供应商请勿擅自离席，否则由此造成的不利后果，由供应商自行承担。</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8．中标供应商注册：按照陕西省政府采购监管部门的要求，采购代理机构在发布中标公告前，应由中标供应商在陕西省政府采购网上完成注册。</w:t>
      </w:r>
    </w:p>
    <w:p>
      <w:pPr>
        <w:bidi w:val="0"/>
        <w:rPr>
          <w:rFonts w:hint="eastAsia"/>
        </w:rPr>
      </w:pPr>
      <w:bookmarkStart w:id="65" w:name="_Toc18855"/>
      <w:bookmarkStart w:id="66" w:name="_Toc9467"/>
      <w:r>
        <w:rPr>
          <w:rFonts w:hint="eastAsia"/>
        </w:rPr>
        <w:t>（二）关于询问、质疑和投诉</w:t>
      </w:r>
      <w:bookmarkEnd w:id="65"/>
      <w:bookmarkEnd w:id="66"/>
    </w:p>
    <w:p>
      <w:pPr>
        <w:pStyle w:val="96"/>
        <w:bidi w:val="0"/>
        <w:rPr>
          <w:rFonts w:hint="eastAsia" w:ascii="宋体" w:hAnsi="宋体" w:eastAsia="宋体" w:cs="宋体"/>
          <w:sz w:val="24"/>
          <w:szCs w:val="24"/>
        </w:rPr>
      </w:pPr>
      <w:bookmarkStart w:id="67" w:name="_Toc25855"/>
      <w:r>
        <w:rPr>
          <w:rFonts w:hint="eastAsia" w:ascii="宋体" w:hAnsi="宋体" w:eastAsia="宋体" w:cs="宋体"/>
          <w:sz w:val="24"/>
          <w:szCs w:val="24"/>
        </w:rPr>
        <w:t>1．询问</w:t>
      </w:r>
      <w:bookmarkEnd w:id="67"/>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供应商对政府采购活动事项有疑问的，可以向采购人或采购代理机构提出询问。采购人或采购代理机构将在3个工作日内对供应商依法提出的询问作出答复。</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根据采购人和采购代理机构签订的《政府采购委托代理协议》，针对采购需求（包括采购内容、技术或服务要求、商务要求、合同条款、供应商资格条件、评审要素及分值一览表）的询问请向采购人提出。</w:t>
      </w:r>
    </w:p>
    <w:p>
      <w:pPr>
        <w:pStyle w:val="96"/>
        <w:bidi w:val="0"/>
        <w:rPr>
          <w:rFonts w:hint="eastAsia"/>
          <w:sz w:val="24"/>
          <w:szCs w:val="24"/>
        </w:rPr>
      </w:pPr>
      <w:bookmarkStart w:id="68" w:name="_Toc7787"/>
      <w:r>
        <w:rPr>
          <w:rFonts w:hint="eastAsia"/>
          <w:sz w:val="24"/>
          <w:szCs w:val="24"/>
        </w:rPr>
        <w:t>2．质疑</w:t>
      </w:r>
      <w:bookmarkEnd w:id="68"/>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（1）供应商认为采购文件、采购过程、成交结果使自己的权益受到损害的，可以在知道或应知其权益受到损害之日起7个工作日内以书面形式向采购人、采购代理机构提出。</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（2）质疑方式：</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① 在线质疑：</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登录西安市公共资源交易平台〖首页·〉电子交易平台·〉企业端〗，在〖我的项目〗中点击“项目流程·〉提出质疑”，填写表单并提交质疑。</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② 书面质疑：</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书面质疑函应按照财政部国库司制定的《政府采购供应商质疑函范本》（见下方链接）进行填写，签字、盖章后提交至采购人、采购代理机构。</w:t>
      </w:r>
    </w:p>
    <w:p>
      <w:pPr>
        <w:spacing w:line="560" w:lineRule="exact"/>
        <w:ind w:firstLine="496" w:firstLineChars="200"/>
        <w:outlineLvl w:val="9"/>
        <w:rPr>
          <w:rFonts w:hint="eastAsia" w:ascii="宋体" w:hAnsi="宋体" w:eastAsia="宋体" w:cs="宋体"/>
          <w:sz w:val="24"/>
          <w:szCs w:val="24"/>
        </w:rPr>
      </w:pPr>
      <w:r>
        <w:rPr>
          <w:rFonts w:hint="eastAsia" w:ascii="宋体" w:hAnsi="宋体" w:eastAsia="宋体" w:cs="宋体"/>
          <w:sz w:val="24"/>
          <w:szCs w:val="24"/>
        </w:rPr>
        <w:t>质疑函范本地址：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"http://download.ccgp.gov.cn/2018/zhiyihanfanben.zip"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http://download.ccgp.gov.cn/2018/zhiyihanfanben.zip</w:t>
      </w:r>
      <w:r>
        <w:rPr>
          <w:rStyle w:val="42"/>
          <w:rFonts w:hint="eastAsia" w:ascii="宋体" w:hAnsi="宋体" w:eastAsia="宋体" w:cs="宋体"/>
          <w:color w:val="auto"/>
          <w:sz w:val="24"/>
          <w:szCs w:val="24"/>
          <w:u w:val="none"/>
        </w:rPr>
        <w:fldChar w:fldCharType="end"/>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（4）在法定质疑期内，针对同一采购程序环节的质疑应当一次性提出。采购人、采购代理机构将在收到书面质疑后7个工作日内做出答复，并以书面形式通知质疑人和其他有关供应商。</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（5）有下列情形之一的，属于无效质疑：</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① 对采购文件提出质疑的质疑人不是依法获取采购文件的潜在供应商；对采购过程、中标结果提出质疑的质疑人不是参与本次政府采购项目的供应商；</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② 超过法定期限或未以书面形式提出的；</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③ 缺乏必要的证明材料，或捏造事实、提供虚假材料，或以非法手段取得证明材料的；</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④ 质疑函没有合法有效的签字、盖章或委托授权书的（代理人提出质疑和投诉，应当提交供应商签署的授权委托书）；</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⑤ 针对同一采购程序环节又提出其他质疑事项的，或质疑答复后就同一事项再次提出质疑的；</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⑥ 不符合法律、法规、规章和政府采购监管机构规定的其他条件的。</w:t>
      </w:r>
    </w:p>
    <w:p>
      <w:pPr>
        <w:pStyle w:val="96"/>
        <w:bidi w:val="0"/>
        <w:rPr>
          <w:rFonts w:hint="eastAsia" w:ascii="宋体" w:hAnsi="宋体" w:eastAsia="宋体" w:cs="宋体"/>
          <w:sz w:val="24"/>
          <w:szCs w:val="24"/>
        </w:rPr>
      </w:pPr>
      <w:bookmarkStart w:id="69" w:name="_Toc26875"/>
      <w:r>
        <w:rPr>
          <w:rFonts w:hint="eastAsia" w:ascii="宋体" w:hAnsi="宋体" w:eastAsia="宋体" w:cs="宋体"/>
          <w:sz w:val="24"/>
          <w:szCs w:val="24"/>
        </w:rPr>
        <w:t>3．投诉</w:t>
      </w:r>
      <w:bookmarkEnd w:id="69"/>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（2）供应商投诉的事项不得超出已质疑事项的范围。供应商提出投诉时，应当提交投诉书和必要的证明材料，并按财政部《投诉书范本》给定的格式进行填写。</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投诉书范本地址：</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"http://download.ccgp.gov.cn/2018/tousushufanben.zip" </w:instrText>
      </w:r>
      <w:r>
        <w:rPr>
          <w:rFonts w:hint="eastAsia" w:ascii="宋体" w:hAnsi="宋体" w:eastAsia="宋体" w:cs="宋体"/>
          <w:sz w:val="24"/>
          <w:szCs w:val="24"/>
        </w:rPr>
        <w:fldChar w:fldCharType="separate"/>
      </w:r>
      <w:r>
        <w:rPr>
          <w:rStyle w:val="42"/>
          <w:rFonts w:hint="eastAsia" w:ascii="宋体" w:hAnsi="宋体" w:eastAsia="宋体" w:cs="宋体"/>
          <w:sz w:val="24"/>
          <w:szCs w:val="24"/>
        </w:rPr>
        <w:t>http://download.ccgp.gov.cn/2018/tousushufanben.zip</w:t>
      </w:r>
      <w:r>
        <w:rPr>
          <w:rStyle w:val="42"/>
          <w:rFonts w:hint="eastAsia" w:ascii="宋体" w:hAnsi="宋体" w:eastAsia="宋体" w:cs="宋体"/>
          <w:sz w:val="24"/>
          <w:szCs w:val="24"/>
        </w:rPr>
        <w:fldChar w:fldCharType="end"/>
      </w:r>
    </w:p>
    <w:p>
      <w:pPr>
        <w:pStyle w:val="96"/>
        <w:bidi w:val="0"/>
        <w:rPr>
          <w:rFonts w:hint="eastAsia" w:ascii="宋体" w:hAnsi="宋体" w:eastAsia="宋体" w:cs="宋体"/>
          <w:sz w:val="24"/>
          <w:szCs w:val="24"/>
        </w:rPr>
      </w:pPr>
      <w:bookmarkStart w:id="70" w:name="_Toc6468"/>
      <w:r>
        <w:rPr>
          <w:rFonts w:hint="eastAsia" w:ascii="宋体" w:hAnsi="宋体" w:eastAsia="宋体" w:cs="宋体"/>
          <w:sz w:val="24"/>
          <w:szCs w:val="24"/>
        </w:rPr>
        <w:t>4．恶意质疑、投诉的法律后果</w:t>
      </w:r>
      <w:bookmarkEnd w:id="70"/>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（1）对捏造事实、提供虚假材料进行质疑、投诉的行为予以严肃处理：</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（2）对捏造事实诬告陷害他人、诽谤他人的法律适用：</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《中华人民共和国刑法》第243条【诬告陷害罪】捏造事实诬告陷害他人，意图使他人受刑事追究，情节严重的，处三年以下有期徒刑、拘役或者管制；造成严重后果的，处三年以上十年以下有期徒刑。</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《中华人民共和国刑法》第246条【侮辱罪、诽谤罪】以暴力或者其他方法公然侮辱他人或者捏造事实诽谤他人，情节严重的，处三年以下有期徒刑、拘役、管制或者剥夺政治权利。</w:t>
      </w:r>
    </w:p>
    <w:p>
      <w:pPr>
        <w:bidi w:val="0"/>
        <w:rPr>
          <w:rFonts w:hint="eastAsia"/>
        </w:rPr>
      </w:pPr>
      <w:bookmarkStart w:id="71" w:name="_Toc15150"/>
      <w:bookmarkStart w:id="72" w:name="_Toc29748"/>
      <w:r>
        <w:rPr>
          <w:rFonts w:hint="eastAsia"/>
        </w:rPr>
        <w:t>（三）关于保证金</w:t>
      </w:r>
      <w:bookmarkEnd w:id="71"/>
      <w:bookmarkEnd w:id="72"/>
    </w:p>
    <w:p>
      <w:pPr>
        <w:pStyle w:val="96"/>
        <w:bidi w:val="0"/>
        <w:rPr>
          <w:rFonts w:hint="eastAsia"/>
          <w:sz w:val="24"/>
          <w:szCs w:val="24"/>
        </w:rPr>
      </w:pPr>
      <w:bookmarkStart w:id="73" w:name="_Toc21776"/>
      <w:r>
        <w:rPr>
          <w:rFonts w:hint="eastAsia"/>
          <w:sz w:val="24"/>
          <w:szCs w:val="24"/>
        </w:rPr>
        <w:t>1．西安市政府采购信用担保及信用融资政策</w:t>
      </w:r>
      <w:bookmarkEnd w:id="73"/>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《实施方案》链接地址：</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"http://xaczj.xa.gov.cn/zfcg/cgfg/5db90552fd850863a9e4594d.html"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http://xaczj.xa.gov.cn/zfcg/cgfg/5db90552fd850863a9e4594d.html</w:t>
      </w:r>
      <w:r>
        <w:rPr>
          <w:rStyle w:val="42"/>
          <w:rFonts w:hint="eastAsia" w:ascii="宋体" w:hAnsi="宋体" w:eastAsia="宋体" w:cs="宋体"/>
          <w:color w:val="auto"/>
          <w:sz w:val="24"/>
          <w:szCs w:val="24"/>
          <w:u w:val="none"/>
        </w:rPr>
        <w:fldChar w:fldCharType="end"/>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《合作机构名单》链接地址：</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"http://xaczj.xa.gov.cn/zfcg/cgfg/5db9054565cbd804f69e97e0.html"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http://xaczj.xa.gov.cn/zfcg/cgfg/5db9054565cbd804f69e97e0.html</w:t>
      </w:r>
      <w:r>
        <w:rPr>
          <w:rStyle w:val="42"/>
          <w:rFonts w:hint="eastAsia" w:ascii="宋体" w:hAnsi="宋体" w:eastAsia="宋体" w:cs="宋体"/>
          <w:color w:val="auto"/>
          <w:sz w:val="24"/>
          <w:szCs w:val="24"/>
          <w:u w:val="none"/>
        </w:rPr>
        <w:fldChar w:fldCharType="end"/>
      </w:r>
    </w:p>
    <w:p>
      <w:pPr>
        <w:pStyle w:val="96"/>
        <w:bidi w:val="0"/>
        <w:rPr>
          <w:rFonts w:hint="eastAsia"/>
          <w:sz w:val="24"/>
          <w:szCs w:val="24"/>
        </w:rPr>
      </w:pPr>
      <w:bookmarkStart w:id="74" w:name="_Toc184"/>
      <w:r>
        <w:rPr>
          <w:rFonts w:hint="eastAsia"/>
          <w:sz w:val="24"/>
          <w:szCs w:val="24"/>
        </w:rPr>
        <w:t>2．投标保证金</w:t>
      </w:r>
      <w:bookmarkEnd w:id="74"/>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按照西安市财政局《关于促进政府采购公平竞争优化营商环境的通知》第三条规定，供应商参与西安市政府采购活动时，免交投标保证金。</w:t>
      </w:r>
    </w:p>
    <w:p>
      <w:pPr>
        <w:pStyle w:val="96"/>
        <w:bidi w:val="0"/>
        <w:rPr>
          <w:rFonts w:hint="eastAsia"/>
          <w:sz w:val="24"/>
          <w:szCs w:val="24"/>
        </w:rPr>
      </w:pPr>
      <w:bookmarkStart w:id="75" w:name="_Toc26947"/>
      <w:r>
        <w:rPr>
          <w:rFonts w:hint="eastAsia"/>
          <w:sz w:val="24"/>
          <w:szCs w:val="24"/>
        </w:rPr>
        <w:t>3．履约保证金</w:t>
      </w:r>
      <w:bookmarkEnd w:id="75"/>
    </w:p>
    <w:p>
      <w:pPr>
        <w:spacing w:line="560" w:lineRule="exact"/>
        <w:ind w:firstLine="496" w:firstLineChars="200"/>
        <w:jc w:val="both"/>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p>
      <w:pPr>
        <w:bidi w:val="0"/>
        <w:rPr>
          <w:rFonts w:hint="eastAsia"/>
        </w:rPr>
      </w:pPr>
      <w:bookmarkStart w:id="76" w:name="_Toc9929"/>
      <w:bookmarkStart w:id="77" w:name="_Toc1067"/>
      <w:r>
        <w:rPr>
          <w:rFonts w:hint="eastAsia"/>
        </w:rPr>
        <w:t>（四）关于联合体</w:t>
      </w:r>
      <w:bookmarkEnd w:id="76"/>
      <w:bookmarkEnd w:id="77"/>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4．供应商以联合体形式参加政府采购活动时，遵循以下规则：</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③ 采用资格前审的项目，联合体应当在提交资格前审申请文件前组成。资格前审后联合体不得增减、更换成员。</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④ 资格审查阶段，采购人将对所有联合体成员进行信用记录查询，联合体成员存在不良信用记录的，视同联合体存在不良信用记录。</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⑤ 招标文件要求供应商交纳保证金的，可以由联合体中的一方或者多方共同交纳保证金，其交纳的保证金对联合体各方均具有约束力。</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⑥ 招标文件要求供应商提供履约人员和设备情况的，联合体各方均应提供，以说明其作为独立供应商所具有的能有效执行合同的能力和资源。</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⑦ 招标文件要求供应商提供同类或类似项目业绩的，联合体各方符合招标文件要求的同类或类似业绩可以累计，但联合体一方或多方共同参与的同一业绩不重复计算。</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⑨ 对采购项目提出投诉时，应当由组成联合体的所有供应商共同提出。</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（5）联合体出现下列情形之一的，联合体投标无效：</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① 没有提交有效的联合体协议的；</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② 组成联合体的大中型企业和其他自然人、法人或者其他组织，与小型、微型企业之间存在投资关系的；</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③ 联合体协议签订后，联合体成员单独参加或者与其他供应商另外组成联合体参加同一合同项下的政府采购活动的；</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④ 资格前审后联合体增减、更换成员的；</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⑤ 联合体成员因存在不良信用记录，被拒绝其参与政府采购活动的。</w:t>
      </w:r>
    </w:p>
    <w:p>
      <w:pPr>
        <w:bidi w:val="0"/>
        <w:rPr>
          <w:rFonts w:hint="eastAsia"/>
          <w:b/>
          <w:bCs/>
        </w:rPr>
      </w:pPr>
      <w:bookmarkStart w:id="78" w:name="_Toc22739"/>
      <w:bookmarkStart w:id="79" w:name="_Toc7087"/>
      <w:r>
        <w:rPr>
          <w:rFonts w:hint="eastAsia"/>
          <w:b/>
          <w:bCs/>
        </w:rPr>
        <w:t>（五）关于进口产品</w:t>
      </w:r>
      <w:bookmarkEnd w:id="78"/>
      <w:bookmarkEnd w:id="79"/>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pPr>
        <w:bidi w:val="0"/>
        <w:rPr>
          <w:rFonts w:hint="eastAsia"/>
          <w:b/>
          <w:bCs/>
        </w:rPr>
      </w:pPr>
      <w:bookmarkStart w:id="80" w:name="_Toc15301"/>
      <w:bookmarkStart w:id="81" w:name="_Toc5346"/>
      <w:r>
        <w:rPr>
          <w:rFonts w:hint="eastAsia"/>
          <w:b/>
          <w:bCs/>
        </w:rPr>
        <w:t>（六）关于政府采购政策</w:t>
      </w:r>
      <w:bookmarkEnd w:id="80"/>
      <w:bookmarkEnd w:id="81"/>
    </w:p>
    <w:p>
      <w:pPr>
        <w:pStyle w:val="96"/>
        <w:bidi w:val="0"/>
        <w:ind w:left="0" w:leftChars="0" w:firstLine="0" w:firstLineChars="0"/>
        <w:rPr>
          <w:rFonts w:hint="eastAsia"/>
          <w:sz w:val="24"/>
          <w:szCs w:val="24"/>
        </w:rPr>
      </w:pPr>
      <w:bookmarkStart w:id="82" w:name="_Toc2460"/>
      <w:r>
        <w:rPr>
          <w:rFonts w:hint="eastAsia"/>
          <w:sz w:val="24"/>
          <w:szCs w:val="24"/>
        </w:rPr>
        <w:t>1．对中小企业、监狱企业、残疾人福利性单位的优惠政策</w:t>
      </w:r>
      <w:bookmarkEnd w:id="82"/>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（2）根据财政部、司法部联合下发的《关于政府采购支持监狱企业发展有关问题的通知》（财库〔2014〕68号）的规定，监狱企业视同小型、微型企业。</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pStyle w:val="96"/>
        <w:bidi w:val="0"/>
        <w:ind w:left="0" w:leftChars="0" w:firstLine="0" w:firstLineChars="0"/>
        <w:rPr>
          <w:rFonts w:hint="eastAsia"/>
          <w:sz w:val="24"/>
          <w:szCs w:val="24"/>
        </w:rPr>
      </w:pPr>
      <w:bookmarkStart w:id="83" w:name="_Toc22143"/>
      <w:r>
        <w:rPr>
          <w:rFonts w:hint="eastAsia"/>
          <w:sz w:val="24"/>
          <w:szCs w:val="24"/>
        </w:rPr>
        <w:t>2．节能、环保产品采购政策</w:t>
      </w:r>
      <w:bookmarkEnd w:id="83"/>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（3）《节能产品政府采购品目清单》见财政部、发展改革委《关于印发节能产品政府采购品目清单的通知》（财库〔2019〕19号）附件。</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（4）《环境标志产品政府采购品目清单》见财政部、生态环境部《关于印发环境标志产品政府采购品目清单的通知》（财库〔2019〕18号）附件。</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（5）“国家确定的认证机构”名单见市场监管总局《关于发布参与实施政府采购节能产品、环境标志产品认证机构名录的公告》（2019年第16号）。</w:t>
      </w:r>
    </w:p>
    <w:p>
      <w:pPr>
        <w:pStyle w:val="96"/>
        <w:bidi w:val="0"/>
        <w:rPr>
          <w:rFonts w:hint="eastAsia"/>
          <w:sz w:val="24"/>
          <w:szCs w:val="24"/>
        </w:rPr>
      </w:pPr>
      <w:bookmarkStart w:id="84" w:name="_Toc19090"/>
      <w:r>
        <w:rPr>
          <w:rFonts w:hint="eastAsia"/>
          <w:sz w:val="24"/>
          <w:szCs w:val="24"/>
        </w:rPr>
        <w:t>3．陕西省中小企业政府采购信用融资办法</w:t>
      </w:r>
      <w:bookmarkEnd w:id="84"/>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spacing w:line="560" w:lineRule="exact"/>
        <w:ind w:firstLine="496" w:firstLineChars="200"/>
        <w:outlineLvl w:val="9"/>
        <w:rPr>
          <w:rFonts w:hint="eastAsia" w:ascii="宋体" w:hAnsi="宋体" w:eastAsia="宋体" w:cs="宋体"/>
          <w:sz w:val="24"/>
          <w:szCs w:val="24"/>
        </w:rPr>
      </w:pPr>
      <w:r>
        <w:rPr>
          <w:rFonts w:hint="eastAsia" w:ascii="宋体" w:hAnsi="宋体" w:eastAsia="宋体" w:cs="宋体"/>
          <w:sz w:val="24"/>
          <w:szCs w:val="24"/>
        </w:rPr>
        <w:t>链接地址：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"http://www.ccgp-shaanxi.gov.cn/zcdservice/zcd/shanxi/article/zcdt/1390497710741917696"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http://www.ccgp-shaanxi.gov.cn/zcdservice/zcd/shanxi/article/zcdt/1390497710741917696</w:t>
      </w:r>
      <w:r>
        <w:rPr>
          <w:rStyle w:val="42"/>
          <w:rFonts w:hint="eastAsia" w:ascii="宋体" w:hAnsi="宋体" w:eastAsia="宋体" w:cs="宋体"/>
          <w:color w:val="auto"/>
          <w:sz w:val="24"/>
          <w:szCs w:val="24"/>
          <w:u w:val="none"/>
        </w:rPr>
        <w:fldChar w:fldCharType="end"/>
      </w:r>
    </w:p>
    <w:p>
      <w:pPr>
        <w:bidi w:val="0"/>
        <w:rPr>
          <w:rFonts w:hint="eastAsia"/>
          <w:b/>
          <w:bCs/>
        </w:rPr>
      </w:pPr>
      <w:bookmarkStart w:id="85" w:name="_Toc9302"/>
      <w:bookmarkStart w:id="86" w:name="_Toc7060"/>
      <w:r>
        <w:rPr>
          <w:rFonts w:hint="eastAsia"/>
          <w:b/>
          <w:bCs/>
        </w:rPr>
        <w:t>（七）关于现场踏勘和集中答疑</w:t>
      </w:r>
      <w:bookmarkEnd w:id="85"/>
      <w:bookmarkEnd w:id="86"/>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采购人可以根据项目实际情况决定是否组织现场踏勘\标前集中答疑。投标邀请函中明确载明安排上述活动的，各供应商应派出技术、预算等相关人员，在招标文件约定的时间、地点参加现场踏勘\标前集中答疑。</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bidi w:val="0"/>
        <w:rPr>
          <w:rFonts w:hint="eastAsia"/>
        </w:rPr>
      </w:pPr>
      <w:r>
        <w:rPr>
          <w:rFonts w:hint="eastAsia" w:ascii="宋体" w:hAnsi="宋体" w:eastAsia="宋体" w:cs="宋体"/>
          <w:szCs w:val="24"/>
        </w:rPr>
        <w:t>凡未参加现场踏勘和集中答疑的供应商，由此带来的不利后果由该供应商自行承担。</w:t>
      </w:r>
    </w:p>
    <w:p>
      <w:pPr>
        <w:bidi w:val="0"/>
        <w:rPr>
          <w:rFonts w:hint="eastAsia"/>
          <w:b/>
          <w:bCs/>
        </w:rPr>
      </w:pPr>
      <w:bookmarkStart w:id="87" w:name="_Toc25219"/>
      <w:bookmarkStart w:id="88" w:name="_Toc23568"/>
      <w:r>
        <w:rPr>
          <w:rFonts w:hint="eastAsia"/>
          <w:b/>
          <w:bCs/>
        </w:rPr>
        <w:t>（八）关于同一品牌产品的处理</w:t>
      </w:r>
      <w:bookmarkEnd w:id="87"/>
      <w:bookmarkEnd w:id="88"/>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bidi w:val="0"/>
        <w:rPr>
          <w:rFonts w:hint="eastAsia"/>
          <w:b/>
          <w:bCs/>
        </w:rPr>
      </w:pPr>
      <w:bookmarkStart w:id="89" w:name="_Toc19800"/>
      <w:bookmarkStart w:id="90" w:name="_Toc15678"/>
      <w:r>
        <w:rPr>
          <w:rFonts w:hint="eastAsia"/>
          <w:b/>
          <w:bCs/>
        </w:rPr>
        <w:t>（九）关于知识产权和保密事项</w:t>
      </w:r>
      <w:bookmarkEnd w:id="89"/>
      <w:bookmarkEnd w:id="90"/>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1．所有涉及知识产权的产品及设计，供应商必须确保委托人、采购人拥有其合法的、不受限制的无偿使用权，并免受任何侵权诉讼或索偿；否则，由此产生的一切经济损失和法律责任由供应商承担。</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由采购人向供应商提供的用户需求书、图纸、样品、模型、模件和所有资料，供应商获得后，应对其保密。除非采购人同意，供应商不得向第三方透露或将其用于本次投标以外的任何用途。开标后，若采购人有要求，供应商人须归还采购人认为需保密的文件和资料，并销毁所有相应的备份文件及资料。</w:t>
      </w:r>
    </w:p>
    <w:p>
      <w:pPr>
        <w:bidi w:val="0"/>
        <w:rPr>
          <w:rFonts w:hint="eastAsia"/>
          <w:b/>
          <w:bCs/>
        </w:rPr>
      </w:pPr>
      <w:bookmarkStart w:id="91" w:name="_Toc17978"/>
      <w:bookmarkStart w:id="92" w:name="_Toc4091"/>
      <w:r>
        <w:rPr>
          <w:rFonts w:hint="eastAsia"/>
          <w:b/>
          <w:bCs/>
        </w:rPr>
        <w:t>（十）关于信用记录的查询和使用</w:t>
      </w:r>
      <w:bookmarkEnd w:id="91"/>
      <w:bookmarkEnd w:id="92"/>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1．根据财政部《关于在政府采购活动中查询及使用信用记录有关问题的通知》（财库〔2016〕125号）第二条有关要求，采购人将在资格审查阶段通过【信用中国】（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"https://www.creditchina.gov.cn"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https://www.creditchina.gov.cn</w:t>
      </w:r>
      <w:r>
        <w:rPr>
          <w:rStyle w:val="42"/>
          <w:rFonts w:hint="eastAsia" w:ascii="宋体" w:hAnsi="宋体" w:eastAsia="宋体" w:cs="宋体"/>
          <w:color w:val="auto"/>
          <w:sz w:val="24"/>
          <w:szCs w:val="24"/>
          <w:u w:val="none"/>
        </w:rPr>
        <w:fldChar w:fldCharType="end"/>
      </w:r>
      <w:r>
        <w:rPr>
          <w:rFonts w:hint="eastAsia" w:ascii="宋体" w:hAnsi="宋体" w:eastAsia="宋体" w:cs="宋体"/>
          <w:sz w:val="24"/>
          <w:szCs w:val="24"/>
        </w:rPr>
        <w:t>/）和【中国政府采购网】（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http://www.ccgp.gov.cn/）</w:t>
      </w:r>
      <w:r>
        <w:rPr>
          <w:rStyle w:val="42"/>
          <w:rFonts w:hint="eastAsia" w:ascii="宋体" w:hAnsi="宋体" w:eastAsia="宋体" w:cs="宋体"/>
          <w:color w:val="auto"/>
          <w:sz w:val="24"/>
          <w:szCs w:val="24"/>
          <w:u w:val="none"/>
        </w:rPr>
        <w:fldChar w:fldCharType="end"/>
      </w:r>
      <w:r>
        <w:rPr>
          <w:rFonts w:hint="eastAsia" w:ascii="宋体" w:hAnsi="宋体" w:eastAsia="宋体" w:cs="宋体"/>
          <w:sz w:val="24"/>
          <w:szCs w:val="24"/>
        </w:rPr>
        <w:t>对供应商的信用情况进行甄别。</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2．对列入失信被执行人、重大税收违法案件当事人名单、政府采购严重违法失信行为记录名单及其他不符合《中华人民共和国政府采购法》第二十二条规定条件的供应商，将拒绝其参与政府采购活动。</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3．供应商在参加政府采购活动前3年内因违法经营被禁止在一定期限内参加政府采购活动，期限届满的，可以参加政府采购活动的，但供应商应提供相关证明材料。</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4．信用记录查询结果打印后，将与其他采购文件一并保存。</w:t>
      </w:r>
    </w:p>
    <w:p>
      <w:pPr>
        <w:bidi w:val="0"/>
        <w:rPr>
          <w:rFonts w:hint="eastAsia"/>
          <w:b/>
          <w:bCs/>
        </w:rPr>
      </w:pPr>
      <w:bookmarkStart w:id="93" w:name="_Toc14479"/>
      <w:bookmarkStart w:id="94" w:name="_Toc5362"/>
      <w:r>
        <w:rPr>
          <w:rFonts w:hint="eastAsia"/>
          <w:b/>
          <w:bCs/>
        </w:rPr>
        <w:t>（十一）其他重要事项</w:t>
      </w:r>
      <w:bookmarkEnd w:id="93"/>
      <w:bookmarkEnd w:id="94"/>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1．招标文件内所附网络链接仅供参考，不保证其长期有效性。</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2．供应商的投标费用自理。</w:t>
      </w:r>
    </w:p>
    <w:p>
      <w:pPr>
        <w:pStyle w:val="5"/>
        <w:ind w:left="0" w:leftChars="0" w:firstLine="0" w:firstLineChars="0"/>
        <w:outlineLvl w:val="1"/>
        <w:rPr>
          <w:rFonts w:hint="eastAsia" w:ascii="宋体" w:hAnsi="宋体" w:eastAsia="宋体" w:cs="宋体"/>
          <w:b/>
          <w:bCs/>
          <w:sz w:val="24"/>
          <w:szCs w:val="24"/>
        </w:rPr>
      </w:pPr>
      <w:bookmarkStart w:id="95" w:name="_Toc16928"/>
      <w:bookmarkStart w:id="96" w:name="_Toc25953"/>
      <w:bookmarkStart w:id="97" w:name="_Toc4497"/>
      <w:bookmarkStart w:id="98" w:name="_Toc21708"/>
      <w:r>
        <w:rPr>
          <w:rFonts w:hint="eastAsia" w:ascii="宋体" w:hAnsi="宋体" w:eastAsia="宋体" w:cs="宋体"/>
          <w:b/>
          <w:bCs/>
          <w:sz w:val="24"/>
          <w:szCs w:val="24"/>
        </w:rPr>
        <w:t>三、招标文件</w:t>
      </w:r>
      <w:bookmarkEnd w:id="95"/>
      <w:bookmarkEnd w:id="96"/>
      <w:bookmarkEnd w:id="97"/>
      <w:bookmarkEnd w:id="98"/>
    </w:p>
    <w:p>
      <w:pPr>
        <w:bidi w:val="0"/>
        <w:rPr>
          <w:rFonts w:hint="eastAsia"/>
          <w:b/>
          <w:bCs/>
        </w:rPr>
      </w:pPr>
      <w:bookmarkStart w:id="99" w:name="_Toc23274"/>
      <w:bookmarkStart w:id="100" w:name="_Toc25024"/>
      <w:r>
        <w:rPr>
          <w:rFonts w:hint="eastAsia"/>
          <w:b/>
          <w:bCs/>
        </w:rPr>
        <w:t>（一）招标文件的解释权</w:t>
      </w:r>
      <w:bookmarkEnd w:id="99"/>
      <w:bookmarkEnd w:id="100"/>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本项目招标文件的解释权归采购代理机构，评标委员会成员应根据政府采购法律法规和招标文件所载明的评审方法、标准进行评审。</w:t>
      </w:r>
    </w:p>
    <w:p>
      <w:pPr>
        <w:bidi w:val="0"/>
        <w:rPr>
          <w:rFonts w:hint="eastAsia"/>
          <w:b/>
          <w:bCs/>
        </w:rPr>
      </w:pPr>
      <w:bookmarkStart w:id="101" w:name="_Toc30024"/>
      <w:bookmarkStart w:id="102" w:name="_Toc9537"/>
      <w:r>
        <w:rPr>
          <w:rFonts w:hint="eastAsia"/>
          <w:b/>
          <w:bCs/>
        </w:rPr>
        <w:t>（二）招标文件主要内容</w:t>
      </w:r>
      <w:bookmarkEnd w:id="101"/>
      <w:bookmarkEnd w:id="102"/>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第1章  投标邀请函</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第2章  供应商须知</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第3章  招标内容及要求</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第4章  合同文本</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第5章  投标文件构成及格式</w:t>
      </w:r>
    </w:p>
    <w:p>
      <w:pPr>
        <w:bidi w:val="0"/>
        <w:rPr>
          <w:rFonts w:hint="eastAsia"/>
          <w:b/>
          <w:bCs/>
        </w:rPr>
      </w:pPr>
      <w:bookmarkStart w:id="103" w:name="_Toc11649"/>
      <w:bookmarkStart w:id="104" w:name="_Toc26313"/>
      <w:r>
        <w:rPr>
          <w:rFonts w:hint="eastAsia"/>
          <w:b/>
          <w:bCs/>
        </w:rPr>
        <w:t>（三）招标文件的检查及阅读</w:t>
      </w:r>
      <w:bookmarkEnd w:id="103"/>
      <w:bookmarkEnd w:id="104"/>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供应商应认真阅读和充分理解招标文件中所有的事项、格式条款和规范要求，在投标文件中对招标文件做出全面响应，并按招标文件的要求提交全部资料。</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项目废标后重新组织招标的，采购代理机构将重新编制、发布新版招标文件，供应商应按新版招标文件重新编制投标文件。原招标文件及投标文件失效。</w:t>
      </w:r>
    </w:p>
    <w:p>
      <w:pPr>
        <w:bidi w:val="0"/>
        <w:rPr>
          <w:rFonts w:hint="eastAsia"/>
          <w:b/>
          <w:bCs/>
        </w:rPr>
      </w:pPr>
      <w:bookmarkStart w:id="105" w:name="_Toc4007"/>
      <w:bookmarkStart w:id="106" w:name="_Toc5096"/>
      <w:r>
        <w:rPr>
          <w:rFonts w:hint="eastAsia"/>
          <w:b/>
          <w:bCs/>
        </w:rPr>
        <w:t>（四）招标文件的修改、澄清</w:t>
      </w:r>
      <w:bookmarkEnd w:id="105"/>
      <w:bookmarkEnd w:id="106"/>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1．提交投标文件截止之日前，采购人或采购代理机构可能对已发出的招标文件进行澄清或者修改，澄清或者修改的内容为招标文件的组成部分。</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2．当需要澄清或修改时，采购代理机构将在提交投标文件截止之日15日前，在财政部门指定的“政府采购信息发布媒体”上发布变更公告；不足15日的，将顺延提交投标文件截止时间。</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4．请各供应商在提交投标文件截止时间之前，务必随时关注“政府采购信息发布媒体”上发布的变更公告，采购代理机构不再另行通知，因供应商未及时关注所造成的一切后果由供应商自行承担：</w:t>
      </w:r>
    </w:p>
    <w:p>
      <w:pPr>
        <w:spacing w:line="560" w:lineRule="exact"/>
        <w:ind w:firstLine="496" w:firstLineChars="200"/>
        <w:jc w:val="left"/>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陕西省政府采购网</w:t>
      </w:r>
      <w:r>
        <w:rPr>
          <w:rStyle w:val="42"/>
          <w:rFonts w:hint="eastAsia" w:ascii="宋体" w:hAnsi="宋体" w:eastAsia="宋体" w:cs="宋体"/>
          <w:color w:val="auto"/>
          <w:sz w:val="24"/>
          <w:szCs w:val="24"/>
          <w:u w:val="none"/>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http://www.ccgp-shaanxi.gov.cn/</w:t>
      </w:r>
      <w:r>
        <w:rPr>
          <w:rStyle w:val="42"/>
          <w:rFonts w:hint="eastAsia" w:ascii="宋体" w:hAnsi="宋体" w:eastAsia="宋体" w:cs="宋体"/>
          <w:color w:val="auto"/>
          <w:sz w:val="24"/>
          <w:szCs w:val="24"/>
          <w:u w:val="none"/>
        </w:rPr>
        <w:fldChar w:fldCharType="end"/>
      </w:r>
      <w:r>
        <w:rPr>
          <w:rFonts w:hint="eastAsia" w:ascii="宋体" w:hAnsi="宋体" w:eastAsia="宋体" w:cs="宋体"/>
          <w:sz w:val="24"/>
          <w:szCs w:val="24"/>
        </w:rPr>
        <w:t>）中的〖首页·〉信息公告·〉市级·〉西安市〗；</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"http://xa.sxggzyjy.cn/"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全国公共资源交易网（陕西省·西安市）</w:t>
      </w:r>
      <w:r>
        <w:rPr>
          <w:rStyle w:val="42"/>
          <w:rFonts w:hint="eastAsia" w:ascii="宋体" w:hAnsi="宋体" w:eastAsia="宋体" w:cs="宋体"/>
          <w:color w:val="auto"/>
          <w:sz w:val="24"/>
          <w:szCs w:val="24"/>
          <w:u w:val="none"/>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"http://sxggzyjy.xa.gov.cn/"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http://sxggzyjy.xa.gov.cn/</w:t>
      </w:r>
      <w:r>
        <w:rPr>
          <w:rStyle w:val="42"/>
          <w:rFonts w:hint="eastAsia" w:ascii="宋体" w:hAnsi="宋体" w:eastAsia="宋体" w:cs="宋体"/>
          <w:color w:val="auto"/>
          <w:sz w:val="24"/>
          <w:szCs w:val="24"/>
          <w:u w:val="none"/>
        </w:rPr>
        <w:fldChar w:fldCharType="end"/>
      </w:r>
      <w:r>
        <w:rPr>
          <w:rFonts w:hint="eastAsia" w:ascii="宋体" w:hAnsi="宋体" w:eastAsia="宋体" w:cs="宋体"/>
          <w:sz w:val="24"/>
          <w:szCs w:val="24"/>
        </w:rPr>
        <w:t>）中的〖首页·〉交易大厅·〉政府采购〗。</w:t>
      </w:r>
    </w:p>
    <w:p>
      <w:pPr>
        <w:pStyle w:val="5"/>
        <w:ind w:left="0" w:leftChars="0" w:firstLine="0" w:firstLineChars="0"/>
        <w:outlineLvl w:val="1"/>
        <w:rPr>
          <w:rFonts w:hint="eastAsia" w:ascii="宋体" w:hAnsi="宋体" w:eastAsia="宋体" w:cs="宋体"/>
          <w:b/>
          <w:bCs/>
          <w:sz w:val="24"/>
          <w:szCs w:val="24"/>
        </w:rPr>
      </w:pPr>
      <w:bookmarkStart w:id="107" w:name="_Toc24306"/>
      <w:bookmarkStart w:id="108" w:name="_Toc29088"/>
      <w:bookmarkStart w:id="109" w:name="_Toc30502"/>
      <w:bookmarkStart w:id="110" w:name="_Toc19295"/>
      <w:r>
        <w:rPr>
          <w:rFonts w:hint="eastAsia" w:ascii="宋体" w:hAnsi="宋体" w:eastAsia="宋体" w:cs="宋体"/>
          <w:b/>
          <w:bCs/>
          <w:sz w:val="24"/>
          <w:szCs w:val="24"/>
        </w:rPr>
        <w:t>四、投标文件</w:t>
      </w:r>
      <w:bookmarkEnd w:id="107"/>
      <w:bookmarkEnd w:id="108"/>
      <w:bookmarkEnd w:id="109"/>
      <w:bookmarkEnd w:id="110"/>
    </w:p>
    <w:p>
      <w:pPr>
        <w:bidi w:val="0"/>
        <w:rPr>
          <w:rFonts w:hint="eastAsia"/>
          <w:b/>
          <w:bCs/>
        </w:rPr>
      </w:pPr>
      <w:bookmarkStart w:id="111" w:name="_Toc19870"/>
      <w:bookmarkStart w:id="112" w:name="_Toc7311"/>
      <w:r>
        <w:rPr>
          <w:rFonts w:hint="eastAsia"/>
          <w:b/>
          <w:bCs/>
        </w:rPr>
        <w:t>（一）投标文件的式样</w:t>
      </w:r>
      <w:bookmarkEnd w:id="111"/>
      <w:bookmarkEnd w:id="112"/>
    </w:p>
    <w:p>
      <w:pPr>
        <w:pStyle w:val="96"/>
        <w:bidi w:val="0"/>
        <w:ind w:left="0" w:leftChars="0" w:firstLine="0" w:firstLineChars="0"/>
        <w:rPr>
          <w:rFonts w:hint="eastAsia"/>
          <w:sz w:val="24"/>
          <w:szCs w:val="24"/>
        </w:rPr>
      </w:pPr>
      <w:bookmarkStart w:id="113" w:name="_Toc23111"/>
      <w:r>
        <w:rPr>
          <w:rFonts w:hint="eastAsia"/>
          <w:sz w:val="24"/>
          <w:szCs w:val="24"/>
        </w:rPr>
        <w:t>1．组成及格式</w:t>
      </w:r>
      <w:bookmarkEnd w:id="113"/>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供应商依照招标文件第五章《投标文件构成及格式》给定形式进行编制投标文件。</w:t>
      </w:r>
    </w:p>
    <w:p>
      <w:pPr>
        <w:pStyle w:val="96"/>
        <w:bidi w:val="0"/>
        <w:ind w:left="0" w:leftChars="0" w:firstLine="0" w:firstLineChars="0"/>
        <w:rPr>
          <w:rFonts w:hint="eastAsia"/>
          <w:sz w:val="24"/>
          <w:szCs w:val="24"/>
        </w:rPr>
      </w:pPr>
      <w:bookmarkStart w:id="114" w:name="_Toc4658"/>
      <w:r>
        <w:rPr>
          <w:rFonts w:hint="eastAsia"/>
          <w:sz w:val="24"/>
          <w:szCs w:val="24"/>
        </w:rPr>
        <w:t>2．语言</w:t>
      </w:r>
      <w:bookmarkEnd w:id="114"/>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招标活动的所有文件、资料、函电文字均使用简体中文，确需提交用其他语言形成的资料，必须翻译成简体中文，如有差异，以简体中文为准。</w:t>
      </w:r>
    </w:p>
    <w:p>
      <w:pPr>
        <w:pStyle w:val="96"/>
        <w:bidi w:val="0"/>
        <w:ind w:left="0" w:leftChars="0" w:firstLine="0" w:firstLineChars="0"/>
        <w:rPr>
          <w:rFonts w:hint="eastAsia"/>
          <w:sz w:val="24"/>
          <w:szCs w:val="24"/>
        </w:rPr>
      </w:pPr>
      <w:bookmarkStart w:id="115" w:name="_Toc3436"/>
      <w:r>
        <w:rPr>
          <w:rFonts w:hint="eastAsia"/>
          <w:sz w:val="24"/>
          <w:szCs w:val="24"/>
        </w:rPr>
        <w:t>3．计量单位</w:t>
      </w:r>
      <w:bookmarkEnd w:id="115"/>
    </w:p>
    <w:p>
      <w:pPr>
        <w:bidi w:val="0"/>
        <w:spacing w:line="360" w:lineRule="auto"/>
        <w:rPr>
          <w:rFonts w:hint="eastAsia"/>
        </w:rPr>
      </w:pPr>
      <w:r>
        <w:rPr>
          <w:rFonts w:hint="eastAsia" w:ascii="宋体" w:hAnsi="宋体" w:eastAsia="宋体" w:cs="宋体"/>
          <w:szCs w:val="24"/>
        </w:rPr>
        <w:t>投标文件的计量单位应使用中华人民共和国法定计量单位，但招标文件</w:t>
      </w:r>
      <w:r>
        <w:rPr>
          <w:rFonts w:hint="eastAsia"/>
        </w:rPr>
        <w:t>另有规定的除外。</w:t>
      </w:r>
    </w:p>
    <w:p>
      <w:pPr>
        <w:bidi w:val="0"/>
        <w:rPr>
          <w:rFonts w:hint="eastAsia"/>
          <w:b/>
          <w:bCs/>
        </w:rPr>
      </w:pPr>
      <w:bookmarkStart w:id="116" w:name="_Toc15553"/>
      <w:bookmarkStart w:id="117" w:name="_Toc31535"/>
      <w:r>
        <w:rPr>
          <w:rFonts w:hint="eastAsia"/>
          <w:b/>
          <w:bCs/>
        </w:rPr>
        <w:t>（二）投标文件的有效期</w:t>
      </w:r>
      <w:bookmarkEnd w:id="116"/>
      <w:bookmarkEnd w:id="117"/>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投标文件有效期为自开标之日起不少于90个日历日。如中标，延长至合同执行完毕时止。</w:t>
      </w:r>
    </w:p>
    <w:p>
      <w:pPr>
        <w:bidi w:val="0"/>
        <w:rPr>
          <w:rFonts w:hint="eastAsia"/>
          <w:b/>
          <w:bCs/>
        </w:rPr>
      </w:pPr>
      <w:bookmarkStart w:id="118" w:name="_Toc2843"/>
      <w:bookmarkStart w:id="119" w:name="_Toc28137"/>
      <w:r>
        <w:rPr>
          <w:rFonts w:hint="eastAsia"/>
          <w:b/>
          <w:bCs/>
        </w:rPr>
        <w:t>（三）投标报价</w:t>
      </w:r>
      <w:bookmarkEnd w:id="118"/>
      <w:bookmarkEnd w:id="119"/>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投标报价是供应商响应采购项目要求的全部工作内容的价格体现，包括完成采购内容所需的直接费、间接费、利润、税金及其它相关的一切费用。</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1．供应商在报价时应充分考虑所有可能发生的费用，招标文件未列明，而供应商认为应当计取的费用均应列入报价中。报价时不论是否计取，采购人均按已计取对待。</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2．供应商应严格按照《投标文件构成及格式》第二部分《开标一览表》中的相关要求填写分类报价及其他需要响应的内容。投标报价只能提交唯一报价，任何有选择的报价将不予接受，按无效投标处理。</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3．投标报价货币：人民币；单位：元。</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4．投标文件报价出现前后不一致的，除招标文件另有规定外，按照下列规则修正：</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（1）投标文件中开标一览表内容与投标文件中其他位置相应内容表述不一致的，以开标一览表为准；</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（3）单价金额小数点或者百分比有明显错位的，以开标一览表的总价为准，并修改单价；</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同时出现两种以上不一致的，按照前款规定的顺序修正。修正后的报价经供应商确认后产生约束力，供应商不确认的，其投标无效。</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5．因供应商对招标文件理解不透、误解、疏漏或对市场行情了解不清造成的后果和风险，均由供应商自己负责。</w:t>
      </w:r>
    </w:p>
    <w:p>
      <w:pPr>
        <w:bidi w:val="0"/>
        <w:rPr>
          <w:rFonts w:hint="eastAsia"/>
          <w:b/>
          <w:bCs/>
        </w:rPr>
      </w:pPr>
      <w:bookmarkStart w:id="120" w:name="_Toc16740"/>
      <w:bookmarkStart w:id="121" w:name="_Toc30313"/>
      <w:r>
        <w:rPr>
          <w:rFonts w:hint="eastAsia"/>
          <w:b/>
          <w:bCs/>
        </w:rPr>
        <w:t>（四）投标文件的制作和签章</w:t>
      </w:r>
      <w:bookmarkEnd w:id="120"/>
      <w:bookmarkEnd w:id="121"/>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链接地址：</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"http://sxggzyjy.xa.gov.cn/fwzn/004003/20181115/4d59c184-e8f6-4d5a-a416-c2f6b0601e66.html" </w:instrText>
      </w:r>
      <w:r>
        <w:rPr>
          <w:rFonts w:hint="eastAsia" w:ascii="宋体" w:hAnsi="宋体" w:eastAsia="宋体" w:cs="宋体"/>
          <w:sz w:val="24"/>
          <w:szCs w:val="24"/>
        </w:rPr>
        <w:fldChar w:fldCharType="separate"/>
      </w:r>
      <w:r>
        <w:rPr>
          <w:rStyle w:val="42"/>
          <w:rFonts w:hint="eastAsia" w:ascii="宋体" w:hAnsi="宋体" w:eastAsia="宋体" w:cs="宋体"/>
          <w:sz w:val="24"/>
          <w:szCs w:val="24"/>
        </w:rPr>
        <w:t>http://sxggzyjy.xa.gov.cn/fwzn/004003/20181115/4d59c184-e8f6-4d5a-a416-c2f6b0601e66.html</w:t>
      </w:r>
      <w:r>
        <w:rPr>
          <w:rStyle w:val="42"/>
          <w:rFonts w:hint="eastAsia" w:ascii="宋体" w:hAnsi="宋体" w:eastAsia="宋体" w:cs="宋体"/>
          <w:sz w:val="24"/>
          <w:szCs w:val="24"/>
        </w:rPr>
        <w:fldChar w:fldCharType="end"/>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3．电子投标文件制作过程中，需要法定代表人签字或盖章的地方，请使用“法人CA锁”进行签章；需要加盖供应商公章的地方，请使用“企业CA锁”进行签章。</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若导出的PDF文件里看不到签章，请尝试使用专用制作软件中的“查看投标文件工具”打开未加密的电子投标文件重新导出。在制作过程中，如有其他技术性问题，请先翻阅操作手册，或致电软件开发商。</w:t>
      </w:r>
    </w:p>
    <w:p>
      <w:pPr>
        <w:bidi w:val="0"/>
        <w:rPr>
          <w:rFonts w:hint="eastAsia"/>
          <w:b/>
          <w:bCs/>
        </w:rPr>
      </w:pPr>
      <w:bookmarkStart w:id="122" w:name="_Toc28688"/>
      <w:bookmarkStart w:id="123" w:name="_Toc15534"/>
      <w:r>
        <w:rPr>
          <w:rFonts w:hint="eastAsia"/>
          <w:b/>
          <w:bCs/>
        </w:rPr>
        <w:t>（五）投标文件的加密和提交</w:t>
      </w:r>
      <w:bookmarkEnd w:id="122"/>
      <w:bookmarkEnd w:id="123"/>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1．在生成电子投标文件时，需要使用CA锁对投标文件进行加密。</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注意：加密投标文件和开标时解密投标文件应当使用同一CA，否则将会导致解密失败。</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3．上传文件有误或需要重新提交的，可先撤销已经上传的文件，然后重新上传新文件。</w:t>
      </w:r>
    </w:p>
    <w:p>
      <w:pPr>
        <w:bidi w:val="0"/>
        <w:rPr>
          <w:rFonts w:hint="eastAsia"/>
          <w:b/>
          <w:bCs/>
          <w:i w:val="0"/>
          <w:iCs w:val="0"/>
        </w:rPr>
      </w:pPr>
      <w:bookmarkStart w:id="124" w:name="_Toc28545"/>
      <w:bookmarkStart w:id="125" w:name="_Toc9314"/>
      <w:r>
        <w:rPr>
          <w:rFonts w:hint="eastAsia"/>
          <w:b/>
          <w:bCs/>
          <w:i w:val="0"/>
          <w:iCs w:val="0"/>
        </w:rPr>
        <w:t>（六）投标文件的补充、修改和撤回</w:t>
      </w:r>
      <w:bookmarkEnd w:id="124"/>
      <w:bookmarkEnd w:id="125"/>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2．供应商在提交投标文件截止时间后，撤回投标文件的，投标保证金不予退还。</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bidi w:val="0"/>
        <w:rPr>
          <w:rFonts w:hint="eastAsia"/>
          <w:b/>
          <w:bCs/>
        </w:rPr>
      </w:pPr>
      <w:bookmarkStart w:id="126" w:name="_Toc26520"/>
      <w:bookmarkStart w:id="127" w:name="_Toc5968"/>
      <w:r>
        <w:rPr>
          <w:rFonts w:hint="eastAsia"/>
          <w:b/>
          <w:bCs/>
        </w:rPr>
        <w:t>（七）关于投标文件的雷同性分析</w:t>
      </w:r>
      <w:bookmarkEnd w:id="126"/>
      <w:bookmarkEnd w:id="127"/>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若“文件创建标识码”一致，则表示不同投标供应商使用投标文件制作软件时，使用同一源工程文件，该情形建议由评标委员会结合项目情况综合判定。</w:t>
      </w:r>
    </w:p>
    <w:p>
      <w:pPr>
        <w:bidi w:val="0"/>
        <w:rPr>
          <w:rFonts w:hint="eastAsia"/>
          <w:b/>
          <w:bCs/>
        </w:rPr>
      </w:pPr>
      <w:bookmarkStart w:id="128" w:name="_Toc11132"/>
      <w:bookmarkStart w:id="129" w:name="_Toc23009"/>
      <w:r>
        <w:rPr>
          <w:rFonts w:hint="eastAsia"/>
          <w:b/>
          <w:bCs/>
        </w:rPr>
        <w:t>（八）投标文件被拒绝接收的情形</w:t>
      </w:r>
      <w:bookmarkEnd w:id="128"/>
      <w:bookmarkEnd w:id="129"/>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1．误投的或采用旧版电子招标文件制作的；</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2．逾期提交电子投标文件的。</w:t>
      </w:r>
    </w:p>
    <w:p>
      <w:pPr>
        <w:pStyle w:val="5"/>
        <w:ind w:left="0" w:leftChars="0" w:firstLine="0" w:firstLineChars="0"/>
        <w:outlineLvl w:val="1"/>
        <w:rPr>
          <w:rFonts w:hint="eastAsia" w:ascii="宋体" w:hAnsi="宋体" w:eastAsia="宋体" w:cs="宋体"/>
          <w:sz w:val="24"/>
          <w:szCs w:val="24"/>
        </w:rPr>
      </w:pPr>
      <w:bookmarkStart w:id="130" w:name="_Toc26597"/>
      <w:bookmarkStart w:id="131" w:name="_Toc31224"/>
      <w:bookmarkStart w:id="132" w:name="_Toc29702"/>
      <w:bookmarkStart w:id="133" w:name="_Toc273"/>
      <w:r>
        <w:rPr>
          <w:rFonts w:hint="eastAsia" w:ascii="宋体" w:hAnsi="宋体" w:eastAsia="宋体" w:cs="宋体"/>
          <w:sz w:val="24"/>
          <w:szCs w:val="24"/>
        </w:rPr>
        <w:t>五、开标程序</w:t>
      </w:r>
      <w:bookmarkEnd w:id="130"/>
      <w:bookmarkEnd w:id="131"/>
      <w:bookmarkEnd w:id="132"/>
      <w:bookmarkEnd w:id="133"/>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开标工作由采购代理机构组织实施，整个过程受同级政府采购监管机构的监督、管理。</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“不见面开标”是依托政府采购云平台实现的供应商在线参与开标的一种组织形式。供应商无需抵达开标现场，即可在线实现开标、解密、澄清等操作。</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1．供应商登录：开标前，请各供应商至少提前半小时登录西安市公共资源交易平台〖首页·〉不见面开标〗系统。</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2．主持人宣布开标：提交投标文件截止时间过后，系统将不再接收任何投标文件。</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4．唱标：对于公开招标项目，“不见面开标”系统将自动展示供应商名单及其投标报价。</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5．开标结束：进入评审环节。供应商请保持在线，评审期间评标委员会可能会要求供应商做相应的澄清。因供应商擅自离席造成的不利后果，由供应商自行承担。</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“不见面开标”系统操作说明：详见西安市公共资源交易平台〖首页·〉服务指南·〉下载专区〗中的《西安公共资源交易不见面开标大厅供应商操作手册》。</w:t>
      </w:r>
    </w:p>
    <w:p>
      <w:pPr>
        <w:spacing w:line="560" w:lineRule="exact"/>
        <w:ind w:firstLine="496" w:firstLineChars="200"/>
        <w:outlineLvl w:val="9"/>
        <w:rPr>
          <w:rFonts w:hint="eastAsia" w:ascii="宋体" w:hAnsi="宋体" w:eastAsia="宋体" w:cs="宋体"/>
          <w:sz w:val="24"/>
          <w:szCs w:val="24"/>
        </w:rPr>
      </w:pPr>
      <w:r>
        <w:rPr>
          <w:rFonts w:hint="eastAsia" w:ascii="宋体" w:hAnsi="宋体" w:eastAsia="宋体" w:cs="宋体"/>
          <w:sz w:val="24"/>
          <w:szCs w:val="24"/>
        </w:rPr>
        <w:t>链接地址：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"http://sxggzyjy.xa.gov.cn/fwzn/004003/20200426/bc8b2c1e-abe2-4168-913c-68ff93345faf.html"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http://sxggzyjy.xa.gov.cn/fwzn/004003/20200426/bc8b2c1e-abe2-4168-913c-68ff93345faf.html</w:t>
      </w:r>
      <w:r>
        <w:rPr>
          <w:rStyle w:val="42"/>
          <w:rFonts w:hint="eastAsia" w:ascii="宋体" w:hAnsi="宋体" w:eastAsia="宋体" w:cs="宋体"/>
          <w:color w:val="auto"/>
          <w:sz w:val="24"/>
          <w:szCs w:val="24"/>
          <w:u w:val="none"/>
        </w:rPr>
        <w:fldChar w:fldCharType="end"/>
      </w:r>
    </w:p>
    <w:p>
      <w:pPr>
        <w:bidi w:val="0"/>
        <w:rPr>
          <w:rFonts w:hint="eastAsia"/>
          <w:b/>
          <w:bCs/>
        </w:rPr>
      </w:pPr>
      <w:bookmarkStart w:id="134" w:name="_Toc15581"/>
      <w:bookmarkStart w:id="135" w:name="_Toc29909"/>
      <w:r>
        <w:rPr>
          <w:rFonts w:hint="eastAsia"/>
          <w:b/>
          <w:bCs/>
        </w:rPr>
        <w:t>（</w:t>
      </w:r>
      <w:r>
        <w:rPr>
          <w:rFonts w:hint="eastAsia"/>
          <w:b/>
          <w:bCs/>
          <w:lang w:eastAsia="zh-CN"/>
        </w:rPr>
        <w:t>一</w:t>
      </w:r>
      <w:r>
        <w:rPr>
          <w:rFonts w:hint="eastAsia"/>
          <w:b/>
          <w:bCs/>
        </w:rPr>
        <w:t>）开标环节投标文件视为无效的情形</w:t>
      </w:r>
      <w:bookmarkEnd w:id="134"/>
      <w:bookmarkEnd w:id="135"/>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1．供应商放弃或拒绝对电子投标文件进行解密的；</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2．因供应商自身原因，导致未在规定的解密时限内完整解密的，如忘带CA锁、或携带的CA锁与加密文件的CA锁不同、或使用旧版招标文件编制投标文件等情形；</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3．上传的电子投标文件无法正常打开的；</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4．政府采购法律法规规定的其他无效情形。</w:t>
      </w:r>
    </w:p>
    <w:p>
      <w:pPr>
        <w:bidi w:val="0"/>
        <w:rPr>
          <w:rFonts w:hint="eastAsia"/>
          <w:b/>
          <w:bCs/>
        </w:rPr>
      </w:pPr>
      <w:bookmarkStart w:id="136" w:name="_Toc29446"/>
      <w:bookmarkStart w:id="137" w:name="_Toc4756"/>
      <w:r>
        <w:rPr>
          <w:rFonts w:hint="eastAsia"/>
          <w:b/>
          <w:bCs/>
        </w:rPr>
        <w:t>（</w:t>
      </w:r>
      <w:r>
        <w:rPr>
          <w:rFonts w:hint="eastAsia"/>
          <w:b/>
          <w:bCs/>
          <w:lang w:eastAsia="zh-CN"/>
        </w:rPr>
        <w:t>二</w:t>
      </w:r>
      <w:r>
        <w:rPr>
          <w:rFonts w:hint="eastAsia"/>
          <w:b/>
          <w:bCs/>
        </w:rPr>
        <w:t>）突发状况的应急处置</w:t>
      </w:r>
      <w:bookmarkEnd w:id="136"/>
      <w:bookmarkEnd w:id="137"/>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在开评标过程中，如因停电、断网、电子化系统故障等特殊原因导致电子化开、评标工作无法正常进行时，采购代理机构将及时汇报政府采购监管部门，并等待或中止后续活动。</w:t>
      </w:r>
    </w:p>
    <w:p>
      <w:pPr>
        <w:pStyle w:val="5"/>
        <w:ind w:left="0" w:leftChars="0" w:firstLine="0" w:firstLineChars="0"/>
        <w:outlineLvl w:val="1"/>
        <w:rPr>
          <w:rFonts w:hint="eastAsia" w:ascii="宋体" w:hAnsi="宋体" w:eastAsia="宋体" w:cs="宋体"/>
          <w:b/>
          <w:bCs/>
          <w:sz w:val="24"/>
          <w:szCs w:val="24"/>
        </w:rPr>
      </w:pPr>
      <w:bookmarkStart w:id="138" w:name="_Toc27529"/>
      <w:bookmarkStart w:id="139" w:name="_Toc30821"/>
      <w:bookmarkStart w:id="140" w:name="_Toc18368"/>
      <w:bookmarkStart w:id="141" w:name="_Toc4551"/>
      <w:r>
        <w:rPr>
          <w:rFonts w:hint="eastAsia" w:ascii="宋体" w:hAnsi="宋体" w:eastAsia="宋体" w:cs="宋体"/>
          <w:b/>
          <w:bCs/>
          <w:sz w:val="24"/>
          <w:szCs w:val="24"/>
        </w:rPr>
        <w:t>六、资格审查</w:t>
      </w:r>
      <w:bookmarkEnd w:id="138"/>
      <w:bookmarkEnd w:id="139"/>
      <w:bookmarkEnd w:id="140"/>
      <w:bookmarkEnd w:id="141"/>
    </w:p>
    <w:p>
      <w:pPr>
        <w:spacing w:line="560" w:lineRule="exact"/>
        <w:ind w:firstLine="496"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开标结束后，依据法律法规和招标文件的规定，对投标文件中的资格证明文件等进行审查，以确保供应商是否具备相应资格。</w:t>
      </w:r>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供应商提供的资格证明文件缺少任何一项或有任何一项不满足，都将被视为无效投标。供应商所提供的资格证明文件应图文清晰、易于辨识，否则由此带来的不利后果由供应商自行承担。</w:t>
      </w:r>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合格供应商不足3家的，不得评标。</w:t>
      </w:r>
    </w:p>
    <w:p>
      <w:pPr>
        <w:rPr>
          <w:rFonts w:hint="eastAsia" w:ascii="宋体" w:hAnsi="宋体" w:eastAsia="宋体" w:cs="宋体"/>
          <w:sz w:val="32"/>
          <w:szCs w:val="32"/>
        </w:rPr>
      </w:pPr>
      <w:r>
        <w:rPr>
          <w:rFonts w:hint="eastAsia" w:ascii="宋体" w:hAnsi="宋体" w:eastAsia="宋体" w:cs="宋体"/>
          <w:sz w:val="32"/>
          <w:szCs w:val="32"/>
        </w:rPr>
        <w:br w:type="page"/>
      </w:r>
    </w:p>
    <w:p>
      <w:pPr>
        <w:bidi w:val="0"/>
        <w:rPr>
          <w:rFonts w:hint="eastAsia"/>
        </w:rPr>
      </w:pPr>
      <w:bookmarkStart w:id="142" w:name="_Toc21234"/>
      <w:bookmarkStart w:id="143" w:name="_Toc10865"/>
      <w:r>
        <w:rPr>
          <w:rFonts w:hint="eastAsia"/>
        </w:rPr>
        <w:t>〖资格性审查表〗</w:t>
      </w:r>
      <w:bookmarkEnd w:id="142"/>
      <w:bookmarkEnd w:id="143"/>
    </w:p>
    <w:tbl>
      <w:tblPr>
        <w:tblStyle w:val="31"/>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56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336"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资格项</w:t>
            </w:r>
          </w:p>
        </w:tc>
        <w:tc>
          <w:tcPr>
            <w:tcW w:w="5696"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一</w:t>
            </w:r>
          </w:p>
        </w:tc>
        <w:tc>
          <w:tcPr>
            <w:tcW w:w="8032" w:type="dxa"/>
            <w:gridSpan w:val="2"/>
            <w:tcBorders>
              <w:top w:val="single" w:color="auto" w:sz="2"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3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有效的主体资格证明</w:t>
            </w:r>
          </w:p>
        </w:tc>
        <w:tc>
          <w:tcPr>
            <w:tcW w:w="5696" w:type="dxa"/>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rPr>
              <w:t>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33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社会保障资金缴纳证明</w:t>
            </w:r>
          </w:p>
        </w:tc>
        <w:tc>
          <w:tcPr>
            <w:tcW w:w="5696" w:type="dxa"/>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供应商提供本单位</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月至今已缴纳的至少一个月的社会保障资金缴存单据或社保机构开具的社会保险参保缴费情况证明，单据或证明上应有社保机构或代收机构的公章。依法不需要缴纳社会保障资金的供应商应提供相关文件证明</w:t>
            </w:r>
            <w:r>
              <w:rPr>
                <w:rFonts w:hint="eastAsia" w:ascii="宋体" w:hAnsi="宋体" w:eastAsia="宋体" w:cs="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33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税收缴纳证明</w:t>
            </w:r>
          </w:p>
        </w:tc>
        <w:tc>
          <w:tcPr>
            <w:tcW w:w="5696" w:type="dxa"/>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供应商提供本单位</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月至今已缴纳的至少一个月纳税证明或完税证明，依法免税的单位应提供相关证明材料</w:t>
            </w:r>
            <w:r>
              <w:rPr>
                <w:rFonts w:hint="eastAsia" w:ascii="宋体" w:hAnsi="宋体" w:eastAsia="宋体" w:cs="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33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财务状况证明</w:t>
            </w:r>
          </w:p>
        </w:tc>
        <w:tc>
          <w:tcPr>
            <w:tcW w:w="5696" w:type="dxa"/>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rPr>
              <w:t>提供</w:t>
            </w:r>
            <w:r>
              <w:rPr>
                <w:rFonts w:hint="eastAsia" w:ascii="宋体" w:hAnsi="宋体" w:eastAsia="宋体" w:cs="宋体"/>
                <w:sz w:val="24"/>
                <w:szCs w:val="24"/>
                <w:lang w:eastAsia="zh-CN"/>
              </w:rPr>
              <w:t>本单位</w:t>
            </w:r>
            <w:r>
              <w:rPr>
                <w:rFonts w:hint="eastAsia" w:ascii="宋体" w:hAnsi="宋体" w:eastAsia="宋体" w:cs="宋体"/>
                <w:sz w:val="24"/>
                <w:szCs w:val="24"/>
              </w:rPr>
              <w:t>经会计师事务所审计的20</w:t>
            </w:r>
            <w:r>
              <w:rPr>
                <w:rFonts w:hint="eastAsia" w:ascii="宋体" w:hAnsi="宋体" w:eastAsia="宋体" w:cs="宋体"/>
                <w:sz w:val="24"/>
                <w:szCs w:val="24"/>
                <w:lang w:val="en-US" w:eastAsia="zh-CN"/>
              </w:rPr>
              <w:t>20</w:t>
            </w:r>
            <w:r>
              <w:rPr>
                <w:rFonts w:hint="eastAsia" w:ascii="宋体" w:hAnsi="宋体" w:eastAsia="宋体" w:cs="宋体"/>
                <w:sz w:val="24"/>
                <w:szCs w:val="24"/>
              </w:rPr>
              <w:t>年或202</w:t>
            </w:r>
            <w:r>
              <w:rPr>
                <w:rFonts w:hint="eastAsia" w:ascii="宋体" w:hAnsi="宋体" w:eastAsia="宋体" w:cs="宋体"/>
                <w:sz w:val="24"/>
                <w:szCs w:val="24"/>
                <w:lang w:val="en-US" w:eastAsia="zh-CN"/>
              </w:rPr>
              <w:t>1</w:t>
            </w:r>
            <w:r>
              <w:rPr>
                <w:rFonts w:hint="eastAsia" w:ascii="宋体" w:hAnsi="宋体" w:eastAsia="宋体" w:cs="宋体"/>
                <w:sz w:val="24"/>
                <w:szCs w:val="24"/>
              </w:rPr>
              <w:t>年任意一年的财务审计报告或在开标日期前六个月内其基本开户银行出具的资信证明</w:t>
            </w:r>
            <w:r>
              <w:rPr>
                <w:rFonts w:hint="eastAsia" w:ascii="宋体" w:hAnsi="宋体" w:eastAsia="宋体" w:cs="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33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无重大违法记录声明</w:t>
            </w:r>
          </w:p>
        </w:tc>
        <w:tc>
          <w:tcPr>
            <w:tcW w:w="5696"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供应商应出具参加本次政府采购活动前3年内在经营活动中没有重大违法违纪，以及未被列入失信被执行人、重大税收违法案件当事人名单、政府采购严重违法失信行为记录名单的书面声明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336"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所投进口产品进字号注册证</w:t>
            </w:r>
          </w:p>
        </w:tc>
        <w:tc>
          <w:tcPr>
            <w:tcW w:w="5696" w:type="dxa"/>
            <w:vAlign w:val="center"/>
          </w:tcPr>
          <w:p>
            <w:pPr>
              <w:jc w:val="both"/>
              <w:rPr>
                <w:rFonts w:hint="eastAsia" w:ascii="宋体" w:hAnsi="宋体" w:eastAsia="宋体" w:cs="宋体"/>
                <w:sz w:val="24"/>
                <w:szCs w:val="24"/>
              </w:rPr>
            </w:pPr>
            <w:r>
              <w:rPr>
                <w:rFonts w:hint="eastAsia" w:ascii="宋体" w:hAnsi="宋体" w:eastAsia="宋体" w:cs="宋体"/>
                <w:sz w:val="24"/>
                <w:szCs w:val="24"/>
                <w:highlight w:val="none"/>
                <w:lang w:val="en-US" w:eastAsia="zh-CN" w:bidi="ar-SA"/>
              </w:rPr>
              <w:t>所投产品为进口产品还须提供产品制造厂商针对该产品完整授权链的授权书。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33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代理商</w:t>
            </w:r>
            <w:r>
              <w:rPr>
                <w:rFonts w:hint="eastAsia" w:ascii="宋体" w:hAnsi="宋体" w:eastAsia="宋体" w:cs="宋体"/>
                <w:sz w:val="24"/>
                <w:szCs w:val="24"/>
                <w:lang w:val="en-US" w:eastAsia="zh-CN"/>
              </w:rPr>
              <w:t>/制造厂商资质证书</w:t>
            </w:r>
          </w:p>
        </w:tc>
        <w:tc>
          <w:tcPr>
            <w:tcW w:w="5696" w:type="dxa"/>
            <w:vAlign w:val="center"/>
          </w:tcPr>
          <w:p>
            <w:pPr>
              <w:jc w:val="both"/>
              <w:rPr>
                <w:rFonts w:hint="eastAsia" w:ascii="宋体" w:hAnsi="宋体" w:eastAsia="宋体" w:cs="宋体"/>
                <w:sz w:val="24"/>
                <w:szCs w:val="24"/>
              </w:rPr>
            </w:pPr>
            <w:r>
              <w:rPr>
                <w:rFonts w:hint="eastAsia" w:ascii="宋体" w:hAnsi="宋体" w:eastAsia="宋体" w:cs="宋体"/>
                <w:sz w:val="24"/>
                <w:szCs w:val="24"/>
                <w:highlight w:val="none"/>
                <w:lang w:val="en-US" w:eastAsia="zh-CN" w:bidi="ar-SA"/>
              </w:rPr>
              <w:t>投标人为代理商的应提供《医疗器械经营许可证》或《医疗器械经营备案凭证》；投标人为制造厂商的应提供《医疗器械经营许可证》和《医疗器械生产许可证》或《医疗器械生产备案凭证》。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1" w:hRule="atLeast"/>
          <w:jc w:val="center"/>
        </w:trPr>
        <w:tc>
          <w:tcPr>
            <w:tcW w:w="83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33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法定代表人委托授权书</w:t>
            </w:r>
            <w:r>
              <w:rPr>
                <w:rFonts w:hint="eastAsia" w:ascii="宋体" w:hAnsi="宋体" w:eastAsia="宋体" w:cs="宋体"/>
                <w:sz w:val="24"/>
                <w:szCs w:val="24"/>
                <w:lang w:eastAsia="zh-CN"/>
              </w:rPr>
              <w:t>或</w:t>
            </w:r>
            <w:r>
              <w:rPr>
                <w:rFonts w:hint="eastAsia" w:ascii="宋体" w:hAnsi="宋体" w:eastAsia="宋体" w:cs="宋体"/>
                <w:sz w:val="24"/>
                <w:szCs w:val="24"/>
              </w:rPr>
              <w:t>身份证明</w:t>
            </w:r>
          </w:p>
        </w:tc>
        <w:tc>
          <w:tcPr>
            <w:tcW w:w="5696" w:type="dxa"/>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rPr>
              <w:t>非法定代表人参加投标，须提供法定代表人授权委托书及被授权人身份证；法定代表人参加投标时,只须提供法定代表人身份证</w:t>
            </w:r>
            <w:r>
              <w:rPr>
                <w:rFonts w:hint="eastAsia" w:ascii="宋体" w:hAnsi="宋体" w:eastAsia="宋体" w:cs="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1" w:hRule="atLeast"/>
          <w:jc w:val="center"/>
        </w:trPr>
        <w:tc>
          <w:tcPr>
            <w:tcW w:w="83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33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声明函</w:t>
            </w:r>
          </w:p>
        </w:tc>
        <w:tc>
          <w:tcPr>
            <w:tcW w:w="5696" w:type="dxa"/>
            <w:vAlign w:val="center"/>
          </w:tcPr>
          <w:p>
            <w:pPr>
              <w:jc w:val="both"/>
              <w:rPr>
                <w:rFonts w:hint="eastAsia" w:ascii="宋体" w:hAnsi="宋体" w:eastAsia="宋体" w:cs="宋体"/>
                <w:sz w:val="24"/>
                <w:szCs w:val="24"/>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第一标段投标人须提供符合《人类白细胞抗原(HLA)基因分型检测体系技术要求核查指南(试行)》要求的书面声明函。</w:t>
            </w:r>
          </w:p>
        </w:tc>
      </w:tr>
    </w:tbl>
    <w:p>
      <w:pPr>
        <w:outlineLvl w:val="9"/>
        <w:rPr>
          <w:rFonts w:hint="eastAsia" w:ascii="宋体" w:hAnsi="宋体" w:eastAsia="宋体" w:cs="宋体"/>
          <w:sz w:val="24"/>
          <w:szCs w:val="24"/>
        </w:rPr>
      </w:pPr>
    </w:p>
    <w:p>
      <w:pPr>
        <w:pStyle w:val="5"/>
        <w:outlineLvl w:val="1"/>
        <w:rPr>
          <w:rFonts w:hint="eastAsia" w:ascii="宋体" w:hAnsi="宋体" w:eastAsia="宋体" w:cs="宋体"/>
          <w:b/>
          <w:bCs/>
          <w:sz w:val="28"/>
          <w:szCs w:val="28"/>
        </w:rPr>
      </w:pPr>
      <w:bookmarkStart w:id="144" w:name="_Toc11754"/>
      <w:bookmarkStart w:id="145" w:name="_Toc12113"/>
      <w:bookmarkStart w:id="146" w:name="_Toc6881"/>
      <w:bookmarkStart w:id="147" w:name="_Toc21823"/>
      <w:r>
        <w:rPr>
          <w:rFonts w:hint="eastAsia" w:ascii="宋体" w:hAnsi="宋体" w:eastAsia="宋体" w:cs="宋体"/>
          <w:b/>
          <w:bCs/>
          <w:sz w:val="28"/>
          <w:szCs w:val="28"/>
        </w:rPr>
        <w:t>七、评审方法和程序</w:t>
      </w:r>
      <w:bookmarkEnd w:id="144"/>
      <w:bookmarkEnd w:id="145"/>
      <w:bookmarkEnd w:id="146"/>
      <w:bookmarkEnd w:id="147"/>
    </w:p>
    <w:p>
      <w:pPr>
        <w:bidi w:val="0"/>
        <w:ind w:firstLine="496" w:firstLineChars="200"/>
        <w:rPr>
          <w:rFonts w:hint="eastAsia"/>
          <w:b/>
          <w:bCs/>
        </w:rPr>
      </w:pPr>
      <w:bookmarkStart w:id="148" w:name="_Toc14369"/>
      <w:bookmarkStart w:id="149" w:name="_Toc27411"/>
      <w:r>
        <w:rPr>
          <w:rFonts w:hint="eastAsia"/>
          <w:b/>
          <w:bCs/>
        </w:rPr>
        <w:t>（一）评标方法</w:t>
      </w:r>
      <w:bookmarkEnd w:id="148"/>
      <w:bookmarkEnd w:id="149"/>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本项目采用综合评分法，即投标文件满足招标文件全部实质性要求，且按照评审因素的量化指标评审得分最高的供应商为中标候选人。</w:t>
      </w:r>
    </w:p>
    <w:p>
      <w:pPr>
        <w:bidi w:val="0"/>
        <w:ind w:firstLine="496" w:firstLineChars="200"/>
        <w:jc w:val="left"/>
        <w:rPr>
          <w:rFonts w:hint="eastAsia"/>
          <w:b/>
          <w:bCs/>
        </w:rPr>
      </w:pPr>
      <w:bookmarkStart w:id="150" w:name="_Toc15322"/>
      <w:bookmarkStart w:id="151" w:name="_Toc27417"/>
      <w:r>
        <w:rPr>
          <w:rFonts w:hint="eastAsia"/>
          <w:b/>
          <w:bCs/>
        </w:rPr>
        <w:t>（二）评标程序</w:t>
      </w:r>
      <w:bookmarkEnd w:id="150"/>
      <w:bookmarkEnd w:id="151"/>
    </w:p>
    <w:p>
      <w:pPr>
        <w:pStyle w:val="96"/>
        <w:bidi w:val="0"/>
        <w:rPr>
          <w:rFonts w:hint="eastAsia"/>
          <w:sz w:val="24"/>
          <w:szCs w:val="24"/>
        </w:rPr>
      </w:pPr>
      <w:bookmarkStart w:id="152" w:name="_Toc19236"/>
      <w:r>
        <w:rPr>
          <w:rFonts w:hint="eastAsia"/>
          <w:sz w:val="24"/>
          <w:szCs w:val="24"/>
        </w:rPr>
        <w:t>1．组建评标委员会</w:t>
      </w:r>
      <w:bookmarkEnd w:id="152"/>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由采购代理机构组织评标委员会推选评标组长，采购人代表不得担任组长。</w:t>
      </w:r>
    </w:p>
    <w:p>
      <w:pPr>
        <w:pStyle w:val="96"/>
        <w:bidi w:val="0"/>
        <w:rPr>
          <w:rFonts w:hint="eastAsia"/>
          <w:sz w:val="24"/>
          <w:szCs w:val="24"/>
        </w:rPr>
      </w:pPr>
      <w:bookmarkStart w:id="153" w:name="_Toc1683"/>
      <w:r>
        <w:rPr>
          <w:rFonts w:hint="eastAsia"/>
          <w:sz w:val="24"/>
          <w:szCs w:val="24"/>
        </w:rPr>
        <w:t>2．投标文件的符合性审查</w:t>
      </w:r>
      <w:bookmarkEnd w:id="153"/>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供应商资格性审查通过后，评标委员会对符合资格的投标人的投标文件进行符合性审查，以确定其是否满足招标文件的实质性要求。</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对于投标文件中含义不明确、同类问题表述不一致或者有明显文字和计算错误的内容，评标委员会应当以书面形式要求投标人作出必要的澄清、说明或者补正。</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560" w:lineRule="exact"/>
        <w:jc w:val="both"/>
        <w:outlineLvl w:val="9"/>
        <w:rPr>
          <w:rFonts w:hint="eastAsia" w:ascii="宋体" w:hAnsi="宋体" w:eastAsia="宋体" w:cs="宋体"/>
          <w:sz w:val="24"/>
          <w:szCs w:val="24"/>
        </w:rPr>
      </w:pPr>
      <w:r>
        <w:rPr>
          <w:rFonts w:hint="eastAsia" w:ascii="宋体" w:hAnsi="宋体" w:eastAsia="宋体" w:cs="宋体"/>
          <w:sz w:val="24"/>
          <w:szCs w:val="24"/>
        </w:rPr>
        <w:t>〖符合性审查表〗</w:t>
      </w:r>
    </w:p>
    <w:tbl>
      <w:tblPr>
        <w:tblStyle w:val="31"/>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spacing w:line="560" w:lineRule="exact"/>
              <w:jc w:val="center"/>
              <w:outlineLvl w:val="9"/>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392" w:type="dxa"/>
            <w:tcBorders>
              <w:top w:val="single" w:color="auto" w:sz="12" w:space="0"/>
              <w:bottom w:val="single" w:color="auto" w:sz="2" w:space="0"/>
            </w:tcBorders>
            <w:shd w:val="clear" w:color="auto" w:fill="F1F1F1" w:themeFill="background1" w:themeFillShade="F2"/>
            <w:vAlign w:val="center"/>
          </w:tcPr>
          <w:p>
            <w:pPr>
              <w:spacing w:line="560" w:lineRule="exact"/>
              <w:jc w:val="center"/>
              <w:outlineLvl w:val="9"/>
              <w:rPr>
                <w:rFonts w:hint="eastAsia" w:ascii="宋体" w:hAnsi="宋体" w:eastAsia="宋体" w:cs="宋体"/>
                <w:b/>
                <w:bCs/>
                <w:sz w:val="24"/>
                <w:szCs w:val="24"/>
              </w:rPr>
            </w:pPr>
            <w:r>
              <w:rPr>
                <w:rFonts w:hint="eastAsia" w:ascii="宋体" w:hAnsi="宋体" w:eastAsia="宋体" w:cs="宋体"/>
                <w:b/>
                <w:bCs/>
                <w:sz w:val="24"/>
                <w:szCs w:val="24"/>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pPr>
              <w:spacing w:line="560" w:lineRule="exact"/>
              <w:jc w:val="center"/>
              <w:outlineLvl w:val="9"/>
              <w:rPr>
                <w:rFonts w:hint="eastAsia" w:ascii="宋体" w:hAnsi="宋体" w:eastAsia="宋体" w:cs="宋体"/>
                <w:b/>
                <w:bCs/>
                <w:sz w:val="24"/>
                <w:szCs w:val="24"/>
              </w:rPr>
            </w:pPr>
            <w:r>
              <w:rPr>
                <w:rFonts w:hint="eastAsia" w:ascii="宋体" w:hAnsi="宋体" w:eastAsia="宋体" w:cs="宋体"/>
                <w:b/>
                <w:bCs/>
                <w:sz w:val="24"/>
                <w:szCs w:val="24"/>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spacing w:line="560" w:lineRule="exact"/>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92" w:type="dxa"/>
            <w:tcBorders>
              <w:top w:val="single" w:color="auto" w:sz="2" w:space="0"/>
            </w:tcBorders>
            <w:vAlign w:val="center"/>
          </w:tcPr>
          <w:p>
            <w:pPr>
              <w:jc w:val="both"/>
              <w:outlineLvl w:val="9"/>
              <w:rPr>
                <w:rFonts w:hint="eastAsia" w:ascii="宋体" w:hAnsi="宋体" w:eastAsia="宋体" w:cs="宋体"/>
                <w:sz w:val="24"/>
                <w:szCs w:val="24"/>
                <w:lang w:val="en-US" w:eastAsia="zh-CN" w:bidi="ar-SA"/>
              </w:rPr>
            </w:pPr>
            <w:r>
              <w:rPr>
                <w:rFonts w:hint="eastAsia" w:ascii="宋体" w:hAnsi="宋体" w:eastAsia="宋体" w:cs="宋体"/>
                <w:sz w:val="24"/>
                <w:szCs w:val="24"/>
              </w:rPr>
              <w:t>投标人名称是否与营业执照、资质证书一致</w:t>
            </w:r>
          </w:p>
        </w:tc>
        <w:tc>
          <w:tcPr>
            <w:tcW w:w="5498" w:type="dxa"/>
            <w:tcBorders>
              <w:top w:val="single" w:color="auto" w:sz="2" w:space="0"/>
            </w:tcBorders>
            <w:vAlign w:val="center"/>
          </w:tcPr>
          <w:p>
            <w:pPr>
              <w:jc w:val="both"/>
              <w:outlineLvl w:val="9"/>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lang w:eastAsia="zh-CN"/>
              </w:rPr>
              <w:t>与</w:t>
            </w:r>
            <w:r>
              <w:rPr>
                <w:rFonts w:hint="eastAsia" w:ascii="宋体" w:hAnsi="宋体" w:eastAsia="宋体" w:cs="宋体"/>
                <w:sz w:val="24"/>
                <w:szCs w:val="24"/>
              </w:rPr>
              <w:t>营业执照、资质证书一致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392" w:type="dxa"/>
            <w:vAlign w:val="center"/>
          </w:tcPr>
          <w:p>
            <w:pPr>
              <w:spacing w:line="560" w:lineRule="exact"/>
              <w:jc w:val="center"/>
              <w:outlineLvl w:val="9"/>
              <w:rPr>
                <w:rFonts w:hint="eastAsia" w:ascii="宋体" w:hAnsi="宋体" w:eastAsia="宋体" w:cs="宋体"/>
                <w:sz w:val="24"/>
                <w:szCs w:val="24"/>
              </w:rPr>
            </w:pPr>
            <w:r>
              <w:rPr>
                <w:rFonts w:hint="eastAsia" w:ascii="宋体" w:hAnsi="宋体" w:eastAsia="宋体" w:cs="宋体"/>
                <w:sz w:val="24"/>
                <w:szCs w:val="24"/>
              </w:rPr>
              <w:t>投标报价是否超过预算或最高限价</w:t>
            </w:r>
          </w:p>
        </w:tc>
        <w:tc>
          <w:tcPr>
            <w:tcW w:w="5498" w:type="dxa"/>
            <w:vAlign w:val="center"/>
          </w:tcPr>
          <w:p>
            <w:pPr>
              <w:jc w:val="both"/>
              <w:outlineLvl w:val="9"/>
              <w:rPr>
                <w:rFonts w:hint="eastAsia" w:ascii="宋体" w:hAnsi="宋体" w:eastAsia="宋体" w:cs="宋体"/>
                <w:sz w:val="24"/>
                <w:szCs w:val="24"/>
              </w:rPr>
            </w:pPr>
            <w:r>
              <w:rPr>
                <w:rFonts w:hint="eastAsia" w:ascii="宋体" w:hAnsi="宋体" w:eastAsia="宋体" w:cs="宋体"/>
                <w:sz w:val="24"/>
                <w:szCs w:val="24"/>
              </w:rPr>
              <w:t>投标报价</w:t>
            </w:r>
            <w:r>
              <w:rPr>
                <w:rFonts w:hint="eastAsia" w:ascii="宋体" w:hAnsi="宋体" w:eastAsia="宋体" w:cs="宋体"/>
                <w:sz w:val="24"/>
                <w:szCs w:val="24"/>
                <w:lang w:eastAsia="zh-CN"/>
              </w:rPr>
              <w:t>未</w:t>
            </w:r>
            <w:r>
              <w:rPr>
                <w:rFonts w:hint="eastAsia" w:ascii="宋体" w:hAnsi="宋体" w:eastAsia="宋体" w:cs="宋体"/>
                <w:sz w:val="24"/>
                <w:szCs w:val="24"/>
              </w:rPr>
              <w:t>超过预算或最高限价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392" w:type="dxa"/>
            <w:vAlign w:val="center"/>
          </w:tcPr>
          <w:p>
            <w:pPr>
              <w:spacing w:line="560" w:lineRule="exact"/>
              <w:jc w:val="center"/>
              <w:outlineLvl w:val="9"/>
              <w:rPr>
                <w:rFonts w:hint="eastAsia" w:ascii="宋体" w:hAnsi="宋体" w:eastAsia="宋体" w:cs="宋体"/>
                <w:sz w:val="24"/>
                <w:szCs w:val="24"/>
              </w:rPr>
            </w:pPr>
            <w:r>
              <w:rPr>
                <w:rFonts w:hint="eastAsia" w:ascii="宋体" w:hAnsi="宋体" w:eastAsia="宋体" w:cs="宋体"/>
                <w:sz w:val="24"/>
                <w:szCs w:val="24"/>
                <w:lang w:eastAsia="zh-CN"/>
              </w:rPr>
              <w:t>供货期</w:t>
            </w:r>
            <w:r>
              <w:rPr>
                <w:rFonts w:hint="eastAsia" w:ascii="宋体" w:hAnsi="宋体" w:eastAsia="宋体" w:cs="宋体"/>
                <w:sz w:val="24"/>
                <w:szCs w:val="24"/>
              </w:rPr>
              <w:t>是否满足招标文件要求</w:t>
            </w:r>
          </w:p>
        </w:tc>
        <w:tc>
          <w:tcPr>
            <w:tcW w:w="5498" w:type="dxa"/>
            <w:vAlign w:val="center"/>
          </w:tcPr>
          <w:p>
            <w:pPr>
              <w:jc w:val="both"/>
              <w:outlineLvl w:val="9"/>
              <w:rPr>
                <w:rFonts w:hint="eastAsia" w:ascii="宋体" w:hAnsi="宋体" w:eastAsia="宋体" w:cs="宋体"/>
                <w:sz w:val="24"/>
                <w:szCs w:val="24"/>
              </w:rPr>
            </w:pPr>
            <w:r>
              <w:rPr>
                <w:rFonts w:hint="eastAsia" w:ascii="宋体" w:hAnsi="宋体" w:eastAsia="宋体" w:cs="宋体"/>
                <w:sz w:val="24"/>
                <w:szCs w:val="24"/>
                <w:lang w:eastAsia="zh-CN"/>
              </w:rPr>
              <w:t>供货期</w:t>
            </w:r>
            <w:r>
              <w:rPr>
                <w:rFonts w:hint="eastAsia" w:ascii="宋体" w:hAnsi="宋体" w:eastAsia="宋体" w:cs="宋体"/>
                <w:sz w:val="24"/>
                <w:szCs w:val="24"/>
              </w:rPr>
              <w:t>满足招标文件要求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392" w:type="dxa"/>
            <w:vAlign w:val="center"/>
          </w:tcPr>
          <w:p>
            <w:pPr>
              <w:spacing w:line="560" w:lineRule="exact"/>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交货</w:t>
            </w:r>
            <w:r>
              <w:rPr>
                <w:rFonts w:hint="eastAsia" w:ascii="宋体" w:hAnsi="宋体" w:eastAsia="宋体" w:cs="宋体"/>
                <w:sz w:val="24"/>
                <w:szCs w:val="24"/>
              </w:rPr>
              <w:t>期是否满足招标文件要求</w:t>
            </w:r>
          </w:p>
        </w:tc>
        <w:tc>
          <w:tcPr>
            <w:tcW w:w="5498" w:type="dxa"/>
            <w:vAlign w:val="center"/>
          </w:tcPr>
          <w:p>
            <w:pPr>
              <w:jc w:val="both"/>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交货</w:t>
            </w:r>
            <w:r>
              <w:rPr>
                <w:rFonts w:hint="eastAsia" w:ascii="宋体" w:hAnsi="宋体" w:eastAsia="宋体" w:cs="宋体"/>
                <w:sz w:val="24"/>
                <w:szCs w:val="24"/>
              </w:rPr>
              <w:t>期满足招标文件要求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392" w:type="dxa"/>
            <w:vAlign w:val="center"/>
          </w:tcPr>
          <w:p>
            <w:pPr>
              <w:spacing w:line="560" w:lineRule="exact"/>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产品有效期</w:t>
            </w:r>
            <w:r>
              <w:rPr>
                <w:rFonts w:hint="eastAsia" w:ascii="宋体" w:hAnsi="宋体" w:eastAsia="宋体" w:cs="宋体"/>
                <w:sz w:val="24"/>
                <w:szCs w:val="24"/>
              </w:rPr>
              <w:t>是否满足招标文件要求</w:t>
            </w:r>
          </w:p>
        </w:tc>
        <w:tc>
          <w:tcPr>
            <w:tcW w:w="5498" w:type="dxa"/>
            <w:vAlign w:val="center"/>
          </w:tcPr>
          <w:p>
            <w:pPr>
              <w:jc w:val="both"/>
              <w:outlineLvl w:val="9"/>
              <w:rPr>
                <w:rFonts w:hint="eastAsia" w:ascii="宋体" w:hAnsi="宋体" w:eastAsia="宋体" w:cs="宋体"/>
                <w:sz w:val="24"/>
                <w:szCs w:val="24"/>
              </w:rPr>
            </w:pPr>
            <w:r>
              <w:rPr>
                <w:rFonts w:hint="eastAsia" w:ascii="宋体" w:hAnsi="宋体" w:eastAsia="宋体" w:cs="宋体"/>
                <w:sz w:val="24"/>
                <w:szCs w:val="24"/>
                <w:lang w:val="en-US" w:eastAsia="zh-CN"/>
              </w:rPr>
              <w:t>产品有效期</w:t>
            </w:r>
            <w:r>
              <w:rPr>
                <w:rFonts w:hint="eastAsia" w:ascii="宋体" w:hAnsi="宋体" w:eastAsia="宋体" w:cs="宋体"/>
                <w:sz w:val="24"/>
                <w:szCs w:val="24"/>
              </w:rPr>
              <w:t>满足招标文件要求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outlineLvl w:val="9"/>
              <w:rPr>
                <w:rFonts w:hint="default" w:ascii="宋体" w:hAnsi="宋体" w:eastAsia="宋体" w:cs="宋体"/>
                <w:sz w:val="24"/>
                <w:szCs w:val="24"/>
                <w:lang w:val="en-US" w:eastAsia="zh-CN"/>
              </w:rPr>
            </w:pPr>
            <w:bookmarkStart w:id="154" w:name="_Toc11857"/>
            <w:r>
              <w:rPr>
                <w:rFonts w:hint="eastAsia" w:ascii="宋体" w:hAnsi="宋体" w:eastAsia="宋体" w:cs="宋体"/>
                <w:sz w:val="24"/>
                <w:szCs w:val="24"/>
                <w:lang w:val="en-US" w:eastAsia="zh-CN"/>
              </w:rPr>
              <w:t>6</w:t>
            </w:r>
          </w:p>
        </w:tc>
        <w:tc>
          <w:tcPr>
            <w:tcW w:w="2392" w:type="dxa"/>
            <w:vAlign w:val="center"/>
          </w:tcPr>
          <w:p>
            <w:pPr>
              <w:spacing w:line="560" w:lineRule="exact"/>
              <w:jc w:val="center"/>
              <w:outlineLvl w:val="9"/>
              <w:rPr>
                <w:rFonts w:hint="eastAsia" w:ascii="宋体" w:hAnsi="宋体" w:eastAsia="宋体" w:cs="宋体"/>
                <w:sz w:val="24"/>
                <w:szCs w:val="24"/>
              </w:rPr>
            </w:pPr>
            <w:r>
              <w:rPr>
                <w:rFonts w:hint="eastAsia" w:ascii="宋体" w:hAnsi="宋体" w:eastAsia="宋体" w:cs="宋体"/>
                <w:sz w:val="24"/>
                <w:szCs w:val="24"/>
                <w:lang w:val="en-US" w:eastAsia="zh-CN"/>
              </w:rPr>
              <w:t>签字盖章</w:t>
            </w:r>
            <w:r>
              <w:rPr>
                <w:rFonts w:hint="eastAsia" w:ascii="宋体" w:hAnsi="宋体" w:eastAsia="宋体" w:cs="宋体"/>
                <w:sz w:val="24"/>
                <w:szCs w:val="24"/>
              </w:rPr>
              <w:t>是否满足招标文件要求</w:t>
            </w:r>
          </w:p>
        </w:tc>
        <w:tc>
          <w:tcPr>
            <w:tcW w:w="5498" w:type="dxa"/>
            <w:vAlign w:val="center"/>
          </w:tcPr>
          <w:p>
            <w:pPr>
              <w:jc w:val="both"/>
              <w:outlineLvl w:val="9"/>
              <w:rPr>
                <w:rFonts w:hint="eastAsia" w:ascii="宋体" w:hAnsi="宋体" w:eastAsia="宋体" w:cs="宋体"/>
                <w:sz w:val="24"/>
                <w:szCs w:val="24"/>
              </w:rPr>
            </w:pPr>
            <w:r>
              <w:rPr>
                <w:rFonts w:hint="eastAsia" w:ascii="宋体" w:hAnsi="宋体" w:eastAsia="宋体" w:cs="宋体"/>
                <w:sz w:val="24"/>
                <w:szCs w:val="24"/>
                <w:lang w:val="en-US" w:eastAsia="zh-CN"/>
              </w:rPr>
              <w:t>签字盖章</w:t>
            </w:r>
            <w:r>
              <w:rPr>
                <w:rFonts w:hint="eastAsia" w:ascii="宋体" w:hAnsi="宋体" w:eastAsia="宋体" w:cs="宋体"/>
                <w:sz w:val="24"/>
                <w:szCs w:val="24"/>
              </w:rPr>
              <w:t>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392" w:type="dxa"/>
            <w:vAlign w:val="center"/>
          </w:tcPr>
          <w:p>
            <w:pPr>
              <w:spacing w:line="560" w:lineRule="exact"/>
              <w:jc w:val="center"/>
              <w:outlineLvl w:val="9"/>
              <w:rPr>
                <w:rFonts w:hint="eastAsia" w:ascii="宋体" w:hAnsi="宋体" w:eastAsia="宋体" w:cs="宋体"/>
                <w:sz w:val="24"/>
                <w:szCs w:val="24"/>
              </w:rPr>
            </w:pPr>
            <w:r>
              <w:rPr>
                <w:rFonts w:hint="eastAsia" w:ascii="宋体" w:hAnsi="宋体" w:eastAsia="宋体" w:cs="宋体"/>
                <w:sz w:val="24"/>
                <w:szCs w:val="24"/>
              </w:rPr>
              <w:t>投标文件有效期</w:t>
            </w:r>
          </w:p>
        </w:tc>
        <w:tc>
          <w:tcPr>
            <w:tcW w:w="5498" w:type="dxa"/>
            <w:vAlign w:val="center"/>
          </w:tcPr>
          <w:p>
            <w:pPr>
              <w:jc w:val="both"/>
              <w:outlineLvl w:val="9"/>
              <w:rPr>
                <w:rFonts w:hint="eastAsia" w:ascii="宋体" w:hAnsi="宋体" w:eastAsia="宋体" w:cs="宋体"/>
                <w:sz w:val="24"/>
                <w:szCs w:val="24"/>
              </w:rPr>
            </w:pPr>
            <w:r>
              <w:rPr>
                <w:rFonts w:hint="eastAsia" w:ascii="宋体" w:hAnsi="宋体" w:eastAsia="宋体" w:cs="宋体"/>
                <w:sz w:val="24"/>
                <w:szCs w:val="24"/>
              </w:rPr>
              <w:t>符合招标文件的要求</w:t>
            </w:r>
          </w:p>
        </w:tc>
      </w:tr>
    </w:tbl>
    <w:p>
      <w:pPr>
        <w:pStyle w:val="96"/>
        <w:bidi w:val="0"/>
        <w:rPr>
          <w:rFonts w:hint="eastAsia"/>
          <w:sz w:val="24"/>
          <w:szCs w:val="24"/>
        </w:rPr>
      </w:pPr>
      <w:r>
        <w:rPr>
          <w:rFonts w:hint="eastAsia"/>
          <w:sz w:val="24"/>
          <w:szCs w:val="24"/>
        </w:rPr>
        <w:t>3．综合比较与评价</w:t>
      </w:r>
      <w:bookmarkEnd w:id="154"/>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评标委员会按《评审要素及分值一览表》中规定的评标方法和标准，对通过符合性审查的投标文件进行商务和技术评估，综合比较与评价。</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出现下列情形的，供应商投标无效：</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（1）投标文件报价出现本章第五小节“投标报价”所列需要修正情形，但供应商对修正后的报价不予确认的；</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outlineLvl w:val="9"/>
        <w:rPr>
          <w:rFonts w:hint="eastAsia" w:ascii="宋体" w:hAnsi="宋体" w:eastAsia="宋体" w:cs="宋体"/>
          <w:sz w:val="24"/>
          <w:szCs w:val="24"/>
        </w:rPr>
      </w:pPr>
      <w:r>
        <w:rPr>
          <w:rFonts w:hint="eastAsia" w:ascii="宋体" w:hAnsi="宋体" w:eastAsia="宋体" w:cs="宋体"/>
          <w:sz w:val="24"/>
          <w:szCs w:val="24"/>
        </w:rPr>
        <w:br w:type="page"/>
      </w:r>
    </w:p>
    <w:p>
      <w:pPr>
        <w:bidi w:val="0"/>
        <w:ind w:left="1240" w:hanging="1240" w:hangingChars="500"/>
        <w:jc w:val="center"/>
        <w:rPr>
          <w:rFonts w:hint="eastAsia" w:eastAsiaTheme="minorEastAsia"/>
          <w:b/>
          <w:bCs/>
          <w:lang w:eastAsia="zh-CN"/>
        </w:rPr>
      </w:pPr>
      <w:bookmarkStart w:id="155" w:name="_Toc23000"/>
      <w:bookmarkStart w:id="156" w:name="_Toc14404"/>
      <w:r>
        <w:rPr>
          <w:rFonts w:hint="eastAsia"/>
          <w:b/>
          <w:bCs/>
        </w:rPr>
        <w:t>〖评审要素及分值一览表〗</w:t>
      </w:r>
      <w:bookmarkEnd w:id="155"/>
      <w:bookmarkEnd w:id="156"/>
    </w:p>
    <w:p>
      <w:pPr>
        <w:bidi w:val="0"/>
        <w:ind w:left="1240" w:hanging="1240" w:hangingChars="500"/>
        <w:jc w:val="center"/>
        <w:rPr>
          <w:rFonts w:hint="eastAsia" w:eastAsiaTheme="minorEastAsia"/>
          <w:b/>
          <w:bCs/>
          <w:lang w:eastAsia="zh-CN"/>
        </w:rPr>
      </w:pPr>
      <w:r>
        <w:rPr>
          <w:rFonts w:hint="eastAsia"/>
          <w:b/>
          <w:bCs/>
          <w:lang w:eastAsia="zh-CN"/>
        </w:rPr>
        <w:t>第</w:t>
      </w:r>
      <w:r>
        <w:rPr>
          <w:rFonts w:hint="eastAsia"/>
          <w:b/>
          <w:bCs/>
          <w:lang w:val="en-US" w:eastAsia="zh-CN"/>
        </w:rPr>
        <w:t>1</w:t>
      </w:r>
      <w:r>
        <w:rPr>
          <w:rFonts w:hint="eastAsia"/>
          <w:b/>
          <w:bCs/>
          <w:lang w:eastAsia="zh-CN"/>
        </w:rPr>
        <w:t>标段评审标准</w:t>
      </w:r>
    </w:p>
    <w:tbl>
      <w:tblPr>
        <w:tblStyle w:val="32"/>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245"/>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93" w:type="dxa"/>
            <w:noWrap w:val="0"/>
            <w:vAlign w:val="center"/>
          </w:tcPr>
          <w:p>
            <w:pPr>
              <w:spacing w:line="24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w:t>
            </w:r>
          </w:p>
          <w:p>
            <w:pPr>
              <w:spacing w:line="24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因素</w:t>
            </w:r>
          </w:p>
        </w:tc>
        <w:tc>
          <w:tcPr>
            <w:tcW w:w="1245" w:type="dxa"/>
            <w:noWrap w:val="0"/>
            <w:vAlign w:val="center"/>
          </w:tcPr>
          <w:p>
            <w:pPr>
              <w:spacing w:line="24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5927" w:type="dxa"/>
            <w:noWrap w:val="0"/>
            <w:vAlign w:val="center"/>
          </w:tcPr>
          <w:p>
            <w:pPr>
              <w:spacing w:line="24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3" w:type="dxa"/>
            <w:noWrap w:val="0"/>
            <w:vAlign w:val="center"/>
          </w:tcPr>
          <w:p>
            <w:pPr>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w:t>
            </w:r>
          </w:p>
          <w:p>
            <w:pPr>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30分</w:t>
            </w:r>
            <w:r>
              <w:rPr>
                <w:rFonts w:hint="eastAsia" w:ascii="宋体" w:hAnsi="宋体" w:eastAsia="宋体" w:cs="宋体"/>
                <w:color w:val="000000"/>
                <w:sz w:val="24"/>
                <w:szCs w:val="24"/>
                <w:highlight w:val="none"/>
                <w:lang w:eastAsia="zh-CN"/>
              </w:rPr>
              <w:t>）</w:t>
            </w:r>
          </w:p>
        </w:tc>
        <w:tc>
          <w:tcPr>
            <w:tcW w:w="1245" w:type="dxa"/>
            <w:noWrap w:val="0"/>
            <w:vAlign w:val="center"/>
          </w:tcPr>
          <w:p>
            <w:pPr>
              <w:jc w:val="center"/>
              <w:outlineLvl w:val="9"/>
              <w:rPr>
                <w:rFonts w:hint="eastAsia" w:ascii="宋体" w:hAnsi="宋体" w:eastAsia="宋体" w:cs="宋体"/>
                <w:b w:val="0"/>
                <w:bCs w:val="0"/>
                <w:sz w:val="24"/>
                <w:szCs w:val="24"/>
                <w:highlight w:val="none"/>
              </w:rPr>
            </w:pP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c>
          <w:tcPr>
            <w:tcW w:w="5927" w:type="dxa"/>
            <w:noWrap w:val="0"/>
            <w:vAlign w:val="center"/>
          </w:tcPr>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价格分采用低价优先法计算，即满足招标文件要求且投标价格最低的投标报价为评标基准价，其他供应商的价格分按照下列公式计算：</w:t>
            </w:r>
          </w:p>
          <w:p>
            <w:pPr>
              <w:outlineLvl w:val="9"/>
              <w:rPr>
                <w:rFonts w:hint="default" w:ascii="宋体" w:hAnsi="宋体" w:eastAsia="宋体" w:cs="宋体"/>
                <w:b w:val="0"/>
                <w:bCs w:val="0"/>
                <w:sz w:val="24"/>
                <w:szCs w:val="24"/>
                <w:highlight w:val="none"/>
                <w:lang w:val="en-US"/>
              </w:rPr>
            </w:pPr>
            <w:r>
              <w:rPr>
                <w:rFonts w:hint="eastAsia" w:ascii="宋体" w:hAnsi="宋体" w:eastAsia="宋体" w:cs="宋体"/>
                <w:color w:val="000000"/>
                <w:sz w:val="24"/>
                <w:szCs w:val="24"/>
                <w:highlight w:val="none"/>
                <w:lang w:val="en-US" w:eastAsia="zh-CN"/>
              </w:rPr>
              <w:t>价格分=（评标基准价/投标报价）×30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93" w:type="dxa"/>
            <w:vMerge w:val="restart"/>
            <w:noWrap w:val="0"/>
            <w:vAlign w:val="top"/>
          </w:tcPr>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技术</w:t>
            </w: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部分</w:t>
            </w: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color w:val="000000"/>
                <w:kern w:val="2"/>
                <w:sz w:val="24"/>
                <w:szCs w:val="24"/>
                <w:highlight w:val="none"/>
                <w:lang w:val="en-US" w:eastAsia="zh-CN" w:bidi="ar-SA"/>
              </w:rPr>
              <w:t>（50分）</w:t>
            </w:r>
          </w:p>
        </w:tc>
        <w:tc>
          <w:tcPr>
            <w:tcW w:w="1245" w:type="dxa"/>
            <w:noWrap w:val="0"/>
            <w:vAlign w:val="center"/>
          </w:tcPr>
          <w:p>
            <w:pPr>
              <w:jc w:val="center"/>
              <w:outlineLvl w:val="9"/>
              <w:rPr>
                <w:rFonts w:hint="eastAsia" w:ascii="宋体" w:hAnsi="宋体" w:eastAsia="宋体" w:cs="宋体"/>
                <w:sz w:val="24"/>
                <w:szCs w:val="24"/>
                <w:highlight w:val="none"/>
                <w:lang w:val="en-US" w:eastAsia="zh-CN"/>
              </w:rPr>
            </w:pPr>
            <w:r>
              <w:rPr>
                <w:rFonts w:hint="eastAsia" w:ascii="宋体" w:hAnsi="宋体" w:cs="宋体"/>
                <w:sz w:val="24"/>
                <w:szCs w:val="24"/>
                <w:lang w:eastAsia="zh-CN"/>
              </w:rPr>
              <w:t>产品技术参数</w:t>
            </w:r>
            <w:r>
              <w:rPr>
                <w:rFonts w:hint="eastAsia" w:ascii="宋体" w:hAnsi="宋体" w:eastAsia="宋体" w:cs="宋体"/>
                <w:sz w:val="24"/>
                <w:szCs w:val="24"/>
                <w:highlight w:val="none"/>
                <w:lang w:val="en-US" w:eastAsia="zh-CN"/>
              </w:rPr>
              <w:t>（35分）</w:t>
            </w:r>
          </w:p>
        </w:tc>
        <w:tc>
          <w:tcPr>
            <w:tcW w:w="5927" w:type="dxa"/>
            <w:noWrap w:val="0"/>
            <w:vAlign w:val="center"/>
          </w:tcPr>
          <w:p>
            <w:pPr>
              <w:rPr>
                <w:rFonts w:hint="eastAsia"/>
                <w:color w:val="auto"/>
                <w:sz w:val="24"/>
                <w:szCs w:val="24"/>
                <w:highlight w:val="none"/>
                <w:lang w:val="en-US" w:eastAsia="zh-CN"/>
              </w:rPr>
            </w:pPr>
            <w:r>
              <w:rPr>
                <w:rFonts w:hint="eastAsia"/>
                <w:color w:val="auto"/>
                <w:sz w:val="24"/>
                <w:szCs w:val="24"/>
                <w:highlight w:val="none"/>
                <w:lang w:val="en-US" w:eastAsia="zh-CN"/>
              </w:rPr>
              <w:t>投标产品技术参数清楚、明确，有相应齐全的技术资料，完全满足招标技术参数要求得35分；</w:t>
            </w:r>
            <w:r>
              <w:rPr>
                <w:rFonts w:hint="eastAsia"/>
                <w:color w:val="auto"/>
              </w:rPr>
              <w:t>带</w:t>
            </w:r>
            <w:r>
              <w:rPr>
                <w:rFonts w:hint="eastAsia"/>
                <w:color w:val="auto"/>
                <w:lang w:val="en-US" w:eastAsia="zh-CN"/>
              </w:rPr>
              <w:t>*</w:t>
            </w:r>
            <w:r>
              <w:rPr>
                <w:rFonts w:hint="eastAsia"/>
                <w:color w:val="auto"/>
              </w:rPr>
              <w:t>项参数负偏离一项扣</w:t>
            </w:r>
            <w:r>
              <w:rPr>
                <w:rFonts w:hint="eastAsia"/>
                <w:color w:val="auto"/>
                <w:lang w:val="en-US" w:eastAsia="zh-CN"/>
              </w:rPr>
              <w:t>5</w:t>
            </w:r>
            <w:r>
              <w:rPr>
                <w:rFonts w:hint="eastAsia"/>
                <w:color w:val="auto"/>
              </w:rPr>
              <w:t>分</w:t>
            </w:r>
            <w:r>
              <w:rPr>
                <w:rFonts w:hint="eastAsia"/>
                <w:color w:val="auto"/>
                <w:sz w:val="24"/>
                <w:szCs w:val="24"/>
                <w:highlight w:val="none"/>
                <w:lang w:val="en-US" w:eastAsia="zh-CN"/>
              </w:rPr>
              <w:t>；</w:t>
            </w:r>
            <w:r>
              <w:rPr>
                <w:rFonts w:hint="eastAsia"/>
                <w:color w:val="auto"/>
              </w:rPr>
              <w:t>一般参数负偏离一项扣</w:t>
            </w:r>
            <w:r>
              <w:rPr>
                <w:rFonts w:hint="eastAsia"/>
                <w:color w:val="auto"/>
                <w:lang w:val="en-US" w:eastAsia="zh-CN"/>
              </w:rPr>
              <w:t>2</w:t>
            </w:r>
            <w:r>
              <w:rPr>
                <w:rFonts w:hint="eastAsia"/>
                <w:color w:val="auto"/>
              </w:rPr>
              <w:t>分</w:t>
            </w:r>
            <w:r>
              <w:rPr>
                <w:rFonts w:hint="eastAsia"/>
                <w:color w:val="auto"/>
                <w:lang w:eastAsia="zh-CN"/>
              </w:rPr>
              <w:t>，</w:t>
            </w:r>
            <w:r>
              <w:rPr>
                <w:rFonts w:hint="eastAsia"/>
                <w:color w:val="auto"/>
                <w:sz w:val="24"/>
                <w:szCs w:val="24"/>
                <w:highlight w:val="none"/>
                <w:lang w:val="en-US" w:eastAsia="zh-CN"/>
              </w:rPr>
              <w:t>扣完为止。</w:t>
            </w:r>
          </w:p>
          <w:p>
            <w:pPr>
              <w:outlineLvl w:val="9"/>
              <w:rPr>
                <w:rFonts w:hint="eastAsia" w:ascii="宋体" w:hAnsi="宋体" w:eastAsia="宋体" w:cs="宋体"/>
                <w:sz w:val="24"/>
                <w:szCs w:val="24"/>
                <w:highlight w:val="none"/>
              </w:rPr>
            </w:pPr>
            <w:r>
              <w:rPr>
                <w:rFonts w:hint="eastAsia" w:ascii="宋体" w:hAnsi="宋体" w:cs="宋体"/>
                <w:color w:val="auto"/>
                <w:sz w:val="24"/>
                <w:szCs w:val="24"/>
                <w:lang w:val="en-US" w:eastAsia="zh-CN"/>
              </w:rPr>
              <w:t xml:space="preserve"> </w:t>
            </w:r>
            <w:r>
              <w:rPr>
                <w:rFonts w:hint="eastAsia" w:ascii="宋体" w:hAnsi="宋体" w:cs="宋体"/>
                <w:b/>
                <w:bCs/>
                <w:color w:val="auto"/>
                <w:sz w:val="24"/>
                <w:szCs w:val="24"/>
                <w:lang w:eastAsia="zh-CN"/>
              </w:rPr>
              <w:t>评审依据：</w:t>
            </w:r>
            <w:r>
              <w:rPr>
                <w:rFonts w:hint="eastAsia"/>
                <w:color w:val="auto"/>
                <w:sz w:val="24"/>
                <w:szCs w:val="24"/>
                <w:lang w:val="en-US" w:eastAsia="zh-CN"/>
              </w:rPr>
              <w:t>技术参数及性能指标</w:t>
            </w:r>
            <w:r>
              <w:rPr>
                <w:rFonts w:hint="eastAsia"/>
                <w:color w:val="auto"/>
                <w:sz w:val="24"/>
                <w:szCs w:val="24"/>
              </w:rPr>
              <w:t>清楚、明确，技</w:t>
            </w:r>
            <w:r>
              <w:rPr>
                <w:rFonts w:hint="eastAsia"/>
                <w:sz w:val="24"/>
                <w:szCs w:val="24"/>
              </w:rPr>
              <w:t>术资料齐全</w:t>
            </w:r>
            <w:r>
              <w:rPr>
                <w:rFonts w:hint="eastAsia"/>
                <w:sz w:val="24"/>
                <w:szCs w:val="24"/>
                <w:highlight w:val="none"/>
                <w:lang w:eastAsia="zh-CN"/>
              </w:rPr>
              <w:t>，</w:t>
            </w:r>
            <w:r>
              <w:rPr>
                <w:rFonts w:hint="eastAsia" w:ascii="宋体" w:hAnsi="宋体" w:cs="宋体"/>
                <w:b w:val="0"/>
                <w:bCs w:val="0"/>
                <w:sz w:val="24"/>
                <w:szCs w:val="24"/>
                <w:lang w:eastAsia="zh-CN"/>
              </w:rPr>
              <w:t>供应商</w:t>
            </w:r>
            <w:r>
              <w:rPr>
                <w:rFonts w:hint="eastAsia" w:ascii="宋体" w:hAnsi="宋体" w:cs="宋体"/>
                <w:b w:val="0"/>
                <w:bCs w:val="0"/>
                <w:sz w:val="24"/>
                <w:szCs w:val="24"/>
              </w:rPr>
              <w:t>应提供详细的</w:t>
            </w:r>
            <w:r>
              <w:rPr>
                <w:rFonts w:hint="eastAsia" w:ascii="宋体" w:hAnsi="宋体" w:cs="宋体"/>
                <w:b w:val="0"/>
                <w:bCs w:val="0"/>
                <w:sz w:val="24"/>
                <w:szCs w:val="24"/>
                <w:lang w:eastAsia="zh-CN"/>
              </w:rPr>
              <w:t>证明材料，</w:t>
            </w:r>
            <w:r>
              <w:rPr>
                <w:rFonts w:hint="eastAsia" w:ascii="宋体" w:hAnsi="宋体" w:cs="宋体"/>
                <w:b w:val="0"/>
                <w:bCs w:val="0"/>
                <w:sz w:val="24"/>
                <w:szCs w:val="24"/>
              </w:rPr>
              <w:t>不限于</w:t>
            </w:r>
            <w:r>
              <w:rPr>
                <w:rFonts w:hint="eastAsia" w:ascii="宋体" w:hAnsi="宋体" w:cs="宋体"/>
                <w:b w:val="0"/>
                <w:bCs w:val="0"/>
                <w:sz w:val="24"/>
                <w:szCs w:val="24"/>
                <w:lang w:eastAsia="zh-CN"/>
              </w:rPr>
              <w:t>投标产品注册证及附件、</w:t>
            </w:r>
            <w:r>
              <w:rPr>
                <w:rFonts w:hint="eastAsia" w:ascii="宋体" w:hAnsi="宋体" w:cs="宋体"/>
                <w:b w:val="0"/>
                <w:bCs w:val="0"/>
                <w:sz w:val="24"/>
                <w:szCs w:val="24"/>
              </w:rPr>
              <w:t>（产品）彩页（如有）、（产品）说明书、</w:t>
            </w: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rPr>
              <w:t>检测</w:t>
            </w:r>
            <w:r>
              <w:rPr>
                <w:rFonts w:hint="eastAsia" w:ascii="宋体" w:hAnsi="宋体" w:cs="宋体"/>
                <w:b w:val="0"/>
                <w:bCs w:val="0"/>
                <w:sz w:val="24"/>
                <w:szCs w:val="24"/>
                <w:lang w:val="en-US" w:eastAsia="zh-CN"/>
              </w:rPr>
              <w:t>/检验</w:t>
            </w:r>
            <w:r>
              <w:rPr>
                <w:rFonts w:hint="eastAsia" w:ascii="宋体" w:hAnsi="宋体" w:cs="宋体"/>
                <w:b w:val="0"/>
                <w:bCs w:val="0"/>
                <w:sz w:val="24"/>
                <w:szCs w:val="24"/>
              </w:rPr>
              <w:t>报告</w:t>
            </w:r>
            <w:r>
              <w:rPr>
                <w:rFonts w:hint="eastAsia" w:ascii="宋体" w:hAnsi="宋体" w:cs="宋体"/>
                <w:b w:val="0"/>
                <w:bCs w:val="0"/>
                <w:sz w:val="24"/>
                <w:szCs w:val="24"/>
                <w:lang w:eastAsia="zh-CN"/>
              </w:rPr>
              <w:t>、产品功能说明</w:t>
            </w:r>
            <w:r>
              <w:rPr>
                <w:rFonts w:hint="eastAsia" w:ascii="宋体" w:hAnsi="宋体" w:cs="宋体"/>
                <w:b w:val="0"/>
                <w:bCs w:val="0"/>
                <w:sz w:val="24"/>
                <w:szCs w:val="24"/>
              </w:rPr>
              <w:t>等</w:t>
            </w:r>
            <w:r>
              <w:rPr>
                <w:rFonts w:hint="eastAsia" w:ascii="宋体" w:hAnsi="宋体" w:cs="宋体"/>
                <w:b w:val="0"/>
                <w:bCs w:val="0"/>
                <w:sz w:val="24"/>
                <w:szCs w:val="24"/>
                <w:lang w:eastAsia="zh-CN"/>
              </w:rPr>
              <w:t>；无证明资料或证明资料不能证明其满足参数技术指标的，将被视为负偏离</w:t>
            </w:r>
            <w:r>
              <w:rPr>
                <w:rFonts w:hint="eastAsia" w:ascii="宋体" w:hAnsi="宋体" w:cs="宋体"/>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93" w:type="dxa"/>
            <w:vMerge w:val="continue"/>
            <w:noWrap w:val="0"/>
            <w:vAlign w:val="top"/>
          </w:tcPr>
          <w:p>
            <w:pPr>
              <w:pStyle w:val="113"/>
              <w:spacing w:before="192" w:line="240" w:lineRule="auto"/>
              <w:ind w:right="249" w:rightChars="0"/>
              <w:outlineLvl w:val="9"/>
              <w:rPr>
                <w:rFonts w:hint="eastAsia" w:ascii="宋体" w:hAnsi="宋体" w:eastAsia="宋体" w:cs="宋体"/>
                <w:b w:val="0"/>
                <w:bCs w:val="0"/>
                <w:sz w:val="24"/>
                <w:szCs w:val="24"/>
                <w:highlight w:val="none"/>
                <w:lang w:eastAsia="zh-CN"/>
              </w:rPr>
            </w:pPr>
          </w:p>
        </w:tc>
        <w:tc>
          <w:tcPr>
            <w:tcW w:w="1245" w:type="dxa"/>
            <w:noWrap w:val="0"/>
            <w:vAlign w:val="center"/>
          </w:tcPr>
          <w:p>
            <w:pPr>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产品质量保证（</w:t>
            </w:r>
            <w:r>
              <w:rPr>
                <w:rFonts w:hint="eastAsia" w:ascii="宋体" w:hAnsi="宋体" w:eastAsia="宋体" w:cs="宋体"/>
                <w:sz w:val="24"/>
                <w:szCs w:val="24"/>
                <w:highlight w:val="none"/>
                <w:lang w:val="en-US" w:eastAsia="zh-CN"/>
              </w:rPr>
              <w:t>10分</w:t>
            </w:r>
            <w:r>
              <w:rPr>
                <w:rFonts w:hint="eastAsia" w:ascii="宋体" w:hAnsi="宋体" w:eastAsia="宋体" w:cs="宋体"/>
                <w:sz w:val="24"/>
                <w:szCs w:val="24"/>
                <w:highlight w:val="none"/>
                <w:lang w:eastAsia="zh-CN"/>
              </w:rPr>
              <w:t>）</w:t>
            </w:r>
          </w:p>
        </w:tc>
        <w:tc>
          <w:tcPr>
            <w:tcW w:w="5927" w:type="dxa"/>
            <w:noWrap w:val="0"/>
            <w:vAlign w:val="center"/>
          </w:tcPr>
          <w:p>
            <w:pPr>
              <w:jc w:val="left"/>
              <w:outlineLvl w:val="9"/>
              <w:rPr>
                <w:rFonts w:hint="eastAsia"/>
                <w:b w:val="0"/>
                <w:bCs w:val="0"/>
                <w:sz w:val="24"/>
                <w:szCs w:val="24"/>
                <w:lang w:val="en-US" w:eastAsia="zh-CN"/>
              </w:rPr>
            </w:pPr>
            <w:r>
              <w:rPr>
                <w:rFonts w:hint="eastAsia"/>
                <w:b w:val="0"/>
                <w:bCs w:val="0"/>
                <w:sz w:val="24"/>
                <w:szCs w:val="24"/>
                <w:lang w:val="en-US" w:eastAsia="zh-CN"/>
              </w:rPr>
              <w:t>所投设备（产品）及备品备件符合国内、国际相关标准且无产权纠纷，无假货、水货、翻新货，提供所投产品来源渠道合法证明文件（包括但不限于销售协议、代理协议、原厂授权等）；符合国家相关质量标准，通过国家法定检验注册，产品性能稳定、具有较好的使用效果，提供相关质量保证措施及承诺。</w:t>
            </w:r>
          </w:p>
          <w:p>
            <w:pPr>
              <w:jc w:val="left"/>
              <w:outlineLvl w:val="9"/>
              <w:rPr>
                <w:rFonts w:hint="eastAsia"/>
                <w:b w:val="0"/>
                <w:bCs w:val="0"/>
                <w:sz w:val="24"/>
                <w:szCs w:val="24"/>
                <w:lang w:val="en-US" w:eastAsia="zh-CN"/>
              </w:rPr>
            </w:pPr>
            <w:r>
              <w:rPr>
                <w:rFonts w:hint="eastAsia"/>
                <w:b w:val="0"/>
                <w:bCs w:val="0"/>
                <w:sz w:val="24"/>
                <w:szCs w:val="24"/>
                <w:lang w:val="en-US" w:eastAsia="zh-CN"/>
              </w:rPr>
              <w:t>措施和承诺有针对性合理可行得7.1-10分；</w:t>
            </w:r>
          </w:p>
          <w:p>
            <w:pPr>
              <w:jc w:val="left"/>
              <w:outlineLvl w:val="9"/>
              <w:rPr>
                <w:rFonts w:hint="eastAsia"/>
                <w:b w:val="0"/>
                <w:bCs w:val="0"/>
                <w:sz w:val="24"/>
                <w:szCs w:val="24"/>
                <w:lang w:val="en-US" w:eastAsia="zh-CN"/>
              </w:rPr>
            </w:pPr>
            <w:r>
              <w:rPr>
                <w:rFonts w:hint="eastAsia"/>
                <w:b w:val="0"/>
                <w:bCs w:val="0"/>
                <w:sz w:val="24"/>
                <w:szCs w:val="24"/>
                <w:lang w:val="en-US" w:eastAsia="zh-CN"/>
              </w:rPr>
              <w:t>措施和承诺针对性较强较合理可行得4.1-7分；</w:t>
            </w:r>
          </w:p>
          <w:p>
            <w:pPr>
              <w:jc w:val="left"/>
              <w:outlineLvl w:val="9"/>
              <w:rPr>
                <w:rFonts w:hint="eastAsia"/>
                <w:b w:val="0"/>
                <w:bCs w:val="0"/>
                <w:sz w:val="24"/>
                <w:szCs w:val="24"/>
                <w:lang w:val="en-US" w:eastAsia="zh-CN"/>
              </w:rPr>
            </w:pPr>
            <w:r>
              <w:rPr>
                <w:rFonts w:hint="eastAsia"/>
                <w:b w:val="0"/>
                <w:bCs w:val="0"/>
                <w:sz w:val="24"/>
                <w:szCs w:val="24"/>
                <w:lang w:val="en-US" w:eastAsia="zh-CN"/>
              </w:rPr>
              <w:t>措施和承诺针对性一般得1-4分；</w:t>
            </w:r>
          </w:p>
          <w:p>
            <w:pPr>
              <w:jc w:val="left"/>
              <w:outlineLvl w:val="9"/>
              <w:rPr>
                <w:rFonts w:hint="eastAsia"/>
                <w:b w:val="0"/>
                <w:bCs w:val="0"/>
                <w:sz w:val="24"/>
                <w:szCs w:val="24"/>
                <w:lang w:val="en-US" w:eastAsia="zh-CN"/>
              </w:rPr>
            </w:pPr>
            <w:r>
              <w:rPr>
                <w:rFonts w:hint="eastAsia"/>
                <w:b w:val="0"/>
                <w:bCs w:val="0"/>
                <w:sz w:val="24"/>
                <w:szCs w:val="24"/>
                <w:lang w:val="en-US" w:eastAsia="zh-CN"/>
              </w:rPr>
              <w:t>未提供不得分；</w:t>
            </w:r>
          </w:p>
          <w:p>
            <w:pPr>
              <w:jc w:val="left"/>
              <w:outlineLvl w:val="9"/>
              <w:rPr>
                <w:rFonts w:hint="eastAsia" w:ascii="宋体" w:hAnsi="宋体" w:eastAsia="宋体" w:cs="宋体"/>
                <w:kern w:val="2"/>
                <w:sz w:val="24"/>
                <w:szCs w:val="24"/>
                <w:highlight w:val="none"/>
                <w:lang w:val="en-US" w:eastAsia="zh-CN" w:bidi="ar-SA"/>
              </w:rPr>
            </w:pPr>
            <w:r>
              <w:rPr>
                <w:rFonts w:hint="eastAsia"/>
                <w:b w:val="0"/>
                <w:bCs w:val="0"/>
                <w:sz w:val="24"/>
                <w:szCs w:val="24"/>
                <w:lang w:val="en-US" w:eastAsia="zh-CN"/>
              </w:rPr>
              <w:t xml:space="preserve">评审依据：所投产品来源渠道的合法证明文件，不限于认证证书，销售协议、代理协议、原厂授权等和生产厂家出具的相应功能证明材料（包括但不限于测试报告、官网和功能截图等）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1293" w:type="dxa"/>
            <w:vMerge w:val="continue"/>
            <w:noWrap w:val="0"/>
            <w:vAlign w:val="top"/>
          </w:tcPr>
          <w:p>
            <w:pPr>
              <w:pStyle w:val="113"/>
              <w:spacing w:before="192" w:line="240" w:lineRule="auto"/>
              <w:ind w:right="249" w:rightChars="0"/>
              <w:outlineLvl w:val="9"/>
              <w:rPr>
                <w:rFonts w:hint="eastAsia" w:ascii="宋体" w:hAnsi="宋体" w:eastAsia="宋体" w:cs="宋体"/>
                <w:b w:val="0"/>
                <w:bCs w:val="0"/>
                <w:sz w:val="24"/>
                <w:szCs w:val="24"/>
                <w:highlight w:val="none"/>
                <w:lang w:eastAsia="zh-CN"/>
              </w:rPr>
            </w:pPr>
          </w:p>
        </w:tc>
        <w:tc>
          <w:tcPr>
            <w:tcW w:w="1245" w:type="dxa"/>
            <w:noWrap w:val="0"/>
            <w:vAlign w:val="center"/>
          </w:tcPr>
          <w:p>
            <w:pPr>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实施</w:t>
            </w:r>
          </w:p>
          <w:p>
            <w:pPr>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w:t>
            </w:r>
          </w:p>
          <w:p>
            <w:pPr>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（5分）</w:t>
            </w:r>
          </w:p>
        </w:tc>
        <w:tc>
          <w:tcPr>
            <w:tcW w:w="5927" w:type="dxa"/>
            <w:noWrap w:val="0"/>
            <w:vAlign w:val="center"/>
          </w:tcPr>
          <w:p>
            <w:pPr>
              <w:pStyle w:val="120"/>
              <w:ind w:firstLine="0" w:firstLineChars="0"/>
              <w:rPr>
                <w:rFonts w:hAnsi="宋体"/>
                <w:color w:val="auto"/>
                <w:sz w:val="24"/>
                <w:szCs w:val="24"/>
                <w:highlight w:val="none"/>
              </w:rPr>
            </w:pPr>
            <w:r>
              <w:rPr>
                <w:rFonts w:hint="eastAsia" w:hAnsi="宋体"/>
                <w:color w:val="auto"/>
                <w:sz w:val="24"/>
                <w:szCs w:val="24"/>
                <w:highlight w:val="none"/>
              </w:rPr>
              <w:t>根据投标人针对本项目实施方案（不限于供货配送方案、运输保管方案、</w:t>
            </w:r>
            <w:r>
              <w:rPr>
                <w:rFonts w:hint="eastAsia" w:hAnsi="宋体"/>
                <w:color w:val="auto"/>
                <w:sz w:val="24"/>
                <w:szCs w:val="24"/>
                <w:highlight w:val="none"/>
                <w:lang w:eastAsia="zh-CN"/>
              </w:rPr>
              <w:t>安装调试、</w:t>
            </w:r>
            <w:r>
              <w:rPr>
                <w:rFonts w:hint="eastAsia" w:hAnsi="宋体"/>
                <w:color w:val="auto"/>
                <w:sz w:val="24"/>
                <w:szCs w:val="24"/>
                <w:highlight w:val="none"/>
              </w:rPr>
              <w:t>质量标准、人员配备、</w:t>
            </w:r>
            <w:r>
              <w:rPr>
                <w:rFonts w:hint="eastAsia" w:ascii="宋体" w:hAnsi="宋体" w:cs="宋体"/>
                <w:color w:val="auto"/>
                <w:sz w:val="24"/>
                <w:szCs w:val="24"/>
                <w:highlight w:val="none"/>
              </w:rPr>
              <w:t>产品调换方案以及出现紧急情况下的应急方案</w:t>
            </w:r>
            <w:r>
              <w:rPr>
                <w:rFonts w:hint="eastAsia" w:hAnsi="宋体"/>
                <w:color w:val="auto"/>
                <w:sz w:val="24"/>
                <w:szCs w:val="24"/>
                <w:highlight w:val="none"/>
              </w:rPr>
              <w:t>等实施方案）进行综合评分。</w:t>
            </w:r>
          </w:p>
          <w:p>
            <w:pPr>
              <w:rPr>
                <w:rFonts w:ascii="宋体" w:hAnsi="宋体" w:cs="宋体"/>
                <w:color w:val="auto"/>
                <w:sz w:val="24"/>
                <w:szCs w:val="24"/>
                <w:highlight w:val="none"/>
              </w:rPr>
            </w:pPr>
            <w:r>
              <w:rPr>
                <w:rFonts w:hint="eastAsia" w:ascii="宋体" w:hAnsi="宋体" w:cs="宋体"/>
                <w:color w:val="auto"/>
                <w:sz w:val="24"/>
                <w:szCs w:val="24"/>
                <w:highlight w:val="none"/>
              </w:rPr>
              <w:t>1.方案细致完整、描述条理清晰，内容齐全，有较高的针对性，得</w:t>
            </w:r>
            <w:r>
              <w:rPr>
                <w:rFonts w:hint="eastAsia" w:ascii="宋体" w:hAnsi="宋体" w:cs="宋体"/>
                <w:color w:val="auto"/>
                <w:sz w:val="24"/>
                <w:szCs w:val="24"/>
                <w:highlight w:val="none"/>
                <w:lang w:val="en-US" w:eastAsia="zh-CN"/>
              </w:rPr>
              <w:t>3.1-5</w:t>
            </w:r>
            <w:r>
              <w:rPr>
                <w:rFonts w:hint="eastAsia" w:ascii="宋体" w:hAnsi="宋体" w:cs="宋体"/>
                <w:color w:val="auto"/>
                <w:sz w:val="24"/>
                <w:szCs w:val="24"/>
                <w:highlight w:val="none"/>
              </w:rPr>
              <w:t>分；</w:t>
            </w:r>
          </w:p>
          <w:p>
            <w:pPr>
              <w:rPr>
                <w:rFonts w:ascii="宋体" w:hAnsi="宋体" w:cs="宋体"/>
                <w:color w:val="auto"/>
                <w:sz w:val="24"/>
                <w:szCs w:val="24"/>
                <w:highlight w:val="none"/>
              </w:rPr>
            </w:pPr>
            <w:r>
              <w:rPr>
                <w:rFonts w:hint="eastAsia" w:ascii="宋体" w:hAnsi="宋体" w:cs="宋体"/>
                <w:color w:val="auto"/>
                <w:sz w:val="24"/>
                <w:szCs w:val="24"/>
                <w:highlight w:val="none"/>
              </w:rPr>
              <w:t>2.方案较完整，可基本实现及满足采购要求，得</w:t>
            </w:r>
            <w:r>
              <w:rPr>
                <w:rFonts w:hint="eastAsia" w:ascii="宋体" w:hAnsi="宋体" w:cs="宋体"/>
                <w:color w:val="auto"/>
                <w:sz w:val="24"/>
                <w:szCs w:val="24"/>
                <w:highlight w:val="none"/>
                <w:lang w:val="en-US" w:eastAsia="zh-CN"/>
              </w:rPr>
              <w:t>1.0-3</w:t>
            </w:r>
            <w:r>
              <w:rPr>
                <w:rFonts w:hint="eastAsia" w:ascii="宋体" w:hAnsi="宋体" w:cs="宋体"/>
                <w:color w:val="auto"/>
                <w:sz w:val="24"/>
                <w:szCs w:val="24"/>
                <w:highlight w:val="none"/>
              </w:rPr>
              <w:t>分；</w:t>
            </w:r>
          </w:p>
          <w:p>
            <w:pPr>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3.方案有明显缺陷，针对性较差</w:t>
            </w:r>
            <w:r>
              <w:rPr>
                <w:rFonts w:hint="eastAsia" w:ascii="宋体" w:hAnsi="宋体" w:cs="宋体"/>
                <w:color w:val="auto"/>
                <w:sz w:val="24"/>
                <w:szCs w:val="24"/>
                <w:highlight w:val="none"/>
                <w:lang w:eastAsia="zh-CN"/>
              </w:rPr>
              <w:t>不得分</w:t>
            </w:r>
            <w:r>
              <w:rPr>
                <w:rFonts w:hint="eastAsia"/>
                <w:color w:val="auto"/>
                <w:sz w:val="24"/>
                <w:szCs w:val="24"/>
                <w:highlight w:val="none"/>
              </w:rPr>
              <w:t>。</w:t>
            </w:r>
            <w:r>
              <w:rPr>
                <w:rFonts w:hAnsi="宋体"/>
                <w:color w:val="auto"/>
                <w:sz w:val="24"/>
                <w:szCs w:val="24"/>
                <w:highlight w:val="none"/>
              </w:rPr>
              <w:t xml:space="preserve">     </w:t>
            </w:r>
            <w:r>
              <w:rPr>
                <w:rFonts w:hAnsi="宋体"/>
                <w:color w:val="auto"/>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1293" w:type="dxa"/>
            <w:vMerge w:val="restart"/>
            <w:noWrap w:val="0"/>
            <w:vAlign w:val="top"/>
          </w:tcPr>
          <w:p>
            <w:pPr>
              <w:pStyle w:val="113"/>
              <w:spacing w:line="240" w:lineRule="auto"/>
              <w:outlineLvl w:val="9"/>
              <w:rPr>
                <w:rFonts w:hint="eastAsia" w:ascii="宋体" w:hAnsi="宋体" w:eastAsia="宋体" w:cs="宋体"/>
                <w:b w:val="0"/>
                <w:bCs w:val="0"/>
                <w:sz w:val="24"/>
                <w:szCs w:val="24"/>
                <w:highlight w:val="none"/>
              </w:rPr>
            </w:pPr>
          </w:p>
          <w:p>
            <w:pPr>
              <w:pStyle w:val="113"/>
              <w:spacing w:line="240" w:lineRule="auto"/>
              <w:outlineLvl w:val="9"/>
              <w:rPr>
                <w:rFonts w:hint="eastAsia" w:ascii="宋体" w:hAnsi="宋体" w:eastAsia="宋体" w:cs="宋体"/>
                <w:b w:val="0"/>
                <w:bCs w:val="0"/>
                <w:sz w:val="24"/>
                <w:szCs w:val="24"/>
                <w:highlight w:val="none"/>
              </w:rPr>
            </w:pPr>
          </w:p>
          <w:p>
            <w:pPr>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商务</w:t>
            </w:r>
          </w:p>
          <w:p>
            <w:pPr>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部分</w:t>
            </w:r>
          </w:p>
          <w:p>
            <w:pPr>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（20分）</w:t>
            </w:r>
          </w:p>
          <w:p>
            <w:pPr>
              <w:jc w:val="center"/>
              <w:outlineLvl w:val="9"/>
              <w:rPr>
                <w:rFonts w:hint="eastAsia" w:ascii="宋体" w:hAnsi="宋体" w:eastAsia="宋体" w:cs="宋体"/>
                <w:b w:val="0"/>
                <w:bCs w:val="0"/>
                <w:kern w:val="0"/>
                <w:sz w:val="24"/>
                <w:szCs w:val="24"/>
                <w:highlight w:val="none"/>
                <w:lang w:val="en-US" w:eastAsia="zh-CN" w:bidi="ar-SA"/>
              </w:rPr>
            </w:pPr>
          </w:p>
        </w:tc>
        <w:tc>
          <w:tcPr>
            <w:tcW w:w="1245" w:type="dxa"/>
            <w:noWrap w:val="0"/>
            <w:vAlign w:val="center"/>
          </w:tcPr>
          <w:p>
            <w:pPr>
              <w:pStyle w:val="113"/>
              <w:spacing w:line="240" w:lineRule="auto"/>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售后服务方案（5分）</w:t>
            </w:r>
          </w:p>
        </w:tc>
        <w:tc>
          <w:tcPr>
            <w:tcW w:w="5927" w:type="dxa"/>
            <w:noWrap w:val="0"/>
            <w:vAlign w:val="top"/>
          </w:tcPr>
          <w:p>
            <w:pPr>
              <w:rPr>
                <w:rFonts w:hAnsi="宋体"/>
                <w:color w:val="auto"/>
                <w:szCs w:val="21"/>
              </w:rPr>
            </w:pPr>
            <w:r>
              <w:rPr>
                <w:rFonts w:hint="eastAsia" w:hAnsi="宋体"/>
                <w:color w:val="auto"/>
                <w:szCs w:val="21"/>
                <w:lang w:val="en-US" w:eastAsia="zh-CN"/>
              </w:rPr>
              <w:t>1.</w:t>
            </w:r>
            <w:r>
              <w:rPr>
                <w:rFonts w:hint="eastAsia" w:hAnsi="宋体"/>
                <w:color w:val="auto"/>
                <w:szCs w:val="21"/>
              </w:rPr>
              <w:t>针对本项目</w:t>
            </w:r>
            <w:r>
              <w:rPr>
                <w:rFonts w:hint="eastAsia" w:hAnsi="宋体"/>
                <w:color w:val="auto"/>
                <w:szCs w:val="21"/>
                <w:lang w:val="zh-CN"/>
              </w:rPr>
              <w:t>试剂耗材在运输途中发生破损、渗漏的补救措施及解决方案制定相应的售后服务方案，包括送货响应时效、调换货响应时效、提供具体可行的售后服务措施承诺及明确详细的售后服务人员组成和安排，为招标人提供必要的技术支持等内容根据响应程度计0-3分</w:t>
            </w:r>
            <w:r>
              <w:rPr>
                <w:rFonts w:hint="eastAsia" w:hAnsi="宋体"/>
                <w:color w:val="auto"/>
                <w:szCs w:val="21"/>
              </w:rPr>
              <w:t>。</w:t>
            </w:r>
          </w:p>
          <w:p>
            <w:pPr>
              <w:jc w:val="left"/>
              <w:rPr>
                <w:rFonts w:hint="default" w:ascii="宋体" w:hAnsi="宋体" w:eastAsia="宋体" w:cs="宋体"/>
                <w:b w:val="0"/>
                <w:bCs w:val="0"/>
                <w:color w:val="auto"/>
                <w:sz w:val="24"/>
                <w:szCs w:val="24"/>
                <w:highlight w:val="none"/>
                <w:lang w:val="en-US" w:eastAsia="zh-CN"/>
              </w:rPr>
            </w:pPr>
            <w:r>
              <w:rPr>
                <w:rFonts w:hint="eastAsia" w:hAnsi="宋体" w:eastAsia="宋体"/>
                <w:color w:val="auto"/>
                <w:szCs w:val="21"/>
                <w:lang w:val="en-US" w:eastAsia="zh-CN"/>
              </w:rPr>
              <w:t>2</w:t>
            </w:r>
            <w:r>
              <w:rPr>
                <w:rFonts w:hint="eastAsia" w:hAnsi="宋体" w:cs="Times New Roman"/>
                <w:color w:val="auto"/>
                <w:szCs w:val="21"/>
                <w:lang w:val="en-US" w:eastAsia="zh-CN"/>
              </w:rPr>
              <w:t>.</w:t>
            </w:r>
            <w:r>
              <w:rPr>
                <w:rFonts w:hint="eastAsia" w:hAnsi="宋体" w:cs="Times New Roman"/>
                <w:color w:val="auto"/>
                <w:szCs w:val="21"/>
                <w:lang w:val="zh-CN"/>
              </w:rPr>
              <w:t>为采购人负责培训操作人员，并附有完整的培训方案，列出详细的培训内容、培训方式等说明，根据响应程度计</w:t>
            </w:r>
            <w:r>
              <w:rPr>
                <w:rFonts w:hint="eastAsia" w:hAnsi="宋体" w:cs="Times New Roman"/>
                <w:color w:val="auto"/>
                <w:szCs w:val="21"/>
                <w:lang w:val="en-US" w:eastAsia="zh-CN"/>
              </w:rPr>
              <w:t>0-2</w:t>
            </w:r>
            <w:r>
              <w:rPr>
                <w:rFonts w:hint="eastAsia" w:hAnsi="宋体" w:cs="Times New Roman"/>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293" w:type="dxa"/>
            <w:vMerge w:val="continue"/>
            <w:noWrap w:val="0"/>
            <w:vAlign w:val="top"/>
          </w:tcPr>
          <w:p>
            <w:pPr>
              <w:spacing w:line="240" w:lineRule="auto"/>
              <w:outlineLvl w:val="9"/>
              <w:rPr>
                <w:rFonts w:hint="eastAsia" w:ascii="宋体" w:hAnsi="宋体" w:eastAsia="宋体" w:cs="宋体"/>
                <w:b w:val="0"/>
                <w:bCs w:val="0"/>
                <w:sz w:val="24"/>
                <w:szCs w:val="24"/>
                <w:highlight w:val="none"/>
              </w:rPr>
            </w:pPr>
          </w:p>
        </w:tc>
        <w:tc>
          <w:tcPr>
            <w:tcW w:w="1245" w:type="dxa"/>
            <w:noWrap w:val="0"/>
            <w:vAlign w:val="center"/>
          </w:tcPr>
          <w:p>
            <w:pPr>
              <w:spacing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商务</w:t>
            </w:r>
          </w:p>
          <w:p>
            <w:pPr>
              <w:spacing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响应</w:t>
            </w:r>
          </w:p>
          <w:p>
            <w:pPr>
              <w:spacing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（5分）</w:t>
            </w:r>
          </w:p>
        </w:tc>
        <w:tc>
          <w:tcPr>
            <w:tcW w:w="5927" w:type="dxa"/>
            <w:noWrap w:val="0"/>
            <w:vAlign w:val="top"/>
          </w:tcPr>
          <w:p>
            <w:pPr>
              <w:pStyle w:val="113"/>
              <w:spacing w:line="240" w:lineRule="auto"/>
              <w:ind w:right="96"/>
              <w:outlineLvl w:val="9"/>
              <w:rPr>
                <w:rFonts w:hint="eastAsia" w:ascii="宋体" w:hAnsi="宋体" w:eastAsia="宋体" w:cs="宋体"/>
                <w:b w:val="0"/>
                <w:bCs w:val="0"/>
                <w:color w:val="auto"/>
                <w:sz w:val="24"/>
                <w:szCs w:val="24"/>
                <w:highlight w:val="none"/>
                <w:lang w:val="en-US" w:eastAsia="zh-CN"/>
              </w:rPr>
            </w:pPr>
            <w:r>
              <w:rPr>
                <w:rFonts w:hint="eastAsia" w:hAnsi="宋体"/>
                <w:color w:val="auto"/>
                <w:sz w:val="24"/>
                <w:szCs w:val="24"/>
                <w:lang w:val="en-US" w:eastAsia="zh-CN"/>
              </w:rPr>
              <w:t>响应文件完全满足</w:t>
            </w:r>
            <w:r>
              <w:rPr>
                <w:rFonts w:hint="eastAsia" w:hAnsi="宋体"/>
                <w:color w:val="auto"/>
                <w:sz w:val="24"/>
                <w:szCs w:val="24"/>
                <w:highlight w:val="none"/>
                <w:lang w:val="en-US" w:eastAsia="zh-CN"/>
              </w:rPr>
              <w:t>招标</w:t>
            </w:r>
            <w:r>
              <w:rPr>
                <w:rFonts w:hint="eastAsia" w:hAnsi="宋体"/>
                <w:color w:val="auto"/>
                <w:sz w:val="24"/>
                <w:szCs w:val="24"/>
                <w:lang w:val="en-US" w:eastAsia="zh-CN"/>
              </w:rPr>
              <w:t>文件商务要求并有相应商务响应说明得2分；交货期优于</w:t>
            </w:r>
            <w:r>
              <w:rPr>
                <w:rFonts w:hint="eastAsia" w:hAnsi="宋体"/>
                <w:color w:val="auto"/>
                <w:sz w:val="24"/>
                <w:szCs w:val="24"/>
                <w:highlight w:val="none"/>
                <w:lang w:val="en-US" w:eastAsia="zh-CN"/>
              </w:rPr>
              <w:t>招标</w:t>
            </w:r>
            <w:r>
              <w:rPr>
                <w:rFonts w:hint="eastAsia" w:hAnsi="宋体"/>
                <w:color w:val="auto"/>
                <w:sz w:val="24"/>
                <w:szCs w:val="24"/>
                <w:lang w:val="en-US" w:eastAsia="zh-CN"/>
              </w:rPr>
              <w:t>文件要求的加1分，</w:t>
            </w:r>
            <w:r>
              <w:rPr>
                <w:rFonts w:hint="eastAsia" w:hAnsi="宋体"/>
                <w:color w:val="auto"/>
                <w:sz w:val="24"/>
                <w:szCs w:val="24"/>
                <w:lang w:val="zh-CN"/>
              </w:rPr>
              <w:t>产品有效期</w:t>
            </w:r>
            <w:r>
              <w:rPr>
                <w:rFonts w:hint="eastAsia" w:hAnsi="宋体"/>
                <w:color w:val="auto"/>
                <w:sz w:val="24"/>
                <w:szCs w:val="24"/>
                <w:lang w:val="en-US" w:eastAsia="zh-CN"/>
              </w:rPr>
              <w:t>优于</w:t>
            </w:r>
            <w:r>
              <w:rPr>
                <w:rFonts w:hint="eastAsia" w:hAnsi="宋体"/>
                <w:color w:val="auto"/>
                <w:sz w:val="24"/>
                <w:szCs w:val="24"/>
                <w:highlight w:val="none"/>
                <w:lang w:val="en-US" w:eastAsia="zh-CN"/>
              </w:rPr>
              <w:t>招标</w:t>
            </w:r>
            <w:r>
              <w:rPr>
                <w:rFonts w:hint="eastAsia" w:hAnsi="宋体"/>
                <w:color w:val="auto"/>
                <w:sz w:val="24"/>
                <w:szCs w:val="24"/>
                <w:lang w:val="en-US" w:eastAsia="zh-CN"/>
              </w:rPr>
              <w:t>文件要求加1分，最多加2分</w:t>
            </w:r>
            <w:r>
              <w:rPr>
                <w:rFonts w:hint="eastAsia" w:asci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293" w:type="dxa"/>
            <w:vMerge w:val="continue"/>
            <w:noWrap w:val="0"/>
            <w:vAlign w:val="center"/>
          </w:tcPr>
          <w:p>
            <w:pPr>
              <w:jc w:val="center"/>
              <w:outlineLvl w:val="9"/>
              <w:rPr>
                <w:rFonts w:hint="eastAsia" w:ascii="宋体" w:hAnsi="宋体" w:eastAsia="宋体" w:cs="宋体"/>
                <w:b w:val="0"/>
                <w:bCs w:val="0"/>
                <w:kern w:val="0"/>
                <w:sz w:val="24"/>
                <w:szCs w:val="24"/>
                <w:highlight w:val="none"/>
                <w:lang w:val="en-US" w:eastAsia="zh-CN" w:bidi="ar-SA"/>
              </w:rPr>
            </w:pPr>
          </w:p>
        </w:tc>
        <w:tc>
          <w:tcPr>
            <w:tcW w:w="1245" w:type="dxa"/>
            <w:noWrap w:val="0"/>
            <w:vAlign w:val="center"/>
          </w:tcPr>
          <w:p>
            <w:pPr>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p>
          <w:p>
            <w:pPr>
              <w:pStyle w:val="17"/>
              <w:jc w:val="center"/>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10分</w:t>
            </w:r>
          </w:p>
        </w:tc>
        <w:tc>
          <w:tcPr>
            <w:tcW w:w="5927" w:type="dxa"/>
            <w:noWrap w:val="0"/>
            <w:vAlign w:val="center"/>
          </w:tcPr>
          <w:p>
            <w:pPr>
              <w:jc w:val="both"/>
              <w:rPr>
                <w:rFonts w:hint="eastAsia" w:hAnsi="宋体" w:cs="宋体" w:eastAsiaTheme="minorEastAsia"/>
                <w:color w:val="auto"/>
                <w:sz w:val="24"/>
                <w:szCs w:val="24"/>
                <w:highlight w:val="none"/>
                <w:lang w:eastAsia="zh-CN"/>
              </w:rPr>
            </w:pPr>
            <w:r>
              <w:rPr>
                <w:rFonts w:hint="eastAsia" w:hAnsi="宋体" w:cs="宋体"/>
                <w:color w:val="auto"/>
                <w:sz w:val="24"/>
                <w:szCs w:val="24"/>
                <w:highlight w:val="none"/>
              </w:rPr>
              <w:t>提供</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201</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年1月1日至今</w:t>
            </w:r>
            <w:r>
              <w:rPr>
                <w:rFonts w:hint="eastAsia" w:hAnsi="宋体" w:cs="宋体"/>
                <w:color w:val="auto"/>
                <w:sz w:val="24"/>
                <w:szCs w:val="24"/>
                <w:highlight w:val="none"/>
                <w:lang w:eastAsia="zh-CN"/>
              </w:rPr>
              <w:t>所投产品</w:t>
            </w:r>
            <w:r>
              <w:rPr>
                <w:rFonts w:hint="eastAsia" w:hAnsi="宋体" w:cs="宋体"/>
                <w:color w:val="auto"/>
                <w:sz w:val="24"/>
                <w:szCs w:val="24"/>
                <w:highlight w:val="none"/>
              </w:rPr>
              <w:t>供货业绩合同</w:t>
            </w:r>
            <w:r>
              <w:rPr>
                <w:rFonts w:hint="eastAsia" w:hAnsi="宋体" w:cs="宋体"/>
                <w:color w:val="auto"/>
                <w:sz w:val="24"/>
                <w:szCs w:val="24"/>
                <w:highlight w:val="none"/>
                <w:lang w:eastAsia="zh-CN"/>
              </w:rPr>
              <w:t>（以合同签订时间为准），</w:t>
            </w:r>
            <w:r>
              <w:rPr>
                <w:rFonts w:hint="eastAsia" w:hAnsi="宋体" w:cs="宋体"/>
                <w:color w:val="auto"/>
                <w:sz w:val="24"/>
                <w:szCs w:val="24"/>
                <w:highlight w:val="none"/>
              </w:rPr>
              <w:t>一个业绩计</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分，最高</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分。</w:t>
            </w:r>
          </w:p>
          <w:p>
            <w:pPr>
              <w:outlineLvl w:val="9"/>
              <w:rPr>
                <w:rFonts w:hint="eastAsia" w:ascii="宋体" w:hAnsi="宋体" w:eastAsia="宋体" w:cs="宋体"/>
                <w:b w:val="0"/>
                <w:bCs w:val="0"/>
                <w:color w:val="auto"/>
                <w:kern w:val="0"/>
                <w:sz w:val="24"/>
                <w:szCs w:val="24"/>
                <w:highlight w:val="none"/>
                <w:lang w:val="en-US" w:eastAsia="zh-CN" w:bidi="ar-SA"/>
              </w:rPr>
            </w:pPr>
            <w:r>
              <w:rPr>
                <w:rFonts w:hint="eastAsia" w:hAnsi="宋体"/>
                <w:b/>
                <w:bCs/>
                <w:color w:val="auto"/>
                <w:sz w:val="24"/>
                <w:szCs w:val="24"/>
                <w:highlight w:val="none"/>
              </w:rPr>
              <w:t>评审依据：</w:t>
            </w:r>
            <w:r>
              <w:rPr>
                <w:rFonts w:hint="eastAsia" w:hAnsi="宋体" w:cs="宋体"/>
                <w:color w:val="auto"/>
                <w:sz w:val="24"/>
                <w:szCs w:val="24"/>
                <w:lang w:eastAsia="zh-CN"/>
              </w:rPr>
              <w:t>投标文件中</w:t>
            </w:r>
            <w:r>
              <w:rPr>
                <w:rFonts w:hint="eastAsia"/>
                <w:color w:val="auto"/>
                <w:sz w:val="24"/>
                <w:szCs w:val="24"/>
                <w:lang w:eastAsia="zh-CN"/>
              </w:rPr>
              <w:t>须提供业绩合同证明材料复印件加盖公章，含合同关键页（即合同首页、合同标的物、合同金额页及双方签字盖章页），以合同签订时间为准</w:t>
            </w:r>
            <w:r>
              <w:rPr>
                <w:rFonts w:hint="eastAsia" w:hAnsi="宋体"/>
                <w:color w:val="auto"/>
                <w:sz w:val="24"/>
                <w:szCs w:val="24"/>
                <w:highlight w:val="none"/>
              </w:rPr>
              <w:t>。</w:t>
            </w:r>
            <w:r>
              <w:rPr>
                <w:rFonts w:hint="eastAsia" w:hAnsi="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465" w:type="dxa"/>
            <w:gridSpan w:val="3"/>
            <w:noWrap w:val="0"/>
            <w:vAlign w:val="center"/>
          </w:tcPr>
          <w:p>
            <w:pPr>
              <w:spacing w:line="240" w:lineRule="auto"/>
              <w:outlineLvl w:val="9"/>
              <w:rPr>
                <w:rFonts w:ascii="宋体" w:cs="宋体"/>
                <w:b/>
                <w:bCs/>
                <w:sz w:val="22"/>
                <w:szCs w:val="22"/>
              </w:rPr>
            </w:pPr>
            <w:r>
              <w:rPr>
                <w:rFonts w:hint="eastAsia" w:ascii="宋体" w:hAnsi="宋体" w:cs="宋体"/>
                <w:b/>
                <w:bCs/>
                <w:sz w:val="22"/>
                <w:szCs w:val="20"/>
              </w:rPr>
              <w:t>备注：</w:t>
            </w:r>
            <w:r>
              <w:rPr>
                <w:rFonts w:hint="eastAsia" w:ascii="宋体" w:hAnsi="宋体" w:cs="宋体"/>
                <w:b/>
                <w:bCs/>
                <w:sz w:val="22"/>
                <w:szCs w:val="22"/>
              </w:rPr>
              <w:t>（一）对小型或微型企业参加政府采购投标的扶持：</w:t>
            </w:r>
          </w:p>
          <w:p>
            <w:pPr>
              <w:spacing w:line="240" w:lineRule="auto"/>
              <w:ind w:firstLine="456" w:firstLineChars="200"/>
              <w:outlineLvl w:val="9"/>
              <w:rPr>
                <w:rFonts w:ascii="宋体" w:cs="宋体"/>
                <w:sz w:val="22"/>
                <w:szCs w:val="22"/>
              </w:rPr>
            </w:pPr>
            <w:r>
              <w:rPr>
                <w:rFonts w:hint="eastAsia" w:ascii="宋体" w:hAnsi="宋体" w:cs="宋体"/>
                <w:sz w:val="22"/>
                <w:szCs w:val="22"/>
              </w:rPr>
              <w:t>根据《政府采购促进中小企业发展管理办法》（财库</w:t>
            </w:r>
            <w:r>
              <w:rPr>
                <w:rFonts w:ascii="宋体" w:hAnsi="宋体" w:cs="宋体"/>
                <w:sz w:val="22"/>
                <w:szCs w:val="22"/>
              </w:rPr>
              <w:t>[20</w:t>
            </w:r>
            <w:r>
              <w:rPr>
                <w:rFonts w:hint="eastAsia" w:ascii="宋体" w:hAnsi="宋体" w:cs="宋体"/>
                <w:sz w:val="22"/>
                <w:szCs w:val="22"/>
              </w:rPr>
              <w:t>20</w:t>
            </w:r>
            <w:r>
              <w:rPr>
                <w:rFonts w:ascii="宋体" w:hAnsi="宋体" w:cs="宋体"/>
                <w:sz w:val="22"/>
                <w:szCs w:val="22"/>
              </w:rPr>
              <w:t>]</w:t>
            </w:r>
            <w:r>
              <w:rPr>
                <w:rFonts w:hint="eastAsia" w:ascii="宋体" w:hAnsi="宋体" w:cs="宋体"/>
                <w:sz w:val="22"/>
                <w:szCs w:val="22"/>
              </w:rPr>
              <w:t>46号）的规定，对于非专门面向中小企业的项目，对小型和微型企业产品的价格给予</w:t>
            </w:r>
            <w:r>
              <w:rPr>
                <w:rFonts w:hint="eastAsia" w:ascii="宋体" w:hAnsi="宋体" w:cs="宋体"/>
                <w:sz w:val="22"/>
                <w:szCs w:val="22"/>
                <w:lang w:val="en-US" w:eastAsia="zh-CN"/>
              </w:rPr>
              <w:t>10</w:t>
            </w:r>
            <w:r>
              <w:rPr>
                <w:rFonts w:ascii="宋体" w:hAnsi="宋体" w:cs="宋体"/>
                <w:sz w:val="22"/>
                <w:szCs w:val="22"/>
              </w:rPr>
              <w:t>%</w:t>
            </w:r>
            <w:r>
              <w:rPr>
                <w:rFonts w:hint="eastAsia" w:ascii="宋体" w:hAnsi="宋体" w:cs="宋体"/>
                <w:sz w:val="22"/>
                <w:szCs w:val="22"/>
              </w:rPr>
              <w:t>的扣除，用扣除后的价格参与评审；供应商可在投标文件中提供小型和微型企业声明，具体格式详见附件。</w:t>
            </w:r>
          </w:p>
          <w:p>
            <w:pPr>
              <w:spacing w:line="240" w:lineRule="auto"/>
              <w:ind w:firstLine="456" w:firstLineChars="200"/>
              <w:outlineLvl w:val="9"/>
              <w:rPr>
                <w:rFonts w:ascii="宋体" w:cs="宋体"/>
                <w:b/>
                <w:bCs/>
                <w:sz w:val="22"/>
                <w:szCs w:val="22"/>
              </w:rPr>
            </w:pPr>
            <w:r>
              <w:rPr>
                <w:rFonts w:hint="eastAsia" w:ascii="宋体" w:cs="宋体"/>
                <w:b/>
                <w:bCs/>
                <w:sz w:val="22"/>
                <w:szCs w:val="22"/>
              </w:rPr>
              <w:t>（二）对监狱企业、残疾人福利企业的扶持</w:t>
            </w:r>
          </w:p>
          <w:p>
            <w:pPr>
              <w:spacing w:line="240" w:lineRule="auto"/>
              <w:ind w:firstLine="456" w:firstLineChars="200"/>
              <w:outlineLvl w:val="9"/>
              <w:rPr>
                <w:rFonts w:ascii="宋体" w:hAnsi="宋体" w:cs="宋体"/>
                <w:sz w:val="22"/>
                <w:szCs w:val="22"/>
              </w:rPr>
            </w:pPr>
            <w:r>
              <w:rPr>
                <w:rFonts w:hint="eastAsia" w:ascii="宋体" w:cs="宋体"/>
                <w:sz w:val="22"/>
                <w:szCs w:val="22"/>
              </w:rPr>
              <w:t>根据《关于政府采购支持监狱企业发展有关问题的通知》（财库[2014]68号）</w:t>
            </w:r>
            <w:r>
              <w:rPr>
                <w:rFonts w:hint="eastAsia" w:ascii="宋体" w:hAnsi="宋体" w:cs="宋体"/>
                <w:sz w:val="22"/>
                <w:szCs w:val="22"/>
              </w:rPr>
              <w:t>（提供由省级以上监狱管理局、戒毒管理局（含新疆生产建设兵团）出具的属于监狱企业的证明文件）、《三部门联合发布关于促进残疾人就业政府采购政策的通知》（财库〔2017〕141号）的规定，对监狱企业、残疾人福利企业给予</w:t>
            </w:r>
            <w:r>
              <w:rPr>
                <w:rFonts w:hint="eastAsia" w:ascii="宋体" w:hAnsi="宋体" w:cs="宋体"/>
                <w:sz w:val="22"/>
                <w:szCs w:val="22"/>
                <w:lang w:val="en-US" w:eastAsia="zh-CN"/>
              </w:rPr>
              <w:t>10</w:t>
            </w:r>
            <w:r>
              <w:rPr>
                <w:rFonts w:hint="eastAsia" w:ascii="宋体" w:hAnsi="宋体" w:cs="宋体"/>
                <w:sz w:val="22"/>
                <w:szCs w:val="22"/>
              </w:rPr>
              <w:t xml:space="preserve">%的价格扣除，用扣除后的价格参与评审。 </w:t>
            </w:r>
          </w:p>
          <w:p>
            <w:pPr>
              <w:spacing w:line="240" w:lineRule="auto"/>
              <w:ind w:firstLine="456" w:firstLineChars="200"/>
              <w:outlineLvl w:val="9"/>
              <w:rPr>
                <w:rFonts w:ascii="宋体" w:hAnsi="宋体" w:cs="宋体"/>
                <w:b/>
                <w:bCs/>
                <w:sz w:val="22"/>
                <w:szCs w:val="22"/>
              </w:rPr>
            </w:pPr>
            <w:r>
              <w:rPr>
                <w:rFonts w:hint="eastAsia" w:ascii="宋体" w:hAnsi="宋体" w:cs="宋体"/>
                <w:b/>
                <w:bCs/>
                <w:sz w:val="22"/>
                <w:szCs w:val="22"/>
              </w:rPr>
              <w:t>（三）对同时属于小微企业、监狱企业或残疾人福利性单位的， 不重复享受政策。</w:t>
            </w:r>
          </w:p>
          <w:p>
            <w:pPr>
              <w:spacing w:line="240" w:lineRule="auto"/>
              <w:ind w:firstLine="456" w:firstLineChars="200"/>
              <w:outlineLvl w:val="9"/>
              <w:rPr>
                <w:rFonts w:ascii="宋体" w:cs="宋体"/>
                <w:b/>
                <w:bCs/>
                <w:sz w:val="22"/>
                <w:szCs w:val="22"/>
              </w:rPr>
            </w:pPr>
            <w:r>
              <w:rPr>
                <w:rFonts w:hint="eastAsia" w:ascii="宋体" w:hAnsi="宋体" w:cs="宋体"/>
                <w:b/>
                <w:bCs/>
                <w:sz w:val="22"/>
                <w:szCs w:val="22"/>
              </w:rPr>
              <w:t>（四）对节能、环保政策的支持</w:t>
            </w:r>
          </w:p>
          <w:p>
            <w:pPr>
              <w:spacing w:line="240" w:lineRule="auto"/>
              <w:ind w:firstLine="456" w:firstLineChars="200"/>
              <w:outlineLvl w:val="9"/>
              <w:rPr>
                <w:rFonts w:ascii="宋体"/>
                <w:color w:val="000000"/>
                <w:sz w:val="22"/>
                <w:szCs w:val="22"/>
              </w:rPr>
            </w:pPr>
            <w:r>
              <w:rPr>
                <w:rFonts w:hint="eastAsia" w:ascii="宋体" w:hAnsi="宋体" w:cs="宋体"/>
                <w:color w:val="000000"/>
                <w:sz w:val="22"/>
                <w:szCs w:val="22"/>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240" w:lineRule="auto"/>
              <w:ind w:firstLine="456" w:firstLineChars="200"/>
              <w:outlineLvl w:val="9"/>
              <w:rPr>
                <w:rFonts w:ascii="宋体" w:hAnsi="宋体" w:cs="宋体"/>
                <w:color w:val="000000"/>
                <w:sz w:val="22"/>
                <w:szCs w:val="22"/>
              </w:rPr>
            </w:pPr>
            <w:r>
              <w:rPr>
                <w:rFonts w:hint="eastAsia" w:ascii="宋体" w:hAnsi="宋体" w:cs="宋体"/>
                <w:color w:val="000000"/>
                <w:sz w:val="22"/>
                <w:szCs w:val="22"/>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240" w:lineRule="auto"/>
              <w:outlineLvl w:val="9"/>
              <w:rPr>
                <w:rFonts w:hint="eastAsia" w:ascii="宋体" w:hAnsi="宋体" w:eastAsia="宋体" w:cs="宋体"/>
                <w:color w:val="000000"/>
                <w:sz w:val="28"/>
                <w:szCs w:val="28"/>
                <w:highlight w:val="none"/>
              </w:rPr>
            </w:pPr>
            <w:r>
              <w:rPr>
                <w:rFonts w:hint="eastAsia" w:ascii="宋体" w:hAnsi="宋体" w:cs="宋体"/>
                <w:color w:val="000000"/>
                <w:sz w:val="22"/>
                <w:szCs w:val="22"/>
              </w:rPr>
              <w:t>3、产品同时属于“非强制采购节能产品”、环境标志产品的，评审时只有其中一项能享受优先待遇（供应商自行选择，并在报价文件中填写相关信息及数据）。</w:t>
            </w:r>
          </w:p>
        </w:tc>
      </w:tr>
    </w:tbl>
    <w:p>
      <w:pPr>
        <w:pStyle w:val="96"/>
        <w:bidi w:val="0"/>
        <w:rPr>
          <w:rFonts w:hint="eastAsia"/>
          <w:sz w:val="24"/>
          <w:szCs w:val="24"/>
        </w:rPr>
      </w:pPr>
      <w:bookmarkStart w:id="157" w:name="_Toc10025"/>
    </w:p>
    <w:p>
      <w:pPr>
        <w:pStyle w:val="96"/>
        <w:bidi w:val="0"/>
        <w:ind w:left="0" w:leftChars="0" w:firstLine="0" w:firstLineChars="0"/>
        <w:rPr>
          <w:rFonts w:hint="eastAsia"/>
          <w:sz w:val="24"/>
          <w:szCs w:val="24"/>
          <w:lang w:val="en-US" w:eastAsia="zh-CN"/>
        </w:rPr>
      </w:pPr>
      <w:r>
        <w:rPr>
          <w:rFonts w:hint="eastAsia"/>
          <w:sz w:val="24"/>
          <w:szCs w:val="24"/>
          <w:lang w:val="en-US" w:eastAsia="zh-CN"/>
        </w:rPr>
        <w:t xml:space="preserve"> </w:t>
      </w:r>
    </w:p>
    <w:p>
      <w:pPr>
        <w:rPr>
          <w:rFonts w:hint="eastAsia"/>
          <w:sz w:val="24"/>
          <w:szCs w:val="24"/>
          <w:lang w:val="en-US" w:eastAsia="zh-CN"/>
        </w:rPr>
      </w:pPr>
      <w:r>
        <w:rPr>
          <w:rFonts w:hint="eastAsia"/>
          <w:sz w:val="24"/>
          <w:szCs w:val="24"/>
          <w:lang w:val="en-US" w:eastAsia="zh-CN"/>
        </w:rPr>
        <w:br w:type="page"/>
      </w:r>
    </w:p>
    <w:p>
      <w:pPr>
        <w:pStyle w:val="96"/>
        <w:bidi w:val="0"/>
        <w:ind w:left="0" w:leftChars="0" w:firstLine="0" w:firstLineChars="0"/>
        <w:jc w:val="center"/>
        <w:rPr>
          <w:rFonts w:hint="eastAsia"/>
          <w:b/>
          <w:bCs/>
          <w:sz w:val="24"/>
          <w:szCs w:val="24"/>
          <w:lang w:val="en-US" w:eastAsia="zh-CN"/>
        </w:rPr>
      </w:pPr>
      <w:r>
        <w:rPr>
          <w:rFonts w:hint="eastAsia"/>
          <w:b/>
          <w:bCs/>
          <w:sz w:val="24"/>
          <w:szCs w:val="24"/>
          <w:lang w:val="en-US" w:eastAsia="zh-CN"/>
        </w:rPr>
        <w:t>第2/5标段评审标准</w:t>
      </w:r>
    </w:p>
    <w:tbl>
      <w:tblPr>
        <w:tblStyle w:val="32"/>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245"/>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93" w:type="dxa"/>
            <w:noWrap w:val="0"/>
            <w:vAlign w:val="center"/>
          </w:tcPr>
          <w:p>
            <w:pPr>
              <w:spacing w:line="24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w:t>
            </w:r>
          </w:p>
          <w:p>
            <w:pPr>
              <w:spacing w:line="24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因素</w:t>
            </w:r>
          </w:p>
        </w:tc>
        <w:tc>
          <w:tcPr>
            <w:tcW w:w="1245" w:type="dxa"/>
            <w:noWrap w:val="0"/>
            <w:vAlign w:val="center"/>
          </w:tcPr>
          <w:p>
            <w:pPr>
              <w:spacing w:line="24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5927" w:type="dxa"/>
            <w:noWrap w:val="0"/>
            <w:vAlign w:val="center"/>
          </w:tcPr>
          <w:p>
            <w:pPr>
              <w:spacing w:line="24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3" w:type="dxa"/>
            <w:noWrap w:val="0"/>
            <w:vAlign w:val="center"/>
          </w:tcPr>
          <w:p>
            <w:pPr>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w:t>
            </w:r>
          </w:p>
          <w:p>
            <w:pPr>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30分</w:t>
            </w:r>
            <w:r>
              <w:rPr>
                <w:rFonts w:hint="eastAsia" w:ascii="宋体" w:hAnsi="宋体" w:eastAsia="宋体" w:cs="宋体"/>
                <w:color w:val="000000"/>
                <w:sz w:val="24"/>
                <w:szCs w:val="24"/>
                <w:highlight w:val="none"/>
                <w:lang w:eastAsia="zh-CN"/>
              </w:rPr>
              <w:t>）</w:t>
            </w:r>
          </w:p>
        </w:tc>
        <w:tc>
          <w:tcPr>
            <w:tcW w:w="1245" w:type="dxa"/>
            <w:noWrap w:val="0"/>
            <w:vAlign w:val="center"/>
          </w:tcPr>
          <w:p>
            <w:pPr>
              <w:jc w:val="center"/>
              <w:outlineLvl w:val="9"/>
              <w:rPr>
                <w:rFonts w:hint="eastAsia" w:ascii="宋体" w:hAnsi="宋体" w:eastAsia="宋体" w:cs="宋体"/>
                <w:b w:val="0"/>
                <w:bCs w:val="0"/>
                <w:sz w:val="24"/>
                <w:szCs w:val="24"/>
                <w:highlight w:val="none"/>
              </w:rPr>
            </w:pP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c>
          <w:tcPr>
            <w:tcW w:w="5927" w:type="dxa"/>
            <w:noWrap w:val="0"/>
            <w:vAlign w:val="center"/>
          </w:tcPr>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价格分采用低价优先法计算，即满足招标文件要求且投标价格最低的投标报价为评标基准价，其他供应商的价格分按照下列公式计算：</w:t>
            </w:r>
          </w:p>
          <w:p>
            <w:pPr>
              <w:outlineLvl w:val="9"/>
              <w:rPr>
                <w:rFonts w:hint="default" w:ascii="宋体" w:hAnsi="宋体" w:eastAsia="宋体" w:cs="宋体"/>
                <w:b w:val="0"/>
                <w:bCs w:val="0"/>
                <w:sz w:val="24"/>
                <w:szCs w:val="24"/>
                <w:highlight w:val="none"/>
                <w:lang w:val="en-US"/>
              </w:rPr>
            </w:pPr>
            <w:r>
              <w:rPr>
                <w:rFonts w:hint="eastAsia" w:ascii="宋体" w:hAnsi="宋体" w:eastAsia="宋体" w:cs="宋体"/>
                <w:color w:val="000000"/>
                <w:sz w:val="24"/>
                <w:szCs w:val="24"/>
                <w:highlight w:val="none"/>
                <w:lang w:val="en-US" w:eastAsia="zh-CN"/>
              </w:rPr>
              <w:t>价格分=（评标基准价/投标报价）×30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93" w:type="dxa"/>
            <w:vMerge w:val="restart"/>
            <w:noWrap w:val="0"/>
            <w:vAlign w:val="top"/>
          </w:tcPr>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技术</w:t>
            </w: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部分</w:t>
            </w: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color w:val="000000"/>
                <w:kern w:val="2"/>
                <w:sz w:val="24"/>
                <w:szCs w:val="24"/>
                <w:highlight w:val="none"/>
                <w:lang w:val="en-US" w:eastAsia="zh-CN" w:bidi="ar-SA"/>
              </w:rPr>
              <w:t>（50分）</w:t>
            </w:r>
          </w:p>
        </w:tc>
        <w:tc>
          <w:tcPr>
            <w:tcW w:w="1245" w:type="dxa"/>
            <w:noWrap w:val="0"/>
            <w:vAlign w:val="center"/>
          </w:tcPr>
          <w:p>
            <w:pPr>
              <w:jc w:val="center"/>
              <w:outlineLvl w:val="9"/>
              <w:rPr>
                <w:rFonts w:hint="eastAsia" w:ascii="宋体" w:hAnsi="宋体" w:eastAsia="宋体" w:cs="宋体"/>
                <w:sz w:val="24"/>
                <w:szCs w:val="24"/>
                <w:highlight w:val="none"/>
                <w:lang w:val="en-US" w:eastAsia="zh-CN"/>
              </w:rPr>
            </w:pPr>
            <w:r>
              <w:rPr>
                <w:rFonts w:hint="eastAsia" w:ascii="宋体" w:hAnsi="宋体" w:cs="宋体"/>
                <w:sz w:val="24"/>
                <w:szCs w:val="24"/>
                <w:lang w:eastAsia="zh-CN"/>
              </w:rPr>
              <w:t>产品技术参数</w:t>
            </w:r>
            <w:r>
              <w:rPr>
                <w:rFonts w:hint="eastAsia" w:ascii="宋体" w:hAnsi="宋体" w:eastAsia="宋体" w:cs="宋体"/>
                <w:sz w:val="24"/>
                <w:szCs w:val="24"/>
                <w:highlight w:val="none"/>
                <w:lang w:val="en-US" w:eastAsia="zh-CN"/>
              </w:rPr>
              <w:t>（35分）</w:t>
            </w:r>
          </w:p>
        </w:tc>
        <w:tc>
          <w:tcPr>
            <w:tcW w:w="5927" w:type="dxa"/>
            <w:noWrap w:val="0"/>
            <w:vAlign w:val="center"/>
          </w:tcPr>
          <w:p>
            <w:pPr>
              <w:rPr>
                <w:rFonts w:hint="eastAsia"/>
                <w:color w:val="auto"/>
                <w:sz w:val="24"/>
                <w:szCs w:val="24"/>
                <w:highlight w:val="none"/>
                <w:lang w:val="en-US" w:eastAsia="zh-CN"/>
              </w:rPr>
            </w:pPr>
            <w:r>
              <w:rPr>
                <w:rFonts w:hint="eastAsia"/>
                <w:color w:val="auto"/>
                <w:sz w:val="24"/>
                <w:szCs w:val="24"/>
                <w:highlight w:val="none"/>
                <w:lang w:val="en-US" w:eastAsia="zh-CN"/>
              </w:rPr>
              <w:t>投标产品技术参数清楚、明确，有相应齐全的技术资料，完全满足招标技术参数要求得35分；</w:t>
            </w:r>
            <w:r>
              <w:rPr>
                <w:rFonts w:hint="eastAsia" w:hAnsi="宋体" w:cs="宋体"/>
                <w:color w:val="auto"/>
                <w:szCs w:val="24"/>
              </w:rPr>
              <w:t>技术参数负偏离一项扣</w:t>
            </w:r>
            <w:r>
              <w:rPr>
                <w:rFonts w:hint="eastAsia" w:hAnsi="宋体" w:cs="宋体"/>
                <w:color w:val="auto"/>
                <w:szCs w:val="24"/>
                <w:lang w:val="en-US" w:eastAsia="zh-CN"/>
              </w:rPr>
              <w:t>3</w:t>
            </w:r>
            <w:r>
              <w:rPr>
                <w:rFonts w:hint="eastAsia" w:hAnsi="宋体" w:cs="宋体"/>
                <w:color w:val="auto"/>
                <w:szCs w:val="24"/>
              </w:rPr>
              <w:t xml:space="preserve">分，直到扣完为止。  </w:t>
            </w:r>
          </w:p>
          <w:p>
            <w:pPr>
              <w:outlineLvl w:val="9"/>
              <w:rPr>
                <w:rFonts w:hint="eastAsia" w:ascii="宋体" w:hAnsi="宋体" w:eastAsia="宋体" w:cs="宋体"/>
                <w:sz w:val="24"/>
                <w:szCs w:val="24"/>
                <w:highlight w:val="none"/>
              </w:rPr>
            </w:pPr>
            <w:r>
              <w:rPr>
                <w:rFonts w:hint="eastAsia" w:ascii="宋体" w:hAnsi="宋体" w:cs="宋体"/>
                <w:color w:val="auto"/>
                <w:sz w:val="24"/>
                <w:szCs w:val="24"/>
                <w:lang w:val="en-US" w:eastAsia="zh-CN"/>
              </w:rPr>
              <w:t xml:space="preserve"> </w:t>
            </w:r>
            <w:r>
              <w:rPr>
                <w:rFonts w:hint="eastAsia" w:ascii="宋体" w:hAnsi="宋体" w:cs="宋体"/>
                <w:b/>
                <w:bCs/>
                <w:color w:val="auto"/>
                <w:sz w:val="24"/>
                <w:szCs w:val="24"/>
                <w:lang w:eastAsia="zh-CN"/>
              </w:rPr>
              <w:t>评审依据：</w:t>
            </w:r>
            <w:r>
              <w:rPr>
                <w:rFonts w:hint="eastAsia"/>
                <w:color w:val="auto"/>
                <w:sz w:val="24"/>
                <w:szCs w:val="24"/>
                <w:lang w:val="en-US" w:eastAsia="zh-CN"/>
              </w:rPr>
              <w:t>技术参数及性能指标</w:t>
            </w:r>
            <w:r>
              <w:rPr>
                <w:rFonts w:hint="eastAsia"/>
                <w:color w:val="auto"/>
                <w:sz w:val="24"/>
                <w:szCs w:val="24"/>
              </w:rPr>
              <w:t>清楚、明确，技</w:t>
            </w:r>
            <w:r>
              <w:rPr>
                <w:rFonts w:hint="eastAsia"/>
                <w:sz w:val="24"/>
                <w:szCs w:val="24"/>
              </w:rPr>
              <w:t>术资料齐全</w:t>
            </w:r>
            <w:r>
              <w:rPr>
                <w:rFonts w:hint="eastAsia"/>
                <w:sz w:val="24"/>
                <w:szCs w:val="24"/>
                <w:highlight w:val="none"/>
                <w:lang w:eastAsia="zh-CN"/>
              </w:rPr>
              <w:t>，</w:t>
            </w:r>
            <w:r>
              <w:rPr>
                <w:rFonts w:hint="eastAsia" w:ascii="宋体" w:hAnsi="宋体" w:cs="宋体"/>
                <w:b w:val="0"/>
                <w:bCs w:val="0"/>
                <w:sz w:val="24"/>
                <w:szCs w:val="24"/>
                <w:lang w:eastAsia="zh-CN"/>
              </w:rPr>
              <w:t>供应商</w:t>
            </w:r>
            <w:r>
              <w:rPr>
                <w:rFonts w:hint="eastAsia" w:ascii="宋体" w:hAnsi="宋体" w:cs="宋体"/>
                <w:b w:val="0"/>
                <w:bCs w:val="0"/>
                <w:sz w:val="24"/>
                <w:szCs w:val="24"/>
              </w:rPr>
              <w:t>应提供详细的</w:t>
            </w:r>
            <w:r>
              <w:rPr>
                <w:rFonts w:hint="eastAsia" w:ascii="宋体" w:hAnsi="宋体" w:cs="宋体"/>
                <w:b w:val="0"/>
                <w:bCs w:val="0"/>
                <w:sz w:val="24"/>
                <w:szCs w:val="24"/>
                <w:lang w:eastAsia="zh-CN"/>
              </w:rPr>
              <w:t>证明材料，</w:t>
            </w:r>
            <w:r>
              <w:rPr>
                <w:rFonts w:hint="eastAsia" w:ascii="宋体" w:hAnsi="宋体" w:cs="宋体"/>
                <w:b w:val="0"/>
                <w:bCs w:val="0"/>
                <w:sz w:val="24"/>
                <w:szCs w:val="24"/>
              </w:rPr>
              <w:t>不限于</w:t>
            </w:r>
            <w:r>
              <w:rPr>
                <w:rFonts w:hint="eastAsia" w:ascii="宋体" w:hAnsi="宋体" w:cs="宋体"/>
                <w:b w:val="0"/>
                <w:bCs w:val="0"/>
                <w:sz w:val="24"/>
                <w:szCs w:val="24"/>
                <w:lang w:eastAsia="zh-CN"/>
              </w:rPr>
              <w:t>投标产品注册证及附件、</w:t>
            </w:r>
            <w:r>
              <w:rPr>
                <w:rFonts w:hint="eastAsia" w:ascii="宋体" w:hAnsi="宋体" w:cs="宋体"/>
                <w:b w:val="0"/>
                <w:bCs w:val="0"/>
                <w:sz w:val="24"/>
                <w:szCs w:val="24"/>
              </w:rPr>
              <w:t>（产品）彩页（如有）、（产品）说明书、</w:t>
            </w: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rPr>
              <w:t>检测</w:t>
            </w:r>
            <w:r>
              <w:rPr>
                <w:rFonts w:hint="eastAsia" w:ascii="宋体" w:hAnsi="宋体" w:cs="宋体"/>
                <w:b w:val="0"/>
                <w:bCs w:val="0"/>
                <w:sz w:val="24"/>
                <w:szCs w:val="24"/>
                <w:lang w:val="en-US" w:eastAsia="zh-CN"/>
              </w:rPr>
              <w:t>/检验</w:t>
            </w:r>
            <w:r>
              <w:rPr>
                <w:rFonts w:hint="eastAsia" w:ascii="宋体" w:hAnsi="宋体" w:cs="宋体"/>
                <w:b w:val="0"/>
                <w:bCs w:val="0"/>
                <w:sz w:val="24"/>
                <w:szCs w:val="24"/>
              </w:rPr>
              <w:t>报告</w:t>
            </w:r>
            <w:r>
              <w:rPr>
                <w:rFonts w:hint="eastAsia" w:ascii="宋体" w:hAnsi="宋体" w:cs="宋体"/>
                <w:b w:val="0"/>
                <w:bCs w:val="0"/>
                <w:sz w:val="24"/>
                <w:szCs w:val="24"/>
                <w:lang w:eastAsia="zh-CN"/>
              </w:rPr>
              <w:t>、产品功能说明</w:t>
            </w:r>
            <w:r>
              <w:rPr>
                <w:rFonts w:hint="eastAsia" w:ascii="宋体" w:hAnsi="宋体" w:cs="宋体"/>
                <w:b w:val="0"/>
                <w:bCs w:val="0"/>
                <w:sz w:val="24"/>
                <w:szCs w:val="24"/>
              </w:rPr>
              <w:t>等</w:t>
            </w:r>
            <w:r>
              <w:rPr>
                <w:rFonts w:hint="eastAsia" w:ascii="宋体" w:hAnsi="宋体" w:cs="宋体"/>
                <w:b w:val="0"/>
                <w:bCs w:val="0"/>
                <w:sz w:val="24"/>
                <w:szCs w:val="24"/>
                <w:lang w:eastAsia="zh-CN"/>
              </w:rPr>
              <w:t>；无证明资料或证明资料不能证明其满足参数技术指标的，将被视为负偏离</w:t>
            </w:r>
            <w:r>
              <w:rPr>
                <w:rFonts w:hint="eastAsia" w:ascii="宋体" w:hAnsi="宋体" w:cs="宋体"/>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93" w:type="dxa"/>
            <w:vMerge w:val="continue"/>
            <w:noWrap w:val="0"/>
            <w:vAlign w:val="top"/>
          </w:tcPr>
          <w:p>
            <w:pPr>
              <w:pStyle w:val="113"/>
              <w:spacing w:before="192" w:line="240" w:lineRule="auto"/>
              <w:ind w:right="249" w:rightChars="0"/>
              <w:outlineLvl w:val="9"/>
              <w:rPr>
                <w:rFonts w:hint="eastAsia" w:ascii="宋体" w:hAnsi="宋体" w:eastAsia="宋体" w:cs="宋体"/>
                <w:b w:val="0"/>
                <w:bCs w:val="0"/>
                <w:sz w:val="24"/>
                <w:szCs w:val="24"/>
                <w:highlight w:val="none"/>
                <w:lang w:eastAsia="zh-CN"/>
              </w:rPr>
            </w:pPr>
          </w:p>
        </w:tc>
        <w:tc>
          <w:tcPr>
            <w:tcW w:w="1245" w:type="dxa"/>
            <w:noWrap w:val="0"/>
            <w:vAlign w:val="center"/>
          </w:tcPr>
          <w:p>
            <w:pPr>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产品质量保证（</w:t>
            </w:r>
            <w:r>
              <w:rPr>
                <w:rFonts w:hint="eastAsia" w:ascii="宋体" w:hAnsi="宋体" w:eastAsia="宋体" w:cs="宋体"/>
                <w:sz w:val="24"/>
                <w:szCs w:val="24"/>
                <w:highlight w:val="none"/>
                <w:lang w:val="en-US" w:eastAsia="zh-CN"/>
              </w:rPr>
              <w:t>10分</w:t>
            </w:r>
            <w:r>
              <w:rPr>
                <w:rFonts w:hint="eastAsia" w:ascii="宋体" w:hAnsi="宋体" w:eastAsia="宋体" w:cs="宋体"/>
                <w:sz w:val="24"/>
                <w:szCs w:val="24"/>
                <w:highlight w:val="none"/>
                <w:lang w:eastAsia="zh-CN"/>
              </w:rPr>
              <w:t>）</w:t>
            </w:r>
          </w:p>
        </w:tc>
        <w:tc>
          <w:tcPr>
            <w:tcW w:w="5927" w:type="dxa"/>
            <w:noWrap w:val="0"/>
            <w:vAlign w:val="center"/>
          </w:tcPr>
          <w:p>
            <w:pPr>
              <w:jc w:val="left"/>
              <w:outlineLvl w:val="9"/>
              <w:rPr>
                <w:rFonts w:hint="eastAsia"/>
                <w:b w:val="0"/>
                <w:bCs w:val="0"/>
                <w:sz w:val="24"/>
                <w:szCs w:val="24"/>
                <w:lang w:val="en-US" w:eastAsia="zh-CN"/>
              </w:rPr>
            </w:pPr>
            <w:r>
              <w:rPr>
                <w:rFonts w:hint="eastAsia"/>
                <w:b w:val="0"/>
                <w:bCs w:val="0"/>
                <w:sz w:val="24"/>
                <w:szCs w:val="24"/>
                <w:lang w:val="en-US" w:eastAsia="zh-CN"/>
              </w:rPr>
              <w:t>所投设备（产品）及备品备件符合国内、国际相关标准且无产权纠纷，无假货、水货、翻新货，提供所投产品来源渠道合法证明文件（包括但不限于销售协议、代理协议、原厂授权等）；符合国家相关质量标准，通过国家法定检验注册，产品性能稳定、具有较好的使用效果，提供相关质量保证措施及承诺。</w:t>
            </w:r>
          </w:p>
          <w:p>
            <w:pPr>
              <w:jc w:val="left"/>
              <w:outlineLvl w:val="9"/>
              <w:rPr>
                <w:rFonts w:hint="eastAsia"/>
                <w:b w:val="0"/>
                <w:bCs w:val="0"/>
                <w:sz w:val="24"/>
                <w:szCs w:val="24"/>
                <w:lang w:val="en-US" w:eastAsia="zh-CN"/>
              </w:rPr>
            </w:pPr>
            <w:r>
              <w:rPr>
                <w:rFonts w:hint="eastAsia"/>
                <w:b w:val="0"/>
                <w:bCs w:val="0"/>
                <w:sz w:val="24"/>
                <w:szCs w:val="24"/>
                <w:lang w:val="en-US" w:eastAsia="zh-CN"/>
              </w:rPr>
              <w:t>措施和承诺有针对性合理可行得7.1-10分；</w:t>
            </w:r>
          </w:p>
          <w:p>
            <w:pPr>
              <w:jc w:val="left"/>
              <w:outlineLvl w:val="9"/>
              <w:rPr>
                <w:rFonts w:hint="eastAsia"/>
                <w:b w:val="0"/>
                <w:bCs w:val="0"/>
                <w:sz w:val="24"/>
                <w:szCs w:val="24"/>
                <w:lang w:val="en-US" w:eastAsia="zh-CN"/>
              </w:rPr>
            </w:pPr>
            <w:r>
              <w:rPr>
                <w:rFonts w:hint="eastAsia"/>
                <w:b w:val="0"/>
                <w:bCs w:val="0"/>
                <w:sz w:val="24"/>
                <w:szCs w:val="24"/>
                <w:lang w:val="en-US" w:eastAsia="zh-CN"/>
              </w:rPr>
              <w:t>措施和承诺针对性较强较合理可行得4.1-7分；</w:t>
            </w:r>
          </w:p>
          <w:p>
            <w:pPr>
              <w:jc w:val="left"/>
              <w:outlineLvl w:val="9"/>
              <w:rPr>
                <w:rFonts w:hint="eastAsia"/>
                <w:b w:val="0"/>
                <w:bCs w:val="0"/>
                <w:sz w:val="24"/>
                <w:szCs w:val="24"/>
                <w:lang w:val="en-US" w:eastAsia="zh-CN"/>
              </w:rPr>
            </w:pPr>
            <w:r>
              <w:rPr>
                <w:rFonts w:hint="eastAsia"/>
                <w:b w:val="0"/>
                <w:bCs w:val="0"/>
                <w:sz w:val="24"/>
                <w:szCs w:val="24"/>
                <w:lang w:val="en-US" w:eastAsia="zh-CN"/>
              </w:rPr>
              <w:t>措施和承诺针对性一般得1-4分；</w:t>
            </w:r>
          </w:p>
          <w:p>
            <w:pPr>
              <w:jc w:val="left"/>
              <w:outlineLvl w:val="9"/>
              <w:rPr>
                <w:rFonts w:hint="eastAsia"/>
                <w:b w:val="0"/>
                <w:bCs w:val="0"/>
                <w:sz w:val="24"/>
                <w:szCs w:val="24"/>
                <w:lang w:val="en-US" w:eastAsia="zh-CN"/>
              </w:rPr>
            </w:pPr>
            <w:r>
              <w:rPr>
                <w:rFonts w:hint="eastAsia"/>
                <w:b w:val="0"/>
                <w:bCs w:val="0"/>
                <w:sz w:val="24"/>
                <w:szCs w:val="24"/>
                <w:lang w:val="en-US" w:eastAsia="zh-CN"/>
              </w:rPr>
              <w:t>未提供不得分；</w:t>
            </w:r>
          </w:p>
          <w:p>
            <w:pPr>
              <w:jc w:val="left"/>
              <w:outlineLvl w:val="9"/>
              <w:rPr>
                <w:rFonts w:hint="eastAsia" w:ascii="宋体" w:hAnsi="宋体" w:eastAsia="宋体" w:cs="宋体"/>
                <w:kern w:val="2"/>
                <w:sz w:val="24"/>
                <w:szCs w:val="24"/>
                <w:highlight w:val="none"/>
                <w:lang w:val="en-US" w:eastAsia="zh-CN" w:bidi="ar-SA"/>
              </w:rPr>
            </w:pPr>
            <w:r>
              <w:rPr>
                <w:rFonts w:hint="eastAsia"/>
                <w:b w:val="0"/>
                <w:bCs w:val="0"/>
                <w:sz w:val="24"/>
                <w:szCs w:val="24"/>
                <w:lang w:val="en-US" w:eastAsia="zh-CN"/>
              </w:rPr>
              <w:t xml:space="preserve">评审依据：所投产品来源渠道的合法证明文件，不限于认证证书，销售协议、代理协议、原厂授权等和生产厂家出具的相应功能证明材料（包括但不限于测试报告、官网和功能截图等）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93" w:type="dxa"/>
            <w:vMerge w:val="continue"/>
            <w:noWrap w:val="0"/>
            <w:vAlign w:val="top"/>
          </w:tcPr>
          <w:p>
            <w:pPr>
              <w:pStyle w:val="113"/>
              <w:spacing w:before="192" w:line="240" w:lineRule="auto"/>
              <w:ind w:right="249" w:rightChars="0"/>
              <w:outlineLvl w:val="9"/>
              <w:rPr>
                <w:rFonts w:hint="eastAsia" w:ascii="宋体" w:hAnsi="宋体" w:eastAsia="宋体" w:cs="宋体"/>
                <w:b w:val="0"/>
                <w:bCs w:val="0"/>
                <w:sz w:val="24"/>
                <w:szCs w:val="24"/>
                <w:highlight w:val="none"/>
                <w:lang w:eastAsia="zh-CN"/>
              </w:rPr>
            </w:pPr>
          </w:p>
        </w:tc>
        <w:tc>
          <w:tcPr>
            <w:tcW w:w="1245" w:type="dxa"/>
            <w:noWrap w:val="0"/>
            <w:vAlign w:val="center"/>
          </w:tcPr>
          <w:p>
            <w:pPr>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实施</w:t>
            </w:r>
          </w:p>
          <w:p>
            <w:pPr>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w:t>
            </w:r>
          </w:p>
          <w:p>
            <w:pPr>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（5分）</w:t>
            </w:r>
          </w:p>
        </w:tc>
        <w:tc>
          <w:tcPr>
            <w:tcW w:w="5927" w:type="dxa"/>
            <w:noWrap w:val="0"/>
            <w:vAlign w:val="center"/>
          </w:tcPr>
          <w:p>
            <w:pPr>
              <w:pStyle w:val="120"/>
              <w:ind w:firstLine="0" w:firstLineChars="0"/>
              <w:rPr>
                <w:rFonts w:hAnsi="宋体"/>
                <w:color w:val="auto"/>
                <w:sz w:val="24"/>
                <w:szCs w:val="24"/>
                <w:highlight w:val="none"/>
              </w:rPr>
            </w:pPr>
            <w:r>
              <w:rPr>
                <w:rFonts w:hint="eastAsia" w:hAnsi="宋体"/>
                <w:color w:val="auto"/>
                <w:sz w:val="24"/>
                <w:szCs w:val="24"/>
                <w:highlight w:val="none"/>
              </w:rPr>
              <w:t>根据投标人针对本项目实施方案（不限于供货配送方案、运输保管方案、</w:t>
            </w:r>
            <w:r>
              <w:rPr>
                <w:rFonts w:hint="eastAsia" w:hAnsi="宋体"/>
                <w:color w:val="auto"/>
                <w:sz w:val="24"/>
                <w:szCs w:val="24"/>
                <w:highlight w:val="none"/>
                <w:lang w:eastAsia="zh-CN"/>
              </w:rPr>
              <w:t>安装调试、</w:t>
            </w:r>
            <w:r>
              <w:rPr>
                <w:rFonts w:hint="eastAsia" w:hAnsi="宋体"/>
                <w:color w:val="auto"/>
                <w:sz w:val="24"/>
                <w:szCs w:val="24"/>
                <w:highlight w:val="none"/>
              </w:rPr>
              <w:t>质量标准、人员配备、</w:t>
            </w:r>
            <w:r>
              <w:rPr>
                <w:rFonts w:hint="eastAsia" w:ascii="宋体" w:hAnsi="宋体" w:cs="宋体"/>
                <w:color w:val="auto"/>
                <w:sz w:val="24"/>
                <w:szCs w:val="24"/>
                <w:highlight w:val="none"/>
              </w:rPr>
              <w:t>产品调换方案以及出现紧急情况下的应急方案</w:t>
            </w:r>
            <w:r>
              <w:rPr>
                <w:rFonts w:hint="eastAsia" w:hAnsi="宋体"/>
                <w:color w:val="auto"/>
                <w:sz w:val="24"/>
                <w:szCs w:val="24"/>
                <w:highlight w:val="none"/>
              </w:rPr>
              <w:t>等实施方案）进行综合评分。</w:t>
            </w:r>
          </w:p>
          <w:p>
            <w:pPr>
              <w:rPr>
                <w:rFonts w:ascii="宋体" w:hAnsi="宋体" w:cs="宋体"/>
                <w:color w:val="auto"/>
                <w:sz w:val="24"/>
                <w:szCs w:val="24"/>
                <w:highlight w:val="none"/>
              </w:rPr>
            </w:pPr>
            <w:r>
              <w:rPr>
                <w:rFonts w:hint="eastAsia" w:ascii="宋体" w:hAnsi="宋体" w:cs="宋体"/>
                <w:color w:val="auto"/>
                <w:sz w:val="24"/>
                <w:szCs w:val="24"/>
                <w:highlight w:val="none"/>
              </w:rPr>
              <w:t>1.方案细致完整、描述条理清晰，内容齐全，有较高的针对性，得</w:t>
            </w:r>
            <w:r>
              <w:rPr>
                <w:rFonts w:hint="eastAsia" w:ascii="宋体" w:hAnsi="宋体" w:cs="宋体"/>
                <w:color w:val="auto"/>
                <w:sz w:val="24"/>
                <w:szCs w:val="24"/>
                <w:highlight w:val="none"/>
                <w:lang w:val="en-US" w:eastAsia="zh-CN"/>
              </w:rPr>
              <w:t>3.1-5</w:t>
            </w:r>
            <w:r>
              <w:rPr>
                <w:rFonts w:hint="eastAsia" w:ascii="宋体" w:hAnsi="宋体" w:cs="宋体"/>
                <w:color w:val="auto"/>
                <w:sz w:val="24"/>
                <w:szCs w:val="24"/>
                <w:highlight w:val="none"/>
              </w:rPr>
              <w:t>分；</w:t>
            </w:r>
          </w:p>
          <w:p>
            <w:pPr>
              <w:rPr>
                <w:rFonts w:ascii="宋体" w:hAnsi="宋体" w:cs="宋体"/>
                <w:color w:val="auto"/>
                <w:sz w:val="24"/>
                <w:szCs w:val="24"/>
                <w:highlight w:val="none"/>
              </w:rPr>
            </w:pPr>
            <w:r>
              <w:rPr>
                <w:rFonts w:hint="eastAsia" w:ascii="宋体" w:hAnsi="宋体" w:cs="宋体"/>
                <w:color w:val="auto"/>
                <w:sz w:val="24"/>
                <w:szCs w:val="24"/>
                <w:highlight w:val="none"/>
              </w:rPr>
              <w:t>2.方案较完整，可基本实现及满足采购要求，得</w:t>
            </w:r>
            <w:r>
              <w:rPr>
                <w:rFonts w:hint="eastAsia" w:ascii="宋体" w:hAnsi="宋体" w:cs="宋体"/>
                <w:color w:val="auto"/>
                <w:sz w:val="24"/>
                <w:szCs w:val="24"/>
                <w:highlight w:val="none"/>
                <w:lang w:val="en-US" w:eastAsia="zh-CN"/>
              </w:rPr>
              <w:t>1.0-3</w:t>
            </w:r>
            <w:r>
              <w:rPr>
                <w:rFonts w:hint="eastAsia" w:ascii="宋体" w:hAnsi="宋体" w:cs="宋体"/>
                <w:color w:val="auto"/>
                <w:sz w:val="24"/>
                <w:szCs w:val="24"/>
                <w:highlight w:val="none"/>
              </w:rPr>
              <w:t>分；</w:t>
            </w:r>
          </w:p>
          <w:p>
            <w:pPr>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3.方案有明显缺陷，针对性较差</w:t>
            </w:r>
            <w:r>
              <w:rPr>
                <w:rFonts w:hint="eastAsia" w:ascii="宋体" w:hAnsi="宋体" w:cs="宋体"/>
                <w:color w:val="auto"/>
                <w:sz w:val="24"/>
                <w:szCs w:val="24"/>
                <w:highlight w:val="none"/>
                <w:lang w:eastAsia="zh-CN"/>
              </w:rPr>
              <w:t>不得分</w:t>
            </w:r>
            <w:r>
              <w:rPr>
                <w:rFonts w:hint="eastAsia"/>
                <w:color w:val="auto"/>
                <w:sz w:val="24"/>
                <w:szCs w:val="24"/>
                <w:highlight w:val="none"/>
              </w:rPr>
              <w:t>。</w:t>
            </w:r>
            <w:r>
              <w:rPr>
                <w:rFonts w:hAnsi="宋体"/>
                <w:color w:val="auto"/>
                <w:sz w:val="24"/>
                <w:szCs w:val="24"/>
                <w:highlight w:val="none"/>
              </w:rPr>
              <w:t xml:space="preserve">     </w:t>
            </w:r>
            <w:r>
              <w:rPr>
                <w:rFonts w:hAnsi="宋体"/>
                <w:color w:val="auto"/>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1293" w:type="dxa"/>
            <w:vMerge w:val="restart"/>
            <w:noWrap w:val="0"/>
            <w:vAlign w:val="top"/>
          </w:tcPr>
          <w:p>
            <w:pPr>
              <w:pStyle w:val="113"/>
              <w:spacing w:line="240" w:lineRule="auto"/>
              <w:outlineLvl w:val="9"/>
              <w:rPr>
                <w:rFonts w:hint="eastAsia" w:ascii="宋体" w:hAnsi="宋体" w:eastAsia="宋体" w:cs="宋体"/>
                <w:b w:val="0"/>
                <w:bCs w:val="0"/>
                <w:sz w:val="24"/>
                <w:szCs w:val="24"/>
                <w:highlight w:val="none"/>
              </w:rPr>
            </w:pPr>
          </w:p>
          <w:p>
            <w:pPr>
              <w:pStyle w:val="113"/>
              <w:spacing w:line="240" w:lineRule="auto"/>
              <w:outlineLvl w:val="9"/>
              <w:rPr>
                <w:rFonts w:hint="eastAsia" w:ascii="宋体" w:hAnsi="宋体" w:eastAsia="宋体" w:cs="宋体"/>
                <w:b w:val="0"/>
                <w:bCs w:val="0"/>
                <w:sz w:val="24"/>
                <w:szCs w:val="24"/>
                <w:highlight w:val="none"/>
              </w:rPr>
            </w:pPr>
          </w:p>
          <w:p>
            <w:pPr>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商务</w:t>
            </w:r>
          </w:p>
          <w:p>
            <w:pPr>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部分</w:t>
            </w:r>
          </w:p>
          <w:p>
            <w:pPr>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（20分）</w:t>
            </w:r>
          </w:p>
          <w:p>
            <w:pPr>
              <w:jc w:val="center"/>
              <w:outlineLvl w:val="9"/>
              <w:rPr>
                <w:rFonts w:hint="eastAsia" w:ascii="宋体" w:hAnsi="宋体" w:eastAsia="宋体" w:cs="宋体"/>
                <w:b w:val="0"/>
                <w:bCs w:val="0"/>
                <w:kern w:val="0"/>
                <w:sz w:val="24"/>
                <w:szCs w:val="24"/>
                <w:highlight w:val="none"/>
                <w:lang w:val="en-US" w:eastAsia="zh-CN" w:bidi="ar-SA"/>
              </w:rPr>
            </w:pPr>
          </w:p>
        </w:tc>
        <w:tc>
          <w:tcPr>
            <w:tcW w:w="1245" w:type="dxa"/>
            <w:noWrap w:val="0"/>
            <w:vAlign w:val="center"/>
          </w:tcPr>
          <w:p>
            <w:pPr>
              <w:pStyle w:val="113"/>
              <w:spacing w:line="240" w:lineRule="auto"/>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售后服务方案（5分）</w:t>
            </w:r>
          </w:p>
        </w:tc>
        <w:tc>
          <w:tcPr>
            <w:tcW w:w="5927" w:type="dxa"/>
            <w:noWrap w:val="0"/>
            <w:vAlign w:val="top"/>
          </w:tcPr>
          <w:p>
            <w:pPr>
              <w:rPr>
                <w:rFonts w:hAnsi="宋体"/>
                <w:color w:val="auto"/>
                <w:szCs w:val="21"/>
              </w:rPr>
            </w:pPr>
            <w:r>
              <w:rPr>
                <w:rFonts w:hint="eastAsia" w:hAnsi="宋体"/>
                <w:color w:val="auto"/>
                <w:szCs w:val="21"/>
                <w:lang w:val="en-US" w:eastAsia="zh-CN"/>
              </w:rPr>
              <w:t>1.</w:t>
            </w:r>
            <w:r>
              <w:rPr>
                <w:rFonts w:hint="eastAsia" w:hAnsi="宋体"/>
                <w:color w:val="auto"/>
                <w:szCs w:val="21"/>
              </w:rPr>
              <w:t>针对本项目</w:t>
            </w:r>
            <w:r>
              <w:rPr>
                <w:rFonts w:hint="eastAsia" w:hAnsi="宋体"/>
                <w:color w:val="auto"/>
                <w:szCs w:val="21"/>
                <w:lang w:val="zh-CN"/>
              </w:rPr>
              <w:t>试剂耗材在运输途中发生破损、渗漏的补救措施及解决方案制定相应的售后服务方案，包括送货响应时效、调换货响应时效、提供具体可行的售后服务措施承诺及明确详细的售后服务人员组成和安排，为招标人提供必要的技术支持等内容根据响应程度计0-3分</w:t>
            </w:r>
            <w:r>
              <w:rPr>
                <w:rFonts w:hint="eastAsia" w:hAnsi="宋体"/>
                <w:color w:val="auto"/>
                <w:szCs w:val="21"/>
              </w:rPr>
              <w:t>。</w:t>
            </w:r>
          </w:p>
          <w:p>
            <w:pPr>
              <w:jc w:val="left"/>
              <w:rPr>
                <w:rFonts w:hint="default" w:ascii="宋体" w:hAnsi="宋体" w:eastAsia="宋体" w:cs="宋体"/>
                <w:b w:val="0"/>
                <w:bCs w:val="0"/>
                <w:color w:val="auto"/>
                <w:sz w:val="24"/>
                <w:szCs w:val="24"/>
                <w:highlight w:val="none"/>
                <w:lang w:val="en-US" w:eastAsia="zh-CN"/>
              </w:rPr>
            </w:pPr>
            <w:r>
              <w:rPr>
                <w:rFonts w:hint="eastAsia" w:hAnsi="宋体" w:eastAsia="宋体"/>
                <w:color w:val="auto"/>
                <w:szCs w:val="21"/>
                <w:lang w:val="en-US" w:eastAsia="zh-CN"/>
              </w:rPr>
              <w:t>2</w:t>
            </w:r>
            <w:r>
              <w:rPr>
                <w:rFonts w:hint="eastAsia" w:hAnsi="宋体" w:cs="Times New Roman"/>
                <w:color w:val="auto"/>
                <w:szCs w:val="21"/>
                <w:lang w:val="en-US" w:eastAsia="zh-CN"/>
              </w:rPr>
              <w:t>.</w:t>
            </w:r>
            <w:r>
              <w:rPr>
                <w:rFonts w:hint="eastAsia" w:hAnsi="宋体" w:cs="Times New Roman"/>
                <w:color w:val="auto"/>
                <w:szCs w:val="21"/>
                <w:lang w:val="zh-CN"/>
              </w:rPr>
              <w:t>为采购人负责培训操作人员，并附有完整的培训方案，列出详细的培训内容、培训方式等说明，根据响应程度计</w:t>
            </w:r>
            <w:r>
              <w:rPr>
                <w:rFonts w:hint="eastAsia" w:hAnsi="宋体" w:cs="Times New Roman"/>
                <w:color w:val="auto"/>
                <w:szCs w:val="21"/>
                <w:lang w:val="en-US" w:eastAsia="zh-CN"/>
              </w:rPr>
              <w:t>0-2</w:t>
            </w:r>
            <w:r>
              <w:rPr>
                <w:rFonts w:hint="eastAsia" w:hAnsi="宋体" w:cs="Times New Roman"/>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293" w:type="dxa"/>
            <w:vMerge w:val="continue"/>
            <w:noWrap w:val="0"/>
            <w:vAlign w:val="top"/>
          </w:tcPr>
          <w:p>
            <w:pPr>
              <w:spacing w:line="240" w:lineRule="auto"/>
              <w:outlineLvl w:val="9"/>
              <w:rPr>
                <w:rFonts w:hint="eastAsia" w:ascii="宋体" w:hAnsi="宋体" w:eastAsia="宋体" w:cs="宋体"/>
                <w:b w:val="0"/>
                <w:bCs w:val="0"/>
                <w:sz w:val="24"/>
                <w:szCs w:val="24"/>
                <w:highlight w:val="none"/>
              </w:rPr>
            </w:pPr>
          </w:p>
        </w:tc>
        <w:tc>
          <w:tcPr>
            <w:tcW w:w="1245" w:type="dxa"/>
            <w:noWrap w:val="0"/>
            <w:vAlign w:val="center"/>
          </w:tcPr>
          <w:p>
            <w:pPr>
              <w:spacing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商务</w:t>
            </w:r>
          </w:p>
          <w:p>
            <w:pPr>
              <w:spacing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响应</w:t>
            </w:r>
          </w:p>
          <w:p>
            <w:pPr>
              <w:spacing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（5分）</w:t>
            </w:r>
          </w:p>
        </w:tc>
        <w:tc>
          <w:tcPr>
            <w:tcW w:w="5927" w:type="dxa"/>
            <w:noWrap w:val="0"/>
            <w:vAlign w:val="top"/>
          </w:tcPr>
          <w:p>
            <w:pPr>
              <w:pStyle w:val="113"/>
              <w:spacing w:line="240" w:lineRule="auto"/>
              <w:ind w:right="96"/>
              <w:outlineLvl w:val="9"/>
              <w:rPr>
                <w:rFonts w:hint="eastAsia" w:ascii="宋体" w:hAnsi="宋体" w:eastAsia="宋体" w:cs="宋体"/>
                <w:b w:val="0"/>
                <w:bCs w:val="0"/>
                <w:color w:val="auto"/>
                <w:sz w:val="24"/>
                <w:szCs w:val="24"/>
                <w:highlight w:val="none"/>
                <w:lang w:val="en-US" w:eastAsia="zh-CN"/>
              </w:rPr>
            </w:pPr>
            <w:r>
              <w:rPr>
                <w:rFonts w:hint="eastAsia" w:hAnsi="宋体"/>
                <w:color w:val="auto"/>
                <w:sz w:val="24"/>
                <w:szCs w:val="24"/>
                <w:lang w:val="en-US" w:eastAsia="zh-CN"/>
              </w:rPr>
              <w:t>响应文件完全满足</w:t>
            </w:r>
            <w:r>
              <w:rPr>
                <w:rFonts w:hint="eastAsia" w:hAnsi="宋体"/>
                <w:color w:val="auto"/>
                <w:sz w:val="24"/>
                <w:szCs w:val="24"/>
                <w:highlight w:val="none"/>
                <w:lang w:val="en-US" w:eastAsia="zh-CN"/>
              </w:rPr>
              <w:t>招标</w:t>
            </w:r>
            <w:r>
              <w:rPr>
                <w:rFonts w:hint="eastAsia" w:hAnsi="宋体"/>
                <w:color w:val="auto"/>
                <w:sz w:val="24"/>
                <w:szCs w:val="24"/>
                <w:lang w:val="en-US" w:eastAsia="zh-CN"/>
              </w:rPr>
              <w:t>文件商务要求并有相应商务响应说明得2分；交货期优于</w:t>
            </w:r>
            <w:r>
              <w:rPr>
                <w:rFonts w:hint="eastAsia" w:hAnsi="宋体"/>
                <w:color w:val="auto"/>
                <w:sz w:val="24"/>
                <w:szCs w:val="24"/>
                <w:highlight w:val="none"/>
                <w:lang w:val="en-US" w:eastAsia="zh-CN"/>
              </w:rPr>
              <w:t>招标</w:t>
            </w:r>
            <w:r>
              <w:rPr>
                <w:rFonts w:hint="eastAsia" w:hAnsi="宋体"/>
                <w:color w:val="auto"/>
                <w:sz w:val="24"/>
                <w:szCs w:val="24"/>
                <w:lang w:val="en-US" w:eastAsia="zh-CN"/>
              </w:rPr>
              <w:t>文件要求的加1分，</w:t>
            </w:r>
            <w:r>
              <w:rPr>
                <w:rFonts w:hint="eastAsia" w:hAnsi="宋体"/>
                <w:color w:val="auto"/>
                <w:sz w:val="24"/>
                <w:szCs w:val="24"/>
                <w:lang w:val="zh-CN"/>
              </w:rPr>
              <w:t>产品有效期</w:t>
            </w:r>
            <w:r>
              <w:rPr>
                <w:rFonts w:hint="eastAsia" w:hAnsi="宋体"/>
                <w:color w:val="auto"/>
                <w:sz w:val="24"/>
                <w:szCs w:val="24"/>
                <w:lang w:val="en-US" w:eastAsia="zh-CN"/>
              </w:rPr>
              <w:t>优于</w:t>
            </w:r>
            <w:r>
              <w:rPr>
                <w:rFonts w:hint="eastAsia" w:hAnsi="宋体"/>
                <w:color w:val="auto"/>
                <w:sz w:val="24"/>
                <w:szCs w:val="24"/>
                <w:highlight w:val="none"/>
                <w:lang w:val="en-US" w:eastAsia="zh-CN"/>
              </w:rPr>
              <w:t>招标</w:t>
            </w:r>
            <w:r>
              <w:rPr>
                <w:rFonts w:hint="eastAsia" w:hAnsi="宋体"/>
                <w:color w:val="auto"/>
                <w:sz w:val="24"/>
                <w:szCs w:val="24"/>
                <w:lang w:val="en-US" w:eastAsia="zh-CN"/>
              </w:rPr>
              <w:t>文件要求加1分，最多加2分</w:t>
            </w:r>
            <w:r>
              <w:rPr>
                <w:rFonts w:hint="eastAsia" w:asci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293" w:type="dxa"/>
            <w:vMerge w:val="continue"/>
            <w:noWrap w:val="0"/>
            <w:vAlign w:val="center"/>
          </w:tcPr>
          <w:p>
            <w:pPr>
              <w:jc w:val="center"/>
              <w:outlineLvl w:val="9"/>
              <w:rPr>
                <w:rFonts w:hint="eastAsia" w:ascii="宋体" w:hAnsi="宋体" w:eastAsia="宋体" w:cs="宋体"/>
                <w:b w:val="0"/>
                <w:bCs w:val="0"/>
                <w:kern w:val="0"/>
                <w:sz w:val="24"/>
                <w:szCs w:val="24"/>
                <w:highlight w:val="none"/>
                <w:lang w:val="en-US" w:eastAsia="zh-CN" w:bidi="ar-SA"/>
              </w:rPr>
            </w:pPr>
          </w:p>
        </w:tc>
        <w:tc>
          <w:tcPr>
            <w:tcW w:w="1245" w:type="dxa"/>
            <w:noWrap w:val="0"/>
            <w:vAlign w:val="center"/>
          </w:tcPr>
          <w:p>
            <w:pPr>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p>
          <w:p>
            <w:pPr>
              <w:pStyle w:val="17"/>
              <w:jc w:val="center"/>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10分</w:t>
            </w:r>
          </w:p>
        </w:tc>
        <w:tc>
          <w:tcPr>
            <w:tcW w:w="5927" w:type="dxa"/>
            <w:noWrap w:val="0"/>
            <w:vAlign w:val="center"/>
          </w:tcPr>
          <w:p>
            <w:pPr>
              <w:jc w:val="both"/>
              <w:rPr>
                <w:rFonts w:hint="eastAsia" w:hAnsi="宋体" w:cs="宋体" w:eastAsiaTheme="minorEastAsia"/>
                <w:color w:val="auto"/>
                <w:sz w:val="24"/>
                <w:szCs w:val="24"/>
                <w:highlight w:val="none"/>
                <w:lang w:eastAsia="zh-CN"/>
              </w:rPr>
            </w:pPr>
            <w:r>
              <w:rPr>
                <w:rFonts w:hint="eastAsia" w:hAnsi="宋体" w:cs="宋体"/>
                <w:color w:val="auto"/>
                <w:sz w:val="24"/>
                <w:szCs w:val="24"/>
                <w:highlight w:val="none"/>
              </w:rPr>
              <w:t>提供</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201</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年1月1日至今</w:t>
            </w:r>
            <w:r>
              <w:rPr>
                <w:rFonts w:hint="eastAsia" w:hAnsi="宋体" w:cs="宋体"/>
                <w:color w:val="auto"/>
                <w:sz w:val="24"/>
                <w:szCs w:val="24"/>
                <w:highlight w:val="none"/>
                <w:lang w:eastAsia="zh-CN"/>
              </w:rPr>
              <w:t>所投产品</w:t>
            </w:r>
            <w:r>
              <w:rPr>
                <w:rFonts w:hint="eastAsia" w:hAnsi="宋体" w:cs="宋体"/>
                <w:color w:val="auto"/>
                <w:sz w:val="24"/>
                <w:szCs w:val="24"/>
                <w:highlight w:val="none"/>
              </w:rPr>
              <w:t>供货业绩合同</w:t>
            </w:r>
            <w:r>
              <w:rPr>
                <w:rFonts w:hint="eastAsia" w:hAnsi="宋体" w:cs="宋体"/>
                <w:color w:val="auto"/>
                <w:sz w:val="24"/>
                <w:szCs w:val="24"/>
                <w:highlight w:val="none"/>
                <w:lang w:eastAsia="zh-CN"/>
              </w:rPr>
              <w:t>（以合同签订时间为准），</w:t>
            </w:r>
            <w:r>
              <w:rPr>
                <w:rFonts w:hint="eastAsia" w:hAnsi="宋体" w:cs="宋体"/>
                <w:color w:val="auto"/>
                <w:sz w:val="24"/>
                <w:szCs w:val="24"/>
                <w:highlight w:val="none"/>
              </w:rPr>
              <w:t>一个业绩计</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分，最高</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分。</w:t>
            </w:r>
          </w:p>
          <w:p>
            <w:pPr>
              <w:outlineLvl w:val="9"/>
              <w:rPr>
                <w:rFonts w:hint="eastAsia" w:ascii="宋体" w:hAnsi="宋体" w:eastAsia="宋体" w:cs="宋体"/>
                <w:b w:val="0"/>
                <w:bCs w:val="0"/>
                <w:color w:val="auto"/>
                <w:kern w:val="0"/>
                <w:sz w:val="24"/>
                <w:szCs w:val="24"/>
                <w:highlight w:val="none"/>
                <w:lang w:val="en-US" w:eastAsia="zh-CN" w:bidi="ar-SA"/>
              </w:rPr>
            </w:pPr>
            <w:r>
              <w:rPr>
                <w:rFonts w:hint="eastAsia" w:hAnsi="宋体"/>
                <w:b/>
                <w:bCs/>
                <w:color w:val="auto"/>
                <w:sz w:val="24"/>
                <w:szCs w:val="24"/>
                <w:highlight w:val="none"/>
              </w:rPr>
              <w:t>评审依据：</w:t>
            </w:r>
            <w:r>
              <w:rPr>
                <w:rFonts w:hint="eastAsia" w:hAnsi="宋体" w:cs="宋体"/>
                <w:color w:val="auto"/>
                <w:sz w:val="24"/>
                <w:szCs w:val="24"/>
                <w:lang w:eastAsia="zh-CN"/>
              </w:rPr>
              <w:t>投标文件中</w:t>
            </w:r>
            <w:r>
              <w:rPr>
                <w:rFonts w:hint="eastAsia"/>
                <w:color w:val="auto"/>
                <w:sz w:val="24"/>
                <w:szCs w:val="24"/>
                <w:lang w:eastAsia="zh-CN"/>
              </w:rPr>
              <w:t>须提供业绩合同证明材料复印件加盖公章，含合同关键页（即合同首页、合同标的物、合同金额页及双方签字盖章页），以合同签订时间为准</w:t>
            </w:r>
            <w:r>
              <w:rPr>
                <w:rFonts w:hint="eastAsia" w:hAnsi="宋体"/>
                <w:color w:val="auto"/>
                <w:sz w:val="24"/>
                <w:szCs w:val="24"/>
                <w:highlight w:val="none"/>
              </w:rPr>
              <w:t>。</w:t>
            </w:r>
            <w:r>
              <w:rPr>
                <w:rFonts w:hint="eastAsia" w:hAnsi="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465" w:type="dxa"/>
            <w:gridSpan w:val="3"/>
            <w:noWrap w:val="0"/>
            <w:vAlign w:val="center"/>
          </w:tcPr>
          <w:p>
            <w:pPr>
              <w:spacing w:line="240" w:lineRule="auto"/>
              <w:outlineLvl w:val="9"/>
              <w:rPr>
                <w:rFonts w:ascii="宋体" w:cs="宋体"/>
                <w:b/>
                <w:bCs/>
                <w:sz w:val="22"/>
                <w:szCs w:val="22"/>
              </w:rPr>
            </w:pPr>
            <w:r>
              <w:rPr>
                <w:rFonts w:hint="eastAsia" w:ascii="宋体" w:hAnsi="宋体" w:cs="宋体"/>
                <w:b/>
                <w:bCs/>
                <w:sz w:val="22"/>
                <w:szCs w:val="20"/>
              </w:rPr>
              <w:t>备注：</w:t>
            </w:r>
            <w:r>
              <w:rPr>
                <w:rFonts w:hint="eastAsia" w:ascii="宋体" w:hAnsi="宋体" w:cs="宋体"/>
                <w:b/>
                <w:bCs/>
                <w:sz w:val="22"/>
                <w:szCs w:val="22"/>
              </w:rPr>
              <w:t>（一）对小型或微型企业参加政府采购投标的扶持：</w:t>
            </w:r>
          </w:p>
          <w:p>
            <w:pPr>
              <w:spacing w:line="240" w:lineRule="auto"/>
              <w:ind w:firstLine="456" w:firstLineChars="200"/>
              <w:outlineLvl w:val="9"/>
              <w:rPr>
                <w:rFonts w:ascii="宋体" w:cs="宋体"/>
                <w:sz w:val="22"/>
                <w:szCs w:val="22"/>
              </w:rPr>
            </w:pPr>
            <w:r>
              <w:rPr>
                <w:rFonts w:hint="eastAsia" w:ascii="宋体" w:hAnsi="宋体" w:cs="宋体"/>
                <w:sz w:val="22"/>
                <w:szCs w:val="22"/>
              </w:rPr>
              <w:t>根据《政府采购促进中小企业发展管理办法》（财库</w:t>
            </w:r>
            <w:r>
              <w:rPr>
                <w:rFonts w:ascii="宋体" w:hAnsi="宋体" w:cs="宋体"/>
                <w:sz w:val="22"/>
                <w:szCs w:val="22"/>
              </w:rPr>
              <w:t>[20</w:t>
            </w:r>
            <w:r>
              <w:rPr>
                <w:rFonts w:hint="eastAsia" w:ascii="宋体" w:hAnsi="宋体" w:cs="宋体"/>
                <w:sz w:val="22"/>
                <w:szCs w:val="22"/>
              </w:rPr>
              <w:t>20</w:t>
            </w:r>
            <w:r>
              <w:rPr>
                <w:rFonts w:ascii="宋体" w:hAnsi="宋体" w:cs="宋体"/>
                <w:sz w:val="22"/>
                <w:szCs w:val="22"/>
              </w:rPr>
              <w:t>]</w:t>
            </w:r>
            <w:r>
              <w:rPr>
                <w:rFonts w:hint="eastAsia" w:ascii="宋体" w:hAnsi="宋体" w:cs="宋体"/>
                <w:sz w:val="22"/>
                <w:szCs w:val="22"/>
              </w:rPr>
              <w:t>46号）的规定，对于非专门面向中小企业的项目，对小型和微型企业产品的价格给予</w:t>
            </w:r>
            <w:r>
              <w:rPr>
                <w:rFonts w:hint="eastAsia" w:ascii="宋体" w:hAnsi="宋体" w:cs="宋体"/>
                <w:sz w:val="22"/>
                <w:szCs w:val="22"/>
                <w:lang w:val="en-US" w:eastAsia="zh-CN"/>
              </w:rPr>
              <w:t>10</w:t>
            </w:r>
            <w:r>
              <w:rPr>
                <w:rFonts w:ascii="宋体" w:hAnsi="宋体" w:cs="宋体"/>
                <w:sz w:val="22"/>
                <w:szCs w:val="22"/>
              </w:rPr>
              <w:t>%</w:t>
            </w:r>
            <w:r>
              <w:rPr>
                <w:rFonts w:hint="eastAsia" w:ascii="宋体" w:hAnsi="宋体" w:cs="宋体"/>
                <w:sz w:val="22"/>
                <w:szCs w:val="22"/>
              </w:rPr>
              <w:t>的扣除，用扣除后的价格参与评审；供应商可在投标文件中提供小型和微型企业声明，具体格式详见附件。</w:t>
            </w:r>
          </w:p>
          <w:p>
            <w:pPr>
              <w:spacing w:line="240" w:lineRule="auto"/>
              <w:ind w:firstLine="456" w:firstLineChars="200"/>
              <w:outlineLvl w:val="9"/>
              <w:rPr>
                <w:rFonts w:ascii="宋体" w:cs="宋体"/>
                <w:b/>
                <w:bCs/>
                <w:sz w:val="22"/>
                <w:szCs w:val="22"/>
              </w:rPr>
            </w:pPr>
            <w:r>
              <w:rPr>
                <w:rFonts w:hint="eastAsia" w:ascii="宋体" w:cs="宋体"/>
                <w:b/>
                <w:bCs/>
                <w:sz w:val="22"/>
                <w:szCs w:val="22"/>
              </w:rPr>
              <w:t>（二）对监狱企业、残疾人福利企业的扶持</w:t>
            </w:r>
          </w:p>
          <w:p>
            <w:pPr>
              <w:spacing w:line="240" w:lineRule="auto"/>
              <w:ind w:firstLine="456" w:firstLineChars="200"/>
              <w:outlineLvl w:val="9"/>
              <w:rPr>
                <w:rFonts w:ascii="宋体" w:hAnsi="宋体" w:cs="宋体"/>
                <w:sz w:val="22"/>
                <w:szCs w:val="22"/>
              </w:rPr>
            </w:pPr>
            <w:r>
              <w:rPr>
                <w:rFonts w:hint="eastAsia" w:ascii="宋体" w:cs="宋体"/>
                <w:sz w:val="22"/>
                <w:szCs w:val="22"/>
              </w:rPr>
              <w:t>根据《关于政府采购支持监狱企业发展有关问题的通知》（财库[2014]68号）</w:t>
            </w:r>
            <w:r>
              <w:rPr>
                <w:rFonts w:hint="eastAsia" w:ascii="宋体" w:hAnsi="宋体" w:cs="宋体"/>
                <w:sz w:val="22"/>
                <w:szCs w:val="22"/>
              </w:rPr>
              <w:t>（提供由省级以上监狱管理局、戒毒管理局（含新疆生产建设兵团）出具的属于监狱企业的证明文件）、《三部门联合发布关于促进残疾人就业政府采购政策的通知》（财库〔2017〕141号）的规定，对监狱企业、残疾人福利企业给予</w:t>
            </w:r>
            <w:r>
              <w:rPr>
                <w:rFonts w:hint="eastAsia" w:ascii="宋体" w:hAnsi="宋体" w:cs="宋体"/>
                <w:sz w:val="22"/>
                <w:szCs w:val="22"/>
                <w:lang w:val="en-US" w:eastAsia="zh-CN"/>
              </w:rPr>
              <w:t>10</w:t>
            </w:r>
            <w:r>
              <w:rPr>
                <w:rFonts w:hint="eastAsia" w:ascii="宋体" w:hAnsi="宋体" w:cs="宋体"/>
                <w:sz w:val="22"/>
                <w:szCs w:val="22"/>
              </w:rPr>
              <w:t xml:space="preserve">%的价格扣除，用扣除后的价格参与评审。 </w:t>
            </w:r>
          </w:p>
          <w:p>
            <w:pPr>
              <w:spacing w:line="240" w:lineRule="auto"/>
              <w:ind w:firstLine="456" w:firstLineChars="200"/>
              <w:outlineLvl w:val="9"/>
              <w:rPr>
                <w:rFonts w:ascii="宋体" w:hAnsi="宋体" w:cs="宋体"/>
                <w:b/>
                <w:bCs/>
                <w:sz w:val="22"/>
                <w:szCs w:val="22"/>
              </w:rPr>
            </w:pPr>
            <w:r>
              <w:rPr>
                <w:rFonts w:hint="eastAsia" w:ascii="宋体" w:hAnsi="宋体" w:cs="宋体"/>
                <w:b/>
                <w:bCs/>
                <w:sz w:val="22"/>
                <w:szCs w:val="22"/>
              </w:rPr>
              <w:t>（三）对同时属于小微企业、监狱企业或残疾人福利性单位的， 不重复享受政策。</w:t>
            </w:r>
          </w:p>
          <w:p>
            <w:pPr>
              <w:spacing w:line="240" w:lineRule="auto"/>
              <w:ind w:firstLine="456" w:firstLineChars="200"/>
              <w:outlineLvl w:val="9"/>
              <w:rPr>
                <w:rFonts w:ascii="宋体" w:cs="宋体"/>
                <w:b/>
                <w:bCs/>
                <w:sz w:val="22"/>
                <w:szCs w:val="22"/>
              </w:rPr>
            </w:pPr>
            <w:r>
              <w:rPr>
                <w:rFonts w:hint="eastAsia" w:ascii="宋体" w:hAnsi="宋体" w:cs="宋体"/>
                <w:b/>
                <w:bCs/>
                <w:sz w:val="22"/>
                <w:szCs w:val="22"/>
              </w:rPr>
              <w:t>（四）对节能、环保政策的支持</w:t>
            </w:r>
          </w:p>
          <w:p>
            <w:pPr>
              <w:spacing w:line="240" w:lineRule="auto"/>
              <w:ind w:firstLine="456" w:firstLineChars="200"/>
              <w:outlineLvl w:val="9"/>
              <w:rPr>
                <w:rFonts w:ascii="宋体"/>
                <w:color w:val="000000"/>
                <w:sz w:val="22"/>
                <w:szCs w:val="22"/>
              </w:rPr>
            </w:pPr>
            <w:r>
              <w:rPr>
                <w:rFonts w:hint="eastAsia" w:ascii="宋体" w:hAnsi="宋体" w:cs="宋体"/>
                <w:color w:val="000000"/>
                <w:sz w:val="22"/>
                <w:szCs w:val="22"/>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240" w:lineRule="auto"/>
              <w:ind w:firstLine="456" w:firstLineChars="200"/>
              <w:outlineLvl w:val="9"/>
              <w:rPr>
                <w:rFonts w:ascii="宋体" w:hAnsi="宋体" w:cs="宋体"/>
                <w:color w:val="000000"/>
                <w:sz w:val="22"/>
                <w:szCs w:val="22"/>
              </w:rPr>
            </w:pPr>
            <w:r>
              <w:rPr>
                <w:rFonts w:hint="eastAsia" w:ascii="宋体" w:hAnsi="宋体" w:cs="宋体"/>
                <w:color w:val="000000"/>
                <w:sz w:val="22"/>
                <w:szCs w:val="22"/>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240" w:lineRule="auto"/>
              <w:outlineLvl w:val="9"/>
              <w:rPr>
                <w:rFonts w:hint="eastAsia" w:ascii="宋体" w:hAnsi="宋体" w:eastAsia="宋体" w:cs="宋体"/>
                <w:color w:val="000000"/>
                <w:sz w:val="28"/>
                <w:szCs w:val="28"/>
                <w:highlight w:val="none"/>
              </w:rPr>
            </w:pPr>
            <w:r>
              <w:rPr>
                <w:rFonts w:hint="eastAsia" w:ascii="宋体" w:hAnsi="宋体" w:cs="宋体"/>
                <w:color w:val="000000"/>
                <w:sz w:val="22"/>
                <w:szCs w:val="22"/>
              </w:rPr>
              <w:t>3、产品同时属于“非强制采购节能产品”、环境标志产品的，评审时只有其中一项能享受优先待遇（供应商自行选择，并在报价文件中填写相关信息及数据）。</w:t>
            </w:r>
          </w:p>
        </w:tc>
      </w:tr>
    </w:tbl>
    <w:p>
      <w:pPr>
        <w:pStyle w:val="96"/>
        <w:bidi w:val="0"/>
        <w:ind w:left="0" w:leftChars="0" w:firstLine="0" w:firstLineChars="0"/>
        <w:rPr>
          <w:rFonts w:hint="default"/>
          <w:sz w:val="24"/>
          <w:szCs w:val="24"/>
          <w:lang w:val="en-US" w:eastAsia="zh-CN"/>
        </w:rPr>
      </w:pPr>
    </w:p>
    <w:p>
      <w:pPr>
        <w:pStyle w:val="96"/>
        <w:bidi w:val="0"/>
        <w:rPr>
          <w:rFonts w:hint="eastAsia"/>
          <w:sz w:val="24"/>
          <w:szCs w:val="24"/>
        </w:rPr>
      </w:pPr>
    </w:p>
    <w:p>
      <w:pPr>
        <w:rPr>
          <w:rFonts w:hint="eastAsia"/>
          <w:sz w:val="24"/>
          <w:szCs w:val="24"/>
        </w:rPr>
      </w:pPr>
      <w:r>
        <w:rPr>
          <w:rFonts w:hint="eastAsia"/>
          <w:sz w:val="24"/>
          <w:szCs w:val="24"/>
        </w:rPr>
        <w:br w:type="page"/>
      </w:r>
    </w:p>
    <w:p>
      <w:pPr>
        <w:pStyle w:val="96"/>
        <w:bidi w:val="0"/>
        <w:ind w:left="0" w:leftChars="0" w:firstLine="0" w:firstLineChars="0"/>
        <w:jc w:val="center"/>
        <w:rPr>
          <w:rFonts w:hint="eastAsia"/>
          <w:b/>
          <w:bCs/>
          <w:sz w:val="24"/>
          <w:szCs w:val="24"/>
          <w:lang w:val="en-US" w:eastAsia="zh-CN"/>
        </w:rPr>
      </w:pPr>
      <w:r>
        <w:rPr>
          <w:rFonts w:hint="eastAsia"/>
          <w:b/>
          <w:bCs/>
          <w:sz w:val="24"/>
          <w:szCs w:val="24"/>
          <w:lang w:val="en-US" w:eastAsia="zh-CN"/>
        </w:rPr>
        <w:t>第4标段评审标准</w:t>
      </w:r>
    </w:p>
    <w:tbl>
      <w:tblPr>
        <w:tblStyle w:val="32"/>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245"/>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93" w:type="dxa"/>
            <w:noWrap w:val="0"/>
            <w:vAlign w:val="center"/>
          </w:tcPr>
          <w:p>
            <w:pPr>
              <w:spacing w:line="24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w:t>
            </w:r>
          </w:p>
          <w:p>
            <w:pPr>
              <w:spacing w:line="24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因素</w:t>
            </w:r>
          </w:p>
        </w:tc>
        <w:tc>
          <w:tcPr>
            <w:tcW w:w="1245" w:type="dxa"/>
            <w:noWrap w:val="0"/>
            <w:vAlign w:val="center"/>
          </w:tcPr>
          <w:p>
            <w:pPr>
              <w:spacing w:line="24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5927" w:type="dxa"/>
            <w:noWrap w:val="0"/>
            <w:vAlign w:val="center"/>
          </w:tcPr>
          <w:p>
            <w:pPr>
              <w:spacing w:line="24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3" w:type="dxa"/>
            <w:noWrap w:val="0"/>
            <w:vAlign w:val="center"/>
          </w:tcPr>
          <w:p>
            <w:pPr>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w:t>
            </w:r>
          </w:p>
          <w:p>
            <w:pPr>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30分</w:t>
            </w:r>
            <w:r>
              <w:rPr>
                <w:rFonts w:hint="eastAsia" w:ascii="宋体" w:hAnsi="宋体" w:eastAsia="宋体" w:cs="宋体"/>
                <w:color w:val="000000"/>
                <w:sz w:val="24"/>
                <w:szCs w:val="24"/>
                <w:highlight w:val="none"/>
                <w:lang w:eastAsia="zh-CN"/>
              </w:rPr>
              <w:t>）</w:t>
            </w:r>
          </w:p>
        </w:tc>
        <w:tc>
          <w:tcPr>
            <w:tcW w:w="1245" w:type="dxa"/>
            <w:noWrap w:val="0"/>
            <w:vAlign w:val="center"/>
          </w:tcPr>
          <w:p>
            <w:pPr>
              <w:jc w:val="center"/>
              <w:outlineLvl w:val="9"/>
              <w:rPr>
                <w:rFonts w:hint="eastAsia" w:ascii="宋体" w:hAnsi="宋体" w:eastAsia="宋体" w:cs="宋体"/>
                <w:b w:val="0"/>
                <w:bCs w:val="0"/>
                <w:sz w:val="24"/>
                <w:szCs w:val="24"/>
                <w:highlight w:val="none"/>
              </w:rPr>
            </w:pP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c>
          <w:tcPr>
            <w:tcW w:w="5927" w:type="dxa"/>
            <w:noWrap w:val="0"/>
            <w:vAlign w:val="center"/>
          </w:tcPr>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价格分采用低价优先法计算，即满足招标文件要求且投标价格最低的投标报价为评标基准价，其他供应商的价格分按照下列公式计算：</w:t>
            </w:r>
          </w:p>
          <w:p>
            <w:pPr>
              <w:outlineLvl w:val="9"/>
              <w:rPr>
                <w:rFonts w:hint="default" w:ascii="宋体" w:hAnsi="宋体" w:eastAsia="宋体" w:cs="宋体"/>
                <w:b w:val="0"/>
                <w:bCs w:val="0"/>
                <w:sz w:val="24"/>
                <w:szCs w:val="24"/>
                <w:highlight w:val="none"/>
                <w:lang w:val="en-US"/>
              </w:rPr>
            </w:pPr>
            <w:r>
              <w:rPr>
                <w:rFonts w:hint="eastAsia" w:ascii="宋体" w:hAnsi="宋体" w:eastAsia="宋体" w:cs="宋体"/>
                <w:color w:val="000000"/>
                <w:sz w:val="24"/>
                <w:szCs w:val="24"/>
                <w:highlight w:val="none"/>
                <w:lang w:val="en-US" w:eastAsia="zh-CN"/>
              </w:rPr>
              <w:t>价格分=（评标基准价/投标报价）×30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93" w:type="dxa"/>
            <w:vMerge w:val="restart"/>
            <w:noWrap w:val="0"/>
            <w:vAlign w:val="top"/>
          </w:tcPr>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技术</w:t>
            </w: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部分</w:t>
            </w: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color w:val="000000"/>
                <w:kern w:val="2"/>
                <w:sz w:val="24"/>
                <w:szCs w:val="24"/>
                <w:highlight w:val="none"/>
                <w:lang w:val="en-US" w:eastAsia="zh-CN" w:bidi="ar-SA"/>
              </w:rPr>
              <w:t>（50分）</w:t>
            </w:r>
          </w:p>
        </w:tc>
        <w:tc>
          <w:tcPr>
            <w:tcW w:w="1245" w:type="dxa"/>
            <w:noWrap w:val="0"/>
            <w:vAlign w:val="center"/>
          </w:tcPr>
          <w:p>
            <w:pPr>
              <w:jc w:val="center"/>
              <w:outlineLvl w:val="9"/>
              <w:rPr>
                <w:rFonts w:hint="eastAsia" w:ascii="宋体" w:hAnsi="宋体" w:eastAsia="宋体" w:cs="宋体"/>
                <w:sz w:val="24"/>
                <w:szCs w:val="24"/>
                <w:highlight w:val="none"/>
                <w:lang w:val="en-US" w:eastAsia="zh-CN"/>
              </w:rPr>
            </w:pPr>
            <w:r>
              <w:rPr>
                <w:rFonts w:hint="eastAsia" w:ascii="宋体" w:hAnsi="宋体" w:cs="宋体"/>
                <w:sz w:val="24"/>
                <w:szCs w:val="24"/>
                <w:lang w:eastAsia="zh-CN"/>
              </w:rPr>
              <w:t>产品技术参数</w:t>
            </w:r>
            <w:r>
              <w:rPr>
                <w:rFonts w:hint="eastAsia" w:ascii="宋体" w:hAnsi="宋体" w:eastAsia="宋体" w:cs="宋体"/>
                <w:sz w:val="24"/>
                <w:szCs w:val="24"/>
                <w:highlight w:val="none"/>
                <w:lang w:val="en-US" w:eastAsia="zh-CN"/>
              </w:rPr>
              <w:t>（35分）</w:t>
            </w:r>
          </w:p>
        </w:tc>
        <w:tc>
          <w:tcPr>
            <w:tcW w:w="5927" w:type="dxa"/>
            <w:noWrap w:val="0"/>
            <w:vAlign w:val="center"/>
          </w:tcPr>
          <w:p>
            <w:pPr>
              <w:rPr>
                <w:rFonts w:hint="eastAsia"/>
                <w:color w:val="auto"/>
                <w:sz w:val="24"/>
                <w:szCs w:val="24"/>
                <w:highlight w:val="none"/>
                <w:lang w:val="en-US" w:eastAsia="zh-CN"/>
              </w:rPr>
            </w:pPr>
            <w:r>
              <w:rPr>
                <w:rFonts w:hint="eastAsia"/>
                <w:color w:val="auto"/>
                <w:sz w:val="24"/>
                <w:szCs w:val="24"/>
                <w:highlight w:val="none"/>
                <w:lang w:val="en-US" w:eastAsia="zh-CN"/>
              </w:rPr>
              <w:t>投标产品技术参数清楚、明确，有相应齐全的技术资料，完全满足招标技术参数要求得35分；</w:t>
            </w:r>
            <w:r>
              <w:rPr>
                <w:rFonts w:hint="eastAsia" w:hAnsi="宋体" w:cs="宋体"/>
                <w:color w:val="auto"/>
                <w:szCs w:val="24"/>
              </w:rPr>
              <w:t>响技术参数负偏离一项扣</w:t>
            </w:r>
            <w:r>
              <w:rPr>
                <w:rFonts w:hint="eastAsia" w:hAnsi="宋体" w:cs="宋体"/>
                <w:color w:val="auto"/>
                <w:szCs w:val="24"/>
                <w:lang w:val="en-US" w:eastAsia="zh-CN"/>
              </w:rPr>
              <w:t>5</w:t>
            </w:r>
            <w:r>
              <w:rPr>
                <w:rFonts w:hint="eastAsia" w:hAnsi="宋体" w:cs="宋体"/>
                <w:color w:val="auto"/>
                <w:szCs w:val="24"/>
              </w:rPr>
              <w:t xml:space="preserve">分，直到扣完为止。  </w:t>
            </w:r>
          </w:p>
          <w:p>
            <w:pPr>
              <w:outlineLvl w:val="9"/>
              <w:rPr>
                <w:rFonts w:hint="eastAsia" w:ascii="宋体" w:hAnsi="宋体" w:eastAsia="宋体" w:cs="宋体"/>
                <w:sz w:val="24"/>
                <w:szCs w:val="24"/>
                <w:highlight w:val="none"/>
              </w:rPr>
            </w:pPr>
            <w:r>
              <w:rPr>
                <w:rFonts w:hint="eastAsia" w:ascii="宋体" w:hAnsi="宋体" w:cs="宋体"/>
                <w:color w:val="auto"/>
                <w:sz w:val="24"/>
                <w:szCs w:val="24"/>
                <w:lang w:val="en-US" w:eastAsia="zh-CN"/>
              </w:rPr>
              <w:t xml:space="preserve"> </w:t>
            </w:r>
            <w:r>
              <w:rPr>
                <w:rFonts w:hint="eastAsia" w:ascii="宋体" w:hAnsi="宋体" w:cs="宋体"/>
                <w:b/>
                <w:bCs/>
                <w:color w:val="auto"/>
                <w:sz w:val="24"/>
                <w:szCs w:val="24"/>
                <w:lang w:eastAsia="zh-CN"/>
              </w:rPr>
              <w:t>评审依据：</w:t>
            </w:r>
            <w:r>
              <w:rPr>
                <w:rFonts w:hint="eastAsia"/>
                <w:color w:val="auto"/>
                <w:sz w:val="24"/>
                <w:szCs w:val="24"/>
                <w:lang w:val="en-US" w:eastAsia="zh-CN"/>
              </w:rPr>
              <w:t>技术参数及性能指标</w:t>
            </w:r>
            <w:r>
              <w:rPr>
                <w:rFonts w:hint="eastAsia"/>
                <w:color w:val="auto"/>
                <w:sz w:val="24"/>
                <w:szCs w:val="24"/>
              </w:rPr>
              <w:t>清楚、明确，技</w:t>
            </w:r>
            <w:r>
              <w:rPr>
                <w:rFonts w:hint="eastAsia"/>
                <w:sz w:val="24"/>
                <w:szCs w:val="24"/>
              </w:rPr>
              <w:t>术资料齐全</w:t>
            </w:r>
            <w:r>
              <w:rPr>
                <w:rFonts w:hint="eastAsia"/>
                <w:sz w:val="24"/>
                <w:szCs w:val="24"/>
                <w:highlight w:val="none"/>
                <w:lang w:eastAsia="zh-CN"/>
              </w:rPr>
              <w:t>，</w:t>
            </w:r>
            <w:r>
              <w:rPr>
                <w:rFonts w:hint="eastAsia" w:ascii="宋体" w:hAnsi="宋体" w:cs="宋体"/>
                <w:b w:val="0"/>
                <w:bCs w:val="0"/>
                <w:sz w:val="24"/>
                <w:szCs w:val="24"/>
                <w:lang w:eastAsia="zh-CN"/>
              </w:rPr>
              <w:t>供应商</w:t>
            </w:r>
            <w:r>
              <w:rPr>
                <w:rFonts w:hint="eastAsia" w:ascii="宋体" w:hAnsi="宋体" w:cs="宋体"/>
                <w:b w:val="0"/>
                <w:bCs w:val="0"/>
                <w:sz w:val="24"/>
                <w:szCs w:val="24"/>
              </w:rPr>
              <w:t>应提供详细的</w:t>
            </w:r>
            <w:r>
              <w:rPr>
                <w:rFonts w:hint="eastAsia" w:ascii="宋体" w:hAnsi="宋体" w:cs="宋体"/>
                <w:b w:val="0"/>
                <w:bCs w:val="0"/>
                <w:sz w:val="24"/>
                <w:szCs w:val="24"/>
                <w:lang w:eastAsia="zh-CN"/>
              </w:rPr>
              <w:t>证明材料，</w:t>
            </w:r>
            <w:r>
              <w:rPr>
                <w:rFonts w:hint="eastAsia" w:ascii="宋体" w:hAnsi="宋体" w:cs="宋体"/>
                <w:b w:val="0"/>
                <w:bCs w:val="0"/>
                <w:sz w:val="24"/>
                <w:szCs w:val="24"/>
              </w:rPr>
              <w:t>不限于</w:t>
            </w:r>
            <w:r>
              <w:rPr>
                <w:rFonts w:hint="eastAsia" w:ascii="宋体" w:hAnsi="宋体" w:cs="宋体"/>
                <w:b w:val="0"/>
                <w:bCs w:val="0"/>
                <w:sz w:val="24"/>
                <w:szCs w:val="24"/>
                <w:lang w:eastAsia="zh-CN"/>
              </w:rPr>
              <w:t>投标产品注册证及附件、</w:t>
            </w:r>
            <w:r>
              <w:rPr>
                <w:rFonts w:hint="eastAsia" w:ascii="宋体" w:hAnsi="宋体" w:cs="宋体"/>
                <w:b w:val="0"/>
                <w:bCs w:val="0"/>
                <w:sz w:val="24"/>
                <w:szCs w:val="24"/>
              </w:rPr>
              <w:t>（产品）彩页（如有）、（产品）说明书、</w:t>
            </w: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rPr>
              <w:t>检测</w:t>
            </w:r>
            <w:r>
              <w:rPr>
                <w:rFonts w:hint="eastAsia" w:ascii="宋体" w:hAnsi="宋体" w:cs="宋体"/>
                <w:b w:val="0"/>
                <w:bCs w:val="0"/>
                <w:sz w:val="24"/>
                <w:szCs w:val="24"/>
                <w:lang w:val="en-US" w:eastAsia="zh-CN"/>
              </w:rPr>
              <w:t>/检验</w:t>
            </w:r>
            <w:r>
              <w:rPr>
                <w:rFonts w:hint="eastAsia" w:ascii="宋体" w:hAnsi="宋体" w:cs="宋体"/>
                <w:b w:val="0"/>
                <w:bCs w:val="0"/>
                <w:sz w:val="24"/>
                <w:szCs w:val="24"/>
              </w:rPr>
              <w:t>报告</w:t>
            </w:r>
            <w:r>
              <w:rPr>
                <w:rFonts w:hint="eastAsia" w:ascii="宋体" w:hAnsi="宋体" w:cs="宋体"/>
                <w:b w:val="0"/>
                <w:bCs w:val="0"/>
                <w:sz w:val="24"/>
                <w:szCs w:val="24"/>
                <w:lang w:eastAsia="zh-CN"/>
              </w:rPr>
              <w:t>、产品功能说明</w:t>
            </w:r>
            <w:r>
              <w:rPr>
                <w:rFonts w:hint="eastAsia" w:ascii="宋体" w:hAnsi="宋体" w:cs="宋体"/>
                <w:b w:val="0"/>
                <w:bCs w:val="0"/>
                <w:sz w:val="24"/>
                <w:szCs w:val="24"/>
              </w:rPr>
              <w:t>等</w:t>
            </w:r>
            <w:r>
              <w:rPr>
                <w:rFonts w:hint="eastAsia" w:ascii="宋体" w:hAnsi="宋体" w:cs="宋体"/>
                <w:b w:val="0"/>
                <w:bCs w:val="0"/>
                <w:sz w:val="24"/>
                <w:szCs w:val="24"/>
                <w:lang w:eastAsia="zh-CN"/>
              </w:rPr>
              <w:t>；无证明资料或证明资料不能证明其满足参数技术指标的，将被视为负偏离</w:t>
            </w:r>
            <w:r>
              <w:rPr>
                <w:rFonts w:hint="eastAsia" w:ascii="宋体" w:hAnsi="宋体" w:cs="宋体"/>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93" w:type="dxa"/>
            <w:vMerge w:val="continue"/>
            <w:noWrap w:val="0"/>
            <w:vAlign w:val="top"/>
          </w:tcPr>
          <w:p>
            <w:pPr>
              <w:pStyle w:val="113"/>
              <w:spacing w:before="192" w:line="240" w:lineRule="auto"/>
              <w:ind w:right="249" w:rightChars="0"/>
              <w:outlineLvl w:val="9"/>
              <w:rPr>
                <w:rFonts w:hint="eastAsia" w:ascii="宋体" w:hAnsi="宋体" w:eastAsia="宋体" w:cs="宋体"/>
                <w:b w:val="0"/>
                <w:bCs w:val="0"/>
                <w:sz w:val="24"/>
                <w:szCs w:val="24"/>
                <w:highlight w:val="none"/>
                <w:lang w:eastAsia="zh-CN"/>
              </w:rPr>
            </w:pPr>
          </w:p>
        </w:tc>
        <w:tc>
          <w:tcPr>
            <w:tcW w:w="1245" w:type="dxa"/>
            <w:noWrap w:val="0"/>
            <w:vAlign w:val="center"/>
          </w:tcPr>
          <w:p>
            <w:pPr>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产品质量保证（</w:t>
            </w:r>
            <w:r>
              <w:rPr>
                <w:rFonts w:hint="eastAsia" w:ascii="宋体" w:hAnsi="宋体" w:eastAsia="宋体" w:cs="宋体"/>
                <w:sz w:val="24"/>
                <w:szCs w:val="24"/>
                <w:highlight w:val="none"/>
                <w:lang w:val="en-US" w:eastAsia="zh-CN"/>
              </w:rPr>
              <w:t>10分</w:t>
            </w:r>
            <w:r>
              <w:rPr>
                <w:rFonts w:hint="eastAsia" w:ascii="宋体" w:hAnsi="宋体" w:eastAsia="宋体" w:cs="宋体"/>
                <w:sz w:val="24"/>
                <w:szCs w:val="24"/>
                <w:highlight w:val="none"/>
                <w:lang w:eastAsia="zh-CN"/>
              </w:rPr>
              <w:t>）</w:t>
            </w:r>
          </w:p>
        </w:tc>
        <w:tc>
          <w:tcPr>
            <w:tcW w:w="5927" w:type="dxa"/>
            <w:noWrap w:val="0"/>
            <w:vAlign w:val="center"/>
          </w:tcPr>
          <w:p>
            <w:pPr>
              <w:jc w:val="left"/>
              <w:outlineLvl w:val="9"/>
              <w:rPr>
                <w:rFonts w:hint="eastAsia"/>
                <w:b w:val="0"/>
                <w:bCs w:val="0"/>
                <w:sz w:val="24"/>
                <w:szCs w:val="24"/>
                <w:lang w:val="en-US" w:eastAsia="zh-CN"/>
              </w:rPr>
            </w:pPr>
            <w:r>
              <w:rPr>
                <w:rFonts w:hint="eastAsia"/>
                <w:b w:val="0"/>
                <w:bCs w:val="0"/>
                <w:sz w:val="24"/>
                <w:szCs w:val="24"/>
                <w:lang w:val="en-US" w:eastAsia="zh-CN"/>
              </w:rPr>
              <w:t>所投设备（产品）及备品备件符合国内、国际相关标准且无产权纠纷，无假货、水货、翻新货，提供所投产品来源渠道合法证明文件（包括但不限于销售协议、代理协议、原厂授权等）；符合国家相关质量标准，通过国家法定检验注册，产品性能稳定、具有较好的使用效果，提供相关质量保证措施及承诺。</w:t>
            </w:r>
          </w:p>
          <w:p>
            <w:pPr>
              <w:jc w:val="left"/>
              <w:outlineLvl w:val="9"/>
              <w:rPr>
                <w:rFonts w:hint="eastAsia"/>
                <w:b w:val="0"/>
                <w:bCs w:val="0"/>
                <w:sz w:val="24"/>
                <w:szCs w:val="24"/>
                <w:lang w:val="en-US" w:eastAsia="zh-CN"/>
              </w:rPr>
            </w:pPr>
            <w:r>
              <w:rPr>
                <w:rFonts w:hint="eastAsia"/>
                <w:b w:val="0"/>
                <w:bCs w:val="0"/>
                <w:sz w:val="24"/>
                <w:szCs w:val="24"/>
                <w:lang w:val="en-US" w:eastAsia="zh-CN"/>
              </w:rPr>
              <w:t>措施和承诺有针对性合理可行得7.1-10分；</w:t>
            </w:r>
          </w:p>
          <w:p>
            <w:pPr>
              <w:jc w:val="left"/>
              <w:outlineLvl w:val="9"/>
              <w:rPr>
                <w:rFonts w:hint="eastAsia"/>
                <w:b w:val="0"/>
                <w:bCs w:val="0"/>
                <w:sz w:val="24"/>
                <w:szCs w:val="24"/>
                <w:lang w:val="en-US" w:eastAsia="zh-CN"/>
              </w:rPr>
            </w:pPr>
            <w:r>
              <w:rPr>
                <w:rFonts w:hint="eastAsia"/>
                <w:b w:val="0"/>
                <w:bCs w:val="0"/>
                <w:sz w:val="24"/>
                <w:szCs w:val="24"/>
                <w:lang w:val="en-US" w:eastAsia="zh-CN"/>
              </w:rPr>
              <w:t>措施和承诺针对性较强较合理可行得4.1-7分；</w:t>
            </w:r>
          </w:p>
          <w:p>
            <w:pPr>
              <w:jc w:val="left"/>
              <w:outlineLvl w:val="9"/>
              <w:rPr>
                <w:rFonts w:hint="eastAsia"/>
                <w:b w:val="0"/>
                <w:bCs w:val="0"/>
                <w:sz w:val="24"/>
                <w:szCs w:val="24"/>
                <w:lang w:val="en-US" w:eastAsia="zh-CN"/>
              </w:rPr>
            </w:pPr>
            <w:r>
              <w:rPr>
                <w:rFonts w:hint="eastAsia"/>
                <w:b w:val="0"/>
                <w:bCs w:val="0"/>
                <w:sz w:val="24"/>
                <w:szCs w:val="24"/>
                <w:lang w:val="en-US" w:eastAsia="zh-CN"/>
              </w:rPr>
              <w:t>措施和承诺针对性一般得1-4分；</w:t>
            </w:r>
          </w:p>
          <w:p>
            <w:pPr>
              <w:jc w:val="left"/>
              <w:outlineLvl w:val="9"/>
              <w:rPr>
                <w:rFonts w:hint="eastAsia"/>
                <w:b w:val="0"/>
                <w:bCs w:val="0"/>
                <w:sz w:val="24"/>
                <w:szCs w:val="24"/>
                <w:lang w:val="en-US" w:eastAsia="zh-CN"/>
              </w:rPr>
            </w:pPr>
            <w:r>
              <w:rPr>
                <w:rFonts w:hint="eastAsia"/>
                <w:b w:val="0"/>
                <w:bCs w:val="0"/>
                <w:sz w:val="24"/>
                <w:szCs w:val="24"/>
                <w:lang w:val="en-US" w:eastAsia="zh-CN"/>
              </w:rPr>
              <w:t>未提供不得分；</w:t>
            </w:r>
          </w:p>
          <w:p>
            <w:pPr>
              <w:jc w:val="left"/>
              <w:outlineLvl w:val="9"/>
              <w:rPr>
                <w:rFonts w:hint="eastAsia" w:ascii="宋体" w:hAnsi="宋体" w:eastAsia="宋体" w:cs="宋体"/>
                <w:kern w:val="2"/>
                <w:sz w:val="24"/>
                <w:szCs w:val="24"/>
                <w:highlight w:val="none"/>
                <w:lang w:val="en-US" w:eastAsia="zh-CN" w:bidi="ar-SA"/>
              </w:rPr>
            </w:pPr>
            <w:r>
              <w:rPr>
                <w:rFonts w:hint="eastAsia"/>
                <w:b w:val="0"/>
                <w:bCs w:val="0"/>
                <w:sz w:val="24"/>
                <w:szCs w:val="24"/>
                <w:lang w:val="en-US" w:eastAsia="zh-CN"/>
              </w:rPr>
              <w:t xml:space="preserve">评审依据：所投产品来源渠道的合法证明文件，不限于认证证书，销售协议、代理协议、原厂授权等和生产厂家出具的相应功能证明材料（包括但不限于测试报告、官网和功能截图等）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93" w:type="dxa"/>
            <w:vMerge w:val="continue"/>
            <w:noWrap w:val="0"/>
            <w:vAlign w:val="top"/>
          </w:tcPr>
          <w:p>
            <w:pPr>
              <w:pStyle w:val="113"/>
              <w:spacing w:before="192" w:line="240" w:lineRule="auto"/>
              <w:ind w:right="249" w:rightChars="0"/>
              <w:outlineLvl w:val="9"/>
              <w:rPr>
                <w:rFonts w:hint="eastAsia" w:ascii="宋体" w:hAnsi="宋体" w:eastAsia="宋体" w:cs="宋体"/>
                <w:b w:val="0"/>
                <w:bCs w:val="0"/>
                <w:sz w:val="24"/>
                <w:szCs w:val="24"/>
                <w:highlight w:val="none"/>
                <w:lang w:eastAsia="zh-CN"/>
              </w:rPr>
            </w:pPr>
          </w:p>
        </w:tc>
        <w:tc>
          <w:tcPr>
            <w:tcW w:w="1245" w:type="dxa"/>
            <w:noWrap w:val="0"/>
            <w:vAlign w:val="center"/>
          </w:tcPr>
          <w:p>
            <w:pPr>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实施</w:t>
            </w:r>
          </w:p>
          <w:p>
            <w:pPr>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w:t>
            </w:r>
          </w:p>
          <w:p>
            <w:pPr>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（5分）</w:t>
            </w:r>
          </w:p>
        </w:tc>
        <w:tc>
          <w:tcPr>
            <w:tcW w:w="5927" w:type="dxa"/>
            <w:noWrap w:val="0"/>
            <w:vAlign w:val="center"/>
          </w:tcPr>
          <w:p>
            <w:pPr>
              <w:pStyle w:val="120"/>
              <w:ind w:firstLine="0" w:firstLineChars="0"/>
              <w:rPr>
                <w:rFonts w:hAnsi="宋体"/>
                <w:color w:val="auto"/>
                <w:sz w:val="24"/>
                <w:szCs w:val="24"/>
                <w:highlight w:val="none"/>
              </w:rPr>
            </w:pPr>
            <w:r>
              <w:rPr>
                <w:rFonts w:hint="eastAsia" w:hAnsi="宋体"/>
                <w:color w:val="auto"/>
                <w:sz w:val="24"/>
                <w:szCs w:val="24"/>
                <w:highlight w:val="none"/>
              </w:rPr>
              <w:t>根据投标人针对本项目实施方案（不限于供货配送方案、运输保管方案、</w:t>
            </w:r>
            <w:r>
              <w:rPr>
                <w:rFonts w:hint="eastAsia" w:hAnsi="宋体"/>
                <w:color w:val="auto"/>
                <w:sz w:val="24"/>
                <w:szCs w:val="24"/>
                <w:highlight w:val="none"/>
                <w:lang w:eastAsia="zh-CN"/>
              </w:rPr>
              <w:t>安装调试、</w:t>
            </w:r>
            <w:r>
              <w:rPr>
                <w:rFonts w:hint="eastAsia" w:hAnsi="宋体"/>
                <w:color w:val="auto"/>
                <w:sz w:val="24"/>
                <w:szCs w:val="24"/>
                <w:highlight w:val="none"/>
              </w:rPr>
              <w:t>质量标准、人员配备、</w:t>
            </w:r>
            <w:r>
              <w:rPr>
                <w:rFonts w:hint="eastAsia" w:ascii="宋体" w:hAnsi="宋体" w:cs="宋体"/>
                <w:color w:val="auto"/>
                <w:sz w:val="24"/>
                <w:szCs w:val="24"/>
                <w:highlight w:val="none"/>
              </w:rPr>
              <w:t>产品调换方案以及出现紧急情况下的应急方案</w:t>
            </w:r>
            <w:r>
              <w:rPr>
                <w:rFonts w:hint="eastAsia" w:hAnsi="宋体"/>
                <w:color w:val="auto"/>
                <w:sz w:val="24"/>
                <w:szCs w:val="24"/>
                <w:highlight w:val="none"/>
              </w:rPr>
              <w:t>等实施方案）进行综合评分。</w:t>
            </w:r>
          </w:p>
          <w:p>
            <w:pPr>
              <w:rPr>
                <w:rFonts w:ascii="宋体" w:hAnsi="宋体" w:cs="宋体"/>
                <w:color w:val="auto"/>
                <w:sz w:val="24"/>
                <w:szCs w:val="24"/>
                <w:highlight w:val="none"/>
              </w:rPr>
            </w:pPr>
            <w:r>
              <w:rPr>
                <w:rFonts w:hint="eastAsia" w:ascii="宋体" w:hAnsi="宋体" w:cs="宋体"/>
                <w:color w:val="auto"/>
                <w:sz w:val="24"/>
                <w:szCs w:val="24"/>
                <w:highlight w:val="none"/>
              </w:rPr>
              <w:t>1.方案细致完整、描述条理清晰，内容齐全，有较高的针对性，得</w:t>
            </w:r>
            <w:r>
              <w:rPr>
                <w:rFonts w:hint="eastAsia" w:ascii="宋体" w:hAnsi="宋体" w:cs="宋体"/>
                <w:color w:val="auto"/>
                <w:sz w:val="24"/>
                <w:szCs w:val="24"/>
                <w:highlight w:val="none"/>
                <w:lang w:val="en-US" w:eastAsia="zh-CN"/>
              </w:rPr>
              <w:t>3.1-5</w:t>
            </w:r>
            <w:r>
              <w:rPr>
                <w:rFonts w:hint="eastAsia" w:ascii="宋体" w:hAnsi="宋体" w:cs="宋体"/>
                <w:color w:val="auto"/>
                <w:sz w:val="24"/>
                <w:szCs w:val="24"/>
                <w:highlight w:val="none"/>
              </w:rPr>
              <w:t>分；</w:t>
            </w:r>
          </w:p>
          <w:p>
            <w:pPr>
              <w:rPr>
                <w:rFonts w:ascii="宋体" w:hAnsi="宋体" w:cs="宋体"/>
                <w:color w:val="auto"/>
                <w:sz w:val="24"/>
                <w:szCs w:val="24"/>
                <w:highlight w:val="none"/>
              </w:rPr>
            </w:pPr>
            <w:r>
              <w:rPr>
                <w:rFonts w:hint="eastAsia" w:ascii="宋体" w:hAnsi="宋体" w:cs="宋体"/>
                <w:color w:val="auto"/>
                <w:sz w:val="24"/>
                <w:szCs w:val="24"/>
                <w:highlight w:val="none"/>
              </w:rPr>
              <w:t>2.方案较完整，可基本实现及满足采购要求，得</w:t>
            </w:r>
            <w:r>
              <w:rPr>
                <w:rFonts w:hint="eastAsia" w:ascii="宋体" w:hAnsi="宋体" w:cs="宋体"/>
                <w:color w:val="auto"/>
                <w:sz w:val="24"/>
                <w:szCs w:val="24"/>
                <w:highlight w:val="none"/>
                <w:lang w:val="en-US" w:eastAsia="zh-CN"/>
              </w:rPr>
              <w:t>1.0-3</w:t>
            </w:r>
            <w:r>
              <w:rPr>
                <w:rFonts w:hint="eastAsia" w:ascii="宋体" w:hAnsi="宋体" w:cs="宋体"/>
                <w:color w:val="auto"/>
                <w:sz w:val="24"/>
                <w:szCs w:val="24"/>
                <w:highlight w:val="none"/>
              </w:rPr>
              <w:t>分；</w:t>
            </w:r>
          </w:p>
          <w:p>
            <w:pPr>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3.方案有明显缺陷，针对性较差</w:t>
            </w:r>
            <w:r>
              <w:rPr>
                <w:rFonts w:hint="eastAsia" w:ascii="宋体" w:hAnsi="宋体" w:cs="宋体"/>
                <w:color w:val="auto"/>
                <w:sz w:val="24"/>
                <w:szCs w:val="24"/>
                <w:highlight w:val="none"/>
                <w:lang w:eastAsia="zh-CN"/>
              </w:rPr>
              <w:t>不得分</w:t>
            </w:r>
            <w:r>
              <w:rPr>
                <w:rFonts w:hint="eastAsia"/>
                <w:color w:val="auto"/>
                <w:sz w:val="24"/>
                <w:szCs w:val="24"/>
                <w:highlight w:val="none"/>
              </w:rPr>
              <w:t>。</w:t>
            </w:r>
            <w:r>
              <w:rPr>
                <w:rFonts w:hAnsi="宋体"/>
                <w:color w:val="auto"/>
                <w:sz w:val="24"/>
                <w:szCs w:val="24"/>
                <w:highlight w:val="none"/>
              </w:rPr>
              <w:t xml:space="preserve">     </w:t>
            </w:r>
            <w:r>
              <w:rPr>
                <w:rFonts w:hAnsi="宋体"/>
                <w:color w:val="auto"/>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1293" w:type="dxa"/>
            <w:vMerge w:val="restart"/>
            <w:noWrap w:val="0"/>
            <w:vAlign w:val="top"/>
          </w:tcPr>
          <w:p>
            <w:pPr>
              <w:pStyle w:val="113"/>
              <w:spacing w:line="240" w:lineRule="auto"/>
              <w:outlineLvl w:val="9"/>
              <w:rPr>
                <w:rFonts w:hint="eastAsia" w:ascii="宋体" w:hAnsi="宋体" w:eastAsia="宋体" w:cs="宋体"/>
                <w:b w:val="0"/>
                <w:bCs w:val="0"/>
                <w:sz w:val="24"/>
                <w:szCs w:val="24"/>
                <w:highlight w:val="none"/>
              </w:rPr>
            </w:pPr>
          </w:p>
          <w:p>
            <w:pPr>
              <w:pStyle w:val="113"/>
              <w:spacing w:line="240" w:lineRule="auto"/>
              <w:outlineLvl w:val="9"/>
              <w:rPr>
                <w:rFonts w:hint="eastAsia" w:ascii="宋体" w:hAnsi="宋体" w:eastAsia="宋体" w:cs="宋体"/>
                <w:b w:val="0"/>
                <w:bCs w:val="0"/>
                <w:sz w:val="24"/>
                <w:szCs w:val="24"/>
                <w:highlight w:val="none"/>
              </w:rPr>
            </w:pPr>
          </w:p>
          <w:p>
            <w:pPr>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商务</w:t>
            </w:r>
          </w:p>
          <w:p>
            <w:pPr>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部分</w:t>
            </w:r>
          </w:p>
          <w:p>
            <w:pPr>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（20分）</w:t>
            </w:r>
          </w:p>
          <w:p>
            <w:pPr>
              <w:jc w:val="center"/>
              <w:outlineLvl w:val="9"/>
              <w:rPr>
                <w:rFonts w:hint="eastAsia" w:ascii="宋体" w:hAnsi="宋体" w:eastAsia="宋体" w:cs="宋体"/>
                <w:b w:val="0"/>
                <w:bCs w:val="0"/>
                <w:kern w:val="0"/>
                <w:sz w:val="24"/>
                <w:szCs w:val="24"/>
                <w:highlight w:val="none"/>
                <w:lang w:val="en-US" w:eastAsia="zh-CN" w:bidi="ar-SA"/>
              </w:rPr>
            </w:pPr>
          </w:p>
        </w:tc>
        <w:tc>
          <w:tcPr>
            <w:tcW w:w="1245" w:type="dxa"/>
            <w:noWrap w:val="0"/>
            <w:vAlign w:val="center"/>
          </w:tcPr>
          <w:p>
            <w:pPr>
              <w:pStyle w:val="113"/>
              <w:spacing w:line="240" w:lineRule="auto"/>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售后服务方案（5分）</w:t>
            </w:r>
          </w:p>
        </w:tc>
        <w:tc>
          <w:tcPr>
            <w:tcW w:w="5927" w:type="dxa"/>
            <w:noWrap w:val="0"/>
            <w:vAlign w:val="top"/>
          </w:tcPr>
          <w:p>
            <w:pPr>
              <w:rPr>
                <w:rFonts w:hAnsi="宋体"/>
                <w:color w:val="auto"/>
                <w:szCs w:val="21"/>
              </w:rPr>
            </w:pPr>
            <w:r>
              <w:rPr>
                <w:rFonts w:hint="eastAsia" w:hAnsi="宋体"/>
                <w:color w:val="auto"/>
                <w:szCs w:val="21"/>
                <w:lang w:val="en-US" w:eastAsia="zh-CN"/>
              </w:rPr>
              <w:t>1.</w:t>
            </w:r>
            <w:r>
              <w:rPr>
                <w:rFonts w:hint="eastAsia" w:hAnsi="宋体"/>
                <w:color w:val="auto"/>
                <w:szCs w:val="21"/>
              </w:rPr>
              <w:t>针对本项目</w:t>
            </w:r>
            <w:r>
              <w:rPr>
                <w:rFonts w:hint="eastAsia" w:hAnsi="宋体"/>
                <w:color w:val="auto"/>
                <w:szCs w:val="21"/>
                <w:lang w:val="zh-CN"/>
              </w:rPr>
              <w:t>试剂耗材在运输途中发生破损、渗漏的补救措施及解决方案制定相应的售后服务方案，包括送货响应时效、调换货响应时效、提供具体可行的售后服务措施承诺及明确详细的售后服务人员组成和安排，为招标人提供必要的技术支持等内容根据响应程度计0-3分</w:t>
            </w:r>
            <w:r>
              <w:rPr>
                <w:rFonts w:hint="eastAsia" w:hAnsi="宋体"/>
                <w:color w:val="auto"/>
                <w:szCs w:val="21"/>
              </w:rPr>
              <w:t>。</w:t>
            </w:r>
          </w:p>
          <w:p>
            <w:pPr>
              <w:jc w:val="left"/>
              <w:rPr>
                <w:rFonts w:hint="default" w:ascii="宋体" w:hAnsi="宋体" w:eastAsia="宋体" w:cs="宋体"/>
                <w:b w:val="0"/>
                <w:bCs w:val="0"/>
                <w:color w:val="auto"/>
                <w:sz w:val="24"/>
                <w:szCs w:val="24"/>
                <w:highlight w:val="none"/>
                <w:lang w:val="en-US" w:eastAsia="zh-CN"/>
              </w:rPr>
            </w:pPr>
            <w:r>
              <w:rPr>
                <w:rFonts w:hint="eastAsia" w:hAnsi="宋体" w:eastAsia="宋体"/>
                <w:color w:val="auto"/>
                <w:szCs w:val="21"/>
                <w:lang w:val="en-US" w:eastAsia="zh-CN"/>
              </w:rPr>
              <w:t>2</w:t>
            </w:r>
            <w:r>
              <w:rPr>
                <w:rFonts w:hint="eastAsia" w:hAnsi="宋体" w:cs="Times New Roman"/>
                <w:color w:val="auto"/>
                <w:szCs w:val="21"/>
                <w:lang w:val="en-US" w:eastAsia="zh-CN"/>
              </w:rPr>
              <w:t>.</w:t>
            </w:r>
            <w:r>
              <w:rPr>
                <w:rFonts w:hint="eastAsia" w:hAnsi="宋体" w:cs="Times New Roman"/>
                <w:color w:val="auto"/>
                <w:szCs w:val="21"/>
                <w:lang w:val="zh-CN"/>
              </w:rPr>
              <w:t>为采购人负责培训操作人员，并附有完整的培训方案，列出详细的培训内容、培训方式等说明，根据响应程度计</w:t>
            </w:r>
            <w:r>
              <w:rPr>
                <w:rFonts w:hint="eastAsia" w:hAnsi="宋体" w:cs="Times New Roman"/>
                <w:color w:val="auto"/>
                <w:szCs w:val="21"/>
                <w:lang w:val="en-US" w:eastAsia="zh-CN"/>
              </w:rPr>
              <w:t>0-2</w:t>
            </w:r>
            <w:r>
              <w:rPr>
                <w:rFonts w:hint="eastAsia" w:hAnsi="宋体" w:cs="Times New Roman"/>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293" w:type="dxa"/>
            <w:vMerge w:val="continue"/>
            <w:noWrap w:val="0"/>
            <w:vAlign w:val="top"/>
          </w:tcPr>
          <w:p>
            <w:pPr>
              <w:spacing w:line="240" w:lineRule="auto"/>
              <w:outlineLvl w:val="9"/>
              <w:rPr>
                <w:rFonts w:hint="eastAsia" w:ascii="宋体" w:hAnsi="宋体" w:eastAsia="宋体" w:cs="宋体"/>
                <w:b w:val="0"/>
                <w:bCs w:val="0"/>
                <w:sz w:val="24"/>
                <w:szCs w:val="24"/>
                <w:highlight w:val="none"/>
              </w:rPr>
            </w:pPr>
          </w:p>
        </w:tc>
        <w:tc>
          <w:tcPr>
            <w:tcW w:w="1245" w:type="dxa"/>
            <w:noWrap w:val="0"/>
            <w:vAlign w:val="center"/>
          </w:tcPr>
          <w:p>
            <w:pPr>
              <w:spacing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商务</w:t>
            </w:r>
          </w:p>
          <w:p>
            <w:pPr>
              <w:spacing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响应</w:t>
            </w:r>
          </w:p>
          <w:p>
            <w:pPr>
              <w:spacing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（5分）</w:t>
            </w:r>
          </w:p>
        </w:tc>
        <w:tc>
          <w:tcPr>
            <w:tcW w:w="5927" w:type="dxa"/>
            <w:noWrap w:val="0"/>
            <w:vAlign w:val="top"/>
          </w:tcPr>
          <w:p>
            <w:pPr>
              <w:pStyle w:val="113"/>
              <w:spacing w:line="240" w:lineRule="auto"/>
              <w:ind w:right="96"/>
              <w:outlineLvl w:val="9"/>
              <w:rPr>
                <w:rFonts w:hint="eastAsia" w:ascii="宋体" w:hAnsi="宋体" w:eastAsia="宋体" w:cs="宋体"/>
                <w:b w:val="0"/>
                <w:bCs w:val="0"/>
                <w:color w:val="auto"/>
                <w:sz w:val="24"/>
                <w:szCs w:val="24"/>
                <w:highlight w:val="none"/>
                <w:lang w:val="en-US" w:eastAsia="zh-CN"/>
              </w:rPr>
            </w:pPr>
            <w:r>
              <w:rPr>
                <w:rFonts w:hint="eastAsia" w:hAnsi="宋体"/>
                <w:color w:val="auto"/>
                <w:sz w:val="24"/>
                <w:szCs w:val="24"/>
                <w:lang w:val="en-US" w:eastAsia="zh-CN"/>
              </w:rPr>
              <w:t>响应文件完全满足</w:t>
            </w:r>
            <w:r>
              <w:rPr>
                <w:rFonts w:hint="eastAsia" w:hAnsi="宋体"/>
                <w:color w:val="auto"/>
                <w:sz w:val="24"/>
                <w:szCs w:val="24"/>
                <w:highlight w:val="none"/>
                <w:lang w:val="en-US" w:eastAsia="zh-CN"/>
              </w:rPr>
              <w:t>招标</w:t>
            </w:r>
            <w:r>
              <w:rPr>
                <w:rFonts w:hint="eastAsia" w:hAnsi="宋体"/>
                <w:color w:val="auto"/>
                <w:sz w:val="24"/>
                <w:szCs w:val="24"/>
                <w:lang w:val="en-US" w:eastAsia="zh-CN"/>
              </w:rPr>
              <w:t>文件商务要求并有相应商务响应说明得2分；交货期优于</w:t>
            </w:r>
            <w:r>
              <w:rPr>
                <w:rFonts w:hint="eastAsia" w:hAnsi="宋体"/>
                <w:color w:val="auto"/>
                <w:sz w:val="24"/>
                <w:szCs w:val="24"/>
                <w:highlight w:val="none"/>
                <w:lang w:val="en-US" w:eastAsia="zh-CN"/>
              </w:rPr>
              <w:t>招标</w:t>
            </w:r>
            <w:r>
              <w:rPr>
                <w:rFonts w:hint="eastAsia" w:hAnsi="宋体"/>
                <w:color w:val="auto"/>
                <w:sz w:val="24"/>
                <w:szCs w:val="24"/>
                <w:lang w:val="en-US" w:eastAsia="zh-CN"/>
              </w:rPr>
              <w:t>文件要求的加1分，</w:t>
            </w:r>
            <w:r>
              <w:rPr>
                <w:rFonts w:hint="eastAsia" w:hAnsi="宋体"/>
                <w:color w:val="auto"/>
                <w:sz w:val="24"/>
                <w:szCs w:val="24"/>
                <w:lang w:val="zh-CN"/>
              </w:rPr>
              <w:t>产品有效期</w:t>
            </w:r>
            <w:r>
              <w:rPr>
                <w:rFonts w:hint="eastAsia" w:hAnsi="宋体"/>
                <w:color w:val="auto"/>
                <w:sz w:val="24"/>
                <w:szCs w:val="24"/>
                <w:lang w:val="en-US" w:eastAsia="zh-CN"/>
              </w:rPr>
              <w:t>优于</w:t>
            </w:r>
            <w:r>
              <w:rPr>
                <w:rFonts w:hint="eastAsia" w:hAnsi="宋体"/>
                <w:color w:val="auto"/>
                <w:sz w:val="24"/>
                <w:szCs w:val="24"/>
                <w:highlight w:val="none"/>
                <w:lang w:val="en-US" w:eastAsia="zh-CN"/>
              </w:rPr>
              <w:t>招标</w:t>
            </w:r>
            <w:r>
              <w:rPr>
                <w:rFonts w:hint="eastAsia" w:hAnsi="宋体"/>
                <w:color w:val="auto"/>
                <w:sz w:val="24"/>
                <w:szCs w:val="24"/>
                <w:lang w:val="en-US" w:eastAsia="zh-CN"/>
              </w:rPr>
              <w:t>文件要求加1分，最多加2分</w:t>
            </w:r>
            <w:r>
              <w:rPr>
                <w:rFonts w:hint="eastAsia" w:asci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293" w:type="dxa"/>
            <w:vMerge w:val="continue"/>
            <w:noWrap w:val="0"/>
            <w:vAlign w:val="center"/>
          </w:tcPr>
          <w:p>
            <w:pPr>
              <w:jc w:val="center"/>
              <w:outlineLvl w:val="9"/>
              <w:rPr>
                <w:rFonts w:hint="eastAsia" w:ascii="宋体" w:hAnsi="宋体" w:eastAsia="宋体" w:cs="宋体"/>
                <w:b w:val="0"/>
                <w:bCs w:val="0"/>
                <w:kern w:val="0"/>
                <w:sz w:val="24"/>
                <w:szCs w:val="24"/>
                <w:highlight w:val="none"/>
                <w:lang w:val="en-US" w:eastAsia="zh-CN" w:bidi="ar-SA"/>
              </w:rPr>
            </w:pPr>
          </w:p>
        </w:tc>
        <w:tc>
          <w:tcPr>
            <w:tcW w:w="1245" w:type="dxa"/>
            <w:noWrap w:val="0"/>
            <w:vAlign w:val="center"/>
          </w:tcPr>
          <w:p>
            <w:pPr>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p>
          <w:p>
            <w:pPr>
              <w:pStyle w:val="17"/>
              <w:jc w:val="center"/>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10分</w:t>
            </w:r>
          </w:p>
        </w:tc>
        <w:tc>
          <w:tcPr>
            <w:tcW w:w="5927" w:type="dxa"/>
            <w:noWrap w:val="0"/>
            <w:vAlign w:val="center"/>
          </w:tcPr>
          <w:p>
            <w:pPr>
              <w:jc w:val="both"/>
              <w:rPr>
                <w:rFonts w:hint="eastAsia" w:hAnsi="宋体" w:cs="宋体" w:eastAsiaTheme="minorEastAsia"/>
                <w:color w:val="auto"/>
                <w:sz w:val="24"/>
                <w:szCs w:val="24"/>
                <w:highlight w:val="none"/>
                <w:lang w:eastAsia="zh-CN"/>
              </w:rPr>
            </w:pPr>
            <w:r>
              <w:rPr>
                <w:rFonts w:hint="eastAsia" w:hAnsi="宋体" w:cs="宋体"/>
                <w:color w:val="auto"/>
                <w:sz w:val="24"/>
                <w:szCs w:val="24"/>
                <w:highlight w:val="none"/>
              </w:rPr>
              <w:t>提供</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201</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年1月1日至今</w:t>
            </w:r>
            <w:r>
              <w:rPr>
                <w:rFonts w:hint="eastAsia" w:hAnsi="宋体" w:cs="宋体"/>
                <w:color w:val="auto"/>
                <w:sz w:val="24"/>
                <w:szCs w:val="24"/>
                <w:highlight w:val="none"/>
                <w:lang w:eastAsia="zh-CN"/>
              </w:rPr>
              <w:t>所投产品</w:t>
            </w:r>
            <w:r>
              <w:rPr>
                <w:rFonts w:hint="eastAsia" w:hAnsi="宋体" w:cs="宋体"/>
                <w:color w:val="auto"/>
                <w:sz w:val="24"/>
                <w:szCs w:val="24"/>
                <w:highlight w:val="none"/>
              </w:rPr>
              <w:t>供货业绩合同</w:t>
            </w:r>
            <w:r>
              <w:rPr>
                <w:rFonts w:hint="eastAsia" w:hAnsi="宋体" w:cs="宋体"/>
                <w:color w:val="auto"/>
                <w:sz w:val="24"/>
                <w:szCs w:val="24"/>
                <w:highlight w:val="none"/>
                <w:lang w:eastAsia="zh-CN"/>
              </w:rPr>
              <w:t>（以合同签订时间为准），</w:t>
            </w:r>
            <w:r>
              <w:rPr>
                <w:rFonts w:hint="eastAsia" w:hAnsi="宋体" w:cs="宋体"/>
                <w:color w:val="auto"/>
                <w:sz w:val="24"/>
                <w:szCs w:val="24"/>
                <w:highlight w:val="none"/>
              </w:rPr>
              <w:t>一个业绩计</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分，最高</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分。</w:t>
            </w:r>
          </w:p>
          <w:p>
            <w:pPr>
              <w:outlineLvl w:val="9"/>
              <w:rPr>
                <w:rFonts w:hint="eastAsia" w:ascii="宋体" w:hAnsi="宋体" w:eastAsia="宋体" w:cs="宋体"/>
                <w:b w:val="0"/>
                <w:bCs w:val="0"/>
                <w:color w:val="auto"/>
                <w:kern w:val="0"/>
                <w:sz w:val="24"/>
                <w:szCs w:val="24"/>
                <w:highlight w:val="none"/>
                <w:lang w:val="en-US" w:eastAsia="zh-CN" w:bidi="ar-SA"/>
              </w:rPr>
            </w:pPr>
            <w:r>
              <w:rPr>
                <w:rFonts w:hint="eastAsia" w:hAnsi="宋体"/>
                <w:b/>
                <w:bCs/>
                <w:color w:val="auto"/>
                <w:sz w:val="24"/>
                <w:szCs w:val="24"/>
                <w:highlight w:val="none"/>
              </w:rPr>
              <w:t>评审依据：</w:t>
            </w:r>
            <w:r>
              <w:rPr>
                <w:rFonts w:hint="eastAsia" w:hAnsi="宋体" w:cs="宋体"/>
                <w:color w:val="auto"/>
                <w:sz w:val="24"/>
                <w:szCs w:val="24"/>
                <w:lang w:eastAsia="zh-CN"/>
              </w:rPr>
              <w:t>投标文件中</w:t>
            </w:r>
            <w:r>
              <w:rPr>
                <w:rFonts w:hint="eastAsia"/>
                <w:color w:val="auto"/>
                <w:sz w:val="24"/>
                <w:szCs w:val="24"/>
                <w:lang w:eastAsia="zh-CN"/>
              </w:rPr>
              <w:t>须提供业绩合同证明材料复印件加盖公章，含合同关键页（即合同首页、合同标的物、合同金额页及双方签字盖章页），以合同签订时间为准</w:t>
            </w:r>
            <w:r>
              <w:rPr>
                <w:rFonts w:hint="eastAsia" w:hAnsi="宋体"/>
                <w:color w:val="auto"/>
                <w:sz w:val="24"/>
                <w:szCs w:val="24"/>
                <w:highlight w:val="none"/>
              </w:rPr>
              <w:t>。</w:t>
            </w:r>
            <w:r>
              <w:rPr>
                <w:rFonts w:hint="eastAsia" w:hAnsi="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465" w:type="dxa"/>
            <w:gridSpan w:val="3"/>
            <w:noWrap w:val="0"/>
            <w:vAlign w:val="center"/>
          </w:tcPr>
          <w:p>
            <w:pPr>
              <w:spacing w:line="240" w:lineRule="auto"/>
              <w:outlineLvl w:val="9"/>
              <w:rPr>
                <w:rFonts w:ascii="宋体" w:cs="宋体"/>
                <w:b/>
                <w:bCs/>
                <w:sz w:val="22"/>
                <w:szCs w:val="22"/>
              </w:rPr>
            </w:pPr>
            <w:r>
              <w:rPr>
                <w:rFonts w:hint="eastAsia" w:ascii="宋体" w:hAnsi="宋体" w:cs="宋体"/>
                <w:b/>
                <w:bCs/>
                <w:sz w:val="22"/>
                <w:szCs w:val="20"/>
              </w:rPr>
              <w:t>备注：</w:t>
            </w:r>
            <w:r>
              <w:rPr>
                <w:rFonts w:hint="eastAsia" w:ascii="宋体" w:hAnsi="宋体" w:cs="宋体"/>
                <w:b/>
                <w:bCs/>
                <w:sz w:val="22"/>
                <w:szCs w:val="22"/>
              </w:rPr>
              <w:t>（一）对小型或微型企业参加政府采购投标的扶持：</w:t>
            </w:r>
          </w:p>
          <w:p>
            <w:pPr>
              <w:spacing w:line="240" w:lineRule="auto"/>
              <w:ind w:firstLine="456" w:firstLineChars="200"/>
              <w:outlineLvl w:val="9"/>
              <w:rPr>
                <w:rFonts w:ascii="宋体" w:cs="宋体"/>
                <w:sz w:val="22"/>
                <w:szCs w:val="22"/>
              </w:rPr>
            </w:pPr>
            <w:r>
              <w:rPr>
                <w:rFonts w:hint="eastAsia" w:ascii="宋体" w:hAnsi="宋体" w:cs="宋体"/>
                <w:sz w:val="22"/>
                <w:szCs w:val="22"/>
              </w:rPr>
              <w:t>根据《政府采购促进中小企业发展管理办法》（财库</w:t>
            </w:r>
            <w:r>
              <w:rPr>
                <w:rFonts w:ascii="宋体" w:hAnsi="宋体" w:cs="宋体"/>
                <w:sz w:val="22"/>
                <w:szCs w:val="22"/>
              </w:rPr>
              <w:t>[20</w:t>
            </w:r>
            <w:r>
              <w:rPr>
                <w:rFonts w:hint="eastAsia" w:ascii="宋体" w:hAnsi="宋体" w:cs="宋体"/>
                <w:sz w:val="22"/>
                <w:szCs w:val="22"/>
              </w:rPr>
              <w:t>20</w:t>
            </w:r>
            <w:r>
              <w:rPr>
                <w:rFonts w:ascii="宋体" w:hAnsi="宋体" w:cs="宋体"/>
                <w:sz w:val="22"/>
                <w:szCs w:val="22"/>
              </w:rPr>
              <w:t>]</w:t>
            </w:r>
            <w:r>
              <w:rPr>
                <w:rFonts w:hint="eastAsia" w:ascii="宋体" w:hAnsi="宋体" w:cs="宋体"/>
                <w:sz w:val="22"/>
                <w:szCs w:val="22"/>
              </w:rPr>
              <w:t>46号）的规定，对于非专门面向中小企业的项目，对小型和微型企业产品的价格给予</w:t>
            </w:r>
            <w:r>
              <w:rPr>
                <w:rFonts w:hint="eastAsia" w:ascii="宋体" w:hAnsi="宋体" w:cs="宋体"/>
                <w:sz w:val="22"/>
                <w:szCs w:val="22"/>
                <w:lang w:val="en-US" w:eastAsia="zh-CN"/>
              </w:rPr>
              <w:t>10</w:t>
            </w:r>
            <w:r>
              <w:rPr>
                <w:rFonts w:ascii="宋体" w:hAnsi="宋体" w:cs="宋体"/>
                <w:sz w:val="22"/>
                <w:szCs w:val="22"/>
              </w:rPr>
              <w:t>%</w:t>
            </w:r>
            <w:r>
              <w:rPr>
                <w:rFonts w:hint="eastAsia" w:ascii="宋体" w:hAnsi="宋体" w:cs="宋体"/>
                <w:sz w:val="22"/>
                <w:szCs w:val="22"/>
              </w:rPr>
              <w:t>的扣除，用扣除后的价格参与评审；供应商可在投标文件中提供小型和微型企业声明，具体格式详见附件。</w:t>
            </w:r>
          </w:p>
          <w:p>
            <w:pPr>
              <w:spacing w:line="240" w:lineRule="auto"/>
              <w:ind w:firstLine="456" w:firstLineChars="200"/>
              <w:outlineLvl w:val="9"/>
              <w:rPr>
                <w:rFonts w:ascii="宋体" w:cs="宋体"/>
                <w:b/>
                <w:bCs/>
                <w:sz w:val="22"/>
                <w:szCs w:val="22"/>
              </w:rPr>
            </w:pPr>
            <w:r>
              <w:rPr>
                <w:rFonts w:hint="eastAsia" w:ascii="宋体" w:cs="宋体"/>
                <w:b/>
                <w:bCs/>
                <w:sz w:val="22"/>
                <w:szCs w:val="22"/>
              </w:rPr>
              <w:t>（二）对监狱企业、残疾人福利企业的扶持</w:t>
            </w:r>
          </w:p>
          <w:p>
            <w:pPr>
              <w:spacing w:line="240" w:lineRule="auto"/>
              <w:ind w:firstLine="456" w:firstLineChars="200"/>
              <w:outlineLvl w:val="9"/>
              <w:rPr>
                <w:rFonts w:ascii="宋体" w:hAnsi="宋体" w:cs="宋体"/>
                <w:sz w:val="22"/>
                <w:szCs w:val="22"/>
              </w:rPr>
            </w:pPr>
            <w:r>
              <w:rPr>
                <w:rFonts w:hint="eastAsia" w:ascii="宋体" w:cs="宋体"/>
                <w:sz w:val="22"/>
                <w:szCs w:val="22"/>
              </w:rPr>
              <w:t>根据《关于政府采购支持监狱企业发展有关问题的通知》（财库[2014]68号）</w:t>
            </w:r>
            <w:r>
              <w:rPr>
                <w:rFonts w:hint="eastAsia" w:ascii="宋体" w:hAnsi="宋体" w:cs="宋体"/>
                <w:sz w:val="22"/>
                <w:szCs w:val="22"/>
              </w:rPr>
              <w:t>（提供由省级以上监狱管理局、戒毒管理局（含新疆生产建设兵团）出具的属于监狱企业的证明文件）、《三部门联合发布关于促进残疾人就业政府采购政策的通知》（财库〔2017〕141号）的规定，对监狱企业、残疾人福利企业给予</w:t>
            </w:r>
            <w:r>
              <w:rPr>
                <w:rFonts w:hint="eastAsia" w:ascii="宋体" w:hAnsi="宋体" w:cs="宋体"/>
                <w:sz w:val="22"/>
                <w:szCs w:val="22"/>
                <w:lang w:val="en-US" w:eastAsia="zh-CN"/>
              </w:rPr>
              <w:t>10</w:t>
            </w:r>
            <w:r>
              <w:rPr>
                <w:rFonts w:hint="eastAsia" w:ascii="宋体" w:hAnsi="宋体" w:cs="宋体"/>
                <w:sz w:val="22"/>
                <w:szCs w:val="22"/>
              </w:rPr>
              <w:t xml:space="preserve">%的价格扣除，用扣除后的价格参与评审。 </w:t>
            </w:r>
          </w:p>
          <w:p>
            <w:pPr>
              <w:spacing w:line="240" w:lineRule="auto"/>
              <w:ind w:firstLine="456" w:firstLineChars="200"/>
              <w:outlineLvl w:val="9"/>
              <w:rPr>
                <w:rFonts w:ascii="宋体" w:hAnsi="宋体" w:cs="宋体"/>
                <w:b/>
                <w:bCs/>
                <w:sz w:val="22"/>
                <w:szCs w:val="22"/>
              </w:rPr>
            </w:pPr>
            <w:r>
              <w:rPr>
                <w:rFonts w:hint="eastAsia" w:ascii="宋体" w:hAnsi="宋体" w:cs="宋体"/>
                <w:b/>
                <w:bCs/>
                <w:sz w:val="22"/>
                <w:szCs w:val="22"/>
              </w:rPr>
              <w:t>（三）对同时属于小微企业、监狱企业或残疾人福利性单位的， 不重复享受政策。</w:t>
            </w:r>
          </w:p>
          <w:p>
            <w:pPr>
              <w:spacing w:line="240" w:lineRule="auto"/>
              <w:ind w:firstLine="456" w:firstLineChars="200"/>
              <w:outlineLvl w:val="9"/>
              <w:rPr>
                <w:rFonts w:ascii="宋体" w:cs="宋体"/>
                <w:b/>
                <w:bCs/>
                <w:sz w:val="22"/>
                <w:szCs w:val="22"/>
              </w:rPr>
            </w:pPr>
            <w:r>
              <w:rPr>
                <w:rFonts w:hint="eastAsia" w:ascii="宋体" w:hAnsi="宋体" w:cs="宋体"/>
                <w:b/>
                <w:bCs/>
                <w:sz w:val="22"/>
                <w:szCs w:val="22"/>
              </w:rPr>
              <w:t>（四）对节能、环保政策的支持</w:t>
            </w:r>
          </w:p>
          <w:p>
            <w:pPr>
              <w:spacing w:line="240" w:lineRule="auto"/>
              <w:ind w:firstLine="456" w:firstLineChars="200"/>
              <w:outlineLvl w:val="9"/>
              <w:rPr>
                <w:rFonts w:ascii="宋体"/>
                <w:color w:val="000000"/>
                <w:sz w:val="22"/>
                <w:szCs w:val="22"/>
              </w:rPr>
            </w:pPr>
            <w:r>
              <w:rPr>
                <w:rFonts w:hint="eastAsia" w:ascii="宋体" w:hAnsi="宋体" w:cs="宋体"/>
                <w:color w:val="000000"/>
                <w:sz w:val="22"/>
                <w:szCs w:val="22"/>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240" w:lineRule="auto"/>
              <w:ind w:firstLine="456" w:firstLineChars="200"/>
              <w:outlineLvl w:val="9"/>
              <w:rPr>
                <w:rFonts w:ascii="宋体" w:hAnsi="宋体" w:cs="宋体"/>
                <w:color w:val="000000"/>
                <w:sz w:val="22"/>
                <w:szCs w:val="22"/>
              </w:rPr>
            </w:pPr>
            <w:r>
              <w:rPr>
                <w:rFonts w:hint="eastAsia" w:ascii="宋体" w:hAnsi="宋体" w:cs="宋体"/>
                <w:color w:val="000000"/>
                <w:sz w:val="22"/>
                <w:szCs w:val="22"/>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240" w:lineRule="auto"/>
              <w:outlineLvl w:val="9"/>
              <w:rPr>
                <w:rFonts w:hint="eastAsia" w:ascii="宋体" w:hAnsi="宋体" w:eastAsia="宋体" w:cs="宋体"/>
                <w:color w:val="000000"/>
                <w:sz w:val="28"/>
                <w:szCs w:val="28"/>
                <w:highlight w:val="none"/>
              </w:rPr>
            </w:pPr>
            <w:r>
              <w:rPr>
                <w:rFonts w:hint="eastAsia" w:ascii="宋体" w:hAnsi="宋体" w:cs="宋体"/>
                <w:color w:val="000000"/>
                <w:sz w:val="22"/>
                <w:szCs w:val="22"/>
              </w:rPr>
              <w:t>3、产品同时属于“非强制采购节能产品”、环境标志产品的，评审时只有其中一项能享受优先待遇（供应商自行选择，并在报价文件中填写相关信息及数据）。</w:t>
            </w:r>
          </w:p>
        </w:tc>
      </w:tr>
    </w:tbl>
    <w:p>
      <w:pPr>
        <w:rPr>
          <w:rFonts w:hint="eastAsia"/>
          <w:sz w:val="24"/>
          <w:szCs w:val="24"/>
        </w:rPr>
      </w:pPr>
      <w:r>
        <w:rPr>
          <w:rFonts w:hint="eastAsia"/>
          <w:sz w:val="24"/>
          <w:szCs w:val="24"/>
        </w:rPr>
        <w:br w:type="page"/>
      </w:r>
    </w:p>
    <w:p>
      <w:pPr>
        <w:pStyle w:val="96"/>
        <w:bidi w:val="0"/>
        <w:ind w:left="0" w:leftChars="0" w:firstLine="0" w:firstLineChars="0"/>
        <w:jc w:val="center"/>
        <w:rPr>
          <w:rFonts w:hint="eastAsia"/>
          <w:sz w:val="24"/>
          <w:szCs w:val="24"/>
        </w:rPr>
      </w:pPr>
      <w:r>
        <w:rPr>
          <w:rFonts w:hint="eastAsia"/>
          <w:b/>
          <w:bCs/>
          <w:sz w:val="24"/>
          <w:szCs w:val="24"/>
          <w:lang w:val="en-US" w:eastAsia="zh-CN"/>
        </w:rPr>
        <w:t>第3/6/7标段评审标准</w:t>
      </w:r>
    </w:p>
    <w:tbl>
      <w:tblPr>
        <w:tblStyle w:val="32"/>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245"/>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93" w:type="dxa"/>
            <w:noWrap w:val="0"/>
            <w:vAlign w:val="center"/>
          </w:tcPr>
          <w:p>
            <w:pPr>
              <w:spacing w:line="24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w:t>
            </w:r>
          </w:p>
          <w:p>
            <w:pPr>
              <w:spacing w:line="24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因素</w:t>
            </w:r>
          </w:p>
        </w:tc>
        <w:tc>
          <w:tcPr>
            <w:tcW w:w="1245" w:type="dxa"/>
            <w:noWrap w:val="0"/>
            <w:vAlign w:val="center"/>
          </w:tcPr>
          <w:p>
            <w:pPr>
              <w:spacing w:line="24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5927" w:type="dxa"/>
            <w:noWrap w:val="0"/>
            <w:vAlign w:val="center"/>
          </w:tcPr>
          <w:p>
            <w:pPr>
              <w:spacing w:line="240" w:lineRule="auto"/>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3" w:type="dxa"/>
            <w:noWrap w:val="0"/>
            <w:vAlign w:val="center"/>
          </w:tcPr>
          <w:p>
            <w:pPr>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w:t>
            </w:r>
          </w:p>
          <w:p>
            <w:pPr>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30分</w:t>
            </w:r>
            <w:r>
              <w:rPr>
                <w:rFonts w:hint="eastAsia" w:ascii="宋体" w:hAnsi="宋体" w:eastAsia="宋体" w:cs="宋体"/>
                <w:color w:val="000000"/>
                <w:sz w:val="24"/>
                <w:szCs w:val="24"/>
                <w:highlight w:val="none"/>
                <w:lang w:eastAsia="zh-CN"/>
              </w:rPr>
              <w:t>）</w:t>
            </w:r>
          </w:p>
        </w:tc>
        <w:tc>
          <w:tcPr>
            <w:tcW w:w="1245" w:type="dxa"/>
            <w:noWrap w:val="0"/>
            <w:vAlign w:val="center"/>
          </w:tcPr>
          <w:p>
            <w:pPr>
              <w:jc w:val="center"/>
              <w:outlineLvl w:val="9"/>
              <w:rPr>
                <w:rFonts w:hint="eastAsia" w:ascii="宋体" w:hAnsi="宋体" w:eastAsia="宋体" w:cs="宋体"/>
                <w:b w:val="0"/>
                <w:bCs w:val="0"/>
                <w:sz w:val="24"/>
                <w:szCs w:val="24"/>
                <w:highlight w:val="none"/>
              </w:rPr>
            </w:pP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c>
          <w:tcPr>
            <w:tcW w:w="5927" w:type="dxa"/>
            <w:noWrap w:val="0"/>
            <w:vAlign w:val="center"/>
          </w:tcPr>
          <w:p>
            <w:pP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价格分采用低价优先法计算，即满足招标文件要求且投标价格最低的投标报价为评标基准价，其他供应商的价格分按照下列公式计算：</w:t>
            </w:r>
          </w:p>
          <w:p>
            <w:pPr>
              <w:outlineLvl w:val="9"/>
              <w:rPr>
                <w:rFonts w:hint="default" w:ascii="宋体" w:hAnsi="宋体" w:eastAsia="宋体" w:cs="宋体"/>
                <w:b w:val="0"/>
                <w:bCs w:val="0"/>
                <w:sz w:val="24"/>
                <w:szCs w:val="24"/>
                <w:highlight w:val="none"/>
                <w:lang w:val="en-US"/>
              </w:rPr>
            </w:pPr>
            <w:r>
              <w:rPr>
                <w:rFonts w:hint="eastAsia" w:ascii="宋体" w:hAnsi="宋体" w:eastAsia="宋体" w:cs="宋体"/>
                <w:color w:val="000000"/>
                <w:sz w:val="24"/>
                <w:szCs w:val="24"/>
                <w:highlight w:val="none"/>
                <w:lang w:val="en-US" w:eastAsia="zh-CN"/>
              </w:rPr>
              <w:t>价格分=（评标基准价/投标报价）×30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93" w:type="dxa"/>
            <w:vMerge w:val="restart"/>
            <w:noWrap w:val="0"/>
            <w:vAlign w:val="top"/>
          </w:tcPr>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技术</w:t>
            </w: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部分</w:t>
            </w:r>
          </w:p>
          <w:p>
            <w:pPr>
              <w:pStyle w:val="1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color w:val="000000"/>
                <w:kern w:val="2"/>
                <w:sz w:val="24"/>
                <w:szCs w:val="24"/>
                <w:highlight w:val="none"/>
                <w:lang w:val="en-US" w:eastAsia="zh-CN" w:bidi="ar-SA"/>
              </w:rPr>
              <w:t>（50分）</w:t>
            </w:r>
          </w:p>
        </w:tc>
        <w:tc>
          <w:tcPr>
            <w:tcW w:w="1245" w:type="dxa"/>
            <w:noWrap w:val="0"/>
            <w:vAlign w:val="center"/>
          </w:tcPr>
          <w:p>
            <w:pPr>
              <w:jc w:val="center"/>
              <w:outlineLvl w:val="9"/>
              <w:rPr>
                <w:rFonts w:hint="eastAsia" w:ascii="宋体" w:hAnsi="宋体" w:eastAsia="宋体" w:cs="宋体"/>
                <w:sz w:val="24"/>
                <w:szCs w:val="24"/>
                <w:highlight w:val="none"/>
                <w:lang w:val="en-US" w:eastAsia="zh-CN"/>
              </w:rPr>
            </w:pPr>
            <w:r>
              <w:rPr>
                <w:rFonts w:hint="eastAsia" w:ascii="宋体" w:hAnsi="宋体" w:cs="宋体"/>
                <w:sz w:val="24"/>
                <w:szCs w:val="24"/>
                <w:lang w:eastAsia="zh-CN"/>
              </w:rPr>
              <w:t>产品技术参数</w:t>
            </w:r>
            <w:r>
              <w:rPr>
                <w:rFonts w:hint="eastAsia" w:ascii="宋体" w:hAnsi="宋体" w:eastAsia="宋体" w:cs="宋体"/>
                <w:sz w:val="24"/>
                <w:szCs w:val="24"/>
                <w:highlight w:val="none"/>
                <w:lang w:val="en-US" w:eastAsia="zh-CN"/>
              </w:rPr>
              <w:t>（35分）</w:t>
            </w:r>
          </w:p>
        </w:tc>
        <w:tc>
          <w:tcPr>
            <w:tcW w:w="5927" w:type="dxa"/>
            <w:noWrap w:val="0"/>
            <w:vAlign w:val="center"/>
          </w:tcPr>
          <w:p>
            <w:pPr>
              <w:rPr>
                <w:rFonts w:hint="eastAsia"/>
                <w:color w:val="auto"/>
                <w:sz w:val="24"/>
                <w:szCs w:val="24"/>
                <w:highlight w:val="none"/>
                <w:lang w:val="en-US" w:eastAsia="zh-CN"/>
              </w:rPr>
            </w:pPr>
            <w:r>
              <w:rPr>
                <w:rFonts w:hint="eastAsia"/>
                <w:color w:val="auto"/>
                <w:sz w:val="24"/>
                <w:szCs w:val="24"/>
                <w:highlight w:val="none"/>
                <w:lang w:val="en-US" w:eastAsia="zh-CN"/>
              </w:rPr>
              <w:t>投标产品技术参数清楚、明确，有相应齐全的技术资料，完全满足招标技术参数要求得35分；</w:t>
            </w:r>
            <w:r>
              <w:rPr>
                <w:rFonts w:hint="eastAsia" w:hAnsi="宋体" w:cs="宋体"/>
                <w:color w:val="auto"/>
                <w:szCs w:val="24"/>
              </w:rPr>
              <w:t>响技术参数负偏离一项扣</w:t>
            </w:r>
            <w:r>
              <w:rPr>
                <w:rFonts w:hint="eastAsia" w:hAnsi="宋体" w:cs="宋体"/>
                <w:color w:val="auto"/>
                <w:szCs w:val="24"/>
                <w:lang w:val="en-US" w:eastAsia="zh-CN"/>
              </w:rPr>
              <w:t>10</w:t>
            </w:r>
            <w:r>
              <w:rPr>
                <w:rFonts w:hint="eastAsia" w:hAnsi="宋体" w:cs="宋体"/>
                <w:color w:val="auto"/>
                <w:szCs w:val="24"/>
              </w:rPr>
              <w:t xml:space="preserve">分，直到扣完为止。  </w:t>
            </w:r>
          </w:p>
          <w:p>
            <w:pPr>
              <w:outlineLvl w:val="9"/>
              <w:rPr>
                <w:rFonts w:hint="eastAsia" w:ascii="宋体" w:hAnsi="宋体" w:eastAsia="宋体" w:cs="宋体"/>
                <w:sz w:val="24"/>
                <w:szCs w:val="24"/>
                <w:highlight w:val="none"/>
              </w:rPr>
            </w:pPr>
            <w:r>
              <w:rPr>
                <w:rFonts w:hint="eastAsia" w:ascii="宋体" w:hAnsi="宋体" w:cs="宋体"/>
                <w:color w:val="auto"/>
                <w:sz w:val="24"/>
                <w:szCs w:val="24"/>
                <w:lang w:val="en-US" w:eastAsia="zh-CN"/>
              </w:rPr>
              <w:t xml:space="preserve"> </w:t>
            </w:r>
            <w:r>
              <w:rPr>
                <w:rFonts w:hint="eastAsia" w:ascii="宋体" w:hAnsi="宋体" w:cs="宋体"/>
                <w:b/>
                <w:bCs/>
                <w:color w:val="auto"/>
                <w:sz w:val="24"/>
                <w:szCs w:val="24"/>
                <w:lang w:eastAsia="zh-CN"/>
              </w:rPr>
              <w:t>评审依据：</w:t>
            </w:r>
            <w:r>
              <w:rPr>
                <w:rFonts w:hint="eastAsia"/>
                <w:color w:val="auto"/>
                <w:sz w:val="24"/>
                <w:szCs w:val="24"/>
                <w:lang w:val="en-US" w:eastAsia="zh-CN"/>
              </w:rPr>
              <w:t>技术参数及性能指标</w:t>
            </w:r>
            <w:r>
              <w:rPr>
                <w:rFonts w:hint="eastAsia"/>
                <w:color w:val="auto"/>
                <w:sz w:val="24"/>
                <w:szCs w:val="24"/>
              </w:rPr>
              <w:t>清楚、明确，技</w:t>
            </w:r>
            <w:r>
              <w:rPr>
                <w:rFonts w:hint="eastAsia"/>
                <w:sz w:val="24"/>
                <w:szCs w:val="24"/>
              </w:rPr>
              <w:t>术资料齐全</w:t>
            </w:r>
            <w:r>
              <w:rPr>
                <w:rFonts w:hint="eastAsia"/>
                <w:sz w:val="24"/>
                <w:szCs w:val="24"/>
                <w:highlight w:val="none"/>
                <w:lang w:eastAsia="zh-CN"/>
              </w:rPr>
              <w:t>，</w:t>
            </w:r>
            <w:r>
              <w:rPr>
                <w:rFonts w:hint="eastAsia" w:ascii="宋体" w:hAnsi="宋体" w:cs="宋体"/>
                <w:b w:val="0"/>
                <w:bCs w:val="0"/>
                <w:sz w:val="24"/>
                <w:szCs w:val="24"/>
                <w:lang w:eastAsia="zh-CN"/>
              </w:rPr>
              <w:t>供应商</w:t>
            </w:r>
            <w:r>
              <w:rPr>
                <w:rFonts w:hint="eastAsia" w:ascii="宋体" w:hAnsi="宋体" w:cs="宋体"/>
                <w:b w:val="0"/>
                <w:bCs w:val="0"/>
                <w:sz w:val="24"/>
                <w:szCs w:val="24"/>
              </w:rPr>
              <w:t>应提供详细的</w:t>
            </w:r>
            <w:r>
              <w:rPr>
                <w:rFonts w:hint="eastAsia" w:ascii="宋体" w:hAnsi="宋体" w:cs="宋体"/>
                <w:b w:val="0"/>
                <w:bCs w:val="0"/>
                <w:sz w:val="24"/>
                <w:szCs w:val="24"/>
                <w:lang w:eastAsia="zh-CN"/>
              </w:rPr>
              <w:t>证明材料，</w:t>
            </w:r>
            <w:r>
              <w:rPr>
                <w:rFonts w:hint="eastAsia" w:ascii="宋体" w:hAnsi="宋体" w:cs="宋体"/>
                <w:b w:val="0"/>
                <w:bCs w:val="0"/>
                <w:sz w:val="24"/>
                <w:szCs w:val="24"/>
              </w:rPr>
              <w:t>不限于</w:t>
            </w:r>
            <w:r>
              <w:rPr>
                <w:rFonts w:hint="eastAsia" w:ascii="宋体" w:hAnsi="宋体" w:cs="宋体"/>
                <w:b w:val="0"/>
                <w:bCs w:val="0"/>
                <w:sz w:val="24"/>
                <w:szCs w:val="24"/>
                <w:lang w:eastAsia="zh-CN"/>
              </w:rPr>
              <w:t>投标产品注册证及附件、</w:t>
            </w:r>
            <w:r>
              <w:rPr>
                <w:rFonts w:hint="eastAsia" w:ascii="宋体" w:hAnsi="宋体" w:cs="宋体"/>
                <w:b w:val="0"/>
                <w:bCs w:val="0"/>
                <w:sz w:val="24"/>
                <w:szCs w:val="24"/>
              </w:rPr>
              <w:t>（产品）彩页（如有）、（产品）说明书、</w:t>
            </w: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rPr>
              <w:t>检测</w:t>
            </w:r>
            <w:r>
              <w:rPr>
                <w:rFonts w:hint="eastAsia" w:ascii="宋体" w:hAnsi="宋体" w:cs="宋体"/>
                <w:b w:val="0"/>
                <w:bCs w:val="0"/>
                <w:sz w:val="24"/>
                <w:szCs w:val="24"/>
                <w:lang w:val="en-US" w:eastAsia="zh-CN"/>
              </w:rPr>
              <w:t>/检验</w:t>
            </w:r>
            <w:r>
              <w:rPr>
                <w:rFonts w:hint="eastAsia" w:ascii="宋体" w:hAnsi="宋体" w:cs="宋体"/>
                <w:b w:val="0"/>
                <w:bCs w:val="0"/>
                <w:sz w:val="24"/>
                <w:szCs w:val="24"/>
              </w:rPr>
              <w:t>报告</w:t>
            </w:r>
            <w:r>
              <w:rPr>
                <w:rFonts w:hint="eastAsia" w:ascii="宋体" w:hAnsi="宋体" w:cs="宋体"/>
                <w:b w:val="0"/>
                <w:bCs w:val="0"/>
                <w:sz w:val="24"/>
                <w:szCs w:val="24"/>
                <w:lang w:eastAsia="zh-CN"/>
              </w:rPr>
              <w:t>、产品功能说明</w:t>
            </w:r>
            <w:r>
              <w:rPr>
                <w:rFonts w:hint="eastAsia" w:ascii="宋体" w:hAnsi="宋体" w:cs="宋体"/>
                <w:b w:val="0"/>
                <w:bCs w:val="0"/>
                <w:sz w:val="24"/>
                <w:szCs w:val="24"/>
              </w:rPr>
              <w:t>等</w:t>
            </w:r>
            <w:r>
              <w:rPr>
                <w:rFonts w:hint="eastAsia" w:ascii="宋体" w:hAnsi="宋体" w:cs="宋体"/>
                <w:b w:val="0"/>
                <w:bCs w:val="0"/>
                <w:sz w:val="24"/>
                <w:szCs w:val="24"/>
                <w:lang w:eastAsia="zh-CN"/>
              </w:rPr>
              <w:t>；无证明资料或证明资料不能证明其满足参数技术指标的，将被视为负偏离</w:t>
            </w:r>
            <w:r>
              <w:rPr>
                <w:rFonts w:hint="eastAsia" w:ascii="宋体" w:hAnsi="宋体" w:cs="宋体"/>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93" w:type="dxa"/>
            <w:vMerge w:val="continue"/>
            <w:noWrap w:val="0"/>
            <w:vAlign w:val="top"/>
          </w:tcPr>
          <w:p>
            <w:pPr>
              <w:pStyle w:val="113"/>
              <w:spacing w:before="192" w:line="240" w:lineRule="auto"/>
              <w:ind w:right="249" w:rightChars="0"/>
              <w:outlineLvl w:val="9"/>
              <w:rPr>
                <w:rFonts w:hint="eastAsia" w:ascii="宋体" w:hAnsi="宋体" w:eastAsia="宋体" w:cs="宋体"/>
                <w:b w:val="0"/>
                <w:bCs w:val="0"/>
                <w:sz w:val="24"/>
                <w:szCs w:val="24"/>
                <w:highlight w:val="none"/>
                <w:lang w:eastAsia="zh-CN"/>
              </w:rPr>
            </w:pPr>
          </w:p>
        </w:tc>
        <w:tc>
          <w:tcPr>
            <w:tcW w:w="1245" w:type="dxa"/>
            <w:noWrap w:val="0"/>
            <w:vAlign w:val="center"/>
          </w:tcPr>
          <w:p>
            <w:pPr>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产品质量保证（</w:t>
            </w:r>
            <w:r>
              <w:rPr>
                <w:rFonts w:hint="eastAsia" w:ascii="宋体" w:hAnsi="宋体" w:eastAsia="宋体" w:cs="宋体"/>
                <w:sz w:val="24"/>
                <w:szCs w:val="24"/>
                <w:highlight w:val="none"/>
                <w:lang w:val="en-US" w:eastAsia="zh-CN"/>
              </w:rPr>
              <w:t>10分</w:t>
            </w:r>
            <w:r>
              <w:rPr>
                <w:rFonts w:hint="eastAsia" w:ascii="宋体" w:hAnsi="宋体" w:eastAsia="宋体" w:cs="宋体"/>
                <w:sz w:val="24"/>
                <w:szCs w:val="24"/>
                <w:highlight w:val="none"/>
                <w:lang w:eastAsia="zh-CN"/>
              </w:rPr>
              <w:t>）</w:t>
            </w:r>
          </w:p>
        </w:tc>
        <w:tc>
          <w:tcPr>
            <w:tcW w:w="5927" w:type="dxa"/>
            <w:noWrap w:val="0"/>
            <w:vAlign w:val="center"/>
          </w:tcPr>
          <w:p>
            <w:pPr>
              <w:jc w:val="left"/>
              <w:outlineLvl w:val="9"/>
              <w:rPr>
                <w:rFonts w:hint="eastAsia"/>
                <w:b w:val="0"/>
                <w:bCs w:val="0"/>
                <w:sz w:val="24"/>
                <w:szCs w:val="24"/>
                <w:lang w:val="en-US" w:eastAsia="zh-CN"/>
              </w:rPr>
            </w:pPr>
            <w:r>
              <w:rPr>
                <w:rFonts w:hint="eastAsia"/>
                <w:b w:val="0"/>
                <w:bCs w:val="0"/>
                <w:sz w:val="24"/>
                <w:szCs w:val="24"/>
                <w:lang w:val="en-US" w:eastAsia="zh-CN"/>
              </w:rPr>
              <w:t>所投设备（产品）及备品备件符合国内、国际相关标准且无产权纠纷，无假货、水货、翻新货，提供所投产品来源渠道合法证明文件（包括但不限于销售协议、代理协议、原厂授权等）；符合国家相关质量标准，通过国家法定检验注册，产品性能稳定、具有较好的使用效果，提供相关质量保证措施及承诺。</w:t>
            </w:r>
          </w:p>
          <w:p>
            <w:pPr>
              <w:jc w:val="left"/>
              <w:outlineLvl w:val="9"/>
              <w:rPr>
                <w:rFonts w:hint="eastAsia"/>
                <w:b w:val="0"/>
                <w:bCs w:val="0"/>
                <w:sz w:val="24"/>
                <w:szCs w:val="24"/>
                <w:lang w:val="en-US" w:eastAsia="zh-CN"/>
              </w:rPr>
            </w:pPr>
            <w:r>
              <w:rPr>
                <w:rFonts w:hint="eastAsia"/>
                <w:b w:val="0"/>
                <w:bCs w:val="0"/>
                <w:sz w:val="24"/>
                <w:szCs w:val="24"/>
                <w:lang w:val="en-US" w:eastAsia="zh-CN"/>
              </w:rPr>
              <w:t>措施和承诺有针对性合理可行得7.1-10分；</w:t>
            </w:r>
          </w:p>
          <w:p>
            <w:pPr>
              <w:jc w:val="left"/>
              <w:outlineLvl w:val="9"/>
              <w:rPr>
                <w:rFonts w:hint="eastAsia"/>
                <w:b w:val="0"/>
                <w:bCs w:val="0"/>
                <w:sz w:val="24"/>
                <w:szCs w:val="24"/>
                <w:lang w:val="en-US" w:eastAsia="zh-CN"/>
              </w:rPr>
            </w:pPr>
            <w:r>
              <w:rPr>
                <w:rFonts w:hint="eastAsia"/>
                <w:b w:val="0"/>
                <w:bCs w:val="0"/>
                <w:sz w:val="24"/>
                <w:szCs w:val="24"/>
                <w:lang w:val="en-US" w:eastAsia="zh-CN"/>
              </w:rPr>
              <w:t>措施和承诺针对性较强较合理可行得4.1-7分；</w:t>
            </w:r>
          </w:p>
          <w:p>
            <w:pPr>
              <w:jc w:val="left"/>
              <w:outlineLvl w:val="9"/>
              <w:rPr>
                <w:rFonts w:hint="eastAsia"/>
                <w:b w:val="0"/>
                <w:bCs w:val="0"/>
                <w:sz w:val="24"/>
                <w:szCs w:val="24"/>
                <w:lang w:val="en-US" w:eastAsia="zh-CN"/>
              </w:rPr>
            </w:pPr>
            <w:r>
              <w:rPr>
                <w:rFonts w:hint="eastAsia"/>
                <w:b w:val="0"/>
                <w:bCs w:val="0"/>
                <w:sz w:val="24"/>
                <w:szCs w:val="24"/>
                <w:lang w:val="en-US" w:eastAsia="zh-CN"/>
              </w:rPr>
              <w:t>措施和承诺针对性一般得1-4分；</w:t>
            </w:r>
          </w:p>
          <w:p>
            <w:pPr>
              <w:jc w:val="left"/>
              <w:outlineLvl w:val="9"/>
              <w:rPr>
                <w:rFonts w:hint="eastAsia"/>
                <w:b w:val="0"/>
                <w:bCs w:val="0"/>
                <w:sz w:val="24"/>
                <w:szCs w:val="24"/>
                <w:lang w:val="en-US" w:eastAsia="zh-CN"/>
              </w:rPr>
            </w:pPr>
            <w:r>
              <w:rPr>
                <w:rFonts w:hint="eastAsia"/>
                <w:b w:val="0"/>
                <w:bCs w:val="0"/>
                <w:sz w:val="24"/>
                <w:szCs w:val="24"/>
                <w:lang w:val="en-US" w:eastAsia="zh-CN"/>
              </w:rPr>
              <w:t>未提供不得分；</w:t>
            </w:r>
          </w:p>
          <w:p>
            <w:pPr>
              <w:jc w:val="left"/>
              <w:outlineLvl w:val="9"/>
              <w:rPr>
                <w:rFonts w:hint="eastAsia" w:ascii="宋体" w:hAnsi="宋体" w:eastAsia="宋体" w:cs="宋体"/>
                <w:kern w:val="2"/>
                <w:sz w:val="24"/>
                <w:szCs w:val="24"/>
                <w:highlight w:val="none"/>
                <w:lang w:val="en-US" w:eastAsia="zh-CN" w:bidi="ar-SA"/>
              </w:rPr>
            </w:pPr>
            <w:r>
              <w:rPr>
                <w:rFonts w:hint="eastAsia"/>
                <w:b w:val="0"/>
                <w:bCs w:val="0"/>
                <w:sz w:val="24"/>
                <w:szCs w:val="24"/>
                <w:lang w:val="en-US" w:eastAsia="zh-CN"/>
              </w:rPr>
              <w:t xml:space="preserve">评审依据：所投产品来源渠道的合法证明文件，不限于认证证书，销售协议、代理协议、原厂授权等和生产厂家出具的相应功能证明材料（包括但不限于测试报告、官网和功能截图等）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93" w:type="dxa"/>
            <w:vMerge w:val="continue"/>
            <w:noWrap w:val="0"/>
            <w:vAlign w:val="top"/>
          </w:tcPr>
          <w:p>
            <w:pPr>
              <w:pStyle w:val="113"/>
              <w:spacing w:before="192" w:line="240" w:lineRule="auto"/>
              <w:ind w:right="249" w:rightChars="0"/>
              <w:outlineLvl w:val="9"/>
              <w:rPr>
                <w:rFonts w:hint="eastAsia" w:ascii="宋体" w:hAnsi="宋体" w:eastAsia="宋体" w:cs="宋体"/>
                <w:b w:val="0"/>
                <w:bCs w:val="0"/>
                <w:sz w:val="24"/>
                <w:szCs w:val="24"/>
                <w:highlight w:val="none"/>
                <w:lang w:eastAsia="zh-CN"/>
              </w:rPr>
            </w:pPr>
          </w:p>
        </w:tc>
        <w:tc>
          <w:tcPr>
            <w:tcW w:w="1245" w:type="dxa"/>
            <w:noWrap w:val="0"/>
            <w:vAlign w:val="center"/>
          </w:tcPr>
          <w:p>
            <w:pPr>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实施</w:t>
            </w:r>
          </w:p>
          <w:p>
            <w:pPr>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w:t>
            </w:r>
          </w:p>
          <w:p>
            <w:pPr>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（5分）</w:t>
            </w:r>
          </w:p>
        </w:tc>
        <w:tc>
          <w:tcPr>
            <w:tcW w:w="5927" w:type="dxa"/>
            <w:noWrap w:val="0"/>
            <w:vAlign w:val="center"/>
          </w:tcPr>
          <w:p>
            <w:pPr>
              <w:pStyle w:val="120"/>
              <w:ind w:firstLine="0" w:firstLineChars="0"/>
              <w:rPr>
                <w:rFonts w:hAnsi="宋体"/>
                <w:color w:val="auto"/>
                <w:sz w:val="24"/>
                <w:szCs w:val="24"/>
                <w:highlight w:val="none"/>
              </w:rPr>
            </w:pPr>
            <w:r>
              <w:rPr>
                <w:rFonts w:hint="eastAsia" w:hAnsi="宋体"/>
                <w:color w:val="auto"/>
                <w:sz w:val="24"/>
                <w:szCs w:val="24"/>
                <w:highlight w:val="none"/>
              </w:rPr>
              <w:t>根据投标人针对本项目实施方案（不限于供货配送方案、运输保管方案、</w:t>
            </w:r>
            <w:r>
              <w:rPr>
                <w:rFonts w:hint="eastAsia" w:hAnsi="宋体"/>
                <w:color w:val="auto"/>
                <w:sz w:val="24"/>
                <w:szCs w:val="24"/>
                <w:highlight w:val="none"/>
                <w:lang w:eastAsia="zh-CN"/>
              </w:rPr>
              <w:t>安装调试、</w:t>
            </w:r>
            <w:r>
              <w:rPr>
                <w:rFonts w:hint="eastAsia" w:hAnsi="宋体"/>
                <w:color w:val="auto"/>
                <w:sz w:val="24"/>
                <w:szCs w:val="24"/>
                <w:highlight w:val="none"/>
              </w:rPr>
              <w:t>质量标准、人员配备、</w:t>
            </w:r>
            <w:r>
              <w:rPr>
                <w:rFonts w:hint="eastAsia" w:ascii="宋体" w:hAnsi="宋体" w:cs="宋体"/>
                <w:color w:val="auto"/>
                <w:sz w:val="24"/>
                <w:szCs w:val="24"/>
                <w:highlight w:val="none"/>
              </w:rPr>
              <w:t>产品调换方案以及出现紧急情况下的应急方案</w:t>
            </w:r>
            <w:r>
              <w:rPr>
                <w:rFonts w:hint="eastAsia" w:hAnsi="宋体"/>
                <w:color w:val="auto"/>
                <w:sz w:val="24"/>
                <w:szCs w:val="24"/>
                <w:highlight w:val="none"/>
              </w:rPr>
              <w:t>等实施方案）进行综合评分。</w:t>
            </w:r>
          </w:p>
          <w:p>
            <w:pPr>
              <w:rPr>
                <w:rFonts w:ascii="宋体" w:hAnsi="宋体" w:cs="宋体"/>
                <w:color w:val="auto"/>
                <w:sz w:val="24"/>
                <w:szCs w:val="24"/>
                <w:highlight w:val="none"/>
              </w:rPr>
            </w:pPr>
            <w:r>
              <w:rPr>
                <w:rFonts w:hint="eastAsia" w:ascii="宋体" w:hAnsi="宋体" w:cs="宋体"/>
                <w:color w:val="auto"/>
                <w:sz w:val="24"/>
                <w:szCs w:val="24"/>
                <w:highlight w:val="none"/>
              </w:rPr>
              <w:t>1.方案细致完整、描述条理清晰，内容齐全，有较高的针对性，得</w:t>
            </w:r>
            <w:r>
              <w:rPr>
                <w:rFonts w:hint="eastAsia" w:ascii="宋体" w:hAnsi="宋体" w:cs="宋体"/>
                <w:color w:val="auto"/>
                <w:sz w:val="24"/>
                <w:szCs w:val="24"/>
                <w:highlight w:val="none"/>
                <w:lang w:val="en-US" w:eastAsia="zh-CN"/>
              </w:rPr>
              <w:t>3.1-5</w:t>
            </w:r>
            <w:r>
              <w:rPr>
                <w:rFonts w:hint="eastAsia" w:ascii="宋体" w:hAnsi="宋体" w:cs="宋体"/>
                <w:color w:val="auto"/>
                <w:sz w:val="24"/>
                <w:szCs w:val="24"/>
                <w:highlight w:val="none"/>
              </w:rPr>
              <w:t>分；</w:t>
            </w:r>
          </w:p>
          <w:p>
            <w:pPr>
              <w:rPr>
                <w:rFonts w:ascii="宋体" w:hAnsi="宋体" w:cs="宋体"/>
                <w:color w:val="auto"/>
                <w:sz w:val="24"/>
                <w:szCs w:val="24"/>
                <w:highlight w:val="none"/>
              </w:rPr>
            </w:pPr>
            <w:r>
              <w:rPr>
                <w:rFonts w:hint="eastAsia" w:ascii="宋体" w:hAnsi="宋体" w:cs="宋体"/>
                <w:color w:val="auto"/>
                <w:sz w:val="24"/>
                <w:szCs w:val="24"/>
                <w:highlight w:val="none"/>
              </w:rPr>
              <w:t>2.方案较完整，可基本实现及满足采购要求，得</w:t>
            </w:r>
            <w:r>
              <w:rPr>
                <w:rFonts w:hint="eastAsia" w:ascii="宋体" w:hAnsi="宋体" w:cs="宋体"/>
                <w:color w:val="auto"/>
                <w:sz w:val="24"/>
                <w:szCs w:val="24"/>
                <w:highlight w:val="none"/>
                <w:lang w:val="en-US" w:eastAsia="zh-CN"/>
              </w:rPr>
              <w:t>1.0-3</w:t>
            </w:r>
            <w:r>
              <w:rPr>
                <w:rFonts w:hint="eastAsia" w:ascii="宋体" w:hAnsi="宋体" w:cs="宋体"/>
                <w:color w:val="auto"/>
                <w:sz w:val="24"/>
                <w:szCs w:val="24"/>
                <w:highlight w:val="none"/>
              </w:rPr>
              <w:t>分；</w:t>
            </w:r>
          </w:p>
          <w:p>
            <w:pPr>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3.方案有明显缺陷，针对性较差</w:t>
            </w:r>
            <w:r>
              <w:rPr>
                <w:rFonts w:hint="eastAsia" w:ascii="宋体" w:hAnsi="宋体" w:cs="宋体"/>
                <w:color w:val="auto"/>
                <w:sz w:val="24"/>
                <w:szCs w:val="24"/>
                <w:highlight w:val="none"/>
                <w:lang w:eastAsia="zh-CN"/>
              </w:rPr>
              <w:t>不得分</w:t>
            </w:r>
            <w:r>
              <w:rPr>
                <w:rFonts w:hint="eastAsia"/>
                <w:color w:val="auto"/>
                <w:sz w:val="24"/>
                <w:szCs w:val="24"/>
                <w:highlight w:val="none"/>
              </w:rPr>
              <w:t>。</w:t>
            </w:r>
            <w:r>
              <w:rPr>
                <w:rFonts w:hAnsi="宋体"/>
                <w:color w:val="auto"/>
                <w:sz w:val="24"/>
                <w:szCs w:val="24"/>
                <w:highlight w:val="none"/>
              </w:rPr>
              <w:t xml:space="preserve">     </w:t>
            </w:r>
            <w:r>
              <w:rPr>
                <w:rFonts w:hAnsi="宋体"/>
                <w:color w:val="auto"/>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1293" w:type="dxa"/>
            <w:vMerge w:val="restart"/>
            <w:noWrap w:val="0"/>
            <w:vAlign w:val="top"/>
          </w:tcPr>
          <w:p>
            <w:pPr>
              <w:pStyle w:val="113"/>
              <w:spacing w:line="240" w:lineRule="auto"/>
              <w:outlineLvl w:val="9"/>
              <w:rPr>
                <w:rFonts w:hint="eastAsia" w:ascii="宋体" w:hAnsi="宋体" w:eastAsia="宋体" w:cs="宋体"/>
                <w:b w:val="0"/>
                <w:bCs w:val="0"/>
                <w:sz w:val="24"/>
                <w:szCs w:val="24"/>
                <w:highlight w:val="none"/>
              </w:rPr>
            </w:pPr>
          </w:p>
          <w:p>
            <w:pPr>
              <w:pStyle w:val="113"/>
              <w:spacing w:line="240" w:lineRule="auto"/>
              <w:outlineLvl w:val="9"/>
              <w:rPr>
                <w:rFonts w:hint="eastAsia" w:ascii="宋体" w:hAnsi="宋体" w:eastAsia="宋体" w:cs="宋体"/>
                <w:b w:val="0"/>
                <w:bCs w:val="0"/>
                <w:sz w:val="24"/>
                <w:szCs w:val="24"/>
                <w:highlight w:val="none"/>
              </w:rPr>
            </w:pPr>
          </w:p>
          <w:p>
            <w:pPr>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商务</w:t>
            </w:r>
          </w:p>
          <w:p>
            <w:pPr>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部分</w:t>
            </w:r>
          </w:p>
          <w:p>
            <w:pPr>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（20分）</w:t>
            </w:r>
          </w:p>
          <w:p>
            <w:pPr>
              <w:jc w:val="center"/>
              <w:outlineLvl w:val="9"/>
              <w:rPr>
                <w:rFonts w:hint="eastAsia" w:ascii="宋体" w:hAnsi="宋体" w:eastAsia="宋体" w:cs="宋体"/>
                <w:b w:val="0"/>
                <w:bCs w:val="0"/>
                <w:kern w:val="0"/>
                <w:sz w:val="24"/>
                <w:szCs w:val="24"/>
                <w:highlight w:val="none"/>
                <w:lang w:val="en-US" w:eastAsia="zh-CN" w:bidi="ar-SA"/>
              </w:rPr>
            </w:pPr>
          </w:p>
        </w:tc>
        <w:tc>
          <w:tcPr>
            <w:tcW w:w="1245" w:type="dxa"/>
            <w:noWrap w:val="0"/>
            <w:vAlign w:val="center"/>
          </w:tcPr>
          <w:p>
            <w:pPr>
              <w:pStyle w:val="113"/>
              <w:spacing w:line="240" w:lineRule="auto"/>
              <w:jc w:val="center"/>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售后服务方案（5分）</w:t>
            </w:r>
          </w:p>
        </w:tc>
        <w:tc>
          <w:tcPr>
            <w:tcW w:w="5927" w:type="dxa"/>
            <w:noWrap w:val="0"/>
            <w:vAlign w:val="top"/>
          </w:tcPr>
          <w:p>
            <w:pPr>
              <w:rPr>
                <w:rFonts w:hAnsi="宋体"/>
                <w:color w:val="auto"/>
                <w:szCs w:val="21"/>
              </w:rPr>
            </w:pPr>
            <w:r>
              <w:rPr>
                <w:rFonts w:hint="eastAsia" w:hAnsi="宋体"/>
                <w:color w:val="auto"/>
                <w:szCs w:val="21"/>
                <w:lang w:val="en-US" w:eastAsia="zh-CN"/>
              </w:rPr>
              <w:t>1.</w:t>
            </w:r>
            <w:r>
              <w:rPr>
                <w:rFonts w:hint="eastAsia" w:hAnsi="宋体"/>
                <w:color w:val="auto"/>
                <w:szCs w:val="21"/>
              </w:rPr>
              <w:t>针对本项目</w:t>
            </w:r>
            <w:r>
              <w:rPr>
                <w:rFonts w:hint="eastAsia" w:hAnsi="宋体"/>
                <w:color w:val="auto"/>
                <w:szCs w:val="21"/>
                <w:lang w:val="zh-CN"/>
              </w:rPr>
              <w:t>试剂耗材在运输途中发生破损、渗漏的补救措施及解决方案制定相应的售后服务方案，包括送货响应时效、调换货响应时效、提供具体可行的售后服务措施承诺及明确详细的售后服务人员组成和安排，为招标人提供必要的技术支持等内容根据响应程度计0-3分</w:t>
            </w:r>
            <w:r>
              <w:rPr>
                <w:rFonts w:hint="eastAsia" w:hAnsi="宋体"/>
                <w:color w:val="auto"/>
                <w:szCs w:val="21"/>
              </w:rPr>
              <w:t>。</w:t>
            </w:r>
          </w:p>
          <w:p>
            <w:pPr>
              <w:jc w:val="left"/>
              <w:rPr>
                <w:rFonts w:hint="default" w:ascii="宋体" w:hAnsi="宋体" w:eastAsia="宋体" w:cs="宋体"/>
                <w:b w:val="0"/>
                <w:bCs w:val="0"/>
                <w:color w:val="auto"/>
                <w:sz w:val="24"/>
                <w:szCs w:val="24"/>
                <w:highlight w:val="none"/>
                <w:lang w:val="en-US" w:eastAsia="zh-CN"/>
              </w:rPr>
            </w:pPr>
            <w:r>
              <w:rPr>
                <w:rFonts w:hint="eastAsia" w:hAnsi="宋体" w:eastAsia="宋体"/>
                <w:color w:val="auto"/>
                <w:szCs w:val="21"/>
                <w:lang w:val="en-US" w:eastAsia="zh-CN"/>
              </w:rPr>
              <w:t>2</w:t>
            </w:r>
            <w:r>
              <w:rPr>
                <w:rFonts w:hint="eastAsia" w:hAnsi="宋体" w:cs="Times New Roman"/>
                <w:color w:val="auto"/>
                <w:szCs w:val="21"/>
                <w:lang w:val="en-US" w:eastAsia="zh-CN"/>
              </w:rPr>
              <w:t>.</w:t>
            </w:r>
            <w:r>
              <w:rPr>
                <w:rFonts w:hint="eastAsia" w:hAnsi="宋体" w:cs="Times New Roman"/>
                <w:color w:val="auto"/>
                <w:szCs w:val="21"/>
                <w:lang w:val="zh-CN"/>
              </w:rPr>
              <w:t>为采购人负责培训操作人员，并附有完整的培训方案，列出详细的培训内容、培训方式等说明，根据响应程度计</w:t>
            </w:r>
            <w:r>
              <w:rPr>
                <w:rFonts w:hint="eastAsia" w:hAnsi="宋体" w:cs="Times New Roman"/>
                <w:color w:val="auto"/>
                <w:szCs w:val="21"/>
                <w:lang w:val="en-US" w:eastAsia="zh-CN"/>
              </w:rPr>
              <w:t>0-2</w:t>
            </w:r>
            <w:r>
              <w:rPr>
                <w:rFonts w:hint="eastAsia" w:hAnsi="宋体" w:cs="Times New Roman"/>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293" w:type="dxa"/>
            <w:vMerge w:val="continue"/>
            <w:noWrap w:val="0"/>
            <w:vAlign w:val="top"/>
          </w:tcPr>
          <w:p>
            <w:pPr>
              <w:spacing w:line="240" w:lineRule="auto"/>
              <w:outlineLvl w:val="9"/>
              <w:rPr>
                <w:rFonts w:hint="eastAsia" w:ascii="宋体" w:hAnsi="宋体" w:eastAsia="宋体" w:cs="宋体"/>
                <w:b w:val="0"/>
                <w:bCs w:val="0"/>
                <w:sz w:val="24"/>
                <w:szCs w:val="24"/>
                <w:highlight w:val="none"/>
              </w:rPr>
            </w:pPr>
          </w:p>
        </w:tc>
        <w:tc>
          <w:tcPr>
            <w:tcW w:w="1245" w:type="dxa"/>
            <w:noWrap w:val="0"/>
            <w:vAlign w:val="center"/>
          </w:tcPr>
          <w:p>
            <w:pPr>
              <w:spacing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商务</w:t>
            </w:r>
          </w:p>
          <w:p>
            <w:pPr>
              <w:spacing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响应</w:t>
            </w:r>
          </w:p>
          <w:p>
            <w:pPr>
              <w:spacing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（5分）</w:t>
            </w:r>
          </w:p>
        </w:tc>
        <w:tc>
          <w:tcPr>
            <w:tcW w:w="5927" w:type="dxa"/>
            <w:noWrap w:val="0"/>
            <w:vAlign w:val="top"/>
          </w:tcPr>
          <w:p>
            <w:pPr>
              <w:pStyle w:val="113"/>
              <w:spacing w:line="240" w:lineRule="auto"/>
              <w:ind w:right="96"/>
              <w:outlineLvl w:val="9"/>
              <w:rPr>
                <w:rFonts w:hint="eastAsia" w:ascii="宋体" w:hAnsi="宋体" w:eastAsia="宋体" w:cs="宋体"/>
                <w:b w:val="0"/>
                <w:bCs w:val="0"/>
                <w:color w:val="auto"/>
                <w:sz w:val="24"/>
                <w:szCs w:val="24"/>
                <w:highlight w:val="none"/>
                <w:lang w:val="en-US" w:eastAsia="zh-CN"/>
              </w:rPr>
            </w:pPr>
            <w:r>
              <w:rPr>
                <w:rFonts w:hint="eastAsia" w:hAnsi="宋体"/>
                <w:color w:val="auto"/>
                <w:sz w:val="24"/>
                <w:szCs w:val="24"/>
                <w:lang w:val="en-US" w:eastAsia="zh-CN"/>
              </w:rPr>
              <w:t>响应文件完全满足</w:t>
            </w:r>
            <w:r>
              <w:rPr>
                <w:rFonts w:hint="eastAsia" w:hAnsi="宋体"/>
                <w:color w:val="auto"/>
                <w:sz w:val="24"/>
                <w:szCs w:val="24"/>
                <w:highlight w:val="none"/>
                <w:lang w:val="en-US" w:eastAsia="zh-CN"/>
              </w:rPr>
              <w:t>招标</w:t>
            </w:r>
            <w:r>
              <w:rPr>
                <w:rFonts w:hint="eastAsia" w:hAnsi="宋体"/>
                <w:color w:val="auto"/>
                <w:sz w:val="24"/>
                <w:szCs w:val="24"/>
                <w:lang w:val="en-US" w:eastAsia="zh-CN"/>
              </w:rPr>
              <w:t>文件商务要求并有相应商务响应说明得2分；交货期优于</w:t>
            </w:r>
            <w:r>
              <w:rPr>
                <w:rFonts w:hint="eastAsia" w:hAnsi="宋体"/>
                <w:color w:val="auto"/>
                <w:sz w:val="24"/>
                <w:szCs w:val="24"/>
                <w:highlight w:val="none"/>
                <w:lang w:val="en-US" w:eastAsia="zh-CN"/>
              </w:rPr>
              <w:t>招标</w:t>
            </w:r>
            <w:r>
              <w:rPr>
                <w:rFonts w:hint="eastAsia" w:hAnsi="宋体"/>
                <w:color w:val="auto"/>
                <w:sz w:val="24"/>
                <w:szCs w:val="24"/>
                <w:lang w:val="en-US" w:eastAsia="zh-CN"/>
              </w:rPr>
              <w:t>文件要求的加1分，</w:t>
            </w:r>
            <w:r>
              <w:rPr>
                <w:rFonts w:hint="eastAsia" w:hAnsi="宋体"/>
                <w:color w:val="auto"/>
                <w:sz w:val="24"/>
                <w:szCs w:val="24"/>
                <w:lang w:val="zh-CN"/>
              </w:rPr>
              <w:t>产品有效期</w:t>
            </w:r>
            <w:r>
              <w:rPr>
                <w:rFonts w:hint="eastAsia" w:hAnsi="宋体"/>
                <w:color w:val="auto"/>
                <w:sz w:val="24"/>
                <w:szCs w:val="24"/>
                <w:lang w:val="en-US" w:eastAsia="zh-CN"/>
              </w:rPr>
              <w:t>优于</w:t>
            </w:r>
            <w:r>
              <w:rPr>
                <w:rFonts w:hint="eastAsia" w:hAnsi="宋体"/>
                <w:color w:val="auto"/>
                <w:sz w:val="24"/>
                <w:szCs w:val="24"/>
                <w:highlight w:val="none"/>
                <w:lang w:val="en-US" w:eastAsia="zh-CN"/>
              </w:rPr>
              <w:t>招标</w:t>
            </w:r>
            <w:r>
              <w:rPr>
                <w:rFonts w:hint="eastAsia" w:hAnsi="宋体"/>
                <w:color w:val="auto"/>
                <w:sz w:val="24"/>
                <w:szCs w:val="24"/>
                <w:lang w:val="en-US" w:eastAsia="zh-CN"/>
              </w:rPr>
              <w:t>文件要求加1分，最多加2分</w:t>
            </w:r>
            <w:r>
              <w:rPr>
                <w:rFonts w:hint="eastAsia" w:asci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293" w:type="dxa"/>
            <w:vMerge w:val="continue"/>
            <w:noWrap w:val="0"/>
            <w:vAlign w:val="center"/>
          </w:tcPr>
          <w:p>
            <w:pPr>
              <w:jc w:val="center"/>
              <w:outlineLvl w:val="9"/>
              <w:rPr>
                <w:rFonts w:hint="eastAsia" w:ascii="宋体" w:hAnsi="宋体" w:eastAsia="宋体" w:cs="宋体"/>
                <w:b w:val="0"/>
                <w:bCs w:val="0"/>
                <w:kern w:val="0"/>
                <w:sz w:val="24"/>
                <w:szCs w:val="24"/>
                <w:highlight w:val="none"/>
                <w:lang w:val="en-US" w:eastAsia="zh-CN" w:bidi="ar-SA"/>
              </w:rPr>
            </w:pPr>
          </w:p>
        </w:tc>
        <w:tc>
          <w:tcPr>
            <w:tcW w:w="1245" w:type="dxa"/>
            <w:noWrap w:val="0"/>
            <w:vAlign w:val="center"/>
          </w:tcPr>
          <w:p>
            <w:pPr>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p>
          <w:p>
            <w:pPr>
              <w:pStyle w:val="17"/>
              <w:jc w:val="center"/>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10分</w:t>
            </w:r>
          </w:p>
        </w:tc>
        <w:tc>
          <w:tcPr>
            <w:tcW w:w="5927" w:type="dxa"/>
            <w:noWrap w:val="0"/>
            <w:vAlign w:val="center"/>
          </w:tcPr>
          <w:p>
            <w:pPr>
              <w:jc w:val="both"/>
              <w:rPr>
                <w:rFonts w:hint="eastAsia" w:hAnsi="宋体" w:cs="宋体" w:eastAsiaTheme="minorEastAsia"/>
                <w:color w:val="auto"/>
                <w:sz w:val="24"/>
                <w:szCs w:val="24"/>
                <w:highlight w:val="none"/>
                <w:lang w:eastAsia="zh-CN"/>
              </w:rPr>
            </w:pPr>
            <w:r>
              <w:rPr>
                <w:rFonts w:hint="eastAsia" w:hAnsi="宋体" w:cs="宋体"/>
                <w:color w:val="auto"/>
                <w:sz w:val="24"/>
                <w:szCs w:val="24"/>
                <w:highlight w:val="none"/>
              </w:rPr>
              <w:t>提供</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201</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年1月1日至今</w:t>
            </w:r>
            <w:r>
              <w:rPr>
                <w:rFonts w:hint="eastAsia" w:hAnsi="宋体" w:cs="宋体"/>
                <w:color w:val="auto"/>
                <w:sz w:val="24"/>
                <w:szCs w:val="24"/>
                <w:highlight w:val="none"/>
                <w:lang w:eastAsia="zh-CN"/>
              </w:rPr>
              <w:t>所投产品</w:t>
            </w:r>
            <w:r>
              <w:rPr>
                <w:rFonts w:hint="eastAsia" w:hAnsi="宋体" w:cs="宋体"/>
                <w:color w:val="auto"/>
                <w:sz w:val="24"/>
                <w:szCs w:val="24"/>
                <w:highlight w:val="none"/>
              </w:rPr>
              <w:t>供货业绩合同</w:t>
            </w:r>
            <w:r>
              <w:rPr>
                <w:rFonts w:hint="eastAsia" w:hAnsi="宋体" w:cs="宋体"/>
                <w:color w:val="auto"/>
                <w:sz w:val="24"/>
                <w:szCs w:val="24"/>
                <w:highlight w:val="none"/>
                <w:lang w:eastAsia="zh-CN"/>
              </w:rPr>
              <w:t>（以合同签订时间为准），</w:t>
            </w:r>
            <w:r>
              <w:rPr>
                <w:rFonts w:hint="eastAsia" w:hAnsi="宋体" w:cs="宋体"/>
                <w:color w:val="auto"/>
                <w:sz w:val="24"/>
                <w:szCs w:val="24"/>
                <w:highlight w:val="none"/>
              </w:rPr>
              <w:t>一个业绩计</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分，最高</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分。</w:t>
            </w:r>
          </w:p>
          <w:p>
            <w:pPr>
              <w:outlineLvl w:val="9"/>
              <w:rPr>
                <w:rFonts w:hint="eastAsia" w:ascii="宋体" w:hAnsi="宋体" w:eastAsia="宋体" w:cs="宋体"/>
                <w:b w:val="0"/>
                <w:bCs w:val="0"/>
                <w:color w:val="auto"/>
                <w:kern w:val="0"/>
                <w:sz w:val="24"/>
                <w:szCs w:val="24"/>
                <w:highlight w:val="none"/>
                <w:lang w:val="en-US" w:eastAsia="zh-CN" w:bidi="ar-SA"/>
              </w:rPr>
            </w:pPr>
            <w:r>
              <w:rPr>
                <w:rFonts w:hint="eastAsia" w:hAnsi="宋体"/>
                <w:b/>
                <w:bCs/>
                <w:color w:val="auto"/>
                <w:sz w:val="24"/>
                <w:szCs w:val="24"/>
                <w:highlight w:val="none"/>
              </w:rPr>
              <w:t>评审依据：</w:t>
            </w:r>
            <w:r>
              <w:rPr>
                <w:rFonts w:hint="eastAsia" w:hAnsi="宋体" w:cs="宋体"/>
                <w:color w:val="auto"/>
                <w:sz w:val="24"/>
                <w:szCs w:val="24"/>
                <w:lang w:eastAsia="zh-CN"/>
              </w:rPr>
              <w:t>投标文件中</w:t>
            </w:r>
            <w:r>
              <w:rPr>
                <w:rFonts w:hint="eastAsia"/>
                <w:color w:val="auto"/>
                <w:sz w:val="24"/>
                <w:szCs w:val="24"/>
                <w:lang w:eastAsia="zh-CN"/>
              </w:rPr>
              <w:t>须提供业绩合同证明材料复印件加盖公章，含合同关键页（即合同首页、合同标的物、合同金额页及双方签字盖章页），以合同签订时间为准</w:t>
            </w:r>
            <w:r>
              <w:rPr>
                <w:rFonts w:hint="eastAsia" w:hAnsi="宋体"/>
                <w:color w:val="auto"/>
                <w:sz w:val="24"/>
                <w:szCs w:val="24"/>
                <w:highlight w:val="none"/>
              </w:rPr>
              <w:t>。</w:t>
            </w:r>
            <w:r>
              <w:rPr>
                <w:rFonts w:hint="eastAsia" w:hAnsi="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465" w:type="dxa"/>
            <w:gridSpan w:val="3"/>
            <w:noWrap w:val="0"/>
            <w:vAlign w:val="center"/>
          </w:tcPr>
          <w:p>
            <w:pPr>
              <w:spacing w:line="240" w:lineRule="auto"/>
              <w:outlineLvl w:val="9"/>
              <w:rPr>
                <w:rFonts w:ascii="宋体" w:cs="宋体"/>
                <w:b/>
                <w:bCs/>
                <w:sz w:val="22"/>
                <w:szCs w:val="22"/>
              </w:rPr>
            </w:pPr>
            <w:r>
              <w:rPr>
                <w:rFonts w:hint="eastAsia" w:ascii="宋体" w:hAnsi="宋体" w:cs="宋体"/>
                <w:b/>
                <w:bCs/>
                <w:sz w:val="22"/>
                <w:szCs w:val="20"/>
              </w:rPr>
              <w:t>备注：</w:t>
            </w:r>
            <w:r>
              <w:rPr>
                <w:rFonts w:hint="eastAsia" w:ascii="宋体" w:hAnsi="宋体" w:cs="宋体"/>
                <w:b/>
                <w:bCs/>
                <w:sz w:val="22"/>
                <w:szCs w:val="22"/>
              </w:rPr>
              <w:t>（一）对小型或微型企业参加政府采购投标的扶持：</w:t>
            </w:r>
          </w:p>
          <w:p>
            <w:pPr>
              <w:spacing w:line="240" w:lineRule="auto"/>
              <w:ind w:firstLine="456" w:firstLineChars="200"/>
              <w:outlineLvl w:val="9"/>
              <w:rPr>
                <w:rFonts w:ascii="宋体" w:cs="宋体"/>
                <w:sz w:val="22"/>
                <w:szCs w:val="22"/>
              </w:rPr>
            </w:pPr>
            <w:r>
              <w:rPr>
                <w:rFonts w:hint="eastAsia" w:ascii="宋体" w:hAnsi="宋体" w:cs="宋体"/>
                <w:sz w:val="22"/>
                <w:szCs w:val="22"/>
              </w:rPr>
              <w:t>根据《政府采购促进中小企业发展管理办法》（财库</w:t>
            </w:r>
            <w:r>
              <w:rPr>
                <w:rFonts w:ascii="宋体" w:hAnsi="宋体" w:cs="宋体"/>
                <w:sz w:val="22"/>
                <w:szCs w:val="22"/>
              </w:rPr>
              <w:t>[20</w:t>
            </w:r>
            <w:r>
              <w:rPr>
                <w:rFonts w:hint="eastAsia" w:ascii="宋体" w:hAnsi="宋体" w:cs="宋体"/>
                <w:sz w:val="22"/>
                <w:szCs w:val="22"/>
              </w:rPr>
              <w:t>20</w:t>
            </w:r>
            <w:r>
              <w:rPr>
                <w:rFonts w:ascii="宋体" w:hAnsi="宋体" w:cs="宋体"/>
                <w:sz w:val="22"/>
                <w:szCs w:val="22"/>
              </w:rPr>
              <w:t>]</w:t>
            </w:r>
            <w:r>
              <w:rPr>
                <w:rFonts w:hint="eastAsia" w:ascii="宋体" w:hAnsi="宋体" w:cs="宋体"/>
                <w:sz w:val="22"/>
                <w:szCs w:val="22"/>
              </w:rPr>
              <w:t>46号）的规定，对于非专门面向中小企业的项目，对小型和微型企业产品的价格给予</w:t>
            </w:r>
            <w:r>
              <w:rPr>
                <w:rFonts w:hint="eastAsia" w:ascii="宋体" w:hAnsi="宋体" w:cs="宋体"/>
                <w:sz w:val="22"/>
                <w:szCs w:val="22"/>
                <w:lang w:val="en-US" w:eastAsia="zh-CN"/>
              </w:rPr>
              <w:t>10</w:t>
            </w:r>
            <w:r>
              <w:rPr>
                <w:rFonts w:ascii="宋体" w:hAnsi="宋体" w:cs="宋体"/>
                <w:sz w:val="22"/>
                <w:szCs w:val="22"/>
              </w:rPr>
              <w:t>%</w:t>
            </w:r>
            <w:r>
              <w:rPr>
                <w:rFonts w:hint="eastAsia" w:ascii="宋体" w:hAnsi="宋体" w:cs="宋体"/>
                <w:sz w:val="22"/>
                <w:szCs w:val="22"/>
              </w:rPr>
              <w:t>的扣除，用扣除后的价格参与评审；供应商可在投标文件中提供小型和微型企业声明，具体格式详见附件。</w:t>
            </w:r>
          </w:p>
          <w:p>
            <w:pPr>
              <w:spacing w:line="240" w:lineRule="auto"/>
              <w:ind w:firstLine="456" w:firstLineChars="200"/>
              <w:outlineLvl w:val="9"/>
              <w:rPr>
                <w:rFonts w:ascii="宋体" w:cs="宋体"/>
                <w:b/>
                <w:bCs/>
                <w:sz w:val="22"/>
                <w:szCs w:val="22"/>
              </w:rPr>
            </w:pPr>
            <w:r>
              <w:rPr>
                <w:rFonts w:hint="eastAsia" w:ascii="宋体" w:cs="宋体"/>
                <w:b/>
                <w:bCs/>
                <w:sz w:val="22"/>
                <w:szCs w:val="22"/>
              </w:rPr>
              <w:t>（二）对监狱企业、残疾人福利企业的扶持</w:t>
            </w:r>
          </w:p>
          <w:p>
            <w:pPr>
              <w:spacing w:line="240" w:lineRule="auto"/>
              <w:ind w:firstLine="456" w:firstLineChars="200"/>
              <w:outlineLvl w:val="9"/>
              <w:rPr>
                <w:rFonts w:ascii="宋体" w:hAnsi="宋体" w:cs="宋体"/>
                <w:sz w:val="22"/>
                <w:szCs w:val="22"/>
              </w:rPr>
            </w:pPr>
            <w:r>
              <w:rPr>
                <w:rFonts w:hint="eastAsia" w:ascii="宋体" w:cs="宋体"/>
                <w:sz w:val="22"/>
                <w:szCs w:val="22"/>
              </w:rPr>
              <w:t>根据《关于政府采购支持监狱企业发展有关问题的通知》（财库[2014]68号）</w:t>
            </w:r>
            <w:r>
              <w:rPr>
                <w:rFonts w:hint="eastAsia" w:ascii="宋体" w:hAnsi="宋体" w:cs="宋体"/>
                <w:sz w:val="22"/>
                <w:szCs w:val="22"/>
              </w:rPr>
              <w:t>（提供由省级以上监狱管理局、戒毒管理局（含新疆生产建设兵团）出具的属于监狱企业的证明文件）、《三部门联合发布关于促进残疾人就业政府采购政策的通知》（财库〔2017〕141号）的规定，对监狱企业、残疾人福利企业给予</w:t>
            </w:r>
            <w:r>
              <w:rPr>
                <w:rFonts w:hint="eastAsia" w:ascii="宋体" w:hAnsi="宋体" w:cs="宋体"/>
                <w:sz w:val="22"/>
                <w:szCs w:val="22"/>
                <w:lang w:val="en-US" w:eastAsia="zh-CN"/>
              </w:rPr>
              <w:t>10</w:t>
            </w:r>
            <w:r>
              <w:rPr>
                <w:rFonts w:hint="eastAsia" w:ascii="宋体" w:hAnsi="宋体" w:cs="宋体"/>
                <w:sz w:val="22"/>
                <w:szCs w:val="22"/>
              </w:rPr>
              <w:t xml:space="preserve">%的价格扣除，用扣除后的价格参与评审。 </w:t>
            </w:r>
          </w:p>
          <w:p>
            <w:pPr>
              <w:spacing w:line="240" w:lineRule="auto"/>
              <w:ind w:firstLine="456" w:firstLineChars="200"/>
              <w:outlineLvl w:val="9"/>
              <w:rPr>
                <w:rFonts w:ascii="宋体" w:hAnsi="宋体" w:cs="宋体"/>
                <w:b/>
                <w:bCs/>
                <w:sz w:val="22"/>
                <w:szCs w:val="22"/>
              </w:rPr>
            </w:pPr>
            <w:r>
              <w:rPr>
                <w:rFonts w:hint="eastAsia" w:ascii="宋体" w:hAnsi="宋体" w:cs="宋体"/>
                <w:b/>
                <w:bCs/>
                <w:sz w:val="22"/>
                <w:szCs w:val="22"/>
              </w:rPr>
              <w:t>（三）对同时属于小微企业、监狱企业或残疾人福利性单位的， 不重复享受政策。</w:t>
            </w:r>
          </w:p>
          <w:p>
            <w:pPr>
              <w:spacing w:line="240" w:lineRule="auto"/>
              <w:ind w:firstLine="456" w:firstLineChars="200"/>
              <w:outlineLvl w:val="9"/>
              <w:rPr>
                <w:rFonts w:ascii="宋体" w:cs="宋体"/>
                <w:b/>
                <w:bCs/>
                <w:sz w:val="22"/>
                <w:szCs w:val="22"/>
              </w:rPr>
            </w:pPr>
            <w:r>
              <w:rPr>
                <w:rFonts w:hint="eastAsia" w:ascii="宋体" w:hAnsi="宋体" w:cs="宋体"/>
                <w:b/>
                <w:bCs/>
                <w:sz w:val="22"/>
                <w:szCs w:val="22"/>
              </w:rPr>
              <w:t>（四）对节能、环保政策的支持</w:t>
            </w:r>
          </w:p>
          <w:p>
            <w:pPr>
              <w:spacing w:line="240" w:lineRule="auto"/>
              <w:ind w:firstLine="456" w:firstLineChars="200"/>
              <w:outlineLvl w:val="9"/>
              <w:rPr>
                <w:rFonts w:ascii="宋体"/>
                <w:color w:val="000000"/>
                <w:sz w:val="22"/>
                <w:szCs w:val="22"/>
              </w:rPr>
            </w:pPr>
            <w:r>
              <w:rPr>
                <w:rFonts w:hint="eastAsia" w:ascii="宋体" w:hAnsi="宋体" w:cs="宋体"/>
                <w:color w:val="000000"/>
                <w:sz w:val="22"/>
                <w:szCs w:val="22"/>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240" w:lineRule="auto"/>
              <w:ind w:firstLine="456" w:firstLineChars="200"/>
              <w:outlineLvl w:val="9"/>
              <w:rPr>
                <w:rFonts w:ascii="宋体" w:hAnsi="宋体" w:cs="宋体"/>
                <w:color w:val="000000"/>
                <w:sz w:val="22"/>
                <w:szCs w:val="22"/>
              </w:rPr>
            </w:pPr>
            <w:r>
              <w:rPr>
                <w:rFonts w:hint="eastAsia" w:ascii="宋体" w:hAnsi="宋体" w:cs="宋体"/>
                <w:color w:val="000000"/>
                <w:sz w:val="22"/>
                <w:szCs w:val="22"/>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240" w:lineRule="auto"/>
              <w:outlineLvl w:val="9"/>
              <w:rPr>
                <w:rFonts w:hint="eastAsia" w:ascii="宋体" w:hAnsi="宋体" w:eastAsia="宋体" w:cs="宋体"/>
                <w:color w:val="000000"/>
                <w:sz w:val="28"/>
                <w:szCs w:val="28"/>
                <w:highlight w:val="none"/>
              </w:rPr>
            </w:pPr>
            <w:r>
              <w:rPr>
                <w:rFonts w:hint="eastAsia" w:ascii="宋体" w:hAnsi="宋体" w:cs="宋体"/>
                <w:color w:val="000000"/>
                <w:sz w:val="22"/>
                <w:szCs w:val="22"/>
              </w:rPr>
              <w:t>3、产品同时属于“非强制采购节能产品”、环境标志产品的，评审时只有其中一项能享受优先待遇（供应商自行选择，并在报价文件中填写相关信息及数据）。</w:t>
            </w:r>
          </w:p>
        </w:tc>
      </w:tr>
    </w:tbl>
    <w:p>
      <w:pPr>
        <w:rPr>
          <w:rFonts w:hint="eastAsia"/>
        </w:rPr>
      </w:pPr>
      <w:r>
        <w:rPr>
          <w:rFonts w:hint="eastAsia"/>
        </w:rPr>
        <w:br w:type="page"/>
      </w:r>
    </w:p>
    <w:p>
      <w:pPr>
        <w:rPr>
          <w:rFonts w:hint="eastAsia"/>
        </w:rPr>
      </w:pPr>
    </w:p>
    <w:p>
      <w:pPr>
        <w:pStyle w:val="96"/>
        <w:bidi w:val="0"/>
        <w:rPr>
          <w:rFonts w:hint="eastAsia"/>
          <w:sz w:val="24"/>
          <w:szCs w:val="24"/>
        </w:rPr>
      </w:pPr>
      <w:r>
        <w:rPr>
          <w:rFonts w:hint="eastAsia"/>
          <w:sz w:val="24"/>
          <w:szCs w:val="24"/>
        </w:rPr>
        <w:t>4．推荐中标候选人</w:t>
      </w:r>
      <w:bookmarkEnd w:id="157"/>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96"/>
        <w:bidi w:val="0"/>
        <w:rPr>
          <w:rFonts w:hint="eastAsia"/>
          <w:sz w:val="24"/>
          <w:szCs w:val="24"/>
        </w:rPr>
      </w:pPr>
      <w:bookmarkStart w:id="158" w:name="_Toc12762"/>
      <w:r>
        <w:rPr>
          <w:rFonts w:hint="eastAsia"/>
          <w:sz w:val="24"/>
          <w:szCs w:val="24"/>
        </w:rPr>
        <w:t>5．编写评审报告</w:t>
      </w:r>
      <w:bookmarkEnd w:id="158"/>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评审报告是评标委员会根据全体评标成员签字的原始评标记录和评标结果编写的报告，其主要内容包括：</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（1）招标公告刊登的媒体名称、开标日期和地点；</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（2）投标供应商名单和评标委员会成员名单；</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（3）评标方法；</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（4）开标记录和评标情况及说明，包括投标无效供应商名单及原因；</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（5）评标结果，确定的中标候选人名单或者经采购人委托直接确定的中标供应商；</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（6）其他需要说明的情况，包括评标过程中投标供应商根据评标委员会要求进行的澄清、说明或者补正，评标委员会成员的更换等。</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96"/>
        <w:bidi w:val="0"/>
        <w:rPr>
          <w:rFonts w:hint="eastAsia"/>
          <w:b/>
          <w:bCs/>
          <w:sz w:val="24"/>
          <w:szCs w:val="24"/>
        </w:rPr>
      </w:pPr>
      <w:bookmarkStart w:id="159" w:name="_Toc8654"/>
      <w:r>
        <w:rPr>
          <w:rFonts w:hint="eastAsia"/>
          <w:b/>
          <w:bCs/>
          <w:sz w:val="24"/>
          <w:szCs w:val="24"/>
        </w:rPr>
        <w:t>（三）评标争议处理规则</w:t>
      </w:r>
      <w:bookmarkEnd w:id="159"/>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96"/>
        <w:bidi w:val="0"/>
        <w:rPr>
          <w:rFonts w:hint="eastAsia"/>
          <w:b/>
          <w:bCs/>
          <w:sz w:val="24"/>
          <w:szCs w:val="24"/>
        </w:rPr>
      </w:pPr>
      <w:bookmarkStart w:id="160" w:name="_Toc4810"/>
      <w:r>
        <w:rPr>
          <w:rFonts w:hint="eastAsia"/>
          <w:b/>
          <w:bCs/>
          <w:sz w:val="24"/>
          <w:szCs w:val="24"/>
        </w:rPr>
        <w:t>（四）评审现场人员的保密责任</w:t>
      </w:r>
      <w:bookmarkEnd w:id="160"/>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96"/>
        <w:bidi w:val="0"/>
        <w:rPr>
          <w:rFonts w:hint="eastAsia"/>
          <w:b/>
          <w:bCs/>
          <w:sz w:val="24"/>
          <w:szCs w:val="24"/>
        </w:rPr>
      </w:pPr>
      <w:bookmarkStart w:id="161" w:name="_Toc27257"/>
      <w:r>
        <w:rPr>
          <w:rFonts w:hint="eastAsia"/>
          <w:b/>
          <w:bCs/>
          <w:sz w:val="24"/>
          <w:szCs w:val="24"/>
        </w:rPr>
        <w:t>（五）视同供应商串通投标的情形，其投标无效：</w:t>
      </w:r>
      <w:bookmarkEnd w:id="161"/>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1．不同供应商的投标文件由同一单位或者个人编制；</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2．不同供应商委托同一单位或者个人办理投标事宜；</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3．不同供应商的投标文件载明的项目管理成员或者联系人员为同一人；</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4．不同供应商的投标文件异常一致或者投标报价呈规律性差异。</w:t>
      </w:r>
    </w:p>
    <w:p>
      <w:pPr>
        <w:pStyle w:val="5"/>
        <w:ind w:left="0" w:leftChars="0" w:firstLine="0" w:firstLineChars="0"/>
        <w:outlineLvl w:val="1"/>
        <w:rPr>
          <w:rFonts w:hint="eastAsia" w:ascii="宋体" w:hAnsi="宋体" w:eastAsia="宋体" w:cs="宋体"/>
          <w:b/>
          <w:bCs/>
          <w:sz w:val="24"/>
          <w:szCs w:val="24"/>
        </w:rPr>
      </w:pPr>
      <w:bookmarkStart w:id="162" w:name="_Toc20968"/>
      <w:bookmarkStart w:id="163" w:name="_Toc25850"/>
      <w:bookmarkStart w:id="164" w:name="_Toc21666"/>
      <w:bookmarkStart w:id="165" w:name="_Toc26391"/>
      <w:r>
        <w:rPr>
          <w:rFonts w:hint="eastAsia" w:ascii="宋体" w:hAnsi="宋体" w:eastAsia="宋体" w:cs="宋体"/>
          <w:b/>
          <w:bCs/>
          <w:sz w:val="24"/>
          <w:szCs w:val="24"/>
        </w:rPr>
        <w:t>八、中标</w:t>
      </w:r>
      <w:bookmarkEnd w:id="162"/>
      <w:bookmarkEnd w:id="163"/>
      <w:bookmarkEnd w:id="164"/>
      <w:bookmarkEnd w:id="165"/>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1．代理机构在评标结束后1个工作日内将评标报告送达采购单位，采购单位在收到评标报告后4个工作日内，按照评标报告中推荐的中标候选人顺序确认第一中标候选人为中标单位，同时书面复函代理机构。</w:t>
      </w:r>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2．采购代理机构将在中标供应商确定之日起</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个工作日内，在【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陕西省政府采购网</w:t>
      </w:r>
      <w:r>
        <w:rPr>
          <w:rStyle w:val="42"/>
          <w:rFonts w:hint="eastAsia" w:ascii="宋体" w:hAnsi="宋体" w:eastAsia="宋体" w:cs="宋体"/>
          <w:color w:val="auto"/>
          <w:sz w:val="24"/>
          <w:szCs w:val="24"/>
          <w:u w:val="none"/>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Style w:val="42"/>
          <w:rFonts w:hint="eastAsia" w:ascii="宋体" w:hAnsi="宋体" w:eastAsia="宋体" w:cs="宋体"/>
          <w:color w:val="auto"/>
          <w:sz w:val="24"/>
          <w:szCs w:val="24"/>
          <w:u w:val="none"/>
        </w:rPr>
        <w:t>http://www.ccgp-shaanxi.gov.cn/</w:t>
      </w:r>
      <w:r>
        <w:rPr>
          <w:rStyle w:val="42"/>
          <w:rFonts w:hint="eastAsia" w:ascii="宋体" w:hAnsi="宋体" w:eastAsia="宋体" w:cs="宋体"/>
          <w:color w:val="auto"/>
          <w:sz w:val="24"/>
          <w:szCs w:val="24"/>
          <w:u w:val="none"/>
        </w:rPr>
        <w:fldChar w:fldCharType="end"/>
      </w:r>
      <w:r>
        <w:rPr>
          <w:rFonts w:hint="eastAsia" w:ascii="宋体" w:hAnsi="宋体" w:eastAsia="宋体" w:cs="宋体"/>
          <w:sz w:val="24"/>
          <w:szCs w:val="24"/>
        </w:rPr>
        <w:t>）上公布中标结果。中标公告期限为1个工作日</w:t>
      </w:r>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．采购代理机构按照相关规定将评审报告送监管机构备案。</w:t>
      </w:r>
    </w:p>
    <w:p>
      <w:pPr>
        <w:pStyle w:val="5"/>
        <w:ind w:left="0" w:leftChars="0" w:firstLine="0" w:firstLineChars="0"/>
        <w:outlineLvl w:val="1"/>
        <w:rPr>
          <w:rFonts w:hint="eastAsia" w:ascii="宋体" w:hAnsi="宋体" w:eastAsia="宋体" w:cs="宋体"/>
          <w:b/>
          <w:bCs/>
          <w:sz w:val="24"/>
          <w:szCs w:val="24"/>
        </w:rPr>
      </w:pPr>
      <w:bookmarkStart w:id="166" w:name="_Toc26038"/>
      <w:bookmarkStart w:id="167" w:name="_Toc10092"/>
      <w:bookmarkStart w:id="168" w:name="_Toc274"/>
      <w:bookmarkStart w:id="169" w:name="_Toc20787"/>
      <w:r>
        <w:rPr>
          <w:rFonts w:hint="eastAsia" w:ascii="宋体" w:hAnsi="宋体" w:eastAsia="宋体" w:cs="宋体"/>
          <w:b/>
          <w:bCs/>
          <w:sz w:val="24"/>
          <w:szCs w:val="24"/>
        </w:rPr>
        <w:t>九、合同签订、履行及验收</w:t>
      </w:r>
      <w:bookmarkEnd w:id="166"/>
      <w:bookmarkEnd w:id="167"/>
      <w:bookmarkEnd w:id="168"/>
      <w:bookmarkEnd w:id="169"/>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招标文件、投标文件、澄清、补充合同等为政府采购合同的组成部分，具有同等法律效力。</w:t>
      </w:r>
    </w:p>
    <w:p>
      <w:pPr>
        <w:bidi w:val="0"/>
        <w:rPr>
          <w:rFonts w:hint="eastAsia"/>
          <w:b/>
          <w:bCs/>
        </w:rPr>
      </w:pPr>
      <w:bookmarkStart w:id="170" w:name="_Toc17260"/>
      <w:bookmarkStart w:id="171" w:name="_Toc7975"/>
      <w:r>
        <w:rPr>
          <w:rFonts w:hint="eastAsia"/>
          <w:b/>
          <w:bCs/>
        </w:rPr>
        <w:t>（一）签订政府采购合同</w:t>
      </w:r>
      <w:bookmarkEnd w:id="170"/>
      <w:bookmarkEnd w:id="171"/>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1．自中标通知书发出之日起30日内，采购人与中标供应商应按招标文件和中标供应商投标文件的约定，签订书面合同。</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2．中标供应商拒绝与采购人签订合同的，采购人可以按照《政府采购法实施条例》第四十九条规定，确定下一候选人为中标供应商，也可以重新开展政府采购活动。</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4．质疑或者投诉事项可能影响中标、成交结果的，采购人应当暂停签订合同，已经签订合同的，应当中止履行合同。</w:t>
      </w:r>
    </w:p>
    <w:p>
      <w:pPr>
        <w:bidi w:val="0"/>
        <w:rPr>
          <w:rFonts w:hint="eastAsia"/>
          <w:b/>
          <w:bCs/>
        </w:rPr>
      </w:pPr>
      <w:bookmarkStart w:id="172" w:name="_Toc19981"/>
      <w:bookmarkStart w:id="173" w:name="_Toc2858"/>
      <w:r>
        <w:rPr>
          <w:rFonts w:hint="eastAsia"/>
          <w:b/>
          <w:bCs/>
        </w:rPr>
        <w:t>（二）合同公告及备案</w:t>
      </w:r>
      <w:bookmarkEnd w:id="172"/>
      <w:bookmarkEnd w:id="173"/>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1．采购人应当自政府采购合同签订之日起2个工作日内，在陕西省政府采购网对合同进行公示，但政府采购合同中涉及国家秘密、商业秘密的内容除外。</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2．采购人应自合同签订之日起7个工作日内将政府采购合同报送监管机构备案。</w:t>
      </w:r>
    </w:p>
    <w:p>
      <w:pPr>
        <w:bidi w:val="0"/>
        <w:ind w:firstLine="496" w:firstLineChars="200"/>
        <w:rPr>
          <w:rFonts w:hint="eastAsia"/>
          <w:b/>
          <w:bCs/>
        </w:rPr>
      </w:pPr>
      <w:bookmarkStart w:id="174" w:name="_Toc20858"/>
      <w:bookmarkStart w:id="175" w:name="_Toc2174"/>
      <w:r>
        <w:rPr>
          <w:rFonts w:hint="eastAsia"/>
          <w:b/>
          <w:bCs/>
        </w:rPr>
        <w:t>（三）履行合同</w:t>
      </w:r>
      <w:bookmarkEnd w:id="174"/>
      <w:bookmarkEnd w:id="175"/>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1．合同一经签订，双方应严格履行合同规定的义务。</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2．在合同履行过程中，如发生合同纠纷，合同双方应按照《中华人民共和国民法典》及合同条款的有关规定进行处理。</w:t>
      </w:r>
    </w:p>
    <w:p>
      <w:pPr>
        <w:bidi w:val="0"/>
        <w:ind w:firstLine="248" w:firstLineChars="100"/>
        <w:rPr>
          <w:rFonts w:hint="eastAsia"/>
          <w:b/>
          <w:bCs/>
        </w:rPr>
      </w:pPr>
      <w:bookmarkStart w:id="176" w:name="_Toc1157"/>
      <w:bookmarkStart w:id="177" w:name="_Toc20489"/>
      <w:r>
        <w:rPr>
          <w:rFonts w:hint="eastAsia"/>
          <w:b/>
          <w:bCs/>
        </w:rPr>
        <w:t>（四）验收或考核</w:t>
      </w:r>
      <w:bookmarkEnd w:id="176"/>
      <w:bookmarkEnd w:id="177"/>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1．采购人严格按照国家相关法律法规的要求及招标文件的要求组织验收或考核。</w:t>
      </w:r>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2．采购人按《关于促进政府采购公平竞争优化营商环境的通知》（财库〔2019〕38号）、《保障中小企业款项支付条例》（国务院令第728号）等规定及采购合同的约定进行支付合同款项。</w:t>
      </w:r>
    </w:p>
    <w:p>
      <w:pPr>
        <w:pStyle w:val="5"/>
        <w:outlineLvl w:val="1"/>
        <w:rPr>
          <w:rFonts w:hint="eastAsia" w:ascii="宋体" w:hAnsi="宋体" w:eastAsia="宋体" w:cs="宋体"/>
          <w:b/>
          <w:bCs/>
          <w:sz w:val="24"/>
          <w:szCs w:val="24"/>
        </w:rPr>
      </w:pPr>
      <w:bookmarkStart w:id="178" w:name="_Toc20328"/>
      <w:bookmarkStart w:id="179" w:name="_Toc8788"/>
      <w:bookmarkStart w:id="180" w:name="_Toc17218"/>
      <w:bookmarkStart w:id="181" w:name="_Toc30368"/>
      <w:r>
        <w:rPr>
          <w:rFonts w:hint="eastAsia" w:ascii="宋体" w:hAnsi="宋体" w:eastAsia="宋体" w:cs="宋体"/>
          <w:b/>
          <w:bCs/>
          <w:sz w:val="24"/>
          <w:szCs w:val="24"/>
        </w:rPr>
        <w:t>十、废标及重新招标</w:t>
      </w:r>
      <w:bookmarkEnd w:id="178"/>
      <w:bookmarkEnd w:id="179"/>
      <w:bookmarkEnd w:id="180"/>
      <w:bookmarkEnd w:id="181"/>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2．根据《政府采购法》第三十六条规定，在招标采购中，出现下列情形之一的，本项目按废标处理：</w:t>
      </w:r>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（1）出现影响采购公正的违法、违规行为的；</w:t>
      </w:r>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（2）供应商的报价均超过了采购预算，采购人不能支付的；</w:t>
      </w:r>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（3）因重大变故，采购任务取消的。</w:t>
      </w:r>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废标后，除采购任务取消外，本项目将重新组织招标。</w:t>
      </w:r>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4．招标文件未明确的其他事项，按《政府采购法》及其相关法律法规执行。</w:t>
      </w:r>
    </w:p>
    <w:p>
      <w:pPr>
        <w:rPr>
          <w:rFonts w:hint="eastAsia" w:ascii="宋体" w:hAnsi="宋体" w:eastAsia="宋体" w:cs="宋体"/>
          <w:sz w:val="24"/>
          <w:szCs w:val="24"/>
        </w:rPr>
      </w:pPr>
      <w:bookmarkStart w:id="182" w:name="_Toc100219614"/>
      <w:r>
        <w:rPr>
          <w:rFonts w:hint="eastAsia" w:ascii="宋体" w:hAnsi="宋体" w:eastAsia="宋体" w:cs="宋体"/>
          <w:sz w:val="24"/>
          <w:szCs w:val="24"/>
        </w:rPr>
        <w:br w:type="page"/>
      </w:r>
    </w:p>
    <w:p>
      <w:pPr>
        <w:rPr>
          <w:rFonts w:hint="eastAsia" w:ascii="宋体" w:hAnsi="宋体" w:eastAsia="宋体" w:cs="宋体"/>
        </w:rPr>
      </w:pPr>
    </w:p>
    <w:p>
      <w:pPr>
        <w:pStyle w:val="3"/>
        <w:jc w:val="center"/>
        <w:rPr>
          <w:rFonts w:hint="eastAsia" w:ascii="宋体" w:hAnsi="宋体" w:eastAsia="宋体" w:cs="宋体"/>
          <w:sz w:val="32"/>
          <w:szCs w:val="32"/>
        </w:rPr>
      </w:pPr>
      <w:bookmarkStart w:id="183" w:name="_Toc6704"/>
      <w:bookmarkStart w:id="184" w:name="_Toc21343"/>
      <w:bookmarkStart w:id="185" w:name="_Toc12985"/>
      <w:bookmarkStart w:id="186" w:name="_Toc25968"/>
      <w:bookmarkStart w:id="187" w:name="_Toc25821"/>
      <w:r>
        <w:rPr>
          <w:rFonts w:hint="eastAsia" w:ascii="宋体" w:hAnsi="宋体" w:eastAsia="宋体" w:cs="宋体"/>
          <w:sz w:val="32"/>
          <w:szCs w:val="32"/>
        </w:rPr>
        <w:t>第三章  招标内容及要求</w:t>
      </w:r>
      <w:bookmarkEnd w:id="182"/>
      <w:bookmarkEnd w:id="183"/>
      <w:bookmarkEnd w:id="184"/>
      <w:bookmarkEnd w:id="185"/>
      <w:bookmarkEnd w:id="186"/>
      <w:bookmarkEnd w:id="187"/>
    </w:p>
    <w:p>
      <w:pPr>
        <w:bidi w:val="0"/>
        <w:rPr>
          <w:b/>
          <w:bCs/>
        </w:rPr>
      </w:pPr>
      <w:bookmarkStart w:id="188" w:name="_Toc2397"/>
      <w:bookmarkStart w:id="189" w:name="_Toc21725"/>
      <w:bookmarkStart w:id="190" w:name="_Toc15068"/>
      <w:r>
        <w:rPr>
          <w:rFonts w:hint="eastAsia"/>
          <w:b/>
          <w:bCs/>
        </w:rPr>
        <w:t>一、商务条款</w:t>
      </w:r>
      <w:bookmarkEnd w:id="188"/>
      <w:bookmarkEnd w:id="189"/>
      <w:bookmarkEnd w:id="190"/>
    </w:p>
    <w:p>
      <w:pPr>
        <w:pStyle w:val="30"/>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1、项目名称：西安市中心血站血型质管供血试剂耗材采购项目（二次）         </w:t>
      </w:r>
    </w:p>
    <w:p>
      <w:pPr>
        <w:pStyle w:val="30"/>
        <w:ind w:left="1557" w:leftChars="228" w:hanging="992" w:hangingChars="400"/>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2、供货期：自合同签订之日起一年，按需配送。</w:t>
      </w:r>
    </w:p>
    <w:p>
      <w:pPr>
        <w:pStyle w:val="30"/>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3、交货期：接到采购人订单之日起7日内交货。</w:t>
      </w:r>
    </w:p>
    <w:p>
      <w:pPr>
        <w:pStyle w:val="30"/>
        <w:ind w:left="1557" w:leftChars="228" w:hanging="992" w:hangingChars="400"/>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4、产品有效期：</w:t>
      </w:r>
    </w:p>
    <w:p>
      <w:pPr>
        <w:pStyle w:val="30"/>
        <w:ind w:left="1557" w:leftChars="228" w:hanging="992" w:hangingChars="400"/>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第一标段：产品到交货地点的有效期≥12个月，进口试剂≥9个月</w:t>
      </w:r>
    </w:p>
    <w:p>
      <w:pPr>
        <w:pStyle w:val="30"/>
        <w:ind w:left="1557" w:leftChars="228" w:hanging="992" w:hangingChars="400"/>
        <w:outlineLvl w:val="9"/>
        <w:rPr>
          <w:rFonts w:hint="eastAsia" w:ascii="宋体" w:hAnsi="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第二标段：产品到交货地点的有效期≥9个月</w:t>
      </w:r>
    </w:p>
    <w:p>
      <w:pPr>
        <w:pStyle w:val="30"/>
        <w:ind w:left="1557" w:leftChars="228" w:hanging="992" w:hangingChars="400"/>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第三标段：进口抗体到交货地点的有效期≥12个月,细胞≥1个月。</w:t>
      </w:r>
    </w:p>
    <w:p>
      <w:pPr>
        <w:pStyle w:val="30"/>
        <w:ind w:left="1557" w:leftChars="228" w:hanging="992" w:hangingChars="400"/>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第四标段：产品到交货地点的有效期≥3个月</w:t>
      </w:r>
    </w:p>
    <w:p>
      <w:pPr>
        <w:pStyle w:val="30"/>
        <w:ind w:left="1557" w:leftChars="228" w:hanging="992" w:hangingChars="400"/>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第五标段：产品到交货地点的有效期≥12个月</w:t>
      </w:r>
    </w:p>
    <w:p>
      <w:pPr>
        <w:pStyle w:val="30"/>
        <w:ind w:left="1557" w:leftChars="228" w:hanging="992" w:hangingChars="400"/>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第六标段：产品到交货地点的有效期≥6个月</w:t>
      </w:r>
    </w:p>
    <w:p>
      <w:pPr>
        <w:pStyle w:val="30"/>
        <w:ind w:left="1557" w:leftChars="228" w:hanging="992" w:hangingChars="400"/>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第七标段：产品到交货地点的有效期≥18个月。</w:t>
      </w:r>
    </w:p>
    <w:p>
      <w:pPr>
        <w:pStyle w:val="30"/>
        <w:ind w:left="1557" w:leftChars="228" w:hanging="992" w:hangingChars="400"/>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5、交货地点：西安市中心血站指定地点；</w:t>
      </w:r>
    </w:p>
    <w:p>
      <w:pPr>
        <w:pStyle w:val="30"/>
        <w:keepNext w:val="0"/>
        <w:keepLines w:val="0"/>
        <w:pageBreakBefore w:val="0"/>
        <w:widowControl/>
        <w:kinsoku/>
        <w:wordWrap/>
        <w:overflowPunct/>
        <w:topLinePunct w:val="0"/>
        <w:autoSpaceDE/>
        <w:autoSpaceDN/>
        <w:bidi w:val="0"/>
        <w:adjustRightInd/>
        <w:snapToGrid/>
        <w:jc w:val="both"/>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6、付款方式：合同签订后分批采购，分批付款。每批次产品经甲方确认合格后三个月内，按实际用量据实支付。</w:t>
      </w:r>
    </w:p>
    <w:p>
      <w:pPr>
        <w:pStyle w:val="30"/>
        <w:ind w:left="1557" w:leftChars="228" w:hanging="992" w:hangingChars="400"/>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7、其他商务要求：详见第四章 合同文本</w:t>
      </w:r>
    </w:p>
    <w:p>
      <w:pPr>
        <w:bidi w:val="0"/>
        <w:rPr>
          <w:b/>
          <w:bCs/>
        </w:rPr>
      </w:pPr>
      <w:bookmarkStart w:id="191" w:name="_Toc30981"/>
      <w:bookmarkStart w:id="192" w:name="_Toc18093"/>
      <w:bookmarkStart w:id="193" w:name="_Toc14752"/>
      <w:r>
        <w:rPr>
          <w:rFonts w:hint="eastAsia"/>
          <w:b/>
          <w:bCs/>
        </w:rPr>
        <w:t>二、采购内容及要求</w:t>
      </w:r>
      <w:bookmarkEnd w:id="191"/>
      <w:bookmarkEnd w:id="192"/>
      <w:bookmarkEnd w:id="193"/>
    </w:p>
    <w:p>
      <w:pPr>
        <w:bidi w:val="0"/>
        <w:rPr>
          <w:rFonts w:hint="eastAsia"/>
          <w:b/>
          <w:bCs/>
          <w:lang w:val="en-US" w:eastAsia="zh-CN"/>
        </w:rPr>
      </w:pPr>
      <w:bookmarkStart w:id="194" w:name="_Toc31547"/>
      <w:bookmarkStart w:id="195" w:name="_Toc6209"/>
      <w:r>
        <w:rPr>
          <w:rFonts w:hint="eastAsia"/>
          <w:b/>
          <w:bCs/>
          <w:lang w:val="en-US" w:eastAsia="zh-CN"/>
        </w:rPr>
        <w:t>（一）项目</w:t>
      </w:r>
      <w:bookmarkEnd w:id="194"/>
      <w:r>
        <w:rPr>
          <w:rFonts w:hint="eastAsia"/>
          <w:b/>
          <w:bCs/>
          <w:lang w:val="en-US" w:eastAsia="zh-CN"/>
        </w:rPr>
        <w:t>概况</w:t>
      </w:r>
      <w:bookmarkEnd w:id="195"/>
    </w:p>
    <w:p>
      <w:pPr>
        <w:spacing w:line="360" w:lineRule="auto"/>
        <w:ind w:firstLine="496"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一标段：西安市中心血站HLA组织配型实验室是全国6个HLA高分辨分型确认实验室之一，也是中华骨髓库陕西分库定点HLA组织配型实验室，承担国家造血干细胞移植供受者HLA高分辨分型确认检测的工作和每年度数千份志愿者分型入库的检测和上传任务，需要购买HLA高分辨测序分型试剂和骨髓库入库分型试剂，该试剂需基于测序平台或流式分型检测平台，其主要性能需满足HLA-A,B,C,DR,DQ,DP高分辨确认分型和入库数据要求，以满足临床造血干移植HLA配型的要求。</w:t>
      </w:r>
    </w:p>
    <w:p>
      <w:pPr>
        <w:spacing w:line="360" w:lineRule="auto"/>
        <w:ind w:firstLine="496"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第二标段：</w:t>
      </w:r>
      <w:bookmarkStart w:id="196" w:name="_Toc24618"/>
      <w:bookmarkStart w:id="197" w:name="_Toc21796"/>
      <w:r>
        <w:rPr>
          <w:rFonts w:hint="eastAsia" w:ascii="宋体" w:hAnsi="宋体" w:eastAsia="宋体" w:cs="宋体"/>
          <w:sz w:val="24"/>
          <w:szCs w:val="24"/>
          <w:highlight w:val="none"/>
          <w:lang w:val="en-US" w:eastAsia="zh-CN"/>
        </w:rPr>
        <w:t>西安市中心血站为解决临床疑难配血的需求，准确鉴定疑难血型和疑难抗体，开展血型鉴定、抗体鉴定及疑难配血等工作，需要购买一批国内、外血液抗体检测试剂及配套耗材，用于日常鉴定工作，保障临床输血安全。</w:t>
      </w:r>
    </w:p>
    <w:p>
      <w:pPr>
        <w:spacing w:line="360" w:lineRule="auto"/>
        <w:ind w:firstLine="496"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三标段：西安市中心血站为解决临床疑难配血的需求，准确鉴定疑难血型和疑难抗体，开展血型鉴定、抗体鉴定及疑难配血等工作，需要购买一批国内、外血液抗体检测试剂及配套耗材，用于日常鉴定工作，保障临床输血安全。</w:t>
      </w:r>
    </w:p>
    <w:p>
      <w:pPr>
        <w:spacing w:line="360" w:lineRule="auto"/>
        <w:ind w:firstLine="496"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四标段：按照“一法两规”的相关要求，西安市中心血站需开展采供血相关工艺卫生监测、关键设备监测、关键物料以及血液产品质量抽检等工作。基于业务工作实际，需采购包括血浆亚甲蓝测定试剂盒、进口正常范围定值质控血浆、进口凝血因子VIII活性测定试剂盒、鲎试剂、细菌内毒素工作标准品、残余白细胞计数仪耗材、需氧微生物培养瓶（BD）、厌氧微生物培养瓶（BD）照指示卡在内的试剂耗材，以保证临床供血质量，保障临床用血安全、有效。</w:t>
      </w:r>
    </w:p>
    <w:p>
      <w:pPr>
        <w:spacing w:line="360" w:lineRule="auto"/>
        <w:ind w:firstLine="496"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五标段：按照“一法两规”的相关要求，西安市中心血站需开展采供血相关工艺卫生监测、关键设备监测、关键物料以及血液产品质量抽检等工作。基于业务工作实际，需采购包括血浆亚甲蓝测定试剂盒、进口正常范围定值质控血浆、进口凝血因子VIII活性测定试剂盒、鲎试剂、细菌内毒素工作标准品、残余白细胞计数仪耗材、需氧微生物培养瓶（BD）、厌氧微生物培养瓶（BD）照指示卡在内的试剂耗材，以保证临床供血质量，保障临床用血安全、有效。</w:t>
      </w:r>
    </w:p>
    <w:p>
      <w:pPr>
        <w:spacing w:line="360" w:lineRule="auto"/>
        <w:ind w:firstLine="496"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六标段：按照“一法两规”的相关要求，西安市中心血站需开展采供血相关工艺卫生监测、关键设备监测、关键物料以及血液产品质量抽检等工作。基于业务工作实际，需采购包括血浆亚甲蓝测定试剂盒、进口正常范围定值质控血浆、进口凝血因子VIII活性测定试剂盒、鲎试剂、细菌内毒素工作标准品、残余白细胞计数仪耗材、需氧微生物培养瓶（BD）、厌氧微生物培养瓶（BD）照指示卡在内的试剂耗材，以保证临床供血质量，保障临床用血安全、有效。</w:t>
      </w:r>
    </w:p>
    <w:p>
      <w:pPr>
        <w:spacing w:line="360" w:lineRule="auto"/>
        <w:ind w:firstLine="496"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第七标段：为保障血液质量，向临床提供合格的血液制品。为确保每次辐照全血及成分血制品经过准确的放射剂量照射，并将监测过程可视化，特放置辐照指示卡监测辐照效果。</w:t>
      </w:r>
    </w:p>
    <w:p>
      <w:pPr>
        <w:bidi w:val="0"/>
        <w:ind w:firstLine="420" w:firstLineChars="0"/>
        <w:rPr>
          <w:rFonts w:hint="eastAsia"/>
          <w:b/>
          <w:bCs/>
          <w:lang w:val="en-US" w:eastAsia="zh-CN"/>
        </w:rPr>
      </w:pPr>
      <w:r>
        <w:rPr>
          <w:rFonts w:hint="eastAsia"/>
          <w:b/>
          <w:bCs/>
          <w:lang w:val="en-US" w:eastAsia="zh-CN"/>
        </w:rPr>
        <w:t>（二）</w:t>
      </w:r>
      <w:bookmarkEnd w:id="196"/>
      <w:r>
        <w:rPr>
          <w:rFonts w:hint="eastAsia"/>
          <w:b/>
          <w:bCs/>
          <w:lang w:val="en-US" w:eastAsia="zh-CN"/>
        </w:rPr>
        <w:t>采购内容（包括采购品目、规格和数量）</w:t>
      </w:r>
      <w:bookmarkEnd w:id="197"/>
    </w:p>
    <w:tbl>
      <w:tblPr>
        <w:tblStyle w:val="31"/>
        <w:tblW w:w="10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95"/>
        <w:gridCol w:w="1909"/>
        <w:gridCol w:w="1690"/>
        <w:gridCol w:w="930"/>
        <w:gridCol w:w="1152"/>
        <w:gridCol w:w="1194"/>
        <w:gridCol w:w="128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16" w:type="dxa"/>
            <w:vAlign w:val="center"/>
          </w:tcPr>
          <w:p>
            <w:pPr>
              <w:tabs>
                <w:tab w:val="left" w:pos="480"/>
              </w:tabs>
              <w:spacing w:line="240" w:lineRule="exact"/>
              <w:jc w:val="center"/>
              <w:rPr>
                <w:rFonts w:ascii="宋体" w:hAnsi="宋体" w:cs="宋体"/>
                <w:color w:val="auto"/>
                <w:sz w:val="22"/>
                <w:szCs w:val="22"/>
              </w:rPr>
            </w:pPr>
            <w:r>
              <w:rPr>
                <w:rFonts w:hint="eastAsia" w:ascii="宋体" w:hAnsi="宋体" w:cs="宋体"/>
                <w:color w:val="auto"/>
                <w:sz w:val="22"/>
                <w:szCs w:val="22"/>
                <w:lang w:eastAsia="zh-CN"/>
              </w:rPr>
              <w:t>项目</w:t>
            </w:r>
            <w:r>
              <w:rPr>
                <w:rFonts w:hint="eastAsia" w:ascii="宋体" w:hAnsi="宋体" w:cs="宋体"/>
                <w:color w:val="auto"/>
                <w:sz w:val="22"/>
                <w:szCs w:val="22"/>
              </w:rPr>
              <w:t>名称</w:t>
            </w:r>
          </w:p>
        </w:tc>
        <w:tc>
          <w:tcPr>
            <w:tcW w:w="495" w:type="dxa"/>
            <w:vAlign w:val="center"/>
          </w:tcPr>
          <w:p>
            <w:pPr>
              <w:tabs>
                <w:tab w:val="left" w:pos="480"/>
              </w:tabs>
              <w:spacing w:line="240" w:lineRule="exact"/>
              <w:jc w:val="center"/>
              <w:rPr>
                <w:rFonts w:hint="eastAsia" w:ascii="宋体" w:hAnsi="宋体" w:cs="宋体" w:eastAsiaTheme="minorEastAsia"/>
                <w:color w:val="auto"/>
                <w:sz w:val="22"/>
                <w:szCs w:val="22"/>
                <w:lang w:eastAsia="zh-CN"/>
              </w:rPr>
            </w:pPr>
            <w:r>
              <w:rPr>
                <w:rFonts w:hint="eastAsia" w:ascii="宋体" w:hAnsi="宋体" w:cs="宋体"/>
                <w:color w:val="auto"/>
                <w:sz w:val="22"/>
                <w:szCs w:val="22"/>
                <w:lang w:eastAsia="zh-CN"/>
              </w:rPr>
              <w:t>标段号</w:t>
            </w:r>
          </w:p>
        </w:tc>
        <w:tc>
          <w:tcPr>
            <w:tcW w:w="1909" w:type="dxa"/>
            <w:vAlign w:val="center"/>
          </w:tcPr>
          <w:p>
            <w:pPr>
              <w:tabs>
                <w:tab w:val="left" w:pos="480"/>
              </w:tabs>
              <w:spacing w:line="240" w:lineRule="exact"/>
              <w:jc w:val="center"/>
              <w:rPr>
                <w:rFonts w:hint="eastAsia" w:ascii="宋体" w:hAnsi="宋体" w:cs="宋体"/>
                <w:color w:val="auto"/>
                <w:sz w:val="22"/>
                <w:szCs w:val="22"/>
                <w:lang w:eastAsia="zh-CN"/>
              </w:rPr>
            </w:pPr>
            <w:r>
              <w:rPr>
                <w:rFonts w:hint="eastAsia" w:ascii="宋体" w:hAnsi="宋体" w:cs="宋体"/>
                <w:color w:val="auto"/>
                <w:sz w:val="22"/>
                <w:szCs w:val="22"/>
                <w:lang w:eastAsia="zh-CN"/>
              </w:rPr>
              <w:t>采购内容</w:t>
            </w:r>
          </w:p>
        </w:tc>
        <w:tc>
          <w:tcPr>
            <w:tcW w:w="1690" w:type="dxa"/>
            <w:vAlign w:val="center"/>
          </w:tcPr>
          <w:p>
            <w:pPr>
              <w:tabs>
                <w:tab w:val="left" w:pos="480"/>
              </w:tabs>
              <w:spacing w:line="240" w:lineRule="exact"/>
              <w:jc w:val="center"/>
              <w:rPr>
                <w:rFonts w:hint="eastAsia" w:ascii="宋体" w:hAnsi="宋体" w:cs="宋体"/>
                <w:color w:val="auto"/>
                <w:sz w:val="22"/>
                <w:szCs w:val="22"/>
                <w:lang w:eastAsia="zh-CN"/>
              </w:rPr>
            </w:pPr>
            <w:r>
              <w:rPr>
                <w:rFonts w:hint="eastAsia" w:ascii="宋体" w:hAnsi="宋体" w:cs="宋体"/>
                <w:color w:val="auto"/>
                <w:sz w:val="22"/>
                <w:szCs w:val="22"/>
                <w:lang w:eastAsia="zh-CN"/>
              </w:rPr>
              <w:t>物品名称</w:t>
            </w:r>
          </w:p>
        </w:tc>
        <w:tc>
          <w:tcPr>
            <w:tcW w:w="930" w:type="dxa"/>
            <w:vAlign w:val="center"/>
          </w:tcPr>
          <w:p>
            <w:pPr>
              <w:tabs>
                <w:tab w:val="left" w:pos="480"/>
              </w:tabs>
              <w:spacing w:line="240" w:lineRule="exact"/>
              <w:jc w:val="center"/>
              <w:rPr>
                <w:rFonts w:ascii="宋体" w:hAnsi="宋体" w:cs="宋体"/>
                <w:color w:val="auto"/>
                <w:sz w:val="22"/>
                <w:szCs w:val="22"/>
              </w:rPr>
            </w:pPr>
            <w:r>
              <w:rPr>
                <w:rFonts w:hint="eastAsia" w:ascii="宋体" w:hAnsi="宋体" w:cs="宋体"/>
                <w:color w:val="auto"/>
                <w:sz w:val="22"/>
                <w:szCs w:val="22"/>
              </w:rPr>
              <w:t>数量</w:t>
            </w:r>
          </w:p>
        </w:tc>
        <w:tc>
          <w:tcPr>
            <w:tcW w:w="1152" w:type="dxa"/>
            <w:vAlign w:val="center"/>
          </w:tcPr>
          <w:p>
            <w:pPr>
              <w:tabs>
                <w:tab w:val="left" w:pos="480"/>
              </w:tabs>
              <w:spacing w:line="240" w:lineRule="exact"/>
              <w:jc w:val="center"/>
              <w:rPr>
                <w:rFonts w:ascii="宋体" w:hAnsi="宋体" w:cs="宋体"/>
                <w:color w:val="auto"/>
                <w:sz w:val="22"/>
                <w:szCs w:val="22"/>
              </w:rPr>
            </w:pPr>
            <w:r>
              <w:rPr>
                <w:rFonts w:hint="eastAsia" w:ascii="宋体" w:hAnsi="宋体" w:cs="宋体"/>
                <w:color w:val="auto"/>
                <w:sz w:val="22"/>
                <w:szCs w:val="22"/>
              </w:rPr>
              <w:t>预算金额（元）</w:t>
            </w:r>
          </w:p>
        </w:tc>
        <w:tc>
          <w:tcPr>
            <w:tcW w:w="1194" w:type="dxa"/>
            <w:vAlign w:val="center"/>
          </w:tcPr>
          <w:p>
            <w:pPr>
              <w:tabs>
                <w:tab w:val="left" w:pos="480"/>
              </w:tabs>
              <w:spacing w:line="240" w:lineRule="exact"/>
              <w:jc w:val="both"/>
              <w:rPr>
                <w:rFonts w:hint="eastAsia"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规格型号</w:t>
            </w:r>
          </w:p>
        </w:tc>
        <w:tc>
          <w:tcPr>
            <w:tcW w:w="1284" w:type="dxa"/>
            <w:vAlign w:val="center"/>
          </w:tcPr>
          <w:p>
            <w:pPr>
              <w:widowControl/>
              <w:tabs>
                <w:tab w:val="left" w:pos="1620"/>
              </w:tabs>
              <w:wordWrap w:val="0"/>
              <w:snapToGrid w:val="0"/>
              <w:spacing w:line="360" w:lineRule="auto"/>
              <w:jc w:val="center"/>
              <w:rPr>
                <w:rFonts w:hint="eastAsia" w:ascii="宋体" w:hAnsi="宋体" w:cs="宋体"/>
                <w:color w:val="auto"/>
                <w:sz w:val="22"/>
                <w:szCs w:val="22"/>
              </w:rPr>
            </w:pPr>
            <w:r>
              <w:rPr>
                <w:rFonts w:hint="eastAsia" w:ascii="宋体" w:hAnsi="宋体" w:eastAsia="宋体" w:cs="宋体"/>
                <w:color w:val="auto"/>
                <w:kern w:val="0"/>
                <w:sz w:val="22"/>
                <w:szCs w:val="22"/>
              </w:rPr>
              <w:t>项目性质</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restart"/>
            <w:vAlign w:val="center"/>
          </w:tcPr>
          <w:p>
            <w:pPr>
              <w:spacing w:line="240" w:lineRule="exact"/>
              <w:jc w:val="center"/>
              <w:rPr>
                <w:rFonts w:ascii="宋体" w:hAnsi="宋体" w:cs="宋体"/>
                <w:color w:val="auto"/>
                <w:sz w:val="22"/>
                <w:szCs w:val="22"/>
              </w:rPr>
            </w:pPr>
            <w:r>
              <w:rPr>
                <w:rFonts w:hint="eastAsia" w:ascii="宋体" w:hAnsi="宋体" w:eastAsia="宋体" w:cs="宋体"/>
                <w:sz w:val="22"/>
                <w:szCs w:val="22"/>
                <w:lang w:eastAsia="zh-CN"/>
              </w:rPr>
              <w:t>西安市中心血站血型质管供血试剂耗材采购项目（二次）</w:t>
            </w:r>
          </w:p>
        </w:tc>
        <w:tc>
          <w:tcPr>
            <w:tcW w:w="495" w:type="dxa"/>
            <w:vMerge w:val="restart"/>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第一标段</w:t>
            </w:r>
          </w:p>
        </w:tc>
        <w:tc>
          <w:tcPr>
            <w:tcW w:w="1909" w:type="dxa"/>
            <w:vMerge w:val="restart"/>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HLA高分辨测序分型试剂/HLA高分辨流式分型试剂（3D-SSO方法）</w:t>
            </w:r>
          </w:p>
        </w:tc>
        <w:tc>
          <w:tcPr>
            <w:tcW w:w="1690" w:type="dxa"/>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b/>
                <w:bCs/>
                <w:sz w:val="22"/>
                <w:szCs w:val="22"/>
                <w:lang w:eastAsia="zh-CN"/>
              </w:rPr>
              <w:t>HLA高分辨测序分型试剂（核心产品）</w:t>
            </w:r>
          </w:p>
        </w:tc>
        <w:tc>
          <w:tcPr>
            <w:tcW w:w="930" w:type="dxa"/>
            <w:vAlign w:val="center"/>
          </w:tcPr>
          <w:p>
            <w:pPr>
              <w:spacing w:line="240" w:lineRule="exact"/>
              <w:ind w:firstLine="110" w:firstLineChars="49"/>
              <w:jc w:val="center"/>
              <w:rPr>
                <w:rFonts w:hint="default"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600人份</w:t>
            </w:r>
          </w:p>
        </w:tc>
        <w:tc>
          <w:tcPr>
            <w:tcW w:w="1152" w:type="dxa"/>
            <w:vAlign w:val="center"/>
          </w:tcPr>
          <w:p>
            <w:pPr>
              <w:spacing w:line="240" w:lineRule="exact"/>
              <w:jc w:val="center"/>
              <w:rPr>
                <w:rFonts w:hint="default" w:ascii="宋体" w:hAnsi="宋体" w:eastAsia="宋体" w:cs="宋体"/>
                <w:color w:val="auto"/>
                <w:sz w:val="22"/>
                <w:szCs w:val="22"/>
                <w:lang w:val="en-US" w:eastAsia="zh-CN"/>
              </w:rPr>
            </w:pPr>
            <w:r>
              <w:rPr>
                <w:rFonts w:hint="default" w:ascii="宋体" w:hAnsi="宋体" w:eastAsia="宋体" w:cs="宋体"/>
                <w:color w:val="auto"/>
                <w:sz w:val="22"/>
                <w:szCs w:val="22"/>
                <w:lang w:val="en-US" w:eastAsia="zh-CN"/>
              </w:rPr>
              <w:t>811200</w:t>
            </w:r>
          </w:p>
        </w:tc>
        <w:tc>
          <w:tcPr>
            <w:tcW w:w="119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25人份/套</w:t>
            </w:r>
          </w:p>
        </w:tc>
        <w:tc>
          <w:tcPr>
            <w:tcW w:w="1284" w:type="dxa"/>
            <w:vAlign w:val="center"/>
          </w:tcPr>
          <w:p>
            <w:pPr>
              <w:widowControl/>
              <w:tabs>
                <w:tab w:val="left" w:pos="1620"/>
              </w:tabs>
              <w:wordWrap w:val="0"/>
              <w:snapToGrid w:val="0"/>
              <w:spacing w:line="360" w:lineRule="auto"/>
              <w:jc w:val="center"/>
              <w:rPr>
                <w:rFonts w:hint="eastAsia" w:ascii="宋体" w:hAnsi="宋体" w:cs="宋体"/>
                <w:color w:val="auto"/>
                <w:sz w:val="22"/>
                <w:szCs w:val="22"/>
              </w:rPr>
            </w:pPr>
            <w:r>
              <w:rPr>
                <w:rFonts w:hint="eastAsia" w:ascii="宋体" w:hAnsi="宋体" w:eastAsia="宋体" w:cs="宋体"/>
                <w:color w:val="auto"/>
                <w:kern w:val="0"/>
                <w:sz w:val="22"/>
                <w:szCs w:val="22"/>
                <w:lang w:eastAsia="zh-CN"/>
              </w:rPr>
              <w:t>财政资金</w:t>
            </w:r>
          </w:p>
        </w:tc>
        <w:tc>
          <w:tcPr>
            <w:tcW w:w="1500" w:type="dxa"/>
            <w:vMerge w:val="restart"/>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本产品已做进口论证，允许采购进口产品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spacing w:line="240" w:lineRule="exact"/>
              <w:jc w:val="center"/>
              <w:rPr>
                <w:rFonts w:hint="eastAsia" w:ascii="宋体" w:hAnsi="宋体" w:eastAsia="宋体" w:cs="宋体"/>
                <w:sz w:val="22"/>
                <w:szCs w:val="22"/>
                <w:lang w:eastAsia="zh-CN"/>
              </w:rPr>
            </w:pPr>
          </w:p>
        </w:tc>
        <w:tc>
          <w:tcPr>
            <w:tcW w:w="1690" w:type="dxa"/>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HLA高分辨流式分型试剂（3D-SSO方法）</w:t>
            </w:r>
          </w:p>
        </w:tc>
        <w:tc>
          <w:tcPr>
            <w:tcW w:w="930" w:type="dxa"/>
            <w:vAlign w:val="center"/>
          </w:tcPr>
          <w:p>
            <w:pPr>
              <w:spacing w:line="240" w:lineRule="exact"/>
              <w:ind w:firstLine="110" w:firstLineChars="49"/>
              <w:jc w:val="center"/>
              <w:rPr>
                <w:rFonts w:hint="eastAsia" w:ascii="宋体" w:hAnsi="宋体" w:cs="宋体"/>
                <w:color w:val="auto"/>
                <w:sz w:val="22"/>
                <w:szCs w:val="22"/>
              </w:rPr>
            </w:pPr>
            <w:r>
              <w:rPr>
                <w:rFonts w:hint="eastAsia" w:ascii="宋体" w:hAnsi="宋体" w:cs="宋体"/>
                <w:color w:val="auto"/>
                <w:sz w:val="22"/>
                <w:szCs w:val="22"/>
              </w:rPr>
              <w:t>600</w:t>
            </w:r>
            <w:r>
              <w:rPr>
                <w:rFonts w:hint="eastAsia" w:ascii="宋体" w:hAnsi="宋体" w:cs="宋体"/>
                <w:color w:val="auto"/>
                <w:sz w:val="22"/>
                <w:szCs w:val="22"/>
                <w:lang w:val="en-US" w:eastAsia="zh-CN"/>
              </w:rPr>
              <w:t>人份</w:t>
            </w:r>
          </w:p>
        </w:tc>
        <w:tc>
          <w:tcPr>
            <w:tcW w:w="1152" w:type="dxa"/>
            <w:vAlign w:val="center"/>
          </w:tcPr>
          <w:p>
            <w:pPr>
              <w:spacing w:line="240" w:lineRule="exact"/>
              <w:jc w:val="center"/>
              <w:rPr>
                <w:rFonts w:hint="eastAsia" w:ascii="宋体" w:hAnsi="宋体" w:cs="宋体"/>
                <w:color w:val="auto"/>
                <w:sz w:val="22"/>
                <w:szCs w:val="22"/>
              </w:rPr>
            </w:pPr>
            <w:r>
              <w:rPr>
                <w:rFonts w:hint="eastAsia" w:ascii="宋体" w:hAnsi="宋体" w:cs="宋体"/>
                <w:color w:val="auto"/>
                <w:sz w:val="22"/>
                <w:szCs w:val="22"/>
              </w:rPr>
              <w:t>279000</w:t>
            </w:r>
          </w:p>
        </w:tc>
        <w:tc>
          <w:tcPr>
            <w:tcW w:w="119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25人份/套</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restart"/>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第二标段</w:t>
            </w:r>
          </w:p>
        </w:tc>
        <w:tc>
          <w:tcPr>
            <w:tcW w:w="1909" w:type="dxa"/>
            <w:vMerge w:val="restart"/>
            <w:vAlign w:val="center"/>
          </w:tcPr>
          <w:p>
            <w:pPr>
              <w:widowControl/>
              <w:jc w:val="left"/>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rPr>
              <w:t>国产血型抗体检测试剂和部分生化试剂耗材</w:t>
            </w:r>
          </w:p>
        </w:tc>
        <w:tc>
          <w:tcPr>
            <w:tcW w:w="1690" w:type="dxa"/>
            <w:vAlign w:val="center"/>
          </w:tcPr>
          <w:p>
            <w:pPr>
              <w:widowControl/>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抗-C</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100支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90000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widowControl/>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抗-c</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120支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108000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widowControl/>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抗-E</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200支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180000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widowControl/>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抗-e</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200支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250000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widowControl/>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IgG-D</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120支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31200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10ml/支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widowControl/>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2-Me</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400支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7200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1ml/支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b w:val="0"/>
                <w:bCs w:val="0"/>
                <w:color w:val="auto"/>
                <w:kern w:val="0"/>
                <w:sz w:val="22"/>
                <w:szCs w:val="22"/>
              </w:rPr>
              <w:t>多特异性抗人球蛋白</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200支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54000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10ml/支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抗-IgG</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500支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90000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血小板抗体检测试剂盒</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5盒</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30000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96T/盒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DNA抽提试剂盒离心柱型</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24盒</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62400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200T/盒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b/>
                <w:bCs/>
                <w:color w:val="000000" w:themeColor="text1"/>
                <w:kern w:val="0"/>
                <w:sz w:val="22"/>
                <w:szCs w:val="22"/>
                <w:lang w:eastAsia="zh-CN"/>
                <w14:textFill>
                  <w14:solidFill>
                    <w14:schemeClr w14:val="tx1"/>
                  </w14:solidFill>
                </w14:textFill>
              </w:rPr>
              <w:t>IgM-D（核心产品）</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120支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15000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10ml/支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Diego血型基因分型试剂盒</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600人份</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24000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1人份</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抗-P1</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4支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4400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3ml/支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抗-N</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4支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3240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抗-M</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12支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9720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抗-H</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4支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2880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抗-A1</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4支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2980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抗-C3d</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4支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1000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凝聚胺介质试剂</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7200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150T/盒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DNA聚合酶（Taq酶）</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60支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7500</w:t>
            </w:r>
          </w:p>
        </w:tc>
        <w:tc>
          <w:tcPr>
            <w:tcW w:w="1194"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500u/支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全自动生化分析仪用ALT测定试剂盒</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60盒</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10200</w:t>
            </w:r>
          </w:p>
        </w:tc>
        <w:tc>
          <w:tcPr>
            <w:tcW w:w="119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176ml/盒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ALT质控品</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30支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9000</w:t>
            </w:r>
          </w:p>
        </w:tc>
        <w:tc>
          <w:tcPr>
            <w:tcW w:w="119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全自动生化分析仪清洗液</w:t>
            </w:r>
          </w:p>
        </w:tc>
        <w:tc>
          <w:tcPr>
            <w:tcW w:w="930" w:type="dxa"/>
            <w:vAlign w:val="center"/>
          </w:tcPr>
          <w:p>
            <w:pPr>
              <w:widowControl/>
              <w:jc w:val="center"/>
              <w:textAlignment w:val="center"/>
              <w:rPr>
                <w:rFonts w:hint="eastAsia" w:ascii="宋体" w:hAnsi="宋体" w:cs="宋体" w:eastAsiaTheme="minorEastAsia"/>
                <w:color w:val="auto"/>
                <w:sz w:val="22"/>
                <w:szCs w:val="22"/>
                <w:lang w:eastAsia="zh-CN"/>
              </w:rPr>
            </w:pPr>
            <w:r>
              <w:rPr>
                <w:rFonts w:hint="eastAsia" w:ascii="宋体" w:hAnsi="宋体" w:cs="宋体"/>
                <w:color w:val="auto"/>
                <w:kern w:val="0"/>
                <w:sz w:val="22"/>
                <w:szCs w:val="22"/>
              </w:rPr>
              <w:t>80</w:t>
            </w:r>
            <w:r>
              <w:rPr>
                <w:rFonts w:hint="eastAsia" w:ascii="宋体" w:hAnsi="宋体" w:cs="宋体"/>
                <w:color w:val="auto"/>
                <w:kern w:val="0"/>
                <w:sz w:val="22"/>
                <w:szCs w:val="22"/>
                <w:lang w:eastAsia="zh-CN"/>
              </w:rPr>
              <w:t>桶</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23200</w:t>
            </w:r>
          </w:p>
        </w:tc>
        <w:tc>
          <w:tcPr>
            <w:tcW w:w="119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1L/桶</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全自动生化分析仪校准品</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6支</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1620</w:t>
            </w:r>
          </w:p>
        </w:tc>
        <w:tc>
          <w:tcPr>
            <w:tcW w:w="119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 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半自动生化分析仪用ALT测定试剂盒</w:t>
            </w:r>
          </w:p>
        </w:tc>
        <w:tc>
          <w:tcPr>
            <w:tcW w:w="930"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200盒</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13000</w:t>
            </w:r>
          </w:p>
        </w:tc>
        <w:tc>
          <w:tcPr>
            <w:tcW w:w="119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100ml/盒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restart"/>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第三标段</w:t>
            </w:r>
          </w:p>
        </w:tc>
        <w:tc>
          <w:tcPr>
            <w:tcW w:w="1909" w:type="dxa"/>
            <w:vMerge w:val="restart"/>
            <w:vAlign w:val="center"/>
          </w:tcPr>
          <w:p>
            <w:pPr>
              <w:widowControl/>
              <w:jc w:val="left"/>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rPr>
              <w:t>血型抗体检测试剂及配套试剂（进口）</w:t>
            </w: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进口BD清洗液</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5桶</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4500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5L/桶</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restart"/>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本产品已做进口论证，允许采购进口产品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进口DNA抽提试剂盒（罗氏）</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4盒</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10000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100T/盒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进口抗-Jka（IgM）</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25支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60000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进口抗-Jkb（IgM）</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25支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60000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进口抗-Lea（IgM）</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20支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24000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进口抗-Leb（IgM）</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20支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24000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进口抗-Fya</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4支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24000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进口抗-Fyb</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4支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8000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进口抗-Dia</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10支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40000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进口抗体检测用谱红细胞</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15套</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52500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16*3mL/套</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b/>
                <w:bCs/>
                <w:color w:val="000000" w:themeColor="text1"/>
                <w:kern w:val="0"/>
                <w:sz w:val="22"/>
                <w:szCs w:val="22"/>
                <w14:textFill>
                  <w14:solidFill>
                    <w14:schemeClr w14:val="tx1"/>
                  </w14:solidFill>
                </w14:textFill>
              </w:rPr>
              <w:t>进口抗筛用红细胞</w:t>
            </w:r>
            <w:r>
              <w:rPr>
                <w:rFonts w:hint="eastAsia" w:ascii="宋体" w:hAnsi="宋体" w:eastAsia="宋体" w:cs="宋体"/>
                <w:b/>
                <w:bCs/>
                <w:color w:val="000000" w:themeColor="text1"/>
                <w:kern w:val="0"/>
                <w:sz w:val="22"/>
                <w:szCs w:val="22"/>
                <w:lang w:eastAsia="zh-CN"/>
                <w14:textFill>
                  <w14:solidFill>
                    <w14:schemeClr w14:val="tx1"/>
                  </w14:solidFill>
                </w14:textFill>
              </w:rPr>
              <w:t>（核心产品）</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15套</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15000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3*3mL/套</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卡夹（进口）</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4套</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32000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2400人份/套</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进口抗体鉴定用低离子液（LISS）</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3瓶</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4500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500ml/瓶</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b w:val="0"/>
                <w:bCs w:val="0"/>
                <w:color w:val="auto"/>
                <w:kern w:val="0"/>
                <w:sz w:val="22"/>
                <w:szCs w:val="22"/>
              </w:rPr>
              <w:t>进口IgM+IgG抗-D</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45支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8100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进口抗-S（IgM）</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5000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10ml/支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进口抗-s（IgM）</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4000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进口抗-K（IgM）</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9920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进口抗-k（IgM）</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4960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进口封口膜</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12卷</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3120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100mm*38m</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进口琼脂糖</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10瓶</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2200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100g/瓶</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进口MarKer</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20支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4000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125U/支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进口抗-Wra</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2支</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8340</w:t>
            </w:r>
          </w:p>
        </w:tc>
        <w:tc>
          <w:tcPr>
            <w:tcW w:w="1194"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2ml/支</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进口BD流式用鞘液</w:t>
            </w:r>
          </w:p>
        </w:tc>
        <w:tc>
          <w:tcPr>
            <w:tcW w:w="930"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2桶</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sz w:val="22"/>
                <w:szCs w:val="22"/>
              </w:rPr>
              <w:t>3000</w:t>
            </w:r>
          </w:p>
        </w:tc>
        <w:tc>
          <w:tcPr>
            <w:tcW w:w="1194" w:type="dxa"/>
            <w:vAlign w:val="center"/>
          </w:tcPr>
          <w:p>
            <w:pPr>
              <w:keepNext w:val="0"/>
              <w:keepLines w:val="0"/>
              <w:widowControl/>
              <w:suppressLineNumbers w:val="0"/>
              <w:jc w:val="center"/>
              <w:textAlignment w:val="center"/>
              <w:rPr>
                <w:rFonts w:hint="default" w:ascii="宋体" w:hAnsi="宋体" w:cs="宋体" w:eastAsiaTheme="minorEastAsia"/>
                <w:color w:val="auto"/>
                <w:sz w:val="22"/>
                <w:szCs w:val="22"/>
                <w:lang w:val="en-US" w:eastAsia="zh-CN"/>
              </w:rPr>
            </w:pPr>
            <w:r>
              <w:rPr>
                <w:rFonts w:hint="eastAsia" w:ascii="宋体" w:hAnsi="宋体" w:eastAsia="宋体" w:cs="宋体"/>
                <w:i w:val="0"/>
                <w:iCs w:val="0"/>
                <w:color w:val="auto"/>
                <w:kern w:val="0"/>
                <w:sz w:val="20"/>
                <w:szCs w:val="20"/>
                <w:u w:val="none"/>
                <w:lang w:val="en-US" w:eastAsia="zh-CN" w:bidi="ar"/>
              </w:rPr>
              <w:t>20L/桶</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第四标段</w:t>
            </w:r>
          </w:p>
        </w:tc>
        <w:tc>
          <w:tcPr>
            <w:tcW w:w="1909" w:type="dxa"/>
            <w:vAlign w:val="center"/>
          </w:tcPr>
          <w:p>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血浆亚甲蓝测定试剂盒</w:t>
            </w: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血浆亚甲蓝测定试剂盒</w:t>
            </w:r>
          </w:p>
        </w:tc>
        <w:tc>
          <w:tcPr>
            <w:tcW w:w="930" w:type="dxa"/>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6</w:t>
            </w:r>
            <w:r>
              <w:rPr>
                <w:rFonts w:hint="eastAsia" w:ascii="宋体" w:hAnsi="宋体" w:eastAsia="宋体" w:cs="宋体"/>
                <w:color w:val="auto"/>
                <w:kern w:val="0"/>
                <w:sz w:val="22"/>
                <w:szCs w:val="22"/>
                <w:lang w:eastAsia="zh-CN"/>
              </w:rPr>
              <w:t>盒</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sz w:val="22"/>
                <w:szCs w:val="22"/>
              </w:rPr>
              <w:t>34200</w:t>
            </w:r>
          </w:p>
        </w:tc>
        <w:tc>
          <w:tcPr>
            <w:tcW w:w="1194" w:type="dxa"/>
            <w:vAlign w:val="center"/>
          </w:tcPr>
          <w:p>
            <w:pPr>
              <w:widowControl/>
              <w:jc w:val="center"/>
              <w:textAlignment w:val="center"/>
              <w:rPr>
                <w:rFonts w:hint="eastAsia" w:ascii="宋体" w:hAnsi="宋体" w:cs="宋体"/>
                <w:color w:val="auto"/>
                <w:sz w:val="22"/>
                <w:szCs w:val="22"/>
              </w:rPr>
            </w:pPr>
            <w:r>
              <w:rPr>
                <w:rFonts w:hint="eastAsia" w:ascii="宋体" w:hAnsi="宋体" w:eastAsia="宋体" w:cs="宋体"/>
                <w:i w:val="0"/>
                <w:iCs w:val="0"/>
                <w:color w:val="auto"/>
                <w:kern w:val="0"/>
                <w:sz w:val="20"/>
                <w:szCs w:val="20"/>
                <w:u w:val="none"/>
                <w:lang w:val="en-US" w:eastAsia="zh-CN" w:bidi="ar"/>
              </w:rPr>
              <w:t>30人份/盒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restart"/>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第五标段</w:t>
            </w:r>
          </w:p>
        </w:tc>
        <w:tc>
          <w:tcPr>
            <w:tcW w:w="1909" w:type="dxa"/>
            <w:vMerge w:val="restart"/>
            <w:vAlign w:val="center"/>
          </w:tcPr>
          <w:p>
            <w:pPr>
              <w:widowControl/>
              <w:jc w:val="left"/>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rPr>
              <w:t>质管科抽检检测试剂</w:t>
            </w: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进口正常范围定值质控血浆</w:t>
            </w:r>
          </w:p>
        </w:tc>
        <w:tc>
          <w:tcPr>
            <w:tcW w:w="930" w:type="dxa"/>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8</w:t>
            </w:r>
            <w:r>
              <w:rPr>
                <w:rFonts w:hint="eastAsia" w:ascii="宋体" w:hAnsi="宋体" w:eastAsia="宋体" w:cs="宋体"/>
                <w:color w:val="auto"/>
                <w:kern w:val="0"/>
                <w:sz w:val="22"/>
                <w:szCs w:val="22"/>
                <w:lang w:eastAsia="zh-CN"/>
              </w:rPr>
              <w:t>盒</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sz w:val="22"/>
                <w:szCs w:val="22"/>
              </w:rPr>
              <w:t>26400</w:t>
            </w:r>
          </w:p>
        </w:tc>
        <w:tc>
          <w:tcPr>
            <w:tcW w:w="1194" w:type="dxa"/>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1mL×10瓶/盒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top"/>
          </w:tcPr>
          <w:p>
            <w:pPr>
              <w:widowControl/>
              <w:tabs>
                <w:tab w:val="left" w:pos="1620"/>
              </w:tabs>
              <w:wordWrap w:val="0"/>
              <w:snapToGrid w:val="0"/>
              <w:spacing w:line="240" w:lineRule="auto"/>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本产品已做进口论证，允许采购进口产品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color w:val="auto"/>
                <w:kern w:val="0"/>
                <w:sz w:val="22"/>
                <w:szCs w:val="22"/>
                <w:lang w:eastAsia="zh-CN"/>
              </w:rPr>
            </w:pPr>
            <w:r>
              <w:rPr>
                <w:rFonts w:hint="eastAsia" w:ascii="宋体" w:hAnsi="宋体" w:eastAsia="宋体" w:cs="宋体"/>
                <w:b/>
                <w:bCs/>
                <w:color w:val="auto"/>
                <w:kern w:val="0"/>
                <w:sz w:val="22"/>
                <w:szCs w:val="22"/>
              </w:rPr>
              <w:t>进口凝血因子VIII活性测定试剂盒</w:t>
            </w:r>
            <w:r>
              <w:rPr>
                <w:rFonts w:hint="eastAsia" w:ascii="宋体" w:hAnsi="宋体" w:eastAsia="宋体" w:cs="宋体"/>
                <w:b/>
                <w:bCs/>
                <w:color w:val="auto"/>
                <w:kern w:val="0"/>
                <w:sz w:val="22"/>
                <w:szCs w:val="22"/>
                <w:lang w:eastAsia="zh-CN"/>
              </w:rPr>
              <w:t>（核心产品）</w:t>
            </w:r>
          </w:p>
        </w:tc>
        <w:tc>
          <w:tcPr>
            <w:tcW w:w="930" w:type="dxa"/>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15</w:t>
            </w:r>
            <w:r>
              <w:rPr>
                <w:rFonts w:hint="eastAsia" w:ascii="宋体" w:hAnsi="宋体" w:eastAsia="宋体" w:cs="宋体"/>
                <w:color w:val="auto"/>
                <w:kern w:val="0"/>
                <w:sz w:val="22"/>
                <w:szCs w:val="22"/>
                <w:lang w:eastAsia="zh-CN"/>
              </w:rPr>
              <w:t>盒</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17475</w:t>
            </w:r>
          </w:p>
        </w:tc>
        <w:tc>
          <w:tcPr>
            <w:tcW w:w="1194" w:type="dxa"/>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1ml×8支/盒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top"/>
          </w:tcPr>
          <w:p>
            <w:pPr>
              <w:widowControl/>
              <w:tabs>
                <w:tab w:val="left" w:pos="1620"/>
              </w:tabs>
              <w:wordWrap w:val="0"/>
              <w:snapToGrid w:val="0"/>
              <w:spacing w:line="240" w:lineRule="auto"/>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本产品已做进口论证，允许采购进口产品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鲎试剂</w:t>
            </w:r>
          </w:p>
        </w:tc>
        <w:tc>
          <w:tcPr>
            <w:tcW w:w="930" w:type="dxa"/>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60</w:t>
            </w:r>
            <w:r>
              <w:rPr>
                <w:rFonts w:hint="eastAsia" w:ascii="宋体" w:hAnsi="宋体" w:eastAsia="宋体" w:cs="宋体"/>
                <w:color w:val="auto"/>
                <w:kern w:val="0"/>
                <w:sz w:val="22"/>
                <w:szCs w:val="22"/>
                <w:lang w:eastAsia="zh-CN"/>
              </w:rPr>
              <w:t>盒</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7800</w:t>
            </w:r>
          </w:p>
        </w:tc>
        <w:tc>
          <w:tcPr>
            <w:tcW w:w="1194" w:type="dxa"/>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0.1mL×10支/盒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Merge w:val="continue"/>
            <w:vAlign w:val="center"/>
          </w:tcPr>
          <w:p>
            <w:pPr>
              <w:spacing w:line="240" w:lineRule="exact"/>
              <w:jc w:val="center"/>
              <w:rPr>
                <w:rFonts w:hint="eastAsia" w:ascii="宋体" w:hAnsi="宋体" w:eastAsia="宋体" w:cs="宋体"/>
                <w:sz w:val="22"/>
                <w:szCs w:val="22"/>
                <w:lang w:eastAsia="zh-CN"/>
              </w:rPr>
            </w:pPr>
          </w:p>
        </w:tc>
        <w:tc>
          <w:tcPr>
            <w:tcW w:w="1909" w:type="dxa"/>
            <w:vMerge w:val="continue"/>
            <w:vAlign w:val="center"/>
          </w:tcPr>
          <w:p>
            <w:pPr>
              <w:widowControl/>
              <w:jc w:val="left"/>
              <w:textAlignment w:val="center"/>
              <w:rPr>
                <w:rFonts w:hint="eastAsia" w:ascii="宋体" w:hAnsi="宋体" w:eastAsia="宋体" w:cs="宋体"/>
                <w:color w:val="auto"/>
                <w:kern w:val="0"/>
                <w:sz w:val="22"/>
                <w:szCs w:val="22"/>
              </w:rPr>
            </w:pP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细菌内毒素工作标准品</w:t>
            </w:r>
          </w:p>
        </w:tc>
        <w:tc>
          <w:tcPr>
            <w:tcW w:w="930" w:type="dxa"/>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15</w:t>
            </w:r>
            <w:r>
              <w:rPr>
                <w:rFonts w:hint="eastAsia" w:ascii="宋体" w:hAnsi="宋体" w:eastAsia="宋体" w:cs="宋体"/>
                <w:color w:val="auto"/>
                <w:kern w:val="0"/>
                <w:sz w:val="22"/>
                <w:szCs w:val="22"/>
                <w:lang w:eastAsia="zh-CN"/>
              </w:rPr>
              <w:t>盒</w:t>
            </w:r>
          </w:p>
        </w:tc>
        <w:tc>
          <w:tcPr>
            <w:tcW w:w="1152" w:type="dxa"/>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27000</w:t>
            </w:r>
          </w:p>
        </w:tc>
        <w:tc>
          <w:tcPr>
            <w:tcW w:w="1194" w:type="dxa"/>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 Eu×10支/盒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第六标段</w:t>
            </w:r>
          </w:p>
        </w:tc>
        <w:tc>
          <w:tcPr>
            <w:tcW w:w="1909" w:type="dxa"/>
            <w:vAlign w:val="center"/>
          </w:tcPr>
          <w:p>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残余白细胞计数仪耗材</w:t>
            </w: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进口残余白细胞计数仪耗材</w:t>
            </w:r>
          </w:p>
        </w:tc>
        <w:tc>
          <w:tcPr>
            <w:tcW w:w="930" w:type="dxa"/>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6</w:t>
            </w:r>
            <w:r>
              <w:rPr>
                <w:rFonts w:hint="eastAsia" w:ascii="宋体" w:hAnsi="宋体" w:eastAsia="宋体" w:cs="宋体"/>
                <w:color w:val="auto"/>
                <w:kern w:val="0"/>
                <w:sz w:val="22"/>
                <w:szCs w:val="22"/>
                <w:lang w:eastAsia="zh-CN"/>
              </w:rPr>
              <w:t>套</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36000</w:t>
            </w:r>
          </w:p>
        </w:tc>
        <w:tc>
          <w:tcPr>
            <w:tcW w:w="1194" w:type="dxa"/>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50人份/套</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24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本产品已做进口论证，允许采购进口产品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16" w:type="dxa"/>
            <w:vMerge w:val="continue"/>
            <w:vAlign w:val="center"/>
          </w:tcPr>
          <w:p>
            <w:pPr>
              <w:spacing w:line="240" w:lineRule="exact"/>
              <w:jc w:val="center"/>
              <w:rPr>
                <w:rFonts w:hint="eastAsia" w:ascii="宋体" w:hAnsi="宋体" w:eastAsia="宋体" w:cs="宋体"/>
                <w:sz w:val="22"/>
                <w:szCs w:val="22"/>
                <w:lang w:eastAsia="zh-CN"/>
              </w:rPr>
            </w:pPr>
          </w:p>
        </w:tc>
        <w:tc>
          <w:tcPr>
            <w:tcW w:w="495" w:type="dxa"/>
            <w:vAlign w:val="center"/>
          </w:tcPr>
          <w:p>
            <w:pPr>
              <w:spacing w:line="24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第七</w:t>
            </w:r>
            <w:r>
              <w:rPr>
                <w:rFonts w:hint="eastAsia" w:ascii="宋体" w:hAnsi="宋体" w:eastAsia="宋体" w:cs="宋体"/>
                <w:sz w:val="22"/>
                <w:szCs w:val="22"/>
                <w:lang w:eastAsia="zh-CN"/>
              </w:rPr>
              <w:t>标段</w:t>
            </w:r>
          </w:p>
        </w:tc>
        <w:tc>
          <w:tcPr>
            <w:tcW w:w="1909" w:type="dxa"/>
            <w:vAlign w:val="center"/>
          </w:tcPr>
          <w:p>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辐照指示卡</w:t>
            </w:r>
          </w:p>
        </w:tc>
        <w:tc>
          <w:tcPr>
            <w:tcW w:w="16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辐照指示卡</w:t>
            </w:r>
          </w:p>
        </w:tc>
        <w:tc>
          <w:tcPr>
            <w:tcW w:w="930" w:type="dxa"/>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20</w:t>
            </w:r>
            <w:r>
              <w:rPr>
                <w:rFonts w:hint="eastAsia" w:ascii="宋体" w:hAnsi="宋体" w:eastAsia="宋体" w:cs="宋体"/>
                <w:color w:val="auto"/>
                <w:kern w:val="0"/>
                <w:sz w:val="22"/>
                <w:szCs w:val="22"/>
                <w:lang w:eastAsia="zh-CN"/>
              </w:rPr>
              <w:t>盒</w:t>
            </w:r>
          </w:p>
        </w:tc>
        <w:tc>
          <w:tcPr>
            <w:tcW w:w="1152"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39200</w:t>
            </w:r>
          </w:p>
        </w:tc>
        <w:tc>
          <w:tcPr>
            <w:tcW w:w="1194" w:type="dxa"/>
            <w:vAlign w:val="center"/>
          </w:tcPr>
          <w:p>
            <w:pPr>
              <w:widowControl/>
              <w:jc w:val="center"/>
              <w:textAlignment w:val="center"/>
              <w:rPr>
                <w:rFonts w:hint="eastAsia" w:ascii="宋体" w:hAnsi="宋体" w:cs="宋体"/>
                <w:color w:val="auto"/>
                <w:kern w:val="0"/>
                <w:sz w:val="22"/>
                <w:szCs w:val="22"/>
              </w:rPr>
            </w:pPr>
            <w:r>
              <w:rPr>
                <w:rFonts w:hint="eastAsia" w:ascii="宋体" w:hAnsi="宋体" w:eastAsia="宋体" w:cs="宋体"/>
                <w:i w:val="0"/>
                <w:iCs w:val="0"/>
                <w:color w:val="auto"/>
                <w:kern w:val="0"/>
                <w:sz w:val="20"/>
                <w:szCs w:val="20"/>
                <w:u w:val="none"/>
                <w:lang w:val="en-US" w:eastAsia="zh-CN" w:bidi="ar"/>
              </w:rPr>
              <w:t>200片/盒</w:t>
            </w:r>
          </w:p>
        </w:tc>
        <w:tc>
          <w:tcPr>
            <w:tcW w:w="1284"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财政资金</w:t>
            </w:r>
          </w:p>
        </w:tc>
        <w:tc>
          <w:tcPr>
            <w:tcW w:w="1500"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840" w:type="dxa"/>
            <w:gridSpan w:val="5"/>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合计</w:t>
            </w:r>
          </w:p>
        </w:tc>
        <w:tc>
          <w:tcPr>
            <w:tcW w:w="5130" w:type="dxa"/>
            <w:gridSpan w:val="4"/>
            <w:vAlign w:val="center"/>
          </w:tcPr>
          <w:p>
            <w:pPr>
              <w:widowControl/>
              <w:tabs>
                <w:tab w:val="left" w:pos="1620"/>
              </w:tabs>
              <w:wordWrap w:val="0"/>
              <w:snapToGrid w:val="0"/>
              <w:spacing w:line="360" w:lineRule="auto"/>
              <w:jc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2727155</w:t>
            </w:r>
          </w:p>
        </w:tc>
      </w:tr>
    </w:tbl>
    <w:p>
      <w:pPr>
        <w:bidi w:val="0"/>
        <w:outlineLvl w:val="9"/>
        <w:rPr>
          <w:rFonts w:hint="eastAsia" w:ascii="Calibri" w:hAnsi="Calibri" w:eastAsia="宋体" w:cs="Times New Roman"/>
          <w:kern w:val="2"/>
          <w:sz w:val="24"/>
          <w:szCs w:val="24"/>
          <w:highlight w:val="none"/>
          <w:lang w:val="en-US" w:eastAsia="zh-CN" w:bidi="ar-SA"/>
        </w:rPr>
      </w:pPr>
    </w:p>
    <w:p>
      <w:pPr>
        <w:bidi w:val="0"/>
        <w:rPr>
          <w:rFonts w:hint="eastAsia" w:ascii="宋体" w:hAnsi="宋体" w:eastAsia="宋体" w:cs="宋体"/>
          <w:b/>
          <w:bCs/>
          <w:szCs w:val="24"/>
          <w:highlight w:val="none"/>
          <w:lang w:val="en-US" w:eastAsia="zh-CN"/>
        </w:rPr>
      </w:pPr>
      <w:bookmarkStart w:id="198" w:name="_Toc21931"/>
      <w:bookmarkStart w:id="199" w:name="_Toc30870"/>
      <w:r>
        <w:rPr>
          <w:rFonts w:hint="eastAsia"/>
          <w:b/>
          <w:bCs/>
          <w:lang w:val="en-US" w:eastAsia="zh-CN"/>
        </w:rPr>
        <w:t>（三）</w:t>
      </w:r>
      <w:r>
        <w:rPr>
          <w:rFonts w:hint="eastAsia"/>
          <w:b/>
          <w:bCs/>
        </w:rPr>
        <w:t>技术要求（包括对产品的认证、检验报告等）</w:t>
      </w:r>
      <w:r>
        <w:rPr>
          <w:rFonts w:hint="eastAsia"/>
          <w:b/>
          <w:bCs/>
          <w:lang w:val="en-US" w:eastAsia="zh-CN"/>
        </w:rPr>
        <w:t>：</w:t>
      </w:r>
      <w:bookmarkEnd w:id="198"/>
      <w:bookmarkEnd w:id="199"/>
    </w:p>
    <w:p>
      <w:pPr>
        <w:adjustRightInd w:val="0"/>
        <w:snapToGrid w:val="0"/>
        <w:spacing w:line="3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第一</w:t>
      </w:r>
      <w:r>
        <w:rPr>
          <w:rFonts w:hint="eastAsia" w:ascii="宋体" w:hAnsi="宋体" w:eastAsia="宋体" w:cs="宋体"/>
          <w:b/>
          <w:bCs/>
          <w:color w:val="auto"/>
          <w:sz w:val="24"/>
          <w:szCs w:val="24"/>
          <w:highlight w:val="none"/>
        </w:rPr>
        <w:t>标段</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HLA高分辨测序分型试剂/HLA高分辨流式分型试剂（3D-SSO方法）</w:t>
      </w:r>
    </w:p>
    <w:p>
      <w:pPr>
        <w:spacing w:line="360" w:lineRule="auto"/>
        <w:ind w:firstLine="248"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A. HLA高分辨测序分型试剂(进口)</w:t>
      </w:r>
    </w:p>
    <w:p>
      <w:pPr>
        <w:ind w:firstLine="496"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 HLA高分辨测序试剂，HLA-A、B位点常规扩增及测序至少需包括外显子1～5，其中至少2、3、4外显子应为双向测序；-C位点常规扩增及测序需包括外显子1～7，其中双向测序至少包括2、3、4外显子；-DRB1位点扩增至少包括外显子2～3，双向测序至少包括2、3外显子及单向Condon86；-DQB1位点扩增至少包括外显子2～3，双向测序至少包括2、3外显子。并及时跟进生产商提供最新批号的试剂版本。</w:t>
      </w:r>
    </w:p>
    <w:p>
      <w:pPr>
        <w:ind w:firstLine="496"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2.扩增反应体系≥20ul，测序反应体系≥10ul。</w:t>
      </w:r>
    </w:p>
    <w:p>
      <w:pPr>
        <w:ind w:firstLine="496"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3.测序试剂适用</w:t>
      </w:r>
      <w:r>
        <w:rPr>
          <w:rFonts w:hint="eastAsia" w:ascii="宋体" w:hAnsi="宋体" w:eastAsia="宋体" w:cs="宋体"/>
          <w:color w:val="auto"/>
          <w:sz w:val="24"/>
          <w:szCs w:val="24"/>
          <w:lang w:eastAsia="zh-CN"/>
        </w:rPr>
        <w:t>于</w:t>
      </w:r>
      <w:r>
        <w:rPr>
          <w:rFonts w:hint="eastAsia" w:ascii="宋体" w:hAnsi="宋体" w:eastAsia="宋体" w:cs="宋体"/>
          <w:color w:val="auto"/>
          <w:sz w:val="24"/>
          <w:szCs w:val="24"/>
          <w:highlight w:val="none"/>
          <w:lang w:eastAsia="zh-CN"/>
        </w:rPr>
        <w:t>现有</w:t>
      </w:r>
      <w:r>
        <w:rPr>
          <w:rFonts w:hint="eastAsia" w:ascii="宋体" w:hAnsi="宋体" w:eastAsia="宋体" w:cs="宋体"/>
          <w:color w:val="auto"/>
          <w:sz w:val="24"/>
          <w:szCs w:val="24"/>
        </w:rPr>
        <w:t xml:space="preserve">ABI 3730xl技术平台。 </w:t>
      </w:r>
    </w:p>
    <w:p>
      <w:pPr>
        <w:ind w:firstLine="496"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4.提供测序使用的BigDye原液不得稀释</w:t>
      </w:r>
      <w:r>
        <w:rPr>
          <w:rFonts w:hint="eastAsia" w:ascii="宋体" w:hAnsi="宋体" w:eastAsia="宋体" w:cs="宋体"/>
          <w:color w:val="auto"/>
          <w:sz w:val="24"/>
          <w:szCs w:val="24"/>
          <w:highlight w:val="none"/>
        </w:rPr>
        <w:t>，试剂必须包括所有耗材</w:t>
      </w:r>
      <w:r>
        <w:rPr>
          <w:rFonts w:hint="eastAsia" w:ascii="宋体" w:hAnsi="宋体" w:eastAsia="宋体" w:cs="宋体"/>
          <w:color w:val="auto"/>
          <w:sz w:val="24"/>
          <w:szCs w:val="24"/>
        </w:rPr>
        <w:t>：提供全套扩增试剂、测序试剂、纯化试剂、BIGDYE校准试剂、甲酰胺、测序胶、缓冲液、扩增板、上机读板、贴膜、灭菌加样吸头、带滤芯加样吸头、200ul 8联管及配套盖、1.5/2ml离心管等（配套试剂耗材</w:t>
      </w:r>
      <w:r>
        <w:rPr>
          <w:rFonts w:hint="eastAsia" w:ascii="宋体" w:hAnsi="宋体" w:eastAsia="宋体" w:cs="宋体"/>
          <w:color w:val="auto"/>
          <w:sz w:val="24"/>
          <w:szCs w:val="24"/>
          <w:lang w:eastAsia="zh-CN"/>
        </w:rPr>
        <w:t>包括但不限于以下清单中的试剂耗材所列内容</w:t>
      </w:r>
      <w:r>
        <w:rPr>
          <w:rFonts w:hint="eastAsia" w:ascii="宋体" w:hAnsi="宋体" w:eastAsia="宋体" w:cs="宋体"/>
          <w:color w:val="auto"/>
          <w:sz w:val="24"/>
          <w:szCs w:val="24"/>
        </w:rPr>
        <w:t>）。</w:t>
      </w:r>
    </w:p>
    <w:tbl>
      <w:tblPr>
        <w:tblStyle w:val="31"/>
        <w:tblW w:w="6538" w:type="dxa"/>
        <w:tblInd w:w="7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gridCol w:w="127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配套</w:t>
            </w:r>
          </w:p>
        </w:tc>
        <w:tc>
          <w:tcPr>
            <w:tcW w:w="127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2268"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10ul灭菌加样吸头(不带滤芯)</w:t>
            </w:r>
          </w:p>
        </w:tc>
        <w:tc>
          <w:tcPr>
            <w:tcW w:w="127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1000个/包</w:t>
            </w:r>
          </w:p>
        </w:tc>
        <w:tc>
          <w:tcPr>
            <w:tcW w:w="2268"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15包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200ul灭菌加样吸头(不带滤芯)</w:t>
            </w:r>
          </w:p>
        </w:tc>
        <w:tc>
          <w:tcPr>
            <w:tcW w:w="127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1000个/包</w:t>
            </w:r>
          </w:p>
        </w:tc>
        <w:tc>
          <w:tcPr>
            <w:tcW w:w="2268"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1000ul灭菌加样吸头(不带滤芯)</w:t>
            </w:r>
          </w:p>
        </w:tc>
        <w:tc>
          <w:tcPr>
            <w:tcW w:w="127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1000个/包</w:t>
            </w:r>
          </w:p>
        </w:tc>
        <w:tc>
          <w:tcPr>
            <w:tcW w:w="2268"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3包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10ul灭菌加样吸头(带滤芯)</w:t>
            </w:r>
          </w:p>
        </w:tc>
        <w:tc>
          <w:tcPr>
            <w:tcW w:w="127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96支/盒</w:t>
            </w:r>
          </w:p>
        </w:tc>
        <w:tc>
          <w:tcPr>
            <w:tcW w:w="2268"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200盒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200ul灭菌加样吸头(带滤芯)</w:t>
            </w:r>
          </w:p>
        </w:tc>
        <w:tc>
          <w:tcPr>
            <w:tcW w:w="127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96支/盒</w:t>
            </w:r>
          </w:p>
        </w:tc>
        <w:tc>
          <w:tcPr>
            <w:tcW w:w="2268"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120盒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1000ul灭菌加样吸头(带滤芯)</w:t>
            </w:r>
          </w:p>
        </w:tc>
        <w:tc>
          <w:tcPr>
            <w:tcW w:w="127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96支/盒</w:t>
            </w:r>
          </w:p>
        </w:tc>
        <w:tc>
          <w:tcPr>
            <w:tcW w:w="2268"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50盒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200ul 8联管及配套盖</w:t>
            </w:r>
          </w:p>
        </w:tc>
        <w:tc>
          <w:tcPr>
            <w:tcW w:w="127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125个/包</w:t>
            </w:r>
          </w:p>
        </w:tc>
        <w:tc>
          <w:tcPr>
            <w:tcW w:w="2268"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20包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1.5 ml高速离心管</w:t>
            </w:r>
          </w:p>
        </w:tc>
        <w:tc>
          <w:tcPr>
            <w:tcW w:w="1275"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500个/包</w:t>
            </w:r>
          </w:p>
        </w:tc>
        <w:tc>
          <w:tcPr>
            <w:tcW w:w="2268"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25包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2ml高速离心管</w:t>
            </w:r>
          </w:p>
        </w:tc>
        <w:tc>
          <w:tcPr>
            <w:tcW w:w="1275"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500个/包</w:t>
            </w:r>
          </w:p>
        </w:tc>
        <w:tc>
          <w:tcPr>
            <w:tcW w:w="226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单链SBT试剂</w:t>
            </w:r>
          </w:p>
        </w:tc>
        <w:tc>
          <w:tcPr>
            <w:tcW w:w="1275"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25人份/盒</w:t>
            </w:r>
          </w:p>
        </w:tc>
        <w:tc>
          <w:tcPr>
            <w:tcW w:w="226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96孔扩增板（带裙边）</w:t>
            </w:r>
          </w:p>
        </w:tc>
        <w:tc>
          <w:tcPr>
            <w:tcW w:w="1275" w:type="dxa"/>
            <w:vAlign w:val="center"/>
          </w:tcPr>
          <w:p>
            <w:pPr>
              <w:rPr>
                <w:rFonts w:hint="eastAsia" w:ascii="宋体" w:hAnsi="宋体" w:eastAsia="宋体" w:cs="宋体"/>
                <w:color w:val="auto"/>
                <w:sz w:val="24"/>
                <w:szCs w:val="24"/>
              </w:rPr>
            </w:pPr>
          </w:p>
        </w:tc>
        <w:tc>
          <w:tcPr>
            <w:tcW w:w="226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1500块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现有全自动核酸提取仪提取配套试剂</w:t>
            </w:r>
            <w:r>
              <w:rPr>
                <w:rFonts w:hint="eastAsia" w:ascii="宋体" w:hAnsi="宋体" w:eastAsia="宋体" w:cs="宋体"/>
                <w:color w:val="auto"/>
                <w:sz w:val="24"/>
                <w:szCs w:val="24"/>
              </w:rPr>
              <w:t>（含提取耗材和浓度测定耗材）</w:t>
            </w:r>
          </w:p>
        </w:tc>
        <w:tc>
          <w:tcPr>
            <w:tcW w:w="1275"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96人份/盒</w:t>
            </w:r>
          </w:p>
        </w:tc>
        <w:tc>
          <w:tcPr>
            <w:tcW w:w="226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960人份</w:t>
            </w:r>
          </w:p>
        </w:tc>
      </w:tr>
    </w:tbl>
    <w:p>
      <w:pPr>
        <w:ind w:firstLine="496"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根据实验室要求，</w:t>
      </w:r>
      <w:r>
        <w:rPr>
          <w:rFonts w:hint="eastAsia" w:ascii="宋体" w:hAnsi="宋体" w:eastAsia="宋体" w:cs="宋体"/>
          <w:color w:val="auto"/>
          <w:sz w:val="24"/>
          <w:szCs w:val="24"/>
          <w:lang w:eastAsia="zh-CN"/>
        </w:rPr>
        <w:t>必须</w:t>
      </w:r>
      <w:r>
        <w:rPr>
          <w:rFonts w:hint="eastAsia" w:ascii="宋体" w:hAnsi="宋体" w:eastAsia="宋体" w:cs="宋体"/>
          <w:color w:val="auto"/>
          <w:sz w:val="24"/>
          <w:szCs w:val="24"/>
        </w:rPr>
        <w:t>提供用于解决分型结果中模棱两可或有争议结果的其他试剂：包括商品化单链测序HLA分型试剂盒（50人份）、GSSP Kit、常规测序以外的外显子测序引物和高分辨（位点特异性的）SSP商品化试剂盒。</w:t>
      </w:r>
    </w:p>
    <w:p>
      <w:pPr>
        <w:spacing w:line="288" w:lineRule="auto"/>
        <w:ind w:firstLine="496"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根据客户要求，</w:t>
      </w:r>
      <w:r>
        <w:rPr>
          <w:rFonts w:hint="eastAsia" w:ascii="宋体" w:hAnsi="宋体" w:eastAsia="宋体" w:cs="宋体"/>
          <w:color w:val="auto"/>
          <w:sz w:val="24"/>
          <w:szCs w:val="24"/>
          <w:lang w:eastAsia="zh-CN"/>
        </w:rPr>
        <w:t>必须</w:t>
      </w:r>
      <w:r>
        <w:rPr>
          <w:rFonts w:hint="eastAsia" w:ascii="宋体" w:hAnsi="宋体" w:eastAsia="宋体" w:cs="宋体"/>
          <w:color w:val="auto"/>
          <w:sz w:val="24"/>
          <w:szCs w:val="24"/>
        </w:rPr>
        <w:t>提供相应数量的MagCore H16 Super自动核酸提取配套试剂盒（含提取和浓度测定耗材）。</w:t>
      </w:r>
    </w:p>
    <w:p>
      <w:pPr>
        <w:ind w:firstLine="496"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7.对于现有SBT试剂盒及可提供解决模棱两可的其他试剂仍无法明确分型结果的疑难样本（排除实验原因外），</w:t>
      </w:r>
      <w:r>
        <w:rPr>
          <w:rFonts w:hint="eastAsia" w:ascii="宋体" w:hAnsi="宋体" w:eastAsia="宋体" w:cs="宋体"/>
          <w:color w:val="auto"/>
          <w:sz w:val="24"/>
          <w:szCs w:val="24"/>
          <w:lang w:val="en-US" w:eastAsia="zh-CN"/>
        </w:rPr>
        <w:t>需</w:t>
      </w:r>
      <w:r>
        <w:rPr>
          <w:rFonts w:hint="eastAsia" w:ascii="宋体" w:hAnsi="宋体" w:eastAsia="宋体" w:cs="宋体"/>
          <w:color w:val="auto"/>
          <w:sz w:val="24"/>
          <w:szCs w:val="24"/>
        </w:rPr>
        <w:t>运用克隆技术或二代测序方法进行解决并提供有关实验数据和报告</w:t>
      </w:r>
      <w:r>
        <w:rPr>
          <w:rFonts w:hint="eastAsia" w:ascii="宋体" w:hAnsi="宋体" w:eastAsia="宋体" w:cs="宋体"/>
          <w:color w:val="auto"/>
          <w:sz w:val="24"/>
          <w:szCs w:val="24"/>
          <w:lang w:eastAsia="zh-CN"/>
        </w:rPr>
        <w:t>。</w:t>
      </w:r>
    </w:p>
    <w:p>
      <w:pPr>
        <w:ind w:firstLine="496"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8.根据用户需求可调换不同点位的检测试剂（HLA、-A、B、C、DR、DQ、DP等）检测试剂。</w:t>
      </w:r>
    </w:p>
    <w:p>
      <w:pPr>
        <w:ind w:firstLine="496"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B.流式磁珠流式分型试剂(进口)：</w:t>
      </w:r>
    </w:p>
    <w:p>
      <w:pPr>
        <w:ind w:firstLine="496"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1.适用于多功能高通量流式点阵仪的SSO 3D分型试剂的探针种类：A位点≥750种，B位点≥800种，DR位点≥260种；且HLA-A、B位点至少检测第2、3、4、5外显子，-C位点至少检测第2、3、4、5、6、7外显子，DR位点至少检测第2外显子，DQ位点至少检测第2、3外显子。</w:t>
      </w:r>
    </w:p>
    <w:p>
      <w:pPr>
        <w:ind w:firstLine="496"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2.可提供适用于Luminex 100/200平台的SSO HD分型试剂的探针种类。</w:t>
      </w:r>
    </w:p>
    <w:p>
      <w:pPr>
        <w:ind w:firstLine="496"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3.根据新基因的出现或人群分布特征不断增加相应的探针，及时更新LOT号。</w:t>
      </w:r>
    </w:p>
    <w:p>
      <w:pPr>
        <w:ind w:firstLine="496"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4.所有位点采用同一扩增条件扩增，具有很高的实验可操作性。</w:t>
      </w:r>
    </w:p>
    <w:p>
      <w:pPr>
        <w:ind w:firstLine="496"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5.大通量，一天可以完成96人份A、B、DR样品的检测（日检测量大于等于96人份）。</w:t>
      </w:r>
    </w:p>
    <w:p>
      <w:pPr>
        <w:ind w:firstLine="496"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6.在实验完成后72小时内可反复读取结果。</w:t>
      </w:r>
    </w:p>
    <w:p>
      <w:pPr>
        <w:ind w:firstLine="496"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7.磁珠中包括阳性对照磁珠和阴性对照磁珠，每种磁珠都有相应的QC指示图，可以质控每批珠子的反应。</w:t>
      </w:r>
    </w:p>
    <w:p>
      <w:pPr>
        <w:ind w:firstLine="496"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8.试剂必须包括所有耗材，提供扩增板、杂交板、上机读板、校准磁珠（一年6批次）、鞘液、贴膜、</w:t>
      </w:r>
      <w:r>
        <w:rPr>
          <w:rFonts w:hint="eastAsia" w:ascii="宋体" w:hAnsi="宋体" w:eastAsia="宋体" w:cs="宋体"/>
          <w:color w:val="auto"/>
          <w:sz w:val="24"/>
          <w:szCs w:val="24"/>
          <w:lang w:eastAsia="zh-CN"/>
        </w:rPr>
        <w:t>灭菌加样吸头、8联管及配套盖、1.5/2ml离心管等。</w:t>
      </w:r>
    </w:p>
    <w:p>
      <w:pPr>
        <w:ind w:firstLine="496"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9.必须提供解决分型结果中模棱两可的相应增补试剂。</w:t>
      </w:r>
    </w:p>
    <w:p>
      <w:pPr>
        <w:ind w:firstLine="496" w:firstLineChars="200"/>
        <w:rPr>
          <w:rFonts w:hint="default" w:ascii="宋体" w:hAnsi="宋体" w:eastAsia="宋体" w:cs="宋体"/>
          <w:color w:val="auto"/>
          <w:sz w:val="24"/>
          <w:szCs w:val="24"/>
          <w:lang w:val="en-US" w:eastAsia="zh-CN"/>
        </w:rPr>
      </w:pPr>
      <w:r>
        <w:rPr>
          <w:rFonts w:hint="eastAsia"/>
          <w:color w:val="auto"/>
          <w:lang w:val="en-US" w:eastAsia="zh-CN"/>
        </w:rPr>
        <w:t>10.</w:t>
      </w:r>
      <w:r>
        <w:rPr>
          <w:rFonts w:hint="eastAsia" w:ascii="宋体" w:hAnsi="宋体" w:eastAsia="宋体" w:cs="宋体"/>
          <w:color w:val="auto"/>
          <w:sz w:val="24"/>
          <w:szCs w:val="24"/>
          <w:lang w:val="en-US" w:eastAsia="zh-CN"/>
        </w:rPr>
        <w:t>根据用户需求可调换不同点位的检测试剂（HLA、-A、B、C、DR、DQ、DP等）检测试剂。</w:t>
      </w:r>
    </w:p>
    <w:p>
      <w:pPr>
        <w:ind w:firstLine="496"/>
        <w:rPr>
          <w:rFonts w:hint="eastAsia"/>
          <w:b/>
          <w:bCs/>
          <w:color w:val="auto"/>
          <w:lang w:val="en-US" w:eastAsia="zh-CN"/>
        </w:rPr>
      </w:pPr>
      <w:r>
        <w:rPr>
          <w:rFonts w:hint="eastAsia"/>
          <w:b/>
          <w:bCs/>
          <w:color w:val="auto"/>
          <w:lang w:val="en-US" w:eastAsia="zh-CN"/>
        </w:rPr>
        <w:t>C.其他服务要求：</w:t>
      </w:r>
    </w:p>
    <w:p>
      <w:pPr>
        <w:ind w:firstLine="496" w:firstLineChars="200"/>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试剂量的计算方法为本实验室出具报告的标本数，因试剂原因导致的实验失败或无法分辨的标本由厂家承担责任和补充试剂。</w:t>
      </w:r>
    </w:p>
    <w:p>
      <w:pPr>
        <w:ind w:firstLine="496" w:firstLineChars="200"/>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试剂耗材须为原厂家产品，不得减量或更改反应体系。</w:t>
      </w:r>
    </w:p>
    <w:p>
      <w:pPr>
        <w:ind w:firstLine="496" w:firstLineChars="200"/>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根据客户需求，</w:t>
      </w:r>
      <w:r>
        <w:rPr>
          <w:rFonts w:hint="eastAsia" w:ascii="宋体" w:hAnsi="宋体" w:eastAsia="宋体" w:cs="宋体"/>
          <w:color w:val="auto"/>
          <w:lang w:val="en-US" w:eastAsia="zh-CN"/>
        </w:rPr>
        <w:t>需</w:t>
      </w:r>
      <w:r>
        <w:rPr>
          <w:rFonts w:hint="eastAsia" w:ascii="宋体" w:hAnsi="宋体" w:eastAsia="宋体" w:cs="宋体"/>
          <w:color w:val="auto"/>
        </w:rPr>
        <w:t>提供相应数量的DNA手工或自动提取试剂盒。</w:t>
      </w:r>
    </w:p>
    <w:p>
      <w:pPr>
        <w:ind w:firstLine="496" w:firstLineChars="200"/>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分析软件和试剂属专业配套产品，须提供人员培训和最新版本使用权，分析软件使用最新的数据库并定期更新（每年至少一次），数据库更新后厂家须提供软件验证报告。</w:t>
      </w:r>
    </w:p>
    <w:p>
      <w:pPr>
        <w:ind w:firstLine="496" w:firstLineChars="200"/>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试剂供应商提供售后和技术支持，预实验费用或相关费用由供应商承担。</w:t>
      </w:r>
    </w:p>
    <w:p>
      <w:pPr>
        <w:ind w:firstLine="496" w:firstLineChars="200"/>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提供试剂的调试及培训服务，包括中文操作使用、维护说明书、中文培训教材，以及较详尽的系统标准操作程序。</w:t>
      </w:r>
    </w:p>
    <w:p>
      <w:pPr>
        <w:ind w:firstLine="496" w:firstLineChars="200"/>
        <w:rPr>
          <w:rFonts w:hint="eastAsia" w:ascii="宋体" w:hAnsi="宋体" w:eastAsia="宋体" w:cs="宋体"/>
          <w:color w:val="auto"/>
        </w:rPr>
      </w:pPr>
      <w:r>
        <w:rPr>
          <w:rFonts w:hint="eastAsia" w:ascii="宋体" w:hAnsi="宋体" w:eastAsia="宋体" w:cs="宋体"/>
          <w:color w:val="auto"/>
          <w:lang w:val="en-US" w:eastAsia="zh-CN"/>
        </w:rPr>
        <w:t>7.</w:t>
      </w:r>
      <w:r>
        <w:rPr>
          <w:rFonts w:hint="eastAsia" w:ascii="宋体" w:hAnsi="宋体" w:eastAsia="宋体" w:cs="宋体"/>
          <w:color w:val="auto"/>
        </w:rPr>
        <w:t>每批试剂耗材供货时需随装箱单提供磁珠质控表和/或出厂质量报告书。</w:t>
      </w:r>
    </w:p>
    <w:p>
      <w:pPr>
        <w:ind w:firstLine="496"/>
        <w:rPr>
          <w:rFonts w:hint="eastAsia"/>
          <w:lang w:eastAsia="zh-CN"/>
        </w:rPr>
      </w:pPr>
      <w:r>
        <w:rPr>
          <w:rFonts w:hint="eastAsia" w:ascii="宋体" w:hAnsi="宋体" w:eastAsia="宋体" w:cs="宋体"/>
          <w:color w:val="auto"/>
          <w:lang w:val="en-US" w:eastAsia="zh-CN"/>
        </w:rPr>
        <w:t>8.</w:t>
      </w:r>
      <w:r>
        <w:rPr>
          <w:rFonts w:hint="eastAsia" w:ascii="宋体" w:hAnsi="宋体" w:eastAsia="宋体" w:cs="宋体"/>
          <w:color w:val="auto"/>
        </w:rPr>
        <w:t>可提供同品牌常规5个座位以外的HLA分型试剂盒（费用另计），且每5人份报价不高于1人份常规分型试剂盒报价。</w:t>
      </w:r>
      <w:r>
        <w:rPr>
          <w:rFonts w:hint="eastAsia"/>
          <w:lang w:eastAsia="zh-CN"/>
        </w:rPr>
        <w:br w:type="page"/>
      </w:r>
    </w:p>
    <w:p>
      <w:pPr>
        <w:bidi w:val="0"/>
        <w:rPr>
          <w:rFonts w:hint="eastAsia"/>
          <w:lang w:eastAsia="zh-CN"/>
        </w:rPr>
      </w:pPr>
      <w:r>
        <w:rPr>
          <w:rFonts w:hint="eastAsia"/>
          <w:b/>
          <w:bCs/>
          <w:lang w:eastAsia="zh-CN"/>
        </w:rPr>
        <w:t>第二标段：国产血型抗体检测试剂和部分生化试剂耗材</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b/>
          <w:color w:val="auto"/>
          <w:sz w:val="24"/>
          <w:szCs w:val="24"/>
        </w:rPr>
        <w:t>国产血型抗体检测试剂</w:t>
      </w:r>
    </w:p>
    <w:p>
      <w:pPr>
        <w:spacing w:line="4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.试剂种类（特异性、抗体种类、生产厂商、生产日期、过期日期）标识清楚。</w:t>
      </w:r>
    </w:p>
    <w:p>
      <w:pPr>
        <w:spacing w:line="4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.IgG抗-D抗体效价≥32，其它抗体效价应≥16。</w:t>
      </w:r>
    </w:p>
    <w:p>
      <w:pPr>
        <w:spacing w:line="400" w:lineRule="exact"/>
        <w:ind w:firstLine="420" w:firstLineChars="0"/>
        <w:rPr>
          <w:rFonts w:hint="eastAsia" w:ascii="楷体" w:hAnsi="楷体" w:eastAsia="楷体" w:cs="楷体"/>
          <w:b/>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.Diego血型基因分型试剂盒采用PCR-ssp方法，能够准确鉴定Diego血型基因。</w:t>
      </w:r>
    </w:p>
    <w:p>
      <w:pPr>
        <w:spacing w:line="400" w:lineRule="exact"/>
        <w:rPr>
          <w:rFonts w:hint="default"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2.2生化试剂耗材</w:t>
      </w:r>
    </w:p>
    <w:p>
      <w:pPr>
        <w:spacing w:line="40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2.2</w:t>
      </w:r>
      <w:r>
        <w:rPr>
          <w:rFonts w:hint="eastAsia" w:ascii="宋体" w:hAnsi="宋体" w:eastAsia="宋体" w:cs="宋体"/>
          <w:b/>
          <w:color w:val="auto"/>
          <w:kern w:val="0"/>
          <w:sz w:val="24"/>
          <w:szCs w:val="24"/>
          <w:lang w:val="en-US" w:eastAsia="zh-CN"/>
        </w:rPr>
        <w:t xml:space="preserve">.1  </w:t>
      </w:r>
      <w:r>
        <w:rPr>
          <w:rFonts w:hint="eastAsia" w:ascii="宋体" w:hAnsi="宋体" w:eastAsia="宋体" w:cs="宋体"/>
          <w:b/>
          <w:color w:val="auto"/>
          <w:kern w:val="0"/>
          <w:sz w:val="24"/>
          <w:szCs w:val="24"/>
        </w:rPr>
        <w:t>全自动生化分析仪用ALT测定试剂盒</w:t>
      </w:r>
    </w:p>
    <w:p>
      <w:pPr>
        <w:ind w:firstLine="42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适用于</w:t>
      </w:r>
      <w:r>
        <w:rPr>
          <w:rFonts w:hint="eastAsia" w:ascii="宋体" w:hAnsi="宋体" w:eastAsia="宋体" w:cs="宋体"/>
          <w:color w:val="auto"/>
          <w:sz w:val="24"/>
          <w:szCs w:val="24"/>
          <w:lang w:eastAsia="zh-CN"/>
        </w:rPr>
        <w:t>现有</w:t>
      </w:r>
      <w:r>
        <w:rPr>
          <w:rFonts w:hint="eastAsia" w:ascii="宋体" w:hAnsi="宋体" w:eastAsia="宋体" w:cs="宋体"/>
          <w:color w:val="auto"/>
          <w:sz w:val="24"/>
          <w:szCs w:val="24"/>
        </w:rPr>
        <w:t>全自动生化分析仪,</w:t>
      </w:r>
      <w:r>
        <w:rPr>
          <w:rFonts w:hint="eastAsia" w:ascii="宋体" w:hAnsi="宋体" w:eastAsia="宋体" w:cs="宋体"/>
          <w:bCs/>
          <w:color w:val="auto"/>
          <w:sz w:val="24"/>
          <w:szCs w:val="24"/>
        </w:rPr>
        <w:t>并提供上机参数。产品名称</w:t>
      </w:r>
      <w:r>
        <w:rPr>
          <w:rFonts w:hint="eastAsia" w:ascii="宋体" w:hAnsi="宋体" w:eastAsia="宋体" w:cs="宋体"/>
          <w:color w:val="auto"/>
          <w:sz w:val="24"/>
          <w:szCs w:val="24"/>
        </w:rPr>
        <w:t>：丙氨酸氨基转移酶（ALT）测定试剂盒用于体外定量测定人血清中丙氨酸氨基转移酶的活力。</w:t>
      </w:r>
      <w:r>
        <w:rPr>
          <w:rFonts w:hint="eastAsia" w:ascii="宋体" w:hAnsi="宋体" w:eastAsia="宋体" w:cs="宋体"/>
          <w:bCs/>
          <w:color w:val="auto"/>
          <w:sz w:val="24"/>
          <w:szCs w:val="24"/>
        </w:rPr>
        <w:t>速率法实验原理，双试剂。</w:t>
      </w:r>
    </w:p>
    <w:p>
      <w:pPr>
        <w:ind w:firstLine="42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包装规格</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试剂总量</w:t>
      </w:r>
      <w:r>
        <w:rPr>
          <w:rFonts w:hint="eastAsia" w:ascii="宋体" w:hAnsi="宋体" w:eastAsia="宋体" w:cs="宋体"/>
          <w:bCs/>
          <w:color w:val="auto"/>
          <w:sz w:val="24"/>
          <w:szCs w:val="24"/>
          <w:lang w:val="en-US" w:eastAsia="zh-CN"/>
        </w:rPr>
        <w:t>R1+R2≥176ml，</w:t>
      </w:r>
      <w:r>
        <w:rPr>
          <w:rFonts w:hint="eastAsia" w:ascii="宋体" w:hAnsi="宋体" w:eastAsia="宋体" w:cs="宋体"/>
          <w:bCs/>
          <w:color w:val="auto"/>
          <w:sz w:val="24"/>
          <w:szCs w:val="24"/>
        </w:rPr>
        <w:t>试剂包装可直接放入生化分析仪试剂仓中使用。</w:t>
      </w:r>
    </w:p>
    <w:p>
      <w:pPr>
        <w:ind w:firstLine="42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3.试剂即开即用</w:t>
      </w:r>
      <w:r>
        <w:rPr>
          <w:rFonts w:hint="eastAsia" w:ascii="宋体" w:hAnsi="宋体" w:eastAsia="宋体" w:cs="宋体"/>
          <w:bCs/>
          <w:color w:val="auto"/>
          <w:sz w:val="24"/>
          <w:szCs w:val="24"/>
          <w:lang w:val="en-US" w:eastAsia="zh-CN"/>
        </w:rPr>
        <w:t>。</w:t>
      </w:r>
    </w:p>
    <w:p>
      <w:pPr>
        <w:ind w:firstLine="42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4.试剂必须具备国家要求的资质，试剂及标准物标定液的值具有溯源性，能提供溯源性文件。</w:t>
      </w:r>
    </w:p>
    <w:p>
      <w:pPr>
        <w:ind w:firstLine="420" w:firstLineChars="0"/>
        <w:rPr>
          <w:rFonts w:hint="eastAsia" w:ascii="宋体" w:hAnsi="宋体" w:eastAsia="宋体" w:cs="宋体"/>
          <w:color w:val="auto"/>
          <w:sz w:val="24"/>
          <w:szCs w:val="24"/>
          <w:lang w:eastAsia="zh-CN"/>
        </w:rPr>
      </w:pPr>
      <w:r>
        <w:rPr>
          <w:rFonts w:hint="eastAsia" w:ascii="宋体" w:hAnsi="宋体" w:eastAsia="宋体" w:cs="宋体"/>
          <w:bCs/>
          <w:color w:val="auto"/>
          <w:sz w:val="24"/>
          <w:szCs w:val="24"/>
        </w:rPr>
        <w:t>5.ALT检测线性范围应</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3-500U</w:t>
      </w:r>
      <w:r>
        <w:rPr>
          <w:rFonts w:hint="eastAsia" w:ascii="宋体" w:hAnsi="宋体" w:eastAsia="宋体" w:cs="宋体"/>
          <w:bCs/>
          <w:color w:val="auto"/>
          <w:sz w:val="24"/>
          <w:szCs w:val="24"/>
          <w:lang w:eastAsia="zh-CN"/>
        </w:rPr>
        <w:t>。</w:t>
      </w:r>
    </w:p>
    <w:p>
      <w:pPr>
        <w:ind w:firstLine="420" w:firstLineChars="0"/>
        <w:rPr>
          <w:rFonts w:hint="eastAsia" w:ascii="宋体" w:hAnsi="宋体" w:eastAsia="宋体" w:cs="宋体"/>
          <w:color w:val="auto"/>
          <w:sz w:val="24"/>
          <w:szCs w:val="24"/>
        </w:rPr>
      </w:pPr>
      <w:r>
        <w:rPr>
          <w:rFonts w:hint="eastAsia" w:ascii="宋体" w:hAnsi="宋体" w:eastAsia="宋体" w:cs="宋体"/>
          <w:bCs/>
          <w:color w:val="auto"/>
          <w:sz w:val="24"/>
          <w:szCs w:val="24"/>
        </w:rPr>
        <w:t>6、储存条件及有效期：</w:t>
      </w:r>
      <w:r>
        <w:rPr>
          <w:rFonts w:hint="eastAsia" w:ascii="宋体" w:hAnsi="宋体" w:eastAsia="宋体" w:cs="宋体"/>
          <w:color w:val="auto"/>
          <w:sz w:val="24"/>
          <w:szCs w:val="24"/>
          <w:highlight w:val="none"/>
        </w:rPr>
        <w:t>未开启的试剂盒在2℃~8℃保存有效期为一年。</w:t>
      </w:r>
      <w:r>
        <w:rPr>
          <w:rFonts w:hint="eastAsia" w:ascii="宋体" w:hAnsi="宋体" w:eastAsia="宋体" w:cs="宋体"/>
          <w:bCs/>
          <w:color w:val="auto"/>
          <w:sz w:val="24"/>
          <w:szCs w:val="24"/>
        </w:rPr>
        <w:t>试剂稳定性好，</w:t>
      </w:r>
      <w:r>
        <w:rPr>
          <w:rFonts w:hint="eastAsia" w:ascii="宋体" w:hAnsi="宋体" w:eastAsia="宋体" w:cs="宋体"/>
          <w:color w:val="auto"/>
          <w:sz w:val="24"/>
          <w:szCs w:val="24"/>
        </w:rPr>
        <w:t xml:space="preserve">开瓶后避光保存在2℃-8℃可稳定28天。 </w:t>
      </w:r>
    </w:p>
    <w:p>
      <w:pPr>
        <w:spacing w:line="400" w:lineRule="exact"/>
        <w:ind w:firstLine="420" w:firstLineChars="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2.2.</w:t>
      </w:r>
      <w:r>
        <w:rPr>
          <w:rFonts w:hint="eastAsia" w:ascii="宋体" w:hAnsi="宋体" w:eastAsia="宋体" w:cs="宋体"/>
          <w:b/>
          <w:color w:val="auto"/>
          <w:kern w:val="0"/>
          <w:sz w:val="24"/>
          <w:szCs w:val="24"/>
          <w:lang w:val="en-US" w:eastAsia="zh-CN"/>
        </w:rPr>
        <w:t xml:space="preserve">2  </w:t>
      </w:r>
      <w:r>
        <w:rPr>
          <w:rFonts w:hint="eastAsia" w:ascii="宋体" w:hAnsi="宋体" w:eastAsia="宋体" w:cs="宋体"/>
          <w:b/>
          <w:color w:val="auto"/>
          <w:kern w:val="0"/>
          <w:sz w:val="24"/>
          <w:szCs w:val="24"/>
        </w:rPr>
        <w:t>ALT质控品</w:t>
      </w:r>
    </w:p>
    <w:p>
      <w:pPr>
        <w:ind w:firstLine="42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1.产品名称：生化复合定值质控品</w:t>
      </w:r>
    </w:p>
    <w:p>
      <w:pPr>
        <w:ind w:firstLine="420" w:firstLineChars="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2.包装规格：</w:t>
      </w:r>
      <w:r>
        <w:rPr>
          <w:rFonts w:hint="eastAsia" w:ascii="宋体" w:hAnsi="宋体" w:eastAsia="宋体" w:cs="宋体"/>
          <w:b w:val="0"/>
          <w:bCs w:val="0"/>
          <w:color w:val="auto"/>
          <w:sz w:val="24"/>
          <w:szCs w:val="24"/>
          <w:lang w:eastAsia="zh-CN"/>
        </w:rPr>
        <w:t>5ml</w:t>
      </w:r>
      <w:r>
        <w:rPr>
          <w:rFonts w:hint="eastAsia" w:ascii="宋体" w:hAnsi="宋体" w:eastAsia="宋体" w:cs="宋体"/>
          <w:b w:val="0"/>
          <w:bCs w:val="0"/>
          <w:color w:val="auto"/>
          <w:sz w:val="24"/>
          <w:szCs w:val="24"/>
          <w:lang w:val="en-US" w:eastAsia="zh-CN"/>
        </w:rPr>
        <w:t>/支。</w:t>
      </w:r>
    </w:p>
    <w:p>
      <w:pPr>
        <w:ind w:firstLine="42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3.主要组成成分：人血清基质的冻干粉，不同批次产品，内容物浓度略有不同。</w:t>
      </w:r>
    </w:p>
    <w:p>
      <w:pPr>
        <w:ind w:firstLine="42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4.储存条件及有效期</w:t>
      </w:r>
    </w:p>
    <w:p>
      <w:pPr>
        <w:ind w:firstLine="496"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highlight w:val="none"/>
        </w:rPr>
        <w:t>未开瓶的质控品在2~8℃条件下避光保存，有效期为18 个月。</w:t>
      </w:r>
      <w:r>
        <w:rPr>
          <w:rFonts w:hint="eastAsia" w:ascii="宋体" w:hAnsi="宋体" w:eastAsia="宋体" w:cs="宋体"/>
          <w:b w:val="0"/>
          <w:bCs w:val="0"/>
          <w:color w:val="auto"/>
          <w:sz w:val="24"/>
          <w:szCs w:val="24"/>
        </w:rPr>
        <w:t>开瓶复溶后在-25~-15℃条件下可保存4周。</w:t>
      </w:r>
    </w:p>
    <w:p>
      <w:pPr>
        <w:ind w:firstLine="42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适用仪器：适用于</w:t>
      </w:r>
      <w:r>
        <w:rPr>
          <w:rFonts w:hint="eastAsia" w:ascii="宋体" w:hAnsi="宋体" w:eastAsia="宋体" w:cs="宋体"/>
          <w:b w:val="0"/>
          <w:bCs w:val="0"/>
          <w:color w:val="auto"/>
          <w:sz w:val="24"/>
          <w:szCs w:val="24"/>
          <w:lang w:eastAsia="zh-CN"/>
        </w:rPr>
        <w:t>现有</w:t>
      </w:r>
      <w:r>
        <w:rPr>
          <w:rFonts w:hint="eastAsia" w:ascii="宋体" w:hAnsi="宋体" w:eastAsia="宋体" w:cs="宋体"/>
          <w:b w:val="0"/>
          <w:bCs w:val="0"/>
          <w:color w:val="auto"/>
          <w:sz w:val="24"/>
          <w:szCs w:val="24"/>
        </w:rPr>
        <w:t>全自动生化分析仪和半自动生化分析仪。</w:t>
      </w:r>
    </w:p>
    <w:p>
      <w:pPr>
        <w:spacing w:line="400" w:lineRule="exact"/>
        <w:ind w:firstLine="420" w:firstLineChars="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2.2.</w:t>
      </w:r>
      <w:r>
        <w:rPr>
          <w:rFonts w:hint="eastAsia" w:ascii="宋体" w:hAnsi="宋体" w:eastAsia="宋体" w:cs="宋体"/>
          <w:b/>
          <w:color w:val="auto"/>
          <w:kern w:val="0"/>
          <w:sz w:val="24"/>
          <w:szCs w:val="24"/>
          <w:lang w:val="en-US" w:eastAsia="zh-CN"/>
        </w:rPr>
        <w:t xml:space="preserve">3  </w:t>
      </w:r>
      <w:r>
        <w:rPr>
          <w:rFonts w:hint="eastAsia" w:ascii="宋体" w:hAnsi="宋体" w:eastAsia="宋体" w:cs="宋体"/>
          <w:b/>
          <w:color w:val="auto"/>
          <w:kern w:val="0"/>
          <w:sz w:val="24"/>
          <w:szCs w:val="24"/>
        </w:rPr>
        <w:t>全自动生化分析仪用清洗液</w:t>
      </w:r>
    </w:p>
    <w:p>
      <w:pPr>
        <w:ind w:firstLine="42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适用于现有</w:t>
      </w:r>
      <w:r>
        <w:rPr>
          <w:rFonts w:hint="eastAsia" w:ascii="宋体" w:hAnsi="宋体" w:eastAsia="宋体" w:cs="宋体"/>
          <w:b w:val="0"/>
          <w:bCs w:val="0"/>
          <w:color w:val="auto"/>
          <w:sz w:val="24"/>
          <w:szCs w:val="24"/>
        </w:rPr>
        <w:t>全自动生化分析仪系统清洗维护工作。</w:t>
      </w:r>
    </w:p>
    <w:p>
      <w:pPr>
        <w:ind w:firstLine="420" w:firstLine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.产品规格：1L/桶</w:t>
      </w:r>
      <w:r>
        <w:rPr>
          <w:rFonts w:hint="eastAsia" w:ascii="宋体" w:hAnsi="宋体" w:eastAsia="宋体" w:cs="宋体"/>
          <w:b w:val="0"/>
          <w:bCs w:val="0"/>
          <w:color w:val="auto"/>
          <w:sz w:val="24"/>
          <w:szCs w:val="24"/>
          <w:lang w:eastAsia="zh-CN"/>
        </w:rPr>
        <w:t>。</w:t>
      </w:r>
    </w:p>
    <w:p>
      <w:pPr>
        <w:ind w:firstLine="42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.主要成分：碱性溶液、非离子型表面活性剂、多聚阴离子型表面活性剂、缓冲液、稳定剂等。</w:t>
      </w:r>
    </w:p>
    <w:p>
      <w:pPr>
        <w:ind w:firstLine="420" w:firstLineChars="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.储存条件及有效期：</w:t>
      </w:r>
      <w:r>
        <w:rPr>
          <w:rFonts w:hint="eastAsia" w:ascii="宋体" w:hAnsi="宋体" w:eastAsia="宋体" w:cs="宋体"/>
          <w:b w:val="0"/>
          <w:bCs w:val="0"/>
          <w:color w:val="auto"/>
          <w:sz w:val="24"/>
          <w:szCs w:val="24"/>
          <w:highlight w:val="none"/>
        </w:rPr>
        <w:t>储存在2℃~35℃、相对湿度不超过90%无腐蚀性气体和通风良好处。密封储存有效期≥18个月；室温使用时，开瓶后有效期为3个月。</w:t>
      </w:r>
      <w:r>
        <w:rPr>
          <w:rFonts w:hint="eastAsia" w:ascii="宋体" w:hAnsi="宋体" w:eastAsia="宋体" w:cs="宋体"/>
          <w:color w:val="auto"/>
          <w:sz w:val="24"/>
          <w:szCs w:val="24"/>
          <w:highlight w:val="none"/>
        </w:rPr>
        <w:t xml:space="preserve"> </w:t>
      </w:r>
    </w:p>
    <w:p>
      <w:pPr>
        <w:spacing w:line="40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2.2.</w:t>
      </w:r>
      <w:r>
        <w:rPr>
          <w:rFonts w:hint="eastAsia" w:ascii="宋体" w:hAnsi="宋体" w:eastAsia="宋体" w:cs="宋体"/>
          <w:b/>
          <w:color w:val="auto"/>
          <w:kern w:val="0"/>
          <w:sz w:val="24"/>
          <w:szCs w:val="24"/>
          <w:lang w:val="en-US" w:eastAsia="zh-CN"/>
        </w:rPr>
        <w:t xml:space="preserve">4  </w:t>
      </w:r>
      <w:r>
        <w:rPr>
          <w:rFonts w:hint="eastAsia" w:ascii="宋体" w:hAnsi="宋体" w:eastAsia="宋体" w:cs="宋体"/>
          <w:b/>
          <w:color w:val="auto"/>
          <w:kern w:val="0"/>
          <w:sz w:val="24"/>
          <w:szCs w:val="24"/>
        </w:rPr>
        <w:t>全自动生化分析仪校准品</w:t>
      </w:r>
    </w:p>
    <w:p>
      <w:pPr>
        <w:rPr>
          <w:rFonts w:hint="eastAsia" w:ascii="宋体" w:hAnsi="宋体" w:eastAsia="宋体" w:cs="宋体"/>
          <w:color w:val="auto"/>
          <w:sz w:val="24"/>
          <w:szCs w:val="24"/>
        </w:rPr>
      </w:pPr>
      <w:r>
        <w:rPr>
          <w:rFonts w:hint="eastAsia" w:ascii="宋体" w:hAnsi="宋体" w:eastAsia="宋体" w:cs="宋体"/>
          <w:color w:val="auto"/>
          <w:sz w:val="24"/>
          <w:szCs w:val="24"/>
        </w:rPr>
        <w:t>1.适用于</w:t>
      </w:r>
      <w:r>
        <w:rPr>
          <w:rFonts w:hint="eastAsia" w:ascii="宋体" w:hAnsi="宋体" w:eastAsia="宋体" w:cs="宋体"/>
          <w:color w:val="auto"/>
          <w:sz w:val="24"/>
          <w:szCs w:val="24"/>
          <w:lang w:eastAsia="zh-CN"/>
        </w:rPr>
        <w:t>现有</w:t>
      </w:r>
      <w:r>
        <w:rPr>
          <w:rFonts w:hint="eastAsia" w:ascii="宋体" w:hAnsi="宋体" w:eastAsia="宋体" w:cs="宋体"/>
          <w:color w:val="auto"/>
          <w:sz w:val="24"/>
          <w:szCs w:val="24"/>
        </w:rPr>
        <w:t>生化分析仪。</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.包装规格：3 ml/支</w:t>
      </w:r>
      <w:r>
        <w:rPr>
          <w:rFonts w:hint="eastAsia" w:ascii="宋体" w:hAnsi="宋体" w:eastAsia="宋体" w:cs="宋体"/>
          <w:color w:val="auto"/>
          <w:sz w:val="24"/>
          <w:szCs w:val="24"/>
          <w:lang w:eastAsia="zh-CN"/>
        </w:rPr>
        <w:t>。</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能</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现有</w:t>
      </w:r>
      <w:r>
        <w:rPr>
          <w:rFonts w:hint="eastAsia" w:ascii="宋体" w:hAnsi="宋体" w:eastAsia="宋体" w:cs="宋体"/>
          <w:color w:val="auto"/>
          <w:sz w:val="24"/>
          <w:szCs w:val="24"/>
        </w:rPr>
        <w:t>生化分析仪和试剂配套使用。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.储存条件及有效期：未开瓶的校准品在2~8℃条件下避光保存≥</w:t>
      </w:r>
      <w:r>
        <w:rPr>
          <w:rFonts w:hint="eastAsia" w:ascii="宋体" w:hAnsi="宋体" w:eastAsia="宋体" w:cs="宋体"/>
          <w:color w:val="auto"/>
          <w:sz w:val="24"/>
          <w:szCs w:val="24"/>
          <w:highlight w:val="none"/>
          <w:lang w:val="en-US" w:eastAsia="zh-CN"/>
        </w:rPr>
        <w:t>12个月</w:t>
      </w:r>
      <w:r>
        <w:rPr>
          <w:rFonts w:hint="eastAsia" w:ascii="宋体" w:hAnsi="宋体" w:eastAsia="宋体" w:cs="宋体"/>
          <w:color w:val="auto"/>
          <w:sz w:val="24"/>
          <w:szCs w:val="24"/>
          <w:highlight w:val="none"/>
        </w:rPr>
        <w:t>。</w:t>
      </w:r>
    </w:p>
    <w:p>
      <w:pPr>
        <w:spacing w:line="40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2.2.</w:t>
      </w:r>
      <w:r>
        <w:rPr>
          <w:rFonts w:hint="eastAsia" w:ascii="宋体" w:hAnsi="宋体" w:eastAsia="宋体" w:cs="宋体"/>
          <w:b/>
          <w:color w:val="auto"/>
          <w:kern w:val="0"/>
          <w:sz w:val="24"/>
          <w:szCs w:val="24"/>
          <w:lang w:val="en-US" w:eastAsia="zh-CN"/>
        </w:rPr>
        <w:t xml:space="preserve">5  </w:t>
      </w:r>
      <w:r>
        <w:rPr>
          <w:rFonts w:hint="eastAsia" w:ascii="宋体" w:hAnsi="宋体" w:eastAsia="宋体" w:cs="宋体"/>
          <w:b/>
          <w:color w:val="auto"/>
          <w:kern w:val="0"/>
          <w:sz w:val="24"/>
          <w:szCs w:val="24"/>
        </w:rPr>
        <w:t>半自动生化分析仪用ALT测定试剂盒</w:t>
      </w:r>
    </w:p>
    <w:p>
      <w:pPr>
        <w:spacing w:line="42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1.产品名称：丙氨酸氨基转移酶测定试剂盒(速率法)</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2.用途及适用仪器：用于体外定量测定人血清中丙氨酸氨基转移酶的活性。适用于</w:t>
      </w:r>
      <w:r>
        <w:rPr>
          <w:rFonts w:hint="eastAsia" w:ascii="宋体" w:hAnsi="宋体" w:eastAsia="宋体" w:cs="宋体"/>
          <w:b w:val="0"/>
          <w:bCs w:val="0"/>
          <w:color w:val="auto"/>
          <w:sz w:val="24"/>
          <w:szCs w:val="24"/>
          <w:lang w:eastAsia="zh-CN"/>
        </w:rPr>
        <w:t>现有</w:t>
      </w:r>
      <w:r>
        <w:rPr>
          <w:rFonts w:hint="eastAsia" w:ascii="宋体" w:hAnsi="宋体" w:eastAsia="宋体" w:cs="宋体"/>
          <w:b w:val="0"/>
          <w:bCs w:val="0"/>
          <w:color w:val="auto"/>
          <w:sz w:val="24"/>
          <w:szCs w:val="24"/>
        </w:rPr>
        <w:t>半自动生化分析仪.</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3.包装规格：</w:t>
      </w:r>
      <w:r>
        <w:rPr>
          <w:rFonts w:hint="eastAsia" w:ascii="宋体" w:hAnsi="宋体" w:eastAsia="宋体" w:cs="宋体"/>
          <w:b w:val="0"/>
          <w:bCs w:val="0"/>
          <w:color w:val="auto"/>
          <w:sz w:val="24"/>
          <w:szCs w:val="24"/>
          <w:lang w:eastAsia="zh-CN"/>
        </w:rPr>
        <w:t>剂型为液体型，R1≥40ml, R2≥10ml，</w:t>
      </w:r>
      <w:r>
        <w:rPr>
          <w:rFonts w:hint="eastAsia" w:ascii="宋体" w:hAnsi="宋体" w:eastAsia="宋体" w:cs="宋体"/>
          <w:b w:val="0"/>
          <w:bCs w:val="0"/>
          <w:color w:val="auto"/>
          <w:sz w:val="24"/>
          <w:szCs w:val="24"/>
          <w:lang w:val="en-US" w:eastAsia="zh-CN"/>
        </w:rPr>
        <w:t>2套/盒。</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4.每份标本的检测时间≤4分钟。</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5.外包装上应标明有效日期，在2-8℃避光保存，</w:t>
      </w:r>
      <w:r>
        <w:rPr>
          <w:rFonts w:hint="eastAsia" w:ascii="宋体" w:hAnsi="宋体" w:eastAsia="宋体" w:cs="宋体"/>
          <w:b w:val="0"/>
          <w:bCs w:val="0"/>
          <w:color w:val="auto"/>
          <w:sz w:val="24"/>
          <w:szCs w:val="24"/>
          <w:highlight w:val="none"/>
        </w:rPr>
        <w:t>有效期应≥12个月，</w:t>
      </w:r>
      <w:r>
        <w:rPr>
          <w:rFonts w:hint="eastAsia" w:ascii="宋体" w:hAnsi="宋体" w:eastAsia="宋体" w:cs="宋体"/>
          <w:b w:val="0"/>
          <w:bCs w:val="0"/>
          <w:color w:val="auto"/>
          <w:sz w:val="24"/>
          <w:szCs w:val="24"/>
        </w:rPr>
        <w:t>试剂溶解后开盖在2-8℃避光保存，稳定期应≥7天。</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.有生产企业批准文号,</w:t>
      </w:r>
      <w:r>
        <w:rPr>
          <w:rFonts w:hint="eastAsia" w:ascii="宋体" w:hAnsi="宋体" w:eastAsia="宋体" w:cs="宋体"/>
          <w:b w:val="0"/>
          <w:bCs w:val="0"/>
          <w:color w:val="auto"/>
          <w:sz w:val="24"/>
          <w:szCs w:val="24"/>
          <w:lang w:eastAsia="zh-CN"/>
        </w:rPr>
        <w:t>需</w:t>
      </w:r>
      <w:r>
        <w:rPr>
          <w:rFonts w:hint="eastAsia" w:ascii="宋体" w:hAnsi="宋体" w:eastAsia="宋体" w:cs="宋体"/>
          <w:b w:val="0"/>
          <w:bCs w:val="0"/>
          <w:color w:val="auto"/>
          <w:sz w:val="24"/>
          <w:szCs w:val="24"/>
        </w:rPr>
        <w:t>提供该仪器使用校准品。</w:t>
      </w:r>
    </w:p>
    <w:p>
      <w:pPr>
        <w:rPr>
          <w:rFonts w:hint="eastAsia"/>
          <w:color w:val="auto"/>
          <w:lang w:eastAsia="zh-CN"/>
        </w:rPr>
      </w:pPr>
      <w:r>
        <w:rPr>
          <w:rFonts w:hint="eastAsia"/>
          <w:color w:val="auto"/>
          <w:lang w:eastAsia="zh-CN"/>
        </w:rPr>
        <w:br w:type="page"/>
      </w:r>
    </w:p>
    <w:p>
      <w:pPr>
        <w:bidi w:val="0"/>
        <w:rPr>
          <w:rFonts w:hint="eastAsia"/>
          <w:b/>
          <w:bCs/>
          <w:lang w:eastAsia="zh-CN"/>
        </w:rPr>
      </w:pPr>
      <w:r>
        <w:rPr>
          <w:rFonts w:hint="eastAsia"/>
          <w:b/>
          <w:bCs/>
          <w:lang w:eastAsia="zh-CN"/>
        </w:rPr>
        <w:t>第三标段：血型抗体检测试剂及配套试剂（进口）</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lang w:eastAsia="zh-CN"/>
        </w:rPr>
        <w:t>、同一特异性抗体，优先选择IgM型；</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val="en-US" w:eastAsia="zh-CN"/>
        </w:rPr>
        <w:t>2</w:t>
      </w:r>
      <w:r>
        <w:rPr>
          <w:rFonts w:hint="eastAsia" w:ascii="宋体" w:hAnsi="宋体" w:eastAsia="宋体" w:cs="宋体"/>
          <w:color w:val="auto"/>
          <w:lang w:eastAsia="zh-CN"/>
        </w:rPr>
        <w:t>、IgM+IgG抗-D抗体效价≥32，其它抗体效价应≥8；</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lang w:eastAsia="zh-CN"/>
        </w:rPr>
        <w:t>、谱红细胞要求在有效期内红细胞血型抗原稳定，格局分布合理，谱细胞覆盖的血型抗原尽可能广，必须要求包括Rh、Kell、Kidd、Lewis、Duffy、P、MNS等主要血型系统；血型抗原尽可能为纯合子，如Jk(a+b-)、Jk(a-b+)；最常涉及到的Rh血型系统中必须包括以下几种血型抗原组合：DCCee、DCCEe、DccEE、Dccee、dCCee、dccEE、dccee，且CCee、ccEE、ccee的细胞数量各≥3个，需有Wra抗原，单套谱红细胞所含人份尽可能多，以保证足够的分辨率。每套细胞组合≥16种，细胞在保存期内无溶血。每种细胞包装容量≥2ml；</w:t>
      </w:r>
    </w:p>
    <w:p>
      <w:pPr>
        <w:spacing w:line="400" w:lineRule="exact"/>
        <w:ind w:firstLine="248" w:firstLineChars="100"/>
        <w:rPr>
          <w:rFonts w:hint="eastAsia" w:ascii="宋体" w:hAnsi="宋体" w:eastAsia="宋体" w:cs="宋体"/>
          <w:color w:val="auto"/>
          <w:highlight w:val="yellow"/>
          <w:lang w:eastAsia="zh-CN"/>
        </w:rPr>
      </w:pPr>
      <w:r>
        <w:rPr>
          <w:rFonts w:hint="eastAsia" w:ascii="宋体" w:hAnsi="宋体" w:eastAsia="宋体" w:cs="宋体"/>
          <w:color w:val="auto"/>
          <w:lang w:val="en-US" w:eastAsia="zh-CN"/>
        </w:rPr>
        <w:t>4</w:t>
      </w:r>
      <w:r>
        <w:rPr>
          <w:rFonts w:hint="eastAsia" w:ascii="宋体" w:hAnsi="宋体" w:eastAsia="宋体" w:cs="宋体"/>
          <w:color w:val="auto"/>
          <w:lang w:eastAsia="zh-CN"/>
        </w:rPr>
        <w:t>、抗筛细胞中的单套细胞≥3种细胞，需有Dia抗原。</w:t>
      </w:r>
    </w:p>
    <w:p>
      <w:pPr>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br w:type="page"/>
      </w:r>
    </w:p>
    <w:p>
      <w:pPr>
        <w:spacing w:line="40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第四</w:t>
      </w:r>
      <w:r>
        <w:rPr>
          <w:rFonts w:hint="eastAsia" w:ascii="宋体" w:hAnsi="宋体" w:eastAsia="宋体" w:cs="宋体"/>
          <w:b/>
          <w:bCs/>
          <w:color w:val="auto"/>
          <w:sz w:val="24"/>
          <w:szCs w:val="24"/>
        </w:rPr>
        <w:t>标段</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血浆亚甲蓝测定试剂盒</w:t>
      </w:r>
    </w:p>
    <w:p>
      <w:pPr>
        <w:spacing w:line="4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（1）试剂空白：试剂空白吸光度值≤0.005；</w:t>
      </w:r>
    </w:p>
    <w:p>
      <w:pPr>
        <w:spacing w:line="4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（2）线性区间：a）测量范围[0.10，3.00]μmol/L，相关系数r≥0.990；b）[0.10，0.29] μmol/L测量浓度值绝对线性偏差不超过±0.03μmol/L；c）[0.30，3.00] μmol/L，测量浓度相对线性偏差10%；</w:t>
      </w:r>
    </w:p>
    <w:p>
      <w:pPr>
        <w:spacing w:line="4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（3）准确度：回收率95%-105%；</w:t>
      </w:r>
    </w:p>
    <w:p>
      <w:pPr>
        <w:spacing w:line="4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（4）分析灵敏度：亚甲蓝浓度0.10μmol/L测定吸光度差值≥0.008；</w:t>
      </w:r>
    </w:p>
    <w:p>
      <w:pPr>
        <w:spacing w:line="4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（5）精密度：a）重复性：CV≤8%；b）批间差：连续三批试剂测定同一份血浆中亚甲蓝样品，其测定值的批间差≤8%；</w:t>
      </w:r>
    </w:p>
    <w:p>
      <w:pPr>
        <w:spacing w:line="4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（6）校准品溯源性：</w:t>
      </w:r>
      <w:r>
        <w:rPr>
          <w:rFonts w:hint="eastAsia" w:ascii="宋体" w:hAnsi="宋体" w:eastAsia="宋体" w:cs="宋体"/>
          <w:color w:val="auto"/>
          <w:sz w:val="24"/>
          <w:szCs w:val="24"/>
          <w:lang w:eastAsia="zh-CN"/>
        </w:rPr>
        <w:t>满足</w:t>
      </w:r>
      <w:r>
        <w:rPr>
          <w:rFonts w:hint="eastAsia" w:ascii="宋体" w:hAnsi="宋体" w:eastAsia="宋体" w:cs="宋体"/>
          <w:color w:val="auto"/>
          <w:sz w:val="24"/>
          <w:szCs w:val="24"/>
        </w:rPr>
        <w:t>GB/T21415-2008《体外诊断医疗器械 生物样品中量的测量校准品和控制物质赋值的计量学溯源性》要求，由纯品采用称量法赋值；</w:t>
      </w:r>
    </w:p>
    <w:p>
      <w:pPr>
        <w:spacing w:line="4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（7）校准品准确度：测量值与标示值的相对偏差应不超过±10%；</w:t>
      </w:r>
    </w:p>
    <w:p>
      <w:pPr>
        <w:spacing w:line="400" w:lineRule="exact"/>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（8）质控品赋值有效性：质控品测值应在靶值范围内。</w:t>
      </w:r>
    </w:p>
    <w:p>
      <w:pPr>
        <w:rPr>
          <w:rFonts w:hint="eastAsia" w:ascii="宋体" w:hAnsi="宋体" w:eastAsia="宋体" w:cs="宋体"/>
          <w:highlight w:val="yellow"/>
          <w:lang w:eastAsia="zh-CN"/>
        </w:rPr>
      </w:pPr>
      <w:r>
        <w:rPr>
          <w:rFonts w:hint="eastAsia" w:ascii="宋体" w:hAnsi="宋体" w:eastAsia="宋体" w:cs="宋体"/>
          <w:highlight w:val="yellow"/>
          <w:lang w:eastAsia="zh-CN"/>
        </w:rPr>
        <w:br w:type="page"/>
      </w:r>
    </w:p>
    <w:p>
      <w:pPr>
        <w:bidi w:val="0"/>
        <w:ind w:firstLine="420" w:firstLineChars="0"/>
        <w:rPr>
          <w:rFonts w:hint="eastAsia" w:ascii="宋体" w:hAnsi="宋体" w:eastAsia="宋体" w:cs="宋体"/>
          <w:b/>
          <w:bCs/>
          <w:color w:val="auto"/>
          <w:lang w:eastAsia="zh-CN"/>
        </w:rPr>
      </w:pPr>
      <w:r>
        <w:rPr>
          <w:rFonts w:hint="eastAsia" w:ascii="宋体" w:hAnsi="宋体" w:eastAsia="宋体" w:cs="宋体"/>
          <w:b/>
          <w:bCs/>
          <w:color w:val="auto"/>
          <w:lang w:eastAsia="zh-CN"/>
        </w:rPr>
        <w:t>第五标段：质管科抽检检测试剂</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5.1正常范围定值质控血浆</w:t>
      </w:r>
      <w:r>
        <w:rPr>
          <w:rFonts w:hint="eastAsia" w:ascii="宋体" w:hAnsi="宋体" w:eastAsia="宋体" w:cs="宋体"/>
          <w:b/>
          <w:bCs/>
          <w:color w:val="auto"/>
          <w:lang w:eastAsia="zh-CN"/>
        </w:rPr>
        <w:t>（进口）</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（1）适用于现有血液凝固测试仪。</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（2）规格：1 mL/瓶，10瓶/盒。</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（3）正常范围定值为70%—120%。</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4</w:t>
      </w:r>
      <w:r>
        <w:rPr>
          <w:rFonts w:hint="eastAsia" w:ascii="宋体" w:hAnsi="宋体" w:eastAsia="宋体" w:cs="宋体"/>
          <w:color w:val="auto"/>
          <w:lang w:eastAsia="zh-CN"/>
        </w:rPr>
        <w:t>）能用于凝血因子VIII、纤维蛋白原在正常范围的质量控制；</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5</w:t>
      </w:r>
      <w:r>
        <w:rPr>
          <w:rFonts w:hint="eastAsia" w:ascii="宋体" w:hAnsi="宋体" w:eastAsia="宋体" w:cs="宋体"/>
          <w:color w:val="auto"/>
          <w:lang w:eastAsia="zh-CN"/>
        </w:rPr>
        <w:t>）准确性：在校准后的分析仪上检测该质控品，检测结果平均值应在质控品的靶值范围内。</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6</w:t>
      </w:r>
      <w:r>
        <w:rPr>
          <w:rFonts w:hint="eastAsia" w:ascii="宋体" w:hAnsi="宋体" w:eastAsia="宋体" w:cs="宋体"/>
          <w:color w:val="auto"/>
          <w:lang w:eastAsia="zh-CN"/>
        </w:rPr>
        <w:t>）瓶间差：用试剂盒检测相同批号不同瓶的质控品，检测结果的变异系数（CV）值应符合：a)凝血因子VIII：CV≤10.0%;b)纤维蛋白原：CV≤10.0%。</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7</w:t>
      </w:r>
      <w:r>
        <w:rPr>
          <w:rFonts w:hint="eastAsia" w:ascii="宋体" w:hAnsi="宋体" w:eastAsia="宋体" w:cs="宋体"/>
          <w:color w:val="auto"/>
          <w:lang w:eastAsia="zh-CN"/>
        </w:rPr>
        <w:t>）开瓶稳定性：质控品开瓶、复溶后，在规定的温度条件下保存一定时间后，检测其准确性、瓶间差，均应符合要求。</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5.2凝血因子VIII活性测定试剂盒</w:t>
      </w:r>
      <w:r>
        <w:rPr>
          <w:rFonts w:hint="eastAsia" w:ascii="宋体" w:hAnsi="宋体" w:eastAsia="宋体" w:cs="宋体"/>
          <w:b/>
          <w:bCs/>
          <w:color w:val="auto"/>
          <w:lang w:eastAsia="zh-CN"/>
        </w:rPr>
        <w:t>（进口）</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（1）适用于现有血液凝固测试仪。</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（2）准确性：用待测FVIII试剂盒在校准后的分析仪上检测标准人类血浆，检测结果平均值与校准品靶值的相对偏差应不高于10.0%。</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（3）相同批号不同瓶的试剂的批内精密度应符合：</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a)用正常质控血浆测试，试剂盒的批内精密度（变异系数，CV）应≤3.0%；</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b)用异常值质控血浆测试，试剂盒的批内精密度（变异系数，CV）应≤10.0%。</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（4）不同批号的试剂的批间精密度应符合：</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a)正常值质控血浆：检测结果的变异系数，CV应≤10.0%；</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b)异常值质控血浆：检测结果的变异系数，CV应≤10.0%。</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（5）最小检测限应≤1.0%活性的VIII因子。</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（6）测定范围≤1%-100%，标本稀释后范围≥</w:t>
      </w:r>
      <w:r>
        <w:rPr>
          <w:rFonts w:hint="eastAsia" w:ascii="宋体" w:hAnsi="宋体" w:eastAsia="宋体" w:cs="宋体"/>
          <w:color w:val="auto"/>
          <w:lang w:val="en-US" w:eastAsia="zh-CN"/>
        </w:rPr>
        <w:t>100%-</w:t>
      </w:r>
      <w:r>
        <w:rPr>
          <w:rFonts w:hint="eastAsia" w:ascii="宋体" w:hAnsi="宋体" w:eastAsia="宋体" w:cs="宋体"/>
          <w:color w:val="auto"/>
          <w:lang w:eastAsia="zh-CN"/>
        </w:rPr>
        <w:t>200%。</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5.3鲎试剂</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（1）规格0.1 mL/支，10支/盒。</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（2）灵敏度≤0.06 Eu/mL。</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5.4细菌内毒素工作标准品</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（1）规格10 Eu/支，10支/盒。</w:t>
      </w:r>
    </w:p>
    <w:p>
      <w:pPr>
        <w:rPr>
          <w:rFonts w:hint="eastAsia" w:ascii="宋体" w:hAnsi="宋体" w:eastAsia="宋体" w:cs="宋体"/>
          <w:color w:val="auto"/>
          <w:lang w:eastAsia="zh-CN"/>
        </w:rPr>
      </w:pPr>
      <w:r>
        <w:rPr>
          <w:rFonts w:hint="eastAsia" w:ascii="宋体" w:hAnsi="宋体" w:eastAsia="宋体" w:cs="宋体"/>
          <w:color w:val="auto"/>
          <w:lang w:eastAsia="zh-CN"/>
        </w:rPr>
        <w:br w:type="page"/>
      </w:r>
    </w:p>
    <w:p>
      <w:pPr>
        <w:bidi w:val="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第六标段：残余白细胞计数仪耗材</w:t>
      </w:r>
    </w:p>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（1）适用于现有残余白细胞计数仪。</w:t>
      </w:r>
    </w:p>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（2）规格50人份/套。</w:t>
      </w:r>
    </w:p>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（3）需提供残余白细胞载玻片、残余白细胞标准微球、碘化丙啶白细胞核染色液。</w:t>
      </w:r>
    </w:p>
    <w:p>
      <w:pPr>
        <w:rPr>
          <w:rFonts w:hint="eastAsia" w:ascii="宋体" w:hAnsi="宋体" w:eastAsia="宋体" w:cs="宋体"/>
          <w:color w:val="auto"/>
          <w:lang w:eastAsia="zh-CN"/>
        </w:rPr>
      </w:pPr>
      <w:r>
        <w:rPr>
          <w:rFonts w:hint="eastAsia" w:ascii="宋体" w:hAnsi="宋体" w:eastAsia="宋体" w:cs="宋体"/>
          <w:color w:val="auto"/>
          <w:highlight w:val="none"/>
          <w:lang w:eastAsia="zh-CN"/>
        </w:rPr>
        <w:br w:type="page"/>
      </w:r>
    </w:p>
    <w:p>
      <w:pPr>
        <w:bidi w:val="0"/>
        <w:ind w:firstLine="420" w:firstLineChars="0"/>
        <w:rPr>
          <w:rFonts w:hint="eastAsia" w:ascii="宋体" w:hAnsi="宋体" w:eastAsia="宋体" w:cs="宋体"/>
          <w:lang w:eastAsia="zh-CN"/>
        </w:rPr>
      </w:pPr>
      <w:r>
        <w:rPr>
          <w:rFonts w:hint="eastAsia" w:ascii="宋体" w:hAnsi="宋体" w:eastAsia="宋体" w:cs="宋体"/>
          <w:b/>
          <w:bCs/>
          <w:lang w:eastAsia="zh-CN"/>
        </w:rPr>
        <w:t>第</w:t>
      </w:r>
      <w:r>
        <w:rPr>
          <w:rFonts w:hint="eastAsia" w:ascii="宋体" w:hAnsi="宋体" w:eastAsia="宋体" w:cs="宋体"/>
          <w:b/>
          <w:bCs/>
          <w:lang w:val="en-US" w:eastAsia="zh-CN"/>
        </w:rPr>
        <w:t>七</w:t>
      </w:r>
      <w:r>
        <w:rPr>
          <w:rFonts w:hint="eastAsia" w:ascii="宋体" w:hAnsi="宋体" w:eastAsia="宋体" w:cs="宋体"/>
          <w:b/>
          <w:bCs/>
          <w:lang w:eastAsia="zh-CN"/>
        </w:rPr>
        <w:t>标段：辐照指示卡</w:t>
      </w:r>
    </w:p>
    <w:p>
      <w:pPr>
        <w:bidi w:val="0"/>
        <w:ind w:firstLine="420" w:firstLineChars="0"/>
        <w:rPr>
          <w:rFonts w:hint="eastAsia" w:ascii="宋体" w:hAnsi="宋体" w:eastAsia="宋体" w:cs="宋体"/>
          <w:color w:val="auto"/>
          <w:lang w:eastAsia="zh-CN"/>
        </w:rPr>
      </w:pPr>
      <w:r>
        <w:rPr>
          <w:rFonts w:hint="eastAsia" w:ascii="宋体" w:hAnsi="宋体" w:eastAsia="宋体" w:cs="宋体"/>
          <w:lang w:eastAsia="zh-CN"/>
        </w:rPr>
        <w:t>（</w:t>
      </w:r>
      <w:r>
        <w:rPr>
          <w:rFonts w:hint="eastAsia" w:ascii="宋体" w:hAnsi="宋体" w:eastAsia="宋体" w:cs="宋体"/>
          <w:color w:val="auto"/>
          <w:lang w:eastAsia="zh-CN"/>
        </w:rPr>
        <w:t>1）用于血液辐照剂量的定性测量和血液辐照仪剂量分布的测量。</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（2）包装规格200片/盒。</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（3）当辐照剂量达到25Gy，辐照后指示卡上胶片的颜色发生显著变化。</w:t>
      </w:r>
    </w:p>
    <w:p>
      <w:pPr>
        <w:bidi w:val="0"/>
        <w:ind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（4）可常温保存。</w:t>
      </w:r>
    </w:p>
    <w:p>
      <w:pPr>
        <w:rPr>
          <w:rFonts w:hint="eastAsia" w:ascii="宋体" w:hAnsi="宋体" w:eastAsia="宋体" w:cs="宋体"/>
          <w:color w:val="auto"/>
        </w:rPr>
      </w:pPr>
      <w:bookmarkStart w:id="200" w:name="_Toc100219615"/>
      <w:r>
        <w:rPr>
          <w:rFonts w:hint="eastAsia" w:ascii="宋体" w:hAnsi="宋体" w:eastAsia="宋体" w:cs="宋体"/>
          <w:color w:val="auto"/>
        </w:rPr>
        <w:br w:type="page"/>
      </w:r>
    </w:p>
    <w:p>
      <w:pPr>
        <w:pStyle w:val="3"/>
        <w:rPr>
          <w:rFonts w:hint="eastAsia" w:ascii="宋体" w:hAnsi="宋体" w:eastAsia="宋体" w:cs="宋体"/>
        </w:rPr>
      </w:pPr>
      <w:bookmarkStart w:id="201" w:name="_Toc8235"/>
      <w:bookmarkStart w:id="202" w:name="_Toc10799"/>
      <w:bookmarkStart w:id="203" w:name="_Toc27153"/>
      <w:bookmarkStart w:id="204" w:name="_Toc31545"/>
      <w:bookmarkStart w:id="205" w:name="_Toc19983"/>
      <w:r>
        <w:rPr>
          <w:rFonts w:hint="eastAsia" w:ascii="宋体" w:hAnsi="宋体" w:eastAsia="宋体" w:cs="宋体"/>
        </w:rPr>
        <w:t>第四章  合同文本</w:t>
      </w:r>
      <w:bookmarkEnd w:id="200"/>
      <w:bookmarkEnd w:id="201"/>
      <w:bookmarkEnd w:id="202"/>
      <w:bookmarkEnd w:id="203"/>
      <w:bookmarkEnd w:id="204"/>
      <w:bookmarkEnd w:id="205"/>
    </w:p>
    <w:p>
      <w:pPr>
        <w:spacing w:line="480" w:lineRule="auto"/>
        <w:jc w:val="center"/>
        <w:rPr>
          <w:rFonts w:hint="eastAsia" w:ascii="宋体" w:hAnsi="宋体" w:cs="宋体"/>
          <w:b/>
          <w:bCs/>
          <w:sz w:val="44"/>
          <w:szCs w:val="44"/>
          <w:lang w:eastAsia="zh-CN"/>
        </w:rPr>
      </w:pPr>
      <w:bookmarkStart w:id="206" w:name="_Toc100219616"/>
    </w:p>
    <w:p>
      <w:pPr>
        <w:spacing w:line="480" w:lineRule="auto"/>
        <w:jc w:val="center"/>
        <w:rPr>
          <w:rFonts w:hint="eastAsia" w:ascii="宋体" w:hAnsi="宋体" w:cs="宋体"/>
          <w:b/>
          <w:bCs/>
          <w:sz w:val="44"/>
          <w:szCs w:val="44"/>
          <w:lang w:eastAsia="zh-CN"/>
        </w:rPr>
      </w:pPr>
    </w:p>
    <w:p>
      <w:pPr>
        <w:bidi w:val="0"/>
        <w:jc w:val="center"/>
        <w:rPr>
          <w:sz w:val="36"/>
          <w:szCs w:val="36"/>
        </w:rPr>
      </w:pPr>
      <w:r>
        <w:rPr>
          <w:rFonts w:hint="eastAsia"/>
          <w:sz w:val="36"/>
          <w:szCs w:val="36"/>
          <w:lang w:eastAsia="zh-CN"/>
        </w:rPr>
        <w:t>西安市中心血站血型质管供血试剂耗材采购项目（二次）</w:t>
      </w:r>
    </w:p>
    <w:p>
      <w:pPr>
        <w:jc w:val="center"/>
        <w:outlineLvl w:val="9"/>
        <w:rPr>
          <w:rFonts w:ascii="宋体" w:hAnsi="宋体" w:cs="宋体"/>
          <w:sz w:val="24"/>
          <w:szCs w:val="24"/>
        </w:rPr>
      </w:pPr>
    </w:p>
    <w:p>
      <w:pPr>
        <w:jc w:val="center"/>
        <w:outlineLvl w:val="9"/>
        <w:rPr>
          <w:rFonts w:ascii="宋体" w:hAnsi="宋体" w:cs="宋体"/>
          <w:sz w:val="24"/>
          <w:szCs w:val="24"/>
        </w:rPr>
      </w:pPr>
    </w:p>
    <w:p>
      <w:pPr>
        <w:jc w:val="center"/>
        <w:outlineLvl w:val="9"/>
        <w:rPr>
          <w:rFonts w:ascii="宋体" w:hAnsi="宋体" w:cs="宋体"/>
          <w:sz w:val="24"/>
          <w:szCs w:val="24"/>
        </w:rPr>
      </w:pPr>
    </w:p>
    <w:p>
      <w:pPr>
        <w:jc w:val="center"/>
        <w:outlineLvl w:val="9"/>
        <w:rPr>
          <w:rFonts w:ascii="宋体" w:hAnsi="宋体" w:cs="宋体"/>
          <w:sz w:val="24"/>
          <w:szCs w:val="24"/>
        </w:rPr>
      </w:pPr>
    </w:p>
    <w:p>
      <w:pPr>
        <w:jc w:val="center"/>
        <w:outlineLvl w:val="9"/>
        <w:rPr>
          <w:rFonts w:ascii="宋体" w:hAnsi="宋体" w:cs="宋体"/>
          <w:sz w:val="24"/>
          <w:szCs w:val="24"/>
        </w:rPr>
      </w:pPr>
    </w:p>
    <w:p>
      <w:pPr>
        <w:jc w:val="center"/>
        <w:outlineLvl w:val="9"/>
        <w:rPr>
          <w:rFonts w:ascii="宋体" w:hAnsi="宋体" w:cs="宋体"/>
          <w:sz w:val="24"/>
          <w:szCs w:val="24"/>
        </w:rPr>
      </w:pPr>
    </w:p>
    <w:p>
      <w:pPr>
        <w:jc w:val="center"/>
        <w:outlineLvl w:val="9"/>
        <w:rPr>
          <w:rFonts w:ascii="宋体" w:hAnsi="宋体" w:cs="宋体"/>
          <w:sz w:val="24"/>
          <w:szCs w:val="24"/>
        </w:rPr>
      </w:pPr>
    </w:p>
    <w:p>
      <w:pPr>
        <w:jc w:val="center"/>
        <w:outlineLvl w:val="9"/>
        <w:rPr>
          <w:rFonts w:ascii="宋体" w:hAnsi="宋体" w:cs="宋体"/>
          <w:sz w:val="24"/>
          <w:szCs w:val="24"/>
        </w:rPr>
      </w:pPr>
    </w:p>
    <w:p>
      <w:pPr>
        <w:jc w:val="center"/>
        <w:outlineLvl w:val="9"/>
        <w:rPr>
          <w:rFonts w:ascii="宋体" w:hAnsi="宋体" w:cs="宋体"/>
          <w:sz w:val="24"/>
          <w:szCs w:val="24"/>
        </w:rPr>
      </w:pPr>
    </w:p>
    <w:p>
      <w:pPr>
        <w:jc w:val="center"/>
        <w:outlineLvl w:val="9"/>
        <w:rPr>
          <w:rFonts w:ascii="宋体" w:hAnsi="宋体" w:cs="宋体"/>
          <w:sz w:val="24"/>
          <w:szCs w:val="24"/>
        </w:rPr>
      </w:pPr>
    </w:p>
    <w:p>
      <w:pPr>
        <w:jc w:val="center"/>
        <w:outlineLvl w:val="9"/>
        <w:rPr>
          <w:rFonts w:ascii="宋体" w:hAnsi="宋体" w:cs="宋体"/>
          <w:sz w:val="24"/>
          <w:szCs w:val="24"/>
        </w:rPr>
      </w:pPr>
    </w:p>
    <w:p>
      <w:pPr>
        <w:jc w:val="center"/>
        <w:outlineLvl w:val="9"/>
        <w:rPr>
          <w:rFonts w:ascii="宋体" w:hAnsi="宋体" w:cs="宋体"/>
          <w:sz w:val="24"/>
          <w:szCs w:val="24"/>
        </w:rPr>
      </w:pPr>
    </w:p>
    <w:p>
      <w:pPr>
        <w:outlineLvl w:val="9"/>
        <w:rPr>
          <w:rFonts w:ascii="宋体" w:hAnsi="宋体" w:cs="宋体"/>
          <w:sz w:val="24"/>
          <w:szCs w:val="24"/>
        </w:rPr>
      </w:pPr>
    </w:p>
    <w:p>
      <w:pPr>
        <w:bidi w:val="0"/>
        <w:ind w:firstLine="2304" w:firstLineChars="800"/>
        <w:rPr>
          <w:rFonts w:hint="eastAsia"/>
          <w:sz w:val="28"/>
          <w:szCs w:val="28"/>
          <w:lang w:eastAsia="zh-CN"/>
        </w:rPr>
      </w:pPr>
      <w:bookmarkStart w:id="207" w:name="_Toc28066"/>
      <w:bookmarkStart w:id="208" w:name="_Toc31511"/>
      <w:bookmarkStart w:id="209" w:name="_Toc2789"/>
      <w:r>
        <w:rPr>
          <w:rFonts w:hint="eastAsia"/>
          <w:sz w:val="28"/>
          <w:szCs w:val="28"/>
        </w:rPr>
        <w:t>项目编号：</w:t>
      </w:r>
      <w:bookmarkEnd w:id="207"/>
      <w:bookmarkEnd w:id="208"/>
      <w:bookmarkEnd w:id="209"/>
      <w:r>
        <w:rPr>
          <w:rFonts w:hint="eastAsia"/>
          <w:sz w:val="28"/>
          <w:szCs w:val="28"/>
          <w:lang w:eastAsia="zh-CN"/>
        </w:rPr>
        <w:t>SXWZ2022ZB-XAXZ-090A</w:t>
      </w:r>
    </w:p>
    <w:p>
      <w:pPr>
        <w:spacing w:line="480" w:lineRule="auto"/>
        <w:ind w:firstLine="2304" w:firstLineChars="800"/>
        <w:outlineLvl w:val="9"/>
        <w:rPr>
          <w:rFonts w:hint="eastAsia" w:ascii="宋体" w:hAnsi="宋体" w:eastAsia="宋体" w:cs="宋体"/>
          <w:sz w:val="28"/>
          <w:szCs w:val="28"/>
          <w:lang w:eastAsia="zh-CN"/>
        </w:rPr>
      </w:pPr>
      <w:r>
        <w:rPr>
          <w:rFonts w:hint="eastAsia" w:ascii="宋体" w:hAnsi="宋体" w:cs="宋体"/>
          <w:sz w:val="28"/>
          <w:szCs w:val="28"/>
        </w:rPr>
        <w:t>甲    方：</w:t>
      </w:r>
      <w:r>
        <w:rPr>
          <w:rFonts w:hint="eastAsia" w:ascii="宋体" w:hAnsi="宋体" w:cs="宋体"/>
          <w:sz w:val="28"/>
          <w:szCs w:val="28"/>
          <w:lang w:eastAsia="zh-CN"/>
        </w:rPr>
        <w:t>西安市中心血站</w:t>
      </w:r>
    </w:p>
    <w:p>
      <w:pPr>
        <w:spacing w:line="480" w:lineRule="auto"/>
        <w:ind w:firstLine="2304" w:firstLineChars="800"/>
        <w:outlineLvl w:val="9"/>
        <w:rPr>
          <w:rFonts w:ascii="宋体" w:hAnsi="宋体" w:cs="宋体"/>
          <w:sz w:val="28"/>
          <w:szCs w:val="28"/>
        </w:rPr>
      </w:pPr>
      <w:r>
        <w:rPr>
          <w:rFonts w:hint="eastAsia" w:ascii="宋体" w:hAnsi="宋体" w:cs="宋体"/>
          <w:sz w:val="28"/>
          <w:szCs w:val="28"/>
        </w:rPr>
        <w:t>乙    方：</w:t>
      </w:r>
    </w:p>
    <w:p>
      <w:pPr>
        <w:bidi w:val="0"/>
        <w:ind w:firstLine="2304" w:firstLineChars="800"/>
        <w:rPr>
          <w:sz w:val="28"/>
          <w:szCs w:val="28"/>
        </w:rPr>
      </w:pPr>
      <w:bookmarkStart w:id="210" w:name="_Toc4391"/>
      <w:bookmarkStart w:id="211" w:name="_Toc7685"/>
      <w:bookmarkStart w:id="212" w:name="_Toc14327"/>
      <w:r>
        <w:rPr>
          <w:rFonts w:hint="eastAsia"/>
          <w:sz w:val="28"/>
          <w:szCs w:val="28"/>
        </w:rPr>
        <w:t>鉴 证 方：陕西万泽招标有限公司</w:t>
      </w:r>
      <w:bookmarkEnd w:id="210"/>
      <w:bookmarkEnd w:id="211"/>
      <w:bookmarkEnd w:id="212"/>
    </w:p>
    <w:p>
      <w:pPr>
        <w:outlineLvl w:val="9"/>
      </w:pPr>
      <w:r>
        <w:rPr>
          <w:rFonts w:hint="eastAsia" w:asciiTheme="minorEastAsia" w:hAnsiTheme="minorEastAsia" w:eastAsiaTheme="minorEastAsia" w:cstheme="minorEastAsia"/>
          <w:b/>
          <w:sz w:val="32"/>
          <w:szCs w:val="32"/>
        </w:rPr>
        <w:br w:type="page"/>
      </w:r>
    </w:p>
    <w:p>
      <w:pPr>
        <w:bidi w:val="0"/>
        <w:jc w:val="center"/>
        <w:rPr>
          <w:rFonts w:hint="eastAsia"/>
          <w:b/>
          <w:bCs/>
          <w:sz w:val="32"/>
          <w:szCs w:val="32"/>
        </w:rPr>
      </w:pPr>
      <w:bookmarkStart w:id="213" w:name="_Toc24641"/>
      <w:bookmarkStart w:id="214" w:name="_Toc15460"/>
      <w:bookmarkStart w:id="215" w:name="_Toc22027"/>
      <w:r>
        <w:rPr>
          <w:b/>
          <w:bCs/>
          <w:sz w:val="32"/>
          <w:szCs w:val="32"/>
        </w:rPr>
        <w:t>合同</w:t>
      </w:r>
      <w:r>
        <w:rPr>
          <w:rFonts w:hint="eastAsia"/>
          <w:b/>
          <w:bCs/>
          <w:sz w:val="32"/>
          <w:szCs w:val="32"/>
        </w:rPr>
        <w:t>主要</w:t>
      </w:r>
      <w:r>
        <w:rPr>
          <w:b/>
          <w:bCs/>
          <w:sz w:val="32"/>
          <w:szCs w:val="32"/>
        </w:rPr>
        <w:t>条款</w:t>
      </w:r>
      <w:bookmarkEnd w:id="213"/>
      <w:bookmarkEnd w:id="214"/>
      <w:bookmarkEnd w:id="215"/>
    </w:p>
    <w:p>
      <w:pPr>
        <w:bidi w:val="0"/>
      </w:pPr>
      <w:r>
        <w:rPr>
          <w:rFonts w:hint="eastAsia"/>
        </w:rPr>
        <w:t>甲方：西安市中心血站</w:t>
      </w:r>
    </w:p>
    <w:p>
      <w:pPr>
        <w:bidi w:val="0"/>
      </w:pPr>
      <w:r>
        <w:rPr>
          <w:rFonts w:hint="eastAsia"/>
        </w:rPr>
        <w:t xml:space="preserve">乙方：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bidi w:val="0"/>
      </w:pPr>
      <w:r>
        <w:rPr>
          <w:rFonts w:hint="eastAsia"/>
        </w:rPr>
        <w:t>项目名称：（市财采计﹝202</w:t>
      </w:r>
      <w:r>
        <w:rPr>
          <w:rFonts w:hint="eastAsia"/>
          <w:lang w:val="en-US" w:eastAsia="zh-CN"/>
        </w:rPr>
        <w:t>2</w:t>
      </w:r>
      <w:r>
        <w:rPr>
          <w:rFonts w:hint="eastAsia"/>
        </w:rPr>
        <w:t>﹞XXXX号X/Y）</w:t>
      </w:r>
    </w:p>
    <w:p>
      <w:pPr>
        <w:bidi w:val="0"/>
        <w:rPr>
          <w:b/>
          <w:bCs/>
        </w:rPr>
      </w:pPr>
      <w:bookmarkStart w:id="216" w:name="_Toc29100"/>
      <w:bookmarkStart w:id="217" w:name="_Toc19013"/>
      <w:bookmarkStart w:id="218" w:name="_Toc20074"/>
      <w:r>
        <w:rPr>
          <w:b/>
          <w:bCs/>
          <w:lang w:val="zh-CN"/>
        </w:rPr>
        <w:t>一、合同内容:</w:t>
      </w:r>
      <w:bookmarkEnd w:id="216"/>
      <w:bookmarkEnd w:id="217"/>
      <w:bookmarkEnd w:id="218"/>
    </w:p>
    <w:tbl>
      <w:tblPr>
        <w:tblStyle w:val="3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965"/>
        <w:gridCol w:w="1272"/>
        <w:gridCol w:w="1093"/>
        <w:gridCol w:w="1218"/>
        <w:gridCol w:w="1272"/>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ign w:val="center"/>
          </w:tcPr>
          <w:p>
            <w:pPr>
              <w:bidi w:val="0"/>
            </w:pPr>
            <w:r>
              <w:rPr>
                <w:rFonts w:hint="eastAsia"/>
              </w:rPr>
              <w:t>序号</w:t>
            </w:r>
          </w:p>
        </w:tc>
        <w:tc>
          <w:tcPr>
            <w:tcW w:w="1965" w:type="dxa"/>
            <w:tcBorders>
              <w:top w:val="single" w:color="auto" w:sz="4" w:space="0"/>
              <w:left w:val="single" w:color="auto" w:sz="4" w:space="0"/>
              <w:bottom w:val="single" w:color="auto" w:sz="4" w:space="0"/>
              <w:right w:val="single" w:color="auto" w:sz="4" w:space="0"/>
            </w:tcBorders>
            <w:noWrap/>
            <w:vAlign w:val="center"/>
          </w:tcPr>
          <w:p>
            <w:pPr>
              <w:bidi w:val="0"/>
            </w:pPr>
            <w:r>
              <w:rPr>
                <w:rFonts w:hint="eastAsia"/>
              </w:rPr>
              <w:t>物品名称</w:t>
            </w:r>
          </w:p>
        </w:tc>
        <w:tc>
          <w:tcPr>
            <w:tcW w:w="1272" w:type="dxa"/>
            <w:tcBorders>
              <w:top w:val="single" w:color="auto" w:sz="4" w:space="0"/>
              <w:left w:val="single" w:color="auto" w:sz="4" w:space="0"/>
              <w:bottom w:val="single" w:color="auto" w:sz="4" w:space="0"/>
              <w:right w:val="single" w:color="auto" w:sz="4" w:space="0"/>
            </w:tcBorders>
            <w:noWrap/>
            <w:vAlign w:val="center"/>
          </w:tcPr>
          <w:p>
            <w:pPr>
              <w:bidi w:val="0"/>
            </w:pPr>
            <w:r>
              <w:rPr>
                <w:rFonts w:hint="eastAsia"/>
              </w:rPr>
              <w:t>制造厂商</w:t>
            </w:r>
          </w:p>
        </w:tc>
        <w:tc>
          <w:tcPr>
            <w:tcW w:w="1093" w:type="dxa"/>
            <w:tcBorders>
              <w:top w:val="single" w:color="auto" w:sz="4" w:space="0"/>
              <w:left w:val="single" w:color="auto" w:sz="4" w:space="0"/>
              <w:bottom w:val="single" w:color="auto" w:sz="4" w:space="0"/>
              <w:right w:val="single" w:color="auto" w:sz="4" w:space="0"/>
            </w:tcBorders>
            <w:noWrap/>
            <w:vAlign w:val="center"/>
          </w:tcPr>
          <w:p>
            <w:pPr>
              <w:bidi w:val="0"/>
            </w:pPr>
            <w:r>
              <w:rPr>
                <w:rFonts w:hint="eastAsia"/>
              </w:rPr>
              <w:t>规格</w:t>
            </w:r>
          </w:p>
        </w:tc>
        <w:tc>
          <w:tcPr>
            <w:tcW w:w="1218" w:type="dxa"/>
            <w:tcBorders>
              <w:top w:val="single" w:color="auto" w:sz="4" w:space="0"/>
              <w:left w:val="single" w:color="auto" w:sz="4" w:space="0"/>
              <w:right w:val="single" w:color="auto" w:sz="4" w:space="0"/>
            </w:tcBorders>
            <w:noWrap/>
            <w:vAlign w:val="center"/>
          </w:tcPr>
          <w:p>
            <w:pPr>
              <w:bidi w:val="0"/>
            </w:pPr>
            <w:r>
              <w:rPr>
                <w:rFonts w:hint="eastAsia"/>
              </w:rPr>
              <w:t>单价（元）</w:t>
            </w:r>
          </w:p>
        </w:tc>
        <w:tc>
          <w:tcPr>
            <w:tcW w:w="1272" w:type="dxa"/>
            <w:tcBorders>
              <w:top w:val="single" w:color="auto" w:sz="4" w:space="0"/>
              <w:left w:val="single" w:color="auto" w:sz="4" w:space="0"/>
              <w:right w:val="single" w:color="auto" w:sz="4" w:space="0"/>
            </w:tcBorders>
            <w:noWrap/>
            <w:vAlign w:val="center"/>
          </w:tcPr>
          <w:p>
            <w:pPr>
              <w:bidi w:val="0"/>
            </w:pPr>
            <w:r>
              <w:rPr>
                <w:rFonts w:hint="eastAsia"/>
              </w:rPr>
              <w:t>数量（套）</w:t>
            </w:r>
          </w:p>
        </w:tc>
        <w:tc>
          <w:tcPr>
            <w:tcW w:w="1555" w:type="dxa"/>
            <w:tcBorders>
              <w:top w:val="single" w:color="auto" w:sz="4" w:space="0"/>
              <w:left w:val="single" w:color="auto" w:sz="4" w:space="0"/>
              <w:bottom w:val="single" w:color="auto" w:sz="4" w:space="0"/>
              <w:right w:val="single" w:color="auto" w:sz="4" w:space="0"/>
            </w:tcBorders>
            <w:noWrap/>
            <w:vAlign w:val="center"/>
          </w:tcPr>
          <w:p>
            <w:pPr>
              <w:bidi w:val="0"/>
            </w:pPr>
            <w:r>
              <w:rPr>
                <w:rFonts w:hint="eastAsia"/>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25" w:type="dxa"/>
            <w:tcBorders>
              <w:top w:val="single" w:color="auto" w:sz="4" w:space="0"/>
              <w:left w:val="single" w:color="auto" w:sz="4" w:space="0"/>
              <w:bottom w:val="single" w:color="auto" w:sz="4" w:space="0"/>
              <w:right w:val="single" w:color="auto" w:sz="4" w:space="0"/>
            </w:tcBorders>
            <w:noWrap/>
            <w:vAlign w:val="center"/>
          </w:tcPr>
          <w:p>
            <w:pPr>
              <w:bidi w:val="0"/>
            </w:pPr>
            <w:r>
              <w:rPr>
                <w:rFonts w:hint="eastAsia"/>
              </w:rPr>
              <w:t>1</w:t>
            </w:r>
          </w:p>
        </w:tc>
        <w:tc>
          <w:tcPr>
            <w:tcW w:w="1965" w:type="dxa"/>
            <w:tcBorders>
              <w:top w:val="single" w:color="auto" w:sz="4" w:space="0"/>
              <w:left w:val="single" w:color="auto" w:sz="4" w:space="0"/>
              <w:bottom w:val="single" w:color="auto" w:sz="4" w:space="0"/>
              <w:right w:val="single" w:color="auto" w:sz="4" w:space="0"/>
            </w:tcBorders>
            <w:noWrap/>
            <w:vAlign w:val="center"/>
          </w:tcPr>
          <w:p>
            <w:pPr>
              <w:bidi w:val="0"/>
            </w:pPr>
          </w:p>
        </w:tc>
        <w:tc>
          <w:tcPr>
            <w:tcW w:w="1272" w:type="dxa"/>
            <w:tcBorders>
              <w:top w:val="single" w:color="auto" w:sz="4" w:space="0"/>
              <w:left w:val="single" w:color="auto" w:sz="4" w:space="0"/>
              <w:bottom w:val="single" w:color="auto" w:sz="4" w:space="0"/>
              <w:right w:val="single" w:color="auto" w:sz="4" w:space="0"/>
            </w:tcBorders>
            <w:noWrap/>
            <w:vAlign w:val="center"/>
          </w:tcPr>
          <w:p>
            <w:pPr>
              <w:bidi w:val="0"/>
            </w:pPr>
          </w:p>
        </w:tc>
        <w:tc>
          <w:tcPr>
            <w:tcW w:w="1093" w:type="dxa"/>
            <w:tcBorders>
              <w:top w:val="single" w:color="auto" w:sz="4" w:space="0"/>
              <w:left w:val="single" w:color="auto" w:sz="4" w:space="0"/>
              <w:bottom w:val="single" w:color="auto" w:sz="4" w:space="0"/>
              <w:right w:val="single" w:color="auto" w:sz="4" w:space="0"/>
            </w:tcBorders>
            <w:noWrap/>
            <w:vAlign w:val="center"/>
          </w:tcPr>
          <w:p>
            <w:pPr>
              <w:bidi w:val="0"/>
            </w:pPr>
          </w:p>
        </w:tc>
        <w:tc>
          <w:tcPr>
            <w:tcW w:w="1218" w:type="dxa"/>
            <w:tcBorders>
              <w:left w:val="single" w:color="auto" w:sz="4" w:space="0"/>
              <w:bottom w:val="single" w:color="auto" w:sz="4" w:space="0"/>
              <w:right w:val="single" w:color="auto" w:sz="4" w:space="0"/>
            </w:tcBorders>
            <w:noWrap/>
            <w:vAlign w:val="center"/>
          </w:tcPr>
          <w:p>
            <w:pPr>
              <w:bidi w:val="0"/>
            </w:pPr>
          </w:p>
        </w:tc>
        <w:tc>
          <w:tcPr>
            <w:tcW w:w="1272" w:type="dxa"/>
            <w:tcBorders>
              <w:left w:val="single" w:color="auto" w:sz="4" w:space="0"/>
              <w:bottom w:val="single" w:color="auto" w:sz="4" w:space="0"/>
              <w:right w:val="single" w:color="auto" w:sz="4" w:space="0"/>
            </w:tcBorders>
            <w:noWrap/>
            <w:vAlign w:val="center"/>
          </w:tcPr>
          <w:p>
            <w:pPr>
              <w:bidi w:val="0"/>
            </w:pPr>
          </w:p>
        </w:tc>
        <w:tc>
          <w:tcPr>
            <w:tcW w:w="1555" w:type="dxa"/>
            <w:tcBorders>
              <w:top w:val="single" w:color="auto" w:sz="4" w:space="0"/>
              <w:left w:val="single" w:color="auto" w:sz="4" w:space="0"/>
              <w:bottom w:val="single" w:color="auto" w:sz="4" w:space="0"/>
              <w:right w:val="single" w:color="auto" w:sz="4" w:space="0"/>
            </w:tcBorders>
            <w:noWrap/>
            <w:vAlign w:val="center"/>
          </w:tcPr>
          <w:p>
            <w:pPr>
              <w:bidi w:val="0"/>
            </w:pPr>
          </w:p>
        </w:tc>
      </w:tr>
    </w:tbl>
    <w:p>
      <w:pPr>
        <w:bidi w:val="0"/>
        <w:rPr>
          <w:b/>
          <w:bCs/>
        </w:rPr>
      </w:pPr>
      <w:bookmarkStart w:id="219" w:name="_Toc16908"/>
      <w:bookmarkStart w:id="220" w:name="_Toc20284"/>
      <w:bookmarkStart w:id="221" w:name="_Toc29164"/>
      <w:r>
        <w:rPr>
          <w:b/>
          <w:bCs/>
        </w:rPr>
        <w:t>二、合同价款</w:t>
      </w:r>
      <w:bookmarkEnd w:id="219"/>
      <w:bookmarkEnd w:id="220"/>
      <w:bookmarkEnd w:id="221"/>
    </w:p>
    <w:p>
      <w:pPr>
        <w:bidi w:val="0"/>
      </w:pPr>
      <w:r>
        <w:t>1、合同总价：</w:t>
      </w:r>
      <w:r>
        <w:rPr>
          <w:rFonts w:hint="eastAsia"/>
        </w:rPr>
        <w:t>人民币元整 （￥0.00元）。</w:t>
      </w:r>
    </w:p>
    <w:p>
      <w:pPr>
        <w:bidi w:val="0"/>
      </w:pPr>
      <w:r>
        <w:t>2、合同总价包括：</w:t>
      </w:r>
      <w:r>
        <w:rPr>
          <w:rFonts w:hint="eastAsia"/>
        </w:rPr>
        <w:t>税费、培训费、产品费、运杂费</w:t>
      </w:r>
      <w:r>
        <w:t>及其它相关的费用。</w:t>
      </w:r>
    </w:p>
    <w:p>
      <w:pPr>
        <w:bidi w:val="0"/>
      </w:pPr>
      <w:r>
        <w:t>3、合同</w:t>
      </w:r>
      <w:r>
        <w:rPr>
          <w:rFonts w:hint="eastAsia"/>
        </w:rPr>
        <w:t>单价</w:t>
      </w:r>
      <w:r>
        <w:t>一次包死，不受市场价变化的影响。</w:t>
      </w:r>
      <w:r>
        <w:rPr>
          <w:rFonts w:hint="eastAsia"/>
        </w:rPr>
        <w:t>最终付款总价以甲方实际使用数量为准。</w:t>
      </w:r>
    </w:p>
    <w:p>
      <w:pPr>
        <w:bidi w:val="0"/>
        <w:rPr>
          <w:b/>
          <w:bCs/>
        </w:rPr>
      </w:pPr>
      <w:bookmarkStart w:id="222" w:name="_Toc7517"/>
      <w:bookmarkStart w:id="223" w:name="_Toc22704"/>
      <w:bookmarkStart w:id="224" w:name="_Toc10150"/>
      <w:r>
        <w:rPr>
          <w:b/>
          <w:bCs/>
        </w:rPr>
        <w:t>三、合同结算</w:t>
      </w:r>
      <w:bookmarkEnd w:id="222"/>
      <w:bookmarkEnd w:id="223"/>
      <w:bookmarkEnd w:id="224"/>
    </w:p>
    <w:p>
      <w:pPr>
        <w:bidi w:val="0"/>
      </w:pPr>
      <w:r>
        <w:rPr>
          <w:rFonts w:hint="eastAsia"/>
        </w:rPr>
        <w:t>1</w:t>
      </w:r>
      <w:r>
        <w:t>、</w:t>
      </w:r>
      <w:r>
        <w:rPr>
          <w:rFonts w:hint="eastAsia"/>
        </w:rPr>
        <w:t>付款</w:t>
      </w:r>
      <w:r>
        <w:t>方式：银行转账。</w:t>
      </w:r>
      <w:r>
        <w:rPr>
          <w:rFonts w:hint="eastAsia"/>
        </w:rPr>
        <w:t>由采购人负责结算，供应商必须开具全额发票给采购人，并附详细清单和验收单。如非中标单位所开具发票，甲方有权拒绝支付。</w:t>
      </w:r>
    </w:p>
    <w:p>
      <w:pPr>
        <w:bidi w:val="0"/>
      </w:pPr>
      <w:r>
        <w:rPr>
          <w:rFonts w:hint="eastAsia"/>
        </w:rPr>
        <w:t>2、结算方式：合同签订后分批采购，分批付款。每批次产品经甲方确认合格后三个月内，按实际用量据实支付。</w:t>
      </w:r>
    </w:p>
    <w:p>
      <w:pPr>
        <w:bidi w:val="0"/>
        <w:rPr>
          <w:b/>
          <w:bCs/>
        </w:rPr>
      </w:pPr>
      <w:bookmarkStart w:id="225" w:name="_Toc18182"/>
      <w:bookmarkStart w:id="226" w:name="_Toc27994"/>
      <w:bookmarkStart w:id="227" w:name="_Toc17671"/>
      <w:r>
        <w:rPr>
          <w:b/>
          <w:bCs/>
        </w:rPr>
        <w:t>四、交货条件</w:t>
      </w:r>
      <w:bookmarkEnd w:id="225"/>
      <w:bookmarkEnd w:id="226"/>
      <w:bookmarkEnd w:id="227"/>
    </w:p>
    <w:p>
      <w:pPr>
        <w:bidi w:val="0"/>
        <w:rPr>
          <w:color w:val="auto"/>
        </w:rPr>
      </w:pPr>
      <w:r>
        <w:rPr>
          <w:color w:val="auto"/>
        </w:rPr>
        <w:t>1、</w:t>
      </w:r>
      <w:r>
        <w:rPr>
          <w:rFonts w:hint="eastAsia"/>
          <w:color w:val="auto"/>
        </w:rPr>
        <w:t>交货</w:t>
      </w:r>
      <w:r>
        <w:rPr>
          <w:color w:val="auto"/>
        </w:rPr>
        <w:t>地点：</w:t>
      </w:r>
      <w:r>
        <w:rPr>
          <w:rFonts w:hint="eastAsia"/>
          <w:color w:val="auto"/>
        </w:rPr>
        <w:t>采购人指定地点。</w:t>
      </w:r>
    </w:p>
    <w:p>
      <w:pPr>
        <w:bidi w:val="0"/>
        <w:rPr>
          <w:rFonts w:hint="eastAsia"/>
          <w:color w:val="auto"/>
          <w:lang w:eastAsia="zh-CN"/>
        </w:rPr>
      </w:pPr>
      <w:r>
        <w:rPr>
          <w:color w:val="auto"/>
        </w:rPr>
        <w:t>2、</w:t>
      </w:r>
      <w:r>
        <w:rPr>
          <w:rFonts w:hint="eastAsia"/>
          <w:color w:val="auto"/>
          <w:lang w:eastAsia="zh-CN"/>
        </w:rPr>
        <w:t>供货期</w:t>
      </w:r>
      <w:r>
        <w:rPr>
          <w:rFonts w:hint="eastAsia"/>
          <w:color w:val="auto"/>
        </w:rPr>
        <w:t>：自合同签订之日起一年</w:t>
      </w:r>
      <w:r>
        <w:rPr>
          <w:rFonts w:hint="eastAsia"/>
          <w:color w:val="auto"/>
          <w:lang w:eastAsia="zh-CN"/>
        </w:rPr>
        <w:t>内</w:t>
      </w:r>
      <w:r>
        <w:rPr>
          <w:rFonts w:hint="eastAsia"/>
          <w:color w:val="auto"/>
        </w:rPr>
        <w:t>，按需配送</w:t>
      </w:r>
      <w:r>
        <w:rPr>
          <w:rFonts w:hint="eastAsia"/>
          <w:color w:val="auto"/>
          <w:lang w:eastAsia="zh-CN"/>
        </w:rPr>
        <w:t>；</w:t>
      </w:r>
    </w:p>
    <w:p>
      <w:pPr>
        <w:bidi w:val="0"/>
        <w:rPr>
          <w:color w:val="auto"/>
        </w:rPr>
      </w:pPr>
      <w:r>
        <w:rPr>
          <w:rFonts w:hint="eastAsia"/>
          <w:color w:val="auto"/>
          <w:lang w:val="en-US" w:eastAsia="zh-CN"/>
        </w:rPr>
        <w:t>3、交货期：合同签订后接到采购人订单之日起7日内交货，按照采购人要求分批供货。</w:t>
      </w:r>
    </w:p>
    <w:p>
      <w:pPr>
        <w:bidi w:val="0"/>
        <w:rPr>
          <w:rFonts w:hint="eastAsia"/>
          <w:color w:val="auto"/>
          <w:lang w:eastAsia="zh-CN"/>
        </w:rPr>
      </w:pPr>
      <w:r>
        <w:rPr>
          <w:rFonts w:hint="eastAsia"/>
          <w:color w:val="auto"/>
          <w:lang w:val="en-US" w:eastAsia="zh-CN"/>
        </w:rPr>
        <w:t>4</w:t>
      </w:r>
      <w:r>
        <w:rPr>
          <w:rFonts w:hint="eastAsia"/>
          <w:color w:val="auto"/>
        </w:rPr>
        <w:t>、</w:t>
      </w:r>
      <w:r>
        <w:rPr>
          <w:rFonts w:hint="eastAsia"/>
          <w:color w:val="auto"/>
          <w:lang w:eastAsia="zh-CN"/>
        </w:rPr>
        <w:t>产品</w:t>
      </w:r>
      <w:r>
        <w:rPr>
          <w:rFonts w:hint="eastAsia"/>
          <w:color w:val="auto"/>
        </w:rPr>
        <w:t>保质期：</w:t>
      </w:r>
      <w:r>
        <w:rPr>
          <w:rFonts w:hint="eastAsia"/>
          <w:color w:val="auto"/>
          <w:lang w:val="en-US" w:eastAsia="zh-CN"/>
        </w:rPr>
        <w:t>产品到交货地点的有效期≥12个月</w:t>
      </w:r>
      <w:r>
        <w:rPr>
          <w:rFonts w:hint="eastAsia"/>
          <w:color w:val="auto"/>
        </w:rPr>
        <w:t>；</w:t>
      </w:r>
      <w:r>
        <w:rPr>
          <w:rFonts w:hint="eastAsia"/>
          <w:color w:val="auto"/>
          <w:lang w:eastAsia="zh-CN"/>
        </w:rPr>
        <w:t>按招标文件各标段要求执行。</w:t>
      </w:r>
    </w:p>
    <w:p>
      <w:pPr>
        <w:bidi w:val="0"/>
      </w:pPr>
      <w:r>
        <w:rPr>
          <w:rFonts w:hint="eastAsia"/>
          <w:lang w:val="en-US" w:eastAsia="zh-CN"/>
        </w:rPr>
        <w:t>5</w:t>
      </w:r>
      <w:r>
        <w:rPr>
          <w:rFonts w:hint="eastAsia"/>
        </w:rPr>
        <w:t>、供货单位必须提供以下相关资料存档：</w:t>
      </w:r>
    </w:p>
    <w:p>
      <w:pPr>
        <w:bidi w:val="0"/>
      </w:pPr>
      <w:r>
        <w:rPr>
          <w:rFonts w:hint="eastAsia"/>
        </w:rPr>
        <w:t>（</w:t>
      </w:r>
      <w:r>
        <w:t>1</w:t>
      </w:r>
      <w:r>
        <w:rPr>
          <w:rFonts w:hint="eastAsia"/>
        </w:rPr>
        <w:t>）《医疗器械生产许可证》或《医疗器械经营许可证》；</w:t>
      </w:r>
    </w:p>
    <w:p>
      <w:pPr>
        <w:bidi w:val="0"/>
      </w:pPr>
      <w:r>
        <w:rPr>
          <w:rFonts w:hint="eastAsia"/>
        </w:rPr>
        <w:t>（2）营业执照复印件；</w:t>
      </w:r>
    </w:p>
    <w:p>
      <w:pPr>
        <w:bidi w:val="0"/>
      </w:pPr>
      <w:r>
        <w:rPr>
          <w:rFonts w:hint="eastAsia"/>
        </w:rPr>
        <w:t>（3）医疗器械产品注册证</w:t>
      </w:r>
      <w:r>
        <w:rPr>
          <w:rFonts w:hint="eastAsia"/>
          <w:lang w:eastAsia="zh-CN"/>
        </w:rPr>
        <w:t>（</w:t>
      </w:r>
      <w:r>
        <w:rPr>
          <w:rFonts w:hint="eastAsia"/>
          <w:lang w:val="en-US" w:eastAsia="zh-CN"/>
        </w:rPr>
        <w:t>若文件要求</w:t>
      </w:r>
      <w:r>
        <w:rPr>
          <w:rFonts w:hint="eastAsia"/>
          <w:lang w:eastAsia="zh-CN"/>
        </w:rPr>
        <w:t>）</w:t>
      </w:r>
      <w:r>
        <w:rPr>
          <w:rFonts w:hint="eastAsia"/>
        </w:rPr>
        <w:t>；</w:t>
      </w:r>
    </w:p>
    <w:p>
      <w:pPr>
        <w:bidi w:val="0"/>
      </w:pPr>
      <w:r>
        <w:rPr>
          <w:rFonts w:hint="eastAsia"/>
        </w:rPr>
        <w:t>（4）销售人员有效身份证明复印件；</w:t>
      </w:r>
    </w:p>
    <w:p>
      <w:pPr>
        <w:bidi w:val="0"/>
      </w:pPr>
      <w:r>
        <w:rPr>
          <w:rFonts w:hint="eastAsia"/>
        </w:rPr>
        <w:t>（5）出厂质量检验报告等。</w:t>
      </w:r>
    </w:p>
    <w:p>
      <w:pPr>
        <w:bidi w:val="0"/>
        <w:rPr>
          <w:b/>
          <w:bCs/>
        </w:rPr>
      </w:pPr>
      <w:bookmarkStart w:id="228" w:name="_Toc18574"/>
      <w:bookmarkStart w:id="229" w:name="_Toc4935"/>
      <w:bookmarkStart w:id="230" w:name="_Toc6646"/>
      <w:r>
        <w:rPr>
          <w:b/>
          <w:bCs/>
        </w:rPr>
        <w:t>五、</w:t>
      </w:r>
      <w:r>
        <w:rPr>
          <w:rFonts w:hint="eastAsia"/>
          <w:b/>
          <w:bCs/>
        </w:rPr>
        <w:t>货物</w:t>
      </w:r>
      <w:r>
        <w:rPr>
          <w:b/>
          <w:bCs/>
        </w:rPr>
        <w:t>运输</w:t>
      </w:r>
      <w:bookmarkEnd w:id="228"/>
      <w:bookmarkEnd w:id="229"/>
      <w:bookmarkEnd w:id="230"/>
    </w:p>
    <w:p>
      <w:pPr>
        <w:bidi w:val="0"/>
      </w:pPr>
      <w:r>
        <w:t>1、乙方负责所有货物的运输。确保货物安全、完整到达使用地点，运杂费用包含在总价内，包括货物从供货地点到</w:t>
      </w:r>
      <w:r>
        <w:rPr>
          <w:rFonts w:hint="eastAsia"/>
        </w:rPr>
        <w:t>采购人指定</w:t>
      </w:r>
      <w:r>
        <w:t>地点的运输费、保险费、搬运费等</w:t>
      </w:r>
      <w:r>
        <w:rPr>
          <w:rFonts w:hint="eastAsia"/>
        </w:rPr>
        <w:t>相关费用</w:t>
      </w:r>
      <w:r>
        <w:t>。</w:t>
      </w:r>
    </w:p>
    <w:p>
      <w:pPr>
        <w:bidi w:val="0"/>
      </w:pPr>
      <w:r>
        <w:t>2、所</w:t>
      </w:r>
      <w:r>
        <w:rPr>
          <w:rFonts w:hint="eastAsia"/>
        </w:rPr>
        <w:t>供</w:t>
      </w:r>
      <w:r>
        <w:t>货物在运输、搬运、安装的过程中，造成甲方</w:t>
      </w:r>
      <w:r>
        <w:rPr>
          <w:rFonts w:hint="eastAsia"/>
        </w:rPr>
        <w:t>财产</w:t>
      </w:r>
      <w:r>
        <w:t>损失</w:t>
      </w:r>
      <w:r>
        <w:rPr>
          <w:rFonts w:hint="eastAsia"/>
        </w:rPr>
        <w:t>和人员受伤的</w:t>
      </w:r>
      <w:r>
        <w:t>的，由乙方为甲方修复</w:t>
      </w:r>
      <w:r>
        <w:rPr>
          <w:rFonts w:hint="eastAsia"/>
        </w:rPr>
        <w:t>、</w:t>
      </w:r>
      <w:r>
        <w:t>更新</w:t>
      </w:r>
      <w:r>
        <w:rPr>
          <w:rFonts w:hint="eastAsia"/>
        </w:rPr>
        <w:t>和治疗,所产生费用由乙方承担</w:t>
      </w:r>
      <w:r>
        <w:t>。</w:t>
      </w:r>
    </w:p>
    <w:p>
      <w:pPr>
        <w:bidi w:val="0"/>
        <w:rPr>
          <w:b/>
          <w:bCs/>
        </w:rPr>
      </w:pPr>
      <w:bookmarkStart w:id="231" w:name="_Toc17040"/>
      <w:bookmarkStart w:id="232" w:name="_Toc7001"/>
      <w:bookmarkStart w:id="233" w:name="_Toc269"/>
      <w:r>
        <w:rPr>
          <w:b/>
          <w:bCs/>
        </w:rPr>
        <w:t>六、质量保证</w:t>
      </w:r>
      <w:bookmarkEnd w:id="231"/>
      <w:bookmarkEnd w:id="232"/>
      <w:bookmarkEnd w:id="233"/>
    </w:p>
    <w:p>
      <w:pPr>
        <w:bidi w:val="0"/>
      </w:pPr>
      <w:r>
        <w:rPr>
          <w:rFonts w:hint="eastAsia"/>
        </w:rPr>
        <w:t>1、乙方提供产品必须是原品牌制造厂制造的最新工艺生产的最新产品。</w:t>
      </w:r>
    </w:p>
    <w:p>
      <w:pPr>
        <w:bidi w:val="0"/>
      </w:pPr>
      <w:r>
        <w:rPr>
          <w:rFonts w:hint="eastAsia"/>
        </w:rPr>
        <w:t>2、所供产品必须是经过办理正常手续的全新产品。</w:t>
      </w:r>
    </w:p>
    <w:p>
      <w:pPr>
        <w:bidi w:val="0"/>
      </w:pPr>
      <w:r>
        <w:rPr>
          <w:rFonts w:hint="eastAsia"/>
        </w:rPr>
        <w:t>3、所供产品是经过国家法定检验、注册、准许市场销售的合法、合格产品。</w:t>
      </w:r>
    </w:p>
    <w:p>
      <w:pPr>
        <w:bidi w:val="0"/>
      </w:pPr>
      <w:r>
        <w:rPr>
          <w:rFonts w:hint="eastAsia"/>
        </w:rPr>
        <w:t>4、产品性能稳定、具有较好的使用效果，质量保证措施完善，符合国家相关标准。</w:t>
      </w:r>
    </w:p>
    <w:p>
      <w:pPr>
        <w:bidi w:val="0"/>
      </w:pPr>
      <w:r>
        <w:rPr>
          <w:rFonts w:hint="eastAsia"/>
        </w:rPr>
        <w:t>5、使用中因乙方产品质量所引发的各种赔偿责任（如医疗纠纷）由厂家或供货商负责协调解决。</w:t>
      </w:r>
    </w:p>
    <w:p>
      <w:pPr>
        <w:bidi w:val="0"/>
      </w:pPr>
      <w:r>
        <w:rPr>
          <w:rFonts w:hint="eastAsia"/>
        </w:rPr>
        <w:t>6、对于存在质量问题或者短少的产品，供应商应在接到采购人的通知2个日历日内负责调换或补齐,因耗材质量问题造成的血液报废，由乙方按所报废血液制剂的价格进行赔偿。</w:t>
      </w:r>
    </w:p>
    <w:p>
      <w:pPr>
        <w:bidi w:val="0"/>
      </w:pPr>
      <w:r>
        <w:rPr>
          <w:rFonts w:hint="eastAsia"/>
        </w:rPr>
        <w:t>7、包装要求</w:t>
      </w:r>
    </w:p>
    <w:p>
      <w:pPr>
        <w:bidi w:val="0"/>
      </w:pPr>
      <w:r>
        <w:rPr>
          <w:rFonts w:hint="eastAsia"/>
        </w:rPr>
        <w:t>7-1、除合同另有规定外，乙方提供的全部产品，均应按标准保护措施进行包装，并确保产品安全无损运抵甲方指定地点。</w:t>
      </w:r>
    </w:p>
    <w:p>
      <w:pPr>
        <w:bidi w:val="0"/>
      </w:pPr>
      <w:r>
        <w:rPr>
          <w:rFonts w:hint="eastAsia"/>
        </w:rPr>
        <w:t>7-2、每一个包装箱内应附一份详细装箱单和质量合格证。</w:t>
      </w:r>
    </w:p>
    <w:p>
      <w:pPr>
        <w:bidi w:val="0"/>
      </w:pPr>
      <w:r>
        <w:rPr>
          <w:rFonts w:hint="eastAsia"/>
        </w:rPr>
        <w:t>8、乙方负责对</w:t>
      </w:r>
      <w:r>
        <w:rPr>
          <w:rFonts w:hint="eastAsia"/>
          <w:sz w:val="24"/>
          <w:szCs w:val="24"/>
          <w:lang w:val="en-US" w:eastAsia="zh-CN"/>
        </w:rPr>
        <w:t>保质期</w:t>
      </w:r>
      <w:r>
        <w:rPr>
          <w:rFonts w:hint="eastAsia"/>
        </w:rPr>
        <w:t>小于6个月的产品进行调换。</w:t>
      </w:r>
    </w:p>
    <w:p>
      <w:pPr>
        <w:bidi w:val="0"/>
        <w:rPr>
          <w:b/>
          <w:bCs/>
        </w:rPr>
      </w:pPr>
      <w:bookmarkStart w:id="234" w:name="_Toc30784"/>
      <w:bookmarkStart w:id="235" w:name="_Toc32516"/>
      <w:bookmarkStart w:id="236" w:name="_Toc10934"/>
      <w:r>
        <w:rPr>
          <w:rFonts w:hint="eastAsia"/>
          <w:b/>
          <w:bCs/>
        </w:rPr>
        <w:t>七、货物</w:t>
      </w:r>
      <w:r>
        <w:rPr>
          <w:b/>
          <w:bCs/>
        </w:rPr>
        <w:t>验收</w:t>
      </w:r>
      <w:bookmarkEnd w:id="234"/>
      <w:bookmarkEnd w:id="235"/>
      <w:bookmarkEnd w:id="236"/>
    </w:p>
    <w:p>
      <w:pPr>
        <w:bidi w:val="0"/>
      </w:pPr>
      <w:r>
        <w:rPr>
          <w:rFonts w:hint="eastAsia"/>
        </w:rPr>
        <w:t>由采购人和供应商共同对项目整体进行验收，应当在15个日历日内完成。其内容包括确认产品的产地、规格、型号、数量、包装等，对其产品技术指标、性能参数是否达到现行国家有关验收规范</w:t>
      </w:r>
      <w:r>
        <w:t>“</w:t>
      </w:r>
      <w:r>
        <w:rPr>
          <w:rFonts w:hint="eastAsia"/>
        </w:rPr>
        <w:t>合格</w:t>
      </w:r>
      <w:r>
        <w:t>”</w:t>
      </w:r>
      <w:r>
        <w:rPr>
          <w:rFonts w:hint="eastAsia"/>
        </w:rPr>
        <w:t>标准进行逐项检查。</w:t>
      </w:r>
    </w:p>
    <w:p>
      <w:pPr>
        <w:bidi w:val="0"/>
      </w:pPr>
      <w:r>
        <w:rPr>
          <w:rFonts w:hint="eastAsia"/>
        </w:rPr>
        <w:t>1.所验产品的指标、性能参数通过验收达不到招标文件要求和投标响应文件承诺的，或在使用中发现采购人不能容忍的缺陷等，将视为产品验收不合格，供应商应无条件免费更换或退货。</w:t>
      </w:r>
    </w:p>
    <w:p>
      <w:pPr>
        <w:bidi w:val="0"/>
      </w:pPr>
      <w:r>
        <w:rPr>
          <w:rFonts w:hint="eastAsia"/>
        </w:rPr>
        <w:t>2.若发现供应商有弄虚作假的，在招标阶段故意或随意夸大产品技术性能，供应商应无条件退货，并赔偿采购人相应的损失。</w:t>
      </w:r>
    </w:p>
    <w:p>
      <w:pPr>
        <w:bidi w:val="0"/>
      </w:pPr>
      <w:r>
        <w:rPr>
          <w:rFonts w:hint="eastAsia"/>
        </w:rPr>
        <w:t>3.验收标准：按招标文件、招标响应文件及澄清函等技术指标进行验收。各项指标均应符合验收标准及要求。</w:t>
      </w:r>
    </w:p>
    <w:p>
      <w:pPr>
        <w:bidi w:val="0"/>
      </w:pPr>
      <w:r>
        <w:rPr>
          <w:rFonts w:hint="eastAsia"/>
        </w:rPr>
        <w:t>4.验收合格后，填写验收单，双方签字生效。</w:t>
      </w:r>
    </w:p>
    <w:p>
      <w:pPr>
        <w:bidi w:val="0"/>
      </w:pPr>
      <w:r>
        <w:rPr>
          <w:rFonts w:hint="eastAsia"/>
        </w:rPr>
        <w:t>5.验收依据：合同文本；投标文件及澄清函、招标文件；国家和行业制定的相应的标准和规范；产品验收清单（注明品名、数量、规格型号和原产地或生产厂家）。</w:t>
      </w:r>
    </w:p>
    <w:p>
      <w:pPr>
        <w:bidi w:val="0"/>
        <w:rPr>
          <w:b/>
          <w:bCs/>
        </w:rPr>
      </w:pPr>
      <w:bookmarkStart w:id="237" w:name="_Toc26821"/>
      <w:bookmarkStart w:id="238" w:name="_Toc24941"/>
      <w:bookmarkStart w:id="239" w:name="_Toc1660"/>
      <w:r>
        <w:rPr>
          <w:b/>
          <w:bCs/>
        </w:rPr>
        <w:t>八、</w:t>
      </w:r>
      <w:r>
        <w:rPr>
          <w:rFonts w:hint="eastAsia"/>
          <w:b/>
          <w:bCs/>
        </w:rPr>
        <w:t>权利和义务</w:t>
      </w:r>
      <w:bookmarkEnd w:id="237"/>
      <w:bookmarkEnd w:id="238"/>
      <w:bookmarkEnd w:id="239"/>
    </w:p>
    <w:p>
      <w:pPr>
        <w:bidi w:val="0"/>
      </w:pPr>
      <w:r>
        <w:rPr>
          <w:rFonts w:hint="eastAsia"/>
        </w:rPr>
        <w:t>1</w:t>
      </w:r>
      <w:r>
        <w:t>、</w:t>
      </w:r>
      <w:r>
        <w:rPr>
          <w:rFonts w:hint="eastAsia"/>
        </w:rPr>
        <w:t>乙方应全力支持甲方组织无偿献血活动，并积极配合参与无偿献血事业的宣传、献血和志愿者活动。</w:t>
      </w:r>
    </w:p>
    <w:p>
      <w:pPr>
        <w:bidi w:val="0"/>
      </w:pPr>
      <w:r>
        <w:rPr>
          <w:rFonts w:hint="eastAsia"/>
        </w:rPr>
        <w:t>2、</w:t>
      </w:r>
      <w:r>
        <w:t>乙方应保证甲方在使用该</w:t>
      </w:r>
      <w:r>
        <w:rPr>
          <w:rFonts w:hint="eastAsia"/>
        </w:rPr>
        <w:t>产品</w:t>
      </w:r>
      <w:r>
        <w:t>或其任何一部分时免受第三方提出侵犯其专利权</w:t>
      </w:r>
      <w:r>
        <w:rPr>
          <w:rFonts w:hint="eastAsia"/>
        </w:rPr>
        <w:t>、</w:t>
      </w:r>
      <w:r>
        <w:t>商标权或工业设计权的起诉。</w:t>
      </w:r>
    </w:p>
    <w:p>
      <w:pPr>
        <w:bidi w:val="0"/>
      </w:pPr>
      <w:r>
        <w:rPr>
          <w:rFonts w:hint="eastAsia"/>
        </w:rPr>
        <w:t>3、产品质量不符合合同规定时，乙方负责包退包换。由于上述原因导致延误交货时间的，每延误一日，乙方应按逾期交货部分产品价款总值的5‰向甲方偿付违约金。</w:t>
      </w:r>
    </w:p>
    <w:p>
      <w:pPr>
        <w:bidi w:val="0"/>
      </w:pPr>
      <w:r>
        <w:rPr>
          <w:rFonts w:hint="eastAsia"/>
        </w:rPr>
        <w:t>4.除不可抗力因素外，如果乙方不能按照合同规定的时间交货，应及时以书面形式将延迟的事实、可能延迟的时间和原因通知甲方。甲方收到乙方通知后，将尽快作出评价，决定是否同意延长交货期及收取误期赔偿费。甲方在不影响合同项下的其它补救措施情况下，可从合同未付款中扣除误期违约金。违约金按合同条款的规定计算，如按上述办法计算的违约金仍不足以补偿因乙方违约造成的损失，甲方有权进一步向乙方提出索赔。</w:t>
      </w:r>
    </w:p>
    <w:p>
      <w:pPr>
        <w:bidi w:val="0"/>
      </w:pPr>
      <w:r>
        <w:rPr>
          <w:rFonts w:hint="eastAsia"/>
        </w:rPr>
        <w:t>5</w:t>
      </w:r>
      <w:r>
        <w:t>、在履行合同过程中，如果乙方遇到可能妨碍按时交货和提供服务的情况，应及时以书面形式将拖延的事实，可能拖延的期限和理由通知甲方。甲方在收到乙方通知后，应尽快对情况进行评价，酌情延长交货时间或对乙方加收误期赔偿金。每延误一周的赔偿费按迟交货物交货价或未提供服务的服务费用的百分之</w:t>
      </w:r>
      <w:r>
        <w:rPr>
          <w:rFonts w:hint="eastAsia"/>
        </w:rPr>
        <w:t>一</w:t>
      </w:r>
      <w:r>
        <w:t>（</w:t>
      </w:r>
      <w:r>
        <w:rPr>
          <w:rFonts w:hint="eastAsia"/>
        </w:rPr>
        <w:t>1</w:t>
      </w:r>
      <w:r>
        <w:t>%）计收，直至交货或提供服务为止。误期赔偿费的最高限额为合同价格的百分之五（5%）。一旦达到误期赔偿费的最高限额</w:t>
      </w:r>
      <w:r>
        <w:rPr>
          <w:rFonts w:hint="eastAsia"/>
        </w:rPr>
        <w:t>或发生</w:t>
      </w:r>
      <w:r>
        <w:t>误期</w:t>
      </w:r>
      <w:r>
        <w:rPr>
          <w:rFonts w:hint="eastAsia"/>
        </w:rPr>
        <w:t>供货≧3次</w:t>
      </w:r>
      <w:r>
        <w:t>，甲方可终止合同。</w:t>
      </w:r>
    </w:p>
    <w:p>
      <w:pPr>
        <w:bidi w:val="0"/>
      </w:pPr>
      <w:r>
        <w:rPr>
          <w:rFonts w:hint="eastAsia"/>
        </w:rPr>
        <w:t>6、如乙方未能按照招标参数要求提供甲方所需货物，且七个日历日内无法整改，甲方可终止合同。</w:t>
      </w:r>
    </w:p>
    <w:p>
      <w:pPr>
        <w:bidi w:val="0"/>
      </w:pPr>
      <w:r>
        <w:rPr>
          <w:rFonts w:hint="eastAsia"/>
        </w:rPr>
        <w:t>7、如遇不可抗</w:t>
      </w:r>
      <w:r>
        <w:rPr>
          <w:rFonts w:hint="eastAsia"/>
          <w:color w:val="auto"/>
          <w:lang w:eastAsia="zh-CN"/>
        </w:rPr>
        <w:t>力</w:t>
      </w:r>
      <w:r>
        <w:rPr>
          <w:rFonts w:hint="eastAsia"/>
        </w:rPr>
        <w:t>因素，甲方可终止合同。</w:t>
      </w:r>
    </w:p>
    <w:p>
      <w:pPr>
        <w:bidi w:val="0"/>
        <w:rPr>
          <w:b/>
          <w:bCs/>
        </w:rPr>
      </w:pPr>
      <w:bookmarkStart w:id="240" w:name="_Toc11337"/>
      <w:bookmarkStart w:id="241" w:name="_Toc18500"/>
      <w:bookmarkStart w:id="242" w:name="_Toc20176"/>
      <w:r>
        <w:rPr>
          <w:rFonts w:hint="eastAsia"/>
          <w:b/>
          <w:bCs/>
        </w:rPr>
        <w:t>九、技术及售后服务(据实填写,可以补充增加)</w:t>
      </w:r>
      <w:bookmarkEnd w:id="240"/>
      <w:bookmarkEnd w:id="241"/>
      <w:bookmarkEnd w:id="242"/>
    </w:p>
    <w:p>
      <w:pPr>
        <w:spacing w:line="360" w:lineRule="exact"/>
        <w:rPr>
          <w:rFonts w:hint="eastAsia" w:ascii="宋体" w:hAnsi="宋体" w:eastAsia="宋体" w:cs="宋体"/>
          <w:color w:val="auto"/>
          <w:sz w:val="24"/>
          <w:szCs w:val="28"/>
        </w:rPr>
      </w:pPr>
      <w:bookmarkStart w:id="243" w:name="_Toc29953"/>
      <w:bookmarkStart w:id="244" w:name="_Toc7221"/>
      <w:bookmarkStart w:id="245" w:name="_Toc27536"/>
      <w:r>
        <w:rPr>
          <w:rFonts w:hint="eastAsia" w:ascii="宋体" w:hAnsi="宋体" w:eastAsia="宋体" w:cs="宋体"/>
          <w:color w:val="auto"/>
          <w:sz w:val="24"/>
          <w:szCs w:val="28"/>
        </w:rPr>
        <w:t>1、技术服务承诺：乙方免费提供必要的技术支持，包括现场指导、集中授课、专项操作等。</w:t>
      </w:r>
    </w:p>
    <w:p>
      <w:pPr>
        <w:spacing w:line="380" w:lineRule="exact"/>
        <w:rPr>
          <w:rFonts w:hint="eastAsia" w:ascii="宋体" w:hAnsi="宋体" w:eastAsia="宋体" w:cs="宋体"/>
          <w:color w:val="auto"/>
          <w:sz w:val="24"/>
          <w:szCs w:val="24"/>
        </w:rPr>
      </w:pPr>
      <w:r>
        <w:rPr>
          <w:rFonts w:hint="eastAsia" w:ascii="宋体" w:hAnsi="宋体" w:eastAsia="宋体" w:cs="宋体"/>
          <w:color w:val="auto"/>
          <w:sz w:val="24"/>
          <w:szCs w:val="24"/>
        </w:rPr>
        <w:t>2.提供与其耗材相配套的血细胞分离机与采血椅供甲方使用</w:t>
      </w:r>
    </w:p>
    <w:p>
      <w:pPr>
        <w:spacing w:line="380" w:lineRule="exact"/>
        <w:rPr>
          <w:rFonts w:hint="eastAsia" w:ascii="宋体" w:hAnsi="宋体" w:eastAsia="宋体" w:cs="宋体"/>
          <w:color w:val="auto"/>
          <w:sz w:val="24"/>
          <w:szCs w:val="24"/>
        </w:rPr>
      </w:pPr>
      <w:r>
        <w:rPr>
          <w:rFonts w:hint="eastAsia" w:ascii="宋体" w:hAnsi="宋体" w:eastAsia="宋体" w:cs="宋体"/>
          <w:color w:val="auto"/>
          <w:sz w:val="24"/>
          <w:szCs w:val="24"/>
        </w:rPr>
        <w:t>3.仪器的保养、维护由厂家提供。</w:t>
      </w:r>
    </w:p>
    <w:p>
      <w:pPr>
        <w:bidi w:val="0"/>
        <w:rPr>
          <w:rFonts w:hint="eastAsia" w:ascii="宋体" w:hAnsi="宋体" w:eastAsia="宋体" w:cs="宋体"/>
          <w:color w:val="auto"/>
          <w:sz w:val="24"/>
          <w:szCs w:val="28"/>
        </w:rPr>
      </w:pPr>
      <w:r>
        <w:rPr>
          <w:rFonts w:hint="eastAsia" w:ascii="宋体" w:hAnsi="宋体" w:eastAsia="宋体" w:cs="宋体"/>
          <w:color w:val="auto"/>
          <w:sz w:val="24"/>
          <w:szCs w:val="28"/>
        </w:rPr>
        <w:t>4、售后服务承诺：甲方发现产品有质量或可能影响质量问题时，乙方接到通知后4小时内到达现场或通过视频对话解决问题。因产品质量问题造成的耗材报废、血液报废和献血者血液的丢失，乙方应给甲方1-3倍的赔偿，赔偿应在发生之日起2个月内完成赔偿。</w:t>
      </w:r>
    </w:p>
    <w:p>
      <w:pPr>
        <w:bidi w:val="0"/>
        <w:rPr>
          <w:b/>
          <w:bCs/>
        </w:rPr>
      </w:pPr>
      <w:r>
        <w:rPr>
          <w:b/>
          <w:bCs/>
        </w:rPr>
        <w:t>十、违约责任</w:t>
      </w:r>
      <w:bookmarkEnd w:id="243"/>
      <w:bookmarkEnd w:id="244"/>
      <w:bookmarkEnd w:id="245"/>
    </w:p>
    <w:p>
      <w:pPr>
        <w:bidi w:val="0"/>
      </w:pPr>
      <w:r>
        <w:rPr>
          <w:rFonts w:hint="eastAsia"/>
        </w:rPr>
        <w:t>1、</w:t>
      </w:r>
      <w:r>
        <w:t>按《</w:t>
      </w:r>
      <w:r>
        <w:rPr>
          <w:rFonts w:hint="eastAsia"/>
          <w:lang w:eastAsia="zh-CN"/>
        </w:rPr>
        <w:t>民法典</w:t>
      </w:r>
      <w:r>
        <w:t>》中的相关条款执行。</w:t>
      </w:r>
    </w:p>
    <w:p>
      <w:pPr>
        <w:bidi w:val="0"/>
      </w:pPr>
      <w:r>
        <w:t>2、如乙方事先未征得甲方同意并得到甲方的谅解而单方面延迟交货，将按违约终止合同。</w:t>
      </w:r>
    </w:p>
    <w:p>
      <w:pPr>
        <w:bidi w:val="0"/>
      </w:pPr>
      <w:r>
        <w:t>3、违约终止合同：未按合同要求提供货物或质量不能满足技术要求，甲方会同监督机构有权终止合同，对乙方违约行为进行追究，同时按政府采购法的有关规定进行相应的处罚。</w:t>
      </w:r>
    </w:p>
    <w:p>
      <w:pPr>
        <w:bidi w:val="0"/>
        <w:rPr>
          <w:b/>
          <w:bCs/>
        </w:rPr>
      </w:pPr>
      <w:bookmarkStart w:id="246" w:name="_Toc28664"/>
      <w:bookmarkStart w:id="247" w:name="_Toc20465"/>
      <w:bookmarkStart w:id="248" w:name="_Toc29396"/>
      <w:r>
        <w:rPr>
          <w:b/>
          <w:bCs/>
        </w:rPr>
        <w:t>十一、</w:t>
      </w:r>
      <w:r>
        <w:rPr>
          <w:rFonts w:hint="eastAsia"/>
          <w:b/>
          <w:bCs/>
        </w:rPr>
        <w:t>争议的解决</w:t>
      </w:r>
      <w:bookmarkEnd w:id="246"/>
      <w:bookmarkEnd w:id="247"/>
      <w:bookmarkEnd w:id="248"/>
    </w:p>
    <w:p>
      <w:pPr>
        <w:bidi w:val="0"/>
      </w:pPr>
      <w:r>
        <w:rPr>
          <w:rFonts w:hint="eastAsia"/>
        </w:rPr>
        <w:t>本合同在履行过程中发生的争议，由甲、乙双方当事人协商解决，协商不成的按下列方式解决：</w:t>
      </w:r>
    </w:p>
    <w:p>
      <w:pPr>
        <w:bidi w:val="0"/>
      </w:pPr>
      <w:r>
        <w:rPr>
          <w:rFonts w:hint="eastAsia"/>
        </w:rPr>
        <w:t>（一）提交西安市仲裁委员会仲裁；</w:t>
      </w:r>
    </w:p>
    <w:p>
      <w:pPr>
        <w:bidi w:val="0"/>
      </w:pPr>
      <w:r>
        <w:rPr>
          <w:rFonts w:hint="eastAsia"/>
        </w:rPr>
        <w:t>（二）依法向西安市雁塔区人民法院起诉。</w:t>
      </w:r>
    </w:p>
    <w:p>
      <w:pPr>
        <w:bidi w:val="0"/>
        <w:rPr>
          <w:b/>
          <w:bCs/>
        </w:rPr>
      </w:pPr>
      <w:bookmarkStart w:id="249" w:name="_Toc20807"/>
      <w:bookmarkStart w:id="250" w:name="_Toc13781"/>
      <w:bookmarkStart w:id="251" w:name="_Toc24435"/>
      <w:r>
        <w:rPr>
          <w:rFonts w:hint="eastAsia"/>
          <w:b/>
          <w:bCs/>
        </w:rPr>
        <w:t>十二、</w:t>
      </w:r>
      <w:r>
        <w:rPr>
          <w:b/>
          <w:bCs/>
        </w:rPr>
        <w:t>合同生效</w:t>
      </w:r>
      <w:bookmarkEnd w:id="249"/>
      <w:bookmarkEnd w:id="250"/>
      <w:bookmarkEnd w:id="251"/>
    </w:p>
    <w:p>
      <w:pPr>
        <w:bidi w:val="0"/>
      </w:pPr>
      <w:r>
        <w:rPr>
          <w:rFonts w:hint="eastAsia"/>
        </w:rPr>
        <w:t>本合同一式捌份，甲方执肆份，乙方执壹份，财政局备案贰份，代理机构壹份。本合同经各方盖章后生效，执行期壹年，自202</w:t>
      </w:r>
      <w:r>
        <w:rPr>
          <w:rFonts w:hint="eastAsia"/>
          <w:lang w:val="en-US" w:eastAsia="zh-CN"/>
        </w:rPr>
        <w:t>2</w:t>
      </w:r>
      <w:r>
        <w:rPr>
          <w:rFonts w:hint="eastAsia"/>
        </w:rPr>
        <w:t>年</w:t>
      </w:r>
      <w:r>
        <w:rPr>
          <w:rFonts w:hint="eastAsia"/>
          <w:lang w:val="en-US" w:eastAsia="zh-CN"/>
        </w:rPr>
        <w:t xml:space="preserve"> </w:t>
      </w:r>
      <w:r>
        <w:rPr>
          <w:rFonts w:hint="eastAsia"/>
        </w:rPr>
        <w:t>月起至202</w:t>
      </w:r>
      <w:r>
        <w:rPr>
          <w:rFonts w:hint="eastAsia"/>
          <w:lang w:val="en-US" w:eastAsia="zh-CN"/>
        </w:rPr>
        <w:t>3</w:t>
      </w:r>
      <w:r>
        <w:rPr>
          <w:rFonts w:hint="eastAsia"/>
        </w:rPr>
        <w:t>年</w:t>
      </w:r>
      <w:r>
        <w:rPr>
          <w:rFonts w:hint="eastAsia"/>
          <w:lang w:val="en-US" w:eastAsia="zh-CN"/>
        </w:rPr>
        <w:t xml:space="preserve"> </w:t>
      </w:r>
      <w:r>
        <w:rPr>
          <w:rFonts w:hint="eastAsia"/>
        </w:rPr>
        <w:t>月。若执行期内，本合同总价款全部支付完成时或本合同标的物经政府采购流程再次成交并签订合同时，则该合同自动终止。</w:t>
      </w:r>
    </w:p>
    <w:p>
      <w:pPr>
        <w:bidi w:val="0"/>
        <w:rPr>
          <w:b/>
          <w:bCs/>
        </w:rPr>
      </w:pPr>
      <w:bookmarkStart w:id="252" w:name="_Toc516"/>
      <w:bookmarkStart w:id="253" w:name="_Toc17579"/>
      <w:bookmarkStart w:id="254" w:name="_Toc20053"/>
      <w:r>
        <w:rPr>
          <w:rFonts w:hint="eastAsia"/>
          <w:b/>
          <w:bCs/>
        </w:rPr>
        <w:t>十三、其他事项</w:t>
      </w:r>
      <w:bookmarkEnd w:id="252"/>
      <w:bookmarkEnd w:id="253"/>
      <w:bookmarkEnd w:id="254"/>
    </w:p>
    <w:p>
      <w:pPr>
        <w:bidi w:val="0"/>
      </w:pPr>
      <w:r>
        <w:rPr>
          <w:rFonts w:hint="eastAsia"/>
        </w:rPr>
        <w:t>（一）合同未尽事宜，由甲、乙双方协商确认后，作为合同补充，与原合同具有同等法律效力。</w:t>
      </w:r>
    </w:p>
    <w:p>
      <w:pPr>
        <w:bidi w:val="0"/>
      </w:pPr>
      <w:r>
        <w:rPr>
          <w:rFonts w:hint="eastAsia"/>
        </w:rPr>
        <w:t>（二）合同一经签订，不得擅自变更、中止或终止合同。对确需变更、调整或中止、终止合同的，应按规定履行相应的手续。</w:t>
      </w:r>
    </w:p>
    <w:p>
      <w:pPr>
        <w:bidi w:val="0"/>
      </w:pPr>
      <w:r>
        <w:rPr>
          <w:rFonts w:hint="eastAsia"/>
        </w:rPr>
        <w:t>（三）本合同按照中华人民共和国的现行法律进行解释。</w:t>
      </w:r>
    </w:p>
    <w:tbl>
      <w:tblPr>
        <w:tblStyle w:val="31"/>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6"/>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566" w:type="dxa"/>
            <w:vAlign w:val="center"/>
          </w:tcPr>
          <w:p>
            <w:pPr>
              <w:bidi w:val="0"/>
            </w:pPr>
            <w:r>
              <w:rPr>
                <w:rFonts w:hint="eastAsia"/>
              </w:rPr>
              <w:t>甲</w:t>
            </w:r>
            <w:r>
              <w:t xml:space="preserve">  </w:t>
            </w:r>
            <w:r>
              <w:rPr>
                <w:rFonts w:hint="eastAsia"/>
              </w:rPr>
              <w:t>方（法人公章）</w:t>
            </w:r>
          </w:p>
        </w:tc>
        <w:tc>
          <w:tcPr>
            <w:tcW w:w="4274" w:type="dxa"/>
            <w:vAlign w:val="center"/>
          </w:tcPr>
          <w:p>
            <w:pPr>
              <w:bidi w:val="0"/>
            </w:pPr>
            <w:r>
              <w:rPr>
                <w:rFonts w:hint="eastAsia"/>
              </w:rPr>
              <w:t>乙</w:t>
            </w:r>
            <w:r>
              <w:t xml:space="preserve">  </w:t>
            </w:r>
            <w:r>
              <w:rPr>
                <w:rFonts w:hint="eastAsia"/>
              </w:rPr>
              <w:t>方（法人公章）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566" w:type="dxa"/>
            <w:vAlign w:val="center"/>
          </w:tcPr>
          <w:p>
            <w:pPr>
              <w:bidi w:val="0"/>
            </w:pPr>
            <w:r>
              <w:rPr>
                <w:rFonts w:hint="eastAsia"/>
              </w:rPr>
              <w:t>单位名称：西安市中心血站</w:t>
            </w:r>
          </w:p>
        </w:tc>
        <w:tc>
          <w:tcPr>
            <w:tcW w:w="4274" w:type="dxa"/>
            <w:vAlign w:val="center"/>
          </w:tcPr>
          <w:p>
            <w:pPr>
              <w:bidi w:val="0"/>
            </w:pPr>
            <w:r>
              <w:rPr>
                <w:rFonts w:hint="eastAsia"/>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566" w:type="dxa"/>
            <w:vAlign w:val="center"/>
          </w:tcPr>
          <w:p>
            <w:pPr>
              <w:bidi w:val="0"/>
            </w:pPr>
            <w:r>
              <w:rPr>
                <w:rFonts w:hint="eastAsia"/>
              </w:rPr>
              <w:t>地</w:t>
            </w:r>
            <w:r>
              <w:t xml:space="preserve">  </w:t>
            </w:r>
            <w:r>
              <w:rPr>
                <w:rFonts w:hint="eastAsia"/>
              </w:rPr>
              <w:t>址：西安市朱雀大街</w:t>
            </w:r>
            <w:r>
              <w:t>407</w:t>
            </w:r>
            <w:r>
              <w:rPr>
                <w:rFonts w:hint="eastAsia"/>
              </w:rPr>
              <w:t>号</w:t>
            </w:r>
          </w:p>
        </w:tc>
        <w:tc>
          <w:tcPr>
            <w:tcW w:w="4274" w:type="dxa"/>
            <w:vAlign w:val="center"/>
          </w:tcPr>
          <w:p>
            <w:pPr>
              <w:bidi w:val="0"/>
            </w:pPr>
            <w:r>
              <w:rPr>
                <w:rFonts w:hint="eastAsia"/>
              </w:rPr>
              <w:t>地</w:t>
            </w:r>
            <w:r>
              <w:t xml:space="preserve">  </w:t>
            </w:r>
            <w:r>
              <w:rPr>
                <w:rFonts w:hint="eastAsia"/>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566" w:type="dxa"/>
            <w:vAlign w:val="center"/>
          </w:tcPr>
          <w:p>
            <w:pPr>
              <w:bidi w:val="0"/>
            </w:pPr>
            <w:r>
              <w:rPr>
                <w:rFonts w:hint="eastAsia"/>
              </w:rPr>
              <w:t>法定代表人：（签字）</w:t>
            </w:r>
          </w:p>
        </w:tc>
        <w:tc>
          <w:tcPr>
            <w:tcW w:w="4274" w:type="dxa"/>
            <w:vAlign w:val="center"/>
          </w:tcPr>
          <w:p>
            <w:pPr>
              <w:bidi w:val="0"/>
            </w:pPr>
            <w:r>
              <w:rPr>
                <w:rFonts w:hint="eastAsia"/>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566" w:type="dxa"/>
            <w:vAlign w:val="center"/>
          </w:tcPr>
          <w:p>
            <w:pPr>
              <w:bidi w:val="0"/>
            </w:pPr>
            <w:r>
              <w:rPr>
                <w:rFonts w:hint="eastAsia"/>
              </w:rPr>
              <w:t>代理人：（签字）</w:t>
            </w:r>
          </w:p>
        </w:tc>
        <w:tc>
          <w:tcPr>
            <w:tcW w:w="4274" w:type="dxa"/>
            <w:vAlign w:val="center"/>
          </w:tcPr>
          <w:p>
            <w:pPr>
              <w:bidi w:val="0"/>
            </w:pPr>
            <w:r>
              <w:rPr>
                <w:rFonts w:hint="eastAsia"/>
              </w:rPr>
              <w:t>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566" w:type="dxa"/>
            <w:vAlign w:val="center"/>
          </w:tcPr>
          <w:p>
            <w:pPr>
              <w:bidi w:val="0"/>
            </w:pPr>
            <w:r>
              <w:rPr>
                <w:rFonts w:hint="eastAsia"/>
              </w:rPr>
              <w:t>联系电话：</w:t>
            </w:r>
          </w:p>
        </w:tc>
        <w:tc>
          <w:tcPr>
            <w:tcW w:w="4274" w:type="dxa"/>
            <w:vAlign w:val="center"/>
          </w:tcPr>
          <w:p>
            <w:pPr>
              <w:bidi w:val="0"/>
            </w:pPr>
            <w:r>
              <w:rPr>
                <w:rFonts w:hint="eastAsia"/>
              </w:rPr>
              <w:t>开户银行：</w:t>
            </w:r>
          </w:p>
          <w:p>
            <w:pPr>
              <w:bidi w:val="0"/>
            </w:pPr>
            <w:r>
              <w:rPr>
                <w:rFonts w:hint="eastAsia"/>
              </w:rPr>
              <w:t>帐</w:t>
            </w:r>
            <w:r>
              <w:t xml:space="preserve">  </w:t>
            </w:r>
            <w:r>
              <w:rPr>
                <w:rFonts w:hint="eastAsia"/>
              </w:rPr>
              <w:t>号：</w:t>
            </w:r>
          </w:p>
          <w:p>
            <w:pPr>
              <w:bidi w:val="0"/>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566" w:type="dxa"/>
            <w:vAlign w:val="center"/>
          </w:tcPr>
          <w:p>
            <w:pPr>
              <w:bidi w:val="0"/>
            </w:pPr>
            <w:r>
              <w:rPr>
                <w:rFonts w:hint="eastAsia"/>
              </w:rPr>
              <w:t>签订日期：</w:t>
            </w:r>
            <w:r>
              <w:t>20</w:t>
            </w:r>
            <w:r>
              <w:rPr>
                <w:rFonts w:hint="eastAsia"/>
                <w:lang w:val="en-US" w:eastAsia="zh-CN"/>
              </w:rPr>
              <w:t>22</w:t>
            </w:r>
            <w:r>
              <w:rPr>
                <w:rFonts w:hint="eastAsia"/>
              </w:rPr>
              <w:t>年</w:t>
            </w:r>
            <w:r>
              <w:t xml:space="preserve">  </w:t>
            </w:r>
            <w:r>
              <w:rPr>
                <w:rFonts w:hint="eastAsia"/>
              </w:rPr>
              <w:t>月</w:t>
            </w:r>
            <w:r>
              <w:t xml:space="preserve">    </w:t>
            </w:r>
            <w:r>
              <w:rPr>
                <w:rFonts w:hint="eastAsia"/>
              </w:rPr>
              <w:t>日</w:t>
            </w:r>
          </w:p>
        </w:tc>
        <w:tc>
          <w:tcPr>
            <w:tcW w:w="4274" w:type="dxa"/>
            <w:vAlign w:val="center"/>
          </w:tcPr>
          <w:p>
            <w:pPr>
              <w:bidi w:val="0"/>
            </w:pPr>
            <w:r>
              <w:t xml:space="preserve"> </w:t>
            </w:r>
            <w:r>
              <w:rPr>
                <w:rFonts w:hint="eastAsia"/>
              </w:rPr>
              <w:t>签订日期：</w:t>
            </w:r>
            <w:r>
              <w:t>20</w:t>
            </w:r>
            <w:r>
              <w:rPr>
                <w:rFonts w:hint="eastAsia"/>
                <w:lang w:val="en-US" w:eastAsia="zh-CN"/>
              </w:rPr>
              <w:t>22</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566" w:type="dxa"/>
            <w:vAlign w:val="center"/>
          </w:tcPr>
          <w:p>
            <w:pPr>
              <w:bidi w:val="0"/>
            </w:pPr>
            <w:r>
              <w:rPr>
                <w:rFonts w:hint="eastAsia"/>
              </w:rPr>
              <w:t>鉴证方（业务专用章）</w:t>
            </w:r>
          </w:p>
        </w:tc>
        <w:tc>
          <w:tcPr>
            <w:tcW w:w="4274" w:type="dxa"/>
            <w:vAlign w:val="center"/>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566" w:type="dxa"/>
            <w:vAlign w:val="center"/>
          </w:tcPr>
          <w:p>
            <w:pPr>
              <w:bidi w:val="0"/>
            </w:pPr>
            <w:r>
              <w:rPr>
                <w:rFonts w:hint="eastAsia"/>
              </w:rPr>
              <w:t>单位名称：陕西万泽招标有限公司</w:t>
            </w:r>
          </w:p>
        </w:tc>
        <w:tc>
          <w:tcPr>
            <w:tcW w:w="4274" w:type="dxa"/>
            <w:vAlign w:val="center"/>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566" w:type="dxa"/>
            <w:vAlign w:val="center"/>
          </w:tcPr>
          <w:p>
            <w:pPr>
              <w:bidi w:val="0"/>
            </w:pPr>
            <w:r>
              <w:rPr>
                <w:rFonts w:hint="eastAsia"/>
              </w:rPr>
              <w:t>地</w:t>
            </w:r>
            <w:r>
              <w:t xml:space="preserve">  </w:t>
            </w:r>
            <w:r>
              <w:rPr>
                <w:rFonts w:hint="eastAsia"/>
              </w:rPr>
              <w:t>址：西安市西关正街英达大厦</w:t>
            </w:r>
            <w:r>
              <w:rPr>
                <w:rFonts w:hint="eastAsia"/>
                <w:lang w:val="en-US" w:eastAsia="zh-CN"/>
              </w:rPr>
              <w:t>1507</w:t>
            </w:r>
            <w:r>
              <w:rPr>
                <w:rFonts w:hint="eastAsia"/>
              </w:rPr>
              <w:t>室</w:t>
            </w:r>
          </w:p>
        </w:tc>
        <w:tc>
          <w:tcPr>
            <w:tcW w:w="4274" w:type="dxa"/>
            <w:vAlign w:val="center"/>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566" w:type="dxa"/>
            <w:vAlign w:val="center"/>
          </w:tcPr>
          <w:p>
            <w:pPr>
              <w:bidi w:val="0"/>
            </w:pPr>
            <w:r>
              <w:rPr>
                <w:rFonts w:hint="eastAsia"/>
              </w:rPr>
              <w:t>法定代表人：（签字）</w:t>
            </w:r>
          </w:p>
        </w:tc>
        <w:tc>
          <w:tcPr>
            <w:tcW w:w="4274" w:type="dxa"/>
            <w:vAlign w:val="center"/>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566" w:type="dxa"/>
            <w:vAlign w:val="center"/>
          </w:tcPr>
          <w:p>
            <w:pPr>
              <w:bidi w:val="0"/>
            </w:pPr>
            <w:r>
              <w:rPr>
                <w:rFonts w:hint="eastAsia"/>
              </w:rPr>
              <w:t>代理人：（签字）</w:t>
            </w:r>
          </w:p>
        </w:tc>
        <w:tc>
          <w:tcPr>
            <w:tcW w:w="4274" w:type="dxa"/>
            <w:vAlign w:val="center"/>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566" w:type="dxa"/>
            <w:vAlign w:val="center"/>
          </w:tcPr>
          <w:p>
            <w:pPr>
              <w:bidi w:val="0"/>
              <w:rPr>
                <w:rFonts w:hint="default"/>
                <w:lang w:val="en-US" w:eastAsia="zh-CN"/>
              </w:rPr>
            </w:pPr>
            <w:r>
              <w:rPr>
                <w:rFonts w:hint="eastAsia"/>
              </w:rPr>
              <w:t>联系电话：</w:t>
            </w:r>
            <w:r>
              <w:rPr>
                <w:rFonts w:hint="eastAsia"/>
                <w:lang w:val="en-US" w:eastAsia="zh-CN"/>
              </w:rPr>
              <w:t>029-88319689</w:t>
            </w:r>
          </w:p>
        </w:tc>
        <w:tc>
          <w:tcPr>
            <w:tcW w:w="4274" w:type="dxa"/>
            <w:vAlign w:val="center"/>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566" w:type="dxa"/>
            <w:vAlign w:val="center"/>
          </w:tcPr>
          <w:p>
            <w:pPr>
              <w:bidi w:val="0"/>
            </w:pPr>
            <w:r>
              <w:rPr>
                <w:rFonts w:hint="eastAsia"/>
              </w:rPr>
              <w:t>签订日期：</w:t>
            </w:r>
            <w:r>
              <w:t>20</w:t>
            </w:r>
            <w:r>
              <w:rPr>
                <w:rFonts w:hint="eastAsia"/>
                <w:lang w:val="en-US" w:eastAsia="zh-CN"/>
              </w:rPr>
              <w:t>22</w:t>
            </w:r>
            <w:r>
              <w:rPr>
                <w:rFonts w:hint="eastAsia"/>
              </w:rPr>
              <w:t>年</w:t>
            </w:r>
            <w:r>
              <w:t xml:space="preserve">   </w:t>
            </w:r>
            <w:r>
              <w:rPr>
                <w:rFonts w:hint="eastAsia"/>
              </w:rPr>
              <w:t>月</w:t>
            </w:r>
            <w:r>
              <w:t xml:space="preserve">     </w:t>
            </w:r>
            <w:r>
              <w:rPr>
                <w:rFonts w:hint="eastAsia"/>
              </w:rPr>
              <w:t>日</w:t>
            </w:r>
          </w:p>
        </w:tc>
        <w:tc>
          <w:tcPr>
            <w:tcW w:w="4274" w:type="dxa"/>
            <w:vAlign w:val="center"/>
          </w:tcPr>
          <w:p>
            <w:pPr>
              <w:bidi w:val="0"/>
            </w:pPr>
          </w:p>
        </w:tc>
      </w:tr>
    </w:tbl>
    <w:p>
      <w:pPr>
        <w:bidi w:val="0"/>
      </w:pPr>
    </w:p>
    <w:p>
      <w:pPr>
        <w:bidi w:val="0"/>
        <w:rPr>
          <w:rFonts w:hint="eastAsia"/>
        </w:rPr>
      </w:pPr>
      <w:bookmarkStart w:id="255" w:name="_Toc29315"/>
      <w:bookmarkStart w:id="256" w:name="_Toc15551"/>
      <w:bookmarkStart w:id="257" w:name="_Toc23414"/>
      <w:r>
        <w:rPr>
          <w:rFonts w:hint="eastAsia"/>
        </w:rPr>
        <w:t>注：中标供应商应到</w:t>
      </w:r>
      <w:r>
        <w:rPr>
          <w:rFonts w:hint="eastAsia"/>
          <w:lang w:eastAsia="zh-CN"/>
        </w:rPr>
        <w:t>西安市中心</w:t>
      </w:r>
      <w:r>
        <w:rPr>
          <w:rFonts w:hint="eastAsia"/>
        </w:rPr>
        <w:t>血站拷贝合同样本并据此制作正式合同。</w:t>
      </w:r>
      <w:bookmarkEnd w:id="255"/>
      <w:bookmarkEnd w:id="256"/>
      <w:bookmarkEnd w:id="257"/>
    </w:p>
    <w:p>
      <w:pPr>
        <w:bidi w:val="0"/>
        <w:rPr>
          <w:rFonts w:hint="eastAsia"/>
        </w:rPr>
      </w:pPr>
      <w:r>
        <w:rPr>
          <w:rFonts w:hint="eastAsia"/>
        </w:rPr>
        <w:br w:type="page"/>
      </w:r>
    </w:p>
    <w:p>
      <w:pPr>
        <w:pStyle w:val="3"/>
        <w:rPr>
          <w:rFonts w:hint="eastAsia" w:ascii="宋体" w:hAnsi="宋体" w:eastAsia="宋体" w:cs="宋体"/>
        </w:rPr>
      </w:pPr>
      <w:bookmarkStart w:id="258" w:name="_Toc29821"/>
      <w:bookmarkStart w:id="259" w:name="_Toc17702"/>
      <w:bookmarkStart w:id="260" w:name="_Toc22227"/>
      <w:bookmarkStart w:id="261" w:name="_Toc28166"/>
      <w:bookmarkStart w:id="262" w:name="_Toc12668"/>
      <w:r>
        <w:rPr>
          <w:rFonts w:hint="eastAsia" w:ascii="宋体" w:hAnsi="宋体" w:eastAsia="宋体" w:cs="宋体"/>
        </w:rPr>
        <w:t>第五章  投标文件构成及格式</w:t>
      </w:r>
      <w:bookmarkEnd w:id="206"/>
      <w:bookmarkEnd w:id="258"/>
      <w:bookmarkEnd w:id="259"/>
      <w:bookmarkEnd w:id="260"/>
      <w:bookmarkEnd w:id="261"/>
      <w:bookmarkEnd w:id="262"/>
    </w:p>
    <w:p>
      <w:pPr>
        <w:spacing w:line="560" w:lineRule="exact"/>
        <w:ind w:firstLine="656" w:firstLineChars="200"/>
        <w:jc w:val="both"/>
        <w:rPr>
          <w:rFonts w:hint="eastAsia" w:ascii="宋体" w:hAnsi="宋体" w:eastAsia="宋体" w:cs="宋体"/>
          <w:sz w:val="32"/>
          <w:szCs w:val="32"/>
        </w:rPr>
      </w:pPr>
    </w:p>
    <w:p>
      <w:pPr>
        <w:spacing w:line="560" w:lineRule="exact"/>
        <w:ind w:firstLine="656" w:firstLineChars="200"/>
        <w:jc w:val="both"/>
        <w:rPr>
          <w:rFonts w:hint="eastAsia" w:ascii="宋体" w:hAnsi="宋体" w:eastAsia="宋体" w:cs="宋体"/>
          <w:sz w:val="32"/>
          <w:szCs w:val="32"/>
        </w:rPr>
      </w:pPr>
    </w:p>
    <w:p>
      <w:pPr>
        <w:spacing w:line="560" w:lineRule="exact"/>
        <w:jc w:val="both"/>
        <w:rPr>
          <w:rFonts w:hint="eastAsia" w:ascii="宋体" w:hAnsi="宋体" w:eastAsia="宋体" w:cs="宋体"/>
          <w:sz w:val="32"/>
          <w:szCs w:val="32"/>
        </w:rPr>
      </w:pPr>
    </w:p>
    <w:p>
      <w:pPr>
        <w:bidi w:val="0"/>
        <w:jc w:val="center"/>
        <w:rPr>
          <w:sz w:val="44"/>
          <w:szCs w:val="44"/>
        </w:rPr>
      </w:pPr>
      <w:r>
        <w:rPr>
          <w:rFonts w:hint="eastAsia"/>
          <w:sz w:val="44"/>
          <w:szCs w:val="44"/>
          <w:lang w:eastAsia="zh-CN"/>
        </w:rPr>
        <w:t>西安市中心血站血型质管供血试剂耗材采购项目（二次）</w:t>
      </w:r>
    </w:p>
    <w:p>
      <w:pPr>
        <w:bidi w:val="0"/>
        <w:jc w:val="center"/>
        <w:rPr>
          <w:rFonts w:hint="eastAsia"/>
          <w:sz w:val="44"/>
          <w:szCs w:val="44"/>
          <w:lang w:eastAsia="zh-CN"/>
        </w:rPr>
      </w:pPr>
      <w:r>
        <w:rPr>
          <w:rFonts w:hint="eastAsia"/>
          <w:sz w:val="44"/>
          <w:szCs w:val="44"/>
          <w:lang w:eastAsia="zh-CN"/>
        </w:rPr>
        <w:t>（</w:t>
      </w:r>
      <w:r>
        <w:rPr>
          <w:rFonts w:hint="eastAsia" w:ascii="宋体" w:hAnsi="宋体" w:eastAsia="宋体" w:cs="宋体"/>
          <w:sz w:val="44"/>
          <w:szCs w:val="44"/>
          <w:lang w:eastAsia="zh-CN"/>
        </w:rPr>
        <w:t>第</w:t>
      </w:r>
      <w:r>
        <w:rPr>
          <w:rFonts w:hint="eastAsia" w:ascii="宋体" w:hAnsi="宋体" w:eastAsia="宋体" w:cs="宋体"/>
          <w:sz w:val="44"/>
          <w:szCs w:val="44"/>
          <w:lang w:val="en-US" w:eastAsia="zh-CN"/>
        </w:rPr>
        <w:t>X标段</w:t>
      </w:r>
      <w:r>
        <w:rPr>
          <w:rFonts w:hint="eastAsia"/>
          <w:sz w:val="44"/>
          <w:szCs w:val="44"/>
          <w:lang w:eastAsia="zh-CN"/>
        </w:rPr>
        <w:t>）</w:t>
      </w:r>
    </w:p>
    <w:p>
      <w:pPr>
        <w:bidi w:val="0"/>
        <w:rPr>
          <w:rFonts w:hint="eastAsia"/>
          <w:sz w:val="44"/>
          <w:szCs w:val="44"/>
          <w:lang w:eastAsia="zh-CN"/>
        </w:rPr>
      </w:pPr>
    </w:p>
    <w:p>
      <w:pPr>
        <w:bidi w:val="0"/>
        <w:jc w:val="center"/>
        <w:rPr>
          <w:rFonts w:hint="eastAsia"/>
          <w:sz w:val="44"/>
          <w:szCs w:val="44"/>
          <w:lang w:eastAsia="zh-CN"/>
        </w:rPr>
      </w:pPr>
      <w:bookmarkStart w:id="263" w:name="_Toc3759"/>
      <w:bookmarkStart w:id="264" w:name="_Toc26560"/>
      <w:bookmarkStart w:id="265" w:name="_Toc2598"/>
      <w:bookmarkStart w:id="266" w:name="_Toc9042"/>
      <w:r>
        <w:rPr>
          <w:rFonts w:hint="eastAsia"/>
          <w:sz w:val="44"/>
          <w:szCs w:val="44"/>
          <w:lang w:eastAsia="zh-CN"/>
        </w:rPr>
        <w:t>投标文件</w:t>
      </w:r>
      <w:bookmarkEnd w:id="263"/>
      <w:bookmarkEnd w:id="264"/>
      <w:bookmarkEnd w:id="265"/>
      <w:bookmarkEnd w:id="266"/>
    </w:p>
    <w:p>
      <w:pPr>
        <w:bidi w:val="0"/>
        <w:rPr>
          <w:rFonts w:hint="eastAsia"/>
          <w:sz w:val="32"/>
          <w:szCs w:val="32"/>
        </w:rPr>
      </w:pPr>
    </w:p>
    <w:p>
      <w:pPr>
        <w:bidi w:val="0"/>
        <w:rPr>
          <w:rFonts w:hint="eastAsia"/>
          <w:sz w:val="32"/>
          <w:szCs w:val="32"/>
        </w:rPr>
      </w:pPr>
    </w:p>
    <w:p>
      <w:pPr>
        <w:bidi w:val="0"/>
        <w:rPr>
          <w:rFonts w:hint="eastAsia"/>
          <w:sz w:val="32"/>
          <w:szCs w:val="32"/>
        </w:rPr>
      </w:pPr>
    </w:p>
    <w:p>
      <w:pPr>
        <w:bidi w:val="0"/>
        <w:rPr>
          <w:rFonts w:hint="eastAsia"/>
          <w:sz w:val="32"/>
          <w:szCs w:val="32"/>
        </w:rPr>
      </w:pPr>
    </w:p>
    <w:p>
      <w:pPr>
        <w:bidi w:val="0"/>
        <w:jc w:val="center"/>
        <w:rPr>
          <w:rFonts w:hint="eastAsia"/>
          <w:sz w:val="32"/>
          <w:szCs w:val="32"/>
        </w:rPr>
      </w:pPr>
      <w:bookmarkStart w:id="267" w:name="_Toc19058"/>
      <w:bookmarkStart w:id="268" w:name="_Toc3889"/>
      <w:bookmarkStart w:id="269" w:name="_Toc25354"/>
      <w:bookmarkStart w:id="270" w:name="_Toc26149"/>
      <w:r>
        <w:rPr>
          <w:rFonts w:hint="eastAsia"/>
          <w:sz w:val="32"/>
          <w:szCs w:val="32"/>
        </w:rPr>
        <w:t>项目编号：</w:t>
      </w:r>
      <w:bookmarkEnd w:id="267"/>
      <w:bookmarkEnd w:id="268"/>
      <w:bookmarkEnd w:id="269"/>
      <w:bookmarkEnd w:id="270"/>
      <w:r>
        <w:rPr>
          <w:rFonts w:hint="eastAsia"/>
          <w:sz w:val="32"/>
          <w:szCs w:val="32"/>
          <w:lang w:eastAsia="zh-CN"/>
        </w:rPr>
        <w:t>SXWZ2022ZB-XAXZ-090A</w:t>
      </w:r>
    </w:p>
    <w:p>
      <w:pPr>
        <w:bidi w:val="0"/>
        <w:rPr>
          <w:rFonts w:hint="eastAsia"/>
          <w:sz w:val="32"/>
          <w:szCs w:val="32"/>
        </w:rPr>
      </w:pPr>
    </w:p>
    <w:p>
      <w:pPr>
        <w:spacing w:line="560" w:lineRule="exact"/>
        <w:ind w:firstLine="656" w:firstLineChars="200"/>
        <w:jc w:val="both"/>
        <w:rPr>
          <w:rFonts w:hint="eastAsia" w:ascii="宋体" w:hAnsi="宋体" w:eastAsia="宋体" w:cs="宋体"/>
          <w:sz w:val="32"/>
          <w:szCs w:val="32"/>
        </w:rPr>
      </w:pPr>
    </w:p>
    <w:p>
      <w:pPr>
        <w:spacing w:line="560" w:lineRule="exact"/>
        <w:jc w:val="both"/>
        <w:rPr>
          <w:rFonts w:hint="eastAsia" w:ascii="宋体" w:hAnsi="宋体" w:eastAsia="宋体" w:cs="宋体"/>
          <w:sz w:val="32"/>
          <w:szCs w:val="32"/>
        </w:rPr>
      </w:pPr>
    </w:p>
    <w:p>
      <w:pPr>
        <w:spacing w:line="560" w:lineRule="exact"/>
        <w:jc w:val="both"/>
        <w:rPr>
          <w:rFonts w:hint="eastAsia" w:ascii="宋体" w:hAnsi="宋体" w:eastAsia="宋体" w:cs="宋体"/>
          <w:sz w:val="32"/>
          <w:szCs w:val="32"/>
        </w:rPr>
      </w:pPr>
    </w:p>
    <w:p>
      <w:pPr>
        <w:spacing w:line="560" w:lineRule="exact"/>
        <w:ind w:firstLine="656" w:firstLineChars="200"/>
        <w:jc w:val="both"/>
        <w:rPr>
          <w:rFonts w:hint="eastAsia" w:ascii="宋体" w:hAnsi="宋体" w:eastAsia="宋体" w:cs="宋体"/>
          <w:sz w:val="32"/>
          <w:szCs w:val="32"/>
        </w:rPr>
      </w:pPr>
    </w:p>
    <w:p>
      <w:pPr>
        <w:spacing w:line="560" w:lineRule="exact"/>
        <w:ind w:firstLine="496" w:firstLineChars="200"/>
        <w:jc w:val="both"/>
        <w:rPr>
          <w:rFonts w:hint="eastAsia" w:ascii="宋体" w:hAnsi="宋体" w:eastAsia="宋体" w:cs="宋体"/>
          <w:sz w:val="24"/>
          <w:szCs w:val="24"/>
        </w:rPr>
      </w:pPr>
    </w:p>
    <w:p>
      <w:pPr>
        <w:snapToGrid w:val="0"/>
        <w:spacing w:line="480" w:lineRule="auto"/>
        <w:ind w:firstLine="992" w:firstLineChars="400"/>
        <w:outlineLvl w:val="9"/>
        <w:rPr>
          <w:rFonts w:ascii="宋体" w:hAnsi="宋体" w:cs="宋体"/>
          <w:sz w:val="24"/>
          <w:szCs w:val="24"/>
          <w:lang w:val="zh-CN"/>
        </w:rPr>
      </w:pPr>
      <w:r>
        <w:rPr>
          <w:rFonts w:hint="eastAsia" w:ascii="宋体" w:hAnsi="宋体" w:cs="宋体"/>
          <w:sz w:val="24"/>
          <w:szCs w:val="24"/>
          <w:lang w:val="zh-CN"/>
        </w:rPr>
        <w:t>供应商（单位名称及公章）：</w:t>
      </w:r>
    </w:p>
    <w:p>
      <w:pPr>
        <w:snapToGrid w:val="0"/>
        <w:spacing w:line="480" w:lineRule="auto"/>
        <w:ind w:firstLine="992" w:firstLineChars="400"/>
        <w:jc w:val="both"/>
        <w:outlineLvl w:val="9"/>
        <w:rPr>
          <w:sz w:val="24"/>
          <w:szCs w:val="24"/>
        </w:rPr>
      </w:pPr>
      <w:r>
        <w:rPr>
          <w:rFonts w:hint="eastAsia" w:ascii="宋体" w:hAnsi="宋体" w:cs="宋体"/>
          <w:sz w:val="24"/>
          <w:szCs w:val="24"/>
        </w:rPr>
        <w:t>法定代表人或被授权人（签字或盖章）：</w:t>
      </w:r>
    </w:p>
    <w:p>
      <w:pPr>
        <w:snapToGrid w:val="0"/>
        <w:spacing w:line="480" w:lineRule="auto"/>
        <w:ind w:firstLine="992" w:firstLineChars="400"/>
        <w:outlineLvl w:val="9"/>
        <w:rPr>
          <w:rFonts w:hint="eastAsia" w:ascii="宋体" w:hAnsi="宋体" w:eastAsia="宋体" w:cs="宋体"/>
          <w:sz w:val="32"/>
          <w:szCs w:val="32"/>
        </w:rPr>
      </w:pPr>
      <w:r>
        <w:rPr>
          <w:rFonts w:hint="eastAsia" w:ascii="宋体" w:hAnsi="宋体" w:cs="宋体"/>
          <w:sz w:val="24"/>
          <w:szCs w:val="24"/>
        </w:rPr>
        <w:t>日   期</w:t>
      </w:r>
      <w:r>
        <w:rPr>
          <w:rFonts w:hint="eastAsia" w:ascii="宋体" w:hAnsi="宋体" w:cs="宋体"/>
          <w:sz w:val="24"/>
          <w:szCs w:val="24"/>
          <w:lang w:val="zh-CN"/>
        </w:rPr>
        <w:t>：</w:t>
      </w:r>
      <w:r>
        <w:rPr>
          <w:rFonts w:hint="eastAsia" w:ascii="宋体" w:hAnsi="宋体" w:eastAsia="宋体" w:cs="宋体"/>
          <w:sz w:val="32"/>
          <w:szCs w:val="32"/>
        </w:rPr>
        <w:br w:type="page"/>
      </w:r>
    </w:p>
    <w:p>
      <w:pPr>
        <w:spacing w:line="560" w:lineRule="exact"/>
        <w:ind w:firstLine="896" w:firstLineChars="200"/>
        <w:jc w:val="center"/>
        <w:rPr>
          <w:rFonts w:hint="eastAsia" w:ascii="宋体" w:hAnsi="宋体" w:eastAsia="宋体" w:cs="宋体"/>
          <w:sz w:val="44"/>
          <w:szCs w:val="44"/>
        </w:rPr>
      </w:pPr>
    </w:p>
    <w:p>
      <w:pPr>
        <w:bidi w:val="0"/>
        <w:spacing w:line="360" w:lineRule="auto"/>
        <w:jc w:val="center"/>
        <w:rPr>
          <w:rFonts w:hint="eastAsia"/>
        </w:rPr>
      </w:pPr>
      <w:bookmarkStart w:id="271" w:name="_Toc25374"/>
      <w:bookmarkStart w:id="272" w:name="_Toc6740"/>
      <w:bookmarkStart w:id="273" w:name="_Toc23349"/>
      <w:r>
        <w:rPr>
          <w:rFonts w:hint="eastAsia"/>
        </w:rPr>
        <w:t>目    录</w:t>
      </w:r>
      <w:bookmarkEnd w:id="271"/>
      <w:bookmarkEnd w:id="272"/>
      <w:bookmarkEnd w:id="273"/>
    </w:p>
    <w:p>
      <w:pPr>
        <w:bidi w:val="0"/>
        <w:spacing w:line="360" w:lineRule="auto"/>
        <w:rPr>
          <w:rFonts w:hint="eastAsia"/>
        </w:rPr>
      </w:pPr>
    </w:p>
    <w:p>
      <w:pPr>
        <w:bidi w:val="0"/>
        <w:spacing w:line="360" w:lineRule="auto"/>
        <w:rPr>
          <w:b/>
          <w:bCs/>
        </w:rPr>
      </w:pPr>
      <w:bookmarkStart w:id="274" w:name="_Toc26370"/>
      <w:bookmarkStart w:id="275" w:name="_Toc24265"/>
      <w:bookmarkStart w:id="276" w:name="_Toc3727_WPSOffice_Level1"/>
      <w:r>
        <w:rPr>
          <w:rFonts w:hint="eastAsia"/>
          <w:b/>
          <w:bCs/>
        </w:rPr>
        <w:t>第一</w:t>
      </w:r>
      <w:r>
        <w:rPr>
          <w:rFonts w:hint="eastAsia"/>
          <w:b/>
          <w:bCs/>
          <w:lang w:eastAsia="zh-CN"/>
        </w:rPr>
        <w:t>部分</w:t>
      </w:r>
      <w:r>
        <w:rPr>
          <w:rFonts w:hint="eastAsia"/>
          <w:b/>
          <w:bCs/>
        </w:rPr>
        <w:t xml:space="preserve">  投标函</w:t>
      </w:r>
      <w:bookmarkEnd w:id="274"/>
      <w:bookmarkEnd w:id="275"/>
      <w:bookmarkEnd w:id="276"/>
    </w:p>
    <w:p>
      <w:pPr>
        <w:bidi w:val="0"/>
        <w:spacing w:line="360" w:lineRule="auto"/>
        <w:rPr>
          <w:b/>
          <w:bCs/>
        </w:rPr>
      </w:pPr>
      <w:bookmarkStart w:id="277" w:name="_Toc17126"/>
      <w:bookmarkStart w:id="278" w:name="_Toc14965"/>
      <w:bookmarkStart w:id="279" w:name="_Toc23436_WPSOffice_Level1"/>
      <w:r>
        <w:rPr>
          <w:rFonts w:hint="eastAsia"/>
          <w:b/>
          <w:bCs/>
        </w:rPr>
        <w:t>第二</w:t>
      </w:r>
      <w:r>
        <w:rPr>
          <w:rFonts w:hint="eastAsia"/>
          <w:b/>
          <w:bCs/>
          <w:lang w:eastAsia="zh-CN"/>
        </w:rPr>
        <w:t>部分</w:t>
      </w:r>
      <w:r>
        <w:rPr>
          <w:rFonts w:hint="eastAsia"/>
          <w:b/>
          <w:bCs/>
        </w:rPr>
        <w:t xml:space="preserve">  </w:t>
      </w:r>
      <w:r>
        <w:rPr>
          <w:rFonts w:hint="eastAsia"/>
          <w:b/>
          <w:bCs/>
          <w:lang w:eastAsia="zh-CN"/>
        </w:rPr>
        <w:t>开标</w:t>
      </w:r>
      <w:r>
        <w:rPr>
          <w:rFonts w:hint="eastAsia"/>
          <w:b/>
          <w:bCs/>
        </w:rPr>
        <w:t>一览表</w:t>
      </w:r>
      <w:bookmarkEnd w:id="277"/>
      <w:bookmarkEnd w:id="278"/>
      <w:bookmarkEnd w:id="279"/>
    </w:p>
    <w:p>
      <w:pPr>
        <w:bidi w:val="0"/>
        <w:spacing w:line="360" w:lineRule="auto"/>
        <w:rPr>
          <w:b/>
          <w:bCs/>
        </w:rPr>
      </w:pPr>
      <w:bookmarkStart w:id="280" w:name="_Toc11444_WPSOffice_Level1"/>
      <w:bookmarkStart w:id="281" w:name="_Toc6372"/>
      <w:bookmarkStart w:id="282" w:name="_Toc29716"/>
      <w:r>
        <w:rPr>
          <w:rFonts w:hint="eastAsia"/>
          <w:b/>
          <w:bCs/>
        </w:rPr>
        <w:t>第三</w:t>
      </w:r>
      <w:r>
        <w:rPr>
          <w:rFonts w:hint="eastAsia"/>
          <w:b/>
          <w:bCs/>
          <w:lang w:eastAsia="zh-CN"/>
        </w:rPr>
        <w:t>部分</w:t>
      </w:r>
      <w:r>
        <w:rPr>
          <w:rFonts w:hint="eastAsia"/>
          <w:b/>
          <w:bCs/>
        </w:rPr>
        <w:t xml:space="preserve">  </w:t>
      </w:r>
      <w:bookmarkEnd w:id="280"/>
      <w:r>
        <w:rPr>
          <w:rFonts w:hint="eastAsia"/>
          <w:b/>
          <w:bCs/>
        </w:rPr>
        <w:t>资</w:t>
      </w:r>
      <w:r>
        <w:rPr>
          <w:rFonts w:hint="eastAsia"/>
          <w:b/>
          <w:bCs/>
          <w:lang w:val="en-US" w:eastAsia="zh-CN"/>
        </w:rPr>
        <w:t>格</w:t>
      </w:r>
      <w:r>
        <w:rPr>
          <w:rFonts w:hint="eastAsia"/>
          <w:b/>
          <w:bCs/>
        </w:rPr>
        <w:t>证明资料</w:t>
      </w:r>
      <w:bookmarkEnd w:id="281"/>
      <w:bookmarkEnd w:id="282"/>
    </w:p>
    <w:p>
      <w:pPr>
        <w:bidi w:val="0"/>
        <w:spacing w:line="360" w:lineRule="auto"/>
        <w:rPr>
          <w:rFonts w:hint="eastAsia"/>
          <w:b/>
          <w:bCs/>
          <w:lang w:eastAsia="zh-CN"/>
        </w:rPr>
      </w:pPr>
      <w:bookmarkStart w:id="283" w:name="_Toc14554"/>
      <w:bookmarkStart w:id="284" w:name="_Toc18943"/>
      <w:r>
        <w:rPr>
          <w:rFonts w:hint="eastAsia"/>
          <w:b/>
          <w:bCs/>
        </w:rPr>
        <w:t>第四</w:t>
      </w:r>
      <w:r>
        <w:rPr>
          <w:rFonts w:hint="eastAsia"/>
          <w:b/>
          <w:bCs/>
          <w:lang w:eastAsia="zh-CN"/>
        </w:rPr>
        <w:t>部分</w:t>
      </w:r>
      <w:r>
        <w:rPr>
          <w:rFonts w:hint="eastAsia"/>
          <w:b/>
          <w:bCs/>
        </w:rPr>
        <w:t xml:space="preserve">  </w:t>
      </w:r>
      <w:r>
        <w:rPr>
          <w:rFonts w:hint="eastAsia"/>
          <w:b/>
          <w:bCs/>
          <w:lang w:val="en-US" w:eastAsia="zh-CN"/>
        </w:rPr>
        <w:t>供应商概况</w:t>
      </w:r>
      <w:bookmarkEnd w:id="283"/>
      <w:bookmarkEnd w:id="284"/>
    </w:p>
    <w:p>
      <w:pPr>
        <w:bidi w:val="0"/>
        <w:spacing w:line="360" w:lineRule="auto"/>
        <w:rPr>
          <w:rFonts w:hint="default"/>
          <w:b/>
          <w:bCs/>
          <w:lang w:val="en-US" w:eastAsia="zh-CN"/>
        </w:rPr>
      </w:pPr>
      <w:bookmarkStart w:id="285" w:name="_Toc9175"/>
      <w:bookmarkStart w:id="286" w:name="_Toc14425"/>
      <w:bookmarkStart w:id="287" w:name="_Toc5905_WPSOffice_Level1"/>
      <w:r>
        <w:rPr>
          <w:rFonts w:hint="eastAsia"/>
          <w:b/>
          <w:bCs/>
        </w:rPr>
        <w:t>第五</w:t>
      </w:r>
      <w:r>
        <w:rPr>
          <w:rFonts w:hint="eastAsia"/>
          <w:b/>
          <w:bCs/>
          <w:lang w:eastAsia="zh-CN"/>
        </w:rPr>
        <w:t>部分</w:t>
      </w:r>
      <w:r>
        <w:rPr>
          <w:rFonts w:hint="eastAsia"/>
          <w:b/>
          <w:bCs/>
        </w:rPr>
        <w:t xml:space="preserve">  </w:t>
      </w:r>
      <w:r>
        <w:rPr>
          <w:rFonts w:hint="eastAsia"/>
          <w:b/>
          <w:bCs/>
          <w:lang w:val="en-US" w:eastAsia="zh-CN"/>
        </w:rPr>
        <w:t>商务和需求响应偏离表</w:t>
      </w:r>
      <w:bookmarkEnd w:id="285"/>
      <w:bookmarkEnd w:id="286"/>
    </w:p>
    <w:p>
      <w:pPr>
        <w:bidi w:val="0"/>
        <w:spacing w:line="360" w:lineRule="auto"/>
        <w:rPr>
          <w:rFonts w:hint="eastAsia"/>
          <w:b/>
          <w:bCs/>
          <w:lang w:val="en-US" w:eastAsia="zh-CN"/>
        </w:rPr>
      </w:pPr>
      <w:bookmarkStart w:id="288" w:name="_Toc3113"/>
      <w:bookmarkStart w:id="289" w:name="_Toc6074"/>
      <w:r>
        <w:rPr>
          <w:rFonts w:hint="eastAsia"/>
          <w:b/>
          <w:bCs/>
          <w:lang w:val="en-US" w:eastAsia="zh-CN"/>
        </w:rPr>
        <w:t>第六部分  技术方案</w:t>
      </w:r>
      <w:bookmarkEnd w:id="288"/>
      <w:bookmarkEnd w:id="289"/>
    </w:p>
    <w:p>
      <w:pPr>
        <w:bidi w:val="0"/>
        <w:spacing w:line="360" w:lineRule="auto"/>
        <w:rPr>
          <w:rFonts w:hint="eastAsia"/>
          <w:b/>
          <w:bCs/>
          <w:lang w:eastAsia="zh-CN"/>
        </w:rPr>
      </w:pPr>
      <w:bookmarkStart w:id="290" w:name="_Toc2179"/>
      <w:bookmarkStart w:id="291" w:name="_Toc15170"/>
      <w:r>
        <w:rPr>
          <w:rFonts w:hint="eastAsia"/>
          <w:b/>
          <w:bCs/>
        </w:rPr>
        <w:t>第</w:t>
      </w:r>
      <w:bookmarkEnd w:id="287"/>
      <w:r>
        <w:rPr>
          <w:rFonts w:hint="eastAsia"/>
          <w:b/>
          <w:bCs/>
          <w:lang w:eastAsia="zh-CN"/>
        </w:rPr>
        <w:t>七部分</w:t>
      </w:r>
      <w:r>
        <w:rPr>
          <w:rFonts w:hint="eastAsia"/>
          <w:b/>
          <w:bCs/>
        </w:rPr>
        <w:t xml:space="preserve">  </w:t>
      </w:r>
      <w:r>
        <w:rPr>
          <w:rFonts w:hint="eastAsia"/>
          <w:b/>
          <w:bCs/>
          <w:lang w:eastAsia="zh-CN"/>
        </w:rPr>
        <w:t>服务保障措施</w:t>
      </w:r>
      <w:bookmarkEnd w:id="290"/>
      <w:bookmarkEnd w:id="291"/>
    </w:p>
    <w:p>
      <w:pPr>
        <w:bidi w:val="0"/>
        <w:spacing w:line="360" w:lineRule="auto"/>
        <w:rPr>
          <w:rFonts w:hint="eastAsia"/>
          <w:b/>
          <w:bCs/>
          <w:lang w:val="en-US" w:eastAsia="zh-CN"/>
        </w:rPr>
      </w:pPr>
      <w:bookmarkStart w:id="292" w:name="_Toc8192"/>
      <w:bookmarkStart w:id="293" w:name="_Toc2243"/>
      <w:r>
        <w:rPr>
          <w:rFonts w:hint="eastAsia"/>
          <w:b/>
          <w:bCs/>
          <w:lang w:val="en-US" w:eastAsia="zh-CN"/>
        </w:rPr>
        <w:t>第八部分  供应商业绩一览表</w:t>
      </w:r>
      <w:bookmarkEnd w:id="292"/>
      <w:bookmarkEnd w:id="293"/>
    </w:p>
    <w:p>
      <w:pPr>
        <w:bidi w:val="0"/>
        <w:spacing w:line="360" w:lineRule="auto"/>
        <w:rPr>
          <w:rFonts w:hint="eastAsia"/>
          <w:b/>
          <w:bCs/>
          <w:lang w:val="en-US" w:eastAsia="zh-CN"/>
        </w:rPr>
      </w:pPr>
      <w:bookmarkStart w:id="294" w:name="_Toc1523_WPSOffice_Level1"/>
      <w:bookmarkStart w:id="295" w:name="_Toc6168"/>
      <w:bookmarkStart w:id="296" w:name="_Toc5857"/>
      <w:r>
        <w:rPr>
          <w:rFonts w:hint="eastAsia"/>
          <w:b/>
          <w:bCs/>
          <w:lang w:val="en-US" w:eastAsia="zh-CN"/>
        </w:rPr>
        <w:t xml:space="preserve">第九部分  </w:t>
      </w:r>
      <w:bookmarkEnd w:id="294"/>
      <w:r>
        <w:rPr>
          <w:rFonts w:hint="eastAsia"/>
          <w:b/>
          <w:bCs/>
          <w:lang w:val="en-US" w:eastAsia="zh-CN"/>
        </w:rPr>
        <w:t>供应商认为有必要说明的其他问题</w:t>
      </w:r>
      <w:bookmarkEnd w:id="295"/>
      <w:bookmarkEnd w:id="296"/>
    </w:p>
    <w:p>
      <w:pPr>
        <w:bidi w:val="0"/>
        <w:spacing w:line="360" w:lineRule="auto"/>
        <w:rPr>
          <w:rFonts w:hint="default"/>
          <w:b/>
          <w:bCs/>
          <w:lang w:val="en-US" w:eastAsia="zh-CN"/>
        </w:rPr>
      </w:pPr>
      <w:r>
        <w:rPr>
          <w:rFonts w:hint="eastAsia"/>
          <w:b/>
          <w:bCs/>
          <w:lang w:val="en-US" w:eastAsia="zh-CN"/>
        </w:rPr>
        <w:t>第十部分   供应商参加政府采购活动承诺书</w:t>
      </w:r>
    </w:p>
    <w:p>
      <w:pPr>
        <w:rPr>
          <w:rFonts w:hint="eastAsia" w:ascii="宋体" w:hAnsi="宋体" w:eastAsia="宋体" w:cs="宋体"/>
          <w:b/>
          <w:bCs/>
          <w:sz w:val="32"/>
          <w:szCs w:val="32"/>
        </w:rPr>
      </w:pPr>
      <w:r>
        <w:rPr>
          <w:rFonts w:hint="eastAsia" w:ascii="宋体" w:hAnsi="宋体" w:eastAsia="宋体" w:cs="宋体"/>
          <w:b/>
          <w:bCs/>
        </w:rPr>
        <w:br w:type="page"/>
      </w:r>
    </w:p>
    <w:p>
      <w:pPr>
        <w:pStyle w:val="4"/>
        <w:bidi w:val="0"/>
        <w:jc w:val="center"/>
        <w:rPr>
          <w:rFonts w:hint="eastAsia" w:ascii="宋体" w:hAnsi="宋体" w:eastAsia="宋体" w:cs="宋体"/>
          <w:b/>
          <w:bCs/>
        </w:rPr>
      </w:pPr>
      <w:bookmarkStart w:id="297" w:name="_Toc30459"/>
      <w:bookmarkStart w:id="298" w:name="_Toc1942"/>
      <w:bookmarkStart w:id="299" w:name="_Toc27608"/>
      <w:bookmarkStart w:id="300" w:name="_Toc12096"/>
      <w:bookmarkStart w:id="301" w:name="_Toc23086"/>
      <w:bookmarkStart w:id="302" w:name="_Toc22662"/>
      <w:r>
        <w:rPr>
          <w:rFonts w:hint="eastAsia" w:ascii="宋体" w:hAnsi="宋体" w:eastAsia="宋体" w:cs="宋体"/>
          <w:b/>
          <w:bCs/>
        </w:rPr>
        <w:t>第一部分  投标函</w:t>
      </w:r>
      <w:bookmarkEnd w:id="297"/>
      <w:bookmarkEnd w:id="298"/>
      <w:bookmarkEnd w:id="299"/>
      <w:bookmarkEnd w:id="300"/>
      <w:bookmarkEnd w:id="301"/>
      <w:bookmarkEnd w:id="302"/>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rPr>
      </w:pPr>
      <w:r>
        <w:rPr>
          <w:rFonts w:hint="eastAsia"/>
        </w:rPr>
        <w:t>陕西万泽招标有限公司：</w:t>
      </w:r>
    </w:p>
    <w:p>
      <w:pPr>
        <w:keepNext w:val="0"/>
        <w:keepLines w:val="0"/>
        <w:pageBreakBefore w:val="0"/>
        <w:widowControl/>
        <w:kinsoku/>
        <w:wordWrap/>
        <w:overflowPunct/>
        <w:topLinePunct w:val="0"/>
        <w:autoSpaceDE/>
        <w:autoSpaceDN/>
        <w:bidi w:val="0"/>
        <w:adjustRightInd/>
        <w:snapToGrid/>
        <w:spacing w:line="440" w:lineRule="exact"/>
        <w:ind w:firstLine="496" w:firstLineChars="200"/>
        <w:textAlignment w:val="auto"/>
        <w:rPr>
          <w:rFonts w:hint="eastAsia"/>
        </w:rPr>
      </w:pPr>
      <w:r>
        <w:rPr>
          <w:rFonts w:hint="eastAsia"/>
        </w:rPr>
        <w:t>我单位收到项目名称为：                  （项目编号为：       ） 的招标文件，经详细研究，我公司决定参加本次招标活动。为此，我方郑重承诺以下诸点，并负法律责任。</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rPr>
      </w:pPr>
      <w:r>
        <w:rPr>
          <w:rFonts w:hint="eastAsia"/>
        </w:rPr>
        <w:t>1．我方已详细阅读了招标文件，完全理解并同意招标文件的所有事项及内容。</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rPr>
      </w:pPr>
      <w:r>
        <w:rPr>
          <w:rFonts w:hint="eastAsia"/>
        </w:rPr>
        <w:t>2．我方已悉知并及时关注了贵</w:t>
      </w:r>
      <w:r>
        <w:rPr>
          <w:rFonts w:hint="eastAsia"/>
          <w:lang w:eastAsia="zh-CN"/>
        </w:rPr>
        <w:t>单位</w:t>
      </w:r>
      <w:r>
        <w:rPr>
          <w:rFonts w:hint="eastAsia"/>
        </w:rPr>
        <w:t>在陕西省政府采购网、全国公共资源交易平台（陕西省·西安市）上发布的关于本项目的有关变更公告（包括但不限于对招标文件做出的修改或澄清、答疑纪要，以及项目暂停、重启、延期、终止等）。</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rPr>
      </w:pPr>
      <w:r>
        <w:rPr>
          <w:rFonts w:hint="eastAsia"/>
        </w:rPr>
        <w:t>3．我方同意向贵</w:t>
      </w:r>
      <w:r>
        <w:rPr>
          <w:rFonts w:hint="eastAsia"/>
          <w:lang w:eastAsia="zh-CN"/>
        </w:rPr>
        <w:t>单位</w:t>
      </w:r>
      <w:r>
        <w:rPr>
          <w:rFonts w:hint="eastAsia"/>
        </w:rPr>
        <w:t>提供与本次招标有关的全部证明材料，并保证所提交的证明材料真实、合法、有效。</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rPr>
      </w:pPr>
      <w:r>
        <w:rPr>
          <w:rFonts w:hint="eastAsia"/>
        </w:rPr>
        <w:t>4．我方理解最低价不是成交的唯一条件，并尊重评标委员会的评审结果。</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rPr>
      </w:pPr>
      <w:r>
        <w:rPr>
          <w:rFonts w:hint="eastAsia"/>
        </w:rPr>
        <w:t>5．我方投标文件在开启之日起___个日历日（应不少于90个日历日）内有效。</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rPr>
      </w:pPr>
      <w:r>
        <w:rPr>
          <w:rFonts w:hint="eastAsia"/>
        </w:rPr>
        <w:t>6．若我方成交，我方承诺：（1）将投标文件有效期延长至合同执行完毕；（</w:t>
      </w:r>
      <w:r>
        <w:rPr>
          <w:rFonts w:hint="eastAsia"/>
          <w:lang w:val="en-US" w:eastAsia="zh-CN"/>
        </w:rPr>
        <w:t>2</w:t>
      </w:r>
      <w:r>
        <w:rPr>
          <w:rFonts w:hint="eastAsia"/>
        </w:rPr>
        <w:t>）遵照招标文件中的要求，完成本项目的合同责任和义务。</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rPr>
      </w:pPr>
      <w:r>
        <w:rPr>
          <w:rFonts w:hint="eastAsia"/>
        </w:rPr>
        <w:t>7．所有关于此次招标活动的函电，请按下列方式联系：</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rPr>
      </w:pPr>
      <w:r>
        <w:rPr>
          <w:rFonts w:hint="eastAsia"/>
        </w:rPr>
        <w:t>供应商：（供应商全称并加盖公章）</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rPr>
      </w:pPr>
      <w:r>
        <w:rPr>
          <w:rFonts w:hint="eastAsia"/>
        </w:rPr>
        <w:t>法定代表人或委托代理人：（签字或盖章）</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rPr>
      </w:pPr>
      <w:r>
        <w:rPr>
          <w:rFonts w:hint="eastAsia"/>
        </w:rPr>
        <w:t>联系电话：</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rPr>
      </w:pPr>
      <w:r>
        <w:rPr>
          <w:rFonts w:hint="eastAsia"/>
        </w:rPr>
        <w:t>通讯地址：</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rPr>
      </w:pPr>
      <w:r>
        <w:rPr>
          <w:rFonts w:hint="eastAsia"/>
        </w:rPr>
        <w:t>邮    编：</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rPr>
      </w:pPr>
      <w:r>
        <w:rPr>
          <w:rFonts w:hint="eastAsia"/>
        </w:rPr>
        <w:t>电子邮箱：</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rPr>
      </w:pPr>
      <w:r>
        <w:rPr>
          <w:rFonts w:hint="eastAsia"/>
        </w:rPr>
        <w:t>日    期：    年  月  日</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rPr>
      </w:pPr>
      <w:r>
        <w:rPr>
          <w:rFonts w:hint="eastAsia"/>
        </w:rPr>
        <w:br w:type="page"/>
      </w:r>
    </w:p>
    <w:p>
      <w:pPr>
        <w:pStyle w:val="4"/>
        <w:numPr>
          <w:ilvl w:val="0"/>
          <w:numId w:val="3"/>
        </w:numPr>
        <w:bidi w:val="0"/>
        <w:jc w:val="center"/>
        <w:rPr>
          <w:rFonts w:hint="eastAsia" w:ascii="宋体" w:hAnsi="宋体" w:eastAsia="宋体" w:cs="宋体"/>
          <w:b/>
          <w:bCs/>
          <w:sz w:val="32"/>
          <w:szCs w:val="32"/>
        </w:rPr>
      </w:pPr>
      <w:bookmarkStart w:id="303" w:name="_Toc11909"/>
      <w:bookmarkStart w:id="304" w:name="_Toc19402"/>
      <w:bookmarkStart w:id="305" w:name="_Toc14204"/>
      <w:bookmarkStart w:id="306" w:name="_Toc12150"/>
      <w:bookmarkStart w:id="307" w:name="_Toc1387"/>
      <w:r>
        <w:rPr>
          <w:rFonts w:hint="eastAsia" w:ascii="宋体" w:hAnsi="宋体" w:eastAsia="宋体" w:cs="宋体"/>
          <w:b/>
          <w:bCs/>
          <w:sz w:val="32"/>
          <w:szCs w:val="32"/>
          <w:lang w:val="en-US" w:eastAsia="zh-CN"/>
        </w:rPr>
        <w:t xml:space="preserve"> </w:t>
      </w:r>
      <w:bookmarkStart w:id="308" w:name="_Toc31891"/>
      <w:r>
        <w:rPr>
          <w:rFonts w:hint="eastAsia" w:ascii="宋体" w:hAnsi="宋体" w:eastAsia="宋体" w:cs="宋体"/>
          <w:b/>
          <w:bCs/>
          <w:sz w:val="32"/>
          <w:szCs w:val="32"/>
        </w:rPr>
        <w:t>开标一览表</w:t>
      </w:r>
      <w:bookmarkEnd w:id="303"/>
      <w:bookmarkEnd w:id="304"/>
      <w:bookmarkEnd w:id="305"/>
      <w:bookmarkEnd w:id="306"/>
      <w:bookmarkEnd w:id="307"/>
      <w:bookmarkEnd w:id="308"/>
    </w:p>
    <w:p>
      <w:pPr>
        <w:widowControl/>
        <w:wordWrap w:val="0"/>
        <w:spacing w:line="360" w:lineRule="auto"/>
        <w:jc w:val="left"/>
        <w:rPr>
          <w:rFonts w:hint="eastAsia" w:ascii="宋体" w:hAnsi="宋体" w:cs="宋体" w:eastAsiaTheme="minorEastAsia"/>
          <w:sz w:val="24"/>
          <w:u w:val="single"/>
          <w:lang w:eastAsia="zh-CN"/>
        </w:rPr>
      </w:pPr>
      <w:r>
        <w:rPr>
          <w:rFonts w:hint="eastAsia" w:ascii="宋体" w:hAnsi="宋体" w:cs="宋体"/>
          <w:sz w:val="24"/>
        </w:rPr>
        <w:t>项目名称：</w:t>
      </w:r>
      <w:r>
        <w:rPr>
          <w:rFonts w:hint="eastAsia" w:ascii="宋体" w:hAnsi="宋体" w:cs="宋体"/>
          <w:sz w:val="24"/>
          <w:u w:val="single"/>
          <w:lang w:eastAsia="zh-CN"/>
        </w:rPr>
        <w:t>西安市中心血站血型质管供血试剂耗材采购项目（二次）</w:t>
      </w:r>
    </w:p>
    <w:p>
      <w:pPr>
        <w:pStyle w:val="11"/>
        <w:ind w:left="0" w:leftChars="0" w:firstLine="0" w:firstLineChars="0"/>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项目编号：</w:t>
      </w:r>
      <w:r>
        <w:rPr>
          <w:rFonts w:hint="eastAsia" w:ascii="宋体" w:hAnsi="宋体" w:cs="宋体"/>
          <w:kern w:val="2"/>
          <w:sz w:val="24"/>
          <w:szCs w:val="21"/>
          <w:lang w:val="en-US" w:eastAsia="zh-CN" w:bidi="ar-SA"/>
        </w:rPr>
        <w:t>SXWZ2022ZB-XAXZ-090A</w:t>
      </w:r>
    </w:p>
    <w:p>
      <w:pPr>
        <w:numPr>
          <w:ilvl w:val="0"/>
          <w:numId w:val="0"/>
        </w:numPr>
        <w:rPr>
          <w:rFonts w:hint="eastAsia" w:ascii="宋体" w:hAnsi="宋体" w:cs="宋体"/>
          <w:sz w:val="24"/>
          <w:szCs w:val="24"/>
        </w:rPr>
      </w:pPr>
      <w:r>
        <w:rPr>
          <w:rFonts w:hint="eastAsia" w:ascii="宋体" w:hAnsi="宋体" w:cs="宋体"/>
          <w:sz w:val="24"/>
        </w:rPr>
        <w:t>单位：</w:t>
      </w:r>
      <w:r>
        <w:rPr>
          <w:rFonts w:hint="eastAsia" w:ascii="宋体" w:hAnsi="宋体" w:cs="宋体"/>
          <w:sz w:val="24"/>
          <w:szCs w:val="24"/>
        </w:rPr>
        <w:t xml:space="preserve">元  </w:t>
      </w:r>
    </w:p>
    <w:p>
      <w:pPr>
        <w:bidi w:val="0"/>
        <w:rPr>
          <w:rFonts w:hint="default" w:eastAsiaTheme="minorEastAsia"/>
          <w:lang w:val="en-US" w:eastAsia="zh-CN"/>
        </w:rPr>
      </w:pPr>
      <w:r>
        <w:rPr>
          <w:rFonts w:hint="eastAsia"/>
          <w:lang w:eastAsia="zh-CN"/>
        </w:rPr>
        <w:t>标段号：第</w:t>
      </w:r>
      <w:r>
        <w:rPr>
          <w:rFonts w:hint="eastAsia"/>
          <w:lang w:val="en-US" w:eastAsia="zh-CN"/>
        </w:rPr>
        <w:t>X标段</w:t>
      </w:r>
    </w:p>
    <w:tbl>
      <w:tblPr>
        <w:tblStyle w:val="31"/>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3"/>
        <w:gridCol w:w="2069"/>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3233" w:type="dxa"/>
            <w:tcBorders>
              <w:tl2br w:val="single" w:color="auto" w:sz="4" w:space="0"/>
            </w:tcBorders>
          </w:tcPr>
          <w:p>
            <w:pPr>
              <w:kinsoku w:val="0"/>
              <w:spacing w:line="480" w:lineRule="auto"/>
              <w:ind w:right="-235" w:rightChars="-95" w:firstLine="1736" w:firstLineChars="700"/>
              <w:rPr>
                <w:rFonts w:ascii="宋体" w:hAnsi="宋体" w:cs="宋体"/>
                <w:sz w:val="24"/>
              </w:rPr>
            </w:pPr>
            <w:r>
              <w:rPr>
                <w:rFonts w:hint="eastAsia" w:ascii="宋体" w:hAnsi="宋体" w:cs="宋体"/>
                <w:sz w:val="24"/>
              </w:rPr>
              <w:t>报价内容</w:t>
            </w:r>
          </w:p>
          <w:p>
            <w:pPr>
              <w:kinsoku w:val="0"/>
              <w:spacing w:line="480" w:lineRule="auto"/>
              <w:ind w:left="10" w:right="-235" w:rightChars="-95" w:firstLine="517" w:firstLineChars="209"/>
              <w:rPr>
                <w:rFonts w:ascii="宋体" w:hAnsi="宋体" w:cs="宋体"/>
                <w:sz w:val="24"/>
              </w:rPr>
            </w:pPr>
          </w:p>
          <w:p>
            <w:pPr>
              <w:kinsoku w:val="0"/>
              <w:spacing w:line="480" w:lineRule="auto"/>
              <w:ind w:right="-235" w:rightChars="-95"/>
              <w:rPr>
                <w:rFonts w:ascii="宋体" w:hAnsi="宋体" w:cs="宋体"/>
                <w:sz w:val="24"/>
              </w:rPr>
            </w:pPr>
            <w:r>
              <w:rPr>
                <w:rFonts w:hint="eastAsia" w:ascii="宋体" w:hAnsi="宋体" w:cs="宋体"/>
                <w:sz w:val="24"/>
              </w:rPr>
              <w:t>投标内容</w:t>
            </w:r>
          </w:p>
        </w:tc>
        <w:tc>
          <w:tcPr>
            <w:tcW w:w="2069" w:type="dxa"/>
            <w:vAlign w:val="center"/>
          </w:tcPr>
          <w:p>
            <w:pPr>
              <w:kinsoku w:val="0"/>
              <w:spacing w:line="480" w:lineRule="auto"/>
              <w:ind w:right="-235" w:rightChars="-95"/>
              <w:jc w:val="center"/>
              <w:rPr>
                <w:rFonts w:ascii="宋体" w:hAnsi="宋体" w:cs="宋体"/>
                <w:sz w:val="24"/>
              </w:rPr>
            </w:pPr>
            <w:r>
              <w:rPr>
                <w:rFonts w:hint="eastAsia" w:ascii="宋体" w:hAnsi="宋体" w:cs="宋体"/>
                <w:szCs w:val="21"/>
                <w:lang w:eastAsia="zh-CN"/>
              </w:rPr>
              <w:t>投标报价</w:t>
            </w:r>
            <w:r>
              <w:rPr>
                <w:rFonts w:hint="eastAsia" w:ascii="宋体" w:hAnsi="宋体" w:cs="宋体"/>
                <w:szCs w:val="21"/>
              </w:rPr>
              <w:t>（元）</w:t>
            </w:r>
          </w:p>
        </w:tc>
        <w:tc>
          <w:tcPr>
            <w:tcW w:w="1548" w:type="dxa"/>
            <w:vAlign w:val="center"/>
          </w:tcPr>
          <w:p>
            <w:pPr>
              <w:kinsoku w:val="0"/>
              <w:ind w:right="-235" w:rightChars="-95"/>
              <w:jc w:val="center"/>
              <w:rPr>
                <w:rFonts w:ascii="宋体" w:hAnsi="宋体" w:cs="宋体"/>
                <w:sz w:val="24"/>
              </w:rPr>
            </w:pPr>
            <w:r>
              <w:rPr>
                <w:rFonts w:hint="eastAsia" w:ascii="宋体" w:hAnsi="宋体" w:cs="宋体"/>
                <w:sz w:val="24"/>
                <w:lang w:eastAsia="zh-CN"/>
              </w:rPr>
              <w:t>供货</w:t>
            </w:r>
            <w:r>
              <w:rPr>
                <w:rFonts w:hint="eastAsia" w:ascii="宋体" w:hAnsi="宋体" w:cs="宋体"/>
                <w:sz w:val="24"/>
              </w:rPr>
              <w:t>期</w:t>
            </w:r>
          </w:p>
        </w:tc>
        <w:tc>
          <w:tcPr>
            <w:tcW w:w="1548" w:type="dxa"/>
            <w:vAlign w:val="center"/>
          </w:tcPr>
          <w:p>
            <w:pPr>
              <w:kinsoku w:val="0"/>
              <w:spacing w:line="480" w:lineRule="auto"/>
              <w:jc w:val="center"/>
              <w:rPr>
                <w:rFonts w:hint="eastAsia" w:ascii="宋体" w:hAnsi="宋体" w:cs="宋体"/>
                <w:sz w:val="24"/>
                <w:lang w:eastAsia="zh-CN"/>
              </w:rPr>
            </w:pPr>
            <w:r>
              <w:rPr>
                <w:rFonts w:hint="eastAsia" w:ascii="宋体" w:hAnsi="宋体" w:cs="宋体"/>
                <w:szCs w:val="21"/>
                <w:lang w:eastAsia="zh-CN"/>
              </w:rPr>
              <w:t>交货期</w:t>
            </w:r>
          </w:p>
        </w:tc>
        <w:tc>
          <w:tcPr>
            <w:tcW w:w="1548" w:type="dxa"/>
            <w:vAlign w:val="center"/>
          </w:tcPr>
          <w:p>
            <w:pPr>
              <w:kinsoku w:val="0"/>
              <w:spacing w:line="480" w:lineRule="auto"/>
              <w:jc w:val="center"/>
              <w:rPr>
                <w:rFonts w:hint="eastAsia" w:ascii="宋体" w:hAnsi="宋体" w:cs="宋体"/>
                <w:sz w:val="24"/>
                <w:lang w:eastAsia="zh-CN"/>
              </w:rPr>
            </w:pPr>
            <w:r>
              <w:rPr>
                <w:rFonts w:hint="eastAsia" w:ascii="宋体" w:hAnsi="宋体" w:cs="宋体"/>
                <w:sz w:val="24"/>
                <w:lang w:eastAsia="zh-CN"/>
              </w:rPr>
              <w:t>产品有效期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3233" w:type="dxa"/>
            <w:vAlign w:val="center"/>
          </w:tcPr>
          <w:p>
            <w:pPr>
              <w:kinsoku w:val="0"/>
              <w:ind w:right="69" w:rightChars="28"/>
              <w:jc w:val="center"/>
              <w:rPr>
                <w:rFonts w:hint="eastAsia" w:ascii="宋体" w:hAnsi="宋体" w:eastAsia="宋体" w:cs="宋体"/>
                <w:sz w:val="24"/>
                <w:lang w:eastAsia="zh-CN"/>
              </w:rPr>
            </w:pPr>
            <w:r>
              <w:rPr>
                <w:rFonts w:hint="eastAsia" w:ascii="宋体" w:hAnsi="宋体" w:eastAsia="宋体" w:cs="宋体"/>
                <w:sz w:val="24"/>
                <w:lang w:eastAsia="zh-CN"/>
              </w:rPr>
              <w:t>西安市中心血站血型质管供血试剂耗材采购项目（二次）</w:t>
            </w:r>
          </w:p>
          <w:p>
            <w:pPr>
              <w:kinsoku w:val="0"/>
              <w:ind w:right="69" w:rightChars="28"/>
              <w:jc w:val="center"/>
              <w:rPr>
                <w:rFonts w:hint="eastAsia" w:ascii="宋体" w:hAnsi="宋体" w:eastAsia="宋体" w:cs="宋体"/>
                <w:sz w:val="24"/>
                <w:lang w:eastAsia="zh-CN"/>
              </w:rPr>
            </w:pPr>
            <w:r>
              <w:rPr>
                <w:rFonts w:hint="eastAsia" w:ascii="宋体" w:hAnsi="宋体" w:eastAsia="宋体" w:cs="宋体"/>
                <w:sz w:val="24"/>
                <w:lang w:eastAsia="zh-CN"/>
              </w:rPr>
              <w:t>（第</w:t>
            </w:r>
            <w:r>
              <w:rPr>
                <w:rFonts w:hint="eastAsia" w:ascii="宋体" w:hAnsi="宋体" w:eastAsia="宋体" w:cs="宋体"/>
                <w:sz w:val="24"/>
                <w:lang w:val="en-US" w:eastAsia="zh-CN"/>
              </w:rPr>
              <w:t>X标段</w:t>
            </w:r>
            <w:r>
              <w:rPr>
                <w:rFonts w:hint="eastAsia" w:ascii="宋体" w:hAnsi="宋体" w:eastAsia="宋体" w:cs="宋体"/>
                <w:sz w:val="24"/>
                <w:lang w:eastAsia="zh-CN"/>
              </w:rPr>
              <w:t>）</w:t>
            </w:r>
          </w:p>
        </w:tc>
        <w:tc>
          <w:tcPr>
            <w:tcW w:w="2069" w:type="dxa"/>
            <w:vAlign w:val="center"/>
          </w:tcPr>
          <w:p>
            <w:pPr>
              <w:kinsoku w:val="0"/>
              <w:spacing w:line="480" w:lineRule="auto"/>
              <w:ind w:left="10" w:right="-235" w:rightChars="-95" w:firstLine="517" w:firstLineChars="209"/>
              <w:jc w:val="center"/>
              <w:rPr>
                <w:rFonts w:ascii="宋体" w:hAnsi="宋体" w:cs="宋体"/>
                <w:sz w:val="24"/>
              </w:rPr>
            </w:pPr>
          </w:p>
        </w:tc>
        <w:tc>
          <w:tcPr>
            <w:tcW w:w="1548" w:type="dxa"/>
            <w:vAlign w:val="center"/>
          </w:tcPr>
          <w:p>
            <w:pPr>
              <w:kinsoku w:val="0"/>
              <w:spacing w:line="480" w:lineRule="auto"/>
              <w:ind w:left="10" w:right="-235" w:rightChars="-95" w:firstLine="517" w:firstLineChars="209"/>
              <w:jc w:val="center"/>
              <w:rPr>
                <w:rFonts w:ascii="宋体" w:hAnsi="宋体" w:cs="宋体"/>
                <w:sz w:val="24"/>
              </w:rPr>
            </w:pPr>
          </w:p>
        </w:tc>
        <w:tc>
          <w:tcPr>
            <w:tcW w:w="1548" w:type="dxa"/>
            <w:vAlign w:val="center"/>
          </w:tcPr>
          <w:p>
            <w:pPr>
              <w:kinsoku w:val="0"/>
              <w:spacing w:line="480" w:lineRule="auto"/>
              <w:ind w:left="10" w:right="-235" w:rightChars="-95" w:firstLine="517" w:firstLineChars="209"/>
              <w:jc w:val="center"/>
              <w:rPr>
                <w:rFonts w:ascii="宋体" w:hAnsi="宋体" w:cs="宋体"/>
                <w:sz w:val="24"/>
              </w:rPr>
            </w:pPr>
          </w:p>
        </w:tc>
        <w:tc>
          <w:tcPr>
            <w:tcW w:w="1548" w:type="dxa"/>
            <w:vAlign w:val="center"/>
          </w:tcPr>
          <w:p>
            <w:pPr>
              <w:kinsoku w:val="0"/>
              <w:spacing w:line="480" w:lineRule="auto"/>
              <w:ind w:left="10" w:right="-235" w:rightChars="-95" w:firstLine="517" w:firstLineChars="209"/>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946" w:type="dxa"/>
            <w:gridSpan w:val="5"/>
          </w:tcPr>
          <w:p>
            <w:pPr>
              <w:kinsoku w:val="0"/>
              <w:ind w:right="-235" w:rightChars="-95"/>
              <w:rPr>
                <w:rFonts w:ascii="宋体" w:hAnsi="宋体" w:cs="宋体"/>
                <w:b/>
                <w:bCs/>
                <w:sz w:val="24"/>
                <w:szCs w:val="24"/>
              </w:rPr>
            </w:pPr>
          </w:p>
          <w:p>
            <w:pPr>
              <w:kinsoku w:val="0"/>
              <w:ind w:right="-235" w:rightChars="-95"/>
              <w:rPr>
                <w:rFonts w:hint="eastAsia" w:ascii="宋体" w:hAnsi="宋体" w:cs="宋体"/>
                <w:sz w:val="24"/>
              </w:rPr>
            </w:pPr>
            <w:r>
              <w:rPr>
                <w:rFonts w:hint="eastAsia" w:ascii="宋体" w:hAnsi="宋体" w:cs="宋体"/>
                <w:sz w:val="24"/>
              </w:rPr>
              <w:t>总报价：（大写）________________（小写）_________________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946" w:type="dxa"/>
            <w:gridSpan w:val="5"/>
            <w:vAlign w:val="center"/>
          </w:tcPr>
          <w:p>
            <w:pPr>
              <w:kinsoku w:val="0"/>
              <w:spacing w:line="480" w:lineRule="auto"/>
              <w:ind w:firstLine="496" w:firstLineChars="20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表内报价内容以元为单位，精确到小数点后两位；</w:t>
            </w:r>
          </w:p>
          <w:p>
            <w:pPr>
              <w:kinsoku w:val="0"/>
              <w:ind w:right="-235" w:rightChars="-95" w:firstLine="1240" w:firstLineChars="5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供货期、交货期、产品有效期要求</w:t>
            </w:r>
            <w:r>
              <w:rPr>
                <w:rFonts w:hint="eastAsia" w:ascii="宋体" w:hAnsi="宋体" w:cs="宋体"/>
                <w:color w:val="000000" w:themeColor="text1"/>
                <w14:textFill>
                  <w14:solidFill>
                    <w14:schemeClr w14:val="tx1"/>
                  </w14:solidFill>
                </w14:textFill>
              </w:rPr>
              <w:t>见第</w:t>
            </w:r>
            <w:r>
              <w:rPr>
                <w:rFonts w:hint="eastAsia" w:ascii="宋体" w:hAnsi="宋体" w:cs="宋体"/>
                <w:color w:val="000000" w:themeColor="text1"/>
                <w:lang w:eastAsia="zh-CN"/>
                <w14:textFill>
                  <w14:solidFill>
                    <w14:schemeClr w14:val="tx1"/>
                  </w14:solidFill>
                </w14:textFill>
              </w:rPr>
              <w:t>三章</w:t>
            </w:r>
            <w:r>
              <w:rPr>
                <w:rFonts w:hint="eastAsia" w:ascii="宋体" w:hAnsi="宋体" w:cs="宋体"/>
                <w:color w:val="000000" w:themeColor="text1"/>
                <w14:textFill>
                  <w14:solidFill>
                    <w14:schemeClr w14:val="tx1"/>
                  </w14:solidFill>
                </w14:textFill>
              </w:rPr>
              <w:t>采购要求。</w:t>
            </w:r>
          </w:p>
        </w:tc>
      </w:tr>
    </w:tbl>
    <w:p>
      <w:pPr>
        <w:adjustRightInd w:val="0"/>
        <w:snapToGrid w:val="0"/>
        <w:spacing w:line="480" w:lineRule="auto"/>
        <w:jc w:val="left"/>
        <w:rPr>
          <w:rFonts w:ascii="宋体" w:hAnsi="宋体" w:cs="宋体"/>
          <w:sz w:val="24"/>
        </w:rPr>
      </w:pPr>
      <w:r>
        <w:rPr>
          <w:rFonts w:hint="eastAsia" w:ascii="宋体" w:hAnsi="宋体" w:cs="宋体"/>
          <w:sz w:val="24"/>
        </w:rPr>
        <w:t>供应商（单位名称及公章）：___________________________</w:t>
      </w:r>
    </w:p>
    <w:p>
      <w:pPr>
        <w:adjustRightInd w:val="0"/>
        <w:snapToGrid w:val="0"/>
        <w:spacing w:line="480" w:lineRule="auto"/>
        <w:jc w:val="left"/>
      </w:pPr>
      <w:r>
        <w:rPr>
          <w:rFonts w:hint="eastAsia" w:ascii="宋体" w:hAnsi="宋体" w:cs="宋体"/>
          <w:sz w:val="24"/>
        </w:rPr>
        <w:t>法定代表人或被授权人（签字或盖章）：__________________</w:t>
      </w:r>
    </w:p>
    <w:p>
      <w:pPr>
        <w:adjustRightInd w:val="0"/>
        <w:snapToGrid w:val="0"/>
        <w:spacing w:line="480" w:lineRule="auto"/>
        <w:jc w:val="left"/>
        <w:rPr>
          <w:rFonts w:ascii="宋体" w:cs="宋体"/>
          <w:sz w:val="24"/>
        </w:rPr>
      </w:pPr>
      <w:r>
        <w:rPr>
          <w:rFonts w:hint="eastAsia" w:ascii="宋体" w:hAnsi="宋体" w:cs="宋体"/>
          <w:sz w:val="24"/>
        </w:rPr>
        <w:t>时间：_______年________月_______日</w:t>
      </w:r>
    </w:p>
    <w:p>
      <w:pPr>
        <w:spacing w:line="560" w:lineRule="exact"/>
        <w:ind w:firstLine="656" w:firstLineChars="200"/>
        <w:jc w:val="both"/>
        <w:rPr>
          <w:rFonts w:hint="eastAsia" w:ascii="宋体" w:hAnsi="宋体" w:eastAsia="宋体" w:cs="宋体"/>
          <w:sz w:val="32"/>
          <w:szCs w:val="32"/>
        </w:rPr>
      </w:pPr>
    </w:p>
    <w:p>
      <w:pPr>
        <w:spacing w:line="560" w:lineRule="exact"/>
        <w:ind w:firstLine="656" w:firstLineChars="200"/>
        <w:jc w:val="both"/>
        <w:rPr>
          <w:rFonts w:hint="eastAsia" w:ascii="宋体" w:hAnsi="宋体" w:eastAsia="宋体" w:cs="宋体"/>
          <w:sz w:val="32"/>
          <w:szCs w:val="32"/>
        </w:rPr>
      </w:pPr>
    </w:p>
    <w:p>
      <w:pPr>
        <w:spacing w:line="560" w:lineRule="exact"/>
        <w:ind w:firstLine="656" w:firstLineChars="200"/>
        <w:jc w:val="both"/>
        <w:rPr>
          <w:rFonts w:hint="eastAsia" w:ascii="宋体" w:hAnsi="宋体" w:eastAsia="宋体" w:cs="宋体"/>
          <w:sz w:val="32"/>
          <w:szCs w:val="32"/>
        </w:rPr>
      </w:pPr>
      <w:r>
        <w:rPr>
          <w:rFonts w:hint="eastAsia" w:ascii="宋体" w:hAnsi="宋体" w:eastAsia="宋体" w:cs="宋体"/>
          <w:sz w:val="32"/>
          <w:szCs w:val="32"/>
        </w:rPr>
        <w:br w:type="page"/>
      </w:r>
    </w:p>
    <w:p>
      <w:pPr>
        <w:bidi w:val="0"/>
        <w:jc w:val="center"/>
        <w:rPr>
          <w:rFonts w:hint="eastAsia"/>
        </w:rPr>
      </w:pPr>
      <w:bookmarkStart w:id="309" w:name="_Toc15781"/>
      <w:r>
        <w:rPr>
          <w:rFonts w:hint="eastAsia"/>
        </w:rPr>
        <w:t>分项报价表（</w:t>
      </w:r>
      <w:r>
        <w:rPr>
          <w:rFonts w:hint="eastAsia"/>
          <w:lang w:eastAsia="zh-CN"/>
        </w:rPr>
        <w:t>货物</w:t>
      </w:r>
      <w:r>
        <w:rPr>
          <w:rFonts w:hint="eastAsia"/>
        </w:rPr>
        <w:t>类适用）</w:t>
      </w:r>
      <w:bookmarkEnd w:id="309"/>
    </w:p>
    <w:p>
      <w:pPr>
        <w:widowControl/>
        <w:wordWrap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sz w:val="24"/>
          <w:u w:val="single"/>
          <w:lang w:eastAsia="zh-CN"/>
        </w:rPr>
        <w:t>西安市中心血站血型质管供血试剂耗材采购项目（二次）</w:t>
      </w:r>
      <w:r>
        <w:rPr>
          <w:rFonts w:hint="eastAsia" w:ascii="宋体" w:hAnsi="宋体" w:cs="宋体"/>
          <w:color w:val="000000" w:themeColor="text1"/>
          <w:sz w:val="24"/>
          <w14:textFill>
            <w14:solidFill>
              <w14:schemeClr w14:val="tx1"/>
            </w14:solidFill>
          </w14:textFill>
        </w:rPr>
        <w:t xml:space="preserve"> </w:t>
      </w:r>
    </w:p>
    <w:p>
      <w:pPr>
        <w:widowControl/>
        <w:wordWrap w:val="0"/>
        <w:spacing w:line="360" w:lineRule="auto"/>
        <w:rPr>
          <w:rFonts w:hint="eastAsia" w:asci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SXWZ2022ZB-XAXZ-090A</w:t>
      </w:r>
    </w:p>
    <w:p>
      <w:pPr>
        <w:widowControl/>
        <w:wordWrap w:val="0"/>
        <w:spacing w:line="360" w:lineRule="auto"/>
        <w:jc w:val="left"/>
        <w:rPr>
          <w:rFonts w:hint="eastAsia" w:ascii="宋体" w:hAnsi="宋体" w:cs="宋体"/>
          <w:sz w:val="24"/>
          <w:szCs w:val="24"/>
        </w:rPr>
      </w:pPr>
      <w:r>
        <w:rPr>
          <w:rFonts w:hint="eastAsia" w:ascii="宋体" w:hAnsi="宋体" w:cs="宋体"/>
          <w:sz w:val="24"/>
        </w:rPr>
        <w:t>单位：</w:t>
      </w:r>
      <w:r>
        <w:rPr>
          <w:rFonts w:hint="eastAsia" w:ascii="宋体" w:hAnsi="宋体" w:cs="宋体"/>
          <w:sz w:val="24"/>
          <w:szCs w:val="24"/>
        </w:rPr>
        <w:t xml:space="preserve">元 </w:t>
      </w:r>
    </w:p>
    <w:p>
      <w:pPr>
        <w:bidi w:val="0"/>
        <w:rPr>
          <w:rFonts w:hint="eastAsia"/>
        </w:rPr>
      </w:pPr>
      <w:r>
        <w:rPr>
          <w:rFonts w:hint="eastAsia"/>
        </w:rPr>
        <w:t>标段号：第X标段</w:t>
      </w:r>
    </w:p>
    <w:p>
      <w:pPr>
        <w:widowControl/>
        <w:wordWrap w:val="0"/>
        <w:spacing w:line="360" w:lineRule="auto"/>
        <w:jc w:val="left"/>
        <w:rPr>
          <w:rFonts w:ascii="宋体" w:cs="宋体"/>
          <w:b/>
          <w:color w:val="000000" w:themeColor="text1"/>
          <w:sz w:val="36"/>
          <w:szCs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t>共  页，第  页</w:t>
      </w:r>
    </w:p>
    <w:tbl>
      <w:tblPr>
        <w:tblStyle w:val="31"/>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61"/>
        <w:gridCol w:w="1401"/>
        <w:gridCol w:w="1554"/>
        <w:gridCol w:w="1331"/>
        <w:gridCol w:w="949"/>
        <w:gridCol w:w="11"/>
        <w:gridCol w:w="939"/>
        <w:gridCol w:w="11"/>
        <w:gridCol w:w="1027"/>
        <w:gridCol w:w="11"/>
        <w:gridCol w:w="9"/>
        <w:gridCol w:w="96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F1F1F1" w:themeFill="background1" w:themeFillShade="F2"/>
            <w:noWrap/>
            <w:tcMar>
              <w:top w:w="20" w:type="dxa"/>
              <w:left w:w="20" w:type="dxa"/>
              <w:bottom w:w="0" w:type="dxa"/>
              <w:right w:w="20" w:type="dxa"/>
            </w:tcMar>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一</w:t>
            </w:r>
          </w:p>
        </w:tc>
        <w:tc>
          <w:tcPr>
            <w:tcW w:w="8252" w:type="dxa"/>
            <w:gridSpan w:val="11"/>
            <w:shd w:val="clear" w:color="auto" w:fill="F1F1F1" w:themeFill="background1" w:themeFillShade="F2"/>
            <w:noWrap/>
            <w:tcMar>
              <w:top w:w="20" w:type="dxa"/>
              <w:left w:w="20" w:type="dxa"/>
              <w:bottom w:w="0" w:type="dxa"/>
              <w:right w:w="20" w:type="dxa"/>
            </w:tcMar>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产品购置费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auto"/>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09" w:type="dxa"/>
            <w:shd w:val="clear" w:color="auto" w:fill="auto"/>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1563" w:type="dxa"/>
            <w:shd w:val="clear" w:color="auto" w:fill="auto"/>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品牌及</w:t>
            </w:r>
          </w:p>
          <w:p>
            <w:pPr>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1338" w:type="dxa"/>
            <w:shd w:val="clear" w:color="auto" w:fill="auto"/>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生产厂家</w:t>
            </w:r>
          </w:p>
        </w:tc>
        <w:tc>
          <w:tcPr>
            <w:tcW w:w="954" w:type="dxa"/>
            <w:shd w:val="clear" w:color="auto" w:fill="auto"/>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是否小微企业产品</w:t>
            </w:r>
          </w:p>
        </w:tc>
        <w:tc>
          <w:tcPr>
            <w:tcW w:w="955" w:type="dxa"/>
            <w:gridSpan w:val="2"/>
            <w:shd w:val="clear" w:color="auto" w:fill="auto"/>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044" w:type="dxa"/>
            <w:gridSpan w:val="2"/>
            <w:shd w:val="clear" w:color="auto" w:fill="auto"/>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单价</w:t>
            </w:r>
          </w:p>
        </w:tc>
        <w:tc>
          <w:tcPr>
            <w:tcW w:w="989" w:type="dxa"/>
            <w:gridSpan w:val="3"/>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40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563"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338"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5"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044"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9" w:type="dxa"/>
            <w:gridSpan w:val="3"/>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40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563"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338"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5"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044"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9" w:type="dxa"/>
            <w:gridSpan w:val="3"/>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40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563"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338"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5"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044"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9" w:type="dxa"/>
            <w:gridSpan w:val="3"/>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40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563"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338"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5"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044"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9" w:type="dxa"/>
            <w:gridSpan w:val="3"/>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40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563"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338"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5"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044"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9" w:type="dxa"/>
            <w:gridSpan w:val="3"/>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40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563"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338"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5"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044"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9" w:type="dxa"/>
            <w:gridSpan w:val="3"/>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F1F1F1" w:themeFill="background1" w:themeFillShade="F2"/>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二</w:t>
            </w:r>
          </w:p>
        </w:tc>
        <w:tc>
          <w:tcPr>
            <w:tcW w:w="8252" w:type="dxa"/>
            <w:gridSpan w:val="11"/>
            <w:shd w:val="clear" w:color="auto" w:fill="F1F1F1" w:themeFill="background1" w:themeFillShade="F2"/>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其他费用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09" w:type="dxa"/>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费用名称</w:t>
            </w:r>
          </w:p>
        </w:tc>
        <w:tc>
          <w:tcPr>
            <w:tcW w:w="3866" w:type="dxa"/>
            <w:gridSpan w:val="4"/>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费用描述</w:t>
            </w:r>
          </w:p>
        </w:tc>
        <w:tc>
          <w:tcPr>
            <w:tcW w:w="955"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044"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单价</w:t>
            </w:r>
          </w:p>
        </w:tc>
        <w:tc>
          <w:tcPr>
            <w:tcW w:w="978"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40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3866" w:type="dxa"/>
            <w:gridSpan w:val="4"/>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5"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044"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78" w:type="dxa"/>
            <w:gridSpan w:val="2"/>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40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3866" w:type="dxa"/>
            <w:gridSpan w:val="4"/>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5"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044"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78" w:type="dxa"/>
            <w:gridSpan w:val="2"/>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40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3866" w:type="dxa"/>
            <w:gridSpan w:val="4"/>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5"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044"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78" w:type="dxa"/>
            <w:gridSpan w:val="2"/>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40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3866" w:type="dxa"/>
            <w:gridSpan w:val="4"/>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5"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044"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78" w:type="dxa"/>
            <w:gridSpan w:val="2"/>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947" w:type="dxa"/>
            <w:gridSpan w:val="11"/>
            <w:noWrap/>
            <w:tcMar>
              <w:top w:w="20" w:type="dxa"/>
              <w:left w:w="20" w:type="dxa"/>
              <w:bottom w:w="0" w:type="dxa"/>
              <w:right w:w="20"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总计</w:t>
            </w:r>
            <w:r>
              <w:rPr>
                <w:rFonts w:hint="eastAsia" w:ascii="宋体" w:hAnsi="宋体" w:eastAsia="宋体" w:cs="宋体"/>
                <w:sz w:val="24"/>
                <w:szCs w:val="24"/>
                <w:lang w:eastAsia="zh-CN"/>
              </w:rPr>
              <w:t>：</w:t>
            </w:r>
          </w:p>
        </w:tc>
        <w:tc>
          <w:tcPr>
            <w:tcW w:w="969" w:type="dxa"/>
            <w:vAlign w:val="center"/>
          </w:tcPr>
          <w:p>
            <w:pPr>
              <w:jc w:val="center"/>
              <w:rPr>
                <w:rFonts w:hint="eastAsia" w:ascii="宋体" w:hAnsi="宋体" w:eastAsia="宋体" w:cs="宋体"/>
                <w:sz w:val="28"/>
                <w:szCs w:val="28"/>
              </w:rPr>
            </w:pPr>
          </w:p>
        </w:tc>
      </w:tr>
    </w:tbl>
    <w:p>
      <w:pPr>
        <w:adjustRightInd w:val="0"/>
        <w:snapToGrid w:val="0"/>
        <w:spacing w:line="480" w:lineRule="auto"/>
        <w:rPr>
          <w:rFonts w:hint="eastAsia" w:ascii="宋体" w:hAnsi="宋体"/>
          <w:color w:val="000000" w:themeColor="text1"/>
          <w:sz w:val="24"/>
          <w:szCs w:val="24"/>
          <w14:textFill>
            <w14:solidFill>
              <w14:schemeClr w14:val="tx1"/>
            </w14:solidFill>
          </w14:textFill>
        </w:rPr>
      </w:pPr>
    </w:p>
    <w:p>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供应商（单位名称及公章）：</w:t>
      </w:r>
    </w:p>
    <w:p>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法定代表人或被授权人（签字或盖章）：</w:t>
      </w:r>
    </w:p>
    <w:p>
      <w:pPr>
        <w:adjustRightInd w:val="0"/>
        <w:snapToGrid w:val="0"/>
        <w:spacing w:line="48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日期：年  月  日</w:t>
      </w:r>
    </w:p>
    <w:p>
      <w:pPr>
        <w:bidi w:val="0"/>
      </w:pPr>
      <w:r>
        <w:t>注：1</w:t>
      </w:r>
      <w:r>
        <w:rPr>
          <w:rFonts w:hint="eastAsia"/>
        </w:rPr>
        <w:t>．</w:t>
      </w:r>
      <w:r>
        <w:t>监狱企业、残疾人福利性单位视同小微企业。</w:t>
      </w:r>
    </w:p>
    <w:p>
      <w:pPr>
        <w:bidi w:val="0"/>
      </w:pPr>
      <w:r>
        <w:t>2</w:t>
      </w:r>
      <w:r>
        <w:rPr>
          <w:rFonts w:hint="eastAsia"/>
        </w:rPr>
        <w:t>．“是否小微企业产品”</w:t>
      </w:r>
      <w:r>
        <w:t>一栏若有漏报，将被视为</w:t>
      </w:r>
      <w:r>
        <w:rPr>
          <w:rFonts w:hint="eastAsia"/>
        </w:rPr>
        <w:t>“非小微企业产品”</w:t>
      </w:r>
      <w:r>
        <w:t>。</w:t>
      </w:r>
    </w:p>
    <w:p>
      <w:pPr>
        <w:bidi w:val="0"/>
        <w:sectPr>
          <w:headerReference r:id="rId4" w:type="first"/>
          <w:footerReference r:id="rId6" w:type="first"/>
          <w:headerReference r:id="rId3" w:type="default"/>
          <w:footerReference r:id="rId5" w:type="default"/>
          <w:pgSz w:w="11906" w:h="16838"/>
          <w:pgMar w:top="1440" w:right="1803" w:bottom="1440" w:left="1803" w:header="850" w:footer="992" w:gutter="0"/>
          <w:pgNumType w:fmt="decimal"/>
          <w:cols w:space="0" w:num="1"/>
          <w:titlePg/>
          <w:docGrid w:type="linesAndChars" w:linePitch="395" w:charSpace="1724"/>
        </w:sectPr>
      </w:pPr>
      <w:r>
        <w:t>3</w:t>
      </w:r>
      <w:r>
        <w:rPr>
          <w:rFonts w:hint="eastAsia"/>
        </w:rPr>
        <w:t>．</w:t>
      </w:r>
      <w:r>
        <w:t>表格空间不足时，可自行扩展。</w:t>
      </w:r>
    </w:p>
    <w:p>
      <w:pPr>
        <w:pStyle w:val="4"/>
        <w:bidi w:val="0"/>
        <w:jc w:val="center"/>
        <w:rPr>
          <w:rFonts w:hint="eastAsia" w:ascii="宋体" w:hAnsi="宋体" w:eastAsia="宋体" w:cs="宋体"/>
          <w:b/>
          <w:bCs/>
        </w:rPr>
      </w:pPr>
      <w:bookmarkStart w:id="310" w:name="_Toc23453"/>
      <w:bookmarkStart w:id="311" w:name="_Toc30500"/>
      <w:bookmarkStart w:id="312" w:name="_Toc27645"/>
      <w:bookmarkStart w:id="313" w:name="_Toc28359"/>
      <w:bookmarkStart w:id="314" w:name="_Toc28845"/>
      <w:bookmarkStart w:id="315" w:name="_Toc47"/>
      <w:r>
        <w:rPr>
          <w:rFonts w:hint="eastAsia" w:ascii="宋体" w:hAnsi="宋体" w:eastAsia="宋体" w:cs="宋体"/>
          <w:b/>
          <w:bCs/>
        </w:rPr>
        <w:t>第三部分  资格证明文件</w:t>
      </w:r>
      <w:bookmarkEnd w:id="310"/>
      <w:bookmarkEnd w:id="311"/>
      <w:bookmarkEnd w:id="312"/>
      <w:bookmarkEnd w:id="313"/>
      <w:bookmarkEnd w:id="314"/>
      <w:bookmarkEnd w:id="315"/>
    </w:p>
    <w:p>
      <w:pPr>
        <w:spacing w:line="560" w:lineRule="exact"/>
        <w:ind w:firstLine="496" w:firstLineChars="200"/>
        <w:jc w:val="both"/>
        <w:outlineLvl w:val="9"/>
        <w:rPr>
          <w:rFonts w:hint="eastAsia" w:ascii="宋体" w:hAnsi="宋体" w:eastAsia="宋体" w:cs="宋体"/>
          <w:sz w:val="24"/>
          <w:szCs w:val="24"/>
        </w:rPr>
      </w:pPr>
      <w:r>
        <w:rPr>
          <w:rFonts w:hint="eastAsia" w:ascii="宋体" w:hAnsi="宋体" w:eastAsia="宋体" w:cs="宋体"/>
          <w:sz w:val="24"/>
          <w:szCs w:val="24"/>
        </w:rPr>
        <w:t>按照招标文件第一章《投标邀请函》所列“供应商资格要求”提供各项资格证明文件，未按要求提供的，其投标文件将被视为无效文件。</w:t>
      </w:r>
    </w:p>
    <w:p>
      <w:pPr>
        <w:pStyle w:val="96"/>
        <w:bidi w:val="0"/>
        <w:rPr>
          <w:rFonts w:hint="eastAsia" w:eastAsia="宋体"/>
          <w:b/>
          <w:bCs/>
          <w:sz w:val="24"/>
          <w:szCs w:val="24"/>
          <w:lang w:val="en-US" w:eastAsia="zh-CN"/>
        </w:rPr>
      </w:pPr>
      <w:r>
        <w:rPr>
          <w:rFonts w:hint="eastAsia"/>
          <w:b/>
          <w:bCs/>
          <w:sz w:val="24"/>
          <w:szCs w:val="24"/>
        </w:rPr>
        <w:t>（一）有效的登记</w:t>
      </w:r>
      <w:r>
        <w:rPr>
          <w:rFonts w:hint="eastAsia"/>
          <w:b/>
          <w:bCs/>
          <w:sz w:val="24"/>
          <w:szCs w:val="24"/>
          <w:lang w:val="en-US" w:eastAsia="zh-CN"/>
        </w:rPr>
        <w:t>证书</w:t>
      </w:r>
    </w:p>
    <w:p>
      <w:pPr>
        <w:pStyle w:val="96"/>
        <w:bidi w:val="0"/>
        <w:rPr>
          <w:rFonts w:hint="eastAsia"/>
          <w:b/>
          <w:bCs/>
          <w:sz w:val="24"/>
          <w:szCs w:val="24"/>
        </w:rPr>
      </w:pPr>
      <w:r>
        <w:rPr>
          <w:rFonts w:hint="eastAsia"/>
          <w:b/>
          <w:bCs/>
          <w:sz w:val="24"/>
          <w:szCs w:val="24"/>
        </w:rPr>
        <w:t>（二）社会保障资金缴纳证明</w:t>
      </w:r>
    </w:p>
    <w:p>
      <w:pPr>
        <w:pStyle w:val="96"/>
        <w:bidi w:val="0"/>
        <w:rPr>
          <w:rFonts w:hint="eastAsia"/>
          <w:b/>
          <w:bCs/>
          <w:sz w:val="24"/>
          <w:szCs w:val="24"/>
        </w:rPr>
      </w:pPr>
      <w:r>
        <w:rPr>
          <w:rFonts w:hint="eastAsia"/>
          <w:b/>
          <w:bCs/>
          <w:sz w:val="24"/>
          <w:szCs w:val="24"/>
        </w:rPr>
        <w:t>（三）税收缴纳证明</w:t>
      </w:r>
    </w:p>
    <w:p>
      <w:pPr>
        <w:pStyle w:val="96"/>
        <w:bidi w:val="0"/>
        <w:rPr>
          <w:rFonts w:hint="eastAsia"/>
          <w:b/>
          <w:bCs/>
          <w:sz w:val="24"/>
          <w:szCs w:val="24"/>
        </w:rPr>
      </w:pPr>
      <w:r>
        <w:rPr>
          <w:rFonts w:hint="eastAsia"/>
          <w:b/>
          <w:bCs/>
          <w:sz w:val="24"/>
          <w:szCs w:val="24"/>
        </w:rPr>
        <w:t>（四）财务状况证明</w:t>
      </w:r>
    </w:p>
    <w:p>
      <w:pPr>
        <w:outlineLvl w:val="9"/>
        <w:rPr>
          <w:rFonts w:hint="eastAsia" w:ascii="宋体" w:hAnsi="宋体" w:eastAsia="宋体" w:cs="宋体"/>
          <w:sz w:val="24"/>
          <w:szCs w:val="24"/>
        </w:rPr>
      </w:pPr>
      <w:r>
        <w:rPr>
          <w:rFonts w:hint="eastAsia" w:ascii="宋体" w:hAnsi="宋体" w:eastAsia="宋体" w:cs="宋体"/>
          <w:sz w:val="24"/>
          <w:szCs w:val="24"/>
        </w:rPr>
        <w:br w:type="page"/>
      </w:r>
    </w:p>
    <w:p>
      <w:pPr>
        <w:pStyle w:val="96"/>
        <w:bidi w:val="0"/>
        <w:rPr>
          <w:rFonts w:hint="eastAsia"/>
          <w:b/>
          <w:bCs/>
          <w:sz w:val="28"/>
          <w:szCs w:val="28"/>
        </w:rPr>
      </w:pPr>
      <w:r>
        <w:rPr>
          <w:rFonts w:hint="eastAsia"/>
          <w:b/>
          <w:bCs/>
          <w:sz w:val="28"/>
          <w:szCs w:val="28"/>
        </w:rPr>
        <w:t>（五）无重大违法记录声明（按下方给定格式进行填写）</w:t>
      </w:r>
    </w:p>
    <w:p>
      <w:pPr>
        <w:jc w:val="center"/>
        <w:outlineLvl w:val="9"/>
        <w:rPr>
          <w:rFonts w:hint="eastAsia" w:ascii="宋体" w:hAnsi="宋体" w:cs="宋体"/>
          <w:color w:val="000000" w:themeColor="text1"/>
          <w:sz w:val="24"/>
          <w:szCs w:val="24"/>
          <w14:textFill>
            <w14:solidFill>
              <w14:schemeClr w14:val="tx1"/>
            </w14:solidFill>
          </w14:textFill>
        </w:rPr>
      </w:pPr>
    </w:p>
    <w:p>
      <w:pPr>
        <w:jc w:val="center"/>
        <w:outlineLvl w:val="9"/>
        <w:rPr>
          <w:rFonts w:hint="eastAsia" w:ascii="宋体" w:hAnsi="宋体" w:cs="宋体"/>
          <w:color w:val="000000" w:themeColor="text1"/>
          <w:sz w:val="24"/>
          <w:szCs w:val="24"/>
          <w14:textFill>
            <w14:solidFill>
              <w14:schemeClr w14:val="tx1"/>
            </w14:solidFill>
          </w14:textFill>
        </w:rPr>
      </w:pPr>
    </w:p>
    <w:p>
      <w:pPr>
        <w:bidi w:val="0"/>
        <w:jc w:val="center"/>
      </w:pPr>
      <w:bookmarkStart w:id="316" w:name="_Toc26713"/>
      <w:r>
        <w:rPr>
          <w:rFonts w:hint="eastAsia"/>
        </w:rPr>
        <w:t>无重大违法记录声明</w:t>
      </w:r>
      <w:bookmarkEnd w:id="316"/>
    </w:p>
    <w:p>
      <w:pPr>
        <w:widowControl/>
        <w:snapToGrid w:val="0"/>
        <w:spacing w:line="480" w:lineRule="auto"/>
        <w:ind w:firstLine="496" w:firstLineChars="200"/>
        <w:jc w:val="left"/>
        <w:outlineLvl w:val="9"/>
        <w:rPr>
          <w:rFonts w:hint="eastAsia" w:ascii="宋体" w:hAnsi="宋体" w:cs="宋体"/>
          <w:color w:val="000000" w:themeColor="text1"/>
          <w:kern w:val="0"/>
          <w:sz w:val="24"/>
          <w:szCs w:val="24"/>
          <w14:textFill>
            <w14:solidFill>
              <w14:schemeClr w14:val="tx1"/>
            </w14:solidFill>
          </w14:textFill>
        </w:rPr>
      </w:pPr>
    </w:p>
    <w:p>
      <w:pPr>
        <w:widowControl/>
        <w:snapToGrid w:val="0"/>
        <w:spacing w:line="480" w:lineRule="auto"/>
        <w:ind w:firstLine="496" w:firstLineChars="200"/>
        <w:jc w:val="left"/>
        <w:outlineLvl w:val="9"/>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我单位参与</w:t>
      </w:r>
      <w:r>
        <w:rPr>
          <w:rFonts w:hint="eastAsia" w:ascii="宋体" w:hAnsi="宋体" w:cs="宋体"/>
          <w:color w:val="000000" w:themeColor="text1"/>
          <w:kern w:val="0"/>
          <w:sz w:val="24"/>
          <w:szCs w:val="24"/>
          <w:u w:val="single"/>
          <w14:textFill>
            <w14:solidFill>
              <w14:schemeClr w14:val="tx1"/>
            </w14:solidFill>
          </w14:textFill>
        </w:rPr>
        <w:t xml:space="preserve">陕西万泽招标有限公司 </w:t>
      </w:r>
      <w:r>
        <w:rPr>
          <w:rFonts w:hint="eastAsia" w:ascii="宋体" w:hAnsi="宋体" w:cs="宋体"/>
          <w:color w:val="000000" w:themeColor="text1"/>
          <w:kern w:val="0"/>
          <w:sz w:val="24"/>
          <w:szCs w:val="24"/>
          <w14:textFill>
            <w14:solidFill>
              <w14:schemeClr w14:val="tx1"/>
            </w14:solidFill>
          </w14:textFill>
        </w:rPr>
        <w:t>组织的</w:t>
      </w:r>
      <w:r>
        <w:rPr>
          <w:rFonts w:hint="eastAsia" w:ascii="宋体" w:hAnsi="宋体" w:cs="宋体"/>
          <w:color w:val="000000" w:themeColor="text1"/>
          <w:kern w:val="0"/>
          <w:sz w:val="24"/>
          <w:szCs w:val="24"/>
          <w:u w:val="single"/>
          <w14:textFill>
            <w14:solidFill>
              <w14:schemeClr w14:val="tx1"/>
            </w14:solidFill>
          </w14:textFill>
        </w:rPr>
        <w:t xml:space="preserve">             （项目名称）              </w:t>
      </w:r>
      <w:r>
        <w:rPr>
          <w:rFonts w:hint="eastAsia" w:ascii="宋体" w:hAnsi="宋体" w:cs="宋体"/>
          <w:color w:val="000000" w:themeColor="text1"/>
          <w:kern w:val="0"/>
          <w:sz w:val="24"/>
          <w:szCs w:val="24"/>
          <w14:textFill>
            <w14:solidFill>
              <w14:schemeClr w14:val="tx1"/>
            </w14:solidFill>
          </w14:textFill>
        </w:rPr>
        <w:t>公开招标，我单位郑重声明：我方参加本项目采购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496" w:firstLineChars="200"/>
        <w:jc w:val="left"/>
        <w:outlineLvl w:val="9"/>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特此声明。</w:t>
      </w:r>
    </w:p>
    <w:p>
      <w:pPr>
        <w:widowControl/>
        <w:snapToGrid w:val="0"/>
        <w:spacing w:line="360" w:lineRule="auto"/>
        <w:jc w:val="left"/>
        <w:outlineLvl w:val="9"/>
        <w:rPr>
          <w:rFonts w:hint="eastAsia" w:hAnsi="宋体" w:cs="宋体"/>
          <w:color w:val="000000" w:themeColor="text1"/>
          <w:sz w:val="24"/>
          <w:szCs w:val="24"/>
          <w14:textFill>
            <w14:solidFill>
              <w14:schemeClr w14:val="tx1"/>
            </w14:solidFill>
          </w14:textFill>
        </w:rPr>
      </w:pPr>
    </w:p>
    <w:p>
      <w:pPr>
        <w:widowControl/>
        <w:snapToGrid w:val="0"/>
        <w:spacing w:line="360" w:lineRule="auto"/>
        <w:jc w:val="left"/>
        <w:outlineLvl w:val="9"/>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供应商（单位名称及公章）：</w:t>
      </w:r>
    </w:p>
    <w:p>
      <w:pPr>
        <w:pStyle w:val="19"/>
        <w:spacing w:line="360" w:lineRule="auto"/>
        <w:jc w:val="left"/>
        <w:outlineLvl w:val="9"/>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法定代表人或被授权人（签字或盖章）：</w:t>
      </w:r>
    </w:p>
    <w:p>
      <w:pPr>
        <w:spacing w:line="360" w:lineRule="auto"/>
        <w:jc w:val="both"/>
        <w:outlineLvl w:val="9"/>
        <w:rPr>
          <w:rFonts w:hint="eastAsia" w:ascii="宋体" w:hAnsi="宋体" w:eastAsia="宋体" w:cs="宋体"/>
          <w:sz w:val="24"/>
          <w:szCs w:val="24"/>
        </w:rPr>
      </w:pPr>
      <w:r>
        <w:rPr>
          <w:rFonts w:hint="eastAsia" w:ascii="宋体" w:hAnsi="宋体" w:cs="宋体"/>
          <w:color w:val="000000" w:themeColor="text1"/>
          <w:kern w:val="0"/>
          <w:sz w:val="24"/>
          <w:szCs w:val="24"/>
          <w14:textFill>
            <w14:solidFill>
              <w14:schemeClr w14:val="tx1"/>
            </w14:solidFill>
          </w14:textFill>
        </w:rPr>
        <w:t>日    期</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sz w:val="24"/>
          <w:szCs w:val="24"/>
        </w:rPr>
        <w:br w:type="page"/>
      </w:r>
    </w:p>
    <w:p>
      <w:pPr>
        <w:pStyle w:val="96"/>
        <w:bidi w:val="0"/>
        <w:rPr>
          <w:rFonts w:hint="eastAsia"/>
          <w:b/>
          <w:bCs/>
          <w:sz w:val="28"/>
          <w:szCs w:val="28"/>
        </w:rPr>
      </w:pPr>
      <w:r>
        <w:rPr>
          <w:rFonts w:hint="eastAsia"/>
          <w:b/>
          <w:bCs/>
          <w:sz w:val="28"/>
          <w:szCs w:val="28"/>
        </w:rPr>
        <w:t>（六）法定代表人委托授权书</w:t>
      </w:r>
      <w:r>
        <w:rPr>
          <w:rFonts w:hint="eastAsia"/>
          <w:b/>
          <w:bCs/>
          <w:sz w:val="28"/>
          <w:szCs w:val="28"/>
          <w:lang w:eastAsia="zh-CN"/>
        </w:rPr>
        <w:t>或</w:t>
      </w:r>
      <w:r>
        <w:rPr>
          <w:rFonts w:hint="eastAsia"/>
          <w:b/>
          <w:bCs/>
          <w:sz w:val="28"/>
          <w:szCs w:val="28"/>
        </w:rPr>
        <w:t>身份证明（按下方给定格式进行填写）</w:t>
      </w:r>
    </w:p>
    <w:p>
      <w:pPr>
        <w:bidi w:val="0"/>
        <w:jc w:val="center"/>
        <w:rPr>
          <w:b/>
          <w:bCs/>
        </w:rPr>
      </w:pPr>
      <w:bookmarkStart w:id="317" w:name="_Toc17726"/>
      <w:r>
        <w:rPr>
          <w:rFonts w:hint="eastAsia"/>
        </w:rPr>
        <w:t>法定代表人证明书（格式）</w:t>
      </w:r>
      <w:bookmarkEnd w:id="317"/>
    </w:p>
    <w:tbl>
      <w:tblPr>
        <w:tblStyle w:val="31"/>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283"/>
        <w:gridCol w:w="1899"/>
        <w:gridCol w:w="178"/>
        <w:gridCol w:w="208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20" w:type="dxa"/>
            <w:gridSpan w:val="6"/>
            <w:vAlign w:val="center"/>
          </w:tcPr>
          <w:p>
            <w:pPr>
              <w:outlineLvl w:val="9"/>
            </w:pPr>
            <w:r>
              <w:rPr>
                <w:rFonts w:hint="eastAsia"/>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restart"/>
            <w:vAlign w:val="center"/>
          </w:tcPr>
          <w:p>
            <w:pPr>
              <w:outlineLvl w:val="9"/>
            </w:pPr>
            <w:r>
              <w:rPr>
                <w:rFonts w:hint="eastAsia"/>
              </w:rPr>
              <w:t>企</w:t>
            </w:r>
          </w:p>
          <w:p>
            <w:pPr>
              <w:outlineLvl w:val="9"/>
            </w:pPr>
            <w:r>
              <w:rPr>
                <w:rFonts w:hint="eastAsia"/>
              </w:rPr>
              <w:t>业</w:t>
            </w:r>
          </w:p>
          <w:p>
            <w:pPr>
              <w:outlineLvl w:val="9"/>
            </w:pPr>
            <w:r>
              <w:rPr>
                <w:rFonts w:hint="eastAsia"/>
              </w:rPr>
              <w:t>法</w:t>
            </w:r>
          </w:p>
          <w:p>
            <w:pPr>
              <w:outlineLvl w:val="9"/>
            </w:pPr>
            <w:r>
              <w:rPr>
                <w:rFonts w:hint="eastAsia"/>
              </w:rPr>
              <w:t>人</w:t>
            </w:r>
          </w:p>
        </w:tc>
        <w:tc>
          <w:tcPr>
            <w:tcW w:w="2283" w:type="dxa"/>
            <w:vAlign w:val="center"/>
          </w:tcPr>
          <w:p>
            <w:pPr>
              <w:outlineLvl w:val="9"/>
            </w:pPr>
            <w:r>
              <w:rPr>
                <w:rFonts w:hint="eastAsia"/>
              </w:rPr>
              <w:t>企业名称</w:t>
            </w:r>
          </w:p>
        </w:tc>
        <w:tc>
          <w:tcPr>
            <w:tcW w:w="6262" w:type="dxa"/>
            <w:gridSpan w:val="4"/>
            <w:vAlign w:val="center"/>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pPr>
              <w:outlineLvl w:val="9"/>
            </w:pPr>
          </w:p>
        </w:tc>
        <w:tc>
          <w:tcPr>
            <w:tcW w:w="2283" w:type="dxa"/>
            <w:vAlign w:val="center"/>
          </w:tcPr>
          <w:p>
            <w:pPr>
              <w:outlineLvl w:val="9"/>
            </w:pPr>
            <w:r>
              <w:rPr>
                <w:rFonts w:hint="eastAsia"/>
              </w:rPr>
              <w:t>法定地址</w:t>
            </w:r>
          </w:p>
        </w:tc>
        <w:tc>
          <w:tcPr>
            <w:tcW w:w="6262" w:type="dxa"/>
            <w:gridSpan w:val="4"/>
            <w:vAlign w:val="center"/>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pPr>
              <w:outlineLvl w:val="9"/>
            </w:pPr>
          </w:p>
        </w:tc>
        <w:tc>
          <w:tcPr>
            <w:tcW w:w="2283" w:type="dxa"/>
            <w:vAlign w:val="center"/>
          </w:tcPr>
          <w:p>
            <w:pPr>
              <w:outlineLvl w:val="9"/>
            </w:pPr>
            <w:r>
              <w:rPr>
                <w:rFonts w:hint="eastAsia"/>
              </w:rPr>
              <w:t>邮政编码</w:t>
            </w:r>
          </w:p>
        </w:tc>
        <w:tc>
          <w:tcPr>
            <w:tcW w:w="6262" w:type="dxa"/>
            <w:gridSpan w:val="4"/>
            <w:vAlign w:val="center"/>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5" w:type="dxa"/>
            <w:vMerge w:val="continue"/>
            <w:vAlign w:val="center"/>
          </w:tcPr>
          <w:p>
            <w:pPr>
              <w:outlineLvl w:val="9"/>
            </w:pPr>
          </w:p>
        </w:tc>
        <w:tc>
          <w:tcPr>
            <w:tcW w:w="2283" w:type="dxa"/>
            <w:vAlign w:val="center"/>
          </w:tcPr>
          <w:p>
            <w:pPr>
              <w:outlineLvl w:val="9"/>
            </w:pPr>
            <w:r>
              <w:rPr>
                <w:rFonts w:hint="eastAsia"/>
              </w:rPr>
              <w:t>工商登记机关</w:t>
            </w:r>
          </w:p>
        </w:tc>
        <w:tc>
          <w:tcPr>
            <w:tcW w:w="6262" w:type="dxa"/>
            <w:gridSpan w:val="4"/>
            <w:vAlign w:val="center"/>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5" w:type="dxa"/>
            <w:vMerge w:val="continue"/>
            <w:vAlign w:val="center"/>
          </w:tcPr>
          <w:p>
            <w:pPr>
              <w:outlineLvl w:val="9"/>
            </w:pPr>
          </w:p>
        </w:tc>
        <w:tc>
          <w:tcPr>
            <w:tcW w:w="2283" w:type="dxa"/>
            <w:vAlign w:val="center"/>
          </w:tcPr>
          <w:p>
            <w:pPr>
              <w:outlineLvl w:val="9"/>
            </w:pPr>
            <w:r>
              <w:rPr>
                <w:rFonts w:hint="eastAsia"/>
              </w:rPr>
              <w:t>统一社会信用代码</w:t>
            </w:r>
          </w:p>
        </w:tc>
        <w:tc>
          <w:tcPr>
            <w:tcW w:w="6262" w:type="dxa"/>
            <w:gridSpan w:val="4"/>
            <w:vAlign w:val="center"/>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restart"/>
            <w:vAlign w:val="center"/>
          </w:tcPr>
          <w:p>
            <w:pPr>
              <w:outlineLvl w:val="9"/>
            </w:pPr>
            <w:r>
              <w:rPr>
                <w:rFonts w:hint="eastAsia"/>
              </w:rPr>
              <w:t>法</w:t>
            </w:r>
          </w:p>
          <w:p>
            <w:pPr>
              <w:outlineLvl w:val="9"/>
            </w:pPr>
            <w:r>
              <w:rPr>
                <w:rFonts w:hint="eastAsia"/>
              </w:rPr>
              <w:t>定</w:t>
            </w:r>
          </w:p>
          <w:p>
            <w:pPr>
              <w:outlineLvl w:val="9"/>
            </w:pPr>
            <w:r>
              <w:rPr>
                <w:rFonts w:hint="eastAsia"/>
              </w:rPr>
              <w:t>代</w:t>
            </w:r>
          </w:p>
          <w:p>
            <w:pPr>
              <w:outlineLvl w:val="9"/>
            </w:pPr>
            <w:r>
              <w:rPr>
                <w:rFonts w:hint="eastAsia"/>
              </w:rPr>
              <w:t>表</w:t>
            </w:r>
          </w:p>
          <w:p>
            <w:pPr>
              <w:outlineLvl w:val="9"/>
            </w:pPr>
            <w:r>
              <w:rPr>
                <w:rFonts w:hint="eastAsia"/>
              </w:rPr>
              <w:t>人</w:t>
            </w:r>
          </w:p>
        </w:tc>
        <w:tc>
          <w:tcPr>
            <w:tcW w:w="2283" w:type="dxa"/>
            <w:vAlign w:val="center"/>
          </w:tcPr>
          <w:p>
            <w:pPr>
              <w:outlineLvl w:val="9"/>
            </w:pPr>
            <w:r>
              <w:rPr>
                <w:rFonts w:hint="eastAsia"/>
              </w:rPr>
              <w:t>姓名</w:t>
            </w:r>
          </w:p>
        </w:tc>
        <w:tc>
          <w:tcPr>
            <w:tcW w:w="2077" w:type="dxa"/>
            <w:gridSpan w:val="2"/>
            <w:vAlign w:val="center"/>
          </w:tcPr>
          <w:p>
            <w:pPr>
              <w:outlineLvl w:val="9"/>
            </w:pPr>
          </w:p>
        </w:tc>
        <w:tc>
          <w:tcPr>
            <w:tcW w:w="2089" w:type="dxa"/>
            <w:vAlign w:val="center"/>
          </w:tcPr>
          <w:p>
            <w:pPr>
              <w:outlineLvl w:val="9"/>
            </w:pPr>
            <w:r>
              <w:rPr>
                <w:rFonts w:hint="eastAsia"/>
              </w:rPr>
              <w:t>性别</w:t>
            </w:r>
          </w:p>
        </w:tc>
        <w:tc>
          <w:tcPr>
            <w:tcW w:w="2096" w:type="dxa"/>
            <w:vAlign w:val="center"/>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pPr>
              <w:outlineLvl w:val="9"/>
            </w:pPr>
          </w:p>
        </w:tc>
        <w:tc>
          <w:tcPr>
            <w:tcW w:w="2283" w:type="dxa"/>
            <w:vAlign w:val="center"/>
          </w:tcPr>
          <w:p>
            <w:pPr>
              <w:outlineLvl w:val="9"/>
            </w:pPr>
            <w:r>
              <w:rPr>
                <w:rFonts w:hint="eastAsia"/>
              </w:rPr>
              <w:t>职务</w:t>
            </w:r>
          </w:p>
        </w:tc>
        <w:tc>
          <w:tcPr>
            <w:tcW w:w="2077" w:type="dxa"/>
            <w:gridSpan w:val="2"/>
            <w:vAlign w:val="center"/>
          </w:tcPr>
          <w:p>
            <w:pPr>
              <w:outlineLvl w:val="9"/>
            </w:pPr>
          </w:p>
        </w:tc>
        <w:tc>
          <w:tcPr>
            <w:tcW w:w="2089" w:type="dxa"/>
            <w:vAlign w:val="center"/>
          </w:tcPr>
          <w:p>
            <w:pPr>
              <w:outlineLvl w:val="9"/>
            </w:pPr>
            <w:r>
              <w:rPr>
                <w:rFonts w:hint="eastAsia"/>
              </w:rPr>
              <w:t>联系电话</w:t>
            </w:r>
          </w:p>
        </w:tc>
        <w:tc>
          <w:tcPr>
            <w:tcW w:w="2096" w:type="dxa"/>
            <w:vAlign w:val="center"/>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75" w:type="dxa"/>
            <w:vMerge w:val="continue"/>
            <w:vAlign w:val="center"/>
          </w:tcPr>
          <w:p>
            <w:pPr>
              <w:outlineLvl w:val="9"/>
            </w:pPr>
          </w:p>
        </w:tc>
        <w:tc>
          <w:tcPr>
            <w:tcW w:w="2283" w:type="dxa"/>
            <w:vAlign w:val="center"/>
          </w:tcPr>
          <w:p>
            <w:pPr>
              <w:outlineLvl w:val="9"/>
            </w:pPr>
            <w:r>
              <w:rPr>
                <w:rFonts w:hint="eastAsia"/>
              </w:rPr>
              <w:t>传真</w:t>
            </w:r>
          </w:p>
        </w:tc>
        <w:tc>
          <w:tcPr>
            <w:tcW w:w="6262" w:type="dxa"/>
            <w:gridSpan w:val="4"/>
            <w:vAlign w:val="center"/>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575" w:type="dxa"/>
            <w:vMerge w:val="restart"/>
            <w:vAlign w:val="center"/>
          </w:tcPr>
          <w:p>
            <w:pPr>
              <w:outlineLvl w:val="9"/>
            </w:pPr>
            <w:r>
              <w:rPr>
                <w:rFonts w:hint="eastAsia"/>
              </w:rPr>
              <w:t>法</w:t>
            </w:r>
          </w:p>
          <w:p>
            <w:pPr>
              <w:outlineLvl w:val="9"/>
            </w:pPr>
            <w:r>
              <w:rPr>
                <w:rFonts w:hint="eastAsia"/>
              </w:rPr>
              <w:t>定</w:t>
            </w:r>
          </w:p>
          <w:p>
            <w:pPr>
              <w:outlineLvl w:val="9"/>
            </w:pPr>
            <w:r>
              <w:rPr>
                <w:rFonts w:hint="eastAsia"/>
              </w:rPr>
              <w:t>代</w:t>
            </w:r>
          </w:p>
          <w:p>
            <w:pPr>
              <w:outlineLvl w:val="9"/>
            </w:pPr>
            <w:r>
              <w:rPr>
                <w:rFonts w:hint="eastAsia"/>
              </w:rPr>
              <w:t>表</w:t>
            </w:r>
          </w:p>
          <w:p>
            <w:pPr>
              <w:outlineLvl w:val="9"/>
            </w:pPr>
            <w:r>
              <w:rPr>
                <w:rFonts w:hint="eastAsia"/>
              </w:rPr>
              <w:t>人</w:t>
            </w:r>
          </w:p>
          <w:p>
            <w:pPr>
              <w:outlineLvl w:val="9"/>
            </w:pPr>
            <w:r>
              <w:rPr>
                <w:rFonts w:hint="eastAsia"/>
              </w:rPr>
              <w:t>身</w:t>
            </w:r>
          </w:p>
          <w:p>
            <w:pPr>
              <w:outlineLvl w:val="9"/>
            </w:pPr>
            <w:r>
              <w:rPr>
                <w:rFonts w:hint="eastAsia"/>
              </w:rPr>
              <w:t>份</w:t>
            </w:r>
          </w:p>
          <w:p>
            <w:pPr>
              <w:outlineLvl w:val="9"/>
            </w:pPr>
            <w:r>
              <w:rPr>
                <w:rFonts w:hint="eastAsia"/>
              </w:rPr>
              <w:t>证</w:t>
            </w:r>
          </w:p>
          <w:p>
            <w:pPr>
              <w:outlineLvl w:val="9"/>
            </w:pPr>
            <w:r>
              <w:rPr>
                <w:rFonts w:hint="eastAsia"/>
              </w:rPr>
              <w:t>复</w:t>
            </w:r>
          </w:p>
          <w:p>
            <w:pPr>
              <w:outlineLvl w:val="9"/>
            </w:pPr>
            <w:r>
              <w:rPr>
                <w:rFonts w:hint="eastAsia"/>
              </w:rPr>
              <w:t>印</w:t>
            </w:r>
          </w:p>
          <w:p>
            <w:pPr>
              <w:outlineLvl w:val="9"/>
            </w:pPr>
            <w:r>
              <w:rPr>
                <w:rFonts w:hint="eastAsia"/>
              </w:rPr>
              <w:t>件</w:t>
            </w:r>
          </w:p>
        </w:tc>
        <w:tc>
          <w:tcPr>
            <w:tcW w:w="4182" w:type="dxa"/>
            <w:gridSpan w:val="2"/>
            <w:vMerge w:val="restart"/>
            <w:vAlign w:val="center"/>
          </w:tcPr>
          <w:p>
            <w:pPr>
              <w:outlineLvl w:val="9"/>
            </w:pPr>
            <w:r>
              <w:rPr>
                <w:rFonts w:hint="eastAsia"/>
              </w:rPr>
              <w:t>（正反面）</w:t>
            </w:r>
          </w:p>
        </w:tc>
        <w:tc>
          <w:tcPr>
            <w:tcW w:w="4363" w:type="dxa"/>
            <w:gridSpan w:val="3"/>
            <w:vAlign w:val="center"/>
          </w:tcPr>
          <w:p>
            <w:pPr>
              <w:outlineLvl w:val="9"/>
            </w:pPr>
            <w:r>
              <w:rPr>
                <w:rFonts w:hint="eastAsia"/>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575" w:type="dxa"/>
            <w:vMerge w:val="continue"/>
            <w:vAlign w:val="center"/>
          </w:tcPr>
          <w:p>
            <w:pPr>
              <w:outlineLvl w:val="9"/>
            </w:pPr>
          </w:p>
        </w:tc>
        <w:tc>
          <w:tcPr>
            <w:tcW w:w="4182" w:type="dxa"/>
            <w:gridSpan w:val="2"/>
            <w:vMerge w:val="continue"/>
            <w:vAlign w:val="center"/>
          </w:tcPr>
          <w:p>
            <w:pPr>
              <w:outlineLvl w:val="9"/>
            </w:pPr>
          </w:p>
        </w:tc>
        <w:tc>
          <w:tcPr>
            <w:tcW w:w="4363" w:type="dxa"/>
            <w:gridSpan w:val="3"/>
            <w:vAlign w:val="bottom"/>
          </w:tcPr>
          <w:p>
            <w:pPr>
              <w:outlineLvl w:val="9"/>
            </w:pPr>
            <w:r>
              <w:rPr>
                <w:rFonts w:hint="eastAsia"/>
              </w:rPr>
              <w:t>（公章）</w:t>
            </w:r>
          </w:p>
          <w:p>
            <w:pPr>
              <w:outlineLvl w:val="9"/>
            </w:pPr>
          </w:p>
          <w:p>
            <w:pPr>
              <w:outlineLvl w:val="9"/>
            </w:pPr>
          </w:p>
          <w:p>
            <w:pPr>
              <w:outlineLvl w:val="9"/>
            </w:pPr>
          </w:p>
          <w:p>
            <w:pPr>
              <w:outlineLvl w:val="9"/>
            </w:pPr>
          </w:p>
        </w:tc>
      </w:tr>
    </w:tbl>
    <w:p>
      <w:pPr>
        <w:pStyle w:val="11"/>
        <w:outlineLvl w:val="9"/>
        <w:rPr>
          <w:color w:val="000000" w:themeColor="text1"/>
          <w:sz w:val="24"/>
          <w:szCs w:val="24"/>
          <w14:textFill>
            <w14:solidFill>
              <w14:schemeClr w14:val="tx1"/>
            </w14:solidFill>
          </w14:textFill>
        </w:rPr>
      </w:pPr>
    </w:p>
    <w:p>
      <w:pPr>
        <w:outlineLvl w:val="9"/>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p>
    <w:p>
      <w:pPr>
        <w:bidi w:val="0"/>
        <w:jc w:val="center"/>
      </w:pPr>
      <w:bookmarkStart w:id="318" w:name="_Toc21016"/>
      <w:r>
        <w:rPr>
          <w:rFonts w:hint="eastAsia"/>
        </w:rPr>
        <w:t>法定代表人授权委托书（格式）</w:t>
      </w:r>
      <w:bookmarkEnd w:id="318"/>
    </w:p>
    <w:p>
      <w:pPr>
        <w:pStyle w:val="19"/>
        <w:spacing w:line="500" w:lineRule="exact"/>
        <w:jc w:val="left"/>
        <w:outlineLvl w:val="9"/>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陕西万泽招标有限公司：</w:t>
      </w:r>
    </w:p>
    <w:p>
      <w:pPr>
        <w:pStyle w:val="19"/>
        <w:spacing w:line="500" w:lineRule="exact"/>
        <w:ind w:firstLine="496" w:firstLineChars="200"/>
        <w:jc w:val="left"/>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本授权书声明：注册于（</w:t>
      </w:r>
      <w:r>
        <w:rPr>
          <w:rFonts w:hint="eastAsia" w:asciiTheme="minorEastAsia" w:hAnsiTheme="minorEastAsia" w:eastAsiaTheme="minorEastAsia" w:cstheme="minorEastAsia"/>
          <w:sz w:val="24"/>
          <w:szCs w:val="24"/>
          <w:u w:val="single"/>
        </w:rPr>
        <w:t>工商行政管理局名称）之（委托单位全称）</w:t>
      </w:r>
      <w:r>
        <w:rPr>
          <w:rFonts w:hint="eastAsia" w:asciiTheme="minorEastAsia" w:hAnsiTheme="minorEastAsia" w:eastAsiaTheme="minorEastAsia" w:cstheme="minorEastAsia"/>
          <w:sz w:val="24"/>
          <w:szCs w:val="24"/>
        </w:rPr>
        <w:t>的法定代表人</w:t>
      </w:r>
      <w:r>
        <w:rPr>
          <w:rFonts w:hint="eastAsia" w:asciiTheme="minorEastAsia" w:hAnsiTheme="minorEastAsia" w:eastAsiaTheme="minorEastAsia" w:cstheme="minorEastAsia"/>
          <w:sz w:val="24"/>
          <w:szCs w:val="24"/>
          <w:u w:val="single"/>
        </w:rPr>
        <w:t>（姓名、性别）</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（被授权人姓名、性别、职务）</w:t>
      </w:r>
      <w:r>
        <w:rPr>
          <w:rFonts w:hint="eastAsia" w:asciiTheme="minorEastAsia" w:hAnsiTheme="minorEastAsia" w:eastAsiaTheme="minorEastAsia" w:cstheme="minorEastAsia"/>
          <w:sz w:val="24"/>
          <w:szCs w:val="24"/>
        </w:rPr>
        <w:t>为本公司合法代理人，就贵方组织的有关</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（文件编号：____________________）的投标、洽谈、执行等具体事务，签署全部有关文件、文书、协议、合同，本公司对被授权人在本项目中的签名承担全部法律责任。</w:t>
      </w:r>
    </w:p>
    <w:p>
      <w:pPr>
        <w:pStyle w:val="19"/>
        <w:spacing w:line="500" w:lineRule="exact"/>
        <w:ind w:firstLine="496" w:firstLineChars="200"/>
        <w:jc w:val="left"/>
        <w:outlineLvl w:val="9"/>
        <w:rPr>
          <w:rFonts w:asciiTheme="minorEastAsia" w:hAnsiTheme="minorEastAsia" w:eastAsiaTheme="minorEastAsia" w:cstheme="minorEastAsia"/>
          <w:sz w:val="10"/>
          <w:szCs w:val="10"/>
        </w:rPr>
      </w:pPr>
      <w:r>
        <w:rPr>
          <w:rFonts w:hint="eastAsia" w:asciiTheme="minorEastAsia" w:hAnsiTheme="minorEastAsia" w:eastAsiaTheme="minorEastAsia" w:cstheme="minorEastAsia"/>
          <w:sz w:val="24"/>
          <w:szCs w:val="24"/>
        </w:rPr>
        <w:t>本授权书自投标文件递交截止之日起计算有效期为_____日历日。</w:t>
      </w:r>
    </w:p>
    <w:p>
      <w:pPr>
        <w:pStyle w:val="19"/>
        <w:spacing w:line="500" w:lineRule="exact"/>
        <w:ind w:firstLine="496" w:firstLineChars="200"/>
        <w:jc w:val="left"/>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单位名称：__________（</w:t>
      </w:r>
      <w:r>
        <w:rPr>
          <w:rFonts w:hint="eastAsia" w:asciiTheme="minorEastAsia" w:hAnsiTheme="minorEastAsia" w:cstheme="minorEastAsia"/>
          <w:sz w:val="24"/>
          <w:szCs w:val="24"/>
          <w:lang w:val="en-US" w:eastAsia="zh-CN"/>
        </w:rPr>
        <w:t>单位全称及</w:t>
      </w:r>
      <w:r>
        <w:rPr>
          <w:rFonts w:hint="eastAsia" w:asciiTheme="minorEastAsia" w:hAnsiTheme="minorEastAsia" w:eastAsiaTheme="minorEastAsia" w:cstheme="minorEastAsia"/>
          <w:sz w:val="24"/>
          <w:szCs w:val="24"/>
        </w:rPr>
        <w:t>公章）</w:t>
      </w:r>
    </w:p>
    <w:p>
      <w:pPr>
        <w:pStyle w:val="19"/>
        <w:spacing w:line="500" w:lineRule="exact"/>
        <w:ind w:firstLine="496" w:firstLineChars="200"/>
        <w:jc w:val="left"/>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法定代表人（签字或盖章）：________</w:t>
      </w:r>
    </w:p>
    <w:p>
      <w:pPr>
        <w:pStyle w:val="19"/>
        <w:spacing w:line="500" w:lineRule="exact"/>
        <w:ind w:firstLine="496" w:firstLineChars="200"/>
        <w:jc w:val="left"/>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被授权人(签字)：___________性别：_______职务：____________</w:t>
      </w:r>
    </w:p>
    <w:p>
      <w:pPr>
        <w:pStyle w:val="19"/>
        <w:spacing w:line="500" w:lineRule="exact"/>
        <w:ind w:firstLine="496" w:firstLineChars="200"/>
        <w:jc w:val="left"/>
        <w:outlineLvl w:val="9"/>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联系地址：____________________</w:t>
      </w:r>
    </w:p>
    <w:p>
      <w:pPr>
        <w:pStyle w:val="19"/>
        <w:spacing w:line="500" w:lineRule="exact"/>
        <w:ind w:firstLine="496" w:firstLineChars="200"/>
        <w:jc w:val="left"/>
        <w:outlineLvl w:val="9"/>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联系电话：____________________传真：____________________</w:t>
      </w:r>
    </w:p>
    <w:p>
      <w:pPr>
        <w:pStyle w:val="19"/>
        <w:spacing w:line="500" w:lineRule="exact"/>
        <w:ind w:firstLine="496" w:firstLineChars="200"/>
        <w:jc w:val="left"/>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法定代表人及被授权人身份证复印件</w:t>
      </w:r>
    </w:p>
    <w:tbl>
      <w:tblPr>
        <w:tblStyle w:val="3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3"/>
        <w:gridCol w:w="4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8" w:hRule="atLeast"/>
        </w:trPr>
        <w:tc>
          <w:tcPr>
            <w:tcW w:w="4443" w:type="dxa"/>
            <w:shd w:val="clear" w:color="auto" w:fill="D9D9D9"/>
            <w:vAlign w:val="center"/>
          </w:tcPr>
          <w:p>
            <w:pPr>
              <w:pStyle w:val="19"/>
              <w:spacing w:line="500" w:lineRule="exact"/>
              <w:jc w:val="left"/>
              <w:outlineLvl w:val="9"/>
              <w:rPr>
                <w:rFonts w:asciiTheme="minorEastAsia" w:hAnsiTheme="minorEastAsia" w:eastAsiaTheme="minorEastAsia" w:cstheme="minorEastAsia"/>
                <w:sz w:val="24"/>
                <w:szCs w:val="24"/>
                <w:shd w:val="pct10" w:color="auto" w:fill="FFFFFF"/>
              </w:rPr>
            </w:pPr>
            <w:r>
              <w:rPr>
                <w:rFonts w:hint="eastAsia" w:asciiTheme="minorEastAsia" w:hAnsiTheme="minorEastAsia" w:eastAsiaTheme="minorEastAsia" w:cstheme="minorEastAsia"/>
                <w:sz w:val="24"/>
                <w:szCs w:val="24"/>
                <w:shd w:val="pct10" w:color="auto" w:fill="FFFFFF"/>
              </w:rPr>
              <w:t>法定代表人身份证正反面复印件</w:t>
            </w:r>
          </w:p>
          <w:p>
            <w:pPr>
              <w:pStyle w:val="19"/>
              <w:spacing w:line="500" w:lineRule="exact"/>
              <w:jc w:val="left"/>
              <w:outlineLvl w:val="9"/>
              <w:rPr>
                <w:rFonts w:asciiTheme="minorEastAsia" w:hAnsiTheme="minorEastAsia" w:eastAsiaTheme="minorEastAsia" w:cstheme="minorEastAsia"/>
                <w:sz w:val="24"/>
                <w:szCs w:val="24"/>
                <w:shd w:val="pct10" w:color="auto" w:fill="FFFFFF"/>
              </w:rPr>
            </w:pPr>
          </w:p>
        </w:tc>
        <w:tc>
          <w:tcPr>
            <w:tcW w:w="4597" w:type="dxa"/>
            <w:shd w:val="clear" w:color="auto" w:fill="D9D9D9"/>
            <w:vAlign w:val="center"/>
          </w:tcPr>
          <w:p>
            <w:pPr>
              <w:pStyle w:val="19"/>
              <w:spacing w:line="500" w:lineRule="exact"/>
              <w:ind w:firstLine="496" w:firstLineChars="200"/>
              <w:jc w:val="left"/>
              <w:outlineLvl w:val="9"/>
              <w:rPr>
                <w:rFonts w:asciiTheme="minorEastAsia" w:hAnsiTheme="minorEastAsia" w:eastAsiaTheme="minorEastAsia" w:cstheme="minorEastAsia"/>
                <w:sz w:val="24"/>
                <w:szCs w:val="24"/>
                <w:shd w:val="pct10" w:color="auto" w:fill="FFFFFF"/>
              </w:rPr>
            </w:pPr>
            <w:r>
              <w:rPr>
                <w:rFonts w:hint="eastAsia" w:asciiTheme="minorEastAsia" w:hAnsiTheme="minorEastAsia" w:eastAsiaTheme="minorEastAsia" w:cstheme="minorEastAsia"/>
                <w:sz w:val="24"/>
                <w:szCs w:val="24"/>
                <w:shd w:val="pct10" w:color="auto" w:fill="FFFFFF"/>
              </w:rPr>
              <w:t>被授权人身份证正反面复印件</w:t>
            </w:r>
          </w:p>
          <w:p>
            <w:pPr>
              <w:pStyle w:val="19"/>
              <w:spacing w:line="500" w:lineRule="exact"/>
              <w:ind w:firstLine="496" w:firstLineChars="200"/>
              <w:jc w:val="left"/>
              <w:outlineLvl w:val="9"/>
              <w:rPr>
                <w:rFonts w:asciiTheme="minorEastAsia" w:hAnsiTheme="minorEastAsia" w:eastAsiaTheme="minorEastAsia" w:cstheme="minorEastAsia"/>
                <w:sz w:val="24"/>
                <w:szCs w:val="24"/>
                <w:shd w:val="pct10" w:color="auto" w:fill="FFFFFF"/>
              </w:rPr>
            </w:pPr>
          </w:p>
        </w:tc>
      </w:tr>
    </w:tbl>
    <w:p>
      <w:pPr>
        <w:spacing w:line="560" w:lineRule="exact"/>
        <w:jc w:val="both"/>
        <w:rPr>
          <w:rFonts w:hint="eastAsia" w:ascii="宋体" w:hAnsi="宋体" w:eastAsia="宋体" w:cs="宋体"/>
          <w:sz w:val="32"/>
          <w:szCs w:val="32"/>
        </w:rPr>
      </w:pPr>
      <w:r>
        <w:rPr>
          <w:rFonts w:hint="eastAsia" w:ascii="宋体" w:hAnsi="宋体" w:eastAsia="宋体" w:cs="宋体"/>
          <w:sz w:val="32"/>
          <w:szCs w:val="32"/>
        </w:rPr>
        <w:br w:type="page"/>
      </w:r>
    </w:p>
    <w:p>
      <w:pPr>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auto"/>
        <w:rPr>
          <w:rFonts w:hint="eastAsia" w:asciiTheme="minorHAnsi" w:hAnsiTheme="minorHAnsi" w:eastAsiaTheme="minorEastAsia" w:cstheme="minorBidi"/>
          <w:b w:val="0"/>
          <w:bCs w:val="0"/>
          <w:kern w:val="2"/>
          <w:sz w:val="24"/>
          <w:szCs w:val="24"/>
          <w:lang w:val="en-US" w:eastAsia="zh-CN" w:bidi="ar-SA"/>
        </w:rPr>
      </w:pPr>
      <w:bookmarkStart w:id="319" w:name="_Toc9106"/>
      <w:bookmarkStart w:id="320" w:name="_Toc30568"/>
      <w:bookmarkStart w:id="321" w:name="_Toc32575"/>
      <w:bookmarkStart w:id="322" w:name="_Toc28294"/>
      <w:bookmarkStart w:id="323" w:name="_Toc26570"/>
      <w:bookmarkStart w:id="324" w:name="_Toc29109"/>
      <w:bookmarkStart w:id="325" w:name="_Toc14575"/>
      <w:bookmarkStart w:id="326" w:name="_Toc18738"/>
      <w:r>
        <w:rPr>
          <w:rFonts w:hint="eastAsia" w:cstheme="minorBidi"/>
          <w:b w:val="0"/>
          <w:bCs w:val="0"/>
          <w:kern w:val="2"/>
          <w:sz w:val="24"/>
          <w:szCs w:val="24"/>
          <w:lang w:val="en-US" w:eastAsia="zh-CN" w:bidi="ar-SA"/>
        </w:rPr>
        <w:t>（七）</w:t>
      </w:r>
      <w:r>
        <w:rPr>
          <w:rFonts w:hint="eastAsia" w:asciiTheme="minorHAnsi" w:hAnsiTheme="minorHAnsi" w:eastAsiaTheme="minorEastAsia" w:cstheme="minorBidi"/>
          <w:b w:val="0"/>
          <w:bCs w:val="0"/>
          <w:kern w:val="2"/>
          <w:sz w:val="24"/>
          <w:szCs w:val="24"/>
          <w:lang w:val="en-US" w:eastAsia="zh-CN" w:bidi="ar-SA"/>
        </w:rPr>
        <w:t>所投产品为进口产品还须提供产品制造厂商针对该产品完整授权链的授权书；</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auto"/>
        <w:rPr>
          <w:rFonts w:hint="eastAsia" w:asciiTheme="minorHAnsi" w:hAnsiTheme="minorHAnsi" w:eastAsiaTheme="minorEastAsia" w:cstheme="minorBidi"/>
          <w:b w:val="0"/>
          <w:bCs w:val="0"/>
          <w:kern w:val="2"/>
          <w:sz w:val="24"/>
          <w:szCs w:val="24"/>
          <w:lang w:val="en-US" w:eastAsia="zh-CN" w:bidi="ar-SA"/>
        </w:rPr>
      </w:pPr>
      <w:r>
        <w:rPr>
          <w:rFonts w:hint="eastAsia" w:cstheme="minorBidi"/>
          <w:b w:val="0"/>
          <w:bCs w:val="0"/>
          <w:kern w:val="2"/>
          <w:sz w:val="24"/>
          <w:szCs w:val="24"/>
          <w:lang w:val="en-US" w:eastAsia="zh-CN" w:bidi="ar-SA"/>
        </w:rPr>
        <w:t>（八）</w:t>
      </w:r>
      <w:r>
        <w:rPr>
          <w:rFonts w:hint="eastAsia" w:ascii="宋体" w:hAnsi="宋体" w:eastAsia="宋体" w:cs="宋体"/>
          <w:sz w:val="24"/>
          <w:szCs w:val="24"/>
          <w:highlight w:val="none"/>
          <w:lang w:val="en-US" w:eastAsia="zh-CN" w:bidi="ar-SA"/>
        </w:rPr>
        <w:t>投标人为代理商的应提供《医疗器械经营许可证》或《医疗器械经营备案凭证》；投标人为制造厂商的应提供《医疗器械经营许可证》和《医疗器械生产许可证》或《医疗器械生产备案凭证》</w:t>
      </w:r>
      <w:r>
        <w:rPr>
          <w:rFonts w:hint="eastAsia" w:asciiTheme="minorHAnsi" w:hAnsiTheme="minorHAnsi" w:eastAsiaTheme="minorEastAsia" w:cstheme="minorBidi"/>
          <w:b w:val="0"/>
          <w:bCs w:val="0"/>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hint="eastAsia"/>
          <w:sz w:val="24"/>
          <w:szCs w:val="24"/>
          <w:lang w:eastAsia="zh-CN"/>
        </w:rPr>
        <w:t>（</w:t>
      </w:r>
      <w:r>
        <w:rPr>
          <w:rFonts w:hint="eastAsia"/>
          <w:sz w:val="24"/>
          <w:szCs w:val="24"/>
          <w:lang w:val="en-US" w:eastAsia="zh-CN"/>
        </w:rPr>
        <w:t>九</w:t>
      </w:r>
      <w:r>
        <w:rPr>
          <w:rFonts w:hint="eastAsia"/>
          <w:sz w:val="24"/>
          <w:szCs w:val="24"/>
          <w:lang w:eastAsia="zh-CN"/>
        </w:rPr>
        <w:t>）</w:t>
      </w:r>
      <w:r>
        <w:rPr>
          <w:rFonts w:hint="eastAsia"/>
          <w:sz w:val="24"/>
          <w:szCs w:val="24"/>
        </w:rPr>
        <w:t>非联合体声明（格式自拟）；</w:t>
      </w:r>
    </w:p>
    <w:p>
      <w:pPr>
        <w:keepNext w:val="0"/>
        <w:keepLines w:val="0"/>
        <w:pageBreakBefore w:val="0"/>
        <w:widowControl/>
        <w:kinsoku/>
        <w:wordWrap/>
        <w:overflowPunct/>
        <w:topLinePunct w:val="0"/>
        <w:autoSpaceDE/>
        <w:autoSpaceDN/>
        <w:bidi w:val="0"/>
        <w:adjustRightInd/>
        <w:snapToGrid/>
        <w:spacing w:line="520" w:lineRule="exact"/>
        <w:textAlignment w:val="auto"/>
        <w:rPr>
          <w:sz w:val="24"/>
          <w:szCs w:val="24"/>
        </w:rPr>
      </w:pPr>
      <w:r>
        <w:rPr>
          <w:rFonts w:hint="eastAsia"/>
          <w:sz w:val="24"/>
          <w:szCs w:val="24"/>
          <w:lang w:val="en-US" w:eastAsia="zh-CN"/>
        </w:rPr>
        <w:t>（十）</w:t>
      </w:r>
      <w:r>
        <w:rPr>
          <w:rFonts w:hint="eastAsia"/>
          <w:sz w:val="24"/>
          <w:szCs w:val="24"/>
        </w:rPr>
        <w:t>投标人认为应该提交的其他证明材料；</w:t>
      </w:r>
    </w:p>
    <w:p>
      <w:pPr>
        <w:numPr>
          <w:ilvl w:val="0"/>
          <w:numId w:val="4"/>
        </w:numPr>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br w:type="page"/>
      </w:r>
    </w:p>
    <w:p>
      <w:pPr>
        <w:pStyle w:val="4"/>
        <w:bidi w:val="0"/>
        <w:jc w:val="center"/>
        <w:rPr>
          <w:rFonts w:hint="eastAsia" w:ascii="宋体" w:hAnsi="宋体" w:eastAsia="宋体" w:cs="宋体"/>
          <w:b/>
          <w:bCs/>
          <w:lang w:eastAsia="zh-CN"/>
        </w:rPr>
      </w:pPr>
      <w:bookmarkStart w:id="327" w:name="_Toc8729"/>
      <w:bookmarkStart w:id="328" w:name="_Toc29050"/>
      <w:bookmarkStart w:id="329" w:name="_Toc13470"/>
      <w:bookmarkStart w:id="330" w:name="_Toc1776"/>
      <w:bookmarkStart w:id="331" w:name="_Toc14307"/>
      <w:bookmarkStart w:id="332" w:name="_Toc8262"/>
      <w:r>
        <w:rPr>
          <w:rFonts w:hint="eastAsia" w:ascii="宋体" w:hAnsi="宋体" w:eastAsia="宋体" w:cs="宋体"/>
          <w:b/>
          <w:bCs/>
          <w:lang w:val="en-US" w:eastAsia="zh-CN"/>
        </w:rPr>
        <w:t>第四部分  供应商概况</w:t>
      </w:r>
      <w:bookmarkEnd w:id="327"/>
      <w:bookmarkEnd w:id="328"/>
      <w:bookmarkEnd w:id="329"/>
      <w:bookmarkEnd w:id="330"/>
      <w:bookmarkEnd w:id="331"/>
      <w:bookmarkEnd w:id="332"/>
    </w:p>
    <w:tbl>
      <w:tblPr>
        <w:tblStyle w:val="99"/>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供应商全称</w:t>
            </w:r>
          </w:p>
        </w:tc>
        <w:tc>
          <w:tcPr>
            <w:tcW w:w="6756" w:type="dxa"/>
            <w:gridSpan w:val="5"/>
          </w:tcPr>
          <w:p>
            <w:pPr>
              <w:ind w:firstLine="0"/>
              <w:jc w:val="both"/>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注册地址</w:t>
            </w:r>
          </w:p>
        </w:tc>
        <w:tc>
          <w:tcPr>
            <w:tcW w:w="2416" w:type="dxa"/>
            <w:gridSpan w:val="2"/>
          </w:tcPr>
          <w:p>
            <w:pPr>
              <w:ind w:firstLine="0"/>
              <w:jc w:val="both"/>
              <w:rPr>
                <w:rFonts w:hint="eastAsia" w:ascii="宋体" w:hAnsi="宋体" w:eastAsia="宋体" w:cs="宋体"/>
                <w:kern w:val="2"/>
                <w:sz w:val="24"/>
                <w:szCs w:val="24"/>
              </w:rPr>
            </w:pPr>
          </w:p>
        </w:tc>
        <w:tc>
          <w:tcPr>
            <w:tcW w:w="1411" w:type="dxa"/>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成立时间</w:t>
            </w:r>
          </w:p>
        </w:tc>
        <w:tc>
          <w:tcPr>
            <w:tcW w:w="2929" w:type="dxa"/>
            <w:gridSpan w:val="2"/>
          </w:tcPr>
          <w:p>
            <w:pPr>
              <w:ind w:firstLine="0"/>
              <w:jc w:val="both"/>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统一社会信用代码</w:t>
            </w:r>
          </w:p>
        </w:tc>
        <w:tc>
          <w:tcPr>
            <w:tcW w:w="2416" w:type="dxa"/>
            <w:gridSpan w:val="2"/>
          </w:tcPr>
          <w:p>
            <w:pPr>
              <w:ind w:firstLine="0"/>
              <w:jc w:val="both"/>
              <w:rPr>
                <w:rFonts w:hint="eastAsia" w:ascii="宋体" w:hAnsi="宋体" w:eastAsia="宋体" w:cs="宋体"/>
                <w:kern w:val="2"/>
                <w:sz w:val="24"/>
                <w:szCs w:val="24"/>
              </w:rPr>
            </w:pPr>
          </w:p>
        </w:tc>
        <w:tc>
          <w:tcPr>
            <w:tcW w:w="1411" w:type="dxa"/>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单位性质</w:t>
            </w:r>
          </w:p>
        </w:tc>
        <w:tc>
          <w:tcPr>
            <w:tcW w:w="2929" w:type="dxa"/>
            <w:gridSpan w:val="2"/>
          </w:tcPr>
          <w:p>
            <w:pPr>
              <w:ind w:firstLine="0"/>
              <w:jc w:val="both"/>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法定代表人</w:t>
            </w:r>
          </w:p>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（主要负责人）</w:t>
            </w:r>
          </w:p>
        </w:tc>
        <w:tc>
          <w:tcPr>
            <w:tcW w:w="2416" w:type="dxa"/>
            <w:gridSpan w:val="2"/>
          </w:tcPr>
          <w:p>
            <w:pPr>
              <w:ind w:firstLine="0"/>
              <w:jc w:val="both"/>
              <w:rPr>
                <w:rFonts w:hint="eastAsia" w:ascii="宋体" w:hAnsi="宋体" w:eastAsia="宋体" w:cs="宋体"/>
                <w:kern w:val="2"/>
                <w:sz w:val="24"/>
                <w:szCs w:val="24"/>
              </w:rPr>
            </w:pPr>
          </w:p>
        </w:tc>
        <w:tc>
          <w:tcPr>
            <w:tcW w:w="1411" w:type="dxa"/>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所属行业</w:t>
            </w:r>
          </w:p>
        </w:tc>
        <w:tc>
          <w:tcPr>
            <w:tcW w:w="2929" w:type="dxa"/>
            <w:gridSpan w:val="2"/>
          </w:tcPr>
          <w:p>
            <w:pPr>
              <w:ind w:firstLine="0"/>
              <w:jc w:val="both"/>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基本存款账户</w:t>
            </w:r>
          </w:p>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开户银行</w:t>
            </w:r>
          </w:p>
        </w:tc>
        <w:tc>
          <w:tcPr>
            <w:tcW w:w="2416" w:type="dxa"/>
            <w:gridSpan w:val="2"/>
          </w:tcPr>
          <w:p>
            <w:pPr>
              <w:ind w:firstLine="0"/>
              <w:jc w:val="both"/>
              <w:rPr>
                <w:rFonts w:hint="eastAsia" w:ascii="宋体" w:hAnsi="宋体" w:eastAsia="宋体" w:cs="宋体"/>
                <w:kern w:val="2"/>
                <w:sz w:val="24"/>
                <w:szCs w:val="24"/>
              </w:rPr>
            </w:pPr>
          </w:p>
        </w:tc>
        <w:tc>
          <w:tcPr>
            <w:tcW w:w="1411" w:type="dxa"/>
          </w:tcPr>
          <w:p>
            <w:pPr>
              <w:ind w:firstLine="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基本存款</w:t>
            </w:r>
          </w:p>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账户账号</w:t>
            </w:r>
          </w:p>
        </w:tc>
        <w:tc>
          <w:tcPr>
            <w:tcW w:w="2929" w:type="dxa"/>
            <w:gridSpan w:val="2"/>
          </w:tcPr>
          <w:p>
            <w:pPr>
              <w:ind w:firstLine="0"/>
              <w:jc w:val="both"/>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上年度</w:t>
            </w:r>
          </w:p>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营业收入*</w:t>
            </w:r>
          </w:p>
        </w:tc>
        <w:tc>
          <w:tcPr>
            <w:tcW w:w="2416" w:type="dxa"/>
            <w:gridSpan w:val="2"/>
          </w:tcPr>
          <w:p>
            <w:pPr>
              <w:ind w:firstLine="0"/>
              <w:jc w:val="both"/>
              <w:rPr>
                <w:rFonts w:hint="eastAsia" w:ascii="宋体" w:hAnsi="宋体" w:eastAsia="宋体" w:cs="宋体"/>
                <w:kern w:val="2"/>
                <w:sz w:val="24"/>
                <w:szCs w:val="24"/>
              </w:rPr>
            </w:pPr>
          </w:p>
        </w:tc>
        <w:tc>
          <w:tcPr>
            <w:tcW w:w="1411" w:type="dxa"/>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资产总额</w:t>
            </w:r>
          </w:p>
        </w:tc>
        <w:tc>
          <w:tcPr>
            <w:tcW w:w="2929" w:type="dxa"/>
            <w:gridSpan w:val="2"/>
          </w:tcPr>
          <w:p>
            <w:pPr>
              <w:ind w:firstLine="0"/>
              <w:jc w:val="both"/>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经营范围</w:t>
            </w:r>
          </w:p>
        </w:tc>
        <w:tc>
          <w:tcPr>
            <w:tcW w:w="6756" w:type="dxa"/>
            <w:gridSpan w:val="5"/>
          </w:tcPr>
          <w:p>
            <w:pPr>
              <w:ind w:firstLine="0"/>
              <w:jc w:val="both"/>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资质证书名称</w:t>
            </w:r>
          </w:p>
        </w:tc>
        <w:tc>
          <w:tcPr>
            <w:tcW w:w="2416" w:type="dxa"/>
            <w:gridSpan w:val="2"/>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证书号</w:t>
            </w:r>
          </w:p>
        </w:tc>
        <w:tc>
          <w:tcPr>
            <w:tcW w:w="1411" w:type="dxa"/>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等级</w:t>
            </w:r>
          </w:p>
        </w:tc>
        <w:tc>
          <w:tcPr>
            <w:tcW w:w="2929" w:type="dxa"/>
            <w:gridSpan w:val="2"/>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kern w:val="2"/>
                <w:sz w:val="24"/>
                <w:szCs w:val="24"/>
              </w:rPr>
            </w:pPr>
          </w:p>
        </w:tc>
        <w:tc>
          <w:tcPr>
            <w:tcW w:w="2416" w:type="dxa"/>
            <w:gridSpan w:val="2"/>
          </w:tcPr>
          <w:p>
            <w:pPr>
              <w:ind w:firstLine="0"/>
              <w:jc w:val="both"/>
              <w:rPr>
                <w:rFonts w:hint="eastAsia" w:ascii="宋体" w:hAnsi="宋体" w:eastAsia="宋体" w:cs="宋体"/>
                <w:kern w:val="2"/>
                <w:sz w:val="24"/>
                <w:szCs w:val="24"/>
              </w:rPr>
            </w:pPr>
          </w:p>
        </w:tc>
        <w:tc>
          <w:tcPr>
            <w:tcW w:w="1411" w:type="dxa"/>
          </w:tcPr>
          <w:p>
            <w:pPr>
              <w:ind w:firstLine="0"/>
              <w:jc w:val="both"/>
              <w:rPr>
                <w:rFonts w:hint="eastAsia" w:ascii="宋体" w:hAnsi="宋体" w:eastAsia="宋体" w:cs="宋体"/>
                <w:kern w:val="2"/>
                <w:sz w:val="24"/>
                <w:szCs w:val="24"/>
              </w:rPr>
            </w:pPr>
          </w:p>
        </w:tc>
        <w:tc>
          <w:tcPr>
            <w:tcW w:w="2929" w:type="dxa"/>
            <w:gridSpan w:val="2"/>
          </w:tcPr>
          <w:p>
            <w:pPr>
              <w:ind w:firstLine="0"/>
              <w:jc w:val="both"/>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kern w:val="2"/>
                <w:sz w:val="24"/>
                <w:szCs w:val="24"/>
              </w:rPr>
            </w:pPr>
          </w:p>
        </w:tc>
        <w:tc>
          <w:tcPr>
            <w:tcW w:w="2416" w:type="dxa"/>
            <w:gridSpan w:val="2"/>
          </w:tcPr>
          <w:p>
            <w:pPr>
              <w:ind w:firstLine="0"/>
              <w:jc w:val="both"/>
              <w:rPr>
                <w:rFonts w:hint="eastAsia" w:ascii="宋体" w:hAnsi="宋体" w:eastAsia="宋体" w:cs="宋体"/>
                <w:kern w:val="2"/>
                <w:sz w:val="24"/>
                <w:szCs w:val="24"/>
              </w:rPr>
            </w:pPr>
          </w:p>
        </w:tc>
        <w:tc>
          <w:tcPr>
            <w:tcW w:w="1411" w:type="dxa"/>
          </w:tcPr>
          <w:p>
            <w:pPr>
              <w:ind w:firstLine="0"/>
              <w:jc w:val="both"/>
              <w:rPr>
                <w:rFonts w:hint="eastAsia" w:ascii="宋体" w:hAnsi="宋体" w:eastAsia="宋体" w:cs="宋体"/>
                <w:kern w:val="2"/>
                <w:sz w:val="24"/>
                <w:szCs w:val="24"/>
              </w:rPr>
            </w:pPr>
          </w:p>
        </w:tc>
        <w:tc>
          <w:tcPr>
            <w:tcW w:w="2929" w:type="dxa"/>
            <w:gridSpan w:val="2"/>
          </w:tcPr>
          <w:p>
            <w:pPr>
              <w:ind w:firstLine="0"/>
              <w:jc w:val="both"/>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从业人员总数</w:t>
            </w:r>
          </w:p>
        </w:tc>
        <w:tc>
          <w:tcPr>
            <w:tcW w:w="992" w:type="dxa"/>
            <w:vMerge w:val="restart"/>
          </w:tcPr>
          <w:p>
            <w:pPr>
              <w:ind w:firstLine="0"/>
              <w:jc w:val="both"/>
              <w:rPr>
                <w:rFonts w:hint="eastAsia" w:ascii="宋体" w:hAnsi="宋体" w:eastAsia="宋体" w:cs="宋体"/>
                <w:kern w:val="2"/>
                <w:sz w:val="24"/>
                <w:szCs w:val="24"/>
              </w:rPr>
            </w:pPr>
          </w:p>
        </w:tc>
        <w:tc>
          <w:tcPr>
            <w:tcW w:w="1424" w:type="dxa"/>
          </w:tcPr>
          <w:p>
            <w:pPr>
              <w:ind w:firstLine="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管理人员</w:t>
            </w:r>
          </w:p>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数量</w:t>
            </w:r>
          </w:p>
        </w:tc>
        <w:tc>
          <w:tcPr>
            <w:tcW w:w="1411" w:type="dxa"/>
          </w:tcPr>
          <w:p>
            <w:pPr>
              <w:ind w:firstLine="0"/>
              <w:jc w:val="both"/>
              <w:rPr>
                <w:rFonts w:hint="eastAsia" w:ascii="宋体" w:hAnsi="宋体" w:eastAsia="宋体" w:cs="宋体"/>
                <w:kern w:val="2"/>
                <w:sz w:val="24"/>
                <w:szCs w:val="24"/>
              </w:rPr>
            </w:pPr>
          </w:p>
        </w:tc>
        <w:tc>
          <w:tcPr>
            <w:tcW w:w="1464" w:type="dxa"/>
          </w:tcPr>
          <w:p>
            <w:pPr>
              <w:ind w:firstLine="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专业技术</w:t>
            </w:r>
          </w:p>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人员数量</w:t>
            </w:r>
          </w:p>
        </w:tc>
        <w:tc>
          <w:tcPr>
            <w:tcW w:w="1465" w:type="dxa"/>
          </w:tcPr>
          <w:p>
            <w:pPr>
              <w:ind w:firstLine="0"/>
              <w:jc w:val="both"/>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pPr>
              <w:ind w:firstLine="0"/>
              <w:jc w:val="both"/>
              <w:rPr>
                <w:rFonts w:hint="eastAsia" w:ascii="宋体" w:hAnsi="宋体" w:eastAsia="宋体" w:cs="宋体"/>
                <w:kern w:val="2"/>
                <w:sz w:val="24"/>
                <w:szCs w:val="24"/>
              </w:rPr>
            </w:pPr>
          </w:p>
        </w:tc>
        <w:tc>
          <w:tcPr>
            <w:tcW w:w="992" w:type="dxa"/>
            <w:vMerge w:val="continue"/>
          </w:tcPr>
          <w:p>
            <w:pPr>
              <w:ind w:firstLine="0"/>
              <w:jc w:val="both"/>
              <w:rPr>
                <w:rFonts w:hint="eastAsia" w:ascii="宋体" w:hAnsi="宋体" w:eastAsia="宋体" w:cs="宋体"/>
                <w:kern w:val="2"/>
                <w:sz w:val="24"/>
                <w:szCs w:val="24"/>
              </w:rPr>
            </w:pPr>
          </w:p>
        </w:tc>
        <w:tc>
          <w:tcPr>
            <w:tcW w:w="1424" w:type="dxa"/>
          </w:tcPr>
          <w:p>
            <w:pPr>
              <w:ind w:firstLine="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残疾人</w:t>
            </w:r>
          </w:p>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数量</w:t>
            </w:r>
          </w:p>
        </w:tc>
        <w:tc>
          <w:tcPr>
            <w:tcW w:w="1411" w:type="dxa"/>
          </w:tcPr>
          <w:p>
            <w:pPr>
              <w:ind w:firstLine="0"/>
              <w:jc w:val="both"/>
              <w:rPr>
                <w:rFonts w:hint="eastAsia" w:ascii="宋体" w:hAnsi="宋体" w:eastAsia="宋体" w:cs="宋体"/>
                <w:kern w:val="2"/>
                <w:sz w:val="24"/>
                <w:szCs w:val="24"/>
              </w:rPr>
            </w:pPr>
          </w:p>
        </w:tc>
        <w:tc>
          <w:tcPr>
            <w:tcW w:w="1464" w:type="dxa"/>
          </w:tcPr>
          <w:p>
            <w:pPr>
              <w:ind w:firstLine="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少数民族</w:t>
            </w:r>
          </w:p>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数量</w:t>
            </w:r>
          </w:p>
        </w:tc>
        <w:tc>
          <w:tcPr>
            <w:tcW w:w="1465" w:type="dxa"/>
          </w:tcPr>
          <w:p>
            <w:pPr>
              <w:ind w:firstLine="0"/>
              <w:jc w:val="both"/>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存在直接控股、管理关系的相关供应商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关系</w:t>
            </w:r>
          </w:p>
        </w:tc>
        <w:tc>
          <w:tcPr>
            <w:tcW w:w="6756" w:type="dxa"/>
            <w:gridSpan w:val="5"/>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kern w:val="2"/>
                <w:sz w:val="24"/>
                <w:szCs w:val="24"/>
              </w:rPr>
            </w:pPr>
          </w:p>
        </w:tc>
        <w:tc>
          <w:tcPr>
            <w:tcW w:w="6756" w:type="dxa"/>
            <w:gridSpan w:val="5"/>
          </w:tcPr>
          <w:p>
            <w:pPr>
              <w:ind w:firstLine="0"/>
              <w:jc w:val="both"/>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kern w:val="2"/>
                <w:sz w:val="24"/>
                <w:szCs w:val="24"/>
              </w:rPr>
            </w:pPr>
          </w:p>
        </w:tc>
        <w:tc>
          <w:tcPr>
            <w:tcW w:w="6756" w:type="dxa"/>
            <w:gridSpan w:val="5"/>
          </w:tcPr>
          <w:p>
            <w:pPr>
              <w:ind w:firstLine="0"/>
              <w:jc w:val="both"/>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说明</w:t>
            </w:r>
          </w:p>
        </w:tc>
        <w:tc>
          <w:tcPr>
            <w:tcW w:w="6756" w:type="dxa"/>
            <w:gridSpan w:val="5"/>
          </w:tcPr>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1.成立时间至提交投标文件截止时间不足一年的可不填写“上年度营业收入”；</w:t>
            </w:r>
          </w:p>
          <w:p>
            <w:pPr>
              <w:ind w:firstLine="0"/>
              <w:jc w:val="both"/>
              <w:rPr>
                <w:rFonts w:hint="eastAsia" w:ascii="宋体" w:hAnsi="宋体" w:eastAsia="宋体" w:cs="宋体"/>
                <w:kern w:val="2"/>
                <w:sz w:val="24"/>
                <w:szCs w:val="24"/>
              </w:rPr>
            </w:pPr>
            <w:r>
              <w:rPr>
                <w:rFonts w:hint="eastAsia" w:ascii="宋体" w:hAnsi="宋体" w:eastAsia="宋体" w:cs="宋体"/>
                <w:kern w:val="2"/>
                <w:sz w:val="24"/>
                <w:szCs w:val="24"/>
              </w:rPr>
              <w:t>2.表格空间不足时，请自行扩展。</w:t>
            </w:r>
          </w:p>
        </w:tc>
      </w:tr>
    </w:tbl>
    <w:p>
      <w:pPr>
        <w:rPr>
          <w:rFonts w:hint="eastAsia" w:ascii="宋体" w:hAnsi="宋体" w:eastAsia="宋体" w:cs="宋体"/>
          <w:color w:val="000000" w:themeColor="text1"/>
          <w:sz w:val="32"/>
          <w:szCs w:val="32"/>
          <w:lang w:val="en-US" w:eastAsia="zh-CN"/>
          <w14:textFill>
            <w14:solidFill>
              <w14:schemeClr w14:val="tx1"/>
            </w14:solidFill>
          </w14:textFill>
        </w:rPr>
      </w:pPr>
    </w:p>
    <w:p>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pPr>
        <w:pStyle w:val="4"/>
        <w:bidi w:val="0"/>
        <w:jc w:val="center"/>
        <w:rPr>
          <w:rFonts w:hint="eastAsia" w:ascii="宋体" w:hAnsi="宋体" w:eastAsia="宋体" w:cs="宋体"/>
          <w:b/>
          <w:bCs/>
        </w:rPr>
      </w:pPr>
      <w:bookmarkStart w:id="333" w:name="_Toc25667"/>
      <w:bookmarkStart w:id="334" w:name="_Toc18006"/>
      <w:bookmarkStart w:id="335" w:name="_Toc22204"/>
      <w:bookmarkStart w:id="336" w:name="_Toc24840"/>
      <w:bookmarkStart w:id="337" w:name="_Toc30338"/>
      <w:bookmarkStart w:id="338" w:name="_Toc15730"/>
      <w:r>
        <w:rPr>
          <w:rFonts w:hint="eastAsia" w:ascii="宋体" w:hAnsi="宋体" w:eastAsia="宋体" w:cs="宋体"/>
          <w:b/>
          <w:bCs/>
        </w:rPr>
        <w:t>第</w:t>
      </w:r>
      <w:r>
        <w:rPr>
          <w:rFonts w:hint="eastAsia" w:ascii="宋体" w:hAnsi="宋体" w:eastAsia="宋体" w:cs="宋体"/>
          <w:b/>
          <w:bCs/>
          <w:lang w:val="en-US" w:eastAsia="zh-CN"/>
        </w:rPr>
        <w:t>五</w:t>
      </w:r>
      <w:r>
        <w:rPr>
          <w:rFonts w:hint="eastAsia" w:ascii="宋体" w:hAnsi="宋体" w:eastAsia="宋体" w:cs="宋体"/>
          <w:b/>
          <w:bCs/>
          <w:lang w:eastAsia="zh-CN"/>
        </w:rPr>
        <w:t>部分</w:t>
      </w:r>
      <w:r>
        <w:rPr>
          <w:rFonts w:hint="eastAsia" w:ascii="宋体" w:hAnsi="宋体" w:eastAsia="宋体" w:cs="宋体"/>
          <w:b/>
          <w:bCs/>
        </w:rPr>
        <w:t xml:space="preserve">  商务和需求响应偏离表</w:t>
      </w:r>
      <w:bookmarkEnd w:id="319"/>
      <w:bookmarkEnd w:id="320"/>
      <w:bookmarkEnd w:id="321"/>
      <w:bookmarkEnd w:id="322"/>
      <w:bookmarkEnd w:id="333"/>
      <w:bookmarkEnd w:id="334"/>
      <w:bookmarkEnd w:id="335"/>
      <w:bookmarkEnd w:id="336"/>
      <w:bookmarkEnd w:id="337"/>
      <w:bookmarkEnd w:id="338"/>
    </w:p>
    <w:p>
      <w:pPr>
        <w:kinsoku w:val="0"/>
        <w:spacing w:line="480" w:lineRule="auto"/>
        <w:ind w:left="1269" w:hanging="1267" w:hangingChars="44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表1、商务响应偏差表</w:t>
      </w:r>
    </w:p>
    <w:tbl>
      <w:tblPr>
        <w:tblStyle w:val="31"/>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0"/>
        <w:gridCol w:w="1725"/>
        <w:gridCol w:w="2789"/>
        <w:gridCol w:w="135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63" w:type="dxa"/>
            <w:vAlign w:val="center"/>
          </w:tcPr>
          <w:p>
            <w:pPr>
              <w:pStyle w:val="19"/>
              <w:spacing w:line="480" w:lineRule="auto"/>
              <w:jc w:val="center"/>
              <w:rPr>
                <w:rFonts w:hAnsi="宋体" w:cs="宋体"/>
                <w:sz w:val="24"/>
                <w:szCs w:val="24"/>
              </w:rPr>
            </w:pPr>
            <w:r>
              <w:rPr>
                <w:rFonts w:hint="eastAsia" w:hAnsi="宋体" w:cs="宋体"/>
                <w:sz w:val="24"/>
                <w:szCs w:val="24"/>
              </w:rPr>
              <w:t>序号</w:t>
            </w:r>
          </w:p>
        </w:tc>
        <w:tc>
          <w:tcPr>
            <w:tcW w:w="1230" w:type="dxa"/>
            <w:vAlign w:val="center"/>
          </w:tcPr>
          <w:p>
            <w:pPr>
              <w:pStyle w:val="19"/>
              <w:spacing w:line="480" w:lineRule="auto"/>
              <w:jc w:val="left"/>
              <w:rPr>
                <w:rFonts w:hAnsi="宋体" w:cs="宋体"/>
                <w:sz w:val="24"/>
                <w:szCs w:val="24"/>
              </w:rPr>
            </w:pPr>
            <w:r>
              <w:rPr>
                <w:rFonts w:hint="eastAsia" w:hAnsi="宋体" w:cs="宋体"/>
                <w:sz w:val="24"/>
                <w:szCs w:val="24"/>
              </w:rPr>
              <w:t>商务条款</w:t>
            </w:r>
          </w:p>
        </w:tc>
        <w:tc>
          <w:tcPr>
            <w:tcW w:w="1725" w:type="dxa"/>
            <w:vAlign w:val="center"/>
          </w:tcPr>
          <w:p>
            <w:pPr>
              <w:pStyle w:val="19"/>
              <w:spacing w:line="480" w:lineRule="auto"/>
              <w:jc w:val="left"/>
              <w:rPr>
                <w:rFonts w:hAnsi="宋体" w:cs="宋体"/>
                <w:sz w:val="24"/>
                <w:szCs w:val="24"/>
              </w:rPr>
            </w:pPr>
            <w:r>
              <w:rPr>
                <w:rFonts w:hint="eastAsia" w:hAnsi="宋体" w:cs="宋体"/>
                <w:sz w:val="24"/>
                <w:szCs w:val="24"/>
              </w:rPr>
              <w:t>商务要求内容</w:t>
            </w:r>
          </w:p>
        </w:tc>
        <w:tc>
          <w:tcPr>
            <w:tcW w:w="2789" w:type="dxa"/>
            <w:vAlign w:val="center"/>
          </w:tcPr>
          <w:p>
            <w:pPr>
              <w:pStyle w:val="19"/>
              <w:spacing w:line="480" w:lineRule="auto"/>
              <w:rPr>
                <w:rFonts w:hAnsi="宋体" w:cs="宋体"/>
                <w:sz w:val="24"/>
                <w:szCs w:val="24"/>
              </w:rPr>
            </w:pPr>
            <w:r>
              <w:rPr>
                <w:rFonts w:hint="eastAsia" w:hAnsi="宋体" w:cs="宋体"/>
                <w:sz w:val="24"/>
                <w:szCs w:val="24"/>
              </w:rPr>
              <w:t>投标文件响应商务内容</w:t>
            </w:r>
          </w:p>
        </w:tc>
        <w:tc>
          <w:tcPr>
            <w:tcW w:w="1354" w:type="dxa"/>
            <w:vAlign w:val="center"/>
          </w:tcPr>
          <w:p>
            <w:pPr>
              <w:pStyle w:val="19"/>
              <w:spacing w:line="480" w:lineRule="auto"/>
              <w:jc w:val="center"/>
              <w:rPr>
                <w:rFonts w:hAnsi="宋体" w:cs="宋体"/>
                <w:sz w:val="24"/>
                <w:szCs w:val="24"/>
              </w:rPr>
            </w:pPr>
            <w:r>
              <w:rPr>
                <w:rFonts w:hint="eastAsia" w:hAnsi="宋体" w:cs="宋体"/>
                <w:sz w:val="24"/>
                <w:szCs w:val="24"/>
              </w:rPr>
              <w:t>偏离情况</w:t>
            </w:r>
          </w:p>
        </w:tc>
        <w:tc>
          <w:tcPr>
            <w:tcW w:w="1396" w:type="dxa"/>
            <w:vAlign w:val="center"/>
          </w:tcPr>
          <w:p>
            <w:pPr>
              <w:pStyle w:val="19"/>
              <w:spacing w:line="480" w:lineRule="auto"/>
              <w:jc w:val="center"/>
              <w:rPr>
                <w:rFonts w:hAnsi="宋体" w:cs="宋体"/>
                <w:sz w:val="24"/>
                <w:szCs w:val="24"/>
              </w:rPr>
            </w:pPr>
            <w:r>
              <w:rPr>
                <w:rFonts w:hint="eastAsia"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3" w:type="dxa"/>
          </w:tcPr>
          <w:p>
            <w:pPr>
              <w:pStyle w:val="19"/>
              <w:spacing w:line="480" w:lineRule="auto"/>
              <w:ind w:firstLine="496" w:firstLineChars="200"/>
              <w:jc w:val="left"/>
              <w:rPr>
                <w:rFonts w:hAnsi="宋体" w:cs="宋体"/>
                <w:sz w:val="24"/>
                <w:szCs w:val="24"/>
              </w:rPr>
            </w:pPr>
          </w:p>
        </w:tc>
        <w:tc>
          <w:tcPr>
            <w:tcW w:w="1230" w:type="dxa"/>
          </w:tcPr>
          <w:p>
            <w:pPr>
              <w:pStyle w:val="19"/>
              <w:spacing w:line="480" w:lineRule="auto"/>
              <w:ind w:firstLine="496" w:firstLineChars="200"/>
              <w:jc w:val="left"/>
              <w:rPr>
                <w:rFonts w:hAnsi="宋体" w:cs="宋体"/>
                <w:sz w:val="24"/>
                <w:szCs w:val="24"/>
              </w:rPr>
            </w:pPr>
          </w:p>
        </w:tc>
        <w:tc>
          <w:tcPr>
            <w:tcW w:w="1725" w:type="dxa"/>
            <w:vAlign w:val="center"/>
          </w:tcPr>
          <w:p>
            <w:pPr>
              <w:pStyle w:val="19"/>
              <w:spacing w:line="480" w:lineRule="auto"/>
              <w:ind w:firstLine="496" w:firstLineChars="200"/>
              <w:jc w:val="left"/>
              <w:rPr>
                <w:rFonts w:hAnsi="宋体" w:cs="宋体"/>
                <w:sz w:val="24"/>
                <w:szCs w:val="24"/>
              </w:rPr>
            </w:pPr>
          </w:p>
        </w:tc>
        <w:tc>
          <w:tcPr>
            <w:tcW w:w="2789" w:type="dxa"/>
            <w:vAlign w:val="center"/>
          </w:tcPr>
          <w:p>
            <w:pPr>
              <w:pStyle w:val="19"/>
              <w:spacing w:line="480" w:lineRule="auto"/>
              <w:ind w:firstLine="496" w:firstLineChars="200"/>
              <w:jc w:val="left"/>
              <w:rPr>
                <w:rFonts w:hAnsi="宋体" w:cs="宋体"/>
                <w:sz w:val="24"/>
                <w:szCs w:val="24"/>
              </w:rPr>
            </w:pPr>
          </w:p>
        </w:tc>
        <w:tc>
          <w:tcPr>
            <w:tcW w:w="1354" w:type="dxa"/>
            <w:vAlign w:val="center"/>
          </w:tcPr>
          <w:p>
            <w:pPr>
              <w:pStyle w:val="19"/>
              <w:spacing w:line="480" w:lineRule="auto"/>
              <w:ind w:firstLine="496" w:firstLineChars="200"/>
              <w:jc w:val="left"/>
              <w:rPr>
                <w:rFonts w:hAnsi="宋体" w:cs="宋体"/>
                <w:sz w:val="24"/>
                <w:szCs w:val="24"/>
              </w:rPr>
            </w:pPr>
          </w:p>
        </w:tc>
        <w:tc>
          <w:tcPr>
            <w:tcW w:w="1396" w:type="dxa"/>
            <w:vAlign w:val="center"/>
          </w:tcPr>
          <w:p>
            <w:pPr>
              <w:pStyle w:val="19"/>
              <w:spacing w:line="480" w:lineRule="auto"/>
              <w:ind w:firstLine="496"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3" w:type="dxa"/>
          </w:tcPr>
          <w:p>
            <w:pPr>
              <w:pStyle w:val="19"/>
              <w:spacing w:line="480" w:lineRule="auto"/>
              <w:ind w:firstLine="496" w:firstLineChars="200"/>
              <w:jc w:val="left"/>
              <w:rPr>
                <w:rFonts w:hAnsi="宋体" w:cs="宋体"/>
                <w:sz w:val="24"/>
                <w:szCs w:val="24"/>
              </w:rPr>
            </w:pPr>
          </w:p>
        </w:tc>
        <w:tc>
          <w:tcPr>
            <w:tcW w:w="1230" w:type="dxa"/>
          </w:tcPr>
          <w:p>
            <w:pPr>
              <w:pStyle w:val="19"/>
              <w:spacing w:line="480" w:lineRule="auto"/>
              <w:ind w:firstLine="496" w:firstLineChars="200"/>
              <w:jc w:val="left"/>
              <w:rPr>
                <w:rFonts w:hAnsi="宋体" w:cs="宋体"/>
                <w:sz w:val="24"/>
                <w:szCs w:val="24"/>
              </w:rPr>
            </w:pPr>
          </w:p>
        </w:tc>
        <w:tc>
          <w:tcPr>
            <w:tcW w:w="1725" w:type="dxa"/>
          </w:tcPr>
          <w:p>
            <w:pPr>
              <w:pStyle w:val="19"/>
              <w:spacing w:line="480" w:lineRule="auto"/>
              <w:ind w:firstLine="496" w:firstLineChars="200"/>
              <w:jc w:val="left"/>
              <w:rPr>
                <w:rFonts w:hAnsi="宋体" w:cs="宋体"/>
                <w:sz w:val="24"/>
                <w:szCs w:val="24"/>
              </w:rPr>
            </w:pPr>
          </w:p>
        </w:tc>
        <w:tc>
          <w:tcPr>
            <w:tcW w:w="2789" w:type="dxa"/>
          </w:tcPr>
          <w:p>
            <w:pPr>
              <w:pStyle w:val="19"/>
              <w:spacing w:line="480" w:lineRule="auto"/>
              <w:ind w:firstLine="496" w:firstLineChars="200"/>
              <w:jc w:val="left"/>
              <w:rPr>
                <w:rFonts w:hAnsi="宋体" w:cs="宋体"/>
                <w:sz w:val="24"/>
                <w:szCs w:val="24"/>
              </w:rPr>
            </w:pPr>
          </w:p>
        </w:tc>
        <w:tc>
          <w:tcPr>
            <w:tcW w:w="1354" w:type="dxa"/>
          </w:tcPr>
          <w:p>
            <w:pPr>
              <w:pStyle w:val="19"/>
              <w:spacing w:line="480" w:lineRule="auto"/>
              <w:ind w:firstLine="496" w:firstLineChars="200"/>
              <w:jc w:val="left"/>
              <w:rPr>
                <w:rFonts w:hAnsi="宋体" w:cs="宋体"/>
                <w:sz w:val="24"/>
                <w:szCs w:val="24"/>
              </w:rPr>
            </w:pPr>
          </w:p>
        </w:tc>
        <w:tc>
          <w:tcPr>
            <w:tcW w:w="1396" w:type="dxa"/>
          </w:tcPr>
          <w:p>
            <w:pPr>
              <w:pStyle w:val="19"/>
              <w:spacing w:line="480" w:lineRule="auto"/>
              <w:ind w:firstLine="496"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3" w:type="dxa"/>
          </w:tcPr>
          <w:p>
            <w:pPr>
              <w:pStyle w:val="19"/>
              <w:spacing w:line="480" w:lineRule="auto"/>
              <w:ind w:firstLine="496" w:firstLineChars="200"/>
              <w:jc w:val="left"/>
              <w:rPr>
                <w:rFonts w:hAnsi="宋体" w:cs="宋体"/>
                <w:sz w:val="24"/>
                <w:szCs w:val="24"/>
              </w:rPr>
            </w:pPr>
          </w:p>
        </w:tc>
        <w:tc>
          <w:tcPr>
            <w:tcW w:w="1230" w:type="dxa"/>
          </w:tcPr>
          <w:p>
            <w:pPr>
              <w:pStyle w:val="19"/>
              <w:spacing w:line="480" w:lineRule="auto"/>
              <w:ind w:firstLine="496" w:firstLineChars="200"/>
              <w:jc w:val="left"/>
              <w:rPr>
                <w:rFonts w:hAnsi="宋体" w:cs="宋体"/>
                <w:sz w:val="24"/>
                <w:szCs w:val="24"/>
              </w:rPr>
            </w:pPr>
          </w:p>
        </w:tc>
        <w:tc>
          <w:tcPr>
            <w:tcW w:w="1725" w:type="dxa"/>
          </w:tcPr>
          <w:p>
            <w:pPr>
              <w:pStyle w:val="19"/>
              <w:spacing w:line="480" w:lineRule="auto"/>
              <w:ind w:firstLine="496" w:firstLineChars="200"/>
              <w:jc w:val="left"/>
              <w:rPr>
                <w:rFonts w:hAnsi="宋体" w:cs="宋体"/>
                <w:sz w:val="24"/>
                <w:szCs w:val="24"/>
              </w:rPr>
            </w:pPr>
          </w:p>
        </w:tc>
        <w:tc>
          <w:tcPr>
            <w:tcW w:w="2789" w:type="dxa"/>
          </w:tcPr>
          <w:p>
            <w:pPr>
              <w:pStyle w:val="19"/>
              <w:spacing w:line="480" w:lineRule="auto"/>
              <w:ind w:firstLine="496" w:firstLineChars="200"/>
              <w:jc w:val="left"/>
              <w:rPr>
                <w:rFonts w:hAnsi="宋体" w:cs="宋体"/>
                <w:sz w:val="24"/>
                <w:szCs w:val="24"/>
              </w:rPr>
            </w:pPr>
          </w:p>
        </w:tc>
        <w:tc>
          <w:tcPr>
            <w:tcW w:w="1354" w:type="dxa"/>
          </w:tcPr>
          <w:p>
            <w:pPr>
              <w:pStyle w:val="19"/>
              <w:spacing w:line="480" w:lineRule="auto"/>
              <w:ind w:firstLine="496" w:firstLineChars="200"/>
              <w:jc w:val="left"/>
              <w:rPr>
                <w:rFonts w:hAnsi="宋体" w:cs="宋体"/>
                <w:sz w:val="24"/>
                <w:szCs w:val="24"/>
              </w:rPr>
            </w:pPr>
          </w:p>
        </w:tc>
        <w:tc>
          <w:tcPr>
            <w:tcW w:w="1396" w:type="dxa"/>
          </w:tcPr>
          <w:p>
            <w:pPr>
              <w:pStyle w:val="19"/>
              <w:spacing w:line="480" w:lineRule="auto"/>
              <w:ind w:firstLine="496"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3" w:type="dxa"/>
          </w:tcPr>
          <w:p>
            <w:pPr>
              <w:pStyle w:val="19"/>
              <w:spacing w:line="480" w:lineRule="auto"/>
              <w:ind w:firstLine="496" w:firstLineChars="200"/>
              <w:jc w:val="left"/>
              <w:rPr>
                <w:rFonts w:hAnsi="宋体" w:cs="宋体"/>
                <w:sz w:val="24"/>
                <w:szCs w:val="24"/>
              </w:rPr>
            </w:pPr>
          </w:p>
        </w:tc>
        <w:tc>
          <w:tcPr>
            <w:tcW w:w="1230" w:type="dxa"/>
          </w:tcPr>
          <w:p>
            <w:pPr>
              <w:pStyle w:val="19"/>
              <w:spacing w:line="480" w:lineRule="auto"/>
              <w:ind w:firstLine="496" w:firstLineChars="200"/>
              <w:jc w:val="left"/>
              <w:rPr>
                <w:rFonts w:hAnsi="宋体" w:cs="宋体"/>
                <w:sz w:val="24"/>
                <w:szCs w:val="24"/>
              </w:rPr>
            </w:pPr>
          </w:p>
        </w:tc>
        <w:tc>
          <w:tcPr>
            <w:tcW w:w="1725" w:type="dxa"/>
          </w:tcPr>
          <w:p>
            <w:pPr>
              <w:pStyle w:val="19"/>
              <w:spacing w:line="480" w:lineRule="auto"/>
              <w:ind w:firstLine="496" w:firstLineChars="200"/>
              <w:jc w:val="left"/>
              <w:rPr>
                <w:rFonts w:hAnsi="宋体" w:cs="宋体"/>
                <w:sz w:val="24"/>
                <w:szCs w:val="24"/>
              </w:rPr>
            </w:pPr>
          </w:p>
        </w:tc>
        <w:tc>
          <w:tcPr>
            <w:tcW w:w="2789" w:type="dxa"/>
          </w:tcPr>
          <w:p>
            <w:pPr>
              <w:pStyle w:val="19"/>
              <w:spacing w:line="480" w:lineRule="auto"/>
              <w:ind w:firstLine="496" w:firstLineChars="200"/>
              <w:jc w:val="left"/>
              <w:rPr>
                <w:rFonts w:hAnsi="宋体" w:cs="宋体"/>
                <w:sz w:val="24"/>
                <w:szCs w:val="24"/>
              </w:rPr>
            </w:pPr>
          </w:p>
        </w:tc>
        <w:tc>
          <w:tcPr>
            <w:tcW w:w="1354" w:type="dxa"/>
          </w:tcPr>
          <w:p>
            <w:pPr>
              <w:pStyle w:val="19"/>
              <w:spacing w:line="480" w:lineRule="auto"/>
              <w:ind w:firstLine="496" w:firstLineChars="200"/>
              <w:jc w:val="left"/>
              <w:rPr>
                <w:rFonts w:hAnsi="宋体" w:cs="宋体"/>
                <w:sz w:val="24"/>
                <w:szCs w:val="24"/>
              </w:rPr>
            </w:pPr>
          </w:p>
        </w:tc>
        <w:tc>
          <w:tcPr>
            <w:tcW w:w="1396" w:type="dxa"/>
          </w:tcPr>
          <w:p>
            <w:pPr>
              <w:pStyle w:val="19"/>
              <w:spacing w:line="480" w:lineRule="auto"/>
              <w:ind w:firstLine="496"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3" w:type="dxa"/>
          </w:tcPr>
          <w:p>
            <w:pPr>
              <w:pStyle w:val="19"/>
              <w:spacing w:line="480" w:lineRule="auto"/>
              <w:ind w:firstLine="496" w:firstLineChars="200"/>
              <w:jc w:val="left"/>
              <w:rPr>
                <w:rFonts w:hAnsi="宋体" w:cs="宋体"/>
                <w:sz w:val="24"/>
                <w:szCs w:val="24"/>
              </w:rPr>
            </w:pPr>
          </w:p>
        </w:tc>
        <w:tc>
          <w:tcPr>
            <w:tcW w:w="1230" w:type="dxa"/>
          </w:tcPr>
          <w:p>
            <w:pPr>
              <w:pStyle w:val="19"/>
              <w:spacing w:line="480" w:lineRule="auto"/>
              <w:ind w:firstLine="496" w:firstLineChars="200"/>
              <w:jc w:val="left"/>
              <w:rPr>
                <w:rFonts w:hAnsi="宋体" w:cs="宋体"/>
                <w:sz w:val="24"/>
                <w:szCs w:val="24"/>
              </w:rPr>
            </w:pPr>
          </w:p>
        </w:tc>
        <w:tc>
          <w:tcPr>
            <w:tcW w:w="1725" w:type="dxa"/>
          </w:tcPr>
          <w:p>
            <w:pPr>
              <w:pStyle w:val="19"/>
              <w:spacing w:line="480" w:lineRule="auto"/>
              <w:ind w:firstLine="496" w:firstLineChars="200"/>
              <w:jc w:val="left"/>
              <w:rPr>
                <w:rFonts w:hAnsi="宋体" w:cs="宋体"/>
                <w:sz w:val="24"/>
                <w:szCs w:val="24"/>
              </w:rPr>
            </w:pPr>
          </w:p>
        </w:tc>
        <w:tc>
          <w:tcPr>
            <w:tcW w:w="2789" w:type="dxa"/>
          </w:tcPr>
          <w:p>
            <w:pPr>
              <w:pStyle w:val="19"/>
              <w:spacing w:line="480" w:lineRule="auto"/>
              <w:ind w:firstLine="496" w:firstLineChars="200"/>
              <w:jc w:val="left"/>
              <w:rPr>
                <w:rFonts w:hAnsi="宋体" w:cs="宋体"/>
                <w:sz w:val="24"/>
                <w:szCs w:val="24"/>
              </w:rPr>
            </w:pPr>
          </w:p>
        </w:tc>
        <w:tc>
          <w:tcPr>
            <w:tcW w:w="1354" w:type="dxa"/>
          </w:tcPr>
          <w:p>
            <w:pPr>
              <w:pStyle w:val="19"/>
              <w:spacing w:line="480" w:lineRule="auto"/>
              <w:ind w:firstLine="496" w:firstLineChars="200"/>
              <w:jc w:val="left"/>
              <w:rPr>
                <w:rFonts w:hAnsi="宋体" w:cs="宋体"/>
                <w:sz w:val="24"/>
                <w:szCs w:val="24"/>
              </w:rPr>
            </w:pPr>
          </w:p>
        </w:tc>
        <w:tc>
          <w:tcPr>
            <w:tcW w:w="1396" w:type="dxa"/>
          </w:tcPr>
          <w:p>
            <w:pPr>
              <w:pStyle w:val="19"/>
              <w:spacing w:line="480" w:lineRule="auto"/>
              <w:ind w:firstLine="496"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63" w:type="dxa"/>
          </w:tcPr>
          <w:p>
            <w:pPr>
              <w:pStyle w:val="19"/>
              <w:spacing w:line="480" w:lineRule="auto"/>
              <w:jc w:val="left"/>
              <w:rPr>
                <w:rFonts w:hAnsi="宋体" w:cs="宋体"/>
                <w:sz w:val="24"/>
                <w:szCs w:val="24"/>
              </w:rPr>
            </w:pPr>
          </w:p>
        </w:tc>
        <w:tc>
          <w:tcPr>
            <w:tcW w:w="1230" w:type="dxa"/>
          </w:tcPr>
          <w:p>
            <w:pPr>
              <w:pStyle w:val="19"/>
              <w:spacing w:line="480" w:lineRule="auto"/>
              <w:jc w:val="left"/>
              <w:rPr>
                <w:rFonts w:hAnsi="宋体" w:cs="宋体"/>
                <w:sz w:val="24"/>
                <w:szCs w:val="24"/>
              </w:rPr>
            </w:pPr>
          </w:p>
        </w:tc>
        <w:tc>
          <w:tcPr>
            <w:tcW w:w="1725" w:type="dxa"/>
          </w:tcPr>
          <w:p>
            <w:pPr>
              <w:pStyle w:val="19"/>
              <w:spacing w:line="480" w:lineRule="auto"/>
              <w:ind w:firstLine="496" w:firstLineChars="200"/>
              <w:jc w:val="left"/>
              <w:rPr>
                <w:rFonts w:hAnsi="宋体" w:cs="宋体"/>
                <w:sz w:val="24"/>
                <w:szCs w:val="24"/>
              </w:rPr>
            </w:pPr>
          </w:p>
        </w:tc>
        <w:tc>
          <w:tcPr>
            <w:tcW w:w="2789" w:type="dxa"/>
          </w:tcPr>
          <w:p>
            <w:pPr>
              <w:pStyle w:val="19"/>
              <w:spacing w:line="480" w:lineRule="auto"/>
              <w:ind w:firstLine="496" w:firstLineChars="200"/>
              <w:jc w:val="left"/>
              <w:rPr>
                <w:rFonts w:hAnsi="宋体" w:cs="宋体"/>
                <w:sz w:val="24"/>
                <w:szCs w:val="24"/>
              </w:rPr>
            </w:pPr>
          </w:p>
        </w:tc>
        <w:tc>
          <w:tcPr>
            <w:tcW w:w="1354" w:type="dxa"/>
          </w:tcPr>
          <w:p>
            <w:pPr>
              <w:pStyle w:val="19"/>
              <w:spacing w:line="480" w:lineRule="auto"/>
              <w:ind w:firstLine="496" w:firstLineChars="200"/>
              <w:jc w:val="left"/>
              <w:rPr>
                <w:rFonts w:hAnsi="宋体" w:cs="宋体"/>
                <w:sz w:val="24"/>
                <w:szCs w:val="24"/>
              </w:rPr>
            </w:pPr>
          </w:p>
        </w:tc>
        <w:tc>
          <w:tcPr>
            <w:tcW w:w="1396" w:type="dxa"/>
          </w:tcPr>
          <w:p>
            <w:pPr>
              <w:pStyle w:val="19"/>
              <w:spacing w:line="480" w:lineRule="auto"/>
              <w:ind w:firstLine="496" w:firstLineChars="200"/>
              <w:jc w:val="left"/>
              <w:rPr>
                <w:rFonts w:hAnsi="宋体" w:cs="宋体"/>
                <w:sz w:val="24"/>
                <w:szCs w:val="24"/>
              </w:rPr>
            </w:pPr>
          </w:p>
        </w:tc>
      </w:tr>
    </w:tbl>
    <w:p>
      <w:pPr>
        <w:pStyle w:val="11"/>
        <w:spacing w:line="360" w:lineRule="auto"/>
        <w:ind w:left="140" w:firstLine="0"/>
        <w:rPr>
          <w:rFonts w:hint="eastAsia" w:ascii="宋体" w:hAnsi="宋体" w:cs="宋体"/>
          <w:b/>
          <w:bCs/>
          <w:sz w:val="24"/>
          <w:szCs w:val="24"/>
          <w:lang w:eastAsia="zh-CN"/>
        </w:rPr>
      </w:pPr>
      <w:r>
        <w:rPr>
          <w:rFonts w:hint="eastAsia" w:ascii="宋体" w:hAnsi="宋体" w:cs="宋体"/>
          <w:b/>
          <w:bCs/>
          <w:sz w:val="24"/>
          <w:szCs w:val="24"/>
          <w:lang w:val="en-US" w:eastAsia="zh-CN"/>
        </w:rPr>
        <w:t>1、</w:t>
      </w:r>
      <w:r>
        <w:rPr>
          <w:rFonts w:hint="eastAsia" w:ascii="宋体" w:hAnsi="宋体" w:cs="宋体"/>
          <w:b/>
          <w:bCs/>
          <w:sz w:val="24"/>
          <w:szCs w:val="24"/>
          <w:lang w:eastAsia="zh-CN"/>
        </w:rPr>
        <w:t>本表须按“第三章招标内容及要求”中所列商务条款进行比较和响应；</w:t>
      </w:r>
    </w:p>
    <w:p>
      <w:pPr>
        <w:pStyle w:val="11"/>
        <w:spacing w:line="360" w:lineRule="auto"/>
        <w:ind w:left="0" w:leftChars="0" w:firstLine="248" w:firstLineChars="100"/>
        <w:rPr>
          <w:rFonts w:hint="eastAsia" w:ascii="宋体" w:hAnsi="宋体" w:cs="宋体"/>
          <w:b/>
          <w:bCs/>
          <w:sz w:val="24"/>
          <w:szCs w:val="24"/>
          <w:lang w:eastAsia="zh-CN"/>
        </w:rPr>
      </w:pPr>
      <w:r>
        <w:rPr>
          <w:rFonts w:hint="eastAsia" w:ascii="宋体" w:hAnsi="宋体" w:cs="宋体"/>
          <w:b/>
          <w:bCs/>
          <w:sz w:val="24"/>
          <w:szCs w:val="24"/>
          <w:lang w:val="en-US" w:eastAsia="zh-CN"/>
        </w:rPr>
        <w:t>2、</w:t>
      </w:r>
      <w:r>
        <w:rPr>
          <w:rFonts w:hint="eastAsia" w:ascii="宋体" w:hAnsi="宋体" w:cs="宋体"/>
          <w:b/>
          <w:bCs/>
          <w:sz w:val="24"/>
          <w:szCs w:val="24"/>
          <w:lang w:eastAsia="zh-CN"/>
        </w:rPr>
        <w:t>该表必须按照招标文件要求逐条如实填写，根据情况在“偏离情况”项填写正偏离或负偏离或无偏离，在“说明”项填写正偏离或负偏离原因。</w:t>
      </w:r>
    </w:p>
    <w:p>
      <w:pPr>
        <w:pStyle w:val="11"/>
        <w:spacing w:line="360" w:lineRule="auto"/>
        <w:ind w:left="140" w:firstLine="0"/>
        <w:rPr>
          <w:rFonts w:hint="eastAsia" w:ascii="宋体" w:hAnsi="宋体" w:cs="宋体"/>
          <w:b/>
          <w:bCs/>
          <w:sz w:val="24"/>
          <w:szCs w:val="24"/>
          <w:lang w:eastAsia="zh-CN"/>
        </w:rPr>
      </w:pPr>
      <w:r>
        <w:rPr>
          <w:rFonts w:hint="eastAsia" w:ascii="宋体" w:hAnsi="宋体" w:cs="宋体"/>
          <w:b/>
          <w:bCs/>
          <w:sz w:val="24"/>
          <w:szCs w:val="24"/>
          <w:lang w:eastAsia="zh-CN"/>
        </w:rPr>
        <w:t>3、该表可扩展。商务条款不允许负偏离；</w:t>
      </w:r>
    </w:p>
    <w:p>
      <w:pPr>
        <w:adjustRightInd w:val="0"/>
        <w:snapToGrid w:val="0"/>
        <w:spacing w:line="480" w:lineRule="auto"/>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w:t>
      </w:r>
    </w:p>
    <w:p>
      <w:pPr>
        <w:adjustRightInd w:val="0"/>
        <w:snapToGrid w:val="0"/>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法定代表人或被授权人（签字或盖章）：</w:t>
      </w:r>
    </w:p>
    <w:p>
      <w:pPr>
        <w:adjustRightInd w:val="0"/>
        <w:snapToGrid w:val="0"/>
        <w:spacing w:line="480" w:lineRule="auto"/>
        <w:rPr>
          <w:rFonts w:ascii="宋体" w:hAnsi="宋体"/>
          <w:color w:val="000000" w:themeColor="text1"/>
          <w:sz w:val="24"/>
          <w:szCs w:val="24"/>
          <w14:textFill>
            <w14:solidFill>
              <w14:schemeClr w14:val="tx1"/>
            </w14:solidFill>
          </w14:textFill>
        </w:rPr>
        <w:sectPr>
          <w:pgSz w:w="11906" w:h="16838"/>
          <w:pgMar w:top="1440" w:right="1803" w:bottom="1440" w:left="1803" w:header="850" w:footer="992" w:gutter="0"/>
          <w:pgNumType w:fmt="decimal"/>
          <w:cols w:space="0" w:num="1"/>
          <w:titlePg/>
          <w:docGrid w:type="linesAndChars" w:linePitch="395" w:charSpace="1724"/>
        </w:sectPr>
      </w:pPr>
      <w:r>
        <w:rPr>
          <w:rFonts w:hint="eastAsia" w:ascii="宋体" w:hAnsi="宋体" w:cs="宋体"/>
          <w:color w:val="000000" w:themeColor="text1"/>
          <w:sz w:val="24"/>
          <w:szCs w:val="24"/>
          <w14:textFill>
            <w14:solidFill>
              <w14:schemeClr w14:val="tx1"/>
            </w14:solidFill>
          </w14:textFill>
        </w:rPr>
        <w:t>日    期：年月日</w:t>
      </w:r>
    </w:p>
    <w:p>
      <w:pPr>
        <w:jc w:val="left"/>
        <w:rPr>
          <w:rFonts w:ascii="宋体" w:hAnsi="宋体" w:cs="宋体"/>
          <w:b w:val="0"/>
          <w:bCs w:val="0"/>
          <w:sz w:val="24"/>
          <w:szCs w:val="24"/>
        </w:rPr>
      </w:pPr>
      <w:r>
        <w:rPr>
          <w:rFonts w:hint="eastAsia" w:asciiTheme="minorEastAsia" w:hAnsiTheme="minorEastAsia" w:cstheme="minorEastAsia"/>
          <w:b w:val="0"/>
          <w:bCs w:val="0"/>
          <w:color w:val="000000" w:themeColor="text1"/>
          <w:sz w:val="24"/>
          <w:szCs w:val="24"/>
          <w14:textFill>
            <w14:solidFill>
              <w14:schemeClr w14:val="tx1"/>
            </w14:solidFill>
          </w14:textFill>
        </w:rPr>
        <w:t>表2、</w:t>
      </w: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技术</w:t>
      </w:r>
      <w:r>
        <w:rPr>
          <w:rFonts w:hint="eastAsia" w:ascii="宋体" w:hAnsi="宋体" w:cs="宋体"/>
          <w:b w:val="0"/>
          <w:bCs w:val="0"/>
          <w:sz w:val="24"/>
          <w:szCs w:val="24"/>
        </w:rPr>
        <w:t>服务要求偏离表</w:t>
      </w:r>
    </w:p>
    <w:tbl>
      <w:tblPr>
        <w:tblStyle w:val="31"/>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80"/>
        <w:gridCol w:w="2120"/>
        <w:gridCol w:w="1676"/>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93" w:type="dxa"/>
            <w:noWrap w:val="0"/>
            <w:vAlign w:val="center"/>
          </w:tcPr>
          <w:p>
            <w:pPr>
              <w:pStyle w:val="19"/>
              <w:spacing w:line="480" w:lineRule="auto"/>
              <w:jc w:val="center"/>
              <w:rPr>
                <w:rFonts w:hAnsi="宋体" w:cs="宋体"/>
                <w:color w:val="000000"/>
                <w:sz w:val="24"/>
                <w:szCs w:val="24"/>
              </w:rPr>
            </w:pPr>
            <w:r>
              <w:rPr>
                <w:rFonts w:hint="eastAsia" w:hAnsi="宋体" w:cs="宋体"/>
                <w:color w:val="000000"/>
                <w:sz w:val="24"/>
                <w:szCs w:val="24"/>
              </w:rPr>
              <w:t>序号</w:t>
            </w:r>
          </w:p>
        </w:tc>
        <w:tc>
          <w:tcPr>
            <w:tcW w:w="2380" w:type="dxa"/>
            <w:noWrap w:val="0"/>
            <w:vAlign w:val="center"/>
          </w:tcPr>
          <w:p>
            <w:pPr>
              <w:pStyle w:val="19"/>
              <w:spacing w:line="240" w:lineRule="auto"/>
              <w:ind w:firstLine="480" w:firstLineChars="200"/>
              <w:rPr>
                <w:rFonts w:hAnsi="宋体" w:cs="宋体"/>
                <w:color w:val="000000"/>
                <w:sz w:val="24"/>
                <w:szCs w:val="24"/>
              </w:rPr>
            </w:pPr>
            <w:r>
              <w:rPr>
                <w:rFonts w:hint="eastAsia" w:hAnsi="宋体" w:cs="宋体"/>
                <w:color w:val="000000"/>
                <w:sz w:val="24"/>
                <w:szCs w:val="24"/>
              </w:rPr>
              <w:t>文件要求</w:t>
            </w:r>
          </w:p>
          <w:p>
            <w:pPr>
              <w:pStyle w:val="19"/>
              <w:spacing w:line="240" w:lineRule="auto"/>
              <w:ind w:firstLine="480" w:firstLineChars="200"/>
              <w:rPr>
                <w:rFonts w:hint="eastAsia" w:hAnsi="宋体" w:eastAsia="宋体" w:cs="宋体"/>
                <w:color w:val="000000"/>
                <w:sz w:val="24"/>
                <w:szCs w:val="24"/>
                <w:lang w:eastAsia="zh-CN"/>
              </w:rPr>
            </w:pPr>
            <w:r>
              <w:rPr>
                <w:rFonts w:hint="eastAsia" w:hAnsi="宋体" w:cs="宋体"/>
                <w:color w:val="000000"/>
                <w:sz w:val="24"/>
                <w:szCs w:val="24"/>
              </w:rPr>
              <w:t>服务</w:t>
            </w:r>
            <w:r>
              <w:rPr>
                <w:rFonts w:hint="eastAsia" w:hAnsi="宋体" w:cs="宋体"/>
                <w:color w:val="000000"/>
                <w:sz w:val="24"/>
                <w:szCs w:val="24"/>
                <w:lang w:eastAsia="zh-CN"/>
              </w:rPr>
              <w:t>内容</w:t>
            </w:r>
          </w:p>
        </w:tc>
        <w:tc>
          <w:tcPr>
            <w:tcW w:w="2120" w:type="dxa"/>
            <w:noWrap w:val="0"/>
            <w:vAlign w:val="center"/>
          </w:tcPr>
          <w:p>
            <w:pPr>
              <w:pStyle w:val="19"/>
              <w:spacing w:line="240" w:lineRule="auto"/>
              <w:ind w:firstLine="480" w:firstLineChars="200"/>
              <w:rPr>
                <w:rFonts w:hAnsi="宋体" w:cs="宋体"/>
                <w:color w:val="000000"/>
                <w:sz w:val="24"/>
                <w:szCs w:val="24"/>
              </w:rPr>
            </w:pPr>
            <w:r>
              <w:rPr>
                <w:rFonts w:hint="eastAsia" w:hAnsi="宋体" w:cs="宋体"/>
                <w:color w:val="000000"/>
                <w:sz w:val="24"/>
                <w:szCs w:val="24"/>
              </w:rPr>
              <w:t>响应文件</w:t>
            </w:r>
          </w:p>
          <w:p>
            <w:pPr>
              <w:pStyle w:val="19"/>
              <w:spacing w:line="240" w:lineRule="auto"/>
              <w:ind w:firstLine="480" w:firstLineChars="200"/>
              <w:rPr>
                <w:rFonts w:hAnsi="宋体" w:cs="宋体"/>
                <w:color w:val="000000"/>
                <w:sz w:val="24"/>
                <w:szCs w:val="24"/>
              </w:rPr>
            </w:pPr>
            <w:r>
              <w:rPr>
                <w:rFonts w:hint="eastAsia" w:hAnsi="宋体" w:cs="宋体"/>
                <w:color w:val="000000"/>
                <w:sz w:val="24"/>
                <w:szCs w:val="24"/>
              </w:rPr>
              <w:t>服务内容</w:t>
            </w:r>
          </w:p>
        </w:tc>
        <w:tc>
          <w:tcPr>
            <w:tcW w:w="1676" w:type="dxa"/>
            <w:noWrap w:val="0"/>
            <w:vAlign w:val="center"/>
          </w:tcPr>
          <w:p>
            <w:pPr>
              <w:pStyle w:val="19"/>
              <w:spacing w:line="240" w:lineRule="auto"/>
              <w:rPr>
                <w:rFonts w:hAnsi="宋体" w:cs="宋体"/>
                <w:color w:val="000000"/>
                <w:sz w:val="24"/>
                <w:szCs w:val="24"/>
              </w:rPr>
            </w:pPr>
            <w:r>
              <w:rPr>
                <w:rFonts w:hint="eastAsia" w:hAnsi="宋体" w:cs="宋体"/>
                <w:color w:val="000000"/>
                <w:sz w:val="24"/>
                <w:szCs w:val="24"/>
              </w:rPr>
              <w:t>偏差说明</w:t>
            </w:r>
          </w:p>
        </w:tc>
        <w:tc>
          <w:tcPr>
            <w:tcW w:w="1588" w:type="dxa"/>
            <w:noWrap w:val="0"/>
            <w:vAlign w:val="center"/>
          </w:tcPr>
          <w:p>
            <w:pPr>
              <w:pStyle w:val="19"/>
              <w:spacing w:line="240" w:lineRule="auto"/>
              <w:rPr>
                <w:rFonts w:hAnsi="宋体" w:cs="宋体"/>
                <w:color w:val="000000"/>
                <w:sz w:val="24"/>
                <w:szCs w:val="24"/>
              </w:rPr>
            </w:pPr>
            <w:r>
              <w:rPr>
                <w:rFonts w:hint="eastAsia"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pPr>
              <w:pStyle w:val="19"/>
              <w:spacing w:line="480" w:lineRule="auto"/>
              <w:ind w:firstLine="480" w:firstLineChars="200"/>
              <w:jc w:val="left"/>
              <w:rPr>
                <w:rFonts w:hAnsi="宋体" w:cs="宋体"/>
                <w:color w:val="000000"/>
                <w:sz w:val="24"/>
                <w:szCs w:val="24"/>
              </w:rPr>
            </w:pPr>
          </w:p>
        </w:tc>
        <w:tc>
          <w:tcPr>
            <w:tcW w:w="2380" w:type="dxa"/>
            <w:noWrap w:val="0"/>
            <w:vAlign w:val="center"/>
          </w:tcPr>
          <w:p>
            <w:pPr>
              <w:pStyle w:val="19"/>
              <w:spacing w:line="480" w:lineRule="auto"/>
              <w:ind w:firstLine="480" w:firstLineChars="200"/>
              <w:jc w:val="left"/>
              <w:rPr>
                <w:rFonts w:hAnsi="宋体" w:cs="宋体"/>
                <w:color w:val="000000"/>
                <w:sz w:val="24"/>
                <w:szCs w:val="24"/>
              </w:rPr>
            </w:pPr>
          </w:p>
        </w:tc>
        <w:tc>
          <w:tcPr>
            <w:tcW w:w="2120" w:type="dxa"/>
            <w:noWrap w:val="0"/>
            <w:vAlign w:val="center"/>
          </w:tcPr>
          <w:p>
            <w:pPr>
              <w:pStyle w:val="19"/>
              <w:spacing w:line="480" w:lineRule="auto"/>
              <w:ind w:firstLine="480" w:firstLineChars="200"/>
              <w:jc w:val="left"/>
              <w:rPr>
                <w:rFonts w:hAnsi="宋体" w:cs="宋体"/>
                <w:color w:val="000000"/>
                <w:sz w:val="24"/>
                <w:szCs w:val="24"/>
              </w:rPr>
            </w:pPr>
          </w:p>
        </w:tc>
        <w:tc>
          <w:tcPr>
            <w:tcW w:w="1676" w:type="dxa"/>
            <w:noWrap w:val="0"/>
            <w:vAlign w:val="center"/>
          </w:tcPr>
          <w:p>
            <w:pPr>
              <w:pStyle w:val="19"/>
              <w:spacing w:line="480" w:lineRule="auto"/>
              <w:ind w:firstLine="480" w:firstLineChars="200"/>
              <w:jc w:val="left"/>
              <w:rPr>
                <w:rFonts w:hAnsi="宋体" w:cs="宋体"/>
                <w:color w:val="000000"/>
                <w:sz w:val="24"/>
                <w:szCs w:val="24"/>
              </w:rPr>
            </w:pPr>
          </w:p>
        </w:tc>
        <w:tc>
          <w:tcPr>
            <w:tcW w:w="1588" w:type="dxa"/>
            <w:noWrap w:val="0"/>
            <w:vAlign w:val="center"/>
          </w:tcPr>
          <w:p>
            <w:pPr>
              <w:pStyle w:val="19"/>
              <w:spacing w:line="480" w:lineRule="auto"/>
              <w:ind w:firstLine="480" w:firstLineChars="200"/>
              <w:jc w:val="lef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pPr>
              <w:pStyle w:val="19"/>
              <w:spacing w:line="480" w:lineRule="auto"/>
              <w:ind w:firstLine="480" w:firstLineChars="200"/>
              <w:jc w:val="left"/>
              <w:rPr>
                <w:rFonts w:hAnsi="宋体" w:cs="宋体"/>
                <w:color w:val="000000"/>
                <w:sz w:val="24"/>
                <w:szCs w:val="24"/>
              </w:rPr>
            </w:pPr>
          </w:p>
        </w:tc>
        <w:tc>
          <w:tcPr>
            <w:tcW w:w="2380" w:type="dxa"/>
            <w:noWrap w:val="0"/>
            <w:vAlign w:val="top"/>
          </w:tcPr>
          <w:p>
            <w:pPr>
              <w:pStyle w:val="19"/>
              <w:spacing w:line="480" w:lineRule="auto"/>
              <w:ind w:firstLine="480" w:firstLineChars="200"/>
              <w:jc w:val="left"/>
              <w:rPr>
                <w:rFonts w:hAnsi="宋体" w:cs="宋体"/>
                <w:color w:val="000000"/>
                <w:sz w:val="24"/>
                <w:szCs w:val="24"/>
              </w:rPr>
            </w:pPr>
          </w:p>
        </w:tc>
        <w:tc>
          <w:tcPr>
            <w:tcW w:w="2120" w:type="dxa"/>
            <w:noWrap w:val="0"/>
            <w:vAlign w:val="top"/>
          </w:tcPr>
          <w:p>
            <w:pPr>
              <w:pStyle w:val="19"/>
              <w:spacing w:line="480" w:lineRule="auto"/>
              <w:ind w:firstLine="480" w:firstLineChars="200"/>
              <w:jc w:val="left"/>
              <w:rPr>
                <w:rFonts w:hAnsi="宋体" w:cs="宋体"/>
                <w:color w:val="000000"/>
                <w:sz w:val="24"/>
                <w:szCs w:val="24"/>
              </w:rPr>
            </w:pPr>
          </w:p>
        </w:tc>
        <w:tc>
          <w:tcPr>
            <w:tcW w:w="1676" w:type="dxa"/>
            <w:noWrap w:val="0"/>
            <w:vAlign w:val="top"/>
          </w:tcPr>
          <w:p>
            <w:pPr>
              <w:pStyle w:val="19"/>
              <w:spacing w:line="480" w:lineRule="auto"/>
              <w:ind w:firstLine="480" w:firstLineChars="200"/>
              <w:jc w:val="left"/>
              <w:rPr>
                <w:rFonts w:hAnsi="宋体" w:cs="宋体"/>
                <w:color w:val="000000"/>
                <w:sz w:val="24"/>
                <w:szCs w:val="24"/>
              </w:rPr>
            </w:pPr>
          </w:p>
        </w:tc>
        <w:tc>
          <w:tcPr>
            <w:tcW w:w="1588" w:type="dxa"/>
            <w:noWrap w:val="0"/>
            <w:vAlign w:val="top"/>
          </w:tcPr>
          <w:p>
            <w:pPr>
              <w:pStyle w:val="19"/>
              <w:spacing w:line="480" w:lineRule="auto"/>
              <w:ind w:firstLine="480" w:firstLineChars="200"/>
              <w:jc w:val="lef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pPr>
              <w:pStyle w:val="19"/>
              <w:spacing w:line="480" w:lineRule="auto"/>
              <w:ind w:firstLine="480" w:firstLineChars="200"/>
              <w:jc w:val="left"/>
              <w:rPr>
                <w:rFonts w:hAnsi="宋体" w:cs="宋体"/>
                <w:color w:val="000000"/>
                <w:sz w:val="24"/>
                <w:szCs w:val="24"/>
              </w:rPr>
            </w:pPr>
          </w:p>
        </w:tc>
        <w:tc>
          <w:tcPr>
            <w:tcW w:w="2380" w:type="dxa"/>
            <w:noWrap w:val="0"/>
            <w:vAlign w:val="top"/>
          </w:tcPr>
          <w:p>
            <w:pPr>
              <w:pStyle w:val="19"/>
              <w:spacing w:line="480" w:lineRule="auto"/>
              <w:ind w:firstLine="480" w:firstLineChars="200"/>
              <w:jc w:val="left"/>
              <w:rPr>
                <w:rFonts w:hAnsi="宋体" w:cs="宋体"/>
                <w:color w:val="000000"/>
                <w:sz w:val="24"/>
                <w:szCs w:val="24"/>
              </w:rPr>
            </w:pPr>
          </w:p>
        </w:tc>
        <w:tc>
          <w:tcPr>
            <w:tcW w:w="2120" w:type="dxa"/>
            <w:noWrap w:val="0"/>
            <w:vAlign w:val="top"/>
          </w:tcPr>
          <w:p>
            <w:pPr>
              <w:pStyle w:val="19"/>
              <w:spacing w:line="480" w:lineRule="auto"/>
              <w:ind w:firstLine="480" w:firstLineChars="200"/>
              <w:jc w:val="left"/>
              <w:rPr>
                <w:rFonts w:hAnsi="宋体" w:cs="宋体"/>
                <w:color w:val="000000"/>
                <w:sz w:val="24"/>
                <w:szCs w:val="24"/>
              </w:rPr>
            </w:pPr>
          </w:p>
        </w:tc>
        <w:tc>
          <w:tcPr>
            <w:tcW w:w="1676" w:type="dxa"/>
            <w:noWrap w:val="0"/>
            <w:vAlign w:val="top"/>
          </w:tcPr>
          <w:p>
            <w:pPr>
              <w:pStyle w:val="19"/>
              <w:spacing w:line="480" w:lineRule="auto"/>
              <w:ind w:firstLine="480" w:firstLineChars="200"/>
              <w:jc w:val="left"/>
              <w:rPr>
                <w:rFonts w:hAnsi="宋体" w:cs="宋体"/>
                <w:color w:val="000000"/>
                <w:sz w:val="24"/>
                <w:szCs w:val="24"/>
              </w:rPr>
            </w:pPr>
          </w:p>
        </w:tc>
        <w:tc>
          <w:tcPr>
            <w:tcW w:w="1588" w:type="dxa"/>
            <w:noWrap w:val="0"/>
            <w:vAlign w:val="top"/>
          </w:tcPr>
          <w:p>
            <w:pPr>
              <w:pStyle w:val="19"/>
              <w:spacing w:line="480" w:lineRule="auto"/>
              <w:ind w:firstLine="480" w:firstLineChars="200"/>
              <w:jc w:val="lef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pPr>
              <w:pStyle w:val="19"/>
              <w:spacing w:line="480" w:lineRule="auto"/>
              <w:ind w:firstLine="480" w:firstLineChars="200"/>
              <w:jc w:val="left"/>
              <w:rPr>
                <w:rFonts w:hAnsi="宋体" w:cs="宋体"/>
                <w:color w:val="000000"/>
                <w:sz w:val="24"/>
                <w:szCs w:val="24"/>
              </w:rPr>
            </w:pPr>
          </w:p>
        </w:tc>
        <w:tc>
          <w:tcPr>
            <w:tcW w:w="2380" w:type="dxa"/>
            <w:noWrap w:val="0"/>
            <w:vAlign w:val="top"/>
          </w:tcPr>
          <w:p>
            <w:pPr>
              <w:pStyle w:val="19"/>
              <w:spacing w:line="480" w:lineRule="auto"/>
              <w:ind w:firstLine="480" w:firstLineChars="200"/>
              <w:jc w:val="left"/>
              <w:rPr>
                <w:rFonts w:hAnsi="宋体" w:cs="宋体"/>
                <w:color w:val="000000"/>
                <w:sz w:val="24"/>
                <w:szCs w:val="24"/>
              </w:rPr>
            </w:pPr>
          </w:p>
        </w:tc>
        <w:tc>
          <w:tcPr>
            <w:tcW w:w="2120" w:type="dxa"/>
            <w:noWrap w:val="0"/>
            <w:vAlign w:val="top"/>
          </w:tcPr>
          <w:p>
            <w:pPr>
              <w:pStyle w:val="19"/>
              <w:spacing w:line="480" w:lineRule="auto"/>
              <w:ind w:firstLine="480" w:firstLineChars="200"/>
              <w:jc w:val="left"/>
              <w:rPr>
                <w:rFonts w:hAnsi="宋体" w:cs="宋体"/>
                <w:color w:val="000000"/>
                <w:sz w:val="24"/>
                <w:szCs w:val="24"/>
              </w:rPr>
            </w:pPr>
          </w:p>
        </w:tc>
        <w:tc>
          <w:tcPr>
            <w:tcW w:w="1676" w:type="dxa"/>
            <w:noWrap w:val="0"/>
            <w:vAlign w:val="top"/>
          </w:tcPr>
          <w:p>
            <w:pPr>
              <w:pStyle w:val="19"/>
              <w:spacing w:line="480" w:lineRule="auto"/>
              <w:ind w:firstLine="480" w:firstLineChars="200"/>
              <w:jc w:val="left"/>
              <w:rPr>
                <w:rFonts w:hAnsi="宋体" w:cs="宋体"/>
                <w:color w:val="000000"/>
                <w:sz w:val="24"/>
                <w:szCs w:val="24"/>
              </w:rPr>
            </w:pPr>
          </w:p>
        </w:tc>
        <w:tc>
          <w:tcPr>
            <w:tcW w:w="1588" w:type="dxa"/>
            <w:noWrap w:val="0"/>
            <w:vAlign w:val="top"/>
          </w:tcPr>
          <w:p>
            <w:pPr>
              <w:pStyle w:val="19"/>
              <w:spacing w:line="480" w:lineRule="auto"/>
              <w:ind w:firstLine="480" w:firstLineChars="200"/>
              <w:jc w:val="lef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pPr>
              <w:pStyle w:val="19"/>
              <w:spacing w:line="480" w:lineRule="auto"/>
              <w:ind w:firstLine="480" w:firstLineChars="200"/>
              <w:jc w:val="left"/>
              <w:rPr>
                <w:rFonts w:hAnsi="宋体" w:cs="宋体"/>
                <w:color w:val="000000"/>
                <w:sz w:val="24"/>
                <w:szCs w:val="24"/>
              </w:rPr>
            </w:pPr>
          </w:p>
        </w:tc>
        <w:tc>
          <w:tcPr>
            <w:tcW w:w="2380" w:type="dxa"/>
            <w:noWrap w:val="0"/>
            <w:vAlign w:val="top"/>
          </w:tcPr>
          <w:p>
            <w:pPr>
              <w:pStyle w:val="19"/>
              <w:spacing w:line="480" w:lineRule="auto"/>
              <w:ind w:firstLine="480" w:firstLineChars="200"/>
              <w:jc w:val="left"/>
              <w:rPr>
                <w:rFonts w:hAnsi="宋体" w:cs="宋体"/>
                <w:color w:val="000000"/>
                <w:sz w:val="24"/>
                <w:szCs w:val="24"/>
              </w:rPr>
            </w:pPr>
          </w:p>
        </w:tc>
        <w:tc>
          <w:tcPr>
            <w:tcW w:w="2120" w:type="dxa"/>
            <w:noWrap w:val="0"/>
            <w:vAlign w:val="top"/>
          </w:tcPr>
          <w:p>
            <w:pPr>
              <w:pStyle w:val="19"/>
              <w:spacing w:line="480" w:lineRule="auto"/>
              <w:ind w:firstLine="480" w:firstLineChars="200"/>
              <w:jc w:val="left"/>
              <w:rPr>
                <w:rFonts w:hAnsi="宋体" w:cs="宋体"/>
                <w:color w:val="000000"/>
                <w:sz w:val="24"/>
                <w:szCs w:val="24"/>
              </w:rPr>
            </w:pPr>
          </w:p>
        </w:tc>
        <w:tc>
          <w:tcPr>
            <w:tcW w:w="1676" w:type="dxa"/>
            <w:noWrap w:val="0"/>
            <w:vAlign w:val="top"/>
          </w:tcPr>
          <w:p>
            <w:pPr>
              <w:pStyle w:val="19"/>
              <w:spacing w:line="480" w:lineRule="auto"/>
              <w:ind w:firstLine="480" w:firstLineChars="200"/>
              <w:jc w:val="left"/>
              <w:rPr>
                <w:rFonts w:hAnsi="宋体" w:cs="宋体"/>
                <w:color w:val="000000"/>
                <w:sz w:val="24"/>
                <w:szCs w:val="24"/>
              </w:rPr>
            </w:pPr>
          </w:p>
        </w:tc>
        <w:tc>
          <w:tcPr>
            <w:tcW w:w="1588" w:type="dxa"/>
            <w:noWrap w:val="0"/>
            <w:vAlign w:val="top"/>
          </w:tcPr>
          <w:p>
            <w:pPr>
              <w:pStyle w:val="19"/>
              <w:spacing w:line="480" w:lineRule="auto"/>
              <w:ind w:firstLine="480" w:firstLineChars="200"/>
              <w:jc w:val="lef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pPr>
              <w:pStyle w:val="19"/>
              <w:spacing w:line="480" w:lineRule="auto"/>
              <w:ind w:firstLine="480" w:firstLineChars="200"/>
              <w:jc w:val="left"/>
              <w:rPr>
                <w:rFonts w:hAnsi="宋体" w:cs="宋体"/>
                <w:color w:val="000000"/>
                <w:sz w:val="24"/>
                <w:szCs w:val="24"/>
              </w:rPr>
            </w:pPr>
          </w:p>
        </w:tc>
        <w:tc>
          <w:tcPr>
            <w:tcW w:w="2380" w:type="dxa"/>
            <w:noWrap w:val="0"/>
            <w:vAlign w:val="top"/>
          </w:tcPr>
          <w:p>
            <w:pPr>
              <w:pStyle w:val="19"/>
              <w:spacing w:line="480" w:lineRule="auto"/>
              <w:ind w:firstLine="480" w:firstLineChars="200"/>
              <w:jc w:val="left"/>
              <w:rPr>
                <w:rFonts w:hAnsi="宋体" w:cs="宋体"/>
                <w:color w:val="000000"/>
                <w:sz w:val="24"/>
                <w:szCs w:val="24"/>
              </w:rPr>
            </w:pPr>
          </w:p>
        </w:tc>
        <w:tc>
          <w:tcPr>
            <w:tcW w:w="2120" w:type="dxa"/>
            <w:noWrap w:val="0"/>
            <w:vAlign w:val="top"/>
          </w:tcPr>
          <w:p>
            <w:pPr>
              <w:pStyle w:val="19"/>
              <w:spacing w:line="480" w:lineRule="auto"/>
              <w:ind w:firstLine="480" w:firstLineChars="200"/>
              <w:jc w:val="left"/>
              <w:rPr>
                <w:rFonts w:hAnsi="宋体" w:cs="宋体"/>
                <w:color w:val="000000"/>
                <w:sz w:val="24"/>
                <w:szCs w:val="24"/>
              </w:rPr>
            </w:pPr>
          </w:p>
        </w:tc>
        <w:tc>
          <w:tcPr>
            <w:tcW w:w="1676" w:type="dxa"/>
            <w:noWrap w:val="0"/>
            <w:vAlign w:val="top"/>
          </w:tcPr>
          <w:p>
            <w:pPr>
              <w:pStyle w:val="19"/>
              <w:spacing w:line="480" w:lineRule="auto"/>
              <w:ind w:firstLine="480" w:firstLineChars="200"/>
              <w:jc w:val="left"/>
              <w:rPr>
                <w:rFonts w:hAnsi="宋体" w:cs="宋体"/>
                <w:color w:val="000000"/>
                <w:sz w:val="24"/>
                <w:szCs w:val="24"/>
              </w:rPr>
            </w:pPr>
          </w:p>
        </w:tc>
        <w:tc>
          <w:tcPr>
            <w:tcW w:w="1588" w:type="dxa"/>
            <w:noWrap w:val="0"/>
            <w:vAlign w:val="top"/>
          </w:tcPr>
          <w:p>
            <w:pPr>
              <w:pStyle w:val="19"/>
              <w:spacing w:line="480" w:lineRule="auto"/>
              <w:ind w:firstLine="480" w:firstLineChars="200"/>
              <w:jc w:val="lef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pPr>
              <w:pStyle w:val="19"/>
              <w:spacing w:line="480" w:lineRule="auto"/>
              <w:ind w:firstLine="480" w:firstLineChars="200"/>
              <w:jc w:val="left"/>
              <w:rPr>
                <w:rFonts w:hAnsi="宋体" w:cs="宋体"/>
                <w:color w:val="000000"/>
                <w:sz w:val="24"/>
                <w:szCs w:val="24"/>
              </w:rPr>
            </w:pPr>
          </w:p>
        </w:tc>
        <w:tc>
          <w:tcPr>
            <w:tcW w:w="2380" w:type="dxa"/>
            <w:noWrap w:val="0"/>
            <w:vAlign w:val="top"/>
          </w:tcPr>
          <w:p>
            <w:pPr>
              <w:pStyle w:val="19"/>
              <w:spacing w:line="480" w:lineRule="auto"/>
              <w:ind w:firstLine="480" w:firstLineChars="200"/>
              <w:jc w:val="left"/>
              <w:rPr>
                <w:rFonts w:hAnsi="宋体" w:cs="宋体"/>
                <w:color w:val="000000"/>
                <w:sz w:val="24"/>
                <w:szCs w:val="24"/>
              </w:rPr>
            </w:pPr>
          </w:p>
        </w:tc>
        <w:tc>
          <w:tcPr>
            <w:tcW w:w="2120" w:type="dxa"/>
            <w:noWrap w:val="0"/>
            <w:vAlign w:val="top"/>
          </w:tcPr>
          <w:p>
            <w:pPr>
              <w:pStyle w:val="19"/>
              <w:spacing w:line="480" w:lineRule="auto"/>
              <w:ind w:firstLine="480" w:firstLineChars="200"/>
              <w:jc w:val="left"/>
              <w:rPr>
                <w:rFonts w:hAnsi="宋体" w:cs="宋体"/>
                <w:color w:val="000000"/>
                <w:sz w:val="24"/>
                <w:szCs w:val="24"/>
              </w:rPr>
            </w:pPr>
          </w:p>
        </w:tc>
        <w:tc>
          <w:tcPr>
            <w:tcW w:w="1676" w:type="dxa"/>
            <w:noWrap w:val="0"/>
            <w:vAlign w:val="top"/>
          </w:tcPr>
          <w:p>
            <w:pPr>
              <w:pStyle w:val="19"/>
              <w:spacing w:line="480" w:lineRule="auto"/>
              <w:ind w:firstLine="480" w:firstLineChars="200"/>
              <w:jc w:val="left"/>
              <w:rPr>
                <w:rFonts w:hAnsi="宋体" w:cs="宋体"/>
                <w:color w:val="000000"/>
                <w:sz w:val="24"/>
                <w:szCs w:val="24"/>
              </w:rPr>
            </w:pPr>
          </w:p>
        </w:tc>
        <w:tc>
          <w:tcPr>
            <w:tcW w:w="1588" w:type="dxa"/>
            <w:noWrap w:val="0"/>
            <w:vAlign w:val="top"/>
          </w:tcPr>
          <w:p>
            <w:pPr>
              <w:pStyle w:val="19"/>
              <w:spacing w:line="480" w:lineRule="auto"/>
              <w:ind w:firstLine="480" w:firstLineChars="200"/>
              <w:jc w:val="lef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3" w:type="dxa"/>
            <w:noWrap w:val="0"/>
            <w:vAlign w:val="top"/>
          </w:tcPr>
          <w:p>
            <w:pPr>
              <w:pStyle w:val="19"/>
              <w:spacing w:line="480" w:lineRule="auto"/>
              <w:ind w:firstLine="480" w:firstLineChars="200"/>
              <w:jc w:val="left"/>
              <w:rPr>
                <w:rFonts w:hAnsi="宋体" w:cs="宋体"/>
                <w:color w:val="000000"/>
                <w:sz w:val="24"/>
                <w:szCs w:val="24"/>
              </w:rPr>
            </w:pPr>
          </w:p>
        </w:tc>
        <w:tc>
          <w:tcPr>
            <w:tcW w:w="2380" w:type="dxa"/>
            <w:noWrap w:val="0"/>
            <w:vAlign w:val="top"/>
          </w:tcPr>
          <w:p>
            <w:pPr>
              <w:pStyle w:val="19"/>
              <w:spacing w:line="480" w:lineRule="auto"/>
              <w:ind w:firstLine="480" w:firstLineChars="200"/>
              <w:jc w:val="left"/>
              <w:rPr>
                <w:rFonts w:hAnsi="宋体" w:cs="宋体"/>
                <w:color w:val="000000"/>
                <w:sz w:val="24"/>
                <w:szCs w:val="24"/>
              </w:rPr>
            </w:pPr>
          </w:p>
        </w:tc>
        <w:tc>
          <w:tcPr>
            <w:tcW w:w="2120" w:type="dxa"/>
            <w:noWrap w:val="0"/>
            <w:vAlign w:val="top"/>
          </w:tcPr>
          <w:p>
            <w:pPr>
              <w:pStyle w:val="19"/>
              <w:spacing w:line="480" w:lineRule="auto"/>
              <w:ind w:firstLine="480" w:firstLineChars="200"/>
              <w:jc w:val="left"/>
              <w:rPr>
                <w:rFonts w:hAnsi="宋体" w:cs="宋体"/>
                <w:color w:val="000000"/>
                <w:sz w:val="24"/>
                <w:szCs w:val="24"/>
              </w:rPr>
            </w:pPr>
          </w:p>
        </w:tc>
        <w:tc>
          <w:tcPr>
            <w:tcW w:w="1676" w:type="dxa"/>
            <w:noWrap w:val="0"/>
            <w:vAlign w:val="top"/>
          </w:tcPr>
          <w:p>
            <w:pPr>
              <w:pStyle w:val="19"/>
              <w:spacing w:line="480" w:lineRule="auto"/>
              <w:ind w:firstLine="480" w:firstLineChars="200"/>
              <w:jc w:val="left"/>
              <w:rPr>
                <w:rFonts w:hAnsi="宋体" w:cs="宋体"/>
                <w:color w:val="000000"/>
                <w:sz w:val="24"/>
                <w:szCs w:val="24"/>
              </w:rPr>
            </w:pPr>
          </w:p>
        </w:tc>
        <w:tc>
          <w:tcPr>
            <w:tcW w:w="1588" w:type="dxa"/>
            <w:noWrap w:val="0"/>
            <w:vAlign w:val="top"/>
          </w:tcPr>
          <w:p>
            <w:pPr>
              <w:pStyle w:val="19"/>
              <w:spacing w:line="480" w:lineRule="auto"/>
              <w:ind w:firstLine="480" w:firstLineChars="200"/>
              <w:jc w:val="left"/>
              <w:rPr>
                <w:rFonts w:hAnsi="宋体" w:cs="宋体"/>
                <w:color w:val="000000"/>
                <w:sz w:val="24"/>
                <w:szCs w:val="24"/>
              </w:rPr>
            </w:pPr>
          </w:p>
        </w:tc>
      </w:tr>
    </w:tbl>
    <w:p>
      <w:pPr>
        <w:pStyle w:val="11"/>
        <w:spacing w:line="360" w:lineRule="auto"/>
        <w:ind w:left="140" w:firstLine="0"/>
        <w:rPr>
          <w:rFonts w:ascii="宋体" w:hAnsi="宋体" w:cs="宋体"/>
          <w:b/>
          <w:bCs/>
          <w:sz w:val="24"/>
          <w:szCs w:val="24"/>
        </w:rPr>
      </w:pPr>
      <w:r>
        <w:rPr>
          <w:rFonts w:hint="eastAsia" w:ascii="宋体" w:hAnsi="宋体" w:cs="宋体"/>
          <w:b/>
          <w:bCs/>
          <w:sz w:val="24"/>
          <w:szCs w:val="24"/>
        </w:rPr>
        <w:t>1、本表须按“</w:t>
      </w:r>
      <w:r>
        <w:rPr>
          <w:rFonts w:hint="eastAsia" w:ascii="宋体" w:hAnsi="宋体" w:cs="宋体"/>
          <w:b/>
          <w:bCs/>
          <w:sz w:val="24"/>
          <w:szCs w:val="24"/>
          <w:lang w:eastAsia="zh-CN"/>
        </w:rPr>
        <w:t>第三章招标内容及要求</w:t>
      </w:r>
      <w:r>
        <w:rPr>
          <w:rFonts w:hint="eastAsia" w:ascii="宋体" w:hAnsi="宋体" w:cs="宋体"/>
          <w:b/>
          <w:bCs/>
          <w:sz w:val="24"/>
          <w:szCs w:val="24"/>
        </w:rPr>
        <w:t>”中所列</w:t>
      </w:r>
      <w:r>
        <w:rPr>
          <w:rFonts w:hint="eastAsia" w:ascii="宋体" w:hAnsi="宋体" w:cs="宋体"/>
          <w:b/>
          <w:bCs/>
          <w:sz w:val="24"/>
          <w:szCs w:val="24"/>
          <w:lang w:eastAsia="zh-CN"/>
        </w:rPr>
        <w:t>技术</w:t>
      </w:r>
      <w:r>
        <w:rPr>
          <w:rFonts w:hint="eastAsia" w:ascii="宋体" w:hAnsi="宋体" w:cs="宋体"/>
          <w:b/>
          <w:bCs/>
          <w:sz w:val="24"/>
          <w:szCs w:val="24"/>
        </w:rPr>
        <w:t>服务要求进行比较和响应；</w:t>
      </w:r>
    </w:p>
    <w:p>
      <w:pPr>
        <w:pStyle w:val="11"/>
        <w:spacing w:line="360" w:lineRule="auto"/>
        <w:ind w:left="140" w:firstLine="0"/>
        <w:rPr>
          <w:rFonts w:ascii="宋体" w:hAnsi="宋体" w:cs="宋体"/>
          <w:sz w:val="24"/>
          <w:szCs w:val="24"/>
        </w:rPr>
      </w:pPr>
      <w:r>
        <w:rPr>
          <w:rFonts w:hint="eastAsia" w:ascii="宋体" w:hAnsi="宋体" w:cs="宋体"/>
          <w:b/>
          <w:bCs/>
          <w:sz w:val="24"/>
          <w:szCs w:val="24"/>
        </w:rPr>
        <w:t>2、该表必须按照</w:t>
      </w:r>
      <w:r>
        <w:rPr>
          <w:rFonts w:hint="eastAsia" w:ascii="宋体" w:hAnsi="宋体" w:cs="宋体"/>
          <w:b/>
          <w:bCs/>
          <w:sz w:val="24"/>
          <w:szCs w:val="24"/>
          <w:lang w:eastAsia="zh-CN"/>
        </w:rPr>
        <w:t>招标</w:t>
      </w:r>
      <w:r>
        <w:rPr>
          <w:rFonts w:hint="eastAsia" w:ascii="宋体" w:hAnsi="宋体" w:cs="宋体"/>
          <w:b/>
          <w:bCs/>
          <w:sz w:val="24"/>
          <w:szCs w:val="24"/>
        </w:rPr>
        <w:t>文件要求逐条如实填写，根据情况在“偏离情况”项填写正偏离或负偏离或无偏离，在“说明”项填写正偏离或负偏离原因。</w:t>
      </w:r>
    </w:p>
    <w:p>
      <w:pPr>
        <w:pStyle w:val="11"/>
        <w:spacing w:line="360" w:lineRule="auto"/>
        <w:ind w:left="140" w:firstLine="0"/>
        <w:rPr>
          <w:rFonts w:ascii="宋体" w:hAnsi="宋体" w:cs="宋体"/>
          <w:sz w:val="24"/>
          <w:szCs w:val="24"/>
        </w:rPr>
      </w:pPr>
      <w:r>
        <w:rPr>
          <w:rFonts w:hint="eastAsia" w:ascii="宋体" w:hAnsi="宋体" w:cs="宋体"/>
          <w:b/>
          <w:bCs/>
          <w:sz w:val="24"/>
          <w:szCs w:val="24"/>
        </w:rPr>
        <w:t>3、该表可扩展。</w:t>
      </w:r>
    </w:p>
    <w:p>
      <w:pPr>
        <w:adjustRightInd w:val="0"/>
        <w:snapToGrid w:val="0"/>
        <w:spacing w:line="480" w:lineRule="auto"/>
        <w:jc w:val="lef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480" w:lineRule="auto"/>
        <w:jc w:val="left"/>
        <w:rPr>
          <w:rFonts w:asciiTheme="minorEastAsia" w:hAnsiTheme="minorEastAsia" w:cstheme="minorEastAsia"/>
          <w:color w:val="000000" w:themeColor="text1"/>
          <w:sz w:val="24"/>
          <w:szCs w:val="24"/>
          <w:u w:val="single"/>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供应商（单位名称及公章）：</w:t>
      </w:r>
    </w:p>
    <w:p>
      <w:pPr>
        <w:adjustRightInd w:val="0"/>
        <w:snapToGrid w:val="0"/>
        <w:spacing w:line="48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法定代表人或被授权人（签字或盖章）：</w:t>
      </w:r>
    </w:p>
    <w:p>
      <w:pPr>
        <w:adjustRightInd w:val="0"/>
        <w:snapToGrid w:val="0"/>
        <w:spacing w:line="48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日    期：年</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日</w:t>
      </w:r>
    </w:p>
    <w:p/>
    <w:bookmarkEnd w:id="323"/>
    <w:bookmarkEnd w:id="324"/>
    <w:bookmarkEnd w:id="325"/>
    <w:bookmarkEnd w:id="326"/>
    <w:p>
      <w:pPr>
        <w:rPr>
          <w:rFonts w:hint="eastAsia" w:asciiTheme="minorEastAsia" w:hAnsiTheme="minorEastAsia" w:eastAsiaTheme="minorEastAsia" w:cstheme="minorEastAsia"/>
          <w:color w:val="000000" w:themeColor="text1"/>
          <w:sz w:val="36"/>
          <w:szCs w:val="36"/>
          <w14:textFill>
            <w14:solidFill>
              <w14:schemeClr w14:val="tx1"/>
            </w14:solidFill>
          </w14:textFill>
        </w:rPr>
      </w:pPr>
      <w:bookmarkStart w:id="339" w:name="_Toc24830"/>
      <w:r>
        <w:rPr>
          <w:rFonts w:hint="eastAsia" w:asciiTheme="minorEastAsia" w:hAnsiTheme="minorEastAsia" w:eastAsiaTheme="minorEastAsia" w:cstheme="minorEastAsia"/>
          <w:color w:val="000000" w:themeColor="text1"/>
          <w:sz w:val="36"/>
          <w:szCs w:val="36"/>
          <w14:textFill>
            <w14:solidFill>
              <w14:schemeClr w14:val="tx1"/>
            </w14:solidFill>
          </w14:textFill>
        </w:rPr>
        <w:br w:type="page"/>
      </w:r>
    </w:p>
    <w:p>
      <w:pPr>
        <w:bidi w:val="0"/>
        <w:rPr>
          <w:rFonts w:hint="eastAsia" w:ascii="宋体" w:hAnsi="宋体" w:eastAsia="宋体" w:cs="宋体"/>
          <w:sz w:val="24"/>
          <w:szCs w:val="24"/>
          <w:lang w:eastAsia="zh-CN"/>
        </w:rPr>
      </w:pPr>
      <w:r>
        <w:rPr>
          <w:rFonts w:hint="eastAsia" w:ascii="宋体" w:hAnsi="宋体" w:eastAsia="宋体" w:cs="宋体"/>
          <w:sz w:val="24"/>
          <w:szCs w:val="24"/>
          <w:lang w:eastAsia="zh-CN"/>
        </w:rPr>
        <w:t>表</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合同条款响应</w:t>
      </w:r>
      <w:r>
        <w:rPr>
          <w:rFonts w:hint="eastAsia" w:ascii="宋体" w:hAnsi="宋体" w:eastAsia="宋体" w:cs="宋体"/>
          <w:sz w:val="24"/>
          <w:szCs w:val="24"/>
          <w:lang w:eastAsia="zh-CN"/>
        </w:rPr>
        <w:t>说明</w:t>
      </w:r>
    </w:p>
    <w:tbl>
      <w:tblPr>
        <w:tblStyle w:val="31"/>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449"/>
        <w:gridCol w:w="2600"/>
        <w:gridCol w:w="128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49"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条款名称</w:t>
            </w:r>
          </w:p>
        </w:tc>
        <w:tc>
          <w:tcPr>
            <w:tcW w:w="2449"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招标文件合同条款明细</w:t>
            </w:r>
          </w:p>
        </w:tc>
        <w:tc>
          <w:tcPr>
            <w:tcW w:w="2600"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投标文件合同条款响应</w:t>
            </w:r>
          </w:p>
        </w:tc>
        <w:tc>
          <w:tcPr>
            <w:tcW w:w="1282"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988" w:type="dxa"/>
            <w:tcBorders>
              <w:top w:val="single" w:color="auto" w:sz="2" w:space="0"/>
            </w:tcBorders>
            <w:vAlign w:val="center"/>
          </w:tcPr>
          <w:p>
            <w:pPr>
              <w:jc w:val="center"/>
              <w:rPr>
                <w:rFonts w:ascii="仿宋" w:hAnsi="仿宋" w:eastAsia="仿宋"/>
                <w:sz w:val="28"/>
                <w:szCs w:val="28"/>
              </w:rPr>
            </w:pPr>
          </w:p>
        </w:tc>
        <w:tc>
          <w:tcPr>
            <w:tcW w:w="1549" w:type="dxa"/>
            <w:tcBorders>
              <w:top w:val="single" w:color="auto" w:sz="2" w:space="0"/>
            </w:tcBorders>
            <w:vAlign w:val="center"/>
          </w:tcPr>
          <w:p>
            <w:pPr>
              <w:jc w:val="center"/>
              <w:rPr>
                <w:rFonts w:ascii="仿宋" w:hAnsi="仿宋" w:eastAsia="仿宋"/>
                <w:sz w:val="28"/>
                <w:szCs w:val="28"/>
              </w:rPr>
            </w:pPr>
          </w:p>
        </w:tc>
        <w:tc>
          <w:tcPr>
            <w:tcW w:w="2449" w:type="dxa"/>
            <w:tcBorders>
              <w:top w:val="single" w:color="auto" w:sz="2" w:space="0"/>
            </w:tcBorders>
            <w:vAlign w:val="center"/>
          </w:tcPr>
          <w:p>
            <w:pPr>
              <w:jc w:val="center"/>
              <w:rPr>
                <w:rFonts w:ascii="仿宋" w:hAnsi="仿宋" w:eastAsia="仿宋"/>
                <w:sz w:val="28"/>
                <w:szCs w:val="28"/>
              </w:rPr>
            </w:pPr>
          </w:p>
        </w:tc>
        <w:tc>
          <w:tcPr>
            <w:tcW w:w="2600" w:type="dxa"/>
            <w:tcBorders>
              <w:top w:val="single" w:color="auto" w:sz="2" w:space="0"/>
            </w:tcBorders>
            <w:vAlign w:val="center"/>
          </w:tcPr>
          <w:p>
            <w:pPr>
              <w:jc w:val="center"/>
              <w:rPr>
                <w:rFonts w:ascii="仿宋" w:hAnsi="仿宋" w:eastAsia="仿宋"/>
                <w:sz w:val="28"/>
                <w:szCs w:val="28"/>
              </w:rPr>
            </w:pPr>
          </w:p>
        </w:tc>
        <w:tc>
          <w:tcPr>
            <w:tcW w:w="1282" w:type="dxa"/>
            <w:tcBorders>
              <w:top w:val="single" w:color="auto" w:sz="2" w:space="0"/>
            </w:tcBorders>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7"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449" w:type="dxa"/>
            <w:vAlign w:val="center"/>
          </w:tcPr>
          <w:p>
            <w:pPr>
              <w:jc w:val="center"/>
              <w:rPr>
                <w:rFonts w:ascii="仿宋" w:hAnsi="仿宋" w:eastAsia="仿宋"/>
                <w:sz w:val="28"/>
                <w:szCs w:val="28"/>
              </w:rPr>
            </w:pPr>
          </w:p>
        </w:tc>
        <w:tc>
          <w:tcPr>
            <w:tcW w:w="2600"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8"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449" w:type="dxa"/>
            <w:vAlign w:val="center"/>
          </w:tcPr>
          <w:p>
            <w:pPr>
              <w:jc w:val="center"/>
              <w:rPr>
                <w:rFonts w:ascii="仿宋" w:hAnsi="仿宋" w:eastAsia="仿宋"/>
                <w:sz w:val="28"/>
                <w:szCs w:val="28"/>
              </w:rPr>
            </w:pPr>
          </w:p>
        </w:tc>
        <w:tc>
          <w:tcPr>
            <w:tcW w:w="2600"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449" w:type="dxa"/>
            <w:vAlign w:val="center"/>
          </w:tcPr>
          <w:p>
            <w:pPr>
              <w:jc w:val="center"/>
              <w:rPr>
                <w:rFonts w:ascii="仿宋" w:hAnsi="仿宋" w:eastAsia="仿宋"/>
                <w:sz w:val="28"/>
                <w:szCs w:val="28"/>
              </w:rPr>
            </w:pPr>
          </w:p>
        </w:tc>
        <w:tc>
          <w:tcPr>
            <w:tcW w:w="2600"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1"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449" w:type="dxa"/>
            <w:vAlign w:val="center"/>
          </w:tcPr>
          <w:p>
            <w:pPr>
              <w:jc w:val="center"/>
              <w:rPr>
                <w:rFonts w:ascii="仿宋" w:hAnsi="仿宋" w:eastAsia="仿宋"/>
                <w:sz w:val="28"/>
                <w:szCs w:val="28"/>
              </w:rPr>
            </w:pPr>
          </w:p>
        </w:tc>
        <w:tc>
          <w:tcPr>
            <w:tcW w:w="2600"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449" w:type="dxa"/>
            <w:vAlign w:val="center"/>
          </w:tcPr>
          <w:p>
            <w:pPr>
              <w:jc w:val="center"/>
              <w:rPr>
                <w:rFonts w:ascii="仿宋" w:hAnsi="仿宋" w:eastAsia="仿宋"/>
                <w:sz w:val="28"/>
                <w:szCs w:val="28"/>
              </w:rPr>
            </w:pPr>
          </w:p>
        </w:tc>
        <w:tc>
          <w:tcPr>
            <w:tcW w:w="2600"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0"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449" w:type="dxa"/>
            <w:vAlign w:val="center"/>
          </w:tcPr>
          <w:p>
            <w:pPr>
              <w:jc w:val="center"/>
              <w:rPr>
                <w:rFonts w:ascii="仿宋" w:hAnsi="仿宋" w:eastAsia="仿宋"/>
                <w:sz w:val="28"/>
                <w:szCs w:val="28"/>
              </w:rPr>
            </w:pPr>
          </w:p>
        </w:tc>
        <w:tc>
          <w:tcPr>
            <w:tcW w:w="2600"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仿宋" w:hAnsi="仿宋" w:eastAsia="仿宋"/>
                <w:sz w:val="28"/>
                <w:szCs w:val="28"/>
              </w:rPr>
            </w:pPr>
            <w:r>
              <w:rPr>
                <w:rFonts w:ascii="仿宋" w:hAnsi="仿宋" w:eastAsia="仿宋"/>
                <w:sz w:val="28"/>
                <w:szCs w:val="28"/>
              </w:rPr>
              <w:t>备注</w:t>
            </w:r>
          </w:p>
        </w:tc>
        <w:tc>
          <w:tcPr>
            <w:tcW w:w="7880" w:type="dxa"/>
            <w:gridSpan w:val="4"/>
            <w:vAlign w:val="center"/>
          </w:tcPr>
          <w:p>
            <w:pPr>
              <w:jc w:val="both"/>
              <w:rPr>
                <w:rFonts w:hint="eastAsia" w:ascii="宋体" w:hAnsi="宋体" w:eastAsia="宋体" w:cs="宋体"/>
                <w:sz w:val="24"/>
                <w:szCs w:val="24"/>
              </w:rPr>
            </w:pPr>
            <w:r>
              <w:rPr>
                <w:rFonts w:hint="eastAsia" w:ascii="宋体" w:hAnsi="宋体" w:eastAsia="宋体" w:cs="宋体"/>
                <w:sz w:val="24"/>
                <w:szCs w:val="24"/>
              </w:rPr>
              <w:t>1．服务商应逐条响应。</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2.响应说明填写“完全接受”、“不能接受”、“有条件接受”，</w:t>
            </w:r>
            <w:r>
              <w:rPr>
                <w:rFonts w:hint="eastAsia" w:ascii="宋体" w:hAnsi="宋体" w:eastAsia="宋体" w:cs="宋体"/>
                <w:sz w:val="24"/>
                <w:szCs w:val="24"/>
              </w:rPr>
              <w:t>对于需要供应商填报的内容，以及“不能接受”或“有条件接受”的条款，则应写明该条款名称及条款明细、以及供应商所能接受的条件。</w:t>
            </w:r>
          </w:p>
          <w:p>
            <w:pPr>
              <w:jc w:val="both"/>
              <w:rPr>
                <w:rFonts w:ascii="仿宋" w:hAnsi="仿宋" w:eastAsia="仿宋"/>
                <w:sz w:val="28"/>
                <w:szCs w:val="28"/>
              </w:rPr>
            </w:pPr>
            <w:r>
              <w:rPr>
                <w:rFonts w:hint="eastAsia" w:ascii="宋体" w:hAnsi="宋体" w:eastAsia="宋体" w:cs="宋体"/>
                <w:sz w:val="24"/>
                <w:szCs w:val="24"/>
                <w:lang w:val="en-US" w:eastAsia="zh-CN"/>
              </w:rPr>
              <w:t>3</w:t>
            </w:r>
            <w:r>
              <w:rPr>
                <w:rFonts w:hint="eastAsia" w:ascii="宋体" w:hAnsi="宋体" w:eastAsia="宋体" w:cs="宋体"/>
                <w:sz w:val="24"/>
                <w:szCs w:val="24"/>
              </w:rPr>
              <w:t>．根据《政府采购货物和服务招标投标管理办法》（财政部87号令）第六十三条，若投标文件含有采购人不能接受的附加条件的，投标无效。</w:t>
            </w:r>
          </w:p>
        </w:tc>
      </w:tr>
    </w:tbl>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声明：除上表所列的合同条款外，招标文件中的其他合同条款我方均完全接受。</w:t>
      </w:r>
    </w:p>
    <w:p>
      <w:pPr>
        <w:adjustRightInd w:val="0"/>
        <w:snapToGrid w:val="0"/>
        <w:spacing w:line="480" w:lineRule="auto"/>
        <w:jc w:val="left"/>
        <w:rPr>
          <w:rFonts w:hint="eastAsia"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480" w:lineRule="auto"/>
        <w:jc w:val="left"/>
        <w:rPr>
          <w:rFonts w:asciiTheme="minorEastAsia" w:hAnsiTheme="minorEastAsia" w:cstheme="minorEastAsia"/>
          <w:color w:val="000000" w:themeColor="text1"/>
          <w:sz w:val="24"/>
          <w:szCs w:val="24"/>
          <w:u w:val="single"/>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供应商（单位名称及公章）：</w:t>
      </w:r>
    </w:p>
    <w:p>
      <w:pPr>
        <w:adjustRightInd w:val="0"/>
        <w:snapToGrid w:val="0"/>
        <w:spacing w:line="48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法定代表人或被授权人（签字或盖章）：</w:t>
      </w:r>
    </w:p>
    <w:p>
      <w:pPr>
        <w:adjustRightInd w:val="0"/>
        <w:snapToGrid w:val="0"/>
        <w:spacing w:line="48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日    期：年</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日</w:t>
      </w:r>
    </w:p>
    <w:p>
      <w:pPr>
        <w:rPr>
          <w:rFonts w:asciiTheme="minorEastAsia" w:hAnsiTheme="minorEastAsia" w:eastAsiaTheme="minorEastAsia" w:cstheme="minorEastAsia"/>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z w:val="36"/>
          <w:szCs w:val="36"/>
          <w14:textFill>
            <w14:solidFill>
              <w14:schemeClr w14:val="tx1"/>
            </w14:solidFill>
          </w14:textFill>
        </w:rPr>
        <w:br w:type="page"/>
      </w:r>
    </w:p>
    <w:p>
      <w:pPr>
        <w:pStyle w:val="4"/>
        <w:bidi w:val="0"/>
        <w:jc w:val="center"/>
        <w:rPr>
          <w:rFonts w:hint="eastAsia" w:ascii="宋体" w:hAnsi="宋体" w:eastAsia="宋体" w:cs="宋体"/>
          <w:b/>
          <w:bCs/>
          <w:lang w:val="en-US" w:eastAsia="zh-CN"/>
        </w:rPr>
      </w:pPr>
      <w:bookmarkStart w:id="340" w:name="_Toc258"/>
      <w:bookmarkStart w:id="341" w:name="_Toc1541"/>
      <w:bookmarkStart w:id="342" w:name="_Toc31510"/>
      <w:bookmarkStart w:id="343" w:name="_Toc9339"/>
      <w:bookmarkStart w:id="344" w:name="_Toc4358"/>
      <w:bookmarkStart w:id="345" w:name="_Toc4907"/>
      <w:bookmarkStart w:id="346" w:name="_Toc30071"/>
      <w:r>
        <w:rPr>
          <w:rFonts w:hint="eastAsia" w:ascii="宋体" w:hAnsi="宋体" w:eastAsia="宋体" w:cs="宋体"/>
          <w:b/>
          <w:bCs/>
        </w:rPr>
        <w:t>第</w:t>
      </w:r>
      <w:r>
        <w:rPr>
          <w:rFonts w:hint="eastAsia" w:ascii="宋体" w:hAnsi="宋体" w:eastAsia="宋体" w:cs="宋体"/>
          <w:b/>
          <w:bCs/>
          <w:lang w:val="en-US" w:eastAsia="zh-CN"/>
        </w:rPr>
        <w:t>六</w:t>
      </w:r>
      <w:r>
        <w:rPr>
          <w:rFonts w:hint="eastAsia" w:ascii="宋体" w:hAnsi="宋体" w:eastAsia="宋体" w:cs="宋体"/>
          <w:b/>
          <w:bCs/>
          <w:lang w:eastAsia="zh-CN"/>
        </w:rPr>
        <w:t>部分</w:t>
      </w:r>
      <w:r>
        <w:rPr>
          <w:rFonts w:hint="eastAsia" w:ascii="宋体" w:hAnsi="宋体" w:eastAsia="宋体" w:cs="宋体"/>
          <w:b/>
          <w:bCs/>
        </w:rPr>
        <w:t xml:space="preserve">  </w:t>
      </w:r>
      <w:bookmarkEnd w:id="339"/>
      <w:bookmarkEnd w:id="340"/>
      <w:r>
        <w:rPr>
          <w:rFonts w:hint="eastAsia" w:ascii="宋体" w:hAnsi="宋体" w:eastAsia="宋体" w:cs="宋体"/>
          <w:b/>
          <w:bCs/>
          <w:lang w:val="en-US" w:eastAsia="zh-CN"/>
        </w:rPr>
        <w:t>技术方案</w:t>
      </w:r>
      <w:bookmarkEnd w:id="341"/>
      <w:bookmarkEnd w:id="342"/>
      <w:bookmarkEnd w:id="343"/>
      <w:bookmarkEnd w:id="344"/>
      <w:bookmarkEnd w:id="345"/>
      <w:bookmarkEnd w:id="346"/>
    </w:p>
    <w:p>
      <w:pPr>
        <w:spacing w:line="480" w:lineRule="auto"/>
        <w:rPr>
          <w:rFonts w:asciiTheme="minorEastAsia" w:hAnsiTheme="minorEastAsia" w:eastAsiaTheme="minorEastAsia" w:cstheme="minorEastAsia"/>
          <w:sz w:val="24"/>
          <w:szCs w:val="24"/>
          <w:highlight w:val="yellow"/>
        </w:rPr>
      </w:pPr>
      <w:r>
        <w:rPr>
          <w:rFonts w:hint="eastAsia"/>
          <w:b/>
          <w:bCs/>
          <w:color w:val="000000" w:themeColor="text1"/>
          <w:sz w:val="24"/>
          <w:szCs w:val="24"/>
          <w14:textFill>
            <w14:solidFill>
              <w14:schemeClr w14:val="tx1"/>
            </w14:solidFill>
          </w14:textFill>
        </w:rPr>
        <w:t>供应商可根据评审办法自行编写，格式不限；</w:t>
      </w:r>
    </w:p>
    <w:p>
      <w:pPr>
        <w:jc w:val="both"/>
        <w:outlineLvl w:val="9"/>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 xml:space="preserve">  </w:t>
      </w:r>
    </w:p>
    <w:p>
      <w:pPr>
        <w:bidi w:val="0"/>
        <w:rPr>
          <w:rFonts w:hint="eastAsia" w:asciiTheme="minorEastAsia" w:hAnsiTheme="minorEastAsia" w:eastAsiaTheme="minorEastAsia" w:cstheme="minorEastAsia"/>
          <w:color w:val="000000" w:themeColor="text1"/>
          <w:sz w:val="32"/>
          <w:szCs w:val="32"/>
          <w:lang w:val="en-US" w:eastAsia="zh-CN" w:bidi="ar-SA"/>
          <w14:textFill>
            <w14:solidFill>
              <w14:schemeClr w14:val="tx1"/>
            </w14:solidFill>
          </w14:textFill>
        </w:rPr>
      </w:pPr>
      <w:r>
        <w:rPr>
          <w:rFonts w:hint="eastAsia"/>
          <w:lang w:val="en-US" w:eastAsia="zh-CN"/>
        </w:rPr>
        <w:t xml:space="preserve">                      </w:t>
      </w:r>
      <w:r>
        <w:rPr>
          <w:rFonts w:hint="eastAsia" w:asciiTheme="minorEastAsia" w:hAnsiTheme="minorEastAsia" w:eastAsiaTheme="minorEastAsia" w:cstheme="minorEastAsia"/>
          <w:color w:val="000000" w:themeColor="text1"/>
          <w:sz w:val="32"/>
          <w:szCs w:val="32"/>
          <w:lang w:val="en-US" w:eastAsia="zh-CN" w:bidi="ar-SA"/>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32"/>
          <w:szCs w:val="3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bidi="ar-SA"/>
          <w14:textFill>
            <w14:solidFill>
              <w14:schemeClr w14:val="tx1"/>
            </w14:solidFill>
          </w14:textFill>
        </w:rPr>
        <w:br w:type="page"/>
      </w:r>
    </w:p>
    <w:p>
      <w:pPr>
        <w:pStyle w:val="4"/>
        <w:bidi w:val="0"/>
        <w:jc w:val="center"/>
        <w:rPr>
          <w:rFonts w:hint="eastAsia" w:ascii="宋体" w:hAnsi="宋体" w:eastAsia="宋体" w:cs="宋体"/>
          <w:b/>
          <w:bCs/>
          <w:lang w:val="en-US" w:eastAsia="zh-CN"/>
        </w:rPr>
      </w:pPr>
      <w:bookmarkStart w:id="347" w:name="_Toc27311"/>
      <w:bookmarkStart w:id="348" w:name="_Toc1060"/>
      <w:bookmarkStart w:id="349" w:name="_Toc11111"/>
      <w:bookmarkStart w:id="350" w:name="_Toc28836"/>
      <w:bookmarkStart w:id="351" w:name="_Toc19340"/>
      <w:bookmarkStart w:id="352" w:name="_Toc5858"/>
      <w:r>
        <w:rPr>
          <w:rFonts w:hint="eastAsia" w:ascii="宋体" w:hAnsi="宋体" w:eastAsia="宋体" w:cs="宋体"/>
          <w:b/>
          <w:bCs/>
          <w:lang w:val="en-US" w:eastAsia="zh-CN"/>
        </w:rPr>
        <w:t>第七部分  服务保障措施</w:t>
      </w:r>
      <w:bookmarkEnd w:id="347"/>
      <w:bookmarkEnd w:id="348"/>
      <w:bookmarkEnd w:id="349"/>
      <w:bookmarkEnd w:id="350"/>
      <w:bookmarkEnd w:id="351"/>
      <w:bookmarkEnd w:id="352"/>
    </w:p>
    <w:p>
      <w:pPr>
        <w:rPr>
          <w:rFonts w:hint="eastAsia" w:asciiTheme="minorEastAsia" w:hAnsiTheme="minorEastAsia" w:eastAsiaTheme="minorEastAsia" w:cstheme="minorEastAsia"/>
          <w:b/>
          <w:bCs/>
          <w:color w:val="000000" w:themeColor="text1"/>
          <w:kern w:val="0"/>
          <w:sz w:val="36"/>
          <w:szCs w:val="36"/>
          <w:lang w:val="en-US" w:eastAsia="zh-CN" w:bidi="ar-SA"/>
          <w14:textFill>
            <w14:solidFill>
              <w14:schemeClr w14:val="tx1"/>
            </w14:solidFill>
          </w14:textFill>
        </w:rPr>
      </w:pPr>
      <w:r>
        <w:rPr>
          <w:rFonts w:hint="eastAsia"/>
          <w:b/>
          <w:bCs/>
          <w:color w:val="000000" w:themeColor="text1"/>
          <w:sz w:val="24"/>
          <w:szCs w:val="24"/>
          <w14:textFill>
            <w14:solidFill>
              <w14:schemeClr w14:val="tx1"/>
            </w14:solidFill>
          </w14:textFill>
        </w:rPr>
        <w:t>供应商可根据评审办法自行编写，格式不限；</w:t>
      </w:r>
    </w:p>
    <w:p>
      <w:pPr>
        <w:rPr>
          <w:rFonts w:hint="eastAsia" w:ascii="宋体" w:hAnsi="宋体" w:eastAsia="宋体" w:cs="宋体"/>
          <w:color w:val="000000" w:themeColor="text1"/>
          <w:sz w:val="32"/>
          <w:szCs w:val="32"/>
          <w14:textFill>
            <w14:solidFill>
              <w14:schemeClr w14:val="tx1"/>
            </w14:solidFill>
          </w14:textFill>
        </w:rPr>
      </w:pPr>
      <w:bookmarkStart w:id="353" w:name="_Toc6020"/>
      <w:bookmarkStart w:id="354" w:name="_Toc24882"/>
      <w:bookmarkStart w:id="355" w:name="_Toc3034"/>
      <w:bookmarkStart w:id="356" w:name="_Toc11540"/>
      <w:bookmarkStart w:id="357" w:name="_Toc30983"/>
      <w:bookmarkStart w:id="358" w:name="_Toc12793"/>
      <w:bookmarkStart w:id="359" w:name="_Toc8494"/>
      <w:bookmarkStart w:id="360" w:name="_Toc11410"/>
      <w:r>
        <w:rPr>
          <w:rFonts w:hint="eastAsia" w:ascii="宋体" w:hAnsi="宋体" w:eastAsia="宋体" w:cs="宋体"/>
          <w:color w:val="000000" w:themeColor="text1"/>
          <w:sz w:val="32"/>
          <w:szCs w:val="32"/>
          <w14:textFill>
            <w14:solidFill>
              <w14:schemeClr w14:val="tx1"/>
            </w14:solidFill>
          </w14:textFill>
        </w:rPr>
        <w:br w:type="page"/>
      </w:r>
    </w:p>
    <w:p>
      <w:pPr>
        <w:pStyle w:val="4"/>
        <w:bidi w:val="0"/>
        <w:jc w:val="center"/>
        <w:rPr>
          <w:rFonts w:hint="eastAsia" w:ascii="宋体" w:hAnsi="宋体" w:eastAsia="宋体" w:cs="宋体"/>
          <w:b/>
          <w:bCs/>
        </w:rPr>
      </w:pPr>
      <w:bookmarkStart w:id="361" w:name="_Toc23605"/>
      <w:bookmarkStart w:id="362" w:name="_Toc24797"/>
      <w:bookmarkStart w:id="363" w:name="_Toc12952"/>
      <w:bookmarkStart w:id="364" w:name="_Toc4387"/>
      <w:bookmarkStart w:id="365" w:name="_Toc10185"/>
      <w:bookmarkStart w:id="366" w:name="_Toc8059"/>
      <w:r>
        <w:rPr>
          <w:rFonts w:hint="eastAsia" w:ascii="宋体" w:hAnsi="宋体" w:eastAsia="宋体" w:cs="宋体"/>
          <w:b/>
          <w:bCs/>
        </w:rPr>
        <w:t>第</w:t>
      </w:r>
      <w:r>
        <w:rPr>
          <w:rFonts w:hint="eastAsia" w:ascii="宋体" w:hAnsi="宋体" w:eastAsia="宋体" w:cs="宋体"/>
          <w:b/>
          <w:bCs/>
          <w:lang w:val="en-US" w:eastAsia="zh-CN"/>
        </w:rPr>
        <w:t>八</w:t>
      </w:r>
      <w:r>
        <w:rPr>
          <w:rFonts w:hint="eastAsia" w:ascii="宋体" w:hAnsi="宋体" w:eastAsia="宋体" w:cs="宋体"/>
          <w:b/>
          <w:bCs/>
          <w:lang w:eastAsia="zh-CN"/>
        </w:rPr>
        <w:t>部分</w:t>
      </w:r>
      <w:r>
        <w:rPr>
          <w:rFonts w:hint="eastAsia" w:ascii="宋体" w:hAnsi="宋体" w:eastAsia="宋体" w:cs="宋体"/>
          <w:b/>
          <w:bCs/>
        </w:rPr>
        <w:t xml:space="preserve">  </w:t>
      </w:r>
      <w:r>
        <w:rPr>
          <w:rFonts w:hint="eastAsia" w:ascii="宋体" w:hAnsi="宋体" w:eastAsia="宋体" w:cs="宋体"/>
          <w:b/>
          <w:bCs/>
          <w:lang w:eastAsia="zh-CN"/>
        </w:rPr>
        <w:t>供应商</w:t>
      </w:r>
      <w:r>
        <w:rPr>
          <w:rFonts w:hint="eastAsia" w:ascii="宋体" w:hAnsi="宋体" w:eastAsia="宋体" w:cs="宋体"/>
          <w:b/>
          <w:bCs/>
        </w:rPr>
        <w:t>业绩一览表</w:t>
      </w:r>
      <w:bookmarkEnd w:id="353"/>
      <w:bookmarkEnd w:id="354"/>
      <w:bookmarkEnd w:id="355"/>
      <w:bookmarkEnd w:id="356"/>
      <w:bookmarkEnd w:id="361"/>
      <w:bookmarkEnd w:id="362"/>
      <w:bookmarkEnd w:id="363"/>
      <w:bookmarkEnd w:id="364"/>
      <w:bookmarkEnd w:id="365"/>
      <w:bookmarkEnd w:id="366"/>
    </w:p>
    <w:p>
      <w:pPr>
        <w:rPr>
          <w:rFonts w:asciiTheme="minorEastAsia" w:hAnsiTheme="minorEastAsia" w:cstheme="minorEastAsia"/>
          <w:color w:val="000000" w:themeColor="text1"/>
          <w14:textFill>
            <w14:solidFill>
              <w14:schemeClr w14:val="tx1"/>
            </w14:solidFill>
          </w14:textFill>
        </w:rPr>
      </w:pPr>
    </w:p>
    <w:tbl>
      <w:tblPr>
        <w:tblStyle w:val="31"/>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年份</w:t>
            </w:r>
          </w:p>
        </w:tc>
        <w:tc>
          <w:tcPr>
            <w:tcW w:w="1508"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用户名称</w:t>
            </w:r>
          </w:p>
        </w:tc>
        <w:tc>
          <w:tcPr>
            <w:tcW w:w="1382"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项目名称</w:t>
            </w:r>
          </w:p>
        </w:tc>
        <w:tc>
          <w:tcPr>
            <w:tcW w:w="1399"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完成时间</w:t>
            </w:r>
          </w:p>
        </w:tc>
        <w:tc>
          <w:tcPr>
            <w:tcW w:w="1485" w:type="dxa"/>
            <w:vAlign w:val="center"/>
          </w:tcPr>
          <w:p>
            <w:pPr>
              <w:spacing w:line="400" w:lineRule="exact"/>
              <w:ind w:firstLine="120" w:firstLineChars="50"/>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合同金额</w:t>
            </w:r>
          </w:p>
        </w:tc>
        <w:tc>
          <w:tcPr>
            <w:tcW w:w="1576" w:type="dxa"/>
            <w:tcBorders>
              <w:right w:val="single" w:color="auto" w:sz="4" w:space="0"/>
            </w:tcBorders>
            <w:vAlign w:val="center"/>
          </w:tcPr>
          <w:p>
            <w:pPr>
              <w:spacing w:line="400" w:lineRule="exact"/>
              <w:ind w:left="204" w:hanging="232" w:hangingChars="97"/>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508" w:type="dxa"/>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382" w:type="dxa"/>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399" w:type="dxa"/>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485" w:type="dxa"/>
            <w:tcBorders>
              <w:righ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auto"/>
          <w:sz w:val="24"/>
          <w:szCs w:val="24"/>
          <w:lang w:eastAsia="zh-CN"/>
        </w:rPr>
      </w:pPr>
      <w:r>
        <w:rPr>
          <w:rFonts w:hint="eastAsia" w:asciiTheme="minorEastAsia" w:hAnsiTheme="minorEastAsia" w:cstheme="minorEastAsia"/>
          <w:color w:val="auto"/>
          <w:sz w:val="24"/>
          <w:szCs w:val="24"/>
        </w:rPr>
        <w:t xml:space="preserve"> 注：</w:t>
      </w:r>
      <w:r>
        <w:rPr>
          <w:rFonts w:hint="eastAsia" w:ascii="宋体" w:hAnsi="宋体" w:cs="宋体"/>
          <w:color w:val="auto"/>
          <w:sz w:val="24"/>
          <w:szCs w:val="24"/>
          <w:lang w:eastAsia="zh-CN"/>
        </w:rPr>
        <w:t>以上业绩合同是指投标人所投产品的业绩合同，</w:t>
      </w:r>
      <w:r>
        <w:rPr>
          <w:rFonts w:hint="eastAsia" w:ascii="宋体" w:hAnsi="宋体" w:cs="宋体"/>
          <w:color w:val="auto"/>
          <w:sz w:val="24"/>
          <w:szCs w:val="24"/>
        </w:rPr>
        <w:t>需提供采购合同复印件加盖公章</w:t>
      </w:r>
      <w:r>
        <w:rPr>
          <w:rFonts w:hint="eastAsia" w:ascii="宋体" w:hAnsi="宋体" w:cs="宋体"/>
          <w:color w:val="auto"/>
          <w:sz w:val="24"/>
          <w:szCs w:val="24"/>
          <w:lang w:eastAsia="zh-CN"/>
        </w:rPr>
        <w:t>。</w:t>
      </w:r>
    </w:p>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color w:val="auto"/>
          <w:sz w:val="24"/>
          <w:szCs w:val="24"/>
        </w:rPr>
      </w:pPr>
    </w:p>
    <w:p>
      <w:pPr>
        <w:spacing w:line="360" w:lineRule="auto"/>
        <w:jc w:val="left"/>
        <w:rPr>
          <w:rFonts w:asciiTheme="minorEastAsia" w:hAnsiTheme="minorEastAsia" w:cstheme="minorEastAsia"/>
          <w:color w:val="000000" w:themeColor="text1"/>
          <w:sz w:val="24"/>
          <w:szCs w:val="24"/>
          <w14:textFill>
            <w14:solidFill>
              <w14:schemeClr w14:val="tx1"/>
            </w14:solidFill>
          </w14:textFill>
        </w:rPr>
      </w:pPr>
    </w:p>
    <w:p>
      <w:pPr>
        <w:adjustRightInd w:val="0"/>
        <w:spacing w:line="600" w:lineRule="auto"/>
        <w:rPr>
          <w:rFonts w:asciiTheme="minorEastAsia" w:hAnsi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供应商名称：</w:t>
      </w:r>
      <w:r>
        <w:rPr>
          <w:rFonts w:hint="eastAsia" w:asciiTheme="minorEastAsia" w:hAnsiTheme="minorEastAsia" w:cstheme="minorEastAsia"/>
          <w:bCs/>
          <w:color w:val="000000" w:themeColor="text1"/>
          <w:sz w:val="24"/>
          <w:szCs w:val="24"/>
          <w:u w:val="single"/>
          <w14:textFill>
            <w14:solidFill>
              <w14:schemeClr w14:val="tx1"/>
            </w14:solidFill>
          </w14:textFill>
        </w:rPr>
        <w:t xml:space="preserve">              （全称及公章）</w:t>
      </w:r>
    </w:p>
    <w:p>
      <w:pPr>
        <w:adjustRightInd w:val="0"/>
        <w:snapToGrid w:val="0"/>
        <w:spacing w:line="60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法定代表人或被授权人（签字或盖章）：</w:t>
      </w:r>
    </w:p>
    <w:p>
      <w:pPr>
        <w:adjustRightInd w:val="0"/>
        <w:snapToGrid w:val="0"/>
        <w:spacing w:line="600" w:lineRule="auto"/>
        <w:rPr>
          <w:rFonts w:asciiTheme="minorEastAsia" w:hAnsiTheme="minorEastAsia" w:cstheme="minorEastAsia"/>
          <w:sz w:val="36"/>
          <w:szCs w:val="36"/>
        </w:rPr>
      </w:pPr>
      <w:r>
        <w:rPr>
          <w:rFonts w:hint="eastAsia" w:asciiTheme="minorEastAsia" w:hAnsiTheme="minorEastAsia" w:cstheme="minorEastAsia"/>
          <w:bCs/>
          <w:color w:val="000000" w:themeColor="text1"/>
          <w:sz w:val="24"/>
          <w:szCs w:val="24"/>
          <w14:textFill>
            <w14:solidFill>
              <w14:schemeClr w14:val="tx1"/>
            </w14:solidFill>
          </w14:textFill>
        </w:rPr>
        <w:t xml:space="preserve">日    </w:t>
      </w:r>
      <w:r>
        <w:rPr>
          <w:rFonts w:hint="eastAsia" w:asciiTheme="minorEastAsia" w:hAnsiTheme="minorEastAsia" w:cstheme="minorEastAsia"/>
          <w:color w:val="000000" w:themeColor="text1"/>
          <w:sz w:val="24"/>
          <w:szCs w:val="24"/>
          <w14:textFill>
            <w14:solidFill>
              <w14:schemeClr w14:val="tx1"/>
            </w14:solidFill>
          </w14:textFill>
        </w:rPr>
        <w:t xml:space="preserve">期:                   </w:t>
      </w:r>
      <w:bookmarkEnd w:id="357"/>
      <w:bookmarkEnd w:id="358"/>
      <w:bookmarkEnd w:id="359"/>
      <w:bookmarkEnd w:id="360"/>
    </w:p>
    <w:p>
      <w:r>
        <w:br w:type="page"/>
      </w:r>
    </w:p>
    <w:p>
      <w:pPr>
        <w:pStyle w:val="4"/>
        <w:bidi w:val="0"/>
        <w:rPr>
          <w:rFonts w:hint="eastAsia" w:ascii="宋体" w:hAnsi="宋体" w:eastAsia="宋体" w:cs="宋体"/>
          <w:b/>
          <w:bCs/>
        </w:rPr>
      </w:pPr>
      <w:bookmarkStart w:id="367" w:name="_Toc29034"/>
      <w:bookmarkStart w:id="368" w:name="_Toc1856"/>
      <w:bookmarkStart w:id="369" w:name="_Toc22400"/>
      <w:bookmarkStart w:id="370" w:name="_Toc9666"/>
      <w:bookmarkStart w:id="371" w:name="_Toc16112"/>
      <w:bookmarkStart w:id="372" w:name="_Toc20922"/>
      <w:bookmarkStart w:id="373" w:name="_Toc20706"/>
      <w:bookmarkStart w:id="374" w:name="_Toc29656"/>
      <w:bookmarkStart w:id="375" w:name="_Toc18894"/>
      <w:bookmarkStart w:id="376" w:name="_Toc23432"/>
      <w:bookmarkStart w:id="377" w:name="_Toc3631"/>
      <w:r>
        <w:rPr>
          <w:rFonts w:hint="eastAsia" w:ascii="宋体" w:hAnsi="宋体" w:eastAsia="宋体" w:cs="宋体"/>
          <w:b/>
          <w:bCs/>
        </w:rPr>
        <w:t>第</w:t>
      </w:r>
      <w:r>
        <w:rPr>
          <w:rFonts w:hint="eastAsia" w:ascii="宋体" w:hAnsi="宋体" w:eastAsia="宋体" w:cs="宋体"/>
          <w:b/>
          <w:bCs/>
          <w:lang w:val="en-US" w:eastAsia="zh-CN"/>
        </w:rPr>
        <w:t>九</w:t>
      </w:r>
      <w:r>
        <w:rPr>
          <w:rFonts w:hint="eastAsia" w:ascii="宋体" w:hAnsi="宋体" w:eastAsia="宋体" w:cs="宋体"/>
          <w:b/>
          <w:bCs/>
          <w:lang w:eastAsia="zh-CN"/>
        </w:rPr>
        <w:t>部分</w:t>
      </w:r>
      <w:r>
        <w:rPr>
          <w:rFonts w:hint="eastAsia" w:ascii="宋体" w:hAnsi="宋体" w:eastAsia="宋体" w:cs="宋体"/>
          <w:b/>
          <w:bCs/>
        </w:rPr>
        <w:t xml:space="preserve">  </w:t>
      </w:r>
      <w:r>
        <w:rPr>
          <w:rFonts w:hint="eastAsia" w:ascii="宋体" w:hAnsi="宋体" w:eastAsia="宋体" w:cs="宋体"/>
          <w:b/>
          <w:bCs/>
          <w:lang w:eastAsia="zh-CN"/>
        </w:rPr>
        <w:t>供应商</w:t>
      </w:r>
      <w:r>
        <w:rPr>
          <w:rFonts w:hint="eastAsia" w:ascii="宋体" w:hAnsi="宋体" w:eastAsia="宋体" w:cs="宋体"/>
          <w:b/>
          <w:bCs/>
        </w:rPr>
        <w:t>认为有必要说明的其他问题</w:t>
      </w:r>
      <w:bookmarkEnd w:id="367"/>
      <w:bookmarkEnd w:id="368"/>
      <w:bookmarkEnd w:id="369"/>
      <w:bookmarkEnd w:id="370"/>
      <w:bookmarkEnd w:id="371"/>
      <w:bookmarkEnd w:id="372"/>
      <w:bookmarkEnd w:id="373"/>
      <w:bookmarkEnd w:id="374"/>
      <w:bookmarkEnd w:id="375"/>
      <w:bookmarkEnd w:id="376"/>
      <w:bookmarkEnd w:id="377"/>
    </w:p>
    <w:p>
      <w:pPr>
        <w:rPr>
          <w:rFonts w:hint="eastAsia" w:asciiTheme="minorEastAsia" w:hAnsiTheme="minorEastAsia" w:cstheme="minorEastAsia"/>
          <w:color w:val="000000" w:themeColor="text1"/>
          <w:sz w:val="24"/>
          <w:lang w:eastAsia="zh-CN"/>
          <w14:textFill>
            <w14:solidFill>
              <w14:schemeClr w14:val="tx1"/>
            </w14:solidFill>
          </w14:textFill>
        </w:rPr>
      </w:pPr>
    </w:p>
    <w:p>
      <w:pPr>
        <w:outlineLvl w:val="9"/>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cstheme="minorEastAsia"/>
          <w:color w:val="000000" w:themeColor="text1"/>
          <w:sz w:val="24"/>
          <w14:textFill>
            <w14:solidFill>
              <w14:schemeClr w14:val="tx1"/>
            </w14:solidFill>
          </w14:textFill>
        </w:rPr>
        <w:t>认为有必要提供的其他证明文件</w:t>
      </w:r>
    </w:p>
    <w:p>
      <w:pPr>
        <w:outlineLvl w:val="9"/>
      </w:pPr>
      <w:r>
        <w:br w:type="page"/>
      </w:r>
    </w:p>
    <w:p>
      <w:pPr>
        <w:bidi w:val="0"/>
        <w:jc w:val="center"/>
        <w:rPr>
          <w:sz w:val="30"/>
          <w:szCs w:val="30"/>
        </w:rPr>
      </w:pPr>
      <w:bookmarkStart w:id="378" w:name="_Toc3568"/>
      <w:bookmarkStart w:id="379" w:name="_Toc23921"/>
      <w:bookmarkStart w:id="380" w:name="_Toc16078"/>
      <w:bookmarkStart w:id="381" w:name="_Toc15256"/>
      <w:bookmarkStart w:id="382" w:name="_Toc30032"/>
      <w:bookmarkStart w:id="383" w:name="_Toc2914"/>
      <w:bookmarkStart w:id="384" w:name="_Toc21174"/>
      <w:bookmarkStart w:id="385" w:name="_Toc21466"/>
      <w:bookmarkStart w:id="386" w:name="_Toc14587"/>
      <w:r>
        <w:rPr>
          <w:rFonts w:hint="eastAsia"/>
          <w:sz w:val="30"/>
          <w:szCs w:val="30"/>
        </w:rPr>
        <w:t>附件</w:t>
      </w:r>
      <w:r>
        <w:rPr>
          <w:rFonts w:hint="eastAsia"/>
          <w:sz w:val="30"/>
          <w:szCs w:val="30"/>
          <w:lang w:eastAsia="zh-CN"/>
        </w:rPr>
        <w:t>一</w:t>
      </w:r>
      <w:r>
        <w:rPr>
          <w:rFonts w:hint="eastAsia"/>
          <w:sz w:val="30"/>
          <w:szCs w:val="30"/>
        </w:rPr>
        <w:t>、中小企业申明</w:t>
      </w:r>
      <w:bookmarkEnd w:id="378"/>
      <w:bookmarkEnd w:id="379"/>
      <w:bookmarkEnd w:id="380"/>
      <w:bookmarkEnd w:id="381"/>
      <w:bookmarkEnd w:id="382"/>
      <w:bookmarkEnd w:id="383"/>
    </w:p>
    <w:p>
      <w:pPr>
        <w:spacing w:line="588" w:lineRule="exact"/>
        <w:ind w:firstLine="504" w:firstLineChars="200"/>
        <w:rPr>
          <w:rFonts w:ascii="宋体" w:hAnsi="宋体"/>
          <w:spacing w:val="6"/>
          <w:sz w:val="24"/>
        </w:rPr>
      </w:pPr>
      <w:r>
        <w:rPr>
          <w:rFonts w:hint="eastAsia" w:ascii="宋体" w:hAnsi="宋体"/>
          <w:spacing w:val="6"/>
          <w:sz w:val="24"/>
        </w:rPr>
        <w:t>根据《政府采购促进中小企业发展管理办法》（财库[2020]46号）的规定，由供应商自行声明并对真实性负责。如有虚假，将依法承担相应责任。</w:t>
      </w:r>
    </w:p>
    <w:p>
      <w:pPr>
        <w:spacing w:line="588" w:lineRule="exact"/>
        <w:jc w:val="center"/>
        <w:rPr>
          <w:rFonts w:ascii="仿宋_GB2312" w:eastAsia="仿宋_GB2312"/>
          <w:b/>
          <w:color w:val="000000"/>
          <w:spacing w:val="6"/>
          <w:sz w:val="24"/>
          <w:szCs w:val="24"/>
        </w:rPr>
      </w:pPr>
      <w:r>
        <w:rPr>
          <w:rFonts w:hint="eastAsia" w:ascii="宋体" w:hAnsi="宋体"/>
          <w:b/>
          <w:color w:val="000000"/>
          <w:spacing w:val="6"/>
          <w:sz w:val="24"/>
          <w:szCs w:val="24"/>
        </w:rPr>
        <w:t>中小企业声明函</w:t>
      </w:r>
    </w:p>
    <w:p>
      <w:pPr>
        <w:pStyle w:val="17"/>
        <w:spacing w:before="55" w:line="360" w:lineRule="auto"/>
        <w:ind w:right="415" w:firstLine="640"/>
        <w:rPr>
          <w:rFonts w:ascii="宋体" w:hAnsi="宋体"/>
          <w:color w:val="000000"/>
          <w:spacing w:val="6"/>
          <w:sz w:val="24"/>
        </w:rPr>
      </w:pPr>
      <w:r>
        <w:rPr>
          <w:rFonts w:hint="eastAsia" w:ascii="宋体" w:hAnsi="宋体"/>
          <w:color w:val="000000"/>
          <w:spacing w:val="6"/>
          <w:sz w:val="24"/>
        </w:rPr>
        <w:t>本公司郑重声明，根据《政府采购促进中小企业发展管理办法》（财库﹝2020﹞46号）的规定，本公司参加</w:t>
      </w:r>
      <w:r>
        <w:rPr>
          <w:rFonts w:hint="eastAsia" w:ascii="宋体" w:hAnsi="宋体"/>
          <w:color w:val="000000"/>
          <w:spacing w:val="6"/>
          <w:sz w:val="24"/>
          <w:u w:val="single"/>
        </w:rPr>
        <w:t>（单位名称）</w:t>
      </w:r>
      <w:r>
        <w:rPr>
          <w:rFonts w:hint="eastAsia" w:ascii="宋体" w:hAnsi="宋体"/>
          <w:color w:val="000000"/>
          <w:spacing w:val="6"/>
          <w:sz w:val="24"/>
        </w:rPr>
        <w:t>的</w:t>
      </w:r>
      <w:r>
        <w:rPr>
          <w:rFonts w:hint="eastAsia" w:ascii="宋体" w:hAnsi="宋体"/>
          <w:color w:val="000000"/>
          <w:spacing w:val="6"/>
          <w:sz w:val="24"/>
          <w:u w:val="single"/>
        </w:rPr>
        <w:t xml:space="preserve">                       （项目名称）</w:t>
      </w:r>
      <w:r>
        <w:rPr>
          <w:rFonts w:hint="eastAsia" w:ascii="宋体" w:hAnsi="宋体"/>
          <w:color w:val="000000"/>
          <w:spacing w:val="6"/>
          <w:sz w:val="24"/>
        </w:rPr>
        <w:t>采购活动，提供的货物全部由符合政策要求的中小企业制造。相关企业的具体情况如下：</w:t>
      </w:r>
    </w:p>
    <w:p>
      <w:pPr>
        <w:pStyle w:val="83"/>
        <w:numPr>
          <w:ilvl w:val="0"/>
          <w:numId w:val="5"/>
        </w:numPr>
        <w:tabs>
          <w:tab w:val="left" w:pos="1183"/>
          <w:tab w:val="left" w:pos="1484"/>
          <w:tab w:val="left" w:pos="4662"/>
          <w:tab w:val="left" w:pos="6903"/>
        </w:tabs>
        <w:spacing w:line="360" w:lineRule="auto"/>
        <w:ind w:right="169" w:firstLine="504"/>
        <w:jc w:val="left"/>
        <w:rPr>
          <w:rFonts w:ascii="宋体" w:hAnsi="宋体"/>
          <w:color w:val="000000"/>
          <w:spacing w:val="6"/>
          <w:sz w:val="24"/>
        </w:rPr>
      </w:pP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pPr>
        <w:pStyle w:val="83"/>
        <w:numPr>
          <w:ilvl w:val="0"/>
          <w:numId w:val="5"/>
        </w:numPr>
        <w:tabs>
          <w:tab w:val="left" w:pos="1165"/>
          <w:tab w:val="left" w:pos="1183"/>
          <w:tab w:val="left" w:pos="4362"/>
          <w:tab w:val="left" w:pos="6577"/>
        </w:tabs>
        <w:spacing w:line="360" w:lineRule="auto"/>
        <w:ind w:right="169" w:firstLine="504"/>
        <w:jc w:val="left"/>
        <w:rPr>
          <w:rFonts w:ascii="宋体" w:hAnsi="宋体"/>
          <w:color w:val="000000"/>
          <w:spacing w:val="6"/>
          <w:sz w:val="24"/>
        </w:rPr>
      </w:pPr>
      <w:r>
        <w:rPr>
          <w:rFonts w:hint="eastAsia" w:ascii="宋体" w:hAnsi="宋体"/>
          <w:color w:val="000000"/>
          <w:spacing w:val="6"/>
          <w:sz w:val="24"/>
        </w:rPr>
        <w:t xml:space="preserve"> </w:t>
      </w: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pPr>
        <w:pStyle w:val="17"/>
        <w:spacing w:line="360" w:lineRule="auto"/>
        <w:ind w:left="860"/>
        <w:rPr>
          <w:rFonts w:ascii="宋体" w:hAnsi="宋体"/>
          <w:color w:val="000000"/>
          <w:spacing w:val="6"/>
          <w:sz w:val="24"/>
        </w:rPr>
      </w:pPr>
      <w:r>
        <w:rPr>
          <w:rFonts w:hint="eastAsia" w:ascii="宋体" w:hAnsi="宋体"/>
          <w:color w:val="000000"/>
          <w:spacing w:val="6"/>
          <w:sz w:val="24"/>
        </w:rPr>
        <w:t>……</w:t>
      </w:r>
    </w:p>
    <w:p>
      <w:pPr>
        <w:pStyle w:val="17"/>
        <w:spacing w:before="105" w:line="360" w:lineRule="auto"/>
        <w:ind w:right="417" w:firstLine="645"/>
        <w:rPr>
          <w:rFonts w:ascii="宋体" w:hAnsi="宋体"/>
          <w:color w:val="000000"/>
          <w:spacing w:val="6"/>
          <w:sz w:val="24"/>
        </w:rPr>
      </w:pPr>
      <w:r>
        <w:rPr>
          <w:rFonts w:hint="eastAsia" w:ascii="宋体" w:hAnsi="宋体"/>
          <w:color w:val="000000"/>
          <w:spacing w:val="6"/>
          <w:sz w:val="24"/>
        </w:rPr>
        <w:t>以上企业，不属于大企业的分支机构，不存在控股股东为大企业的情形，也不存在与大企业的负责人为同一人的情形。</w:t>
      </w:r>
    </w:p>
    <w:p>
      <w:pPr>
        <w:pStyle w:val="17"/>
        <w:spacing w:line="360" w:lineRule="auto"/>
        <w:ind w:right="372" w:firstLine="645"/>
        <w:rPr>
          <w:rFonts w:ascii="宋体" w:hAnsi="宋体"/>
          <w:color w:val="000000"/>
          <w:spacing w:val="6"/>
          <w:sz w:val="24"/>
        </w:rPr>
      </w:pPr>
      <w:r>
        <w:rPr>
          <w:rFonts w:hint="eastAsia" w:ascii="宋体" w:hAnsi="宋体"/>
          <w:color w:val="000000"/>
          <w:spacing w:val="6"/>
          <w:sz w:val="24"/>
        </w:rPr>
        <w:t>本企业对上述声明内容的真实性负责。如有虚假，将依法承担相应责任。</w:t>
      </w:r>
    </w:p>
    <w:p>
      <w:pPr>
        <w:spacing w:line="360" w:lineRule="auto"/>
        <w:jc w:val="left"/>
        <w:rPr>
          <w:rFonts w:ascii="宋体" w:hAnsi="宋体"/>
          <w:color w:val="000000"/>
          <w:spacing w:val="6"/>
          <w:sz w:val="24"/>
        </w:rPr>
      </w:pPr>
    </w:p>
    <w:p>
      <w:pPr>
        <w:spacing w:line="360" w:lineRule="auto"/>
        <w:jc w:val="left"/>
        <w:rPr>
          <w:rFonts w:ascii="宋体" w:hAnsi="宋体"/>
          <w:color w:val="000000"/>
          <w:spacing w:val="6"/>
          <w:sz w:val="24"/>
        </w:rPr>
      </w:pPr>
    </w:p>
    <w:p>
      <w:pPr>
        <w:spacing w:line="360" w:lineRule="auto"/>
        <w:jc w:val="left"/>
        <w:rPr>
          <w:rFonts w:ascii="宋体" w:hAnsi="宋体" w:eastAsia="宋体" w:cs="Times New Roman"/>
          <w:color w:val="000000"/>
          <w:spacing w:val="6"/>
          <w:sz w:val="24"/>
        </w:rPr>
      </w:pPr>
      <w:r>
        <w:rPr>
          <w:rFonts w:hint="eastAsia" w:ascii="宋体" w:hAnsi="宋体" w:eastAsia="宋体" w:cs="Times New Roman"/>
          <w:color w:val="000000"/>
          <w:spacing w:val="6"/>
          <w:sz w:val="24"/>
        </w:rPr>
        <w:t>企业名称（盖章）：</w:t>
      </w:r>
    </w:p>
    <w:p>
      <w:pPr>
        <w:spacing w:line="588" w:lineRule="exact"/>
        <w:rPr>
          <w:rFonts w:ascii="宋体" w:hAnsi="宋体"/>
          <w:spacing w:val="6"/>
          <w:sz w:val="24"/>
          <w:szCs w:val="24"/>
        </w:rPr>
        <w:sectPr>
          <w:footerReference r:id="rId7" w:type="default"/>
          <w:pgSz w:w="11906" w:h="16838"/>
          <w:pgMar w:top="1440" w:right="1803" w:bottom="1440" w:left="1803" w:header="851" w:footer="992" w:gutter="0"/>
          <w:cols w:space="720" w:num="1"/>
          <w:docGrid w:type="lines" w:linePitch="319" w:charSpace="0"/>
        </w:sectPr>
      </w:pPr>
      <w:r>
        <w:rPr>
          <w:rFonts w:hint="eastAsia" w:ascii="宋体" w:hAnsi="宋体" w:eastAsia="宋体" w:cs="Times New Roman"/>
          <w:color w:val="000000"/>
          <w:spacing w:val="6"/>
          <w:sz w:val="24"/>
        </w:rPr>
        <w:t>日期：</w:t>
      </w:r>
    </w:p>
    <w:p>
      <w:pPr>
        <w:adjustRightInd w:val="0"/>
        <w:spacing w:line="416" w:lineRule="atLeast"/>
        <w:jc w:val="center"/>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、残疾人福利性单位声明</w:t>
      </w:r>
      <w:bookmarkEnd w:id="384"/>
      <w:bookmarkEnd w:id="385"/>
      <w:bookmarkEnd w:id="386"/>
    </w:p>
    <w:p>
      <w:pPr>
        <w:spacing w:line="588" w:lineRule="exact"/>
        <w:ind w:firstLine="504" w:firstLineChars="200"/>
        <w:outlineLvl w:val="9"/>
        <w:rPr>
          <w:rFonts w:ascii="宋体" w:hAnsi="宋体" w:cs="宋体"/>
          <w:spacing w:val="6"/>
          <w:sz w:val="24"/>
        </w:rPr>
      </w:pPr>
      <w:r>
        <w:rPr>
          <w:rFonts w:hint="eastAsia" w:ascii="宋体" w:hAnsi="宋体" w:cs="宋体"/>
          <w:spacing w:val="6"/>
          <w:sz w:val="24"/>
        </w:rPr>
        <w:t>根据《三部门联合发布关于促进残疾人就业政府采购政策的通知》（财库〔2017〕141号）的规定，由供应商自行申明，并对申明真实性负责。如有虚假，将依法承担相应责任。</w:t>
      </w:r>
    </w:p>
    <w:p>
      <w:pPr>
        <w:outlineLvl w:val="9"/>
        <w:rPr>
          <w:rFonts w:ascii="宋体" w:hAnsi="宋体" w:cs="宋体"/>
        </w:rPr>
      </w:pPr>
    </w:p>
    <w:p>
      <w:pPr>
        <w:adjustRightInd w:val="0"/>
        <w:spacing w:line="416" w:lineRule="atLeast"/>
        <w:jc w:val="center"/>
        <w:textAlignment w:val="baseline"/>
        <w:outlineLvl w:val="9"/>
        <w:rPr>
          <w:rFonts w:hint="eastAsia" w:asciiTheme="minorEastAsia" w:hAnsiTheme="minorEastAsia" w:eastAsiaTheme="minorEastAsia" w:cstheme="minorEastAsia"/>
        </w:rPr>
      </w:pPr>
      <w:bookmarkStart w:id="387" w:name="_Toc3053"/>
      <w:bookmarkStart w:id="388" w:name="_Toc26193"/>
      <w:bookmarkStart w:id="389" w:name="_Toc2723"/>
      <w:bookmarkStart w:id="390" w:name="_Toc13075"/>
      <w:bookmarkStart w:id="391" w:name="_Toc27385"/>
      <w:bookmarkStart w:id="392" w:name="_Toc13817"/>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、监狱企业证明文件</w:t>
      </w:r>
      <w:bookmarkEnd w:id="387"/>
      <w:bookmarkEnd w:id="388"/>
      <w:bookmarkEnd w:id="389"/>
      <w:bookmarkEnd w:id="390"/>
      <w:bookmarkEnd w:id="391"/>
      <w:bookmarkEnd w:id="392"/>
    </w:p>
    <w:p>
      <w:pPr>
        <w:outlineLvl w:val="9"/>
        <w:rPr>
          <w:rFonts w:ascii="宋体" w:hAnsi="宋体" w:cs="宋体"/>
        </w:rPr>
      </w:pPr>
    </w:p>
    <w:p>
      <w:pPr>
        <w:snapToGrid w:val="0"/>
        <w:spacing w:line="480" w:lineRule="auto"/>
        <w:ind w:firstLine="504" w:firstLineChars="200"/>
        <w:jc w:val="left"/>
        <w:outlineLvl w:val="9"/>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adjustRightInd w:val="0"/>
        <w:spacing w:line="416" w:lineRule="atLeast"/>
        <w:textAlignment w:val="baseline"/>
        <w:outlineLvl w:val="9"/>
        <w:rPr>
          <w:rFonts w:hint="eastAsia" w:asciiTheme="minorEastAsia" w:hAnsiTheme="minorEastAsia" w:eastAsiaTheme="minorEastAsia" w:cstheme="minorEastAsia"/>
        </w:rPr>
      </w:pPr>
      <w:bookmarkStart w:id="393" w:name="_Toc3267"/>
      <w:bookmarkStart w:id="394" w:name="_Toc2126"/>
      <w:bookmarkStart w:id="395" w:name="_Toc11969"/>
      <w:bookmarkStart w:id="396" w:name="_Toc18799"/>
      <w:bookmarkStart w:id="397" w:name="_Toc13303"/>
      <w:bookmarkStart w:id="398" w:name="_Toc23930"/>
      <w:bookmarkStart w:id="399" w:name="_Toc13122"/>
      <w:bookmarkStart w:id="400" w:name="_Toc563"/>
      <w:bookmarkStart w:id="401" w:name="_Toc15754"/>
      <w:bookmarkStart w:id="402" w:name="_Toc22654"/>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eastAsia="zh-CN"/>
        </w:rPr>
        <w:t>四</w:t>
      </w:r>
      <w:r>
        <w:rPr>
          <w:rFonts w:hint="eastAsia" w:asciiTheme="minorEastAsia" w:hAnsiTheme="minorEastAsia" w:eastAsiaTheme="minorEastAsia" w:cstheme="minorEastAsia"/>
        </w:rPr>
        <w:t>、“节能产品”，“环境标志产品”证明材料</w:t>
      </w:r>
      <w:bookmarkEnd w:id="393"/>
      <w:bookmarkEnd w:id="394"/>
      <w:bookmarkEnd w:id="395"/>
      <w:bookmarkEnd w:id="396"/>
      <w:bookmarkEnd w:id="397"/>
      <w:bookmarkEnd w:id="398"/>
      <w:bookmarkEnd w:id="399"/>
      <w:bookmarkEnd w:id="400"/>
      <w:bookmarkEnd w:id="401"/>
      <w:bookmarkEnd w:id="402"/>
    </w:p>
    <w:p>
      <w:pPr>
        <w:widowControl/>
        <w:spacing w:line="360" w:lineRule="auto"/>
        <w:ind w:firstLine="504" w:firstLineChars="200"/>
        <w:outlineLvl w:val="9"/>
        <w:rPr>
          <w:rFonts w:ascii="宋体" w:hAnsi="宋体" w:cs="宋体"/>
          <w:spacing w:val="6"/>
          <w:sz w:val="24"/>
          <w:szCs w:val="24"/>
        </w:rPr>
      </w:pPr>
      <w:r>
        <w:rPr>
          <w:rFonts w:hint="eastAsia" w:ascii="宋体" w:hAnsi="宋体" w:cs="宋体"/>
          <w:spacing w:val="6"/>
          <w:sz w:val="24"/>
          <w:szCs w:val="24"/>
        </w:rPr>
        <w:t>1、供应商提供的产品属于下列情形，应按照磋商文件第三部分供应商须知总则第六款规定提供产品列入“节能产品品目清单”，“环境标志产品品目清单”相应产品的国家确定的认证机构出具的、处于有效期内的节能产品、环境标志产品认证证书。</w:t>
      </w:r>
    </w:p>
    <w:p>
      <w:pPr>
        <w:widowControl/>
        <w:spacing w:line="360" w:lineRule="auto"/>
        <w:ind w:left="480" w:leftChars="200"/>
        <w:outlineLvl w:val="9"/>
        <w:rPr>
          <w:rFonts w:ascii="宋体" w:hAnsi="宋体" w:cs="宋体"/>
          <w:sz w:val="24"/>
          <w:szCs w:val="24"/>
        </w:rPr>
      </w:pPr>
      <w:r>
        <w:rPr>
          <w:rFonts w:hint="eastAsia" w:ascii="宋体" w:hAnsi="宋体" w:cs="宋体"/>
          <w:sz w:val="24"/>
          <w:szCs w:val="24"/>
        </w:rPr>
        <w:t>2、未按照上述要求提供的，评审时不予以考虑。</w:t>
      </w:r>
    </w:p>
    <w:p>
      <w:pPr>
        <w:widowControl/>
        <w:spacing w:line="360" w:lineRule="auto"/>
        <w:ind w:left="480" w:leftChars="200"/>
        <w:outlineLvl w:val="9"/>
        <w:rPr>
          <w:rFonts w:ascii="宋体" w:hAnsi="宋体" w:cs="宋体"/>
          <w:sz w:val="24"/>
          <w:szCs w:val="24"/>
        </w:rPr>
      </w:pPr>
    </w:p>
    <w:p>
      <w:pPr>
        <w:widowControl/>
        <w:spacing w:line="360" w:lineRule="auto"/>
        <w:ind w:left="480" w:leftChars="200"/>
        <w:outlineLvl w:val="9"/>
        <w:rPr>
          <w:rFonts w:asciiTheme="minorEastAsia" w:hAnsiTheme="minorEastAsia" w:eastAsiaTheme="minorEastAsia" w:cstheme="minorEastAsia"/>
          <w:sz w:val="24"/>
          <w:szCs w:val="24"/>
        </w:rPr>
      </w:pPr>
    </w:p>
    <w:p>
      <w:pPr>
        <w:snapToGrid w:val="0"/>
        <w:spacing w:line="360" w:lineRule="auto"/>
        <w:ind w:firstLine="480" w:firstLineChars="200"/>
        <w:outlineLvl w:val="9"/>
        <w:rPr>
          <w:rFonts w:asciiTheme="minorEastAsia" w:hAnsiTheme="minorEastAsia" w:eastAsiaTheme="minorEastAsia" w:cstheme="minorEastAsia"/>
          <w:sz w:val="24"/>
          <w:szCs w:val="24"/>
        </w:rPr>
      </w:pPr>
    </w:p>
    <w:p>
      <w:pPr>
        <w:outlineLvl w:val="9"/>
        <w:rPr>
          <w:rFonts w:hint="eastAsia" w:asciiTheme="minorEastAsia" w:hAnsiTheme="minorEastAsia" w:eastAsiaTheme="minorEastAsia" w:cstheme="minorEastAsia"/>
        </w:rPr>
      </w:pPr>
      <w:bookmarkStart w:id="403" w:name="_Toc364"/>
      <w:bookmarkStart w:id="404" w:name="_Toc5338"/>
      <w:bookmarkStart w:id="405" w:name="_Toc4757"/>
      <w:bookmarkStart w:id="406" w:name="_Toc654"/>
      <w:bookmarkStart w:id="407" w:name="_Toc11924"/>
      <w:bookmarkStart w:id="408" w:name="_Toc3159"/>
      <w:r>
        <w:rPr>
          <w:rFonts w:hint="eastAsia" w:asciiTheme="minorEastAsia" w:hAnsiTheme="minorEastAsia" w:eastAsiaTheme="minorEastAsia" w:cstheme="minorEastAsia"/>
        </w:rPr>
        <w:br w:type="page"/>
      </w:r>
    </w:p>
    <w:bookmarkEnd w:id="403"/>
    <w:p>
      <w:pPr>
        <w:adjustRightInd w:val="0"/>
        <w:spacing w:line="416" w:lineRule="atLeast"/>
        <w:ind w:left="0" w:leftChars="0" w:firstLine="0" w:firstLineChars="0"/>
        <w:textAlignment w:val="baseline"/>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附件</w:t>
      </w:r>
      <w:r>
        <w:rPr>
          <w:rFonts w:hint="eastAsia" w:asciiTheme="minorEastAsia" w:hAnsiTheme="minorEastAsia" w:cstheme="minorEastAsia"/>
          <w:sz w:val="22"/>
          <w:szCs w:val="22"/>
          <w:lang w:eastAsia="zh-CN"/>
        </w:rPr>
        <w:t>四</w:t>
      </w:r>
      <w:r>
        <w:rPr>
          <w:rFonts w:hint="eastAsia" w:asciiTheme="minorEastAsia" w:hAnsiTheme="minorEastAsia" w:eastAsiaTheme="minorEastAsia" w:cstheme="minorEastAsia"/>
          <w:sz w:val="22"/>
          <w:szCs w:val="22"/>
        </w:rPr>
        <w:t>、质疑函样本</w:t>
      </w:r>
    </w:p>
    <w:p>
      <w:pPr>
        <w:adjustRightInd w:val="0"/>
        <w:spacing w:line="416" w:lineRule="atLeast"/>
        <w:ind w:left="0" w:leftChars="0" w:firstLine="0" w:firstLineChars="0"/>
        <w:textAlignment w:val="baseline"/>
        <w:outlineLvl w:val="9"/>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一、质疑供应商基本信息</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质疑供应商：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地址：                          邮编：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联系人：                      联系电话：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授权代表：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联系电话：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地址：                         邮编：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二、质疑项目基本情况</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质疑项目的名称：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质疑项目的编号：               ：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采购人名称：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采购文件获取日期：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三、质疑事项具体内容</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质疑事项1：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事实依据：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法律依据：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质疑事项2</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四、与质疑事项相关的质疑请求</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请求：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签字(签章)：                   公章：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日期：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质疑函制作说明：</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1.供应商提出质疑时，应提交质疑函和必要的证明材料。</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3.质疑供应商若对项目的某一分包进行质疑，质疑函中应列明具体分。</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4.质疑函的质疑事项应具体、明确，并有必要的事实依据和法律依据。</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5.质疑函的质疑请求应与质疑事项相关。</w:t>
      </w:r>
    </w:p>
    <w:p>
      <w:pPr>
        <w:outlineLvl w:val="9"/>
        <w:rPr>
          <w:rFonts w:asciiTheme="minorEastAsia" w:hAnsiTheme="minorEastAsia" w:eastAsiaTheme="minorEastAsia" w:cstheme="minorEastAsia"/>
        </w:rPr>
      </w:pPr>
      <w:r>
        <w:rPr>
          <w:rFonts w:hint="eastAsia" w:asciiTheme="minorEastAsia" w:hAnsiTheme="minorEastAsia" w:eastAsiaTheme="minorEastAsia" w:cstheme="minorEastAsia"/>
          <w:bCs/>
        </w:rPr>
        <w:t>6.质疑供应商为自然人的，质疑函应由本人签字；质疑供应商为法人或者其他组织的，质疑函应由法定代表人、主要负责人，或者其授权代表签字或者盖章，并加盖公章。</w:t>
      </w:r>
    </w:p>
    <w:bookmarkEnd w:id="404"/>
    <w:bookmarkEnd w:id="405"/>
    <w:bookmarkEnd w:id="406"/>
    <w:bookmarkEnd w:id="407"/>
    <w:bookmarkEnd w:id="408"/>
    <w:p>
      <w:pPr>
        <w:bidi w:val="0"/>
        <w:rPr>
          <w:rFonts w:hint="eastAsia"/>
        </w:rPr>
      </w:pPr>
      <w:r>
        <w:rPr>
          <w:rFonts w:hint="eastAsia"/>
        </w:rPr>
        <w:br w:type="page"/>
      </w:r>
    </w:p>
    <w:p>
      <w:pPr>
        <w:pStyle w:val="4"/>
        <w:bidi w:val="0"/>
        <w:rPr>
          <w:rFonts w:hint="eastAsia" w:ascii="宋体" w:hAnsi="宋体" w:eastAsia="宋体" w:cs="宋体"/>
          <w:b/>
          <w:bCs/>
        </w:rPr>
      </w:pPr>
      <w:bookmarkStart w:id="409" w:name="_Toc29276"/>
      <w:bookmarkStart w:id="410" w:name="_Toc10241"/>
      <w:bookmarkStart w:id="411" w:name="_Toc6927"/>
      <w:bookmarkStart w:id="412" w:name="_Toc13582"/>
      <w:bookmarkStart w:id="413" w:name="_Toc14350"/>
      <w:bookmarkStart w:id="414" w:name="_Toc3565"/>
      <w:r>
        <w:rPr>
          <w:rFonts w:hint="eastAsia" w:ascii="宋体" w:hAnsi="宋体" w:eastAsia="宋体" w:cs="宋体"/>
          <w:b/>
          <w:bCs/>
        </w:rPr>
        <w:t>第</w:t>
      </w:r>
      <w:r>
        <w:rPr>
          <w:rFonts w:hint="eastAsia" w:ascii="宋体" w:hAnsi="宋体" w:eastAsia="宋体" w:cs="宋体"/>
          <w:b/>
          <w:bCs/>
          <w:lang w:eastAsia="zh-CN"/>
        </w:rPr>
        <w:t>十</w:t>
      </w:r>
      <w:r>
        <w:rPr>
          <w:rFonts w:hint="eastAsia" w:ascii="宋体" w:hAnsi="宋体" w:eastAsia="宋体" w:cs="宋体"/>
          <w:b/>
          <w:bCs/>
        </w:rPr>
        <w:t>部分  供应商参加政府采购活动承诺书</w:t>
      </w:r>
      <w:bookmarkEnd w:id="409"/>
      <w:bookmarkEnd w:id="410"/>
      <w:bookmarkEnd w:id="411"/>
      <w:bookmarkEnd w:id="412"/>
      <w:bookmarkEnd w:id="413"/>
      <w:bookmarkEnd w:id="414"/>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b/>
          <w:bCs/>
          <w:sz w:val="24"/>
          <w:szCs w:val="24"/>
        </w:rPr>
        <w:t>未签署下列承诺书的，将被视为无效投标，其责任由供应商自行承担。</w:t>
      </w:r>
    </w:p>
    <w:p>
      <w:pPr>
        <w:bidi w:val="0"/>
        <w:jc w:val="center"/>
        <w:rPr>
          <w:rFonts w:hint="eastAsia"/>
        </w:rPr>
      </w:pPr>
      <w:bookmarkStart w:id="415" w:name="_Toc1577"/>
      <w:r>
        <w:rPr>
          <w:rFonts w:hint="eastAsia"/>
        </w:rPr>
        <w:t>（一）质量安全责任承诺书</w:t>
      </w:r>
      <w:bookmarkEnd w:id="415"/>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为保证本采购项目顺利进行，作为投标供应商，现郑重承诺：</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1．我方所投产品的生产（包括设计、制造、安装、改造、维修等）、投入使用的材料等均完全符合国家现行质量、安全、环保标准和要求。</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2．我方将严格按照国家现行相关储存、运输、安装调试技术标准及规范、服务标准及规范、施工标准及规范，在规定的时限内，保质、保量完成项目全部内容，并向采购人交付合格产品。</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3．对于因产品生产质量以及储存、运输、安装调试、服务、施工等过程中产生的任何安全事故，我方承担全部责任。</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4．我方提供的货物、工程、服务等符合现行的国家、行业、地区、企业标准及要求，标准不一致的，以更为严格的为准，我方对提供的货物、工程、服务等的质量、安全、环保等承担全部责任。</w:t>
      </w:r>
    </w:p>
    <w:p>
      <w:pPr>
        <w:spacing w:line="560" w:lineRule="exact"/>
        <w:ind w:firstLine="480" w:firstLineChars="200"/>
        <w:jc w:val="both"/>
        <w:rPr>
          <w:rFonts w:hint="eastAsia" w:ascii="宋体" w:hAnsi="宋体" w:eastAsia="宋体" w:cs="宋体"/>
          <w:sz w:val="24"/>
          <w:szCs w:val="24"/>
        </w:rPr>
      </w:pPr>
    </w:p>
    <w:p>
      <w:pPr>
        <w:spacing w:line="560" w:lineRule="exact"/>
        <w:ind w:firstLine="2656" w:firstLineChars="1107"/>
        <w:jc w:val="both"/>
        <w:rPr>
          <w:rFonts w:hint="eastAsia" w:ascii="宋体" w:hAnsi="宋体" w:eastAsia="宋体" w:cs="宋体"/>
          <w:sz w:val="24"/>
          <w:szCs w:val="24"/>
        </w:rPr>
      </w:pPr>
      <w:r>
        <w:rPr>
          <w:rFonts w:hint="eastAsia" w:ascii="宋体" w:hAnsi="宋体" w:eastAsia="宋体" w:cs="宋体"/>
          <w:sz w:val="24"/>
          <w:szCs w:val="24"/>
        </w:rPr>
        <w:t>供应商：（供应商全称并加盖公章）</w:t>
      </w:r>
    </w:p>
    <w:p>
      <w:pPr>
        <w:spacing w:line="560" w:lineRule="exact"/>
        <w:ind w:firstLine="2656" w:firstLineChars="1107"/>
        <w:jc w:val="both"/>
        <w:rPr>
          <w:rFonts w:hint="eastAsia" w:ascii="宋体" w:hAnsi="宋体" w:eastAsia="宋体" w:cs="宋体"/>
          <w:sz w:val="24"/>
          <w:szCs w:val="24"/>
        </w:rPr>
      </w:pPr>
      <w:r>
        <w:rPr>
          <w:rFonts w:hint="eastAsia" w:ascii="宋体" w:hAnsi="宋体" w:eastAsia="宋体" w:cs="宋体"/>
          <w:sz w:val="24"/>
          <w:szCs w:val="24"/>
        </w:rPr>
        <w:t>日  期：    年  月  日</w:t>
      </w:r>
    </w:p>
    <w:p>
      <w:pPr>
        <w:spacing w:line="560" w:lineRule="exact"/>
        <w:ind w:firstLine="560" w:firstLineChars="200"/>
        <w:jc w:val="both"/>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bidi w:val="0"/>
        <w:jc w:val="center"/>
        <w:rPr>
          <w:rFonts w:hint="eastAsia"/>
        </w:rPr>
      </w:pPr>
      <w:bookmarkStart w:id="416" w:name="_Toc15439"/>
      <w:r>
        <w:rPr>
          <w:rFonts w:hint="eastAsia"/>
        </w:rPr>
        <w:t>（二）参加政府采购活动行为自律承诺书</w:t>
      </w:r>
      <w:bookmarkEnd w:id="416"/>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作为参加本次政府采购项目的供应商，我方郑重承诺在参与政府采购活动中遵纪守法、公平竞争、诚实守信，如有违反愿承担一切责任及后果：</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1．不与采购人、采购代理机构、政府采购评审专家恶意串通，不向其行贿或提供其他不正当利益；</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2．不与其他供应商恶意串通，采取“围标、串标、陪标”等商业欺诈手段谋取中标、成交；</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3．不提供虚假或无效证明文件（包括但不限于资格证明文件、合同及验收文件、检验检测报告、从业人员资格证书、机构或所投产品的各类认证证书等）或虚假材料谋取中标、成交；</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4．不采取不正当手段诋毁、排挤其他供应商；</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5．不以不正当理由拒不与采购人签订政府采购合同，或逾期签订政府采购合同，或不按照采购文件确定的事项签订政府采购合同；</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6．不以不正当理由拒绝履行合同义务，不会擅自变更、中止或者终止政府采购合同或将政府采购合同转包；</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7．不在提供商品、服务或工程施工过程中提供假冒伪劣产品，损害采购人的合法权益或公共利益；</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8．不采取捏造事实、提供虚假材料或者以非法手段取得证明材料进行质疑和投诉；</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9．不发生其他有悖于政府采购公开、公平、公正和诚信原则的行为。</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10．尊重和接受政府采购监督管理部门的监督和采购人、采购代理机构的政府采购工作要求，愿意承担因违约行为给采购人造成的损失。</w:t>
      </w:r>
    </w:p>
    <w:p>
      <w:pPr>
        <w:spacing w:line="560" w:lineRule="exact"/>
        <w:ind w:firstLine="480" w:firstLineChars="200"/>
        <w:jc w:val="both"/>
        <w:rPr>
          <w:rFonts w:hint="eastAsia" w:ascii="宋体" w:hAnsi="宋体" w:eastAsia="宋体" w:cs="宋体"/>
          <w:sz w:val="24"/>
          <w:szCs w:val="24"/>
        </w:rPr>
      </w:pPr>
    </w:p>
    <w:p>
      <w:pPr>
        <w:spacing w:line="560" w:lineRule="exact"/>
        <w:ind w:firstLine="2656" w:firstLineChars="1107"/>
        <w:jc w:val="both"/>
        <w:rPr>
          <w:rFonts w:hint="eastAsia" w:ascii="宋体" w:hAnsi="宋体" w:eastAsia="宋体" w:cs="宋体"/>
          <w:sz w:val="24"/>
          <w:szCs w:val="24"/>
        </w:rPr>
      </w:pPr>
      <w:r>
        <w:rPr>
          <w:rFonts w:hint="eastAsia" w:ascii="宋体" w:hAnsi="宋体" w:eastAsia="宋体" w:cs="宋体"/>
          <w:sz w:val="24"/>
          <w:szCs w:val="24"/>
        </w:rPr>
        <w:t>供应商：（供应商全称并加盖公章）</w:t>
      </w:r>
    </w:p>
    <w:p>
      <w:pPr>
        <w:spacing w:line="560" w:lineRule="exact"/>
        <w:ind w:firstLine="2656" w:firstLineChars="1107"/>
        <w:jc w:val="both"/>
        <w:rPr>
          <w:rFonts w:hint="eastAsia" w:ascii="宋体" w:hAnsi="宋体" w:eastAsia="宋体" w:cs="宋体"/>
          <w:sz w:val="24"/>
          <w:szCs w:val="24"/>
        </w:rPr>
      </w:pPr>
      <w:r>
        <w:rPr>
          <w:rFonts w:hint="eastAsia" w:ascii="宋体" w:hAnsi="宋体" w:eastAsia="宋体" w:cs="宋体"/>
          <w:sz w:val="24"/>
          <w:szCs w:val="24"/>
        </w:rPr>
        <w:t>日  期：    年  月  日</w:t>
      </w:r>
    </w:p>
    <w:p>
      <w:pPr>
        <w:rPr>
          <w:rFonts w:hint="eastAsia" w:asciiTheme="minorEastAsia" w:hAnsiTheme="minorEastAsia" w:eastAsiaTheme="minorEastAsia" w:cstheme="minorEastAsia"/>
          <w:b/>
          <w:bCs/>
          <w:spacing w:val="48"/>
          <w:sz w:val="72"/>
          <w:szCs w:val="72"/>
        </w:rPr>
      </w:pPr>
      <w:r>
        <w:rPr>
          <w:rFonts w:hint="eastAsia" w:ascii="宋体" w:hAnsi="宋体" w:eastAsia="宋体" w:cs="宋体"/>
          <w:sz w:val="28"/>
          <w:szCs w:val="28"/>
        </w:rPr>
        <w:br w:type="page"/>
      </w:r>
    </w:p>
    <w:p>
      <w:pPr>
        <w:jc w:val="left"/>
        <w:outlineLvl w:val="9"/>
        <w:rPr>
          <w:rFonts w:asciiTheme="minorEastAsia" w:hAnsiTheme="minorEastAsia" w:eastAsiaTheme="minorEastAsia" w:cstheme="minorEastAsia"/>
          <w:sz w:val="72"/>
          <w:szCs w:val="72"/>
        </w:rPr>
      </w:pPr>
      <w:r>
        <w:rPr>
          <w:rFonts w:hint="eastAsia" w:asciiTheme="minorEastAsia" w:hAnsiTheme="minorEastAsia" w:eastAsiaTheme="minorEastAsia" w:cstheme="minorEastAsia"/>
          <w:b/>
          <w:bCs/>
          <w:spacing w:val="48"/>
          <w:sz w:val="72"/>
          <w:szCs w:val="72"/>
        </w:rPr>
        <w:t>公平</w:t>
      </w:r>
    </w:p>
    <w:p>
      <w:pPr>
        <w:jc w:val="left"/>
        <w:outlineLvl w:val="9"/>
        <w:rPr>
          <w:rFonts w:asciiTheme="minorEastAsia" w:hAnsiTheme="minorEastAsia" w:eastAsiaTheme="minorEastAsia" w:cstheme="minorEastAsia"/>
          <w:sz w:val="72"/>
          <w:szCs w:val="72"/>
        </w:rPr>
      </w:pPr>
    </w:p>
    <w:p>
      <w:pPr>
        <w:jc w:val="center"/>
        <w:outlineLvl w:val="9"/>
        <w:rPr>
          <w:rFonts w:asciiTheme="minorEastAsia" w:hAnsiTheme="minorEastAsia" w:eastAsiaTheme="minorEastAsia" w:cstheme="minorEastAsia"/>
          <w:b/>
          <w:bCs/>
          <w:spacing w:val="48"/>
          <w:sz w:val="72"/>
          <w:szCs w:val="72"/>
        </w:rPr>
      </w:pPr>
    </w:p>
    <w:p>
      <w:pPr>
        <w:jc w:val="center"/>
        <w:outlineLvl w:val="9"/>
        <w:rPr>
          <w:rFonts w:asciiTheme="minorEastAsia" w:hAnsiTheme="minorEastAsia" w:eastAsiaTheme="minorEastAsia" w:cstheme="minorEastAsia"/>
          <w:b/>
          <w:bCs/>
          <w:spacing w:val="48"/>
          <w:sz w:val="72"/>
          <w:szCs w:val="72"/>
        </w:rPr>
      </w:pPr>
      <w:r>
        <w:rPr>
          <w:rFonts w:hint="eastAsia" w:asciiTheme="minorEastAsia" w:hAnsiTheme="minorEastAsia" w:eastAsiaTheme="minorEastAsia" w:cstheme="minorEastAsia"/>
          <w:b/>
          <w:bCs/>
          <w:spacing w:val="48"/>
          <w:sz w:val="72"/>
          <w:szCs w:val="72"/>
        </w:rPr>
        <w:t>公正</w:t>
      </w:r>
    </w:p>
    <w:p>
      <w:pPr>
        <w:jc w:val="left"/>
        <w:outlineLvl w:val="9"/>
        <w:rPr>
          <w:rFonts w:asciiTheme="minorEastAsia" w:hAnsiTheme="minorEastAsia" w:eastAsiaTheme="minorEastAsia" w:cstheme="minorEastAsia"/>
          <w:b/>
          <w:bCs/>
          <w:spacing w:val="48"/>
          <w:sz w:val="72"/>
          <w:szCs w:val="72"/>
        </w:rPr>
      </w:pPr>
    </w:p>
    <w:p>
      <w:pPr>
        <w:jc w:val="left"/>
        <w:outlineLvl w:val="9"/>
        <w:rPr>
          <w:rFonts w:asciiTheme="minorEastAsia" w:hAnsiTheme="minorEastAsia" w:eastAsiaTheme="minorEastAsia" w:cstheme="minorEastAsia"/>
          <w:b/>
          <w:bCs/>
          <w:spacing w:val="48"/>
          <w:sz w:val="72"/>
          <w:szCs w:val="72"/>
        </w:rPr>
      </w:pPr>
    </w:p>
    <w:p>
      <w:pPr>
        <w:jc w:val="right"/>
        <w:outlineLvl w:val="9"/>
        <w:rPr>
          <w:rFonts w:asciiTheme="minorEastAsia" w:hAnsiTheme="minorEastAsia" w:eastAsiaTheme="minorEastAsia" w:cstheme="minorEastAsia"/>
          <w:b/>
          <w:bCs/>
          <w:spacing w:val="48"/>
          <w:sz w:val="72"/>
          <w:szCs w:val="72"/>
        </w:rPr>
      </w:pPr>
      <w:r>
        <w:rPr>
          <w:rFonts w:hint="eastAsia" w:asciiTheme="minorEastAsia" w:hAnsiTheme="minorEastAsia" w:eastAsiaTheme="minorEastAsia" w:cstheme="minorEastAsia"/>
          <w:b/>
          <w:bCs/>
          <w:spacing w:val="48"/>
          <w:sz w:val="72"/>
          <w:szCs w:val="72"/>
        </w:rPr>
        <w:t>公开</w:t>
      </w:r>
    </w:p>
    <w:p>
      <w:pPr>
        <w:jc w:val="right"/>
        <w:outlineLvl w:val="9"/>
        <w:rPr>
          <w:rFonts w:asciiTheme="minorEastAsia" w:hAnsiTheme="minorEastAsia" w:eastAsiaTheme="minorEastAsia" w:cstheme="minorEastAsia"/>
          <w:b/>
          <w:bCs/>
          <w:spacing w:val="48"/>
          <w:sz w:val="32"/>
          <w:szCs w:val="32"/>
        </w:rPr>
      </w:pPr>
    </w:p>
    <w:p>
      <w:pPr>
        <w:ind w:firstLine="1059" w:firstLineChars="353"/>
        <w:jc w:val="left"/>
        <w:outlineLvl w:val="9"/>
        <w:rPr>
          <w:rFonts w:asciiTheme="minorEastAsia" w:hAnsiTheme="minorEastAsia" w:eastAsiaTheme="minorEastAsia" w:cstheme="minorEastAsia"/>
          <w:b/>
          <w:bCs/>
          <w:sz w:val="30"/>
          <w:szCs w:val="30"/>
        </w:rPr>
      </w:pPr>
    </w:p>
    <w:p>
      <w:pPr>
        <w:ind w:firstLine="1059" w:firstLineChars="353"/>
        <w:jc w:val="left"/>
        <w:outlineLvl w:val="9"/>
        <w:rPr>
          <w:rFonts w:asciiTheme="minorEastAsia" w:hAnsiTheme="minorEastAsia" w:eastAsiaTheme="minorEastAsia" w:cstheme="minorEastAsia"/>
          <w:b/>
          <w:bCs/>
          <w:sz w:val="30"/>
          <w:szCs w:val="30"/>
        </w:rPr>
      </w:pPr>
    </w:p>
    <w:p>
      <w:pPr>
        <w:jc w:val="left"/>
        <w:outlineLvl w:val="9"/>
        <w:rPr>
          <w:rFonts w:hint="eastAsia" w:asciiTheme="minorEastAsia" w:hAnsiTheme="minorEastAsia" w:eastAsiaTheme="minorEastAsia" w:cstheme="minorEastAsia"/>
          <w:b/>
          <w:bCs/>
          <w:sz w:val="30"/>
          <w:szCs w:val="30"/>
        </w:rPr>
      </w:pPr>
    </w:p>
    <w:p>
      <w:pPr>
        <w:jc w:val="left"/>
        <w:outlineLvl w:val="9"/>
        <w:rPr>
          <w:rFonts w:hint="eastAsia" w:asciiTheme="minorEastAsia" w:hAnsiTheme="minorEastAsia" w:eastAsiaTheme="minorEastAsia" w:cstheme="minorEastAsia"/>
          <w:b/>
          <w:bCs/>
          <w:sz w:val="30"/>
          <w:szCs w:val="30"/>
        </w:rPr>
      </w:pPr>
    </w:p>
    <w:p>
      <w:pPr>
        <w:jc w:val="left"/>
        <w:outlineLvl w:val="9"/>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企业名称：陕西万泽招标有限公司</w:t>
      </w:r>
    </w:p>
    <w:p>
      <w:pPr>
        <w:jc w:val="left"/>
        <w:outlineLvl w:val="9"/>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地    址：西安市西关正街英达大厦1507室</w:t>
      </w:r>
    </w:p>
    <w:p>
      <w:pPr>
        <w:jc w:val="left"/>
        <w:outlineLvl w:val="9"/>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邮政编码：710082</w:t>
      </w:r>
    </w:p>
    <w:p>
      <w:pPr>
        <w:jc w:val="left"/>
        <w:outlineLvl w:val="9"/>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电    话：029-88319689</w:t>
      </w:r>
    </w:p>
    <w:p>
      <w:pPr>
        <w:spacing w:line="560" w:lineRule="exact"/>
        <w:jc w:val="left"/>
        <w:outlineLvl w:val="9"/>
        <w:rPr>
          <w:rFonts w:hint="eastAsia" w:ascii="宋体" w:hAnsi="宋体" w:eastAsia="宋体" w:cs="宋体"/>
          <w:sz w:val="32"/>
          <w:szCs w:val="32"/>
        </w:rPr>
      </w:pPr>
      <w:r>
        <w:rPr>
          <w:rFonts w:hint="eastAsia" w:asciiTheme="minorEastAsia" w:hAnsiTheme="minorEastAsia" w:eastAsiaTheme="minorEastAsia" w:cstheme="minorEastAsia"/>
          <w:b/>
          <w:bCs/>
          <w:sz w:val="30"/>
          <w:szCs w:val="30"/>
        </w:rPr>
        <w:t>传    真：029-88319689</w:t>
      </w:r>
    </w:p>
    <w:p>
      <w:pPr>
        <w:bidi w:val="0"/>
        <w:rPr>
          <w:rFonts w:hint="eastAsia"/>
        </w:rPr>
      </w:pPr>
    </w:p>
    <w:sectPr>
      <w:headerReference r:id="rId8" w:type="default"/>
      <w:footerReference r:id="rId10" w:type="default"/>
      <w:headerReference r:id="rId9" w:type="even"/>
      <w:pgSz w:w="11906" w:h="16838"/>
      <w:pgMar w:top="1440" w:right="1800" w:bottom="1440" w:left="1800" w:header="851" w:footer="992" w:gutter="0"/>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150"/>
        <w:tab w:val="right" w:pos="8420"/>
        <w:tab w:val="clear" w:pos="4153"/>
      </w:tabs>
      <w:rPr>
        <w:rFonts w:ascii="宋体" w:hAns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rPr>
                              <w:rFonts w:hint="eastAsia"/>
                            </w:rPr>
                            <w:t xml:space="preserve">第 </w:t>
                          </w:r>
                          <w:r>
                            <w:fldChar w:fldCharType="begin"/>
                          </w:r>
                          <w:r>
                            <w:instrText xml:space="preserve"> PAGE  \* MERGEFORMAT </w:instrText>
                          </w:r>
                          <w:r>
                            <w:fldChar w:fldCharType="separate"/>
                          </w:r>
                          <w:r>
                            <w:t>85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22"/>
                    </w:pPr>
                    <w:r>
                      <w:rPr>
                        <w:rFonts w:hint="eastAsia"/>
                      </w:rPr>
                      <w:t xml:space="preserve">第 </w:t>
                    </w:r>
                    <w:r>
                      <w:fldChar w:fldCharType="begin"/>
                    </w:r>
                    <w:r>
                      <w:instrText xml:space="preserve"> PAGE  \* MERGEFORMAT </w:instrText>
                    </w:r>
                    <w:r>
                      <w:fldChar w:fldCharType="separate"/>
                    </w:r>
                    <w:r>
                      <w:t>85</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150"/>
        <w:tab w:val="right" w:pos="8420"/>
        <w:tab w:val="clear" w:pos="4153"/>
      </w:tabs>
      <w:rPr>
        <w:rFonts w:ascii="宋体" w:hAns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hint="eastAsia" w:eastAsiaTheme="minorEastAsia"/>
        <w:lang w:eastAsia="zh-CN"/>
      </w:rPr>
    </w:pPr>
    <w:r>
      <w:rPr>
        <w:rFonts w:hint="eastAsia" w:ascii="宋体" w:cs="Times New Roman"/>
        <w:sz w:val="15"/>
        <w:szCs w:val="15"/>
        <w:u w:val="single"/>
        <w:lang w:eastAsia="zh-CN"/>
      </w:rPr>
      <w:t>西安市中心血站血型质管供血试剂耗材采购项目（二次）</w:t>
    </w:r>
    <w:r>
      <w:rPr>
        <w:rFonts w:ascii="宋体" w:cs="Times New Roman"/>
        <w:sz w:val="15"/>
        <w:szCs w:val="15"/>
        <w:u w:val="single"/>
      </w:rPr>
      <w:t xml:space="preserve">               </w:t>
    </w:r>
    <w:r>
      <w:rPr>
        <w:rFonts w:hint="eastAsia" w:ascii="宋体" w:cs="Times New Roman"/>
        <w:sz w:val="15"/>
        <w:szCs w:val="15"/>
        <w:u w:val="single"/>
        <w:lang w:val="en-US" w:eastAsia="zh-CN"/>
      </w:rPr>
      <w:t xml:space="preserve">                        </w:t>
    </w:r>
    <w:r>
      <w:rPr>
        <w:rFonts w:hint="eastAsia" w:ascii="宋体" w:cs="Times New Roman"/>
        <w:sz w:val="15"/>
        <w:szCs w:val="15"/>
        <w:u w:val="single"/>
        <w:lang w:eastAsia="zh-CN"/>
      </w:rPr>
      <w:t>SXWZ2022ZB-XAXZ-090A</w:t>
    </w:r>
  </w:p>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rPr>
        <w:rFonts w:hint="eastAsia" w:eastAsiaTheme="minorEastAsia"/>
        <w:lang w:eastAsia="zh-CN"/>
      </w:rPr>
    </w:pPr>
    <w:r>
      <w:rPr>
        <w:rFonts w:hint="eastAsia" w:ascii="宋体" w:cs="Times New Roman"/>
        <w:sz w:val="15"/>
        <w:szCs w:val="15"/>
        <w:u w:val="single"/>
        <w:lang w:eastAsia="zh-CN"/>
      </w:rPr>
      <w:t>西安市中心血站血型质管供血试剂耗材采购项目（二次）</w:t>
    </w:r>
    <w:r>
      <w:rPr>
        <w:rFonts w:ascii="宋体" w:cs="Times New Roman"/>
        <w:sz w:val="15"/>
        <w:szCs w:val="15"/>
        <w:u w:val="single"/>
      </w:rPr>
      <w:t xml:space="preserve">           </w:t>
    </w:r>
    <w:r>
      <w:rPr>
        <w:rFonts w:hint="eastAsia" w:ascii="宋体" w:cs="Times New Roman"/>
        <w:sz w:val="15"/>
        <w:szCs w:val="15"/>
        <w:u w:val="single"/>
        <w:lang w:val="en-US" w:eastAsia="zh-CN"/>
      </w:rPr>
      <w:t xml:space="preserve">                           </w:t>
    </w:r>
    <w:r>
      <w:rPr>
        <w:rFonts w:ascii="宋体" w:cs="Times New Roman"/>
        <w:sz w:val="15"/>
        <w:szCs w:val="15"/>
        <w:u w:val="single"/>
      </w:rPr>
      <w:t xml:space="preserve">    </w:t>
    </w:r>
    <w:r>
      <w:rPr>
        <w:rFonts w:hint="eastAsia" w:ascii="宋体" w:cs="Times New Roman"/>
        <w:sz w:val="15"/>
        <w:szCs w:val="15"/>
        <w:u w:val="single"/>
        <w:lang w:eastAsia="zh-CN"/>
      </w:rPr>
      <w:t>SXWZ2022ZB-XAXZ-090A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ascii="宋体" w:cs="Times New Roman" w:eastAsiaTheme="minorEastAsia"/>
        <w:sz w:val="15"/>
        <w:szCs w:val="15"/>
        <w:highlight w:val="yellow"/>
        <w:u w:val="single"/>
        <w:lang w:eastAsia="zh-CN"/>
      </w:rPr>
    </w:pPr>
    <w:r>
      <w:rPr>
        <w:rFonts w:hint="eastAsia" w:ascii="宋体" w:cs="Times New Roman"/>
        <w:sz w:val="15"/>
        <w:szCs w:val="15"/>
        <w:u w:val="single"/>
        <w:lang w:eastAsia="zh-CN"/>
      </w:rPr>
      <w:t>西安市中心血站血型质管供血试剂耗材采购项目（二次）</w:t>
    </w:r>
    <w:r>
      <w:rPr>
        <w:rFonts w:ascii="宋体" w:cs="Times New Roman"/>
        <w:sz w:val="15"/>
        <w:szCs w:val="15"/>
        <w:u w:val="single"/>
      </w:rPr>
      <w:t xml:space="preserve">               </w:t>
    </w:r>
    <w:r>
      <w:rPr>
        <w:rFonts w:hint="eastAsia" w:ascii="宋体" w:cs="Times New Roman"/>
        <w:sz w:val="15"/>
        <w:szCs w:val="15"/>
        <w:u w:val="single"/>
        <w:lang w:val="en-US" w:eastAsia="zh-CN"/>
      </w:rPr>
      <w:t xml:space="preserve">                        </w:t>
    </w:r>
    <w:r>
      <w:rPr>
        <w:rFonts w:hint="eastAsia" w:ascii="宋体" w:cs="Times New Roman"/>
        <w:sz w:val="15"/>
        <w:szCs w:val="15"/>
        <w:u w:val="single"/>
        <w:lang w:eastAsia="zh-CN"/>
      </w:rPr>
      <w:t>SXWZ2022ZB-XAXZ-090A</w:t>
    </w:r>
  </w:p>
  <w:p>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60D05"/>
    <w:multiLevelType w:val="singleLevel"/>
    <w:tmpl w:val="C8560D05"/>
    <w:lvl w:ilvl="0" w:tentative="0">
      <w:start w:val="2"/>
      <w:numFmt w:val="chineseCounting"/>
      <w:suff w:val="space"/>
      <w:lvlText w:val="第%1部分"/>
      <w:lvlJc w:val="left"/>
      <w:rPr>
        <w:rFonts w:hint="eastAsia"/>
      </w:rPr>
    </w:lvl>
  </w:abstractNum>
  <w:abstractNum w:abstractNumId="1">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2">
    <w:nsid w:val="221C489B"/>
    <w:multiLevelType w:val="singleLevel"/>
    <w:tmpl w:val="221C489B"/>
    <w:lvl w:ilvl="0" w:tentative="0">
      <w:start w:val="2"/>
      <w:numFmt w:val="chineseCounting"/>
      <w:suff w:val="nothing"/>
      <w:lvlText w:val="%1、"/>
      <w:lvlJc w:val="left"/>
      <w:rPr>
        <w:rFonts w:hint="eastAsia"/>
      </w:rPr>
    </w:lvl>
  </w:abstractNum>
  <w:abstractNum w:abstractNumId="3">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2"/>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4">
    <w:nsid w:val="7BABC8DC"/>
    <w:multiLevelType w:val="singleLevel"/>
    <w:tmpl w:val="7BABC8DC"/>
    <w:lvl w:ilvl="0" w:tentative="0">
      <w:start w:val="7"/>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OWIwYjUyYWRkZDIxNzRkYTcwZTc4ODlkMDBhNmU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309"/>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570FF"/>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A64C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349"/>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2C8"/>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B57"/>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B26"/>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3F51DF"/>
    <w:rsid w:val="01787946"/>
    <w:rsid w:val="018C5780"/>
    <w:rsid w:val="023B48CB"/>
    <w:rsid w:val="029D18A6"/>
    <w:rsid w:val="02A058B1"/>
    <w:rsid w:val="02C57B73"/>
    <w:rsid w:val="030A0A72"/>
    <w:rsid w:val="037A4244"/>
    <w:rsid w:val="03863E70"/>
    <w:rsid w:val="03D8291E"/>
    <w:rsid w:val="04C9495C"/>
    <w:rsid w:val="05655186"/>
    <w:rsid w:val="05912ED8"/>
    <w:rsid w:val="05AB4C2D"/>
    <w:rsid w:val="05F23A3F"/>
    <w:rsid w:val="05FD666C"/>
    <w:rsid w:val="06DA4BFF"/>
    <w:rsid w:val="070F0E61"/>
    <w:rsid w:val="07943000"/>
    <w:rsid w:val="07FF3E8B"/>
    <w:rsid w:val="080E1C24"/>
    <w:rsid w:val="082F2D28"/>
    <w:rsid w:val="08854E7E"/>
    <w:rsid w:val="08982E02"/>
    <w:rsid w:val="08C23B9D"/>
    <w:rsid w:val="090D12BC"/>
    <w:rsid w:val="091F54C0"/>
    <w:rsid w:val="099F6065"/>
    <w:rsid w:val="09B27084"/>
    <w:rsid w:val="09F61D50"/>
    <w:rsid w:val="0A3C5F69"/>
    <w:rsid w:val="0A680CF4"/>
    <w:rsid w:val="0AAD61D3"/>
    <w:rsid w:val="0AD656DD"/>
    <w:rsid w:val="0B545F57"/>
    <w:rsid w:val="0B5847B0"/>
    <w:rsid w:val="0B690F28"/>
    <w:rsid w:val="0B845139"/>
    <w:rsid w:val="0C117651"/>
    <w:rsid w:val="0C4C20FB"/>
    <w:rsid w:val="0CD96C5B"/>
    <w:rsid w:val="0CF430A0"/>
    <w:rsid w:val="0D074274"/>
    <w:rsid w:val="0D984ECC"/>
    <w:rsid w:val="0E7F38F4"/>
    <w:rsid w:val="0E8A4C8C"/>
    <w:rsid w:val="0E9071C2"/>
    <w:rsid w:val="0EB94E27"/>
    <w:rsid w:val="0ED32660"/>
    <w:rsid w:val="0EFB20DA"/>
    <w:rsid w:val="0F0A004B"/>
    <w:rsid w:val="0F343C71"/>
    <w:rsid w:val="10335CC9"/>
    <w:rsid w:val="10536FAA"/>
    <w:rsid w:val="10E40DB3"/>
    <w:rsid w:val="11525624"/>
    <w:rsid w:val="12066B9C"/>
    <w:rsid w:val="12191A65"/>
    <w:rsid w:val="126C1FE6"/>
    <w:rsid w:val="12A7355D"/>
    <w:rsid w:val="12CC7AF2"/>
    <w:rsid w:val="131F7E9C"/>
    <w:rsid w:val="13634839"/>
    <w:rsid w:val="13B11191"/>
    <w:rsid w:val="13FC439E"/>
    <w:rsid w:val="145639A7"/>
    <w:rsid w:val="14DF09D3"/>
    <w:rsid w:val="151F2EBB"/>
    <w:rsid w:val="152D6842"/>
    <w:rsid w:val="15826B8D"/>
    <w:rsid w:val="15F10366"/>
    <w:rsid w:val="15FC6940"/>
    <w:rsid w:val="167B7F3D"/>
    <w:rsid w:val="16A36DBB"/>
    <w:rsid w:val="16C06226"/>
    <w:rsid w:val="16EE28A6"/>
    <w:rsid w:val="174724F7"/>
    <w:rsid w:val="17872239"/>
    <w:rsid w:val="17B43822"/>
    <w:rsid w:val="17C75370"/>
    <w:rsid w:val="17E23913"/>
    <w:rsid w:val="1888270D"/>
    <w:rsid w:val="18BA4890"/>
    <w:rsid w:val="191B1D77"/>
    <w:rsid w:val="19267FDD"/>
    <w:rsid w:val="194F4FD8"/>
    <w:rsid w:val="19616ABA"/>
    <w:rsid w:val="19904E36"/>
    <w:rsid w:val="19B251F7"/>
    <w:rsid w:val="19E576EB"/>
    <w:rsid w:val="1A2E2E40"/>
    <w:rsid w:val="1A584361"/>
    <w:rsid w:val="1A89451A"/>
    <w:rsid w:val="1A9825AB"/>
    <w:rsid w:val="1AB93DBF"/>
    <w:rsid w:val="1AD4799A"/>
    <w:rsid w:val="1AE479A2"/>
    <w:rsid w:val="1B1A7868"/>
    <w:rsid w:val="1B3F54A3"/>
    <w:rsid w:val="1B495A57"/>
    <w:rsid w:val="1BC53917"/>
    <w:rsid w:val="1BC81072"/>
    <w:rsid w:val="1BF63E31"/>
    <w:rsid w:val="1C111FEE"/>
    <w:rsid w:val="1C1B3B19"/>
    <w:rsid w:val="1C316C17"/>
    <w:rsid w:val="1C4C57FF"/>
    <w:rsid w:val="1C6963B1"/>
    <w:rsid w:val="1CB82E95"/>
    <w:rsid w:val="1CE70364"/>
    <w:rsid w:val="1D24677C"/>
    <w:rsid w:val="1D646278"/>
    <w:rsid w:val="1D7F774A"/>
    <w:rsid w:val="1D835834"/>
    <w:rsid w:val="1DB557DC"/>
    <w:rsid w:val="1DFB74DD"/>
    <w:rsid w:val="1E211F20"/>
    <w:rsid w:val="1E7159F1"/>
    <w:rsid w:val="1E884421"/>
    <w:rsid w:val="1EEF53DF"/>
    <w:rsid w:val="1F086AFE"/>
    <w:rsid w:val="1F10520A"/>
    <w:rsid w:val="1F321241"/>
    <w:rsid w:val="1FB913FE"/>
    <w:rsid w:val="207B2B57"/>
    <w:rsid w:val="211D59BC"/>
    <w:rsid w:val="21354B49"/>
    <w:rsid w:val="214122CF"/>
    <w:rsid w:val="21486691"/>
    <w:rsid w:val="21645399"/>
    <w:rsid w:val="21C66F9D"/>
    <w:rsid w:val="21E35591"/>
    <w:rsid w:val="22033815"/>
    <w:rsid w:val="225A40A6"/>
    <w:rsid w:val="227D33EB"/>
    <w:rsid w:val="228B397D"/>
    <w:rsid w:val="22AA3280"/>
    <w:rsid w:val="22B440FE"/>
    <w:rsid w:val="22F369D5"/>
    <w:rsid w:val="23627FFE"/>
    <w:rsid w:val="237C10C0"/>
    <w:rsid w:val="23C76C57"/>
    <w:rsid w:val="23F87E7A"/>
    <w:rsid w:val="245F5D06"/>
    <w:rsid w:val="246E3757"/>
    <w:rsid w:val="24704648"/>
    <w:rsid w:val="24D83030"/>
    <w:rsid w:val="25695674"/>
    <w:rsid w:val="25C7095D"/>
    <w:rsid w:val="25CA64DA"/>
    <w:rsid w:val="25CD6F96"/>
    <w:rsid w:val="264A7253"/>
    <w:rsid w:val="26707BA4"/>
    <w:rsid w:val="26946721"/>
    <w:rsid w:val="26F176CF"/>
    <w:rsid w:val="26F86F6A"/>
    <w:rsid w:val="271E248E"/>
    <w:rsid w:val="2727054E"/>
    <w:rsid w:val="274A5031"/>
    <w:rsid w:val="274F0899"/>
    <w:rsid w:val="278C389C"/>
    <w:rsid w:val="27B74703"/>
    <w:rsid w:val="27CB3B78"/>
    <w:rsid w:val="27DA63B5"/>
    <w:rsid w:val="28012D27"/>
    <w:rsid w:val="286D489A"/>
    <w:rsid w:val="28725D14"/>
    <w:rsid w:val="28CC03F4"/>
    <w:rsid w:val="28DD621D"/>
    <w:rsid w:val="28EA2628"/>
    <w:rsid w:val="29D84B76"/>
    <w:rsid w:val="2A287D9E"/>
    <w:rsid w:val="2A3162EA"/>
    <w:rsid w:val="2A63387C"/>
    <w:rsid w:val="2AB57FAA"/>
    <w:rsid w:val="2B852ADC"/>
    <w:rsid w:val="2BA707AB"/>
    <w:rsid w:val="2BAF2449"/>
    <w:rsid w:val="2C1874AC"/>
    <w:rsid w:val="2C3D5164"/>
    <w:rsid w:val="2C7E6D46"/>
    <w:rsid w:val="2CB35427"/>
    <w:rsid w:val="2CDA6E57"/>
    <w:rsid w:val="2D115377"/>
    <w:rsid w:val="2D1B3267"/>
    <w:rsid w:val="2D5C5ABE"/>
    <w:rsid w:val="2DEF20D7"/>
    <w:rsid w:val="2E385BE3"/>
    <w:rsid w:val="2E5E283C"/>
    <w:rsid w:val="2E6B4140"/>
    <w:rsid w:val="2E864BA1"/>
    <w:rsid w:val="2EB27E1A"/>
    <w:rsid w:val="2EFA558F"/>
    <w:rsid w:val="2F2443BA"/>
    <w:rsid w:val="2F2F73FF"/>
    <w:rsid w:val="2F570620"/>
    <w:rsid w:val="2F9D679E"/>
    <w:rsid w:val="2FC260AC"/>
    <w:rsid w:val="303836FB"/>
    <w:rsid w:val="304840B5"/>
    <w:rsid w:val="30B74016"/>
    <w:rsid w:val="30F36025"/>
    <w:rsid w:val="31834F09"/>
    <w:rsid w:val="31FE7144"/>
    <w:rsid w:val="32430CC6"/>
    <w:rsid w:val="326639CA"/>
    <w:rsid w:val="328F5FEE"/>
    <w:rsid w:val="32BC3A20"/>
    <w:rsid w:val="32DE46DD"/>
    <w:rsid w:val="32DE750E"/>
    <w:rsid w:val="33221A6B"/>
    <w:rsid w:val="338D5FD0"/>
    <w:rsid w:val="339135E3"/>
    <w:rsid w:val="34386694"/>
    <w:rsid w:val="344572AC"/>
    <w:rsid w:val="34BC25CF"/>
    <w:rsid w:val="34BF2BBB"/>
    <w:rsid w:val="34DF6659"/>
    <w:rsid w:val="34F565DC"/>
    <w:rsid w:val="34FA11AB"/>
    <w:rsid w:val="350E3B42"/>
    <w:rsid w:val="352573A0"/>
    <w:rsid w:val="35970487"/>
    <w:rsid w:val="36394BEF"/>
    <w:rsid w:val="36BD137C"/>
    <w:rsid w:val="373533F1"/>
    <w:rsid w:val="37647A49"/>
    <w:rsid w:val="376D2DA2"/>
    <w:rsid w:val="377655FB"/>
    <w:rsid w:val="377D5C98"/>
    <w:rsid w:val="37C32C6C"/>
    <w:rsid w:val="38264821"/>
    <w:rsid w:val="38426E8D"/>
    <w:rsid w:val="386E7489"/>
    <w:rsid w:val="38867D66"/>
    <w:rsid w:val="390E5EBF"/>
    <w:rsid w:val="395D6397"/>
    <w:rsid w:val="39860B3F"/>
    <w:rsid w:val="39B73932"/>
    <w:rsid w:val="39E8099F"/>
    <w:rsid w:val="3A3F654C"/>
    <w:rsid w:val="3A4C202B"/>
    <w:rsid w:val="3AD2467C"/>
    <w:rsid w:val="3B1672AC"/>
    <w:rsid w:val="3B261CFB"/>
    <w:rsid w:val="3B4972B1"/>
    <w:rsid w:val="3C844032"/>
    <w:rsid w:val="3D073351"/>
    <w:rsid w:val="3D6F788E"/>
    <w:rsid w:val="3DB62D6A"/>
    <w:rsid w:val="3DE56C57"/>
    <w:rsid w:val="3DE713D4"/>
    <w:rsid w:val="3E495AD4"/>
    <w:rsid w:val="3E6B3DB3"/>
    <w:rsid w:val="3EBC63BD"/>
    <w:rsid w:val="3EF45B57"/>
    <w:rsid w:val="3F0B4186"/>
    <w:rsid w:val="3F375A43"/>
    <w:rsid w:val="3F8A0269"/>
    <w:rsid w:val="3FB15BEC"/>
    <w:rsid w:val="3FC27CAC"/>
    <w:rsid w:val="400B13AA"/>
    <w:rsid w:val="4054218E"/>
    <w:rsid w:val="40782F31"/>
    <w:rsid w:val="408D0C45"/>
    <w:rsid w:val="40923879"/>
    <w:rsid w:val="40B7508E"/>
    <w:rsid w:val="41362456"/>
    <w:rsid w:val="41B60626"/>
    <w:rsid w:val="41D13F2D"/>
    <w:rsid w:val="41FB7658"/>
    <w:rsid w:val="421040D0"/>
    <w:rsid w:val="425D3850"/>
    <w:rsid w:val="427A6373"/>
    <w:rsid w:val="42D31499"/>
    <w:rsid w:val="432C652E"/>
    <w:rsid w:val="43B92B1D"/>
    <w:rsid w:val="43C03443"/>
    <w:rsid w:val="43DD3287"/>
    <w:rsid w:val="44D76BA0"/>
    <w:rsid w:val="454964D0"/>
    <w:rsid w:val="457C3051"/>
    <w:rsid w:val="45D65FB6"/>
    <w:rsid w:val="45FC3543"/>
    <w:rsid w:val="466256A7"/>
    <w:rsid w:val="46DA7E9F"/>
    <w:rsid w:val="46FE497F"/>
    <w:rsid w:val="47B265C4"/>
    <w:rsid w:val="47C03EE4"/>
    <w:rsid w:val="481C4831"/>
    <w:rsid w:val="483662EE"/>
    <w:rsid w:val="48A71E8C"/>
    <w:rsid w:val="48AB5A85"/>
    <w:rsid w:val="48BA1BBF"/>
    <w:rsid w:val="49507E2D"/>
    <w:rsid w:val="49756198"/>
    <w:rsid w:val="49782864"/>
    <w:rsid w:val="49C777B9"/>
    <w:rsid w:val="49EF47C5"/>
    <w:rsid w:val="4A0F661A"/>
    <w:rsid w:val="4A6425E0"/>
    <w:rsid w:val="4AAE12AF"/>
    <w:rsid w:val="4B217CD3"/>
    <w:rsid w:val="4BAC12E9"/>
    <w:rsid w:val="4BB83729"/>
    <w:rsid w:val="4BCA036B"/>
    <w:rsid w:val="4C71246E"/>
    <w:rsid w:val="4C7B3413"/>
    <w:rsid w:val="4C8D1398"/>
    <w:rsid w:val="4CD314A1"/>
    <w:rsid w:val="4CE27EB0"/>
    <w:rsid w:val="4CEE0420"/>
    <w:rsid w:val="4D5C5088"/>
    <w:rsid w:val="4D8D29B6"/>
    <w:rsid w:val="4DF54BCA"/>
    <w:rsid w:val="4E056C19"/>
    <w:rsid w:val="4E0A3905"/>
    <w:rsid w:val="4E2023C2"/>
    <w:rsid w:val="4E8B08D4"/>
    <w:rsid w:val="4EA62829"/>
    <w:rsid w:val="4EB93965"/>
    <w:rsid w:val="4ED877C8"/>
    <w:rsid w:val="4F2D244E"/>
    <w:rsid w:val="4F331A0F"/>
    <w:rsid w:val="4FF21C3E"/>
    <w:rsid w:val="50A20EC8"/>
    <w:rsid w:val="50E2722A"/>
    <w:rsid w:val="50ED5EA6"/>
    <w:rsid w:val="50FD6AED"/>
    <w:rsid w:val="51612D03"/>
    <w:rsid w:val="51F111D1"/>
    <w:rsid w:val="520A3087"/>
    <w:rsid w:val="52616B1C"/>
    <w:rsid w:val="526D25C3"/>
    <w:rsid w:val="52B4260D"/>
    <w:rsid w:val="52D4387D"/>
    <w:rsid w:val="53296A70"/>
    <w:rsid w:val="534C0CB8"/>
    <w:rsid w:val="538E1DC4"/>
    <w:rsid w:val="53A806D5"/>
    <w:rsid w:val="53BA3890"/>
    <w:rsid w:val="53DF24DA"/>
    <w:rsid w:val="53E326BA"/>
    <w:rsid w:val="54130EBA"/>
    <w:rsid w:val="5434360A"/>
    <w:rsid w:val="54760C48"/>
    <w:rsid w:val="54ED215B"/>
    <w:rsid w:val="55006BAB"/>
    <w:rsid w:val="552F3B91"/>
    <w:rsid w:val="55616041"/>
    <w:rsid w:val="55631609"/>
    <w:rsid w:val="55833339"/>
    <w:rsid w:val="5589151E"/>
    <w:rsid w:val="55A90FF1"/>
    <w:rsid w:val="55A96B1A"/>
    <w:rsid w:val="55B1434A"/>
    <w:rsid w:val="562C3843"/>
    <w:rsid w:val="563F23B2"/>
    <w:rsid w:val="56905D0D"/>
    <w:rsid w:val="56AD4B11"/>
    <w:rsid w:val="56B77A56"/>
    <w:rsid w:val="56C55B5E"/>
    <w:rsid w:val="57BB42AA"/>
    <w:rsid w:val="58E6255C"/>
    <w:rsid w:val="596F4300"/>
    <w:rsid w:val="598A113A"/>
    <w:rsid w:val="59BD4057"/>
    <w:rsid w:val="59C75C28"/>
    <w:rsid w:val="59FF7DE6"/>
    <w:rsid w:val="5A6D4479"/>
    <w:rsid w:val="5A8B6F17"/>
    <w:rsid w:val="5AE816DA"/>
    <w:rsid w:val="5B301566"/>
    <w:rsid w:val="5BE72873"/>
    <w:rsid w:val="5C0D460C"/>
    <w:rsid w:val="5C1C603C"/>
    <w:rsid w:val="5C372FB5"/>
    <w:rsid w:val="5C584080"/>
    <w:rsid w:val="5CFB5EAA"/>
    <w:rsid w:val="5D6F1A49"/>
    <w:rsid w:val="5DA402F0"/>
    <w:rsid w:val="5E224037"/>
    <w:rsid w:val="5E3B2262"/>
    <w:rsid w:val="5EA11AC8"/>
    <w:rsid w:val="5F2B2A77"/>
    <w:rsid w:val="5FA8056B"/>
    <w:rsid w:val="60843687"/>
    <w:rsid w:val="60E7015E"/>
    <w:rsid w:val="61184241"/>
    <w:rsid w:val="611867D5"/>
    <w:rsid w:val="617609B8"/>
    <w:rsid w:val="6230714F"/>
    <w:rsid w:val="624D71A8"/>
    <w:rsid w:val="62625436"/>
    <w:rsid w:val="62782477"/>
    <w:rsid w:val="630755A9"/>
    <w:rsid w:val="63260125"/>
    <w:rsid w:val="634A0DD6"/>
    <w:rsid w:val="63530473"/>
    <w:rsid w:val="639B6638"/>
    <w:rsid w:val="63C67212"/>
    <w:rsid w:val="64791478"/>
    <w:rsid w:val="65003487"/>
    <w:rsid w:val="65200BA4"/>
    <w:rsid w:val="6546685C"/>
    <w:rsid w:val="65496236"/>
    <w:rsid w:val="65A27E70"/>
    <w:rsid w:val="667078EB"/>
    <w:rsid w:val="667908CF"/>
    <w:rsid w:val="66794CA9"/>
    <w:rsid w:val="66E53E53"/>
    <w:rsid w:val="66F145A6"/>
    <w:rsid w:val="674F4D36"/>
    <w:rsid w:val="676615B3"/>
    <w:rsid w:val="67F307F2"/>
    <w:rsid w:val="683055A2"/>
    <w:rsid w:val="68525518"/>
    <w:rsid w:val="68B95597"/>
    <w:rsid w:val="69004013"/>
    <w:rsid w:val="6934747A"/>
    <w:rsid w:val="694A2693"/>
    <w:rsid w:val="695E614D"/>
    <w:rsid w:val="69C16861"/>
    <w:rsid w:val="69CC12FA"/>
    <w:rsid w:val="69CC2FEA"/>
    <w:rsid w:val="6A0445F0"/>
    <w:rsid w:val="6A1F43C9"/>
    <w:rsid w:val="6A8348AD"/>
    <w:rsid w:val="6ACA155E"/>
    <w:rsid w:val="6AFC6E23"/>
    <w:rsid w:val="6B073DF6"/>
    <w:rsid w:val="6B0D3978"/>
    <w:rsid w:val="6B4D1601"/>
    <w:rsid w:val="6B72229B"/>
    <w:rsid w:val="6B8204BE"/>
    <w:rsid w:val="6BB563CD"/>
    <w:rsid w:val="6BDA1CC5"/>
    <w:rsid w:val="6BDB3A77"/>
    <w:rsid w:val="6C027255"/>
    <w:rsid w:val="6C1F1BB5"/>
    <w:rsid w:val="6C4E46B2"/>
    <w:rsid w:val="6C6D0B73"/>
    <w:rsid w:val="6C90660F"/>
    <w:rsid w:val="6D512242"/>
    <w:rsid w:val="6DB620A5"/>
    <w:rsid w:val="6DF74501"/>
    <w:rsid w:val="6E0C37E6"/>
    <w:rsid w:val="6E217153"/>
    <w:rsid w:val="6E602011"/>
    <w:rsid w:val="6E7449D1"/>
    <w:rsid w:val="6EA14B04"/>
    <w:rsid w:val="6EB96263"/>
    <w:rsid w:val="6F257B75"/>
    <w:rsid w:val="6F5C6C7D"/>
    <w:rsid w:val="6F71097A"/>
    <w:rsid w:val="6F914B78"/>
    <w:rsid w:val="6FCF744E"/>
    <w:rsid w:val="6FEA0B0A"/>
    <w:rsid w:val="6FEF12D1"/>
    <w:rsid w:val="6FFD3FBC"/>
    <w:rsid w:val="7018321A"/>
    <w:rsid w:val="70187047"/>
    <w:rsid w:val="70421928"/>
    <w:rsid w:val="70C1148D"/>
    <w:rsid w:val="71902C0D"/>
    <w:rsid w:val="72446832"/>
    <w:rsid w:val="724F2AC9"/>
    <w:rsid w:val="725D4F25"/>
    <w:rsid w:val="726C5429"/>
    <w:rsid w:val="72760055"/>
    <w:rsid w:val="728C4044"/>
    <w:rsid w:val="72B71817"/>
    <w:rsid w:val="734168B5"/>
    <w:rsid w:val="74314E96"/>
    <w:rsid w:val="74416441"/>
    <w:rsid w:val="744F471E"/>
    <w:rsid w:val="74A8783F"/>
    <w:rsid w:val="74CD713E"/>
    <w:rsid w:val="75371D1E"/>
    <w:rsid w:val="7537728D"/>
    <w:rsid w:val="757F3A75"/>
    <w:rsid w:val="76312A21"/>
    <w:rsid w:val="76366479"/>
    <w:rsid w:val="76457E2C"/>
    <w:rsid w:val="76CF58C2"/>
    <w:rsid w:val="777059BB"/>
    <w:rsid w:val="777D59E2"/>
    <w:rsid w:val="779C1F25"/>
    <w:rsid w:val="77B842A6"/>
    <w:rsid w:val="78202F3D"/>
    <w:rsid w:val="78743289"/>
    <w:rsid w:val="78B33DB1"/>
    <w:rsid w:val="78DD498A"/>
    <w:rsid w:val="78DF505F"/>
    <w:rsid w:val="78E214E9"/>
    <w:rsid w:val="792B7D94"/>
    <w:rsid w:val="79351486"/>
    <w:rsid w:val="795D3D1D"/>
    <w:rsid w:val="7A3D1D82"/>
    <w:rsid w:val="7ADC280A"/>
    <w:rsid w:val="7B2745E3"/>
    <w:rsid w:val="7B690757"/>
    <w:rsid w:val="7B777538"/>
    <w:rsid w:val="7BAC4AE8"/>
    <w:rsid w:val="7BE70460"/>
    <w:rsid w:val="7C2D79D7"/>
    <w:rsid w:val="7C6C2355"/>
    <w:rsid w:val="7C727ADF"/>
    <w:rsid w:val="7CE107C1"/>
    <w:rsid w:val="7D16490F"/>
    <w:rsid w:val="7D611E21"/>
    <w:rsid w:val="7D751B04"/>
    <w:rsid w:val="7DD87CEE"/>
    <w:rsid w:val="7E33329E"/>
    <w:rsid w:val="7E54159B"/>
    <w:rsid w:val="7EF70770"/>
    <w:rsid w:val="7F162EF3"/>
    <w:rsid w:val="7F363046"/>
    <w:rsid w:val="7F9D70F1"/>
    <w:rsid w:val="7FC3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71"/>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1"/>
    <w:link w:val="72"/>
    <w:unhideWhenUsed/>
    <w:qFormat/>
    <w:uiPriority w:val="9"/>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link w:val="73"/>
    <w:unhideWhenUsed/>
    <w:qFormat/>
    <w:uiPriority w:val="9"/>
    <w:pPr>
      <w:spacing w:line="560" w:lineRule="exact"/>
      <w:jc w:val="center"/>
      <w:outlineLvl w:val="2"/>
    </w:pPr>
    <w:rPr>
      <w:rFonts w:ascii="方正小标宋_GBK" w:hAnsi="仿宋" w:eastAsia="方正小标宋_GBK"/>
      <w:sz w:val="36"/>
      <w:szCs w:val="36"/>
    </w:rPr>
  </w:style>
  <w:style w:type="paragraph" w:styleId="2">
    <w:name w:val="heading 4"/>
    <w:basedOn w:val="1"/>
    <w:next w:val="1"/>
    <w:link w:val="74"/>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75"/>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76"/>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77"/>
    <w:semiHidden/>
    <w:unhideWhenUsed/>
    <w:qFormat/>
    <w:uiPriority w:val="9"/>
    <w:pPr>
      <w:numPr>
        <w:ilvl w:val="6"/>
        <w:numId w:val="1"/>
      </w:numPr>
      <w:spacing w:before="240" w:after="60"/>
      <w:outlineLvl w:val="6"/>
    </w:pPr>
  </w:style>
  <w:style w:type="paragraph" w:styleId="9">
    <w:name w:val="heading 8"/>
    <w:basedOn w:val="1"/>
    <w:next w:val="1"/>
    <w:link w:val="78"/>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79"/>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qFormat/>
    <w:uiPriority w:val="99"/>
    <w:pPr>
      <w:ind w:firstLine="420"/>
    </w:pPr>
  </w:style>
  <w:style w:type="paragraph" w:styleId="12">
    <w:name w:val="Body Text First Indent 2"/>
    <w:basedOn w:val="13"/>
    <w:next w:val="11"/>
    <w:qFormat/>
    <w:uiPriority w:val="0"/>
    <w:pPr>
      <w:ind w:firstLine="420"/>
    </w:pPr>
  </w:style>
  <w:style w:type="paragraph" w:styleId="13">
    <w:name w:val="Body Text Indent"/>
    <w:basedOn w:val="1"/>
    <w:next w:val="1"/>
    <w:qFormat/>
    <w:uiPriority w:val="99"/>
    <w:pPr>
      <w:spacing w:after="120"/>
      <w:ind w:left="420" w:leftChars="200"/>
    </w:pPr>
    <w:rPr>
      <w:rFonts w:cs="Times New Roman"/>
      <w:kern w:val="0"/>
      <w:sz w:val="20"/>
    </w:rPr>
  </w:style>
  <w:style w:type="paragraph" w:styleId="14">
    <w:name w:val="caption"/>
    <w:basedOn w:val="1"/>
    <w:next w:val="1"/>
    <w:semiHidden/>
    <w:unhideWhenUsed/>
    <w:qFormat/>
    <w:uiPriority w:val="35"/>
    <w:rPr>
      <w:rFonts w:eastAsia="黑体" w:asciiTheme="majorHAnsi" w:hAnsiTheme="majorHAnsi" w:cstheme="majorBidi"/>
      <w:sz w:val="20"/>
      <w:szCs w:val="20"/>
    </w:rPr>
  </w:style>
  <w:style w:type="paragraph" w:styleId="15">
    <w:name w:val="Document Map"/>
    <w:basedOn w:val="1"/>
    <w:link w:val="103"/>
    <w:semiHidden/>
    <w:unhideWhenUsed/>
    <w:qFormat/>
    <w:uiPriority w:val="99"/>
    <w:pPr>
      <w:spacing w:line="400" w:lineRule="exact"/>
      <w:jc w:val="both"/>
    </w:pPr>
    <w:rPr>
      <w:rFonts w:ascii="宋体" w:hAnsi="Calibri Light" w:eastAsia="宋体" w:cs="Calibri Light"/>
      <w:kern w:val="2"/>
      <w:sz w:val="18"/>
      <w:szCs w:val="18"/>
    </w:rPr>
  </w:style>
  <w:style w:type="paragraph" w:styleId="16">
    <w:name w:val="annotation text"/>
    <w:basedOn w:val="1"/>
    <w:link w:val="95"/>
    <w:unhideWhenUsed/>
    <w:qFormat/>
    <w:uiPriority w:val="99"/>
    <w:pPr>
      <w:spacing w:line="400" w:lineRule="exact"/>
    </w:pPr>
    <w:rPr>
      <w:rFonts w:ascii="Calibri Light" w:hAnsi="Calibri Light" w:eastAsia="华文仿宋" w:cs="Calibri Light"/>
      <w:kern w:val="2"/>
      <w:sz w:val="28"/>
      <w:szCs w:val="28"/>
    </w:rPr>
  </w:style>
  <w:style w:type="paragraph" w:styleId="17">
    <w:name w:val="Body Text"/>
    <w:basedOn w:val="1"/>
    <w:next w:val="1"/>
    <w:qFormat/>
    <w:uiPriority w:val="99"/>
    <w:rPr>
      <w:rFonts w:cs="Times New Roman"/>
      <w:kern w:val="0"/>
      <w:sz w:val="20"/>
    </w:rPr>
  </w:style>
  <w:style w:type="paragraph" w:styleId="18">
    <w:name w:val="toc 3"/>
    <w:basedOn w:val="1"/>
    <w:next w:val="1"/>
    <w:semiHidden/>
    <w:unhideWhenUsed/>
    <w:qFormat/>
    <w:uiPriority w:val="39"/>
    <w:pPr>
      <w:ind w:left="840" w:leftChars="400"/>
    </w:pPr>
  </w:style>
  <w:style w:type="paragraph" w:styleId="19">
    <w:name w:val="Plain Text"/>
    <w:basedOn w:val="1"/>
    <w:qFormat/>
    <w:uiPriority w:val="99"/>
    <w:pPr>
      <w:spacing w:line="324" w:lineRule="auto"/>
    </w:pPr>
    <w:rPr>
      <w:rFonts w:ascii="宋体" w:hAnsi="Courier New" w:cs="Times New Roman"/>
      <w:kern w:val="0"/>
      <w:sz w:val="20"/>
    </w:rPr>
  </w:style>
  <w:style w:type="paragraph" w:styleId="20">
    <w:name w:val="Date"/>
    <w:basedOn w:val="1"/>
    <w:next w:val="1"/>
    <w:link w:val="68"/>
    <w:semiHidden/>
    <w:unhideWhenUsed/>
    <w:qFormat/>
    <w:uiPriority w:val="99"/>
    <w:pPr>
      <w:ind w:left="100" w:leftChars="2500"/>
    </w:pPr>
  </w:style>
  <w:style w:type="paragraph" w:styleId="21">
    <w:name w:val="Balloon Text"/>
    <w:basedOn w:val="1"/>
    <w:link w:val="94"/>
    <w:semiHidden/>
    <w:unhideWhenUsed/>
    <w:qFormat/>
    <w:uiPriority w:val="99"/>
    <w:rPr>
      <w:sz w:val="18"/>
      <w:szCs w:val="18"/>
    </w:rPr>
  </w:style>
  <w:style w:type="paragraph" w:styleId="22">
    <w:name w:val="footer"/>
    <w:basedOn w:val="1"/>
    <w:link w:val="70"/>
    <w:unhideWhenUsed/>
    <w:qFormat/>
    <w:uiPriority w:val="99"/>
    <w:pPr>
      <w:tabs>
        <w:tab w:val="center" w:pos="4153"/>
        <w:tab w:val="right" w:pos="8306"/>
      </w:tabs>
      <w:snapToGrid w:val="0"/>
      <w:spacing w:line="240" w:lineRule="atLeast"/>
    </w:pPr>
    <w:rPr>
      <w:sz w:val="18"/>
      <w:szCs w:val="18"/>
    </w:rPr>
  </w:style>
  <w:style w:type="paragraph" w:styleId="23">
    <w:name w:val="header"/>
    <w:basedOn w:val="1"/>
    <w:link w:val="6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5">
    <w:name w:val="Subtitle"/>
    <w:basedOn w:val="1"/>
    <w:next w:val="1"/>
    <w:link w:val="81"/>
    <w:qFormat/>
    <w:uiPriority w:val="11"/>
    <w:pPr>
      <w:keepNext/>
      <w:spacing w:before="50" w:beforeLines="50" w:after="50" w:afterLines="50"/>
      <w:jc w:val="center"/>
      <w:outlineLvl w:val="1"/>
    </w:pPr>
    <w:rPr>
      <w:rFonts w:ascii="Calibri" w:hAnsi="Calibri" w:eastAsia="黑体" w:cstheme="majorBidi"/>
      <w:sz w:val="32"/>
    </w:rPr>
  </w:style>
  <w:style w:type="paragraph" w:styleId="26">
    <w:name w:val="toc 2"/>
    <w:basedOn w:val="1"/>
    <w:next w:val="1"/>
    <w:semiHidden/>
    <w:unhideWhenUsed/>
    <w:qFormat/>
    <w:uiPriority w:val="39"/>
    <w:pPr>
      <w:ind w:left="420" w:leftChars="200"/>
    </w:p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link w:val="80"/>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9">
    <w:name w:val="annotation subject"/>
    <w:basedOn w:val="16"/>
    <w:next w:val="16"/>
    <w:link w:val="102"/>
    <w:semiHidden/>
    <w:unhideWhenUsed/>
    <w:qFormat/>
    <w:uiPriority w:val="99"/>
    <w:rPr>
      <w:b/>
      <w:bCs/>
    </w:rPr>
  </w:style>
  <w:style w:type="paragraph" w:styleId="30">
    <w:name w:val="Body Text First Indent"/>
    <w:basedOn w:val="17"/>
    <w:qFormat/>
    <w:uiPriority w:val="0"/>
    <w:pPr>
      <w:spacing w:line="300" w:lineRule="auto"/>
      <w:ind w:firstLine="602"/>
      <w:jc w:val="left"/>
    </w:p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qFormat/>
    <w:uiPriority w:val="0"/>
    <w:rPr>
      <w:rFonts w:ascii="Times New Roman" w:hAnsi="Times New Roman" w:eastAsia="宋体" w:cs="Times New Roman"/>
    </w:rPr>
  </w:style>
  <w:style w:type="character" w:styleId="36">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7">
    <w:name w:val="Emphasis"/>
    <w:basedOn w:val="33"/>
    <w:qFormat/>
    <w:uiPriority w:val="20"/>
    <w:rPr>
      <w:rFonts w:asciiTheme="minorHAnsi" w:hAnsiTheme="minorHAnsi"/>
      <w:b/>
      <w:i/>
      <w:iCs/>
    </w:rPr>
  </w:style>
  <w:style w:type="character" w:styleId="38">
    <w:name w:val="HTML Definition"/>
    <w:basedOn w:val="33"/>
    <w:semiHidden/>
    <w:unhideWhenUsed/>
    <w:qFormat/>
    <w:uiPriority w:val="99"/>
    <w:rPr>
      <w:color w:val="FFFFFF"/>
      <w:shd w:val="clear" w:fill="048FD2"/>
    </w:rPr>
  </w:style>
  <w:style w:type="character" w:styleId="39">
    <w:name w:val="HTML Typewriter"/>
    <w:basedOn w:val="33"/>
    <w:semiHidden/>
    <w:unhideWhenUsed/>
    <w:qFormat/>
    <w:uiPriority w:val="99"/>
    <w:rPr>
      <w:rFonts w:hint="default" w:ascii="monospace" w:hAnsi="monospace" w:eastAsia="monospace" w:cs="monospace"/>
      <w:sz w:val="20"/>
    </w:rPr>
  </w:style>
  <w:style w:type="character" w:styleId="40">
    <w:name w:val="HTML Acronym"/>
    <w:basedOn w:val="33"/>
    <w:semiHidden/>
    <w:unhideWhenUsed/>
    <w:qFormat/>
    <w:uiPriority w:val="99"/>
  </w:style>
  <w:style w:type="character" w:styleId="41">
    <w:name w:val="HTML Variable"/>
    <w:basedOn w:val="33"/>
    <w:semiHidden/>
    <w:unhideWhenUsed/>
    <w:qFormat/>
    <w:uiPriority w:val="99"/>
  </w:style>
  <w:style w:type="character" w:styleId="42">
    <w:name w:val="Hyperlink"/>
    <w:basedOn w:val="33"/>
    <w:unhideWhenUsed/>
    <w:qFormat/>
    <w:uiPriority w:val="99"/>
    <w:rPr>
      <w:color w:val="0563C1" w:themeColor="hyperlink"/>
      <w:u w:val="single"/>
      <w14:textFill>
        <w14:solidFill>
          <w14:schemeClr w14:val="hlink"/>
        </w14:solidFill>
      </w14:textFill>
    </w:rPr>
  </w:style>
  <w:style w:type="character" w:styleId="43">
    <w:name w:val="HTML Code"/>
    <w:basedOn w:val="33"/>
    <w:semiHidden/>
    <w:unhideWhenUsed/>
    <w:qFormat/>
    <w:uiPriority w:val="99"/>
    <w:rPr>
      <w:rFonts w:hint="default" w:ascii="monospace" w:hAnsi="monospace" w:eastAsia="monospace" w:cs="monospace"/>
      <w:sz w:val="20"/>
    </w:rPr>
  </w:style>
  <w:style w:type="character" w:styleId="44">
    <w:name w:val="annotation reference"/>
    <w:basedOn w:val="33"/>
    <w:semiHidden/>
    <w:unhideWhenUsed/>
    <w:qFormat/>
    <w:uiPriority w:val="99"/>
    <w:rPr>
      <w:sz w:val="21"/>
      <w:szCs w:val="21"/>
    </w:rPr>
  </w:style>
  <w:style w:type="character" w:styleId="45">
    <w:name w:val="HTML Cite"/>
    <w:basedOn w:val="33"/>
    <w:semiHidden/>
    <w:unhideWhenUsed/>
    <w:qFormat/>
    <w:uiPriority w:val="99"/>
  </w:style>
  <w:style w:type="character" w:styleId="46">
    <w:name w:val="HTML Keyboard"/>
    <w:basedOn w:val="33"/>
    <w:semiHidden/>
    <w:unhideWhenUsed/>
    <w:qFormat/>
    <w:uiPriority w:val="99"/>
    <w:rPr>
      <w:rFonts w:ascii="monospace" w:hAnsi="monospace" w:eastAsia="monospace" w:cs="monospace"/>
      <w:sz w:val="20"/>
    </w:rPr>
  </w:style>
  <w:style w:type="character" w:styleId="47">
    <w:name w:val="HTML Sample"/>
    <w:basedOn w:val="33"/>
    <w:semiHidden/>
    <w:unhideWhenUsed/>
    <w:qFormat/>
    <w:uiPriority w:val="99"/>
    <w:rPr>
      <w:rFonts w:hint="default" w:ascii="monospace" w:hAnsi="monospace" w:eastAsia="monospace" w:cs="monospace"/>
    </w:rPr>
  </w:style>
  <w:style w:type="paragraph" w:customStyle="1" w:styleId="48">
    <w:name w:val="※封面大标题"/>
    <w:basedOn w:val="1"/>
    <w:next w:val="1"/>
    <w:qFormat/>
    <w:uiPriority w:val="0"/>
    <w:pPr>
      <w:jc w:val="center"/>
    </w:pPr>
    <w:rPr>
      <w:rFonts w:ascii="华文中宋" w:hAnsi="华文中宋" w:eastAsia="华文中宋"/>
      <w:sz w:val="96"/>
      <w:szCs w:val="96"/>
    </w:rPr>
  </w:style>
  <w:style w:type="paragraph" w:customStyle="1" w:styleId="49">
    <w:name w:val="※封面题颌"/>
    <w:basedOn w:val="1"/>
    <w:next w:val="1"/>
    <w:qFormat/>
    <w:uiPriority w:val="0"/>
    <w:pPr>
      <w:jc w:val="center"/>
    </w:pPr>
    <w:rPr>
      <w:rFonts w:ascii="Calibri Light" w:hAnsi="Calibri Light" w:eastAsia="华文仿宋"/>
      <w:sz w:val="36"/>
      <w:szCs w:val="36"/>
    </w:rPr>
  </w:style>
  <w:style w:type="paragraph" w:customStyle="1" w:styleId="50">
    <w:name w:val="※封面题眉"/>
    <w:basedOn w:val="1"/>
    <w:next w:val="48"/>
    <w:qFormat/>
    <w:uiPriority w:val="0"/>
    <w:pPr>
      <w:jc w:val="center"/>
    </w:pPr>
    <w:rPr>
      <w:rFonts w:ascii="华文仿宋" w:hAnsi="华文仿宋" w:eastAsia="华文仿宋"/>
      <w:sz w:val="52"/>
      <w:szCs w:val="28"/>
    </w:rPr>
  </w:style>
  <w:style w:type="paragraph" w:customStyle="1" w:styleId="51">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52">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3">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54">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55">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56">
    <w:name w:val="※小标题 一"/>
    <w:basedOn w:val="55"/>
    <w:next w:val="55"/>
    <w:qFormat/>
    <w:uiPriority w:val="0"/>
    <w:pPr>
      <w:spacing w:before="120" w:line="240" w:lineRule="auto"/>
      <w:outlineLvl w:val="2"/>
    </w:pPr>
    <w:rPr>
      <w:b/>
      <w:color w:val="203864" w:themeColor="accent5" w:themeShade="80"/>
      <w:sz w:val="32"/>
    </w:rPr>
  </w:style>
  <w:style w:type="paragraph" w:customStyle="1" w:styleId="57">
    <w:name w:val="※小标题（1）"/>
    <w:basedOn w:val="1"/>
    <w:next w:val="55"/>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8">
    <w:name w:val="※小标题（一）"/>
    <w:basedOn w:val="1"/>
    <w:next w:val="55"/>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9">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60">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61">
    <w:name w:val="※页眉"/>
    <w:basedOn w:val="55"/>
    <w:qFormat/>
    <w:uiPriority w:val="0"/>
    <w:pPr>
      <w:pBdr>
        <w:bottom w:val="single" w:color="auto" w:sz="4" w:space="1"/>
      </w:pBdr>
      <w:spacing w:line="240" w:lineRule="atLeast"/>
      <w:jc w:val="right"/>
    </w:pPr>
    <w:rPr>
      <w:rFonts w:ascii="宋体" w:hAnsi="宋体" w:eastAsia="宋体"/>
      <w:sz w:val="18"/>
    </w:rPr>
  </w:style>
  <w:style w:type="paragraph" w:customStyle="1" w:styleId="62">
    <w:name w:val="※章节标题（第X章）"/>
    <w:basedOn w:val="1"/>
    <w:qFormat/>
    <w:uiPriority w:val="0"/>
    <w:pPr>
      <w:jc w:val="center"/>
      <w:outlineLvl w:val="0"/>
    </w:pPr>
    <w:rPr>
      <w:rFonts w:ascii="Calibri Light" w:hAnsi="Calibri Light" w:eastAsia="黑体"/>
      <w:sz w:val="36"/>
      <w:szCs w:val="28"/>
    </w:rPr>
  </w:style>
  <w:style w:type="paragraph" w:customStyle="1" w:styleId="63">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64">
    <w:name w:val="※章节标题（第Z部分分项）"/>
    <w:basedOn w:val="63"/>
    <w:qFormat/>
    <w:uiPriority w:val="0"/>
    <w:pPr>
      <w:outlineLvl w:val="2"/>
    </w:pPr>
  </w:style>
  <w:style w:type="paragraph" w:customStyle="1" w:styleId="65">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66">
    <w:name w:val="※正文（缩进2）"/>
    <w:basedOn w:val="55"/>
    <w:qFormat/>
    <w:uiPriority w:val="0"/>
    <w:pPr>
      <w:ind w:firstLine="200" w:firstLineChars="200"/>
    </w:pPr>
  </w:style>
  <w:style w:type="paragraph" w:customStyle="1" w:styleId="67">
    <w:name w:val="※正文（缩进4）"/>
    <w:basedOn w:val="55"/>
    <w:qFormat/>
    <w:uiPriority w:val="0"/>
    <w:pPr>
      <w:ind w:firstLine="400" w:firstLineChars="400"/>
    </w:pPr>
  </w:style>
  <w:style w:type="character" w:customStyle="1" w:styleId="68">
    <w:name w:val="日期 字符"/>
    <w:basedOn w:val="33"/>
    <w:link w:val="20"/>
    <w:semiHidden/>
    <w:qFormat/>
    <w:uiPriority w:val="99"/>
    <w:rPr>
      <w:rFonts w:ascii="华文仿宋" w:hAnsi="华文仿宋" w:eastAsia="华文仿宋"/>
      <w:sz w:val="28"/>
      <w:szCs w:val="28"/>
    </w:rPr>
  </w:style>
  <w:style w:type="character" w:customStyle="1" w:styleId="69">
    <w:name w:val="页眉 字符"/>
    <w:basedOn w:val="33"/>
    <w:link w:val="23"/>
    <w:qFormat/>
    <w:uiPriority w:val="0"/>
    <w:rPr>
      <w:rFonts w:ascii="华文仿宋" w:hAnsi="华文仿宋" w:eastAsia="华文仿宋"/>
      <w:sz w:val="18"/>
      <w:szCs w:val="18"/>
    </w:rPr>
  </w:style>
  <w:style w:type="character" w:customStyle="1" w:styleId="70">
    <w:name w:val="页脚 字符"/>
    <w:basedOn w:val="33"/>
    <w:link w:val="22"/>
    <w:qFormat/>
    <w:uiPriority w:val="99"/>
    <w:rPr>
      <w:rFonts w:ascii="华文仿宋" w:hAnsi="华文仿宋" w:eastAsia="华文仿宋"/>
      <w:sz w:val="18"/>
      <w:szCs w:val="18"/>
    </w:rPr>
  </w:style>
  <w:style w:type="character" w:customStyle="1" w:styleId="71">
    <w:name w:val="标题 1 字符"/>
    <w:basedOn w:val="33"/>
    <w:link w:val="3"/>
    <w:qFormat/>
    <w:uiPriority w:val="9"/>
    <w:rPr>
      <w:rFonts w:ascii="方正小标宋_GBK" w:hAnsi="仿宋" w:eastAsia="方正小标宋_GBK"/>
      <w:sz w:val="44"/>
      <w:szCs w:val="44"/>
    </w:rPr>
  </w:style>
  <w:style w:type="character" w:customStyle="1" w:styleId="72">
    <w:name w:val="标题 2 字符"/>
    <w:basedOn w:val="33"/>
    <w:link w:val="4"/>
    <w:qFormat/>
    <w:uiPriority w:val="9"/>
    <w:rPr>
      <w:rFonts w:ascii="楷体" w:hAnsi="楷体" w:eastAsia="黑体"/>
      <w:sz w:val="32"/>
      <w:szCs w:val="32"/>
    </w:rPr>
  </w:style>
  <w:style w:type="character" w:customStyle="1" w:styleId="73">
    <w:name w:val="标题 3 字符"/>
    <w:basedOn w:val="33"/>
    <w:link w:val="5"/>
    <w:qFormat/>
    <w:uiPriority w:val="9"/>
    <w:rPr>
      <w:rFonts w:ascii="方正小标宋_GBK" w:hAnsi="仿宋" w:eastAsia="方正小标宋_GBK"/>
      <w:sz w:val="36"/>
      <w:szCs w:val="36"/>
    </w:rPr>
  </w:style>
  <w:style w:type="character" w:customStyle="1" w:styleId="74">
    <w:name w:val="标题 4 字符"/>
    <w:basedOn w:val="33"/>
    <w:link w:val="2"/>
    <w:semiHidden/>
    <w:qFormat/>
    <w:uiPriority w:val="9"/>
    <w:rPr>
      <w:rFonts w:cstheme="majorBidi"/>
      <w:b/>
      <w:bCs/>
      <w:sz w:val="28"/>
      <w:szCs w:val="28"/>
    </w:rPr>
  </w:style>
  <w:style w:type="character" w:customStyle="1" w:styleId="75">
    <w:name w:val="标题 5 字符"/>
    <w:basedOn w:val="33"/>
    <w:link w:val="6"/>
    <w:semiHidden/>
    <w:qFormat/>
    <w:uiPriority w:val="9"/>
    <w:rPr>
      <w:b/>
      <w:bCs/>
      <w:i/>
      <w:iCs/>
      <w:sz w:val="26"/>
      <w:szCs w:val="26"/>
    </w:rPr>
  </w:style>
  <w:style w:type="character" w:customStyle="1" w:styleId="76">
    <w:name w:val="标题 6 字符"/>
    <w:basedOn w:val="33"/>
    <w:link w:val="7"/>
    <w:semiHidden/>
    <w:qFormat/>
    <w:uiPriority w:val="9"/>
    <w:rPr>
      <w:rFonts w:cstheme="majorBidi"/>
      <w:b/>
      <w:bCs/>
    </w:rPr>
  </w:style>
  <w:style w:type="character" w:customStyle="1" w:styleId="77">
    <w:name w:val="标题 7 字符"/>
    <w:basedOn w:val="33"/>
    <w:link w:val="8"/>
    <w:semiHidden/>
    <w:qFormat/>
    <w:uiPriority w:val="9"/>
    <w:rPr>
      <w:sz w:val="24"/>
      <w:szCs w:val="24"/>
    </w:rPr>
  </w:style>
  <w:style w:type="character" w:customStyle="1" w:styleId="78">
    <w:name w:val="标题 8 字符"/>
    <w:basedOn w:val="33"/>
    <w:link w:val="9"/>
    <w:semiHidden/>
    <w:qFormat/>
    <w:uiPriority w:val="9"/>
    <w:rPr>
      <w:rFonts w:cstheme="majorBidi"/>
      <w:i/>
      <w:iCs/>
      <w:sz w:val="24"/>
      <w:szCs w:val="24"/>
    </w:rPr>
  </w:style>
  <w:style w:type="character" w:customStyle="1" w:styleId="79">
    <w:name w:val="标题 9 字符"/>
    <w:basedOn w:val="33"/>
    <w:link w:val="10"/>
    <w:semiHidden/>
    <w:qFormat/>
    <w:uiPriority w:val="9"/>
    <w:rPr>
      <w:rFonts w:asciiTheme="majorHAnsi" w:hAnsiTheme="majorHAnsi" w:eastAsiaTheme="majorEastAsia" w:cstheme="majorBidi"/>
    </w:rPr>
  </w:style>
  <w:style w:type="character" w:customStyle="1" w:styleId="80">
    <w:name w:val="标题 字符"/>
    <w:basedOn w:val="33"/>
    <w:link w:val="28"/>
    <w:qFormat/>
    <w:uiPriority w:val="10"/>
    <w:rPr>
      <w:rFonts w:asciiTheme="majorHAnsi" w:hAnsiTheme="majorHAnsi" w:eastAsiaTheme="majorEastAsia" w:cstheme="majorBidi"/>
      <w:b/>
      <w:bCs/>
      <w:kern w:val="28"/>
      <w:sz w:val="32"/>
      <w:szCs w:val="32"/>
    </w:rPr>
  </w:style>
  <w:style w:type="character" w:customStyle="1" w:styleId="81">
    <w:name w:val="副标题 字符"/>
    <w:basedOn w:val="33"/>
    <w:link w:val="25"/>
    <w:qFormat/>
    <w:uiPriority w:val="11"/>
    <w:rPr>
      <w:rFonts w:ascii="Calibri" w:hAnsi="Calibri" w:eastAsia="黑体" w:cstheme="majorBidi"/>
      <w:sz w:val="32"/>
      <w:szCs w:val="24"/>
    </w:rPr>
  </w:style>
  <w:style w:type="paragraph" w:styleId="82">
    <w:name w:val="No Spacing"/>
    <w:basedOn w:val="1"/>
    <w:qFormat/>
    <w:uiPriority w:val="1"/>
    <w:rPr>
      <w:szCs w:val="32"/>
    </w:rPr>
  </w:style>
  <w:style w:type="paragraph" w:styleId="83">
    <w:name w:val="List Paragraph"/>
    <w:basedOn w:val="1"/>
    <w:qFormat/>
    <w:uiPriority w:val="0"/>
    <w:pPr>
      <w:ind w:left="720"/>
      <w:contextualSpacing/>
    </w:pPr>
  </w:style>
  <w:style w:type="paragraph" w:styleId="84">
    <w:name w:val="Quote"/>
    <w:basedOn w:val="1"/>
    <w:next w:val="1"/>
    <w:link w:val="85"/>
    <w:qFormat/>
    <w:uiPriority w:val="29"/>
    <w:rPr>
      <w:i/>
    </w:rPr>
  </w:style>
  <w:style w:type="character" w:customStyle="1" w:styleId="85">
    <w:name w:val="引用 字符"/>
    <w:basedOn w:val="33"/>
    <w:link w:val="84"/>
    <w:qFormat/>
    <w:uiPriority w:val="29"/>
    <w:rPr>
      <w:i/>
      <w:sz w:val="24"/>
      <w:szCs w:val="24"/>
    </w:rPr>
  </w:style>
  <w:style w:type="paragraph" w:styleId="86">
    <w:name w:val="Intense Quote"/>
    <w:basedOn w:val="1"/>
    <w:next w:val="1"/>
    <w:link w:val="87"/>
    <w:qFormat/>
    <w:uiPriority w:val="30"/>
    <w:pPr>
      <w:ind w:left="720" w:right="720"/>
    </w:pPr>
    <w:rPr>
      <w:b/>
      <w:i/>
      <w:szCs w:val="22"/>
    </w:rPr>
  </w:style>
  <w:style w:type="character" w:customStyle="1" w:styleId="87">
    <w:name w:val="明显引用 字符"/>
    <w:basedOn w:val="33"/>
    <w:link w:val="86"/>
    <w:qFormat/>
    <w:uiPriority w:val="30"/>
    <w:rPr>
      <w:b/>
      <w:i/>
      <w:sz w:val="24"/>
    </w:rPr>
  </w:style>
  <w:style w:type="character" w:customStyle="1" w:styleId="88">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89">
    <w:name w:val="Intense Emphasis"/>
    <w:basedOn w:val="33"/>
    <w:qFormat/>
    <w:uiPriority w:val="21"/>
    <w:rPr>
      <w:b/>
      <w:i/>
      <w:sz w:val="24"/>
      <w:szCs w:val="24"/>
      <w:u w:val="single"/>
    </w:rPr>
  </w:style>
  <w:style w:type="character" w:customStyle="1" w:styleId="90">
    <w:name w:val="Subtle Reference"/>
    <w:basedOn w:val="33"/>
    <w:qFormat/>
    <w:uiPriority w:val="31"/>
    <w:rPr>
      <w:sz w:val="24"/>
      <w:szCs w:val="24"/>
      <w:u w:val="single"/>
    </w:rPr>
  </w:style>
  <w:style w:type="character" w:customStyle="1" w:styleId="91">
    <w:name w:val="Intense Reference"/>
    <w:basedOn w:val="33"/>
    <w:qFormat/>
    <w:uiPriority w:val="32"/>
    <w:rPr>
      <w:b/>
      <w:sz w:val="24"/>
      <w:u w:val="single"/>
    </w:rPr>
  </w:style>
  <w:style w:type="character" w:customStyle="1" w:styleId="92">
    <w:name w:val="Book Title"/>
    <w:basedOn w:val="33"/>
    <w:qFormat/>
    <w:uiPriority w:val="33"/>
    <w:rPr>
      <w:rFonts w:asciiTheme="majorHAnsi" w:hAnsiTheme="majorHAnsi" w:eastAsiaTheme="majorEastAsia"/>
      <w:b/>
      <w:i/>
      <w:sz w:val="24"/>
      <w:szCs w:val="24"/>
    </w:rPr>
  </w:style>
  <w:style w:type="paragraph" w:customStyle="1" w:styleId="93">
    <w:name w:val="TOC Heading"/>
    <w:basedOn w:val="3"/>
    <w:next w:val="1"/>
    <w:semiHidden/>
    <w:unhideWhenUsed/>
    <w:qFormat/>
    <w:uiPriority w:val="39"/>
    <w:pPr>
      <w:outlineLvl w:val="9"/>
    </w:pPr>
  </w:style>
  <w:style w:type="character" w:customStyle="1" w:styleId="94">
    <w:name w:val="批注框文本 字符"/>
    <w:basedOn w:val="33"/>
    <w:link w:val="21"/>
    <w:semiHidden/>
    <w:qFormat/>
    <w:uiPriority w:val="99"/>
    <w:rPr>
      <w:sz w:val="18"/>
      <w:szCs w:val="18"/>
    </w:rPr>
  </w:style>
  <w:style w:type="character" w:customStyle="1" w:styleId="95">
    <w:name w:val="批注文字 字符"/>
    <w:basedOn w:val="33"/>
    <w:link w:val="16"/>
    <w:qFormat/>
    <w:uiPriority w:val="99"/>
    <w:rPr>
      <w:rFonts w:ascii="Calibri Light" w:hAnsi="Calibri Light" w:eastAsia="华文仿宋" w:cs="Calibri Light"/>
      <w:kern w:val="2"/>
      <w:sz w:val="28"/>
      <w:szCs w:val="28"/>
    </w:rPr>
  </w:style>
  <w:style w:type="paragraph" w:customStyle="1" w:styleId="96">
    <w:name w:val="@正文"/>
    <w:basedOn w:val="55"/>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7">
    <w:name w:val="@一级小标题"/>
    <w:basedOn w:val="1"/>
    <w:next w:val="96"/>
    <w:qFormat/>
    <w:uiPriority w:val="0"/>
    <w:pPr>
      <w:keepNext/>
      <w:spacing w:before="120" w:after="60"/>
      <w:outlineLvl w:val="2"/>
    </w:pPr>
    <w:rPr>
      <w:rFonts w:ascii="Calibri" w:hAnsi="Calibri" w:eastAsia="黑体"/>
      <w:kern w:val="28"/>
      <w:sz w:val="28"/>
    </w:rPr>
  </w:style>
  <w:style w:type="paragraph" w:customStyle="1" w:styleId="98">
    <w:name w:val="@标题"/>
    <w:basedOn w:val="1"/>
    <w:next w:val="96"/>
    <w:qFormat/>
    <w:uiPriority w:val="0"/>
    <w:pPr>
      <w:keepNext/>
      <w:spacing w:before="50" w:beforeLines="50" w:after="50" w:afterLines="50"/>
      <w:jc w:val="center"/>
      <w:outlineLvl w:val="1"/>
    </w:pPr>
    <w:rPr>
      <w:rFonts w:ascii="Calibri" w:hAnsi="Calibri" w:eastAsia="黑体"/>
      <w:kern w:val="32"/>
      <w:sz w:val="32"/>
    </w:rPr>
  </w:style>
  <w:style w:type="table" w:customStyle="1" w:styleId="99">
    <w:name w:val="网格型1"/>
    <w:basedOn w:val="31"/>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
    <w:name w:val="页眉 Char1"/>
    <w:basedOn w:val="33"/>
    <w:semiHidden/>
    <w:qFormat/>
    <w:uiPriority w:val="99"/>
    <w:rPr>
      <w:rFonts w:cs="Calibri Light"/>
      <w:sz w:val="18"/>
      <w:szCs w:val="18"/>
    </w:rPr>
  </w:style>
  <w:style w:type="character" w:customStyle="1" w:styleId="101">
    <w:name w:val="页脚 Char1"/>
    <w:basedOn w:val="33"/>
    <w:semiHidden/>
    <w:qFormat/>
    <w:uiPriority w:val="99"/>
    <w:rPr>
      <w:rFonts w:cs="Calibri Light"/>
      <w:sz w:val="18"/>
      <w:szCs w:val="18"/>
    </w:rPr>
  </w:style>
  <w:style w:type="character" w:customStyle="1" w:styleId="102">
    <w:name w:val="批注主题 字符"/>
    <w:basedOn w:val="95"/>
    <w:link w:val="29"/>
    <w:semiHidden/>
    <w:qFormat/>
    <w:uiPriority w:val="99"/>
    <w:rPr>
      <w:rFonts w:ascii="Calibri Light" w:hAnsi="Calibri Light" w:eastAsia="华文仿宋" w:cs="Calibri Light"/>
      <w:b/>
      <w:bCs/>
      <w:kern w:val="2"/>
      <w:sz w:val="28"/>
      <w:szCs w:val="28"/>
    </w:rPr>
  </w:style>
  <w:style w:type="character" w:customStyle="1" w:styleId="103">
    <w:name w:val="文档结构图 字符"/>
    <w:basedOn w:val="33"/>
    <w:link w:val="15"/>
    <w:semiHidden/>
    <w:qFormat/>
    <w:uiPriority w:val="99"/>
    <w:rPr>
      <w:rFonts w:ascii="宋体" w:hAnsi="Calibri Light" w:eastAsia="宋体" w:cs="Calibri Light"/>
      <w:kern w:val="2"/>
      <w:sz w:val="18"/>
      <w:szCs w:val="18"/>
    </w:rPr>
  </w:style>
  <w:style w:type="character" w:styleId="104">
    <w:name w:val="Placeholder Text"/>
    <w:basedOn w:val="33"/>
    <w:semiHidden/>
    <w:qFormat/>
    <w:uiPriority w:val="99"/>
    <w:rPr>
      <w:color w:val="808080"/>
    </w:rPr>
  </w:style>
  <w:style w:type="character" w:customStyle="1" w:styleId="105">
    <w:name w:val="Unresolved Mention"/>
    <w:basedOn w:val="33"/>
    <w:semiHidden/>
    <w:unhideWhenUsed/>
    <w:qFormat/>
    <w:uiPriority w:val="99"/>
    <w:rPr>
      <w:color w:val="605E5C"/>
      <w:shd w:val="clear" w:color="auto" w:fill="E1DFDD"/>
    </w:rPr>
  </w:style>
  <w:style w:type="paragraph" w:customStyle="1" w:styleId="106">
    <w:name w:val="样式1"/>
    <w:basedOn w:val="5"/>
    <w:link w:val="108"/>
    <w:qFormat/>
    <w:uiPriority w:val="0"/>
    <w:pPr>
      <w:jc w:val="left"/>
    </w:pPr>
    <w:rPr>
      <w:rFonts w:eastAsia="楷体"/>
      <w:sz w:val="32"/>
    </w:rPr>
  </w:style>
  <w:style w:type="paragraph" w:customStyle="1" w:styleId="107">
    <w:name w:val="样式2"/>
    <w:basedOn w:val="98"/>
    <w:link w:val="110"/>
    <w:qFormat/>
    <w:uiPriority w:val="0"/>
    <w:pPr>
      <w:spacing w:line="560" w:lineRule="exact"/>
      <w:ind w:firstLine="643" w:firstLineChars="200"/>
      <w:jc w:val="both"/>
    </w:pPr>
    <w:rPr>
      <w:rFonts w:ascii="仿宋_GB2312" w:hAnsi="仿宋" w:eastAsia="仿宋_GB2312"/>
      <w:b/>
      <w:bCs/>
      <w:szCs w:val="32"/>
    </w:rPr>
  </w:style>
  <w:style w:type="character" w:customStyle="1" w:styleId="108">
    <w:name w:val="样式1 字符"/>
    <w:basedOn w:val="72"/>
    <w:link w:val="106"/>
    <w:qFormat/>
    <w:uiPriority w:val="0"/>
    <w:rPr>
      <w:rFonts w:ascii="方正小标宋_GBK" w:hAnsi="仿宋" w:eastAsia="楷体"/>
      <w:sz w:val="32"/>
      <w:szCs w:val="36"/>
    </w:rPr>
  </w:style>
  <w:style w:type="paragraph" w:customStyle="1" w:styleId="109">
    <w:name w:val="样式3"/>
    <w:basedOn w:val="1"/>
    <w:link w:val="111"/>
    <w:qFormat/>
    <w:uiPriority w:val="0"/>
    <w:pPr>
      <w:spacing w:line="560" w:lineRule="exact"/>
      <w:jc w:val="center"/>
    </w:pPr>
    <w:rPr>
      <w:rFonts w:ascii="方正小标宋_GBK" w:hAnsi="仿宋" w:eastAsia="方正小标宋_GBK"/>
      <w:sz w:val="36"/>
      <w:szCs w:val="36"/>
    </w:rPr>
  </w:style>
  <w:style w:type="character" w:customStyle="1" w:styleId="110">
    <w:name w:val="样式2 字符"/>
    <w:basedOn w:val="33"/>
    <w:link w:val="107"/>
    <w:qFormat/>
    <w:uiPriority w:val="0"/>
    <w:rPr>
      <w:rFonts w:ascii="仿宋_GB2312" w:hAnsi="仿宋" w:eastAsia="仿宋_GB2312"/>
      <w:b/>
      <w:bCs/>
      <w:kern w:val="32"/>
      <w:sz w:val="32"/>
      <w:szCs w:val="32"/>
    </w:rPr>
  </w:style>
  <w:style w:type="character" w:customStyle="1" w:styleId="111">
    <w:name w:val="样式3 字符"/>
    <w:basedOn w:val="33"/>
    <w:link w:val="109"/>
    <w:qFormat/>
    <w:uiPriority w:val="0"/>
    <w:rPr>
      <w:rFonts w:ascii="方正小标宋_GBK" w:hAnsi="仿宋" w:eastAsia="方正小标宋_GBK"/>
      <w:sz w:val="36"/>
      <w:szCs w:val="36"/>
    </w:rPr>
  </w:style>
  <w:style w:type="paragraph" w:customStyle="1" w:styleId="11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13">
    <w:name w:val="Table Paragraph"/>
    <w:basedOn w:val="1"/>
    <w:qFormat/>
    <w:uiPriority w:val="1"/>
  </w:style>
  <w:style w:type="paragraph" w:customStyle="1" w:styleId="114">
    <w:name w:val="纯文本1"/>
    <w:basedOn w:val="1"/>
    <w:qFormat/>
    <w:uiPriority w:val="0"/>
    <w:rPr>
      <w:rFonts w:ascii="宋体" w:hAnsi="Courier New" w:eastAsia="宋体" w:cs="Times New Roman"/>
      <w:szCs w:val="22"/>
    </w:rPr>
  </w:style>
  <w:style w:type="paragraph" w:customStyle="1" w:styleId="115">
    <w:name w:val="WPSOffice手动目录 1"/>
    <w:qFormat/>
    <w:uiPriority w:val="0"/>
    <w:pPr>
      <w:ind w:leftChars="0"/>
    </w:pPr>
    <w:rPr>
      <w:rFonts w:ascii="Times New Roman" w:hAnsi="Times New Roman" w:eastAsia="宋体" w:cs="Times New Roman"/>
      <w:sz w:val="20"/>
      <w:szCs w:val="20"/>
    </w:rPr>
  </w:style>
  <w:style w:type="paragraph" w:customStyle="1" w:styleId="116">
    <w:name w:val="WPSOffice手动目录 2"/>
    <w:qFormat/>
    <w:uiPriority w:val="0"/>
    <w:pPr>
      <w:ind w:leftChars="200"/>
    </w:pPr>
    <w:rPr>
      <w:rFonts w:ascii="Times New Roman" w:hAnsi="Times New Roman" w:eastAsia="宋体" w:cs="Times New Roman"/>
      <w:sz w:val="20"/>
      <w:szCs w:val="20"/>
    </w:rPr>
  </w:style>
  <w:style w:type="paragraph" w:customStyle="1" w:styleId="117">
    <w:name w:val="WPSOffice手动目录 3"/>
    <w:qFormat/>
    <w:uiPriority w:val="0"/>
    <w:pPr>
      <w:ind w:leftChars="400"/>
    </w:pPr>
    <w:rPr>
      <w:rFonts w:ascii="Times New Roman" w:hAnsi="Times New Roman" w:eastAsia="宋体" w:cs="Times New Roman"/>
      <w:sz w:val="20"/>
      <w:szCs w:val="20"/>
    </w:rPr>
  </w:style>
  <w:style w:type="character" w:customStyle="1" w:styleId="118">
    <w:name w:val="mini-outputtext1"/>
    <w:basedOn w:val="33"/>
    <w:qFormat/>
    <w:uiPriority w:val="0"/>
  </w:style>
  <w:style w:type="paragraph" w:customStyle="1" w:styleId="1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0">
    <w:name w:val="正文缩进1"/>
    <w:basedOn w:val="1"/>
    <w:qFormat/>
    <w:uiPriority w:val="0"/>
    <w:pPr>
      <w:ind w:firstLine="420" w:firstLineChars="200"/>
    </w:pPr>
  </w:style>
  <w:style w:type="table" w:customStyle="1" w:styleId="121">
    <w:name w:val="Grid Table 4 Accent 3"/>
    <w:basedOn w:val="31"/>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23A8D-A678-4E48-B7B4-2C97FA0C4A8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99</Pages>
  <Words>43469</Words>
  <Characters>47733</Characters>
  <Lines>1035</Lines>
  <Paragraphs>716</Paragraphs>
  <TotalTime>24</TotalTime>
  <ScaleCrop>false</ScaleCrop>
  <LinksUpToDate>false</LinksUpToDate>
  <CharactersWithSpaces>49320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Leo</cp:lastModifiedBy>
  <cp:lastPrinted>2022-06-21T02:06:00Z</cp:lastPrinted>
  <dcterms:modified xsi:type="dcterms:W3CDTF">2022-08-17T09:20:25Z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D039A31108E2453A9BDE48A107C26220</vt:lpwstr>
  </property>
</Properties>
</file>