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采购项目编号：SCZD2022-CS-161</w:t>
      </w:r>
      <w:r>
        <w:rPr>
          <w:rFonts w:hint="eastAsia" w:eastAsia="仿宋_GB2312"/>
          <w:b/>
          <w:bCs/>
          <w:sz w:val="30"/>
          <w:szCs w:val="30"/>
          <w:lang w:val="zh-CN"/>
        </w:rPr>
        <w:t>4/</w:t>
      </w:r>
      <w:r>
        <w:rPr>
          <w:rFonts w:eastAsia="仿宋_GB2312"/>
          <w:b/>
          <w:bCs/>
          <w:sz w:val="30"/>
          <w:szCs w:val="30"/>
          <w:lang w:val="zh-CN"/>
        </w:rPr>
        <w:t>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ab/>
      </w:r>
    </w:p>
    <w:p>
      <w:pPr>
        <w:tabs>
          <w:tab w:val="left" w:pos="5670"/>
        </w:tabs>
        <w:autoSpaceDE w:val="0"/>
        <w:autoSpaceDN w:val="0"/>
        <w:adjustRightInd w:val="0"/>
        <w:snapToGrid w:val="0"/>
        <w:spacing w:line="360" w:lineRule="auto"/>
        <w:jc w:val="center"/>
        <w:rPr>
          <w:rFonts w:eastAsia="仿宋_GB2312"/>
          <w:b/>
          <w:bCs/>
          <w:sz w:val="40"/>
          <w:szCs w:val="44"/>
        </w:rPr>
      </w:pPr>
      <w:r>
        <w:rPr>
          <w:rFonts w:hint="eastAsia" w:eastAsia="仿宋_GB2312"/>
          <w:b/>
          <w:bCs/>
          <w:sz w:val="40"/>
          <w:szCs w:val="44"/>
        </w:rPr>
        <w:t>西安市胸科医院门诊电教室电子显示屏采购项目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二〇二二年</w:t>
      </w:r>
      <w:r>
        <w:rPr>
          <w:rFonts w:hint="eastAsia" w:eastAsia="仿宋_GB2312"/>
          <w:b/>
          <w:bCs/>
          <w:sz w:val="30"/>
          <w:szCs w:val="30"/>
          <w:lang w:val="zh-CN"/>
        </w:rPr>
        <w:t>八</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3"/>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eastAsia="仿宋_GB2312"/>
          <w:b/>
          <w:sz w:val="32"/>
          <w:szCs w:val="32"/>
        </w:rPr>
      </w:pPr>
      <w:r>
        <w:rPr>
          <w:rFonts w:eastAsia="仿宋_GB2312"/>
          <w:b/>
          <w:sz w:val="32"/>
          <w:szCs w:val="32"/>
        </w:rPr>
        <w:t>目  录</w:t>
      </w:r>
    </w:p>
    <w:p>
      <w:pPr>
        <w:pStyle w:val="35"/>
        <w:tabs>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w:t>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w:t>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w:t>
      </w:r>
      <w:r>
        <w:rPr>
          <w:rFonts w:hint="eastAsia" w:ascii="Times New Roman" w:eastAsia="仿宋_GB2312"/>
          <w:sz w:val="28"/>
          <w:szCs w:val="28"/>
        </w:rPr>
        <w:t xml:space="preserve"> ..</w:t>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w:t>
      </w:r>
      <w:r>
        <w:rPr>
          <w:rFonts w:hint="eastAsia" w:ascii="Times New Roman" w:eastAsia="仿宋_GB2312"/>
          <w:sz w:val="28"/>
          <w:szCs w:val="28"/>
        </w:rPr>
        <w:t>. .</w:t>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w:t>
      </w:r>
      <w:r>
        <w:rPr>
          <w:rFonts w:hint="eastAsia" w:ascii="Times New Roman" w:eastAsia="仿宋_GB2312"/>
          <w:sz w:val="28"/>
          <w:szCs w:val="28"/>
        </w:rPr>
        <w:t>...</w:t>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w:t>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3"/>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Times New Roman" w:hAnsi="Times New Roman" w:eastAsia="宋体"/>
          <w:sz w:val="36"/>
          <w:szCs w:val="36"/>
        </w:rPr>
      </w:pPr>
      <w:bookmarkStart w:id="0" w:name="_Toc58504445"/>
      <w:bookmarkStart w:id="1" w:name="_Toc68590965"/>
      <w:bookmarkStart w:id="2" w:name="_Toc21755"/>
      <w:bookmarkStart w:id="3" w:name="_Toc415499894"/>
      <w:bookmarkStart w:id="4" w:name="_Toc496324577"/>
      <w:bookmarkStart w:id="5" w:name="_Toc499711041"/>
      <w:bookmarkStart w:id="6" w:name="_Toc492955413"/>
      <w:bookmarkStart w:id="7" w:name="_Toc177817333"/>
      <w:bookmarkStart w:id="8" w:name="_Toc177189234"/>
      <w:bookmarkStart w:id="9" w:name="_Toc176882541"/>
      <w:bookmarkStart w:id="10" w:name="_Toc53722839"/>
      <w:bookmarkStart w:id="11" w:name="_Toc499711882"/>
      <w:bookmarkStart w:id="12" w:name="_Toc70687138"/>
      <w:bookmarkStart w:id="13" w:name="_Toc500746964"/>
      <w:bookmarkStart w:id="14" w:name="_Toc500747060"/>
      <w:bookmarkStart w:id="15" w:name="_Toc500747187"/>
      <w:bookmarkStart w:id="16" w:name="_Toc503063420"/>
      <w:bookmarkStart w:id="17" w:name="_Toc177995472"/>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p>
      <w:pPr>
        <w:pStyle w:val="23"/>
        <w:spacing w:line="400" w:lineRule="exact"/>
        <w:rPr>
          <w:rFonts w:ascii="仿宋" w:hAnsi="仿宋" w:eastAsia="仿宋"/>
          <w:b/>
          <w:kern w:val="0"/>
          <w:sz w:val="24"/>
        </w:rPr>
      </w:pPr>
      <w:r>
        <w:rPr>
          <w:rFonts w:ascii="仿宋" w:hAnsi="仿宋" w:eastAsia="仿宋"/>
          <w:b/>
          <w:kern w:val="0"/>
          <w:sz w:val="24"/>
        </w:rPr>
        <w:t>项目概况</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门诊电教室电子显示屏采购项目采购</w:t>
      </w:r>
      <w:r>
        <w:rPr>
          <w:rFonts w:ascii="仿宋" w:hAnsi="仿宋" w:eastAsia="仿宋"/>
          <w:kern w:val="0"/>
          <w:sz w:val="24"/>
        </w:rPr>
        <w:t>项目的潜在供应商应在</w:t>
      </w:r>
      <w:r>
        <w:rPr>
          <w:rFonts w:hint="eastAsia" w:ascii="仿宋" w:hAnsi="仿宋" w:eastAsia="仿宋"/>
          <w:kern w:val="0"/>
          <w:sz w:val="24"/>
        </w:rPr>
        <w:t>西安市高新二路山西证券大厦八楼招标</w:t>
      </w:r>
      <w:r>
        <w:rPr>
          <w:rFonts w:hint="eastAsia" w:ascii="仿宋" w:hAnsi="仿宋" w:eastAsia="仿宋"/>
          <w:color w:val="000000" w:themeColor="text1"/>
          <w:kern w:val="0"/>
          <w:sz w:val="24"/>
        </w:rPr>
        <w:t>四部</w:t>
      </w:r>
      <w:r>
        <w:rPr>
          <w:rFonts w:ascii="仿宋" w:hAnsi="仿宋" w:eastAsia="仿宋"/>
          <w:color w:val="000000" w:themeColor="text1"/>
          <w:kern w:val="0"/>
          <w:sz w:val="24"/>
        </w:rPr>
        <w:t>获取</w:t>
      </w:r>
      <w:r>
        <w:rPr>
          <w:rFonts w:hint="eastAsia" w:ascii="仿宋" w:hAnsi="仿宋" w:eastAsia="仿宋"/>
          <w:color w:val="000000" w:themeColor="text1"/>
          <w:kern w:val="0"/>
          <w:sz w:val="24"/>
        </w:rPr>
        <w:t>采购</w:t>
      </w:r>
      <w:r>
        <w:rPr>
          <w:rFonts w:ascii="仿宋" w:hAnsi="仿宋" w:eastAsia="仿宋"/>
          <w:color w:val="000000" w:themeColor="text1"/>
          <w:kern w:val="0"/>
          <w:sz w:val="24"/>
        </w:rPr>
        <w:t>文件，并于2022年0</w:t>
      </w:r>
      <w:r>
        <w:rPr>
          <w:rFonts w:hint="eastAsia" w:ascii="仿宋" w:hAnsi="仿宋" w:eastAsia="仿宋"/>
          <w:color w:val="000000" w:themeColor="text1"/>
          <w:kern w:val="0"/>
          <w:sz w:val="24"/>
        </w:rPr>
        <w:t>9</w:t>
      </w:r>
      <w:r>
        <w:rPr>
          <w:rFonts w:ascii="仿宋" w:hAnsi="仿宋" w:eastAsia="仿宋"/>
          <w:color w:val="000000" w:themeColor="text1"/>
          <w:kern w:val="0"/>
          <w:sz w:val="24"/>
        </w:rPr>
        <w:t>月</w:t>
      </w:r>
      <w:r>
        <w:rPr>
          <w:rFonts w:hint="eastAsia" w:ascii="仿宋" w:hAnsi="仿宋" w:eastAsia="仿宋"/>
          <w:color w:val="000000" w:themeColor="text1"/>
          <w:kern w:val="0"/>
          <w:sz w:val="24"/>
        </w:rPr>
        <w:t>16</w:t>
      </w:r>
      <w:r>
        <w:rPr>
          <w:rFonts w:ascii="仿宋" w:hAnsi="仿宋" w:eastAsia="仿宋"/>
          <w:color w:val="000000" w:themeColor="text1"/>
          <w:kern w:val="0"/>
          <w:sz w:val="24"/>
        </w:rPr>
        <w:t xml:space="preserve">日 </w:t>
      </w:r>
      <w:r>
        <w:rPr>
          <w:rFonts w:hint="eastAsia" w:ascii="仿宋" w:hAnsi="仿宋" w:eastAsia="仿宋"/>
          <w:color w:val="000000" w:themeColor="text1"/>
          <w:kern w:val="0"/>
          <w:sz w:val="24"/>
        </w:rPr>
        <w:t>14</w:t>
      </w:r>
      <w:r>
        <w:rPr>
          <w:rFonts w:ascii="仿宋" w:hAnsi="仿宋" w:eastAsia="仿宋"/>
          <w:color w:val="000000" w:themeColor="text1"/>
          <w:kern w:val="0"/>
          <w:sz w:val="24"/>
        </w:rPr>
        <w:t>时00分（北京时间）</w:t>
      </w:r>
      <w:r>
        <w:rPr>
          <w:rFonts w:ascii="仿宋" w:hAnsi="仿宋" w:eastAsia="仿宋"/>
          <w:kern w:val="0"/>
          <w:sz w:val="24"/>
        </w:rPr>
        <w:t>前</w:t>
      </w:r>
      <w:r>
        <w:rPr>
          <w:rFonts w:hint="eastAsia" w:ascii="仿宋" w:hAnsi="仿宋" w:eastAsia="仿宋"/>
          <w:kern w:val="0"/>
          <w:sz w:val="24"/>
        </w:rPr>
        <w:t>提交响应文件</w:t>
      </w:r>
      <w:r>
        <w:rPr>
          <w:rFonts w:ascii="仿宋" w:hAnsi="仿宋" w:eastAsia="仿宋"/>
          <w:kern w:val="0"/>
          <w:sz w:val="24"/>
        </w:rPr>
        <w:t>。</w:t>
      </w:r>
    </w:p>
    <w:p>
      <w:pPr>
        <w:pStyle w:val="23"/>
        <w:spacing w:line="400" w:lineRule="exact"/>
        <w:rPr>
          <w:rFonts w:ascii="仿宋" w:hAnsi="仿宋" w:eastAsia="仿宋"/>
          <w:b/>
          <w:kern w:val="0"/>
          <w:sz w:val="24"/>
        </w:rPr>
      </w:pPr>
      <w:r>
        <w:rPr>
          <w:rFonts w:ascii="仿宋" w:hAnsi="仿宋" w:eastAsia="仿宋"/>
          <w:b/>
          <w:kern w:val="0"/>
          <w:sz w:val="24"/>
        </w:rPr>
        <w:t>一、项目基本情况</w:t>
      </w:r>
    </w:p>
    <w:p>
      <w:pPr>
        <w:pStyle w:val="23"/>
        <w:spacing w:line="400" w:lineRule="exact"/>
        <w:rPr>
          <w:rFonts w:ascii="仿宋" w:hAnsi="仿宋" w:eastAsia="仿宋"/>
          <w:kern w:val="0"/>
          <w:sz w:val="24"/>
        </w:rPr>
      </w:pPr>
      <w:r>
        <w:rPr>
          <w:rFonts w:hint="eastAsia" w:ascii="仿宋" w:hAnsi="仿宋" w:eastAsia="仿宋"/>
          <w:kern w:val="0"/>
          <w:sz w:val="24"/>
        </w:rPr>
        <w:t>项目编号：SCZD2022-CS-1614-001</w:t>
      </w:r>
    </w:p>
    <w:p>
      <w:pPr>
        <w:pStyle w:val="23"/>
        <w:spacing w:line="400" w:lineRule="exact"/>
        <w:rPr>
          <w:rFonts w:ascii="仿宋" w:hAnsi="仿宋" w:eastAsia="仿宋"/>
          <w:kern w:val="0"/>
          <w:sz w:val="24"/>
        </w:rPr>
      </w:pPr>
      <w:r>
        <w:rPr>
          <w:rFonts w:hint="eastAsia" w:ascii="仿宋" w:hAnsi="仿宋" w:eastAsia="仿宋"/>
          <w:kern w:val="0"/>
          <w:sz w:val="24"/>
        </w:rPr>
        <w:t>项目名称：门诊电教室电子显示屏采购项目</w:t>
      </w:r>
    </w:p>
    <w:p>
      <w:pPr>
        <w:pStyle w:val="23"/>
        <w:spacing w:line="400" w:lineRule="exact"/>
        <w:rPr>
          <w:rFonts w:ascii="仿宋" w:hAnsi="仿宋" w:eastAsia="仿宋"/>
          <w:kern w:val="0"/>
          <w:sz w:val="24"/>
        </w:rPr>
      </w:pPr>
      <w:r>
        <w:rPr>
          <w:rFonts w:hint="eastAsia" w:ascii="仿宋" w:hAnsi="仿宋" w:eastAsia="仿宋"/>
          <w:kern w:val="0"/>
          <w:sz w:val="24"/>
        </w:rPr>
        <w:t>采购方式：竞争性磋商</w:t>
      </w:r>
    </w:p>
    <w:p>
      <w:pPr>
        <w:pStyle w:val="23"/>
        <w:spacing w:line="400" w:lineRule="exact"/>
        <w:rPr>
          <w:rFonts w:ascii="仿宋" w:hAnsi="仿宋" w:eastAsia="仿宋"/>
          <w:kern w:val="0"/>
          <w:sz w:val="24"/>
        </w:rPr>
      </w:pPr>
      <w:r>
        <w:rPr>
          <w:rFonts w:hint="eastAsia" w:ascii="仿宋" w:hAnsi="仿宋" w:eastAsia="仿宋"/>
          <w:kern w:val="0"/>
          <w:sz w:val="24"/>
        </w:rPr>
        <w:t>预算金额：300,000.00元</w:t>
      </w:r>
    </w:p>
    <w:p>
      <w:pPr>
        <w:pStyle w:val="23"/>
        <w:spacing w:line="400" w:lineRule="exact"/>
        <w:rPr>
          <w:rFonts w:ascii="仿宋" w:hAnsi="仿宋" w:eastAsia="仿宋"/>
          <w:kern w:val="0"/>
          <w:sz w:val="24"/>
        </w:rPr>
      </w:pPr>
      <w:r>
        <w:rPr>
          <w:rFonts w:hint="eastAsia" w:ascii="仿宋" w:hAnsi="仿宋" w:eastAsia="仿宋"/>
          <w:kern w:val="0"/>
          <w:sz w:val="24"/>
        </w:rPr>
        <w:t>采购需求：</w:t>
      </w:r>
    </w:p>
    <w:tbl>
      <w:tblPr>
        <w:tblStyle w:val="50"/>
        <w:tblW w:w="9923" w:type="dxa"/>
        <w:tblInd w:w="-164" w:type="dxa"/>
        <w:tblLayout w:type="fixed"/>
        <w:tblCellMar>
          <w:top w:w="0" w:type="dxa"/>
          <w:left w:w="0" w:type="dxa"/>
          <w:bottom w:w="0" w:type="dxa"/>
          <w:right w:w="0" w:type="dxa"/>
        </w:tblCellMar>
      </w:tblPr>
      <w:tblGrid>
        <w:gridCol w:w="778"/>
        <w:gridCol w:w="1916"/>
        <w:gridCol w:w="1701"/>
        <w:gridCol w:w="1559"/>
        <w:gridCol w:w="1418"/>
        <w:gridCol w:w="2551"/>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合同包号</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合同包名称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预算金额（元）</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是否接受联合体</w:t>
            </w:r>
          </w:p>
        </w:tc>
        <w:tc>
          <w:tcPr>
            <w:tcW w:w="2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合同履行期限</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ascii="仿宋" w:hAnsi="仿宋" w:eastAsia="仿宋"/>
                <w:kern w:val="0"/>
                <w:sz w:val="24"/>
              </w:rPr>
            </w:pPr>
            <w:r>
              <w:rPr>
                <w:rFonts w:ascii="仿宋" w:hAnsi="仿宋" w:eastAsia="仿宋"/>
                <w:kern w:val="0"/>
                <w:sz w:val="24"/>
              </w:rPr>
              <w:t>1</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ascii="仿宋" w:hAnsi="仿宋" w:eastAsia="仿宋"/>
                <w:kern w:val="0"/>
                <w:sz w:val="24"/>
              </w:rPr>
            </w:pPr>
            <w:r>
              <w:rPr>
                <w:rFonts w:hint="eastAsia" w:ascii="仿宋" w:hAnsi="仿宋" w:eastAsia="仿宋"/>
                <w:kern w:val="0"/>
                <w:sz w:val="24"/>
              </w:rPr>
              <w:t>西安市胸科医院门诊电教室电子显示屏采购项目</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ascii="仿宋" w:hAnsi="仿宋" w:eastAsia="仿宋"/>
                <w:kern w:val="0"/>
                <w:sz w:val="24"/>
              </w:rPr>
            </w:pPr>
            <w:r>
              <w:rPr>
                <w:rFonts w:ascii="仿宋" w:hAnsi="仿宋" w:eastAsia="仿宋"/>
                <w:kern w:val="0"/>
                <w:sz w:val="24"/>
              </w:rPr>
              <w:t>详见采购文件</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hint="eastAsia" w:ascii="仿宋" w:hAnsi="仿宋" w:eastAsia="仿宋"/>
                <w:kern w:val="0"/>
                <w:sz w:val="24"/>
              </w:rPr>
              <w:t>300,000.00</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否</w:t>
            </w:r>
          </w:p>
        </w:tc>
        <w:tc>
          <w:tcPr>
            <w:tcW w:w="2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ascii="仿宋" w:hAnsi="仿宋" w:eastAsia="仿宋"/>
                <w:kern w:val="0"/>
                <w:sz w:val="24"/>
              </w:rPr>
            </w:pPr>
            <w:r>
              <w:rPr>
                <w:rFonts w:hint="eastAsia" w:ascii="仿宋" w:hAnsi="仿宋" w:eastAsia="仿宋"/>
                <w:kern w:val="0"/>
                <w:sz w:val="24"/>
              </w:rPr>
              <w:t>合同签订后，30日历天完成。</w:t>
            </w:r>
          </w:p>
        </w:tc>
      </w:tr>
    </w:tbl>
    <w:p>
      <w:pPr>
        <w:pStyle w:val="23"/>
        <w:spacing w:line="400" w:lineRule="exact"/>
        <w:rPr>
          <w:rFonts w:ascii="仿宋" w:hAnsi="仿宋" w:eastAsia="仿宋"/>
          <w:b/>
          <w:kern w:val="0"/>
          <w:sz w:val="24"/>
        </w:rPr>
      </w:pPr>
      <w:r>
        <w:rPr>
          <w:rFonts w:ascii="仿宋" w:hAnsi="仿宋" w:eastAsia="仿宋"/>
          <w:b/>
          <w:kern w:val="0"/>
          <w:sz w:val="24"/>
        </w:rPr>
        <w:t>二、申请人的资格要求：</w:t>
      </w:r>
    </w:p>
    <w:p>
      <w:pPr>
        <w:pStyle w:val="23"/>
        <w:spacing w:line="400" w:lineRule="exact"/>
        <w:ind w:firstLine="480" w:firstLineChars="200"/>
        <w:rPr>
          <w:rFonts w:ascii="仿宋" w:hAnsi="仿宋" w:eastAsia="仿宋"/>
          <w:kern w:val="0"/>
          <w:sz w:val="24"/>
        </w:rPr>
      </w:pPr>
      <w:r>
        <w:rPr>
          <w:rFonts w:ascii="仿宋" w:hAnsi="仿宋" w:eastAsia="仿宋"/>
          <w:kern w:val="0"/>
          <w:sz w:val="24"/>
        </w:rPr>
        <w:t>1.满足《中华人民共和国政府采购法》第二十二条规定;</w:t>
      </w:r>
    </w:p>
    <w:p>
      <w:pPr>
        <w:pStyle w:val="23"/>
        <w:spacing w:line="400" w:lineRule="exact"/>
        <w:ind w:firstLine="480" w:firstLineChars="200"/>
        <w:rPr>
          <w:rFonts w:ascii="仿宋" w:hAnsi="仿宋" w:eastAsia="仿宋"/>
          <w:kern w:val="0"/>
          <w:sz w:val="24"/>
        </w:rPr>
      </w:pPr>
      <w:r>
        <w:rPr>
          <w:rFonts w:ascii="仿宋" w:hAnsi="仿宋" w:eastAsia="仿宋"/>
          <w:kern w:val="0"/>
          <w:sz w:val="24"/>
        </w:rPr>
        <w:t>2.落实政府采购政策需满足的资格要求：</w:t>
      </w:r>
    </w:p>
    <w:p>
      <w:pPr>
        <w:pStyle w:val="23"/>
        <w:spacing w:line="400" w:lineRule="exact"/>
        <w:ind w:firstLine="480" w:firstLineChars="200"/>
        <w:rPr>
          <w:rFonts w:hint="eastAsia" w:ascii="仿宋" w:hAnsi="仿宋" w:eastAsia="仿宋"/>
          <w:kern w:val="0"/>
          <w:sz w:val="24"/>
        </w:rPr>
      </w:pPr>
      <w:r>
        <w:rPr>
          <w:rFonts w:hint="eastAsia" w:ascii="仿宋" w:hAnsi="仿宋" w:eastAsia="仿宋"/>
          <w:kern w:val="0"/>
          <w:sz w:val="24"/>
        </w:rPr>
        <w:t>本项目为专门面向中小企业的项目，供应商应为中小微企业、监狱企业或残疾人福利性单位。</w:t>
      </w:r>
    </w:p>
    <w:p>
      <w:pPr>
        <w:pStyle w:val="23"/>
        <w:spacing w:line="400" w:lineRule="exact"/>
        <w:ind w:firstLine="480" w:firstLineChars="200"/>
        <w:rPr>
          <w:rFonts w:ascii="仿宋" w:hAnsi="仿宋" w:eastAsia="仿宋"/>
          <w:kern w:val="0"/>
          <w:sz w:val="24"/>
        </w:rPr>
      </w:pPr>
      <w:r>
        <w:rPr>
          <w:rFonts w:ascii="仿宋" w:hAnsi="仿宋" w:eastAsia="仿宋"/>
          <w:kern w:val="0"/>
          <w:sz w:val="24"/>
        </w:rPr>
        <w:t>3.本项目的特定资格要求：</w:t>
      </w:r>
    </w:p>
    <w:p>
      <w:pPr>
        <w:pStyle w:val="23"/>
        <w:spacing w:line="400" w:lineRule="exact"/>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kern w:val="0"/>
          <w:sz w:val="24"/>
        </w:rPr>
        <w:t>西安市胸科医院门诊电教室电子显示屏采购项目</w:t>
      </w:r>
      <w:r>
        <w:rPr>
          <w:rFonts w:ascii="仿宋" w:hAnsi="仿宋" w:eastAsia="仿宋"/>
          <w:kern w:val="0"/>
          <w:sz w:val="24"/>
        </w:rPr>
        <w:t>)特定资格要求如下:</w:t>
      </w:r>
    </w:p>
    <w:p>
      <w:pPr>
        <w:pStyle w:val="23"/>
        <w:spacing w:line="400" w:lineRule="exact"/>
        <w:ind w:firstLine="480" w:firstLineChars="200"/>
        <w:rPr>
          <w:rFonts w:ascii="仿宋" w:hAnsi="仿宋" w:eastAsia="仿宋"/>
          <w:kern w:val="0"/>
          <w:sz w:val="24"/>
        </w:rPr>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w:t>
      </w:r>
      <w:r>
        <w:rPr>
          <w:rFonts w:hint="eastAsia" w:ascii="仿宋" w:hAnsi="仿宋" w:eastAsia="仿宋"/>
          <w:kern w:val="0"/>
          <w:sz w:val="24"/>
        </w:rPr>
        <w:t>重大</w:t>
      </w:r>
      <w:r>
        <w:rPr>
          <w:rFonts w:ascii="仿宋" w:hAnsi="仿宋" w:eastAsia="仿宋"/>
          <w:kern w:val="0"/>
          <w:sz w:val="24"/>
        </w:rPr>
        <w:t>税收违法</w:t>
      </w:r>
      <w:r>
        <w:rPr>
          <w:rFonts w:hint="eastAsia" w:ascii="仿宋" w:hAnsi="仿宋" w:eastAsia="仿宋"/>
          <w:kern w:val="0"/>
          <w:sz w:val="24"/>
        </w:rPr>
        <w:t>主体</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6、</w:t>
      </w:r>
      <w:r>
        <w:rPr>
          <w:rFonts w:ascii="仿宋" w:hAnsi="仿宋" w:eastAsia="仿宋"/>
          <w:kern w:val="0"/>
          <w:sz w:val="24"/>
        </w:rPr>
        <w:t>需向采购代理机构</w:t>
      </w:r>
      <w:r>
        <w:rPr>
          <w:rFonts w:hint="eastAsia" w:ascii="仿宋" w:hAnsi="仿宋" w:eastAsia="仿宋"/>
          <w:kern w:val="0"/>
          <w:sz w:val="24"/>
        </w:rPr>
        <w:t>免费获取竞争性磋商</w:t>
      </w:r>
      <w:r>
        <w:rPr>
          <w:rFonts w:ascii="仿宋" w:hAnsi="仿宋" w:eastAsia="仿宋"/>
          <w:kern w:val="0"/>
          <w:sz w:val="24"/>
        </w:rPr>
        <w:t>文件并登记备案，未向采购代理机构</w:t>
      </w:r>
      <w:r>
        <w:rPr>
          <w:rFonts w:hint="eastAsia" w:ascii="仿宋" w:hAnsi="仿宋" w:eastAsia="仿宋"/>
          <w:kern w:val="0"/>
          <w:sz w:val="24"/>
        </w:rPr>
        <w:t>免费获取竞争性磋商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3"/>
        <w:spacing w:line="400" w:lineRule="exact"/>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采购</w:t>
      </w:r>
      <w:r>
        <w:rPr>
          <w:rFonts w:ascii="仿宋" w:hAnsi="仿宋" w:eastAsia="仿宋"/>
          <w:b/>
          <w:kern w:val="0"/>
          <w:sz w:val="24"/>
        </w:rPr>
        <w:t>文件</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时间：</w:t>
      </w:r>
      <w:r>
        <w:rPr>
          <w:rFonts w:ascii="仿宋" w:hAnsi="仿宋" w:eastAsia="仿宋"/>
          <w:kern w:val="0"/>
          <w:sz w:val="24"/>
        </w:rPr>
        <w:t>2022年</w:t>
      </w:r>
      <w:r>
        <w:rPr>
          <w:rFonts w:hint="eastAsia" w:ascii="仿宋" w:hAnsi="仿宋" w:eastAsia="仿宋"/>
          <w:kern w:val="0"/>
          <w:sz w:val="24"/>
        </w:rPr>
        <w:t>8</w:t>
      </w:r>
      <w:r>
        <w:rPr>
          <w:rFonts w:ascii="仿宋" w:hAnsi="仿宋" w:eastAsia="仿宋"/>
          <w:kern w:val="0"/>
          <w:sz w:val="24"/>
        </w:rPr>
        <w:t>月</w:t>
      </w:r>
      <w:r>
        <w:rPr>
          <w:rFonts w:hint="eastAsia" w:ascii="仿宋" w:hAnsi="仿宋" w:eastAsia="仿宋"/>
          <w:kern w:val="0"/>
          <w:sz w:val="24"/>
        </w:rPr>
        <w:t>31</w:t>
      </w:r>
      <w:r>
        <w:rPr>
          <w:rFonts w:ascii="仿宋" w:hAnsi="仿宋" w:eastAsia="仿宋"/>
          <w:kern w:val="0"/>
          <w:sz w:val="24"/>
        </w:rPr>
        <w:t>日至2022年</w:t>
      </w:r>
      <w:r>
        <w:rPr>
          <w:rFonts w:hint="eastAsia" w:ascii="仿宋" w:hAnsi="仿宋" w:eastAsia="仿宋"/>
          <w:kern w:val="0"/>
          <w:sz w:val="24"/>
        </w:rPr>
        <w:t>9</w:t>
      </w:r>
      <w:r>
        <w:rPr>
          <w:rFonts w:ascii="仿宋" w:hAnsi="仿宋" w:eastAsia="仿宋"/>
          <w:kern w:val="0"/>
          <w:sz w:val="24"/>
        </w:rPr>
        <w:t>月</w:t>
      </w:r>
      <w:r>
        <w:rPr>
          <w:rFonts w:hint="eastAsia" w:ascii="仿宋" w:hAnsi="仿宋" w:eastAsia="仿宋"/>
          <w:kern w:val="0"/>
          <w:sz w:val="24"/>
        </w:rPr>
        <w:t>6</w:t>
      </w:r>
      <w:r>
        <w:rPr>
          <w:rFonts w:ascii="仿宋" w:hAnsi="仿宋" w:eastAsia="仿宋"/>
          <w:kern w:val="0"/>
          <w:sz w:val="24"/>
        </w:rPr>
        <w:t>日，每天上午 08:00:00 至 12:00:00 ，下午 14:00:00 至 18:00:00 （北京时间,法定节假日除外）</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地点：西安市高新二路山西证券大厦八楼招标四部</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方式：线下获取</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售价：免费赠送</w:t>
      </w:r>
    </w:p>
    <w:p>
      <w:pPr>
        <w:pStyle w:val="23"/>
        <w:spacing w:line="400" w:lineRule="exact"/>
        <w:rPr>
          <w:rFonts w:ascii="仿宋" w:hAnsi="仿宋" w:eastAsia="仿宋"/>
          <w:b/>
          <w:kern w:val="0"/>
          <w:sz w:val="24"/>
        </w:rPr>
      </w:pPr>
      <w:r>
        <w:rPr>
          <w:rFonts w:ascii="仿宋" w:hAnsi="仿宋" w:eastAsia="仿宋"/>
          <w:b/>
          <w:kern w:val="0"/>
          <w:sz w:val="24"/>
        </w:rPr>
        <w:t>四、</w:t>
      </w:r>
      <w:r>
        <w:rPr>
          <w:rFonts w:hint="eastAsia" w:ascii="仿宋" w:hAnsi="仿宋" w:eastAsia="仿宋"/>
          <w:b/>
          <w:kern w:val="0"/>
          <w:sz w:val="24"/>
        </w:rPr>
        <w:t>响应文件提交</w:t>
      </w:r>
    </w:p>
    <w:p>
      <w:pPr>
        <w:pStyle w:val="23"/>
        <w:spacing w:line="400" w:lineRule="exact"/>
        <w:ind w:firstLine="480" w:firstLineChars="200"/>
        <w:rPr>
          <w:rFonts w:ascii="仿宋" w:hAnsi="仿宋" w:eastAsia="仿宋"/>
          <w:color w:val="000000"/>
          <w:kern w:val="0"/>
          <w:sz w:val="24"/>
        </w:rPr>
      </w:pPr>
      <w:r>
        <w:rPr>
          <w:rFonts w:hint="eastAsia" w:ascii="仿宋" w:hAnsi="仿宋" w:eastAsia="仿宋"/>
          <w:color w:val="000000"/>
          <w:kern w:val="0"/>
          <w:sz w:val="24"/>
        </w:rPr>
        <w:t>截止时间：</w:t>
      </w:r>
      <w:r>
        <w:rPr>
          <w:rFonts w:ascii="仿宋" w:hAnsi="仿宋" w:eastAsia="仿宋"/>
          <w:color w:val="000000"/>
          <w:kern w:val="0"/>
          <w:sz w:val="24"/>
        </w:rPr>
        <w:t>2022年0</w:t>
      </w:r>
      <w:r>
        <w:rPr>
          <w:rFonts w:hint="eastAsia" w:ascii="仿宋" w:hAnsi="仿宋" w:eastAsia="仿宋"/>
          <w:color w:val="000000"/>
          <w:kern w:val="0"/>
          <w:sz w:val="24"/>
        </w:rPr>
        <w:t>9</w:t>
      </w:r>
      <w:r>
        <w:rPr>
          <w:rFonts w:ascii="仿宋" w:hAnsi="仿宋" w:eastAsia="仿宋"/>
          <w:color w:val="000000"/>
          <w:kern w:val="0"/>
          <w:sz w:val="24"/>
        </w:rPr>
        <w:t>月</w:t>
      </w:r>
      <w:r>
        <w:rPr>
          <w:rFonts w:hint="eastAsia" w:ascii="仿宋" w:hAnsi="仿宋" w:eastAsia="仿宋"/>
          <w:color w:val="000000"/>
          <w:kern w:val="0"/>
          <w:sz w:val="24"/>
        </w:rPr>
        <w:t>16</w:t>
      </w:r>
      <w:r>
        <w:rPr>
          <w:rFonts w:ascii="仿宋" w:hAnsi="仿宋" w:eastAsia="仿宋"/>
          <w:color w:val="000000"/>
          <w:kern w:val="0"/>
          <w:sz w:val="24"/>
        </w:rPr>
        <w:t>日</w:t>
      </w:r>
      <w:r>
        <w:rPr>
          <w:rFonts w:hint="eastAsia" w:ascii="仿宋" w:hAnsi="仿宋" w:eastAsia="仿宋"/>
          <w:color w:val="000000"/>
          <w:kern w:val="0"/>
          <w:sz w:val="24"/>
        </w:rPr>
        <w:t>14</w:t>
      </w:r>
      <w:r>
        <w:rPr>
          <w:rFonts w:ascii="仿宋" w:hAnsi="仿宋" w:eastAsia="仿宋"/>
          <w:color w:val="000000"/>
          <w:kern w:val="0"/>
          <w:sz w:val="24"/>
        </w:rPr>
        <w:t>时00分00秒 </w:t>
      </w:r>
      <w:r>
        <w:rPr>
          <w:rFonts w:hint="eastAsia" w:ascii="仿宋" w:hAnsi="仿宋" w:eastAsia="仿宋"/>
          <w:color w:val="000000"/>
          <w:kern w:val="0"/>
          <w:sz w:val="24"/>
        </w:rPr>
        <w:t>（北京时间）</w:t>
      </w:r>
    </w:p>
    <w:p>
      <w:pPr>
        <w:pStyle w:val="23"/>
        <w:spacing w:line="400" w:lineRule="exact"/>
        <w:ind w:firstLine="480" w:firstLineChars="200"/>
        <w:rPr>
          <w:rFonts w:ascii="仿宋" w:hAnsi="仿宋" w:eastAsia="仿宋"/>
          <w:color w:val="000000"/>
          <w:kern w:val="0"/>
          <w:sz w:val="24"/>
        </w:rPr>
      </w:pPr>
      <w:r>
        <w:rPr>
          <w:rFonts w:hint="eastAsia" w:ascii="仿宋" w:hAnsi="仿宋" w:eastAsia="仿宋"/>
          <w:color w:val="000000"/>
          <w:kern w:val="0"/>
          <w:sz w:val="24"/>
        </w:rPr>
        <w:t>地点：</w:t>
      </w:r>
      <w:r>
        <w:rPr>
          <w:rFonts w:ascii="仿宋" w:hAnsi="仿宋" w:eastAsia="仿宋"/>
          <w:color w:val="000000"/>
          <w:kern w:val="0"/>
          <w:sz w:val="24"/>
        </w:rPr>
        <w:t>西安市高新二路2号山西证券大厦</w:t>
      </w:r>
      <w:r>
        <w:rPr>
          <w:rFonts w:hint="eastAsia" w:ascii="仿宋" w:hAnsi="仿宋" w:eastAsia="仿宋"/>
          <w:color w:val="000000"/>
          <w:kern w:val="0"/>
          <w:sz w:val="24"/>
        </w:rPr>
        <w:t>8</w:t>
      </w:r>
      <w:r>
        <w:rPr>
          <w:rFonts w:ascii="仿宋" w:hAnsi="仿宋" w:eastAsia="仿宋"/>
          <w:color w:val="000000"/>
          <w:kern w:val="0"/>
          <w:sz w:val="24"/>
        </w:rPr>
        <w:t>层第</w:t>
      </w:r>
      <w:r>
        <w:rPr>
          <w:rFonts w:hint="eastAsia" w:ascii="仿宋" w:hAnsi="仿宋" w:eastAsia="仿宋"/>
          <w:color w:val="000000"/>
          <w:kern w:val="0"/>
          <w:sz w:val="24"/>
        </w:rPr>
        <w:t>2</w:t>
      </w:r>
      <w:r>
        <w:rPr>
          <w:rFonts w:ascii="仿宋" w:hAnsi="仿宋" w:eastAsia="仿宋"/>
          <w:color w:val="000000"/>
          <w:kern w:val="0"/>
          <w:sz w:val="24"/>
        </w:rPr>
        <w:t>会议室</w:t>
      </w:r>
    </w:p>
    <w:p>
      <w:pPr>
        <w:pStyle w:val="23"/>
        <w:spacing w:line="400" w:lineRule="exact"/>
        <w:rPr>
          <w:rFonts w:ascii="仿宋" w:hAnsi="仿宋" w:eastAsia="仿宋"/>
          <w:b/>
          <w:color w:val="000000"/>
          <w:kern w:val="0"/>
          <w:sz w:val="24"/>
        </w:rPr>
      </w:pPr>
      <w:r>
        <w:rPr>
          <w:rFonts w:ascii="仿宋" w:hAnsi="仿宋" w:eastAsia="仿宋"/>
          <w:b/>
          <w:color w:val="000000"/>
          <w:kern w:val="0"/>
          <w:sz w:val="24"/>
        </w:rPr>
        <w:t>五、</w:t>
      </w:r>
      <w:r>
        <w:rPr>
          <w:rFonts w:hint="eastAsia" w:ascii="仿宋" w:hAnsi="仿宋" w:eastAsia="仿宋"/>
          <w:b/>
          <w:color w:val="000000"/>
          <w:kern w:val="0"/>
          <w:sz w:val="24"/>
        </w:rPr>
        <w:t>开启</w:t>
      </w:r>
    </w:p>
    <w:p>
      <w:pPr>
        <w:pStyle w:val="23"/>
        <w:spacing w:line="400" w:lineRule="exact"/>
        <w:ind w:firstLine="480" w:firstLineChars="200"/>
        <w:rPr>
          <w:rFonts w:ascii="仿宋" w:hAnsi="仿宋" w:eastAsia="仿宋"/>
          <w:color w:val="000000"/>
          <w:kern w:val="0"/>
          <w:sz w:val="24"/>
        </w:rPr>
      </w:pPr>
      <w:r>
        <w:rPr>
          <w:rFonts w:hint="eastAsia" w:ascii="仿宋" w:hAnsi="仿宋" w:eastAsia="仿宋"/>
          <w:color w:val="000000"/>
          <w:kern w:val="0"/>
          <w:sz w:val="24"/>
        </w:rPr>
        <w:t>时间：</w:t>
      </w:r>
      <w:r>
        <w:rPr>
          <w:rFonts w:ascii="仿宋" w:hAnsi="仿宋" w:eastAsia="仿宋"/>
          <w:color w:val="000000"/>
          <w:kern w:val="0"/>
          <w:sz w:val="24"/>
        </w:rPr>
        <w:t>2022年0</w:t>
      </w:r>
      <w:r>
        <w:rPr>
          <w:rFonts w:hint="eastAsia" w:ascii="仿宋" w:hAnsi="仿宋" w:eastAsia="仿宋"/>
          <w:color w:val="000000"/>
          <w:kern w:val="0"/>
          <w:sz w:val="24"/>
        </w:rPr>
        <w:t>9</w:t>
      </w:r>
      <w:r>
        <w:rPr>
          <w:rFonts w:ascii="仿宋" w:hAnsi="仿宋" w:eastAsia="仿宋"/>
          <w:color w:val="000000"/>
          <w:kern w:val="0"/>
          <w:sz w:val="24"/>
        </w:rPr>
        <w:t>月</w:t>
      </w:r>
      <w:r>
        <w:rPr>
          <w:rFonts w:hint="eastAsia" w:ascii="仿宋" w:hAnsi="仿宋" w:eastAsia="仿宋"/>
          <w:color w:val="000000"/>
          <w:kern w:val="0"/>
          <w:sz w:val="24"/>
        </w:rPr>
        <w:t>16</w:t>
      </w:r>
      <w:r>
        <w:rPr>
          <w:rFonts w:ascii="仿宋" w:hAnsi="仿宋" w:eastAsia="仿宋"/>
          <w:color w:val="000000"/>
          <w:kern w:val="0"/>
          <w:sz w:val="24"/>
        </w:rPr>
        <w:t xml:space="preserve">日 </w:t>
      </w:r>
      <w:r>
        <w:rPr>
          <w:rFonts w:hint="eastAsia" w:ascii="仿宋" w:hAnsi="仿宋" w:eastAsia="仿宋"/>
          <w:color w:val="000000"/>
          <w:kern w:val="0"/>
          <w:sz w:val="24"/>
        </w:rPr>
        <w:t>14</w:t>
      </w:r>
      <w:r>
        <w:rPr>
          <w:rFonts w:ascii="仿宋" w:hAnsi="仿宋" w:eastAsia="仿宋"/>
          <w:color w:val="000000"/>
          <w:kern w:val="0"/>
          <w:sz w:val="24"/>
        </w:rPr>
        <w:t>时00分00秒 </w:t>
      </w:r>
      <w:r>
        <w:rPr>
          <w:rFonts w:hint="eastAsia" w:ascii="仿宋" w:hAnsi="仿宋" w:eastAsia="仿宋"/>
          <w:color w:val="000000"/>
          <w:kern w:val="0"/>
          <w:sz w:val="24"/>
        </w:rPr>
        <w:t>（北京时间）</w:t>
      </w:r>
    </w:p>
    <w:p>
      <w:pPr>
        <w:pStyle w:val="23"/>
        <w:spacing w:line="400" w:lineRule="exact"/>
        <w:ind w:firstLine="480" w:firstLineChars="200"/>
        <w:rPr>
          <w:rFonts w:ascii="仿宋" w:hAnsi="仿宋" w:eastAsia="仿宋"/>
          <w:color w:val="000000"/>
          <w:kern w:val="0"/>
          <w:sz w:val="24"/>
        </w:rPr>
      </w:pPr>
      <w:r>
        <w:rPr>
          <w:rFonts w:hint="eastAsia" w:ascii="仿宋" w:hAnsi="仿宋" w:eastAsia="仿宋"/>
          <w:color w:val="000000"/>
          <w:kern w:val="0"/>
          <w:sz w:val="24"/>
        </w:rPr>
        <w:t>地点：</w:t>
      </w:r>
      <w:r>
        <w:rPr>
          <w:rFonts w:ascii="仿宋" w:hAnsi="仿宋" w:eastAsia="仿宋"/>
          <w:color w:val="000000"/>
          <w:kern w:val="0"/>
          <w:sz w:val="24"/>
        </w:rPr>
        <w:t>西安市高新二路2号山西证券大厦</w:t>
      </w:r>
      <w:r>
        <w:rPr>
          <w:rFonts w:hint="eastAsia" w:ascii="仿宋" w:hAnsi="仿宋" w:eastAsia="仿宋"/>
          <w:color w:val="000000"/>
          <w:kern w:val="0"/>
          <w:sz w:val="24"/>
        </w:rPr>
        <w:t>8</w:t>
      </w:r>
      <w:r>
        <w:rPr>
          <w:rFonts w:ascii="仿宋" w:hAnsi="仿宋" w:eastAsia="仿宋"/>
          <w:color w:val="000000"/>
          <w:kern w:val="0"/>
          <w:sz w:val="24"/>
        </w:rPr>
        <w:t>层第</w:t>
      </w:r>
      <w:r>
        <w:rPr>
          <w:rFonts w:hint="eastAsia" w:ascii="仿宋" w:hAnsi="仿宋" w:eastAsia="仿宋"/>
          <w:color w:val="000000"/>
          <w:kern w:val="0"/>
          <w:sz w:val="24"/>
        </w:rPr>
        <w:t>2</w:t>
      </w:r>
      <w:r>
        <w:rPr>
          <w:rFonts w:ascii="仿宋" w:hAnsi="仿宋" w:eastAsia="仿宋"/>
          <w:color w:val="000000"/>
          <w:kern w:val="0"/>
          <w:sz w:val="24"/>
        </w:rPr>
        <w:t>会议室</w:t>
      </w:r>
    </w:p>
    <w:p>
      <w:pPr>
        <w:pStyle w:val="23"/>
        <w:spacing w:line="400" w:lineRule="exact"/>
        <w:rPr>
          <w:rFonts w:ascii="仿宋" w:hAnsi="仿宋" w:eastAsia="仿宋"/>
          <w:b/>
          <w:kern w:val="0"/>
          <w:sz w:val="24"/>
        </w:rPr>
      </w:pPr>
      <w:r>
        <w:rPr>
          <w:rFonts w:hint="eastAsia" w:ascii="仿宋" w:hAnsi="仿宋" w:eastAsia="仿宋"/>
          <w:b/>
          <w:kern w:val="0"/>
          <w:sz w:val="24"/>
        </w:rPr>
        <w:t>六</w:t>
      </w:r>
      <w:r>
        <w:rPr>
          <w:rFonts w:ascii="仿宋" w:hAnsi="仿宋" w:eastAsia="仿宋"/>
          <w:b/>
          <w:kern w:val="0"/>
          <w:sz w:val="24"/>
        </w:rPr>
        <w:t>、公告期限</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3"/>
        <w:spacing w:line="400" w:lineRule="exact"/>
        <w:rPr>
          <w:rFonts w:ascii="仿宋" w:hAnsi="仿宋" w:eastAsia="仿宋"/>
          <w:b/>
          <w:kern w:val="0"/>
          <w:sz w:val="24"/>
        </w:rPr>
      </w:pPr>
      <w:r>
        <w:rPr>
          <w:rFonts w:ascii="仿宋" w:hAnsi="仿宋" w:eastAsia="仿宋"/>
          <w:b/>
          <w:kern w:val="0"/>
          <w:sz w:val="24"/>
        </w:rPr>
        <w:t>六、其他补充事宜</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注：</w:t>
      </w:r>
      <w:r>
        <w:rPr>
          <w:rFonts w:hint="eastAsia" w:ascii="仿宋" w:hAnsi="仿宋" w:eastAsia="仿宋"/>
          <w:kern w:val="0"/>
          <w:sz w:val="24"/>
        </w:rPr>
        <w:t>在西安市高新二路山西证券大厦8楼招标四部获取竞争性磋商文件，来时携带法人授权书和身份证复印件，登记备案后发送电子版竞争性磋商文件。</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2.3 《财政部农业农村部国家乡村振兴局关于运用政府采购政策支持乡村产业振兴的通知》（财库〔2021〕19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若享受以上政策优惠的企业，提供相应声明函或品目清单范围内产品的有效认证证书。</w:t>
      </w:r>
    </w:p>
    <w:p>
      <w:pPr>
        <w:pStyle w:val="23"/>
        <w:spacing w:line="400" w:lineRule="exact"/>
        <w:rPr>
          <w:rFonts w:ascii="仿宋" w:hAnsi="仿宋" w:eastAsia="仿宋"/>
          <w:b/>
          <w:kern w:val="0"/>
          <w:sz w:val="24"/>
        </w:rPr>
      </w:pPr>
      <w:r>
        <w:rPr>
          <w:rFonts w:ascii="仿宋" w:hAnsi="仿宋" w:eastAsia="仿宋"/>
          <w:b/>
          <w:kern w:val="0"/>
          <w:sz w:val="24"/>
        </w:rPr>
        <w:t>七、对本次招标提出询问，请按以下方式联系。</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1、采购人信息：西安市胸科医院</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地址：陕西省西安市航天大道</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w:t>
      </w:r>
      <w:r>
        <w:rPr>
          <w:rFonts w:ascii="仿宋" w:hAnsi="仿宋" w:eastAsia="仿宋"/>
          <w:kern w:val="0"/>
          <w:sz w:val="24"/>
        </w:rPr>
        <w:t>0</w:t>
      </w:r>
      <w:r>
        <w:rPr>
          <w:rFonts w:hint="eastAsia" w:ascii="仿宋" w:hAnsi="仿宋" w:eastAsia="仿宋"/>
          <w:kern w:val="0"/>
          <w:sz w:val="24"/>
        </w:rPr>
        <w:t>29</w:t>
      </w:r>
      <w:r>
        <w:rPr>
          <w:rFonts w:ascii="仿宋" w:hAnsi="仿宋" w:eastAsia="仿宋"/>
          <w:kern w:val="0"/>
          <w:sz w:val="24"/>
        </w:rPr>
        <w:t>-</w:t>
      </w:r>
      <w:r>
        <w:t xml:space="preserve"> </w:t>
      </w:r>
      <w:r>
        <w:rPr>
          <w:rFonts w:ascii="仿宋" w:hAnsi="仿宋" w:eastAsia="仿宋"/>
          <w:kern w:val="0"/>
          <w:sz w:val="24"/>
        </w:rPr>
        <w:t>62500135</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2、采购代理机构信息</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名称：陕西省采购招标有限责任公司</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联系地址：西安市高新二路山西证券大厦8楼</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联系方式：029-88497916</w:t>
      </w:r>
    </w:p>
    <w:p>
      <w:pPr>
        <w:pStyle w:val="23"/>
        <w:spacing w:line="400" w:lineRule="exact"/>
        <w:rPr>
          <w:rFonts w:ascii="仿宋" w:hAnsi="仿宋" w:eastAsia="仿宋"/>
          <w:kern w:val="0"/>
          <w:sz w:val="24"/>
        </w:rPr>
      </w:pPr>
      <w:r>
        <w:rPr>
          <w:rFonts w:hint="eastAsia" w:ascii="仿宋" w:hAnsi="仿宋" w:eastAsia="仿宋"/>
          <w:kern w:val="0"/>
          <w:sz w:val="24"/>
        </w:rPr>
        <w:t>3、项目联系方式：</w:t>
      </w:r>
    </w:p>
    <w:p>
      <w:pPr>
        <w:pStyle w:val="23"/>
        <w:spacing w:line="400" w:lineRule="exact"/>
        <w:ind w:firstLine="360" w:firstLineChars="150"/>
        <w:rPr>
          <w:rFonts w:ascii="仿宋" w:hAnsi="仿宋" w:eastAsia="仿宋"/>
          <w:kern w:val="0"/>
          <w:sz w:val="24"/>
        </w:rPr>
      </w:pPr>
      <w:r>
        <w:rPr>
          <w:rFonts w:hint="eastAsia" w:ascii="仿宋" w:hAnsi="仿宋" w:eastAsia="仿宋"/>
          <w:kern w:val="0"/>
          <w:sz w:val="24"/>
        </w:rPr>
        <w:t>项目联系人：姜凯</w:t>
      </w:r>
    </w:p>
    <w:p>
      <w:pPr>
        <w:pStyle w:val="23"/>
        <w:spacing w:line="400" w:lineRule="exact"/>
        <w:ind w:firstLine="360" w:firstLineChars="150"/>
        <w:rPr>
          <w:rFonts w:ascii="仿宋" w:hAnsi="仿宋" w:eastAsia="仿宋"/>
          <w:kern w:val="0"/>
          <w:sz w:val="24"/>
        </w:rPr>
      </w:pPr>
      <w:r>
        <w:rPr>
          <w:rFonts w:hint="eastAsia" w:ascii="仿宋" w:hAnsi="仿宋" w:eastAsia="仿宋"/>
          <w:kern w:val="0"/>
          <w:sz w:val="24"/>
        </w:rPr>
        <w:t>电话：029-88497916</w:t>
      </w:r>
    </w:p>
    <w:p>
      <w:pPr>
        <w:widowControl/>
        <w:snapToGrid w:val="0"/>
        <w:spacing w:line="400" w:lineRule="exact"/>
        <w:ind w:right="-197" w:rightChars="-94" w:firstLine="360" w:firstLineChars="150"/>
        <w:jc w:val="right"/>
        <w:rPr>
          <w:rFonts w:ascii="仿宋" w:hAnsi="仿宋" w:eastAsia="仿宋"/>
          <w:sz w:val="24"/>
        </w:rPr>
      </w:pPr>
      <w:r>
        <w:rPr>
          <w:rFonts w:hint="eastAsia" w:ascii="仿宋" w:hAnsi="仿宋" w:eastAsia="仿宋"/>
          <w:sz w:val="24"/>
        </w:rPr>
        <w:t>陕西省采购招标有限责任公司</w:t>
      </w:r>
    </w:p>
    <w:p>
      <w:pPr>
        <w:pStyle w:val="23"/>
        <w:spacing w:line="400" w:lineRule="exact"/>
        <w:rPr>
          <w:rFonts w:ascii="Times New Roman" w:hAnsi="Times New Roman" w:eastAsia="仿宋_GB2312"/>
        </w:rPr>
      </w:pPr>
      <w:r>
        <w:rPr>
          <w:rFonts w:hint="eastAsia" w:ascii="仿宋" w:hAnsi="仿宋" w:eastAsia="仿宋"/>
          <w:sz w:val="24"/>
        </w:rPr>
        <w:t xml:space="preserve">                                                        2022年08月30日</w:t>
      </w: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rPr>
      </w:pPr>
      <w:bookmarkStart w:id="20" w:name="_Toc249515389"/>
      <w:bookmarkStart w:id="21" w:name="_Toc58504446"/>
      <w:bookmarkStart w:id="22" w:name="_Toc21126"/>
      <w:bookmarkStart w:id="23" w:name="_Toc68590966"/>
      <w:bookmarkStart w:id="24" w:name="_Toc232395211"/>
      <w:bookmarkStart w:id="25" w:name="_Toc249515277"/>
      <w:bookmarkStart w:id="26" w:name="_Toc256342142"/>
      <w:bookmarkStart w:id="27" w:name="_Toc232176271"/>
      <w:bookmarkStart w:id="28" w:name="_Toc230099796"/>
      <w:bookmarkStart w:id="29" w:name="_Toc230013631"/>
      <w:bookmarkStart w:id="30" w:name="_Toc184043011"/>
      <w:bookmarkStart w:id="31" w:name="_Toc249525158"/>
      <w:bookmarkStart w:id="32" w:name="_Toc230583540"/>
      <w:bookmarkStart w:id="33" w:name="_Toc415499895"/>
      <w:bookmarkStart w:id="34" w:name="_Toc230013632"/>
      <w:bookmarkStart w:id="35" w:name="_Toc496324578"/>
      <w:bookmarkStart w:id="36" w:name="_Toc249515390"/>
      <w:bookmarkStart w:id="37" w:name="_Toc53722840"/>
      <w:bookmarkStart w:id="38" w:name="_Toc230099797"/>
      <w:bookmarkStart w:id="39" w:name="_Toc500747061"/>
      <w:bookmarkStart w:id="40" w:name="_Toc499711042"/>
      <w:bookmarkStart w:id="41" w:name="_Toc177189235"/>
      <w:bookmarkStart w:id="42" w:name="_Toc177995473"/>
      <w:bookmarkStart w:id="43" w:name="_Toc249525159"/>
      <w:bookmarkStart w:id="44" w:name="_Toc499711883"/>
      <w:bookmarkStart w:id="45" w:name="_Toc249515278"/>
      <w:bookmarkStart w:id="46" w:name="_Toc177817334"/>
      <w:bookmarkStart w:id="47" w:name="_Toc184043012"/>
      <w:bookmarkStart w:id="48" w:name="_Toc232395212"/>
      <w:bookmarkStart w:id="49" w:name="_Toc256342143"/>
      <w:bookmarkStart w:id="50" w:name="_Toc492955414"/>
      <w:bookmarkStart w:id="51" w:name="_Toc176882542"/>
      <w:bookmarkStart w:id="52" w:name="_Toc230583541"/>
      <w:bookmarkStart w:id="53" w:name="_Toc500747188"/>
      <w:bookmarkStart w:id="54" w:name="_Toc70687139"/>
      <w:bookmarkStart w:id="55" w:name="_Toc232176272"/>
      <w:bookmarkStart w:id="56" w:name="_Toc500746965"/>
      <w:bookmarkStart w:id="57" w:name="_Toc503063421"/>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6324580"/>
            <w:bookmarkStart w:id="61" w:name="_Toc492955416"/>
            <w:bookmarkStart w:id="62" w:name="_Toc389620165"/>
            <w:bookmarkStart w:id="63" w:name="_Toc500747063"/>
            <w:bookmarkStart w:id="64" w:name="_Toc385992326"/>
            <w:bookmarkStart w:id="65" w:name="_Toc500746967"/>
            <w:bookmarkStart w:id="66" w:name="_Toc499711885"/>
            <w:bookmarkStart w:id="67" w:name="_Toc500747190"/>
            <w:bookmarkStart w:id="68" w:name="_Toc499711044"/>
            <w:bookmarkStart w:id="69" w:name="_Toc503063423"/>
            <w:r>
              <w:rPr>
                <w:rFonts w:ascii="Times New Roman" w:hAnsi="Times New Roman" w:eastAsia="仿宋_GB2312"/>
                <w:b/>
                <w:sz w:val="24"/>
                <w:szCs w:val="24"/>
              </w:rPr>
              <w:t>条款号</w:t>
            </w:r>
          </w:p>
        </w:tc>
        <w:tc>
          <w:tcPr>
            <w:tcW w:w="7650" w:type="dxa"/>
            <w:vAlign w:val="center"/>
          </w:tcPr>
          <w:p>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项目名称：</w:t>
            </w:r>
            <w:r>
              <w:rPr>
                <w:rFonts w:hint="eastAsia" w:ascii="Times New Roman" w:hAnsi="Times New Roman" w:eastAsia="仿宋_GB2312"/>
                <w:color w:val="000000"/>
                <w:sz w:val="24"/>
                <w:szCs w:val="24"/>
              </w:rPr>
              <w:t>西安市胸科医院门诊电教室电子显示屏采购项目</w:t>
            </w:r>
          </w:p>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项目编号：SCZD2022-CS-161</w:t>
            </w:r>
            <w:r>
              <w:rPr>
                <w:rFonts w:hint="eastAsia" w:ascii="Times New Roman" w:hAnsi="Times New Roman" w:eastAsia="仿宋_GB2312"/>
                <w:color w:val="000000"/>
                <w:sz w:val="24"/>
                <w:szCs w:val="24"/>
              </w:rPr>
              <w:t>4</w:t>
            </w:r>
            <w:r>
              <w:rPr>
                <w:rFonts w:ascii="Times New Roman" w:hAnsi="Times New Roman" w:eastAsia="仿宋_GB2312"/>
                <w:color w:val="000000"/>
                <w:sz w:val="24"/>
                <w:szCs w:val="24"/>
              </w:rPr>
              <w:t>/001</w:t>
            </w:r>
          </w:p>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资金来源：</w:t>
            </w:r>
            <w:r>
              <w:rPr>
                <w:rFonts w:hint="eastAsia" w:ascii="Times New Roman" w:hAnsi="Times New Roman" w:eastAsia="仿宋_GB2312"/>
                <w:color w:val="000000"/>
                <w:sz w:val="24"/>
                <w:szCs w:val="24"/>
              </w:rPr>
              <w:t>自筹</w:t>
            </w:r>
            <w:r>
              <w:rPr>
                <w:rFonts w:ascii="Times New Roman" w:hAnsi="Times New Roman" w:eastAsia="仿宋_GB2312"/>
                <w:color w:val="000000"/>
                <w:sz w:val="24"/>
                <w:szCs w:val="24"/>
              </w:rPr>
              <w:t>资金</w:t>
            </w:r>
          </w:p>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预算金额：</w:t>
            </w:r>
            <w:r>
              <w:rPr>
                <w:rFonts w:hint="eastAsia" w:ascii="Times New Roman" w:hAnsi="Times New Roman" w:eastAsia="仿宋_GB2312"/>
                <w:color w:val="000000"/>
                <w:sz w:val="24"/>
                <w:szCs w:val="24"/>
              </w:rPr>
              <w:t>30万元</w:t>
            </w:r>
          </w:p>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采购方式：竞争性磋商</w:t>
            </w:r>
          </w:p>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采购内容：详见本磋商文件第五章</w:t>
            </w:r>
          </w:p>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项目所属行业：</w:t>
            </w:r>
            <w:r>
              <w:rPr>
                <w:rFonts w:hint="eastAsia" w:ascii="Times New Roman" w:hAnsi="Times New Roman" w:eastAsia="仿宋_GB2312"/>
                <w:b/>
                <w:bCs/>
                <w:color w:val="000000"/>
                <w:sz w:val="24"/>
                <w:szCs w:val="24"/>
                <w:u w:val="single"/>
              </w:rPr>
              <w:t>其他未列明的行业</w:t>
            </w:r>
            <w:r>
              <w:rPr>
                <w:rFonts w:ascii="Times New Roman" w:hAnsi="Times New Roman" w:eastAsia="仿宋_GB2312"/>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9"/>
              <w:adjustRightInd w:val="0"/>
              <w:snapToGrid w:val="0"/>
              <w:spacing w:line="24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采购人：</w:t>
            </w:r>
            <w:r>
              <w:rPr>
                <w:rFonts w:hint="eastAsia" w:ascii="Times New Roman" w:hAnsi="Times New Roman" w:eastAsia="仿宋_GB2312"/>
                <w:color w:val="000000"/>
                <w:sz w:val="24"/>
                <w:szCs w:val="24"/>
              </w:rPr>
              <w:t>西安市胸科医院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r>
              <w:rPr>
                <w:rFonts w:hint="eastAsia" w:ascii="Times New Roman" w:hAnsi="Times New Roman" w:eastAsia="仿宋_GB2312"/>
                <w:sz w:val="24"/>
                <w:szCs w:val="24"/>
              </w:rPr>
              <w:t>：</w:t>
            </w:r>
            <w:r>
              <w:rPr>
                <w:rFonts w:ascii="Times New Roman" w:hAnsi="Times New Roman" w:eastAsia="仿宋_GB2312"/>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hint="eastAsia" w:ascii="Times New Roman" w:eastAsia="仿宋_GB2312" w:cs="Times New Roman"/>
                <w:color w:val="auto"/>
                <w:u w:val="single"/>
              </w:rPr>
              <w:t>本项目为专门面向中小企业的项目，供应商应为中小微企业、监狱企业或残疾人福利性单位。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w:t>
            </w:r>
            <w:r>
              <w:rPr>
                <w:rFonts w:hint="eastAsia" w:eastAsia="仿宋_GB2312"/>
                <w:sz w:val="24"/>
              </w:rPr>
              <w:t>包括但不限于管理人员和服务人员的人工费（工资、社保、福利等）、员工培训费、办公经费、劳保及人身意外保险费、企业法定利润、财务费用、管理费用和税金等一切费用。</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本项目</w:t>
            </w:r>
            <w:r>
              <w:rPr>
                <w:rFonts w:hint="eastAsia" w:ascii="Times New Roman" w:hAnsi="Times New Roman" w:eastAsia="仿宋_GB2312"/>
                <w:sz w:val="24"/>
                <w:szCs w:val="24"/>
              </w:rPr>
              <w:t>不收取</w:t>
            </w:r>
            <w:r>
              <w:rPr>
                <w:rFonts w:ascii="Times New Roman" w:hAnsi="Times New Roman" w:eastAsia="仿宋_GB2312"/>
                <w:sz w:val="24"/>
                <w:szCs w:val="24"/>
              </w:rPr>
              <w:t>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tabs>
                <w:tab w:val="left" w:pos="588"/>
              </w:tabs>
              <w:spacing w:line="360" w:lineRule="auto"/>
              <w:rPr>
                <w:rFonts w:eastAsia="仿宋_GB2312"/>
                <w:kern w:val="24"/>
                <w:sz w:val="24"/>
                <w:szCs w:val="21"/>
              </w:rPr>
            </w:pPr>
            <w:r>
              <w:rPr>
                <w:rFonts w:eastAsia="仿宋_GB2312"/>
                <w:kern w:val="24"/>
                <w:sz w:val="24"/>
                <w:szCs w:val="21"/>
              </w:rPr>
              <w:t>响应文件递交截止时间：20</w:t>
            </w:r>
            <w:r>
              <w:rPr>
                <w:rFonts w:hint="eastAsia" w:eastAsia="仿宋_GB2312"/>
                <w:kern w:val="24"/>
                <w:sz w:val="24"/>
                <w:szCs w:val="21"/>
              </w:rPr>
              <w:t>22</w:t>
            </w:r>
            <w:r>
              <w:rPr>
                <w:rFonts w:eastAsia="仿宋_GB2312"/>
                <w:kern w:val="24"/>
                <w:sz w:val="24"/>
                <w:szCs w:val="21"/>
              </w:rPr>
              <w:t>年</w:t>
            </w:r>
            <w:r>
              <w:rPr>
                <w:rFonts w:hint="eastAsia" w:eastAsia="仿宋_GB2312"/>
                <w:kern w:val="24"/>
                <w:sz w:val="24"/>
                <w:szCs w:val="21"/>
              </w:rPr>
              <w:t>09</w:t>
            </w:r>
            <w:r>
              <w:rPr>
                <w:rFonts w:eastAsia="仿宋_GB2312"/>
                <w:kern w:val="24"/>
                <w:sz w:val="24"/>
                <w:szCs w:val="21"/>
              </w:rPr>
              <w:t>月</w:t>
            </w:r>
            <w:r>
              <w:rPr>
                <w:rFonts w:hint="eastAsia" w:eastAsia="仿宋_GB2312"/>
                <w:kern w:val="24"/>
                <w:sz w:val="24"/>
                <w:szCs w:val="21"/>
              </w:rPr>
              <w:t>16</w:t>
            </w:r>
            <w:r>
              <w:rPr>
                <w:rFonts w:eastAsia="仿宋_GB2312"/>
                <w:kern w:val="24"/>
                <w:sz w:val="24"/>
                <w:szCs w:val="21"/>
              </w:rPr>
              <w:t>日</w:t>
            </w:r>
            <w:r>
              <w:rPr>
                <w:rFonts w:hint="eastAsia" w:eastAsia="仿宋_GB2312"/>
                <w:kern w:val="24"/>
                <w:sz w:val="24"/>
                <w:szCs w:val="21"/>
              </w:rPr>
              <w:t>14:00</w:t>
            </w:r>
            <w:r>
              <w:rPr>
                <w:rFonts w:eastAsia="仿宋_GB2312"/>
                <w:kern w:val="24"/>
                <w:sz w:val="24"/>
                <w:szCs w:val="21"/>
              </w:rPr>
              <w:t>（北京时间）。</w:t>
            </w:r>
          </w:p>
          <w:p>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rPr>
              <w:t>西安市高新二路山西证券大厦八楼第2</w:t>
            </w:r>
            <w:r>
              <w:rPr>
                <w:rFonts w:eastAsia="仿宋_GB2312"/>
                <w:kern w:val="24"/>
                <w:sz w:val="24"/>
                <w:szCs w:val="21"/>
              </w:rPr>
              <w:t>会议室。</w:t>
            </w:r>
          </w:p>
          <w:p>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本项目不要求履约保证金。</w:t>
            </w:r>
          </w:p>
        </w:tc>
      </w:tr>
    </w:tbl>
    <w:p>
      <w:pPr>
        <w:rPr>
          <w:rFonts w:eastAsia="仿宋_GB2312"/>
          <w:sz w:val="30"/>
          <w:szCs w:val="30"/>
        </w:rPr>
      </w:pPr>
      <w:bookmarkStart w:id="70" w:name="_Toc230013633"/>
      <w:bookmarkStart w:id="71" w:name="_Toc256342144"/>
      <w:bookmarkStart w:id="72" w:name="_Toc249525160"/>
      <w:bookmarkStart w:id="73" w:name="_Toc232176273"/>
      <w:bookmarkStart w:id="74" w:name="_Toc176882543"/>
      <w:bookmarkStart w:id="75" w:name="_Toc177995474"/>
      <w:bookmarkStart w:id="76" w:name="_Toc184043013"/>
      <w:bookmarkStart w:id="77" w:name="_Toc249515391"/>
      <w:bookmarkStart w:id="78" w:name="_Toc249515279"/>
      <w:bookmarkStart w:id="79" w:name="_Toc53722841"/>
      <w:bookmarkStart w:id="80" w:name="_Toc230099798"/>
      <w:bookmarkStart w:id="81" w:name="_Toc232395213"/>
      <w:bookmarkStart w:id="82" w:name="_Toc177189236"/>
      <w:bookmarkStart w:id="83" w:name="_Toc70687140"/>
      <w:bookmarkStart w:id="84" w:name="_Toc230583542"/>
      <w:bookmarkStart w:id="85" w:name="_Toc177817335"/>
      <w:r>
        <w:rPr>
          <w:rFonts w:eastAsia="仿宋_GB2312"/>
          <w:sz w:val="30"/>
          <w:szCs w:val="30"/>
        </w:rPr>
        <w:br w:type="page"/>
      </w:r>
    </w:p>
    <w:p>
      <w:pPr>
        <w:pStyle w:val="77"/>
        <w:spacing w:before="24" w:after="24"/>
        <w:jc w:val="center"/>
        <w:rPr>
          <w:rFonts w:eastAsia="仿宋_GB2312"/>
          <w:szCs w:val="32"/>
        </w:rPr>
      </w:pPr>
      <w:bookmarkStart w:id="86" w:name="_Toc68590968"/>
      <w:r>
        <w:rPr>
          <w:rFonts w:eastAsia="仿宋_GB2312"/>
          <w:szCs w:val="32"/>
        </w:rPr>
        <w:t>（二）供应商须知</w:t>
      </w:r>
      <w:bookmarkEnd w:id="86"/>
    </w:p>
    <w:p>
      <w:pPr>
        <w:pStyle w:val="77"/>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15392"/>
      <w:bookmarkStart w:id="90" w:name="_Toc249515280"/>
      <w:bookmarkStart w:id="91" w:name="_Toc184043014"/>
      <w:bookmarkStart w:id="92" w:name="_Toc249525161"/>
      <w:bookmarkStart w:id="93" w:name="_Toc25504"/>
      <w:r>
        <w:rPr>
          <w:rFonts w:ascii="Times New Roman" w:hAnsi="Times New Roman" w:eastAsia="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249515393"/>
      <w:bookmarkStart w:id="95" w:name="_Toc31509"/>
      <w:bookmarkStart w:id="96" w:name="_Toc70687142"/>
      <w:bookmarkStart w:id="97" w:name="_Toc249515281"/>
      <w:bookmarkStart w:id="98" w:name="_Toc184043015"/>
      <w:bookmarkStart w:id="99" w:name="_Toc249525162"/>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3"/>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3"/>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184043016"/>
      <w:bookmarkStart w:id="101" w:name="_Toc249525163"/>
      <w:bookmarkStart w:id="102" w:name="_Toc385992329"/>
      <w:bookmarkStart w:id="103" w:name="_Toc23705"/>
      <w:bookmarkStart w:id="104" w:name="_Toc70687143"/>
      <w:bookmarkStart w:id="105" w:name="_Toc389620168"/>
      <w:bookmarkStart w:id="106" w:name="_Toc249515394"/>
      <w:bookmarkStart w:id="107" w:name="_Toc249515282"/>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3"/>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249515283"/>
      <w:bookmarkStart w:id="109" w:name="_Toc249515395"/>
      <w:bookmarkStart w:id="110" w:name="_Toc184043017"/>
      <w:bookmarkStart w:id="111" w:name="_Toc70687144"/>
      <w:bookmarkStart w:id="112" w:name="_Toc26580"/>
      <w:bookmarkStart w:id="113" w:name="_Toc249525164"/>
      <w:bookmarkStart w:id="114" w:name="_Toc385992330"/>
      <w:bookmarkStart w:id="115" w:name="_Toc389620169"/>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3"/>
        <w:rPr>
          <w:rFonts w:ascii="Times New Roman" w:hAnsi="Times New Roman" w:eastAsia="仿宋_GB2312"/>
        </w:rPr>
      </w:pPr>
    </w:p>
    <w:p>
      <w:pPr>
        <w:pStyle w:val="77"/>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249515397"/>
      <w:bookmarkStart w:id="119" w:name="_Toc249525166"/>
      <w:bookmarkStart w:id="120" w:name="_Toc385992332"/>
      <w:bookmarkStart w:id="121" w:name="_Toc184043019"/>
      <w:bookmarkStart w:id="122" w:name="_Toc70687146"/>
      <w:bookmarkStart w:id="123" w:name="_Toc389620171"/>
      <w:bookmarkStart w:id="124" w:name="_Toc249515285"/>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磋商文件用以阐明供应商所需提供的服务、工程或货物以及其它类似的义务、采购响应程序和合同条款。磋商文件包括如下五章内容：</w:t>
      </w:r>
    </w:p>
    <w:p>
      <w:pPr>
        <w:pStyle w:val="23"/>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3"/>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3"/>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3"/>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3"/>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3"/>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249515398"/>
      <w:bookmarkStart w:id="127" w:name="_Toc249525167"/>
      <w:bookmarkStart w:id="128" w:name="_Toc249515286"/>
      <w:bookmarkStart w:id="129" w:name="_Toc184043020"/>
      <w:bookmarkStart w:id="130" w:name="_Toc389620172"/>
      <w:bookmarkStart w:id="131" w:name="_Toc385992333"/>
      <w:bookmarkStart w:id="132" w:name="_Toc70687147"/>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70687148"/>
      <w:bookmarkStart w:id="135" w:name="_Toc385992334"/>
      <w:bookmarkStart w:id="136" w:name="_Toc389620173"/>
      <w:r>
        <w:rPr>
          <w:rFonts w:eastAsia="仿宋_GB2312"/>
          <w:sz w:val="24"/>
        </w:rPr>
        <w:t xml:space="preserve">7.1    </w:t>
      </w:r>
      <w:bookmarkEnd w:id="134"/>
      <w:bookmarkEnd w:id="135"/>
      <w:bookmarkEnd w:id="136"/>
      <w:bookmarkStart w:id="137" w:name="_Toc70687149"/>
      <w:bookmarkStart w:id="138" w:name="_Toc389620174"/>
      <w:bookmarkStart w:id="139" w:name="_Toc500747065"/>
      <w:bookmarkStart w:id="140" w:name="_Toc385992335"/>
      <w:bookmarkStart w:id="141" w:name="_Toc500747192"/>
      <w:bookmarkStart w:id="142" w:name="_Toc496324582"/>
      <w:bookmarkStart w:id="143" w:name="_Toc499711046"/>
      <w:bookmarkStart w:id="144" w:name="_Toc503063425"/>
      <w:bookmarkStart w:id="145" w:name="_Toc53722843"/>
      <w:bookmarkStart w:id="146" w:name="_Toc499711887"/>
      <w:bookmarkStart w:id="147" w:name="_Toc500746969"/>
      <w:bookmarkStart w:id="148" w:name="_Toc492955418"/>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3"/>
      </w:pPr>
    </w:p>
    <w:p>
      <w:pPr>
        <w:pStyle w:val="77"/>
        <w:spacing w:before="24" w:after="24"/>
        <w:ind w:left="3313"/>
        <w:rPr>
          <w:rFonts w:eastAsia="仿宋_GB2312"/>
          <w:sz w:val="30"/>
          <w:szCs w:val="30"/>
        </w:rPr>
      </w:pPr>
      <w:bookmarkStart w:id="149" w:name="_Toc177817337"/>
      <w:bookmarkStart w:id="150" w:name="_Toc232176275"/>
      <w:bookmarkStart w:id="151" w:name="_Toc256342146"/>
      <w:bookmarkStart w:id="152" w:name="_Toc249515400"/>
      <w:bookmarkStart w:id="153" w:name="_Toc68590971"/>
      <w:bookmarkStart w:id="154" w:name="_Toc232395215"/>
      <w:bookmarkStart w:id="155" w:name="_Toc184043022"/>
      <w:bookmarkStart w:id="156" w:name="_Toc177995476"/>
      <w:bookmarkStart w:id="157" w:name="_Toc177189238"/>
      <w:bookmarkStart w:id="158" w:name="_Toc249525169"/>
      <w:bookmarkStart w:id="159" w:name="_Toc230099800"/>
      <w:bookmarkStart w:id="160" w:name="_Toc230583544"/>
      <w:bookmarkStart w:id="161" w:name="_Toc176882545"/>
      <w:bookmarkStart w:id="162" w:name="_Toc230013635"/>
      <w:bookmarkStart w:id="163" w:name="_Toc249515288"/>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30150"/>
      <w:bookmarkStart w:id="165" w:name="_Toc184043023"/>
      <w:bookmarkStart w:id="166" w:name="_Toc249515289"/>
      <w:bookmarkStart w:id="167" w:name="_Toc70687150"/>
      <w:bookmarkStart w:id="168" w:name="_Toc249515401"/>
      <w:bookmarkStart w:id="169" w:name="_Toc249525170"/>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70687151"/>
      <w:bookmarkStart w:id="173" w:name="_Toc184043024"/>
      <w:bookmarkStart w:id="174" w:name="_Toc249515402"/>
      <w:bookmarkStart w:id="175" w:name="_Toc249515290"/>
      <w:bookmarkStart w:id="176" w:name="_Toc18327"/>
      <w:bookmarkStart w:id="177" w:name="_Toc249525171"/>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29318"/>
      <w:bookmarkStart w:id="179" w:name="_Toc70687152"/>
      <w:bookmarkStart w:id="180" w:name="_Toc385992338"/>
      <w:bookmarkStart w:id="181" w:name="_Toc389620177"/>
      <w:bookmarkStart w:id="182" w:name="_Toc249515403"/>
      <w:bookmarkStart w:id="183" w:name="_Toc249515291"/>
      <w:bookmarkStart w:id="184" w:name="_Toc184043025"/>
      <w:bookmarkStart w:id="185" w:name="_Toc24952517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249525173"/>
      <w:bookmarkStart w:id="187" w:name="_Toc70687153"/>
      <w:bookmarkStart w:id="188" w:name="_Toc389620178"/>
      <w:bookmarkStart w:id="189" w:name="_Toc385992339"/>
      <w:bookmarkStart w:id="190" w:name="_Toc249515292"/>
      <w:bookmarkStart w:id="191" w:name="_Toc26312"/>
      <w:bookmarkStart w:id="192" w:name="_Toc249515404"/>
      <w:bookmarkStart w:id="193" w:name="_Toc184043026"/>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hint="eastAsia" w:eastAsia="仿宋_GB2312"/>
          <w:kern w:val="24"/>
          <w:sz w:val="24"/>
          <w:szCs w:val="21"/>
          <w:u w:val="single"/>
        </w:rPr>
        <w:t>服务</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249525175"/>
      <w:bookmarkStart w:id="196" w:name="_Toc184043028"/>
      <w:bookmarkStart w:id="197" w:name="_Toc249515294"/>
      <w:bookmarkStart w:id="198" w:name="_Toc20687"/>
      <w:bookmarkStart w:id="199" w:name="_Toc249515406"/>
      <w:bookmarkStart w:id="200" w:name="_Toc385992341"/>
      <w:bookmarkStart w:id="201" w:name="_Toc389620180"/>
      <w:bookmarkStart w:id="202" w:name="_Toc70687155"/>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r>
        <w:rPr>
          <w:rFonts w:hint="eastAsia" w:ascii="Times New Roman" w:hAnsi="Times New Roman" w:eastAsia="仿宋_GB2312"/>
          <w:b/>
          <w:sz w:val="24"/>
          <w:szCs w:val="21"/>
        </w:rPr>
        <w:t>：不收取</w:t>
      </w:r>
    </w:p>
    <w:p>
      <w:pPr>
        <w:pStyle w:val="5"/>
        <w:rPr>
          <w:rFonts w:ascii="Times New Roman" w:hAnsi="Times New Roman" w:eastAsia="仿宋_GB2312"/>
          <w:b/>
          <w:sz w:val="24"/>
          <w:szCs w:val="21"/>
        </w:rPr>
      </w:pPr>
      <w:bookmarkStart w:id="206" w:name="_Toc249525177"/>
      <w:bookmarkStart w:id="207" w:name="_Toc249515296"/>
      <w:bookmarkStart w:id="208" w:name="_Toc7949"/>
      <w:bookmarkStart w:id="209" w:name="_Toc249515408"/>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249515297"/>
      <w:bookmarkStart w:id="211" w:name="_Toc16612"/>
      <w:bookmarkStart w:id="212" w:name="_Toc70687160"/>
      <w:bookmarkStart w:id="213" w:name="_Toc385992346"/>
      <w:bookmarkStart w:id="214" w:name="_Toc249525178"/>
      <w:bookmarkStart w:id="215" w:name="_Toc184043033"/>
      <w:bookmarkStart w:id="216" w:name="_Toc389620185"/>
      <w:bookmarkStart w:id="217" w:name="_Toc249515409"/>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184043034"/>
      <w:bookmarkStart w:id="220" w:name="_Toc177995477"/>
      <w:bookmarkStart w:id="221" w:name="_Toc177189239"/>
      <w:bookmarkStart w:id="222" w:name="_Toc500747066"/>
      <w:bookmarkStart w:id="223" w:name="_Toc500747193"/>
      <w:bookmarkStart w:id="224" w:name="_Toc53722844"/>
      <w:bookmarkStart w:id="225" w:name="_Toc385992347"/>
      <w:bookmarkStart w:id="226" w:name="_Toc230583545"/>
      <w:bookmarkStart w:id="227" w:name="_Toc230099801"/>
      <w:bookmarkStart w:id="228" w:name="_Toc70687161"/>
      <w:bookmarkStart w:id="229" w:name="_Toc249525179"/>
      <w:bookmarkStart w:id="230" w:name="_Toc249515410"/>
      <w:bookmarkStart w:id="231" w:name="_Toc496324583"/>
      <w:bookmarkStart w:id="232" w:name="_Toc503063426"/>
      <w:bookmarkStart w:id="233" w:name="_Toc499711047"/>
      <w:bookmarkStart w:id="234" w:name="_Toc500746970"/>
      <w:bookmarkStart w:id="235" w:name="_Toc256342147"/>
      <w:bookmarkStart w:id="236" w:name="_Toc492955419"/>
      <w:bookmarkStart w:id="237" w:name="_Toc230013636"/>
      <w:bookmarkStart w:id="238" w:name="_Toc176882546"/>
      <w:bookmarkStart w:id="239" w:name="_Toc389620186"/>
      <w:bookmarkStart w:id="240" w:name="_Toc177817338"/>
      <w:bookmarkStart w:id="241" w:name="_Toc499711888"/>
      <w:bookmarkStart w:id="242" w:name="_Toc232176276"/>
      <w:bookmarkStart w:id="243" w:name="_Toc232395216"/>
      <w:bookmarkStart w:id="244" w:name="_Toc249515298"/>
      <w:r>
        <w:rPr>
          <w:rFonts w:eastAsia="仿宋_GB2312"/>
          <w:sz w:val="24"/>
        </w:rPr>
        <w:t>16.7   响应文件应按照“资格证明文件”和“商务及技术文件”分成两部分，并用不可拆装的方式分别装订成册。</w:t>
      </w:r>
    </w:p>
    <w:p>
      <w:pPr>
        <w:pStyle w:val="23"/>
      </w:pPr>
    </w:p>
    <w:p>
      <w:pPr>
        <w:pStyle w:val="77"/>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70687162"/>
      <w:bookmarkStart w:id="247" w:name="_Toc249515299"/>
      <w:bookmarkStart w:id="248" w:name="_Toc249515411"/>
      <w:bookmarkStart w:id="249" w:name="_Toc385992348"/>
      <w:bookmarkStart w:id="250" w:name="_Toc249525180"/>
      <w:bookmarkStart w:id="251" w:name="_Toc389620187"/>
      <w:bookmarkStart w:id="252" w:name="_Toc184043035"/>
      <w:bookmarkStart w:id="253" w:name="_Toc4042"/>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5992349"/>
      <w:bookmarkStart w:id="255" w:name="_Toc389620188"/>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3"/>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15412"/>
      <w:bookmarkStart w:id="259" w:name="_Toc31171"/>
      <w:bookmarkStart w:id="260" w:name="_Toc249515300"/>
      <w:bookmarkStart w:id="261" w:name="_Toc24952518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70687164"/>
      <w:bookmarkStart w:id="263" w:name="_Toc385992350"/>
      <w:bookmarkStart w:id="264" w:name="_Toc389620189"/>
      <w:bookmarkStart w:id="265" w:name="_Toc184043037"/>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15413"/>
      <w:bookmarkStart w:id="267" w:name="_Toc249515301"/>
      <w:bookmarkStart w:id="268" w:name="_Toc249525182"/>
      <w:bookmarkStart w:id="269" w:name="_Toc7175"/>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25183"/>
      <w:bookmarkStart w:id="271" w:name="_Toc249515302"/>
      <w:bookmarkStart w:id="272" w:name="_Toc389620190"/>
      <w:bookmarkStart w:id="273" w:name="_Toc10272"/>
      <w:bookmarkStart w:id="274" w:name="_Toc184043038"/>
      <w:bookmarkStart w:id="275" w:name="_Toc385992351"/>
      <w:bookmarkStart w:id="276" w:name="_Toc249515414"/>
      <w:bookmarkStart w:id="277" w:name="_Toc70687165"/>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77"/>
        <w:spacing w:before="24" w:after="24"/>
        <w:ind w:left="3313"/>
        <w:rPr>
          <w:rFonts w:eastAsia="仿宋_GB2312"/>
          <w:sz w:val="30"/>
          <w:szCs w:val="30"/>
        </w:rPr>
      </w:pPr>
      <w:bookmarkStart w:id="278" w:name="_Hlt497729441"/>
      <w:bookmarkEnd w:id="278"/>
      <w:bookmarkStart w:id="279" w:name="_Hlt491765712"/>
      <w:bookmarkEnd w:id="279"/>
      <w:bookmarkStart w:id="280" w:name="_Toc249515303"/>
      <w:bookmarkStart w:id="281" w:name="_Toc249515415"/>
      <w:bookmarkStart w:id="282" w:name="_Toc249525184"/>
      <w:bookmarkStart w:id="283" w:name="_Toc256342148"/>
      <w:bookmarkStart w:id="284" w:name="_Toc68590973"/>
      <w:bookmarkStart w:id="285" w:name="_Toc496324584"/>
      <w:bookmarkStart w:id="286" w:name="_Toc499711048"/>
      <w:bookmarkStart w:id="287" w:name="_Toc176882547"/>
      <w:bookmarkStart w:id="288" w:name="_Toc500747067"/>
      <w:bookmarkStart w:id="289" w:name="_Toc177817339"/>
      <w:bookmarkStart w:id="290" w:name="_Toc53722845"/>
      <w:bookmarkStart w:id="291" w:name="_Toc500746971"/>
      <w:bookmarkStart w:id="292" w:name="_Toc503063427"/>
      <w:bookmarkStart w:id="293" w:name="_Toc177995478"/>
      <w:bookmarkStart w:id="294" w:name="_Toc385992352"/>
      <w:bookmarkStart w:id="295" w:name="_Toc492955420"/>
      <w:bookmarkStart w:id="296" w:name="_Toc177189240"/>
      <w:bookmarkStart w:id="297" w:name="_Toc499711889"/>
      <w:bookmarkStart w:id="298" w:name="_Toc70687166"/>
      <w:bookmarkStart w:id="299" w:name="_Toc500747194"/>
      <w:bookmarkStart w:id="300" w:name="_Toc184043039"/>
      <w:bookmarkStart w:id="301" w:name="_Toc389620191"/>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6"/>
        </w:numPr>
        <w:rPr>
          <w:rFonts w:ascii="Times New Roman" w:hAnsi="Times New Roman" w:eastAsia="仿宋_GB2312"/>
          <w:b/>
          <w:sz w:val="24"/>
        </w:rPr>
      </w:pPr>
      <w:bookmarkStart w:id="302" w:name="_Toc249525186"/>
      <w:bookmarkStart w:id="303" w:name="_Toc249515417"/>
      <w:bookmarkStart w:id="304" w:name="_Toc16042"/>
      <w:bookmarkStart w:id="305" w:name="_Toc249515305"/>
      <w:r>
        <w:rPr>
          <w:rFonts w:ascii="Times New Roman" w:hAnsi="Times New Roman" w:eastAsia="仿宋_GB2312"/>
          <w:b/>
          <w:sz w:val="24"/>
        </w:rPr>
        <w:t xml:space="preserve">   磋商小组</w:t>
      </w:r>
      <w:bookmarkEnd w:id="302"/>
      <w:bookmarkEnd w:id="303"/>
      <w:bookmarkEnd w:id="304"/>
      <w:bookmarkEnd w:id="305"/>
    </w:p>
    <w:p>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249515418"/>
      <w:bookmarkStart w:id="307" w:name="_Toc20608"/>
      <w:bookmarkStart w:id="308" w:name="_Toc249515306"/>
      <w:bookmarkStart w:id="309" w:name="_Toc249525187"/>
      <w:bookmarkStart w:id="310" w:name="_Toc83547667"/>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3"/>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3"/>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3"/>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hint="eastAsia" w:eastAsia="仿宋_GB2312"/>
          <w:sz w:val="24"/>
        </w:rPr>
        <w:t>，</w:t>
      </w:r>
      <w:r>
        <w:rPr>
          <w:rFonts w:eastAsia="仿宋_GB2312"/>
          <w:b/>
          <w:sz w:val="24"/>
        </w:rPr>
        <w:t>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3"/>
        <w:ind w:left="840" w:leftChars="400"/>
        <w:rPr>
          <w:rFonts w:ascii="Times New Roman" w:hAnsi="Times New Roman" w:eastAsia="仿宋_GB2312"/>
          <w:sz w:val="24"/>
        </w:rPr>
      </w:pPr>
      <w:r>
        <w:rPr>
          <w:rFonts w:ascii="Times New Roman" w:hAnsi="Times New Roman" w:eastAsia="仿宋_GB2312"/>
          <w:sz w:val="24"/>
        </w:rPr>
        <w:t>（2）供应商没有经过正常渠道领取磋商文件或供应商的名称与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3"/>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3"/>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3"/>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3"/>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3"/>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3"/>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3"/>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3"/>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3"/>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3"/>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w:t>
      </w:r>
    </w:p>
    <w:p>
      <w:pPr>
        <w:pStyle w:val="23"/>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3"/>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3"/>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3"/>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3"/>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3"/>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3"/>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3"/>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5"/>
        <w:rPr>
          <w:rFonts w:ascii="Times New Roman" w:hAnsi="Times New Roman" w:eastAsia="仿宋_GB2312"/>
          <w:b/>
          <w:bCs/>
          <w:sz w:val="24"/>
          <w:szCs w:val="21"/>
        </w:rPr>
      </w:pPr>
      <w:bookmarkStart w:id="319" w:name="_Toc164608660"/>
      <w:bookmarkStart w:id="320" w:name="_Toc164229387"/>
      <w:bookmarkStart w:id="321" w:name="_Toc150509297"/>
      <w:bookmarkStart w:id="322" w:name="_Toc13753"/>
      <w:bookmarkStart w:id="323" w:name="_Toc142311048"/>
      <w:bookmarkStart w:id="324" w:name="_Toc249515422"/>
      <w:bookmarkStart w:id="325" w:name="_Toc164351640"/>
      <w:bookmarkStart w:id="326" w:name="_Toc151193716"/>
      <w:bookmarkStart w:id="327" w:name="_Toc150774646"/>
      <w:bookmarkStart w:id="328" w:name="_Toc164608815"/>
      <w:bookmarkStart w:id="329" w:name="_Toc127151747"/>
      <w:bookmarkStart w:id="330" w:name="_Toc127151546"/>
      <w:bookmarkStart w:id="331" w:name="_Toc149720839"/>
      <w:bookmarkStart w:id="332" w:name="_Toc151193788"/>
      <w:bookmarkStart w:id="333" w:name="_Ref467307010"/>
      <w:bookmarkStart w:id="334" w:name="_Toc150480784"/>
      <w:bookmarkStart w:id="335" w:name="_Toc151193934"/>
      <w:bookmarkStart w:id="336" w:name="_Toc151193860"/>
      <w:bookmarkStart w:id="337" w:name="_Toc249515310"/>
      <w:bookmarkStart w:id="338" w:name="_Toc520356170"/>
      <w:bookmarkStart w:id="339" w:name="_Toc151193644"/>
      <w:bookmarkStart w:id="340" w:name="_Toc150774751"/>
      <w:bookmarkStart w:id="341" w:name="_Toc164229241"/>
      <w:bookmarkStart w:id="342" w:name="_Toc195842911"/>
      <w:bookmarkStart w:id="343" w:name="_Toc127161460"/>
      <w:bookmarkStart w:id="344" w:name="_Toc249525191"/>
      <w:bookmarkStart w:id="345" w:name="_Toc151190173"/>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rPr>
      </w:pPr>
      <w:bookmarkStart w:id="346" w:name="_Hlt497729446"/>
      <w:bookmarkEnd w:id="346"/>
      <w:bookmarkStart w:id="347" w:name="_Hlt491765714"/>
      <w:bookmarkEnd w:id="347"/>
      <w:bookmarkStart w:id="348" w:name="_Toc249515311"/>
      <w:bookmarkStart w:id="349" w:name="_Toc68590974"/>
      <w:bookmarkStart w:id="350" w:name="_Toc232395218"/>
      <w:bookmarkStart w:id="351" w:name="_Toc249525192"/>
      <w:bookmarkStart w:id="352" w:name="_Toc232176278"/>
      <w:bookmarkStart w:id="353" w:name="_Toc249515423"/>
      <w:bookmarkStart w:id="354" w:name="_Toc256342149"/>
      <w:bookmarkStart w:id="355" w:name="_Toc496324585"/>
      <w:bookmarkStart w:id="356" w:name="_Toc499711049"/>
      <w:bookmarkStart w:id="357" w:name="_Toc500747068"/>
      <w:bookmarkStart w:id="358" w:name="_Toc177817340"/>
      <w:bookmarkStart w:id="359" w:name="_Toc177189241"/>
      <w:bookmarkStart w:id="360" w:name="_Toc503063428"/>
      <w:bookmarkStart w:id="361" w:name="_Toc492955421"/>
      <w:bookmarkStart w:id="362" w:name="_Toc176882548"/>
      <w:bookmarkStart w:id="363" w:name="_Toc385992360"/>
      <w:bookmarkStart w:id="364" w:name="_Toc500746972"/>
      <w:bookmarkStart w:id="365" w:name="_Toc500747195"/>
      <w:bookmarkStart w:id="366" w:name="_Toc389620199"/>
      <w:bookmarkStart w:id="367" w:name="_Toc53722846"/>
      <w:bookmarkStart w:id="368" w:name="_Toc499711890"/>
      <w:bookmarkStart w:id="369" w:name="_Toc184043047"/>
      <w:bookmarkStart w:id="370" w:name="_Toc177995479"/>
      <w:bookmarkStart w:id="371" w:name="_Toc70687174"/>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7"/>
        </w:numPr>
        <w:rPr>
          <w:rFonts w:ascii="Times New Roman" w:hAnsi="Times New Roman" w:eastAsia="仿宋_GB2312"/>
          <w:b/>
          <w:bCs/>
          <w:sz w:val="24"/>
          <w:szCs w:val="21"/>
        </w:rPr>
      </w:pPr>
      <w:bookmarkStart w:id="372" w:name="_Toc27151"/>
      <w:bookmarkStart w:id="373" w:name="_Toc385992361"/>
      <w:bookmarkStart w:id="374" w:name="_Toc249525193"/>
      <w:bookmarkStart w:id="375" w:name="_Toc70687175"/>
      <w:bookmarkStart w:id="376" w:name="_Toc249515424"/>
      <w:bookmarkStart w:id="377" w:name="_Toc249515312"/>
      <w:bookmarkStart w:id="378" w:name="_Toc184043048"/>
      <w:bookmarkStart w:id="379" w:name="_Toc389620200"/>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5992364"/>
      <w:bookmarkStart w:id="381" w:name="_Toc389620203"/>
    </w:p>
    <w:bookmarkEnd w:id="380"/>
    <w:bookmarkEnd w:id="381"/>
    <w:p>
      <w:pPr>
        <w:pStyle w:val="5"/>
        <w:rPr>
          <w:rFonts w:ascii="Times New Roman" w:hAnsi="Times New Roman" w:eastAsia="仿宋_GB2312"/>
          <w:b/>
          <w:bCs/>
          <w:sz w:val="24"/>
          <w:szCs w:val="21"/>
        </w:rPr>
      </w:pPr>
      <w:bookmarkStart w:id="382" w:name="_Toc385992365"/>
      <w:bookmarkStart w:id="383" w:name="_Toc389620204"/>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8"/>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8"/>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7"/>
        <w:numPr>
          <w:ilvl w:val="0"/>
          <w:numId w:val="8"/>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8"/>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7"/>
        <w:numPr>
          <w:ilvl w:val="0"/>
          <w:numId w:val="8"/>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8"/>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bookmarkEnd w:id="384"/>
    <w:p>
      <w:pPr>
        <w:pStyle w:val="67"/>
        <w:numPr>
          <w:ilvl w:val="0"/>
          <w:numId w:val="9"/>
        </w:numPr>
        <w:tabs>
          <w:tab w:val="left" w:pos="588"/>
        </w:tabs>
        <w:spacing w:line="360" w:lineRule="auto"/>
        <w:ind w:firstLineChars="0"/>
        <w:rPr>
          <w:rFonts w:eastAsia="仿宋_GB2312"/>
          <w:sz w:val="24"/>
        </w:rPr>
      </w:pPr>
      <w:bookmarkStart w:id="385" w:name="_Toc1585"/>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段）收取。</w:t>
      </w:r>
    </w:p>
    <w:p>
      <w:pPr>
        <w:pStyle w:val="67"/>
        <w:numPr>
          <w:ilvl w:val="0"/>
          <w:numId w:val="9"/>
        </w:numPr>
        <w:snapToGrid w:val="0"/>
        <w:spacing w:line="360" w:lineRule="auto"/>
        <w:ind w:firstLineChars="0"/>
        <w:rPr>
          <w:rFonts w:eastAsia="仿宋_GB2312"/>
          <w:sz w:val="24"/>
        </w:rPr>
      </w:pPr>
      <w:r>
        <w:rPr>
          <w:rFonts w:eastAsia="仿宋_GB2312"/>
          <w:sz w:val="24"/>
        </w:rPr>
        <w:t>29.2   成交单位的代理服务费交纳信息</w:t>
      </w:r>
    </w:p>
    <w:p>
      <w:pPr>
        <w:pStyle w:val="67"/>
        <w:numPr>
          <w:ilvl w:val="0"/>
          <w:numId w:val="9"/>
        </w:numPr>
        <w:snapToGrid w:val="0"/>
        <w:spacing w:line="360" w:lineRule="auto"/>
        <w:ind w:firstLineChars="0"/>
        <w:rPr>
          <w:rFonts w:eastAsia="仿宋_GB2312"/>
          <w:sz w:val="24"/>
        </w:rPr>
      </w:pPr>
      <w:r>
        <w:rPr>
          <w:rFonts w:eastAsia="仿宋_GB2312"/>
          <w:sz w:val="24"/>
        </w:rPr>
        <w:t>银行户名：陕西省采购招标有限责任公司</w:t>
      </w:r>
    </w:p>
    <w:p>
      <w:pPr>
        <w:pStyle w:val="67"/>
        <w:numPr>
          <w:ilvl w:val="0"/>
          <w:numId w:val="9"/>
        </w:numPr>
        <w:snapToGrid w:val="0"/>
        <w:spacing w:line="360" w:lineRule="auto"/>
        <w:ind w:firstLineChars="0"/>
        <w:rPr>
          <w:rFonts w:eastAsia="仿宋_GB2312"/>
          <w:sz w:val="24"/>
        </w:rPr>
      </w:pPr>
      <w:r>
        <w:rPr>
          <w:rFonts w:eastAsia="仿宋_GB2312"/>
          <w:sz w:val="24"/>
        </w:rPr>
        <w:t>开户银行：中国光大银行西安友谊路支行</w:t>
      </w:r>
    </w:p>
    <w:p>
      <w:pPr>
        <w:pStyle w:val="67"/>
        <w:numPr>
          <w:ilvl w:val="0"/>
          <w:numId w:val="9"/>
        </w:numPr>
        <w:snapToGrid w:val="0"/>
        <w:spacing w:line="360" w:lineRule="auto"/>
        <w:ind w:firstLineChars="0"/>
        <w:rPr>
          <w:rFonts w:eastAsia="仿宋_GB2312"/>
          <w:sz w:val="24"/>
        </w:rPr>
      </w:pPr>
      <w:r>
        <w:rPr>
          <w:rFonts w:eastAsia="仿宋_GB2312"/>
          <w:sz w:val="24"/>
        </w:rPr>
        <w:t>账    号：78560188000095264</w:t>
      </w:r>
    </w:p>
    <w:p>
      <w:pPr>
        <w:pStyle w:val="67"/>
        <w:numPr>
          <w:ilvl w:val="0"/>
          <w:numId w:val="9"/>
        </w:numPr>
        <w:snapToGrid w:val="0"/>
        <w:spacing w:line="360" w:lineRule="auto"/>
        <w:ind w:firstLineChars="0"/>
        <w:rPr>
          <w:rFonts w:eastAsia="仿宋_GB2312"/>
          <w:sz w:val="24"/>
        </w:rPr>
      </w:pPr>
      <w:r>
        <w:rPr>
          <w:rFonts w:eastAsia="仿宋_GB2312"/>
          <w:sz w:val="24"/>
        </w:rPr>
        <w:t>联 系 人：张婕   联系电话：029-85263975</w:t>
      </w:r>
    </w:p>
    <w:p>
      <w:pPr>
        <w:pStyle w:val="5"/>
        <w:numPr>
          <w:ilvl w:val="0"/>
          <w:numId w:val="9"/>
        </w:numPr>
        <w:rPr>
          <w:rFonts w:ascii="Times New Roman" w:hAnsi="Times New Roman" w:eastAsia="仿宋_GB2312"/>
          <w:b/>
          <w:bCs/>
          <w:sz w:val="24"/>
          <w:szCs w:val="21"/>
        </w:rPr>
      </w:pPr>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5992366"/>
      <w:bookmarkStart w:id="387"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9"/>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3"/>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9"/>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3"/>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3"/>
        <w:tabs>
          <w:tab w:val="left" w:pos="567"/>
        </w:tabs>
        <w:ind w:left="840" w:leftChars="400"/>
      </w:pPr>
      <w:r>
        <w:drawing>
          <wp:inline distT="0" distB="0" distL="0" distR="0">
            <wp:extent cx="5756275" cy="3310255"/>
            <wp:effectExtent l="0" t="0" r="15875" b="444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5" cstate="print"/>
                    <a:srcRect/>
                    <a:stretch>
                      <a:fillRect/>
                    </a:stretch>
                  </pic:blipFill>
                  <pic:spPr>
                    <a:xfrm>
                      <a:off x="0" y="0"/>
                      <a:ext cx="5756275" cy="3310255"/>
                    </a:xfrm>
                    <a:prstGeom prst="rect">
                      <a:avLst/>
                    </a:prstGeom>
                    <a:ln>
                      <a:noFill/>
                    </a:ln>
                  </pic:spPr>
                </pic:pic>
              </a:graphicData>
            </a:graphic>
          </wp:inline>
        </w:drawing>
      </w:r>
    </w:p>
    <w:p>
      <w:pPr>
        <w:pStyle w:val="23"/>
        <w:ind w:left="735" w:hanging="735" w:hangingChars="350"/>
        <w:rPr>
          <w:rFonts w:ascii="Times New Roman" w:hAnsi="Times New Roman" w:eastAsia="仿宋_GB2312"/>
          <w:sz w:val="24"/>
        </w:rPr>
      </w:pPr>
      <w:r>
        <w:drawing>
          <wp:inline distT="0" distB="0" distL="0" distR="0">
            <wp:extent cx="5758815" cy="3242310"/>
            <wp:effectExtent l="0" t="0" r="13334" b="1524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16" cstate="print"/>
                    <a:srcRect/>
                    <a:stretch>
                      <a:fillRect/>
                    </a:stretch>
                  </pic:blipFill>
                  <pic:spPr>
                    <a:xfrm>
                      <a:off x="0" y="0"/>
                      <a:ext cx="5758815" cy="3242310"/>
                    </a:xfrm>
                    <a:prstGeom prst="rect">
                      <a:avLst/>
                    </a:prstGeom>
                    <a:ln>
                      <a:noFill/>
                    </a:ln>
                  </pic:spPr>
                </pic:pic>
              </a:graphicData>
            </a:graphic>
          </wp:inline>
        </w:drawing>
      </w:r>
    </w:p>
    <w:p>
      <w:pPr>
        <w:pStyle w:val="23"/>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99802"/>
      <w:bookmarkStart w:id="389" w:name="_Toc230013637"/>
      <w:bookmarkStart w:id="390" w:name="_Toc184025279"/>
      <w:bookmarkStart w:id="391" w:name="_Toc184114070"/>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rPr>
              <w:t>13892535580</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13892383911</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18191815559</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18191356300</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13028431555</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18091365182</w:t>
            </w:r>
          </w:p>
        </w:tc>
      </w:tr>
    </w:tbl>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6"/>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7"/>
        <w:spacing w:before="24" w:after="24"/>
        <w:rPr>
          <w:rFonts w:eastAsia="仿宋_GB2312"/>
          <w:sz w:val="28"/>
          <w:szCs w:val="28"/>
        </w:rPr>
      </w:pPr>
      <w:bookmarkStart w:id="395" w:name="_Toc68590976"/>
      <w:bookmarkStart w:id="396" w:name="_Toc7005040"/>
      <w:r>
        <w:rPr>
          <w:rFonts w:eastAsia="仿宋_GB2312"/>
          <w:sz w:val="28"/>
          <w:szCs w:val="28"/>
        </w:rPr>
        <w:t>1.评审方法</w:t>
      </w:r>
      <w:bookmarkEnd w:id="395"/>
      <w:bookmarkEnd w:id="396"/>
    </w:p>
    <w:p>
      <w:pPr>
        <w:pStyle w:val="23"/>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3"/>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3"/>
        <w:rPr>
          <w:rFonts w:ascii="Times New Roman" w:hAnsi="Times New Roman" w:eastAsia="仿宋_GB2312"/>
          <w:sz w:val="24"/>
        </w:rPr>
      </w:pPr>
      <w:r>
        <w:rPr>
          <w:rFonts w:ascii="Times New Roman" w:hAnsi="Times New Roman" w:eastAsia="仿宋_GB2312"/>
          <w:sz w:val="24"/>
        </w:rPr>
        <w:t>2.2 分值构成：总分100</w:t>
      </w:r>
      <w:bookmarkStart w:id="399" w:name="_Ref426362114"/>
      <w:r>
        <w:rPr>
          <w:rFonts w:ascii="Times New Roman" w:hAnsi="Times New Roman" w:eastAsia="仿宋_GB2312"/>
          <w:sz w:val="24"/>
        </w:rPr>
        <w:t>分</w:t>
      </w:r>
    </w:p>
    <w:p>
      <w:pPr>
        <w:pStyle w:val="23"/>
        <w:rPr>
          <w:rFonts w:ascii="Times New Roman" w:hAnsi="Times New Roman" w:eastAsia="仿宋_GB2312"/>
          <w:sz w:val="24"/>
        </w:rPr>
      </w:pPr>
      <w:r>
        <w:rPr>
          <w:rFonts w:ascii="Times New Roman" w:hAnsi="Times New Roman" w:eastAsia="仿宋_GB2312"/>
          <w:sz w:val="24"/>
        </w:rPr>
        <w:t>2.3 商务和技术评审标准</w:t>
      </w:r>
      <w:bookmarkEnd w:id="399"/>
    </w:p>
    <w:p>
      <w:pPr>
        <w:pStyle w:val="23"/>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3"/>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3"/>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p>
    <w:p>
      <w:pPr>
        <w:pStyle w:val="23"/>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ascii="Times New Roman" w:hAnsi="Times New Roman" w:eastAsia="仿宋_GB2312"/>
          <w:sz w:val="24"/>
          <w:u w:val="single"/>
        </w:rPr>
        <w:t>服务10%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sz w:val="24"/>
          <w:u w:val="single"/>
        </w:rPr>
        <w:t>4%</w:t>
      </w:r>
      <w:r>
        <w:rPr>
          <w:rFonts w:ascii="Times New Roman" w:hAnsi="Times New Roman" w:eastAsia="仿宋_GB2312"/>
          <w:sz w:val="24"/>
        </w:rPr>
        <w:t>的扣除。</w:t>
      </w:r>
    </w:p>
    <w:p>
      <w:pPr>
        <w:pStyle w:val="23"/>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3"/>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3"/>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7"/>
        <w:spacing w:before="24" w:after="24"/>
        <w:rPr>
          <w:rFonts w:eastAsia="仿宋_GB2312"/>
          <w:sz w:val="28"/>
          <w:szCs w:val="28"/>
        </w:rPr>
      </w:pPr>
      <w:bookmarkStart w:id="403" w:name="_Toc7005042"/>
      <w:bookmarkStart w:id="404" w:name="_Toc68590978"/>
      <w:r>
        <w:rPr>
          <w:rFonts w:eastAsia="仿宋_GB2312"/>
          <w:sz w:val="28"/>
          <w:szCs w:val="28"/>
        </w:rPr>
        <w:t>3.评审程序</w:t>
      </w:r>
      <w:bookmarkEnd w:id="403"/>
      <w:bookmarkEnd w:id="404"/>
    </w:p>
    <w:p>
      <w:pPr>
        <w:pStyle w:val="23"/>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3"/>
        <w:rPr>
          <w:rFonts w:ascii="Times New Roman" w:hAnsi="Times New Roman" w:eastAsia="仿宋_GB2312"/>
          <w:sz w:val="24"/>
        </w:rPr>
      </w:pPr>
      <w:r>
        <w:rPr>
          <w:rFonts w:ascii="Times New Roman" w:hAnsi="Times New Roman" w:eastAsia="仿宋_GB2312"/>
          <w:sz w:val="24"/>
        </w:rPr>
        <w:t>3.1.1 采购代理机构按附表一所列审查标准对供应商资格进行审查，以确定供应商是否具备磋商资格。</w:t>
      </w:r>
    </w:p>
    <w:p>
      <w:pPr>
        <w:pStyle w:val="23"/>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3"/>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3"/>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3"/>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3"/>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3"/>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3"/>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3"/>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3"/>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w:t>
      </w:r>
      <w:r>
        <w:rPr>
          <w:rFonts w:hint="eastAsia" w:ascii="Times New Roman" w:hAnsi="Times New Roman" w:eastAsia="仿宋_GB2312"/>
          <w:sz w:val="24"/>
        </w:rPr>
        <w:t>2</w:t>
      </w:r>
      <w:r>
        <w:rPr>
          <w:rFonts w:ascii="Times New Roman" w:hAnsi="Times New Roman" w:eastAsia="仿宋_GB2312"/>
          <w:sz w:val="24"/>
        </w:rPr>
        <w:t>家。</w:t>
      </w:r>
    </w:p>
    <w:p>
      <w:pPr>
        <w:pStyle w:val="23"/>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3"/>
        <w:rPr>
          <w:rFonts w:ascii="Times New Roman" w:hAnsi="Times New Roman" w:eastAsia="仿宋_GB2312"/>
          <w:sz w:val="24"/>
        </w:rPr>
      </w:pPr>
      <w:r>
        <w:rPr>
          <w:rFonts w:ascii="Times New Roman" w:hAnsi="Times New Roman" w:eastAsia="仿宋_GB2312"/>
          <w:sz w:val="24"/>
        </w:rPr>
        <w:t>3.3.1 比较与评价</w:t>
      </w:r>
    </w:p>
    <w:p>
      <w:pPr>
        <w:pStyle w:val="23"/>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3"/>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3"/>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3"/>
        <w:rPr>
          <w:rFonts w:ascii="Times New Roman" w:hAnsi="Times New Roman" w:eastAsia="仿宋_GB2312"/>
          <w:b/>
          <w:sz w:val="24"/>
        </w:rPr>
      </w:pPr>
      <w:r>
        <w:rPr>
          <w:rFonts w:ascii="Times New Roman" w:hAnsi="Times New Roman" w:eastAsia="仿宋_GB2312"/>
          <w:b/>
          <w:sz w:val="24"/>
        </w:rPr>
        <w:t>3.4 评审结果</w:t>
      </w:r>
    </w:p>
    <w:p>
      <w:pPr>
        <w:pStyle w:val="23"/>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3"/>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3"/>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w:t>
            </w:r>
            <w:r>
              <w:rPr>
                <w:rFonts w:hint="eastAsia" w:eastAsia="仿宋_GB2312"/>
                <w:szCs w:val="21"/>
              </w:rPr>
              <w:t>的</w:t>
            </w:r>
            <w:r>
              <w:rPr>
                <w:rFonts w:eastAsia="仿宋_GB2312"/>
                <w:szCs w:val="21"/>
              </w:rPr>
              <w:t>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rPr>
              <w:t>重大税收违法失信主体，</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eastAsia="仿宋_GB2312"/>
                <w:szCs w:val="21"/>
              </w:rPr>
            </w:pPr>
            <w:r>
              <w:rPr>
                <w:rFonts w:hint="eastAsia" w:eastAsia="仿宋_GB2312"/>
                <w:szCs w:val="21"/>
              </w:rPr>
              <w:t>供应商参加本项目的合法授权人的授权委托书；</w:t>
            </w:r>
            <w:r>
              <w:rPr>
                <w:rFonts w:eastAsia="仿宋_GB2312"/>
                <w:szCs w:val="21"/>
              </w:rPr>
              <w:t xml:space="preserve"> </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eastAsia="仿宋_GB2312"/>
                <w:szCs w:val="21"/>
              </w:rPr>
            </w:pPr>
            <w:r>
              <w:rPr>
                <w:rFonts w:eastAsia="仿宋_GB2312"/>
                <w:szCs w:val="21"/>
              </w:rPr>
              <w:t>结论（通过或未通过）</w:t>
            </w: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1"/>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eastAsia="仿宋_GB2312"/>
                <w:szCs w:val="21"/>
              </w:rPr>
            </w:pPr>
            <w:bookmarkStart w:id="504" w:name="_GoBack"/>
            <w:bookmarkEnd w:id="504"/>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jc w:val="center"/>
        <w:rPr>
          <w:rFonts w:eastAsia="仿宋_GB2312"/>
          <w:b/>
          <w:sz w:val="30"/>
          <w:szCs w:val="30"/>
        </w:rPr>
      </w:pPr>
      <w:bookmarkStart w:id="408" w:name="_Toc410631198"/>
      <w:bookmarkStart w:id="409" w:name="_Toc414446034"/>
      <w:bookmarkStart w:id="410" w:name="_Toc7005048"/>
      <w:r>
        <w:rPr>
          <w:rFonts w:eastAsia="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tbl>
      <w:tblPr>
        <w:tblStyle w:val="5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55"/>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评标</w:t>
            </w:r>
          </w:p>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因素</w:t>
            </w: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权值%</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价格分</w:t>
            </w: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30</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jc w:val="left"/>
              <w:rPr>
                <w:rFonts w:ascii="仿宋" w:hAnsi="仿宋" w:eastAsia="仿宋"/>
                <w:color w:val="000000"/>
                <w:sz w:val="24"/>
              </w:rPr>
            </w:pPr>
            <w:r>
              <w:rPr>
                <w:rFonts w:hint="eastAsia" w:ascii="仿宋" w:hAnsi="仿宋" w:eastAsia="仿宋"/>
                <w:color w:val="000000"/>
                <w:sz w:val="24"/>
              </w:rPr>
              <w:t>满足磋商文件要求且磋商价格最低的磋商报价为评标基准价，其价格分为满分。其他供应商的价格分统一按照下列公式计算：磋商报价得分=（评标基准价/磋商报价）×30。</w:t>
            </w:r>
          </w:p>
          <w:p>
            <w:pPr>
              <w:adjustRightInd w:val="0"/>
              <w:snapToGrid w:val="0"/>
              <w:spacing w:line="400" w:lineRule="exact"/>
              <w:ind w:firstLine="480"/>
              <w:jc w:val="left"/>
              <w:rPr>
                <w:rFonts w:ascii="仿宋" w:hAnsi="仿宋" w:eastAsia="仿宋"/>
                <w:color w:val="000000"/>
                <w:sz w:val="24"/>
              </w:rPr>
            </w:pPr>
            <w:r>
              <w:rPr>
                <w:rFonts w:hint="eastAsia" w:ascii="仿宋" w:hAnsi="仿宋" w:eastAsia="仿宋"/>
                <w:color w:val="000000"/>
                <w:sz w:val="24"/>
              </w:rPr>
              <w:t>注：根据《关于进一步加大政府采购支持中小企业力度的通知》（财库〔2022〕19号）、《政府采购促进中小企业发展管理办法》（财库〔2020〕46号）调整供应商参与评审的价格。对小型和微型企业产品的价格给予服务10%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1083"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技术分</w:t>
            </w: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45</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 w:hAnsi="仿宋" w:eastAsia="仿宋"/>
                <w:color w:val="000000"/>
                <w:sz w:val="24"/>
              </w:rPr>
            </w:pPr>
            <w:r>
              <w:rPr>
                <w:rFonts w:hint="eastAsia" w:ascii="仿宋" w:hAnsi="仿宋" w:eastAsia="仿宋"/>
                <w:color w:val="000000"/>
                <w:sz w:val="24"/>
              </w:rPr>
              <w:t>1.磋商产品的技术参数明确，功能满足招标文件要求得35分。带</w:t>
            </w:r>
            <w:r>
              <w:rPr>
                <w:rFonts w:hint="eastAsia" w:ascii="仿宋" w:hAnsi="仿宋" w:eastAsia="仿宋" w:cs="宋体"/>
                <w:color w:val="000000"/>
              </w:rPr>
              <w:t>★</w:t>
            </w:r>
            <w:r>
              <w:rPr>
                <w:rFonts w:hint="eastAsia" w:ascii="仿宋" w:hAnsi="仿宋" w:eastAsia="仿宋"/>
                <w:color w:val="000000"/>
                <w:sz w:val="24"/>
              </w:rPr>
              <w:t>号参数为重要指标，每一项负偏离扣2分，无标记参数为一般指标，每一项负偏离扣1分，扣完为止。（以证明材料为依据）</w:t>
            </w:r>
          </w:p>
          <w:p>
            <w:pPr>
              <w:adjustRightInd w:val="0"/>
              <w:snapToGrid w:val="0"/>
              <w:spacing w:line="400" w:lineRule="exact"/>
              <w:rPr>
                <w:rFonts w:ascii="仿宋" w:hAnsi="仿宋" w:eastAsia="仿宋"/>
                <w:color w:val="000000"/>
                <w:sz w:val="24"/>
              </w:rPr>
            </w:pPr>
            <w:r>
              <w:rPr>
                <w:rFonts w:hint="eastAsia" w:ascii="仿宋" w:hAnsi="仿宋" w:eastAsia="仿宋"/>
                <w:color w:val="000000"/>
                <w:sz w:val="24"/>
              </w:rPr>
              <w:t>2. 磋商产品品牌的知名度、企业实力、生产设备水平、产品质量保证、资质认证及及荣誉等。由评委会进行综合评议，按差别计1-5分。</w:t>
            </w:r>
          </w:p>
          <w:p>
            <w:pPr>
              <w:pStyle w:val="2"/>
              <w:spacing w:line="400" w:lineRule="exact"/>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rPr>
              <w:t xml:space="preserve"> 磋商</w:t>
            </w:r>
            <w:r>
              <w:rPr>
                <w:rFonts w:hint="eastAsia" w:ascii="仿宋" w:hAnsi="仿宋" w:eastAsia="仿宋"/>
                <w:color w:val="000000"/>
                <w:sz w:val="24"/>
                <w:szCs w:val="24"/>
              </w:rPr>
              <w:t>单位针对本项目有具体的供货组织安排，详细的人员、财力调配、运输、派送措施等计1-5分。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083" w:type="dxa"/>
            <w:vMerge w:val="continue"/>
            <w:tcBorders>
              <w:left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5</w:t>
            </w:r>
          </w:p>
        </w:tc>
        <w:tc>
          <w:tcPr>
            <w:tcW w:w="7421" w:type="dxa"/>
            <w:tcBorders>
              <w:top w:val="single" w:color="auto" w:sz="4" w:space="0"/>
              <w:left w:val="single" w:color="auto" w:sz="4" w:space="0"/>
              <w:bottom w:val="single" w:color="auto" w:sz="4" w:space="0"/>
              <w:right w:val="single" w:color="auto" w:sz="4" w:space="0"/>
            </w:tcBorders>
            <w:vAlign w:val="center"/>
          </w:tcPr>
          <w:p>
            <w:pPr>
              <w:pStyle w:val="23"/>
              <w:spacing w:line="400" w:lineRule="exact"/>
              <w:rPr>
                <w:rFonts w:ascii="仿宋" w:hAnsi="仿宋" w:eastAsia="仿宋"/>
                <w:color w:val="000000"/>
                <w:sz w:val="24"/>
              </w:rPr>
            </w:pPr>
            <w:r>
              <w:rPr>
                <w:rFonts w:hint="eastAsia" w:ascii="仿宋" w:hAnsi="仿宋" w:eastAsia="仿宋"/>
                <w:color w:val="000000"/>
                <w:sz w:val="24"/>
              </w:rPr>
              <w:t>具备完备的施工技术人员，并提供响应证书，人员安排合理。由评委会根据人员安排情况、根据证明材料等进行综合赋分计0-5分。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83" w:type="dxa"/>
            <w:vMerge w:val="restart"/>
            <w:tcBorders>
              <w:left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lang w:val="zh-CN"/>
              </w:rPr>
            </w:pPr>
            <w:r>
              <w:rPr>
                <w:rFonts w:hint="eastAsia" w:ascii="仿宋" w:hAnsi="仿宋" w:eastAsia="仿宋"/>
                <w:color w:val="000000"/>
                <w:sz w:val="24"/>
                <w:lang w:val="zh-CN"/>
              </w:rPr>
              <w:t>商务分</w:t>
            </w: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ascii="仿宋" w:hAnsi="仿宋" w:eastAsia="仿宋"/>
                <w:color w:val="000000"/>
                <w:sz w:val="24"/>
              </w:rPr>
              <w:t>5</w:t>
            </w:r>
          </w:p>
        </w:tc>
        <w:tc>
          <w:tcPr>
            <w:tcW w:w="7421" w:type="dxa"/>
            <w:tcBorders>
              <w:top w:val="single" w:color="auto" w:sz="4" w:space="0"/>
              <w:left w:val="single" w:color="auto" w:sz="4" w:space="0"/>
              <w:bottom w:val="single" w:color="auto" w:sz="4" w:space="0"/>
              <w:right w:val="single" w:color="auto" w:sz="4" w:space="0"/>
            </w:tcBorders>
            <w:vAlign w:val="center"/>
          </w:tcPr>
          <w:p>
            <w:pPr>
              <w:pStyle w:val="23"/>
              <w:spacing w:line="400" w:lineRule="exact"/>
              <w:rPr>
                <w:rFonts w:ascii="仿宋" w:hAnsi="仿宋" w:eastAsia="仿宋"/>
                <w:color w:val="000000"/>
                <w:sz w:val="24"/>
                <w:lang w:val="zh-CN"/>
              </w:rPr>
            </w:pPr>
            <w:r>
              <w:rPr>
                <w:rFonts w:hint="eastAsia" w:ascii="仿宋" w:hAnsi="仿宋" w:eastAsia="仿宋"/>
                <w:color w:val="000000"/>
                <w:sz w:val="24"/>
                <w:lang w:val="zh-CN"/>
              </w:rPr>
              <w:t>同类业绩：提供2019年1月1日至今类似项目业绩，提供业绩清单及合同扫描件（合同内容须体现本次磋商设备），</w:t>
            </w:r>
            <w:r>
              <w:rPr>
                <w:rFonts w:hint="eastAsia" w:ascii="仿宋" w:hAnsi="仿宋" w:eastAsia="仿宋"/>
                <w:color w:val="36363D"/>
                <w:sz w:val="24"/>
                <w:lang w:val="zh-CN"/>
              </w:rPr>
              <w:t>每提供一份计</w:t>
            </w:r>
            <w:r>
              <w:rPr>
                <w:rFonts w:ascii="仿宋" w:hAnsi="仿宋" w:eastAsia="仿宋"/>
                <w:color w:val="36363D"/>
                <w:sz w:val="24"/>
              </w:rPr>
              <w:t>1</w:t>
            </w:r>
            <w:r>
              <w:rPr>
                <w:rFonts w:hint="eastAsia" w:ascii="仿宋" w:hAnsi="仿宋" w:eastAsia="仿宋"/>
                <w:color w:val="36363D"/>
                <w:sz w:val="24"/>
                <w:lang w:val="zh-CN"/>
              </w:rPr>
              <w:t>分，最高得</w:t>
            </w:r>
            <w:r>
              <w:rPr>
                <w:rFonts w:ascii="仿宋" w:hAnsi="仿宋" w:eastAsia="仿宋"/>
                <w:color w:val="36363D"/>
                <w:sz w:val="24"/>
              </w:rPr>
              <w:t>5</w:t>
            </w:r>
            <w:r>
              <w:rPr>
                <w:rFonts w:hint="eastAsia" w:ascii="仿宋" w:hAnsi="仿宋" w:eastAsia="仿宋"/>
                <w:color w:val="36363D"/>
                <w:sz w:val="24"/>
                <w:lang w:val="zh-CN"/>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83" w:type="dxa"/>
            <w:vMerge w:val="continue"/>
            <w:tcBorders>
              <w:left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lang w:val="zh-CN"/>
              </w:rPr>
            </w:pP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ascii="仿宋" w:hAnsi="仿宋" w:eastAsia="仿宋"/>
                <w:color w:val="000000"/>
                <w:sz w:val="24"/>
              </w:rPr>
              <w:t>10</w:t>
            </w:r>
          </w:p>
        </w:tc>
        <w:tc>
          <w:tcPr>
            <w:tcW w:w="7421" w:type="dxa"/>
            <w:tcBorders>
              <w:top w:val="single" w:color="auto" w:sz="4" w:space="0"/>
              <w:left w:val="single" w:color="auto" w:sz="4" w:space="0"/>
              <w:bottom w:val="single" w:color="auto" w:sz="4" w:space="0"/>
              <w:right w:val="single" w:color="auto" w:sz="4" w:space="0"/>
            </w:tcBorders>
            <w:vAlign w:val="center"/>
          </w:tcPr>
          <w:p>
            <w:pPr>
              <w:pStyle w:val="23"/>
              <w:spacing w:line="400" w:lineRule="exact"/>
              <w:rPr>
                <w:rFonts w:ascii="仿宋" w:hAnsi="仿宋" w:eastAsia="仿宋"/>
                <w:color w:val="000000"/>
                <w:sz w:val="24"/>
                <w:lang w:val="zh-CN"/>
              </w:rPr>
            </w:pPr>
            <w:r>
              <w:rPr>
                <w:rFonts w:hint="eastAsia" w:ascii="仿宋" w:hAnsi="仿宋" w:eastAsia="仿宋"/>
                <w:color w:val="000000"/>
                <w:sz w:val="24"/>
                <w:lang w:val="zh-CN"/>
              </w:rPr>
              <w:t>售后服务方案详细、具体、可行, 备品备件情况明确，拟投入售后服务人员配置情况、交付用户后出现故障响应时间、质保内容及范围等根据优劣计0-</w:t>
            </w:r>
            <w:r>
              <w:rPr>
                <w:rFonts w:ascii="仿宋" w:hAnsi="仿宋" w:eastAsia="仿宋"/>
                <w:color w:val="000000"/>
                <w:sz w:val="24"/>
              </w:rPr>
              <w:t>10</w:t>
            </w:r>
            <w:r>
              <w:rPr>
                <w:rFonts w:hint="eastAsia" w:ascii="仿宋" w:hAnsi="仿宋" w:eastAsia="仿宋"/>
                <w:color w:val="000000"/>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83"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lang w:val="zh-CN"/>
              </w:rPr>
            </w:pP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olor w:val="000000"/>
                <w:sz w:val="24"/>
              </w:rPr>
            </w:pPr>
            <w:r>
              <w:rPr>
                <w:rFonts w:hint="eastAsia" w:ascii="仿宋" w:hAnsi="仿宋" w:eastAsia="仿宋"/>
                <w:color w:val="000000"/>
                <w:sz w:val="24"/>
              </w:rPr>
              <w:t>5</w:t>
            </w:r>
          </w:p>
        </w:tc>
        <w:tc>
          <w:tcPr>
            <w:tcW w:w="7421" w:type="dxa"/>
            <w:tcBorders>
              <w:top w:val="single" w:color="auto" w:sz="4" w:space="0"/>
              <w:left w:val="single" w:color="auto" w:sz="4" w:space="0"/>
              <w:bottom w:val="single" w:color="auto" w:sz="4" w:space="0"/>
              <w:right w:val="single" w:color="auto" w:sz="4" w:space="0"/>
            </w:tcBorders>
            <w:vAlign w:val="center"/>
          </w:tcPr>
          <w:p>
            <w:pPr>
              <w:pStyle w:val="23"/>
              <w:spacing w:line="400" w:lineRule="exact"/>
              <w:rPr>
                <w:rFonts w:ascii="仿宋" w:hAnsi="仿宋" w:eastAsia="仿宋"/>
                <w:color w:val="000000"/>
                <w:sz w:val="24"/>
                <w:lang w:val="zh-CN"/>
              </w:rPr>
            </w:pPr>
            <w:r>
              <w:rPr>
                <w:rFonts w:hint="eastAsia" w:ascii="仿宋" w:hAnsi="仿宋" w:eastAsia="仿宋"/>
                <w:color w:val="000000"/>
                <w:sz w:val="24"/>
                <w:lang w:val="zh-CN"/>
              </w:rPr>
              <w:t>培训措施：提供详尽的培训方案及培训计划，并列出培训的具体内容及方确保使用人员能够独立操作，并进行简单故障排查处理。根据培训服务承诺内容的完整程度、优劣程度，由评委会进行综合评议计0-5分。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olor w:val="000000"/>
                <w:sz w:val="24"/>
                <w:lang w:val="zh-CN"/>
              </w:rPr>
            </w:pPr>
            <w:r>
              <w:rPr>
                <w:rFonts w:hint="eastAsia" w:ascii="仿宋_GB2312" w:eastAsia="仿宋_GB2312"/>
                <w:color w:val="000000"/>
                <w:sz w:val="24"/>
                <w:lang w:val="zh-CN"/>
              </w:rPr>
              <w:t>总分</w:t>
            </w:r>
          </w:p>
        </w:tc>
        <w:tc>
          <w:tcPr>
            <w:tcW w:w="7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olor w:val="000000"/>
                <w:sz w:val="24"/>
              </w:rPr>
            </w:pPr>
            <w:r>
              <w:rPr>
                <w:rFonts w:hint="eastAsia" w:ascii="仿宋_GB2312" w:eastAsia="仿宋_GB2312"/>
                <w:color w:val="000000"/>
                <w:sz w:val="24"/>
                <w:lang w:val="zh-CN"/>
              </w:rPr>
              <w:t>100分</w:t>
            </w:r>
          </w:p>
        </w:tc>
      </w:tr>
    </w:tbl>
    <w:p>
      <w:pPr>
        <w:jc w:val="center"/>
        <w:rPr>
          <w:rFonts w:eastAsia="仿宋_GB2312"/>
          <w:b/>
          <w:kern w:val="0"/>
          <w:sz w:val="30"/>
          <w:szCs w:val="30"/>
        </w:rPr>
      </w:pPr>
      <w:r>
        <w:rPr>
          <w:rFonts w:eastAsia="仿宋_GB2312"/>
          <w:szCs w:val="21"/>
        </w:rPr>
        <w:br w:type="page"/>
      </w:r>
    </w:p>
    <w:p>
      <w:pPr>
        <w:pStyle w:val="46"/>
        <w:spacing w:line="360" w:lineRule="auto"/>
        <w:rPr>
          <w:rStyle w:val="203"/>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492955459"/>
      <w:bookmarkStart w:id="413" w:name="_Toc500747106"/>
      <w:bookmarkStart w:id="414" w:name="_Toc499711928"/>
      <w:bookmarkStart w:id="415" w:name="_Toc232395222"/>
      <w:bookmarkStart w:id="416" w:name="_Toc230583552"/>
      <w:bookmarkStart w:id="417" w:name="_Toc496324623"/>
      <w:bookmarkStart w:id="418" w:name="_Toc256342152"/>
      <w:bookmarkStart w:id="419" w:name="_Toc177189245"/>
      <w:bookmarkStart w:id="420" w:name="_Toc499711087"/>
      <w:bookmarkStart w:id="421" w:name="_Toc500747233"/>
      <w:bookmarkStart w:id="422" w:name="_Toc177817344"/>
      <w:bookmarkStart w:id="423" w:name="_Toc503063458"/>
      <w:bookmarkStart w:id="424" w:name="_Toc249525250"/>
      <w:bookmarkStart w:id="425" w:name="_Toc53722865"/>
      <w:bookmarkStart w:id="426" w:name="_Toc230099803"/>
      <w:bookmarkStart w:id="427" w:name="_Toc184043058"/>
      <w:bookmarkStart w:id="428" w:name="_Toc232176282"/>
      <w:bookmarkStart w:id="429" w:name="_Toc249515482"/>
      <w:bookmarkStart w:id="430" w:name="_Toc249515369"/>
      <w:bookmarkStart w:id="431" w:name="_Toc415499897"/>
      <w:bookmarkStart w:id="432" w:name="_Toc176882552"/>
      <w:bookmarkStart w:id="433" w:name="_Toc230013638"/>
      <w:bookmarkStart w:id="434" w:name="_Toc70687202"/>
      <w:bookmarkStart w:id="435" w:name="_Toc28450"/>
      <w:bookmarkStart w:id="436" w:name="_Toc177995483"/>
      <w:bookmarkStart w:id="437" w:name="_Toc500747010"/>
      <w:r>
        <w:rPr>
          <w:rStyle w:val="203"/>
          <w:rFonts w:ascii="Times New Roman" w:hAnsi="Times New Roman" w:eastAsia="宋体"/>
          <w:sz w:val="36"/>
          <w:szCs w:val="36"/>
        </w:rPr>
        <w:t>拟签订的合同文本</w:t>
      </w:r>
    </w:p>
    <w:p>
      <w:pPr>
        <w:pStyle w:val="46"/>
        <w:spacing w:line="360" w:lineRule="auto"/>
        <w:rPr>
          <w:rFonts w:ascii="Times New Roman" w:hAnsi="Times New Roman" w:eastAsia="宋体"/>
          <w:sz w:val="36"/>
          <w:szCs w:val="36"/>
        </w:rPr>
      </w:pPr>
      <w:r>
        <w:rPr>
          <w:rFonts w:hint="eastAsia" w:ascii="仿宋" w:hAnsi="仿宋" w:eastAsia="仿宋"/>
          <w:sz w:val="21"/>
          <w:szCs w:val="24"/>
        </w:rPr>
        <w:t>（此合同主要条款，除商务条款外，其余部分只作为参考，最终合同一采购人给出的合同定稿为准。）</w:t>
      </w:r>
    </w:p>
    <w:p>
      <w:pPr>
        <w:spacing w:line="400" w:lineRule="exact"/>
        <w:rPr>
          <w:rFonts w:ascii="仿宋" w:hAnsi="仿宋" w:eastAsia="仿宋"/>
        </w:rPr>
      </w:pPr>
      <w:r>
        <w:rPr>
          <w:rFonts w:hint="eastAsia" w:ascii="仿宋" w:hAnsi="仿宋" w:eastAsia="仿宋"/>
        </w:rPr>
        <w:t>一、合同内容及金额：即成交人的磋商内容及其成交总金额：磋商报价为一次包死，不受市场价格变化或实际工作量变化影响，并作为最终结算的唯一依据。</w:t>
      </w:r>
    </w:p>
    <w:p>
      <w:pPr>
        <w:spacing w:line="400" w:lineRule="exact"/>
        <w:rPr>
          <w:rFonts w:ascii="仿宋" w:hAnsi="仿宋" w:eastAsia="仿宋"/>
        </w:rPr>
      </w:pPr>
      <w:r>
        <w:rPr>
          <w:rFonts w:hint="eastAsia" w:ascii="仿宋" w:hAnsi="仿宋" w:eastAsia="仿宋"/>
        </w:rPr>
        <w:t>二、质保期：三年。</w:t>
      </w:r>
    </w:p>
    <w:p>
      <w:pPr>
        <w:spacing w:line="400" w:lineRule="exact"/>
        <w:rPr>
          <w:rFonts w:ascii="仿宋" w:hAnsi="仿宋" w:eastAsia="仿宋"/>
        </w:rPr>
      </w:pPr>
      <w:r>
        <w:rPr>
          <w:rFonts w:hint="eastAsia" w:ascii="仿宋" w:hAnsi="仿宋" w:eastAsia="仿宋"/>
        </w:rPr>
        <w:t>成交人未征得采购人同意和谅解而单方面延迟服务，将按违约终止合同。</w:t>
      </w:r>
    </w:p>
    <w:p>
      <w:pPr>
        <w:spacing w:line="400" w:lineRule="exact"/>
        <w:rPr>
          <w:rFonts w:ascii="仿宋" w:hAnsi="仿宋" w:eastAsia="仿宋"/>
        </w:rPr>
      </w:pPr>
      <w:r>
        <w:rPr>
          <w:rFonts w:hint="eastAsia" w:ascii="仿宋" w:hAnsi="仿宋" w:eastAsia="仿宋"/>
        </w:rPr>
        <w:t>成交人遇到可能妨碍按时提供货物（服务）的情况，应当及时以书面形式通知采购人，说明原由、拖延的期限等；采购人、采购代理机构在收到通知后，尽快进行情况评估并确定是否通过修改合同，酌情延长服务时间或者通过协商加收误期赔偿金。</w:t>
      </w:r>
    </w:p>
    <w:p>
      <w:pPr>
        <w:spacing w:line="400" w:lineRule="exact"/>
        <w:rPr>
          <w:rFonts w:ascii="仿宋" w:hAnsi="仿宋" w:eastAsia="仿宋"/>
        </w:rPr>
      </w:pPr>
      <w:r>
        <w:rPr>
          <w:rFonts w:hint="eastAsia" w:ascii="仿宋" w:hAnsi="仿宋" w:eastAsia="仿宋"/>
        </w:rPr>
        <w:t>三、交货条件</w:t>
      </w:r>
    </w:p>
    <w:p>
      <w:pPr>
        <w:spacing w:line="400" w:lineRule="exact"/>
        <w:rPr>
          <w:rFonts w:ascii="仿宋" w:hAnsi="仿宋" w:eastAsia="仿宋"/>
        </w:rPr>
      </w:pPr>
      <w:r>
        <w:rPr>
          <w:rFonts w:hint="eastAsia" w:ascii="仿宋" w:hAnsi="仿宋" w:eastAsia="仿宋"/>
        </w:rPr>
        <w:t>1、服务地点：西安市胸科医院指定地点。</w:t>
      </w:r>
    </w:p>
    <w:p>
      <w:pPr>
        <w:spacing w:line="400" w:lineRule="exact"/>
        <w:rPr>
          <w:rFonts w:ascii="仿宋" w:hAnsi="仿宋" w:eastAsia="仿宋"/>
        </w:rPr>
      </w:pPr>
      <w:r>
        <w:rPr>
          <w:rFonts w:hint="eastAsia" w:ascii="仿宋" w:hAnsi="仿宋" w:eastAsia="仿宋"/>
        </w:rPr>
        <w:t>2、服务周期：合同签订后，30日历天完成。</w:t>
      </w:r>
    </w:p>
    <w:p>
      <w:pPr>
        <w:spacing w:line="400" w:lineRule="exact"/>
        <w:rPr>
          <w:rFonts w:ascii="仿宋" w:hAnsi="仿宋" w:eastAsia="仿宋"/>
        </w:rPr>
      </w:pPr>
      <w:r>
        <w:rPr>
          <w:rFonts w:hint="eastAsia" w:ascii="仿宋" w:hAnsi="仿宋" w:eastAsia="仿宋"/>
        </w:rPr>
        <w:t>四、结算方式：</w:t>
      </w:r>
    </w:p>
    <w:p>
      <w:pPr>
        <w:spacing w:line="400" w:lineRule="exact"/>
        <w:rPr>
          <w:rFonts w:ascii="仿宋" w:hAnsi="仿宋" w:eastAsia="仿宋"/>
        </w:rPr>
      </w:pPr>
      <w:r>
        <w:rPr>
          <w:rFonts w:hint="eastAsia" w:ascii="仿宋" w:hAnsi="仿宋" w:eastAsia="仿宋"/>
        </w:rPr>
        <w:t>1、付款：验收合格后付款100%。</w:t>
      </w:r>
    </w:p>
    <w:p>
      <w:pPr>
        <w:spacing w:line="400" w:lineRule="exact"/>
        <w:rPr>
          <w:rFonts w:ascii="仿宋" w:hAnsi="仿宋" w:eastAsia="仿宋"/>
        </w:rPr>
      </w:pPr>
      <w:r>
        <w:rPr>
          <w:rFonts w:hint="eastAsia" w:ascii="仿宋" w:hAnsi="仿宋" w:eastAsia="仿宋"/>
        </w:rPr>
        <w:t>2、结算单位：由西安市胸科医院与合同供应商结算，发票直开。</w:t>
      </w:r>
    </w:p>
    <w:p>
      <w:pPr>
        <w:spacing w:line="400" w:lineRule="exact"/>
        <w:rPr>
          <w:rFonts w:ascii="仿宋" w:hAnsi="仿宋" w:eastAsia="仿宋"/>
        </w:rPr>
      </w:pPr>
      <w:r>
        <w:rPr>
          <w:rFonts w:hint="eastAsia" w:ascii="仿宋" w:hAnsi="仿宋" w:eastAsia="仿宋"/>
        </w:rPr>
        <w:t>五、质量保证</w:t>
      </w:r>
    </w:p>
    <w:p>
      <w:pPr>
        <w:spacing w:line="400" w:lineRule="exact"/>
        <w:rPr>
          <w:rFonts w:ascii="仿宋" w:hAnsi="仿宋" w:eastAsia="仿宋"/>
        </w:rPr>
      </w:pPr>
      <w:r>
        <w:rPr>
          <w:rFonts w:hint="eastAsia" w:ascii="仿宋" w:hAnsi="仿宋" w:eastAsia="仿宋"/>
        </w:rPr>
        <w:t>1.本项目整体验收合格后质保期三年。</w:t>
      </w:r>
    </w:p>
    <w:p>
      <w:pPr>
        <w:spacing w:line="400" w:lineRule="exact"/>
        <w:rPr>
          <w:rFonts w:ascii="仿宋" w:hAnsi="仿宋" w:eastAsia="仿宋"/>
        </w:rPr>
      </w:pPr>
      <w:r>
        <w:rPr>
          <w:rFonts w:hint="eastAsia" w:ascii="仿宋" w:hAnsi="仿宋" w:eastAsia="仿宋"/>
        </w:rPr>
        <w:t>2.供应商应当保证所供产品的来源渠道正常，产品完全符合国家和合同规定的质量、规格、技术指标等要求，并在质保期内因产品质量问题引发的事故，由供应商承担经济赔偿责任以及其他法律责任。</w:t>
      </w:r>
    </w:p>
    <w:p>
      <w:pPr>
        <w:spacing w:line="400" w:lineRule="exact"/>
        <w:rPr>
          <w:rFonts w:ascii="仿宋" w:hAnsi="仿宋" w:eastAsia="仿宋"/>
        </w:rPr>
      </w:pPr>
      <w:r>
        <w:rPr>
          <w:rFonts w:hint="eastAsia" w:ascii="仿宋" w:hAnsi="仿宋" w:eastAsia="仿宋"/>
        </w:rPr>
        <w:t>3.在质保期内，如果发现产品的质量、规格、技术指标等存在与合同中任何一项不符，采购单位应在最短时间内，以书面形式向供应商提出索赔，同时通告采购代理机构。</w:t>
      </w:r>
    </w:p>
    <w:p>
      <w:pPr>
        <w:spacing w:line="400" w:lineRule="exact"/>
        <w:rPr>
          <w:rFonts w:ascii="仿宋" w:hAnsi="仿宋" w:eastAsia="仿宋"/>
        </w:rPr>
      </w:pPr>
      <w:r>
        <w:rPr>
          <w:rFonts w:hint="eastAsia" w:ascii="仿宋" w:hAnsi="仿宋" w:eastAsia="仿宋"/>
        </w:rPr>
        <w:t>4.供应商应当明确售后服务公约, 供应商必须按照使用单位人员通知的时间、数量、品种、品质要求准时送货，经验收合格后签字确认，不能以任何理由推托，一旦影响到正常工作，供应商应承担相应的经济赔偿。</w:t>
      </w:r>
    </w:p>
    <w:p>
      <w:pPr>
        <w:pStyle w:val="2"/>
        <w:rPr>
          <w:rFonts w:ascii="仿宋" w:hAnsi="仿宋" w:eastAsia="仿宋"/>
          <w:sz w:val="21"/>
          <w:szCs w:val="24"/>
        </w:rPr>
      </w:pPr>
      <w:r>
        <w:rPr>
          <w:rFonts w:hint="eastAsia" w:ascii="仿宋" w:hAnsi="仿宋" w:eastAsia="仿宋"/>
          <w:sz w:val="21"/>
          <w:szCs w:val="24"/>
        </w:rPr>
        <w:t>5.服务响应时间:乙方收到甲方的维修需求,_</w:t>
      </w:r>
      <w:r>
        <w:rPr>
          <w:rFonts w:hint="eastAsia" w:ascii="仿宋" w:hAnsi="仿宋" w:eastAsia="仿宋"/>
          <w:sz w:val="21"/>
          <w:szCs w:val="24"/>
          <w:u w:val="single"/>
        </w:rPr>
        <w:t>1</w:t>
      </w:r>
      <w:r>
        <w:rPr>
          <w:rFonts w:hint="eastAsia" w:ascii="仿宋" w:hAnsi="仿宋" w:eastAsia="仿宋"/>
          <w:sz w:val="21"/>
          <w:szCs w:val="24"/>
        </w:rPr>
        <w:t>_小时内电话响应, _</w:t>
      </w:r>
      <w:r>
        <w:rPr>
          <w:rFonts w:hint="eastAsia" w:ascii="仿宋" w:hAnsi="仿宋" w:eastAsia="仿宋"/>
          <w:sz w:val="21"/>
          <w:szCs w:val="24"/>
          <w:u w:val="single"/>
        </w:rPr>
        <w:t>4</w:t>
      </w:r>
      <w:r>
        <w:rPr>
          <w:rFonts w:hint="eastAsia" w:ascii="仿宋" w:hAnsi="仿宋" w:eastAsia="仿宋"/>
          <w:sz w:val="21"/>
          <w:szCs w:val="24"/>
        </w:rPr>
        <w:t>_小时内到达现场, _</w:t>
      </w:r>
      <w:r>
        <w:rPr>
          <w:rFonts w:hint="eastAsia" w:ascii="仿宋" w:hAnsi="仿宋" w:eastAsia="仿宋"/>
          <w:sz w:val="21"/>
          <w:szCs w:val="24"/>
          <w:u w:val="single"/>
        </w:rPr>
        <w:t>24</w:t>
      </w:r>
      <w:r>
        <w:rPr>
          <w:rFonts w:hint="eastAsia" w:ascii="仿宋" w:hAnsi="仿宋" w:eastAsia="仿宋"/>
          <w:sz w:val="21"/>
          <w:szCs w:val="24"/>
        </w:rPr>
        <w:t>_小时内排除故障。</w:t>
      </w:r>
    </w:p>
    <w:p>
      <w:pPr>
        <w:spacing w:line="400" w:lineRule="exact"/>
        <w:rPr>
          <w:rFonts w:ascii="仿宋" w:hAnsi="仿宋" w:eastAsia="仿宋"/>
        </w:rPr>
      </w:pPr>
      <w:r>
        <w:rPr>
          <w:rFonts w:hint="eastAsia" w:ascii="仿宋" w:hAnsi="仿宋" w:eastAsia="仿宋"/>
        </w:rPr>
        <w:t>六、安装及调试要求</w:t>
      </w:r>
    </w:p>
    <w:p>
      <w:pPr>
        <w:spacing w:line="400" w:lineRule="exact"/>
        <w:rPr>
          <w:rFonts w:ascii="仿宋" w:hAnsi="仿宋" w:eastAsia="仿宋"/>
        </w:rPr>
      </w:pPr>
      <w:r>
        <w:rPr>
          <w:rFonts w:hint="eastAsia" w:ascii="仿宋" w:hAnsi="仿宋" w:eastAsia="仿宋"/>
        </w:rPr>
        <w:t>1.供应商应遵守现场的一切规章制度，文明施工；</w:t>
      </w:r>
    </w:p>
    <w:p>
      <w:pPr>
        <w:spacing w:line="400" w:lineRule="exact"/>
        <w:rPr>
          <w:rFonts w:ascii="仿宋" w:hAnsi="仿宋" w:eastAsia="仿宋"/>
        </w:rPr>
      </w:pPr>
      <w:r>
        <w:rPr>
          <w:rFonts w:hint="eastAsia" w:ascii="仿宋" w:hAnsi="仿宋" w:eastAsia="仿宋"/>
        </w:rPr>
        <w:t>2.供应商负责保管、看护进场的设备及附配件直至完成安装调试后交付采购人；</w:t>
      </w:r>
    </w:p>
    <w:p>
      <w:pPr>
        <w:spacing w:line="400" w:lineRule="exact"/>
        <w:rPr>
          <w:rFonts w:ascii="仿宋" w:hAnsi="仿宋" w:eastAsia="仿宋"/>
        </w:rPr>
      </w:pPr>
      <w:r>
        <w:rPr>
          <w:rFonts w:hint="eastAsia" w:ascii="仿宋" w:hAnsi="仿宋" w:eastAsia="仿宋"/>
        </w:rPr>
        <w:t>3.供应商负责设备、安装设备（工具）等提供适当的保护、包装或覆盖等处理，直至验收合格，以免受损；</w:t>
      </w:r>
    </w:p>
    <w:p>
      <w:pPr>
        <w:spacing w:line="400" w:lineRule="exact"/>
        <w:rPr>
          <w:rFonts w:ascii="仿宋" w:hAnsi="仿宋" w:eastAsia="仿宋"/>
        </w:rPr>
      </w:pPr>
      <w:r>
        <w:rPr>
          <w:rFonts w:hint="eastAsia" w:ascii="仿宋" w:hAnsi="仿宋" w:eastAsia="仿宋"/>
        </w:rPr>
        <w:t>4.供应商施工工人、施工机械或在运输装卸途中对其他工程及邻近设备、管线等造成损坏，应由供应商负责修复及承担一切费用；</w:t>
      </w:r>
    </w:p>
    <w:p>
      <w:pPr>
        <w:spacing w:line="400" w:lineRule="exact"/>
        <w:rPr>
          <w:rFonts w:ascii="仿宋" w:hAnsi="仿宋" w:eastAsia="仿宋"/>
        </w:rPr>
      </w:pPr>
      <w:r>
        <w:rPr>
          <w:rFonts w:hint="eastAsia" w:ascii="仿宋" w:hAnsi="仿宋" w:eastAsia="仿宋"/>
        </w:rPr>
        <w:t>5.无论调试期间或保修过程中，供应商负责及时清理垃圾，并将包装物及垃圾堆放至甲方指定地点。</w:t>
      </w:r>
    </w:p>
    <w:p>
      <w:pPr>
        <w:pStyle w:val="2"/>
        <w:rPr>
          <w:rFonts w:ascii="仿宋" w:hAnsi="仿宋" w:eastAsia="仿宋"/>
          <w:sz w:val="21"/>
          <w:szCs w:val="24"/>
        </w:rPr>
      </w:pPr>
      <w:r>
        <w:rPr>
          <w:rFonts w:hint="eastAsia" w:ascii="仿宋" w:hAnsi="仿宋" w:eastAsia="仿宋"/>
          <w:sz w:val="21"/>
          <w:szCs w:val="24"/>
        </w:rPr>
        <w:t>6.验收:</w:t>
      </w:r>
      <w:r>
        <w:rPr>
          <w:rFonts w:hint="eastAsia" w:ascii="宋体" w:hAnsi="宋体" w:eastAsia="宋体" w:cs="宋体"/>
        </w:rPr>
        <w:t xml:space="preserve"> </w:t>
      </w:r>
      <w:r>
        <w:rPr>
          <w:rFonts w:hint="eastAsia" w:ascii="仿宋" w:hAnsi="仿宋" w:eastAsia="仿宋"/>
          <w:sz w:val="21"/>
          <w:szCs w:val="24"/>
        </w:rPr>
        <w:t>①产品到达甲方指定地点后，甲方根据合同要求，对产品进行外观等验收，确认产品。②产品安装并正常运行后，由乙方进行自检，合格后准备验收文件，并书面通知甲方。③甲方确认乙方的自检内容后，会同乙方（必要时请有关专家）进行验收，验收合格后，填写验收合格单。④验收依据：a、磋商文件、投标文件；b、本合同及附件文本；c、国家相应的标准、规范。d、甲方有权对乙方所提供产品进行破坏性检验及验收。</w:t>
      </w:r>
    </w:p>
    <w:p>
      <w:pPr>
        <w:spacing w:line="400" w:lineRule="exact"/>
        <w:rPr>
          <w:rFonts w:ascii="仿宋" w:hAnsi="仿宋" w:eastAsia="仿宋"/>
        </w:rPr>
      </w:pPr>
      <w:r>
        <w:rPr>
          <w:rFonts w:hint="eastAsia" w:ascii="仿宋" w:hAnsi="仿宋" w:eastAsia="仿宋"/>
        </w:rPr>
        <w:t>七、运输要求</w:t>
      </w:r>
    </w:p>
    <w:p>
      <w:pPr>
        <w:spacing w:line="400" w:lineRule="exact"/>
        <w:rPr>
          <w:rFonts w:ascii="仿宋" w:hAnsi="仿宋" w:eastAsia="仿宋"/>
        </w:rPr>
      </w:pPr>
      <w:r>
        <w:rPr>
          <w:rFonts w:hint="eastAsia" w:ascii="仿宋" w:hAnsi="仿宋" w:eastAsia="仿宋"/>
        </w:rPr>
        <w:t>1.供应商根据货物特性，自行选择运输及包装方式，承担一切运输费用，包死在合同总价内。</w:t>
      </w:r>
    </w:p>
    <w:p>
      <w:pPr>
        <w:spacing w:line="400" w:lineRule="exact"/>
        <w:rPr>
          <w:rFonts w:ascii="仿宋" w:hAnsi="仿宋" w:eastAsia="仿宋"/>
        </w:rPr>
      </w:pPr>
      <w:r>
        <w:rPr>
          <w:rFonts w:hint="eastAsia" w:ascii="仿宋" w:hAnsi="仿宋" w:eastAsia="仿宋"/>
        </w:rPr>
        <w:t>2.供应商应在合同规定的时间内完成该项工作。如因供应商责任而造成延期，每超过一天按合同结算款的（1‰）支付采购人误期赔偿金，直至完工或提供服务结束为止，所有因延期而产生的费用由供应商承担。</w:t>
      </w:r>
    </w:p>
    <w:p>
      <w:pPr>
        <w:spacing w:line="400" w:lineRule="exact"/>
        <w:rPr>
          <w:rFonts w:ascii="仿宋" w:hAnsi="仿宋" w:eastAsia="仿宋"/>
        </w:rPr>
      </w:pPr>
      <w:r>
        <w:rPr>
          <w:rFonts w:hint="eastAsia" w:ascii="仿宋" w:hAnsi="仿宋" w:eastAsia="仿宋"/>
        </w:rPr>
        <w:t>八、技术资料：</w:t>
      </w:r>
    </w:p>
    <w:p>
      <w:pPr>
        <w:spacing w:line="400" w:lineRule="exact"/>
        <w:rPr>
          <w:rFonts w:ascii="仿宋" w:hAnsi="仿宋" w:eastAsia="仿宋"/>
        </w:rPr>
      </w:pPr>
      <w:r>
        <w:rPr>
          <w:rFonts w:hint="eastAsia" w:ascii="仿宋" w:hAnsi="仿宋" w:eastAsia="仿宋"/>
        </w:rPr>
        <w:t>提供更换配件的合格证、说明书等相关资料。</w:t>
      </w:r>
    </w:p>
    <w:p>
      <w:pPr>
        <w:spacing w:line="400" w:lineRule="exact"/>
        <w:rPr>
          <w:rFonts w:ascii="仿宋" w:hAnsi="仿宋" w:eastAsia="仿宋"/>
        </w:rPr>
      </w:pPr>
      <w:r>
        <w:rPr>
          <w:rFonts w:hint="eastAsia" w:ascii="仿宋" w:hAnsi="仿宋" w:eastAsia="仿宋"/>
        </w:rPr>
        <w:t>九、双方责任</w:t>
      </w:r>
    </w:p>
    <w:p>
      <w:pPr>
        <w:spacing w:line="400" w:lineRule="exact"/>
        <w:rPr>
          <w:rFonts w:ascii="仿宋" w:hAnsi="仿宋" w:eastAsia="仿宋"/>
        </w:rPr>
      </w:pPr>
      <w:r>
        <w:rPr>
          <w:rFonts w:hint="eastAsia" w:ascii="仿宋" w:hAnsi="仿宋" w:eastAsia="仿宋"/>
        </w:rPr>
        <w:t>1、甲方责任</w:t>
      </w:r>
    </w:p>
    <w:p>
      <w:pPr>
        <w:spacing w:line="400" w:lineRule="exact"/>
        <w:rPr>
          <w:rFonts w:ascii="仿宋" w:hAnsi="仿宋" w:eastAsia="仿宋"/>
        </w:rPr>
      </w:pPr>
      <w:r>
        <w:rPr>
          <w:rFonts w:hint="eastAsia" w:ascii="仿宋" w:hAnsi="仿宋" w:eastAsia="仿宋"/>
        </w:rPr>
        <w:t>（1）按合同规定向乙方支付费用。</w:t>
      </w:r>
    </w:p>
    <w:p>
      <w:pPr>
        <w:spacing w:line="400" w:lineRule="exact"/>
        <w:rPr>
          <w:rFonts w:ascii="仿宋" w:hAnsi="仿宋" w:eastAsia="仿宋"/>
        </w:rPr>
      </w:pPr>
      <w:r>
        <w:rPr>
          <w:rFonts w:hint="eastAsia" w:ascii="仿宋" w:hAnsi="仿宋" w:eastAsia="仿宋"/>
        </w:rPr>
        <w:t xml:space="preserve">（2）负责协调乙方工作过程中与本项目有关单位的配合问题。 </w:t>
      </w:r>
    </w:p>
    <w:p>
      <w:pPr>
        <w:spacing w:line="400" w:lineRule="exact"/>
        <w:rPr>
          <w:rFonts w:ascii="仿宋" w:hAnsi="仿宋" w:eastAsia="仿宋"/>
        </w:rPr>
      </w:pPr>
      <w:r>
        <w:rPr>
          <w:rFonts w:hint="eastAsia" w:ascii="仿宋" w:hAnsi="仿宋" w:eastAsia="仿宋"/>
        </w:rPr>
        <w:t>2、乙方责任</w:t>
      </w:r>
    </w:p>
    <w:p>
      <w:pPr>
        <w:spacing w:line="400" w:lineRule="exact"/>
        <w:rPr>
          <w:rFonts w:ascii="仿宋" w:hAnsi="仿宋" w:eastAsia="仿宋"/>
        </w:rPr>
      </w:pPr>
      <w:r>
        <w:rPr>
          <w:rFonts w:hint="eastAsia" w:ascii="仿宋" w:hAnsi="仿宋" w:eastAsia="仿宋"/>
        </w:rPr>
        <w:t>（1）乙方应根据合同的规定，在双方约定的时间内完成交货及售后服务项目内容。</w:t>
      </w:r>
    </w:p>
    <w:p>
      <w:pPr>
        <w:spacing w:line="400" w:lineRule="exact"/>
        <w:rPr>
          <w:rFonts w:ascii="仿宋" w:hAnsi="仿宋" w:eastAsia="仿宋"/>
        </w:rPr>
      </w:pPr>
      <w:r>
        <w:rPr>
          <w:rFonts w:hint="eastAsia" w:ascii="仿宋" w:hAnsi="仿宋" w:eastAsia="仿宋"/>
        </w:rPr>
        <w:t>（2）乙方应根据工作需要，派出相关专业的工作人员进行项目配合及监督执行。</w:t>
      </w:r>
    </w:p>
    <w:p>
      <w:pPr>
        <w:spacing w:line="400" w:lineRule="exact"/>
        <w:rPr>
          <w:rFonts w:ascii="仿宋" w:hAnsi="仿宋" w:eastAsia="仿宋"/>
        </w:rPr>
      </w:pPr>
      <w:r>
        <w:rPr>
          <w:rFonts w:hint="eastAsia" w:ascii="仿宋" w:hAnsi="仿宋" w:eastAsia="仿宋"/>
        </w:rPr>
        <w:t>（3）乙方应按国家规定和本合同及单一来源采购文件约定的服务规范和要求进行服务，并对维保的设备质量负责。</w:t>
      </w:r>
    </w:p>
    <w:p>
      <w:pPr>
        <w:spacing w:line="400" w:lineRule="exact"/>
        <w:rPr>
          <w:rFonts w:ascii="仿宋" w:hAnsi="仿宋" w:eastAsia="仿宋"/>
        </w:rPr>
      </w:pPr>
      <w:r>
        <w:rPr>
          <w:rFonts w:hint="eastAsia" w:ascii="仿宋" w:hAnsi="仿宋" w:eastAsia="仿宋"/>
        </w:rPr>
        <w:t>十、采购项目执行内容需要调整时，经采购人同意后，可以对相应的内容进行调整，并协商确定价格差额计算方法和负担办法。</w:t>
      </w:r>
    </w:p>
    <w:p>
      <w:pPr>
        <w:spacing w:line="400" w:lineRule="exact"/>
        <w:rPr>
          <w:rFonts w:ascii="仿宋" w:hAnsi="仿宋" w:eastAsia="仿宋"/>
        </w:rPr>
      </w:pPr>
      <w:r>
        <w:rPr>
          <w:rFonts w:hint="eastAsia" w:ascii="仿宋" w:hAnsi="仿宋" w:eastAsia="仿宋"/>
        </w:rPr>
        <w:t>十一、合同争议的解决：合同执行中发生争议的，当事人双方应协商解决，协商达不成一致时，可向甲方所在地人民法院提请诉讼。</w:t>
      </w:r>
    </w:p>
    <w:p>
      <w:pPr>
        <w:spacing w:line="400" w:lineRule="exact"/>
        <w:rPr>
          <w:rFonts w:ascii="仿宋" w:hAnsi="仿宋" w:eastAsia="仿宋"/>
        </w:rPr>
      </w:pPr>
      <w:r>
        <w:rPr>
          <w:rFonts w:hint="eastAsia" w:ascii="仿宋" w:hAnsi="仿宋" w:eastAsia="仿宋"/>
        </w:rPr>
        <w:t>十二、在发生不可抗力情况下的应对措施和解决办法。</w:t>
      </w:r>
    </w:p>
    <w:p>
      <w:pPr>
        <w:spacing w:line="400" w:lineRule="exact"/>
        <w:rPr>
          <w:rFonts w:ascii="仿宋" w:hAnsi="仿宋" w:eastAsia="仿宋"/>
        </w:rPr>
      </w:pPr>
      <w:r>
        <w:rPr>
          <w:rFonts w:hint="eastAsia" w:ascii="仿宋" w:hAnsi="仿宋" w:eastAsia="仿宋"/>
        </w:rPr>
        <w:t>十三、合同一经签订，不得擅自变更、中止或者终止合同。对确需变更、调整或者中止、终止合同的，应按规定履行相应的手续。</w:t>
      </w:r>
    </w:p>
    <w:p>
      <w:pPr>
        <w:spacing w:line="400" w:lineRule="exact"/>
        <w:rPr>
          <w:rFonts w:ascii="仿宋" w:hAnsi="仿宋" w:eastAsia="仿宋"/>
        </w:rPr>
      </w:pPr>
      <w:r>
        <w:rPr>
          <w:rFonts w:hint="eastAsia" w:ascii="仿宋" w:hAnsi="仿宋" w:eastAsia="仿宋"/>
        </w:rPr>
        <w:t>十四、违约责任：依据《中华人民共和国民法典》、《中华人民共和国政府采购法》的相关条款和本合同约定，成交人未全面履行合同义务或者发生违约，采购人会同采购代理机构有权终止合同，依法向成交人要求经济索赔，并报请政府采购监督管理机关进行相应的行政处罚。采购人违约的，应当赔偿给成交人造成的经济损失。</w:t>
      </w:r>
    </w:p>
    <w:p>
      <w:pPr>
        <w:spacing w:line="400" w:lineRule="exact"/>
        <w:rPr>
          <w:rFonts w:ascii="仿宋" w:hAnsi="仿宋" w:eastAsia="仿宋"/>
        </w:rPr>
      </w:pPr>
      <w:r>
        <w:rPr>
          <w:rFonts w:hint="eastAsia" w:ascii="仿宋" w:hAnsi="仿宋" w:eastAsia="仿宋"/>
        </w:rPr>
        <w:t xml:space="preserve">十五、本合同壹式五份，甲方四份，乙方壹份。各方签字盖章后生效，合同执行完毕自动失效。（合同的服务承诺则长期有效）。 </w:t>
      </w:r>
    </w:p>
    <w:p>
      <w:pPr>
        <w:spacing w:line="400" w:lineRule="exact"/>
        <w:rPr>
          <w:rFonts w:ascii="仿宋" w:hAnsi="仿宋" w:eastAsia="仿宋"/>
        </w:rPr>
      </w:pPr>
      <w:r>
        <w:rPr>
          <w:rFonts w:hint="eastAsia" w:ascii="仿宋" w:hAnsi="仿宋" w:eastAsia="仿宋"/>
        </w:rPr>
        <w:t>十六、其它（在合同中具体明确）</w:t>
      </w:r>
    </w:p>
    <w:p>
      <w:pPr>
        <w:spacing w:line="400" w:lineRule="exact"/>
        <w:rPr>
          <w:rFonts w:ascii="仿宋" w:hAnsi="仿宋" w:eastAsia="仿宋"/>
        </w:rPr>
      </w:pPr>
    </w:p>
    <w:p>
      <w:pPr>
        <w:spacing w:line="400" w:lineRule="exact"/>
        <w:rPr>
          <w:rFonts w:ascii="仿宋" w:hAnsi="仿宋" w:eastAsia="仿宋"/>
        </w:rPr>
      </w:pPr>
      <w:r>
        <w:rPr>
          <w:rFonts w:hint="eastAsia" w:ascii="仿宋" w:hAnsi="仿宋" w:eastAsia="仿宋"/>
        </w:rPr>
        <w:t>甲    方                                乙    方</w:t>
      </w:r>
    </w:p>
    <w:p>
      <w:pPr>
        <w:spacing w:line="400" w:lineRule="exact"/>
        <w:rPr>
          <w:rFonts w:ascii="仿宋" w:hAnsi="仿宋" w:eastAsia="仿宋"/>
        </w:rPr>
      </w:pPr>
      <w:r>
        <w:rPr>
          <w:rFonts w:hint="eastAsia" w:ascii="仿宋" w:hAnsi="仿宋" w:eastAsia="仿宋"/>
        </w:rPr>
        <w:t>单位名称：                              单位名称：</w:t>
      </w:r>
    </w:p>
    <w:p>
      <w:pPr>
        <w:spacing w:line="400" w:lineRule="exact"/>
        <w:rPr>
          <w:rFonts w:ascii="仿宋" w:hAnsi="仿宋" w:eastAsia="仿宋"/>
        </w:rPr>
      </w:pPr>
      <w:r>
        <w:rPr>
          <w:rFonts w:hint="eastAsia" w:ascii="仿宋" w:hAnsi="仿宋" w:eastAsia="仿宋"/>
        </w:rPr>
        <w:t>地   址：                               地 址：</w:t>
      </w:r>
    </w:p>
    <w:p>
      <w:pPr>
        <w:spacing w:line="400" w:lineRule="exact"/>
        <w:rPr>
          <w:rFonts w:ascii="仿宋" w:hAnsi="仿宋" w:eastAsia="仿宋"/>
        </w:rPr>
      </w:pPr>
      <w:r>
        <w:rPr>
          <w:rFonts w:hint="eastAsia" w:ascii="仿宋" w:hAnsi="仿宋" w:eastAsia="仿宋"/>
        </w:rPr>
        <w:t>法人代表：                              法人代表：</w:t>
      </w:r>
    </w:p>
    <w:p>
      <w:pPr>
        <w:spacing w:line="400" w:lineRule="exact"/>
        <w:rPr>
          <w:rFonts w:ascii="仿宋" w:hAnsi="仿宋" w:eastAsia="仿宋"/>
        </w:rPr>
      </w:pPr>
      <w:r>
        <w:rPr>
          <w:rFonts w:hint="eastAsia" w:ascii="仿宋" w:hAnsi="仿宋" w:eastAsia="仿宋"/>
        </w:rPr>
        <w:t>负 责 人：                              负 责 人：</w:t>
      </w:r>
    </w:p>
    <w:p>
      <w:pPr>
        <w:spacing w:line="400" w:lineRule="exact"/>
        <w:rPr>
          <w:rFonts w:ascii="仿宋" w:hAnsi="仿宋" w:eastAsia="仿宋"/>
        </w:rPr>
      </w:pPr>
      <w:r>
        <w:rPr>
          <w:rFonts w:hint="eastAsia" w:ascii="仿宋" w:hAnsi="仿宋" w:eastAsia="仿宋"/>
        </w:rPr>
        <w:t xml:space="preserve">联系电话：                              联系电话：           </w:t>
      </w:r>
    </w:p>
    <w:p>
      <w:pPr>
        <w:spacing w:line="400" w:lineRule="exact"/>
        <w:rPr>
          <w:rFonts w:ascii="仿宋" w:hAnsi="仿宋" w:eastAsia="仿宋"/>
        </w:rPr>
      </w:pPr>
      <w:r>
        <w:rPr>
          <w:rFonts w:hint="eastAsia" w:ascii="仿宋" w:hAnsi="仿宋" w:eastAsia="仿宋"/>
        </w:rPr>
        <w:t xml:space="preserve">开 户 行：                              开 户 行： </w:t>
      </w:r>
    </w:p>
    <w:p>
      <w:pPr>
        <w:spacing w:line="400" w:lineRule="exact"/>
        <w:rPr>
          <w:rFonts w:ascii="仿宋" w:hAnsi="仿宋" w:eastAsia="仿宋"/>
        </w:rPr>
      </w:pPr>
      <w:r>
        <w:rPr>
          <w:rFonts w:hint="eastAsia" w:ascii="仿宋" w:hAnsi="仿宋" w:eastAsia="仿宋"/>
        </w:rPr>
        <w:t>账    号：                              账    号：</w:t>
      </w:r>
    </w:p>
    <w:p>
      <w:pPr>
        <w:spacing w:line="400" w:lineRule="exact"/>
        <w:rPr>
          <w:rFonts w:ascii="仿宋" w:hAnsi="仿宋" w:eastAsia="仿宋"/>
        </w:rPr>
      </w:pPr>
      <w:r>
        <w:rPr>
          <w:rFonts w:hint="eastAsia" w:ascii="仿宋" w:hAnsi="仿宋" w:eastAsia="仿宋"/>
        </w:rPr>
        <w:t>纳税人识别号：                          纳税人识别号：</w:t>
      </w:r>
    </w:p>
    <w:p>
      <w:pPr>
        <w:spacing w:line="400" w:lineRule="exact"/>
        <w:rPr>
          <w:rFonts w:ascii="仿宋" w:hAnsi="仿宋" w:eastAsia="仿宋"/>
        </w:rPr>
      </w:pPr>
      <w:r>
        <w:rPr>
          <w:rFonts w:hint="eastAsia" w:ascii="仿宋" w:hAnsi="仿宋" w:eastAsia="仿宋"/>
        </w:rPr>
        <w:t xml:space="preserve">签订日期：   年   月   日                签订日期：   年   月   日          </w:t>
      </w:r>
    </w:p>
    <w:p>
      <w:pPr>
        <w:spacing w:line="400" w:lineRule="exact"/>
        <w:rPr>
          <w:rFonts w:ascii="仿宋" w:hAnsi="仿宋" w:eastAsia="仿宋"/>
        </w:rPr>
      </w:pPr>
    </w:p>
    <w:p>
      <w:pPr>
        <w:spacing w:line="400" w:lineRule="exact"/>
        <w:rPr>
          <w:rFonts w:ascii="仿宋" w:hAnsi="仿宋" w:eastAsia="仿宋"/>
        </w:rPr>
      </w:pPr>
      <w:r>
        <w:rPr>
          <w:rFonts w:hint="eastAsia" w:ascii="仿宋" w:hAnsi="仿宋" w:eastAsia="仿宋"/>
        </w:rPr>
        <w:t>见证方名称（盖章）:</w:t>
      </w:r>
    </w:p>
    <w:p>
      <w:pPr>
        <w:spacing w:line="400" w:lineRule="exact"/>
        <w:rPr>
          <w:rFonts w:ascii="仿宋" w:hAnsi="仿宋" w:eastAsia="仿宋"/>
        </w:rPr>
      </w:pPr>
      <w:r>
        <w:rPr>
          <w:rFonts w:hint="eastAsia" w:ascii="仿宋" w:hAnsi="仿宋" w:eastAsia="仿宋"/>
        </w:rPr>
        <w:t>地址：</w:t>
      </w:r>
    </w:p>
    <w:p>
      <w:pPr>
        <w:spacing w:line="400" w:lineRule="exact"/>
        <w:rPr>
          <w:rFonts w:ascii="仿宋" w:hAnsi="仿宋" w:eastAsia="仿宋"/>
        </w:rPr>
      </w:pPr>
      <w:r>
        <w:rPr>
          <w:rFonts w:hint="eastAsia" w:ascii="仿宋" w:hAnsi="仿宋" w:eastAsia="仿宋"/>
        </w:rPr>
        <w:t>代表人：</w:t>
      </w:r>
    </w:p>
    <w:p>
      <w:pPr>
        <w:spacing w:line="400" w:lineRule="exact"/>
        <w:rPr>
          <w:rFonts w:ascii="仿宋" w:hAnsi="仿宋" w:eastAsia="仿宋"/>
        </w:rPr>
      </w:pPr>
      <w:r>
        <w:rPr>
          <w:rFonts w:hint="eastAsia" w:ascii="仿宋" w:hAnsi="仿宋" w:eastAsia="仿宋"/>
        </w:rPr>
        <w:t>电话：</w:t>
      </w:r>
    </w:p>
    <w:p>
      <w:pPr>
        <w:spacing w:line="400" w:lineRule="exact"/>
        <w:rPr>
          <w:rFonts w:ascii="仿宋" w:hAnsi="仿宋" w:eastAsia="仿宋"/>
        </w:rPr>
      </w:pPr>
      <w:r>
        <w:rPr>
          <w:rFonts w:hint="eastAsia" w:ascii="仿宋" w:hAnsi="仿宋" w:eastAsia="仿宋"/>
        </w:rPr>
        <w:t>开户银行：</w:t>
      </w:r>
    </w:p>
    <w:p>
      <w:pPr>
        <w:spacing w:line="400" w:lineRule="exact"/>
        <w:rPr>
          <w:rFonts w:ascii="仿宋" w:hAnsi="仿宋" w:eastAsia="仿宋"/>
        </w:rPr>
      </w:pPr>
      <w:r>
        <w:rPr>
          <w:rFonts w:hint="eastAsia" w:ascii="仿宋" w:hAnsi="仿宋" w:eastAsia="仿宋"/>
        </w:rPr>
        <w:t>帐号：</w:t>
      </w:r>
    </w:p>
    <w:p>
      <w:pPr>
        <w:widowControl/>
        <w:jc w:val="left"/>
        <w:rPr>
          <w:rFonts w:eastAsia="仿宋_GB2312"/>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6"/>
        <w:spacing w:line="360" w:lineRule="auto"/>
        <w:rPr>
          <w:rStyle w:val="203"/>
          <w:rFonts w:ascii="Times New Roman" w:hAnsi="Times New Roman" w:eastAsia="宋体"/>
          <w:sz w:val="36"/>
          <w:szCs w:val="36"/>
        </w:rPr>
      </w:pPr>
      <w:bookmarkStart w:id="438" w:name="_Toc68590980"/>
      <w:bookmarkStart w:id="439" w:name="_Toc58504448"/>
      <w:r>
        <w:rPr>
          <w:rStyle w:val="203"/>
          <w:rFonts w:ascii="Times New Roman" w:hAnsi="Times New Roman" w:eastAsia="宋体"/>
          <w:sz w:val="36"/>
          <w:szCs w:val="36"/>
        </w:rPr>
        <w:t>第五章  采购内容及要求</w:t>
      </w:r>
      <w:bookmarkEnd w:id="438"/>
      <w:bookmarkEnd w:id="439"/>
    </w:p>
    <w:p>
      <w:pPr>
        <w:rPr>
          <w:rFonts w:eastAsiaTheme="minorEastAsia"/>
        </w:rPr>
      </w:pPr>
      <w:r>
        <w:rPr>
          <w:rFonts w:hint="eastAsia" w:eastAsiaTheme="minorEastAsia"/>
        </w:rPr>
        <w:t>一、技术要求</w:t>
      </w:r>
    </w:p>
    <w:p>
      <w:pPr>
        <w:spacing w:line="400" w:lineRule="exact"/>
        <w:rPr>
          <w:rFonts w:ascii="仿宋" w:hAnsi="仿宋" w:eastAsia="仿宋"/>
          <w:bCs/>
          <w:color w:val="000000"/>
        </w:rPr>
      </w:pPr>
      <w:r>
        <w:rPr>
          <w:rFonts w:ascii="仿宋" w:hAnsi="仿宋" w:eastAsia="仿宋"/>
          <w:color w:val="000000"/>
        </w:rPr>
        <w:t>1</w:t>
      </w:r>
      <w:r>
        <w:rPr>
          <w:rFonts w:hint="eastAsia" w:ascii="仿宋" w:hAnsi="仿宋" w:eastAsia="仿宋"/>
          <w:bCs/>
          <w:color w:val="000000"/>
        </w:rPr>
        <w:t>.</w:t>
      </w:r>
      <w:r>
        <w:rPr>
          <w:rFonts w:ascii="仿宋" w:hAnsi="仿宋" w:eastAsia="仿宋"/>
          <w:bCs/>
          <w:color w:val="000000"/>
        </w:rPr>
        <w:t>LED显示屏(5.12</w:t>
      </w:r>
      <w:r>
        <w:rPr>
          <w:rFonts w:hint="eastAsia" w:ascii="仿宋" w:hAnsi="仿宋" w:eastAsia="仿宋"/>
          <w:bCs/>
          <w:color w:val="000000"/>
        </w:rPr>
        <w:t>米</w:t>
      </w:r>
      <w:r>
        <w:rPr>
          <w:rFonts w:ascii="仿宋" w:hAnsi="仿宋" w:eastAsia="仿宋"/>
          <w:bCs/>
          <w:color w:val="000000"/>
        </w:rPr>
        <w:t>*2.08</w:t>
      </w:r>
      <w:r>
        <w:rPr>
          <w:rFonts w:hint="eastAsia" w:ascii="仿宋" w:hAnsi="仿宋" w:eastAsia="仿宋"/>
          <w:bCs/>
          <w:color w:val="000000"/>
        </w:rPr>
        <w:t>米）</w:t>
      </w:r>
      <w:r>
        <w:rPr>
          <w:rFonts w:ascii="仿宋" w:hAnsi="仿宋" w:eastAsia="仿宋"/>
          <w:bCs/>
          <w:color w:val="000000"/>
        </w:rPr>
        <w:t>10.65</w:t>
      </w:r>
      <w:r>
        <w:rPr>
          <w:rFonts w:hint="eastAsia" w:ascii="仿宋" w:hAnsi="仿宋" w:eastAsia="仿宋"/>
          <w:bCs/>
          <w:color w:val="000000"/>
        </w:rPr>
        <w:t>平米</w:t>
      </w:r>
    </w:p>
    <w:p>
      <w:pPr>
        <w:spacing w:line="400" w:lineRule="exact"/>
        <w:rPr>
          <w:rFonts w:ascii="仿宋" w:hAnsi="仿宋" w:eastAsia="仿宋"/>
          <w:color w:val="000000"/>
        </w:rPr>
      </w:pPr>
      <w:r>
        <w:rPr>
          <w:rFonts w:hint="eastAsia" w:ascii="仿宋" w:hAnsi="仿宋" w:eastAsia="仿宋"/>
          <w:color w:val="000000"/>
        </w:rPr>
        <w:t>1、像素点间距 1.5mm</w:t>
      </w:r>
    </w:p>
    <w:p>
      <w:pPr>
        <w:spacing w:line="400" w:lineRule="exact"/>
        <w:rPr>
          <w:rFonts w:ascii="仿宋" w:hAnsi="仿宋" w:eastAsia="仿宋"/>
          <w:color w:val="000000"/>
        </w:rPr>
      </w:pPr>
      <w:r>
        <w:rPr>
          <w:rFonts w:hint="eastAsia" w:ascii="仿宋" w:hAnsi="仿宋" w:eastAsia="仿宋"/>
          <w:color w:val="000000"/>
        </w:rPr>
        <w:t>2、像素构成      1R、1G、1B</w:t>
      </w:r>
    </w:p>
    <w:p>
      <w:pPr>
        <w:spacing w:line="400" w:lineRule="exact"/>
        <w:rPr>
          <w:rFonts w:ascii="仿宋" w:hAnsi="仿宋" w:eastAsia="仿宋"/>
          <w:color w:val="000000"/>
        </w:rPr>
      </w:pPr>
      <w:r>
        <w:rPr>
          <w:rFonts w:hint="eastAsia" w:ascii="仿宋" w:hAnsi="仿宋" w:eastAsia="仿宋"/>
          <w:color w:val="000000"/>
        </w:rPr>
        <w:t>3、驱动方式  恒流驱动</w:t>
      </w:r>
    </w:p>
    <w:p>
      <w:pPr>
        <w:spacing w:line="400" w:lineRule="exact"/>
        <w:rPr>
          <w:rFonts w:ascii="仿宋" w:hAnsi="仿宋" w:eastAsia="仿宋"/>
          <w:color w:val="000000"/>
        </w:rPr>
      </w:pPr>
      <w:r>
        <w:rPr>
          <w:rFonts w:hint="eastAsia" w:ascii="仿宋" w:hAnsi="仿宋" w:eastAsia="仿宋"/>
          <w:color w:val="000000"/>
        </w:rPr>
        <w:t>4、供电方式  支持电源均流DC4.2V～DC4.5V供电</w:t>
      </w:r>
    </w:p>
    <w:p>
      <w:pPr>
        <w:spacing w:line="400" w:lineRule="exact"/>
        <w:rPr>
          <w:rFonts w:ascii="仿宋" w:hAnsi="仿宋" w:eastAsia="仿宋"/>
          <w:color w:val="000000"/>
        </w:rPr>
      </w:pPr>
      <w:r>
        <w:rPr>
          <w:rFonts w:hint="eastAsia" w:ascii="仿宋" w:hAnsi="仿宋" w:eastAsia="仿宋"/>
          <w:color w:val="000000"/>
        </w:rPr>
        <w:t xml:space="preserve">★5、模组平整度 ≤0.05mm </w:t>
      </w:r>
    </w:p>
    <w:p>
      <w:pPr>
        <w:spacing w:line="400" w:lineRule="exact"/>
        <w:rPr>
          <w:rFonts w:ascii="仿宋" w:hAnsi="仿宋" w:eastAsia="仿宋"/>
          <w:color w:val="000000"/>
        </w:rPr>
      </w:pPr>
      <w:r>
        <w:rPr>
          <w:rFonts w:hint="eastAsia" w:ascii="仿宋" w:hAnsi="仿宋" w:eastAsia="仿宋"/>
          <w:color w:val="000000"/>
        </w:rPr>
        <w:t>6、单元板分辨率 208*104=21632Dots</w:t>
      </w:r>
    </w:p>
    <w:p>
      <w:pPr>
        <w:spacing w:line="400" w:lineRule="exact"/>
        <w:rPr>
          <w:rFonts w:ascii="仿宋" w:hAnsi="仿宋" w:eastAsia="仿宋"/>
          <w:color w:val="000000"/>
        </w:rPr>
      </w:pPr>
      <w:r>
        <w:rPr>
          <w:rFonts w:hint="eastAsia" w:ascii="仿宋" w:hAnsi="仿宋" w:eastAsia="仿宋"/>
          <w:color w:val="000000"/>
        </w:rPr>
        <w:t>7、亮度  ≥700Cd/m²</w:t>
      </w:r>
    </w:p>
    <w:p>
      <w:pPr>
        <w:spacing w:line="400" w:lineRule="exact"/>
        <w:rPr>
          <w:rFonts w:ascii="仿宋" w:hAnsi="仿宋" w:eastAsia="仿宋"/>
          <w:color w:val="000000"/>
        </w:rPr>
      </w:pPr>
      <w:r>
        <w:rPr>
          <w:rFonts w:hint="eastAsia" w:ascii="仿宋" w:hAnsi="仿宋" w:eastAsia="仿宋"/>
          <w:color w:val="000000"/>
        </w:rPr>
        <w:t>8、亮度均匀性 ≥98%</w:t>
      </w:r>
    </w:p>
    <w:p>
      <w:pPr>
        <w:spacing w:line="400" w:lineRule="exact"/>
        <w:rPr>
          <w:rFonts w:ascii="仿宋" w:hAnsi="仿宋" w:eastAsia="仿宋"/>
          <w:color w:val="000000"/>
        </w:rPr>
      </w:pPr>
      <w:r>
        <w:rPr>
          <w:rFonts w:hint="eastAsia" w:ascii="仿宋" w:hAnsi="仿宋" w:eastAsia="仿宋"/>
          <w:color w:val="000000"/>
        </w:rPr>
        <w:t>9、色度均匀性 ±0.002Cx、Cy内</w:t>
      </w:r>
    </w:p>
    <w:p>
      <w:pPr>
        <w:spacing w:line="400" w:lineRule="exact"/>
        <w:rPr>
          <w:rFonts w:ascii="仿宋" w:hAnsi="仿宋" w:eastAsia="仿宋"/>
          <w:color w:val="000000"/>
        </w:rPr>
      </w:pPr>
      <w:r>
        <w:rPr>
          <w:rFonts w:hint="eastAsia" w:ascii="仿宋" w:hAnsi="仿宋" w:eastAsia="仿宋"/>
          <w:color w:val="000000"/>
        </w:rPr>
        <w:t>10、宽色域 ≥120% NTSC</w:t>
      </w:r>
    </w:p>
    <w:p>
      <w:pPr>
        <w:spacing w:line="400" w:lineRule="exact"/>
        <w:rPr>
          <w:rFonts w:ascii="仿宋" w:hAnsi="仿宋" w:eastAsia="仿宋"/>
          <w:color w:val="000000"/>
        </w:rPr>
      </w:pPr>
      <w:r>
        <w:rPr>
          <w:rFonts w:hint="eastAsia" w:ascii="仿宋" w:hAnsi="仿宋" w:eastAsia="仿宋"/>
          <w:color w:val="000000"/>
        </w:rPr>
        <w:t>★11、色温  1000-18000K</w:t>
      </w:r>
    </w:p>
    <w:p>
      <w:pPr>
        <w:spacing w:line="400" w:lineRule="exact"/>
        <w:rPr>
          <w:rFonts w:ascii="仿宋" w:hAnsi="仿宋" w:eastAsia="仿宋"/>
          <w:color w:val="000000"/>
        </w:rPr>
      </w:pPr>
      <w:r>
        <w:rPr>
          <w:rFonts w:hint="eastAsia" w:ascii="仿宋" w:hAnsi="仿宋" w:eastAsia="仿宋"/>
          <w:color w:val="000000"/>
        </w:rPr>
        <w:t>12、色温误差 色温为6500K时，100%、75%、50%、25%四档电平白场调节色温误差≤200K</w:t>
      </w:r>
    </w:p>
    <w:p>
      <w:pPr>
        <w:spacing w:line="400" w:lineRule="exact"/>
        <w:rPr>
          <w:rFonts w:ascii="仿宋" w:hAnsi="仿宋" w:eastAsia="仿宋"/>
          <w:color w:val="000000"/>
        </w:rPr>
      </w:pPr>
      <w:r>
        <w:rPr>
          <w:rFonts w:hint="eastAsia" w:ascii="仿宋" w:hAnsi="仿宋" w:eastAsia="仿宋"/>
          <w:color w:val="000000"/>
        </w:rPr>
        <w:t>13、水平视角 ≥160°</w:t>
      </w:r>
    </w:p>
    <w:p>
      <w:pPr>
        <w:spacing w:line="400" w:lineRule="exact"/>
        <w:rPr>
          <w:rFonts w:ascii="仿宋" w:hAnsi="仿宋" w:eastAsia="仿宋"/>
          <w:color w:val="000000"/>
        </w:rPr>
      </w:pPr>
      <w:r>
        <w:rPr>
          <w:rFonts w:hint="eastAsia" w:ascii="仿宋" w:hAnsi="仿宋" w:eastAsia="仿宋"/>
          <w:color w:val="000000"/>
        </w:rPr>
        <w:t>14、垂直视角 ≥160°</w:t>
      </w:r>
    </w:p>
    <w:p>
      <w:pPr>
        <w:spacing w:line="400" w:lineRule="exact"/>
        <w:rPr>
          <w:rFonts w:ascii="仿宋" w:hAnsi="仿宋" w:eastAsia="仿宋"/>
          <w:color w:val="000000"/>
        </w:rPr>
      </w:pPr>
      <w:r>
        <w:rPr>
          <w:rFonts w:hint="eastAsia" w:ascii="仿宋" w:hAnsi="仿宋" w:eastAsia="仿宋"/>
          <w:color w:val="000000"/>
        </w:rPr>
        <w:t>15、对比度  ≥7000：1</w:t>
      </w:r>
    </w:p>
    <w:p>
      <w:pPr>
        <w:spacing w:line="400" w:lineRule="exact"/>
        <w:rPr>
          <w:rFonts w:ascii="仿宋" w:hAnsi="仿宋" w:eastAsia="仿宋"/>
          <w:color w:val="000000"/>
        </w:rPr>
      </w:pPr>
      <w:r>
        <w:rPr>
          <w:rFonts w:hint="eastAsia" w:ascii="仿宋" w:hAnsi="仿宋" w:eastAsia="仿宋"/>
          <w:color w:val="000000"/>
        </w:rPr>
        <w:t>16、灰度等级 采用16bit技术</w:t>
      </w:r>
    </w:p>
    <w:p>
      <w:pPr>
        <w:spacing w:line="400" w:lineRule="exact"/>
        <w:rPr>
          <w:rFonts w:ascii="仿宋" w:hAnsi="仿宋" w:eastAsia="仿宋"/>
          <w:color w:val="000000"/>
        </w:rPr>
      </w:pPr>
      <w:r>
        <w:rPr>
          <w:rFonts w:hint="eastAsia" w:ascii="仿宋" w:hAnsi="仿宋" w:eastAsia="仿宋"/>
          <w:color w:val="000000"/>
        </w:rPr>
        <w:t>17、显示颜色 ≥281.4trillion</w:t>
      </w:r>
    </w:p>
    <w:p>
      <w:pPr>
        <w:spacing w:line="400" w:lineRule="exact"/>
        <w:rPr>
          <w:rFonts w:ascii="仿宋" w:hAnsi="仿宋" w:eastAsia="仿宋"/>
          <w:color w:val="000000"/>
        </w:rPr>
      </w:pPr>
      <w:r>
        <w:rPr>
          <w:rFonts w:hint="eastAsia" w:ascii="仿宋" w:hAnsi="仿宋" w:eastAsia="仿宋"/>
          <w:color w:val="000000"/>
        </w:rPr>
        <w:t>18、低亮高灰 亮度为10%时，信号处理深度（灰度级数）达到14bit</w:t>
      </w:r>
    </w:p>
    <w:p>
      <w:pPr>
        <w:spacing w:line="400" w:lineRule="exact"/>
        <w:rPr>
          <w:rFonts w:ascii="仿宋" w:hAnsi="仿宋" w:eastAsia="仿宋"/>
          <w:color w:val="000000"/>
        </w:rPr>
      </w:pPr>
      <w:r>
        <w:rPr>
          <w:rFonts w:hint="eastAsia" w:ascii="仿宋" w:hAnsi="仿宋" w:eastAsia="仿宋"/>
          <w:color w:val="000000"/>
        </w:rPr>
        <w:t>19、低亮高刷 亮度为10%时，刷新率达到3840Hz</w:t>
      </w:r>
    </w:p>
    <w:p>
      <w:pPr>
        <w:spacing w:line="400" w:lineRule="exact"/>
        <w:rPr>
          <w:rFonts w:ascii="仿宋" w:hAnsi="仿宋" w:eastAsia="仿宋"/>
          <w:color w:val="000000"/>
        </w:rPr>
      </w:pPr>
      <w:r>
        <w:rPr>
          <w:rFonts w:hint="eastAsia" w:ascii="仿宋" w:hAnsi="仿宋" w:eastAsia="仿宋"/>
          <w:color w:val="000000"/>
        </w:rPr>
        <w:t>20、刷新率  刷新率达到3840Hz</w:t>
      </w:r>
    </w:p>
    <w:p>
      <w:pPr>
        <w:spacing w:line="400" w:lineRule="exact"/>
        <w:rPr>
          <w:rFonts w:ascii="仿宋" w:hAnsi="仿宋" w:eastAsia="仿宋"/>
          <w:color w:val="000000"/>
        </w:rPr>
      </w:pPr>
      <w:r>
        <w:rPr>
          <w:rFonts w:hint="eastAsia" w:ascii="仿宋" w:hAnsi="仿宋" w:eastAsia="仿宋"/>
          <w:color w:val="000000"/>
        </w:rPr>
        <w:t>21、像素失控率 &lt;0.01%</w:t>
      </w:r>
    </w:p>
    <w:p>
      <w:pPr>
        <w:spacing w:line="400" w:lineRule="exact"/>
        <w:rPr>
          <w:rFonts w:ascii="仿宋" w:hAnsi="仿宋" w:eastAsia="仿宋"/>
          <w:color w:val="000000"/>
        </w:rPr>
      </w:pPr>
      <w:r>
        <w:rPr>
          <w:rFonts w:hint="eastAsia" w:ascii="仿宋" w:hAnsi="仿宋" w:eastAsia="仿宋"/>
          <w:color w:val="000000"/>
        </w:rPr>
        <w:t>22、发光点中心偏距 ＜1%</w:t>
      </w:r>
    </w:p>
    <w:p>
      <w:pPr>
        <w:spacing w:line="400" w:lineRule="exact"/>
        <w:rPr>
          <w:rFonts w:ascii="仿宋" w:hAnsi="仿宋" w:eastAsia="仿宋"/>
          <w:color w:val="000000"/>
        </w:rPr>
      </w:pPr>
      <w:r>
        <w:rPr>
          <w:rFonts w:hint="eastAsia" w:ascii="仿宋" w:hAnsi="仿宋" w:eastAsia="仿宋"/>
          <w:color w:val="000000"/>
        </w:rPr>
        <w:t>23、反光率  反光率≤1.5%</w:t>
      </w:r>
    </w:p>
    <w:p>
      <w:pPr>
        <w:spacing w:line="400" w:lineRule="exact"/>
        <w:rPr>
          <w:rFonts w:ascii="仿宋" w:hAnsi="仿宋" w:eastAsia="仿宋"/>
          <w:color w:val="000000"/>
        </w:rPr>
      </w:pPr>
      <w:r>
        <w:rPr>
          <w:rFonts w:hint="eastAsia" w:ascii="仿宋" w:hAnsi="仿宋" w:eastAsia="仿宋"/>
          <w:color w:val="000000"/>
        </w:rPr>
        <w:t>★24、画面延时 ≤500ns（纳秒级）</w:t>
      </w:r>
    </w:p>
    <w:p>
      <w:pPr>
        <w:spacing w:line="400" w:lineRule="exact"/>
        <w:rPr>
          <w:rFonts w:ascii="仿宋" w:hAnsi="仿宋" w:eastAsia="仿宋"/>
          <w:color w:val="000000"/>
        </w:rPr>
      </w:pPr>
      <w:r>
        <w:rPr>
          <w:rFonts w:hint="eastAsia" w:ascii="仿宋" w:hAnsi="仿宋" w:eastAsia="仿宋"/>
          <w:color w:val="000000"/>
        </w:rPr>
        <w:t>★25、噪声  1m范围内，测试4个位置（前后左右）噪音不大于2dB</w:t>
      </w:r>
    </w:p>
    <w:p>
      <w:pPr>
        <w:spacing w:line="400" w:lineRule="exact"/>
        <w:rPr>
          <w:rFonts w:ascii="仿宋" w:hAnsi="仿宋" w:eastAsia="仿宋"/>
          <w:color w:val="000000"/>
        </w:rPr>
      </w:pPr>
      <w:r>
        <w:rPr>
          <w:rFonts w:hint="eastAsia" w:ascii="仿宋" w:hAnsi="仿宋" w:eastAsia="仿宋"/>
          <w:color w:val="000000"/>
        </w:rPr>
        <w:t>26、峰值功耗 ≤400W/m²</w:t>
      </w:r>
    </w:p>
    <w:p>
      <w:pPr>
        <w:spacing w:line="400" w:lineRule="exact"/>
        <w:rPr>
          <w:rFonts w:ascii="仿宋" w:hAnsi="仿宋" w:eastAsia="仿宋"/>
          <w:color w:val="000000"/>
        </w:rPr>
      </w:pPr>
      <w:r>
        <w:rPr>
          <w:rFonts w:hint="eastAsia" w:ascii="仿宋" w:hAnsi="仿宋" w:eastAsia="仿宋"/>
          <w:color w:val="000000"/>
        </w:rPr>
        <w:t>27、平均功耗 ≤160W/m²</w:t>
      </w:r>
    </w:p>
    <w:p>
      <w:pPr>
        <w:spacing w:line="400" w:lineRule="exact"/>
        <w:rPr>
          <w:rFonts w:ascii="仿宋" w:hAnsi="仿宋" w:eastAsia="仿宋"/>
          <w:color w:val="000000"/>
        </w:rPr>
      </w:pPr>
      <w:r>
        <w:rPr>
          <w:rFonts w:hint="eastAsia" w:ascii="仿宋" w:hAnsi="仿宋" w:eastAsia="仿宋"/>
          <w:color w:val="000000"/>
        </w:rPr>
        <w:t>28、电流增益 电流增益调节范围：1%～199%</w:t>
      </w:r>
    </w:p>
    <w:p>
      <w:pPr>
        <w:spacing w:line="400" w:lineRule="exact"/>
        <w:rPr>
          <w:rFonts w:ascii="仿宋" w:hAnsi="仿宋" w:eastAsia="仿宋"/>
          <w:color w:val="000000"/>
        </w:rPr>
      </w:pPr>
      <w:r>
        <w:rPr>
          <w:rFonts w:hint="eastAsia" w:ascii="仿宋" w:hAnsi="仿宋" w:eastAsia="仿宋"/>
          <w:color w:val="000000"/>
        </w:rPr>
        <w:t>★29、模组表面绝缘 绝缘电阻应为5000MΩ</w:t>
      </w:r>
    </w:p>
    <w:p>
      <w:pPr>
        <w:spacing w:line="400" w:lineRule="exact"/>
        <w:rPr>
          <w:rFonts w:ascii="仿宋" w:hAnsi="仿宋" w:eastAsia="仿宋"/>
          <w:color w:val="000000"/>
        </w:rPr>
      </w:pPr>
      <w:r>
        <w:rPr>
          <w:rFonts w:hint="eastAsia" w:ascii="仿宋" w:hAnsi="仿宋" w:eastAsia="仿宋"/>
          <w:color w:val="000000"/>
        </w:rPr>
        <w:t>30、漏电流  ≤0.5mA</w:t>
      </w:r>
    </w:p>
    <w:p>
      <w:pPr>
        <w:spacing w:line="400" w:lineRule="exact"/>
        <w:rPr>
          <w:rFonts w:ascii="仿宋" w:hAnsi="仿宋" w:eastAsia="仿宋"/>
          <w:color w:val="000000"/>
        </w:rPr>
      </w:pPr>
      <w:r>
        <w:rPr>
          <w:rFonts w:hint="eastAsia" w:ascii="仿宋" w:hAnsi="仿宋" w:eastAsia="仿宋"/>
          <w:color w:val="000000"/>
        </w:rPr>
        <w:t>31、能源效率 ≥2.4cd/W</w:t>
      </w:r>
    </w:p>
    <w:p>
      <w:pPr>
        <w:spacing w:line="400" w:lineRule="exact"/>
        <w:rPr>
          <w:rFonts w:ascii="仿宋" w:hAnsi="仿宋" w:eastAsia="仿宋"/>
          <w:color w:val="000000"/>
        </w:rPr>
      </w:pPr>
      <w:r>
        <w:rPr>
          <w:rFonts w:hint="eastAsia" w:ascii="仿宋" w:hAnsi="仿宋" w:eastAsia="仿宋"/>
          <w:color w:val="000000"/>
        </w:rPr>
        <w:t>32、睡眠功耗 ≤100 W/m²</w:t>
      </w:r>
    </w:p>
    <w:p>
      <w:pPr>
        <w:spacing w:line="400" w:lineRule="exact"/>
        <w:rPr>
          <w:rFonts w:ascii="仿宋" w:hAnsi="仿宋" w:eastAsia="仿宋"/>
          <w:color w:val="000000"/>
        </w:rPr>
      </w:pPr>
      <w:r>
        <w:rPr>
          <w:rFonts w:hint="eastAsia" w:ascii="仿宋" w:hAnsi="仿宋" w:eastAsia="仿宋"/>
          <w:color w:val="000000"/>
        </w:rPr>
        <w:t>33、机械强度 ≥30Mpa</w:t>
      </w:r>
    </w:p>
    <w:p>
      <w:pPr>
        <w:spacing w:line="400" w:lineRule="exact"/>
        <w:rPr>
          <w:rFonts w:ascii="仿宋" w:hAnsi="仿宋" w:eastAsia="仿宋"/>
          <w:color w:val="000000"/>
        </w:rPr>
      </w:pPr>
      <w:r>
        <w:rPr>
          <w:rFonts w:hint="eastAsia" w:ascii="仿宋" w:hAnsi="仿宋" w:eastAsia="仿宋"/>
          <w:color w:val="000000"/>
        </w:rPr>
        <w:t>34、抗拉强度 230Mpa</w:t>
      </w:r>
    </w:p>
    <w:p>
      <w:pPr>
        <w:spacing w:line="400" w:lineRule="exact"/>
        <w:rPr>
          <w:rFonts w:ascii="仿宋" w:hAnsi="仿宋" w:eastAsia="仿宋"/>
          <w:color w:val="000000"/>
        </w:rPr>
      </w:pPr>
      <w:r>
        <w:rPr>
          <w:rFonts w:hint="eastAsia" w:ascii="仿宋" w:hAnsi="仿宋" w:eastAsia="仿宋"/>
          <w:color w:val="000000"/>
        </w:rPr>
        <w:t>★35、屈服强度 170Mpa</w:t>
      </w:r>
    </w:p>
    <w:p>
      <w:pPr>
        <w:spacing w:line="400" w:lineRule="exact"/>
        <w:rPr>
          <w:rFonts w:ascii="仿宋" w:hAnsi="仿宋" w:eastAsia="仿宋"/>
          <w:color w:val="000000"/>
        </w:rPr>
      </w:pPr>
      <w:r>
        <w:rPr>
          <w:rFonts w:hint="eastAsia" w:ascii="仿宋" w:hAnsi="仿宋" w:eastAsia="仿宋"/>
          <w:color w:val="000000"/>
        </w:rPr>
        <w:t>36、图像质量 LED显示屏图像质量主观评价优、支持4K超清技术、HDR高动态光照渲染技术；符合LED显示屏绿色健康分级认证技术</w:t>
      </w:r>
    </w:p>
    <w:p>
      <w:pPr>
        <w:spacing w:line="400" w:lineRule="exact"/>
        <w:rPr>
          <w:rFonts w:ascii="仿宋" w:hAnsi="仿宋" w:eastAsia="仿宋"/>
          <w:color w:val="000000"/>
        </w:rPr>
      </w:pPr>
      <w:r>
        <w:rPr>
          <w:rFonts w:hint="eastAsia" w:ascii="仿宋" w:hAnsi="仿宋" w:eastAsia="仿宋"/>
          <w:color w:val="000000"/>
        </w:rPr>
        <w:t>★37、智能节能  产品采用高端芯片，可智能调节正常工作与睡眠状态下的节能效果（动态节能，智能息屏），开启节能功能比没有开启节能45%以上</w:t>
      </w:r>
    </w:p>
    <w:p>
      <w:pPr>
        <w:spacing w:line="400" w:lineRule="exact"/>
        <w:rPr>
          <w:rFonts w:ascii="仿宋" w:hAnsi="仿宋" w:eastAsia="仿宋"/>
          <w:color w:val="000000"/>
        </w:rPr>
      </w:pPr>
      <w:r>
        <w:rPr>
          <w:rFonts w:hint="eastAsia" w:ascii="仿宋" w:hAnsi="仿宋" w:eastAsia="仿宋"/>
          <w:color w:val="000000"/>
        </w:rPr>
        <w:t>★38、SELV电路  具备SELV电路</w:t>
      </w:r>
    </w:p>
    <w:p>
      <w:pPr>
        <w:spacing w:line="400" w:lineRule="exact"/>
        <w:rPr>
          <w:rFonts w:ascii="仿宋" w:hAnsi="仿宋" w:eastAsia="仿宋"/>
          <w:color w:val="000000"/>
        </w:rPr>
      </w:pPr>
      <w:r>
        <w:rPr>
          <w:rFonts w:hint="eastAsia" w:ascii="仿宋" w:hAnsi="仿宋" w:eastAsia="仿宋"/>
          <w:color w:val="000000"/>
        </w:rPr>
        <w:t>39、人眼视觉舒适度  VICO指数≤1</w:t>
      </w:r>
    </w:p>
    <w:p>
      <w:pPr>
        <w:spacing w:line="400" w:lineRule="exact"/>
        <w:rPr>
          <w:rFonts w:ascii="仿宋" w:hAnsi="仿宋" w:eastAsia="仿宋"/>
          <w:color w:val="000000"/>
        </w:rPr>
      </w:pPr>
      <w:r>
        <w:rPr>
          <w:rFonts w:hint="eastAsia" w:ascii="仿宋" w:hAnsi="仿宋" w:eastAsia="仿宋"/>
          <w:color w:val="000000"/>
        </w:rPr>
        <w:t>40、能耗对比  对LED显示屏进行节能对比，达到能效一级标准</w:t>
      </w:r>
    </w:p>
    <w:p>
      <w:pPr>
        <w:spacing w:line="400" w:lineRule="exact"/>
        <w:rPr>
          <w:rFonts w:ascii="仿宋" w:hAnsi="仿宋" w:eastAsia="仿宋"/>
          <w:color w:val="000000"/>
        </w:rPr>
      </w:pPr>
      <w:r>
        <w:rPr>
          <w:rFonts w:hint="eastAsia" w:ascii="仿宋" w:hAnsi="仿宋" w:eastAsia="仿宋"/>
          <w:color w:val="000000"/>
        </w:rPr>
        <w:t>41、电源线柔韧性  拉力≥10kgf</w:t>
      </w:r>
    </w:p>
    <w:p>
      <w:pPr>
        <w:spacing w:line="400" w:lineRule="exact"/>
        <w:rPr>
          <w:rFonts w:ascii="仿宋" w:hAnsi="仿宋" w:eastAsia="仿宋"/>
          <w:color w:val="000000"/>
        </w:rPr>
      </w:pPr>
      <w:r>
        <w:rPr>
          <w:rFonts w:hint="eastAsia" w:ascii="仿宋" w:hAnsi="仿宋" w:eastAsia="仿宋"/>
          <w:color w:val="000000"/>
        </w:rPr>
        <w:t>42、信号延迟   ≤2.5ns</w:t>
      </w:r>
    </w:p>
    <w:p>
      <w:pPr>
        <w:spacing w:line="400" w:lineRule="exact"/>
        <w:rPr>
          <w:rFonts w:ascii="仿宋" w:hAnsi="仿宋" w:eastAsia="仿宋"/>
          <w:color w:val="000000"/>
        </w:rPr>
      </w:pPr>
      <w:r>
        <w:rPr>
          <w:rFonts w:hint="eastAsia" w:ascii="仿宋" w:hAnsi="仿宋" w:eastAsia="仿宋"/>
          <w:color w:val="000000"/>
        </w:rPr>
        <w:t>43、抗震实验   符合抗震10级要求</w:t>
      </w:r>
    </w:p>
    <w:p>
      <w:pPr>
        <w:spacing w:line="400" w:lineRule="exact"/>
        <w:rPr>
          <w:rFonts w:ascii="仿宋" w:hAnsi="仿宋" w:eastAsia="仿宋"/>
          <w:color w:val="000000"/>
        </w:rPr>
      </w:pPr>
      <w:r>
        <w:rPr>
          <w:rFonts w:hint="eastAsia" w:ascii="仿宋" w:hAnsi="仿宋" w:eastAsia="仿宋"/>
          <w:color w:val="000000"/>
        </w:rPr>
        <w:t>44、灯管红墨水试验   纯红墨水常温浸泡24H，无渗透，灯管气密性良好</w:t>
      </w:r>
    </w:p>
    <w:p>
      <w:pPr>
        <w:spacing w:line="400" w:lineRule="exact"/>
        <w:rPr>
          <w:rFonts w:ascii="仿宋" w:hAnsi="仿宋" w:eastAsia="仿宋"/>
          <w:color w:val="000000"/>
        </w:rPr>
      </w:pPr>
    </w:p>
    <w:p>
      <w:pPr>
        <w:spacing w:line="400" w:lineRule="exact"/>
        <w:rPr>
          <w:rFonts w:ascii="仿宋" w:hAnsi="仿宋" w:eastAsia="仿宋"/>
          <w:color w:val="000000"/>
        </w:rPr>
      </w:pPr>
      <w:r>
        <w:rPr>
          <w:rFonts w:hint="eastAsia" w:ascii="仿宋" w:hAnsi="仿宋" w:eastAsia="仿宋"/>
          <w:color w:val="000000"/>
        </w:rPr>
        <w:t>以上标★技术参数指标，需提供由CNAS、ILAC-MRA认证的第三方专业机构出具的检测报告复印件，并加盖制造厂商公章.</w:t>
      </w:r>
    </w:p>
    <w:p>
      <w:pPr>
        <w:spacing w:line="400" w:lineRule="exact"/>
        <w:rPr>
          <w:rFonts w:ascii="仿宋" w:hAnsi="仿宋" w:eastAsia="仿宋"/>
          <w:color w:val="000000"/>
        </w:rPr>
      </w:pPr>
      <w:r>
        <w:rPr>
          <w:rFonts w:hint="eastAsia" w:ascii="仿宋" w:hAnsi="仿宋" w:eastAsia="仿宋"/>
          <w:color w:val="000000"/>
        </w:rPr>
        <w:t>★1、LED显示屏生产厂家提供针对本项目授权及售后服务承诺书.（提供有效的证书复印件，加盖制造商公章）</w:t>
      </w:r>
    </w:p>
    <w:p>
      <w:pPr>
        <w:spacing w:line="400" w:lineRule="exact"/>
        <w:rPr>
          <w:rFonts w:ascii="仿宋" w:hAnsi="仿宋" w:eastAsia="仿宋"/>
          <w:color w:val="000000"/>
        </w:rPr>
      </w:pPr>
      <w:r>
        <w:rPr>
          <w:rFonts w:hint="eastAsia" w:ascii="仿宋" w:hAnsi="仿宋" w:eastAsia="仿宋"/>
          <w:color w:val="000000"/>
        </w:rPr>
        <w:t>★2、生产厂商通过3C，CE,ROHS，FCC认证（提供有效的证书复印件，加盖制造商公章）</w:t>
      </w:r>
    </w:p>
    <w:p>
      <w:pPr>
        <w:spacing w:line="400" w:lineRule="exact"/>
        <w:rPr>
          <w:rFonts w:ascii="仿宋" w:hAnsi="仿宋" w:eastAsia="仿宋"/>
          <w:color w:val="000000"/>
        </w:rPr>
      </w:pPr>
      <w:r>
        <w:rPr>
          <w:rFonts w:hint="eastAsia" w:ascii="仿宋" w:hAnsi="仿宋" w:eastAsia="仿宋"/>
          <w:color w:val="000000"/>
        </w:rPr>
        <w:t>★3、为了保证设备的安全性能以及人身安全,LED显示屏需符合《电器电子产品有害物质限制使用自愿性认证实施规则》及CQC21-NV330-2019《电器电子产品有害物质限制使用认证实施细则》的要求（提供有效的证书复印件，加盖制造商公章）</w:t>
      </w:r>
    </w:p>
    <w:p>
      <w:pPr>
        <w:spacing w:line="400" w:lineRule="exact"/>
        <w:rPr>
          <w:rFonts w:ascii="仿宋" w:hAnsi="仿宋" w:eastAsia="仿宋"/>
          <w:color w:val="000000"/>
        </w:rPr>
      </w:pPr>
      <w:r>
        <w:rPr>
          <w:rFonts w:hint="eastAsia" w:ascii="仿宋" w:hAnsi="仿宋" w:eastAsia="仿宋"/>
          <w:color w:val="000000"/>
        </w:rPr>
        <w:t>★4、投标LED显示屏制造厂商为省级以上制造业单项冠军企业（提供证明文件复印件并加盖制造厂商公章</w:t>
      </w:r>
    </w:p>
    <w:p>
      <w:pPr>
        <w:spacing w:line="400" w:lineRule="exact"/>
        <w:rPr>
          <w:rFonts w:ascii="仿宋" w:hAnsi="仿宋" w:eastAsia="仿宋"/>
          <w:color w:val="000000"/>
        </w:rPr>
      </w:pPr>
      <w:r>
        <w:rPr>
          <w:rFonts w:hint="eastAsia" w:ascii="仿宋" w:hAnsi="仿宋" w:eastAsia="仿宋"/>
          <w:color w:val="000000"/>
        </w:rPr>
        <w:t>★5、投标LED显示屏制造商具有法检信息化（智慧政法）最佳创新驱动解决方案奖（提供有效的证书复印件，加盖制造商公章）</w:t>
      </w:r>
    </w:p>
    <w:p>
      <w:pPr>
        <w:spacing w:line="400" w:lineRule="exact"/>
        <w:rPr>
          <w:rFonts w:ascii="仿宋" w:hAnsi="仿宋" w:eastAsia="仿宋"/>
          <w:color w:val="000000"/>
        </w:rPr>
      </w:pPr>
      <w:r>
        <w:rPr>
          <w:rFonts w:hint="eastAsia" w:ascii="仿宋" w:hAnsi="仿宋" w:eastAsia="仿宋"/>
          <w:color w:val="000000"/>
        </w:rPr>
        <w:t>★6、LED显示屏制造厂商具有对单元板消隐控制电路的产品技术证书（提供有效的证书复印件，加盖制造商公章</w:t>
      </w:r>
    </w:p>
    <w:p>
      <w:pPr>
        <w:spacing w:line="400" w:lineRule="exact"/>
        <w:rPr>
          <w:rFonts w:ascii="仿宋" w:hAnsi="仿宋" w:eastAsia="仿宋"/>
          <w:color w:val="000000"/>
        </w:rPr>
      </w:pPr>
      <w:r>
        <w:rPr>
          <w:rFonts w:hint="eastAsia" w:ascii="仿宋" w:hAnsi="仿宋" w:eastAsia="仿宋"/>
          <w:color w:val="000000"/>
        </w:rPr>
        <w:t>★7、投标LED显示屏制造厂商获得国家绿色工厂名单（提供证明文件复印件并加盖制造厂商公章）</w:t>
      </w:r>
    </w:p>
    <w:p>
      <w:pPr>
        <w:spacing w:line="400" w:lineRule="exact"/>
        <w:rPr>
          <w:rFonts w:ascii="仿宋" w:hAnsi="仿宋" w:eastAsia="仿宋"/>
          <w:color w:val="000000"/>
        </w:rPr>
      </w:pPr>
      <w:r>
        <w:rPr>
          <w:rFonts w:hint="eastAsia" w:ascii="仿宋" w:hAnsi="仿宋" w:eastAsia="仿宋"/>
          <w:color w:val="000000"/>
        </w:rPr>
        <w:t>★8、投标LED显示屏制造厂商具有LED大显示智能换算系统软件著作权（提供证明文件复印件并加盖制造厂商公章）</w:t>
      </w:r>
    </w:p>
    <w:p>
      <w:pPr>
        <w:spacing w:line="400" w:lineRule="exact"/>
        <w:rPr>
          <w:rFonts w:ascii="仿宋" w:hAnsi="仿宋" w:eastAsia="仿宋"/>
          <w:color w:val="000000"/>
        </w:rPr>
      </w:pPr>
      <w:r>
        <w:rPr>
          <w:rFonts w:hint="eastAsia" w:ascii="仿宋" w:hAnsi="仿宋" w:eastAsia="仿宋"/>
          <w:color w:val="000000"/>
        </w:rPr>
        <w:t>★9、投标LED显示屏制造厂商具有LED亮暗线调节器控制软件软件著作权（提供证明文件复印件并加盖制造厂商公章）</w:t>
      </w:r>
    </w:p>
    <w:p>
      <w:pPr>
        <w:spacing w:line="400" w:lineRule="exact"/>
        <w:rPr>
          <w:rFonts w:ascii="仿宋" w:hAnsi="仿宋" w:eastAsia="仿宋"/>
          <w:color w:val="000000"/>
        </w:rPr>
      </w:pPr>
      <w:r>
        <w:rPr>
          <w:rFonts w:ascii="仿宋" w:hAnsi="仿宋" w:eastAsia="仿宋"/>
          <w:color w:val="000000"/>
        </w:rPr>
        <w:t>2</w:t>
      </w:r>
      <w:r>
        <w:rPr>
          <w:rFonts w:hint="eastAsia" w:ascii="仿宋" w:hAnsi="仿宋" w:eastAsia="仿宋"/>
          <w:color w:val="000000"/>
        </w:rPr>
        <w:t>.</w:t>
      </w:r>
      <w:r>
        <w:rPr>
          <w:rFonts w:ascii="仿宋" w:hAnsi="仿宋" w:eastAsia="仿宋"/>
          <w:bCs/>
          <w:color w:val="000000"/>
        </w:rPr>
        <w:t>视频处理器</w:t>
      </w:r>
      <w:r>
        <w:rPr>
          <w:rFonts w:hint="eastAsia" w:ascii="仿宋" w:hAnsi="仿宋" w:eastAsia="仿宋"/>
          <w:bCs/>
          <w:color w:val="000000"/>
        </w:rPr>
        <w:t>：一台</w:t>
      </w:r>
    </w:p>
    <w:p>
      <w:pPr>
        <w:spacing w:line="400" w:lineRule="exact"/>
        <w:rPr>
          <w:rFonts w:ascii="仿宋" w:hAnsi="仿宋" w:eastAsia="仿宋"/>
          <w:color w:val="000000"/>
        </w:rPr>
      </w:pPr>
      <w:r>
        <w:rPr>
          <w:rFonts w:hint="eastAsia" w:ascii="仿宋" w:hAnsi="仿宋" w:eastAsia="仿宋"/>
          <w:color w:val="000000"/>
        </w:rPr>
        <w:t>1.支持丰富的数字信号接口，包括1路SDI，1路HDMI，2路DVI；</w:t>
      </w:r>
    </w:p>
    <w:p>
      <w:pPr>
        <w:spacing w:line="400" w:lineRule="exact"/>
        <w:rPr>
          <w:rFonts w:ascii="仿宋" w:hAnsi="仿宋" w:eastAsia="仿宋"/>
          <w:color w:val="000000"/>
        </w:rPr>
      </w:pPr>
      <w:r>
        <w:rPr>
          <w:rFonts w:hint="eastAsia" w:ascii="仿宋" w:hAnsi="仿宋" w:eastAsia="仿宋"/>
          <w:color w:val="000000"/>
        </w:rPr>
        <w:t>2.最大输入分辨率1920*1200@60Hz，支持分辨率任意设置；</w:t>
      </w:r>
    </w:p>
    <w:p>
      <w:pPr>
        <w:spacing w:line="400" w:lineRule="exact"/>
        <w:rPr>
          <w:rFonts w:ascii="仿宋" w:hAnsi="仿宋" w:eastAsia="仿宋"/>
          <w:color w:val="000000"/>
        </w:rPr>
      </w:pPr>
      <w:r>
        <w:rPr>
          <w:rFonts w:hint="eastAsia" w:ascii="仿宋" w:hAnsi="仿宋" w:eastAsia="仿宋"/>
          <w:color w:val="000000"/>
        </w:rPr>
        <w:t>3.最大带载520万像素，最宽可达8192点，或最高可达4096点；</w:t>
      </w:r>
    </w:p>
    <w:p>
      <w:pPr>
        <w:spacing w:line="400" w:lineRule="exact"/>
        <w:rPr>
          <w:rFonts w:ascii="仿宋" w:hAnsi="仿宋" w:eastAsia="仿宋"/>
          <w:color w:val="000000"/>
        </w:rPr>
      </w:pPr>
      <w:r>
        <w:rPr>
          <w:rFonts w:hint="eastAsia" w:ascii="仿宋" w:hAnsi="仿宋" w:eastAsia="仿宋"/>
          <w:color w:val="000000"/>
        </w:rPr>
        <w:t>4.支持视频源任意切换，任意缩放；</w:t>
      </w:r>
    </w:p>
    <w:p>
      <w:pPr>
        <w:spacing w:line="400" w:lineRule="exact"/>
        <w:rPr>
          <w:rFonts w:ascii="仿宋" w:hAnsi="仿宋" w:eastAsia="仿宋"/>
          <w:color w:val="000000"/>
        </w:rPr>
      </w:pPr>
      <w:r>
        <w:rPr>
          <w:rFonts w:hint="eastAsia" w:ascii="仿宋" w:hAnsi="仿宋" w:eastAsia="仿宋"/>
          <w:color w:val="000000"/>
        </w:rPr>
        <w:t>5.支持三画面显示，位置、大小可自由调节；</w:t>
      </w:r>
    </w:p>
    <w:p>
      <w:pPr>
        <w:spacing w:line="400" w:lineRule="exact"/>
        <w:rPr>
          <w:rFonts w:ascii="仿宋" w:hAnsi="仿宋" w:eastAsia="仿宋"/>
          <w:color w:val="000000"/>
        </w:rPr>
      </w:pPr>
      <w:r>
        <w:rPr>
          <w:rFonts w:hint="eastAsia" w:ascii="仿宋" w:hAnsi="仿宋" w:eastAsia="仿宋"/>
          <w:color w:val="000000"/>
        </w:rPr>
        <w:t>6.支持HDCP1.4；</w:t>
      </w:r>
    </w:p>
    <w:p>
      <w:pPr>
        <w:spacing w:line="400" w:lineRule="exact"/>
        <w:rPr>
          <w:rFonts w:ascii="仿宋" w:hAnsi="仿宋" w:eastAsia="仿宋"/>
          <w:color w:val="000000"/>
        </w:rPr>
      </w:pPr>
      <w:r>
        <w:rPr>
          <w:rFonts w:hint="eastAsia" w:ascii="仿宋" w:hAnsi="仿宋" w:eastAsia="仿宋"/>
          <w:color w:val="000000"/>
        </w:rPr>
        <w:t>7.双USB2.0高速通讯接口，用于电脑调试和主控间任意级联；</w:t>
      </w:r>
    </w:p>
    <w:p>
      <w:pPr>
        <w:spacing w:line="400" w:lineRule="exact"/>
        <w:rPr>
          <w:rFonts w:ascii="仿宋" w:hAnsi="仿宋" w:eastAsia="仿宋"/>
          <w:color w:val="000000"/>
        </w:rPr>
      </w:pPr>
      <w:r>
        <w:rPr>
          <w:rFonts w:hint="eastAsia" w:ascii="仿宋" w:hAnsi="仿宋" w:eastAsia="仿宋"/>
          <w:color w:val="000000"/>
        </w:rPr>
        <w:t>8.支持亮度和色温调节；</w:t>
      </w:r>
    </w:p>
    <w:p>
      <w:pPr>
        <w:spacing w:line="400" w:lineRule="exact"/>
        <w:rPr>
          <w:rFonts w:ascii="仿宋" w:hAnsi="仿宋" w:eastAsia="仿宋"/>
          <w:color w:val="000000"/>
        </w:rPr>
      </w:pPr>
      <w:r>
        <w:rPr>
          <w:rFonts w:hint="eastAsia" w:ascii="仿宋" w:hAnsi="仿宋" w:eastAsia="仿宋"/>
          <w:color w:val="000000"/>
        </w:rPr>
        <w:t>9.支持低亮高灰；</w:t>
      </w:r>
    </w:p>
    <w:p>
      <w:pPr>
        <w:spacing w:line="400" w:lineRule="exact"/>
        <w:rPr>
          <w:rFonts w:ascii="仿宋" w:hAnsi="仿宋" w:eastAsia="仿宋"/>
          <w:color w:val="000000"/>
        </w:rPr>
      </w:pPr>
      <w:r>
        <w:rPr>
          <w:rFonts w:hint="eastAsia" w:ascii="仿宋" w:hAnsi="仿宋" w:eastAsia="仿宋"/>
          <w:color w:val="000000"/>
        </w:rPr>
        <w:t>★须提供设备生产商针对本项目的授权和售后服务承诺函（加盖厂家公章）。</w:t>
      </w:r>
    </w:p>
    <w:p>
      <w:pPr>
        <w:spacing w:line="400" w:lineRule="exact"/>
        <w:rPr>
          <w:rFonts w:ascii="仿宋" w:hAnsi="仿宋" w:eastAsia="仿宋"/>
          <w:color w:val="000000"/>
        </w:rPr>
      </w:pPr>
      <w:r>
        <w:rPr>
          <w:rFonts w:hint="eastAsia" w:ascii="仿宋" w:hAnsi="仿宋" w:eastAsia="仿宋"/>
          <w:color w:val="000000"/>
        </w:rPr>
        <w:t>★视频控制设备可支持250N恒定作用力，外部防护罩可承受250N+10N的恒定作用力持续5S（提供厂家盖公章CMA、CNAS第三方检测报告）</w:t>
      </w:r>
    </w:p>
    <w:p>
      <w:pPr>
        <w:spacing w:line="400" w:lineRule="exact"/>
        <w:rPr>
          <w:rFonts w:ascii="仿宋" w:hAnsi="仿宋" w:eastAsia="仿宋"/>
          <w:color w:val="000000"/>
        </w:rPr>
      </w:pPr>
      <w:r>
        <w:rPr>
          <w:rFonts w:hint="eastAsia" w:ascii="仿宋" w:hAnsi="仿宋" w:eastAsia="仿宋"/>
          <w:color w:val="000000"/>
        </w:rPr>
        <w:t>★通过该发送可调试显示屏的色域坐标显 示不同坐标值色温，进行精确颜色管理;可 任意改变 0-255 灰阶不同灰度值的亮度显示 并进行任意调节;色温调整精度在 100K 以 内   （提供厂家盖公章CMA、CNAS第三方检测报告）</w:t>
      </w:r>
    </w:p>
    <w:p>
      <w:pPr>
        <w:spacing w:line="400" w:lineRule="exact"/>
        <w:rPr>
          <w:rFonts w:ascii="仿宋" w:hAnsi="仿宋" w:eastAsia="仿宋"/>
          <w:color w:val="000000"/>
        </w:rPr>
      </w:pPr>
      <w:r>
        <w:rPr>
          <w:rFonts w:hint="eastAsia" w:ascii="仿宋" w:hAnsi="仿宋" w:eastAsia="仿宋"/>
          <w:color w:val="000000"/>
        </w:rPr>
        <w:t>★视频控制设备可支持EUT的连接方法（提供厂家盖公章CMA、CNAS第三方检测报告）</w:t>
      </w:r>
    </w:p>
    <w:p>
      <w:pPr>
        <w:spacing w:line="400" w:lineRule="exact"/>
        <w:rPr>
          <w:rFonts w:ascii="仿宋" w:hAnsi="仿宋" w:eastAsia="仿宋"/>
          <w:color w:val="000000"/>
        </w:rPr>
      </w:pPr>
      <w:r>
        <w:rPr>
          <w:rFonts w:hint="eastAsia" w:ascii="仿宋" w:hAnsi="仿宋" w:eastAsia="仿宋"/>
          <w:color w:val="000000"/>
        </w:rPr>
        <w:t>★在-20°C-60°C下，控制器所有功能打开且参数设置到最大依然能正常工作，一直连续开 断电处理，控制器依然可以正常启动工作， 机箱结构配合散热风扇达到很好的扇热效果</w:t>
      </w:r>
    </w:p>
    <w:p>
      <w:pPr>
        <w:spacing w:line="400" w:lineRule="exact"/>
        <w:rPr>
          <w:rFonts w:ascii="仿宋" w:hAnsi="仿宋" w:eastAsia="仿宋"/>
          <w:color w:val="000000"/>
        </w:rPr>
      </w:pPr>
      <w:r>
        <w:rPr>
          <w:rFonts w:hint="eastAsia" w:ascii="仿宋" w:hAnsi="仿宋" w:eastAsia="仿宋"/>
          <w:color w:val="000000"/>
        </w:rPr>
        <w:t>★为高效兼容交流电网电源的连接方式，视频控制设备可支持与交流电网电源的单独连接（提供厂家盖公章CMA、CNAS第三方检测报告）</w:t>
      </w:r>
    </w:p>
    <w:p>
      <w:pPr>
        <w:spacing w:line="400" w:lineRule="exact"/>
        <w:rPr>
          <w:rFonts w:ascii="仿宋" w:hAnsi="仿宋" w:eastAsia="仿宋"/>
          <w:color w:val="000000"/>
        </w:rPr>
      </w:pPr>
      <w:r>
        <w:rPr>
          <w:rFonts w:hint="eastAsia" w:ascii="仿宋" w:hAnsi="仿宋" w:eastAsia="仿宋"/>
          <w:color w:val="000000"/>
        </w:rPr>
        <w:t>★可在局域网内实现通过 web 控制设备，支持 Windows、macOS、Linux、麒麟系统、 Android、iOS 等系统平台，支持电脑、平板、 手机等多种硬件平台。 （提供厂家盖公章CMA、CNAS第三方检测报告）</w:t>
      </w:r>
    </w:p>
    <w:p>
      <w:pPr>
        <w:spacing w:line="400" w:lineRule="exact"/>
        <w:rPr>
          <w:rFonts w:ascii="仿宋" w:hAnsi="仿宋" w:eastAsia="仿宋"/>
          <w:color w:val="000000"/>
        </w:rPr>
      </w:pPr>
      <w:r>
        <w:rPr>
          <w:rFonts w:hint="eastAsia" w:ascii="仿宋" w:hAnsi="仿宋" w:eastAsia="仿宋"/>
          <w:color w:val="000000"/>
        </w:rPr>
        <w:t>★可稳定的兼容显卡，网络盒子，会议系统， 拼接器，DVD，信号发生器等多种信号源 （提供厂家盖公章CMA、CNAS第三方检测报告）</w:t>
      </w:r>
    </w:p>
    <w:p>
      <w:pPr>
        <w:spacing w:line="400" w:lineRule="exact"/>
        <w:rPr>
          <w:rFonts w:ascii="仿宋" w:hAnsi="仿宋" w:eastAsia="仿宋"/>
          <w:color w:val="000000"/>
        </w:rPr>
      </w:pPr>
    </w:p>
    <w:p>
      <w:pPr>
        <w:spacing w:line="400" w:lineRule="exact"/>
        <w:rPr>
          <w:rFonts w:ascii="仿宋" w:hAnsi="仿宋" w:eastAsia="仿宋"/>
          <w:color w:val="000000"/>
        </w:rPr>
      </w:pPr>
      <w:r>
        <w:rPr>
          <w:rFonts w:ascii="仿宋" w:hAnsi="仿宋" w:eastAsia="仿宋"/>
          <w:color w:val="000000"/>
        </w:rPr>
        <w:t>3</w:t>
      </w:r>
      <w:r>
        <w:rPr>
          <w:rFonts w:hint="eastAsia" w:ascii="仿宋" w:hAnsi="仿宋" w:eastAsia="仿宋"/>
          <w:color w:val="000000"/>
        </w:rPr>
        <w:t>.接收卡：</w:t>
      </w:r>
      <w:r>
        <w:rPr>
          <w:rFonts w:ascii="仿宋" w:hAnsi="仿宋" w:eastAsia="仿宋"/>
          <w:color w:val="000000"/>
        </w:rPr>
        <w:t>32</w:t>
      </w:r>
      <w:r>
        <w:rPr>
          <w:rFonts w:hint="eastAsia" w:ascii="仿宋" w:hAnsi="仿宋" w:eastAsia="仿宋"/>
          <w:color w:val="000000"/>
        </w:rPr>
        <w:t>张</w:t>
      </w:r>
    </w:p>
    <w:p>
      <w:pPr>
        <w:spacing w:line="400" w:lineRule="exact"/>
        <w:rPr>
          <w:rFonts w:ascii="仿宋" w:hAnsi="仿宋" w:eastAsia="仿宋"/>
          <w:color w:val="000000"/>
        </w:rPr>
      </w:pPr>
      <w:r>
        <w:rPr>
          <w:rFonts w:ascii="仿宋" w:hAnsi="仿宋" w:eastAsia="仿宋"/>
          <w:color w:val="000000"/>
        </w:rPr>
        <w:t>1.</w:t>
      </w:r>
      <w:r>
        <w:rPr>
          <w:rFonts w:hint="eastAsia" w:ascii="仿宋" w:hAnsi="仿宋" w:eastAsia="仿宋"/>
          <w:color w:val="000000"/>
        </w:rPr>
        <w:t>集成HUB75，无需再配转接板，更方便，成本更低</w:t>
      </w:r>
    </w:p>
    <w:p>
      <w:pPr>
        <w:spacing w:line="400" w:lineRule="exact"/>
        <w:rPr>
          <w:rFonts w:ascii="仿宋" w:hAnsi="仿宋" w:eastAsia="仿宋"/>
          <w:color w:val="000000"/>
        </w:rPr>
      </w:pPr>
      <w:r>
        <w:rPr>
          <w:rFonts w:hint="eastAsia" w:ascii="仿宋" w:hAnsi="仿宋" w:eastAsia="仿宋"/>
          <w:color w:val="000000"/>
        </w:rPr>
        <w:t>2.减少接插连接件，减少故障点，故障率更低</w:t>
      </w:r>
    </w:p>
    <w:p>
      <w:pPr>
        <w:spacing w:line="400" w:lineRule="exact"/>
        <w:rPr>
          <w:rFonts w:ascii="仿宋" w:hAnsi="仿宋" w:eastAsia="仿宋"/>
          <w:color w:val="000000"/>
        </w:rPr>
      </w:pPr>
      <w:r>
        <w:rPr>
          <w:rFonts w:hint="eastAsia" w:ascii="仿宋" w:hAnsi="仿宋" w:eastAsia="仿宋"/>
          <w:color w:val="000000"/>
        </w:rPr>
        <w:t>3.支持常规芯片实现高刷新、高灰度、高亮度</w:t>
      </w:r>
    </w:p>
    <w:p>
      <w:pPr>
        <w:spacing w:line="400" w:lineRule="exact"/>
        <w:rPr>
          <w:rFonts w:ascii="仿宋" w:hAnsi="仿宋" w:eastAsia="仿宋"/>
          <w:color w:val="000000"/>
        </w:rPr>
      </w:pPr>
      <w:r>
        <w:rPr>
          <w:rFonts w:hint="eastAsia" w:ascii="仿宋" w:hAnsi="仿宋" w:eastAsia="仿宋"/>
          <w:color w:val="000000"/>
        </w:rPr>
        <w:t>4.全新灰度引擎，低灰度表现更佳</w:t>
      </w:r>
    </w:p>
    <w:p>
      <w:pPr>
        <w:spacing w:line="400" w:lineRule="exact"/>
        <w:rPr>
          <w:rFonts w:ascii="仿宋" w:hAnsi="仿宋" w:eastAsia="仿宋"/>
          <w:color w:val="000000"/>
        </w:rPr>
      </w:pPr>
      <w:r>
        <w:rPr>
          <w:rFonts w:hint="eastAsia" w:ascii="仿宋" w:hAnsi="仿宋" w:eastAsia="仿宋"/>
          <w:color w:val="000000"/>
        </w:rPr>
        <w:t>5.细节处理更完美，可消除单元板设计引起的某行偏暗、低灰偏红、鬼影等问题</w:t>
      </w:r>
    </w:p>
    <w:p>
      <w:pPr>
        <w:spacing w:line="400" w:lineRule="exact"/>
        <w:rPr>
          <w:rFonts w:ascii="仿宋" w:hAnsi="仿宋" w:eastAsia="仿宋"/>
          <w:color w:val="000000"/>
        </w:rPr>
      </w:pPr>
      <w:r>
        <w:rPr>
          <w:rFonts w:hint="eastAsia" w:ascii="仿宋" w:hAnsi="仿宋" w:eastAsia="仿宋"/>
          <w:color w:val="000000"/>
        </w:rPr>
        <w:t>6.支持高精度的色度、亮度一体化逐点校正</w:t>
      </w:r>
    </w:p>
    <w:p>
      <w:pPr>
        <w:spacing w:line="400" w:lineRule="exact"/>
        <w:rPr>
          <w:rFonts w:ascii="仿宋" w:hAnsi="仿宋" w:eastAsia="仿宋"/>
          <w:color w:val="000000"/>
        </w:rPr>
      </w:pPr>
      <w:r>
        <w:rPr>
          <w:rFonts w:hint="eastAsia" w:ascii="仿宋" w:hAnsi="仿宋" w:eastAsia="仿宋"/>
          <w:color w:val="000000"/>
        </w:rPr>
        <w:t>7.支持市场主流的常规芯片、PWM芯片、士兰芯片</w:t>
      </w:r>
    </w:p>
    <w:p>
      <w:pPr>
        <w:spacing w:line="400" w:lineRule="exact"/>
        <w:rPr>
          <w:rFonts w:ascii="仿宋" w:hAnsi="仿宋" w:eastAsia="仿宋"/>
          <w:color w:val="000000"/>
        </w:rPr>
      </w:pPr>
      <w:r>
        <w:rPr>
          <w:rFonts w:hint="eastAsia" w:ascii="仿宋" w:hAnsi="仿宋" w:eastAsia="仿宋"/>
          <w:color w:val="000000"/>
        </w:rPr>
        <w:t>8.支持静态到128扫之间的任意扫描类型</w:t>
      </w:r>
    </w:p>
    <w:p>
      <w:pPr>
        <w:spacing w:line="400" w:lineRule="exact"/>
        <w:rPr>
          <w:rFonts w:ascii="仿宋" w:hAnsi="仿宋" w:eastAsia="仿宋"/>
          <w:color w:val="000000"/>
        </w:rPr>
      </w:pPr>
      <w:r>
        <w:rPr>
          <w:rFonts w:hint="eastAsia" w:ascii="仿宋" w:hAnsi="仿宋" w:eastAsia="仿宋"/>
          <w:color w:val="000000"/>
        </w:rPr>
        <w:t>9.支持任意抽点，支持数据组偏移，可轻松实现各种异型屏、球形屏、创意显示屏</w:t>
      </w:r>
    </w:p>
    <w:p>
      <w:pPr>
        <w:spacing w:line="400" w:lineRule="exact"/>
        <w:rPr>
          <w:rFonts w:ascii="仿宋" w:hAnsi="仿宋" w:eastAsia="仿宋"/>
          <w:color w:val="000000"/>
        </w:rPr>
      </w:pPr>
      <w:r>
        <w:rPr>
          <w:rFonts w:hint="eastAsia" w:ascii="仿宋" w:hAnsi="仿宋" w:eastAsia="仿宋"/>
          <w:color w:val="000000"/>
        </w:rPr>
        <w:t>10.支持任意抽行抽列</w:t>
      </w:r>
    </w:p>
    <w:p>
      <w:pPr>
        <w:spacing w:line="400" w:lineRule="exact"/>
        <w:rPr>
          <w:rFonts w:ascii="仿宋" w:hAnsi="仿宋" w:eastAsia="仿宋"/>
          <w:color w:val="000000"/>
        </w:rPr>
      </w:pPr>
      <w:r>
        <w:rPr>
          <w:rFonts w:hint="eastAsia" w:ascii="仿宋" w:hAnsi="仿宋" w:eastAsia="仿宋"/>
          <w:color w:val="000000"/>
        </w:rPr>
        <w:t>11.支持箱体标定标序</w:t>
      </w:r>
    </w:p>
    <w:p>
      <w:pPr>
        <w:spacing w:line="400" w:lineRule="exact"/>
        <w:rPr>
          <w:rFonts w:ascii="仿宋" w:hAnsi="仿宋" w:eastAsia="仿宋"/>
          <w:color w:val="000000"/>
        </w:rPr>
      </w:pPr>
      <w:r>
        <w:rPr>
          <w:rFonts w:hint="eastAsia" w:ascii="仿宋" w:hAnsi="仿宋" w:eastAsia="仿宋"/>
          <w:color w:val="000000"/>
        </w:rPr>
        <w:t>12.单卡支持16组RGB信号输出</w:t>
      </w:r>
    </w:p>
    <w:p>
      <w:pPr>
        <w:spacing w:line="400" w:lineRule="exact"/>
        <w:rPr>
          <w:rFonts w:ascii="仿宋" w:hAnsi="仿宋" w:eastAsia="仿宋"/>
          <w:color w:val="000000"/>
        </w:rPr>
      </w:pPr>
      <w:r>
        <w:rPr>
          <w:rFonts w:hint="eastAsia" w:ascii="仿宋" w:hAnsi="仿宋" w:eastAsia="仿宋"/>
          <w:color w:val="000000"/>
        </w:rPr>
        <w:t>13.支持超大带载面积</w:t>
      </w:r>
    </w:p>
    <w:p>
      <w:pPr>
        <w:spacing w:line="400" w:lineRule="exact"/>
        <w:rPr>
          <w:rFonts w:ascii="仿宋" w:hAnsi="仿宋" w:eastAsia="仿宋"/>
          <w:color w:val="000000"/>
        </w:rPr>
      </w:pPr>
      <w:r>
        <w:rPr>
          <w:rFonts w:hint="eastAsia" w:ascii="仿宋" w:hAnsi="仿宋" w:eastAsia="仿宋"/>
          <w:color w:val="000000"/>
        </w:rPr>
        <w:t>14.支持DC3.8V~5.5V超宽工作电压</w:t>
      </w:r>
    </w:p>
    <w:p>
      <w:pPr>
        <w:spacing w:line="400" w:lineRule="exact"/>
        <w:rPr>
          <w:rFonts w:ascii="仿宋" w:hAnsi="仿宋" w:eastAsia="仿宋"/>
          <w:color w:val="000000"/>
        </w:rPr>
      </w:pPr>
      <w:r>
        <w:rPr>
          <w:rFonts w:hint="eastAsia" w:ascii="仿宋" w:hAnsi="仿宋" w:eastAsia="仿宋"/>
          <w:color w:val="000000"/>
        </w:rPr>
        <w:t>15.运输及存储温度为-40℃至125℃</w:t>
      </w:r>
    </w:p>
    <w:p>
      <w:pPr>
        <w:spacing w:line="400" w:lineRule="exact"/>
        <w:rPr>
          <w:rFonts w:ascii="仿宋" w:hAnsi="仿宋" w:eastAsia="仿宋"/>
          <w:color w:val="000000"/>
        </w:rPr>
      </w:pPr>
      <w:r>
        <w:rPr>
          <w:rFonts w:hint="eastAsia" w:ascii="仿宋" w:hAnsi="仿宋" w:eastAsia="仿宋"/>
          <w:color w:val="000000"/>
        </w:rPr>
        <w:t>16.工作温度范围为-25℃至75℃</w:t>
      </w:r>
    </w:p>
    <w:p>
      <w:pPr>
        <w:spacing w:line="400" w:lineRule="exact"/>
        <w:rPr>
          <w:rFonts w:ascii="仿宋" w:hAnsi="仿宋" w:eastAsia="仿宋"/>
          <w:color w:val="000000"/>
        </w:rPr>
      </w:pPr>
      <w:r>
        <w:rPr>
          <w:rFonts w:hint="eastAsia" w:ascii="仿宋" w:hAnsi="仿宋" w:eastAsia="仿宋"/>
          <w:color w:val="000000"/>
        </w:rPr>
        <w:t>★提供厂家售后服务承诺书和项目授权书；</w:t>
      </w:r>
    </w:p>
    <w:p>
      <w:pPr>
        <w:spacing w:line="400" w:lineRule="exact"/>
        <w:rPr>
          <w:rFonts w:ascii="仿宋" w:hAnsi="仿宋" w:eastAsia="仿宋"/>
          <w:color w:val="000000"/>
        </w:rPr>
      </w:pPr>
      <w:r>
        <w:rPr>
          <w:rFonts w:hint="eastAsia" w:ascii="仿宋" w:hAnsi="仿宋" w:eastAsia="仿宋"/>
          <w:color w:val="000000"/>
        </w:rPr>
        <w:t>★大屏幕参数设置必须提供国家新闻出版广电总局、广播电视规划院、广播电视计量检测中心检测报告；</w:t>
      </w:r>
    </w:p>
    <w:p>
      <w:pPr>
        <w:spacing w:line="400" w:lineRule="exact"/>
        <w:rPr>
          <w:rFonts w:ascii="仿宋" w:hAnsi="仿宋" w:eastAsia="仿宋"/>
          <w:color w:val="000000"/>
        </w:rPr>
      </w:pPr>
      <w:r>
        <w:rPr>
          <w:rFonts w:hint="eastAsia" w:ascii="仿宋" w:hAnsi="仿宋" w:eastAsia="仿宋"/>
          <w:color w:val="000000"/>
        </w:rPr>
        <w:t>★为保证接收卡能够持久运行，需具有电击和能量危险的防护（并提供CMA、CNAS、ilac-MRA的第三方厂家盖章检测报告）</w:t>
      </w:r>
    </w:p>
    <w:p>
      <w:pPr>
        <w:spacing w:line="400" w:lineRule="exact"/>
        <w:rPr>
          <w:rFonts w:ascii="仿宋" w:hAnsi="仿宋" w:eastAsia="仿宋"/>
          <w:color w:val="000000"/>
        </w:rPr>
      </w:pPr>
    </w:p>
    <w:p>
      <w:pPr>
        <w:spacing w:line="400" w:lineRule="exact"/>
        <w:rPr>
          <w:rFonts w:ascii="仿宋" w:hAnsi="仿宋" w:eastAsia="仿宋"/>
          <w:bCs/>
          <w:color w:val="000000"/>
        </w:rPr>
      </w:pPr>
      <w:r>
        <w:rPr>
          <w:rFonts w:ascii="仿宋" w:hAnsi="仿宋" w:eastAsia="仿宋"/>
          <w:color w:val="000000"/>
        </w:rPr>
        <w:t>4</w:t>
      </w:r>
      <w:r>
        <w:rPr>
          <w:rFonts w:hint="eastAsia" w:ascii="仿宋" w:hAnsi="仿宋" w:eastAsia="仿宋"/>
          <w:bCs/>
          <w:color w:val="000000"/>
        </w:rPr>
        <w:t>.</w:t>
      </w:r>
      <w:r>
        <w:rPr>
          <w:rFonts w:ascii="仿宋" w:hAnsi="仿宋" w:eastAsia="仿宋"/>
          <w:bCs/>
          <w:color w:val="000000"/>
        </w:rPr>
        <w:t>配电柜</w:t>
      </w:r>
      <w:r>
        <w:rPr>
          <w:rFonts w:hint="eastAsia" w:ascii="仿宋" w:hAnsi="仿宋" w:eastAsia="仿宋"/>
          <w:bCs/>
          <w:color w:val="000000"/>
        </w:rPr>
        <w:t>：一台</w:t>
      </w:r>
    </w:p>
    <w:p>
      <w:pPr>
        <w:spacing w:line="400" w:lineRule="exact"/>
        <w:rPr>
          <w:rFonts w:ascii="仿宋" w:hAnsi="仿宋" w:eastAsia="仿宋"/>
          <w:color w:val="000000"/>
        </w:rPr>
      </w:pPr>
      <w:r>
        <w:rPr>
          <w:rFonts w:hint="eastAsia" w:ascii="仿宋" w:hAnsi="仿宋" w:eastAsia="仿宋"/>
          <w:color w:val="000000"/>
        </w:rPr>
        <w:t>（1）</w:t>
      </w:r>
      <w:r>
        <w:rPr>
          <w:rFonts w:ascii="仿宋" w:hAnsi="仿宋" w:eastAsia="仿宋"/>
          <w:color w:val="000000"/>
        </w:rPr>
        <w:t>采用12KW配电柜给大屏设备供电需按照标准网络机房供电标准设计安装供电，分路供电，时序控制。电源供电二级防雷，设备、保护地分开，整个大屏接地系统接入大楼接地系统，关键信息设备端口防雷措施；</w:t>
      </w:r>
    </w:p>
    <w:p>
      <w:pPr>
        <w:spacing w:line="400" w:lineRule="exact"/>
        <w:rPr>
          <w:rFonts w:ascii="仿宋" w:hAnsi="仿宋" w:eastAsia="仿宋"/>
          <w:color w:val="000000"/>
        </w:rPr>
      </w:pPr>
      <w:r>
        <w:rPr>
          <w:rFonts w:hint="eastAsia" w:ascii="仿宋" w:hAnsi="仿宋" w:eastAsia="仿宋"/>
          <w:color w:val="000000"/>
        </w:rPr>
        <w:t>（2）</w:t>
      </w:r>
      <w:r>
        <w:rPr>
          <w:rFonts w:ascii="仿宋" w:hAnsi="仿宋" w:eastAsia="仿宋"/>
          <w:color w:val="000000"/>
        </w:rPr>
        <w:t>防护功能：具有防静电、抗震动、防电磁干扰、抗雷击等功能，具有电源过压、过流、断电保护；</w:t>
      </w:r>
    </w:p>
    <w:p>
      <w:pPr>
        <w:spacing w:line="400" w:lineRule="exact"/>
        <w:rPr>
          <w:rFonts w:ascii="仿宋" w:hAnsi="仿宋" w:eastAsia="仿宋"/>
          <w:color w:val="000000"/>
        </w:rPr>
      </w:pPr>
    </w:p>
    <w:p>
      <w:pPr>
        <w:spacing w:line="400" w:lineRule="exact"/>
        <w:rPr>
          <w:rFonts w:ascii="仿宋" w:hAnsi="仿宋" w:eastAsia="仿宋"/>
          <w:color w:val="000000"/>
        </w:rPr>
      </w:pPr>
      <w:r>
        <w:rPr>
          <w:rFonts w:ascii="仿宋" w:hAnsi="仿宋" w:eastAsia="仿宋"/>
          <w:color w:val="000000"/>
        </w:rPr>
        <w:t>5</w:t>
      </w:r>
      <w:r>
        <w:rPr>
          <w:rFonts w:hint="eastAsia" w:ascii="仿宋" w:hAnsi="仿宋" w:eastAsia="仿宋"/>
          <w:color w:val="000000"/>
        </w:rPr>
        <w:t>，</w:t>
      </w:r>
      <w:r>
        <w:rPr>
          <w:rFonts w:ascii="仿宋" w:hAnsi="仿宋" w:eastAsia="仿宋"/>
          <w:color w:val="000000"/>
        </w:rPr>
        <w:t>钢结构</w:t>
      </w:r>
      <w:r>
        <w:rPr>
          <w:rFonts w:hint="eastAsia" w:ascii="仿宋" w:hAnsi="仿宋" w:eastAsia="仿宋"/>
          <w:color w:val="000000"/>
        </w:rPr>
        <w:t xml:space="preserve">  </w:t>
      </w:r>
      <w:r>
        <w:rPr>
          <w:rFonts w:ascii="仿宋" w:hAnsi="仿宋" w:eastAsia="仿宋"/>
          <w:color w:val="000000"/>
        </w:rPr>
        <w:t>11.12</w:t>
      </w:r>
      <w:r>
        <w:rPr>
          <w:rFonts w:hint="eastAsia" w:ascii="仿宋" w:hAnsi="仿宋" w:eastAsia="仿宋"/>
          <w:color w:val="000000"/>
        </w:rPr>
        <w:t>平米</w:t>
      </w:r>
    </w:p>
    <w:p>
      <w:pPr>
        <w:spacing w:line="400" w:lineRule="exact"/>
        <w:rPr>
          <w:rFonts w:ascii="仿宋" w:hAnsi="仿宋" w:eastAsia="仿宋"/>
          <w:color w:val="000000"/>
        </w:rPr>
      </w:pPr>
      <w:r>
        <w:rPr>
          <w:rFonts w:ascii="仿宋" w:hAnsi="仿宋" w:eastAsia="仿宋"/>
          <w:color w:val="000000"/>
        </w:rPr>
        <w:t>LED高清屏幕采用水平安装（具体依照现场条件确定），安装结构能满足LED高清显示屏的整体均匀平滑要求，结构便于安装和调试。</w:t>
      </w:r>
    </w:p>
    <w:p>
      <w:pPr>
        <w:spacing w:line="400" w:lineRule="exact"/>
        <w:rPr>
          <w:rFonts w:ascii="仿宋" w:hAnsi="仿宋" w:eastAsia="仿宋"/>
          <w:color w:val="000000"/>
        </w:rPr>
      </w:pPr>
    </w:p>
    <w:p>
      <w:pPr>
        <w:spacing w:line="400" w:lineRule="exact"/>
        <w:rPr>
          <w:rFonts w:ascii="仿宋" w:hAnsi="仿宋" w:eastAsia="仿宋"/>
          <w:color w:val="000000"/>
        </w:rPr>
      </w:pPr>
      <w:r>
        <w:rPr>
          <w:rFonts w:ascii="仿宋" w:hAnsi="仿宋" w:eastAsia="仿宋"/>
          <w:color w:val="000000"/>
        </w:rPr>
        <w:t>6</w:t>
      </w:r>
      <w:r>
        <w:rPr>
          <w:rFonts w:hint="eastAsia" w:ascii="仿宋" w:hAnsi="仿宋" w:eastAsia="仿宋"/>
          <w:color w:val="000000"/>
        </w:rPr>
        <w:t>.</w:t>
      </w:r>
      <w:r>
        <w:rPr>
          <w:rFonts w:ascii="仿宋" w:hAnsi="仿宋" w:eastAsia="仿宋"/>
          <w:color w:val="000000"/>
        </w:rPr>
        <w:t>线缆</w:t>
      </w:r>
      <w:r>
        <w:rPr>
          <w:rFonts w:hint="eastAsia" w:ascii="仿宋" w:hAnsi="仿宋" w:eastAsia="仿宋"/>
          <w:color w:val="000000"/>
        </w:rPr>
        <w:t>：一项</w:t>
      </w:r>
    </w:p>
    <w:p>
      <w:pPr>
        <w:spacing w:line="400" w:lineRule="exact"/>
        <w:rPr>
          <w:rFonts w:ascii="仿宋" w:hAnsi="仿宋" w:eastAsia="仿宋"/>
          <w:color w:val="000000"/>
        </w:rPr>
      </w:pPr>
      <w:r>
        <w:rPr>
          <w:rFonts w:ascii="仿宋" w:hAnsi="仿宋" w:eastAsia="仿宋"/>
          <w:color w:val="000000"/>
        </w:rPr>
        <w:t>各类视频、音频线缆、电源线、信号传输线缆、网线、HDMI线，管道、桥架等制作安装,投标人综合考虑计入报价。</w:t>
      </w:r>
    </w:p>
    <w:p>
      <w:pPr>
        <w:spacing w:line="400" w:lineRule="exact"/>
        <w:rPr>
          <w:rFonts w:ascii="仿宋" w:hAnsi="仿宋" w:eastAsia="仿宋"/>
          <w:color w:val="000000"/>
        </w:rPr>
      </w:pPr>
      <w:r>
        <w:rPr>
          <w:rFonts w:ascii="仿宋" w:hAnsi="仿宋" w:eastAsia="仿宋"/>
          <w:color w:val="000000"/>
        </w:rPr>
        <w:t>项</w:t>
      </w:r>
    </w:p>
    <w:p>
      <w:pPr>
        <w:spacing w:line="400" w:lineRule="exact"/>
        <w:rPr>
          <w:rFonts w:ascii="仿宋" w:hAnsi="仿宋" w:eastAsia="仿宋"/>
          <w:color w:val="000000"/>
        </w:rPr>
      </w:pPr>
      <w:r>
        <w:rPr>
          <w:rFonts w:hint="eastAsia" w:ascii="仿宋" w:hAnsi="仿宋" w:eastAsia="仿宋"/>
          <w:color w:val="000000"/>
        </w:rPr>
        <w:t>7.电视机：</w:t>
      </w:r>
      <w:r>
        <w:rPr>
          <w:rFonts w:ascii="仿宋" w:hAnsi="仿宋" w:eastAsia="仿宋"/>
          <w:color w:val="000000"/>
        </w:rPr>
        <w:t>2</w:t>
      </w:r>
      <w:r>
        <w:rPr>
          <w:rFonts w:hint="eastAsia" w:ascii="仿宋" w:hAnsi="仿宋" w:eastAsia="仿宋"/>
          <w:color w:val="000000"/>
        </w:rPr>
        <w:t>台</w:t>
      </w:r>
    </w:p>
    <w:p>
      <w:pPr>
        <w:pStyle w:val="67"/>
        <w:spacing w:line="400" w:lineRule="exact"/>
        <w:ind w:left="420" w:firstLine="0" w:firstLineChars="0"/>
        <w:rPr>
          <w:rFonts w:ascii="仿宋" w:hAnsi="仿宋" w:eastAsia="仿宋"/>
          <w:color w:val="000000"/>
        </w:rPr>
      </w:pPr>
      <w:r>
        <w:rPr>
          <w:rFonts w:hint="eastAsia" w:ascii="仿宋" w:hAnsi="仿宋" w:eastAsia="仿宋"/>
          <w:color w:val="000000"/>
        </w:rPr>
        <w:t>尺寸：≥</w:t>
      </w:r>
      <w:r>
        <w:rPr>
          <w:rFonts w:ascii="仿宋" w:hAnsi="仿宋" w:eastAsia="仿宋"/>
          <w:color w:val="000000"/>
        </w:rPr>
        <w:t>85</w:t>
      </w:r>
      <w:r>
        <w:rPr>
          <w:rFonts w:hint="eastAsia" w:ascii="仿宋" w:hAnsi="仿宋" w:eastAsia="仿宋"/>
          <w:color w:val="000000"/>
        </w:rPr>
        <w:t>英寸</w:t>
      </w:r>
    </w:p>
    <w:p>
      <w:pPr>
        <w:pStyle w:val="67"/>
        <w:spacing w:line="400" w:lineRule="exact"/>
        <w:ind w:left="420" w:firstLine="0" w:firstLineChars="0"/>
        <w:rPr>
          <w:rFonts w:ascii="仿宋" w:hAnsi="仿宋" w:eastAsia="仿宋"/>
          <w:color w:val="000000"/>
        </w:rPr>
      </w:pPr>
      <w:r>
        <w:rPr>
          <w:rFonts w:hint="eastAsia" w:ascii="仿宋" w:hAnsi="仿宋" w:eastAsia="仿宋"/>
          <w:color w:val="000000"/>
        </w:rPr>
        <w:t>显示屏：</w:t>
      </w:r>
      <w:r>
        <w:rPr>
          <w:rFonts w:ascii="仿宋" w:hAnsi="仿宋" w:eastAsia="仿宋"/>
          <w:color w:val="000000"/>
        </w:rPr>
        <w:t>LED</w:t>
      </w:r>
    </w:p>
    <w:p>
      <w:pPr>
        <w:pStyle w:val="67"/>
        <w:spacing w:line="400" w:lineRule="exact"/>
        <w:ind w:left="420" w:firstLine="0" w:firstLineChars="0"/>
        <w:rPr>
          <w:rFonts w:ascii="仿宋" w:hAnsi="仿宋" w:eastAsia="仿宋"/>
          <w:color w:val="000000"/>
        </w:rPr>
      </w:pPr>
      <w:r>
        <w:rPr>
          <w:rFonts w:hint="eastAsia" w:ascii="仿宋" w:hAnsi="仿宋" w:eastAsia="仿宋"/>
          <w:color w:val="000000"/>
        </w:rPr>
        <w:t>接口：</w:t>
      </w:r>
      <w:r>
        <w:rPr>
          <w:rFonts w:ascii="仿宋" w:hAnsi="仿宋" w:eastAsia="仿宋"/>
          <w:color w:val="000000"/>
        </w:rPr>
        <w:t>2*USB2.0</w:t>
      </w:r>
      <w:r>
        <w:rPr>
          <w:rFonts w:hint="eastAsia" w:ascii="仿宋" w:hAnsi="仿宋" w:eastAsia="仿宋"/>
          <w:color w:val="000000"/>
        </w:rPr>
        <w:t>；</w:t>
      </w:r>
      <w:r>
        <w:rPr>
          <w:rFonts w:ascii="仿宋" w:hAnsi="仿宋" w:eastAsia="仿宋"/>
          <w:color w:val="000000"/>
        </w:rPr>
        <w:t>2*HDMI</w:t>
      </w:r>
    </w:p>
    <w:p>
      <w:pPr>
        <w:pStyle w:val="67"/>
        <w:spacing w:line="400" w:lineRule="exact"/>
        <w:ind w:left="420" w:firstLine="0" w:firstLineChars="0"/>
        <w:rPr>
          <w:rFonts w:ascii="仿宋" w:hAnsi="仿宋" w:eastAsia="仿宋"/>
          <w:color w:val="000000"/>
        </w:rPr>
      </w:pPr>
      <w:r>
        <w:rPr>
          <w:rFonts w:hint="eastAsia" w:ascii="仿宋" w:hAnsi="仿宋" w:eastAsia="仿宋"/>
          <w:color w:val="000000"/>
        </w:rPr>
        <w:t>显示比例：</w:t>
      </w:r>
      <w:r>
        <w:rPr>
          <w:rFonts w:ascii="仿宋" w:hAnsi="仿宋" w:eastAsia="仿宋"/>
          <w:color w:val="000000"/>
        </w:rPr>
        <w:t>16:9</w:t>
      </w:r>
    </w:p>
    <w:p>
      <w:pPr>
        <w:pStyle w:val="67"/>
        <w:spacing w:line="400" w:lineRule="exact"/>
        <w:ind w:left="420" w:firstLine="0" w:firstLineChars="0"/>
        <w:rPr>
          <w:rFonts w:ascii="仿宋" w:hAnsi="仿宋" w:eastAsia="仿宋"/>
          <w:color w:val="000000"/>
        </w:rPr>
      </w:pPr>
      <w:r>
        <w:rPr>
          <w:rFonts w:hint="eastAsia" w:ascii="仿宋" w:hAnsi="仿宋" w:eastAsia="仿宋"/>
          <w:color w:val="000000"/>
        </w:rPr>
        <w:t>分辨率：</w:t>
      </w:r>
      <w:r>
        <w:rPr>
          <w:rFonts w:ascii="仿宋" w:hAnsi="仿宋" w:eastAsia="仿宋"/>
          <w:color w:val="000000"/>
        </w:rPr>
        <w:t>3840*2160</w:t>
      </w:r>
    </w:p>
    <w:p>
      <w:pPr>
        <w:pStyle w:val="67"/>
        <w:spacing w:line="400" w:lineRule="exact"/>
        <w:ind w:left="420" w:firstLine="0" w:firstLineChars="0"/>
        <w:rPr>
          <w:rFonts w:ascii="仿宋" w:hAnsi="仿宋" w:eastAsia="仿宋"/>
          <w:color w:val="000000"/>
        </w:rPr>
      </w:pPr>
      <w:r>
        <w:rPr>
          <w:rFonts w:hint="eastAsia" w:ascii="仿宋" w:hAnsi="仿宋" w:eastAsia="仿宋"/>
          <w:color w:val="000000"/>
        </w:rPr>
        <w:t>亮度</w:t>
      </w:r>
      <w:r>
        <w:rPr>
          <w:rFonts w:ascii="仿宋" w:hAnsi="仿宋" w:eastAsia="仿宋"/>
          <w:color w:val="000000"/>
        </w:rPr>
        <w:t>:500mcd</w:t>
      </w:r>
    </w:p>
    <w:p>
      <w:pPr>
        <w:spacing w:line="400" w:lineRule="exact"/>
        <w:rPr>
          <w:rFonts w:ascii="宋体" w:hAnsi="宋体" w:eastAsia="宋体" w:cs="宋体"/>
          <w:sz w:val="28"/>
          <w:szCs w:val="28"/>
        </w:rPr>
      </w:pPr>
    </w:p>
    <w:p>
      <w:pPr>
        <w:rPr>
          <w:rFonts w:ascii="仿宋" w:hAnsi="仿宋" w:eastAsia="仿宋"/>
        </w:rPr>
      </w:pPr>
      <w:r>
        <w:rPr>
          <w:rFonts w:hint="eastAsia" w:ascii="仿宋" w:hAnsi="仿宋" w:eastAsia="仿宋"/>
        </w:rPr>
        <w:t>二、商务要求</w:t>
      </w:r>
    </w:p>
    <w:p>
      <w:pPr>
        <w:spacing w:before="120" w:beforeLines="50" w:after="120" w:afterLines="50" w:line="400" w:lineRule="exact"/>
        <w:rPr>
          <w:rFonts w:ascii="仿宋" w:hAnsi="仿宋" w:eastAsia="仿宋"/>
        </w:rPr>
      </w:pPr>
      <w:r>
        <w:rPr>
          <w:rFonts w:hint="eastAsia" w:ascii="仿宋" w:hAnsi="仿宋" w:eastAsia="仿宋"/>
        </w:rPr>
        <w:t>1、质保期不少于三年。</w:t>
      </w:r>
    </w:p>
    <w:p>
      <w:pPr>
        <w:pStyle w:val="23"/>
        <w:rPr>
          <w:rFonts w:ascii="仿宋" w:hAnsi="仿宋" w:eastAsia="仿宋"/>
        </w:rPr>
      </w:pPr>
      <w:r>
        <w:rPr>
          <w:rFonts w:hint="eastAsia" w:ascii="仿宋" w:hAnsi="仿宋" w:eastAsia="仿宋"/>
        </w:rPr>
        <w:t>2、服务响应时间</w:t>
      </w:r>
      <w:r>
        <w:rPr>
          <w:rFonts w:ascii="仿宋" w:hAnsi="仿宋" w:eastAsia="仿宋"/>
        </w:rPr>
        <w:t>:</w:t>
      </w:r>
      <w:r>
        <w:rPr>
          <w:rFonts w:hint="eastAsia" w:ascii="仿宋" w:hAnsi="仿宋" w:eastAsia="仿宋"/>
        </w:rPr>
        <w:t>乙方收到甲方的维修需求</w:t>
      </w:r>
      <w:r>
        <w:rPr>
          <w:rFonts w:ascii="仿宋" w:hAnsi="仿宋" w:eastAsia="仿宋"/>
        </w:rPr>
        <w:t>,_</w:t>
      </w:r>
      <w:r>
        <w:rPr>
          <w:rFonts w:ascii="仿宋" w:hAnsi="仿宋" w:eastAsia="仿宋"/>
          <w:u w:val="single"/>
        </w:rPr>
        <w:t>1</w:t>
      </w:r>
      <w:r>
        <w:rPr>
          <w:rFonts w:ascii="仿宋" w:hAnsi="仿宋" w:eastAsia="仿宋"/>
        </w:rPr>
        <w:t>_</w:t>
      </w:r>
      <w:r>
        <w:rPr>
          <w:rFonts w:hint="eastAsia" w:ascii="仿宋" w:hAnsi="仿宋" w:eastAsia="仿宋"/>
        </w:rPr>
        <w:t>小时内电话响应</w:t>
      </w:r>
      <w:r>
        <w:rPr>
          <w:rFonts w:ascii="仿宋" w:hAnsi="仿宋" w:eastAsia="仿宋"/>
        </w:rPr>
        <w:t xml:space="preserve">, </w:t>
      </w:r>
      <w:r>
        <w:rPr>
          <w:rFonts w:ascii="仿宋" w:hAnsi="仿宋" w:eastAsia="仿宋"/>
          <w:u w:val="single"/>
        </w:rPr>
        <w:t>_4_</w:t>
      </w:r>
      <w:r>
        <w:rPr>
          <w:rFonts w:hint="eastAsia" w:ascii="仿宋" w:hAnsi="仿宋" w:eastAsia="仿宋"/>
        </w:rPr>
        <w:t>小时内到达现场</w:t>
      </w:r>
      <w:r>
        <w:rPr>
          <w:rFonts w:ascii="仿宋" w:hAnsi="仿宋" w:eastAsia="仿宋"/>
        </w:rPr>
        <w:t xml:space="preserve">, </w:t>
      </w:r>
      <w:r>
        <w:rPr>
          <w:rFonts w:ascii="仿宋" w:hAnsi="仿宋" w:eastAsia="仿宋"/>
          <w:u w:val="single"/>
        </w:rPr>
        <w:t>_24_</w:t>
      </w:r>
      <w:r>
        <w:rPr>
          <w:rFonts w:hint="eastAsia" w:ascii="仿宋" w:hAnsi="仿宋" w:eastAsia="仿宋"/>
        </w:rPr>
        <w:t>小时内排除故障。</w:t>
      </w: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46"/>
        <w:spacing w:line="360" w:lineRule="auto"/>
        <w:rPr>
          <w:rFonts w:ascii="Times New Roman" w:hAnsi="Times New Roman" w:eastAsia="宋体"/>
        </w:rPr>
      </w:pPr>
      <w:bookmarkStart w:id="440" w:name="_Toc58504449"/>
      <w:bookmarkStart w:id="441" w:name="_Toc385992401"/>
      <w:bookmarkStart w:id="442" w:name="_Toc31008"/>
      <w:bookmarkStart w:id="443" w:name="_Toc389620241"/>
      <w:bookmarkStart w:id="444" w:name="_Toc415499899"/>
      <w:bookmarkStart w:id="445" w:name="_Toc68590981"/>
      <w:r>
        <w:rPr>
          <w:rStyle w:val="203"/>
          <w:rFonts w:ascii="Times New Roman" w:hAnsi="Times New Roman" w:eastAsia="宋体"/>
          <w:sz w:val="36"/>
          <w:szCs w:val="36"/>
        </w:rPr>
        <w:t>第六章  磋商响应文件格式</w:t>
      </w:r>
      <w:bookmarkEnd w:id="440"/>
      <w:bookmarkEnd w:id="441"/>
      <w:bookmarkEnd w:id="442"/>
      <w:bookmarkEnd w:id="443"/>
      <w:bookmarkEnd w:id="444"/>
      <w:bookmarkEnd w:id="445"/>
      <w:bookmarkStart w:id="446" w:name="_Toc62196433"/>
    </w:p>
    <w:p>
      <w:pPr>
        <w:pStyle w:val="46"/>
        <w:spacing w:line="360" w:lineRule="auto"/>
        <w:jc w:val="right"/>
        <w:rPr>
          <w:rFonts w:ascii="Times New Roman" w:hAnsi="Times New Roman" w:eastAsia="宋体"/>
        </w:rPr>
      </w:pPr>
      <w:r>
        <w:rPr>
          <w:rFonts w:hint="eastAsia" w:ascii="Times New Roman" w:hAnsi="Times New Roman" w:eastAsia="宋体"/>
        </w:rPr>
        <w:t xml:space="preserve">  </w:t>
      </w:r>
      <w:r>
        <w:rPr>
          <w:rFonts w:ascii="Times New Roman"/>
          <w:lang w:val="zh-CN"/>
        </w:rPr>
        <w:t>正本/副本</w:t>
      </w:r>
      <w:bookmarkEnd w:id="446"/>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3"/>
        <w:rPr>
          <w:rFonts w:ascii="Times New Roman" w:hAnsi="Times New Roman"/>
        </w:rPr>
      </w:pPr>
    </w:p>
    <w:p>
      <w:pPr>
        <w:pStyle w:val="23"/>
        <w:rPr>
          <w:rFonts w:ascii="Times New Roman" w:hAnsi="Times New Roman"/>
        </w:rPr>
      </w:pPr>
    </w:p>
    <w:p>
      <w:pPr>
        <w:pStyle w:val="23"/>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投标人：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jc w:val="center"/>
        <w:rPr>
          <w:rFonts w:ascii="仿宋_GB2312" w:hAnsi="仿宋_GB2312" w:eastAsia="仿宋_GB2312" w:cs="仿宋_GB2312"/>
          <w:b/>
          <w:sz w:val="28"/>
          <w:szCs w:val="28"/>
        </w:rPr>
      </w:pPr>
      <w:bookmarkStart w:id="447" w:name="_Toc60929129"/>
      <w:r>
        <w:rPr>
          <w:rFonts w:hint="eastAsia" w:ascii="仿宋_GB2312" w:hAnsi="仿宋_GB2312" w:eastAsia="仿宋_GB2312" w:cs="仿宋_GB2312"/>
          <w:b/>
          <w:sz w:val="28"/>
          <w:szCs w:val="28"/>
        </w:rPr>
        <w:t>3、授权代表本单位证明</w:t>
      </w:r>
      <w:bookmarkEnd w:id="447"/>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3"/>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2"/>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2"/>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w:t>
      </w:r>
      <w:r>
        <w:rPr>
          <w:rFonts w:hint="eastAsia" w:eastAsia="仿宋_GB2312"/>
          <w:sz w:val="24"/>
        </w:rPr>
        <w:t>（2020年度或2021年度）</w:t>
      </w:r>
      <w:r>
        <w:rPr>
          <w:rFonts w:eastAsia="仿宋_GB2312"/>
          <w:sz w:val="24"/>
        </w:rPr>
        <w:t>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2"/>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2"/>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2"/>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2"/>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2"/>
        </w:numPr>
        <w:tabs>
          <w:tab w:val="left" w:pos="220"/>
          <w:tab w:val="left" w:pos="8364"/>
        </w:tabs>
        <w:snapToGrid w:val="0"/>
        <w:spacing w:after="120" w:afterLines="50" w:line="360" w:lineRule="auto"/>
        <w:ind w:left="853" w:right="-57" w:rightChars="-27" w:hanging="433"/>
        <w:jc w:val="left"/>
        <w:rPr>
          <w:rFonts w:eastAsia="仿宋_GB2312"/>
        </w:rPr>
      </w:pPr>
      <w:r>
        <w:rPr>
          <w:rFonts w:eastAsia="仿宋_GB2312"/>
          <w:sz w:val="24"/>
        </w:rPr>
        <w:t>证明供应商符合特定资格条件的证明材料；</w:t>
      </w:r>
      <w:r>
        <w:rPr>
          <w:rFonts w:hint="eastAsia" w:eastAsia="仿宋_GB2312"/>
          <w:sz w:val="24"/>
        </w:rPr>
        <w:t>见磋商公告</w:t>
      </w:r>
      <w:r>
        <w:rPr>
          <w:rFonts w:eastAsia="仿宋_GB2312"/>
        </w:rPr>
        <w:t xml:space="preserve"> </w:t>
      </w: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48" w:name="_Toc7005120"/>
      <w:r>
        <w:rPr>
          <w:rFonts w:eastAsia="仿宋_GB2312"/>
          <w:b/>
          <w:sz w:val="24"/>
        </w:rPr>
        <w:t>6-1  供应商的企业法人营业执照副本复印件（加盖公章）</w:t>
      </w:r>
      <w:bookmarkEnd w:id="448"/>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49" w:name="_Toc7005121"/>
      <w:bookmarkStart w:id="450" w:name="_Ref527015333"/>
      <w:r>
        <w:rPr>
          <w:rFonts w:eastAsia="仿宋_GB2312"/>
          <w:b/>
          <w:sz w:val="24"/>
        </w:rPr>
        <w:t>6-2  上一年度</w:t>
      </w:r>
      <w:r>
        <w:rPr>
          <w:rFonts w:hint="eastAsia" w:eastAsia="仿宋_GB2312"/>
          <w:b/>
          <w:sz w:val="24"/>
        </w:rPr>
        <w:t>（2020年度或2021年度）</w:t>
      </w:r>
      <w:r>
        <w:rPr>
          <w:rFonts w:eastAsia="仿宋_GB2312"/>
          <w:b/>
          <w:sz w:val="24"/>
        </w:rPr>
        <w:t>经审计的财务报表</w:t>
      </w:r>
      <w:bookmarkEnd w:id="449"/>
      <w:bookmarkEnd w:id="450"/>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w:t>
      </w:r>
      <w:r>
        <w:rPr>
          <w:rFonts w:hint="eastAsia" w:eastAsia="仿宋_GB2312"/>
          <w:sz w:val="24"/>
        </w:rPr>
        <w:t>（2020年度或2021年度）</w:t>
      </w:r>
      <w:r>
        <w:rPr>
          <w:rFonts w:eastAsia="仿宋_GB2312"/>
          <w:sz w:val="24"/>
        </w:rPr>
        <w:t>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51" w:name="_Toc7005122"/>
      <w:r>
        <w:rPr>
          <w:rFonts w:eastAsia="仿宋_GB2312"/>
          <w:b/>
          <w:sz w:val="24"/>
        </w:rPr>
        <w:t>或  6-2  本年度基本开户银行出具的资信证明</w:t>
      </w:r>
      <w:bookmarkEnd w:id="451"/>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52" w:name="_Toc7005123"/>
      <w:r>
        <w:rPr>
          <w:rFonts w:eastAsia="仿宋_GB2312"/>
          <w:b/>
          <w:sz w:val="24"/>
        </w:rPr>
        <w:t>6-3 依法缴纳税收的证明</w:t>
      </w:r>
      <w:bookmarkEnd w:id="452"/>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r>
        <w:rPr>
          <w:rFonts w:eastAsia="仿宋_GB2312"/>
          <w:sz w:val="24"/>
        </w:rPr>
        <w:t>1、供应商应提供近六个月中任何一个月税</w:t>
      </w:r>
      <w:r>
        <w:rPr>
          <w:rFonts w:hint="eastAsia" w:eastAsia="仿宋_GB2312"/>
          <w:sz w:val="24"/>
        </w:rPr>
        <w:t>种</w:t>
      </w:r>
      <w:r>
        <w:rPr>
          <w:rFonts w:eastAsia="仿宋_GB2312"/>
          <w:sz w:val="24"/>
        </w:rPr>
        <w:t>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53" w:name="_Toc7005124"/>
      <w:r>
        <w:rPr>
          <w:rFonts w:eastAsia="仿宋_GB2312"/>
          <w:b/>
          <w:sz w:val="24"/>
        </w:rPr>
        <w:t>6-4社会保障资金缴纳记录</w:t>
      </w:r>
      <w:bookmarkEnd w:id="453"/>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3"/>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3"/>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54"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54"/>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4"/>
        </w:numPr>
        <w:jc w:val="left"/>
        <w:outlineLvl w:val="2"/>
        <w:rPr>
          <w:rFonts w:eastAsia="仿宋_GB2312"/>
          <w:b/>
          <w:sz w:val="24"/>
          <w:szCs w:val="22"/>
        </w:rPr>
      </w:pPr>
      <w:bookmarkStart w:id="455" w:name="_Toc7005126"/>
      <w:r>
        <w:rPr>
          <w:rFonts w:eastAsia="仿宋_GB2312"/>
          <w:b/>
          <w:sz w:val="24"/>
          <w:szCs w:val="22"/>
        </w:rPr>
        <w:t>供应商参加政府采购活动前3年内在经营活动中没有重大违法记录的书面声明（格式）</w:t>
      </w:r>
      <w:bookmarkEnd w:id="455"/>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15"/>
        </w:numPr>
        <w:jc w:val="left"/>
        <w:outlineLvl w:val="2"/>
        <w:rPr>
          <w:rFonts w:eastAsia="仿宋_GB2312"/>
          <w:b/>
          <w:sz w:val="24"/>
          <w:szCs w:val="22"/>
        </w:rPr>
      </w:pPr>
      <w:bookmarkStart w:id="456" w:name="_Toc7005127"/>
      <w:r>
        <w:rPr>
          <w:rFonts w:eastAsia="仿宋_GB2312"/>
          <w:b/>
          <w:sz w:val="24"/>
          <w:szCs w:val="22"/>
        </w:rPr>
        <w:t xml:space="preserve"> 供应商控股股东名称、控股公司的名称和存在管理、被管理关系的单位名称说明</w:t>
      </w:r>
      <w:bookmarkEnd w:id="456"/>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15"/>
        </w:numPr>
        <w:jc w:val="left"/>
        <w:outlineLvl w:val="2"/>
        <w:rPr>
          <w:rFonts w:eastAsia="仿宋_GB2312"/>
          <w:b/>
          <w:sz w:val="24"/>
          <w:szCs w:val="22"/>
        </w:rPr>
      </w:pPr>
      <w:bookmarkStart w:id="457" w:name="_Toc7005128"/>
      <w:r>
        <w:rPr>
          <w:rFonts w:eastAsia="仿宋_GB2312"/>
          <w:b/>
          <w:sz w:val="24"/>
          <w:szCs w:val="22"/>
        </w:rPr>
        <w:t xml:space="preserve"> 供应商是否属于为本项目提供整体设计、规范编制或者项目管理、监理、检测等服务的供应商声明</w:t>
      </w:r>
      <w:bookmarkEnd w:id="457"/>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eastAsia="仿宋_GB2312"/>
          <w:b/>
          <w:sz w:val="24"/>
        </w:rPr>
      </w:pPr>
      <w:bookmarkStart w:id="458" w:name="_Toc7005129"/>
      <w:r>
        <w:rPr>
          <w:rFonts w:eastAsia="仿宋_GB2312"/>
          <w:b/>
          <w:sz w:val="24"/>
        </w:rPr>
        <w:t>6-9证明供应商符合特定资格条件的证明材料</w:t>
      </w:r>
      <w:bookmarkEnd w:id="458"/>
      <w:r>
        <w:rPr>
          <w:rFonts w:eastAsia="仿宋_GB2312"/>
          <w:b/>
          <w:sz w:val="24"/>
        </w:rPr>
        <w:t>：</w:t>
      </w:r>
    </w:p>
    <w:p>
      <w:pPr>
        <w:pStyle w:val="23"/>
        <w:rPr>
          <w:rFonts w:ascii="Times New Roman" w:hAnsi="Times New Roman"/>
        </w:rPr>
      </w:pPr>
      <w:r>
        <w:rPr>
          <w:rFonts w:ascii="Times New Roman" w:hAnsi="Times New Roman"/>
        </w:rPr>
        <w:br w:type="page"/>
      </w:r>
    </w:p>
    <w:p>
      <w:pPr>
        <w:spacing w:after="120"/>
        <w:rPr>
          <w:rFonts w:eastAsia="仿宋_GB2312"/>
        </w:rPr>
      </w:pPr>
    </w:p>
    <w:p>
      <w:pPr>
        <w:pStyle w:val="195"/>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4"/>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pStyle w:val="23"/>
        <w:spacing w:line="480" w:lineRule="auto"/>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23"/>
        <w:ind w:firstLine="480"/>
        <w:rPr>
          <w:rFonts w:ascii="Times New Roman" w:hAnsi="Times New Roman" w:eastAsia="仿宋_GB2312"/>
          <w:sz w:val="24"/>
        </w:rPr>
      </w:pP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3"/>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3"/>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3"/>
        <w:rPr>
          <w:rFonts w:ascii="Times New Roman" w:hAnsi="Times New Roman" w:eastAsia="仿宋_GB2312"/>
          <w:sz w:val="24"/>
        </w:rPr>
      </w:pP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3"/>
        <w:rPr>
          <w:rFonts w:ascii="Times New Roman" w:hAnsi="Times New Roman" w:eastAsia="仿宋_GB2312"/>
        </w:rPr>
      </w:pPr>
    </w:p>
    <w:p>
      <w:pPr>
        <w:pStyle w:val="195"/>
        <w:ind w:firstLine="2640" w:firstLineChars="1100"/>
        <w:rPr>
          <w:rFonts w:ascii="Times New Roman" w:eastAsia="仿宋"/>
          <w:b/>
          <w:bCs/>
          <w:sz w:val="32"/>
          <w:szCs w:val="32"/>
        </w:rPr>
      </w:pPr>
      <w:bookmarkStart w:id="459" w:name="_Hlt520356241"/>
      <w:bookmarkEnd w:id="459"/>
      <w:r>
        <w:rPr>
          <w:rFonts w:ascii="Times New Roman"/>
        </w:rPr>
        <w:br w:type="page"/>
      </w:r>
      <w:bookmarkStart w:id="460" w:name="_Toc249515371"/>
      <w:bookmarkStart w:id="461" w:name="_Toc230583554"/>
      <w:bookmarkStart w:id="462" w:name="_Toc232176284"/>
      <w:bookmarkStart w:id="463" w:name="_Toc8496"/>
      <w:bookmarkStart w:id="464" w:name="_Toc249525252"/>
      <w:bookmarkStart w:id="465" w:name="_Toc232395224"/>
      <w:bookmarkStart w:id="466" w:name="_Toc256342154"/>
      <w:bookmarkStart w:id="467" w:name="_Toc415499901"/>
      <w:bookmarkStart w:id="468" w:name="_Toc230099805"/>
      <w:bookmarkStart w:id="469" w:name="_Toc230013640"/>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rPr>
                <w:rFonts w:ascii="Times New Roman" w:hAnsi="Times New Roman" w:eastAsia="仿宋_GB2312"/>
                <w:sz w:val="24"/>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p>
          <w:p>
            <w:pPr>
              <w:pStyle w:val="23"/>
              <w:rPr>
                <w:rFonts w:ascii="Times New Roman" w:hAnsi="Times New Roman" w:eastAsia="仿宋_GB2312"/>
                <w:sz w:val="24"/>
                <w:u w:val="single"/>
              </w:rPr>
            </w:pPr>
            <w:r>
              <w:rPr>
                <w:rFonts w:ascii="Times New Roman" w:hAnsi="Times New Roman" w:eastAsia="仿宋_GB2312"/>
                <w:sz w:val="24"/>
              </w:rPr>
              <w:t xml:space="preserve">包号：（如有）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jc w:val="center"/>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3"/>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jc w:val="center"/>
              <w:rPr>
                <w:rFonts w:ascii="Times New Roman" w:hAnsi="Times New Roman" w:eastAsia="仿宋_GB2312"/>
                <w:b/>
                <w:sz w:val="24"/>
              </w:rPr>
            </w:pPr>
            <w:r>
              <w:rPr>
                <w:rFonts w:hint="eastAsia" w:ascii="Times New Roman" w:hAnsi="Times New Roman" w:eastAsia="仿宋_GB2312"/>
                <w:b/>
                <w:sz w:val="24"/>
              </w:rPr>
              <w:t>服务周期</w:t>
            </w:r>
          </w:p>
        </w:tc>
        <w:tc>
          <w:tcPr>
            <w:tcW w:w="6697" w:type="dxa"/>
            <w:vAlign w:val="center"/>
          </w:tcPr>
          <w:p>
            <w:pPr>
              <w:pStyle w:val="23"/>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jc w:val="center"/>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3"/>
              <w:rPr>
                <w:rFonts w:ascii="Times New Roman" w:hAnsi="Times New Roman" w:eastAsia="仿宋_GB2312"/>
                <w:sz w:val="24"/>
              </w:rPr>
            </w:pPr>
          </w:p>
        </w:tc>
      </w:tr>
    </w:tbl>
    <w:p>
      <w:pPr>
        <w:pStyle w:val="23"/>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134"/>
        <w:gridCol w:w="2001"/>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134" w:type="dxa"/>
            <w:vAlign w:val="center"/>
          </w:tcPr>
          <w:p>
            <w:pPr>
              <w:adjustRightInd w:val="0"/>
              <w:snapToGrid w:val="0"/>
              <w:spacing w:line="360" w:lineRule="auto"/>
              <w:jc w:val="center"/>
              <w:rPr>
                <w:rFonts w:eastAsia="仿宋_GB2312"/>
                <w:sz w:val="24"/>
              </w:rPr>
            </w:pPr>
            <w:r>
              <w:rPr>
                <w:rFonts w:hint="eastAsia" w:eastAsia="仿宋_GB2312"/>
                <w:sz w:val="24"/>
              </w:rPr>
              <w:t>费用名称</w:t>
            </w:r>
          </w:p>
        </w:tc>
        <w:tc>
          <w:tcPr>
            <w:tcW w:w="2001" w:type="dxa"/>
            <w:vAlign w:val="center"/>
          </w:tcPr>
          <w:p>
            <w:pPr>
              <w:adjustRightInd w:val="0"/>
              <w:snapToGrid w:val="0"/>
              <w:spacing w:line="360" w:lineRule="auto"/>
              <w:jc w:val="center"/>
              <w:rPr>
                <w:rFonts w:eastAsia="仿宋_GB2312"/>
                <w:sz w:val="24"/>
              </w:rPr>
            </w:pPr>
            <w:r>
              <w:rPr>
                <w:rFonts w:hint="eastAsia" w:eastAsia="仿宋_GB2312"/>
                <w:sz w:val="24"/>
              </w:rPr>
              <w:t>费用明细</w:t>
            </w:r>
          </w:p>
          <w:p>
            <w:pPr>
              <w:adjustRightInd w:val="0"/>
              <w:snapToGrid w:val="0"/>
              <w:spacing w:line="360" w:lineRule="auto"/>
              <w:jc w:val="center"/>
              <w:rPr>
                <w:rFonts w:eastAsia="仿宋_GB2312"/>
                <w:sz w:val="24"/>
              </w:rPr>
            </w:pPr>
            <w:r>
              <w:rPr>
                <w:rFonts w:hint="eastAsia" w:eastAsia="仿宋_GB2312"/>
                <w:sz w:val="24"/>
              </w:rPr>
              <w:t>（详细内容）</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rPr>
          <w:rFonts w:eastAsia="仿宋_GB2312"/>
          <w:b/>
          <w:sz w:val="28"/>
          <w:szCs w:val="28"/>
        </w:rPr>
      </w:pPr>
    </w:p>
    <w:p>
      <w:pPr>
        <w:pStyle w:val="23"/>
        <w:rPr>
          <w:rFonts w:ascii="Times New Roman" w:hAnsi="Times New Roman" w:eastAsia="仿宋_GB2312"/>
        </w:rPr>
      </w:pPr>
      <w:r>
        <w:rPr>
          <w:rFonts w:ascii="Times New Roman" w:hAnsi="Times New Roman" w:eastAsia="仿宋_GB2312"/>
        </w:rPr>
        <w:br w:type="page"/>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0"/>
      <w:bookmarkEnd w:id="461"/>
      <w:bookmarkEnd w:id="462"/>
      <w:bookmarkEnd w:id="463"/>
      <w:bookmarkEnd w:id="464"/>
      <w:bookmarkEnd w:id="465"/>
      <w:bookmarkEnd w:id="466"/>
      <w:bookmarkEnd w:id="467"/>
      <w:bookmarkEnd w:id="468"/>
      <w:bookmarkEnd w:id="469"/>
      <w:bookmarkStart w:id="470" w:name="_Toc389620242"/>
      <w:bookmarkStart w:id="471" w:name="_Toc499711088"/>
      <w:bookmarkStart w:id="472" w:name="_Toc177995484"/>
      <w:bookmarkStart w:id="473" w:name="_Toc70687203"/>
      <w:bookmarkStart w:id="474" w:name="_Toc385992402"/>
      <w:bookmarkStart w:id="475" w:name="_Toc177189246"/>
      <w:bookmarkStart w:id="476" w:name="_Toc492955460"/>
      <w:bookmarkStart w:id="477" w:name="_Toc230099806"/>
      <w:bookmarkStart w:id="478" w:name="_Toc232395225"/>
      <w:bookmarkStart w:id="479" w:name="_Toc232176285"/>
      <w:bookmarkStart w:id="480" w:name="_Toc249515372"/>
      <w:bookmarkStart w:id="481" w:name="_Toc499711929"/>
      <w:bookmarkStart w:id="482" w:name="_Toc249525253"/>
      <w:bookmarkStart w:id="483" w:name="_Toc176882553"/>
      <w:bookmarkStart w:id="484" w:name="_Toc225933091"/>
      <w:bookmarkStart w:id="485" w:name="_Toc83547687"/>
      <w:bookmarkStart w:id="486" w:name="_Toc256342155"/>
      <w:bookmarkStart w:id="487" w:name="_Toc500747011"/>
      <w:bookmarkStart w:id="488" w:name="_Toc53722866"/>
      <w:bookmarkStart w:id="489" w:name="_Toc496324624"/>
      <w:bookmarkStart w:id="490" w:name="_Toc500747107"/>
      <w:bookmarkStart w:id="491" w:name="_Toc230583555"/>
      <w:bookmarkStart w:id="492" w:name="_Toc500747234"/>
      <w:bookmarkStart w:id="493" w:name="_Toc184043059"/>
      <w:bookmarkStart w:id="494" w:name="_Toc503063459"/>
      <w:bookmarkStart w:id="495" w:name="_Toc177817345"/>
      <w:bookmarkStart w:id="496" w:name="_Toc230013641"/>
      <w:bookmarkStart w:id="497" w:name="_Toc415499902"/>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3"/>
        <w:rPr>
          <w:rFonts w:ascii="Times New Roman" w:hAnsi="Times New Roman" w:eastAsia="仿宋_GB2312"/>
          <w:sz w:val="24"/>
        </w:rPr>
      </w:pPr>
      <w:r>
        <w:rPr>
          <w:rFonts w:ascii="Times New Roman" w:hAnsi="Times New Roman" w:eastAsia="仿宋_GB2312"/>
          <w:sz w:val="24"/>
        </w:rPr>
        <w:t>项目编号：</w:t>
      </w:r>
    </w:p>
    <w:p>
      <w:pPr>
        <w:pStyle w:val="23"/>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Times New Roman" w:hAnsi="Times New Roman" w:eastAsia="仿宋_GB2312"/>
                <w:sz w:val="24"/>
                <w:szCs w:val="24"/>
              </w:rPr>
            </w:pPr>
          </w:p>
        </w:tc>
        <w:tc>
          <w:tcPr>
            <w:tcW w:w="2835" w:type="dxa"/>
          </w:tcPr>
          <w:p>
            <w:pPr>
              <w:pStyle w:val="29"/>
              <w:jc w:val="center"/>
              <w:rPr>
                <w:rFonts w:ascii="Times New Roman" w:hAnsi="Times New Roman" w:eastAsia="仿宋_GB2312"/>
                <w:sz w:val="24"/>
                <w:szCs w:val="24"/>
              </w:rPr>
            </w:pPr>
          </w:p>
        </w:tc>
        <w:tc>
          <w:tcPr>
            <w:tcW w:w="1701" w:type="dxa"/>
          </w:tcPr>
          <w:p>
            <w:pPr>
              <w:pStyle w:val="29"/>
              <w:jc w:val="center"/>
              <w:rPr>
                <w:rFonts w:ascii="Times New Roman" w:hAnsi="Times New Roman" w:eastAsia="仿宋_GB2312"/>
                <w:sz w:val="24"/>
                <w:szCs w:val="24"/>
              </w:rPr>
            </w:pPr>
          </w:p>
        </w:tc>
        <w:tc>
          <w:tcPr>
            <w:tcW w:w="1417" w:type="dxa"/>
          </w:tcPr>
          <w:p>
            <w:pPr>
              <w:pStyle w:val="29"/>
              <w:jc w:val="center"/>
              <w:rPr>
                <w:rFonts w:ascii="Times New Roman" w:hAnsi="Times New Roman" w:eastAsia="仿宋_GB2312"/>
                <w:sz w:val="24"/>
                <w:szCs w:val="24"/>
              </w:rPr>
            </w:pPr>
          </w:p>
        </w:tc>
        <w:tc>
          <w:tcPr>
            <w:tcW w:w="2195" w:type="dxa"/>
          </w:tcPr>
          <w:p>
            <w:pPr>
              <w:pStyle w:val="29"/>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jc w:val="center"/>
              <w:rPr>
                <w:rFonts w:ascii="Times New Roman" w:hAnsi="Times New Roman" w:eastAsia="仿宋_GB2312"/>
                <w:sz w:val="24"/>
                <w:szCs w:val="24"/>
              </w:rPr>
            </w:pPr>
          </w:p>
        </w:tc>
        <w:tc>
          <w:tcPr>
            <w:tcW w:w="1417" w:type="dxa"/>
          </w:tcPr>
          <w:p>
            <w:pPr>
              <w:pStyle w:val="29"/>
              <w:ind w:left="1080" w:leftChars="257" w:hanging="540"/>
              <w:jc w:val="center"/>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bl>
    <w:p>
      <w:pPr>
        <w:pStyle w:val="29"/>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498" w:name="_Toc416103825"/>
      <w:bookmarkStart w:id="499" w:name="_Toc410631184"/>
      <w:bookmarkStart w:id="500" w:name="_Toc7005136"/>
      <w:bookmarkStart w:id="501" w:name="_Toc414445775"/>
      <w:r>
        <w:rPr>
          <w:rFonts w:ascii="仿宋_GB2312" w:hAnsi="仿宋_GB2312" w:eastAsia="仿宋_GB2312" w:cs="仿宋_GB2312"/>
          <w:b/>
          <w:bCs/>
          <w:sz w:val="28"/>
          <w:szCs w:val="36"/>
        </w:rPr>
        <w:t>二、技术偏离表</w:t>
      </w:r>
      <w:bookmarkEnd w:id="498"/>
      <w:bookmarkEnd w:id="499"/>
      <w:bookmarkEnd w:id="500"/>
      <w:bookmarkEnd w:id="501"/>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磋商文件技术条款要求</w:t>
            </w:r>
          </w:p>
        </w:tc>
        <w:tc>
          <w:tcPr>
            <w:tcW w:w="1932" w:type="dxa"/>
          </w:tcPr>
          <w:p>
            <w:pPr>
              <w:spacing w:line="400" w:lineRule="exact"/>
              <w:jc w:val="center"/>
              <w:rPr>
                <w:rFonts w:eastAsia="仿宋_GB2312"/>
                <w:sz w:val="24"/>
              </w:rPr>
            </w:pPr>
            <w:r>
              <w:rPr>
                <w:rFonts w:hint="eastAsia" w:eastAsia="仿宋_GB2312"/>
                <w:sz w:val="24"/>
              </w:rPr>
              <w:t>供应商响应文件内容</w:t>
            </w:r>
          </w:p>
        </w:tc>
        <w:tc>
          <w:tcPr>
            <w:tcW w:w="1236" w:type="dxa"/>
          </w:tcPr>
          <w:p>
            <w:pPr>
              <w:spacing w:line="400" w:lineRule="exact"/>
              <w:jc w:val="center"/>
              <w:rPr>
                <w:rFonts w:eastAsia="仿宋_GB2312"/>
                <w:sz w:val="24"/>
              </w:rPr>
            </w:pPr>
            <w:r>
              <w:rPr>
                <w:rFonts w:eastAsia="仿宋_GB2312"/>
                <w:sz w:val="24"/>
              </w:rPr>
              <w:t>响应</w:t>
            </w:r>
            <w:r>
              <w:rPr>
                <w:rFonts w:hint="eastAsia" w:eastAsia="仿宋_GB2312"/>
                <w:sz w:val="24"/>
              </w:rPr>
              <w:t>情况</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对响应</w:t>
      </w:r>
      <w:r>
        <w:rPr>
          <w:rFonts w:hint="eastAsia" w:eastAsia="仿宋_GB2312"/>
        </w:rPr>
        <w:t>情况</w:t>
      </w:r>
      <w:r>
        <w:rPr>
          <w:rFonts w:eastAsia="仿宋_GB2312"/>
        </w:rPr>
        <w:t>条目在本表相应列中标注“</w:t>
      </w:r>
      <w:r>
        <w:rPr>
          <w:rFonts w:hint="eastAsia" w:eastAsia="仿宋_GB2312"/>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3"/>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3"/>
        <w:rPr>
          <w:rFonts w:ascii="Times New Roman" w:hAnsi="Times New Roman" w:eastAsia="仿宋_GB2312"/>
          <w:lang w:val="zh-CN"/>
        </w:rPr>
      </w:pPr>
      <w:r>
        <w:rPr>
          <w:rFonts w:ascii="Times New Roman" w:hAnsi="Times New Roman" w:eastAsia="仿宋_GB2312"/>
          <w:lang w:val="zh-CN"/>
        </w:rPr>
        <w:br w:type="page"/>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Style w:val="4"/>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bookmarkStart w:id="502" w:name="_Toc7005133"/>
    </w:p>
    <w:p>
      <w:pPr>
        <w:pStyle w:val="195"/>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中小企业声明函(服务)</w:t>
      </w:r>
    </w:p>
    <w:p>
      <w:pPr>
        <w:rPr>
          <w:rFonts w:eastAsia="仿宋_GB2312"/>
          <w:kern w:val="0"/>
          <w:sz w:val="30"/>
          <w:szCs w:val="30"/>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16"/>
        </w:numPr>
        <w:spacing w:line="560" w:lineRule="exact"/>
        <w:ind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(采购文件中明的所属行业) </w:t>
      </w:r>
      <w:r>
        <w:rPr>
          <w:rFonts w:ascii="Times New Roman" w:hAnsi="Times New Roman" w:eastAsia="仿宋_GB2312"/>
          <w:kern w:val="0"/>
          <w:sz w:val="24"/>
          <w:szCs w:val="24"/>
        </w:rPr>
        <w:t>；承建(承接)企业为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(中型企必、小型企业、微型企业) </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 xml:space="preserve">2. </w:t>
      </w:r>
      <w:r>
        <w:rPr>
          <w:rFonts w:eastAsia="仿宋_GB2312"/>
          <w:kern w:val="0"/>
          <w:sz w:val="24"/>
          <w:u w:val="single"/>
        </w:rPr>
        <w:t xml:space="preserve"> (标的名称) </w:t>
      </w:r>
      <w:r>
        <w:rPr>
          <w:rFonts w:eastAsia="仿宋_GB2312"/>
          <w:kern w:val="0"/>
          <w:sz w:val="24"/>
        </w:rPr>
        <w:t>，属于</w:t>
      </w:r>
      <w:r>
        <w:rPr>
          <w:rFonts w:eastAsia="仿宋_GB2312"/>
          <w:kern w:val="0"/>
          <w:sz w:val="24"/>
          <w:u w:val="single"/>
        </w:rPr>
        <w:t xml:space="preserve"> (采购文件中明的所属行业) </w:t>
      </w:r>
      <w:r>
        <w:rPr>
          <w:rFonts w:eastAsia="仿宋_GB2312"/>
          <w:kern w:val="0"/>
          <w:sz w:val="24"/>
        </w:rPr>
        <w:t>；承建(承接)企业为</w:t>
      </w:r>
      <w:r>
        <w:rPr>
          <w:rFonts w:eastAsia="仿宋_GB2312"/>
          <w:kern w:val="0"/>
          <w:sz w:val="24"/>
          <w:u w:val="single"/>
        </w:rPr>
        <w:t xml:space="preserve"> (企业名称)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(中型企必、小型企业、微型企业) </w:t>
      </w: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rPr>
          <w:rFonts w:eastAsia="仿宋_GB2312"/>
          <w:kern w:val="0"/>
          <w:sz w:val="24"/>
        </w:rPr>
      </w:pPr>
      <w:r>
        <w:rPr>
          <w:rFonts w:eastAsia="仿宋_GB2312"/>
          <w:kern w:val="0"/>
          <w:sz w:val="24"/>
        </w:rPr>
        <w:t xml:space="preserve">                                  企业名称(盖章):</w:t>
      </w:r>
    </w:p>
    <w:p>
      <w:pPr>
        <w:spacing w:line="560" w:lineRule="exact"/>
        <w:ind w:firstLine="4320" w:firstLineChars="1800"/>
        <w:rPr>
          <w:rFonts w:eastAsia="仿宋_GB2312"/>
          <w:kern w:val="0"/>
          <w:sz w:val="24"/>
        </w:rPr>
      </w:pPr>
      <w:r>
        <w:rPr>
          <w:rFonts w:eastAsia="仿宋_GB2312"/>
          <w:kern w:val="0"/>
          <w:sz w:val="24"/>
        </w:rPr>
        <w:t>日期：</w:t>
      </w:r>
    </w:p>
    <w:p>
      <w:pPr>
        <w:spacing w:line="560" w:lineRule="exact"/>
        <w:ind w:firstLine="5400" w:firstLineChars="1800"/>
        <w:rPr>
          <w:rFonts w:eastAsia="仿宋_GB2312"/>
          <w:kern w:val="0"/>
          <w:sz w:val="30"/>
          <w:szCs w:val="30"/>
        </w:rPr>
      </w:pPr>
    </w:p>
    <w:p>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pPr>
        <w:pStyle w:val="5"/>
        <w:jc w:val="center"/>
        <w:rPr>
          <w:rFonts w:eastAsia="仿宋_GB2312"/>
          <w:b/>
          <w:sz w:val="28"/>
          <w:szCs w:val="28"/>
        </w:rPr>
      </w:pPr>
      <w:r>
        <w:rPr>
          <w:rFonts w:ascii="Times New Roman" w:hAnsi="Times New Roman" w:eastAsia="仿宋_GB2312"/>
          <w:kern w:val="0"/>
          <w:szCs w:val="21"/>
        </w:rPr>
        <w:t>（从业人员、营业收入、资产总额填报上一年度数据，无上一年度数据的新成立企业可不填报）</w:t>
      </w:r>
      <w:r>
        <w:rPr>
          <w:rFonts w:eastAsia="仿宋_GB2312"/>
          <w:b/>
          <w:sz w:val="28"/>
          <w:szCs w:val="28"/>
        </w:rPr>
        <w:br w:type="page"/>
      </w:r>
    </w:p>
    <w:bookmarkEnd w:id="502"/>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03"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03"/>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3"/>
        <w:rPr>
          <w:rFonts w:ascii="Times New Roman" w:hAnsi="Times New Roman"/>
        </w:rPr>
      </w:pPr>
      <w:r>
        <w:rPr>
          <w:rFonts w:ascii="Times New Roman" w:hAnsi="Times New Roman"/>
        </w:rPr>
        <w:br w:type="page"/>
      </w:r>
    </w:p>
    <w:p>
      <w:pPr>
        <w:pStyle w:val="5"/>
        <w:rPr>
          <w:rFonts w:ascii="仿宋_GB2312" w:hAnsi="仿宋_GB2312" w:eastAsia="仿宋_GB2312" w:cs="仿宋_GB2312"/>
          <w:b/>
          <w:bCs/>
          <w:sz w:val="28"/>
          <w:szCs w:val="36"/>
          <w:lang w:val="zh-CN"/>
        </w:rPr>
      </w:pPr>
      <w:r>
        <w:rPr>
          <w:rFonts w:hint="eastAsia" w:ascii="仿宋_GB2312" w:hAnsi="仿宋_GB2312" w:eastAsia="仿宋_GB2312" w:cs="仿宋_GB2312"/>
          <w:b/>
          <w:bCs/>
          <w:sz w:val="28"/>
          <w:szCs w:val="36"/>
          <w:lang w:val="zh-CN"/>
        </w:rPr>
        <w:t>附件</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3"/>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p>
          <w:p>
            <w:pPr>
              <w:spacing w:after="120"/>
              <w:rPr>
                <w:rFonts w:eastAsia="仿宋_GB2312"/>
                <w:sz w:val="24"/>
                <w:u w:val="single"/>
              </w:rPr>
            </w:pPr>
            <w:r>
              <w:rPr>
                <w:rFonts w:eastAsia="仿宋_GB2312"/>
                <w:sz w:val="24"/>
              </w:rPr>
              <w:t xml:space="preserve">包号：（如有）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eastAsia="仿宋_GB2312"/>
                <w:b/>
                <w:sz w:val="24"/>
              </w:rPr>
            </w:pPr>
            <w:r>
              <w:rPr>
                <w:rFonts w:hint="eastAsia" w:eastAsia="仿宋_GB2312"/>
                <w:b/>
                <w:sz w:val="24"/>
              </w:rPr>
              <w:t>服务周期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3"/>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3"/>
        <w:rPr>
          <w:rFonts w:ascii="Times New Roman" w:hAnsi="Times New Roman"/>
        </w:rPr>
      </w:pPr>
      <w:r>
        <w:rPr>
          <w:rFonts w:ascii="Times New Roman" w:hAnsi="Times New Roman"/>
        </w:rPr>
        <w:t xml:space="preserve">                      （随身携带，单独提供，无需装订在响应文件中）</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rPr>
          <w:rFonts w:ascii="Times New Roman" w:hAnsi="Times New Roman"/>
        </w:rPr>
      </w:pPr>
      <w:r>
        <w:rPr>
          <w:rFonts w:ascii="Times New Roman" w:hAnsi="Times New Roman" w:eastAsia="仿宋_GB2312"/>
          <w:sz w:val="24"/>
        </w:rPr>
        <w:t>项目名称：</w:t>
      </w:r>
    </w:p>
    <w:tbl>
      <w:tblPr>
        <w:tblStyle w:val="50"/>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134"/>
        <w:gridCol w:w="2001"/>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134" w:type="dxa"/>
            <w:vAlign w:val="center"/>
          </w:tcPr>
          <w:p>
            <w:pPr>
              <w:adjustRightInd w:val="0"/>
              <w:snapToGrid w:val="0"/>
              <w:spacing w:line="360" w:lineRule="auto"/>
              <w:jc w:val="center"/>
              <w:rPr>
                <w:rFonts w:eastAsia="仿宋_GB2312"/>
                <w:sz w:val="24"/>
              </w:rPr>
            </w:pPr>
            <w:r>
              <w:rPr>
                <w:rFonts w:hint="eastAsia" w:eastAsia="仿宋_GB2312"/>
                <w:sz w:val="24"/>
              </w:rPr>
              <w:t>费用名称</w:t>
            </w:r>
          </w:p>
        </w:tc>
        <w:tc>
          <w:tcPr>
            <w:tcW w:w="2001" w:type="dxa"/>
            <w:vAlign w:val="center"/>
          </w:tcPr>
          <w:p>
            <w:pPr>
              <w:adjustRightInd w:val="0"/>
              <w:snapToGrid w:val="0"/>
              <w:spacing w:line="360" w:lineRule="auto"/>
              <w:jc w:val="center"/>
              <w:rPr>
                <w:rFonts w:eastAsia="仿宋_GB2312"/>
                <w:sz w:val="24"/>
              </w:rPr>
            </w:pPr>
            <w:r>
              <w:rPr>
                <w:rFonts w:hint="eastAsia" w:eastAsia="仿宋_GB2312"/>
                <w:sz w:val="24"/>
              </w:rPr>
              <w:t>费用明细</w:t>
            </w:r>
          </w:p>
          <w:p>
            <w:pPr>
              <w:adjustRightInd w:val="0"/>
              <w:snapToGrid w:val="0"/>
              <w:spacing w:line="360" w:lineRule="auto"/>
              <w:jc w:val="center"/>
              <w:rPr>
                <w:rFonts w:eastAsia="仿宋_GB2312"/>
                <w:sz w:val="24"/>
              </w:rPr>
            </w:pPr>
            <w:r>
              <w:rPr>
                <w:rFonts w:hint="eastAsia" w:eastAsia="仿宋_GB2312"/>
                <w:sz w:val="24"/>
              </w:rPr>
              <w:t>（详细内容）</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1"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2001"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rPr>
          <w:rFonts w:eastAsia="仿宋_GB2312"/>
          <w:b/>
          <w:sz w:val="28"/>
          <w:szCs w:val="28"/>
        </w:rPr>
      </w:pPr>
    </w:p>
    <w:p>
      <w:pPr>
        <w:pStyle w:val="23"/>
      </w:pPr>
    </w:p>
    <w:p>
      <w:pPr>
        <w:pStyle w:val="23"/>
      </w:pPr>
    </w:p>
    <w:p>
      <w:pPr>
        <w:pStyle w:val="23"/>
      </w:pPr>
    </w:p>
    <w:p>
      <w:pPr>
        <w:pStyle w:val="23"/>
      </w:pPr>
    </w:p>
    <w:p>
      <w:pPr>
        <w:pStyle w:val="23"/>
      </w:pPr>
    </w:p>
    <w:p>
      <w:pPr>
        <w:pStyle w:val="23"/>
      </w:pPr>
    </w:p>
    <w:p>
      <w:pPr>
        <w:pStyle w:val="23"/>
      </w:pPr>
    </w:p>
    <w:sectPr>
      <w:footerReference r:id="rId13" w:type="first"/>
      <w:footerReference r:id="rId12"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097" o:spid="_x0000_s2053" o:spt="1"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098" o:spid="_x0000_s2052" o:spt="1" style="position:absolute;left:0pt;margin-top:0pt;height:12pt;width:9.85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49</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099" o:spid="_x0000_s2051"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100" o:spid="_x0000_s2050" o:spt="1" style="position:absolute;left:0pt;margin-top:0pt;height:12pt;width:9.85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57</w:t>
                </w:r>
                <w:r>
                  <w:fldChar w:fldCharType="end"/>
                </w:r>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101" o:spid="_x0000_s2049"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rPr>
                    <w:rFonts w:hint="eastAsia"/>
                  </w:rP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0000002"/>
    <w:multiLevelType w:val="multilevel"/>
    <w:tmpl w:val="0000000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26"/>
      <w:lvlText w:val=""/>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3"/>
    <w:multiLevelType w:val="multilevel"/>
    <w:tmpl w:val="00000003"/>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05"/>
    <w:multiLevelType w:val="singleLevel"/>
    <w:tmpl w:val="00000005"/>
    <w:lvl w:ilvl="0" w:tentative="0">
      <w:start w:val="5"/>
      <w:numFmt w:val="decimal"/>
      <w:suff w:val="space"/>
      <w:lvlText w:val="%1."/>
      <w:lvlJc w:val="left"/>
    </w:lvl>
  </w:abstractNum>
  <w:abstractNum w:abstractNumId="5">
    <w:nsid w:val="00000006"/>
    <w:multiLevelType w:val="multilevel"/>
    <w:tmpl w:val="00000006"/>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00000007"/>
    <w:multiLevelType w:val="singleLevel"/>
    <w:tmpl w:val="00000007"/>
    <w:lvl w:ilvl="0" w:tentative="0">
      <w:start w:val="21"/>
      <w:numFmt w:val="decimal"/>
      <w:suff w:val="space"/>
      <w:lvlText w:val="%1."/>
      <w:lvlJc w:val="left"/>
    </w:lvl>
  </w:abstractNum>
  <w:abstractNum w:abstractNumId="7">
    <w:nsid w:val="00000008"/>
    <w:multiLevelType w:val="singleLevel"/>
    <w:tmpl w:val="00000008"/>
    <w:lvl w:ilvl="0" w:tentative="0">
      <w:start w:val="1"/>
      <w:numFmt w:val="decimal"/>
      <w:suff w:val="nothing"/>
      <w:lvlText w:val="%1、"/>
      <w:lvlJc w:val="left"/>
    </w:lvl>
  </w:abstractNum>
  <w:abstractNum w:abstractNumId="8">
    <w:nsid w:val="00000009"/>
    <w:multiLevelType w:val="singleLevel"/>
    <w:tmpl w:val="00000009"/>
    <w:lvl w:ilvl="0" w:tentative="0">
      <w:start w:val="1"/>
      <w:numFmt w:val="decimal"/>
      <w:lvlText w:val="%1."/>
      <w:lvlJc w:val="left"/>
      <w:pPr>
        <w:ind w:left="425" w:hanging="425"/>
      </w:pPr>
      <w:rPr>
        <w:rFonts w:hint="default"/>
      </w:rPr>
    </w:lvl>
  </w:abstractNum>
  <w:abstractNum w:abstractNumId="9">
    <w:nsid w:val="0000000A"/>
    <w:multiLevelType w:val="singleLevel"/>
    <w:tmpl w:val="0000000A"/>
    <w:lvl w:ilvl="0" w:tentative="0">
      <w:start w:val="1"/>
      <w:numFmt w:val="decimal"/>
      <w:lvlText w:val="%1)"/>
      <w:lvlJc w:val="left"/>
      <w:pPr>
        <w:ind w:left="567" w:hanging="425"/>
      </w:pPr>
      <w:rPr>
        <w:rFonts w:hint="default"/>
      </w:rPr>
    </w:lvl>
  </w:abstractNum>
  <w:abstractNum w:abstractNumId="10">
    <w:nsid w:val="0000000B"/>
    <w:multiLevelType w:val="singleLevel"/>
    <w:tmpl w:val="0000000B"/>
    <w:lvl w:ilvl="0" w:tentative="0">
      <w:start w:val="25"/>
      <w:numFmt w:val="decimal"/>
      <w:suff w:val="space"/>
      <w:lvlText w:val="%1."/>
      <w:lvlJc w:val="left"/>
    </w:lvl>
  </w:abstractNum>
  <w:abstractNum w:abstractNumId="11">
    <w:nsid w:val="0000000C"/>
    <w:multiLevelType w:val="multilevel"/>
    <w:tmpl w:val="0000000C"/>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0D"/>
    <w:multiLevelType w:val="multilevel"/>
    <w:tmpl w:val="0000000D"/>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3">
    <w:nsid w:val="0000000E"/>
    <w:multiLevelType w:val="multilevel"/>
    <w:tmpl w:val="0000000E"/>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0000000F"/>
    <w:multiLevelType w:val="multilevel"/>
    <w:tmpl w:val="0000000F"/>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4595970"/>
    <w:multiLevelType w:val="singleLevel"/>
    <w:tmpl w:val="44595970"/>
    <w:lvl w:ilvl="0" w:tentative="0">
      <w:start w:val="30"/>
      <w:numFmt w:val="decimal"/>
      <w:suff w:val="space"/>
      <w:lvlText w:val="%1."/>
      <w:lvlJc w:val="left"/>
    </w:lvl>
  </w:abstractNum>
  <w:num w:numId="1">
    <w:abstractNumId w:val="1"/>
  </w:num>
  <w:num w:numId="2">
    <w:abstractNumId w:val="0"/>
  </w:num>
  <w:num w:numId="3">
    <w:abstractNumId w:val="11"/>
  </w:num>
  <w:num w:numId="4">
    <w:abstractNumId w:val="14"/>
  </w:num>
  <w:num w:numId="5">
    <w:abstractNumId w:val="4"/>
  </w:num>
  <w:num w:numId="6">
    <w:abstractNumId w:val="6"/>
  </w:num>
  <w:num w:numId="7">
    <w:abstractNumId w:val="10"/>
  </w:num>
  <w:num w:numId="8">
    <w:abstractNumId w:val="3"/>
  </w:num>
  <w:num w:numId="9">
    <w:abstractNumId w:val="15"/>
  </w:num>
  <w:num w:numId="10">
    <w:abstractNumId w:val="8"/>
  </w:num>
  <w:num w:numId="11">
    <w:abstractNumId w:val="9"/>
  </w:num>
  <w:num w:numId="12">
    <w:abstractNumId w:val="2"/>
  </w:num>
  <w:num w:numId="13">
    <w:abstractNumId w:val="7"/>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TcwOTFkMzE3NTc2YTE0YzU5ODU1ZjdhNDYzMzM3YmMifQ=="/>
  </w:docVars>
  <w:rsids>
    <w:rsidRoot w:val="00663133"/>
    <w:rsid w:val="00106461"/>
    <w:rsid w:val="00110A9D"/>
    <w:rsid w:val="001838F1"/>
    <w:rsid w:val="00315042"/>
    <w:rsid w:val="005711DE"/>
    <w:rsid w:val="00663133"/>
    <w:rsid w:val="00664A3B"/>
    <w:rsid w:val="00714730"/>
    <w:rsid w:val="00927E5E"/>
    <w:rsid w:val="00A615D2"/>
    <w:rsid w:val="00CE6E80"/>
    <w:rsid w:val="00D03FBF"/>
    <w:rsid w:val="00F00F4D"/>
    <w:rsid w:val="00FC662A"/>
    <w:rsid w:val="512B09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w:basedOn w:val="1"/>
    <w:link w:val="133"/>
    <w:qFormat/>
    <w:uiPriority w:val="99"/>
    <w:pPr>
      <w:spacing w:line="360" w:lineRule="auto"/>
    </w:pPr>
    <w:rPr>
      <w:rFonts w:ascii="Tahoma" w:hAnsi="Tahoma"/>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5"/>
    <w:qFormat/>
    <w:uiPriority w:val="0"/>
    <w:rPr>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qFormat/>
    <w:uiPriority w:val="99"/>
    <w:pPr>
      <w:spacing w:line="440" w:lineRule="exact"/>
    </w:pPr>
    <w:rPr>
      <w:b/>
      <w:bCs/>
      <w:sz w:val="24"/>
      <w:szCs w:val="28"/>
    </w:rPr>
  </w:style>
  <w:style w:type="paragraph" w:styleId="48">
    <w:name w:val="Body Text First Indent"/>
    <w:basedOn w:val="23"/>
    <w:link w:val="130"/>
    <w:qFormat/>
    <w:uiPriority w:val="0"/>
    <w:pPr>
      <w:spacing w:after="120" w:line="240" w:lineRule="auto"/>
      <w:ind w:firstLine="100" w:firstLineChars="100"/>
    </w:pPr>
  </w:style>
  <w:style w:type="paragraph" w:styleId="49">
    <w:name w:val="Body Text First Indent 2"/>
    <w:basedOn w:val="24"/>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qFormat/>
    <w:uiPriority w:val="99"/>
    <w:rPr>
      <w:color w:val="954F72"/>
      <w:u w:val="single"/>
    </w:rPr>
  </w:style>
  <w:style w:type="character" w:styleId="56">
    <w:name w:val="Emphasis"/>
    <w:qFormat/>
    <w:uiPriority w:val="0"/>
    <w:rPr>
      <w:i/>
      <w:iCs/>
    </w:rPr>
  </w:style>
  <w:style w:type="character" w:styleId="57">
    <w:name w:val="HTML Definition"/>
    <w:qFormat/>
    <w:uiPriority w:val="0"/>
  </w:style>
  <w:style w:type="character" w:styleId="58">
    <w:name w:val="HTML Variable"/>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qFormat/>
    <w:uiPriority w:val="0"/>
    <w:rPr>
      <w:rFonts w:ascii="Courier New" w:hAnsi="Courier New"/>
      <w:sz w:val="20"/>
    </w:rPr>
  </w:style>
  <w:style w:type="character" w:styleId="61">
    <w:name w:val="annotation reference"/>
    <w:qFormat/>
    <w:uiPriority w:val="0"/>
    <w:rPr>
      <w:sz w:val="21"/>
      <w:szCs w:val="21"/>
    </w:rPr>
  </w:style>
  <w:style w:type="character" w:styleId="62">
    <w:name w:val="HTML Cite"/>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link w:val="296"/>
    <w:qFormat/>
    <w:uiPriority w:val="0"/>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3"/>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3"/>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0"/>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3"/>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2"/>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6"/>
    <w:qFormat/>
    <w:uiPriority w:val="0"/>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Id w:val="0"/>
      </w:numPr>
      <w:tabs>
        <w:tab w:val="left" w:pos="360"/>
      </w:tabs>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_cf5cc71f-b43d-49bf-939e-7564da3187cb"/>
    <w:qFormat/>
    <w:uiPriority w:val="0"/>
    <w:rPr>
      <w:rFonts w:ascii="黑体" w:hAnsi="Times New Roman" w:eastAsia="黑体" w:cs="Times New Roman"/>
      <w:kern w:val="0"/>
      <w:sz w:val="20"/>
      <w:szCs w:val="20"/>
    </w:rPr>
  </w:style>
  <w:style w:type="character" w:customStyle="1" w:styleId="251">
    <w:name w:val="Heading 2 Char_1427e570-120b-4fbe-8b1d-26b8feee5c86"/>
    <w:qFormat/>
    <w:uiPriority w:val="0"/>
    <w:rPr>
      <w:rFonts w:ascii="Times New Roman" w:hAnsi="Times New Roman" w:eastAsia="宋体" w:cs="Times New Roman"/>
      <w:b/>
      <w:kern w:val="0"/>
      <w:sz w:val="32"/>
      <w:szCs w:val="32"/>
    </w:rPr>
  </w:style>
  <w:style w:type="character" w:customStyle="1" w:styleId="252">
    <w:name w:val="标题 3 Char1"/>
    <w:qFormat/>
    <w:uiPriority w:val="99"/>
    <w:rPr>
      <w:rFonts w:eastAsia="宋体"/>
      <w:b/>
      <w:sz w:val="32"/>
      <w:lang w:val="en-US" w:eastAsia="zh-CN" w:bidi="ar-SA"/>
    </w:rPr>
  </w:style>
  <w:style w:type="character" w:customStyle="1" w:styleId="253">
    <w:name w:val="Heading 4 Char_66b9ca89-b742-4cc4-bd6c-6bbd3223d9df"/>
    <w:qFormat/>
    <w:uiPriority w:val="0"/>
    <w:rPr>
      <w:rFonts w:ascii="Times New Roman" w:hAnsi="Times New Roman" w:eastAsia="宋体" w:cs="Times New Roman"/>
      <w:b/>
      <w:kern w:val="0"/>
      <w:sz w:val="20"/>
      <w:szCs w:val="20"/>
    </w:rPr>
  </w:style>
  <w:style w:type="character" w:customStyle="1" w:styleId="254">
    <w:name w:val="Heading 5 Char_0c486ac9-d11c-48d5-bc4b-0b49f8ab0d45"/>
    <w:qFormat/>
    <w:uiPriority w:val="0"/>
    <w:rPr>
      <w:rFonts w:ascii="Times New Roman" w:hAnsi="Times New Roman" w:eastAsia="宋体" w:cs="Times New Roman"/>
      <w:b/>
      <w:bCs/>
      <w:sz w:val="28"/>
      <w:szCs w:val="28"/>
    </w:rPr>
  </w:style>
  <w:style w:type="character" w:customStyle="1" w:styleId="255">
    <w:name w:val="Heading 6 Char_6ced1792-28fc-4215-bfc9-3efbcfb4ee26"/>
    <w:qFormat/>
    <w:uiPriority w:val="0"/>
    <w:rPr>
      <w:rFonts w:ascii="Arial" w:hAnsi="Arial" w:eastAsia="黑体" w:cs="Times New Roman"/>
      <w:b/>
      <w:bCs/>
      <w:kern w:val="0"/>
      <w:sz w:val="24"/>
      <w:szCs w:val="24"/>
    </w:rPr>
  </w:style>
  <w:style w:type="character" w:customStyle="1" w:styleId="256">
    <w:name w:val="Heading 7 Char_e49a91ea-c33e-4600-b995-bc131a9b79f5"/>
    <w:qFormat/>
    <w:uiPriority w:val="0"/>
    <w:rPr>
      <w:rFonts w:ascii="Times New Roman" w:hAnsi="Times New Roman" w:eastAsia="宋体" w:cs="Times New Roman"/>
      <w:b/>
      <w:bCs/>
      <w:kern w:val="0"/>
      <w:sz w:val="24"/>
      <w:szCs w:val="24"/>
    </w:rPr>
  </w:style>
  <w:style w:type="character" w:customStyle="1" w:styleId="257">
    <w:name w:val="Heading 8 Char_62669ae1-9746-4369-a82f-c31c7db3b3a6"/>
    <w:qFormat/>
    <w:uiPriority w:val="0"/>
    <w:rPr>
      <w:rFonts w:ascii="Arial" w:hAnsi="Arial" w:eastAsia="黑体" w:cs="Times New Roman"/>
      <w:kern w:val="0"/>
      <w:sz w:val="24"/>
      <w:szCs w:val="24"/>
    </w:rPr>
  </w:style>
  <w:style w:type="character" w:customStyle="1" w:styleId="258">
    <w:name w:val="Heading 9 Char_0d653baa-60e4-47ce-bd37-43cd726562a1"/>
    <w:qFormat/>
    <w:uiPriority w:val="0"/>
    <w:rPr>
      <w:rFonts w:ascii="Arial" w:hAnsi="Arial" w:eastAsia="黑体" w:cs="Times New Roman"/>
      <w:kern w:val="0"/>
      <w:sz w:val="21"/>
      <w:szCs w:val="21"/>
    </w:rPr>
  </w:style>
  <w:style w:type="character" w:customStyle="1" w:styleId="259">
    <w:name w:val="Document Map Char"/>
    <w:qFormat/>
    <w:uiPriority w:val="0"/>
    <w:rPr>
      <w:rFonts w:ascii="Times New Roman" w:hAnsi="Times New Roman" w:eastAsia="宋体" w:cs="Times New Roman"/>
      <w:sz w:val="24"/>
      <w:szCs w:val="24"/>
      <w:shd w:val="clear" w:color="auto" w:fill="000080"/>
    </w:rPr>
  </w:style>
  <w:style w:type="character" w:customStyle="1" w:styleId="260">
    <w:name w:val="Date Char"/>
    <w:qFormat/>
    <w:uiPriority w:val="0"/>
    <w:rPr>
      <w:rFonts w:ascii="Times New Roman" w:hAnsi="Times New Roman" w:eastAsia="宋体" w:cs="Times New Roman"/>
      <w:sz w:val="20"/>
      <w:szCs w:val="20"/>
    </w:rPr>
  </w:style>
  <w:style w:type="character" w:customStyle="1" w:styleId="261">
    <w:name w:val="Header Char_e9f6c4ec-9381-4a6c-9d1e-87ec2e09788c"/>
    <w:qFormat/>
    <w:uiPriority w:val="0"/>
    <w:rPr>
      <w:rFonts w:ascii="Times New Roman" w:hAnsi="Times New Roman" w:eastAsia="宋体" w:cs="Times New Roman"/>
      <w:kern w:val="0"/>
      <w:sz w:val="20"/>
      <w:szCs w:val="20"/>
    </w:rPr>
  </w:style>
  <w:style w:type="character" w:customStyle="1" w:styleId="262">
    <w:name w:val="Footer Char_4786535d-b4bc-44d4-81bb-e999c73ca5c9"/>
    <w:qFormat/>
    <w:uiPriority w:val="0"/>
    <w:rPr>
      <w:rFonts w:ascii="Times New Roman" w:hAnsi="Times New Roman" w:eastAsia="宋体" w:cs="Times New Roman"/>
      <w:kern w:val="0"/>
      <w:sz w:val="20"/>
      <w:szCs w:val="20"/>
    </w:rPr>
  </w:style>
  <w:style w:type="character" w:customStyle="1" w:styleId="263">
    <w:name w:val="Plain Text Char"/>
    <w:qFormat/>
    <w:uiPriority w:val="0"/>
    <w:rPr>
      <w:rFonts w:ascii="宋体" w:hAnsi="Courier New" w:eastAsia="宋体" w:cs="Times New Roman"/>
      <w:sz w:val="20"/>
      <w:szCs w:val="20"/>
    </w:rPr>
  </w:style>
  <w:style w:type="character" w:customStyle="1" w:styleId="264">
    <w:name w:val="Body Text Indent 2 Char"/>
    <w:qFormat/>
    <w:uiPriority w:val="0"/>
    <w:rPr>
      <w:rFonts w:ascii="Times New Roman" w:hAnsi="Times New Roman" w:eastAsia="宋体" w:cs="Times New Roman"/>
      <w:sz w:val="30"/>
      <w:szCs w:val="30"/>
    </w:rPr>
  </w:style>
  <w:style w:type="character" w:customStyle="1" w:styleId="265">
    <w:name w:val="Body Text Indent 3 Char"/>
    <w:qFormat/>
    <w:uiPriority w:val="0"/>
    <w:rPr>
      <w:rFonts w:ascii="Times New Roman" w:hAnsi="Times New Roman" w:eastAsia="宋体" w:cs="Times New Roman"/>
      <w:sz w:val="30"/>
      <w:szCs w:val="30"/>
    </w:rPr>
  </w:style>
  <w:style w:type="character" w:customStyle="1" w:styleId="266">
    <w:name w:val="Body Text First Indent 2 Char"/>
    <w:qFormat/>
    <w:uiPriority w:val="0"/>
    <w:rPr>
      <w:rFonts w:ascii="Times New Roman" w:hAnsi="Times New Roman" w:eastAsia="宋体" w:cs="Times New Roman"/>
      <w:kern w:val="2"/>
      <w:sz w:val="24"/>
      <w:szCs w:val="24"/>
    </w:rPr>
  </w:style>
  <w:style w:type="character" w:customStyle="1" w:styleId="267">
    <w:name w:val="Body Text 2 Char"/>
    <w:qFormat/>
    <w:uiPriority w:val="0"/>
    <w:rPr>
      <w:rFonts w:ascii="宋体" w:hAnsi="Times New Roman" w:eastAsia="宋体" w:cs="Times New Roman"/>
      <w:sz w:val="20"/>
      <w:szCs w:val="20"/>
    </w:rPr>
  </w:style>
  <w:style w:type="character" w:customStyle="1" w:styleId="268">
    <w:name w:val="Balloon Text Char"/>
    <w:qFormat/>
    <w:uiPriority w:val="0"/>
    <w:rPr>
      <w:rFonts w:ascii="Times New Roman" w:hAnsi="Times New Roman" w:eastAsia="宋体" w:cs="Times New Roman"/>
      <w:sz w:val="18"/>
      <w:szCs w:val="18"/>
    </w:rPr>
  </w:style>
  <w:style w:type="character" w:customStyle="1" w:styleId="269">
    <w:name w:val="Salutation Char"/>
    <w:qFormat/>
    <w:uiPriority w:val="0"/>
    <w:rPr>
      <w:rFonts w:ascii="..ì." w:hAnsi="Times New Roman" w:eastAsia="..ì." w:cs="Times New Roman"/>
      <w:kern w:val="0"/>
      <w:sz w:val="20"/>
      <w:szCs w:val="20"/>
    </w:rPr>
  </w:style>
  <w:style w:type="character" w:customStyle="1" w:styleId="270">
    <w:name w:val="Note Heading Char"/>
    <w:qFormat/>
    <w:uiPriority w:val="0"/>
    <w:rPr>
      <w:rFonts w:ascii="..ì." w:hAnsi="Times New Roman" w:eastAsia="..ì." w:cs="Times New Roman"/>
      <w:kern w:val="0"/>
      <w:sz w:val="20"/>
      <w:szCs w:val="20"/>
    </w:rPr>
  </w:style>
  <w:style w:type="paragraph" w:customStyle="1" w:styleId="271">
    <w:name w:val="Revision1"/>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uiPriority w:val="0"/>
    <w:rPr>
      <w:rFonts w:ascii="Times New Roman" w:hAnsi="Times New Roman" w:eastAsia="宋体" w:cs="Times New Roman"/>
      <w:sz w:val="16"/>
      <w:szCs w:val="16"/>
    </w:rPr>
  </w:style>
  <w:style w:type="character" w:customStyle="1" w:styleId="274">
    <w:name w:val="Title Char_9e41791e-ce5e-4032-87e4-b8a46964a479"/>
    <w:qFormat/>
    <w:uiPriority w:val="0"/>
    <w:rPr>
      <w:rFonts w:ascii="Arial" w:hAnsi="Arial" w:eastAsia="宋体" w:cs="Times New Roman"/>
      <w:b/>
      <w:kern w:val="0"/>
      <w:sz w:val="20"/>
      <w:szCs w:val="20"/>
    </w:rPr>
  </w:style>
  <w:style w:type="character" w:customStyle="1" w:styleId="275">
    <w:name w:val="Comment Subject Char"/>
    <w:qFormat/>
    <w:uiPriority w:val="0"/>
    <w:rPr>
      <w:rFonts w:ascii="Times New Roman" w:hAnsi="Times New Roman" w:eastAsia="宋体" w:cs="Times New Roman"/>
      <w:b/>
      <w:bCs/>
      <w:sz w:val="24"/>
      <w:szCs w:val="24"/>
    </w:rPr>
  </w:style>
  <w:style w:type="character" w:customStyle="1" w:styleId="276">
    <w:name w:val="Comment Text Char"/>
    <w:qFormat/>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qFormat/>
    <w:uiPriority w:val="39"/>
    <w:pPr>
      <w:widowControl/>
      <w:adjustRightInd/>
      <w:spacing w:before="480" w:after="0" w:line="276" w:lineRule="auto"/>
      <w:jc w:val="left"/>
      <w:textAlignment w:val="auto"/>
      <w:outlineLvl w:val="9"/>
    </w:pPr>
    <w:rPr>
      <w:rFonts w:ascii="Cambria" w:hAnsi="Cambria" w:eastAsia="宋体" w:cs="宋体"/>
      <w:color w:val="376092"/>
      <w:kern w:val="0"/>
      <w:sz w:val="28"/>
      <w:szCs w:val="28"/>
    </w:rPr>
  </w:style>
  <w:style w:type="character" w:customStyle="1" w:styleId="295">
    <w:name w:val="HTML 预设格式 Char"/>
    <w:basedOn w:val="52"/>
    <w:link w:val="43"/>
    <w:qFormat/>
    <w:uiPriority w:val="0"/>
    <w:rPr>
      <w:rFonts w:ascii="黑体" w:hAnsi="Courier New" w:eastAsia="黑体"/>
    </w:rPr>
  </w:style>
  <w:style w:type="character" w:customStyle="1" w:styleId="296">
    <w:name w:val="列出段落 Char"/>
    <w:link w:val="67"/>
    <w:uiPriority w:val="0"/>
    <w:rPr>
      <w:rFonts w:ascii="Calibri" w:hAnsi="Calibri"/>
      <w:kern w:val="2"/>
      <w:sz w:val="21"/>
      <w:szCs w:val="22"/>
    </w:rPr>
  </w:style>
  <w:style w:type="paragraph" w:customStyle="1" w:styleId="297">
    <w:name w:val="正文（缩进 2 字符）"/>
    <w:basedOn w:val="1"/>
    <w:qFormat/>
    <w:uiPriority w:val="0"/>
    <w:pPr>
      <w:widowControl/>
      <w:spacing w:line="400" w:lineRule="exact"/>
      <w:ind w:firstLine="200" w:firstLineChars="200"/>
    </w:pPr>
    <w:rPr>
      <w:rFonts w:ascii="Calibri Light" w:hAnsi="Calibri Light" w:eastAsia="华文仿宋"/>
      <w:kern w:val="0"/>
      <w:sz w:val="28"/>
      <w:szCs w:val="28"/>
    </w:rPr>
  </w:style>
  <w:style w:type="paragraph" w:customStyle="1" w:styleId="298">
    <w:name w:val="样式 10 磅"/>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819B1-A9A6-40F8-BD4F-29C68DD06B4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59</Pages>
  <Words>26645</Words>
  <Characters>30424</Characters>
  <Lines>260</Lines>
  <Paragraphs>73</Paragraphs>
  <TotalTime>22</TotalTime>
  <ScaleCrop>false</ScaleCrop>
  <LinksUpToDate>false</LinksUpToDate>
  <CharactersWithSpaces>34468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2022-08-26T08:06:00Z</dcterms:created>
  <dc:creator>Lv Ji_BM</dc:creator>
  <cp:lastModifiedBy>姜凯</cp:lastModifiedBy>
  <cp:lastPrinted>2021-01-08T03:14:00Z</cp:lastPrinted>
  <dcterms:modified xsi:type="dcterms:W3CDTF">2022-09-16T08:18:34Z</dcterms:modified>
  <dc:title>_x0001_</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56B23CD25BEC44299106AE554048704A</vt:lpwstr>
  </property>
</Properties>
</file>